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093A2E" w:rsidRDefault="00EE350E" w:rsidP="00EE350E">
      <w:pPr>
        <w:pStyle w:val="QuestionNo"/>
        <w:rPr>
          <w:lang w:val="es-ES_tradnl"/>
        </w:rPr>
      </w:pPr>
      <w:bookmarkStart w:id="4" w:name="_Toc360171154"/>
      <w:bookmarkEnd w:id="0"/>
      <w:bookmarkEnd w:id="1"/>
      <w:r w:rsidRPr="00093A2E">
        <w:rPr>
          <w:lang w:val="es-ES_tradnl"/>
        </w:rPr>
        <w:t>CUESTIÓN 10</w:t>
      </w:r>
      <w:r w:rsidR="00C729F1" w:rsidRPr="00093A2E">
        <w:rPr>
          <w:lang w:val="es-ES_tradnl"/>
        </w:rPr>
        <w:t>-</w:t>
      </w:r>
      <w:r w:rsidRPr="00093A2E">
        <w:rPr>
          <w:lang w:val="es-ES_tradnl"/>
        </w:rPr>
        <w:t>3</w:t>
      </w:r>
      <w:r w:rsidR="00C729F1" w:rsidRPr="00093A2E">
        <w:rPr>
          <w:lang w:val="es-ES_tradnl"/>
        </w:rPr>
        <w:t>/1:</w:t>
      </w:r>
      <w:bookmarkEnd w:id="4"/>
    </w:p>
    <w:p w:rsidR="00C729F1" w:rsidRPr="00EE350E" w:rsidRDefault="00EE350E" w:rsidP="006570A8">
      <w:pPr>
        <w:pStyle w:val="QuestionTitle"/>
        <w:rPr>
          <w:lang w:val="es-ES_tradnl"/>
        </w:rPr>
      </w:pP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p w:rsidR="004A3FC4" w:rsidRPr="00EE350E" w:rsidRDefault="004A3FC4" w:rsidP="00F859AE">
      <w:pPr>
        <w:rPr>
          <w:sz w:val="28"/>
          <w:szCs w:val="18"/>
          <w:lang w:val="es-ES_tradnl"/>
        </w:rPr>
      </w:pPr>
    </w:p>
    <w:p w:rsidR="008B2896" w:rsidRPr="00EE350E" w:rsidRDefault="008B2896" w:rsidP="008B2896">
      <w:pPr>
        <w:pStyle w:val="Chapttitle"/>
        <w:spacing w:before="240"/>
        <w:jc w:val="right"/>
        <w:rPr>
          <w:i/>
          <w:iCs/>
          <w:color w:val="auto"/>
          <w:sz w:val="24"/>
          <w:szCs w:val="18"/>
          <w:lang w:val="es-ES_tradnl"/>
        </w:rPr>
      </w:pPr>
    </w:p>
    <w:bookmarkEnd w:id="2"/>
    <w:bookmarkEnd w:id="3"/>
    <w:p w:rsidR="00B824FE" w:rsidRPr="00EE350E"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EE350E" w:rsidRDefault="00B824FE"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80173C" w:rsidRPr="00EE350E" w:rsidRDefault="0080173C" w:rsidP="00C7150D">
      <w:pPr>
        <w:rPr>
          <w:u w:color="E36C0A"/>
          <w:lang w:val="es-ES_tradnl"/>
        </w:rPr>
      </w:pPr>
    </w:p>
    <w:p w:rsidR="00B824FE" w:rsidRPr="00EE350E" w:rsidRDefault="00B824FE" w:rsidP="00B824FE">
      <w:pPr>
        <w:rPr>
          <w:rFonts w:eastAsia="Times New Roman"/>
          <w:lang w:val="es-ES_tradnl"/>
        </w:rPr>
      </w:pPr>
    </w:p>
    <w:p w:rsidR="00B824FE" w:rsidRPr="00EE350E"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6433"/>
        <w:gridCol w:w="1534"/>
      </w:tblGrid>
      <w:tr w:rsidR="00595E56" w:rsidRPr="00AC27F2" w:rsidTr="00E6584D">
        <w:tc>
          <w:tcPr>
            <w:tcW w:w="7763" w:type="dxa"/>
            <w:shd w:val="clear" w:color="auto" w:fill="auto"/>
          </w:tcPr>
          <w:p w:rsidR="00B824FE" w:rsidRPr="00EE350E"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EE350E" w:rsidRDefault="00B824FE" w:rsidP="00E6584D">
            <w:pPr>
              <w:spacing w:before="0"/>
              <w:jc w:val="right"/>
              <w:rPr>
                <w:rFonts w:eastAsia="Times New Roman"/>
                <w:shd w:val="clear" w:color="auto" w:fill="E6F3B7"/>
                <w:lang w:val="es-ES_tradnl"/>
              </w:rPr>
            </w:pPr>
          </w:p>
        </w:tc>
      </w:tr>
    </w:tbl>
    <w:p w:rsidR="008E64AB" w:rsidRPr="00EE350E"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14:anchorId="5AAFC8B9" wp14:editId="24B45220">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EE350E" w:rsidRDefault="002208F5" w:rsidP="006570A8">
      <w:pPr>
        <w:rPr>
          <w:lang w:val="es-ES_tradnl"/>
        </w:rPr>
      </w:pPr>
      <w:r w:rsidRPr="00EE350E">
        <w:rPr>
          <w:lang w:val="es-ES_tradnl"/>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AC27F2" w:rsidTr="006E15C7">
        <w:tc>
          <w:tcPr>
            <w:tcW w:w="9072" w:type="dxa"/>
            <w:shd w:val="clear" w:color="auto" w:fill="E8F8FD"/>
          </w:tcPr>
          <w:p w:rsidR="00EE350E" w:rsidRPr="000B2FEE" w:rsidRDefault="00EE350E" w:rsidP="00752B0D">
            <w:pPr>
              <w:pStyle w:val="HeadingB"/>
              <w:rPr>
                <w:lang w:val="es-ES_tradnl"/>
              </w:rPr>
            </w:pPr>
            <w:r w:rsidRPr="000B2FEE">
              <w:rPr>
                <w:lang w:val="es-ES_tradnl"/>
              </w:rPr>
              <w:lastRenderedPageBreak/>
              <w:t>Comisiones de Estudio del UIT-D</w:t>
            </w:r>
          </w:p>
          <w:p w:rsidR="00EE350E" w:rsidRPr="002E3A1A" w:rsidRDefault="00EE350E" w:rsidP="00EE350E">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EE350E" w:rsidRPr="000B2FEE" w:rsidRDefault="00EE350E" w:rsidP="00EE350E">
            <w:pPr>
              <w:pStyle w:val="HeadingB"/>
              <w:rPr>
                <w:lang w:val="es-ES_tradnl"/>
              </w:rPr>
            </w:pPr>
            <w:r w:rsidRPr="000B2FEE">
              <w:rPr>
                <w:lang w:val="es-ES_tradnl"/>
              </w:rPr>
              <w:t>Plataforma de conocimientos</w:t>
            </w:r>
          </w:p>
          <w:p w:rsidR="00EE350E" w:rsidRPr="002E3A1A" w:rsidRDefault="00EE350E" w:rsidP="00EE350E">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iniciativas especiales en los 193</w:t>
            </w:r>
            <w:r>
              <w:rPr>
                <w:lang w:val="es-ES_tradnl"/>
              </w:rPr>
              <w:t> </w:t>
            </w:r>
            <w:r w:rsidRPr="002E3A1A">
              <w:rPr>
                <w:lang w:val="es-ES_tradnl"/>
              </w:rPr>
              <w:t>Estados Miembros de la UIT. Esas actividades también permiten aumentar el acervo de conocimientos compartidos entre los Miembros.</w:t>
            </w:r>
          </w:p>
          <w:p w:rsidR="00EE350E" w:rsidRPr="0045440D" w:rsidRDefault="00EE350E" w:rsidP="00EE350E">
            <w:pPr>
              <w:pStyle w:val="HeadingB"/>
              <w:rPr>
                <w:lang w:val="es-ES_tradnl"/>
              </w:rPr>
            </w:pPr>
            <w:r>
              <w:rPr>
                <w:lang w:val="es-ES_tradnl"/>
              </w:rPr>
              <w:t>C</w:t>
            </w:r>
            <w:r w:rsidRPr="002E3A1A">
              <w:rPr>
                <w:lang w:val="es-ES_tradnl"/>
              </w:rPr>
              <w:t>entro de intercambio de información y divulgación de conocimientos</w:t>
            </w:r>
          </w:p>
          <w:p w:rsidR="00EE350E" w:rsidRPr="002E3A1A" w:rsidRDefault="00EE350E" w:rsidP="00EE350E">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EE350E" w:rsidRPr="0045440D" w:rsidRDefault="00EE350E" w:rsidP="00EE350E">
            <w:pPr>
              <w:pStyle w:val="HeadingB"/>
              <w:rPr>
                <w:lang w:val="es-ES_tradnl"/>
              </w:rPr>
            </w:pPr>
            <w:r>
              <w:rPr>
                <w:lang w:val="es-ES_tradnl"/>
              </w:rPr>
              <w:t>A</w:t>
            </w:r>
            <w:r w:rsidRPr="002E3A1A">
              <w:rPr>
                <w:lang w:val="es-ES_tradnl"/>
              </w:rPr>
              <w:t>cervo de información</w:t>
            </w:r>
          </w:p>
          <w:p w:rsidR="00EE350E" w:rsidRDefault="00EE350E" w:rsidP="00EE350E">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EE350E" w:rsidRPr="0045440D" w:rsidRDefault="00EE350E" w:rsidP="00EE350E">
            <w:pPr>
              <w:pStyle w:val="HeadingB"/>
              <w:rPr>
                <w:lang w:val="es-ES_tradnl"/>
              </w:rPr>
            </w:pPr>
            <w:r w:rsidRPr="0045440D">
              <w:rPr>
                <w:lang w:val="es-ES_tradnl"/>
              </w:rPr>
              <w:t>Comisión de Estudio 1</w:t>
            </w:r>
          </w:p>
          <w:p w:rsidR="00EE350E" w:rsidRDefault="00EE350E" w:rsidP="00EE350E">
            <w:pPr>
              <w:spacing w:after="120"/>
              <w:rPr>
                <w:lang w:val="es-ES"/>
              </w:rPr>
            </w:pPr>
            <w:r w:rsidRPr="007B3C9D">
              <w:rPr>
                <w:lang w:val="es-ES"/>
              </w:rPr>
              <w:t>En el periodo de 2010-2014 se encargó a la Comisión de Estudio 1 que estudiara nueve Cuestiones en los ámbitos de entorno propicio, ciberseguridad, aplicaciones TIC y cuestiones relativas a Internet. Concentró su labor en políticas y estrategias nacionales de telecomunicaciones que permiten a los países aprovechar de forma óptima el ímpetu de las telecomunicaciones/TIC como motor de crecimiento sostenible, de la creación de empleo y del desarrollo económico, social y cultural, teniendo presentes las cuestiones prioritarias para los países en desarrollo. La labor comprendía las políticas de acceso a las telecomunicaciones/TIC, en particular, el acceso de las personas con discapacidad y con necesidades especiales, así como la seguridad en las redes de telecomunicaciones/TIC. También se concentró en políticas y modelos tarifarios para las redes de la próxima generación, cuestiones relativas a la convergencia, acceso universal a los servicios de banda ancha fijos y móviles, análisis de las repercusiones, y aplicación de principios de costes y contables, teniendo en cuenta los resultados de los estudios llevados a cabo por el UIT-R y el UIT-T, y las prioridades de los países en desarrollo.</w:t>
            </w:r>
          </w:p>
          <w:p w:rsidR="00075AC8" w:rsidRPr="00EE350E" w:rsidRDefault="00EE350E" w:rsidP="00EE350E">
            <w:pPr>
              <w:rPr>
                <w:lang w:val="es-ES_tradnl"/>
              </w:rPr>
            </w:pPr>
            <w:r w:rsidRPr="00113513">
              <w:rPr>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075AC8" w:rsidRPr="00EE350E" w:rsidRDefault="00075AC8" w:rsidP="00075AC8">
      <w:pPr>
        <w:rPr>
          <w:lang w:val="es-ES_tradnl"/>
        </w:rPr>
      </w:pPr>
    </w:p>
    <w:p w:rsidR="00075AC8" w:rsidRDefault="00075AC8" w:rsidP="00075AC8">
      <w:pPr>
        <w:spacing w:before="360"/>
        <w:ind w:left="1060" w:right="848"/>
        <w:jc w:val="center"/>
        <w:rPr>
          <w:b/>
          <w:bCs/>
          <w:lang w:val="es-ES_tradnl"/>
        </w:rPr>
      </w:pPr>
    </w:p>
    <w:p w:rsidR="00075AC8" w:rsidRPr="00752B0D" w:rsidRDefault="00075AC8" w:rsidP="00075AC8">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52B0D">
        <w:rPr>
          <w:rFonts w:eastAsia="Times New Roman"/>
          <w:lang w:val="es-ES_tradnl"/>
        </w:rPr>
        <w:t xml:space="preserve"> </w:t>
      </w:r>
      <w:r w:rsidRPr="00752B0D">
        <w:rPr>
          <w:rFonts w:asciiTheme="minorHAnsi" w:eastAsia="Times New Roman" w:hAnsiTheme="minorHAnsi"/>
          <w:lang w:val="es-ES_tradnl"/>
        </w:rPr>
        <w:t>ITU 2014</w:t>
      </w:r>
    </w:p>
    <w:p w:rsidR="00344375" w:rsidRPr="00580132" w:rsidRDefault="00580132" w:rsidP="00580132">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580132" w:rsidRDefault="006570A8" w:rsidP="006570A8">
      <w:pPr>
        <w:rPr>
          <w:lang w:val="es-ES_tradnl"/>
        </w:rPr>
        <w:sectPr w:rsidR="006570A8" w:rsidRPr="00580132"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AD5D4C" w:rsidP="00D240F2">
      <w:pPr>
        <w:pStyle w:val="Chapttitle"/>
        <w:rPr>
          <w:lang w:val="en-GB"/>
        </w:rPr>
      </w:pPr>
      <w:bookmarkStart w:id="5" w:name="_Toc379198821"/>
      <w:bookmarkStart w:id="6" w:name="_Toc310148800"/>
      <w:bookmarkStart w:id="7" w:name="_Toc316562496"/>
      <w:bookmarkStart w:id="8" w:name="_Toc299639153"/>
      <w:r>
        <w:rPr>
          <w:lang w:val="en-GB"/>
        </w:rPr>
        <w:lastRenderedPageBreak/>
        <w:t>Índice</w:t>
      </w:r>
      <w:bookmarkEnd w:id="5"/>
    </w:p>
    <w:p w:rsidR="00D240F2" w:rsidRDefault="00D240F2" w:rsidP="00AD5D4C">
      <w:pPr>
        <w:pStyle w:val="Toc0"/>
        <w:tabs>
          <w:tab w:val="clear" w:pos="9071"/>
          <w:tab w:val="right" w:pos="9214"/>
        </w:tabs>
        <w:rPr>
          <w:lang w:val="en-GB"/>
        </w:rPr>
      </w:pPr>
      <w:r w:rsidRPr="00DD6562">
        <w:rPr>
          <w:lang w:val="en-GB"/>
        </w:rPr>
        <w:tab/>
        <w:t>P</w:t>
      </w:r>
      <w:r w:rsidR="00AD5D4C">
        <w:rPr>
          <w:lang w:val="en-GB"/>
        </w:rPr>
        <w:t>ágina</w:t>
      </w:r>
    </w:p>
    <w:p w:rsidR="00580132" w:rsidRDefault="00580132" w:rsidP="00580132">
      <w:pPr>
        <w:pStyle w:val="TOC1"/>
        <w:rPr>
          <w:rFonts w:asciiTheme="minorHAnsi" w:eastAsiaTheme="minorEastAsia" w:hAnsiTheme="minorHAnsi" w:cstheme="minorBidi"/>
          <w:b w:val="0"/>
          <w:bCs w:val="0"/>
          <w:sz w:val="22"/>
          <w:szCs w:val="22"/>
          <w:lang w:eastAsia="zh-CN"/>
        </w:rPr>
      </w:pPr>
      <w:r>
        <w:rPr>
          <w:b w:val="0"/>
          <w:bCs w:val="0"/>
          <w:lang w:val="en-GB" w:eastAsia="zh-CN"/>
        </w:rPr>
        <w:fldChar w:fldCharType="begin"/>
      </w:r>
      <w:r>
        <w:rPr>
          <w:b w:val="0"/>
          <w:bCs w:val="0"/>
          <w:lang w:val="en-GB" w:eastAsia="zh-CN"/>
        </w:rPr>
        <w:instrText xml:space="preserve"> TOC \o "1-3" \h \z \u </w:instrText>
      </w:r>
      <w:r>
        <w:rPr>
          <w:b w:val="0"/>
          <w:bCs w:val="0"/>
          <w:lang w:val="en-GB" w:eastAsia="zh-CN"/>
        </w:rPr>
        <w:fldChar w:fldCharType="separate"/>
      </w:r>
      <w:hyperlink w:anchor="_Toc379198822" w:history="1">
        <w:r w:rsidRPr="00241EBB">
          <w:rPr>
            <w:rStyle w:val="Hyperlink"/>
            <w:lang w:val="es-ES_tradnl"/>
          </w:rPr>
          <w:t>Cuestión 10-3/1</w:t>
        </w:r>
        <w:r>
          <w:rPr>
            <w:webHidden/>
          </w:rPr>
          <w:tab/>
        </w:r>
        <w:r>
          <w:rPr>
            <w:webHidden/>
          </w:rPr>
          <w:tab/>
        </w:r>
        <w:r>
          <w:rPr>
            <w:webHidden/>
          </w:rPr>
          <w:fldChar w:fldCharType="begin"/>
        </w:r>
        <w:r>
          <w:rPr>
            <w:webHidden/>
          </w:rPr>
          <w:instrText xml:space="preserve"> PAGEREF _Toc379198822 \h </w:instrText>
        </w:r>
        <w:r>
          <w:rPr>
            <w:webHidden/>
          </w:rPr>
        </w:r>
        <w:r>
          <w:rPr>
            <w:webHidden/>
          </w:rPr>
          <w:fldChar w:fldCharType="separate"/>
        </w:r>
        <w:r w:rsidR="009D3339">
          <w:rPr>
            <w:webHidden/>
          </w:rPr>
          <w:t>1</w:t>
        </w:r>
        <w:r>
          <w:rPr>
            <w:webHidden/>
          </w:rPr>
          <w:fldChar w:fldCharType="end"/>
        </w:r>
      </w:hyperlink>
    </w:p>
    <w:p w:rsidR="00580132" w:rsidRDefault="00AC27F2">
      <w:pPr>
        <w:pStyle w:val="TOC1"/>
        <w:rPr>
          <w:rFonts w:asciiTheme="minorHAnsi" w:eastAsiaTheme="minorEastAsia" w:hAnsiTheme="minorHAnsi" w:cstheme="minorBidi"/>
          <w:b w:val="0"/>
          <w:bCs w:val="0"/>
          <w:sz w:val="22"/>
          <w:szCs w:val="22"/>
          <w:lang w:eastAsia="zh-CN"/>
        </w:rPr>
      </w:pPr>
      <w:hyperlink w:anchor="_Toc379198823" w:history="1">
        <w:r w:rsidR="00580132" w:rsidRPr="00241EBB">
          <w:rPr>
            <w:rStyle w:val="Hyperlink"/>
            <w:lang w:val="es-ES_tradnl"/>
          </w:rPr>
          <w:t>1</w:t>
        </w:r>
        <w:r w:rsidR="00580132">
          <w:rPr>
            <w:rFonts w:asciiTheme="minorHAnsi" w:eastAsiaTheme="minorEastAsia" w:hAnsiTheme="minorHAnsi" w:cstheme="minorBidi"/>
            <w:b w:val="0"/>
            <w:bCs w:val="0"/>
            <w:sz w:val="22"/>
            <w:szCs w:val="22"/>
            <w:lang w:eastAsia="zh-CN"/>
          </w:rPr>
          <w:tab/>
        </w:r>
        <w:r w:rsidR="00580132" w:rsidRPr="00241EBB">
          <w:rPr>
            <w:rStyle w:val="Hyperlink"/>
            <w:lang w:val="es-ES_tradnl"/>
          </w:rPr>
          <w:t>Introducción</w:t>
        </w:r>
        <w:r w:rsidR="00580132">
          <w:rPr>
            <w:webHidden/>
          </w:rPr>
          <w:tab/>
        </w:r>
        <w:r w:rsidR="00580132">
          <w:rPr>
            <w:webHidden/>
          </w:rPr>
          <w:tab/>
        </w:r>
        <w:r w:rsidR="00580132">
          <w:rPr>
            <w:webHidden/>
          </w:rPr>
          <w:fldChar w:fldCharType="begin"/>
        </w:r>
        <w:r w:rsidR="00580132">
          <w:rPr>
            <w:webHidden/>
          </w:rPr>
          <w:instrText xml:space="preserve"> PAGEREF _Toc379198823 \h </w:instrText>
        </w:r>
        <w:r w:rsidR="00580132">
          <w:rPr>
            <w:webHidden/>
          </w:rPr>
        </w:r>
        <w:r w:rsidR="00580132">
          <w:rPr>
            <w:webHidden/>
          </w:rPr>
          <w:fldChar w:fldCharType="separate"/>
        </w:r>
        <w:r w:rsidR="009D3339">
          <w:rPr>
            <w:webHidden/>
          </w:rPr>
          <w:t>1</w:t>
        </w:r>
        <w:r w:rsidR="00580132">
          <w:rPr>
            <w:webHidden/>
          </w:rPr>
          <w:fldChar w:fldCharType="end"/>
        </w:r>
      </w:hyperlink>
    </w:p>
    <w:p w:rsidR="00580132" w:rsidRDefault="00AC27F2">
      <w:pPr>
        <w:pStyle w:val="TOC2"/>
        <w:rPr>
          <w:rFonts w:asciiTheme="minorHAnsi" w:eastAsiaTheme="minorEastAsia" w:hAnsiTheme="minorHAnsi" w:cstheme="minorBidi"/>
          <w:bCs w:val="0"/>
          <w:sz w:val="22"/>
          <w:szCs w:val="22"/>
          <w:lang w:val="en-US" w:eastAsia="zh-CN"/>
        </w:rPr>
      </w:pPr>
      <w:hyperlink w:anchor="_Toc379198824" w:history="1">
        <w:r w:rsidR="00580132" w:rsidRPr="00241EBB">
          <w:rPr>
            <w:rStyle w:val="Hyperlink"/>
            <w:lang w:val="es-ES_tradnl"/>
          </w:rPr>
          <w:t>1.1</w:t>
        </w:r>
        <w:r w:rsidR="00580132">
          <w:rPr>
            <w:rFonts w:asciiTheme="minorHAnsi" w:eastAsiaTheme="minorEastAsia" w:hAnsiTheme="minorHAnsi" w:cstheme="minorBidi"/>
            <w:bCs w:val="0"/>
            <w:sz w:val="22"/>
            <w:szCs w:val="22"/>
            <w:lang w:val="en-US" w:eastAsia="zh-CN"/>
          </w:rPr>
          <w:tab/>
        </w:r>
        <w:r w:rsidR="00580132" w:rsidRPr="00241EBB">
          <w:rPr>
            <w:rStyle w:val="Hyperlink"/>
            <w:lang w:val="es-ES_tradnl"/>
          </w:rPr>
          <w:t>Objetivos de la Cuestión</w:t>
        </w:r>
        <w:r w:rsidR="00580132">
          <w:rPr>
            <w:webHidden/>
          </w:rPr>
          <w:tab/>
        </w:r>
        <w:r w:rsidR="00580132">
          <w:rPr>
            <w:webHidden/>
          </w:rPr>
          <w:tab/>
        </w:r>
        <w:r w:rsidR="00580132">
          <w:rPr>
            <w:webHidden/>
          </w:rPr>
          <w:fldChar w:fldCharType="begin"/>
        </w:r>
        <w:r w:rsidR="00580132">
          <w:rPr>
            <w:webHidden/>
          </w:rPr>
          <w:instrText xml:space="preserve"> PAGEREF _Toc379198824 \h </w:instrText>
        </w:r>
        <w:r w:rsidR="00580132">
          <w:rPr>
            <w:webHidden/>
          </w:rPr>
        </w:r>
        <w:r w:rsidR="00580132">
          <w:rPr>
            <w:webHidden/>
          </w:rPr>
          <w:fldChar w:fldCharType="separate"/>
        </w:r>
        <w:r w:rsidR="009D3339">
          <w:rPr>
            <w:webHidden/>
          </w:rPr>
          <w:t>1</w:t>
        </w:r>
        <w:r w:rsidR="00580132">
          <w:rPr>
            <w:webHidden/>
          </w:rPr>
          <w:fldChar w:fldCharType="end"/>
        </w:r>
      </w:hyperlink>
    </w:p>
    <w:p w:rsidR="00580132" w:rsidRDefault="00AC27F2">
      <w:pPr>
        <w:pStyle w:val="TOC2"/>
        <w:rPr>
          <w:rFonts w:asciiTheme="minorHAnsi" w:eastAsiaTheme="minorEastAsia" w:hAnsiTheme="minorHAnsi" w:cstheme="minorBidi"/>
          <w:bCs w:val="0"/>
          <w:sz w:val="22"/>
          <w:szCs w:val="22"/>
          <w:lang w:val="en-US" w:eastAsia="zh-CN"/>
        </w:rPr>
      </w:pPr>
      <w:hyperlink w:anchor="_Toc379198825" w:history="1">
        <w:r w:rsidR="00580132" w:rsidRPr="00241EBB">
          <w:rPr>
            <w:rStyle w:val="Hyperlink"/>
            <w:lang w:val="es-ES_tradnl"/>
          </w:rPr>
          <w:t>1.2</w:t>
        </w:r>
        <w:r w:rsidR="00580132">
          <w:rPr>
            <w:rFonts w:asciiTheme="minorHAnsi" w:eastAsiaTheme="minorEastAsia" w:hAnsiTheme="minorHAnsi" w:cstheme="minorBidi"/>
            <w:bCs w:val="0"/>
            <w:sz w:val="22"/>
            <w:szCs w:val="22"/>
            <w:lang w:val="en-US" w:eastAsia="zh-CN"/>
          </w:rPr>
          <w:tab/>
        </w:r>
        <w:r w:rsidR="00580132" w:rsidRPr="00241EBB">
          <w:rPr>
            <w:rStyle w:val="Hyperlink"/>
            <w:lang w:val="es-ES_tradnl"/>
          </w:rPr>
          <w:t>Resultados previstos del Estudio</w:t>
        </w:r>
        <w:r w:rsidR="00580132">
          <w:rPr>
            <w:webHidden/>
          </w:rPr>
          <w:tab/>
        </w:r>
        <w:r w:rsidR="00580132">
          <w:rPr>
            <w:webHidden/>
          </w:rPr>
          <w:tab/>
        </w:r>
        <w:r w:rsidR="00580132">
          <w:rPr>
            <w:webHidden/>
          </w:rPr>
          <w:fldChar w:fldCharType="begin"/>
        </w:r>
        <w:r w:rsidR="00580132">
          <w:rPr>
            <w:webHidden/>
          </w:rPr>
          <w:instrText xml:space="preserve"> PAGEREF _Toc379198825 \h </w:instrText>
        </w:r>
        <w:r w:rsidR="00580132">
          <w:rPr>
            <w:webHidden/>
          </w:rPr>
        </w:r>
        <w:r w:rsidR="00580132">
          <w:rPr>
            <w:webHidden/>
          </w:rPr>
          <w:fldChar w:fldCharType="separate"/>
        </w:r>
        <w:r w:rsidR="009D3339">
          <w:rPr>
            <w:webHidden/>
          </w:rPr>
          <w:t>1</w:t>
        </w:r>
        <w:r w:rsidR="00580132">
          <w:rPr>
            <w:webHidden/>
          </w:rPr>
          <w:fldChar w:fldCharType="end"/>
        </w:r>
      </w:hyperlink>
    </w:p>
    <w:p w:rsidR="00580132" w:rsidRDefault="00AC27F2">
      <w:pPr>
        <w:pStyle w:val="TOC2"/>
        <w:rPr>
          <w:rFonts w:asciiTheme="minorHAnsi" w:eastAsiaTheme="minorEastAsia" w:hAnsiTheme="minorHAnsi" w:cstheme="minorBidi"/>
          <w:bCs w:val="0"/>
          <w:sz w:val="22"/>
          <w:szCs w:val="22"/>
          <w:lang w:val="en-US" w:eastAsia="zh-CN"/>
        </w:rPr>
      </w:pPr>
      <w:hyperlink w:anchor="_Toc379198826" w:history="1">
        <w:r w:rsidR="00580132" w:rsidRPr="00241EBB">
          <w:rPr>
            <w:rStyle w:val="Hyperlink"/>
            <w:lang w:val="es-ES_tradnl"/>
          </w:rPr>
          <w:t>1.3</w:t>
        </w:r>
        <w:r w:rsidR="00580132">
          <w:rPr>
            <w:rFonts w:asciiTheme="minorHAnsi" w:eastAsiaTheme="minorEastAsia" w:hAnsiTheme="minorHAnsi" w:cstheme="minorBidi"/>
            <w:bCs w:val="0"/>
            <w:sz w:val="22"/>
            <w:szCs w:val="22"/>
            <w:lang w:val="en-US" w:eastAsia="zh-CN"/>
          </w:rPr>
          <w:tab/>
        </w:r>
        <w:r w:rsidR="00580132" w:rsidRPr="00241EBB">
          <w:rPr>
            <w:rStyle w:val="Hyperlink"/>
            <w:lang w:val="es-ES_tradnl"/>
          </w:rPr>
          <w:t>Metodología</w:t>
        </w:r>
        <w:r w:rsidR="00580132">
          <w:rPr>
            <w:webHidden/>
          </w:rPr>
          <w:tab/>
        </w:r>
        <w:r w:rsidR="00580132">
          <w:rPr>
            <w:webHidden/>
          </w:rPr>
          <w:tab/>
        </w:r>
        <w:r w:rsidR="00580132">
          <w:rPr>
            <w:webHidden/>
          </w:rPr>
          <w:fldChar w:fldCharType="begin"/>
        </w:r>
        <w:r w:rsidR="00580132">
          <w:rPr>
            <w:webHidden/>
          </w:rPr>
          <w:instrText xml:space="preserve"> PAGEREF _Toc379198826 \h </w:instrText>
        </w:r>
        <w:r w:rsidR="00580132">
          <w:rPr>
            <w:webHidden/>
          </w:rPr>
        </w:r>
        <w:r w:rsidR="00580132">
          <w:rPr>
            <w:webHidden/>
          </w:rPr>
          <w:fldChar w:fldCharType="separate"/>
        </w:r>
        <w:r w:rsidR="009D3339">
          <w:rPr>
            <w:webHidden/>
          </w:rPr>
          <w:t>2</w:t>
        </w:r>
        <w:r w:rsidR="00580132">
          <w:rPr>
            <w:webHidden/>
          </w:rPr>
          <w:fldChar w:fldCharType="end"/>
        </w:r>
      </w:hyperlink>
    </w:p>
    <w:p w:rsidR="00580132" w:rsidRDefault="00AC27F2" w:rsidP="00580132">
      <w:pPr>
        <w:pStyle w:val="TOC1"/>
        <w:ind w:left="567" w:hanging="567"/>
        <w:rPr>
          <w:rFonts w:asciiTheme="minorHAnsi" w:eastAsiaTheme="minorEastAsia" w:hAnsiTheme="minorHAnsi" w:cstheme="minorBidi"/>
          <w:b w:val="0"/>
          <w:bCs w:val="0"/>
          <w:sz w:val="22"/>
          <w:szCs w:val="22"/>
          <w:lang w:eastAsia="zh-CN"/>
        </w:rPr>
      </w:pPr>
      <w:hyperlink w:anchor="_Toc379198827" w:history="1">
        <w:r w:rsidR="00580132" w:rsidRPr="00241EBB">
          <w:rPr>
            <w:rStyle w:val="Hyperlink"/>
            <w:lang w:val="es-ES_tradnl"/>
          </w:rPr>
          <w:t>2</w:t>
        </w:r>
        <w:r w:rsidR="00580132">
          <w:rPr>
            <w:rFonts w:asciiTheme="minorHAnsi" w:eastAsiaTheme="minorEastAsia" w:hAnsiTheme="minorHAnsi" w:cstheme="minorBidi"/>
            <w:b w:val="0"/>
            <w:bCs w:val="0"/>
            <w:sz w:val="22"/>
            <w:szCs w:val="22"/>
            <w:lang w:eastAsia="zh-CN"/>
          </w:rPr>
          <w:tab/>
        </w:r>
        <w:r w:rsidR="00580132" w:rsidRPr="00241EBB">
          <w:rPr>
            <w:rStyle w:val="Hyperlink"/>
            <w:lang w:val="es-ES_tradnl"/>
          </w:rPr>
          <w:t xml:space="preserve">Panorama general de diferentes marcos jurídicos y reglamentarios en un entorno </w:t>
        </w:r>
        <w:r w:rsidR="00580132">
          <w:rPr>
            <w:rStyle w:val="Hyperlink"/>
            <w:lang w:val="es-ES_tradnl"/>
          </w:rPr>
          <w:br/>
        </w:r>
        <w:r w:rsidR="00580132" w:rsidRPr="00241EBB">
          <w:rPr>
            <w:rStyle w:val="Hyperlink"/>
            <w:lang w:val="es-ES_tradnl"/>
          </w:rPr>
          <w:t>competitivo convergente</w:t>
        </w:r>
        <w:r w:rsidR="00580132">
          <w:rPr>
            <w:webHidden/>
          </w:rPr>
          <w:tab/>
        </w:r>
        <w:r w:rsidR="00580132">
          <w:rPr>
            <w:webHidden/>
          </w:rPr>
          <w:tab/>
        </w:r>
        <w:r w:rsidR="00580132">
          <w:rPr>
            <w:webHidden/>
          </w:rPr>
          <w:fldChar w:fldCharType="begin"/>
        </w:r>
        <w:r w:rsidR="00580132">
          <w:rPr>
            <w:webHidden/>
          </w:rPr>
          <w:instrText xml:space="preserve"> PAGEREF _Toc379198827 \h </w:instrText>
        </w:r>
        <w:r w:rsidR="00580132">
          <w:rPr>
            <w:webHidden/>
          </w:rPr>
        </w:r>
        <w:r w:rsidR="00580132">
          <w:rPr>
            <w:webHidden/>
          </w:rPr>
          <w:fldChar w:fldCharType="separate"/>
        </w:r>
        <w:r w:rsidR="009D3339">
          <w:rPr>
            <w:webHidden/>
          </w:rPr>
          <w:t>2</w:t>
        </w:r>
        <w:r w:rsidR="00580132">
          <w:rPr>
            <w:webHidden/>
          </w:rPr>
          <w:fldChar w:fldCharType="end"/>
        </w:r>
      </w:hyperlink>
    </w:p>
    <w:p w:rsidR="00580132" w:rsidRDefault="00AC27F2">
      <w:pPr>
        <w:pStyle w:val="TOC2"/>
        <w:rPr>
          <w:rFonts w:asciiTheme="minorHAnsi" w:eastAsiaTheme="minorEastAsia" w:hAnsiTheme="minorHAnsi" w:cstheme="minorBidi"/>
          <w:bCs w:val="0"/>
          <w:sz w:val="22"/>
          <w:szCs w:val="22"/>
          <w:lang w:val="en-US" w:eastAsia="zh-CN"/>
        </w:rPr>
      </w:pPr>
      <w:hyperlink w:anchor="_Toc379198828" w:history="1">
        <w:r w:rsidR="00580132" w:rsidRPr="00241EBB">
          <w:rPr>
            <w:rStyle w:val="Hyperlink"/>
            <w:lang w:val="es-ES_tradnl"/>
          </w:rPr>
          <w:t>2.1</w:t>
        </w:r>
        <w:r w:rsidR="00580132">
          <w:rPr>
            <w:rFonts w:asciiTheme="minorHAnsi" w:eastAsiaTheme="minorEastAsia" w:hAnsiTheme="minorHAnsi" w:cstheme="minorBidi"/>
            <w:bCs w:val="0"/>
            <w:sz w:val="22"/>
            <w:szCs w:val="22"/>
            <w:lang w:val="en-US" w:eastAsia="zh-CN"/>
          </w:rPr>
          <w:tab/>
        </w:r>
        <w:r w:rsidR="00580132" w:rsidRPr="00241EBB">
          <w:rPr>
            <w:rStyle w:val="Hyperlink"/>
            <w:lang w:val="es-ES_tradnl"/>
          </w:rPr>
          <w:t>Marcos jurídicos sobre competencia en determinados países</w:t>
        </w:r>
        <w:r w:rsidR="00580132">
          <w:rPr>
            <w:webHidden/>
          </w:rPr>
          <w:tab/>
        </w:r>
        <w:r w:rsidR="00580132">
          <w:rPr>
            <w:webHidden/>
          </w:rPr>
          <w:tab/>
        </w:r>
        <w:r w:rsidR="00580132">
          <w:rPr>
            <w:webHidden/>
          </w:rPr>
          <w:fldChar w:fldCharType="begin"/>
        </w:r>
        <w:r w:rsidR="00580132">
          <w:rPr>
            <w:webHidden/>
          </w:rPr>
          <w:instrText xml:space="preserve"> PAGEREF _Toc379198828 \h </w:instrText>
        </w:r>
        <w:r w:rsidR="00580132">
          <w:rPr>
            <w:webHidden/>
          </w:rPr>
        </w:r>
        <w:r w:rsidR="00580132">
          <w:rPr>
            <w:webHidden/>
          </w:rPr>
          <w:fldChar w:fldCharType="separate"/>
        </w:r>
        <w:r w:rsidR="009D3339">
          <w:rPr>
            <w:webHidden/>
          </w:rPr>
          <w:t>2</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29" w:history="1">
        <w:r w:rsidR="00580132" w:rsidRPr="00241EBB">
          <w:rPr>
            <w:rStyle w:val="Hyperlink"/>
            <w:lang w:val="es-ES_tradnl"/>
          </w:rPr>
          <w:t>2.1.1</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lang w:val="es-ES_tradnl"/>
          </w:rPr>
          <w:t>Australia</w:t>
        </w:r>
        <w:r w:rsidR="00580132">
          <w:rPr>
            <w:webHidden/>
          </w:rPr>
          <w:tab/>
        </w:r>
        <w:r w:rsidR="00580132">
          <w:rPr>
            <w:webHidden/>
          </w:rPr>
          <w:tab/>
        </w:r>
        <w:r w:rsidR="00580132">
          <w:rPr>
            <w:webHidden/>
          </w:rPr>
          <w:fldChar w:fldCharType="begin"/>
        </w:r>
        <w:r w:rsidR="00580132">
          <w:rPr>
            <w:webHidden/>
          </w:rPr>
          <w:instrText xml:space="preserve"> PAGEREF _Toc379198829 \h </w:instrText>
        </w:r>
        <w:r w:rsidR="00580132">
          <w:rPr>
            <w:webHidden/>
          </w:rPr>
        </w:r>
        <w:r w:rsidR="00580132">
          <w:rPr>
            <w:webHidden/>
          </w:rPr>
          <w:fldChar w:fldCharType="separate"/>
        </w:r>
        <w:r w:rsidR="009D3339">
          <w:rPr>
            <w:webHidden/>
          </w:rPr>
          <w:t>3</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30" w:history="1">
        <w:r w:rsidR="00580132" w:rsidRPr="00241EBB">
          <w:rPr>
            <w:rStyle w:val="Hyperlink"/>
            <w:lang w:val="es-ES_tradnl" w:eastAsia="en-US"/>
          </w:rPr>
          <w:t>2.1.2</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lang w:val="es-ES_tradnl" w:eastAsia="en-US"/>
          </w:rPr>
          <w:t>República de Corea</w:t>
        </w:r>
        <w:r w:rsidR="00580132">
          <w:rPr>
            <w:webHidden/>
          </w:rPr>
          <w:tab/>
        </w:r>
        <w:r w:rsidR="00580132">
          <w:rPr>
            <w:webHidden/>
          </w:rPr>
          <w:tab/>
        </w:r>
        <w:r w:rsidR="00580132">
          <w:rPr>
            <w:webHidden/>
          </w:rPr>
          <w:fldChar w:fldCharType="begin"/>
        </w:r>
        <w:r w:rsidR="00580132">
          <w:rPr>
            <w:webHidden/>
          </w:rPr>
          <w:instrText xml:space="preserve"> PAGEREF _Toc379198830 \h </w:instrText>
        </w:r>
        <w:r w:rsidR="00580132">
          <w:rPr>
            <w:webHidden/>
          </w:rPr>
        </w:r>
        <w:r w:rsidR="00580132">
          <w:rPr>
            <w:webHidden/>
          </w:rPr>
          <w:fldChar w:fldCharType="separate"/>
        </w:r>
        <w:r w:rsidR="009D3339">
          <w:rPr>
            <w:webHidden/>
          </w:rPr>
          <w:t>3</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31" w:history="1">
        <w:r w:rsidR="00580132" w:rsidRPr="00241EBB">
          <w:rPr>
            <w:rStyle w:val="Hyperlink"/>
            <w:lang w:val="es-ES_tradnl" w:eastAsia="en-US"/>
          </w:rPr>
          <w:t>2.1.3</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lang w:val="es-ES_tradnl" w:eastAsia="en-US"/>
          </w:rPr>
          <w:t>Tanzanía</w:t>
        </w:r>
        <w:r w:rsidR="00580132">
          <w:rPr>
            <w:webHidden/>
          </w:rPr>
          <w:tab/>
        </w:r>
        <w:r w:rsidR="00580132">
          <w:rPr>
            <w:webHidden/>
          </w:rPr>
          <w:tab/>
        </w:r>
        <w:r w:rsidR="00580132">
          <w:rPr>
            <w:webHidden/>
          </w:rPr>
          <w:fldChar w:fldCharType="begin"/>
        </w:r>
        <w:r w:rsidR="00580132">
          <w:rPr>
            <w:webHidden/>
          </w:rPr>
          <w:instrText xml:space="preserve"> PAGEREF _Toc379198831 \h </w:instrText>
        </w:r>
        <w:r w:rsidR="00580132">
          <w:rPr>
            <w:webHidden/>
          </w:rPr>
        </w:r>
        <w:r w:rsidR="00580132">
          <w:rPr>
            <w:webHidden/>
          </w:rPr>
          <w:fldChar w:fldCharType="separate"/>
        </w:r>
        <w:r w:rsidR="009D3339">
          <w:rPr>
            <w:webHidden/>
          </w:rPr>
          <w:t>3</w:t>
        </w:r>
        <w:r w:rsidR="00580132">
          <w:rPr>
            <w:webHidden/>
          </w:rPr>
          <w:fldChar w:fldCharType="end"/>
        </w:r>
      </w:hyperlink>
    </w:p>
    <w:p w:rsidR="00580132" w:rsidRDefault="00AC27F2">
      <w:pPr>
        <w:pStyle w:val="TOC2"/>
        <w:rPr>
          <w:rFonts w:asciiTheme="minorHAnsi" w:eastAsiaTheme="minorEastAsia" w:hAnsiTheme="minorHAnsi" w:cstheme="minorBidi"/>
          <w:bCs w:val="0"/>
          <w:sz w:val="22"/>
          <w:szCs w:val="22"/>
          <w:lang w:val="en-US" w:eastAsia="zh-CN"/>
        </w:rPr>
      </w:pPr>
      <w:hyperlink w:anchor="_Toc379198832" w:history="1">
        <w:r w:rsidR="00580132" w:rsidRPr="00241EBB">
          <w:rPr>
            <w:rStyle w:val="Hyperlink"/>
            <w:lang w:val="es-ES_tradnl"/>
          </w:rPr>
          <w:t>2.2</w:t>
        </w:r>
        <w:r w:rsidR="00580132">
          <w:rPr>
            <w:rFonts w:asciiTheme="minorHAnsi" w:eastAsiaTheme="minorEastAsia" w:hAnsiTheme="minorHAnsi" w:cstheme="minorBidi"/>
            <w:bCs w:val="0"/>
            <w:sz w:val="22"/>
            <w:szCs w:val="22"/>
            <w:lang w:val="en-US" w:eastAsia="zh-CN"/>
          </w:rPr>
          <w:tab/>
        </w:r>
        <w:r w:rsidR="00580132" w:rsidRPr="00241EBB">
          <w:rPr>
            <w:rStyle w:val="Hyperlink"/>
            <w:lang w:val="es-ES_tradnl"/>
          </w:rPr>
          <w:t>Marcos reglamentarios sobre cuestiones relativas a la competencia</w:t>
        </w:r>
        <w:r w:rsidR="00580132">
          <w:rPr>
            <w:webHidden/>
          </w:rPr>
          <w:tab/>
        </w:r>
        <w:r w:rsidR="00580132">
          <w:rPr>
            <w:webHidden/>
          </w:rPr>
          <w:tab/>
        </w:r>
        <w:r w:rsidR="00580132">
          <w:rPr>
            <w:webHidden/>
          </w:rPr>
          <w:fldChar w:fldCharType="begin"/>
        </w:r>
        <w:r w:rsidR="00580132">
          <w:rPr>
            <w:webHidden/>
          </w:rPr>
          <w:instrText xml:space="preserve"> PAGEREF _Toc379198832 \h </w:instrText>
        </w:r>
        <w:r w:rsidR="00580132">
          <w:rPr>
            <w:webHidden/>
          </w:rPr>
        </w:r>
        <w:r w:rsidR="00580132">
          <w:rPr>
            <w:webHidden/>
          </w:rPr>
          <w:fldChar w:fldCharType="separate"/>
        </w:r>
        <w:r w:rsidR="009D3339">
          <w:rPr>
            <w:webHidden/>
          </w:rPr>
          <w:t>4</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33" w:history="1">
        <w:r w:rsidR="00580132" w:rsidRPr="00241EBB">
          <w:rPr>
            <w:rStyle w:val="Hyperlink"/>
            <w:lang w:val="es-ES_tradnl"/>
          </w:rPr>
          <w:t>2.2.1</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lang w:val="es-ES_tradnl"/>
          </w:rPr>
          <w:t>Análisis de mercado para determinar los mercados pertinentes</w:t>
        </w:r>
        <w:r w:rsidR="00580132">
          <w:rPr>
            <w:webHidden/>
          </w:rPr>
          <w:tab/>
        </w:r>
        <w:r w:rsidR="00580132">
          <w:rPr>
            <w:webHidden/>
          </w:rPr>
          <w:tab/>
        </w:r>
        <w:r w:rsidR="00580132">
          <w:rPr>
            <w:webHidden/>
          </w:rPr>
          <w:fldChar w:fldCharType="begin"/>
        </w:r>
        <w:r w:rsidR="00580132">
          <w:rPr>
            <w:webHidden/>
          </w:rPr>
          <w:instrText xml:space="preserve"> PAGEREF _Toc379198833 \h </w:instrText>
        </w:r>
        <w:r w:rsidR="00580132">
          <w:rPr>
            <w:webHidden/>
          </w:rPr>
        </w:r>
        <w:r w:rsidR="00580132">
          <w:rPr>
            <w:webHidden/>
          </w:rPr>
          <w:fldChar w:fldCharType="separate"/>
        </w:r>
        <w:r w:rsidR="009D3339">
          <w:rPr>
            <w:webHidden/>
          </w:rPr>
          <w:t>4</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34" w:history="1">
        <w:r w:rsidR="00580132" w:rsidRPr="00241EBB">
          <w:rPr>
            <w:rStyle w:val="Hyperlink"/>
            <w:lang w:val="es-ES_tradnl"/>
          </w:rPr>
          <w:t>2.2.2</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lang w:val="es-ES_tradnl"/>
          </w:rPr>
          <w:t>Definición de operador dominante</w:t>
        </w:r>
        <w:r w:rsidR="00580132">
          <w:rPr>
            <w:webHidden/>
          </w:rPr>
          <w:tab/>
        </w:r>
        <w:r w:rsidR="00580132">
          <w:rPr>
            <w:webHidden/>
          </w:rPr>
          <w:tab/>
        </w:r>
        <w:r w:rsidR="00580132">
          <w:rPr>
            <w:webHidden/>
          </w:rPr>
          <w:fldChar w:fldCharType="begin"/>
        </w:r>
        <w:r w:rsidR="00580132">
          <w:rPr>
            <w:webHidden/>
          </w:rPr>
          <w:instrText xml:space="preserve"> PAGEREF _Toc379198834 \h </w:instrText>
        </w:r>
        <w:r w:rsidR="00580132">
          <w:rPr>
            <w:webHidden/>
          </w:rPr>
        </w:r>
        <w:r w:rsidR="00580132">
          <w:rPr>
            <w:webHidden/>
          </w:rPr>
          <w:fldChar w:fldCharType="separate"/>
        </w:r>
        <w:r w:rsidR="009D3339">
          <w:rPr>
            <w:webHidden/>
          </w:rPr>
          <w:t>5</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35" w:history="1">
        <w:r w:rsidR="00580132" w:rsidRPr="00241EBB">
          <w:rPr>
            <w:rStyle w:val="Hyperlink"/>
          </w:rPr>
          <w:t>2.2.3</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rPr>
          <w:t>Definición del mercado</w:t>
        </w:r>
        <w:r w:rsidR="00580132">
          <w:rPr>
            <w:webHidden/>
          </w:rPr>
          <w:tab/>
        </w:r>
        <w:r w:rsidR="00580132">
          <w:rPr>
            <w:webHidden/>
          </w:rPr>
          <w:tab/>
        </w:r>
        <w:r w:rsidR="00580132">
          <w:rPr>
            <w:webHidden/>
          </w:rPr>
          <w:fldChar w:fldCharType="begin"/>
        </w:r>
        <w:r w:rsidR="00580132">
          <w:rPr>
            <w:webHidden/>
          </w:rPr>
          <w:instrText xml:space="preserve"> PAGEREF _Toc379198835 \h </w:instrText>
        </w:r>
        <w:r w:rsidR="00580132">
          <w:rPr>
            <w:webHidden/>
          </w:rPr>
        </w:r>
        <w:r w:rsidR="00580132">
          <w:rPr>
            <w:webHidden/>
          </w:rPr>
          <w:fldChar w:fldCharType="separate"/>
        </w:r>
        <w:r w:rsidR="009D3339">
          <w:rPr>
            <w:webHidden/>
          </w:rPr>
          <w:t>7</w:t>
        </w:r>
        <w:r w:rsidR="00580132">
          <w:rPr>
            <w:webHidden/>
          </w:rPr>
          <w:fldChar w:fldCharType="end"/>
        </w:r>
      </w:hyperlink>
    </w:p>
    <w:p w:rsidR="00580132" w:rsidRDefault="00AC27F2" w:rsidP="00580132">
      <w:pPr>
        <w:pStyle w:val="TOC1"/>
        <w:ind w:left="567" w:hanging="567"/>
        <w:rPr>
          <w:rFonts w:asciiTheme="minorHAnsi" w:eastAsiaTheme="minorEastAsia" w:hAnsiTheme="minorHAnsi" w:cstheme="minorBidi"/>
          <w:b w:val="0"/>
          <w:bCs w:val="0"/>
          <w:sz w:val="22"/>
          <w:szCs w:val="22"/>
          <w:lang w:eastAsia="zh-CN"/>
        </w:rPr>
      </w:pPr>
      <w:hyperlink w:anchor="_Toc379198836" w:history="1">
        <w:r w:rsidR="00580132" w:rsidRPr="00241EBB">
          <w:rPr>
            <w:rStyle w:val="Hyperlink"/>
            <w:lang w:val="es-ES_tradnl" w:eastAsia="en-US"/>
          </w:rPr>
          <w:t>3</w:t>
        </w:r>
        <w:r w:rsidR="00580132">
          <w:rPr>
            <w:rFonts w:asciiTheme="minorHAnsi" w:eastAsiaTheme="minorEastAsia" w:hAnsiTheme="minorHAnsi" w:cstheme="minorBidi"/>
            <w:b w:val="0"/>
            <w:bCs w:val="0"/>
            <w:sz w:val="22"/>
            <w:szCs w:val="22"/>
            <w:lang w:eastAsia="zh-CN"/>
          </w:rPr>
          <w:tab/>
        </w:r>
        <w:r w:rsidR="00580132" w:rsidRPr="00241EBB">
          <w:rPr>
            <w:rStyle w:val="Hyperlink"/>
          </w:rPr>
          <w:t>Efectos</w:t>
        </w:r>
        <w:r w:rsidR="00580132" w:rsidRPr="00241EBB">
          <w:rPr>
            <w:rStyle w:val="Hyperlink"/>
            <w:lang w:val="es-ES_tradnl" w:eastAsia="en-US"/>
          </w:rPr>
          <w:t xml:space="preserve"> del régimen de licencias y de autorizaciones en la competencia en un entorno convergente</w:t>
        </w:r>
        <w:r w:rsidR="00580132">
          <w:rPr>
            <w:webHidden/>
          </w:rPr>
          <w:tab/>
        </w:r>
        <w:r w:rsidR="00580132">
          <w:rPr>
            <w:webHidden/>
          </w:rPr>
          <w:tab/>
        </w:r>
        <w:r w:rsidR="00580132">
          <w:rPr>
            <w:webHidden/>
          </w:rPr>
          <w:fldChar w:fldCharType="begin"/>
        </w:r>
        <w:r w:rsidR="00580132">
          <w:rPr>
            <w:webHidden/>
          </w:rPr>
          <w:instrText xml:space="preserve"> PAGEREF _Toc379198836 \h </w:instrText>
        </w:r>
        <w:r w:rsidR="00580132">
          <w:rPr>
            <w:webHidden/>
          </w:rPr>
        </w:r>
        <w:r w:rsidR="00580132">
          <w:rPr>
            <w:webHidden/>
          </w:rPr>
          <w:fldChar w:fldCharType="separate"/>
        </w:r>
        <w:r w:rsidR="009D3339">
          <w:rPr>
            <w:webHidden/>
          </w:rPr>
          <w:t>8</w:t>
        </w:r>
        <w:r w:rsidR="00580132">
          <w:rPr>
            <w:webHidden/>
          </w:rPr>
          <w:fldChar w:fldCharType="end"/>
        </w:r>
      </w:hyperlink>
    </w:p>
    <w:p w:rsidR="00580132" w:rsidRDefault="00AC27F2">
      <w:pPr>
        <w:pStyle w:val="TOC2"/>
        <w:rPr>
          <w:rFonts w:asciiTheme="minorHAnsi" w:eastAsiaTheme="minorEastAsia" w:hAnsiTheme="minorHAnsi" w:cstheme="minorBidi"/>
          <w:bCs w:val="0"/>
          <w:sz w:val="22"/>
          <w:szCs w:val="22"/>
          <w:lang w:val="en-US" w:eastAsia="zh-CN"/>
        </w:rPr>
      </w:pPr>
      <w:hyperlink w:anchor="_Toc379198837" w:history="1">
        <w:r w:rsidR="00580132" w:rsidRPr="00241EBB">
          <w:rPr>
            <w:rStyle w:val="Hyperlink"/>
          </w:rPr>
          <w:t>3.1</w:t>
        </w:r>
        <w:r w:rsidR="00580132">
          <w:rPr>
            <w:rFonts w:asciiTheme="minorHAnsi" w:eastAsiaTheme="minorEastAsia" w:hAnsiTheme="minorHAnsi" w:cstheme="minorBidi"/>
            <w:bCs w:val="0"/>
            <w:sz w:val="22"/>
            <w:szCs w:val="22"/>
            <w:lang w:val="en-US" w:eastAsia="zh-CN"/>
          </w:rPr>
          <w:tab/>
        </w:r>
        <w:r w:rsidR="00580132" w:rsidRPr="00241EBB">
          <w:rPr>
            <w:rStyle w:val="Hyperlink"/>
          </w:rPr>
          <w:t>Grado de competencia en el sector</w:t>
        </w:r>
        <w:r w:rsidR="00580132">
          <w:rPr>
            <w:webHidden/>
          </w:rPr>
          <w:tab/>
        </w:r>
        <w:r w:rsidR="00580132">
          <w:rPr>
            <w:webHidden/>
          </w:rPr>
          <w:tab/>
        </w:r>
        <w:r w:rsidR="00580132">
          <w:rPr>
            <w:webHidden/>
          </w:rPr>
          <w:fldChar w:fldCharType="begin"/>
        </w:r>
        <w:r w:rsidR="00580132">
          <w:rPr>
            <w:webHidden/>
          </w:rPr>
          <w:instrText xml:space="preserve"> PAGEREF _Toc379198837 \h </w:instrText>
        </w:r>
        <w:r w:rsidR="00580132">
          <w:rPr>
            <w:webHidden/>
          </w:rPr>
        </w:r>
        <w:r w:rsidR="00580132">
          <w:rPr>
            <w:webHidden/>
          </w:rPr>
          <w:fldChar w:fldCharType="separate"/>
        </w:r>
        <w:r w:rsidR="009D3339">
          <w:rPr>
            <w:webHidden/>
          </w:rPr>
          <w:t>9</w:t>
        </w:r>
        <w:r w:rsidR="00580132">
          <w:rPr>
            <w:webHidden/>
          </w:rPr>
          <w:fldChar w:fldCharType="end"/>
        </w:r>
      </w:hyperlink>
    </w:p>
    <w:p w:rsidR="00580132" w:rsidRDefault="00AC27F2">
      <w:pPr>
        <w:pStyle w:val="TOC2"/>
        <w:rPr>
          <w:rFonts w:asciiTheme="minorHAnsi" w:eastAsiaTheme="minorEastAsia" w:hAnsiTheme="minorHAnsi" w:cstheme="minorBidi"/>
          <w:bCs w:val="0"/>
          <w:sz w:val="22"/>
          <w:szCs w:val="22"/>
          <w:lang w:val="en-US" w:eastAsia="zh-CN"/>
        </w:rPr>
      </w:pPr>
      <w:hyperlink w:anchor="_Toc379198838" w:history="1">
        <w:r w:rsidR="00580132" w:rsidRPr="00241EBB">
          <w:rPr>
            <w:rStyle w:val="Hyperlink"/>
            <w:lang w:val="es-ES_tradnl" w:eastAsia="en-US"/>
          </w:rPr>
          <w:t>3.2</w:t>
        </w:r>
        <w:r w:rsidR="00580132">
          <w:rPr>
            <w:rFonts w:asciiTheme="minorHAnsi" w:eastAsiaTheme="minorEastAsia" w:hAnsiTheme="minorHAnsi" w:cstheme="minorBidi"/>
            <w:bCs w:val="0"/>
            <w:sz w:val="22"/>
            <w:szCs w:val="22"/>
            <w:lang w:val="en-US" w:eastAsia="zh-CN"/>
          </w:rPr>
          <w:tab/>
        </w:r>
        <w:r w:rsidR="00580132" w:rsidRPr="00241EBB">
          <w:rPr>
            <w:rStyle w:val="Hyperlink"/>
            <w:lang w:val="es-ES_tradnl" w:eastAsia="en-US"/>
          </w:rPr>
          <w:t>Número de agentes de mercado</w:t>
        </w:r>
        <w:r w:rsidR="00580132">
          <w:rPr>
            <w:webHidden/>
          </w:rPr>
          <w:tab/>
        </w:r>
        <w:r w:rsidR="00580132">
          <w:rPr>
            <w:webHidden/>
          </w:rPr>
          <w:tab/>
        </w:r>
        <w:r w:rsidR="00580132">
          <w:rPr>
            <w:webHidden/>
          </w:rPr>
          <w:fldChar w:fldCharType="begin"/>
        </w:r>
        <w:r w:rsidR="00580132">
          <w:rPr>
            <w:webHidden/>
          </w:rPr>
          <w:instrText xml:space="preserve"> PAGEREF _Toc379198838 \h </w:instrText>
        </w:r>
        <w:r w:rsidR="00580132">
          <w:rPr>
            <w:webHidden/>
          </w:rPr>
        </w:r>
        <w:r w:rsidR="00580132">
          <w:rPr>
            <w:webHidden/>
          </w:rPr>
          <w:fldChar w:fldCharType="separate"/>
        </w:r>
        <w:r w:rsidR="009D3339">
          <w:rPr>
            <w:webHidden/>
          </w:rPr>
          <w:t>10</w:t>
        </w:r>
        <w:r w:rsidR="00580132">
          <w:rPr>
            <w:webHidden/>
          </w:rPr>
          <w:fldChar w:fldCharType="end"/>
        </w:r>
      </w:hyperlink>
    </w:p>
    <w:p w:rsidR="00580132" w:rsidRDefault="00AC27F2">
      <w:pPr>
        <w:pStyle w:val="TOC2"/>
        <w:rPr>
          <w:rFonts w:asciiTheme="minorHAnsi" w:eastAsiaTheme="minorEastAsia" w:hAnsiTheme="minorHAnsi" w:cstheme="minorBidi"/>
          <w:bCs w:val="0"/>
          <w:sz w:val="22"/>
          <w:szCs w:val="22"/>
          <w:lang w:val="en-US" w:eastAsia="zh-CN"/>
        </w:rPr>
      </w:pPr>
      <w:hyperlink w:anchor="_Toc379198839" w:history="1">
        <w:r w:rsidR="00580132" w:rsidRPr="00241EBB">
          <w:rPr>
            <w:rStyle w:val="Hyperlink"/>
            <w:lang w:val="es-ES_tradnl" w:eastAsia="en-US"/>
          </w:rPr>
          <w:t>3.3</w:t>
        </w:r>
        <w:r w:rsidR="00580132">
          <w:rPr>
            <w:rFonts w:asciiTheme="minorHAnsi" w:eastAsiaTheme="minorEastAsia" w:hAnsiTheme="minorHAnsi" w:cstheme="minorBidi"/>
            <w:bCs w:val="0"/>
            <w:sz w:val="22"/>
            <w:szCs w:val="22"/>
            <w:lang w:val="en-US" w:eastAsia="zh-CN"/>
          </w:rPr>
          <w:tab/>
        </w:r>
        <w:r w:rsidR="00580132" w:rsidRPr="00241EBB">
          <w:rPr>
            <w:rStyle w:val="Hyperlink"/>
            <w:lang w:val="es-ES_tradnl" w:eastAsia="en-US"/>
          </w:rPr>
          <w:t>Tasas de penetración de los servicios TIC</w:t>
        </w:r>
        <w:r w:rsidR="00580132">
          <w:rPr>
            <w:webHidden/>
          </w:rPr>
          <w:tab/>
        </w:r>
        <w:r w:rsidR="00580132">
          <w:rPr>
            <w:webHidden/>
          </w:rPr>
          <w:tab/>
        </w:r>
        <w:r w:rsidR="00580132">
          <w:rPr>
            <w:webHidden/>
          </w:rPr>
          <w:fldChar w:fldCharType="begin"/>
        </w:r>
        <w:r w:rsidR="00580132">
          <w:rPr>
            <w:webHidden/>
          </w:rPr>
          <w:instrText xml:space="preserve"> PAGEREF _Toc379198839 \h </w:instrText>
        </w:r>
        <w:r w:rsidR="00580132">
          <w:rPr>
            <w:webHidden/>
          </w:rPr>
        </w:r>
        <w:r w:rsidR="00580132">
          <w:rPr>
            <w:webHidden/>
          </w:rPr>
          <w:fldChar w:fldCharType="separate"/>
        </w:r>
        <w:r w:rsidR="009D3339">
          <w:rPr>
            <w:webHidden/>
          </w:rPr>
          <w:t>11</w:t>
        </w:r>
        <w:r w:rsidR="00580132">
          <w:rPr>
            <w:webHidden/>
          </w:rPr>
          <w:fldChar w:fldCharType="end"/>
        </w:r>
      </w:hyperlink>
    </w:p>
    <w:p w:rsidR="00580132" w:rsidRDefault="00AC27F2">
      <w:pPr>
        <w:pStyle w:val="TOC2"/>
        <w:rPr>
          <w:rFonts w:asciiTheme="minorHAnsi" w:eastAsiaTheme="minorEastAsia" w:hAnsiTheme="minorHAnsi" w:cstheme="minorBidi"/>
          <w:bCs w:val="0"/>
          <w:sz w:val="22"/>
          <w:szCs w:val="22"/>
          <w:lang w:val="en-US" w:eastAsia="zh-CN"/>
        </w:rPr>
      </w:pPr>
      <w:hyperlink w:anchor="_Toc379198840" w:history="1">
        <w:r w:rsidR="00580132" w:rsidRPr="00241EBB">
          <w:rPr>
            <w:rStyle w:val="Hyperlink"/>
          </w:rPr>
          <w:t>3.4</w:t>
        </w:r>
        <w:r w:rsidR="00580132">
          <w:rPr>
            <w:rFonts w:asciiTheme="minorHAnsi" w:eastAsiaTheme="minorEastAsia" w:hAnsiTheme="minorHAnsi" w:cstheme="minorBidi"/>
            <w:bCs w:val="0"/>
            <w:sz w:val="22"/>
            <w:szCs w:val="22"/>
            <w:lang w:val="en-US" w:eastAsia="zh-CN"/>
          </w:rPr>
          <w:tab/>
        </w:r>
        <w:r w:rsidR="00580132" w:rsidRPr="00241EBB">
          <w:rPr>
            <w:rStyle w:val="Hyperlink"/>
          </w:rPr>
          <w:t>Compartición de infraestructura</w:t>
        </w:r>
        <w:r w:rsidR="00580132">
          <w:rPr>
            <w:webHidden/>
          </w:rPr>
          <w:tab/>
        </w:r>
        <w:r w:rsidR="00580132">
          <w:rPr>
            <w:webHidden/>
          </w:rPr>
          <w:tab/>
        </w:r>
        <w:r w:rsidR="00580132">
          <w:rPr>
            <w:webHidden/>
          </w:rPr>
          <w:fldChar w:fldCharType="begin"/>
        </w:r>
        <w:r w:rsidR="00580132">
          <w:rPr>
            <w:webHidden/>
          </w:rPr>
          <w:instrText xml:space="preserve"> PAGEREF _Toc379198840 \h </w:instrText>
        </w:r>
        <w:r w:rsidR="00580132">
          <w:rPr>
            <w:webHidden/>
          </w:rPr>
        </w:r>
        <w:r w:rsidR="00580132">
          <w:rPr>
            <w:webHidden/>
          </w:rPr>
          <w:fldChar w:fldCharType="separate"/>
        </w:r>
        <w:r w:rsidR="009D3339">
          <w:rPr>
            <w:webHidden/>
          </w:rPr>
          <w:t>12</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41" w:history="1">
        <w:r w:rsidR="00580132" w:rsidRPr="00241EBB">
          <w:rPr>
            <w:rStyle w:val="Hyperlink"/>
          </w:rPr>
          <w:t>3.4.1</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rPr>
          <w:t>Experiencias nacionales: República Popular de China</w:t>
        </w:r>
        <w:r w:rsidR="00580132">
          <w:rPr>
            <w:webHidden/>
          </w:rPr>
          <w:tab/>
        </w:r>
        <w:r w:rsidR="00580132">
          <w:rPr>
            <w:webHidden/>
          </w:rPr>
          <w:tab/>
        </w:r>
        <w:r w:rsidR="00580132">
          <w:rPr>
            <w:webHidden/>
          </w:rPr>
          <w:fldChar w:fldCharType="begin"/>
        </w:r>
        <w:r w:rsidR="00580132">
          <w:rPr>
            <w:webHidden/>
          </w:rPr>
          <w:instrText xml:space="preserve"> PAGEREF _Toc379198841 \h </w:instrText>
        </w:r>
        <w:r w:rsidR="00580132">
          <w:rPr>
            <w:webHidden/>
          </w:rPr>
        </w:r>
        <w:r w:rsidR="00580132">
          <w:rPr>
            <w:webHidden/>
          </w:rPr>
          <w:fldChar w:fldCharType="separate"/>
        </w:r>
        <w:r w:rsidR="009D3339">
          <w:rPr>
            <w:webHidden/>
          </w:rPr>
          <w:t>12</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42" w:history="1">
        <w:r w:rsidR="00580132" w:rsidRPr="00241EBB">
          <w:rPr>
            <w:rStyle w:val="Hyperlink"/>
          </w:rPr>
          <w:t>3.4.2</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rPr>
          <w:t>Experiencias nacionales: Ghana</w:t>
        </w:r>
        <w:r w:rsidR="00580132">
          <w:rPr>
            <w:webHidden/>
          </w:rPr>
          <w:tab/>
        </w:r>
        <w:r w:rsidR="00580132">
          <w:rPr>
            <w:webHidden/>
          </w:rPr>
          <w:tab/>
        </w:r>
        <w:r w:rsidR="00580132">
          <w:rPr>
            <w:webHidden/>
          </w:rPr>
          <w:fldChar w:fldCharType="begin"/>
        </w:r>
        <w:r w:rsidR="00580132">
          <w:rPr>
            <w:webHidden/>
          </w:rPr>
          <w:instrText xml:space="preserve"> PAGEREF _Toc379198842 \h </w:instrText>
        </w:r>
        <w:r w:rsidR="00580132">
          <w:rPr>
            <w:webHidden/>
          </w:rPr>
        </w:r>
        <w:r w:rsidR="00580132">
          <w:rPr>
            <w:webHidden/>
          </w:rPr>
          <w:fldChar w:fldCharType="separate"/>
        </w:r>
        <w:r w:rsidR="009D3339">
          <w:rPr>
            <w:webHidden/>
          </w:rPr>
          <w:t>12</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43" w:history="1">
        <w:r w:rsidR="00580132" w:rsidRPr="00241EBB">
          <w:rPr>
            <w:rStyle w:val="Hyperlink"/>
          </w:rPr>
          <w:t>3.4.3</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rPr>
          <w:t>Experiencias nacionales: India</w:t>
        </w:r>
        <w:r w:rsidR="00580132">
          <w:rPr>
            <w:webHidden/>
          </w:rPr>
          <w:tab/>
        </w:r>
        <w:r w:rsidR="00580132">
          <w:rPr>
            <w:webHidden/>
          </w:rPr>
          <w:tab/>
        </w:r>
        <w:r w:rsidR="00580132">
          <w:rPr>
            <w:webHidden/>
          </w:rPr>
          <w:fldChar w:fldCharType="begin"/>
        </w:r>
        <w:r w:rsidR="00580132">
          <w:rPr>
            <w:webHidden/>
          </w:rPr>
          <w:instrText xml:space="preserve"> PAGEREF _Toc379198843 \h </w:instrText>
        </w:r>
        <w:r w:rsidR="00580132">
          <w:rPr>
            <w:webHidden/>
          </w:rPr>
        </w:r>
        <w:r w:rsidR="00580132">
          <w:rPr>
            <w:webHidden/>
          </w:rPr>
          <w:fldChar w:fldCharType="separate"/>
        </w:r>
        <w:r w:rsidR="009D3339">
          <w:rPr>
            <w:webHidden/>
          </w:rPr>
          <w:t>13</w:t>
        </w:r>
        <w:r w:rsidR="00580132">
          <w:rPr>
            <w:webHidden/>
          </w:rPr>
          <w:fldChar w:fldCharType="end"/>
        </w:r>
      </w:hyperlink>
    </w:p>
    <w:p w:rsidR="00580132" w:rsidRDefault="00AC27F2">
      <w:pPr>
        <w:pStyle w:val="TOC2"/>
        <w:rPr>
          <w:rFonts w:asciiTheme="minorHAnsi" w:eastAsiaTheme="minorEastAsia" w:hAnsiTheme="minorHAnsi" w:cstheme="minorBidi"/>
          <w:bCs w:val="0"/>
          <w:sz w:val="22"/>
          <w:szCs w:val="22"/>
          <w:lang w:val="en-US" w:eastAsia="zh-CN"/>
        </w:rPr>
      </w:pPr>
      <w:hyperlink w:anchor="_Toc379198844" w:history="1">
        <w:r w:rsidR="00580132" w:rsidRPr="00241EBB">
          <w:rPr>
            <w:rStyle w:val="Hyperlink"/>
          </w:rPr>
          <w:t>3.5</w:t>
        </w:r>
        <w:r w:rsidR="00580132">
          <w:rPr>
            <w:rFonts w:asciiTheme="minorHAnsi" w:eastAsiaTheme="minorEastAsia" w:hAnsiTheme="minorHAnsi" w:cstheme="minorBidi"/>
            <w:bCs w:val="0"/>
            <w:sz w:val="22"/>
            <w:szCs w:val="22"/>
            <w:lang w:val="en-US" w:eastAsia="zh-CN"/>
          </w:rPr>
          <w:tab/>
        </w:r>
        <w:r w:rsidR="00580132" w:rsidRPr="00241EBB">
          <w:rPr>
            <w:rStyle w:val="Hyperlink"/>
          </w:rPr>
          <w:t>Protección de los consumidores en un mercado competitivo</w:t>
        </w:r>
        <w:r w:rsidR="00580132">
          <w:rPr>
            <w:webHidden/>
          </w:rPr>
          <w:tab/>
        </w:r>
        <w:r w:rsidR="00580132">
          <w:rPr>
            <w:webHidden/>
          </w:rPr>
          <w:tab/>
        </w:r>
        <w:r w:rsidR="00580132">
          <w:rPr>
            <w:webHidden/>
          </w:rPr>
          <w:fldChar w:fldCharType="begin"/>
        </w:r>
        <w:r w:rsidR="00580132">
          <w:rPr>
            <w:webHidden/>
          </w:rPr>
          <w:instrText xml:space="preserve"> PAGEREF _Toc379198844 \h </w:instrText>
        </w:r>
        <w:r w:rsidR="00580132">
          <w:rPr>
            <w:webHidden/>
          </w:rPr>
        </w:r>
        <w:r w:rsidR="00580132">
          <w:rPr>
            <w:webHidden/>
          </w:rPr>
          <w:fldChar w:fldCharType="separate"/>
        </w:r>
        <w:r w:rsidR="009D3339">
          <w:rPr>
            <w:webHidden/>
          </w:rPr>
          <w:t>13</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45" w:history="1">
        <w:r w:rsidR="00580132" w:rsidRPr="00241EBB">
          <w:rPr>
            <w:rStyle w:val="Hyperlink"/>
          </w:rPr>
          <w:t>3.5.1</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rPr>
          <w:t>Experiencias nacionales: República de Corea</w:t>
        </w:r>
        <w:r w:rsidR="00580132">
          <w:rPr>
            <w:webHidden/>
          </w:rPr>
          <w:tab/>
        </w:r>
        <w:r w:rsidR="00580132">
          <w:rPr>
            <w:webHidden/>
          </w:rPr>
          <w:tab/>
        </w:r>
        <w:r w:rsidR="00580132">
          <w:rPr>
            <w:webHidden/>
          </w:rPr>
          <w:fldChar w:fldCharType="begin"/>
        </w:r>
        <w:r w:rsidR="00580132">
          <w:rPr>
            <w:webHidden/>
          </w:rPr>
          <w:instrText xml:space="preserve"> PAGEREF _Toc379198845 \h </w:instrText>
        </w:r>
        <w:r w:rsidR="00580132">
          <w:rPr>
            <w:webHidden/>
          </w:rPr>
        </w:r>
        <w:r w:rsidR="00580132">
          <w:rPr>
            <w:webHidden/>
          </w:rPr>
          <w:fldChar w:fldCharType="separate"/>
        </w:r>
        <w:r w:rsidR="009D3339">
          <w:rPr>
            <w:webHidden/>
          </w:rPr>
          <w:t>14</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46" w:history="1">
        <w:r w:rsidR="00580132" w:rsidRPr="00241EBB">
          <w:rPr>
            <w:rStyle w:val="Hyperlink"/>
          </w:rPr>
          <w:t>3.5.2</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rPr>
          <w:t>Experiencias nacionales: Malí</w:t>
        </w:r>
        <w:r w:rsidR="00580132">
          <w:rPr>
            <w:webHidden/>
          </w:rPr>
          <w:tab/>
        </w:r>
        <w:r w:rsidR="00580132">
          <w:rPr>
            <w:webHidden/>
          </w:rPr>
          <w:tab/>
        </w:r>
        <w:r w:rsidR="00580132">
          <w:rPr>
            <w:webHidden/>
          </w:rPr>
          <w:fldChar w:fldCharType="begin"/>
        </w:r>
        <w:r w:rsidR="00580132">
          <w:rPr>
            <w:webHidden/>
          </w:rPr>
          <w:instrText xml:space="preserve"> PAGEREF _Toc379198846 \h </w:instrText>
        </w:r>
        <w:r w:rsidR="00580132">
          <w:rPr>
            <w:webHidden/>
          </w:rPr>
        </w:r>
        <w:r w:rsidR="00580132">
          <w:rPr>
            <w:webHidden/>
          </w:rPr>
          <w:fldChar w:fldCharType="separate"/>
        </w:r>
        <w:r w:rsidR="009D3339">
          <w:rPr>
            <w:webHidden/>
          </w:rPr>
          <w:t>15</w:t>
        </w:r>
        <w:r w:rsidR="00580132">
          <w:rPr>
            <w:webHidden/>
          </w:rPr>
          <w:fldChar w:fldCharType="end"/>
        </w:r>
      </w:hyperlink>
    </w:p>
    <w:p w:rsidR="00580132" w:rsidRDefault="00AC27F2">
      <w:pPr>
        <w:pStyle w:val="TOC3"/>
        <w:rPr>
          <w:rFonts w:asciiTheme="minorHAnsi" w:eastAsiaTheme="minorEastAsia" w:hAnsiTheme="minorHAnsi" w:cstheme="minorBidi"/>
          <w:color w:val="auto"/>
          <w:sz w:val="22"/>
          <w:szCs w:val="22"/>
          <w:lang w:eastAsia="zh-CN"/>
        </w:rPr>
      </w:pPr>
      <w:hyperlink w:anchor="_Toc379198847" w:history="1">
        <w:r w:rsidR="00580132" w:rsidRPr="00241EBB">
          <w:rPr>
            <w:rStyle w:val="Hyperlink"/>
          </w:rPr>
          <w:t>3.5.3</w:t>
        </w:r>
        <w:r w:rsidR="00580132">
          <w:rPr>
            <w:rFonts w:asciiTheme="minorHAnsi" w:eastAsiaTheme="minorEastAsia" w:hAnsiTheme="minorHAnsi" w:cstheme="minorBidi"/>
            <w:color w:val="auto"/>
            <w:sz w:val="22"/>
            <w:szCs w:val="22"/>
            <w:lang w:eastAsia="zh-CN"/>
          </w:rPr>
          <w:tab/>
        </w:r>
        <w:r w:rsidR="00580132">
          <w:rPr>
            <w:rFonts w:asciiTheme="minorHAnsi" w:eastAsiaTheme="minorEastAsia" w:hAnsiTheme="minorHAnsi" w:cstheme="minorBidi"/>
            <w:color w:val="auto"/>
            <w:sz w:val="22"/>
            <w:szCs w:val="22"/>
            <w:lang w:eastAsia="zh-CN"/>
          </w:rPr>
          <w:tab/>
        </w:r>
        <w:r w:rsidR="00580132" w:rsidRPr="00241EBB">
          <w:rPr>
            <w:rStyle w:val="Hyperlink"/>
          </w:rPr>
          <w:t>Experiencias nacionales: Turquía</w:t>
        </w:r>
        <w:r w:rsidR="00580132">
          <w:rPr>
            <w:webHidden/>
          </w:rPr>
          <w:tab/>
        </w:r>
        <w:r w:rsidR="00580132">
          <w:rPr>
            <w:webHidden/>
          </w:rPr>
          <w:tab/>
        </w:r>
        <w:r w:rsidR="00580132">
          <w:rPr>
            <w:webHidden/>
          </w:rPr>
          <w:fldChar w:fldCharType="begin"/>
        </w:r>
        <w:r w:rsidR="00580132">
          <w:rPr>
            <w:webHidden/>
          </w:rPr>
          <w:instrText xml:space="preserve"> PAGEREF _Toc379198847 \h </w:instrText>
        </w:r>
        <w:r w:rsidR="00580132">
          <w:rPr>
            <w:webHidden/>
          </w:rPr>
        </w:r>
        <w:r w:rsidR="00580132">
          <w:rPr>
            <w:webHidden/>
          </w:rPr>
          <w:fldChar w:fldCharType="separate"/>
        </w:r>
        <w:r w:rsidR="009D3339">
          <w:rPr>
            <w:webHidden/>
          </w:rPr>
          <w:t>15</w:t>
        </w:r>
        <w:r w:rsidR="00580132">
          <w:rPr>
            <w:webHidden/>
          </w:rPr>
          <w:fldChar w:fldCharType="end"/>
        </w:r>
      </w:hyperlink>
    </w:p>
    <w:p w:rsidR="00580132" w:rsidRDefault="00AC27F2">
      <w:pPr>
        <w:pStyle w:val="TOC2"/>
        <w:rPr>
          <w:rFonts w:asciiTheme="minorHAnsi" w:eastAsiaTheme="minorEastAsia" w:hAnsiTheme="minorHAnsi" w:cstheme="minorBidi"/>
          <w:bCs w:val="0"/>
          <w:sz w:val="22"/>
          <w:szCs w:val="22"/>
          <w:lang w:val="en-US" w:eastAsia="zh-CN"/>
        </w:rPr>
      </w:pPr>
      <w:hyperlink w:anchor="_Toc379198848" w:history="1">
        <w:r w:rsidR="00580132" w:rsidRPr="00241EBB">
          <w:rPr>
            <w:rStyle w:val="Hyperlink"/>
          </w:rPr>
          <w:t>3.6</w:t>
        </w:r>
        <w:r w:rsidR="00580132">
          <w:rPr>
            <w:rFonts w:asciiTheme="minorHAnsi" w:eastAsiaTheme="minorEastAsia" w:hAnsiTheme="minorHAnsi" w:cstheme="minorBidi"/>
            <w:bCs w:val="0"/>
            <w:sz w:val="22"/>
            <w:szCs w:val="22"/>
            <w:lang w:val="en-US" w:eastAsia="zh-CN"/>
          </w:rPr>
          <w:tab/>
        </w:r>
        <w:r w:rsidR="00580132" w:rsidRPr="00241EBB">
          <w:rPr>
            <w:rStyle w:val="Hyperlink"/>
          </w:rPr>
          <w:t>Efectos de la convergencia de servicios en el sector de las TIC</w:t>
        </w:r>
        <w:r w:rsidR="00580132">
          <w:rPr>
            <w:webHidden/>
          </w:rPr>
          <w:tab/>
        </w:r>
        <w:r w:rsidR="00580132">
          <w:rPr>
            <w:webHidden/>
          </w:rPr>
          <w:tab/>
        </w:r>
        <w:r w:rsidR="00580132">
          <w:rPr>
            <w:webHidden/>
          </w:rPr>
          <w:fldChar w:fldCharType="begin"/>
        </w:r>
        <w:r w:rsidR="00580132">
          <w:rPr>
            <w:webHidden/>
          </w:rPr>
          <w:instrText xml:space="preserve"> PAGEREF _Toc379198848 \h </w:instrText>
        </w:r>
        <w:r w:rsidR="00580132">
          <w:rPr>
            <w:webHidden/>
          </w:rPr>
        </w:r>
        <w:r w:rsidR="00580132">
          <w:rPr>
            <w:webHidden/>
          </w:rPr>
          <w:fldChar w:fldCharType="separate"/>
        </w:r>
        <w:r w:rsidR="009D3339">
          <w:rPr>
            <w:webHidden/>
          </w:rPr>
          <w:t>15</w:t>
        </w:r>
        <w:r w:rsidR="00580132">
          <w:rPr>
            <w:webHidden/>
          </w:rPr>
          <w:fldChar w:fldCharType="end"/>
        </w:r>
      </w:hyperlink>
    </w:p>
    <w:p w:rsidR="00580132" w:rsidRDefault="00AC27F2" w:rsidP="00580132">
      <w:pPr>
        <w:pStyle w:val="TOC1"/>
        <w:ind w:left="567" w:hanging="567"/>
        <w:rPr>
          <w:rFonts w:asciiTheme="minorHAnsi" w:eastAsiaTheme="minorEastAsia" w:hAnsiTheme="minorHAnsi" w:cstheme="minorBidi"/>
          <w:b w:val="0"/>
          <w:bCs w:val="0"/>
          <w:sz w:val="22"/>
          <w:szCs w:val="22"/>
          <w:lang w:eastAsia="zh-CN"/>
        </w:rPr>
      </w:pPr>
      <w:hyperlink w:anchor="_Toc379198849" w:history="1">
        <w:r w:rsidR="00580132" w:rsidRPr="00241EBB">
          <w:rPr>
            <w:rStyle w:val="Hyperlink"/>
            <w:lang w:val="es-ES_tradnl" w:eastAsia="en-US"/>
          </w:rPr>
          <w:t>4</w:t>
        </w:r>
        <w:r w:rsidR="00580132">
          <w:rPr>
            <w:rFonts w:asciiTheme="minorHAnsi" w:eastAsiaTheme="minorEastAsia" w:hAnsiTheme="minorHAnsi" w:cstheme="minorBidi"/>
            <w:b w:val="0"/>
            <w:bCs w:val="0"/>
            <w:sz w:val="22"/>
            <w:szCs w:val="22"/>
            <w:lang w:eastAsia="zh-CN"/>
          </w:rPr>
          <w:tab/>
        </w:r>
        <w:r w:rsidR="00580132" w:rsidRPr="00241EBB">
          <w:rPr>
            <w:rStyle w:val="Hyperlink"/>
            <w:lang w:val="es-ES_tradnl" w:eastAsia="en-US"/>
          </w:rPr>
          <w:t xml:space="preserve">Análisis de la experiencia de los reguladores con los cambios y la transición </w:t>
        </w:r>
        <w:r w:rsidR="00580132" w:rsidRPr="00241EBB">
          <w:rPr>
            <w:rStyle w:val="Hyperlink"/>
          </w:rPr>
          <w:t>hacia</w:t>
        </w:r>
        <w:r w:rsidR="00580132" w:rsidRPr="00241EBB">
          <w:rPr>
            <w:rStyle w:val="Hyperlink"/>
            <w:lang w:val="es-ES_tradnl" w:eastAsia="en-US"/>
          </w:rPr>
          <w:t xml:space="preserve"> la </w:t>
        </w:r>
        <w:r w:rsidR="00580132">
          <w:rPr>
            <w:rStyle w:val="Hyperlink"/>
            <w:lang w:val="es-ES_tradnl" w:eastAsia="en-US"/>
          </w:rPr>
          <w:br/>
        </w:r>
        <w:r w:rsidR="00580132" w:rsidRPr="00241EBB">
          <w:rPr>
            <w:rStyle w:val="Hyperlink"/>
            <w:lang w:val="es-ES_tradnl" w:eastAsia="en-US"/>
          </w:rPr>
          <w:t>convergencia</w:t>
        </w:r>
        <w:r w:rsidR="00580132">
          <w:rPr>
            <w:webHidden/>
          </w:rPr>
          <w:tab/>
        </w:r>
        <w:r w:rsidR="00580132">
          <w:rPr>
            <w:webHidden/>
          </w:rPr>
          <w:tab/>
        </w:r>
        <w:r w:rsidR="00580132">
          <w:rPr>
            <w:webHidden/>
          </w:rPr>
          <w:fldChar w:fldCharType="begin"/>
        </w:r>
        <w:r w:rsidR="00580132">
          <w:rPr>
            <w:webHidden/>
          </w:rPr>
          <w:instrText xml:space="preserve"> PAGEREF _Toc379198849 \h </w:instrText>
        </w:r>
        <w:r w:rsidR="00580132">
          <w:rPr>
            <w:webHidden/>
          </w:rPr>
        </w:r>
        <w:r w:rsidR="00580132">
          <w:rPr>
            <w:webHidden/>
          </w:rPr>
          <w:fldChar w:fldCharType="separate"/>
        </w:r>
        <w:r w:rsidR="009D3339">
          <w:rPr>
            <w:webHidden/>
          </w:rPr>
          <w:t>17</w:t>
        </w:r>
        <w:r w:rsidR="00580132">
          <w:rPr>
            <w:webHidden/>
          </w:rPr>
          <w:fldChar w:fldCharType="end"/>
        </w:r>
      </w:hyperlink>
    </w:p>
    <w:p w:rsidR="00580132" w:rsidRDefault="00AC27F2" w:rsidP="00580132">
      <w:pPr>
        <w:pStyle w:val="TOC1"/>
        <w:ind w:left="567" w:hanging="567"/>
        <w:rPr>
          <w:rFonts w:asciiTheme="minorHAnsi" w:eastAsiaTheme="minorEastAsia" w:hAnsiTheme="minorHAnsi" w:cstheme="minorBidi"/>
          <w:b w:val="0"/>
          <w:bCs w:val="0"/>
          <w:sz w:val="22"/>
          <w:szCs w:val="22"/>
          <w:lang w:eastAsia="zh-CN"/>
        </w:rPr>
      </w:pPr>
      <w:hyperlink w:anchor="_Toc379198850" w:history="1">
        <w:r w:rsidR="00580132" w:rsidRPr="00241EBB">
          <w:rPr>
            <w:rStyle w:val="Hyperlink"/>
            <w:lang w:val="es-ES_tradnl" w:eastAsia="en-US"/>
          </w:rPr>
          <w:t>5</w:t>
        </w:r>
        <w:r w:rsidR="00580132">
          <w:rPr>
            <w:rFonts w:asciiTheme="minorHAnsi" w:eastAsiaTheme="minorEastAsia" w:hAnsiTheme="minorHAnsi" w:cstheme="minorBidi"/>
            <w:b w:val="0"/>
            <w:bCs w:val="0"/>
            <w:sz w:val="22"/>
            <w:szCs w:val="22"/>
            <w:lang w:eastAsia="zh-CN"/>
          </w:rPr>
          <w:tab/>
        </w:r>
        <w:r w:rsidR="00580132" w:rsidRPr="00241EBB">
          <w:rPr>
            <w:rStyle w:val="Hyperlink"/>
            <w:lang w:val="es-ES_tradnl" w:eastAsia="en-US"/>
          </w:rPr>
          <w:t xml:space="preserve">Evaluación de la función de los organismos reguladores de las telecomunicaciones/TIC </w:t>
        </w:r>
        <w:r w:rsidR="00580132">
          <w:rPr>
            <w:rStyle w:val="Hyperlink"/>
            <w:lang w:val="es-ES_tradnl" w:eastAsia="en-US"/>
          </w:rPr>
          <w:br/>
        </w:r>
        <w:r w:rsidR="00580132" w:rsidRPr="00241EBB">
          <w:rPr>
            <w:rStyle w:val="Hyperlink"/>
            <w:lang w:val="es-ES_tradnl" w:eastAsia="en-US"/>
          </w:rPr>
          <w:t>y las autoridades encargadas de la competencia</w:t>
        </w:r>
        <w:r w:rsidR="00580132">
          <w:rPr>
            <w:webHidden/>
          </w:rPr>
          <w:tab/>
        </w:r>
        <w:r w:rsidR="00580132">
          <w:rPr>
            <w:webHidden/>
          </w:rPr>
          <w:tab/>
        </w:r>
        <w:r w:rsidR="00580132">
          <w:rPr>
            <w:webHidden/>
          </w:rPr>
          <w:fldChar w:fldCharType="begin"/>
        </w:r>
        <w:r w:rsidR="00580132">
          <w:rPr>
            <w:webHidden/>
          </w:rPr>
          <w:instrText xml:space="preserve"> PAGEREF _Toc379198850 \h </w:instrText>
        </w:r>
        <w:r w:rsidR="00580132">
          <w:rPr>
            <w:webHidden/>
          </w:rPr>
        </w:r>
        <w:r w:rsidR="00580132">
          <w:rPr>
            <w:webHidden/>
          </w:rPr>
          <w:fldChar w:fldCharType="separate"/>
        </w:r>
        <w:r w:rsidR="009D3339">
          <w:rPr>
            <w:webHidden/>
          </w:rPr>
          <w:t>18</w:t>
        </w:r>
        <w:r w:rsidR="00580132">
          <w:rPr>
            <w:webHidden/>
          </w:rPr>
          <w:fldChar w:fldCharType="end"/>
        </w:r>
      </w:hyperlink>
    </w:p>
    <w:p w:rsidR="00580132" w:rsidRDefault="00AC27F2" w:rsidP="00580132">
      <w:pPr>
        <w:pStyle w:val="TOC2"/>
        <w:ind w:left="1134" w:hanging="567"/>
        <w:rPr>
          <w:rFonts w:asciiTheme="minorHAnsi" w:eastAsiaTheme="minorEastAsia" w:hAnsiTheme="minorHAnsi" w:cstheme="minorBidi"/>
          <w:bCs w:val="0"/>
          <w:sz w:val="22"/>
          <w:szCs w:val="22"/>
          <w:lang w:val="en-US" w:eastAsia="zh-CN"/>
        </w:rPr>
      </w:pPr>
      <w:hyperlink w:anchor="_Toc379198851" w:history="1">
        <w:r w:rsidR="00580132" w:rsidRPr="00241EBB">
          <w:rPr>
            <w:rStyle w:val="Hyperlink"/>
            <w:lang w:val="es-ES_tradnl"/>
          </w:rPr>
          <w:t>5.1</w:t>
        </w:r>
        <w:r w:rsidR="00580132">
          <w:rPr>
            <w:rFonts w:asciiTheme="minorHAnsi" w:eastAsiaTheme="minorEastAsia" w:hAnsiTheme="minorHAnsi" w:cstheme="minorBidi"/>
            <w:bCs w:val="0"/>
            <w:sz w:val="22"/>
            <w:szCs w:val="22"/>
            <w:lang w:val="en-US" w:eastAsia="zh-CN"/>
          </w:rPr>
          <w:tab/>
        </w:r>
        <w:r w:rsidR="00580132" w:rsidRPr="00241EBB">
          <w:rPr>
            <w:rStyle w:val="Hyperlink"/>
            <w:lang w:val="es-ES_tradnl"/>
          </w:rPr>
          <w:t xml:space="preserve">Relaciones de trabajo entre las autoridades nacionales de reglamentación y las </w:t>
        </w:r>
        <w:r w:rsidR="00580132">
          <w:rPr>
            <w:rStyle w:val="Hyperlink"/>
            <w:lang w:val="es-ES_tradnl"/>
          </w:rPr>
          <w:br/>
        </w:r>
        <w:r w:rsidR="00580132" w:rsidRPr="00241EBB">
          <w:rPr>
            <w:rStyle w:val="Hyperlink"/>
          </w:rPr>
          <w:t>autoridades</w:t>
        </w:r>
        <w:r w:rsidR="00580132" w:rsidRPr="00241EBB">
          <w:rPr>
            <w:rStyle w:val="Hyperlink"/>
            <w:lang w:val="es-ES_tradnl"/>
          </w:rPr>
          <w:t xml:space="preserve"> encargadas de la competencia</w:t>
        </w:r>
        <w:r w:rsidR="00580132">
          <w:rPr>
            <w:webHidden/>
          </w:rPr>
          <w:tab/>
        </w:r>
        <w:r w:rsidR="00580132">
          <w:rPr>
            <w:webHidden/>
          </w:rPr>
          <w:tab/>
        </w:r>
        <w:r w:rsidR="00580132">
          <w:rPr>
            <w:webHidden/>
          </w:rPr>
          <w:fldChar w:fldCharType="begin"/>
        </w:r>
        <w:r w:rsidR="00580132">
          <w:rPr>
            <w:webHidden/>
          </w:rPr>
          <w:instrText xml:space="preserve"> PAGEREF _Toc379198851 \h </w:instrText>
        </w:r>
        <w:r w:rsidR="00580132">
          <w:rPr>
            <w:webHidden/>
          </w:rPr>
        </w:r>
        <w:r w:rsidR="00580132">
          <w:rPr>
            <w:webHidden/>
          </w:rPr>
          <w:fldChar w:fldCharType="separate"/>
        </w:r>
        <w:r w:rsidR="009D3339">
          <w:rPr>
            <w:webHidden/>
          </w:rPr>
          <w:t>18</w:t>
        </w:r>
        <w:r w:rsidR="00580132">
          <w:rPr>
            <w:webHidden/>
          </w:rPr>
          <w:fldChar w:fldCharType="end"/>
        </w:r>
      </w:hyperlink>
    </w:p>
    <w:p w:rsidR="00376FF1" w:rsidRDefault="00376FF1" w:rsidP="00376FF1">
      <w:pPr>
        <w:pStyle w:val="Toc0"/>
        <w:keepNext/>
        <w:keepLines/>
        <w:tabs>
          <w:tab w:val="clear" w:pos="9071"/>
          <w:tab w:val="right" w:pos="9214"/>
        </w:tabs>
        <w:rPr>
          <w:lang w:val="en-GB"/>
        </w:rPr>
      </w:pPr>
      <w:r w:rsidRPr="00DD6562">
        <w:rPr>
          <w:lang w:val="en-GB"/>
        </w:rPr>
        <w:lastRenderedPageBreak/>
        <w:tab/>
        <w:t>P</w:t>
      </w:r>
      <w:r>
        <w:rPr>
          <w:lang w:val="en-GB"/>
        </w:rPr>
        <w:t>ágina</w:t>
      </w:r>
    </w:p>
    <w:p w:rsidR="00580132" w:rsidRDefault="00AC27F2" w:rsidP="006A0D88">
      <w:pPr>
        <w:pStyle w:val="TOC2"/>
        <w:ind w:left="1134" w:hanging="567"/>
        <w:rPr>
          <w:rFonts w:asciiTheme="minorHAnsi" w:eastAsiaTheme="minorEastAsia" w:hAnsiTheme="minorHAnsi" w:cstheme="minorBidi"/>
          <w:bCs w:val="0"/>
          <w:sz w:val="22"/>
          <w:szCs w:val="22"/>
          <w:lang w:val="en-US" w:eastAsia="zh-CN"/>
        </w:rPr>
      </w:pPr>
      <w:hyperlink w:anchor="_Toc379198852" w:history="1">
        <w:r w:rsidR="00580132" w:rsidRPr="00241EBB">
          <w:rPr>
            <w:rStyle w:val="Hyperlink"/>
          </w:rPr>
          <w:t>5.2</w:t>
        </w:r>
        <w:r w:rsidR="00580132">
          <w:rPr>
            <w:rFonts w:asciiTheme="minorHAnsi" w:eastAsiaTheme="minorEastAsia" w:hAnsiTheme="minorHAnsi" w:cstheme="minorBidi"/>
            <w:bCs w:val="0"/>
            <w:sz w:val="22"/>
            <w:szCs w:val="22"/>
            <w:lang w:val="en-US" w:eastAsia="zh-CN"/>
          </w:rPr>
          <w:tab/>
        </w:r>
        <w:r w:rsidR="00580132" w:rsidRPr="00241EBB">
          <w:rPr>
            <w:rStyle w:val="Hyperlink"/>
          </w:rPr>
          <w:t xml:space="preserve">Fusiones de empresas de telecomunicaciones y función de las autoridades </w:t>
        </w:r>
        <w:r w:rsidR="006A0D88">
          <w:rPr>
            <w:rStyle w:val="Hyperlink"/>
          </w:rPr>
          <w:br/>
        </w:r>
        <w:r w:rsidR="00580132" w:rsidRPr="00241EBB">
          <w:rPr>
            <w:rStyle w:val="Hyperlink"/>
          </w:rPr>
          <w:t>reguladoras y encargadas de la competencia</w:t>
        </w:r>
        <w:r w:rsidR="00580132">
          <w:rPr>
            <w:webHidden/>
          </w:rPr>
          <w:tab/>
        </w:r>
        <w:r w:rsidR="006A0D88">
          <w:rPr>
            <w:webHidden/>
          </w:rPr>
          <w:tab/>
        </w:r>
        <w:r w:rsidR="00580132">
          <w:rPr>
            <w:webHidden/>
          </w:rPr>
          <w:fldChar w:fldCharType="begin"/>
        </w:r>
        <w:r w:rsidR="00580132">
          <w:rPr>
            <w:webHidden/>
          </w:rPr>
          <w:instrText xml:space="preserve"> PAGEREF _Toc379198852 \h </w:instrText>
        </w:r>
        <w:r w:rsidR="00580132">
          <w:rPr>
            <w:webHidden/>
          </w:rPr>
        </w:r>
        <w:r w:rsidR="00580132">
          <w:rPr>
            <w:webHidden/>
          </w:rPr>
          <w:fldChar w:fldCharType="separate"/>
        </w:r>
        <w:r w:rsidR="009D3339">
          <w:rPr>
            <w:webHidden/>
          </w:rPr>
          <w:t>22</w:t>
        </w:r>
        <w:r w:rsidR="00580132">
          <w:rPr>
            <w:webHidden/>
          </w:rPr>
          <w:fldChar w:fldCharType="end"/>
        </w:r>
      </w:hyperlink>
    </w:p>
    <w:p w:rsidR="00580132" w:rsidRDefault="00AC27F2">
      <w:pPr>
        <w:pStyle w:val="TOC1"/>
        <w:rPr>
          <w:rFonts w:asciiTheme="minorHAnsi" w:eastAsiaTheme="minorEastAsia" w:hAnsiTheme="minorHAnsi" w:cstheme="minorBidi"/>
          <w:b w:val="0"/>
          <w:bCs w:val="0"/>
          <w:sz w:val="22"/>
          <w:szCs w:val="22"/>
          <w:lang w:eastAsia="zh-CN"/>
        </w:rPr>
      </w:pPr>
      <w:hyperlink w:anchor="_Toc379198853" w:history="1">
        <w:r w:rsidR="00580132" w:rsidRPr="00241EBB">
          <w:rPr>
            <w:rStyle w:val="Hyperlink"/>
          </w:rPr>
          <w:t>6</w:t>
        </w:r>
        <w:r w:rsidR="00580132">
          <w:rPr>
            <w:rFonts w:asciiTheme="minorHAnsi" w:eastAsiaTheme="minorEastAsia" w:hAnsiTheme="minorHAnsi" w:cstheme="minorBidi"/>
            <w:b w:val="0"/>
            <w:bCs w:val="0"/>
            <w:sz w:val="22"/>
            <w:szCs w:val="22"/>
            <w:lang w:eastAsia="zh-CN"/>
          </w:rPr>
          <w:tab/>
        </w:r>
        <w:r w:rsidR="00580132" w:rsidRPr="00241EBB">
          <w:rPr>
            <w:rStyle w:val="Hyperlink"/>
          </w:rPr>
          <w:t>Directrices y Observaciones finales</w:t>
        </w:r>
        <w:r w:rsidR="00580132">
          <w:rPr>
            <w:webHidden/>
          </w:rPr>
          <w:tab/>
        </w:r>
        <w:r w:rsidR="006A0D88">
          <w:rPr>
            <w:webHidden/>
          </w:rPr>
          <w:tab/>
        </w:r>
        <w:r w:rsidR="00580132">
          <w:rPr>
            <w:webHidden/>
          </w:rPr>
          <w:fldChar w:fldCharType="begin"/>
        </w:r>
        <w:r w:rsidR="00580132">
          <w:rPr>
            <w:webHidden/>
          </w:rPr>
          <w:instrText xml:space="preserve"> PAGEREF _Toc379198853 \h </w:instrText>
        </w:r>
        <w:r w:rsidR="00580132">
          <w:rPr>
            <w:webHidden/>
          </w:rPr>
        </w:r>
        <w:r w:rsidR="00580132">
          <w:rPr>
            <w:webHidden/>
          </w:rPr>
          <w:fldChar w:fldCharType="separate"/>
        </w:r>
        <w:r w:rsidR="009D3339">
          <w:rPr>
            <w:webHidden/>
          </w:rPr>
          <w:t>24</w:t>
        </w:r>
        <w:r w:rsidR="00580132">
          <w:rPr>
            <w:webHidden/>
          </w:rPr>
          <w:fldChar w:fldCharType="end"/>
        </w:r>
      </w:hyperlink>
    </w:p>
    <w:p w:rsidR="00580132" w:rsidRDefault="00AC27F2" w:rsidP="00376FF1">
      <w:pPr>
        <w:pStyle w:val="TOC2"/>
        <w:ind w:left="1134" w:hanging="567"/>
        <w:rPr>
          <w:rFonts w:asciiTheme="minorHAnsi" w:eastAsiaTheme="minorEastAsia" w:hAnsiTheme="minorHAnsi" w:cstheme="minorBidi"/>
          <w:bCs w:val="0"/>
          <w:sz w:val="22"/>
          <w:szCs w:val="22"/>
          <w:lang w:val="en-US" w:eastAsia="zh-CN"/>
        </w:rPr>
      </w:pPr>
      <w:hyperlink w:anchor="_Toc379198854" w:history="1">
        <w:r w:rsidR="00580132" w:rsidRPr="00241EBB">
          <w:rPr>
            <w:rStyle w:val="Hyperlink"/>
          </w:rPr>
          <w:t>6.A</w:t>
        </w:r>
        <w:r w:rsidR="00580132">
          <w:rPr>
            <w:rFonts w:asciiTheme="minorHAnsi" w:eastAsiaTheme="minorEastAsia" w:hAnsiTheme="minorHAnsi" w:cstheme="minorBidi"/>
            <w:bCs w:val="0"/>
            <w:sz w:val="22"/>
            <w:szCs w:val="22"/>
            <w:lang w:val="en-US" w:eastAsia="zh-CN"/>
          </w:rPr>
          <w:tab/>
        </w:r>
        <w:r w:rsidR="00580132" w:rsidRPr="00241EBB">
          <w:rPr>
            <w:rStyle w:val="Hyperlink"/>
          </w:rPr>
          <w:t xml:space="preserve">Directrices sobre medidas reglamentarias acerca de la competencia en un entorno </w:t>
        </w:r>
        <w:r w:rsidR="00376FF1">
          <w:rPr>
            <w:rStyle w:val="Hyperlink"/>
          </w:rPr>
          <w:br/>
        </w:r>
        <w:r w:rsidR="00580132" w:rsidRPr="00241EBB">
          <w:rPr>
            <w:rStyle w:val="Hyperlink"/>
          </w:rPr>
          <w:t>de telecomunicaciones/TIC convergente</w:t>
        </w:r>
        <w:r w:rsidR="00580132">
          <w:rPr>
            <w:webHidden/>
          </w:rPr>
          <w:tab/>
        </w:r>
        <w:r w:rsidR="006A0D88">
          <w:rPr>
            <w:webHidden/>
          </w:rPr>
          <w:tab/>
        </w:r>
        <w:r w:rsidR="00580132">
          <w:rPr>
            <w:webHidden/>
          </w:rPr>
          <w:fldChar w:fldCharType="begin"/>
        </w:r>
        <w:r w:rsidR="00580132">
          <w:rPr>
            <w:webHidden/>
          </w:rPr>
          <w:instrText xml:space="preserve"> PAGEREF _Toc379198854 \h </w:instrText>
        </w:r>
        <w:r w:rsidR="00580132">
          <w:rPr>
            <w:webHidden/>
          </w:rPr>
        </w:r>
        <w:r w:rsidR="00580132">
          <w:rPr>
            <w:webHidden/>
          </w:rPr>
          <w:fldChar w:fldCharType="separate"/>
        </w:r>
        <w:r w:rsidR="009D3339">
          <w:rPr>
            <w:webHidden/>
          </w:rPr>
          <w:t>24</w:t>
        </w:r>
        <w:r w:rsidR="00580132">
          <w:rPr>
            <w:webHidden/>
          </w:rPr>
          <w:fldChar w:fldCharType="end"/>
        </w:r>
      </w:hyperlink>
    </w:p>
    <w:p w:rsidR="00580132" w:rsidRDefault="00AC27F2" w:rsidP="00376FF1">
      <w:pPr>
        <w:pStyle w:val="TOC2"/>
        <w:ind w:left="1134" w:hanging="567"/>
        <w:rPr>
          <w:rFonts w:asciiTheme="minorHAnsi" w:eastAsiaTheme="minorEastAsia" w:hAnsiTheme="minorHAnsi" w:cstheme="minorBidi"/>
          <w:bCs w:val="0"/>
          <w:sz w:val="22"/>
          <w:szCs w:val="22"/>
          <w:lang w:val="en-US" w:eastAsia="zh-CN"/>
        </w:rPr>
      </w:pPr>
      <w:hyperlink w:anchor="_Toc379198855" w:history="1">
        <w:r w:rsidR="00580132" w:rsidRPr="00241EBB">
          <w:rPr>
            <w:rStyle w:val="Hyperlink"/>
            <w:lang w:val="es-ES_tradnl"/>
          </w:rPr>
          <w:t>6.B</w:t>
        </w:r>
        <w:r w:rsidR="00580132">
          <w:rPr>
            <w:rFonts w:asciiTheme="minorHAnsi" w:eastAsiaTheme="minorEastAsia" w:hAnsiTheme="minorHAnsi" w:cstheme="minorBidi"/>
            <w:bCs w:val="0"/>
            <w:sz w:val="22"/>
            <w:szCs w:val="22"/>
            <w:lang w:val="en-US" w:eastAsia="zh-CN"/>
          </w:rPr>
          <w:tab/>
        </w:r>
        <w:r w:rsidR="00580132" w:rsidRPr="00241EBB">
          <w:rPr>
            <w:rStyle w:val="Hyperlink"/>
            <w:lang w:val="es-ES_tradnl"/>
          </w:rPr>
          <w:t xml:space="preserve">Directrices sobre la fusión de las empresas de telecomunicaciones/titulares de </w:t>
        </w:r>
        <w:r w:rsidR="00376FF1">
          <w:rPr>
            <w:rStyle w:val="Hyperlink"/>
            <w:lang w:val="es-ES_tradnl"/>
          </w:rPr>
          <w:br/>
        </w:r>
        <w:r w:rsidR="00580132" w:rsidRPr="00241EBB">
          <w:rPr>
            <w:rStyle w:val="Hyperlink"/>
            <w:lang w:val="es-ES_tradnl"/>
          </w:rPr>
          <w:t>licencias</w:t>
        </w:r>
        <w:r w:rsidR="00580132">
          <w:rPr>
            <w:webHidden/>
          </w:rPr>
          <w:tab/>
        </w:r>
        <w:r w:rsidR="00376FF1">
          <w:rPr>
            <w:webHidden/>
          </w:rPr>
          <w:tab/>
        </w:r>
        <w:r w:rsidR="00580132">
          <w:rPr>
            <w:webHidden/>
          </w:rPr>
          <w:fldChar w:fldCharType="begin"/>
        </w:r>
        <w:r w:rsidR="00580132">
          <w:rPr>
            <w:webHidden/>
          </w:rPr>
          <w:instrText xml:space="preserve"> PAGEREF _Toc379198855 \h </w:instrText>
        </w:r>
        <w:r w:rsidR="00580132">
          <w:rPr>
            <w:webHidden/>
          </w:rPr>
        </w:r>
        <w:r w:rsidR="00580132">
          <w:rPr>
            <w:webHidden/>
          </w:rPr>
          <w:fldChar w:fldCharType="separate"/>
        </w:r>
        <w:r w:rsidR="009D3339">
          <w:rPr>
            <w:webHidden/>
          </w:rPr>
          <w:t>27</w:t>
        </w:r>
        <w:r w:rsidR="00580132">
          <w:rPr>
            <w:webHidden/>
          </w:rPr>
          <w:fldChar w:fldCharType="end"/>
        </w:r>
      </w:hyperlink>
    </w:p>
    <w:p w:rsidR="00580132" w:rsidRDefault="00AC27F2">
      <w:pPr>
        <w:pStyle w:val="TOC2"/>
        <w:rPr>
          <w:rStyle w:val="Hyperlink"/>
        </w:rPr>
      </w:pPr>
      <w:hyperlink w:anchor="_Toc379198856" w:history="1">
        <w:r w:rsidR="00580132" w:rsidRPr="00241EBB">
          <w:rPr>
            <w:rStyle w:val="Hyperlink"/>
            <w:lang w:val="es-ES_tradnl"/>
          </w:rPr>
          <w:t>6.C</w:t>
        </w:r>
        <w:r w:rsidR="00580132">
          <w:rPr>
            <w:rFonts w:asciiTheme="minorHAnsi" w:eastAsiaTheme="minorEastAsia" w:hAnsiTheme="minorHAnsi" w:cstheme="minorBidi"/>
            <w:bCs w:val="0"/>
            <w:sz w:val="22"/>
            <w:szCs w:val="22"/>
            <w:lang w:val="en-US" w:eastAsia="zh-CN"/>
          </w:rPr>
          <w:tab/>
        </w:r>
        <w:r w:rsidR="00580132" w:rsidRPr="00241EBB">
          <w:rPr>
            <w:rStyle w:val="Hyperlink"/>
            <w:lang w:val="es-ES_tradnl"/>
          </w:rPr>
          <w:t>Directrices adicionales que deben considerarse</w:t>
        </w:r>
        <w:r w:rsidR="00580132">
          <w:rPr>
            <w:webHidden/>
          </w:rPr>
          <w:tab/>
        </w:r>
        <w:r w:rsidR="006A0D88">
          <w:rPr>
            <w:webHidden/>
          </w:rPr>
          <w:tab/>
        </w:r>
        <w:r w:rsidR="00580132">
          <w:rPr>
            <w:webHidden/>
          </w:rPr>
          <w:fldChar w:fldCharType="begin"/>
        </w:r>
        <w:r w:rsidR="00580132">
          <w:rPr>
            <w:webHidden/>
          </w:rPr>
          <w:instrText xml:space="preserve"> PAGEREF _Toc379198856 \h </w:instrText>
        </w:r>
        <w:r w:rsidR="00580132">
          <w:rPr>
            <w:webHidden/>
          </w:rPr>
        </w:r>
        <w:r w:rsidR="00580132">
          <w:rPr>
            <w:webHidden/>
          </w:rPr>
          <w:fldChar w:fldCharType="separate"/>
        </w:r>
        <w:r w:rsidR="009D3339">
          <w:rPr>
            <w:webHidden/>
          </w:rPr>
          <w:t>27</w:t>
        </w:r>
        <w:r w:rsidR="00580132">
          <w:rPr>
            <w:webHidden/>
          </w:rPr>
          <w:fldChar w:fldCharType="end"/>
        </w:r>
      </w:hyperlink>
    </w:p>
    <w:p w:rsidR="00376FF1" w:rsidRDefault="00376FF1" w:rsidP="00376FF1">
      <w:pPr>
        <w:rPr>
          <w:noProof/>
        </w:rPr>
      </w:pPr>
    </w:p>
    <w:p w:rsidR="00376FF1" w:rsidRPr="00376FF1" w:rsidRDefault="00376FF1" w:rsidP="00376FF1">
      <w:pPr>
        <w:rPr>
          <w:b/>
          <w:bCs/>
          <w:noProof/>
        </w:rPr>
      </w:pPr>
      <w:r w:rsidRPr="00376FF1">
        <w:rPr>
          <w:b/>
          <w:bCs/>
          <w:noProof/>
        </w:rPr>
        <w:t>Annexes</w:t>
      </w:r>
    </w:p>
    <w:p w:rsidR="00580132" w:rsidRDefault="00AC27F2">
      <w:pPr>
        <w:pStyle w:val="TOC1"/>
        <w:rPr>
          <w:rFonts w:asciiTheme="minorHAnsi" w:eastAsiaTheme="minorEastAsia" w:hAnsiTheme="minorHAnsi" w:cstheme="minorBidi"/>
          <w:b w:val="0"/>
          <w:bCs w:val="0"/>
          <w:sz w:val="22"/>
          <w:szCs w:val="22"/>
          <w:lang w:eastAsia="zh-CN"/>
        </w:rPr>
      </w:pPr>
      <w:hyperlink w:anchor="_Toc379198858" w:history="1">
        <w:r w:rsidR="00580132" w:rsidRPr="00241EBB">
          <w:rPr>
            <w:rStyle w:val="Hyperlink"/>
            <w:lang w:val="fr-CH"/>
          </w:rPr>
          <w:t>Annex 1: Composition of Rapporteur and Vice-Rapporteurs</w:t>
        </w:r>
        <w:r w:rsidR="00580132">
          <w:rPr>
            <w:webHidden/>
          </w:rPr>
          <w:tab/>
        </w:r>
        <w:r w:rsidR="006A0D88">
          <w:rPr>
            <w:webHidden/>
          </w:rPr>
          <w:tab/>
        </w:r>
        <w:r w:rsidR="00580132">
          <w:rPr>
            <w:webHidden/>
          </w:rPr>
          <w:fldChar w:fldCharType="begin"/>
        </w:r>
        <w:r w:rsidR="00580132">
          <w:rPr>
            <w:webHidden/>
          </w:rPr>
          <w:instrText xml:space="preserve"> PAGEREF _Toc379198858 \h </w:instrText>
        </w:r>
        <w:r w:rsidR="00580132">
          <w:rPr>
            <w:webHidden/>
          </w:rPr>
        </w:r>
        <w:r w:rsidR="00580132">
          <w:rPr>
            <w:webHidden/>
          </w:rPr>
          <w:fldChar w:fldCharType="separate"/>
        </w:r>
        <w:r w:rsidR="009D3339">
          <w:rPr>
            <w:webHidden/>
          </w:rPr>
          <w:t>31</w:t>
        </w:r>
        <w:r w:rsidR="00580132">
          <w:rPr>
            <w:webHidden/>
          </w:rPr>
          <w:fldChar w:fldCharType="end"/>
        </w:r>
      </w:hyperlink>
    </w:p>
    <w:p w:rsidR="00580132" w:rsidRDefault="00AC27F2">
      <w:pPr>
        <w:pStyle w:val="TOC1"/>
        <w:rPr>
          <w:rFonts w:asciiTheme="minorHAnsi" w:eastAsiaTheme="minorEastAsia" w:hAnsiTheme="minorHAnsi" w:cstheme="minorBidi"/>
          <w:b w:val="0"/>
          <w:bCs w:val="0"/>
          <w:sz w:val="22"/>
          <w:szCs w:val="22"/>
          <w:lang w:eastAsia="zh-CN"/>
        </w:rPr>
      </w:pPr>
      <w:hyperlink w:anchor="_Toc379198859" w:history="1">
        <w:r w:rsidR="00580132" w:rsidRPr="00241EBB">
          <w:rPr>
            <w:rStyle w:val="Hyperlink"/>
          </w:rPr>
          <w:t>Annex 2: References</w:t>
        </w:r>
        <w:r w:rsidR="00580132">
          <w:rPr>
            <w:webHidden/>
          </w:rPr>
          <w:tab/>
        </w:r>
        <w:r w:rsidR="006A0D88">
          <w:rPr>
            <w:webHidden/>
          </w:rPr>
          <w:tab/>
        </w:r>
        <w:r w:rsidR="00580132">
          <w:rPr>
            <w:webHidden/>
          </w:rPr>
          <w:fldChar w:fldCharType="begin"/>
        </w:r>
        <w:r w:rsidR="00580132">
          <w:rPr>
            <w:webHidden/>
          </w:rPr>
          <w:instrText xml:space="preserve"> PAGEREF _Toc379198859 \h </w:instrText>
        </w:r>
        <w:r w:rsidR="00580132">
          <w:rPr>
            <w:webHidden/>
          </w:rPr>
        </w:r>
        <w:r w:rsidR="00580132">
          <w:rPr>
            <w:webHidden/>
          </w:rPr>
          <w:fldChar w:fldCharType="separate"/>
        </w:r>
        <w:r w:rsidR="009D3339">
          <w:rPr>
            <w:webHidden/>
          </w:rPr>
          <w:t>32</w:t>
        </w:r>
        <w:r w:rsidR="00580132">
          <w:rPr>
            <w:webHidden/>
          </w:rPr>
          <w:fldChar w:fldCharType="end"/>
        </w:r>
      </w:hyperlink>
    </w:p>
    <w:p w:rsidR="00580132" w:rsidRDefault="00580132" w:rsidP="00D240F2">
      <w:pPr>
        <w:rPr>
          <w:rFonts w:cs="Helvetica"/>
          <w:b/>
          <w:bCs/>
          <w:noProof/>
          <w:szCs w:val="28"/>
          <w:lang w:val="en-GB" w:eastAsia="zh-CN"/>
        </w:rPr>
      </w:pPr>
      <w:r>
        <w:rPr>
          <w:rFonts w:cs="Helvetica"/>
          <w:b/>
          <w:bCs/>
          <w:noProof/>
          <w:szCs w:val="28"/>
          <w:lang w:val="en-GB" w:eastAsia="zh-CN"/>
        </w:rPr>
        <w:fldChar w:fldCharType="end"/>
      </w:r>
    </w:p>
    <w:p w:rsidR="00580132" w:rsidRPr="00595E56" w:rsidRDefault="00376FF1" w:rsidP="00D240F2">
      <w:pPr>
        <w:rPr>
          <w:rFonts w:cs="Helvetica"/>
          <w:b/>
          <w:bCs/>
          <w:noProof/>
          <w:szCs w:val="21"/>
          <w:lang w:val="es-ES_tradnl" w:eastAsia="zh-CN"/>
        </w:rPr>
      </w:pPr>
      <w:r w:rsidRPr="00595E56">
        <w:rPr>
          <w:rFonts w:cs="Helvetica"/>
          <w:b/>
          <w:bCs/>
          <w:noProof/>
          <w:szCs w:val="21"/>
          <w:lang w:val="es-ES_tradnl" w:eastAsia="zh-CN"/>
        </w:rPr>
        <w:t>Figuras y cuadros</w:t>
      </w:r>
    </w:p>
    <w:p w:rsidR="00580132" w:rsidRPr="00595E56" w:rsidRDefault="008B0370" w:rsidP="00E002E2">
      <w:pPr>
        <w:pStyle w:val="TOC1"/>
        <w:tabs>
          <w:tab w:val="clear" w:pos="567"/>
          <w:tab w:val="left" w:pos="993"/>
        </w:tabs>
        <w:rPr>
          <w:rFonts w:asciiTheme="minorHAnsi" w:eastAsiaTheme="minorEastAsia" w:hAnsiTheme="minorHAnsi" w:cstheme="minorBidi"/>
          <w:b w:val="0"/>
          <w:bCs w:val="0"/>
          <w:szCs w:val="21"/>
          <w:lang w:val="es-ES_tradnl" w:eastAsia="zh-CN"/>
        </w:rPr>
      </w:pPr>
      <w:r w:rsidRPr="00595E56">
        <w:rPr>
          <w:rFonts w:asciiTheme="minorHAnsi" w:eastAsiaTheme="minorEastAsia" w:hAnsiTheme="minorHAnsi" w:cstheme="minorBidi"/>
          <w:b w:val="0"/>
          <w:bCs w:val="0"/>
          <w:szCs w:val="21"/>
          <w:lang w:val="es-ES_tradnl" w:eastAsia="zh-CN"/>
        </w:rPr>
        <w:t>Figura</w:t>
      </w:r>
      <w:r w:rsidR="00E002E2" w:rsidRPr="00595E56">
        <w:rPr>
          <w:rFonts w:asciiTheme="minorHAnsi" w:eastAsiaTheme="minorEastAsia" w:hAnsiTheme="minorHAnsi" w:cstheme="minorBidi"/>
          <w:b w:val="0"/>
          <w:bCs w:val="0"/>
          <w:szCs w:val="21"/>
          <w:lang w:val="es-ES_tradnl" w:eastAsia="zh-CN"/>
        </w:rPr>
        <w:t xml:space="preserve"> 1:</w:t>
      </w:r>
      <w:r w:rsidR="00E002E2" w:rsidRPr="00595E56">
        <w:rPr>
          <w:rFonts w:asciiTheme="minorHAnsi" w:eastAsiaTheme="minorEastAsia" w:hAnsiTheme="minorHAnsi" w:cstheme="minorBidi"/>
          <w:b w:val="0"/>
          <w:bCs w:val="0"/>
          <w:szCs w:val="21"/>
          <w:lang w:val="es-ES_tradnl" w:eastAsia="zh-CN"/>
        </w:rPr>
        <w:tab/>
      </w:r>
      <w:r w:rsidRPr="00595E56">
        <w:rPr>
          <w:rFonts w:asciiTheme="minorHAnsi" w:eastAsiaTheme="minorEastAsia" w:hAnsiTheme="minorHAnsi" w:cstheme="minorBidi"/>
          <w:b w:val="0"/>
          <w:bCs w:val="0"/>
          <w:szCs w:val="21"/>
          <w:lang w:val="es-ES_tradnl" w:eastAsia="zh-CN"/>
        </w:rPr>
        <w:t>Criterios utilizados para determinar la "posición dominante"</w:t>
      </w:r>
      <w:r w:rsidRPr="00595E56">
        <w:rPr>
          <w:rFonts w:asciiTheme="minorHAnsi" w:eastAsiaTheme="minorEastAsia" w:hAnsiTheme="minorHAnsi" w:cstheme="minorBidi"/>
          <w:b w:val="0"/>
          <w:bCs w:val="0"/>
          <w:szCs w:val="21"/>
          <w:lang w:val="es-ES_tradnl" w:eastAsia="zh-CN"/>
        </w:rPr>
        <w:tab/>
      </w:r>
      <w:r w:rsidRPr="00595E56">
        <w:rPr>
          <w:rFonts w:asciiTheme="minorHAnsi" w:eastAsiaTheme="minorEastAsia" w:hAnsiTheme="minorHAnsi" w:cstheme="minorBidi"/>
          <w:b w:val="0"/>
          <w:bCs w:val="0"/>
          <w:szCs w:val="21"/>
          <w:lang w:val="es-ES_tradnl" w:eastAsia="zh-CN"/>
        </w:rPr>
        <w:tab/>
        <w:t>5</w:t>
      </w:r>
    </w:p>
    <w:p w:rsidR="008B0370" w:rsidRPr="00595E56" w:rsidRDefault="008B0370" w:rsidP="00E002E2">
      <w:pPr>
        <w:pStyle w:val="TOC1"/>
        <w:tabs>
          <w:tab w:val="clear" w:pos="567"/>
          <w:tab w:val="left" w:pos="993"/>
        </w:tabs>
        <w:rPr>
          <w:rFonts w:asciiTheme="minorHAnsi" w:eastAsiaTheme="minorEastAsia" w:hAnsiTheme="minorHAnsi" w:cstheme="minorBidi"/>
          <w:b w:val="0"/>
          <w:bCs w:val="0"/>
          <w:szCs w:val="21"/>
          <w:lang w:val="es-ES_tradnl" w:eastAsia="zh-CN"/>
        </w:rPr>
      </w:pPr>
      <w:r w:rsidRPr="00595E56">
        <w:rPr>
          <w:rFonts w:asciiTheme="minorHAnsi" w:eastAsiaTheme="minorEastAsia" w:hAnsiTheme="minorHAnsi" w:cstheme="minorBidi"/>
          <w:b w:val="0"/>
          <w:bCs w:val="0"/>
          <w:szCs w:val="21"/>
          <w:lang w:val="es-ES_tradnl" w:eastAsia="zh-CN"/>
        </w:rPr>
        <w:t>Figura 2</w:t>
      </w:r>
      <w:r w:rsidR="00E002E2" w:rsidRPr="00595E56">
        <w:rPr>
          <w:rFonts w:asciiTheme="minorHAnsi" w:eastAsiaTheme="minorEastAsia" w:hAnsiTheme="minorHAnsi" w:cstheme="minorBidi"/>
          <w:b w:val="0"/>
          <w:bCs w:val="0"/>
          <w:szCs w:val="21"/>
          <w:lang w:val="es-ES_tradnl" w:eastAsia="zh-CN"/>
        </w:rPr>
        <w:t>:</w:t>
      </w:r>
      <w:r w:rsidR="00E002E2" w:rsidRPr="00595E56">
        <w:rPr>
          <w:rFonts w:asciiTheme="minorHAnsi" w:eastAsiaTheme="minorEastAsia" w:hAnsiTheme="minorHAnsi" w:cstheme="minorBidi"/>
          <w:b w:val="0"/>
          <w:bCs w:val="0"/>
          <w:szCs w:val="21"/>
          <w:lang w:val="es-ES_tradnl" w:eastAsia="zh-CN"/>
        </w:rPr>
        <w:tab/>
      </w:r>
      <w:r w:rsidRPr="00595E56">
        <w:rPr>
          <w:rFonts w:asciiTheme="minorHAnsi" w:eastAsiaTheme="minorEastAsia" w:hAnsiTheme="minorHAnsi" w:cstheme="minorBidi"/>
          <w:b w:val="0"/>
          <w:bCs w:val="0"/>
          <w:szCs w:val="21"/>
          <w:lang w:val="es-ES_tradnl" w:eastAsia="zh-CN"/>
        </w:rPr>
        <w:t>Competencia en algunos servicios de banda ancha a nivel mundial, 2012</w:t>
      </w:r>
      <w:r w:rsidRPr="00595E56">
        <w:rPr>
          <w:rFonts w:asciiTheme="minorHAnsi" w:eastAsiaTheme="minorEastAsia" w:hAnsiTheme="minorHAnsi" w:cstheme="minorBidi"/>
          <w:b w:val="0"/>
          <w:bCs w:val="0"/>
          <w:szCs w:val="21"/>
          <w:lang w:val="es-ES_tradnl" w:eastAsia="zh-CN"/>
        </w:rPr>
        <w:tab/>
      </w:r>
      <w:r w:rsidRPr="00595E56">
        <w:rPr>
          <w:rFonts w:asciiTheme="minorHAnsi" w:eastAsiaTheme="minorEastAsia" w:hAnsiTheme="minorHAnsi" w:cstheme="minorBidi"/>
          <w:b w:val="0"/>
          <w:bCs w:val="0"/>
          <w:szCs w:val="21"/>
          <w:lang w:val="es-ES_tradnl" w:eastAsia="zh-CN"/>
        </w:rPr>
        <w:tab/>
        <w:t>10</w:t>
      </w:r>
    </w:p>
    <w:p w:rsidR="008B0370" w:rsidRPr="00595E56" w:rsidRDefault="008B0370" w:rsidP="00E002E2">
      <w:pPr>
        <w:pStyle w:val="TOC1"/>
        <w:tabs>
          <w:tab w:val="clear" w:pos="567"/>
          <w:tab w:val="left" w:pos="993"/>
        </w:tabs>
        <w:rPr>
          <w:rFonts w:asciiTheme="minorHAnsi" w:eastAsiaTheme="minorEastAsia" w:hAnsiTheme="minorHAnsi" w:cstheme="minorBidi"/>
          <w:b w:val="0"/>
          <w:bCs w:val="0"/>
          <w:szCs w:val="21"/>
          <w:lang w:val="es-ES_tradnl" w:eastAsia="zh-CN"/>
        </w:rPr>
      </w:pPr>
      <w:r w:rsidRPr="00595E56">
        <w:rPr>
          <w:rFonts w:asciiTheme="minorHAnsi" w:eastAsiaTheme="minorEastAsia" w:hAnsiTheme="minorHAnsi" w:cstheme="minorBidi"/>
          <w:b w:val="0"/>
          <w:bCs w:val="0"/>
          <w:szCs w:val="21"/>
          <w:lang w:val="es-ES_tradnl" w:eastAsia="zh-CN"/>
        </w:rPr>
        <w:t>Figura 3</w:t>
      </w:r>
      <w:r w:rsidR="00E002E2" w:rsidRPr="00595E56">
        <w:rPr>
          <w:rFonts w:asciiTheme="minorHAnsi" w:eastAsiaTheme="minorEastAsia" w:hAnsiTheme="minorHAnsi" w:cstheme="minorBidi"/>
          <w:b w:val="0"/>
          <w:bCs w:val="0"/>
          <w:szCs w:val="21"/>
          <w:lang w:val="es-ES_tradnl" w:eastAsia="zh-CN"/>
        </w:rPr>
        <w:t>:</w:t>
      </w:r>
      <w:r w:rsidR="00E002E2" w:rsidRPr="00595E56">
        <w:rPr>
          <w:rFonts w:asciiTheme="minorHAnsi" w:eastAsiaTheme="minorEastAsia" w:hAnsiTheme="minorHAnsi" w:cstheme="minorBidi"/>
          <w:b w:val="0"/>
          <w:bCs w:val="0"/>
          <w:szCs w:val="21"/>
          <w:lang w:val="es-ES_tradnl" w:eastAsia="zh-CN"/>
        </w:rPr>
        <w:tab/>
      </w:r>
      <w:r w:rsidRPr="00595E56">
        <w:rPr>
          <w:rFonts w:asciiTheme="minorHAnsi" w:eastAsiaTheme="minorEastAsia" w:hAnsiTheme="minorHAnsi" w:cstheme="minorBidi"/>
          <w:b w:val="0"/>
          <w:bCs w:val="0"/>
          <w:szCs w:val="21"/>
          <w:lang w:val="es-ES_tradnl" w:eastAsia="zh-CN"/>
        </w:rPr>
        <w:t>Evolución global de las TIC y penetración de banda ancha, 2008-2013</w:t>
      </w:r>
      <w:r w:rsidRPr="00595E56">
        <w:rPr>
          <w:rFonts w:asciiTheme="minorHAnsi" w:eastAsiaTheme="minorEastAsia" w:hAnsiTheme="minorHAnsi" w:cstheme="minorBidi"/>
          <w:b w:val="0"/>
          <w:bCs w:val="0"/>
          <w:szCs w:val="21"/>
          <w:lang w:val="es-ES_tradnl" w:eastAsia="zh-CN"/>
        </w:rPr>
        <w:tab/>
      </w:r>
      <w:r w:rsidRPr="00595E56">
        <w:rPr>
          <w:rFonts w:asciiTheme="minorHAnsi" w:eastAsiaTheme="minorEastAsia" w:hAnsiTheme="minorHAnsi" w:cstheme="minorBidi"/>
          <w:b w:val="0"/>
          <w:bCs w:val="0"/>
          <w:szCs w:val="21"/>
          <w:lang w:val="es-ES_tradnl" w:eastAsia="zh-CN"/>
        </w:rPr>
        <w:tab/>
        <w:t>11</w:t>
      </w:r>
    </w:p>
    <w:p w:rsidR="008B0370" w:rsidRPr="00595E56" w:rsidRDefault="008B0370" w:rsidP="00E002E2">
      <w:pPr>
        <w:pStyle w:val="TOC1"/>
        <w:tabs>
          <w:tab w:val="clear" w:pos="567"/>
          <w:tab w:val="left" w:pos="993"/>
        </w:tabs>
        <w:rPr>
          <w:rFonts w:asciiTheme="minorHAnsi" w:eastAsiaTheme="minorEastAsia" w:hAnsiTheme="minorHAnsi" w:cstheme="minorBidi"/>
          <w:b w:val="0"/>
          <w:bCs w:val="0"/>
          <w:szCs w:val="21"/>
          <w:lang w:val="es-ES_tradnl" w:eastAsia="zh-CN"/>
        </w:rPr>
      </w:pPr>
      <w:r w:rsidRPr="00595E56">
        <w:rPr>
          <w:rFonts w:asciiTheme="minorHAnsi" w:eastAsiaTheme="minorEastAsia" w:hAnsiTheme="minorHAnsi" w:cstheme="minorBidi"/>
          <w:b w:val="0"/>
          <w:bCs w:val="0"/>
          <w:szCs w:val="21"/>
          <w:lang w:val="es-ES_tradnl" w:eastAsia="zh-CN"/>
        </w:rPr>
        <w:t>Figura 4</w:t>
      </w:r>
      <w:r w:rsidR="00E002E2" w:rsidRPr="00595E56">
        <w:rPr>
          <w:rFonts w:asciiTheme="minorHAnsi" w:eastAsiaTheme="minorEastAsia" w:hAnsiTheme="minorHAnsi" w:cstheme="minorBidi"/>
          <w:b w:val="0"/>
          <w:bCs w:val="0"/>
          <w:szCs w:val="21"/>
          <w:lang w:val="es-ES_tradnl" w:eastAsia="zh-CN"/>
        </w:rPr>
        <w:t>:</w:t>
      </w:r>
      <w:r w:rsidR="00E002E2" w:rsidRPr="00595E56">
        <w:rPr>
          <w:rFonts w:asciiTheme="minorHAnsi" w:eastAsiaTheme="minorEastAsia" w:hAnsiTheme="minorHAnsi" w:cstheme="minorBidi"/>
          <w:b w:val="0"/>
          <w:bCs w:val="0"/>
          <w:szCs w:val="21"/>
          <w:lang w:val="es-ES_tradnl" w:eastAsia="zh-CN"/>
        </w:rPr>
        <w:tab/>
      </w:r>
      <w:r w:rsidRPr="00595E56">
        <w:rPr>
          <w:rFonts w:asciiTheme="minorHAnsi" w:eastAsiaTheme="minorEastAsia" w:hAnsiTheme="minorHAnsi" w:cstheme="minorBidi"/>
          <w:b w:val="0"/>
          <w:bCs w:val="0"/>
          <w:szCs w:val="21"/>
          <w:lang w:val="es-ES_tradnl" w:eastAsia="zh-CN"/>
        </w:rPr>
        <w:t>Regulación de la compartición de infraestructura, 2012</w:t>
      </w:r>
      <w:r w:rsidRPr="00595E56">
        <w:rPr>
          <w:rFonts w:asciiTheme="minorHAnsi" w:eastAsiaTheme="minorEastAsia" w:hAnsiTheme="minorHAnsi" w:cstheme="minorBidi"/>
          <w:b w:val="0"/>
          <w:bCs w:val="0"/>
          <w:szCs w:val="21"/>
          <w:lang w:val="es-ES_tradnl" w:eastAsia="zh-CN"/>
        </w:rPr>
        <w:tab/>
      </w:r>
      <w:r w:rsidRPr="00595E56">
        <w:rPr>
          <w:rFonts w:asciiTheme="minorHAnsi" w:eastAsiaTheme="minorEastAsia" w:hAnsiTheme="minorHAnsi" w:cstheme="minorBidi"/>
          <w:b w:val="0"/>
          <w:bCs w:val="0"/>
          <w:szCs w:val="21"/>
          <w:lang w:val="es-ES_tradnl" w:eastAsia="zh-CN"/>
        </w:rPr>
        <w:tab/>
        <w:t>13</w:t>
      </w:r>
    </w:p>
    <w:p w:rsidR="006570A8" w:rsidRPr="00595E56" w:rsidRDefault="008B0370" w:rsidP="00E002E2">
      <w:pPr>
        <w:pStyle w:val="TOC1"/>
        <w:tabs>
          <w:tab w:val="clear" w:pos="567"/>
          <w:tab w:val="left" w:pos="993"/>
        </w:tabs>
        <w:rPr>
          <w:rFonts w:asciiTheme="minorHAnsi" w:eastAsiaTheme="minorEastAsia" w:hAnsiTheme="minorHAnsi" w:cstheme="minorBidi"/>
          <w:b w:val="0"/>
          <w:bCs w:val="0"/>
          <w:szCs w:val="21"/>
          <w:lang w:val="es-ES_tradnl" w:eastAsia="zh-CN"/>
        </w:rPr>
      </w:pPr>
      <w:r w:rsidRPr="00595E56">
        <w:rPr>
          <w:rFonts w:asciiTheme="minorHAnsi" w:eastAsiaTheme="minorEastAsia" w:hAnsiTheme="minorHAnsi" w:cstheme="minorBidi"/>
          <w:b w:val="0"/>
          <w:bCs w:val="0"/>
          <w:szCs w:val="21"/>
          <w:lang w:val="es-ES_tradnl" w:eastAsia="zh-CN"/>
        </w:rPr>
        <w:t>Figura 5:</w:t>
      </w:r>
      <w:r w:rsidR="00E002E2" w:rsidRPr="00595E56">
        <w:rPr>
          <w:rFonts w:asciiTheme="minorHAnsi" w:eastAsiaTheme="minorEastAsia" w:hAnsiTheme="minorHAnsi" w:cstheme="minorBidi"/>
          <w:b w:val="0"/>
          <w:bCs w:val="0"/>
          <w:szCs w:val="21"/>
          <w:lang w:val="es-ES_tradnl" w:eastAsia="zh-CN"/>
        </w:rPr>
        <w:tab/>
      </w:r>
      <w:r w:rsidRPr="00595E56">
        <w:rPr>
          <w:rFonts w:asciiTheme="minorHAnsi" w:eastAsiaTheme="minorEastAsia" w:hAnsiTheme="minorHAnsi" w:cstheme="minorBidi"/>
          <w:b w:val="0"/>
          <w:bCs w:val="0"/>
          <w:szCs w:val="21"/>
          <w:lang w:val="es-ES_tradnl" w:eastAsia="zh-CN"/>
        </w:rPr>
        <w:t xml:space="preserve">Legislación y regulación específicas de protección del consumidor de </w:t>
      </w:r>
      <w:r w:rsidRPr="00595E56">
        <w:rPr>
          <w:rFonts w:asciiTheme="minorHAnsi" w:eastAsiaTheme="minorEastAsia" w:hAnsiTheme="minorHAnsi" w:cstheme="minorBidi"/>
          <w:b w:val="0"/>
          <w:bCs w:val="0"/>
          <w:szCs w:val="21"/>
          <w:lang w:val="es-ES_tradnl" w:eastAsia="zh-CN"/>
        </w:rPr>
        <w:br/>
      </w:r>
      <w:r w:rsidR="00014747" w:rsidRPr="00595E56">
        <w:rPr>
          <w:rFonts w:asciiTheme="minorHAnsi" w:eastAsiaTheme="minorEastAsia" w:hAnsiTheme="minorHAnsi" w:cstheme="minorBidi"/>
          <w:b w:val="0"/>
          <w:bCs w:val="0"/>
          <w:szCs w:val="21"/>
          <w:lang w:val="es-ES_tradnl" w:eastAsia="zh-CN"/>
        </w:rPr>
        <w:tab/>
      </w:r>
      <w:r w:rsidRPr="00595E56">
        <w:rPr>
          <w:rFonts w:asciiTheme="minorHAnsi" w:eastAsiaTheme="minorEastAsia" w:hAnsiTheme="minorHAnsi" w:cstheme="minorBidi"/>
          <w:b w:val="0"/>
          <w:bCs w:val="0"/>
          <w:szCs w:val="21"/>
          <w:lang w:val="es-ES_tradnl" w:eastAsia="zh-CN"/>
        </w:rPr>
        <w:t>telecomunicaciones, por Región, 2012</w:t>
      </w:r>
      <w:r w:rsidRPr="00595E56">
        <w:rPr>
          <w:rFonts w:asciiTheme="minorHAnsi" w:eastAsiaTheme="minorEastAsia" w:hAnsiTheme="minorHAnsi" w:cstheme="minorBidi"/>
          <w:b w:val="0"/>
          <w:bCs w:val="0"/>
          <w:szCs w:val="21"/>
          <w:lang w:val="es-ES_tradnl" w:eastAsia="zh-CN"/>
        </w:rPr>
        <w:tab/>
      </w:r>
      <w:r w:rsidRPr="00595E56">
        <w:rPr>
          <w:rFonts w:asciiTheme="minorHAnsi" w:eastAsiaTheme="minorEastAsia" w:hAnsiTheme="minorHAnsi" w:cstheme="minorBidi"/>
          <w:b w:val="0"/>
          <w:bCs w:val="0"/>
          <w:szCs w:val="21"/>
          <w:lang w:val="es-ES_tradnl" w:eastAsia="zh-CN"/>
        </w:rPr>
        <w:tab/>
        <w:t>14</w:t>
      </w:r>
    </w:p>
    <w:p w:rsidR="00423187" w:rsidRPr="00595E56" w:rsidRDefault="00423187" w:rsidP="00E002E2">
      <w:pPr>
        <w:pStyle w:val="TOC1"/>
        <w:tabs>
          <w:tab w:val="clear" w:pos="567"/>
          <w:tab w:val="left" w:pos="993"/>
        </w:tabs>
        <w:rPr>
          <w:b w:val="0"/>
          <w:bCs w:val="0"/>
          <w:szCs w:val="21"/>
          <w:lang w:val="es-ES_tradnl" w:eastAsia="zh-CN"/>
        </w:rPr>
      </w:pPr>
      <w:r w:rsidRPr="00595E56">
        <w:rPr>
          <w:b w:val="0"/>
          <w:bCs w:val="0"/>
          <w:szCs w:val="21"/>
          <w:lang w:val="es-ES_tradnl"/>
        </w:rPr>
        <w:t>Figura 6:</w:t>
      </w:r>
      <w:r w:rsidR="00E002E2" w:rsidRPr="00595E56">
        <w:rPr>
          <w:b w:val="0"/>
          <w:bCs w:val="0"/>
          <w:szCs w:val="21"/>
          <w:lang w:val="es-ES_tradnl"/>
        </w:rPr>
        <w:tab/>
      </w:r>
      <w:r w:rsidRPr="00595E56">
        <w:rPr>
          <w:b w:val="0"/>
          <w:bCs w:val="0"/>
          <w:szCs w:val="21"/>
          <w:lang w:val="es-ES_tradnl"/>
        </w:rPr>
        <w:t>Autoridad encargada de los problemas de competencia en el sector de las</w:t>
      </w:r>
      <w:r w:rsidRPr="00595E56">
        <w:rPr>
          <w:b w:val="0"/>
          <w:bCs w:val="0"/>
          <w:szCs w:val="21"/>
          <w:lang w:val="es-ES_tradnl"/>
        </w:rPr>
        <w:br/>
      </w:r>
      <w:r w:rsidRPr="00595E56">
        <w:rPr>
          <w:b w:val="0"/>
          <w:bCs w:val="0"/>
          <w:szCs w:val="21"/>
          <w:lang w:val="es-ES_tradnl"/>
        </w:rPr>
        <w:tab/>
        <w:t>telecomunicaciones, 2012</w:t>
      </w:r>
      <w:r w:rsidRPr="00595E56">
        <w:rPr>
          <w:b w:val="0"/>
          <w:bCs w:val="0"/>
          <w:szCs w:val="21"/>
          <w:lang w:val="es-ES_tradnl"/>
        </w:rPr>
        <w:tab/>
      </w:r>
      <w:r w:rsidRPr="00595E56">
        <w:rPr>
          <w:b w:val="0"/>
          <w:bCs w:val="0"/>
          <w:szCs w:val="21"/>
          <w:lang w:val="es-ES_tradnl"/>
        </w:rPr>
        <w:tab/>
        <w:t>19</w:t>
      </w:r>
    </w:p>
    <w:p w:rsidR="00423187" w:rsidRPr="00595E56" w:rsidRDefault="00423187" w:rsidP="00E002E2">
      <w:pPr>
        <w:pStyle w:val="TOC1"/>
        <w:tabs>
          <w:tab w:val="clear" w:pos="567"/>
          <w:tab w:val="left" w:pos="993"/>
        </w:tabs>
        <w:rPr>
          <w:b w:val="0"/>
          <w:bCs w:val="0"/>
          <w:szCs w:val="21"/>
          <w:lang w:val="es-ES_tradnl" w:eastAsia="zh-CN"/>
        </w:rPr>
      </w:pPr>
      <w:r w:rsidRPr="00595E56">
        <w:rPr>
          <w:b w:val="0"/>
          <w:bCs w:val="0"/>
          <w:szCs w:val="21"/>
          <w:lang w:val="es-ES_tradnl"/>
        </w:rPr>
        <w:t>Figura 7:</w:t>
      </w:r>
      <w:r w:rsidR="00E002E2" w:rsidRPr="00595E56">
        <w:rPr>
          <w:b w:val="0"/>
          <w:bCs w:val="0"/>
          <w:szCs w:val="21"/>
          <w:lang w:val="es-ES_tradnl"/>
        </w:rPr>
        <w:tab/>
      </w:r>
      <w:r w:rsidRPr="00595E56">
        <w:rPr>
          <w:b w:val="0"/>
          <w:bCs w:val="0"/>
          <w:szCs w:val="21"/>
          <w:lang w:val="es-ES_tradnl"/>
        </w:rPr>
        <w:t>Instrumentos jurídicos que definen la competencia, 2012</w:t>
      </w:r>
      <w:r w:rsidRPr="00595E56">
        <w:rPr>
          <w:b w:val="0"/>
          <w:bCs w:val="0"/>
          <w:szCs w:val="21"/>
          <w:lang w:val="es-ES_tradnl"/>
        </w:rPr>
        <w:tab/>
      </w:r>
      <w:r w:rsidRPr="00595E56">
        <w:rPr>
          <w:b w:val="0"/>
          <w:bCs w:val="0"/>
          <w:szCs w:val="21"/>
          <w:lang w:val="es-ES_tradnl"/>
        </w:rPr>
        <w:tab/>
        <w:t>19</w:t>
      </w:r>
    </w:p>
    <w:p w:rsidR="00D240F2" w:rsidRPr="00595E56" w:rsidRDefault="008B0370" w:rsidP="00E002E2">
      <w:pPr>
        <w:pStyle w:val="TOC1"/>
        <w:tabs>
          <w:tab w:val="clear" w:pos="567"/>
          <w:tab w:val="left" w:pos="993"/>
        </w:tabs>
        <w:rPr>
          <w:b w:val="0"/>
          <w:bCs w:val="0"/>
          <w:szCs w:val="21"/>
          <w:lang w:val="es-ES_tradnl"/>
        </w:rPr>
      </w:pPr>
      <w:r w:rsidRPr="00595E56">
        <w:rPr>
          <w:b w:val="0"/>
          <w:bCs w:val="0"/>
          <w:szCs w:val="21"/>
          <w:lang w:val="es-ES_tradnl"/>
        </w:rPr>
        <w:t xml:space="preserve">Cuadro 1: </w:t>
      </w:r>
      <w:r w:rsidR="00E002E2" w:rsidRPr="00595E56">
        <w:rPr>
          <w:b w:val="0"/>
          <w:bCs w:val="0"/>
          <w:szCs w:val="21"/>
          <w:lang w:val="es-ES_tradnl"/>
        </w:rPr>
        <w:tab/>
      </w:r>
      <w:r w:rsidRPr="00595E56">
        <w:rPr>
          <w:b w:val="0"/>
          <w:bCs w:val="0"/>
          <w:szCs w:val="21"/>
          <w:lang w:val="es-ES_tradnl"/>
        </w:rPr>
        <w:t>Países con información sobre competencia</w:t>
      </w:r>
      <w:r w:rsidRPr="00595E56">
        <w:rPr>
          <w:b w:val="0"/>
          <w:bCs w:val="0"/>
          <w:szCs w:val="21"/>
          <w:lang w:val="es-ES_tradnl"/>
        </w:rPr>
        <w:tab/>
      </w:r>
      <w:r w:rsidRPr="00595E56">
        <w:rPr>
          <w:b w:val="0"/>
          <w:bCs w:val="0"/>
          <w:szCs w:val="21"/>
          <w:lang w:val="es-ES_tradnl"/>
        </w:rPr>
        <w:tab/>
        <w:t>4</w:t>
      </w:r>
    </w:p>
    <w:p w:rsidR="008B0370" w:rsidRPr="00595E56" w:rsidRDefault="008B0370" w:rsidP="00E002E2">
      <w:pPr>
        <w:pStyle w:val="TOC1"/>
        <w:tabs>
          <w:tab w:val="clear" w:pos="567"/>
          <w:tab w:val="left" w:pos="993"/>
        </w:tabs>
        <w:rPr>
          <w:b w:val="0"/>
          <w:bCs w:val="0"/>
          <w:szCs w:val="21"/>
          <w:lang w:val="es-ES_tradnl" w:eastAsia="zh-CN"/>
        </w:rPr>
      </w:pPr>
      <w:r w:rsidRPr="00595E56">
        <w:rPr>
          <w:b w:val="0"/>
          <w:bCs w:val="0"/>
          <w:szCs w:val="21"/>
          <w:lang w:val="es-ES_tradnl"/>
        </w:rPr>
        <w:t xml:space="preserve">Cuadro 2: </w:t>
      </w:r>
      <w:r w:rsidR="00E002E2" w:rsidRPr="00595E56">
        <w:rPr>
          <w:b w:val="0"/>
          <w:bCs w:val="0"/>
          <w:szCs w:val="21"/>
          <w:lang w:val="es-ES_tradnl"/>
        </w:rPr>
        <w:tab/>
      </w:r>
      <w:r w:rsidRPr="00595E56">
        <w:rPr>
          <w:b w:val="0"/>
          <w:bCs w:val="0"/>
          <w:szCs w:val="21"/>
          <w:lang w:val="es-ES_tradnl"/>
        </w:rPr>
        <w:t>Prácticas y comportamientos contrarios a la competencia</w:t>
      </w:r>
      <w:r w:rsidRPr="00595E56">
        <w:rPr>
          <w:b w:val="0"/>
          <w:bCs w:val="0"/>
          <w:szCs w:val="21"/>
          <w:lang w:val="es-ES_tradnl"/>
        </w:rPr>
        <w:tab/>
      </w:r>
      <w:r w:rsidRPr="00595E56">
        <w:rPr>
          <w:b w:val="0"/>
          <w:bCs w:val="0"/>
          <w:szCs w:val="21"/>
          <w:lang w:val="es-ES_tradnl"/>
        </w:rPr>
        <w:tab/>
        <w:t>17</w:t>
      </w:r>
    </w:p>
    <w:p w:rsidR="00D240F2" w:rsidRDefault="00D240F2" w:rsidP="00D240F2">
      <w:pPr>
        <w:rPr>
          <w:noProof/>
          <w:lang w:val="es-ES_tradnl" w:eastAsia="zh-CN"/>
        </w:rPr>
      </w:pPr>
    </w:p>
    <w:p w:rsidR="003B6677" w:rsidRPr="008B0370" w:rsidRDefault="003B6677" w:rsidP="00D240F2">
      <w:pPr>
        <w:rPr>
          <w:noProof/>
          <w:lang w:val="es-ES_tradnl" w:eastAsia="zh-CN"/>
        </w:rPr>
      </w:pPr>
    </w:p>
    <w:p w:rsidR="00D240F2" w:rsidRPr="008B0370" w:rsidRDefault="00D240F2" w:rsidP="00D240F2">
      <w:pPr>
        <w:rPr>
          <w:lang w:val="es-ES_tradnl"/>
        </w:rPr>
        <w:sectPr w:rsidR="00D240F2" w:rsidRPr="008B0370" w:rsidSect="00AD5D4C">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9" w:name="_Toc220575896"/>
      <w:bookmarkStart w:id="10" w:name="_Toc239479602"/>
      <w:bookmarkStart w:id="11" w:name="_Toc298922036"/>
    </w:p>
    <w:p w:rsidR="007E3BE9" w:rsidRDefault="00971D03" w:rsidP="007E3BE9">
      <w:pPr>
        <w:pStyle w:val="Chapttitle"/>
        <w:spacing w:before="240" w:line="440" w:lineRule="exact"/>
        <w:rPr>
          <w:lang w:val="es-ES_tradnl"/>
        </w:rPr>
      </w:pPr>
      <w:bookmarkStart w:id="12" w:name="_Toc375046953"/>
      <w:bookmarkStart w:id="13" w:name="_Toc379198822"/>
      <w:bookmarkEnd w:id="6"/>
      <w:bookmarkEnd w:id="7"/>
      <w:bookmarkEnd w:id="9"/>
      <w:bookmarkEnd w:id="10"/>
      <w:bookmarkEnd w:id="11"/>
      <w:r w:rsidRPr="00093A2E">
        <w:rPr>
          <w:lang w:val="es-ES_tradnl"/>
        </w:rPr>
        <w:lastRenderedPageBreak/>
        <w:t xml:space="preserve">CUESTIÓN </w:t>
      </w:r>
      <w:bookmarkEnd w:id="12"/>
      <w:r w:rsidR="00AD5D4C" w:rsidRPr="00093A2E">
        <w:rPr>
          <w:lang w:val="es-ES_tradnl"/>
        </w:rPr>
        <w:t>10-3/1</w:t>
      </w:r>
      <w:bookmarkEnd w:id="13"/>
    </w:p>
    <w:p w:rsidR="00ED3677" w:rsidRPr="00093A2E" w:rsidRDefault="007E3BE9" w:rsidP="007E3BE9">
      <w:pPr>
        <w:pStyle w:val="Chapttitle"/>
        <w:spacing w:before="240" w:line="440" w:lineRule="exact"/>
        <w:rPr>
          <w:lang w:val="es-ES_tradnl"/>
        </w:rPr>
      </w:pP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p w:rsidR="00F3360B" w:rsidRPr="00093A2E" w:rsidRDefault="00F3360B" w:rsidP="00C22083">
      <w:pPr>
        <w:pStyle w:val="Heading1"/>
        <w:rPr>
          <w:lang w:val="es-ES_tradnl"/>
        </w:rPr>
      </w:pPr>
      <w:bookmarkStart w:id="14" w:name="_Toc371604064"/>
      <w:bookmarkStart w:id="15" w:name="_Toc379198823"/>
      <w:bookmarkEnd w:id="8"/>
      <w:r w:rsidRPr="00093A2E">
        <w:rPr>
          <w:lang w:val="es-ES_tradnl"/>
        </w:rPr>
        <w:t>1</w:t>
      </w:r>
      <w:r w:rsidRPr="00093A2E">
        <w:rPr>
          <w:lang w:val="es-ES_tradnl"/>
        </w:rPr>
        <w:tab/>
        <w:t>Introducción</w:t>
      </w:r>
      <w:bookmarkEnd w:id="14"/>
      <w:bookmarkEnd w:id="15"/>
    </w:p>
    <w:p w:rsidR="00F3360B" w:rsidRPr="007E3BE9" w:rsidRDefault="00F3360B" w:rsidP="00C22083">
      <w:pPr>
        <w:rPr>
          <w:spacing w:val="-4"/>
          <w:lang w:val="es-ES_tradnl"/>
        </w:rPr>
      </w:pPr>
      <w:r w:rsidRPr="007E3BE9">
        <w:rPr>
          <w:spacing w:val="-4"/>
          <w:lang w:val="es-ES_tradnl"/>
        </w:rPr>
        <w:t>En la Conferencia Mundial de Desarrollo de las Telecomunicaciones, celebrada en Hyderabad, India, en 2011 (CMDT-10), se decidió que la cuestión de las repercusiones del régimen de concesión de licencias y autorizaciones y otras medidas reglamentarias importantes sobre la competencia en un entorno de las TIC convergente era importante para todos los países, especialmente para los países en desarrollo, y que debería estudiarse más a fondo en el marco de una Cuestión revisada durante el periodo de estudio 2010</w:t>
      </w:r>
      <w:r w:rsidRPr="007E3BE9">
        <w:rPr>
          <w:spacing w:val="-4"/>
          <w:lang w:val="es-ES_tradnl"/>
        </w:rPr>
        <w:noBreakHyphen/>
        <w:t>2014.</w:t>
      </w:r>
      <w:bookmarkStart w:id="16" w:name="_Toc320092945"/>
      <w:bookmarkEnd w:id="16"/>
    </w:p>
    <w:p w:rsidR="00F3360B" w:rsidRPr="00093A2E" w:rsidRDefault="00F3360B" w:rsidP="007E3BE9">
      <w:pPr>
        <w:pStyle w:val="Heading2"/>
        <w:spacing w:before="360"/>
        <w:rPr>
          <w:lang w:val="es-ES_tradnl"/>
        </w:rPr>
      </w:pPr>
      <w:bookmarkStart w:id="17" w:name="_Toc330195673"/>
      <w:bookmarkStart w:id="18" w:name="_Toc371604065"/>
      <w:bookmarkStart w:id="19" w:name="_Toc379198824"/>
      <w:bookmarkEnd w:id="17"/>
      <w:r w:rsidRPr="00093A2E">
        <w:rPr>
          <w:lang w:val="es-ES_tradnl"/>
        </w:rPr>
        <w:t>1.1</w:t>
      </w:r>
      <w:r w:rsidRPr="00093A2E">
        <w:rPr>
          <w:lang w:val="es-ES_tradnl"/>
        </w:rPr>
        <w:tab/>
        <w:t>Objetivos de la Cuestión</w:t>
      </w:r>
      <w:bookmarkEnd w:id="18"/>
      <w:bookmarkEnd w:id="19"/>
    </w:p>
    <w:p w:rsidR="00F3360B" w:rsidRPr="00AA7E10" w:rsidRDefault="00F3360B" w:rsidP="00C22083">
      <w:pPr>
        <w:rPr>
          <w:lang w:val="es-ES_tradnl"/>
        </w:rPr>
      </w:pPr>
      <w:bookmarkStart w:id="20" w:name="_Toc330195674"/>
      <w:bookmarkEnd w:id="20"/>
      <w:r w:rsidRPr="00AA7E10">
        <w:rPr>
          <w:lang w:val="es-ES_tradnl"/>
        </w:rPr>
        <w:t xml:space="preserve">El objetivo principal de la Cuestión 10-3/1 es estudiar los siguientes temas y formular recomendaciones sobre los mismos: </w:t>
      </w:r>
    </w:p>
    <w:p w:rsidR="00F3360B" w:rsidRPr="00B17D34" w:rsidRDefault="00B17D34" w:rsidP="007E3BE9">
      <w:pPr>
        <w:pStyle w:val="Enumlevel1"/>
        <w:spacing w:before="60"/>
        <w:rPr>
          <w:lang w:val="es-ES_tradnl"/>
        </w:rPr>
      </w:pPr>
      <w:r w:rsidRPr="00B17D34">
        <w:rPr>
          <w:lang w:val="es-ES_tradnl"/>
        </w:rPr>
        <w:t>–</w:t>
      </w:r>
      <w:r w:rsidRPr="00B17D34">
        <w:rPr>
          <w:lang w:val="es-ES_tradnl"/>
        </w:rPr>
        <w:tab/>
      </w:r>
      <w:r w:rsidR="00F3360B" w:rsidRPr="00B17D34">
        <w:rPr>
          <w:lang w:val="es-ES_tradnl"/>
        </w:rPr>
        <w:t>diferentes marcos jurídicos y reglamentarios sobre la competencia en un entorno convergente;</w:t>
      </w:r>
    </w:p>
    <w:p w:rsidR="00F3360B" w:rsidRPr="00B17D34" w:rsidRDefault="00B17D34" w:rsidP="007E3BE9">
      <w:pPr>
        <w:pStyle w:val="Enumlevel1"/>
        <w:spacing w:before="60"/>
        <w:rPr>
          <w:lang w:val="es-ES_tradnl"/>
        </w:rPr>
      </w:pPr>
      <w:r w:rsidRPr="00B17D34">
        <w:rPr>
          <w:lang w:val="es-ES_tradnl"/>
        </w:rPr>
        <w:t>–</w:t>
      </w:r>
      <w:r w:rsidRPr="00B17D34">
        <w:rPr>
          <w:lang w:val="es-ES_tradnl"/>
        </w:rPr>
        <w:tab/>
      </w:r>
      <w:r w:rsidR="00F3360B" w:rsidRPr="00B17D34">
        <w:rPr>
          <w:lang w:val="es-ES_tradnl"/>
        </w:rPr>
        <w:t>repercusiones sobre la competencia de la concesión de licencias y las autorizaciones en un entorno de telecomunicaciones y TIC convergente;</w:t>
      </w:r>
    </w:p>
    <w:p w:rsidR="00F3360B" w:rsidRPr="00B17D34" w:rsidRDefault="00B17D34" w:rsidP="007E3BE9">
      <w:pPr>
        <w:pStyle w:val="Enumlevel1"/>
        <w:spacing w:before="60"/>
        <w:rPr>
          <w:lang w:val="es-ES_tradnl"/>
        </w:rPr>
      </w:pPr>
      <w:r w:rsidRPr="00B17D34">
        <w:rPr>
          <w:lang w:val="es-ES_tradnl"/>
        </w:rPr>
        <w:t>–</w:t>
      </w:r>
      <w:r w:rsidRPr="00B17D34">
        <w:rPr>
          <w:lang w:val="es-ES_tradnl"/>
        </w:rPr>
        <w:tab/>
      </w:r>
      <w:r w:rsidR="00F3360B" w:rsidRPr="00B17D34">
        <w:rPr>
          <w:lang w:val="es-ES_tradnl"/>
        </w:rPr>
        <w:t>análisis de los modelos de reglamentación para ayudar a abordar el impacto de la convergencia en los mercados de las TIC;</w:t>
      </w:r>
    </w:p>
    <w:p w:rsidR="00F3360B" w:rsidRPr="00B17D34" w:rsidRDefault="00B17D34" w:rsidP="007E3BE9">
      <w:pPr>
        <w:pStyle w:val="Enumlevel1"/>
        <w:spacing w:before="60"/>
        <w:rPr>
          <w:lang w:val="es-ES_tradnl"/>
        </w:rPr>
      </w:pPr>
      <w:r w:rsidRPr="00B17D34">
        <w:rPr>
          <w:lang w:val="es-ES_tradnl"/>
        </w:rPr>
        <w:t>–</w:t>
      </w:r>
      <w:r w:rsidRPr="00B17D34">
        <w:rPr>
          <w:lang w:val="es-ES_tradnl"/>
        </w:rPr>
        <w:tab/>
      </w:r>
      <w:r w:rsidR="00F3360B" w:rsidRPr="00B17D34">
        <w:rPr>
          <w:lang w:val="es-ES_tradnl"/>
        </w:rPr>
        <w:t>experiencias de los Estados Miembros sobre ciertos aspectos de la competencia en el sector que pongan de relieve las prácticas y conductas contrarias a la competencia, la determinación de la posición dominante en el mercado y las medidas adoptadas para prohibir las fusiones y adquisiciones que influyan negativamente en la competencia;</w:t>
      </w:r>
    </w:p>
    <w:p w:rsidR="00F3360B" w:rsidRPr="00C22083" w:rsidRDefault="00B17D34" w:rsidP="007E3BE9">
      <w:pPr>
        <w:pStyle w:val="Enumlevel1"/>
        <w:spacing w:before="60"/>
        <w:rPr>
          <w:lang w:val="es-ES_tradnl"/>
        </w:rPr>
      </w:pPr>
      <w:r w:rsidRPr="00B17D34">
        <w:rPr>
          <w:lang w:val="es-ES_tradnl"/>
        </w:rPr>
        <w:t>–</w:t>
      </w:r>
      <w:r w:rsidRPr="00B17D34">
        <w:rPr>
          <w:lang w:val="es-ES_tradnl"/>
        </w:rPr>
        <w:tab/>
      </w:r>
      <w:r w:rsidR="00F3360B" w:rsidRPr="00B17D34">
        <w:rPr>
          <w:lang w:val="es-ES_tradnl"/>
        </w:rPr>
        <w:t>función de</w:t>
      </w:r>
      <w:r w:rsidR="00F3360B" w:rsidRPr="00C22083">
        <w:rPr>
          <w:lang w:val="es-ES_tradnl"/>
        </w:rPr>
        <w:t xml:space="preserve"> los organismos reguladores y de las autoridades nacionales encargadas de la competencia para abordar la fusión de empresas que ofrecen servicios en convergencia.</w:t>
      </w:r>
    </w:p>
    <w:p w:rsidR="00F3360B" w:rsidRPr="00093A2E" w:rsidRDefault="00F3360B" w:rsidP="007E3BE9">
      <w:pPr>
        <w:pStyle w:val="Heading2"/>
        <w:spacing w:before="360"/>
        <w:rPr>
          <w:lang w:val="es-ES_tradnl"/>
        </w:rPr>
      </w:pPr>
      <w:bookmarkStart w:id="21" w:name="_Toc371604066"/>
      <w:bookmarkStart w:id="22" w:name="_Toc379198825"/>
      <w:r w:rsidRPr="00093A2E">
        <w:rPr>
          <w:lang w:val="es-ES_tradnl"/>
        </w:rPr>
        <w:t>1.2</w:t>
      </w:r>
      <w:r w:rsidRPr="00093A2E">
        <w:rPr>
          <w:lang w:val="es-ES_tradnl"/>
        </w:rPr>
        <w:tab/>
        <w:t>Resultados previstos del Estudio</w:t>
      </w:r>
      <w:bookmarkEnd w:id="21"/>
      <w:bookmarkEnd w:id="22"/>
    </w:p>
    <w:p w:rsidR="00F3360B" w:rsidRPr="00AA7E10" w:rsidRDefault="00F3360B" w:rsidP="005346DA">
      <w:pPr>
        <w:rPr>
          <w:lang w:val="es-ES_tradnl"/>
        </w:rPr>
      </w:pPr>
      <w:r w:rsidRPr="00AA7E10">
        <w:rPr>
          <w:lang w:val="es-ES_tradnl"/>
        </w:rPr>
        <w:t>Durante el periodo de estudio 2010-2014 del UIT-D, el Grupo de Relatora sobre la concesión de licencias y autorizaciones examinó diversas cuestiones relativas a las repercusiones del régimen de concesión de licencias y autorizaciones y otras medidas reglamentarias importantes en la competencia en un entorno de telecomunicaciones y TIC convergente. Tal como se indica en el presente informe, se realizó un amplio estudio que abarca los aspectos siguientes:</w:t>
      </w:r>
    </w:p>
    <w:p w:rsidR="00F3360B" w:rsidRPr="00FB059C" w:rsidRDefault="00FB059C" w:rsidP="00FB059C">
      <w:pPr>
        <w:pStyle w:val="Enumlevel1"/>
        <w:rPr>
          <w:lang w:val="es-ES_tradnl"/>
        </w:rPr>
      </w:pPr>
      <w:r w:rsidRPr="00FB059C">
        <w:rPr>
          <w:lang w:val="es-ES_tradnl"/>
        </w:rPr>
        <w:t>a)</w:t>
      </w:r>
      <w:r w:rsidRPr="00FB059C">
        <w:rPr>
          <w:lang w:val="es-ES_tradnl"/>
        </w:rPr>
        <w:tab/>
      </w:r>
      <w:r w:rsidR="00F3360B" w:rsidRPr="00FB059C">
        <w:rPr>
          <w:lang w:val="es-ES_tradnl"/>
        </w:rPr>
        <w:t>marcos legislativos para la convergencia de servicios, identificando las principales tendencias;</w:t>
      </w:r>
    </w:p>
    <w:p w:rsidR="00F3360B" w:rsidRPr="00FB059C" w:rsidRDefault="00FB059C" w:rsidP="007E3BE9">
      <w:pPr>
        <w:pStyle w:val="Enumlevel1"/>
        <w:spacing w:before="80"/>
        <w:rPr>
          <w:lang w:val="es-ES_tradnl"/>
        </w:rPr>
      </w:pPr>
      <w:r w:rsidRPr="00FB059C">
        <w:rPr>
          <w:lang w:val="es-ES_tradnl"/>
        </w:rPr>
        <w:t>b)</w:t>
      </w:r>
      <w:r w:rsidRPr="00FB059C">
        <w:rPr>
          <w:lang w:val="es-ES_tradnl"/>
        </w:rPr>
        <w:tab/>
      </w:r>
      <w:r w:rsidR="00F3360B" w:rsidRPr="00FB059C">
        <w:rPr>
          <w:lang w:val="es-ES_tradnl"/>
        </w:rPr>
        <w:t>manera en que los organismos reguladores y las autoridades encargadas de la competencia impulsan la convergencia de servicios;</w:t>
      </w:r>
    </w:p>
    <w:p w:rsidR="00F3360B" w:rsidRPr="00FB059C" w:rsidRDefault="00FB059C" w:rsidP="007E3BE9">
      <w:pPr>
        <w:pStyle w:val="Enumlevel1"/>
        <w:spacing w:before="80"/>
        <w:rPr>
          <w:lang w:val="es-ES_tradnl"/>
        </w:rPr>
      </w:pPr>
      <w:r w:rsidRPr="00FB059C">
        <w:rPr>
          <w:lang w:val="es-ES_tradnl"/>
        </w:rPr>
        <w:t>c)</w:t>
      </w:r>
      <w:r w:rsidRPr="00FB059C">
        <w:rPr>
          <w:lang w:val="es-ES_tradnl"/>
        </w:rPr>
        <w:tab/>
      </w:r>
      <w:r w:rsidR="00F3360B" w:rsidRPr="00FB059C">
        <w:rPr>
          <w:lang w:val="es-ES_tradnl"/>
        </w:rPr>
        <w:t>experiencia de los organismos reguladores de las telecomunicaciones y la competencia con los cambios en los regímenes de concesión de licencias y autorizaciones;</w:t>
      </w:r>
    </w:p>
    <w:p w:rsidR="00F3360B" w:rsidRPr="00FB059C" w:rsidRDefault="00FB059C" w:rsidP="007E3BE9">
      <w:pPr>
        <w:pStyle w:val="Enumlevel1"/>
        <w:spacing w:before="80"/>
        <w:rPr>
          <w:lang w:val="es-ES_tradnl"/>
        </w:rPr>
      </w:pPr>
      <w:r w:rsidRPr="00FB059C">
        <w:rPr>
          <w:lang w:val="es-ES_tradnl"/>
        </w:rPr>
        <w:t>d)</w:t>
      </w:r>
      <w:r w:rsidRPr="00FB059C">
        <w:rPr>
          <w:lang w:val="es-ES_tradnl"/>
        </w:rPr>
        <w:tab/>
      </w:r>
      <w:r w:rsidR="00F3360B" w:rsidRPr="00FB059C">
        <w:rPr>
          <w:lang w:val="es-ES_tradnl"/>
        </w:rPr>
        <w:t>incidencia de esos regímenes en la competencia en un entorno en convergencia;</w:t>
      </w:r>
    </w:p>
    <w:p w:rsidR="00F3360B" w:rsidRPr="005346DA" w:rsidRDefault="00FB059C" w:rsidP="007E3BE9">
      <w:pPr>
        <w:pStyle w:val="Enumlevel1"/>
        <w:spacing w:before="80"/>
        <w:rPr>
          <w:lang w:val="es-ES_tradnl"/>
        </w:rPr>
      </w:pPr>
      <w:r w:rsidRPr="00FB059C">
        <w:rPr>
          <w:lang w:val="es-ES_tradnl"/>
        </w:rPr>
        <w:lastRenderedPageBreak/>
        <w:t>e)</w:t>
      </w:r>
      <w:r w:rsidRPr="00FB059C">
        <w:rPr>
          <w:lang w:val="es-ES_tradnl"/>
        </w:rPr>
        <w:tab/>
      </w:r>
      <w:r w:rsidR="00F3360B" w:rsidRPr="00FB059C">
        <w:rPr>
          <w:lang w:val="es-ES_tradnl"/>
        </w:rPr>
        <w:t>directrice</w:t>
      </w:r>
      <w:r w:rsidR="00F3360B" w:rsidRPr="005346DA">
        <w:rPr>
          <w:lang w:val="es-ES_tradnl"/>
        </w:rPr>
        <w:t>s para ayudar a los países en desarrollo para introducir nueva legislación o adaptar su marco de concesión de licencias para facilitar la convergencia, definir y analizar los mercados que revisten interés para los servicios derivados de la convergencia y describir la forma de identificar a los proveedores de servicios con una posición dominante en el mercado.</w:t>
      </w:r>
    </w:p>
    <w:p w:rsidR="00F3360B" w:rsidRPr="00093A2E" w:rsidRDefault="00F3360B" w:rsidP="00C37EA6">
      <w:pPr>
        <w:pStyle w:val="Heading2"/>
        <w:rPr>
          <w:lang w:val="es-ES_tradnl"/>
        </w:rPr>
      </w:pPr>
      <w:bookmarkStart w:id="23" w:name="_Toc320092947"/>
      <w:bookmarkStart w:id="24" w:name="_Toc330195675"/>
      <w:bookmarkStart w:id="25" w:name="_Toc371604067"/>
      <w:bookmarkStart w:id="26" w:name="_Toc379198826"/>
      <w:bookmarkEnd w:id="23"/>
      <w:bookmarkEnd w:id="24"/>
      <w:r w:rsidRPr="00093A2E">
        <w:rPr>
          <w:lang w:val="es-ES_tradnl"/>
        </w:rPr>
        <w:t>1.3</w:t>
      </w:r>
      <w:r w:rsidRPr="00093A2E">
        <w:rPr>
          <w:lang w:val="es-ES_tradnl"/>
        </w:rPr>
        <w:tab/>
        <w:t>Metodología</w:t>
      </w:r>
      <w:bookmarkEnd w:id="25"/>
      <w:bookmarkEnd w:id="26"/>
    </w:p>
    <w:p w:rsidR="00F3360B" w:rsidRPr="00AA7E10" w:rsidRDefault="00F3360B" w:rsidP="00C37EA6">
      <w:pPr>
        <w:rPr>
          <w:lang w:val="es-ES_tradnl"/>
        </w:rPr>
      </w:pPr>
      <w:r w:rsidRPr="00AA7E10">
        <w:rPr>
          <w:lang w:val="es-ES_tradnl"/>
        </w:rPr>
        <w:t>La Cuestión se trató en el marco de la Comisión de Estudio 1. La investigación documental sobre la Cuestión se llevó a cabo a partir de la base de datos y los documentos de la UIT, así como de fuentes de información y documentos de otras instituciones de interés para el estudio.</w:t>
      </w:r>
    </w:p>
    <w:p w:rsidR="00F3360B" w:rsidRPr="00AA7E10" w:rsidRDefault="00F3360B" w:rsidP="00C37EA6">
      <w:pPr>
        <w:rPr>
          <w:lang w:val="es-ES_tradnl"/>
        </w:rPr>
      </w:pPr>
      <w:r w:rsidRPr="00AA7E10">
        <w:rPr>
          <w:lang w:val="es-ES_tradnl"/>
        </w:rPr>
        <w:t>El Grupo de Relatora también llevó a cabo un análisis de la Cuestión utilizando la experiencia de los países Miembros de la UIT y de las reuniones celebradas en el periodo 2010-2013 para discutir los documentos considerados de interés.</w:t>
      </w:r>
    </w:p>
    <w:p w:rsidR="00F3360B" w:rsidRPr="00AA7E10" w:rsidRDefault="00F3360B" w:rsidP="00C37EA6">
      <w:pPr>
        <w:rPr>
          <w:lang w:val="es-ES_tradnl"/>
        </w:rPr>
      </w:pPr>
      <w:r w:rsidRPr="00AA7E10">
        <w:rPr>
          <w:lang w:val="es-ES_tradnl"/>
        </w:rPr>
        <w:t>El proyecto de informe final y el anteproyecto de recomendaciones se presentaron a la Comisión de Estudio 1 de la UIT después de un periodo de cuatro años, con un informe provisional y el proyecto de informe final del estudio con las directrices y/o recomendaciones propuestas para aquellos países que tienen previsto promulgar nuevas leyes o adaptar su marco existente y establecer principios para garantizar un entorno competitivo propicio de servicios convergentes.</w:t>
      </w:r>
    </w:p>
    <w:p w:rsidR="00F3360B" w:rsidRPr="00093A2E" w:rsidRDefault="00F3360B" w:rsidP="00F01108">
      <w:pPr>
        <w:pStyle w:val="Heading1"/>
        <w:ind w:left="851" w:hanging="851"/>
        <w:rPr>
          <w:lang w:val="es-ES_tradnl"/>
        </w:rPr>
      </w:pPr>
      <w:bookmarkStart w:id="27" w:name="_Toc371604068"/>
      <w:bookmarkStart w:id="28" w:name="_Toc379198827"/>
      <w:r w:rsidRPr="00093A2E">
        <w:rPr>
          <w:lang w:val="es-ES_tradnl"/>
        </w:rPr>
        <w:t>2</w:t>
      </w:r>
      <w:bookmarkStart w:id="29" w:name="_Toc330195676"/>
      <w:bookmarkEnd w:id="29"/>
      <w:r w:rsidRPr="00093A2E">
        <w:rPr>
          <w:lang w:val="es-ES_tradnl"/>
        </w:rPr>
        <w:tab/>
        <w:t>Panorama general de diferentes marcos jurídicos y reglamentarios en un entorno competitivo convergente</w:t>
      </w:r>
      <w:bookmarkEnd w:id="27"/>
      <w:bookmarkEnd w:id="28"/>
    </w:p>
    <w:p w:rsidR="00F3360B" w:rsidRPr="00AA7E10" w:rsidRDefault="00F3360B" w:rsidP="00F01108">
      <w:pPr>
        <w:rPr>
          <w:lang w:val="es-ES_tradnl"/>
        </w:rPr>
      </w:pPr>
      <w:r w:rsidRPr="00AA7E10">
        <w:rPr>
          <w:lang w:val="es-ES_tradnl"/>
        </w:rPr>
        <w:t>No existe una definición de convergencia. Sin embargo, se ha descrito como el proceso en el que las telecomunicaciones, las tecnologías de la información y la radiodifusión se han fusionado de tal forma que pueden proporcionarse diferentes servicios en cualquiera de esas plataformas. Además, la convergencia se ha representado por los principios fundamentales de neutralidad</w:t>
      </w:r>
      <w:r w:rsidRPr="00AA7E10">
        <w:rPr>
          <w:rStyle w:val="FootnoteReference"/>
          <w:rFonts w:eastAsia="Verdana" w:cs="Verdana"/>
          <w:lang w:val="es-ES_tradnl"/>
        </w:rPr>
        <w:footnoteReference w:id="2"/>
      </w:r>
      <w:r w:rsidRPr="00AA7E10">
        <w:rPr>
          <w:lang w:val="es-ES_tradnl"/>
        </w:rPr>
        <w:t xml:space="preserve"> de tecnología y de servicio.</w:t>
      </w:r>
    </w:p>
    <w:p w:rsidR="00F3360B" w:rsidRPr="00AA7E10" w:rsidRDefault="00F3360B" w:rsidP="00F01108">
      <w:pPr>
        <w:rPr>
          <w:lang w:val="es-ES_tradnl"/>
        </w:rPr>
      </w:pPr>
      <w:r w:rsidRPr="00AA7E10">
        <w:rPr>
          <w:lang w:val="es-ES_tradnl"/>
        </w:rPr>
        <w:t>En la última década, los países han modificado sus marcos jurídicos y reglamentarios a fin de contemplar la convergencia de las telecomunicaciones y la radiodifusión. Junto con la convergencia se han producido cambios dinámicos en el sector de las comunicaciones que han abierto la puerta a nuevos actores y al desarrollo de nuevos mercados y servicios en un entorno competitivo.</w:t>
      </w:r>
    </w:p>
    <w:p w:rsidR="00F3360B" w:rsidRPr="00AA7E10" w:rsidRDefault="00F3360B" w:rsidP="00F01108">
      <w:pPr>
        <w:rPr>
          <w:lang w:val="es-ES_tradnl"/>
        </w:rPr>
      </w:pPr>
      <w:r w:rsidRPr="00AA7E10">
        <w:rPr>
          <w:lang w:val="es-ES_tradnl"/>
        </w:rPr>
        <w:t>Para dar cabida a los actores, nuevos y más numerosos, en un mercado competitivo, y para contar con un marco regulatorio propicio, varios países han establecido marcos jurídicos y normativos que, entre otras cuestiones, prohíben las prácticas y conductas contrarias a la competencia, determinan al operador dominante titular de la licencia, y toman medidas en relación con las fusiones o adquisiciones. Las siguientes secciones se refieren en detalle a los marcos jurídicos y reglamentarios en un entorno competitivo convergente.</w:t>
      </w:r>
    </w:p>
    <w:p w:rsidR="00F3360B" w:rsidRPr="00093A2E" w:rsidRDefault="00F3360B" w:rsidP="00F01108">
      <w:pPr>
        <w:pStyle w:val="Heading2"/>
        <w:rPr>
          <w:lang w:val="es-ES_tradnl"/>
        </w:rPr>
      </w:pPr>
      <w:bookmarkStart w:id="30" w:name="_Toc371604069"/>
      <w:bookmarkStart w:id="31" w:name="_Toc379198828"/>
      <w:r w:rsidRPr="00093A2E">
        <w:rPr>
          <w:lang w:val="es-ES_tradnl"/>
        </w:rPr>
        <w:t>2.1</w:t>
      </w:r>
      <w:bookmarkStart w:id="32" w:name="_Toc330195677"/>
      <w:bookmarkEnd w:id="32"/>
      <w:r w:rsidRPr="00093A2E">
        <w:rPr>
          <w:lang w:val="es-ES_tradnl"/>
        </w:rPr>
        <w:tab/>
        <w:t>Marcos jurídicos sobre competencia en determinados países</w:t>
      </w:r>
      <w:bookmarkEnd w:id="30"/>
      <w:bookmarkEnd w:id="31"/>
    </w:p>
    <w:p w:rsidR="00F3360B" w:rsidRPr="00AA7E10" w:rsidRDefault="00F3360B" w:rsidP="00F01108">
      <w:pPr>
        <w:rPr>
          <w:lang w:val="es-ES_tradnl"/>
        </w:rPr>
      </w:pPr>
      <w:r w:rsidRPr="00AA7E10">
        <w:rPr>
          <w:lang w:val="es-ES_tradnl"/>
        </w:rPr>
        <w:t>En general, las cuestiones relativas a la competencia en el sector de las comunicaciones están regidas por instrumentos legislativos. Éstos incluyen:</w:t>
      </w:r>
    </w:p>
    <w:p w:rsidR="00F3360B" w:rsidRPr="00F01108" w:rsidRDefault="00FB059C" w:rsidP="00FB059C">
      <w:pPr>
        <w:pStyle w:val="Enumlevel1"/>
        <w:rPr>
          <w:lang w:val="es-ES_tradnl"/>
        </w:rPr>
      </w:pPr>
      <w:r>
        <w:rPr>
          <w:lang w:val="es-ES_tradnl"/>
        </w:rPr>
        <w:t>–</w:t>
      </w:r>
      <w:r>
        <w:rPr>
          <w:lang w:val="es-ES_tradnl"/>
        </w:rPr>
        <w:tab/>
      </w:r>
      <w:r w:rsidR="00F3360B" w:rsidRPr="00F01108">
        <w:rPr>
          <w:lang w:val="es-ES_tradnl"/>
        </w:rPr>
        <w:t xml:space="preserve">una legislación específica sobre competencia, incluido el establecimiento de organismos responsables de la competencia en determinadas cuestiones/sectores, la designación de la Junta de la autoridad encargada de la competencia, la prohibición de prácticas y comportamientos </w:t>
      </w:r>
      <w:r w:rsidR="00F3360B" w:rsidRPr="00F01108">
        <w:rPr>
          <w:lang w:val="es-ES_tradnl"/>
        </w:rPr>
        <w:lastRenderedPageBreak/>
        <w:t>contrarios a la competencia, la determinación del operador dominante y las medidas correctivas para personas perjudicadas por actos contrarios a la competencia;</w:t>
      </w:r>
    </w:p>
    <w:p w:rsidR="00BF50D4" w:rsidRPr="00FB059C" w:rsidRDefault="00FB059C" w:rsidP="00FB059C">
      <w:pPr>
        <w:pStyle w:val="Enumlevel1"/>
        <w:rPr>
          <w:lang w:val="es-ES_tradnl"/>
        </w:rPr>
      </w:pPr>
      <w:r>
        <w:rPr>
          <w:lang w:val="es-ES_tradnl"/>
        </w:rPr>
        <w:t>–</w:t>
      </w:r>
      <w:r>
        <w:rPr>
          <w:lang w:val="es-ES_tradnl"/>
        </w:rPr>
        <w:tab/>
      </w:r>
      <w:r w:rsidR="00F3360B" w:rsidRPr="00FB059C">
        <w:rPr>
          <w:lang w:val="es-ES_tradnl"/>
        </w:rPr>
        <w:t>una legislación a tenor de la cual se establece una autoridad nacional de reglamentación responsable de asuntos relativos a las comunicaciones; y/o</w:t>
      </w:r>
    </w:p>
    <w:p w:rsidR="00F3360B" w:rsidRPr="00F01108" w:rsidRDefault="00FB059C" w:rsidP="00FB059C">
      <w:pPr>
        <w:pStyle w:val="Enumlevel1"/>
        <w:rPr>
          <w:lang w:val="es-ES_tradnl"/>
        </w:rPr>
      </w:pPr>
      <w:r>
        <w:rPr>
          <w:lang w:val="es-ES_tradnl"/>
        </w:rPr>
        <w:t>–</w:t>
      </w:r>
      <w:r>
        <w:rPr>
          <w:lang w:val="es-ES_tradnl"/>
        </w:rPr>
        <w:tab/>
      </w:r>
      <w:r w:rsidR="00F3360B" w:rsidRPr="00FB059C">
        <w:rPr>
          <w:lang w:val="es-ES_tradnl"/>
        </w:rPr>
        <w:t>una legislación</w:t>
      </w:r>
      <w:r w:rsidR="00F3360B" w:rsidRPr="00F01108">
        <w:rPr>
          <w:lang w:val="es-ES_tradnl"/>
        </w:rPr>
        <w:t xml:space="preserve"> sobre aspectos relacionados con las comunicaciones electrónicas, incluidas las funciones de concesión de licencias de la autoridad reguladora y su papel en las cuestiones de competencia, tales como la determinación de los titulares de licencias con una posición dominante en el mercado.</w:t>
      </w:r>
    </w:p>
    <w:p w:rsidR="00F3360B" w:rsidRPr="00AA7E10" w:rsidRDefault="00F3360B" w:rsidP="009F21A2">
      <w:pPr>
        <w:rPr>
          <w:lang w:val="es-ES_tradnl"/>
        </w:rPr>
      </w:pPr>
      <w:r w:rsidRPr="00AA7E10">
        <w:rPr>
          <w:lang w:val="es-ES_tradnl"/>
        </w:rPr>
        <w:t>De acuerdo con la Base de Datos Mundial sobre Reglamentación de las Telecomunicaciones de la UIT, en 2012, 89 países habían promulgado una ley de competencia</w:t>
      </w:r>
      <w:r w:rsidRPr="00AA7E10">
        <w:rPr>
          <w:rStyle w:val="FootnoteReference"/>
          <w:rFonts w:eastAsia="Verdana" w:cs="Verdana"/>
          <w:lang w:val="es-ES_tradnl"/>
        </w:rPr>
        <w:footnoteReference w:id="3"/>
      </w:r>
      <w:bookmarkStart w:id="33" w:name="_ftnref1"/>
      <w:bookmarkEnd w:id="33"/>
      <w:r w:rsidRPr="00AA7E10">
        <w:rPr>
          <w:lang w:val="es-ES_tradnl"/>
        </w:rPr>
        <w:t>. Con la liberalización del sector de las telecomunicaciones en muchos países, el establecimiento de órganos reguladores y la incorporación en el mercado de nuevos agentes, las cuestiones relativas a la competencia son cada vez más importantes. En las siguientes secciones se presentan los principales aspectos de los marcos jurídicos de algunos países en un entorno competitivo convergente.</w:t>
      </w:r>
    </w:p>
    <w:p w:rsidR="00F3360B" w:rsidRPr="00093A2E" w:rsidRDefault="00F3360B" w:rsidP="009F21A2">
      <w:pPr>
        <w:pStyle w:val="Heading3"/>
        <w:rPr>
          <w:lang w:val="es-ES_tradnl"/>
        </w:rPr>
      </w:pPr>
      <w:bookmarkStart w:id="34" w:name="_Toc362423230"/>
      <w:bookmarkStart w:id="35" w:name="_Toc362440030"/>
      <w:bookmarkStart w:id="36" w:name="_Toc362442021"/>
      <w:bookmarkStart w:id="37" w:name="_Toc371604070"/>
      <w:bookmarkStart w:id="38" w:name="_Toc379198829"/>
      <w:r w:rsidRPr="00093A2E">
        <w:rPr>
          <w:lang w:val="es-ES_tradnl"/>
        </w:rPr>
        <w:t>2.1.1</w:t>
      </w:r>
      <w:r w:rsidRPr="00093A2E">
        <w:rPr>
          <w:lang w:val="es-ES_tradnl"/>
        </w:rPr>
        <w:tab/>
        <w:t>Australia</w:t>
      </w:r>
      <w:bookmarkEnd w:id="34"/>
      <w:bookmarkEnd w:id="35"/>
      <w:bookmarkEnd w:id="36"/>
      <w:bookmarkEnd w:id="37"/>
      <w:bookmarkEnd w:id="38"/>
    </w:p>
    <w:p w:rsidR="00F3360B" w:rsidRPr="00AA7E10" w:rsidRDefault="00F3360B" w:rsidP="006E15C7">
      <w:pPr>
        <w:rPr>
          <w:lang w:val="es-ES_tradnl"/>
        </w:rPr>
      </w:pPr>
      <w:r w:rsidRPr="00AA7E10">
        <w:rPr>
          <w:rFonts w:eastAsia="Verdana" w:cs="Verdana"/>
          <w:lang w:val="es-ES_tradnl"/>
        </w:rPr>
        <w:t>La Comisión Australiana de la Competencia y del Consumidor es el órgano regulador de la competencia. La versión revisada de la Ley de prácticas comerciales de 1974, que fue rebautizada como Ley de la competencia y del consumidor de 2010, proporciona a la mencionada Comisión una serie de atribuciones. Éstas incluyen la investigación de posibles conductas contrarias a la competencia (Parte XID-CCA) y facultades solicitar a los tribunales y ejecutar órdenes que prohíban a las partes toda forma de competencia desleal, así como mandamientos para el pago de daños y perjuicios a raíz de una infracción, o el pago de una multa. El Tribunal de la Competencia de Australia es un tribunal independiente creado por ley que lleva a cabo audiencias sobre cuestiones relativas a la competencia, tales como pronunciarse sobre las solicitudes de autorización de fusiones y las peticiones de revisión de las decisiones de la Comisión.</w:t>
      </w:r>
    </w:p>
    <w:p w:rsidR="00F3360B" w:rsidRPr="00093A2E" w:rsidRDefault="00F3360B" w:rsidP="009F21A2">
      <w:pPr>
        <w:pStyle w:val="Heading3"/>
        <w:rPr>
          <w:lang w:val="es-ES_tradnl" w:eastAsia="en-US"/>
        </w:rPr>
      </w:pPr>
      <w:bookmarkStart w:id="39" w:name="_Toc362423231"/>
      <w:bookmarkStart w:id="40" w:name="_Toc362440031"/>
      <w:bookmarkStart w:id="41" w:name="_Toc362442022"/>
      <w:bookmarkStart w:id="42" w:name="_Toc371604071"/>
      <w:bookmarkStart w:id="43" w:name="_Toc379198830"/>
      <w:r w:rsidRPr="00093A2E">
        <w:rPr>
          <w:lang w:val="es-ES_tradnl" w:eastAsia="en-US"/>
        </w:rPr>
        <w:t>2.1.2</w:t>
      </w:r>
      <w:r w:rsidRPr="00093A2E">
        <w:rPr>
          <w:lang w:val="es-ES_tradnl" w:eastAsia="en-US"/>
        </w:rPr>
        <w:tab/>
        <w:t>República de Corea</w:t>
      </w:r>
      <w:bookmarkEnd w:id="39"/>
      <w:bookmarkEnd w:id="40"/>
      <w:bookmarkEnd w:id="41"/>
      <w:bookmarkEnd w:id="42"/>
      <w:bookmarkEnd w:id="43"/>
    </w:p>
    <w:p w:rsidR="00F3360B" w:rsidRPr="00AA7E10" w:rsidRDefault="00F3360B" w:rsidP="006E15C7">
      <w:pPr>
        <w:rPr>
          <w:lang w:val="es-ES_tradnl"/>
        </w:rPr>
      </w:pPr>
      <w:r w:rsidRPr="00AA7E10">
        <w:rPr>
          <w:rFonts w:eastAsia="Verdana" w:cs="Verdana"/>
          <w:lang w:val="es-ES_tradnl"/>
        </w:rPr>
        <w:t>La Ley de regulación de los monopolios y comercio justo</w:t>
      </w:r>
      <w:r w:rsidRPr="00AA7E10">
        <w:rPr>
          <w:rStyle w:val="FootnoteReference"/>
          <w:rFonts w:eastAsia="Verdana" w:cs="Verdana"/>
          <w:lang w:val="es-ES_tradnl"/>
        </w:rPr>
        <w:footnoteReference w:id="4"/>
      </w:r>
      <w:bookmarkStart w:id="44" w:name="_ftnref2"/>
      <w:bookmarkEnd w:id="44"/>
      <w:r w:rsidRPr="00AA7E10">
        <w:rPr>
          <w:lang w:val="es-ES_tradnl"/>
        </w:rPr>
        <w:t xml:space="preserve"> </w:t>
      </w:r>
      <w:r w:rsidRPr="00AA7E10">
        <w:rPr>
          <w:rFonts w:eastAsia="Verdana" w:cs="Verdana"/>
          <w:lang w:val="es-ES_tradnl"/>
        </w:rPr>
        <w:t>establece las normas sustantivas de las agrupaciones de negocios contrarias a la competencia y los requisitos para las fusiones en la República de Corea. La Comisión de Comercio Justo de Corea,</w:t>
      </w:r>
      <w:r w:rsidRPr="00AA7E10">
        <w:rPr>
          <w:lang w:val="es-ES_tradnl"/>
        </w:rPr>
        <w:t xml:space="preserve"> </w:t>
      </w:r>
      <w:r w:rsidRPr="00AA7E10">
        <w:rPr>
          <w:rFonts w:eastAsia="Verdana" w:cs="Verdana"/>
          <w:lang w:val="es-ES_tradnl"/>
        </w:rPr>
        <w:t>un órgano administrativo dependiente de la Oficina del Primer Ministro, se encarga de promover la competencia, fortalecer los derechos de los consumidores, crear un entorno competitivo para las pequeñas y medianas empresas y limitar la concentración de poder económico</w:t>
      </w:r>
      <w:r w:rsidRPr="00AA7E10">
        <w:rPr>
          <w:rStyle w:val="FootnoteReference"/>
          <w:rFonts w:eastAsia="Verdana" w:cs="Verdana"/>
          <w:lang w:val="es-ES_tradnl"/>
        </w:rPr>
        <w:footnoteReference w:id="5"/>
      </w:r>
      <w:bookmarkStart w:id="45" w:name="_ftnref3"/>
      <w:bookmarkEnd w:id="45"/>
      <w:r w:rsidRPr="00AA7E10">
        <w:rPr>
          <w:rFonts w:eastAsia="Verdana" w:cs="Verdana"/>
          <w:lang w:val="es-ES_tradnl"/>
        </w:rPr>
        <w:t>.</w:t>
      </w:r>
    </w:p>
    <w:p w:rsidR="00F3360B" w:rsidRPr="00093A2E" w:rsidRDefault="00F3360B" w:rsidP="009F21A2">
      <w:pPr>
        <w:pStyle w:val="Heading3"/>
        <w:rPr>
          <w:lang w:val="es-ES_tradnl" w:eastAsia="en-US"/>
        </w:rPr>
      </w:pPr>
      <w:bookmarkStart w:id="46" w:name="_Toc362423232"/>
      <w:bookmarkStart w:id="47" w:name="_Toc362440032"/>
      <w:bookmarkStart w:id="48" w:name="_Toc362442023"/>
      <w:bookmarkStart w:id="49" w:name="_Toc371604072"/>
      <w:bookmarkStart w:id="50" w:name="_Toc379198831"/>
      <w:r w:rsidRPr="00093A2E">
        <w:rPr>
          <w:lang w:val="es-ES_tradnl" w:eastAsia="en-US"/>
        </w:rPr>
        <w:t>2.1.3</w:t>
      </w:r>
      <w:r w:rsidRPr="00093A2E">
        <w:rPr>
          <w:lang w:val="es-ES_tradnl" w:eastAsia="en-US"/>
        </w:rPr>
        <w:tab/>
        <w:t>Tanzanía</w:t>
      </w:r>
      <w:bookmarkEnd w:id="46"/>
      <w:bookmarkEnd w:id="47"/>
      <w:bookmarkEnd w:id="48"/>
      <w:bookmarkEnd w:id="49"/>
      <w:bookmarkEnd w:id="50"/>
    </w:p>
    <w:p w:rsidR="00F3360B" w:rsidRPr="00AA7E10" w:rsidRDefault="00F3360B" w:rsidP="006E15C7">
      <w:pPr>
        <w:rPr>
          <w:rFonts w:eastAsia="Verdana" w:cs="Verdana"/>
          <w:lang w:val="es-ES_tradnl"/>
        </w:rPr>
      </w:pPr>
      <w:r w:rsidRPr="00AA7E10">
        <w:rPr>
          <w:rFonts w:eastAsia="Verdana" w:cs="Verdana"/>
          <w:lang w:val="es-ES_tradnl"/>
        </w:rPr>
        <w:t xml:space="preserve">Las cuestiones relativas a la competencia en el sector de las comunicaciones de Tanzanía están regidas por tres leyes: la Ley de competencia leal de 2003, la Ley sobre la autoridad de reglamentación de las comunicaciones de Tanzanía de 2003 y la Ley de comunicaciones electrónicas y postales de 2010. La segunda de esas Leyes exige que la autoridad de reglamentación, en el desempeño de sus funciones y </w:t>
      </w:r>
      <w:r w:rsidRPr="00AA7E10">
        <w:rPr>
          <w:rFonts w:eastAsia="Verdana" w:cs="Verdana"/>
          <w:lang w:val="es-ES_tradnl"/>
        </w:rPr>
        <w:lastRenderedPageBreak/>
        <w:t>ejercicio de sus facultades, tenga en cuenta si en el mercado existen o no las condiciones adecuadas para una competencia efectiva, si es probable que su intervención reduzca la competencia o acreciente los costos del mercado en detrimento del público, y si dicho efecto negativo pesa más o menos que los beneficios.</w:t>
      </w:r>
    </w:p>
    <w:p w:rsidR="00F3360B" w:rsidRPr="00AA7E10" w:rsidRDefault="00F3360B" w:rsidP="006E15C7">
      <w:pPr>
        <w:rPr>
          <w:rFonts w:eastAsia="Verdana" w:cs="Verdana"/>
          <w:lang w:val="es-ES_tradnl"/>
        </w:rPr>
      </w:pPr>
      <w:r w:rsidRPr="00AA7E10">
        <w:rPr>
          <w:rFonts w:eastAsia="Verdana" w:cs="Verdana"/>
          <w:lang w:val="es-ES_tradnl"/>
        </w:rPr>
        <w:t>La Ley de competencia leal es una ley de competencia general. Impone a la Comisión de competencia leal la obligación de solicitar asesoramiento por escrito a la autoridad cuando debe abordar cualquier asunto relacionado con las comunicaciones postales o electrónicas. La Ley de comunicaciones electrónicas y postales de 2010 contiene disposiciones en las que se abordan detalladamente cuestiones relativas a la competencia.</w:t>
      </w:r>
    </w:p>
    <w:p w:rsidR="00F3360B" w:rsidRPr="00AA7E10" w:rsidRDefault="00F3360B" w:rsidP="006E15C7">
      <w:pPr>
        <w:rPr>
          <w:rFonts w:eastAsia="Verdana" w:cs="Verdana"/>
          <w:lang w:val="es-ES_tradnl"/>
        </w:rPr>
      </w:pPr>
      <w:r w:rsidRPr="00AA7E10">
        <w:rPr>
          <w:rFonts w:eastAsia="Verdana" w:cs="Verdana"/>
          <w:lang w:val="es-ES_tradnl"/>
        </w:rPr>
        <w:t>En el siguiente cuadro se enumeran algunos países con legislación sobre competencia y los órganos responsables de la misma:</w:t>
      </w:r>
    </w:p>
    <w:p w:rsidR="00F3360B" w:rsidRPr="00093A2E" w:rsidRDefault="00F3360B" w:rsidP="009F21A2">
      <w:pPr>
        <w:pStyle w:val="Tabletitle"/>
        <w:rPr>
          <w:noProof/>
          <w:lang w:val="es-ES_tradnl"/>
        </w:rPr>
      </w:pPr>
      <w:bookmarkStart w:id="51" w:name="_Toc371689904"/>
      <w:r w:rsidRPr="00093A2E">
        <w:rPr>
          <w:noProof/>
          <w:lang w:val="es-ES_tradnl"/>
        </w:rPr>
        <w:t>Cuadro 1: Países con información sobre competencia</w:t>
      </w:r>
      <w:bookmarkEnd w:id="51"/>
    </w:p>
    <w:tbl>
      <w:tblPr>
        <w:tblW w:w="9072" w:type="dxa"/>
        <w:jc w:val="center"/>
        <w:tblBorders>
          <w:top w:val="nil"/>
          <w:bottom w:val="nil"/>
          <w:insideH w:val="nil"/>
          <w:insideV w:val="nil"/>
        </w:tblBorders>
        <w:tblCellMar>
          <w:left w:w="0" w:type="dxa"/>
          <w:right w:w="0" w:type="dxa"/>
        </w:tblCellMar>
        <w:tblLook w:val="04A0" w:firstRow="1" w:lastRow="0" w:firstColumn="1" w:lastColumn="0" w:noHBand="0" w:noVBand="1"/>
      </w:tblPr>
      <w:tblGrid>
        <w:gridCol w:w="871"/>
        <w:gridCol w:w="1669"/>
        <w:gridCol w:w="3019"/>
        <w:gridCol w:w="3513"/>
      </w:tblGrid>
      <w:tr w:rsidR="00F3360B" w:rsidRPr="00AC27F2" w:rsidTr="009F21A2">
        <w:trPr>
          <w:jc w:val="cent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005173"/>
            <w:tcMar>
              <w:left w:w="108" w:type="dxa"/>
              <w:right w:w="108" w:type="dxa"/>
            </w:tcMar>
          </w:tcPr>
          <w:p w:rsidR="00F3360B" w:rsidRPr="00AA7E10" w:rsidRDefault="00F3360B" w:rsidP="009F21A2">
            <w:pPr>
              <w:pStyle w:val="Tablehead"/>
            </w:pPr>
            <w:r w:rsidRPr="00AA7E10">
              <w:t xml:space="preserve">S./Núm. </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005173"/>
            <w:tcMar>
              <w:left w:w="108" w:type="dxa"/>
              <w:right w:w="108" w:type="dxa"/>
            </w:tcMar>
          </w:tcPr>
          <w:p w:rsidR="00F3360B" w:rsidRPr="00AA7E10" w:rsidRDefault="00F3360B" w:rsidP="009F21A2">
            <w:pPr>
              <w:pStyle w:val="Tablehead"/>
            </w:pPr>
            <w:r w:rsidRPr="00AA7E10">
              <w:t>País</w:t>
            </w:r>
          </w:p>
        </w:tc>
        <w:tc>
          <w:tcPr>
            <w:tcW w:w="3019" w:type="dxa"/>
            <w:tcBorders>
              <w:top w:val="single" w:sz="4" w:space="0" w:color="000000"/>
              <w:left w:val="single" w:sz="4" w:space="0" w:color="000000"/>
              <w:bottom w:val="single" w:sz="4" w:space="0" w:color="000000"/>
              <w:right w:val="single" w:sz="4" w:space="0" w:color="000000"/>
              <w:tl2br w:val="nil"/>
              <w:tr2bl w:val="nil"/>
            </w:tcBorders>
            <w:shd w:val="clear" w:color="auto" w:fill="005173"/>
            <w:tcMar>
              <w:left w:w="108" w:type="dxa"/>
              <w:right w:w="108" w:type="dxa"/>
            </w:tcMar>
          </w:tcPr>
          <w:p w:rsidR="00F3360B" w:rsidRPr="00AA7E10" w:rsidRDefault="00F3360B" w:rsidP="009F21A2">
            <w:pPr>
              <w:pStyle w:val="Tablehead"/>
            </w:pPr>
            <w:r w:rsidRPr="00AA7E10">
              <w:t>Legislación sobre competencia</w:t>
            </w:r>
          </w:p>
        </w:tc>
        <w:tc>
          <w:tcPr>
            <w:tcW w:w="3513" w:type="dxa"/>
            <w:tcBorders>
              <w:top w:val="single" w:sz="4" w:space="0" w:color="000000"/>
              <w:left w:val="single" w:sz="4" w:space="0" w:color="000000"/>
              <w:bottom w:val="single" w:sz="4" w:space="0" w:color="000000"/>
              <w:right w:val="single" w:sz="4" w:space="0" w:color="000000"/>
              <w:tl2br w:val="nil"/>
              <w:tr2bl w:val="nil"/>
            </w:tcBorders>
            <w:shd w:val="clear" w:color="auto" w:fill="005173"/>
            <w:tcMar>
              <w:left w:w="108" w:type="dxa"/>
              <w:right w:w="108" w:type="dxa"/>
            </w:tcMar>
          </w:tcPr>
          <w:p w:rsidR="00F3360B" w:rsidRPr="00093A2E" w:rsidRDefault="00F3360B" w:rsidP="009F21A2">
            <w:pPr>
              <w:pStyle w:val="Tablehead"/>
              <w:rPr>
                <w:lang w:val="es-ES_tradnl"/>
              </w:rPr>
            </w:pPr>
            <w:r w:rsidRPr="00093A2E">
              <w:rPr>
                <w:lang w:val="es-ES_tradnl"/>
              </w:rPr>
              <w:t>Nombre del órgano responsable de las cuestiones relativas a la competencia</w:t>
            </w:r>
          </w:p>
        </w:tc>
      </w:tr>
      <w:tr w:rsidR="00F3360B" w:rsidRPr="00AC27F2" w:rsidTr="009F21A2">
        <w:tblPrEx>
          <w:tblBorders>
            <w:top w:val="none" w:sz="0" w:space="0" w:color="auto"/>
            <w:bottom w:val="none" w:sz="0" w:space="0" w:color="auto"/>
            <w:insideH w:val="none" w:sz="0" w:space="0" w:color="auto"/>
            <w:insideV w:val="none" w:sz="0" w:space="0" w:color="auto"/>
          </w:tblBorders>
        </w:tblPrEx>
        <w:trPr>
          <w:trHeight w:val="721"/>
          <w:jc w:val="cent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jc w:val="center"/>
              <w:rPr>
                <w:lang w:val="es-ES_tradnl"/>
              </w:rPr>
            </w:pPr>
            <w:r w:rsidRPr="00AA7E10">
              <w:rPr>
                <w:lang w:val="es-ES_tradnl"/>
              </w:rPr>
              <w:t>1</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lang w:val="es-ES_tradnl"/>
              </w:rPr>
              <w:t>Australia </w:t>
            </w:r>
          </w:p>
        </w:tc>
        <w:tc>
          <w:tcPr>
            <w:tcW w:w="3019" w:type="dxa"/>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rFonts w:cs="Tahoma"/>
                <w:lang w:val="es-ES_tradnl"/>
              </w:rPr>
              <w:t>Ley de la competencia y del consumidor de 2010</w:t>
            </w:r>
          </w:p>
        </w:tc>
        <w:tc>
          <w:tcPr>
            <w:tcW w:w="3513" w:type="dxa"/>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rFonts w:cs="Tahoma"/>
                <w:lang w:val="es-ES_tradnl"/>
              </w:rPr>
              <w:t>Comisión Australiana de la Competencia y del Consumidor</w:t>
            </w:r>
          </w:p>
        </w:tc>
      </w:tr>
      <w:tr w:rsidR="00F3360B" w:rsidRPr="00AA7E10" w:rsidTr="009F21A2">
        <w:tblPrEx>
          <w:tblBorders>
            <w:top w:val="none" w:sz="0" w:space="0" w:color="auto"/>
            <w:bottom w:val="none" w:sz="0" w:space="0" w:color="auto"/>
            <w:insideH w:val="none" w:sz="0" w:space="0" w:color="auto"/>
            <w:insideV w:val="none" w:sz="0" w:space="0" w:color="auto"/>
          </w:tblBorders>
        </w:tblPrEx>
        <w:trPr>
          <w:trHeight w:val="293"/>
          <w:jc w:val="cent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jc w:val="center"/>
              <w:rPr>
                <w:lang w:val="es-ES_tradnl"/>
              </w:rPr>
            </w:pPr>
            <w:r w:rsidRPr="00AA7E10">
              <w:rPr>
                <w:lang w:val="es-ES_tradnl"/>
              </w:rPr>
              <w:t>2</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Canadá</w:t>
            </w:r>
          </w:p>
        </w:tc>
        <w:tc>
          <w:tcPr>
            <w:tcW w:w="301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rFonts w:cs="Tahoma"/>
                <w:lang w:val="es-ES_tradnl"/>
              </w:rPr>
            </w:pPr>
            <w:r w:rsidRPr="00AA7E10">
              <w:rPr>
                <w:rFonts w:cs="Tahoma"/>
                <w:lang w:val="es-ES_tradnl"/>
              </w:rPr>
              <w:t>Ley de competencia</w:t>
            </w:r>
          </w:p>
        </w:tc>
        <w:tc>
          <w:tcPr>
            <w:tcW w:w="351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rFonts w:cs="Tahoma"/>
                <w:lang w:val="es-ES_tradnl"/>
              </w:rPr>
            </w:pPr>
            <w:r w:rsidRPr="00AA7E10">
              <w:rPr>
                <w:rFonts w:cs="Tahoma"/>
                <w:lang w:val="es-ES_tradnl"/>
              </w:rPr>
              <w:t>Oficina de la Competencia</w:t>
            </w:r>
          </w:p>
        </w:tc>
      </w:tr>
      <w:tr w:rsidR="00F3360B" w:rsidRPr="00AC27F2" w:rsidTr="009F21A2">
        <w:tblPrEx>
          <w:tblBorders>
            <w:top w:val="none" w:sz="0" w:space="0" w:color="auto"/>
            <w:bottom w:val="none" w:sz="0" w:space="0" w:color="auto"/>
            <w:insideH w:val="none" w:sz="0" w:space="0" w:color="auto"/>
            <w:insideV w:val="none" w:sz="0" w:space="0" w:color="auto"/>
          </w:tblBorders>
        </w:tblPrEx>
        <w:trPr>
          <w:trHeight w:val="413"/>
          <w:jc w:val="cent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jc w:val="center"/>
              <w:rPr>
                <w:lang w:val="es-ES_tradnl"/>
              </w:rPr>
            </w:pPr>
            <w:r w:rsidRPr="00AA7E10">
              <w:rPr>
                <w:lang w:val="es-ES_tradnl"/>
              </w:rPr>
              <w:t>3</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lang w:val="es-ES_tradnl"/>
              </w:rPr>
              <w:t>India</w:t>
            </w:r>
          </w:p>
        </w:tc>
        <w:tc>
          <w:tcPr>
            <w:tcW w:w="3019" w:type="dxa"/>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rFonts w:cs="Tahoma"/>
                <w:lang w:val="es-ES_tradnl"/>
              </w:rPr>
            </w:pPr>
            <w:r w:rsidRPr="00AA7E10">
              <w:rPr>
                <w:rFonts w:cs="Tahoma"/>
                <w:lang w:val="es-ES_tradnl"/>
              </w:rPr>
              <w:t>Ley de competencia</w:t>
            </w:r>
          </w:p>
        </w:tc>
        <w:tc>
          <w:tcPr>
            <w:tcW w:w="3513" w:type="dxa"/>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rFonts w:cs="Tahoma"/>
                <w:lang w:val="es-ES_tradnl"/>
              </w:rPr>
            </w:pPr>
            <w:r w:rsidRPr="00AA7E10">
              <w:rPr>
                <w:rFonts w:cs="Tahoma"/>
                <w:lang w:val="es-ES_tradnl"/>
              </w:rPr>
              <w:t>Comisión de Competencia de India</w:t>
            </w:r>
          </w:p>
        </w:tc>
      </w:tr>
      <w:tr w:rsidR="00F3360B" w:rsidRPr="00AA7E10" w:rsidTr="009F21A2">
        <w:tblPrEx>
          <w:tblBorders>
            <w:top w:val="none" w:sz="0" w:space="0" w:color="auto"/>
            <w:bottom w:val="none" w:sz="0" w:space="0" w:color="auto"/>
            <w:insideH w:val="none" w:sz="0" w:space="0" w:color="auto"/>
            <w:insideV w:val="none" w:sz="0" w:space="0" w:color="auto"/>
          </w:tblBorders>
        </w:tblPrEx>
        <w:trPr>
          <w:trHeight w:val="576"/>
          <w:jc w:val="cent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jc w:val="center"/>
              <w:rPr>
                <w:lang w:val="es-ES_tradnl"/>
              </w:rPr>
            </w:pPr>
            <w:r w:rsidRPr="00AA7E10">
              <w:rPr>
                <w:lang w:val="es-ES_tradnl"/>
              </w:rPr>
              <w:t>4</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Senegal </w:t>
            </w:r>
          </w:p>
        </w:tc>
        <w:tc>
          <w:tcPr>
            <w:tcW w:w="301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rFonts w:cs="Tahoma"/>
                <w:lang w:val="es-ES_tradnl"/>
              </w:rPr>
              <w:t>Ley de Precios, Competencia y Controversias Económicas</w:t>
            </w:r>
          </w:p>
        </w:tc>
        <w:tc>
          <w:tcPr>
            <w:tcW w:w="351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Comisión de Competencia</w:t>
            </w:r>
          </w:p>
        </w:tc>
      </w:tr>
      <w:tr w:rsidR="00F3360B" w:rsidRPr="00AA7E10" w:rsidTr="009F21A2">
        <w:tblPrEx>
          <w:tblBorders>
            <w:top w:val="none" w:sz="0" w:space="0" w:color="auto"/>
            <w:bottom w:val="none" w:sz="0" w:space="0" w:color="auto"/>
            <w:insideH w:val="none" w:sz="0" w:space="0" w:color="auto"/>
            <w:insideV w:val="none" w:sz="0" w:space="0" w:color="auto"/>
          </w:tblBorders>
        </w:tblPrEx>
        <w:trPr>
          <w:trHeight w:val="399"/>
          <w:jc w:val="cent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jc w:val="center"/>
              <w:rPr>
                <w:lang w:val="es-ES_tradnl"/>
              </w:rPr>
            </w:pPr>
            <w:r w:rsidRPr="00AA7E10">
              <w:rPr>
                <w:lang w:val="es-ES_tradnl"/>
              </w:rPr>
              <w:t>5</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lang w:val="es-ES_tradnl"/>
              </w:rPr>
              <w:t>Suecia </w:t>
            </w:r>
          </w:p>
        </w:tc>
        <w:tc>
          <w:tcPr>
            <w:tcW w:w="3019" w:type="dxa"/>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160354">
            <w:pPr>
              <w:pStyle w:val="Tabletext"/>
              <w:rPr>
                <w:lang w:val="es-ES_tradnl"/>
              </w:rPr>
            </w:pPr>
            <w:r w:rsidRPr="00AA7E10">
              <w:rPr>
                <w:lang w:val="es-ES_tradnl"/>
              </w:rPr>
              <w:t>Ley de competencia</w:t>
            </w:r>
          </w:p>
        </w:tc>
        <w:tc>
          <w:tcPr>
            <w:tcW w:w="3513" w:type="dxa"/>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lang w:val="es-ES_tradnl"/>
              </w:rPr>
              <w:t>Autoridad Sueca de Competencia</w:t>
            </w:r>
          </w:p>
        </w:tc>
      </w:tr>
      <w:tr w:rsidR="00F3360B" w:rsidRPr="00AC27F2" w:rsidTr="009F21A2">
        <w:tblPrEx>
          <w:tblBorders>
            <w:top w:val="none" w:sz="0" w:space="0" w:color="auto"/>
            <w:bottom w:val="none" w:sz="0" w:space="0" w:color="auto"/>
            <w:insideH w:val="none" w:sz="0" w:space="0" w:color="auto"/>
            <w:insideV w:val="none" w:sz="0" w:space="0" w:color="auto"/>
          </w:tblBorders>
        </w:tblPrEx>
        <w:trPr>
          <w:trHeight w:val="708"/>
          <w:jc w:val="cent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jc w:val="center"/>
              <w:rPr>
                <w:lang w:val="es-ES_tradnl"/>
              </w:rPr>
            </w:pPr>
            <w:r w:rsidRPr="00AA7E10">
              <w:rPr>
                <w:lang w:val="es-ES_tradnl"/>
              </w:rPr>
              <w:t>6</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República de Corea</w:t>
            </w:r>
          </w:p>
        </w:tc>
        <w:tc>
          <w:tcPr>
            <w:tcW w:w="301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Ley de regulación de los monopolios y comercio justo</w:t>
            </w:r>
          </w:p>
        </w:tc>
        <w:tc>
          <w:tcPr>
            <w:tcW w:w="351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 xml:space="preserve">Comisión Coreana de Comercio Justo </w:t>
            </w:r>
          </w:p>
        </w:tc>
      </w:tr>
      <w:tr w:rsidR="00F3360B" w:rsidRPr="00AA7E10" w:rsidTr="009F21A2">
        <w:tblPrEx>
          <w:tblBorders>
            <w:top w:val="none" w:sz="0" w:space="0" w:color="auto"/>
            <w:bottom w:val="none" w:sz="0" w:space="0" w:color="auto"/>
            <w:insideH w:val="none" w:sz="0" w:space="0" w:color="auto"/>
            <w:insideV w:val="none" w:sz="0" w:space="0" w:color="auto"/>
          </w:tblBorders>
        </w:tblPrEx>
        <w:trPr>
          <w:trHeight w:val="401"/>
          <w:jc w:val="cent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jc w:val="center"/>
              <w:rPr>
                <w:lang w:val="es-ES_tradnl"/>
              </w:rPr>
            </w:pPr>
            <w:r w:rsidRPr="00AA7E10">
              <w:rPr>
                <w:lang w:val="es-ES_tradnl"/>
              </w:rPr>
              <w:t>7</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lang w:val="es-ES_tradnl"/>
              </w:rPr>
              <w:t>Sudáfrica</w:t>
            </w:r>
          </w:p>
        </w:tc>
        <w:tc>
          <w:tcPr>
            <w:tcW w:w="3019" w:type="dxa"/>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lang w:val="es-ES_tradnl"/>
              </w:rPr>
              <w:t>Ley de competencia</w:t>
            </w:r>
          </w:p>
        </w:tc>
        <w:tc>
          <w:tcPr>
            <w:tcW w:w="3513" w:type="dxa"/>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lang w:val="es-ES_tradnl"/>
              </w:rPr>
              <w:t>Comisión de Competencia</w:t>
            </w:r>
          </w:p>
        </w:tc>
      </w:tr>
      <w:tr w:rsidR="00F3360B" w:rsidRPr="00AA7E10" w:rsidTr="009F21A2">
        <w:tblPrEx>
          <w:tblBorders>
            <w:top w:val="none" w:sz="0" w:space="0" w:color="auto"/>
            <w:bottom w:val="none" w:sz="0" w:space="0" w:color="auto"/>
            <w:insideH w:val="none" w:sz="0" w:space="0" w:color="auto"/>
            <w:insideV w:val="none" w:sz="0" w:space="0" w:color="auto"/>
          </w:tblBorders>
        </w:tblPrEx>
        <w:trPr>
          <w:trHeight w:val="696"/>
          <w:jc w:val="cent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jc w:val="center"/>
              <w:rPr>
                <w:lang w:val="es-ES_tradnl"/>
              </w:rPr>
            </w:pPr>
            <w:r w:rsidRPr="00AA7E10">
              <w:rPr>
                <w:lang w:val="es-ES_tradnl"/>
              </w:rPr>
              <w:t>8</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Turquía</w:t>
            </w:r>
          </w:p>
        </w:tc>
        <w:tc>
          <w:tcPr>
            <w:tcW w:w="301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 xml:space="preserve">Ley de protección de la competencia (Ley núm. 4054) </w:t>
            </w:r>
          </w:p>
        </w:tc>
        <w:tc>
          <w:tcPr>
            <w:tcW w:w="351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Autoridad de Competencia</w:t>
            </w:r>
          </w:p>
        </w:tc>
      </w:tr>
      <w:tr w:rsidR="00F3360B" w:rsidRPr="00AC27F2" w:rsidTr="009F21A2">
        <w:tblPrEx>
          <w:tblBorders>
            <w:top w:val="none" w:sz="0" w:space="0" w:color="auto"/>
            <w:bottom w:val="none" w:sz="0" w:space="0" w:color="auto"/>
            <w:insideH w:val="none" w:sz="0" w:space="0" w:color="auto"/>
            <w:insideV w:val="none" w:sz="0" w:space="0" w:color="auto"/>
          </w:tblBorders>
        </w:tblPrEx>
        <w:trPr>
          <w:trHeight w:val="934"/>
          <w:jc w:val="cent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jc w:val="center"/>
              <w:rPr>
                <w:lang w:val="es-ES_tradnl"/>
              </w:rPr>
            </w:pPr>
            <w:r w:rsidRPr="00AA7E10">
              <w:rPr>
                <w:lang w:val="es-ES_tradnl"/>
              </w:rPr>
              <w:t>9</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lang w:val="es-ES_tradnl"/>
              </w:rPr>
              <w:t>Tanzanía</w:t>
            </w:r>
          </w:p>
        </w:tc>
        <w:tc>
          <w:tcPr>
            <w:tcW w:w="3019" w:type="dxa"/>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lang w:val="es-ES_tradnl"/>
              </w:rPr>
              <w:t>Ley de competencia leal</w:t>
            </w:r>
          </w:p>
          <w:p w:rsidR="00F3360B" w:rsidRPr="00AA7E10" w:rsidRDefault="00F3360B" w:rsidP="009F21A2">
            <w:pPr>
              <w:pStyle w:val="Tabletext"/>
              <w:rPr>
                <w:lang w:val="es-ES_tradnl"/>
              </w:rPr>
            </w:pPr>
            <w:r w:rsidRPr="00AA7E10">
              <w:rPr>
                <w:lang w:val="es-ES_tradnl"/>
              </w:rPr>
              <w:t>Ley de comunicaciones electrónicas y postales</w:t>
            </w:r>
          </w:p>
        </w:tc>
        <w:tc>
          <w:tcPr>
            <w:tcW w:w="3513" w:type="dxa"/>
            <w:tcBorders>
              <w:top w:val="single" w:sz="4" w:space="0" w:color="000000"/>
              <w:left w:val="single" w:sz="4" w:space="0" w:color="000000"/>
              <w:bottom w:val="single" w:sz="4" w:space="0" w:color="000000"/>
              <w:right w:val="single" w:sz="4" w:space="0" w:color="000000"/>
              <w:tl2br w:val="nil"/>
              <w:tr2bl w:val="nil"/>
            </w:tcBorders>
            <w:shd w:val="clear" w:color="auto" w:fill="E8F8FD"/>
            <w:tcMar>
              <w:left w:w="108" w:type="dxa"/>
              <w:right w:w="108" w:type="dxa"/>
            </w:tcMar>
          </w:tcPr>
          <w:p w:rsidR="00F3360B" w:rsidRPr="00AA7E10" w:rsidRDefault="00F3360B" w:rsidP="009F21A2">
            <w:pPr>
              <w:pStyle w:val="Tabletext"/>
              <w:rPr>
                <w:lang w:val="es-ES_tradnl"/>
              </w:rPr>
            </w:pPr>
            <w:r w:rsidRPr="00AA7E10">
              <w:rPr>
                <w:lang w:val="es-ES_tradnl"/>
              </w:rPr>
              <w:t>Comisión de Competencia Justa y Autoridad de Reglamentación de las Comunicaciones de Tanzanía</w:t>
            </w:r>
          </w:p>
        </w:tc>
      </w:tr>
      <w:tr w:rsidR="00F3360B" w:rsidRPr="00AA7E10" w:rsidTr="009F21A2">
        <w:tblPrEx>
          <w:tblBorders>
            <w:top w:val="none" w:sz="0" w:space="0" w:color="auto"/>
            <w:bottom w:val="none" w:sz="0" w:space="0" w:color="auto"/>
            <w:insideH w:val="none" w:sz="0" w:space="0" w:color="auto"/>
            <w:insideV w:val="none" w:sz="0" w:space="0" w:color="auto"/>
          </w:tblBorders>
        </w:tblPrEx>
        <w:trPr>
          <w:trHeight w:val="854"/>
          <w:jc w:val="center"/>
        </w:trPr>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jc w:val="center"/>
              <w:rPr>
                <w:lang w:val="es-ES_tradnl"/>
              </w:rPr>
            </w:pPr>
            <w:r w:rsidRPr="00AA7E10">
              <w:rPr>
                <w:lang w:val="es-ES_tradnl"/>
              </w:rPr>
              <w:t>10</w:t>
            </w:r>
          </w:p>
        </w:tc>
        <w:tc>
          <w:tcPr>
            <w:tcW w:w="0" w:type="auto"/>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Estados Unidos</w:t>
            </w:r>
          </w:p>
        </w:tc>
        <w:tc>
          <w:tcPr>
            <w:tcW w:w="3019"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Ley Clayton</w:t>
            </w:r>
          </w:p>
        </w:tc>
        <w:tc>
          <w:tcPr>
            <w:tcW w:w="3513"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left w:w="108" w:type="dxa"/>
              <w:right w:w="108" w:type="dxa"/>
            </w:tcMar>
          </w:tcPr>
          <w:p w:rsidR="00F3360B" w:rsidRPr="00AA7E10" w:rsidRDefault="00F3360B" w:rsidP="009F21A2">
            <w:pPr>
              <w:pStyle w:val="Tabletext"/>
              <w:rPr>
                <w:lang w:val="es-ES_tradnl"/>
              </w:rPr>
            </w:pPr>
            <w:r w:rsidRPr="00AA7E10">
              <w:rPr>
                <w:lang w:val="es-ES_tradnl"/>
              </w:rPr>
              <w:t>Departamento de Justicia</w:t>
            </w:r>
          </w:p>
          <w:p w:rsidR="00F3360B" w:rsidRPr="00AA7E10" w:rsidRDefault="00F3360B" w:rsidP="009F21A2">
            <w:pPr>
              <w:pStyle w:val="Tabletext"/>
              <w:rPr>
                <w:lang w:val="es-ES_tradnl"/>
              </w:rPr>
            </w:pPr>
            <w:r w:rsidRPr="00AA7E10">
              <w:rPr>
                <w:lang w:val="es-ES_tradnl"/>
              </w:rPr>
              <w:t xml:space="preserve">División Antimonopolio </w:t>
            </w:r>
          </w:p>
          <w:p w:rsidR="00F3360B" w:rsidRPr="00AA7E10" w:rsidRDefault="00F3360B" w:rsidP="009F21A2">
            <w:pPr>
              <w:pStyle w:val="Tabletext"/>
              <w:rPr>
                <w:lang w:val="es-ES_tradnl"/>
              </w:rPr>
            </w:pPr>
            <w:r w:rsidRPr="00AA7E10">
              <w:rPr>
                <w:lang w:val="es-ES_tradnl"/>
              </w:rPr>
              <w:t>FCC y</w:t>
            </w:r>
          </w:p>
          <w:p w:rsidR="00F3360B" w:rsidRPr="00AA7E10" w:rsidRDefault="00F3360B" w:rsidP="009F21A2">
            <w:pPr>
              <w:pStyle w:val="Tabletext"/>
              <w:rPr>
                <w:lang w:val="es-ES_tradnl"/>
              </w:rPr>
            </w:pPr>
            <w:r w:rsidRPr="00AA7E10">
              <w:rPr>
                <w:lang w:val="es-ES_tradnl"/>
              </w:rPr>
              <w:t>Comisión Federal de Comercio</w:t>
            </w:r>
          </w:p>
        </w:tc>
      </w:tr>
    </w:tbl>
    <w:p w:rsidR="00F3360B" w:rsidRPr="00E333EB" w:rsidRDefault="00F3360B" w:rsidP="00E333EB">
      <w:pPr>
        <w:pStyle w:val="Tablesource"/>
        <w:rPr>
          <w:lang w:val="es-ES_tradnl" w:eastAsia="en-US"/>
        </w:rPr>
      </w:pPr>
      <w:bookmarkStart w:id="52" w:name="_Toc330195678"/>
      <w:bookmarkEnd w:id="52"/>
      <w:r w:rsidRPr="00E333EB">
        <w:rPr>
          <w:lang w:val="es-ES_tradnl" w:eastAsia="en-US"/>
        </w:rPr>
        <w:t>Fuente: Información obtenida por la Relatora de diversas fuentes</w:t>
      </w:r>
      <w:r w:rsidR="00E333EB" w:rsidRPr="00E333EB">
        <w:rPr>
          <w:lang w:val="es-ES_tradnl" w:eastAsia="en-US"/>
        </w:rPr>
        <w:t>.</w:t>
      </w:r>
    </w:p>
    <w:p w:rsidR="00F3360B" w:rsidRPr="00093A2E" w:rsidRDefault="00F3360B" w:rsidP="00E333EB">
      <w:pPr>
        <w:pStyle w:val="Heading2"/>
        <w:rPr>
          <w:lang w:val="es-ES_tradnl"/>
        </w:rPr>
      </w:pPr>
      <w:bookmarkStart w:id="53" w:name="_Toc371604073"/>
      <w:bookmarkStart w:id="54" w:name="_Toc379198832"/>
      <w:r w:rsidRPr="00093A2E">
        <w:rPr>
          <w:lang w:val="es-ES_tradnl"/>
        </w:rPr>
        <w:t>2.2</w:t>
      </w:r>
      <w:r w:rsidRPr="00093A2E">
        <w:rPr>
          <w:lang w:val="es-ES_tradnl"/>
        </w:rPr>
        <w:tab/>
        <w:t>Marcos reglamentarios sobre cuestiones relativas a la competencia</w:t>
      </w:r>
      <w:bookmarkEnd w:id="53"/>
      <w:bookmarkEnd w:id="54"/>
    </w:p>
    <w:p w:rsidR="00F3360B" w:rsidRPr="00093A2E" w:rsidRDefault="00F3360B" w:rsidP="00E333EB">
      <w:pPr>
        <w:pStyle w:val="Heading3"/>
        <w:rPr>
          <w:lang w:val="es-ES_tradnl"/>
        </w:rPr>
      </w:pPr>
      <w:bookmarkStart w:id="55" w:name="_Toc330195679"/>
      <w:bookmarkStart w:id="56" w:name="_Toc362423234"/>
      <w:bookmarkStart w:id="57" w:name="_Toc362440034"/>
      <w:bookmarkStart w:id="58" w:name="_Toc362442025"/>
      <w:bookmarkStart w:id="59" w:name="_Toc371604074"/>
      <w:bookmarkStart w:id="60" w:name="_Toc379198833"/>
      <w:bookmarkEnd w:id="55"/>
      <w:r w:rsidRPr="00093A2E">
        <w:rPr>
          <w:lang w:val="es-ES_tradnl"/>
        </w:rPr>
        <w:t>2.2.1</w:t>
      </w:r>
      <w:r w:rsidRPr="00093A2E">
        <w:rPr>
          <w:lang w:val="es-ES_tradnl"/>
        </w:rPr>
        <w:tab/>
        <w:t>Análisis de mercado para determinar los mercados pertinentes</w:t>
      </w:r>
      <w:bookmarkEnd w:id="56"/>
      <w:bookmarkEnd w:id="57"/>
      <w:bookmarkEnd w:id="58"/>
      <w:bookmarkEnd w:id="59"/>
      <w:bookmarkEnd w:id="60"/>
    </w:p>
    <w:p w:rsidR="00F3360B" w:rsidRPr="00AA7E10" w:rsidRDefault="00F3360B" w:rsidP="005F3586">
      <w:pPr>
        <w:rPr>
          <w:lang w:val="es-ES_tradnl"/>
        </w:rPr>
      </w:pPr>
      <w:r w:rsidRPr="00AA7E10">
        <w:rPr>
          <w:lang w:val="es-ES_tradnl"/>
        </w:rPr>
        <w:t>Para determinar cuáles son los mercados pertinentes es importante llevar a cabo estudios de mercado. Algunas autoridades reguladoras han realizado estudios para determinar los mercados pertinentes en el sector de las comunicaciones y luego establecer a los operadores dominantes.</w:t>
      </w:r>
    </w:p>
    <w:p w:rsidR="00F3360B" w:rsidRPr="00093A2E" w:rsidRDefault="00F3360B" w:rsidP="00E333EB">
      <w:pPr>
        <w:pStyle w:val="Heading3"/>
        <w:rPr>
          <w:lang w:val="es-ES_tradnl"/>
        </w:rPr>
      </w:pPr>
      <w:bookmarkStart w:id="61" w:name="_Toc330195680"/>
      <w:bookmarkStart w:id="62" w:name="_Toc362423235"/>
      <w:bookmarkStart w:id="63" w:name="_Toc362440035"/>
      <w:bookmarkStart w:id="64" w:name="_Toc362442026"/>
      <w:bookmarkStart w:id="65" w:name="_Toc371604075"/>
      <w:bookmarkStart w:id="66" w:name="_Toc379198834"/>
      <w:bookmarkEnd w:id="61"/>
      <w:r w:rsidRPr="00093A2E">
        <w:rPr>
          <w:lang w:val="es-ES_tradnl"/>
        </w:rPr>
        <w:lastRenderedPageBreak/>
        <w:t>2.2.2</w:t>
      </w:r>
      <w:r w:rsidRPr="00093A2E">
        <w:rPr>
          <w:lang w:val="es-ES_tradnl"/>
        </w:rPr>
        <w:tab/>
        <w:t>Definición de operador dominante</w:t>
      </w:r>
      <w:bookmarkEnd w:id="62"/>
      <w:bookmarkEnd w:id="63"/>
      <w:bookmarkEnd w:id="64"/>
      <w:bookmarkEnd w:id="65"/>
      <w:bookmarkEnd w:id="66"/>
    </w:p>
    <w:p w:rsidR="00F3360B" w:rsidRPr="00AA7E10" w:rsidRDefault="00F3360B" w:rsidP="00C767D1">
      <w:pPr>
        <w:rPr>
          <w:lang w:val="es-ES_tradnl"/>
        </w:rPr>
      </w:pPr>
      <w:r w:rsidRPr="00AA7E10">
        <w:rPr>
          <w:lang w:val="es-ES_tradnl"/>
        </w:rPr>
        <w:t>El término "operador dominante" o "titular de licencia dominante" se ha definido de manera diferente según el país. En los informes de 2012 de la Base de Datos Mundial sobre Reglamentación de las Telecomunicaciones de la UIT</w:t>
      </w:r>
      <w:r w:rsidRPr="00AA7E10">
        <w:rPr>
          <w:rStyle w:val="FootnoteReference"/>
          <w:rFonts w:eastAsia="Verdana" w:cs="Verdana"/>
          <w:lang w:val="es-ES_tradnl"/>
        </w:rPr>
        <w:footnoteReference w:id="6"/>
      </w:r>
      <w:bookmarkStart w:id="67" w:name="_ftnref4"/>
      <w:bookmarkEnd w:id="67"/>
      <w:r w:rsidRPr="00AA7E10">
        <w:rPr>
          <w:lang w:val="es-ES_tradnl"/>
        </w:rPr>
        <w:t>, elaborados a partir de las respuestas enviadas por los Estados Miembros, los criterios utilizados para determinar la "posición dominante" variaban en función de:</w:t>
      </w:r>
    </w:p>
    <w:p w:rsidR="00F3360B" w:rsidRPr="00093A2E" w:rsidRDefault="00F3360B" w:rsidP="005F3586">
      <w:pPr>
        <w:pStyle w:val="Enumlevel1"/>
        <w:rPr>
          <w:spacing w:val="-6"/>
          <w:lang w:val="es-ES_tradnl"/>
        </w:rPr>
      </w:pPr>
      <w:r w:rsidRPr="007E3BE9">
        <w:rPr>
          <w:rFonts w:ascii="Verdana" w:eastAsia="Verdana" w:hAnsi="Verdana"/>
          <w:sz w:val="19"/>
          <w:szCs w:val="19"/>
          <w:lang w:val="es-ES_tradnl"/>
        </w:rPr>
        <w:t>–</w:t>
      </w:r>
      <w:r w:rsidRPr="00AA7E10">
        <w:rPr>
          <w:rFonts w:ascii="Verdana" w:eastAsia="Verdana" w:hAnsi="Verdana"/>
          <w:sz w:val="19"/>
          <w:szCs w:val="19"/>
          <w:lang w:val="es-ES_tradnl"/>
        </w:rPr>
        <w:tab/>
      </w:r>
      <w:r w:rsidRPr="00093A2E">
        <w:rPr>
          <w:spacing w:val="-6"/>
          <w:lang w:val="es-ES_tradnl"/>
        </w:rPr>
        <w:t>la cobertura geográfica,</w:t>
      </w:r>
    </w:p>
    <w:p w:rsidR="00F3360B" w:rsidRPr="00093A2E" w:rsidRDefault="00F3360B" w:rsidP="005F3586">
      <w:pPr>
        <w:pStyle w:val="Enumlevel1"/>
        <w:rPr>
          <w:spacing w:val="-6"/>
          <w:lang w:val="es-ES_tradnl"/>
        </w:rPr>
      </w:pPr>
      <w:r w:rsidRPr="007E3BE9">
        <w:rPr>
          <w:spacing w:val="-6"/>
          <w:lang w:val="es-ES_tradnl"/>
        </w:rPr>
        <w:t>–</w:t>
      </w:r>
      <w:r w:rsidRPr="00093A2E">
        <w:rPr>
          <w:spacing w:val="-6"/>
          <w:lang w:val="es-ES_tradnl"/>
        </w:rPr>
        <w:tab/>
        <w:t>la cuota de mercado en términos de abonados (o ingresos) para el tipo de mercado,</w:t>
      </w:r>
    </w:p>
    <w:p w:rsidR="00F3360B" w:rsidRPr="00093A2E" w:rsidRDefault="00F3360B" w:rsidP="005F3586">
      <w:pPr>
        <w:pStyle w:val="Enumlevel1"/>
        <w:rPr>
          <w:spacing w:val="-6"/>
          <w:lang w:val="es-ES_tradnl"/>
        </w:rPr>
      </w:pPr>
      <w:r w:rsidRPr="007E3BE9">
        <w:rPr>
          <w:spacing w:val="-6"/>
          <w:lang w:val="es-ES_tradnl"/>
        </w:rPr>
        <w:t>–</w:t>
      </w:r>
      <w:r w:rsidRPr="00093A2E">
        <w:rPr>
          <w:spacing w:val="-6"/>
          <w:lang w:val="es-ES_tradnl"/>
        </w:rPr>
        <w:tab/>
        <w:t>el control de las instalaciones esenciales para permitir el acceso de usuario final,</w:t>
      </w:r>
    </w:p>
    <w:p w:rsidR="00F3360B" w:rsidRPr="00093A2E" w:rsidRDefault="00F3360B" w:rsidP="005F3586">
      <w:pPr>
        <w:pStyle w:val="Enumlevel1"/>
        <w:rPr>
          <w:spacing w:val="-6"/>
          <w:lang w:val="es-ES_tradnl"/>
        </w:rPr>
      </w:pPr>
      <w:r w:rsidRPr="007E3BE9">
        <w:rPr>
          <w:spacing w:val="-6"/>
          <w:lang w:val="es-ES_tradnl"/>
        </w:rPr>
        <w:t>–</w:t>
      </w:r>
      <w:r w:rsidRPr="00093A2E">
        <w:rPr>
          <w:spacing w:val="-6"/>
          <w:lang w:val="es-ES_tradnl"/>
        </w:rPr>
        <w:tab/>
        <w:t>el acceso fácil a los recursos financieros,</w:t>
      </w:r>
    </w:p>
    <w:p w:rsidR="00F3360B" w:rsidRPr="00093A2E" w:rsidRDefault="00F3360B" w:rsidP="005F3586">
      <w:pPr>
        <w:pStyle w:val="Enumlevel1"/>
        <w:rPr>
          <w:spacing w:val="-6"/>
          <w:lang w:val="es-ES_tradnl"/>
        </w:rPr>
      </w:pPr>
      <w:r w:rsidRPr="007E3BE9">
        <w:rPr>
          <w:spacing w:val="-6"/>
          <w:lang w:val="es-ES_tradnl"/>
        </w:rPr>
        <w:t>–</w:t>
      </w:r>
      <w:r w:rsidRPr="00093A2E">
        <w:rPr>
          <w:spacing w:val="-6"/>
          <w:lang w:val="es-ES_tradnl"/>
        </w:rPr>
        <w:tab/>
        <w:t>la capacidad de negociación de los consumidores, las economías de escala y el alcance,</w:t>
      </w:r>
    </w:p>
    <w:p w:rsidR="00F3360B" w:rsidRPr="00093A2E" w:rsidRDefault="00F3360B" w:rsidP="005F3586">
      <w:pPr>
        <w:pStyle w:val="Enumlevel1"/>
        <w:rPr>
          <w:spacing w:val="-6"/>
          <w:lang w:val="es-ES_tradnl"/>
        </w:rPr>
      </w:pPr>
      <w:r w:rsidRPr="007E3BE9">
        <w:rPr>
          <w:spacing w:val="-6"/>
          <w:lang w:val="es-ES_tradnl"/>
        </w:rPr>
        <w:t>–</w:t>
      </w:r>
      <w:r w:rsidRPr="00093A2E">
        <w:rPr>
          <w:spacing w:val="-6"/>
          <w:lang w:val="es-ES_tradnl"/>
        </w:rPr>
        <w:tab/>
        <w:t>las barreras de entrada y la competencia potencial.</w:t>
      </w:r>
    </w:p>
    <w:p w:rsidR="00F3360B" w:rsidRDefault="00F3360B" w:rsidP="00024075">
      <w:pPr>
        <w:rPr>
          <w:lang w:val="es-ES_tradnl"/>
        </w:rPr>
      </w:pPr>
      <w:r w:rsidRPr="00AA7E10">
        <w:rPr>
          <w:lang w:val="es-ES_tradnl"/>
        </w:rPr>
        <w:t>En general, el criterio que se utilizó con más frecuencia para determinar el poder significativo de mercado (SMP) en 2012 siguió siendo la cuota de mercado del operador en un determinado mercado, en términos de número de abonados o de ingresos, seguido del control de instalaciones esenciales que dan acceso al usuario extremo y obstaculizan la entrada de nuevos competidores. (Véase la Figura 1 siguiente.)</w:t>
      </w:r>
    </w:p>
    <w:p w:rsidR="00BF50D4" w:rsidRPr="00BF50D4" w:rsidRDefault="00BF50D4" w:rsidP="00BF50D4">
      <w:pPr>
        <w:pStyle w:val="Figuretitle"/>
        <w:rPr>
          <w:lang w:val="es-ES_tradnl"/>
        </w:rPr>
      </w:pPr>
      <w:r>
        <w:rPr>
          <w:lang w:val="es-ES_tradnl"/>
        </w:rPr>
        <w:t>Figura</w:t>
      </w:r>
      <w:r w:rsidRPr="00BF50D4">
        <w:rPr>
          <w:lang w:val="es-ES_tradnl"/>
        </w:rPr>
        <w:t xml:space="preserve"> 1: Criterios utilizados para determinar la "posición dominante"</w:t>
      </w:r>
    </w:p>
    <w:p w:rsidR="00BF50D4" w:rsidRDefault="00BF50D4" w:rsidP="00BF50D4">
      <w:pPr>
        <w:pStyle w:val="Figure"/>
      </w:pPr>
      <w:r w:rsidRPr="005C033E">
        <w:rPr>
          <w:noProof/>
          <w:sz w:val="22"/>
          <w:shd w:val="clear" w:color="auto" w:fill="E8F8FD"/>
          <w:lang w:val="en-US" w:eastAsia="zh-CN"/>
        </w:rPr>
        <w:drawing>
          <wp:inline distT="0" distB="0" distL="0" distR="0" wp14:anchorId="1D73470A" wp14:editId="6A791B2E">
            <wp:extent cx="5600700" cy="2238375"/>
            <wp:effectExtent l="0" t="0" r="0" b="9525"/>
            <wp:docPr id="5" name="Picture 0" descr="10iS3T0R0x0S3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iS3T0R0x0S3T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2238375"/>
                    </a:xfrm>
                    <a:prstGeom prst="rect">
                      <a:avLst/>
                    </a:prstGeom>
                    <a:noFill/>
                    <a:ln>
                      <a:noFill/>
                    </a:ln>
                  </pic:spPr>
                </pic:pic>
              </a:graphicData>
            </a:graphic>
          </wp:inline>
        </w:drawing>
      </w:r>
    </w:p>
    <w:p w:rsidR="00BF50D4" w:rsidRPr="00BF50D4" w:rsidRDefault="003C2112" w:rsidP="00BF50D4">
      <w:pPr>
        <w:pStyle w:val="figuresource"/>
        <w:rPr>
          <w:lang w:val="es-ES_tradnl"/>
        </w:rPr>
      </w:pPr>
      <w:r>
        <w:rPr>
          <w:lang w:val="es-ES_tradnl"/>
        </w:rPr>
        <w:t>Fuente</w:t>
      </w:r>
      <w:r w:rsidR="00BF50D4" w:rsidRPr="00BF50D4">
        <w:rPr>
          <w:lang w:val="es-ES_tradnl"/>
        </w:rPr>
        <w:t>: Base de Datos Mundial sobre Reglamentación de las Telecomunicaciones de la UIT, 2012.</w:t>
      </w:r>
    </w:p>
    <w:p w:rsidR="00BF50D4" w:rsidRPr="00BF50D4" w:rsidRDefault="00BF50D4" w:rsidP="00024075">
      <w:pPr>
        <w:rPr>
          <w:lang w:val="es-ES_tradnl"/>
        </w:rPr>
      </w:pPr>
    </w:p>
    <w:p w:rsidR="00F3360B" w:rsidRPr="00AA7E10" w:rsidRDefault="00F3360B" w:rsidP="00BF50D4">
      <w:pPr>
        <w:rPr>
          <w:bCs/>
          <w:szCs w:val="19"/>
          <w:lang w:val="es-ES_tradnl" w:eastAsia="en-US"/>
        </w:rPr>
      </w:pPr>
      <w:r w:rsidRPr="00AA7E10">
        <w:rPr>
          <w:lang w:val="es-ES_tradnl"/>
        </w:rPr>
        <w:t xml:space="preserve">Antes de determinar cuáles son los operadores que tienen poder de mercado, algunas </w:t>
      </w:r>
      <w:r w:rsidRPr="00AA7E10">
        <w:rPr>
          <w:rFonts w:eastAsia="Verdana" w:cs="Verdana"/>
          <w:lang w:val="es-ES_tradnl"/>
        </w:rPr>
        <w:t xml:space="preserve">autoridades nacionales de reglamentación </w:t>
      </w:r>
      <w:r w:rsidRPr="00AA7E10">
        <w:rPr>
          <w:lang w:val="es-ES_tradnl"/>
        </w:rPr>
        <w:t xml:space="preserve">han realizado estudios para definir los mercados en el sector pertinente. Para las </w:t>
      </w:r>
      <w:r w:rsidRPr="00AA7E10">
        <w:rPr>
          <w:rFonts w:eastAsia="Verdana" w:cs="Verdana"/>
          <w:lang w:val="es-ES_tradnl"/>
        </w:rPr>
        <w:t>autoridades nacionales de reglamentación</w:t>
      </w:r>
      <w:r w:rsidRPr="00AA7E10">
        <w:rPr>
          <w:lang w:val="es-ES_tradnl"/>
        </w:rPr>
        <w:t xml:space="preserve"> que expiden licencias en un mercado competitivo convergente reviste gran importancia determinar si un operador cuenta con poder de mercado. En algunos países las </w:t>
      </w:r>
      <w:r w:rsidRPr="00AA7E10">
        <w:rPr>
          <w:rFonts w:eastAsia="Verdana" w:cs="Verdana"/>
          <w:lang w:val="es-ES_tradnl"/>
        </w:rPr>
        <w:t>autoridades nacionales de reglamentación</w:t>
      </w:r>
      <w:r w:rsidRPr="00AA7E10">
        <w:rPr>
          <w:lang w:val="es-ES_tradnl"/>
        </w:rPr>
        <w:t xml:space="preserve"> tienen atribuciones para determinar cuáles son los operadores dominantes en su jurisdicción. La interpretación del término "operador dominante" varía en función de las jurisdicciones, pero en este sentido es necesario señalar dos aspectos:</w:t>
      </w:r>
    </w:p>
    <w:p w:rsidR="00F3360B" w:rsidRPr="00FB059C" w:rsidRDefault="00FB059C" w:rsidP="00FB059C">
      <w:pPr>
        <w:pStyle w:val="Enumlevel1"/>
        <w:rPr>
          <w:lang w:val="es-ES_tradnl"/>
        </w:rPr>
      </w:pPr>
      <w:r>
        <w:rPr>
          <w:lang w:val="es-ES_tradnl"/>
        </w:rPr>
        <w:lastRenderedPageBreak/>
        <w:t>–</w:t>
      </w:r>
      <w:r>
        <w:rPr>
          <w:lang w:val="es-ES_tradnl"/>
        </w:rPr>
        <w:tab/>
      </w:r>
      <w:r w:rsidR="00F3360B" w:rsidRPr="00FB059C">
        <w:rPr>
          <w:lang w:val="es-ES_tradnl"/>
        </w:rPr>
        <w:t>el operador dominante debe poseer una participación de mercado importante, que suele ser de más del 35%, pero también más del 50% de un mercado pertinente; y</w:t>
      </w:r>
    </w:p>
    <w:p w:rsidR="00F3360B" w:rsidRPr="00FD6E9F" w:rsidRDefault="00FB059C" w:rsidP="00FB059C">
      <w:pPr>
        <w:pStyle w:val="Enumlevel1"/>
        <w:rPr>
          <w:lang w:val="es-ES_tradnl"/>
        </w:rPr>
      </w:pPr>
      <w:r>
        <w:rPr>
          <w:lang w:val="es-ES_tradnl"/>
        </w:rPr>
        <w:t>–</w:t>
      </w:r>
      <w:r>
        <w:rPr>
          <w:lang w:val="es-ES_tradnl"/>
        </w:rPr>
        <w:tab/>
      </w:r>
      <w:r w:rsidR="00F3360B" w:rsidRPr="00FB059C">
        <w:rPr>
          <w:lang w:val="es-ES_tradnl"/>
        </w:rPr>
        <w:t>debe haber</w:t>
      </w:r>
      <w:r w:rsidR="00F3360B" w:rsidRPr="00FD6E9F">
        <w:rPr>
          <w:lang w:val="es-ES_tradnl"/>
        </w:rPr>
        <w:t xml:space="preserve"> importantes barreras de entrada al mercado pertinente en el que está operando el titular de una licencia dominante.</w:t>
      </w:r>
    </w:p>
    <w:p w:rsidR="00F3360B" w:rsidRPr="00AA7E10" w:rsidRDefault="00F3360B" w:rsidP="006E15C7">
      <w:pPr>
        <w:rPr>
          <w:lang w:val="es-ES_tradnl"/>
        </w:rPr>
      </w:pPr>
      <w:r w:rsidRPr="00AA7E10">
        <w:rPr>
          <w:lang w:val="es-ES_tradnl"/>
        </w:rPr>
        <w:t xml:space="preserve">En algunos países, las </w:t>
      </w:r>
      <w:r w:rsidRPr="00AA7E10">
        <w:rPr>
          <w:rFonts w:eastAsia="Verdana" w:cs="Verdana"/>
          <w:lang w:val="es-ES_tradnl"/>
        </w:rPr>
        <w:t xml:space="preserve">autoridades nacionales de reglamentación </w:t>
      </w:r>
      <w:r w:rsidRPr="00AA7E10">
        <w:rPr>
          <w:lang w:val="es-ES_tradnl"/>
        </w:rPr>
        <w:t>están facultadas para determinar cuál es el titular de licencia dominante del mercado de comunicaciones electrónicas pertinente y publicar una lista con todos los mercados de comunicaciones electrónicas y los titulares de licencia dominantes. Algunas autoridades nacionales de reglamentación han realizado estudios para evaluar la competencia en los mercados de las telecomunicaciones dentro de sus jurisdicciones, e identificar así a los operadores con poderes de mercado significativos</w:t>
      </w:r>
      <w:r w:rsidRPr="00AA7E10">
        <w:rPr>
          <w:rStyle w:val="FootnoteReference"/>
          <w:lang w:val="es-ES_tradnl"/>
        </w:rPr>
        <w:footnoteReference w:id="7"/>
      </w:r>
      <w:r w:rsidRPr="00AA7E10">
        <w:rPr>
          <w:lang w:val="es-ES_tradnl"/>
        </w:rPr>
        <w:t>. Según esos estudios, una vez que la autoridad nacional de regulación ha determinado que un titular de licencia ocupa una posición dominante, éste no puede aprovechar su poder de mercado para eliminar o disuadir a otro titular de licencia o impedirle que haga valer la competencia en el mercado.</w:t>
      </w:r>
    </w:p>
    <w:p w:rsidR="00F3360B" w:rsidRPr="00AA7E10" w:rsidRDefault="00F3360B" w:rsidP="006E15C7">
      <w:pPr>
        <w:rPr>
          <w:lang w:val="es-ES_tradnl"/>
        </w:rPr>
      </w:pPr>
      <w:bookmarkStart w:id="68" w:name="_ftnref5"/>
      <w:bookmarkEnd w:id="68"/>
      <w:r w:rsidRPr="00AA7E10">
        <w:rPr>
          <w:rFonts w:eastAsia="Verdana" w:cs="Verdana"/>
          <w:lang w:val="es-ES_tradnl"/>
        </w:rPr>
        <w:t xml:space="preserve">En algunos países como </w:t>
      </w:r>
      <w:r w:rsidRPr="00AA7E10">
        <w:rPr>
          <w:rFonts w:eastAsia="Verdana" w:cs="Verdana"/>
          <w:b/>
          <w:lang w:val="es-ES_tradnl"/>
        </w:rPr>
        <w:t>Tanzanía</w:t>
      </w:r>
      <w:r w:rsidRPr="00AA7E10">
        <w:rPr>
          <w:rFonts w:eastAsia="Verdana" w:cs="Verdana"/>
          <w:lang w:val="es-ES_tradnl"/>
        </w:rPr>
        <w:t>, el término "titular de licencia dominante" designa a un titular de licencia que según la autoridad competente posee más del 35% del mercado de servicios de comunicaciones electrónicas o postales</w:t>
      </w:r>
      <w:r w:rsidRPr="00AA7E10">
        <w:rPr>
          <w:rStyle w:val="FootnoteReference"/>
          <w:rFonts w:eastAsia="Verdana" w:cs="Verdana"/>
          <w:lang w:val="es-ES_tradnl"/>
        </w:rPr>
        <w:footnoteReference w:id="8"/>
      </w:r>
      <w:r w:rsidRPr="00AA7E10">
        <w:rPr>
          <w:lang w:val="es-ES_tradnl"/>
        </w:rPr>
        <w:t>.</w:t>
      </w:r>
    </w:p>
    <w:p w:rsidR="00F3360B" w:rsidRPr="00AA7E10" w:rsidRDefault="00F3360B" w:rsidP="00C3274C">
      <w:pPr>
        <w:rPr>
          <w:lang w:val="es-ES_tradnl"/>
        </w:rPr>
      </w:pPr>
      <w:r w:rsidRPr="00AA7E10">
        <w:rPr>
          <w:lang w:val="es-ES_tradnl"/>
        </w:rPr>
        <w:t xml:space="preserve">En otros países como el </w:t>
      </w:r>
      <w:r w:rsidRPr="00AA7E10">
        <w:rPr>
          <w:b/>
          <w:lang w:val="es-ES_tradnl"/>
        </w:rPr>
        <w:t>Senegal</w:t>
      </w:r>
      <w:r w:rsidRPr="00AA7E10">
        <w:rPr>
          <w:lang w:val="es-ES_tradnl"/>
        </w:rPr>
        <w:t xml:space="preserve"> se considera que un operador ocupa una posición dominante si posee más del 25% de las acciones en el mercado de telecomunicaciones. También se puede tener en cuenta el volumen de negocio del operador con respecto al tamaño del mercado, su control de las instalaciones de acceso de usuario final y su experiencia en cuanto al suministro de productos y servicios de telecomunicaciones</w:t>
      </w:r>
      <w:r w:rsidRPr="00AA7E10">
        <w:rPr>
          <w:rStyle w:val="FootnoteReference"/>
          <w:rFonts w:eastAsia="Verdana" w:cs="Verdana"/>
          <w:lang w:val="es-ES_tradnl"/>
        </w:rPr>
        <w:footnoteReference w:id="9"/>
      </w:r>
      <w:r w:rsidRPr="00AA7E10">
        <w:rPr>
          <w:lang w:val="es-ES_tradnl"/>
        </w:rPr>
        <w:t>.</w:t>
      </w:r>
    </w:p>
    <w:p w:rsidR="00F3360B" w:rsidRPr="00AA7E10" w:rsidRDefault="00F3360B" w:rsidP="006E15C7">
      <w:pPr>
        <w:rPr>
          <w:rFonts w:eastAsia="Verdana" w:cs="Verdana"/>
          <w:lang w:val="es-ES_tradnl"/>
        </w:rPr>
      </w:pPr>
      <w:r w:rsidRPr="00AA7E10">
        <w:rPr>
          <w:rFonts w:eastAsia="Verdana" w:cs="Verdana"/>
          <w:lang w:val="es-ES_tradnl"/>
        </w:rPr>
        <w:t xml:space="preserve">En lugar del concepto de "operador que ocupa una posición dominante", la </w:t>
      </w:r>
      <w:r w:rsidRPr="00AA7E10">
        <w:rPr>
          <w:rFonts w:eastAsia="Verdana" w:cs="Verdana"/>
          <w:b/>
          <w:lang w:val="es-ES_tradnl"/>
        </w:rPr>
        <w:t>Unión Económica y Monetaria de África Occidental (UEMOA)</w:t>
      </w:r>
      <w:r w:rsidRPr="00AA7E10">
        <w:rPr>
          <w:rFonts w:eastAsia="Verdana" w:cs="Verdana"/>
          <w:lang w:val="es-ES_tradnl"/>
        </w:rPr>
        <w:t xml:space="preserve"> ha acuñado el concepto de "operador poderoso". A tenor del Artículo 1 de la Directiva 03/2006/CM/UEMOA/CM/UEMOA relativa a la interconexión de redes y servicios de telecomunicaciones, "cabe considerar que un operador de una red de telecomunicaciones públicas es poderoso dentro del mercado de un servicio o grupo de servicios si posee al menos el 25% del volumen de ese mercado. También se puede tener en cuenta:</w:t>
      </w:r>
    </w:p>
    <w:p w:rsidR="00F3360B" w:rsidRPr="00FB059C" w:rsidRDefault="00FB059C" w:rsidP="00FB059C">
      <w:pPr>
        <w:pStyle w:val="Enumlevel1"/>
        <w:rPr>
          <w:lang w:val="es-ES_tradnl"/>
        </w:rPr>
      </w:pPr>
      <w:r>
        <w:rPr>
          <w:lang w:val="es-ES_tradnl"/>
        </w:rPr>
        <w:t>–</w:t>
      </w:r>
      <w:r>
        <w:rPr>
          <w:lang w:val="es-ES_tradnl"/>
        </w:rPr>
        <w:tab/>
      </w:r>
      <w:r w:rsidR="00F3360B" w:rsidRPr="00FB059C">
        <w:rPr>
          <w:lang w:val="es-ES_tradnl"/>
        </w:rPr>
        <w:t>la capacidad del operador para influir en las condiciones del mercado;</w:t>
      </w:r>
    </w:p>
    <w:p w:rsidR="00F3360B" w:rsidRPr="00FB059C" w:rsidRDefault="00FB059C" w:rsidP="00FB059C">
      <w:pPr>
        <w:pStyle w:val="Enumlevel1"/>
        <w:rPr>
          <w:lang w:val="es-ES_tradnl"/>
        </w:rPr>
      </w:pPr>
      <w:r>
        <w:rPr>
          <w:lang w:val="es-ES_tradnl"/>
        </w:rPr>
        <w:t>–</w:t>
      </w:r>
      <w:r>
        <w:rPr>
          <w:lang w:val="es-ES_tradnl"/>
        </w:rPr>
        <w:tab/>
      </w:r>
      <w:r w:rsidR="00F3360B" w:rsidRPr="00FB059C">
        <w:rPr>
          <w:lang w:val="es-ES_tradnl"/>
        </w:rPr>
        <w:t>su volumen de negocio con respecto al tamaño del mercado;</w:t>
      </w:r>
    </w:p>
    <w:p w:rsidR="00F3360B" w:rsidRPr="00FB059C" w:rsidRDefault="00FB059C" w:rsidP="00FB059C">
      <w:pPr>
        <w:pStyle w:val="Enumlevel1"/>
        <w:rPr>
          <w:lang w:val="es-ES_tradnl"/>
        </w:rPr>
      </w:pPr>
      <w:r>
        <w:rPr>
          <w:lang w:val="es-ES_tradnl"/>
        </w:rPr>
        <w:t>–</w:t>
      </w:r>
      <w:r>
        <w:rPr>
          <w:lang w:val="es-ES_tradnl"/>
        </w:rPr>
        <w:tab/>
      </w:r>
      <w:r w:rsidR="00F3360B" w:rsidRPr="00FB059C">
        <w:rPr>
          <w:lang w:val="es-ES_tradnl"/>
        </w:rPr>
        <w:t>el control que este ejerce respecto de las instalaciones de acceso de usuario final;</w:t>
      </w:r>
    </w:p>
    <w:p w:rsidR="00F3360B" w:rsidRPr="00752B0D" w:rsidRDefault="00FB059C" w:rsidP="00FB059C">
      <w:pPr>
        <w:pStyle w:val="Enumlevel1"/>
        <w:rPr>
          <w:lang w:val="es-ES_tradnl"/>
        </w:rPr>
      </w:pPr>
      <w:r>
        <w:rPr>
          <w:lang w:val="es-ES_tradnl"/>
        </w:rPr>
        <w:t>–</w:t>
      </w:r>
      <w:r>
        <w:rPr>
          <w:lang w:val="es-ES_tradnl"/>
        </w:rPr>
        <w:tab/>
      </w:r>
      <w:r w:rsidR="00F3360B" w:rsidRPr="00FB059C">
        <w:rPr>
          <w:lang w:val="es-ES_tradnl"/>
        </w:rPr>
        <w:t>su experiencia</w:t>
      </w:r>
      <w:r w:rsidR="00F3360B" w:rsidRPr="00752B0D">
        <w:rPr>
          <w:lang w:val="es-ES_tradnl"/>
        </w:rPr>
        <w:t xml:space="preserve"> en cuanto al suministro de servicios dentro del mercado."</w:t>
      </w:r>
    </w:p>
    <w:p w:rsidR="00F3360B" w:rsidRPr="00AA7E10" w:rsidRDefault="00F3360B" w:rsidP="006E15C7">
      <w:pPr>
        <w:rPr>
          <w:rFonts w:eastAsia="Verdana" w:cs="Verdana"/>
          <w:lang w:val="es-ES_tradnl"/>
        </w:rPr>
      </w:pPr>
      <w:r w:rsidRPr="00AA7E10">
        <w:rPr>
          <w:rFonts w:eastAsia="Verdana" w:cs="Verdana"/>
          <w:b/>
          <w:lang w:val="es-ES_tradnl"/>
        </w:rPr>
        <w:t>La Comunidad Económica de Estados de África Occidental (ECOWAS)</w:t>
      </w:r>
      <w:r w:rsidRPr="00AA7E10">
        <w:rPr>
          <w:rFonts w:eastAsia="Verdana" w:cs="Verdana"/>
          <w:lang w:val="es-ES_tradnl"/>
        </w:rPr>
        <w:t xml:space="preserve"> utiliza la expresión "operador con un poder significativo de mercado". En el Artículo 1 de la Ley Complementaria A/SA.2/01/07 sobre acceso a las redes y servicios TIC y su interconexión se describe a dicho operador como "una empresa que, por si sola o juntamente con otras empresas, ocupa una posición equivalente a una posición dominante, esto es, una empresa que tiene una capacidad apreciable para actuar de manera independiente de sus competidores, de sus clientes y, en última instancia, de los consumidores".</w:t>
      </w:r>
    </w:p>
    <w:p w:rsidR="00F3360B" w:rsidRPr="00AA7E10" w:rsidRDefault="00F3360B" w:rsidP="00C767D1">
      <w:pPr>
        <w:rPr>
          <w:rFonts w:eastAsia="Verdana" w:cs="Verdana"/>
          <w:lang w:val="es-ES_tradnl"/>
        </w:rPr>
      </w:pPr>
      <w:r w:rsidRPr="00AA7E10">
        <w:rPr>
          <w:rFonts w:eastAsia="Verdana" w:cs="Verdana"/>
          <w:lang w:val="es-ES_tradnl"/>
        </w:rPr>
        <w:lastRenderedPageBreak/>
        <w:t xml:space="preserve">De un análisis de estas definiciones se desprende claramente que los criterios utilizados para identificar a un operador en posición dominante, un operador poderoso o un operador con un poder significativo de mercado son los mismos. En Nigeria, la </w:t>
      </w:r>
      <w:r w:rsidRPr="00AA7E10">
        <w:rPr>
          <w:rFonts w:eastAsia="Verdana" w:cs="Verdana"/>
          <w:b/>
          <w:lang w:val="es-ES_tradnl"/>
        </w:rPr>
        <w:t>Comisión Reguladora</w:t>
      </w:r>
      <w:r w:rsidRPr="00AA7E10">
        <w:rPr>
          <w:rFonts w:eastAsia="Verdana" w:cs="Verdana"/>
          <w:lang w:val="es-ES_tradnl"/>
        </w:rPr>
        <w:t xml:space="preserve"> divulga directrices anuales para identificar a los operadores que están en posición dominante. De conformidad con la Parte III de las Regulaciones de la Interconexión entre las Redes de Telecomunicaciones, esos operadores en posición dominante tienen una serie de obliga</w:t>
      </w:r>
      <w:r w:rsidRPr="00C767D1">
        <w:rPr>
          <w:lang w:val="es-ES_tradnl"/>
        </w:rPr>
        <w:t>c</w:t>
      </w:r>
      <w:r w:rsidRPr="00AA7E10">
        <w:rPr>
          <w:rFonts w:eastAsia="Verdana" w:cs="Verdana"/>
          <w:lang w:val="es-ES_tradnl"/>
        </w:rPr>
        <w:t>iones, entre ellas proporcionar instalaciones esenciales a los operadores rivales</w:t>
      </w:r>
      <w:r w:rsidRPr="00AA7E10">
        <w:rPr>
          <w:rStyle w:val="FootnoteReference"/>
          <w:rFonts w:eastAsia="Verdana" w:cs="Verdana"/>
          <w:lang w:val="es-ES_tradnl"/>
        </w:rPr>
        <w:footnoteReference w:id="10"/>
      </w:r>
      <w:r w:rsidRPr="00AA7E10">
        <w:rPr>
          <w:rFonts w:eastAsia="Verdana" w:cs="Verdana"/>
          <w:lang w:val="es-ES_tradnl"/>
        </w:rPr>
        <w:t>.</w:t>
      </w:r>
      <w:bookmarkStart w:id="69" w:name="_ftnref7"/>
      <w:bookmarkEnd w:id="69"/>
    </w:p>
    <w:p w:rsidR="00F3360B" w:rsidRPr="00752B0D" w:rsidRDefault="00F3360B" w:rsidP="00FB40C7">
      <w:pPr>
        <w:pStyle w:val="Heading3"/>
        <w:rPr>
          <w:lang w:val="es-ES_tradnl"/>
        </w:rPr>
      </w:pPr>
      <w:bookmarkStart w:id="70" w:name="_Toc330195681"/>
      <w:bookmarkStart w:id="71" w:name="_Toc362423236"/>
      <w:bookmarkStart w:id="72" w:name="_Toc362440036"/>
      <w:bookmarkStart w:id="73" w:name="_Toc362442027"/>
      <w:bookmarkStart w:id="74" w:name="_Toc371604076"/>
      <w:bookmarkStart w:id="75" w:name="_Toc379198835"/>
      <w:bookmarkEnd w:id="70"/>
      <w:r w:rsidRPr="00752B0D">
        <w:rPr>
          <w:lang w:val="es-ES_tradnl"/>
        </w:rPr>
        <w:t>2.2.3</w:t>
      </w:r>
      <w:r w:rsidRPr="00752B0D">
        <w:rPr>
          <w:lang w:val="es-ES_tradnl"/>
        </w:rPr>
        <w:tab/>
        <w:t>Definición del mercado</w:t>
      </w:r>
      <w:bookmarkEnd w:id="71"/>
      <w:bookmarkEnd w:id="72"/>
      <w:bookmarkEnd w:id="73"/>
      <w:bookmarkEnd w:id="74"/>
      <w:bookmarkEnd w:id="75"/>
    </w:p>
    <w:p w:rsidR="00F3360B" w:rsidRPr="00AA7E10" w:rsidRDefault="00F3360B" w:rsidP="006E15C7">
      <w:pPr>
        <w:rPr>
          <w:lang w:val="es-ES_tradnl"/>
        </w:rPr>
      </w:pPr>
      <w:r w:rsidRPr="00AA7E10">
        <w:rPr>
          <w:rFonts w:eastAsia="Verdana" w:cs="Verdana"/>
          <w:lang w:val="es-ES_tradnl"/>
        </w:rPr>
        <w:t>En algunos países, un operador en posición dominante se identifica tomando como referencia su posición en un mercado. En su informe de 2000, la autoridad encargada de la competencia en Francia definió el mercado de la siguiente manera: "El mercado, según se entiende a tenor de la ley de competencia, es el lugar donde se encuentran la oferta y la demanda de un determinado producto o servicio". Cuando los productos o servicios son sustituibles, el mercado se puede calificar de pertinente.</w:t>
      </w:r>
    </w:p>
    <w:p w:rsidR="00F3360B" w:rsidRPr="00FB40C7" w:rsidRDefault="00F3360B" w:rsidP="00FB40C7">
      <w:pPr>
        <w:rPr>
          <w:rFonts w:eastAsia="Verdana" w:cs="Verdana"/>
          <w:lang w:val="es-ES_tradnl"/>
        </w:rPr>
      </w:pPr>
      <w:r w:rsidRPr="00FB40C7">
        <w:rPr>
          <w:rFonts w:eastAsia="Verdana" w:cs="Verdana"/>
          <w:lang w:val="es-ES_tradnl"/>
        </w:rPr>
        <w:t xml:space="preserve">En la Directiva 2002/21/EC (la "Directiva Marco") se estipula que la Comisión Europea formulará recomendaciones y directrices al respecto. El procedimiento de análisis consta de tres etapas, incluida la definición de mercado pertinente. Las fronteras de dicho mercado se definen sobre la base del criterio de "sustituibilidad" con respecto a la demanda y la oferta. Este criterio sirve para hacer una distinción entre el mercado de productos y el mercado geográfico. </w:t>
      </w:r>
    </w:p>
    <w:p w:rsidR="00F3360B" w:rsidRPr="00FB40C7" w:rsidRDefault="00F3360B" w:rsidP="00FB40C7">
      <w:pPr>
        <w:rPr>
          <w:rFonts w:eastAsia="Verdana" w:cs="Verdana"/>
          <w:lang w:val="es-ES_tradnl"/>
        </w:rPr>
      </w:pPr>
      <w:r w:rsidRPr="00FB40C7">
        <w:rPr>
          <w:rFonts w:eastAsia="Verdana" w:cs="Verdana"/>
          <w:lang w:val="es-ES_tradnl"/>
        </w:rPr>
        <w:t>El mercado de productos en cuestión abarca a todos los productos y/o servicios que el consumidor considera intercambiables o sustituibles en razón de sus características, su precio y el uso para el cual están destinados. El mercado geográfico comprende el territorio dentro del cual compiten las empresas rivales en la oferta y demanda de productos y servicios, en el cual las condiciones competitivas son suficientemente homogéneas, y que puede dividirse en zonas geográficas vecinas caracterizadas, en particular, por unas condiciones de competencia distintas.</w:t>
      </w:r>
    </w:p>
    <w:p w:rsidR="00F3360B" w:rsidRPr="00FB40C7" w:rsidRDefault="00F3360B" w:rsidP="00FB40C7">
      <w:pPr>
        <w:rPr>
          <w:rFonts w:eastAsia="Verdana" w:cs="Verdana"/>
          <w:lang w:val="es-ES_tradnl"/>
        </w:rPr>
      </w:pPr>
      <w:r w:rsidRPr="00FB40C7">
        <w:rPr>
          <w:rFonts w:eastAsia="Verdana" w:cs="Verdana"/>
          <w:lang w:val="es-ES_tradnl"/>
        </w:rPr>
        <w:t xml:space="preserve">En </w:t>
      </w:r>
      <w:r w:rsidRPr="00E03223">
        <w:rPr>
          <w:rFonts w:eastAsia="Verdana" w:cs="Verdana"/>
          <w:b/>
          <w:bCs/>
          <w:lang w:val="es-ES_tradnl"/>
        </w:rPr>
        <w:t>Senegal</w:t>
      </w:r>
      <w:r w:rsidRPr="00FB40C7">
        <w:rPr>
          <w:rFonts w:eastAsia="Verdana" w:cs="Verdana"/>
          <w:lang w:val="es-ES_tradnl"/>
        </w:rPr>
        <w:t>, el nuevo Código de Telecomunicaciones impone ciertas obligaciones al operador que goza de poder significativo de mercado. En el Artículo 14 del nuevo Código se estipula que "los operadores que se considera que poseen un poder significativo en un mercado pertinente del sector de las telecomunicaciones deberán, en lo que respecta a la interconexión y el acceso:</w:t>
      </w:r>
    </w:p>
    <w:p w:rsidR="00F3360B" w:rsidRPr="007E3BE9" w:rsidRDefault="00737E8B" w:rsidP="00737E8B">
      <w:pPr>
        <w:pStyle w:val="Enumlevel1"/>
        <w:rPr>
          <w:lang w:val="es-ES_tradnl"/>
        </w:rPr>
      </w:pPr>
      <w:r w:rsidRPr="00737E8B">
        <w:rPr>
          <w:lang w:val="es-ES_tradnl"/>
        </w:rPr>
        <w:t>1)</w:t>
      </w:r>
      <w:r w:rsidRPr="00737E8B">
        <w:rPr>
          <w:lang w:val="es-ES_tradnl"/>
        </w:rPr>
        <w:tab/>
      </w:r>
      <w:r w:rsidR="00F3360B" w:rsidRPr="00737E8B">
        <w:rPr>
          <w:lang w:val="es-ES_tradnl"/>
        </w:rPr>
        <w:t xml:space="preserve">divulgar públicamente la información sobre la interconexión o el acceso, y en particular publicar una oferta con los detalles técnicos y de tarifas con respecto a la interconexión o el acceso, lo que se conoce como catálogo de interconexión. </w:t>
      </w:r>
      <w:r w:rsidR="00F3360B" w:rsidRPr="007E3BE9">
        <w:rPr>
          <w:lang w:val="es-ES_tradnl"/>
        </w:rPr>
        <w:t>La oferta de</w:t>
      </w:r>
      <w:r w:rsidR="00F3360B" w:rsidRPr="00672603">
        <w:rPr>
          <w:lang w:val="es-ES_tradnl"/>
        </w:rPr>
        <w:t xml:space="preserve"> interconexión</w:t>
      </w:r>
      <w:r w:rsidR="00F3360B" w:rsidRPr="007E3BE9">
        <w:rPr>
          <w:lang w:val="es-ES_tradnl"/>
        </w:rPr>
        <w:t xml:space="preserve"> puede modificarse durante el periodo de validez de un catálogo, a condición de que todos los operadores puedan obtener el mismo beneficio de la modificación. No obstante, toda modificación de este tipo deberá ser aprobada previamente por la autoridad reguladora. Esta autoridad podrá exigir en cualquier momento que se modifique el catálogo de interconexión si considera que no se garantizan las condiciones de competencia e interfuncionamiento de las redes y servicios de telecomunicaciones. Puede decidir asimismo que se incorporen o supriman servicios en el catálogo con el fin de aplicar los principios de orientación al costo para las tarifas de interconexión o para satisfacer mejor las necesidades de la comunidad de proveedores y operadores de servicios de telecomunicaciones;</w:t>
      </w:r>
    </w:p>
    <w:p w:rsidR="00F3360B" w:rsidRPr="00737E8B" w:rsidRDefault="00737E8B" w:rsidP="00737E8B">
      <w:pPr>
        <w:pStyle w:val="Enumlevel1"/>
        <w:rPr>
          <w:lang w:val="es-ES_tradnl"/>
        </w:rPr>
      </w:pPr>
      <w:r w:rsidRPr="00737E8B">
        <w:rPr>
          <w:lang w:val="es-ES_tradnl"/>
        </w:rPr>
        <w:t>2)</w:t>
      </w:r>
      <w:r w:rsidRPr="00737E8B">
        <w:rPr>
          <w:lang w:val="es-ES_tradnl"/>
        </w:rPr>
        <w:tab/>
      </w:r>
      <w:r w:rsidR="00F3360B" w:rsidRPr="00737E8B">
        <w:rPr>
          <w:lang w:val="es-ES_tradnl"/>
        </w:rPr>
        <w:t>proporcionar servicios de interconexión o acceso sin discriminación alguna;</w:t>
      </w:r>
    </w:p>
    <w:p w:rsidR="00F3360B" w:rsidRPr="00737E8B" w:rsidRDefault="00737E8B" w:rsidP="00737E8B">
      <w:pPr>
        <w:pStyle w:val="Enumlevel1"/>
        <w:rPr>
          <w:lang w:val="es-ES_tradnl"/>
        </w:rPr>
      </w:pPr>
      <w:r w:rsidRPr="00737E8B">
        <w:rPr>
          <w:lang w:val="es-ES_tradnl"/>
        </w:rPr>
        <w:t>3)</w:t>
      </w:r>
      <w:r w:rsidRPr="00737E8B">
        <w:rPr>
          <w:lang w:val="es-ES_tradnl"/>
        </w:rPr>
        <w:tab/>
      </w:r>
      <w:r w:rsidR="00F3360B" w:rsidRPr="00737E8B">
        <w:rPr>
          <w:lang w:val="es-ES_tradnl"/>
        </w:rPr>
        <w:t>atender las solicitudes razonables de acceso a los elementos de red o las instalaciones conexas;</w:t>
      </w:r>
    </w:p>
    <w:p w:rsidR="00F3360B" w:rsidRPr="00737E8B" w:rsidRDefault="00737E8B" w:rsidP="00737E8B">
      <w:pPr>
        <w:pStyle w:val="Enumlevel1"/>
        <w:rPr>
          <w:lang w:val="es-ES_tradnl"/>
        </w:rPr>
      </w:pPr>
      <w:r w:rsidRPr="00737E8B">
        <w:rPr>
          <w:lang w:val="es-ES_tradnl"/>
        </w:rPr>
        <w:t>4)</w:t>
      </w:r>
      <w:r w:rsidRPr="00737E8B">
        <w:rPr>
          <w:lang w:val="es-ES_tradnl"/>
        </w:rPr>
        <w:tab/>
      </w:r>
      <w:r w:rsidR="00F3360B" w:rsidRPr="00737E8B">
        <w:rPr>
          <w:lang w:val="es-ES_tradnl"/>
        </w:rPr>
        <w:t>imponer tarifas que reflejen los costos pertinentes;</w:t>
      </w:r>
    </w:p>
    <w:p w:rsidR="00F3360B" w:rsidRPr="00752B0D" w:rsidRDefault="00737E8B" w:rsidP="00737E8B">
      <w:pPr>
        <w:pStyle w:val="Enumlevel1"/>
        <w:rPr>
          <w:lang w:val="es-ES_tradnl"/>
        </w:rPr>
      </w:pPr>
      <w:r w:rsidRPr="00737E8B">
        <w:rPr>
          <w:lang w:val="es-ES_tradnl"/>
        </w:rPr>
        <w:t>5)</w:t>
      </w:r>
      <w:r w:rsidRPr="00737E8B">
        <w:rPr>
          <w:lang w:val="es-ES_tradnl"/>
        </w:rPr>
        <w:tab/>
      </w:r>
      <w:r w:rsidR="00F3360B" w:rsidRPr="00737E8B">
        <w:rPr>
          <w:lang w:val="es-ES_tradnl"/>
        </w:rPr>
        <w:t>iden</w:t>
      </w:r>
      <w:r w:rsidR="00F3360B" w:rsidRPr="00752B0D">
        <w:rPr>
          <w:lang w:val="es-ES_tradnl"/>
        </w:rPr>
        <w:t xml:space="preserve">tificar en las cuentas ciertas actividades relacionadas con la interconexión o el acceso, o mantener registros contables de los servicios y actividades que permitan verificar el cumplimiento </w:t>
      </w:r>
      <w:r w:rsidR="00F3360B" w:rsidRPr="00752B0D">
        <w:rPr>
          <w:lang w:val="es-ES_tradnl"/>
        </w:rPr>
        <w:lastRenderedPageBreak/>
        <w:t>de las obligaciones impuestas a tenor de este artículo; la observancia de estas disposiciones será verificada por un órgano independiente designado por la autoridad reguladora, con los costos a cargo del operador".</w:t>
      </w:r>
    </w:p>
    <w:p w:rsidR="00F3360B" w:rsidRPr="00AA7E10" w:rsidRDefault="00F3360B" w:rsidP="0089447C">
      <w:pPr>
        <w:rPr>
          <w:b/>
          <w:lang w:val="es-ES_tradnl" w:eastAsia="en-US"/>
        </w:rPr>
      </w:pPr>
      <w:r w:rsidRPr="00AA7E10">
        <w:rPr>
          <w:lang w:val="es-ES_tradnl" w:eastAsia="en-US"/>
        </w:rPr>
        <w:t>El nuevo Código de Telecomunicaciones también prevé el control de las tarifas minoristas impuestas por el operador con poder significativo de mercado, y en su Artículo 15 estipula que la autoridad reguladora puede imponer las siguientes obligaciones a todos los operadores que se considera ejercen una influencia significativa en un mercado minorista dentro del sector de las telecomunicaciones:</w:t>
      </w:r>
    </w:p>
    <w:p w:rsidR="00F3360B" w:rsidRPr="007848E2" w:rsidRDefault="007848E2" w:rsidP="007848E2">
      <w:pPr>
        <w:pStyle w:val="Enumlevel1"/>
        <w:rPr>
          <w:lang w:val="es-ES_tradnl"/>
        </w:rPr>
      </w:pPr>
      <w:r w:rsidRPr="007848E2">
        <w:rPr>
          <w:lang w:val="es-ES_tradnl"/>
        </w:rPr>
        <w:t>1)</w:t>
      </w:r>
      <w:r w:rsidRPr="007848E2">
        <w:rPr>
          <w:lang w:val="es-ES_tradnl"/>
        </w:rPr>
        <w:tab/>
      </w:r>
      <w:r w:rsidR="00F3360B" w:rsidRPr="007848E2">
        <w:rPr>
          <w:lang w:val="es-ES_tradnl"/>
        </w:rPr>
        <w:t>proporcionar servicios al por menor en condiciones no discriminatorias y sin acoplamiento abusivo de dichos servicios;</w:t>
      </w:r>
    </w:p>
    <w:p w:rsidR="00F3360B" w:rsidRPr="007848E2" w:rsidRDefault="007848E2" w:rsidP="007848E2">
      <w:pPr>
        <w:pStyle w:val="Enumlevel1"/>
        <w:rPr>
          <w:lang w:val="es-ES_tradnl"/>
        </w:rPr>
      </w:pPr>
      <w:r w:rsidRPr="007848E2">
        <w:rPr>
          <w:lang w:val="es-ES_tradnl"/>
        </w:rPr>
        <w:t>2)</w:t>
      </w:r>
      <w:r w:rsidRPr="007848E2">
        <w:rPr>
          <w:lang w:val="es-ES_tradnl"/>
        </w:rPr>
        <w:tab/>
      </w:r>
      <w:r w:rsidR="00F3360B" w:rsidRPr="007848E2">
        <w:rPr>
          <w:lang w:val="es-ES_tradnl"/>
        </w:rPr>
        <w:t>imponer tarifas que reflejen los costos pertinentes;</w:t>
      </w:r>
    </w:p>
    <w:p w:rsidR="00F3360B" w:rsidRPr="007848E2" w:rsidRDefault="007848E2" w:rsidP="007848E2">
      <w:pPr>
        <w:pStyle w:val="Enumlevel1"/>
        <w:rPr>
          <w:lang w:val="es-ES_tradnl"/>
        </w:rPr>
      </w:pPr>
      <w:r w:rsidRPr="007848E2">
        <w:rPr>
          <w:lang w:val="es-ES_tradnl"/>
        </w:rPr>
        <w:t>3)</w:t>
      </w:r>
      <w:r w:rsidRPr="007848E2">
        <w:rPr>
          <w:lang w:val="es-ES_tradnl"/>
        </w:rPr>
        <w:tab/>
      </w:r>
      <w:r w:rsidR="00F3360B" w:rsidRPr="007848E2">
        <w:rPr>
          <w:lang w:val="es-ES_tradnl"/>
        </w:rPr>
        <w:t>guiarse por un marco de tarificación plurianual definido por la autoridad reguladora de las telecomunicaciones;</w:t>
      </w:r>
    </w:p>
    <w:p w:rsidR="00F3360B" w:rsidRPr="007848E2" w:rsidRDefault="007848E2" w:rsidP="007848E2">
      <w:pPr>
        <w:pStyle w:val="Enumlevel1"/>
        <w:rPr>
          <w:lang w:val="es-ES_tradnl"/>
        </w:rPr>
      </w:pPr>
      <w:r w:rsidRPr="007848E2">
        <w:rPr>
          <w:lang w:val="es-ES_tradnl"/>
        </w:rPr>
        <w:t>4)</w:t>
      </w:r>
      <w:r w:rsidRPr="007848E2">
        <w:rPr>
          <w:lang w:val="es-ES_tradnl"/>
        </w:rPr>
        <w:tab/>
      </w:r>
      <w:r w:rsidR="00F3360B" w:rsidRPr="007848E2">
        <w:rPr>
          <w:lang w:val="es-ES_tradnl"/>
        </w:rPr>
        <w:t>informar a la autoridad reguladora acerca de sus tarifas antes de su introducción, en la medida en que esas tarifas no estén controladas; la autoridad puede oponerse a la introducción de una tarifa que se le comunique en cumplimiento de este apartado, tras una decisión razonada y exponiendo los motivos subyacentes, principalmente económicos, de su oposición;</w:t>
      </w:r>
    </w:p>
    <w:p w:rsidR="00F3360B" w:rsidRPr="007848E2" w:rsidRDefault="007848E2" w:rsidP="007848E2">
      <w:pPr>
        <w:pStyle w:val="Enumlevel1"/>
        <w:rPr>
          <w:lang w:val="es-ES_tradnl"/>
        </w:rPr>
      </w:pPr>
      <w:r w:rsidRPr="007848E2">
        <w:rPr>
          <w:lang w:val="es-ES_tradnl"/>
        </w:rPr>
        <w:t>5)</w:t>
      </w:r>
      <w:r w:rsidRPr="007848E2">
        <w:rPr>
          <w:lang w:val="es-ES_tradnl"/>
        </w:rPr>
        <w:tab/>
      </w:r>
      <w:r w:rsidR="00F3360B" w:rsidRPr="007848E2">
        <w:rPr>
          <w:lang w:val="es-ES_tradnl"/>
        </w:rPr>
        <w:t>mantener registros contables de los servicios y actividades que permitan verificar el cumplimiento de las obligaciones impuestas en este artículo; la observancia de estas disposiciones será verificada por un órgano independiente designado por la autoridad reguladora, con los costos a cargo del operador.</w:t>
      </w:r>
    </w:p>
    <w:p w:rsidR="00F3360B" w:rsidRPr="00AA7E10" w:rsidRDefault="00F3360B" w:rsidP="006E15C7">
      <w:pPr>
        <w:rPr>
          <w:lang w:val="es-ES_tradnl"/>
        </w:rPr>
      </w:pPr>
      <w:r w:rsidRPr="00AA7E10">
        <w:rPr>
          <w:rFonts w:eastAsia="Verdana" w:cs="Verdana"/>
          <w:lang w:val="es-ES_tradnl"/>
        </w:rPr>
        <w:t xml:space="preserve">En </w:t>
      </w:r>
      <w:r w:rsidRPr="009C3F6E">
        <w:rPr>
          <w:rFonts w:eastAsia="Verdana" w:cs="Verdana"/>
          <w:b/>
          <w:bCs/>
          <w:lang w:val="es-ES_tradnl"/>
        </w:rPr>
        <w:t>Tanzanía</w:t>
      </w:r>
      <w:r w:rsidRPr="00AA7E10">
        <w:rPr>
          <w:rFonts w:eastAsia="Verdana" w:cs="Verdana"/>
          <w:lang w:val="es-ES_tradnl"/>
        </w:rPr>
        <w:t>, la autoridad publica cada año en el Boletín Oficial, antes del 31 de diciembre, una lista de todos los mercados de comunicaciones electrónicas que existen o pueden existir y los titulares de licencias de comunicación electrónica que según la autoridad mantienen una posición dominante en el mercado de comunicaciones electrónicas</w:t>
      </w:r>
      <w:r w:rsidRPr="00AA7E10">
        <w:rPr>
          <w:rStyle w:val="FootnoteReference"/>
          <w:rFonts w:eastAsia="Verdana" w:cs="Verdana"/>
          <w:lang w:val="es-ES_tradnl"/>
        </w:rPr>
        <w:footnoteReference w:id="11"/>
      </w:r>
      <w:r w:rsidRPr="00AA7E10">
        <w:rPr>
          <w:rFonts w:eastAsia="Verdana" w:cs="Verdana"/>
          <w:lang w:val="es-ES_tradnl"/>
        </w:rPr>
        <w:t>.</w:t>
      </w:r>
      <w:r w:rsidRPr="00AA7E10">
        <w:rPr>
          <w:lang w:val="es-ES_tradnl"/>
        </w:rPr>
        <w:t xml:space="preserve"> </w:t>
      </w:r>
      <w:bookmarkStart w:id="76" w:name="_ftnref8"/>
      <w:bookmarkEnd w:id="76"/>
      <w:r w:rsidRPr="00AA7E10">
        <w:rPr>
          <w:rFonts w:eastAsia="Verdana" w:cs="Verdana"/>
          <w:lang w:val="es-ES_tradnl"/>
        </w:rPr>
        <w:t>De acuerdo con este requisito, en diciembre de 2011 la autoridad publicó una lista de los nueve mercados de telecomunicaciones y licenciatarios identificados con poderes significativos de mercado, basando su decisión en una consulta realizada en su nombre sobre evaluación de la competencia en el mercado de las telecomunicaciones.</w:t>
      </w:r>
    </w:p>
    <w:p w:rsidR="00F3360B" w:rsidRPr="00AA7E10" w:rsidRDefault="00F3360B" w:rsidP="006E15C7">
      <w:pPr>
        <w:rPr>
          <w:lang w:val="es-ES_tradnl"/>
        </w:rPr>
      </w:pPr>
      <w:r w:rsidRPr="00AA7E10">
        <w:rPr>
          <w:rFonts w:eastAsia="Verdana" w:cs="Verdana"/>
          <w:lang w:val="es-ES_tradnl"/>
        </w:rPr>
        <w:t>A partir de esta evaluación de la competencia realizada en Tanzanía, la autoridad está en mejores condiciones para corregir las anomalías en los ámbitos del mercado en que se produzcan fallos, y ordenar a los titulares de licencias con poderes significativos de mercado, entre otras cosas, que proporcionen acceso a otros titulares de licencias en condiciones equitativas y no discriminatorias.</w:t>
      </w:r>
    </w:p>
    <w:p w:rsidR="00F3360B" w:rsidRPr="00AA7E10" w:rsidRDefault="00F3360B" w:rsidP="00D930B1">
      <w:pPr>
        <w:pStyle w:val="Heading1"/>
        <w:ind w:left="851" w:hanging="851"/>
        <w:rPr>
          <w:smallCaps/>
          <w:lang w:val="es-ES_tradnl" w:eastAsia="en-US"/>
        </w:rPr>
      </w:pPr>
      <w:bookmarkStart w:id="77" w:name="_Toc371604077"/>
      <w:bookmarkStart w:id="78" w:name="_Toc379198836"/>
      <w:r w:rsidRPr="00AA7E10">
        <w:rPr>
          <w:lang w:val="es-ES_tradnl" w:eastAsia="en-US"/>
        </w:rPr>
        <w:t>3</w:t>
      </w:r>
      <w:bookmarkStart w:id="79" w:name="_Toc330195682"/>
      <w:bookmarkEnd w:id="79"/>
      <w:r w:rsidRPr="00AA7E10">
        <w:rPr>
          <w:lang w:val="es-ES_tradnl" w:eastAsia="en-US"/>
        </w:rPr>
        <w:tab/>
      </w:r>
      <w:r w:rsidRPr="00752B0D">
        <w:rPr>
          <w:lang w:val="es-ES_tradnl"/>
        </w:rPr>
        <w:t>Efectos</w:t>
      </w:r>
      <w:r w:rsidRPr="00AA7E10">
        <w:rPr>
          <w:lang w:val="es-ES_tradnl" w:eastAsia="en-US"/>
        </w:rPr>
        <w:t xml:space="preserve"> del régimen de licencias y de autorizaciones en la competencia en un entorno convergente</w:t>
      </w:r>
      <w:bookmarkEnd w:id="77"/>
      <w:bookmarkEnd w:id="78"/>
    </w:p>
    <w:p w:rsidR="00F3360B" w:rsidRPr="00AA7E10" w:rsidRDefault="00F3360B" w:rsidP="006E15C7">
      <w:pPr>
        <w:rPr>
          <w:rFonts w:eastAsia="Verdana" w:cs="Verdana"/>
          <w:lang w:val="es-ES_tradnl"/>
        </w:rPr>
      </w:pPr>
      <w:r w:rsidRPr="00AA7E10">
        <w:rPr>
          <w:rFonts w:eastAsia="Verdana" w:cs="Verdana"/>
          <w:lang w:val="es-ES_tradnl"/>
        </w:rPr>
        <w:t>Las reformas de los sistemas de reglamentación a favor de la convergencia a escala mundial han tenido efectos apreciables en diversos aspectos de la reglamentación de las telecomunicaciones, por ejemplo en las licencias para prestar servicios y en los derechos y obligaciones de los proveedores, incluida la interconexión, la numeración, el servicio universal y la utilización del espectro. La simplificación de las licencias y la reducción o supresión de los requisitos administrativos u oficiales para entrar en el mercado alienta sin duda la entrada de varios actores en el mercado de las TIC, intensificando así la competencia.</w:t>
      </w:r>
    </w:p>
    <w:p w:rsidR="00F3360B" w:rsidRPr="00AA7E10" w:rsidRDefault="00F3360B" w:rsidP="00C767D1">
      <w:pPr>
        <w:rPr>
          <w:lang w:val="es-ES_tradnl"/>
        </w:rPr>
      </w:pPr>
      <w:r w:rsidRPr="00AA7E10">
        <w:rPr>
          <w:rFonts w:eastAsia="Verdana" w:cs="Verdana"/>
          <w:lang w:val="es-ES_tradnl"/>
        </w:rPr>
        <w:t xml:space="preserve">Hay algunos ámbitos en los cuales la reglamentación de la convergencia ha tenido un efecto intenso y diverso. La propia reglamentación en esos ámbitos se ve afectada por el desarrollo tecnológico de tres </w:t>
      </w:r>
      <w:r w:rsidRPr="00AA7E10">
        <w:rPr>
          <w:rFonts w:eastAsia="Verdana" w:cs="Verdana"/>
          <w:lang w:val="es-ES_tradnl"/>
        </w:rPr>
        <w:lastRenderedPageBreak/>
        <w:t>modos distintos. En primer lugar, las nuevas tecnologías conducen al desarrollo de nuevos servicios y modos de suministro no previstos en la reglamentación en vigor (por ejemplo, el uso de la telefonía IP). En segundo lugar, las nuevas tecnologías afectan la estructura general del mercado y el grado de competencia, al cambiar las condiciones de suministro, lo que a su vez afecta la necesidad de reglamentación (por ejemplo, el uso de redes de radiodifusión por cable para el suministro de acceso a Internet). En tercer lugar, las nuevas oportunidades tecnológicas crean una demanda de nuevos tipos de servicio, lo que una vez más afecta la estructura general del mercado, y prepara el terreno para los nuevos actores que entran en el mercado (por ejemplo, la introducción de servicios móviles y de la World Wide Web)</w:t>
      </w:r>
      <w:r w:rsidRPr="00AA7E10">
        <w:rPr>
          <w:rStyle w:val="FootnoteReference"/>
          <w:rFonts w:eastAsia="Verdana" w:cs="Verdana"/>
          <w:lang w:val="es-ES_tradnl"/>
        </w:rPr>
        <w:footnoteReference w:id="12"/>
      </w:r>
      <w:r w:rsidRPr="00AA7E10">
        <w:rPr>
          <w:rFonts w:eastAsia="Verdana" w:cs="Verdana"/>
          <w:lang w:val="es-ES_tradnl"/>
        </w:rPr>
        <w:t>.</w:t>
      </w:r>
      <w:bookmarkStart w:id="80" w:name="_ftnref9"/>
      <w:bookmarkEnd w:id="80"/>
    </w:p>
    <w:p w:rsidR="00F3360B" w:rsidRPr="00752B0D" w:rsidRDefault="00F3360B" w:rsidP="002E3986">
      <w:pPr>
        <w:pStyle w:val="Heading2"/>
        <w:rPr>
          <w:lang w:val="es-ES_tradnl"/>
        </w:rPr>
      </w:pPr>
      <w:bookmarkStart w:id="81" w:name="_Toc330195683"/>
      <w:bookmarkStart w:id="82" w:name="_Toc371604078"/>
      <w:bookmarkStart w:id="83" w:name="_Toc379198837"/>
      <w:bookmarkEnd w:id="81"/>
      <w:r w:rsidRPr="00752B0D">
        <w:rPr>
          <w:lang w:val="es-ES_tradnl"/>
        </w:rPr>
        <w:t>3.1</w:t>
      </w:r>
      <w:r w:rsidRPr="00752B0D">
        <w:rPr>
          <w:lang w:val="es-ES_tradnl"/>
        </w:rPr>
        <w:tab/>
        <w:t>Grado de competencia en el sector</w:t>
      </w:r>
      <w:bookmarkEnd w:id="82"/>
      <w:bookmarkEnd w:id="83"/>
    </w:p>
    <w:p w:rsidR="00F3360B" w:rsidRPr="00AA7E10" w:rsidRDefault="00F3360B" w:rsidP="002E3986">
      <w:pPr>
        <w:rPr>
          <w:lang w:val="es-ES_tradnl"/>
        </w:rPr>
      </w:pPr>
      <w:r w:rsidRPr="00AA7E10">
        <w:rPr>
          <w:lang w:val="es-ES_tradnl"/>
        </w:rPr>
        <w:t>Se entiende por mercado competitivo aquel en el que dos o más empresas suministran bienes o servicios iguales o sustituibles a personas que se encuentran en el mismo mercado geográfico pertinente, o que adquieren bienes o servicios iguales o sustituibles de personas que se encuentran en el mismo mercado geográfico pertinente.</w:t>
      </w:r>
    </w:p>
    <w:p w:rsidR="00F3360B" w:rsidRPr="00AA7E10" w:rsidRDefault="00F3360B" w:rsidP="006E15C7">
      <w:pPr>
        <w:rPr>
          <w:rFonts w:eastAsia="Verdana" w:cs="Verdana"/>
          <w:lang w:val="es-ES_tradnl"/>
        </w:rPr>
      </w:pPr>
      <w:r w:rsidRPr="00AA7E10">
        <w:rPr>
          <w:rFonts w:eastAsia="Verdana" w:cs="Verdana"/>
          <w:lang w:val="es-ES_tradnl"/>
        </w:rPr>
        <w:t>La convergencia tecnológica tiende a traer consigo nuevos mercados y numerosas cuestiones de competencia específicas, tales como el aumento del poder de mercado y las barreras de ingreso a nuevos operadores. La Base de Datos Mundial sobre Reglamentación de las Telecomunicaciones de la UIT muestra que el grado de competencia en el sector de las telecomunicaciones/TIC ha aumentado, y los servicios de telefonía móvil e Internet se sitúan en primer lugar en número de operadores</w:t>
      </w:r>
      <w:r w:rsidRPr="00AA7E10">
        <w:rPr>
          <w:rStyle w:val="FootnoteReference"/>
          <w:rFonts w:eastAsia="Verdana" w:cs="Verdana"/>
          <w:lang w:val="es-ES_tradnl"/>
        </w:rPr>
        <w:footnoteReference w:id="13"/>
      </w:r>
      <w:r w:rsidRPr="00AA7E10">
        <w:rPr>
          <w:rFonts w:eastAsia="Verdana" w:cs="Verdana"/>
          <w:lang w:val="es-ES_tradnl"/>
        </w:rPr>
        <w:t>. En algunos países con un marco de concesión de licencias convergente con diferentes segmentos de mercado</w:t>
      </w:r>
      <w:r w:rsidRPr="00AA7E10">
        <w:rPr>
          <w:lang w:val="es-ES_tradnl"/>
        </w:rPr>
        <w:t xml:space="preserve"> </w:t>
      </w:r>
      <w:r w:rsidRPr="00AA7E10">
        <w:rPr>
          <w:rFonts w:eastAsia="Verdana" w:cs="Verdana"/>
          <w:lang w:val="es-ES_tradnl"/>
        </w:rPr>
        <w:t>que van desde el nivel internacional, nacional y regional hasta el nivel de distrito se ha incorporado un mayor número de operadores para ofrecer nuevos servicios a los consumidores</w:t>
      </w:r>
      <w:r w:rsidRPr="00AA7E10">
        <w:rPr>
          <w:rStyle w:val="FootnoteReference"/>
          <w:rFonts w:eastAsia="Verdana" w:cs="Verdana"/>
          <w:lang w:val="es-ES_tradnl"/>
        </w:rPr>
        <w:footnoteReference w:id="14"/>
      </w:r>
      <w:r w:rsidRPr="00AA7E10">
        <w:rPr>
          <w:rFonts w:eastAsia="Verdana" w:cs="Verdana"/>
          <w:lang w:val="es-ES_tradnl"/>
        </w:rPr>
        <w:t>.</w:t>
      </w:r>
    </w:p>
    <w:p w:rsidR="002E3986" w:rsidRDefault="00F3360B" w:rsidP="006E15C7">
      <w:pPr>
        <w:rPr>
          <w:rFonts w:eastAsia="Verdana" w:cs="Verdana"/>
          <w:lang w:val="es-ES_tradnl"/>
        </w:rPr>
      </w:pPr>
      <w:r w:rsidRPr="00AA7E10">
        <w:rPr>
          <w:rFonts w:eastAsia="Verdana" w:cs="Verdana"/>
          <w:lang w:val="es-ES_tradnl"/>
        </w:rPr>
        <w:t>La competencia está aumentando paulatina y satisfactoriamente en todos los segmentos del mercado, y en una amplia mayoría de países el mercado de la banda ancha está, al menos jurídicamente, abierto a la competencia (véase la Figura 2).</w:t>
      </w:r>
      <w:r w:rsidR="002E3986">
        <w:rPr>
          <w:rFonts w:eastAsia="Verdana" w:cs="Verdana"/>
          <w:lang w:val="es-ES_tradnl"/>
        </w:rPr>
        <w:br w:type="page"/>
      </w:r>
    </w:p>
    <w:p w:rsidR="002E3986" w:rsidRPr="002E3986" w:rsidRDefault="002E3986" w:rsidP="002E3986">
      <w:pPr>
        <w:pStyle w:val="Figuretitle"/>
        <w:rPr>
          <w:lang w:val="es-ES_tradnl"/>
        </w:rPr>
      </w:pPr>
      <w:r w:rsidRPr="002E3986">
        <w:rPr>
          <w:lang w:val="es-ES_tradnl"/>
        </w:rPr>
        <w:lastRenderedPageBreak/>
        <w:t>Figura 2: Competencia en algunos servicios de banda ancha a nivel mundial, 2012</w:t>
      </w:r>
    </w:p>
    <w:p w:rsidR="002E3986" w:rsidRDefault="002E3986" w:rsidP="002E3986">
      <w:pPr>
        <w:pStyle w:val="Figure"/>
      </w:pPr>
      <w:r>
        <w:rPr>
          <w:rFonts w:cs="Calibri"/>
          <w:noProof/>
          <w:szCs w:val="19"/>
          <w:lang w:val="en-US" w:eastAsia="zh-CN"/>
        </w:rPr>
        <w:drawing>
          <wp:inline distT="0" distB="0" distL="0" distR="0" wp14:anchorId="55348F68" wp14:editId="5C6E6F95">
            <wp:extent cx="3310255" cy="2566670"/>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0255" cy="2566670"/>
                    </a:xfrm>
                    <a:prstGeom prst="rect">
                      <a:avLst/>
                    </a:prstGeom>
                    <a:noFill/>
                    <a:ln>
                      <a:noFill/>
                    </a:ln>
                  </pic:spPr>
                </pic:pic>
              </a:graphicData>
            </a:graphic>
          </wp:inline>
        </w:drawing>
      </w:r>
    </w:p>
    <w:p w:rsidR="002E3986" w:rsidRPr="002E3986" w:rsidRDefault="003C2112" w:rsidP="002E3986">
      <w:pPr>
        <w:pStyle w:val="figuresource"/>
        <w:rPr>
          <w:lang w:val="es-ES_tradnl"/>
        </w:rPr>
      </w:pPr>
      <w:r>
        <w:rPr>
          <w:lang w:val="es-ES_tradnl"/>
        </w:rPr>
        <w:t>Fuente</w:t>
      </w:r>
      <w:r w:rsidR="002E3986" w:rsidRPr="002E3986">
        <w:rPr>
          <w:lang w:val="es-ES_tradnl"/>
        </w:rPr>
        <w:t xml:space="preserve">: </w:t>
      </w:r>
      <w:r w:rsidR="002E3986" w:rsidRPr="00AA7E10">
        <w:rPr>
          <w:rFonts w:eastAsia="Verdana" w:cs="Verdana"/>
          <w:lang w:val="es-ES_tradnl"/>
        </w:rPr>
        <w:t>Base de datos de reglamentación de las telecomunicaciones/TIC, UIT</w:t>
      </w:r>
      <w:r w:rsidR="002E3986" w:rsidRPr="002E3986">
        <w:rPr>
          <w:rFonts w:cs="Calibri"/>
          <w:lang w:val="es-ES_tradnl"/>
        </w:rPr>
        <w:t>.</w:t>
      </w:r>
    </w:p>
    <w:p w:rsidR="00F3360B" w:rsidRPr="00AA7E10" w:rsidRDefault="00F3360B" w:rsidP="002E3986">
      <w:pPr>
        <w:pStyle w:val="Heading2"/>
        <w:rPr>
          <w:lang w:val="es-ES_tradnl" w:eastAsia="en-US"/>
        </w:rPr>
      </w:pPr>
      <w:bookmarkStart w:id="84" w:name="_Toc330195684"/>
      <w:bookmarkStart w:id="85" w:name="_Toc371604079"/>
      <w:bookmarkStart w:id="86" w:name="_Toc379198838"/>
      <w:bookmarkEnd w:id="84"/>
      <w:r w:rsidRPr="00AA7E10">
        <w:rPr>
          <w:lang w:val="es-ES_tradnl" w:eastAsia="en-US"/>
        </w:rPr>
        <w:t>3.2</w:t>
      </w:r>
      <w:r w:rsidRPr="00AA7E10">
        <w:rPr>
          <w:lang w:val="es-ES_tradnl" w:eastAsia="en-US"/>
        </w:rPr>
        <w:tab/>
        <w:t>Número de agentes de mercado</w:t>
      </w:r>
      <w:bookmarkEnd w:id="85"/>
      <w:bookmarkEnd w:id="86"/>
    </w:p>
    <w:p w:rsidR="00F3360B" w:rsidRPr="00AA7E10" w:rsidRDefault="00F3360B" w:rsidP="002E3986">
      <w:pPr>
        <w:rPr>
          <w:lang w:val="es-ES_tradnl" w:eastAsia="en-US"/>
        </w:rPr>
      </w:pPr>
      <w:r w:rsidRPr="00AA7E10">
        <w:rPr>
          <w:lang w:val="es-ES_tradnl" w:eastAsia="en-US"/>
        </w:rPr>
        <w:t>La reglamentación convergente no sólo afecta al número de operadores que proporcionan diferentes servicios de telecomunicaciones, radiodifusión y TI, sino también a su estructura orgánica, debido a la integración horizontal o vertical, las fusiones, las adquisiciones y la diversificación.</w:t>
      </w:r>
    </w:p>
    <w:p w:rsidR="00F3360B" w:rsidRPr="00AA7E10" w:rsidRDefault="00F3360B" w:rsidP="006E15C7">
      <w:pPr>
        <w:rPr>
          <w:lang w:val="es-ES_tradnl"/>
        </w:rPr>
      </w:pPr>
      <w:r w:rsidRPr="00AA7E10">
        <w:rPr>
          <w:rFonts w:eastAsia="Verdana" w:cs="Verdana"/>
          <w:b/>
          <w:lang w:val="es-ES_tradnl"/>
        </w:rPr>
        <w:t>Integración horizontal</w:t>
      </w:r>
      <w:r w:rsidRPr="00AA7E10">
        <w:rPr>
          <w:rStyle w:val="FootnoteReference"/>
          <w:rFonts w:eastAsia="Verdana" w:cs="Verdana"/>
          <w:b/>
          <w:lang w:val="es-ES_tradnl"/>
        </w:rPr>
        <w:footnoteReference w:id="15"/>
      </w:r>
      <w:bookmarkStart w:id="87" w:name="_ftnref12"/>
      <w:bookmarkEnd w:id="87"/>
      <w:r w:rsidRPr="00AA7E10">
        <w:rPr>
          <w:lang w:val="es-ES_tradnl"/>
        </w:rPr>
        <w:t xml:space="preserve">: </w:t>
      </w:r>
      <w:r w:rsidRPr="00AA7E10">
        <w:rPr>
          <w:rFonts w:eastAsia="Verdana" w:cs="Verdana"/>
          <w:lang w:val="es-ES_tradnl"/>
        </w:rPr>
        <w:t>La integración horizontal entraña la convergencia entre dos o más de las cuatro ramas del sector de infocomunicaciones: TI, telecomunicaciones, radiodifusión y otros medios de comunicación. Las innovaciones, tanto en materia de servicios como de red, han difuminado las fronteras del sector de las telecomunicaciones. Se ha creado una amplia gama de nuevos productos y servicios de telecomunicaciones. Al mismo tiempo, la digitalización y la ampliación de las capacidades de red permiten transmitir servicios TI, de telecomunicaciones y de radiodifusión por las mismas redes (convergencia de redes).</w:t>
      </w:r>
    </w:p>
    <w:p w:rsidR="00F3360B" w:rsidRPr="00AA7E10" w:rsidRDefault="00F3360B" w:rsidP="006E15C7">
      <w:pPr>
        <w:rPr>
          <w:rFonts w:eastAsia="Verdana" w:cs="Verdana"/>
          <w:lang w:val="es-ES_tradnl"/>
        </w:rPr>
      </w:pPr>
      <w:r w:rsidRPr="00AA7E10">
        <w:rPr>
          <w:rFonts w:eastAsia="Verdana" w:cs="Verdana"/>
          <w:b/>
          <w:lang w:val="es-ES_tradnl"/>
        </w:rPr>
        <w:t>Separación vertical</w:t>
      </w:r>
      <w:r w:rsidRPr="00AA7E10">
        <w:rPr>
          <w:rStyle w:val="FootnoteReference"/>
          <w:rFonts w:eastAsia="Verdana" w:cs="Verdana"/>
          <w:b/>
          <w:lang w:val="es-ES_tradnl"/>
        </w:rPr>
        <w:footnoteReference w:id="16"/>
      </w:r>
      <w:bookmarkStart w:id="88" w:name="_ftnref13"/>
      <w:bookmarkEnd w:id="88"/>
      <w:r w:rsidRPr="00AA7E10">
        <w:rPr>
          <w:rFonts w:eastAsia="Verdana" w:cs="Verdana"/>
          <w:lang w:val="es-ES_tradnl"/>
        </w:rPr>
        <w:t>: La digitalización de redes y servicios ha facilitado la separación de la red y el suministro de servicios. Ello permite el desarrollo de una estructura de mercado con una separación vertical de operadores de red y proveedores de servicio. Se desarrollan nuevos modelos comerciales centrados en el suministro de un componente de red o un servicio concreto como alternativas del concepto de servicio de extremo a extremo, a tenor del cual todos los componentes del servicio son proporcionados por el mismo operador.</w:t>
      </w:r>
    </w:p>
    <w:p w:rsidR="002E3986" w:rsidRDefault="00F3360B" w:rsidP="006E15C7">
      <w:pPr>
        <w:rPr>
          <w:rFonts w:eastAsia="Verdana" w:cs="Verdana"/>
          <w:lang w:val="es-ES_tradnl"/>
        </w:rPr>
      </w:pPr>
      <w:r w:rsidRPr="00AA7E10">
        <w:rPr>
          <w:rFonts w:eastAsia="Verdana" w:cs="Verdana"/>
          <w:lang w:val="es-ES_tradnl"/>
        </w:rPr>
        <w:t>La integración horizontal y la separación vertical afectan a las fronteras del mercado de las telecomunicaciones y vuelven a definir las fronteras de los subsectores en la esfera de las TIC. Por otro lado, esos efectos dependen de las capacidades y los perfiles de costos de las diversas infraestructuras TIC.</w:t>
      </w:r>
    </w:p>
    <w:p w:rsidR="002E3986" w:rsidRDefault="002E3986" w:rsidP="006E15C7">
      <w:pPr>
        <w:rPr>
          <w:rFonts w:eastAsia="Verdana" w:cs="Verdana"/>
          <w:lang w:val="es-ES_tradnl"/>
        </w:rPr>
      </w:pPr>
      <w:r>
        <w:rPr>
          <w:rFonts w:eastAsia="Verdana" w:cs="Verdana"/>
          <w:lang w:val="es-ES_tradnl"/>
        </w:rPr>
        <w:br w:type="page"/>
      </w:r>
    </w:p>
    <w:p w:rsidR="00F3360B" w:rsidRPr="00AA7E10" w:rsidRDefault="00F3360B" w:rsidP="00C767D1">
      <w:pPr>
        <w:pStyle w:val="Heading2"/>
        <w:rPr>
          <w:lang w:val="es-ES_tradnl" w:eastAsia="en-US"/>
        </w:rPr>
      </w:pPr>
      <w:bookmarkStart w:id="89" w:name="_Toc330195685"/>
      <w:bookmarkStart w:id="90" w:name="_Toc371604080"/>
      <w:bookmarkStart w:id="91" w:name="_Toc379198839"/>
      <w:bookmarkEnd w:id="89"/>
      <w:r w:rsidRPr="00AA7E10">
        <w:rPr>
          <w:lang w:val="es-ES_tradnl" w:eastAsia="en-US"/>
        </w:rPr>
        <w:lastRenderedPageBreak/>
        <w:t>3.3</w:t>
      </w:r>
      <w:r w:rsidRPr="00AA7E10">
        <w:rPr>
          <w:lang w:val="es-ES_tradnl" w:eastAsia="en-US"/>
        </w:rPr>
        <w:tab/>
        <w:t>Tasas de penetración de los servicios TIC</w:t>
      </w:r>
      <w:bookmarkEnd w:id="90"/>
      <w:bookmarkEnd w:id="91"/>
    </w:p>
    <w:p w:rsidR="00F3360B" w:rsidRPr="00AA7E10" w:rsidRDefault="00F3360B" w:rsidP="006E15C7">
      <w:pPr>
        <w:keepLines/>
        <w:rPr>
          <w:lang w:val="es-ES_tradnl"/>
        </w:rPr>
      </w:pPr>
      <w:bookmarkStart w:id="92" w:name="_Toc330195686"/>
      <w:bookmarkEnd w:id="92"/>
      <w:r w:rsidRPr="00AA7E10">
        <w:rPr>
          <w:lang w:val="es-ES_tradnl"/>
        </w:rPr>
        <w:t>Los servicios convergentes influyen en gran medida en el sector de las TIC. Se prestan nuevos servicios y se incorporan nuevos operadores al sector. Esta situación afectará a los operadores tradicionales y demás agentes del mercado, sobre todo en lo que respecta al número de abonados y a los ingresos. La convergencia tecnológica tiende a traer consigo la creación de nuevos mercados y diversas cuestiones de competencia concretas tales como el aumento del poder de mercado y las barreras de ingreso.</w:t>
      </w:r>
    </w:p>
    <w:p w:rsidR="00F3360B" w:rsidRPr="00AA7E10" w:rsidRDefault="00F3360B" w:rsidP="006E15C7">
      <w:pPr>
        <w:rPr>
          <w:lang w:val="es-ES_tradnl"/>
        </w:rPr>
      </w:pPr>
      <w:r w:rsidRPr="00AA7E10">
        <w:rPr>
          <w:lang w:val="es-ES_tradnl"/>
        </w:rPr>
        <w:t>En términos generales, la UIT estima que a finales de 2013, el número de abonos a la banda ancha fija aumentará hasta superar los 688 millones, lo que supone una tasa de penetración global del 9,8%. Al mismo tiempo, el número de abonos a la banda ancha móvil activos habrá aumentado un 21% entre 2010 y 2013, hasta alcanzar a finales de 2013 los 2.100 millones, lo que prácticamente triplica el número de abonos a la banda ancha fija, pero sigue estando muy por debajo del número de abonos móviles celulares, que se estima llegarán a ser 6.840 millones</w:t>
      </w:r>
      <w:r w:rsidRPr="00AA7E10">
        <w:rPr>
          <w:vertAlign w:val="superscript"/>
          <w:lang w:val="es-ES_tradnl"/>
        </w:rPr>
        <w:t>16</w:t>
      </w:r>
      <w:r w:rsidRPr="00AA7E10">
        <w:rPr>
          <w:lang w:val="es-ES_tradnl"/>
        </w:rPr>
        <w:t>.</w:t>
      </w:r>
    </w:p>
    <w:p w:rsidR="00F3360B" w:rsidRPr="00AA7E10" w:rsidRDefault="00F3360B" w:rsidP="006E15C7">
      <w:pPr>
        <w:rPr>
          <w:lang w:val="es-ES_tradnl"/>
        </w:rPr>
      </w:pPr>
      <w:r w:rsidRPr="00AA7E10">
        <w:rPr>
          <w:lang w:val="es-ES_tradnl"/>
        </w:rPr>
        <w:t>Las estimaciones de la UIT muestran que la penetración de la banda ancha móvil en los países en desarrollo llega al 20%, mientras que en los países desarrollados era del 75% a principios de 2013.</w:t>
      </w:r>
    </w:p>
    <w:p w:rsidR="00F3360B" w:rsidRDefault="00F3360B" w:rsidP="006E15C7">
      <w:pPr>
        <w:rPr>
          <w:lang w:val="es-ES_tradnl"/>
        </w:rPr>
      </w:pPr>
      <w:r w:rsidRPr="00AA7E10">
        <w:rPr>
          <w:lang w:val="es-ES_tradnl"/>
        </w:rPr>
        <w:t>A finales de 2013, el número total de usuarios de Internet en el mundo se estima en 2.700 millones. En los países en desarrollo, el número de usuarios de Internet se ha más que triplicado entre 2007 y 2013 hasta llegar a 1.800 millones. A pesar de la rapidez de este crecimiento, menos de un tercio de los habitantes de los países en desarrollo tendrá acceso en línea a finales de 2013.</w:t>
      </w:r>
    </w:p>
    <w:p w:rsidR="00211615" w:rsidRPr="007A2479" w:rsidRDefault="00211615" w:rsidP="003C2112">
      <w:pPr>
        <w:pStyle w:val="Figuretitle"/>
        <w:rPr>
          <w:lang w:val="es-ES_tradnl"/>
        </w:rPr>
      </w:pPr>
      <w:r w:rsidRPr="00211615">
        <w:rPr>
          <w:lang w:val="es-ES_tradnl"/>
        </w:rPr>
        <w:t xml:space="preserve">Figura 3: </w:t>
      </w:r>
      <w:r w:rsidR="003C2112" w:rsidRPr="003C2112">
        <w:rPr>
          <w:lang w:val="es-ES_tradnl"/>
        </w:rPr>
        <w:t>Evolución global de las TIC y penetración de banda ancha, 2008-2013</w:t>
      </w:r>
    </w:p>
    <w:p w:rsidR="00211615" w:rsidRDefault="00211615" w:rsidP="00211615">
      <w:pPr>
        <w:pStyle w:val="Figure"/>
      </w:pPr>
      <w:r>
        <w:rPr>
          <w:noProof/>
          <w:szCs w:val="19"/>
          <w:lang w:val="en-US" w:eastAsia="zh-CN"/>
        </w:rPr>
        <w:drawing>
          <wp:inline distT="0" distB="0" distL="0" distR="0" wp14:anchorId="10BEE955" wp14:editId="070A2A30">
            <wp:extent cx="4982400" cy="2790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2400" cy="2790000"/>
                    </a:xfrm>
                    <a:prstGeom prst="rect">
                      <a:avLst/>
                    </a:prstGeom>
                    <a:noFill/>
                  </pic:spPr>
                </pic:pic>
              </a:graphicData>
            </a:graphic>
          </wp:inline>
        </w:drawing>
      </w:r>
    </w:p>
    <w:p w:rsidR="00211615" w:rsidRPr="003C2112" w:rsidRDefault="003C2112" w:rsidP="003C2112">
      <w:pPr>
        <w:pStyle w:val="figuresource"/>
        <w:rPr>
          <w:lang w:val="es-ES_tradnl"/>
        </w:rPr>
      </w:pPr>
      <w:r>
        <w:rPr>
          <w:lang w:val="es-ES_tradnl"/>
        </w:rPr>
        <w:t>Fuente</w:t>
      </w:r>
      <w:r w:rsidR="00211615" w:rsidRPr="003C2112">
        <w:rPr>
          <w:lang w:val="es-ES_tradnl"/>
        </w:rPr>
        <w:t xml:space="preserve">: </w:t>
      </w:r>
      <w:r w:rsidRPr="00AA7E10">
        <w:rPr>
          <w:lang w:val="es-ES_tradnl"/>
        </w:rPr>
        <w:t>Base de datos de indicadores de telecomunicaciones/TIC mundiales, UIT</w:t>
      </w:r>
      <w:r w:rsidR="00211615" w:rsidRPr="003C2112">
        <w:rPr>
          <w:lang w:val="es-ES_tradnl"/>
        </w:rPr>
        <w:t>.</w:t>
      </w:r>
    </w:p>
    <w:p w:rsidR="00211615" w:rsidRPr="003C2112" w:rsidRDefault="003C2112" w:rsidP="003C2112">
      <w:pPr>
        <w:pStyle w:val="figuresource"/>
        <w:spacing w:before="0"/>
        <w:rPr>
          <w:lang w:val="es-ES_tradnl"/>
        </w:rPr>
      </w:pPr>
      <w:r w:rsidRPr="003C2112">
        <w:rPr>
          <w:lang w:val="es-ES_tradnl"/>
        </w:rPr>
        <w:t>Nota</w:t>
      </w:r>
      <w:r w:rsidR="00211615" w:rsidRPr="003C2112">
        <w:rPr>
          <w:lang w:val="es-ES_tradnl"/>
        </w:rPr>
        <w:t>:</w:t>
      </w:r>
      <w:r w:rsidRPr="003C2112">
        <w:rPr>
          <w:lang w:val="es-ES_tradnl"/>
        </w:rPr>
        <w:t xml:space="preserve"> </w:t>
      </w:r>
      <w:r w:rsidR="00211615" w:rsidRPr="003C2112">
        <w:rPr>
          <w:lang w:val="es-ES_tradnl"/>
        </w:rPr>
        <w:t>*</w:t>
      </w:r>
      <w:r w:rsidRPr="00AA7E10">
        <w:rPr>
          <w:lang w:val="es-ES_tradnl"/>
        </w:rPr>
        <w:t>Los datos correspondientes a 2012 y 2013 son estimaciones</w:t>
      </w:r>
      <w:r w:rsidR="00211615" w:rsidRPr="003C2112">
        <w:rPr>
          <w:lang w:val="es-ES_tradnl"/>
        </w:rPr>
        <w:t>.</w:t>
      </w:r>
    </w:p>
    <w:p w:rsidR="00F3360B" w:rsidRPr="003C2112" w:rsidRDefault="00F3360B" w:rsidP="003C2112">
      <w:pPr>
        <w:rPr>
          <w:lang w:val="es-ES_tradnl"/>
        </w:rPr>
      </w:pPr>
    </w:p>
    <w:p w:rsidR="00F3360B" w:rsidRDefault="00F3360B" w:rsidP="006E15C7">
      <w:pPr>
        <w:rPr>
          <w:lang w:val="es-ES_tradnl"/>
        </w:rPr>
      </w:pPr>
      <w:r w:rsidRPr="00AA7E10">
        <w:rPr>
          <w:lang w:val="es-ES_tradnl"/>
        </w:rPr>
        <w:t>Conforme al Marco de Licencias Convergente, los operadores de telecomunicaciones estarán autorizados a ofrecer servicios agregados y descuentos apreciables por sus servicios (de forma individual o agrupada). Turk Telekom puso en servicio el VoIP comercial para la telefonía fija y móvil. Empezó a ofrecer servicios de radiodifusión TV por Internet, y actualmente está prestando otros servicios, tanto de forma individual como agrupada.</w:t>
      </w:r>
    </w:p>
    <w:p w:rsidR="003C2112" w:rsidRDefault="003C2112" w:rsidP="006E15C7">
      <w:pPr>
        <w:rPr>
          <w:lang w:val="es-ES_tradnl"/>
        </w:rPr>
      </w:pPr>
      <w:r>
        <w:rPr>
          <w:lang w:val="es-ES_tradnl"/>
        </w:rPr>
        <w:br w:type="page"/>
      </w:r>
    </w:p>
    <w:p w:rsidR="00F3360B" w:rsidRPr="00752B0D" w:rsidRDefault="00F3360B" w:rsidP="003C2112">
      <w:pPr>
        <w:pStyle w:val="Heading2"/>
        <w:rPr>
          <w:lang w:val="es-ES_tradnl"/>
        </w:rPr>
      </w:pPr>
      <w:bookmarkStart w:id="93" w:name="_Toc371604081"/>
      <w:bookmarkStart w:id="94" w:name="_Toc379198840"/>
      <w:r w:rsidRPr="00752B0D">
        <w:rPr>
          <w:lang w:val="es-ES_tradnl"/>
        </w:rPr>
        <w:lastRenderedPageBreak/>
        <w:t>3.4</w:t>
      </w:r>
      <w:r w:rsidRPr="00752B0D">
        <w:rPr>
          <w:lang w:val="es-ES_tradnl"/>
        </w:rPr>
        <w:tab/>
        <w:t>Compartición de infraestructura</w:t>
      </w:r>
      <w:bookmarkEnd w:id="93"/>
      <w:bookmarkEnd w:id="94"/>
    </w:p>
    <w:p w:rsidR="00F3360B" w:rsidRPr="00AA7E10" w:rsidRDefault="00F3360B" w:rsidP="006E15C7">
      <w:pPr>
        <w:rPr>
          <w:rFonts w:eastAsia="Verdana" w:cs="Verdana"/>
          <w:lang w:val="es-ES_tradnl"/>
        </w:rPr>
      </w:pPr>
      <w:r w:rsidRPr="00AA7E10">
        <w:rPr>
          <w:rFonts w:eastAsia="Verdana" w:cs="Verdana"/>
          <w:lang w:val="es-ES_tradnl"/>
        </w:rPr>
        <w:t>En un entorno competitivo, el tema de la compartición de infraestructura es muy pertinente, ya que permite reducir los costos y la contaminación del medio ambiente y deja espacio para un mayor desarrollo en el sector. En el Simposio Mundial para Organismos Reguladores celebrado en 2008 se adoptaron directrices sobre prácticas idóneas en estrategias innovadoras de compartición de infraestructura para promover un acceso asequible para todos. Se reconoció que la compartición de infraestructura tiene beneficios potenciales, pero que existe la necesidad de salvaguardar la competencia y los incentivos de inversión, y que la política reguladora debe, entre otras cuestiones, promover un acceso abierto a la capacidad internacional y las pasarelas internacionales. Cuando esto se establezca, se creará un entorno competitivo que puede fomentar un acceso más compartido y asequible a los servicios de comunicación</w:t>
      </w:r>
      <w:r w:rsidRPr="00AA7E10">
        <w:rPr>
          <w:rStyle w:val="FootnoteReference"/>
          <w:rFonts w:eastAsia="Verdana" w:cs="Verdana"/>
          <w:lang w:val="es-ES_tradnl"/>
        </w:rPr>
        <w:footnoteReference w:id="17"/>
      </w:r>
      <w:r w:rsidRPr="00AA7E10">
        <w:rPr>
          <w:rFonts w:eastAsia="Verdana" w:cs="Verdana"/>
          <w:lang w:val="es-ES_tradnl"/>
        </w:rPr>
        <w:t>.</w:t>
      </w:r>
      <w:bookmarkStart w:id="95" w:name="_ftnref14"/>
      <w:bookmarkEnd w:id="95"/>
    </w:p>
    <w:p w:rsidR="00F3360B" w:rsidRPr="00AA7E10" w:rsidRDefault="00F3360B" w:rsidP="006E15C7">
      <w:pPr>
        <w:rPr>
          <w:lang w:val="es-ES_tradnl"/>
        </w:rPr>
      </w:pPr>
      <w:r w:rsidRPr="00AA7E10">
        <w:rPr>
          <w:rFonts w:eastAsia="Verdana" w:cs="Verdana"/>
          <w:lang w:val="es-ES_tradnl"/>
        </w:rPr>
        <w:t>La siguiente sección ofrece ejemplos de compartición de infraestructura en un entorno competitivo en diferentes países.</w:t>
      </w:r>
    </w:p>
    <w:p w:rsidR="00F3360B" w:rsidRPr="00752B0D" w:rsidRDefault="00F3360B" w:rsidP="00CE75F6">
      <w:pPr>
        <w:pStyle w:val="Heading3"/>
        <w:rPr>
          <w:lang w:val="es-ES_tradnl"/>
        </w:rPr>
      </w:pPr>
      <w:bookmarkStart w:id="96" w:name="_Toc362423242"/>
      <w:bookmarkStart w:id="97" w:name="_Toc362440042"/>
      <w:bookmarkStart w:id="98" w:name="_Toc362442033"/>
      <w:bookmarkStart w:id="99" w:name="_Toc371604082"/>
      <w:bookmarkStart w:id="100" w:name="_Toc379198841"/>
      <w:r w:rsidRPr="00752B0D">
        <w:rPr>
          <w:lang w:val="es-ES_tradnl"/>
        </w:rPr>
        <w:t>3.4.1</w:t>
      </w:r>
      <w:bookmarkStart w:id="101" w:name="_ftnref15"/>
      <w:bookmarkEnd w:id="101"/>
      <w:r w:rsidRPr="00752B0D">
        <w:rPr>
          <w:lang w:val="es-ES_tradnl"/>
        </w:rPr>
        <w:tab/>
        <w:t>Experiencias nacionales: República Popular de China</w:t>
      </w:r>
      <w:bookmarkEnd w:id="96"/>
      <w:bookmarkEnd w:id="97"/>
      <w:bookmarkEnd w:id="98"/>
      <w:bookmarkEnd w:id="99"/>
      <w:bookmarkEnd w:id="100"/>
    </w:p>
    <w:p w:rsidR="00F3360B" w:rsidRPr="00AA7E10" w:rsidRDefault="00F3360B" w:rsidP="006E15C7">
      <w:pPr>
        <w:rPr>
          <w:rFonts w:eastAsia="Verdana" w:cs="Verdana"/>
          <w:lang w:val="es-ES_tradnl"/>
        </w:rPr>
      </w:pPr>
      <w:r w:rsidRPr="00AA7E10">
        <w:rPr>
          <w:rFonts w:eastAsia="Verdana" w:cs="Verdana"/>
          <w:lang w:val="es-ES_tradnl"/>
        </w:rPr>
        <w:t>Debido a la competencia en el sector de las telecomunicaciones de China, la infraestructura se está ampliando a un ritmo acelerado y las torres de telecomunicaciones se multiplican. Como consecuencia de la duplicación y multiplicación de esas infraestructuras se desperdician recursos terrestres y se consumen materias primas y energía. En 2008 China adoptó la política de fomentar la cooperación en lo tocante a la construcción y utilización de infraestructura de telecomunicaciones. El Gobierno central ha fortalecido el régimen de reglamentación y establecido las correspondientes normas y políticas. El objetivo es poner fin a la construcción de nuevas torres y postes de telecomunicaciones y evitar que su número siga aumentando cada año</w:t>
      </w:r>
      <w:r w:rsidRPr="00AA7E10">
        <w:rPr>
          <w:szCs w:val="19"/>
          <w:vertAlign w:val="superscript"/>
          <w:lang w:val="es-ES_tradnl" w:eastAsia="en-US"/>
        </w:rPr>
        <w:footnoteReference w:id="18"/>
      </w:r>
      <w:r w:rsidRPr="00AA7E10">
        <w:rPr>
          <w:rFonts w:eastAsia="Verdana" w:cs="Verdana"/>
          <w:lang w:val="es-ES_tradnl"/>
        </w:rPr>
        <w:t>.</w:t>
      </w:r>
    </w:p>
    <w:p w:rsidR="00F3360B" w:rsidRPr="00AA7E10" w:rsidRDefault="00F3360B" w:rsidP="006E15C7">
      <w:pPr>
        <w:rPr>
          <w:lang w:val="es-ES_tradnl"/>
        </w:rPr>
      </w:pPr>
      <w:r w:rsidRPr="00AA7E10">
        <w:rPr>
          <w:rFonts w:eastAsia="Verdana" w:cs="Verdana"/>
          <w:lang w:val="es-ES_tradnl"/>
        </w:rPr>
        <w:t>Gracias a esta toma consciente de decisiones políticas y a la intervención reguladora para fomentar la construcción conjunta y la compartición de infraestructura de telecomunicaciones, China ha hecho progresos efectivos. En junio de 2010 el número de nuevas torres de telecomunicaciones había disminuido en 61.000, mientras que los nuevos postes disminuyeron en 99.000. El número de nuevos sitios de telecomunicaciones (incluidas las torres) se ha reducido en más de 77.000. Se han recortado más de 127.000 km de líneas de transmisión.</w:t>
      </w:r>
    </w:p>
    <w:p w:rsidR="00F3360B" w:rsidRPr="00752B0D" w:rsidRDefault="00F3360B" w:rsidP="003F1A99">
      <w:pPr>
        <w:pStyle w:val="Heading3"/>
        <w:rPr>
          <w:lang w:val="es-ES_tradnl"/>
        </w:rPr>
      </w:pPr>
      <w:bookmarkStart w:id="102" w:name="_Toc362423243"/>
      <w:bookmarkStart w:id="103" w:name="_Toc362440043"/>
      <w:bookmarkStart w:id="104" w:name="_Toc362442034"/>
      <w:bookmarkStart w:id="105" w:name="_Toc371604083"/>
      <w:bookmarkStart w:id="106" w:name="_Toc379198842"/>
      <w:r w:rsidRPr="00752B0D">
        <w:rPr>
          <w:lang w:val="es-ES_tradnl"/>
        </w:rPr>
        <w:t>3.4.2</w:t>
      </w:r>
      <w:bookmarkStart w:id="107" w:name="_ftnref16"/>
      <w:bookmarkEnd w:id="107"/>
      <w:r w:rsidRPr="00752B0D">
        <w:rPr>
          <w:lang w:val="es-ES_tradnl"/>
        </w:rPr>
        <w:tab/>
        <w:t>Experiencias nacionales: Ghana</w:t>
      </w:r>
      <w:bookmarkEnd w:id="102"/>
      <w:bookmarkEnd w:id="103"/>
      <w:bookmarkEnd w:id="104"/>
      <w:bookmarkEnd w:id="105"/>
      <w:bookmarkEnd w:id="106"/>
    </w:p>
    <w:p w:rsidR="00F3360B" w:rsidRPr="00AA7E10" w:rsidRDefault="00F3360B" w:rsidP="006E15C7">
      <w:pPr>
        <w:rPr>
          <w:rFonts w:eastAsia="Verdana" w:cs="Verdana"/>
          <w:lang w:val="es-ES_tradnl"/>
        </w:rPr>
      </w:pPr>
      <w:r w:rsidRPr="00AA7E10">
        <w:rPr>
          <w:rFonts w:eastAsia="Verdana" w:cs="Verdana"/>
          <w:lang w:val="es-ES_tradnl"/>
        </w:rPr>
        <w:t>Ghana ha establecido directrices para la construcción e instalación de torres y equipos de comunicaciones electrónicas, las cuales fueron elaboradas por los Ministerios del Gobierno Local, Medio Ambiente y Comunicaciones, así como por la Autoridad Nacional de Comunicaciones y los operadores y empresas constructoras de infraestructuras</w:t>
      </w:r>
      <w:r w:rsidRPr="00AA7E10">
        <w:rPr>
          <w:szCs w:val="19"/>
          <w:vertAlign w:val="superscript"/>
          <w:lang w:val="es-ES_tradnl" w:eastAsia="en-US"/>
        </w:rPr>
        <w:footnoteReference w:id="19"/>
      </w:r>
      <w:r w:rsidRPr="00AA7E10">
        <w:rPr>
          <w:rFonts w:eastAsia="Verdana" w:cs="Verdana"/>
          <w:lang w:val="es-ES_tradnl"/>
        </w:rPr>
        <w:t>.</w:t>
      </w:r>
    </w:p>
    <w:p w:rsidR="00F3360B" w:rsidRPr="00AA7E10" w:rsidRDefault="00F3360B" w:rsidP="006E15C7">
      <w:pPr>
        <w:rPr>
          <w:rFonts w:eastAsia="Verdana" w:cs="Verdana"/>
          <w:lang w:val="es-ES_tradnl"/>
        </w:rPr>
      </w:pPr>
      <w:r w:rsidRPr="00AA7E10">
        <w:rPr>
          <w:rFonts w:eastAsia="Verdana" w:cs="Verdana"/>
          <w:lang w:val="es-ES_tradnl"/>
        </w:rPr>
        <w:t>La Autoridad Nacional de Comunicaciones ha otorgado licencia a los tres operadores siguientes para que proporcionen infraestructura de telecomunicaciones a otros operadores:</w:t>
      </w:r>
    </w:p>
    <w:p w:rsidR="00F3360B" w:rsidRPr="007848E2" w:rsidRDefault="007848E2" w:rsidP="007848E2">
      <w:pPr>
        <w:pStyle w:val="Enumlevel1"/>
        <w:rPr>
          <w:lang w:val="es-ES_tradnl"/>
        </w:rPr>
      </w:pPr>
      <w:r w:rsidRPr="007848E2">
        <w:rPr>
          <w:lang w:val="es-ES_tradnl"/>
        </w:rPr>
        <w:t>–</w:t>
      </w:r>
      <w:r w:rsidRPr="007848E2">
        <w:rPr>
          <w:lang w:val="es-ES_tradnl"/>
        </w:rPr>
        <w:tab/>
      </w:r>
      <w:r w:rsidR="00F3360B" w:rsidRPr="007848E2">
        <w:rPr>
          <w:lang w:val="es-ES_tradnl"/>
        </w:rPr>
        <w:t>American Towers, que se hizo cargo de las torres utilizadas por MTN;</w:t>
      </w:r>
    </w:p>
    <w:p w:rsidR="00F3360B" w:rsidRPr="007848E2" w:rsidRDefault="007848E2" w:rsidP="007848E2">
      <w:pPr>
        <w:pStyle w:val="Enumlevel1"/>
        <w:rPr>
          <w:lang w:val="es-ES_tradnl"/>
        </w:rPr>
      </w:pPr>
      <w:r w:rsidRPr="007848E2">
        <w:rPr>
          <w:lang w:val="es-ES_tradnl"/>
        </w:rPr>
        <w:t>–</w:t>
      </w:r>
      <w:r w:rsidRPr="007848E2">
        <w:rPr>
          <w:lang w:val="es-ES_tradnl"/>
        </w:rPr>
        <w:tab/>
      </w:r>
      <w:r w:rsidR="00F3360B" w:rsidRPr="007848E2">
        <w:rPr>
          <w:lang w:val="es-ES_tradnl"/>
        </w:rPr>
        <w:t>Helios Towers, que se hizo cargo de las torres utilizadas por TiGO;</w:t>
      </w:r>
    </w:p>
    <w:p w:rsidR="00F3360B" w:rsidRPr="00BC3581" w:rsidRDefault="007848E2" w:rsidP="007848E2">
      <w:pPr>
        <w:pStyle w:val="Enumlevel1"/>
        <w:rPr>
          <w:lang w:val="es-ES_tradnl"/>
        </w:rPr>
      </w:pPr>
      <w:r w:rsidRPr="007848E2">
        <w:rPr>
          <w:lang w:val="es-ES_tradnl"/>
        </w:rPr>
        <w:lastRenderedPageBreak/>
        <w:t>–</w:t>
      </w:r>
      <w:r w:rsidRPr="007848E2">
        <w:rPr>
          <w:lang w:val="es-ES_tradnl"/>
        </w:rPr>
        <w:tab/>
      </w:r>
      <w:r w:rsidR="00F3360B" w:rsidRPr="007848E2">
        <w:rPr>
          <w:lang w:val="es-ES_tradnl"/>
        </w:rPr>
        <w:t>EATO</w:t>
      </w:r>
      <w:r w:rsidR="00F3360B" w:rsidRPr="00BC3581">
        <w:rPr>
          <w:lang w:val="es-ES_tradnl"/>
        </w:rPr>
        <w:t>N, que se hizo cargo de las torres utilizadas por Ghana Telecom (propiedad mayoritaria de Vodafone, Reino Unido).</w:t>
      </w:r>
    </w:p>
    <w:p w:rsidR="00F3360B" w:rsidRPr="00AA7E10" w:rsidRDefault="00F3360B" w:rsidP="006E15C7">
      <w:pPr>
        <w:rPr>
          <w:rFonts w:eastAsia="Verdana" w:cs="Verdana"/>
          <w:bCs/>
          <w:lang w:val="es-ES_tradnl"/>
        </w:rPr>
      </w:pPr>
      <w:r w:rsidRPr="00AA7E10">
        <w:rPr>
          <w:rFonts w:eastAsia="Verdana" w:cs="Verdana"/>
          <w:lang w:val="es-ES_tradnl"/>
        </w:rPr>
        <w:t>Cada país se enfrenta a una serie de problemas, tales como el consumo excesivo de recursos, una</w:t>
      </w:r>
      <w:r w:rsidRPr="00AA7E10">
        <w:rPr>
          <w:lang w:val="es-ES_tradnl"/>
        </w:rPr>
        <w:t xml:space="preserve"> </w:t>
      </w:r>
      <w:r w:rsidRPr="00AA7E10">
        <w:rPr>
          <w:rFonts w:eastAsia="Verdana" w:cs="Verdana"/>
          <w:lang w:val="es-ES_tradnl"/>
        </w:rPr>
        <w:t>contaminación del</w:t>
      </w:r>
      <w:r w:rsidRPr="00AA7E10">
        <w:rPr>
          <w:lang w:val="es-ES_tradnl"/>
        </w:rPr>
        <w:t xml:space="preserve"> </w:t>
      </w:r>
      <w:r w:rsidRPr="00AA7E10">
        <w:rPr>
          <w:rFonts w:eastAsia="Verdana" w:cs="Verdana"/>
          <w:lang w:val="es-ES_tradnl"/>
        </w:rPr>
        <w:t>medio ambiente cada vez</w:t>
      </w:r>
      <w:r w:rsidRPr="00AA7E10">
        <w:rPr>
          <w:lang w:val="es-ES_tradnl"/>
        </w:rPr>
        <w:t xml:space="preserve"> </w:t>
      </w:r>
      <w:r w:rsidRPr="00AA7E10">
        <w:rPr>
          <w:rFonts w:eastAsia="Verdana" w:cs="Verdana"/>
          <w:lang w:val="es-ES_tradnl"/>
        </w:rPr>
        <w:t>mayor, un frágil medio ambiente y así sucesivamente. Es importante y urgente ahorrar recursos y proteger el medio ambiente. Por lo tanto, tal vez sea necesario adoptar una política que impulse la cooperación en la construcción y utilización de la infraestructura de telecomunicaciones. La adopción de decisiones políticas a conciencia y la intervención reguladora fomentan el crecimiento de la construcción conjunta y de la compartición de infraestructura de telecomunicaciones.</w:t>
      </w:r>
    </w:p>
    <w:p w:rsidR="00F3360B" w:rsidRPr="00AA7E10" w:rsidRDefault="00F3360B" w:rsidP="006E15C7">
      <w:pPr>
        <w:rPr>
          <w:rFonts w:eastAsia="Verdana" w:cs="Verdana"/>
          <w:bCs/>
          <w:lang w:val="es-ES_tradnl"/>
        </w:rPr>
      </w:pPr>
      <w:r w:rsidRPr="00AA7E10">
        <w:rPr>
          <w:rFonts w:eastAsia="Verdana" w:cs="Verdana"/>
          <w:lang w:val="es-ES_tradnl"/>
        </w:rPr>
        <w:t>En 2012 más del 80% de los países autorizó la compartición de infraestructura de operadores móviles (como los operadores de red virtual). La compartición de infraestructura pasiva y la coubicación/compartición de emplazamientos eran obligatorias en más del 59% y el 61% de los países respectivamente (véase la Figura 4 siguiente). Los reguladores pueden optar por obligar a compartir la infraestructura pasiva y prohibir la compartición de la infraestructura activa, mientras que otros pueden autorizar ambos tipos o simplemente no intervenir en este aspecto.</w:t>
      </w:r>
    </w:p>
    <w:p w:rsidR="00F3360B" w:rsidRPr="00752B0D" w:rsidRDefault="00F3360B" w:rsidP="004252D1">
      <w:pPr>
        <w:pStyle w:val="Heading3"/>
        <w:rPr>
          <w:lang w:val="es-ES_tradnl"/>
        </w:rPr>
      </w:pPr>
      <w:bookmarkStart w:id="108" w:name="_Toc371604084"/>
      <w:bookmarkStart w:id="109" w:name="_Toc379198843"/>
      <w:r w:rsidRPr="00752B0D">
        <w:rPr>
          <w:lang w:val="es-ES_tradnl"/>
        </w:rPr>
        <w:t>3.4.3</w:t>
      </w:r>
      <w:r w:rsidRPr="00752B0D">
        <w:rPr>
          <w:lang w:val="es-ES_tradnl"/>
        </w:rPr>
        <w:tab/>
        <w:t>Experiencias nacionales: India</w:t>
      </w:r>
      <w:bookmarkEnd w:id="108"/>
      <w:bookmarkEnd w:id="109"/>
    </w:p>
    <w:p w:rsidR="00F3360B" w:rsidRDefault="00F3360B" w:rsidP="006E15C7">
      <w:pPr>
        <w:rPr>
          <w:lang w:val="es-ES_tradnl" w:eastAsia="en-US"/>
        </w:rPr>
      </w:pPr>
      <w:r w:rsidRPr="00AA7E10">
        <w:rPr>
          <w:lang w:val="es-ES_tradnl" w:eastAsia="en-US"/>
        </w:rPr>
        <w:t>India cuenta con una política de compartición de la infraestructura. Además, el Capítulo 5 sobre Condiciones de funcionamiento del acuerdo de licencias unificado señala en la cláusula 33 que la compartición de infraestructura activa/pasiva debe regirse por los términos y condiciones de las respectivas directrices relativas a la autorización y modificación del servicio, que se publican de vez en cuando.</w:t>
      </w:r>
    </w:p>
    <w:p w:rsidR="004252D1" w:rsidRPr="004252D1" w:rsidRDefault="004252D1" w:rsidP="004252D1">
      <w:pPr>
        <w:pStyle w:val="Figuretitle"/>
        <w:rPr>
          <w:lang w:val="es-ES_tradnl"/>
        </w:rPr>
      </w:pPr>
      <w:r w:rsidRPr="004252D1">
        <w:rPr>
          <w:lang w:val="es-ES_tradnl"/>
        </w:rPr>
        <w:t>Figura 4: Regulación de la compartición de infraestructura, 2012</w:t>
      </w:r>
    </w:p>
    <w:p w:rsidR="004252D1" w:rsidRDefault="004252D1" w:rsidP="004252D1">
      <w:pPr>
        <w:pStyle w:val="Figure"/>
      </w:pPr>
      <w:r>
        <w:rPr>
          <w:noProof/>
          <w:sz w:val="20"/>
          <w:szCs w:val="20"/>
          <w:lang w:val="en-US" w:eastAsia="zh-CN"/>
        </w:rPr>
        <w:drawing>
          <wp:inline distT="0" distB="0" distL="0" distR="0" wp14:anchorId="64636283" wp14:editId="53C71D85">
            <wp:extent cx="5133975" cy="277973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687" cy="2781202"/>
                    </a:xfrm>
                    <a:prstGeom prst="rect">
                      <a:avLst/>
                    </a:prstGeom>
                    <a:noFill/>
                  </pic:spPr>
                </pic:pic>
              </a:graphicData>
            </a:graphic>
          </wp:inline>
        </w:drawing>
      </w:r>
    </w:p>
    <w:p w:rsidR="004252D1" w:rsidRPr="004252D1" w:rsidRDefault="004252D1" w:rsidP="004252D1">
      <w:pPr>
        <w:pStyle w:val="figuresource"/>
        <w:rPr>
          <w:lang w:val="es-ES_tradnl"/>
        </w:rPr>
      </w:pPr>
      <w:r w:rsidRPr="00AA7E10">
        <w:rPr>
          <w:rFonts w:eastAsia="Verdana" w:cs="Verdana"/>
          <w:lang w:val="es-ES_tradnl"/>
        </w:rPr>
        <w:t>Fuente: Base de Datos Mundial sobre Reglamentación de las Telecomunicaciones de la UIT, 2012</w:t>
      </w:r>
      <w:r>
        <w:rPr>
          <w:rFonts w:eastAsia="Verdana" w:cs="Verdana"/>
          <w:lang w:val="es-ES_tradnl"/>
        </w:rPr>
        <w:t>.</w:t>
      </w:r>
    </w:p>
    <w:p w:rsidR="00F3360B" w:rsidRPr="00752B0D" w:rsidRDefault="00F3360B" w:rsidP="004252D1">
      <w:pPr>
        <w:pStyle w:val="Heading2"/>
        <w:rPr>
          <w:lang w:val="es-ES_tradnl"/>
        </w:rPr>
      </w:pPr>
      <w:bookmarkStart w:id="110" w:name="_Toc330195687"/>
      <w:bookmarkStart w:id="111" w:name="_Toc371604085"/>
      <w:bookmarkStart w:id="112" w:name="_Toc379198844"/>
      <w:bookmarkEnd w:id="110"/>
      <w:r w:rsidRPr="00752B0D">
        <w:rPr>
          <w:lang w:val="es-ES_tradnl"/>
        </w:rPr>
        <w:t>3.5</w:t>
      </w:r>
      <w:r w:rsidRPr="00752B0D">
        <w:rPr>
          <w:lang w:val="es-ES_tradnl"/>
        </w:rPr>
        <w:tab/>
        <w:t>Protección de los consumidores en un mercado competitivo</w:t>
      </w:r>
      <w:bookmarkEnd w:id="111"/>
      <w:bookmarkEnd w:id="112"/>
    </w:p>
    <w:p w:rsidR="00F3360B" w:rsidRPr="00AA7E10" w:rsidRDefault="00F3360B" w:rsidP="006E15C7">
      <w:pPr>
        <w:rPr>
          <w:rFonts w:eastAsia="Verdana" w:cs="Verdana"/>
          <w:lang w:val="es-ES_tradnl"/>
        </w:rPr>
      </w:pPr>
      <w:r w:rsidRPr="00AA7E10">
        <w:rPr>
          <w:rFonts w:eastAsia="Verdana" w:cs="Verdana"/>
          <w:lang w:val="es-ES_tradnl"/>
        </w:rPr>
        <w:t>En un mercado competitivo, la protección de los consumidores</w:t>
      </w:r>
      <w:r w:rsidRPr="00AA7E10">
        <w:rPr>
          <w:lang w:val="es-ES_tradnl"/>
        </w:rPr>
        <w:t xml:space="preserve"> </w:t>
      </w:r>
      <w:r w:rsidRPr="00AA7E10">
        <w:rPr>
          <w:rFonts w:eastAsia="Verdana" w:cs="Verdana"/>
          <w:lang w:val="es-ES_tradnl"/>
        </w:rPr>
        <w:t>es vital. Es importante</w:t>
      </w:r>
      <w:r w:rsidRPr="00AA7E10">
        <w:rPr>
          <w:lang w:val="es-ES_tradnl"/>
        </w:rPr>
        <w:t xml:space="preserve"> </w:t>
      </w:r>
      <w:r w:rsidRPr="00AA7E10">
        <w:rPr>
          <w:rFonts w:eastAsia="Verdana" w:cs="Verdana"/>
          <w:lang w:val="es-ES_tradnl"/>
        </w:rPr>
        <w:t>que exista un marco legal para que los proveedores de servicios ofrezcan a los consumidores información precisa que les ayude a tomar decisiones adecuadas.</w:t>
      </w:r>
    </w:p>
    <w:p w:rsidR="00F3360B" w:rsidRDefault="00F3360B" w:rsidP="006E15C7">
      <w:pPr>
        <w:rPr>
          <w:rFonts w:eastAsia="Verdana" w:cs="Verdana"/>
          <w:lang w:val="es-ES_tradnl"/>
        </w:rPr>
      </w:pPr>
      <w:r w:rsidRPr="00AA7E10">
        <w:rPr>
          <w:rFonts w:eastAsia="Verdana" w:cs="Verdana"/>
          <w:lang w:val="es-ES_tradnl"/>
        </w:rPr>
        <w:lastRenderedPageBreak/>
        <w:t>A finales de 2012, el 68% de los países del mundo disponía de una legislación/regulación específica de protección del consumidor de telecomunicaciones. Una mayoría de países ha adoptado este tipo de legislación/regulación en todas las regiones, entre los que se cuentan todos los países de la CEI que contestaron a la Encuesta Anual sobre Reglamentación de la UIT, 2012; el 83% de los países europeos y más del 70% de los Estados árabes. En el 91% de todos los países, el regulador nacional de telecomunicaciones/TIC se encarga de tramitar las reclamaciones de los consumidores. Con cada vez más frecuencia los reguladores nacionales de telecomunicaciones/TIC están obligados a facilitar información comparativa sobre tarifas, pues el 60% se ocuparon de esta tarea en 2012, cuando en 2011 sólo lo hacía el 55%.</w:t>
      </w:r>
    </w:p>
    <w:p w:rsidR="001200DB" w:rsidRPr="001200DB" w:rsidRDefault="001200DB" w:rsidP="001200DB">
      <w:pPr>
        <w:pStyle w:val="Figuretitle"/>
        <w:jc w:val="left"/>
        <w:rPr>
          <w:lang w:val="es-ES_tradnl"/>
        </w:rPr>
      </w:pPr>
      <w:r w:rsidRPr="001200DB">
        <w:rPr>
          <w:lang w:val="es-ES_tradnl"/>
        </w:rPr>
        <w:t>Figura 5: Legislación y regulación específicas de protección del</w:t>
      </w:r>
      <w:r>
        <w:rPr>
          <w:lang w:val="es-ES_tradnl"/>
        </w:rPr>
        <w:t xml:space="preserve"> </w:t>
      </w:r>
      <w:r w:rsidRPr="001200DB">
        <w:rPr>
          <w:lang w:val="es-ES_tradnl"/>
        </w:rPr>
        <w:t>consumidor de telecomunicaciones, por Región, 2012</w:t>
      </w:r>
    </w:p>
    <w:p w:rsidR="001200DB" w:rsidRDefault="001200DB" w:rsidP="001200DB">
      <w:pPr>
        <w:pStyle w:val="Figure"/>
      </w:pPr>
      <w:r>
        <w:rPr>
          <w:b/>
          <w:bCs w:val="0"/>
          <w:noProof/>
          <w:szCs w:val="19"/>
          <w:lang w:val="en-US" w:eastAsia="zh-CN"/>
        </w:rPr>
        <w:drawing>
          <wp:inline distT="0" distB="0" distL="0" distR="0" wp14:anchorId="0FC3BD75" wp14:editId="6347E846">
            <wp:extent cx="4381200" cy="2505600"/>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200" cy="2505600"/>
                    </a:xfrm>
                    <a:prstGeom prst="rect">
                      <a:avLst/>
                    </a:prstGeom>
                    <a:noFill/>
                  </pic:spPr>
                </pic:pic>
              </a:graphicData>
            </a:graphic>
          </wp:inline>
        </w:drawing>
      </w:r>
    </w:p>
    <w:p w:rsidR="001200DB" w:rsidRPr="001200DB" w:rsidRDefault="001200DB" w:rsidP="001200DB">
      <w:pPr>
        <w:pStyle w:val="figuresource"/>
        <w:rPr>
          <w:lang w:val="es-ES_tradnl"/>
        </w:rPr>
      </w:pPr>
      <w:r w:rsidRPr="00AA7E10">
        <w:rPr>
          <w:rFonts w:eastAsia="Verdana" w:cs="Verdana"/>
          <w:lang w:val="es-ES_tradnl"/>
        </w:rPr>
        <w:t>Fuente: Base de Datos Mundial sobre Reglamentación de las Telecomunicaciones de la UIT, 2012</w:t>
      </w:r>
      <w:r w:rsidRPr="001200DB">
        <w:rPr>
          <w:lang w:val="es-ES_tradnl"/>
        </w:rPr>
        <w:t>.</w:t>
      </w:r>
    </w:p>
    <w:p w:rsidR="001200DB" w:rsidRPr="001200DB" w:rsidRDefault="001200DB" w:rsidP="006E15C7">
      <w:pPr>
        <w:rPr>
          <w:rFonts w:eastAsia="Verdana" w:cs="Verdana"/>
          <w:lang w:val="es-ES_tradnl"/>
        </w:rPr>
      </w:pPr>
    </w:p>
    <w:p w:rsidR="00F3360B" w:rsidRPr="00AA7E10" w:rsidRDefault="00F3360B" w:rsidP="006E15C7">
      <w:pPr>
        <w:rPr>
          <w:lang w:val="es-ES_tradnl"/>
        </w:rPr>
      </w:pPr>
      <w:r w:rsidRPr="00AA7E10">
        <w:rPr>
          <w:rFonts w:eastAsia="Verdana" w:cs="Verdana"/>
          <w:lang w:val="es-ES_tradnl"/>
        </w:rPr>
        <w:t>A continuación se presentan una serie de ejemplos de temas relacionados con la protección de los consumidores en un entorno competitivo:</w:t>
      </w:r>
    </w:p>
    <w:p w:rsidR="00F3360B" w:rsidRPr="00752B0D" w:rsidRDefault="00F3360B" w:rsidP="001200DB">
      <w:pPr>
        <w:pStyle w:val="Heading3"/>
        <w:rPr>
          <w:lang w:val="es-ES_tradnl"/>
        </w:rPr>
      </w:pPr>
      <w:bookmarkStart w:id="113" w:name="_Toc362423245"/>
      <w:bookmarkStart w:id="114" w:name="_Toc362440045"/>
      <w:bookmarkStart w:id="115" w:name="_Toc362442036"/>
      <w:bookmarkStart w:id="116" w:name="_Toc371604086"/>
      <w:bookmarkStart w:id="117" w:name="_Toc379198845"/>
      <w:r w:rsidRPr="00752B0D">
        <w:rPr>
          <w:lang w:val="es-ES_tradnl"/>
        </w:rPr>
        <w:t>3.5.1</w:t>
      </w:r>
      <w:bookmarkStart w:id="118" w:name="_ftnref17"/>
      <w:bookmarkEnd w:id="118"/>
      <w:r w:rsidRPr="00752B0D">
        <w:rPr>
          <w:lang w:val="es-ES_tradnl"/>
        </w:rPr>
        <w:tab/>
        <w:t>Experiencias nacionales: República de Corea</w:t>
      </w:r>
      <w:bookmarkEnd w:id="113"/>
      <w:bookmarkEnd w:id="114"/>
      <w:bookmarkEnd w:id="115"/>
      <w:bookmarkEnd w:id="116"/>
      <w:bookmarkEnd w:id="117"/>
    </w:p>
    <w:p w:rsidR="00F3360B" w:rsidRPr="00AA7E10" w:rsidRDefault="00F3360B" w:rsidP="006E15C7">
      <w:pPr>
        <w:rPr>
          <w:rFonts w:eastAsia="Verdana" w:cs="Verdana"/>
          <w:lang w:val="es-ES_tradnl"/>
        </w:rPr>
      </w:pPr>
      <w:r w:rsidRPr="00AA7E10">
        <w:rPr>
          <w:szCs w:val="19"/>
          <w:vertAlign w:val="superscript"/>
          <w:lang w:val="es-ES_tradnl" w:eastAsia="en-US"/>
        </w:rPr>
        <w:footnoteReference w:id="20"/>
      </w:r>
      <w:r w:rsidRPr="00AA7E10">
        <w:rPr>
          <w:rFonts w:eastAsia="Verdana" w:cs="Verdana"/>
          <w:lang w:val="es-ES_tradnl"/>
        </w:rPr>
        <w:t xml:space="preserve">En 2007 se autorizó a los operadores de telecomunicaciones dominantes a ofrecer servicios agrupados, entre los que figuraban servicios sujetos a reglamentación de precios, a condición de que dichas ofertas no perjudicaran la competencia ni a los consumidores. Los esquemas de descuentos para servicios agrupados varían en función de la composición de los productos y a menudo se combinan con descuentos para compromisos a largo plazo, por lo que sus condiciones suelen ser muy complejas. El Gobierno de Corea, en respuesta a sus inquietudes por la protección de los intereses del consumidor relacionadas con el aumento de la convergencia y la competencia, formuló recientemente diversas directrices que deben observar los proveedores de servicios de comunicaciones. </w:t>
      </w:r>
    </w:p>
    <w:p w:rsidR="00F3360B" w:rsidRPr="00752B0D" w:rsidRDefault="00F3360B" w:rsidP="002F32C8">
      <w:pPr>
        <w:pStyle w:val="Heading3"/>
        <w:rPr>
          <w:lang w:val="es-ES_tradnl"/>
        </w:rPr>
      </w:pPr>
      <w:bookmarkStart w:id="119" w:name="_Toc362423246"/>
      <w:bookmarkStart w:id="120" w:name="_Toc362440046"/>
      <w:bookmarkStart w:id="121" w:name="_Toc362442037"/>
      <w:bookmarkStart w:id="122" w:name="_Toc371604087"/>
      <w:bookmarkStart w:id="123" w:name="_Toc379198846"/>
      <w:r w:rsidRPr="00752B0D">
        <w:rPr>
          <w:lang w:val="es-ES_tradnl"/>
        </w:rPr>
        <w:lastRenderedPageBreak/>
        <w:t>3.5.2</w:t>
      </w:r>
      <w:r w:rsidRPr="00752B0D">
        <w:rPr>
          <w:lang w:val="es-ES_tradnl"/>
        </w:rPr>
        <w:tab/>
        <w:t>Experiencias nacionales: Mal</w:t>
      </w:r>
      <w:bookmarkStart w:id="124" w:name="_ftnref18"/>
      <w:bookmarkEnd w:id="119"/>
      <w:bookmarkEnd w:id="120"/>
      <w:bookmarkEnd w:id="121"/>
      <w:bookmarkEnd w:id="124"/>
      <w:r w:rsidRPr="00752B0D">
        <w:rPr>
          <w:lang w:val="es-ES_tradnl"/>
        </w:rPr>
        <w:t>í</w:t>
      </w:r>
      <w:bookmarkEnd w:id="122"/>
      <w:bookmarkEnd w:id="123"/>
    </w:p>
    <w:p w:rsidR="00F3360B" w:rsidRPr="00AA7E10" w:rsidRDefault="00F3360B" w:rsidP="006E15C7">
      <w:pPr>
        <w:rPr>
          <w:rFonts w:eastAsia="Verdana" w:cs="Verdana"/>
          <w:lang w:val="es-ES_tradnl"/>
        </w:rPr>
      </w:pPr>
      <w:r w:rsidRPr="00AA7E10">
        <w:rPr>
          <w:szCs w:val="19"/>
          <w:vertAlign w:val="superscript"/>
          <w:lang w:val="es-ES_tradnl" w:eastAsia="en-US"/>
        </w:rPr>
        <w:footnoteReference w:id="21"/>
      </w:r>
      <w:r w:rsidRPr="00AA7E10">
        <w:rPr>
          <w:rFonts w:eastAsia="Verdana" w:cs="Verdana"/>
          <w:lang w:val="es-ES_tradnl"/>
        </w:rPr>
        <w:t>En Malí, la Orden núm. 07-025/P-RM relativa a la competencia y el Decreto núm. 08-260/P-RM del 6 de mayo de 2008 definen las modalidades de aplicación de la Orden núm. 07-025/P-RM.</w:t>
      </w:r>
    </w:p>
    <w:p w:rsidR="00F3360B" w:rsidRPr="00AA7E10" w:rsidRDefault="00F3360B" w:rsidP="006E15C7">
      <w:pPr>
        <w:rPr>
          <w:rFonts w:eastAsia="Verdana" w:cs="Verdana"/>
          <w:lang w:val="es-ES_tradnl"/>
        </w:rPr>
      </w:pPr>
      <w:r w:rsidRPr="00AA7E10">
        <w:rPr>
          <w:rFonts w:eastAsia="Verdana" w:cs="Verdana"/>
          <w:lang w:val="es-ES_tradnl"/>
        </w:rPr>
        <w:t xml:space="preserve">El decreto mencionado prevé una serie de disposiciones </w:t>
      </w:r>
      <w:r w:rsidRPr="00AA7E10">
        <w:rPr>
          <w:rFonts w:eastAsia="Verdana" w:cs="Verdana"/>
          <w:b/>
          <w:lang w:val="es-ES_tradnl"/>
        </w:rPr>
        <w:t>relativas a la información y protección al consumidor</w:t>
      </w:r>
      <w:r w:rsidRPr="00AA7E10">
        <w:rPr>
          <w:rFonts w:eastAsia="Verdana" w:cs="Verdana"/>
          <w:lang w:val="es-ES_tradnl"/>
        </w:rPr>
        <w:t xml:space="preserve">, que incluyen </w:t>
      </w:r>
      <w:r w:rsidRPr="00AA7E10">
        <w:rPr>
          <w:rFonts w:eastAsia="Verdana" w:cs="Verdana"/>
          <w:i/>
          <w:iCs/>
          <w:lang w:val="es-ES_tradnl"/>
        </w:rPr>
        <w:t>la obligación de publicar los precios y condiciones de venta; dar instrucciones de utilización; prohibir la falsificación, venta o utilización de productos caducados; y asegurar el etiquetado, marcado e indicación del precio de los productos y servicios</w:t>
      </w:r>
      <w:r w:rsidRPr="00AA7E10">
        <w:rPr>
          <w:rFonts w:eastAsia="Verdana" w:cs="Verdana"/>
          <w:lang w:val="es-ES_tradnl"/>
        </w:rPr>
        <w:t xml:space="preserve">; asimismo, prohíbe a las empresas toda forma de competencia desleal (precios fijos, negativa de venta, publicidad engañosa) o de prácticas que no respeten las leyes de la competencia (acuerdos ilícitos, abuso de posición dominante). </w:t>
      </w:r>
    </w:p>
    <w:p w:rsidR="00F3360B" w:rsidRPr="00AA7E10" w:rsidRDefault="00F3360B" w:rsidP="006E15C7">
      <w:pPr>
        <w:rPr>
          <w:lang w:val="es-ES_tradnl"/>
        </w:rPr>
      </w:pPr>
      <w:r w:rsidRPr="00AA7E10">
        <w:rPr>
          <w:rFonts w:eastAsia="Verdana" w:cs="Verdana"/>
          <w:lang w:val="es-ES_tradnl"/>
        </w:rPr>
        <w:t xml:space="preserve">De esta forma, como parte de sus respectivas atribuciones, el Ministro encargado del sector y la autoridad de reglamentación garantizan, entre otras cosas, </w:t>
      </w:r>
      <w:r w:rsidRPr="00AA7E10">
        <w:rPr>
          <w:rFonts w:eastAsia="Verdana" w:cs="Verdana"/>
          <w:iCs/>
          <w:lang w:val="es-ES_tradnl"/>
        </w:rPr>
        <w:t>el ejercicio, en beneficio de los usuarios, de una competencia efectiva, sana y leal entre los operadores, el respeto de los operadores a la confidencialidad de los corresponsales y el principio de neutralidad en relación con el contenido de los mensajes, así como la protección de los datos personales, el respeto a las normas del medio ambiente y la salud en el ámbito de las telecomunicaciones/TIC</w:t>
      </w:r>
      <w:r w:rsidRPr="00AA7E10">
        <w:rPr>
          <w:rFonts w:eastAsia="Verdana" w:cs="Verdana"/>
          <w:lang w:val="es-ES_tradnl"/>
        </w:rPr>
        <w:t>.</w:t>
      </w:r>
    </w:p>
    <w:p w:rsidR="00F3360B" w:rsidRPr="00752B0D" w:rsidRDefault="00F3360B" w:rsidP="00C46423">
      <w:pPr>
        <w:pStyle w:val="Heading3"/>
        <w:rPr>
          <w:lang w:val="es-ES_tradnl"/>
        </w:rPr>
      </w:pPr>
      <w:bookmarkStart w:id="125" w:name="_Toc362423247"/>
      <w:bookmarkStart w:id="126" w:name="_Toc362440047"/>
      <w:bookmarkStart w:id="127" w:name="_Toc362442038"/>
      <w:bookmarkStart w:id="128" w:name="_Toc371604088"/>
      <w:bookmarkStart w:id="129" w:name="_Toc379198847"/>
      <w:r w:rsidRPr="00752B0D">
        <w:rPr>
          <w:lang w:val="es-ES_tradnl"/>
        </w:rPr>
        <w:t>3.5.3</w:t>
      </w:r>
      <w:bookmarkStart w:id="130" w:name="_ftnref19"/>
      <w:bookmarkEnd w:id="130"/>
      <w:r w:rsidRPr="00752B0D">
        <w:rPr>
          <w:lang w:val="es-ES_tradnl"/>
        </w:rPr>
        <w:tab/>
        <w:t>Experiencias nacionales: Turquía</w:t>
      </w:r>
      <w:bookmarkEnd w:id="125"/>
      <w:bookmarkEnd w:id="126"/>
      <w:bookmarkEnd w:id="127"/>
      <w:bookmarkEnd w:id="128"/>
      <w:bookmarkEnd w:id="129"/>
    </w:p>
    <w:p w:rsidR="00F3360B" w:rsidRPr="00AA7E10" w:rsidRDefault="00F3360B" w:rsidP="006E15C7">
      <w:pPr>
        <w:rPr>
          <w:rFonts w:eastAsia="Verdana" w:cs="Verdana"/>
          <w:lang w:val="es-ES_tradnl"/>
        </w:rPr>
      </w:pPr>
      <w:r w:rsidRPr="00AA7E10">
        <w:rPr>
          <w:szCs w:val="19"/>
          <w:vertAlign w:val="superscript"/>
          <w:lang w:val="es-ES_tradnl" w:eastAsia="en-US"/>
        </w:rPr>
        <w:footnoteReference w:id="22"/>
      </w:r>
      <w:r w:rsidRPr="00AA7E10">
        <w:rPr>
          <w:rFonts w:eastAsia="Verdana" w:cs="Verdana"/>
          <w:lang w:val="es-ES_tradnl"/>
        </w:rPr>
        <w:t xml:space="preserve">La Ley de protección del consumidor (Ley núm. 4077) es un código de carácter general y consta de normas básicas para proteger al consumidor de cualesquiera bienes y servicios. En la Ley de comunicaciones electrónicas (Ley núm. 5809), "Ordenanza sobre los derechos del consumidor en el sector de las telecomunicaciones" se estipulan los diversos derechos específicos de los consumidores. </w:t>
      </w:r>
    </w:p>
    <w:p w:rsidR="00F3360B" w:rsidRPr="00AA7E10" w:rsidRDefault="00F3360B" w:rsidP="006E15C7">
      <w:pPr>
        <w:rPr>
          <w:rFonts w:eastAsia="Verdana" w:cs="Verdana"/>
          <w:lang w:val="es-ES_tradnl"/>
        </w:rPr>
      </w:pPr>
      <w:r w:rsidRPr="00AA7E10">
        <w:rPr>
          <w:rFonts w:eastAsia="Verdana" w:cs="Verdana"/>
          <w:lang w:val="es-ES_tradnl"/>
        </w:rPr>
        <w:t xml:space="preserve">Ahora bien, se prevé que en </w:t>
      </w:r>
      <w:r w:rsidRPr="00AA7E10">
        <w:rPr>
          <w:rFonts w:eastAsia="Verdana" w:cs="Verdana"/>
          <w:b/>
          <w:lang w:val="es-ES_tradnl"/>
        </w:rPr>
        <w:t>Turquía</w:t>
      </w:r>
      <w:r w:rsidRPr="00AA7E10">
        <w:rPr>
          <w:rFonts w:eastAsia="Verdana" w:cs="Verdana"/>
          <w:lang w:val="es-ES_tradnl"/>
        </w:rPr>
        <w:t xml:space="preserve"> la convergencia de servicios planteará algunos problemas básicos, a saber:</w:t>
      </w:r>
    </w:p>
    <w:p w:rsidR="00F3360B" w:rsidRPr="000C778A" w:rsidRDefault="00F3360B" w:rsidP="000C778A">
      <w:pPr>
        <w:pStyle w:val="Enumlevel1"/>
        <w:numPr>
          <w:ilvl w:val="0"/>
          <w:numId w:val="25"/>
        </w:numPr>
        <w:ind w:left="567" w:hanging="567"/>
        <w:rPr>
          <w:lang w:val="es-ES_tradnl"/>
        </w:rPr>
      </w:pPr>
      <w:r w:rsidRPr="000C778A">
        <w:rPr>
          <w:lang w:val="es-ES_tradnl"/>
        </w:rPr>
        <w:t>Conflictos y confusión entre diferentes autoridades.</w:t>
      </w:r>
    </w:p>
    <w:p w:rsidR="00F3360B" w:rsidRPr="000C778A" w:rsidRDefault="00F3360B" w:rsidP="000C778A">
      <w:pPr>
        <w:pStyle w:val="Enumlevel1"/>
        <w:numPr>
          <w:ilvl w:val="0"/>
          <w:numId w:val="25"/>
        </w:numPr>
        <w:ind w:left="567" w:hanging="567"/>
        <w:rPr>
          <w:lang w:val="es-ES_tradnl"/>
        </w:rPr>
      </w:pPr>
      <w:r w:rsidRPr="000C778A">
        <w:rPr>
          <w:lang w:val="es-ES_tradnl"/>
        </w:rPr>
        <w:t>Consecuencias de la convergencia en la competencia en el mercado.</w:t>
      </w:r>
    </w:p>
    <w:p w:rsidR="00F3360B" w:rsidRPr="000C778A" w:rsidRDefault="00F3360B" w:rsidP="000C778A">
      <w:pPr>
        <w:pStyle w:val="Enumlevel1"/>
        <w:numPr>
          <w:ilvl w:val="0"/>
          <w:numId w:val="25"/>
        </w:numPr>
        <w:ind w:left="567" w:hanging="567"/>
        <w:rPr>
          <w:lang w:val="es-ES_tradnl"/>
        </w:rPr>
      </w:pPr>
      <w:r w:rsidRPr="000C778A">
        <w:rPr>
          <w:lang w:val="es-ES_tradnl"/>
        </w:rPr>
        <w:t>Dificultades para analizar los servicios convergentes a efectos de reglamentación o imposición de normas.</w:t>
      </w:r>
    </w:p>
    <w:p w:rsidR="00F3360B" w:rsidRPr="000C778A" w:rsidRDefault="00F3360B" w:rsidP="000C778A">
      <w:pPr>
        <w:pStyle w:val="Enumlevel1"/>
        <w:numPr>
          <w:ilvl w:val="0"/>
          <w:numId w:val="25"/>
        </w:numPr>
        <w:ind w:left="567" w:hanging="567"/>
        <w:rPr>
          <w:lang w:val="es-ES_tradnl"/>
        </w:rPr>
      </w:pPr>
      <w:r w:rsidRPr="000C778A">
        <w:rPr>
          <w:lang w:val="es-ES_tradnl"/>
        </w:rPr>
        <w:t>Evitar que la reglamentación perjudique el desarrollo y la mejora de esos servicios.</w:t>
      </w:r>
    </w:p>
    <w:p w:rsidR="00F3360B" w:rsidRPr="00752B0D" w:rsidRDefault="00F3360B" w:rsidP="000C778A">
      <w:pPr>
        <w:pStyle w:val="Heading2"/>
        <w:rPr>
          <w:lang w:val="es-ES_tradnl"/>
        </w:rPr>
      </w:pPr>
      <w:bookmarkStart w:id="131" w:name="_Toc330195688"/>
      <w:bookmarkStart w:id="132" w:name="_Toc371604089"/>
      <w:bookmarkStart w:id="133" w:name="_Toc379198848"/>
      <w:bookmarkEnd w:id="131"/>
      <w:r w:rsidRPr="00752B0D">
        <w:rPr>
          <w:lang w:val="es-ES_tradnl"/>
        </w:rPr>
        <w:t>3.6</w:t>
      </w:r>
      <w:r w:rsidRPr="00752B0D">
        <w:rPr>
          <w:lang w:val="es-ES_tradnl"/>
        </w:rPr>
        <w:tab/>
        <w:t>Efectos de la convergencia de servicios en el sector de las TIC</w:t>
      </w:r>
      <w:bookmarkEnd w:id="132"/>
      <w:bookmarkEnd w:id="133"/>
    </w:p>
    <w:p w:rsidR="00F3360B" w:rsidRPr="00AA7E10" w:rsidRDefault="00F3360B" w:rsidP="006E15C7">
      <w:pPr>
        <w:rPr>
          <w:rFonts w:eastAsia="Verdana" w:cs="Verdana"/>
          <w:lang w:val="es-ES_tradnl"/>
        </w:rPr>
      </w:pPr>
      <w:r w:rsidRPr="00AA7E10">
        <w:rPr>
          <w:rFonts w:eastAsia="Verdana" w:cs="Verdana"/>
          <w:lang w:val="es-ES_tradnl"/>
        </w:rPr>
        <w:t>La convergencia de servicios ejerce una influencia importante en el sector de las TIC, a saber:</w:t>
      </w:r>
    </w:p>
    <w:p w:rsidR="00F3360B" w:rsidRPr="000C778A" w:rsidRDefault="00F3360B" w:rsidP="000C778A">
      <w:pPr>
        <w:pStyle w:val="Enumlevel1"/>
        <w:numPr>
          <w:ilvl w:val="0"/>
          <w:numId w:val="25"/>
        </w:numPr>
        <w:ind w:left="567" w:hanging="567"/>
        <w:rPr>
          <w:lang w:val="es-ES_tradnl"/>
        </w:rPr>
      </w:pPr>
      <w:r w:rsidRPr="000C778A">
        <w:rPr>
          <w:lang w:val="es-ES_tradnl"/>
        </w:rPr>
        <w:t>Se empiezan a prestar nuevos servicios y nuevos operadores ingresan en el sector, lo que afecta a los agentes de mercado, y en particular a sus ingresos y número de abonados.</w:t>
      </w:r>
    </w:p>
    <w:p w:rsidR="00F3360B" w:rsidRPr="000C778A" w:rsidRDefault="00F3360B" w:rsidP="000C778A">
      <w:pPr>
        <w:pStyle w:val="Enumlevel1"/>
        <w:numPr>
          <w:ilvl w:val="0"/>
          <w:numId w:val="25"/>
        </w:numPr>
        <w:ind w:left="567" w:hanging="567"/>
        <w:rPr>
          <w:lang w:val="es-ES_tradnl"/>
        </w:rPr>
      </w:pPr>
      <w:r w:rsidRPr="000C778A">
        <w:rPr>
          <w:lang w:val="es-ES_tradnl"/>
        </w:rPr>
        <w:t>La convergencia de servicios difumina las fronteras entre los servicios fijos y móviles y dificulta su reglamentación.</w:t>
      </w:r>
    </w:p>
    <w:p w:rsidR="00F3360B" w:rsidRPr="000C778A" w:rsidRDefault="00F3360B" w:rsidP="000C778A">
      <w:pPr>
        <w:pStyle w:val="Enumlevel1"/>
        <w:numPr>
          <w:ilvl w:val="0"/>
          <w:numId w:val="25"/>
        </w:numPr>
        <w:ind w:left="567" w:hanging="567"/>
        <w:rPr>
          <w:lang w:val="es-ES_tradnl"/>
        </w:rPr>
      </w:pPr>
      <w:r w:rsidRPr="000C778A">
        <w:rPr>
          <w:lang w:val="es-ES_tradnl"/>
        </w:rPr>
        <w:t>A los clientes les resulta más difícil compilar información sobre los servicios disponibles y comprender los nuevos planes y productos.</w:t>
      </w:r>
    </w:p>
    <w:p w:rsidR="00F3360B" w:rsidRPr="000C778A" w:rsidRDefault="00F3360B" w:rsidP="000C778A">
      <w:pPr>
        <w:pStyle w:val="Enumlevel1"/>
        <w:numPr>
          <w:ilvl w:val="0"/>
          <w:numId w:val="25"/>
        </w:numPr>
        <w:ind w:left="567" w:hanging="567"/>
        <w:rPr>
          <w:lang w:val="es-ES_tradnl"/>
        </w:rPr>
      </w:pPr>
      <w:r w:rsidRPr="000C778A">
        <w:rPr>
          <w:lang w:val="es-ES_tradnl"/>
        </w:rPr>
        <w:lastRenderedPageBreak/>
        <w:t>Se prevé un aumento del número de operadores capaces de ofrecer a sus clientes servicios completos de voz y datos.</w:t>
      </w:r>
    </w:p>
    <w:p w:rsidR="00F3360B" w:rsidRPr="000C778A" w:rsidRDefault="00F3360B" w:rsidP="000C778A">
      <w:pPr>
        <w:pStyle w:val="Enumlevel1"/>
        <w:numPr>
          <w:ilvl w:val="0"/>
          <w:numId w:val="25"/>
        </w:numPr>
        <w:ind w:left="567" w:hanging="567"/>
        <w:rPr>
          <w:lang w:val="es-ES_tradnl"/>
        </w:rPr>
      </w:pPr>
      <w:r w:rsidRPr="000C778A">
        <w:rPr>
          <w:lang w:val="es-ES_tradnl"/>
        </w:rPr>
        <w:t>Se prevé que junto con la convergencia de servicios surgirán nuevos modelos comerciales para los operadores.</w:t>
      </w:r>
    </w:p>
    <w:p w:rsidR="00F3360B" w:rsidRPr="00AA7E10" w:rsidRDefault="00F3360B" w:rsidP="006E15C7">
      <w:pPr>
        <w:rPr>
          <w:rFonts w:eastAsia="Verdana" w:cs="Verdana"/>
          <w:lang w:val="es-ES_tradnl"/>
        </w:rPr>
      </w:pPr>
      <w:r w:rsidRPr="00AA7E10">
        <w:rPr>
          <w:rFonts w:eastAsia="Verdana" w:cs="Verdana"/>
          <w:lang w:val="es-ES_tradnl"/>
        </w:rPr>
        <w:t>Está surgiendo una nueva tendencia clara, bajo la forma de convergencia entre la telefonía fija y móvil. La finalidad es proporcionar ambos servicios con un único teléfono capaz de conmutar entre redes. En esta esfera ya se han realizado varias actividades de normalización, como las especificaciones de continuidad de llamada vocal definidas por el Proyecto de Alianza 3G. En general para estos servicios se utilizan microteléfonos en modo dual, en los cuales el terminal móvil del cliente puede admitir tanto el acceso (celular) de área extensa como la tecnología de área local (para VoIP).</w:t>
      </w:r>
    </w:p>
    <w:p w:rsidR="00F3360B" w:rsidRPr="00AA7E10" w:rsidRDefault="00F3360B" w:rsidP="006E15C7">
      <w:pPr>
        <w:rPr>
          <w:lang w:val="es-ES_tradnl"/>
        </w:rPr>
      </w:pPr>
      <w:r w:rsidRPr="00AA7E10">
        <w:rPr>
          <w:rFonts w:eastAsia="Verdana" w:cs="Verdana"/>
          <w:lang w:val="es-ES_tradnl"/>
        </w:rPr>
        <w:t>Las otras esferas en las que incidiría el marco de concesión de licencias para la prestación de servicios convergentes son</w:t>
      </w:r>
      <w:r w:rsidRPr="00AA7E10">
        <w:rPr>
          <w:rStyle w:val="FootnoteReference"/>
          <w:rFonts w:eastAsia="Verdana" w:cs="Verdana"/>
          <w:lang w:val="es-ES_tradnl"/>
        </w:rPr>
        <w:footnoteReference w:id="23"/>
      </w:r>
      <w:r w:rsidRPr="00AA7E10">
        <w:rPr>
          <w:rFonts w:eastAsia="Verdana" w:cs="Verdana"/>
          <w:lang w:val="es-ES_tradnl"/>
        </w:rPr>
        <w:t>:</w:t>
      </w:r>
      <w:bookmarkStart w:id="134" w:name="_ftnref20"/>
      <w:bookmarkEnd w:id="134"/>
    </w:p>
    <w:p w:rsidR="00F3360B" w:rsidRPr="000C778A" w:rsidRDefault="00F3360B" w:rsidP="000C778A">
      <w:pPr>
        <w:pStyle w:val="Enumlevel1"/>
        <w:numPr>
          <w:ilvl w:val="0"/>
          <w:numId w:val="25"/>
        </w:numPr>
        <w:ind w:left="567" w:hanging="567"/>
        <w:rPr>
          <w:lang w:val="es-ES_tradnl"/>
        </w:rPr>
      </w:pPr>
      <w:r w:rsidRPr="000C778A">
        <w:rPr>
          <w:lang w:val="es-ES_tradnl"/>
        </w:rPr>
        <w:t>Los propios organismos reguladores y sus estructuras.</w:t>
      </w:r>
    </w:p>
    <w:p w:rsidR="00F3360B" w:rsidRPr="000C778A" w:rsidRDefault="00F3360B" w:rsidP="000C778A">
      <w:pPr>
        <w:pStyle w:val="Enumlevel1"/>
        <w:numPr>
          <w:ilvl w:val="0"/>
          <w:numId w:val="25"/>
        </w:numPr>
        <w:ind w:left="567" w:hanging="567"/>
        <w:rPr>
          <w:lang w:val="es-ES_tradnl"/>
        </w:rPr>
      </w:pPr>
      <w:r w:rsidRPr="000C778A">
        <w:rPr>
          <w:lang w:val="es-ES_tradnl"/>
        </w:rPr>
        <w:t>La simplificación de los procesos de autorización, los tipos de licencias y sus categorías.</w:t>
      </w:r>
    </w:p>
    <w:p w:rsidR="00F3360B" w:rsidRPr="000C778A" w:rsidRDefault="00F3360B" w:rsidP="000C778A">
      <w:pPr>
        <w:pStyle w:val="Enumlevel1"/>
        <w:numPr>
          <w:ilvl w:val="0"/>
          <w:numId w:val="25"/>
        </w:numPr>
        <w:ind w:left="567" w:hanging="567"/>
        <w:rPr>
          <w:lang w:val="es-ES_tradnl"/>
        </w:rPr>
      </w:pPr>
      <w:r w:rsidRPr="000C778A">
        <w:rPr>
          <w:lang w:val="es-ES_tradnl"/>
        </w:rPr>
        <w:t>El número de proveedores de servicios y de abonados.</w:t>
      </w:r>
    </w:p>
    <w:p w:rsidR="00F3360B" w:rsidRPr="000C778A" w:rsidRDefault="00F3360B" w:rsidP="000C778A">
      <w:pPr>
        <w:pStyle w:val="Enumlevel1"/>
        <w:numPr>
          <w:ilvl w:val="0"/>
          <w:numId w:val="25"/>
        </w:numPr>
        <w:ind w:left="567" w:hanging="567"/>
        <w:rPr>
          <w:lang w:val="es-ES_tradnl"/>
        </w:rPr>
      </w:pPr>
      <w:r w:rsidRPr="000C778A">
        <w:rPr>
          <w:lang w:val="es-ES_tradnl"/>
        </w:rPr>
        <w:t>El costo y la calidad de servicio.</w:t>
      </w:r>
    </w:p>
    <w:p w:rsidR="00F3360B" w:rsidRPr="000C778A" w:rsidRDefault="00F3360B" w:rsidP="000C778A">
      <w:pPr>
        <w:pStyle w:val="Enumlevel1"/>
        <w:numPr>
          <w:ilvl w:val="0"/>
          <w:numId w:val="25"/>
        </w:numPr>
        <w:ind w:left="567" w:hanging="567"/>
        <w:rPr>
          <w:lang w:val="es-ES_tradnl"/>
        </w:rPr>
      </w:pPr>
      <w:r w:rsidRPr="000C778A">
        <w:rPr>
          <w:lang w:val="es-ES_tradnl"/>
        </w:rPr>
        <w:t>La categoría socioeconómica de los usuarios y sus pautas de utilización de la información.</w:t>
      </w:r>
    </w:p>
    <w:p w:rsidR="00F3360B" w:rsidRPr="000C778A" w:rsidRDefault="00F3360B" w:rsidP="000C778A">
      <w:pPr>
        <w:pStyle w:val="Enumlevel1"/>
        <w:numPr>
          <w:ilvl w:val="0"/>
          <w:numId w:val="25"/>
        </w:numPr>
        <w:ind w:left="567" w:hanging="567"/>
        <w:rPr>
          <w:lang w:val="es-ES_tradnl"/>
        </w:rPr>
      </w:pPr>
      <w:r w:rsidRPr="000C778A">
        <w:rPr>
          <w:lang w:val="es-ES_tradnl"/>
        </w:rPr>
        <w:t>La dinámica del mercado (por ejemplo, el comportamiento y las características de los consumidores, los proveedores y los intermediarios en lo tocante a la demanda y la oferta).</w:t>
      </w:r>
    </w:p>
    <w:p w:rsidR="00F3360B" w:rsidRPr="000C778A" w:rsidRDefault="00F3360B" w:rsidP="000C778A">
      <w:pPr>
        <w:pStyle w:val="Enumlevel1"/>
        <w:numPr>
          <w:ilvl w:val="0"/>
          <w:numId w:val="25"/>
        </w:numPr>
        <w:ind w:left="567" w:hanging="567"/>
        <w:rPr>
          <w:lang w:val="es-ES_tradnl"/>
        </w:rPr>
      </w:pPr>
      <w:r w:rsidRPr="000C778A">
        <w:rPr>
          <w:lang w:val="es-ES_tradnl"/>
        </w:rPr>
        <w:t>Los planes de desarrollo/despliegue de los servicios ofrecidos.</w:t>
      </w:r>
    </w:p>
    <w:p w:rsidR="00F3360B" w:rsidRPr="000C778A" w:rsidRDefault="00F3360B" w:rsidP="000C778A">
      <w:pPr>
        <w:pStyle w:val="Enumlevel1"/>
        <w:numPr>
          <w:ilvl w:val="0"/>
          <w:numId w:val="25"/>
        </w:numPr>
        <w:ind w:left="567" w:hanging="567"/>
        <w:rPr>
          <w:lang w:val="es-ES_tradnl"/>
        </w:rPr>
      </w:pPr>
      <w:r w:rsidRPr="000C778A">
        <w:rPr>
          <w:lang w:val="es-ES_tradnl"/>
        </w:rPr>
        <w:t>El surgimiento de servicios interactivos innovadores y mejorados.</w:t>
      </w:r>
    </w:p>
    <w:p w:rsidR="00F3360B" w:rsidRPr="000C778A" w:rsidRDefault="00F3360B" w:rsidP="000C778A">
      <w:pPr>
        <w:pStyle w:val="Enumlevel1"/>
        <w:numPr>
          <w:ilvl w:val="0"/>
          <w:numId w:val="25"/>
        </w:numPr>
        <w:ind w:left="567" w:hanging="567"/>
        <w:rPr>
          <w:lang w:val="es-ES_tradnl"/>
        </w:rPr>
      </w:pPr>
      <w:r w:rsidRPr="000C778A">
        <w:rPr>
          <w:lang w:val="es-ES_tradnl"/>
        </w:rPr>
        <w:t>La contribución a la sociedad de la información.</w:t>
      </w:r>
    </w:p>
    <w:p w:rsidR="00F3360B" w:rsidRPr="000C778A" w:rsidRDefault="00F3360B" w:rsidP="000C778A">
      <w:pPr>
        <w:pStyle w:val="Enumlevel1"/>
        <w:numPr>
          <w:ilvl w:val="0"/>
          <w:numId w:val="25"/>
        </w:numPr>
        <w:ind w:left="567" w:hanging="567"/>
        <w:rPr>
          <w:lang w:val="es-ES_tradnl"/>
        </w:rPr>
      </w:pPr>
      <w:r w:rsidRPr="000C778A">
        <w:rPr>
          <w:lang w:val="es-ES_tradnl"/>
        </w:rPr>
        <w:t>Las tecnologías y su integración en una plataforma convergente, principalmente de redes de nueva generación y tecnologías basadas en IP.</w:t>
      </w:r>
    </w:p>
    <w:p w:rsidR="00F3360B" w:rsidRPr="00AA7E10" w:rsidRDefault="00F3360B" w:rsidP="0049745E">
      <w:pPr>
        <w:rPr>
          <w:lang w:val="es-ES_tradnl"/>
        </w:rPr>
      </w:pPr>
      <w:r w:rsidRPr="00AA7E10">
        <w:rPr>
          <w:lang w:val="es-ES_tradnl"/>
        </w:rPr>
        <w:t>Las redes de nueva generación han dado lugar a la prestación de servicios, aplicaciones y contenidos diversificados convergentes muy variados y que provienen de sectores diversos, como las telecomunicaciones, la radiodifusión, las loterías, los juegos y la industria del entretenimiento. Se han expresado inquietudes sobre la necesidad de abordar los servicios convergentes en un entorno de redes de nueva generación con énfasis en la evaluación y análisis de las leyes y reglamentos aplicables a dichas redes en el competitivo mercado convergente. Se ha señalado que hay limitaciones en la legislación nacional e internacional pertinente, y que las partes interesadas, incluidos los reguladores, deben encontrar soluciones apropiadas</w:t>
      </w:r>
      <w:r w:rsidRPr="00AA7E10">
        <w:rPr>
          <w:rStyle w:val="FootnoteReference"/>
          <w:rFonts w:eastAsia="Verdana" w:cs="Verdana"/>
          <w:lang w:val="es-ES_tradnl"/>
        </w:rPr>
        <w:footnoteReference w:id="24"/>
      </w:r>
      <w:r w:rsidRPr="00AA7E10">
        <w:rPr>
          <w:lang w:val="es-ES_tradnl"/>
        </w:rPr>
        <w:t>.</w:t>
      </w:r>
      <w:bookmarkStart w:id="135" w:name="_ftnref21"/>
      <w:bookmarkEnd w:id="135"/>
      <w:r w:rsidRPr="00AA7E10">
        <w:rPr>
          <w:rStyle w:val="FootnoteReference"/>
          <w:rFonts w:eastAsia="Verdana" w:cs="Verdana"/>
          <w:lang w:val="es-ES_tradnl"/>
        </w:rPr>
        <w:t xml:space="preserve"> </w:t>
      </w:r>
    </w:p>
    <w:p w:rsidR="00F3360B" w:rsidRPr="00AA7E10" w:rsidRDefault="00F3360B" w:rsidP="0049745E">
      <w:pPr>
        <w:rPr>
          <w:lang w:val="es-ES_tradnl"/>
        </w:rPr>
      </w:pPr>
      <w:r w:rsidRPr="00AA7E10">
        <w:rPr>
          <w:lang w:val="es-ES_tradnl"/>
        </w:rPr>
        <w:t>La encuesta realizada por la UIT entre sus 193 Estados Miembros acerca de las políticas de protección del consumidor, centrada en la convergencia, reveló que los reguladores carecen de los recursos, estrategias herramientas necesarias para proteger a los consumidores en el contexto de rápida convergencia actual</w:t>
      </w:r>
      <w:r w:rsidRPr="00AA7E10">
        <w:rPr>
          <w:rStyle w:val="FootnoteReference"/>
          <w:lang w:val="es-ES_tradnl"/>
        </w:rPr>
        <w:footnoteReference w:id="25"/>
      </w:r>
      <w:r w:rsidRPr="00AA7E10">
        <w:rPr>
          <w:lang w:val="es-ES_tradnl"/>
        </w:rPr>
        <w:t>.</w:t>
      </w:r>
    </w:p>
    <w:p w:rsidR="00F3360B" w:rsidRPr="00AA7E10" w:rsidRDefault="00F3360B" w:rsidP="0049745E">
      <w:pPr>
        <w:rPr>
          <w:lang w:val="es-ES_tradnl"/>
        </w:rPr>
      </w:pPr>
      <w:r w:rsidRPr="00AA7E10">
        <w:rPr>
          <w:lang w:val="es-ES_tradnl"/>
        </w:rPr>
        <w:lastRenderedPageBreak/>
        <w:t>Por otra parte, los nuevos servicios convergentes han impuesto la necesidad de prestar atención a los derechos de la propiedad intelectual, que los países deben proteger mediante un marco jurídico específico, al que deben ajustarse los operadores. Además, las cosas están cambiando con la competencia, lo que exige que las autoridades nacionales de regulación trabajen con otras instituciones tales como los organismos de regulación financiera, las juntas de juegos, las organizaciones de derechos de autor y otros agentes interesados en la regulación de los servicios emergentes. Debido a esto, las autoridades nacionales de regulación deben colaborar con las demás instituciones para elaborar directrices para una relación de trabajo con esas instituciones. Esta situación ha llevado a algunos reguladores a trabajar con los bancos centrales de sus países para poner en marcha un proceso de regulación que permita supervisar los servicios de banca móviles y abordar nuevas cuestiones emergentes y aspectos relacionados con la competencia como la posición dominante.</w:t>
      </w:r>
    </w:p>
    <w:p w:rsidR="00F3360B" w:rsidRPr="00AA7E10" w:rsidRDefault="00F3360B" w:rsidP="006E15C7">
      <w:pPr>
        <w:rPr>
          <w:lang w:val="es-ES_tradnl"/>
        </w:rPr>
      </w:pPr>
      <w:r w:rsidRPr="00AA7E10">
        <w:rPr>
          <w:rFonts w:eastAsia="Verdana" w:cs="Verdana"/>
          <w:lang w:val="es-ES_tradnl"/>
        </w:rPr>
        <w:t>También hay que considerar la posibilidad de que los reguladores tomen medidas para garantizar la protección de los consumidores de aplicaciones de TIC. La convergencia de los servicios, que ha dado lugar a un drástico aumento de las transacciones electrónicas mediante mecanismos de pago electrónico o pago por Internet, tienden a causar problemas a los consumidores en lo que respecta a sus datos personales. El marco jurídico de protección de datos se ha de considerar como un medio de proteger al consumidor en el entorno convergente.</w:t>
      </w:r>
    </w:p>
    <w:p w:rsidR="00F3360B" w:rsidRPr="00AA7E10" w:rsidRDefault="00F3360B" w:rsidP="0049745E">
      <w:pPr>
        <w:pStyle w:val="Heading1"/>
        <w:ind w:left="851" w:hanging="851"/>
        <w:rPr>
          <w:smallCaps/>
          <w:lang w:val="es-ES_tradnl" w:eastAsia="en-US"/>
        </w:rPr>
      </w:pPr>
      <w:bookmarkStart w:id="136" w:name="_Toc371604090"/>
      <w:bookmarkStart w:id="137" w:name="_Toc379198849"/>
      <w:r w:rsidRPr="00AA7E10">
        <w:rPr>
          <w:lang w:val="es-ES_tradnl" w:eastAsia="en-US"/>
        </w:rPr>
        <w:t>4</w:t>
      </w:r>
      <w:bookmarkStart w:id="138" w:name="_Toc330195689"/>
      <w:bookmarkEnd w:id="138"/>
      <w:r w:rsidRPr="00AA7E10">
        <w:rPr>
          <w:lang w:val="es-ES_tradnl" w:eastAsia="en-US"/>
        </w:rPr>
        <w:tab/>
        <w:t xml:space="preserve">Análisis de la experiencia de los reguladores con los cambios y la transición </w:t>
      </w:r>
      <w:r w:rsidRPr="00752B0D">
        <w:rPr>
          <w:lang w:val="es-ES_tradnl"/>
        </w:rPr>
        <w:t>hacia</w:t>
      </w:r>
      <w:r w:rsidRPr="00AA7E10">
        <w:rPr>
          <w:lang w:val="es-ES_tradnl" w:eastAsia="en-US"/>
        </w:rPr>
        <w:t xml:space="preserve"> la convergencia</w:t>
      </w:r>
      <w:bookmarkEnd w:id="136"/>
      <w:bookmarkEnd w:id="137"/>
    </w:p>
    <w:p w:rsidR="00F3360B" w:rsidRPr="00AA7E10" w:rsidRDefault="00F3360B" w:rsidP="0049745E">
      <w:pPr>
        <w:rPr>
          <w:lang w:val="es-ES_tradnl"/>
        </w:rPr>
      </w:pPr>
      <w:r w:rsidRPr="00AA7E10">
        <w:rPr>
          <w:lang w:val="es-ES_tradnl"/>
        </w:rPr>
        <w:t xml:space="preserve">Como se indica en la sección 3 de este informe, la Base de Datos Mundial sobre Reglamentación de las Telecomunicaciones de la UIT muestra que el grado de competencia en el sector de las telecomunicaciones se ha incrementado con la incorporación de nuevos operadores que ofrecen una gama de servicios. Debido a esto, y a las experiencias de las autoridades nacionales de reglamentación resaltadas en este documento, los reguladores han debido introducir cambios y tomar medidas en cuestiones tales como: las prácticas contrarias a la competencia, los operadores con una posición dominante, los nuevos servicios convergentes, la compartición de infraestructura y la protección del consumidor, en particular en cuestiones de seguridad y privacidad. </w:t>
      </w:r>
    </w:p>
    <w:p w:rsidR="00F3360B" w:rsidRPr="00AA7E10" w:rsidRDefault="00F3360B" w:rsidP="006E15C7">
      <w:pPr>
        <w:rPr>
          <w:lang w:val="es-ES_tradnl"/>
        </w:rPr>
      </w:pPr>
      <w:r w:rsidRPr="00AA7E10">
        <w:rPr>
          <w:rFonts w:eastAsia="Verdana" w:cs="Verdana"/>
          <w:lang w:val="es-ES_tradnl"/>
        </w:rPr>
        <w:t xml:space="preserve">De la lista anterior, las prácticas contrarias a la competencia y los operadores con una posición dominante son temas potencialmente muy candentes en los mercados competitivos, y por lo tanto requieren que tanto las autoridades nacionales de reglamentación como las autoridades encargadas de la competencia dispongan de un mecanismo de trabajo para afrontarlos adecuadamente. </w:t>
      </w:r>
    </w:p>
    <w:p w:rsidR="00F3360B" w:rsidRPr="00AA7E10" w:rsidRDefault="00F3360B" w:rsidP="006E15C7">
      <w:pPr>
        <w:rPr>
          <w:lang w:val="es-ES_tradnl"/>
        </w:rPr>
      </w:pPr>
      <w:bookmarkStart w:id="139" w:name="_Toc330195690"/>
      <w:bookmarkEnd w:id="139"/>
      <w:r w:rsidRPr="00AA7E10">
        <w:rPr>
          <w:rFonts w:eastAsia="Verdana" w:cs="Verdana"/>
          <w:lang w:val="es-ES_tradnl"/>
        </w:rPr>
        <w:t>En algunos países, las autoridades nacionales de reglamentación y las autoridades encargadas de la competencia deben tomar medidas contra los operadores que llevan a cabo prácticas contrarias a la competencia. Estas prácticas pueden dividirse en dos grandes grupos: cuestiones relacionadas con los precios y cuestiones no relacionadas con los precios.</w:t>
      </w:r>
    </w:p>
    <w:p w:rsidR="00F3360B" w:rsidRPr="00752B0D" w:rsidRDefault="00F3360B" w:rsidP="0049745E">
      <w:pPr>
        <w:pStyle w:val="Tabletitle"/>
        <w:rPr>
          <w:lang w:val="es-ES_tradnl"/>
        </w:rPr>
      </w:pPr>
      <w:bookmarkStart w:id="140" w:name="_Toc371689910"/>
      <w:r w:rsidRPr="00752B0D">
        <w:rPr>
          <w:lang w:val="es-ES_tradnl"/>
        </w:rPr>
        <w:t>Cuadro 2: Prácticas y comportamientos contrarios a la competencia</w:t>
      </w:r>
      <w:bookmarkEnd w:id="140"/>
    </w:p>
    <w:tbl>
      <w:tblPr>
        <w:tblW w:w="0" w:type="auto"/>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587"/>
      </w:tblGrid>
      <w:tr w:rsidR="00F3360B" w:rsidRPr="00AC27F2" w:rsidTr="0049745E">
        <w:trPr>
          <w:jc w:val="center"/>
        </w:trPr>
        <w:tc>
          <w:tcPr>
            <w:tcW w:w="4586" w:type="dxa"/>
            <w:shd w:val="clear" w:color="auto" w:fill="005173"/>
          </w:tcPr>
          <w:p w:rsidR="00F3360B" w:rsidRPr="0049745E" w:rsidRDefault="00F3360B" w:rsidP="0049745E">
            <w:pPr>
              <w:pStyle w:val="Tablehead"/>
              <w:rPr>
                <w:rFonts w:cs="Tahoma"/>
                <w:lang w:val="es-ES_tradnl"/>
              </w:rPr>
            </w:pPr>
            <w:r w:rsidRPr="0049745E">
              <w:rPr>
                <w:lang w:val="es-ES_tradnl"/>
              </w:rPr>
              <w:t>Cuestiones relacionadas con los precios</w:t>
            </w:r>
          </w:p>
        </w:tc>
        <w:tc>
          <w:tcPr>
            <w:tcW w:w="4587" w:type="dxa"/>
            <w:shd w:val="clear" w:color="auto" w:fill="005173"/>
          </w:tcPr>
          <w:p w:rsidR="00F3360B" w:rsidRPr="00752B0D" w:rsidRDefault="00F3360B" w:rsidP="0049745E">
            <w:pPr>
              <w:pStyle w:val="Tablehead"/>
              <w:rPr>
                <w:rFonts w:cs="Tahoma"/>
                <w:lang w:val="es-ES_tradnl"/>
              </w:rPr>
            </w:pPr>
            <w:r w:rsidRPr="00752B0D">
              <w:rPr>
                <w:lang w:val="es-ES_tradnl"/>
              </w:rPr>
              <w:t>Cuestiones no relacionadas con los precios</w:t>
            </w:r>
          </w:p>
        </w:tc>
      </w:tr>
      <w:tr w:rsidR="00833672" w:rsidRPr="000B2FEE" w:rsidTr="00023A7F">
        <w:trPr>
          <w:trHeight w:val="1694"/>
          <w:jc w:val="center"/>
        </w:trPr>
        <w:tc>
          <w:tcPr>
            <w:tcW w:w="4586" w:type="dxa"/>
            <w:shd w:val="clear" w:color="auto" w:fill="E8F8FD"/>
          </w:tcPr>
          <w:p w:rsidR="00833672" w:rsidRPr="00AA7E10" w:rsidRDefault="00833672" w:rsidP="0049745E">
            <w:pPr>
              <w:pStyle w:val="Tabletext"/>
              <w:numPr>
                <w:ilvl w:val="0"/>
                <w:numId w:val="28"/>
              </w:numPr>
              <w:ind w:left="369" w:hanging="369"/>
              <w:rPr>
                <w:rFonts w:cs="Tahoma"/>
                <w:b/>
                <w:lang w:val="es-ES_tradnl" w:eastAsia="en-US"/>
              </w:rPr>
            </w:pPr>
            <w:r w:rsidRPr="00AA7E10">
              <w:rPr>
                <w:lang w:val="es-ES_tradnl" w:eastAsia="en-US"/>
              </w:rPr>
              <w:t>Subvenciones cruzadas</w:t>
            </w:r>
          </w:p>
          <w:p w:rsidR="00833672" w:rsidRPr="00AA7E10" w:rsidRDefault="00833672" w:rsidP="0049745E">
            <w:pPr>
              <w:pStyle w:val="Tabletext"/>
              <w:numPr>
                <w:ilvl w:val="0"/>
                <w:numId w:val="28"/>
              </w:numPr>
              <w:ind w:left="369" w:hanging="369"/>
              <w:rPr>
                <w:rFonts w:cs="Tahoma"/>
                <w:b/>
                <w:lang w:val="es-ES_tradnl" w:eastAsia="en-US"/>
              </w:rPr>
            </w:pPr>
            <w:r w:rsidRPr="00AA7E10">
              <w:rPr>
                <w:lang w:val="es-ES_tradnl" w:eastAsia="en-US"/>
              </w:rPr>
              <w:t>Fijación depredadora de precios</w:t>
            </w:r>
          </w:p>
          <w:p w:rsidR="00833672" w:rsidRPr="00AA7E10" w:rsidRDefault="00833672" w:rsidP="0049745E">
            <w:pPr>
              <w:pStyle w:val="Tabletext"/>
              <w:numPr>
                <w:ilvl w:val="0"/>
                <w:numId w:val="28"/>
              </w:numPr>
              <w:ind w:left="369" w:hanging="369"/>
              <w:rPr>
                <w:rFonts w:cs="Tahoma"/>
                <w:b/>
                <w:lang w:val="es-ES_tradnl" w:eastAsia="en-US"/>
              </w:rPr>
            </w:pPr>
            <w:r w:rsidRPr="00AA7E10">
              <w:rPr>
                <w:lang w:val="es-ES_tradnl" w:eastAsia="en-US"/>
              </w:rPr>
              <w:t>Compresión de los precios</w:t>
            </w:r>
          </w:p>
          <w:p w:rsidR="00833672" w:rsidRPr="00AA7E10" w:rsidRDefault="00833672" w:rsidP="0049745E">
            <w:pPr>
              <w:pStyle w:val="Tabletext"/>
              <w:numPr>
                <w:ilvl w:val="0"/>
                <w:numId w:val="28"/>
              </w:numPr>
              <w:ind w:left="369" w:hanging="369"/>
              <w:rPr>
                <w:rFonts w:cs="Tahoma"/>
                <w:b/>
                <w:lang w:val="es-ES_tradnl" w:eastAsia="en-US"/>
              </w:rPr>
            </w:pPr>
            <w:r w:rsidRPr="00AA7E10">
              <w:rPr>
                <w:rFonts w:cs="Tahoma"/>
                <w:lang w:val="es-ES_tradnl" w:eastAsia="en-US"/>
              </w:rPr>
              <w:t>Fijación de precios excesivos</w:t>
            </w:r>
          </w:p>
          <w:p w:rsidR="00833672" w:rsidRPr="00AA7E10" w:rsidRDefault="00833672" w:rsidP="0049745E">
            <w:pPr>
              <w:pStyle w:val="Tabletext"/>
              <w:numPr>
                <w:ilvl w:val="0"/>
                <w:numId w:val="28"/>
              </w:numPr>
              <w:ind w:left="369" w:hanging="369"/>
              <w:rPr>
                <w:rFonts w:cs="Tahoma"/>
                <w:b/>
                <w:lang w:val="es-ES_tradnl" w:eastAsia="en-US"/>
              </w:rPr>
            </w:pPr>
            <w:r w:rsidRPr="00AA7E10">
              <w:rPr>
                <w:lang w:val="es-ES_tradnl" w:eastAsia="en-US"/>
              </w:rPr>
              <w:t>Fijación de precios</w:t>
            </w:r>
          </w:p>
        </w:tc>
        <w:tc>
          <w:tcPr>
            <w:tcW w:w="4587" w:type="dxa"/>
            <w:shd w:val="clear" w:color="auto" w:fill="E8F8FD"/>
          </w:tcPr>
          <w:p w:rsidR="00833672" w:rsidRPr="0049745E" w:rsidRDefault="00833672" w:rsidP="0049745E">
            <w:pPr>
              <w:pStyle w:val="Tabletext"/>
              <w:numPr>
                <w:ilvl w:val="0"/>
                <w:numId w:val="28"/>
              </w:numPr>
              <w:ind w:left="369" w:hanging="369"/>
              <w:rPr>
                <w:lang w:val="es-ES_tradnl" w:eastAsia="en-US"/>
              </w:rPr>
            </w:pPr>
            <w:r w:rsidRPr="00AA7E10">
              <w:rPr>
                <w:lang w:val="es-ES_tradnl" w:eastAsia="en-US"/>
              </w:rPr>
              <w:t>Denegación (o retraso) de suministro</w:t>
            </w:r>
          </w:p>
          <w:p w:rsidR="00833672" w:rsidRPr="0049745E" w:rsidRDefault="00833672" w:rsidP="0049745E">
            <w:pPr>
              <w:pStyle w:val="Tabletext"/>
              <w:numPr>
                <w:ilvl w:val="0"/>
                <w:numId w:val="28"/>
              </w:numPr>
              <w:ind w:left="369" w:hanging="369"/>
              <w:rPr>
                <w:lang w:val="es-ES_tradnl" w:eastAsia="en-US"/>
              </w:rPr>
            </w:pPr>
            <w:r w:rsidRPr="00AA7E10">
              <w:rPr>
                <w:lang w:val="es-ES_tradnl" w:eastAsia="en-US"/>
              </w:rPr>
              <w:t>Acuerdos de agregación de servicios</w:t>
            </w:r>
          </w:p>
          <w:p w:rsidR="00833672" w:rsidRPr="0049745E" w:rsidRDefault="00833672" w:rsidP="0049745E">
            <w:pPr>
              <w:pStyle w:val="Tabletext"/>
              <w:numPr>
                <w:ilvl w:val="0"/>
                <w:numId w:val="28"/>
              </w:numPr>
              <w:ind w:left="369" w:hanging="369"/>
              <w:rPr>
                <w:lang w:val="es-ES_tradnl" w:eastAsia="en-US"/>
              </w:rPr>
            </w:pPr>
            <w:r w:rsidRPr="00AA7E10">
              <w:rPr>
                <w:lang w:val="es-ES_tradnl" w:eastAsia="en-US"/>
              </w:rPr>
              <w:t>Bloqueo de clientes</w:t>
            </w:r>
          </w:p>
          <w:p w:rsidR="00833672" w:rsidRPr="0049745E" w:rsidRDefault="00833672" w:rsidP="0049745E">
            <w:pPr>
              <w:pStyle w:val="Tabletext"/>
              <w:numPr>
                <w:ilvl w:val="0"/>
                <w:numId w:val="28"/>
              </w:numPr>
              <w:ind w:left="369" w:hanging="369"/>
              <w:rPr>
                <w:lang w:val="es-ES_tradnl" w:eastAsia="en-US"/>
              </w:rPr>
            </w:pPr>
            <w:r w:rsidRPr="00AA7E10">
              <w:rPr>
                <w:lang w:val="es-ES_tradnl" w:eastAsia="en-US"/>
              </w:rPr>
              <w:t>Utilización errónea de la información</w:t>
            </w:r>
          </w:p>
          <w:p w:rsidR="00833672" w:rsidRPr="0049745E" w:rsidRDefault="00833672" w:rsidP="0049745E">
            <w:pPr>
              <w:pStyle w:val="Tabletext"/>
              <w:numPr>
                <w:ilvl w:val="0"/>
                <w:numId w:val="28"/>
              </w:numPr>
              <w:ind w:left="369" w:hanging="369"/>
              <w:rPr>
                <w:lang w:val="es-ES_tradnl" w:eastAsia="en-US"/>
              </w:rPr>
            </w:pPr>
            <w:r w:rsidRPr="00AA7E10">
              <w:rPr>
                <w:lang w:val="es-ES_tradnl" w:eastAsia="en-US"/>
              </w:rPr>
              <w:t>Manipulación de ofertas</w:t>
            </w:r>
          </w:p>
          <w:p w:rsidR="00833672" w:rsidRPr="0049745E" w:rsidRDefault="00833672" w:rsidP="0049745E">
            <w:pPr>
              <w:pStyle w:val="Tabletext"/>
              <w:numPr>
                <w:ilvl w:val="0"/>
                <w:numId w:val="28"/>
              </w:numPr>
              <w:ind w:left="369" w:hanging="369"/>
              <w:rPr>
                <w:lang w:val="es-ES_tradnl" w:eastAsia="en-US"/>
              </w:rPr>
            </w:pPr>
            <w:r w:rsidRPr="00AA7E10">
              <w:rPr>
                <w:lang w:val="es-ES_tradnl" w:eastAsia="en-US"/>
              </w:rPr>
              <w:t>Compartición del mercado</w:t>
            </w:r>
          </w:p>
        </w:tc>
      </w:tr>
    </w:tbl>
    <w:p w:rsidR="00211419" w:rsidRDefault="00211419" w:rsidP="006E15C7">
      <w:pPr>
        <w:spacing w:before="240"/>
        <w:rPr>
          <w:rFonts w:eastAsia="Verdana" w:cs="Verdana"/>
          <w:lang w:val="es-ES_tradnl"/>
        </w:rPr>
      </w:pPr>
      <w:r>
        <w:rPr>
          <w:rFonts w:eastAsia="Verdana" w:cs="Verdana"/>
          <w:lang w:val="es-ES_tradnl"/>
        </w:rPr>
        <w:br w:type="page"/>
      </w:r>
    </w:p>
    <w:p w:rsidR="00F3360B" w:rsidRPr="00AA7E10" w:rsidRDefault="00F3360B" w:rsidP="006E15C7">
      <w:pPr>
        <w:spacing w:before="240"/>
        <w:rPr>
          <w:rFonts w:eastAsia="Verdana" w:cs="Verdana"/>
          <w:lang w:val="es-ES_tradnl"/>
        </w:rPr>
      </w:pPr>
      <w:r w:rsidRPr="00AA7E10">
        <w:rPr>
          <w:rFonts w:eastAsia="Verdana" w:cs="Verdana"/>
          <w:lang w:val="es-ES_tradnl"/>
        </w:rPr>
        <w:lastRenderedPageBreak/>
        <w:t>Las cuestiones sobre fijación de precios de los servicios de telecomunicaciones/TIC son motivo de gran preocupación para los reguladores en la medida en que afectan a los consumidores. Cuando un operador actúa de manera contraria a la competencia en un tema de precios se hace necesaria la intervención reglamentaria para garantizar condiciones equitativas en el mercado. Cuando la efectividad de la competencia en un mercado está ausente o es incierta, a menudo será necesario que el regulador intervenga para producir los resultados en términos de fijación de los precios que cabría esperar en un mercado competitivo, hasta que se fortalezcan los factores de competitividad de ese mercado. Se aconseja a los organismos reguladores que obren con prudencia, para no intervenir demasiado pronto o con demasiado vigor, en particular en mercados que se caracterizan por ofrecer servicios nuevos e innovadores y en los que aún no está claro cuál es el nivel de la demanda. Todo ello permitirá evitar distorsionar el desarrollo de dicho mercado, lo cual desalentaría la inversión necesaria para desarrollar los servicios en respuesta a la demanda latente</w:t>
      </w:r>
      <w:r w:rsidRPr="00AA7E10">
        <w:rPr>
          <w:rStyle w:val="FootnoteReference"/>
          <w:rFonts w:eastAsia="Verdana" w:cs="Verdana"/>
          <w:lang w:val="es-ES_tradnl"/>
        </w:rPr>
        <w:footnoteReference w:id="26"/>
      </w:r>
      <w:r w:rsidRPr="00AA7E10">
        <w:rPr>
          <w:rFonts w:eastAsia="Verdana" w:cs="Verdana"/>
          <w:lang w:val="es-ES_tradnl"/>
        </w:rPr>
        <w:t>.</w:t>
      </w:r>
    </w:p>
    <w:p w:rsidR="00F3360B" w:rsidRPr="00AA7E10" w:rsidRDefault="00F3360B" w:rsidP="00052DCD">
      <w:pPr>
        <w:pStyle w:val="Heading1"/>
        <w:ind w:left="851" w:hanging="851"/>
        <w:rPr>
          <w:smallCaps/>
          <w:lang w:val="es-ES_tradnl" w:eastAsia="en-US"/>
        </w:rPr>
      </w:pPr>
      <w:bookmarkStart w:id="141" w:name="_Toc330195691"/>
      <w:bookmarkStart w:id="142" w:name="_Toc371604091"/>
      <w:bookmarkStart w:id="143" w:name="_Toc379198850"/>
      <w:bookmarkEnd w:id="141"/>
      <w:r w:rsidRPr="00AA7E10">
        <w:rPr>
          <w:lang w:val="es-ES_tradnl" w:eastAsia="en-US"/>
        </w:rPr>
        <w:t>5</w:t>
      </w:r>
      <w:bookmarkStart w:id="144" w:name="_Toc330195692"/>
      <w:bookmarkEnd w:id="144"/>
      <w:r w:rsidRPr="00AA7E10">
        <w:rPr>
          <w:lang w:val="es-ES_tradnl" w:eastAsia="en-US"/>
        </w:rPr>
        <w:tab/>
        <w:t>Evaluación de la función de los organismos reguladores de las telecomunicaciones/TIC y las autoridades encargadas de la competencia</w:t>
      </w:r>
      <w:bookmarkEnd w:id="142"/>
      <w:bookmarkEnd w:id="143"/>
    </w:p>
    <w:p w:rsidR="00F3360B" w:rsidRPr="00AA7E10" w:rsidRDefault="00F3360B" w:rsidP="00052DCD">
      <w:pPr>
        <w:pStyle w:val="Heading2"/>
        <w:ind w:left="851" w:hanging="851"/>
        <w:rPr>
          <w:lang w:val="es-ES_tradnl"/>
        </w:rPr>
      </w:pPr>
      <w:bookmarkStart w:id="145" w:name="_Toc330195693"/>
      <w:bookmarkStart w:id="146" w:name="_Toc371604092"/>
      <w:bookmarkStart w:id="147" w:name="_Toc379198851"/>
      <w:bookmarkEnd w:id="145"/>
      <w:r w:rsidRPr="00AA7E10">
        <w:rPr>
          <w:lang w:val="es-ES_tradnl"/>
        </w:rPr>
        <w:t>5.1</w:t>
      </w:r>
      <w:r w:rsidRPr="00AA7E10">
        <w:rPr>
          <w:lang w:val="es-ES_tradnl"/>
        </w:rPr>
        <w:tab/>
        <w:t xml:space="preserve">Relaciones de trabajo entre las autoridades nacionales de reglamentación y las </w:t>
      </w:r>
      <w:r w:rsidRPr="00752B0D">
        <w:rPr>
          <w:lang w:val="es-ES_tradnl"/>
        </w:rPr>
        <w:t>autoridades</w:t>
      </w:r>
      <w:r w:rsidRPr="00AA7E10">
        <w:rPr>
          <w:lang w:val="es-ES_tradnl"/>
        </w:rPr>
        <w:t xml:space="preserve"> encargadas de la competencia</w:t>
      </w:r>
      <w:bookmarkEnd w:id="146"/>
      <w:bookmarkEnd w:id="147"/>
    </w:p>
    <w:p w:rsidR="00F3360B" w:rsidRPr="00AA7E10" w:rsidRDefault="00F3360B" w:rsidP="00052DCD">
      <w:pPr>
        <w:rPr>
          <w:lang w:val="es-ES_tradnl"/>
        </w:rPr>
      </w:pPr>
      <w:r w:rsidRPr="00AA7E10">
        <w:rPr>
          <w:lang w:val="es-ES_tradnl"/>
        </w:rPr>
        <w:t>En algunos países las autoridades nacionales de reglamentación y las autoridades encargadas de la competencia coexisten, y cada una de ellas puede funcionar conforme a una legislación separada y mantener relaciones de trabajo en cuestiones de competencia. En este contexto, la autoridad nacional de reglamentación puede ser el regulador específico del sector de las telecomunicaciones, encargado de aplicar a los operadores medidas de reglamentación (tanto ex ante como ex post) en un entorno competitivo; por su parte la autoridad encargada de la competencia es responsable de las cuestiones relativas a la competencia y de la reglamentación económica de las TIC</w:t>
      </w:r>
      <w:r w:rsidRPr="00AA7E10">
        <w:rPr>
          <w:rStyle w:val="FootnoteReference"/>
          <w:rFonts w:eastAsia="Verdana" w:cs="Verdana"/>
          <w:lang w:val="es-ES_tradnl"/>
        </w:rPr>
        <w:footnoteReference w:id="27"/>
      </w:r>
      <w:r w:rsidRPr="00AA7E10">
        <w:rPr>
          <w:lang w:val="es-ES_tradnl"/>
        </w:rPr>
        <w:t xml:space="preserve">. Las autoridades encargadas de la competencia tienen potestad para resolver los problemas resultantes de acciones en pugna con las normas de competencia, tales como el abuso por posición dominante, los comportamientos contrarios a la competencia y las fusiones y adquisiciones. No obstante, en ciertos países no existe una autoridad encargada de la competencia, y por consiguiente la autoridad nacional de reglamentación se encarga de los asuntos de competencia en el ámbito de las telecomunicaciones. Ejemplos de ello son </w:t>
      </w:r>
      <w:r w:rsidRPr="00052DCD">
        <w:rPr>
          <w:b/>
          <w:bCs/>
          <w:lang w:val="es-ES_tradnl"/>
        </w:rPr>
        <w:t>Trinidad y Tabago, Georgia, Qatar, Sudán, Omán y Rwanda</w:t>
      </w:r>
      <w:r w:rsidRPr="00AA7E10">
        <w:rPr>
          <w:lang w:val="es-ES_tradnl"/>
        </w:rPr>
        <w:t>.</w:t>
      </w:r>
    </w:p>
    <w:p w:rsidR="00052DCD" w:rsidRDefault="00F3360B" w:rsidP="006E15C7">
      <w:pPr>
        <w:rPr>
          <w:rFonts w:eastAsia="Verdana" w:cs="Verdana"/>
          <w:lang w:val="es-ES_tradnl"/>
        </w:rPr>
      </w:pPr>
      <w:r w:rsidRPr="00AA7E10">
        <w:rPr>
          <w:rFonts w:eastAsia="Verdana" w:cs="Verdana"/>
          <w:lang w:val="es-ES_tradnl"/>
        </w:rPr>
        <w:t>Se han creado autoridades encargadas de la competencia en al menos el 64% de los países del mundo. Así es en el 90% de los países europeos y el 46% de países africanos. De acuerdo con las respuestas a la Encuesta anual sobre reglamentación de las telecomunicaciones, las autoridades encargadas de la competencia se ocupan de resolver los problemas de competencia en el sector de las telecomunicaciones/TIC en la mayoría de países europeos y americanos, mientras que en otras regiones este sector compete a las autoridades de reglamentación. En el 18% de países, ambas autoridades se ocupan de los problemas de competencia del sector de telecomunicaciones, asumiendo la autoridad reguladora el papel de asesor de la autoridad encargada de la competencia.</w:t>
      </w:r>
      <w:r w:rsidR="00052DCD">
        <w:rPr>
          <w:rFonts w:eastAsia="Verdana" w:cs="Verdana"/>
          <w:lang w:val="es-ES_tradnl"/>
        </w:rPr>
        <w:br w:type="page"/>
      </w:r>
    </w:p>
    <w:p w:rsidR="00052DCD" w:rsidRPr="00052DCD" w:rsidRDefault="00052DCD" w:rsidP="00052DCD">
      <w:pPr>
        <w:pStyle w:val="Figuretitle"/>
        <w:jc w:val="left"/>
        <w:rPr>
          <w:lang w:val="es-ES_tradnl"/>
        </w:rPr>
      </w:pPr>
      <w:bookmarkStart w:id="148" w:name="_Toc371689911"/>
      <w:r w:rsidRPr="00052DCD">
        <w:rPr>
          <w:lang w:val="es-ES_tradnl"/>
        </w:rPr>
        <w:lastRenderedPageBreak/>
        <w:t>Figura 6: Autoridad encargada de los problemas de competencia en el sector de las telecomunicaciones,</w:t>
      </w:r>
      <w:r>
        <w:rPr>
          <w:lang w:val="es-ES_tradnl"/>
        </w:rPr>
        <w:t> </w:t>
      </w:r>
      <w:r w:rsidRPr="00052DCD">
        <w:rPr>
          <w:lang w:val="es-ES_tradnl"/>
        </w:rPr>
        <w:t>2012</w:t>
      </w:r>
    </w:p>
    <w:p w:rsidR="00052DCD" w:rsidRDefault="00052DCD" w:rsidP="00052DCD">
      <w:pPr>
        <w:pStyle w:val="Figure"/>
      </w:pPr>
      <w:r>
        <w:rPr>
          <w:rFonts w:eastAsia="Times New Roman"/>
          <w:i/>
          <w:iCs/>
          <w:noProof/>
          <w:szCs w:val="19"/>
          <w:lang w:val="en-US" w:eastAsia="zh-CN"/>
        </w:rPr>
        <w:drawing>
          <wp:inline distT="0" distB="0" distL="0" distR="0" wp14:anchorId="4C5038EF" wp14:editId="3CA5146C">
            <wp:extent cx="5004000" cy="2775600"/>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4000" cy="2775600"/>
                    </a:xfrm>
                    <a:prstGeom prst="rect">
                      <a:avLst/>
                    </a:prstGeom>
                    <a:noFill/>
                  </pic:spPr>
                </pic:pic>
              </a:graphicData>
            </a:graphic>
          </wp:inline>
        </w:drawing>
      </w:r>
    </w:p>
    <w:p w:rsidR="00052DCD" w:rsidRPr="00052DCD" w:rsidRDefault="00052DCD" w:rsidP="00052DCD">
      <w:pPr>
        <w:pStyle w:val="figuresource"/>
        <w:rPr>
          <w:lang w:val="es-ES_tradnl"/>
        </w:rPr>
      </w:pPr>
      <w:r w:rsidRPr="00AA7E10">
        <w:rPr>
          <w:rFonts w:eastAsia="Verdana" w:cs="Verdana"/>
          <w:lang w:val="es-ES_tradnl"/>
        </w:rPr>
        <w:t>Fuente: Base de Datos Mundial sobre Reglamentación de las Telecomunicaciones de la UIT, 2012</w:t>
      </w:r>
      <w:r>
        <w:rPr>
          <w:rFonts w:eastAsia="Verdana" w:cs="Verdana"/>
          <w:lang w:val="es-ES_tradnl"/>
        </w:rPr>
        <w:t>.</w:t>
      </w:r>
    </w:p>
    <w:p w:rsidR="00052DCD" w:rsidRPr="00052DCD" w:rsidRDefault="00052DCD" w:rsidP="00052DCD">
      <w:pPr>
        <w:pStyle w:val="figuresource"/>
        <w:spacing w:before="120"/>
        <w:rPr>
          <w:lang w:val="es-ES_tradnl"/>
        </w:rPr>
      </w:pPr>
      <w:r w:rsidRPr="00AA7E10">
        <w:rPr>
          <w:rFonts w:eastAsia="Verdana" w:cs="Verdana"/>
          <w:lang w:val="es-ES_tradnl"/>
        </w:rPr>
        <w:t>Nota: "Otras" supone la compartición de responsabilidades, las jurisdicciones solapadas, etc.</w:t>
      </w:r>
    </w:p>
    <w:p w:rsidR="00052DCD" w:rsidRPr="00052DCD" w:rsidRDefault="00052DCD" w:rsidP="00052DCD">
      <w:pPr>
        <w:rPr>
          <w:lang w:val="es-ES_tradnl"/>
        </w:rPr>
      </w:pPr>
    </w:p>
    <w:bookmarkEnd w:id="148"/>
    <w:p w:rsidR="00F3360B" w:rsidRDefault="00F3360B" w:rsidP="006E15C7">
      <w:pPr>
        <w:rPr>
          <w:rFonts w:eastAsia="Verdana" w:cs="Verdana"/>
          <w:lang w:val="es-ES_tradnl"/>
        </w:rPr>
      </w:pPr>
      <w:r w:rsidRPr="00AA7E10">
        <w:rPr>
          <w:rFonts w:eastAsia="Verdana" w:cs="Verdana"/>
          <w:lang w:val="es-ES_tradnl"/>
        </w:rPr>
        <w:t>La competencia está principalmente definida por la Ley general de competencia y la Ley de telecomunicaciones/TIC, que en el 65% de los casos contienen disposiciones sobre el concepto de fusión. En los países de la CEI, la competencia depende principalmente de la Ley general de competencia. En al menos el 60% de los países, el regulador nacional de telecomunicaciones/TIC tiene un papel que desempeñar (asesoramiento, estudio de solicitudes, recepción de notificaciones, etc.).</w:t>
      </w:r>
    </w:p>
    <w:p w:rsidR="00AC27F2" w:rsidRDefault="00AC27F2" w:rsidP="006E15C7">
      <w:pPr>
        <w:rPr>
          <w:rFonts w:eastAsia="Verdana" w:cs="Verdana"/>
          <w:lang w:val="es-ES_tradnl"/>
        </w:rPr>
      </w:pPr>
    </w:p>
    <w:p w:rsidR="003F4444" w:rsidRPr="003F4444" w:rsidRDefault="003F4444" w:rsidP="003F4444">
      <w:pPr>
        <w:pStyle w:val="Figuretitle"/>
        <w:rPr>
          <w:lang w:val="es-ES_tradnl"/>
        </w:rPr>
      </w:pPr>
      <w:r w:rsidRPr="003F4444">
        <w:rPr>
          <w:lang w:val="es-ES_tradnl"/>
        </w:rPr>
        <w:t>Figura 7: Instrumentos jurídicos que definen la competencia, 2012</w:t>
      </w:r>
    </w:p>
    <w:p w:rsidR="003F4444" w:rsidRDefault="003F4444" w:rsidP="003F4444">
      <w:pPr>
        <w:pStyle w:val="Figure"/>
      </w:pPr>
      <w:r w:rsidRPr="00211BAD">
        <w:rPr>
          <w:noProof/>
          <w:szCs w:val="19"/>
          <w:lang w:val="en-US" w:eastAsia="zh-CN"/>
        </w:rPr>
        <w:drawing>
          <wp:inline distT="0" distB="0" distL="0" distR="0" wp14:anchorId="0107DDA8" wp14:editId="25CF31C0">
            <wp:extent cx="4924425" cy="2170220"/>
            <wp:effectExtent l="0" t="0" r="0" b="1905"/>
            <wp:docPr id="12" name="Picture 0" descr="10iS3T0R0x5S3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iS3T0R0x5S3T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2255" cy="2169263"/>
                    </a:xfrm>
                    <a:prstGeom prst="rect">
                      <a:avLst/>
                    </a:prstGeom>
                    <a:noFill/>
                    <a:ln>
                      <a:noFill/>
                    </a:ln>
                  </pic:spPr>
                </pic:pic>
              </a:graphicData>
            </a:graphic>
          </wp:inline>
        </w:drawing>
      </w:r>
    </w:p>
    <w:p w:rsidR="003F4444" w:rsidRPr="003F4444" w:rsidRDefault="003F4444" w:rsidP="003F4444">
      <w:pPr>
        <w:pStyle w:val="figuresource"/>
        <w:rPr>
          <w:lang w:val="es-ES_tradnl"/>
        </w:rPr>
      </w:pPr>
      <w:r w:rsidRPr="00AA7E10">
        <w:rPr>
          <w:rFonts w:eastAsia="Verdana" w:cs="Verdana"/>
          <w:lang w:val="es-ES_tradnl"/>
        </w:rPr>
        <w:t>Fuente: Base de Datos Mundial sobre Reglamentación de las Telecomunicaciones de la UIT, 2012</w:t>
      </w:r>
      <w:r>
        <w:rPr>
          <w:rFonts w:eastAsia="Verdana" w:cs="Verdana"/>
          <w:lang w:val="es-ES_tradnl"/>
        </w:rPr>
        <w:t>.</w:t>
      </w:r>
    </w:p>
    <w:p w:rsidR="004C0D09" w:rsidRDefault="004C0D09" w:rsidP="006E15C7">
      <w:pPr>
        <w:rPr>
          <w:rFonts w:eastAsia="Verdana" w:cs="Verdana"/>
          <w:lang w:val="es-ES_tradnl"/>
        </w:rPr>
      </w:pPr>
    </w:p>
    <w:p w:rsidR="00F3360B" w:rsidRPr="00AA7E10" w:rsidRDefault="00F3360B" w:rsidP="006E15C7">
      <w:pPr>
        <w:rPr>
          <w:rFonts w:eastAsia="Verdana" w:cs="Verdana"/>
          <w:lang w:val="es-ES_tradnl"/>
        </w:rPr>
      </w:pPr>
      <w:r w:rsidRPr="00AA7E10">
        <w:rPr>
          <w:rFonts w:eastAsia="Verdana" w:cs="Verdana"/>
          <w:lang w:val="es-ES_tradnl"/>
        </w:rPr>
        <w:lastRenderedPageBreak/>
        <w:t>Garantizar que los consumidores pueden realmente disfrutar de un mayor abanico de opciones y cambiar de un operador/proveedor a otro sigue siendo un problema, incluso en los mercados liberalizados. Los consumidores suelen sorprenderse de lo difícil que resulta evaluar y escoger entre los diversos paquetes y ofertas disponibles y pueden no cambiar por falta de claridad o incertidumbre. Incluso cuando la portabilidad de número está disponible, como ocurre en el 37% de países del mundo para los servicios móviles y el 25% para los servicios fijos</w:t>
      </w:r>
      <w:r w:rsidRPr="00AA7E10">
        <w:rPr>
          <w:rStyle w:val="FootnoteReference"/>
          <w:rFonts w:eastAsia="Verdana" w:cs="Verdana"/>
          <w:lang w:val="es-ES_tradnl"/>
        </w:rPr>
        <w:footnoteReference w:id="28"/>
      </w:r>
      <w:r w:rsidRPr="00AA7E10">
        <w:rPr>
          <w:rFonts w:eastAsia="Verdana" w:cs="Verdana"/>
          <w:lang w:val="es-ES_tradnl"/>
        </w:rPr>
        <w:t xml:space="preserve">, es posible que los consumidores tengan que pagar por la transferencia del servicio. Otros motivos para no cambiar de un operador a otro pueden ser los estructurales, como la incompatibilidad de equipos. </w:t>
      </w:r>
    </w:p>
    <w:p w:rsidR="00F3360B" w:rsidRPr="00AA7E10" w:rsidRDefault="00F3360B" w:rsidP="006E15C7">
      <w:pPr>
        <w:rPr>
          <w:lang w:val="es-ES_tradnl"/>
        </w:rPr>
      </w:pPr>
      <w:r w:rsidRPr="00AA7E10">
        <w:rPr>
          <w:rFonts w:eastAsia="Verdana" w:cs="Verdana"/>
          <w:lang w:val="es-ES_tradnl"/>
        </w:rPr>
        <w:t xml:space="preserve">En </w:t>
      </w:r>
      <w:r w:rsidRPr="00AA7E10">
        <w:rPr>
          <w:rFonts w:eastAsia="Verdana" w:cs="Verdana"/>
          <w:b/>
          <w:lang w:val="es-ES_tradnl"/>
        </w:rPr>
        <w:t>Tanzanía</w:t>
      </w:r>
      <w:r w:rsidRPr="00AA7E10">
        <w:rPr>
          <w:rFonts w:eastAsia="Verdana" w:cs="Verdana"/>
          <w:lang w:val="es-ES_tradnl"/>
        </w:rPr>
        <w:t>, la Comisión de Competencia Justa es responsable de la gestión de las cuestiones de competencia y el Tribunal de Defensa de la Competencia es el órgano de segunda instancia ante el que cualquier persona agraviada puede recurrir las decisiones tomadas por los siguientes órganos reguladores: la Autoridad Reguladora de los Servicios de Electricidad y Agua, la Autoridad de Aviación Civil de Tanzanía, la Autoridad Reguladora de la Superficie Marina y el Transporte y la Autoridad Reguladora de las Comunicaciones de Tanzanía</w:t>
      </w:r>
      <w:r w:rsidRPr="00AA7E10">
        <w:rPr>
          <w:rStyle w:val="FootnoteReference"/>
          <w:rFonts w:eastAsia="Verdana" w:cs="Verdana"/>
          <w:lang w:val="es-ES_tradnl"/>
        </w:rPr>
        <w:footnoteReference w:id="29"/>
      </w:r>
      <w:r w:rsidRPr="00AA7E10">
        <w:rPr>
          <w:rFonts w:eastAsia="Verdana" w:cs="Verdana"/>
          <w:lang w:val="es-ES_tradnl"/>
        </w:rPr>
        <w:t>.</w:t>
      </w:r>
      <w:bookmarkStart w:id="149" w:name="_ftnref25"/>
      <w:bookmarkEnd w:id="149"/>
    </w:p>
    <w:p w:rsidR="00F3360B" w:rsidRPr="00AA7E10" w:rsidRDefault="00F3360B" w:rsidP="006E15C7">
      <w:pPr>
        <w:rPr>
          <w:lang w:val="es-ES_tradnl"/>
        </w:rPr>
      </w:pPr>
      <w:r w:rsidRPr="00AA7E10">
        <w:rPr>
          <w:rFonts w:eastAsia="Verdana" w:cs="Verdana"/>
          <w:lang w:val="es-ES_tradnl"/>
        </w:rPr>
        <w:t>Una persona perjudicada por la decisión de la</w:t>
      </w:r>
      <w:r w:rsidRPr="00AA7E10">
        <w:rPr>
          <w:lang w:val="es-ES_tradnl"/>
        </w:rPr>
        <w:t xml:space="preserve"> </w:t>
      </w:r>
      <w:r w:rsidRPr="00AA7E10">
        <w:rPr>
          <w:rFonts w:eastAsia="Verdana" w:cs="Verdana"/>
          <w:lang w:val="es-ES_tradnl"/>
        </w:rPr>
        <w:t>Autoridad Reguladora de las Comunicaciones de</w:t>
      </w:r>
      <w:r w:rsidRPr="00AA7E10">
        <w:rPr>
          <w:lang w:val="es-ES_tradnl"/>
        </w:rPr>
        <w:t xml:space="preserve"> </w:t>
      </w:r>
      <w:r w:rsidRPr="00AA7E10">
        <w:rPr>
          <w:rFonts w:eastAsia="Verdana" w:cs="Verdana"/>
          <w:lang w:val="es-ES_tradnl"/>
        </w:rPr>
        <w:t>Tanzanía</w:t>
      </w:r>
      <w:r w:rsidRPr="00AA7E10">
        <w:rPr>
          <w:lang w:val="es-ES_tradnl"/>
        </w:rPr>
        <w:t xml:space="preserve"> </w:t>
      </w:r>
      <w:r w:rsidRPr="00AA7E10">
        <w:rPr>
          <w:rFonts w:eastAsia="Verdana" w:cs="Verdana"/>
          <w:lang w:val="es-ES_tradnl"/>
        </w:rPr>
        <w:t xml:space="preserve">puede, en virtud del Artículo 42, párr. 2 de la Ley de la Autoridad Reguladora de las Comunicaciones de Tanzanía, de 2003, recurrir ante el Tribunal de la Competencia Justa. Sólo se permite interponer una apelación en cuestiones reglamentarias incluidas en el Artículo 42.1. El Tribunal de la Competencia Justa se pronuncia sobre el recurso en virtud del Artículo 42, párr. 4 de la Ley de la Autoridad Reguladora de las Comunicaciones de Tanzanía, y su decisión es inapelable. </w:t>
      </w:r>
    </w:p>
    <w:p w:rsidR="00F3360B" w:rsidRPr="00AA7E10" w:rsidRDefault="00F3360B" w:rsidP="006E15C7">
      <w:pPr>
        <w:rPr>
          <w:lang w:val="es-ES_tradnl"/>
        </w:rPr>
      </w:pPr>
      <w:r w:rsidRPr="00AA7E10">
        <w:rPr>
          <w:rFonts w:eastAsia="Verdana" w:cs="Verdana"/>
          <w:lang w:val="es-ES_tradnl"/>
        </w:rPr>
        <w:t xml:space="preserve">Dado que las cuestiones de competencia son manejadas tanto por las autoridades nacionales de reglamentación como por las autoridades encargadas de la competencia, algunos países como </w:t>
      </w:r>
      <w:r w:rsidRPr="00AA7E10">
        <w:rPr>
          <w:rFonts w:eastAsia="Verdana" w:cs="Verdana"/>
          <w:b/>
          <w:lang w:val="es-ES_tradnl"/>
        </w:rPr>
        <w:t>Namibia</w:t>
      </w:r>
      <w:r w:rsidRPr="00AA7E10">
        <w:rPr>
          <w:lang w:val="es-ES_tradnl"/>
        </w:rPr>
        <w:t xml:space="preserve"> </w:t>
      </w:r>
      <w:r w:rsidRPr="00AA7E10">
        <w:rPr>
          <w:rFonts w:eastAsia="Verdana" w:cs="Verdana"/>
          <w:lang w:val="es-ES_tradnl"/>
        </w:rPr>
        <w:t>han establecido un memorando de entendimiento entre los dos órganos para que haya un marco claro de referencia sobre las funciones de investigación, fusión y tramitación de denuncias. Ésta es una buena manera de evitar</w:t>
      </w:r>
      <w:r w:rsidRPr="00AA7E10">
        <w:rPr>
          <w:lang w:val="es-ES_tradnl"/>
        </w:rPr>
        <w:t xml:space="preserve"> </w:t>
      </w:r>
      <w:r w:rsidRPr="00AA7E10">
        <w:rPr>
          <w:rFonts w:eastAsia="Verdana" w:cs="Verdana"/>
          <w:lang w:val="es-ES_tradnl"/>
        </w:rPr>
        <w:t xml:space="preserve">solapamientos y conflictos entre las jurisdicciones y políticas de los dos órganos. En </w:t>
      </w:r>
      <w:r w:rsidRPr="00AA7E10">
        <w:rPr>
          <w:rFonts w:eastAsia="Verdana" w:cs="Verdana"/>
          <w:b/>
          <w:lang w:val="es-ES_tradnl"/>
        </w:rPr>
        <w:t>Egipto</w:t>
      </w:r>
      <w:r w:rsidRPr="00AA7E10">
        <w:rPr>
          <w:rFonts w:eastAsia="Verdana" w:cs="Verdana"/>
          <w:lang w:val="es-ES_tradnl"/>
        </w:rPr>
        <w:t>, la Autoridad Nacional de Reglamentación de las Telecomunicaciones, que es la autoridad nacional competente para la reglamentación el sector de las telecomunicaciones en Egipto, trabaja con la Autoridad Egipcia de la Competencia, órgano encargado de supervisar todas las actividades económicas, adoptando todas las medidas necesarias para la investigación, búsqueda de datos y recopilación de pruebas a fin de contrarrestar todos los acuerdos y prácticas que conduzcan a la prevención, restricción o perjuicio de la libre competencia en Egipto, y que resulten en la comisión de delitos que pueden dar lugar a sanciones y/o penas de conformidad con lo dispuesto en la ley antes mencionada</w:t>
      </w:r>
      <w:r w:rsidRPr="00AA7E10">
        <w:rPr>
          <w:rStyle w:val="FootnoteReference"/>
          <w:rFonts w:eastAsia="Verdana" w:cs="Verdana"/>
          <w:lang w:val="es-ES_tradnl"/>
        </w:rPr>
        <w:footnoteReference w:id="30"/>
      </w:r>
      <w:r w:rsidRPr="00AA7E10">
        <w:rPr>
          <w:rFonts w:eastAsia="Verdana" w:cs="Verdana"/>
          <w:lang w:val="es-ES_tradnl"/>
        </w:rPr>
        <w:t>.</w:t>
      </w:r>
      <w:r w:rsidRPr="00AA7E10">
        <w:rPr>
          <w:lang w:val="es-ES_tradnl"/>
        </w:rPr>
        <w:t xml:space="preserve"> </w:t>
      </w:r>
      <w:bookmarkStart w:id="150" w:name="_ftnref26"/>
      <w:bookmarkEnd w:id="150"/>
    </w:p>
    <w:p w:rsidR="00F3360B" w:rsidRPr="00AA7E10" w:rsidRDefault="00F3360B" w:rsidP="006E15C7">
      <w:pPr>
        <w:rPr>
          <w:lang w:val="es-ES_tradnl"/>
        </w:rPr>
      </w:pPr>
      <w:r w:rsidRPr="00AA7E10">
        <w:rPr>
          <w:rFonts w:eastAsia="Verdana" w:cs="Verdana"/>
          <w:lang w:val="es-ES_tradnl"/>
        </w:rPr>
        <w:t xml:space="preserve">En junio de 2011 la Autoridad Nacional de Reglamentación de las Telecomunicaciones y la Autoridad Egipcia de la Competencia firmaron un protocolo de cooperación para dar cumplimiento a su propósito común de prestar especial atención a los intereses del mercado y de los consumidores, así como de impulsar la cooperación y la coordinación entre ambas partes para apoyar la libre competencia en el sector de las TIC y afrontar los nuevos desafíos relacionados con la competencia en el sector de las telecomunicaciones. </w:t>
      </w:r>
    </w:p>
    <w:p w:rsidR="00F3360B" w:rsidRPr="00AA7E10" w:rsidRDefault="00F3360B" w:rsidP="006E15C7">
      <w:pPr>
        <w:rPr>
          <w:lang w:val="es-ES_tradnl"/>
        </w:rPr>
      </w:pPr>
      <w:r w:rsidRPr="00AA7E10">
        <w:rPr>
          <w:rFonts w:eastAsia="Verdana" w:cs="Verdana"/>
          <w:lang w:val="es-ES_tradnl"/>
        </w:rPr>
        <w:t>Los términos principales del protocolo son los siguientes:</w:t>
      </w:r>
    </w:p>
    <w:p w:rsidR="00F3360B" w:rsidRPr="00AF3B6E" w:rsidRDefault="00F3360B" w:rsidP="00AF3B6E">
      <w:pPr>
        <w:pStyle w:val="Enumlevel1"/>
        <w:numPr>
          <w:ilvl w:val="0"/>
          <w:numId w:val="29"/>
        </w:numPr>
        <w:ind w:left="567" w:hanging="567"/>
        <w:rPr>
          <w:lang w:val="es-ES_tradnl"/>
        </w:rPr>
      </w:pPr>
      <w:r w:rsidRPr="00AF3B6E">
        <w:rPr>
          <w:lang w:val="es-ES_tradnl"/>
        </w:rPr>
        <w:lastRenderedPageBreak/>
        <w:t>El protocolo tiene por objeto facilitar la cooperación entre ambas partes en relación con la promoción de la competencia en el sector de las telecomunicaciones y el intercambio de información y conocimientos mediante las siguientes acciones:</w:t>
      </w:r>
    </w:p>
    <w:p w:rsidR="00F3360B" w:rsidRPr="00752B0D" w:rsidRDefault="00F3360B" w:rsidP="004C0D09">
      <w:pPr>
        <w:pStyle w:val="Enumlevel2"/>
        <w:keepNext/>
        <w:keepLines/>
        <w:numPr>
          <w:ilvl w:val="0"/>
          <w:numId w:val="30"/>
        </w:numPr>
        <w:ind w:left="992" w:hanging="425"/>
        <w:rPr>
          <w:lang w:val="es-ES_tradnl"/>
        </w:rPr>
      </w:pPr>
      <w:r w:rsidRPr="00752B0D">
        <w:rPr>
          <w:lang w:val="es-ES_tradnl"/>
        </w:rPr>
        <w:t>El intercambio de información entre ambas partes en asuntos de interés común.</w:t>
      </w:r>
    </w:p>
    <w:p w:rsidR="00F3360B" w:rsidRPr="00752B0D" w:rsidRDefault="00F3360B" w:rsidP="00B3573E">
      <w:pPr>
        <w:pStyle w:val="Enumlevel2"/>
        <w:numPr>
          <w:ilvl w:val="0"/>
          <w:numId w:val="30"/>
        </w:numPr>
        <w:ind w:left="993" w:hanging="426"/>
        <w:rPr>
          <w:lang w:val="es-ES_tradnl"/>
        </w:rPr>
      </w:pPr>
      <w:r w:rsidRPr="00752B0D">
        <w:rPr>
          <w:lang w:val="es-ES_tradnl"/>
        </w:rPr>
        <w:t>La prestación mutua de asistencia técnica en los ámbitos de la competencia y las comunicaciones, así como la celebración de talleres y conferencias, en las que ambas partes deberán contribuir a difundir en el público la legislación sobre competencia y otras actividades en el sector de las telecomunicaciones.</w:t>
      </w:r>
    </w:p>
    <w:p w:rsidR="00F3360B" w:rsidRPr="00752B0D" w:rsidRDefault="00F3360B" w:rsidP="00B3573E">
      <w:pPr>
        <w:pStyle w:val="Enumlevel2"/>
        <w:numPr>
          <w:ilvl w:val="0"/>
          <w:numId w:val="30"/>
        </w:numPr>
        <w:ind w:left="993" w:hanging="426"/>
        <w:rPr>
          <w:lang w:val="es-ES_tradnl"/>
        </w:rPr>
      </w:pPr>
      <w:r w:rsidRPr="00752B0D">
        <w:rPr>
          <w:lang w:val="es-ES_tradnl"/>
        </w:rPr>
        <w:t>La unificación, en la medida de lo posible, de los métodos de análisis económicos y jurídicos empleados por la Autoridad Nacional de Reglamentación de las Telecomunicaciones y la Autoridad Egipcia de la Competencia en el sector de las telecomunicaciones, especialmente los relacionados con la definición del mercado de referencia y la prueba de la posición dominante en el mercado.</w:t>
      </w:r>
    </w:p>
    <w:p w:rsidR="00F3360B" w:rsidRPr="00752B0D" w:rsidRDefault="00F3360B" w:rsidP="00B3573E">
      <w:pPr>
        <w:pStyle w:val="Enumlevel2"/>
        <w:numPr>
          <w:ilvl w:val="0"/>
          <w:numId w:val="30"/>
        </w:numPr>
        <w:ind w:left="993" w:hanging="426"/>
        <w:rPr>
          <w:lang w:val="es-ES_tradnl"/>
        </w:rPr>
      </w:pPr>
      <w:r w:rsidRPr="00752B0D">
        <w:rPr>
          <w:lang w:val="es-ES_tradnl"/>
        </w:rPr>
        <w:t>La determinación del marco de coordinación y cooperación con el fin de contrarrestar las prácticas que puedan impedir, restringir o perjudicar la libre competencia.</w:t>
      </w:r>
    </w:p>
    <w:p w:rsidR="00F3360B" w:rsidRPr="00752B0D" w:rsidRDefault="00F3360B" w:rsidP="00B3573E">
      <w:pPr>
        <w:pStyle w:val="Enumlevel2"/>
        <w:numPr>
          <w:ilvl w:val="0"/>
          <w:numId w:val="30"/>
        </w:numPr>
        <w:ind w:left="993" w:hanging="426"/>
        <w:rPr>
          <w:lang w:val="es-ES_tradnl"/>
        </w:rPr>
      </w:pPr>
      <w:r w:rsidRPr="00752B0D">
        <w:rPr>
          <w:lang w:val="es-ES_tradnl"/>
        </w:rPr>
        <w:t>La cooperación y la coordinación en asuntos relacionados con la connivencia de licitadores en las subastas celebradas por la Autoridad Nacional de Reglamentación de las Telecomunicaciones, así como en los proyectos de fusión y adquisición en el sector de las telecomunicaciones.</w:t>
      </w:r>
    </w:p>
    <w:p w:rsidR="00F3360B" w:rsidRPr="00AF3B6E" w:rsidRDefault="00F3360B" w:rsidP="00AF3B6E">
      <w:pPr>
        <w:pStyle w:val="Enumlevel1"/>
        <w:numPr>
          <w:ilvl w:val="0"/>
          <w:numId w:val="29"/>
        </w:numPr>
        <w:ind w:left="567" w:hanging="567"/>
        <w:rPr>
          <w:lang w:val="es-ES_tradnl"/>
        </w:rPr>
      </w:pPr>
      <w:r w:rsidRPr="00AF3B6E">
        <w:rPr>
          <w:lang w:val="es-ES_tradnl"/>
        </w:rPr>
        <w:t xml:space="preserve">El protocolo contempla las normas ex ante como un derecho inherente y una competencia esencial de la Autoridad Nacional de Reglamentación de las Telecomunicaciones, de conformidad con la Ley de las Telecomunicaciones. Estas regulaciones ex ante son las siguientes: </w:t>
      </w:r>
    </w:p>
    <w:p w:rsidR="00F3360B" w:rsidRPr="00752B0D" w:rsidRDefault="00F3360B" w:rsidP="00CD1614">
      <w:pPr>
        <w:pStyle w:val="Enumlevel2"/>
        <w:numPr>
          <w:ilvl w:val="0"/>
          <w:numId w:val="30"/>
        </w:numPr>
        <w:ind w:left="993" w:hanging="426"/>
        <w:rPr>
          <w:lang w:val="es-ES_tradnl"/>
        </w:rPr>
      </w:pPr>
      <w:r w:rsidRPr="00752B0D">
        <w:rPr>
          <w:lang w:val="es-ES_tradnl"/>
        </w:rPr>
        <w:t>Determinar todas las funciones y actividades relacionadas con la liberalización del sector de las telecomunicaciones, incluida la elaboración de estudios de mercado, la realización de estudios de viabilidad para la entrada de nuevos operadores y la determinación de la rentabilidad económica para el país como resultado de la liberalización del sector, seguido por el proceso de concesión de licencias y el control de todas las obligaciones establecidas en las licencias en cuanto a los aspectos técnicos, comerciales y jurídicos.</w:t>
      </w:r>
    </w:p>
    <w:p w:rsidR="00F3360B" w:rsidRPr="00752B0D" w:rsidRDefault="00F3360B" w:rsidP="00D934E9">
      <w:pPr>
        <w:pStyle w:val="Enumlevel2"/>
        <w:numPr>
          <w:ilvl w:val="0"/>
          <w:numId w:val="30"/>
        </w:numPr>
        <w:ind w:left="993" w:hanging="426"/>
        <w:rPr>
          <w:lang w:val="es-ES_tradnl"/>
        </w:rPr>
      </w:pPr>
      <w:r w:rsidRPr="00752B0D">
        <w:rPr>
          <w:lang w:val="es-ES_tradnl"/>
        </w:rPr>
        <w:t>Determinar las obligaciones de los titulares de licencias en materia de prestación de servicios y establecimiento de precios de los mismos, y aprobar las ofertas especiales basadas en costos que cumplan con los requisitos de no discriminación entre los titulares de licencias que operan en el mercado.</w:t>
      </w:r>
    </w:p>
    <w:p w:rsidR="00F3360B" w:rsidRPr="00752B0D" w:rsidRDefault="00F3360B" w:rsidP="00D934E9">
      <w:pPr>
        <w:pStyle w:val="Enumlevel2"/>
        <w:numPr>
          <w:ilvl w:val="0"/>
          <w:numId w:val="30"/>
        </w:numPr>
        <w:ind w:left="993" w:hanging="426"/>
        <w:rPr>
          <w:lang w:val="es-ES_tradnl"/>
        </w:rPr>
      </w:pPr>
      <w:r w:rsidRPr="00752B0D">
        <w:rPr>
          <w:lang w:val="es-ES_tradnl"/>
        </w:rPr>
        <w:t>Crear y fomentar un entorno competitivo justo para todos los operadores de telecomunicaciones, sobre una base de no discriminación, y en particular facilitar el acceso a las instalaciones esenciales a los nuevos operadores cuando las instalaciones sean propiedad de otros titulares de licencias.</w:t>
      </w:r>
    </w:p>
    <w:p w:rsidR="00F3360B" w:rsidRPr="00752B0D" w:rsidRDefault="00F3360B" w:rsidP="00D934E9">
      <w:pPr>
        <w:pStyle w:val="Enumlevel2"/>
        <w:numPr>
          <w:ilvl w:val="0"/>
          <w:numId w:val="30"/>
        </w:numPr>
        <w:ind w:left="993" w:hanging="426"/>
        <w:rPr>
          <w:lang w:val="es-ES_tradnl"/>
        </w:rPr>
      </w:pPr>
      <w:r w:rsidRPr="00752B0D">
        <w:rPr>
          <w:lang w:val="es-ES_tradnl"/>
        </w:rPr>
        <w:t>Estudiar los análisis de mercado que incluyen la determinación del mercado pertinente para el servicio, así como las normas que regulan la determinación de los operadores dotados de poderes significativos de mercado para garantizar un entorno competitivo libre y justo entre las empresas.</w:t>
      </w:r>
    </w:p>
    <w:p w:rsidR="00F3360B" w:rsidRPr="005B1ACE" w:rsidRDefault="00F3360B" w:rsidP="005B1ACE">
      <w:pPr>
        <w:pStyle w:val="Enumlevel1"/>
        <w:numPr>
          <w:ilvl w:val="0"/>
          <w:numId w:val="29"/>
        </w:numPr>
        <w:ind w:left="567" w:hanging="567"/>
        <w:rPr>
          <w:lang w:val="es-ES_tradnl"/>
        </w:rPr>
      </w:pPr>
      <w:r w:rsidRPr="005B1ACE">
        <w:rPr>
          <w:lang w:val="es-ES_tradnl"/>
        </w:rPr>
        <w:t>En cuanto a las regulaciones ex post, la Autoridad Nacional de Reglamentación de las Telecomunicaciones y la Autoridad Egipcia de la Competencia tienen derecho a abordar las prácticas sospechosas de monopolio o anticompetitivas de acuerdo con los siguientes procedimientos de coordinación:</w:t>
      </w:r>
    </w:p>
    <w:p w:rsidR="00F3360B" w:rsidRPr="00752B0D" w:rsidRDefault="00F3360B" w:rsidP="005B1ACE">
      <w:pPr>
        <w:pStyle w:val="Enumlevel2"/>
        <w:numPr>
          <w:ilvl w:val="0"/>
          <w:numId w:val="30"/>
        </w:numPr>
        <w:ind w:left="993" w:hanging="426"/>
        <w:rPr>
          <w:lang w:val="es-ES_tradnl"/>
        </w:rPr>
      </w:pPr>
      <w:r w:rsidRPr="00752B0D">
        <w:rPr>
          <w:lang w:val="es-ES_tradnl"/>
        </w:rPr>
        <w:t>La Autoridad Nacional de Reglamentación de las Telecomunicaciones es responsable de:</w:t>
      </w:r>
    </w:p>
    <w:p w:rsidR="00F3360B" w:rsidRPr="00752B0D" w:rsidRDefault="00F3360B" w:rsidP="005B1ACE">
      <w:pPr>
        <w:pStyle w:val="Enumlevel3"/>
        <w:numPr>
          <w:ilvl w:val="0"/>
          <w:numId w:val="31"/>
        </w:numPr>
        <w:ind w:left="1418" w:hanging="425"/>
        <w:rPr>
          <w:lang w:val="es-ES_tradnl"/>
        </w:rPr>
      </w:pPr>
      <w:r w:rsidRPr="00752B0D">
        <w:rPr>
          <w:lang w:val="es-ES_tradnl"/>
        </w:rPr>
        <w:lastRenderedPageBreak/>
        <w:t>notificar a la Autoridad Egipcia de la Competencia, lo antes posible, de las prácticas y hechos que sospeche que puedan ser equivalentes a monopolio, y pedirle que tome las medidas necesarias para investigar y reunir pruebas a este respecto;</w:t>
      </w:r>
    </w:p>
    <w:p w:rsidR="00F3360B" w:rsidRPr="00752B0D" w:rsidRDefault="00F3360B" w:rsidP="005B1ACE">
      <w:pPr>
        <w:pStyle w:val="Enumlevel3"/>
        <w:numPr>
          <w:ilvl w:val="0"/>
          <w:numId w:val="31"/>
        </w:numPr>
        <w:ind w:left="1418" w:hanging="425"/>
        <w:rPr>
          <w:lang w:val="es-ES_tradnl"/>
        </w:rPr>
      </w:pPr>
      <w:r w:rsidRPr="00752B0D">
        <w:rPr>
          <w:lang w:val="es-ES_tradnl"/>
        </w:rPr>
        <w:t>proporcionar a la Autoridad Egipcia de la Competencia lo antes posible su opinión acerca de las prácticas investigadas por dicha autoridad a partir de una denuncia.</w:t>
      </w:r>
    </w:p>
    <w:p w:rsidR="00F3360B" w:rsidRPr="00752B0D" w:rsidRDefault="00F3360B" w:rsidP="005B1ACE">
      <w:pPr>
        <w:pStyle w:val="Enumlevel2"/>
        <w:numPr>
          <w:ilvl w:val="0"/>
          <w:numId w:val="30"/>
        </w:numPr>
        <w:ind w:left="993" w:hanging="426"/>
        <w:rPr>
          <w:lang w:val="es-ES_tradnl"/>
        </w:rPr>
      </w:pPr>
      <w:r w:rsidRPr="00752B0D">
        <w:rPr>
          <w:lang w:val="es-ES_tradnl"/>
        </w:rPr>
        <w:t>El Autoridad Egipcia de la Competencia debe:</w:t>
      </w:r>
    </w:p>
    <w:p w:rsidR="00F3360B" w:rsidRPr="00752B0D" w:rsidRDefault="00F3360B" w:rsidP="005B1ACE">
      <w:pPr>
        <w:pStyle w:val="Enumlevel3"/>
        <w:numPr>
          <w:ilvl w:val="0"/>
          <w:numId w:val="31"/>
        </w:numPr>
        <w:ind w:left="1418" w:hanging="425"/>
        <w:rPr>
          <w:lang w:val="es-ES_tradnl"/>
        </w:rPr>
      </w:pPr>
      <w:r w:rsidRPr="00752B0D">
        <w:rPr>
          <w:lang w:val="es-ES_tradnl"/>
        </w:rPr>
        <w:t>notificar a la Autoridad Nacional de Reglamentación de las Telecomunicaciones, lo antes posible, que ha recibido una denuncia o petición o ha emprendido una iniciativa relacionada con el sector de las TIC;</w:t>
      </w:r>
    </w:p>
    <w:p w:rsidR="00F3360B" w:rsidRPr="00752B0D" w:rsidRDefault="00F3360B" w:rsidP="005B1ACE">
      <w:pPr>
        <w:pStyle w:val="Enumlevel3"/>
        <w:numPr>
          <w:ilvl w:val="0"/>
          <w:numId w:val="31"/>
        </w:numPr>
        <w:ind w:left="1418" w:hanging="425"/>
        <w:rPr>
          <w:lang w:val="es-ES_tradnl"/>
        </w:rPr>
      </w:pPr>
      <w:r w:rsidRPr="00752B0D">
        <w:rPr>
          <w:lang w:val="es-ES_tradnl"/>
        </w:rPr>
        <w:t>prestar apoyo técnico, bajo petición, a la Autoridad Nacional de Reglamentación de las Telecomunicaciones en asuntos relacionados con la mejora de la competencia y con las restricciones impuestas al acceso al mercado;</w:t>
      </w:r>
    </w:p>
    <w:p w:rsidR="00F3360B" w:rsidRPr="00752B0D" w:rsidRDefault="00F3360B" w:rsidP="005B1ACE">
      <w:pPr>
        <w:pStyle w:val="Enumlevel3"/>
        <w:numPr>
          <w:ilvl w:val="0"/>
          <w:numId w:val="31"/>
        </w:numPr>
        <w:ind w:left="1418" w:hanging="425"/>
        <w:rPr>
          <w:lang w:val="es-ES_tradnl"/>
        </w:rPr>
      </w:pPr>
      <w:r w:rsidRPr="00752B0D">
        <w:rPr>
          <w:lang w:val="es-ES_tradnl"/>
        </w:rPr>
        <w:t>prestar apoyo técnico, bajo petición, a la Autoridad Nacional de Reglamentación de las Telecomunicaciones en lo relativo a prácticas sospechosas de monopolio investigadas por dicha autoridad a partir de una denuncia.</w:t>
      </w:r>
    </w:p>
    <w:p w:rsidR="00F3360B" w:rsidRPr="00AA7E10" w:rsidRDefault="00F3360B" w:rsidP="00AE5493">
      <w:pPr>
        <w:rPr>
          <w:lang w:val="es-ES_tradnl"/>
        </w:rPr>
      </w:pPr>
      <w:r w:rsidRPr="00AA7E10">
        <w:rPr>
          <w:lang w:val="es-ES_tradnl"/>
        </w:rPr>
        <w:t xml:space="preserve">Para crear un marco propicio a la concesión de licencias en un entorno competitivo es fundamental que estén claramente definidas las funciones y responsabilidades de las autoridades nacionales de reglamentación de las telecomunicaciones y de las autoridades nacionales encargadas de la competencia, y que se identifiquen ámbitos de cooperación en la legislación o en otros instrumentos, como sucede en el caso de Namibia y Egipto. </w:t>
      </w:r>
      <w:r w:rsidRPr="00AA7E10">
        <w:rPr>
          <w:szCs w:val="19"/>
          <w:lang w:val="es-ES_tradnl"/>
        </w:rPr>
        <w:t>Debido a la naturaleza diversa de los servicios de comunicación, las autoridades nacionales de reglamentación de las telecomunicaciones tienen relación a nivel de trabajo, no sólo con las autoridades nacionales encargadas de la competencia, sino también con otras instituciones. Cuando esos servicios incluyen banca móvil, se debe consultar al banco central para obtener su aprobación. En materia de obras artísticas o asuntos relacionados con la propiedad intelectual, los reguladores de telecomunicaciones necesitan asociarse con los organismos competentes encargados de las cuestiones de derechos de autor. Hay también una serie de nuevos servicios, incluidos los juegos, que han generado nuevas funciones para las instituciones que no se ocupaban de temas de comunicación, tales como las juntas o los reguladores del juego. En el Simposio Mundial para Organismos Reguladores celebrado en 2011 (GSR11) se llevaron a cabo debates sobre el papel de los reguladores y otras instituciones encargadas de servicios emergentes como la banca móvil. Se observó que mientras que los reguladores de telecomunicaciones se han centrado en la fiabilidad y la seguridad de la infraestructura de comunicaciones que conecta las instituciones financieras y no financieras con sus clientes y entre sí, los reguladores financieros han asumido la responsabilidad de los servicios bancarios, y las autoridades encargadas de la competencia, de reforzar los asuntos relacionados con la misma. Con el aumento de los servicios de banca móvil, se has difuminado los límites entre los reguladores de telecomunicaciones y los reguladores financieros en temas de seguridad y accesibilidad al dinero electrónico, lo que ha acentuado la necesidad de racionalizar la concesión de licencias para servicios de banca móvil y de que los reguladores sigan una lista de verificación</w:t>
      </w:r>
      <w:r w:rsidRPr="00AA7E10">
        <w:rPr>
          <w:rStyle w:val="FootnoteReference"/>
          <w:rFonts w:eastAsia="Verdana" w:cs="Verdana"/>
          <w:szCs w:val="19"/>
          <w:lang w:val="es-ES_tradnl"/>
        </w:rPr>
        <w:footnoteReference w:id="31"/>
      </w:r>
      <w:r w:rsidRPr="00AA7E10">
        <w:rPr>
          <w:sz w:val="18"/>
          <w:lang w:val="es-ES_tradnl"/>
        </w:rPr>
        <w:t>.</w:t>
      </w:r>
    </w:p>
    <w:p w:rsidR="00F3360B" w:rsidRPr="00752B0D" w:rsidRDefault="00F3360B" w:rsidP="00AE5493">
      <w:pPr>
        <w:pStyle w:val="Heading2"/>
        <w:ind w:left="851" w:hanging="851"/>
        <w:rPr>
          <w:lang w:val="es-ES_tradnl"/>
        </w:rPr>
      </w:pPr>
      <w:bookmarkStart w:id="151" w:name="_Toc371604093"/>
      <w:bookmarkStart w:id="152" w:name="_Toc379198852"/>
      <w:r w:rsidRPr="00752B0D">
        <w:rPr>
          <w:lang w:val="es-ES_tradnl"/>
        </w:rPr>
        <w:t>5.2</w:t>
      </w:r>
      <w:bookmarkStart w:id="153" w:name="_Toc330195694"/>
      <w:bookmarkEnd w:id="153"/>
      <w:r w:rsidRPr="00752B0D">
        <w:rPr>
          <w:lang w:val="es-ES_tradnl"/>
        </w:rPr>
        <w:tab/>
        <w:t>Fusiones de empresas de telecomunicaciones y función de las autoridades reguladoras y encargadas de la competencia</w:t>
      </w:r>
      <w:bookmarkEnd w:id="151"/>
      <w:bookmarkEnd w:id="152"/>
    </w:p>
    <w:p w:rsidR="00F3360B" w:rsidRPr="00AA7E10" w:rsidRDefault="00F3360B" w:rsidP="00AE5493">
      <w:pPr>
        <w:rPr>
          <w:lang w:val="es-ES_tradnl"/>
        </w:rPr>
      </w:pPr>
      <w:bookmarkStart w:id="154" w:name="_ftnref28"/>
      <w:bookmarkEnd w:id="154"/>
      <w:r w:rsidRPr="00AA7E10">
        <w:rPr>
          <w:lang w:val="es-ES_tradnl"/>
        </w:rPr>
        <w:t xml:space="preserve">Una fusión es una consolidación estructural de dos empresas que da lugar a un régimen común de propiedad y gestión. Como ocurre con muchos tipos de actividades económicas, la fusión de empresas </w:t>
      </w:r>
      <w:r w:rsidRPr="00AA7E10">
        <w:rPr>
          <w:lang w:val="es-ES_tradnl"/>
        </w:rPr>
        <w:lastRenderedPageBreak/>
        <w:t>puede verse motivada por factores tales como ahorros en los costos gracias a las sinergias entre las empresas, economías de escala y alcance, eficiencias generadas por la integración vertical y diversificación geográfica o venta cruzada de productos</w:t>
      </w:r>
      <w:r w:rsidRPr="00AA7E10">
        <w:rPr>
          <w:rStyle w:val="FootnoteReference"/>
          <w:rFonts w:eastAsia="Verdana" w:cs="Verdana"/>
          <w:lang w:val="es-ES_tradnl"/>
        </w:rPr>
        <w:footnoteReference w:id="32"/>
      </w:r>
      <w:r w:rsidRPr="00AA7E10">
        <w:rPr>
          <w:lang w:val="es-ES_tradnl"/>
        </w:rPr>
        <w:t>.</w:t>
      </w:r>
    </w:p>
    <w:p w:rsidR="00F3360B" w:rsidRPr="00AA7E10" w:rsidRDefault="00F3360B" w:rsidP="00AE5493">
      <w:pPr>
        <w:rPr>
          <w:lang w:val="es-ES_tradnl"/>
        </w:rPr>
      </w:pPr>
      <w:r w:rsidRPr="00AA7E10">
        <w:rPr>
          <w:lang w:val="es-ES_tradnl"/>
        </w:rPr>
        <w:t>Examinaremos en primer lugar la pertinencia de las políticas sobre fusiones. Hay cuatro razones principales que justifican la existencia de esas políticas. En primer lugar, una vez que el mercado está dominado por una o unas pocas empresas fuertes, las autoridades de la competencia pueden no tener los recursos ni la información necesarios para perseguir las acciones contrarias a la competencia, de manera que la prevención de la fusión es una forma más rentable de mantener la competencia. En segundo lugar, la política de fusión puede redundar en beneficio de las empresas que se fusionan; podría ser problemático si se permite a dos empresas que se fusionen y adquieran una posición dominante, para ser luego objeto de una regulación agresiva por parte de las autoridades encargadas de la competencia, o incluso de una revocación de la fusión algunos años después de que las dos empresas se hayan integrado. En tercer lugar, incluso contando con todos los recursos posibles, las autoridades encargadas de la competencia pueden no ser capaces de remediar los efectos contrarios a la competencia de un cambio en la estructura del mercado. En cuarto lugar, los efectos anticompetitivos de una fusión se extienden más allá de las partes: cuando una fusión da lugar a una empresa dominante y aumentan los precios, ello crea un precio de referencia, y otros competidores los suben al mismo nivel. Se puede decir en general que la política de fusiones tiene el poder de prevenir la creación de estructuras de mercado que den lugar a efectos contrarios a la competencia que escapan al alcance de una ley de competencia.</w:t>
      </w:r>
    </w:p>
    <w:p w:rsidR="00F3360B" w:rsidRPr="00AA7E10" w:rsidRDefault="00F3360B" w:rsidP="00AE5493">
      <w:pPr>
        <w:rPr>
          <w:lang w:val="es-ES_tradnl"/>
        </w:rPr>
      </w:pPr>
      <w:r w:rsidRPr="00AA7E10">
        <w:rPr>
          <w:lang w:val="es-ES_tradnl"/>
        </w:rPr>
        <w:t>En Europa, el principal instrumento por el que las autoridades encargadas de la competencia controlan la estructura de un sector industrial es la reglamentación de las fusiones y adquisiciones. Se ha argumentado abundantemente que, dado que las empresas dominantes pueden estar sujetas a reglamentación a tenor del Artículo 82 del Tratado de la Comunidad Europea, no se necesita ninguna política sobre fusiones. Esto significaría que se podría autorizar fusiones que crean una empresa dominante, cuyo comportamiento podría regularse ex post. Además, existen pruebas de que la mayoría de las fusiones no conducen a una reducción de la competencia, de modo que la política sobre fusiones es una medida desproporcionada</w:t>
      </w:r>
      <w:r w:rsidRPr="00AA7E10">
        <w:rPr>
          <w:rStyle w:val="FootnoteReference"/>
          <w:rFonts w:eastAsia="Verdana" w:cs="Verdana"/>
          <w:lang w:val="es-ES_tradnl"/>
        </w:rPr>
        <w:footnoteReference w:id="33"/>
      </w:r>
      <w:r w:rsidRPr="00AA7E10">
        <w:rPr>
          <w:lang w:val="es-ES_tradnl"/>
        </w:rPr>
        <w:t>.</w:t>
      </w:r>
      <w:bookmarkStart w:id="155" w:name="_ftnref29"/>
      <w:bookmarkEnd w:id="155"/>
    </w:p>
    <w:p w:rsidR="00F3360B" w:rsidRPr="00AA7E10" w:rsidRDefault="00F3360B" w:rsidP="006E15C7">
      <w:pPr>
        <w:rPr>
          <w:rFonts w:eastAsia="Verdana" w:cs="Verdana"/>
          <w:bCs/>
          <w:lang w:val="es-ES_tradnl"/>
        </w:rPr>
      </w:pPr>
      <w:r w:rsidRPr="00AA7E10">
        <w:rPr>
          <w:rFonts w:eastAsia="Verdana" w:cs="Verdana"/>
          <w:lang w:val="es-ES_tradnl"/>
        </w:rPr>
        <w:t>En ciertos casos el análisis de los efectos de una fusión por parte de la Comisión Europea se basa en consideraciones como si la entidad resultante de la fusión hará subir los costos de los rivales y de ese modo erigirá nuevas barreras de entrada. Por ejemplo, en el caso de Vodafone Airtouch/Mannesmann, la entidad resultante de la fusión, mediante su control de las principales redes de telefonía móvil en varios Estados Miembros de la Unión Europea, podrá desarrollar servicios paneuropeos avanzados de telecomunicaciones móviles sin solución de continuidad, mientras que sus competidores, para poder ofrecer un servicio similar, tendrían que cooperar con la entidad fusionada y obtener acceso a una parte de su red telefónica. De conformidad con la Comisión, el efecto de la fusión sería un aumento de los incentivos y la capacidad de la nueva entidad para suprimir la competencia real y/o potencial. Ello obedece al hecho de que la entidad fusionada puede negarse a proporcionar acceso a su red o autorizar el acceso de otros únicamente en condiciones que harían que los servicios de sus rivales resulten poco atrayentes.</w:t>
      </w:r>
    </w:p>
    <w:p w:rsidR="00F3360B" w:rsidRPr="00AA7E10" w:rsidRDefault="00F3360B" w:rsidP="006E15C7">
      <w:pPr>
        <w:rPr>
          <w:rFonts w:eastAsia="Verdana" w:cs="Verdana"/>
          <w:bCs/>
          <w:lang w:val="es-ES_tradnl"/>
        </w:rPr>
      </w:pPr>
      <w:r w:rsidRPr="00AA7E10">
        <w:rPr>
          <w:rFonts w:eastAsia="Verdana" w:cs="Verdana"/>
          <w:lang w:val="es-ES_tradnl"/>
        </w:rPr>
        <w:t xml:space="preserve">En </w:t>
      </w:r>
      <w:r w:rsidRPr="00BC51AD">
        <w:rPr>
          <w:rFonts w:eastAsia="Verdana" w:cs="Verdana"/>
          <w:b/>
          <w:bCs/>
          <w:lang w:val="es-ES_tradnl"/>
        </w:rPr>
        <w:t>Estados Unidos</w:t>
      </w:r>
      <w:r w:rsidRPr="00AA7E10">
        <w:rPr>
          <w:rFonts w:eastAsia="Verdana" w:cs="Verdana"/>
          <w:lang w:val="es-ES_tradnl"/>
        </w:rPr>
        <w:t xml:space="preserve">, las propuestas de fusión son analizadas por una de dos agencias federales, el Departamento de Justicia de Estados Unidos o la Comisión Federal de Comercio (FTC) de ese país. Cuál de estas dos agencias se encargará de la propuesta de fusión dependerá del resultado de un proceso conocido como "validación", en virtud del cual el Departamento de Justicia y la Comisión Federal de Comercio acuerdan que, para evitar la duplicación innecesaria, ninguna de ellas procederá al examen </w:t>
      </w:r>
      <w:r w:rsidRPr="00AA7E10">
        <w:rPr>
          <w:rFonts w:eastAsia="Verdana" w:cs="Verdana"/>
          <w:lang w:val="es-ES_tradnl"/>
        </w:rPr>
        <w:lastRenderedPageBreak/>
        <w:t>hasta que la otra dé su acuerdo. Las empresas con licencias FCC han de obtener la aprobación de dos agencias federales para proceder a la fusión: el Departamento de Justicia y la FCC.</w:t>
      </w:r>
    </w:p>
    <w:p w:rsidR="00F3360B" w:rsidRPr="00AA7E10" w:rsidRDefault="00F3360B" w:rsidP="006E15C7">
      <w:pPr>
        <w:rPr>
          <w:rFonts w:eastAsia="Verdana" w:cs="Verdana"/>
          <w:bCs/>
          <w:lang w:val="es-ES_tradnl"/>
        </w:rPr>
      </w:pPr>
      <w:r w:rsidRPr="00AA7E10">
        <w:rPr>
          <w:rFonts w:eastAsia="Verdana" w:cs="Verdana"/>
          <w:lang w:val="es-ES_tradnl"/>
        </w:rPr>
        <w:t>En los Artículos 7 y 11 de la Ley Clayton se da a la FCC autoridad para examinar las propuestas de fusión de operadores comunes. Estas disposiciones antimonopolio habilitan a la FCC a rechazar el permiso de fusión a los operadores comunes de comunicaciones alámbricas o inalámbricas o a la transmisión inalámbrica de energía siempre que, en cualquier sector comercial o actividad que afecte el comercio de cualquier parte del país, el efecto de tal adquisición sea una reducción sustancial de la competencia o tienda a crear un monopolio.</w:t>
      </w:r>
    </w:p>
    <w:p w:rsidR="00BC51AD" w:rsidRDefault="00F3360B" w:rsidP="006E15C7">
      <w:pPr>
        <w:rPr>
          <w:rFonts w:eastAsia="Verdana" w:cs="Verdana"/>
          <w:lang w:val="es-ES_tradnl"/>
        </w:rPr>
      </w:pPr>
      <w:r w:rsidRPr="00AA7E10">
        <w:rPr>
          <w:rFonts w:eastAsia="Verdana" w:cs="Verdana"/>
          <w:lang w:val="es-ES_tradnl"/>
        </w:rPr>
        <w:t xml:space="preserve">A pesar de la autoridad explícita sobre las fusiones que le conceden las disposiciones antimonopolio de la Ley Clayton, la FCC suele proceder de acuerdo con lo dispuesto en la Ley de Comunicaciones de 1934, enmendada ("la Ley" o "Ley de Comunicaciones"). En virtud de los Artículos 214 y 310 de la Ley, los operadores que deseen transferir directa o indirectamente el control sobre determinadas autorizaciones y licencias han de obtener primero la aprobación de la FCC. La FCC concederá esa aprobación sólo si considera que esa transferencia es en interés público. </w:t>
      </w:r>
    </w:p>
    <w:p w:rsidR="00F3360B" w:rsidRPr="00AA7E10" w:rsidRDefault="00F3360B" w:rsidP="006E15C7">
      <w:pPr>
        <w:rPr>
          <w:rFonts w:eastAsia="Verdana" w:cs="Verdana"/>
          <w:bCs/>
          <w:lang w:val="es-ES_tradnl"/>
        </w:rPr>
      </w:pPr>
      <w:r w:rsidRPr="00AA7E10">
        <w:rPr>
          <w:rFonts w:eastAsia="Verdana" w:cs="Verdana"/>
          <w:lang w:val="es-ES_tradnl"/>
        </w:rPr>
        <w:t>Así, la FCC examina las fusiones en virtud de su poder para aprobar o denegar la transferencia de las licencias que expide de conformidad con la Ley de Comunicaciones</w:t>
      </w:r>
      <w:r w:rsidRPr="00AA7E10">
        <w:rPr>
          <w:rStyle w:val="FootnoteReference"/>
          <w:rFonts w:eastAsia="Verdana" w:cs="Verdana"/>
          <w:lang w:val="es-ES_tradnl"/>
        </w:rPr>
        <w:footnoteReference w:id="34"/>
      </w:r>
      <w:r w:rsidRPr="00AA7E10">
        <w:rPr>
          <w:rFonts w:eastAsia="Verdana" w:cs="Verdana"/>
          <w:lang w:val="es-ES_tradnl"/>
        </w:rPr>
        <w:t>.</w:t>
      </w:r>
    </w:p>
    <w:p w:rsidR="00F3360B" w:rsidRPr="00AA7E10" w:rsidRDefault="00F3360B" w:rsidP="006E15C7">
      <w:pPr>
        <w:rPr>
          <w:lang w:val="es-ES_tradnl"/>
        </w:rPr>
      </w:pPr>
      <w:r w:rsidRPr="00AA7E10">
        <w:rPr>
          <w:rFonts w:eastAsia="Verdana" w:cs="Verdana"/>
          <w:lang w:val="es-ES_tradnl"/>
        </w:rPr>
        <w:t>En algunos países se permiten las fusiones de empresas en forma de empresas mixtas con sujeción a ciertos requisitos, entre ellos notificaciones, investigación y decisión sobre si se debe permitir o prohibir la fusión por el motivo esencial de que ha de reducir la competencia</w:t>
      </w:r>
      <w:r w:rsidRPr="00AA7E10">
        <w:rPr>
          <w:rStyle w:val="FootnoteReference"/>
          <w:rFonts w:eastAsia="Verdana" w:cs="Verdana"/>
          <w:lang w:val="es-ES_tradnl"/>
        </w:rPr>
        <w:footnoteReference w:id="35"/>
      </w:r>
      <w:r w:rsidRPr="00AA7E10">
        <w:rPr>
          <w:rFonts w:eastAsia="Verdana" w:cs="Verdana"/>
          <w:lang w:val="es-ES_tradnl"/>
        </w:rPr>
        <w:t>.</w:t>
      </w:r>
      <w:bookmarkStart w:id="156" w:name="_ftnref30"/>
      <w:bookmarkEnd w:id="156"/>
    </w:p>
    <w:p w:rsidR="00F3360B" w:rsidRPr="00AA7E10" w:rsidRDefault="00F3360B" w:rsidP="006E15C7">
      <w:pPr>
        <w:rPr>
          <w:lang w:val="es-ES_tradnl"/>
        </w:rPr>
      </w:pPr>
      <w:r w:rsidRPr="00AA7E10">
        <w:rPr>
          <w:rFonts w:eastAsia="Verdana" w:cs="Verdana"/>
          <w:lang w:val="es-ES_tradnl"/>
        </w:rPr>
        <w:t>Cabe señalar que a nivel mundial existen diferentes organismos encargados de supervisar y tomar medidas sobre fusiones. En algunos países se encarga de ello el Consejo de la Competencia, en otros la Oficina para la Protección de la Competencia, la Comisión de Comercio Justo o el Ministerio de Comercio.</w:t>
      </w:r>
    </w:p>
    <w:p w:rsidR="00F3360B" w:rsidRPr="00AA7E10" w:rsidRDefault="00F3360B" w:rsidP="006E15C7">
      <w:pPr>
        <w:rPr>
          <w:lang w:val="es-ES_tradnl"/>
        </w:rPr>
      </w:pPr>
      <w:r w:rsidRPr="00AA7E10">
        <w:rPr>
          <w:rFonts w:eastAsia="Verdana" w:cs="Verdana"/>
          <w:lang w:val="es-ES_tradnl"/>
        </w:rPr>
        <w:t>Además, existen diferentes solicitudes para cuestiones como los plazos de notificación fijado a las empresas que tienen la intención de fusionarse –de 7, 15 ó 30 días– y la notificación los umbrales a partir de los cuales en la mayoría de casos se requerirá que el volumen de negocio de las partes supere una cierta cantidad. Teniendo en cuenta el debate anterior, las partes que pretendan fusionarse deben cumplir una serie de requisitos.</w:t>
      </w:r>
    </w:p>
    <w:p w:rsidR="00F3360B" w:rsidRPr="00752B0D" w:rsidRDefault="00F3360B" w:rsidP="00130A19">
      <w:pPr>
        <w:pStyle w:val="Heading1"/>
        <w:rPr>
          <w:lang w:val="es-ES_tradnl"/>
        </w:rPr>
      </w:pPr>
      <w:bookmarkStart w:id="157" w:name="_Toc371604094"/>
      <w:bookmarkStart w:id="158" w:name="_Toc379198853"/>
      <w:r w:rsidRPr="00752B0D">
        <w:rPr>
          <w:lang w:val="es-ES_tradnl"/>
        </w:rPr>
        <w:t>6</w:t>
      </w:r>
      <w:r w:rsidRPr="00752B0D">
        <w:rPr>
          <w:lang w:val="es-ES_tradnl"/>
        </w:rPr>
        <w:tab/>
        <w:t>Directrices y Observaciones finales</w:t>
      </w:r>
      <w:bookmarkEnd w:id="157"/>
      <w:bookmarkEnd w:id="158"/>
    </w:p>
    <w:p w:rsidR="00F3360B" w:rsidRPr="00AA7E10" w:rsidRDefault="00F3360B" w:rsidP="00130A19">
      <w:pPr>
        <w:rPr>
          <w:lang w:val="es-ES_tradnl"/>
        </w:rPr>
      </w:pPr>
      <w:r w:rsidRPr="00AA7E10">
        <w:rPr>
          <w:lang w:val="es-ES_tradnl"/>
        </w:rPr>
        <w:t>Este estudio ha revelado que la convergencia desempeña un papel muy significativo a la hora de estimular la competencia en el sector de las comunicaciones. Con los cambios en el sector, es necesario que los Estados Miembros consideren las siguientes directrices:</w:t>
      </w:r>
    </w:p>
    <w:p w:rsidR="00F3360B" w:rsidRPr="00752B0D" w:rsidRDefault="00F3360B" w:rsidP="00130A19">
      <w:pPr>
        <w:pStyle w:val="Heading2"/>
        <w:ind w:left="851" w:hanging="851"/>
        <w:rPr>
          <w:lang w:val="es-ES_tradnl"/>
        </w:rPr>
      </w:pPr>
      <w:bookmarkStart w:id="159" w:name="_Toc371604095"/>
      <w:bookmarkStart w:id="160" w:name="_Toc379198854"/>
      <w:r w:rsidRPr="00752B0D">
        <w:rPr>
          <w:lang w:val="es-ES_tradnl"/>
        </w:rPr>
        <w:t>6.A</w:t>
      </w:r>
      <w:r w:rsidRPr="00752B0D">
        <w:rPr>
          <w:lang w:val="es-ES_tradnl"/>
        </w:rPr>
        <w:tab/>
        <w:t>Directrices sobre medidas reglamentarias acerca de la competencia en un entorno de telecomunicaciones/TIC convergente</w:t>
      </w:r>
      <w:bookmarkEnd w:id="159"/>
      <w:bookmarkEnd w:id="160"/>
    </w:p>
    <w:p w:rsidR="00F3360B" w:rsidRPr="00130A19" w:rsidRDefault="00F3360B" w:rsidP="00FF1E94">
      <w:pPr>
        <w:pStyle w:val="Enumlevel1"/>
        <w:numPr>
          <w:ilvl w:val="1"/>
          <w:numId w:val="26"/>
        </w:numPr>
        <w:ind w:left="567" w:hanging="567"/>
        <w:rPr>
          <w:rFonts w:asciiTheme="minorHAnsi" w:hAnsiTheme="minorHAnsi"/>
          <w:lang w:val="es-ES_tradnl"/>
        </w:rPr>
      </w:pPr>
      <w:r w:rsidRPr="00130A19">
        <w:rPr>
          <w:rFonts w:asciiTheme="minorHAnsi" w:hAnsiTheme="minorHAnsi"/>
          <w:lang w:val="es-ES_tradnl"/>
        </w:rPr>
        <w:t>Las ANR</w:t>
      </w:r>
      <w:r w:rsidRPr="00130A19">
        <w:rPr>
          <w:rStyle w:val="FootnoteReference"/>
          <w:rFonts w:asciiTheme="minorHAnsi" w:hAnsiTheme="minorHAnsi"/>
          <w:sz w:val="16"/>
          <w:szCs w:val="16"/>
          <w:lang w:val="es-ES_tradnl" w:eastAsia="x-none"/>
        </w:rPr>
        <w:footnoteReference w:id="36"/>
      </w:r>
      <w:r w:rsidRPr="00130A19">
        <w:rPr>
          <w:rFonts w:asciiTheme="minorHAnsi" w:hAnsiTheme="minorHAnsi"/>
          <w:lang w:val="es-ES_tradnl"/>
        </w:rPr>
        <w:t xml:space="preserve"> deberán evaluar, definir y determinar los mercados pertinentes en el sector de las comunicaciones.</w:t>
      </w:r>
    </w:p>
    <w:p w:rsidR="00F3360B" w:rsidRPr="00FF1E94" w:rsidRDefault="00F3360B" w:rsidP="00FF1E94">
      <w:pPr>
        <w:pStyle w:val="Enumlevel1"/>
        <w:numPr>
          <w:ilvl w:val="1"/>
          <w:numId w:val="26"/>
        </w:numPr>
        <w:ind w:left="567" w:hanging="567"/>
        <w:rPr>
          <w:rFonts w:asciiTheme="minorHAnsi" w:hAnsiTheme="minorHAnsi"/>
          <w:lang w:val="es-ES_tradnl"/>
        </w:rPr>
      </w:pPr>
      <w:r w:rsidRPr="00FF1E94">
        <w:rPr>
          <w:rFonts w:asciiTheme="minorHAnsi" w:hAnsiTheme="minorHAnsi"/>
          <w:lang w:val="es-ES_tradnl"/>
        </w:rPr>
        <w:lastRenderedPageBreak/>
        <w:t>Al determinar los mercados de comunicaciones pertinentes las ANR deberán tener en cuenta lo siguiente:</w:t>
      </w:r>
    </w:p>
    <w:p w:rsidR="00F3360B" w:rsidRPr="00FF1E94" w:rsidRDefault="00F3360B" w:rsidP="00FF1E94">
      <w:pPr>
        <w:pStyle w:val="Enumlevel2"/>
        <w:numPr>
          <w:ilvl w:val="2"/>
          <w:numId w:val="34"/>
        </w:numPr>
        <w:ind w:left="1134" w:hanging="567"/>
        <w:rPr>
          <w:lang w:val="es-ES_tradnl"/>
        </w:rPr>
      </w:pPr>
      <w:r w:rsidRPr="00FF1E94">
        <w:rPr>
          <w:lang w:val="es-ES_tradnl"/>
        </w:rPr>
        <w:t>productos y servicios que constituyen un mercado específico, así como el ámbito geográfico de ese mercado;</w:t>
      </w:r>
    </w:p>
    <w:p w:rsidR="00F3360B" w:rsidRPr="00FF1E94" w:rsidRDefault="00F3360B" w:rsidP="00FF1E94">
      <w:pPr>
        <w:pStyle w:val="Enumlevel2"/>
        <w:numPr>
          <w:ilvl w:val="2"/>
          <w:numId w:val="34"/>
        </w:numPr>
        <w:ind w:left="1134" w:hanging="567"/>
        <w:rPr>
          <w:lang w:val="es-ES_tradnl"/>
        </w:rPr>
      </w:pPr>
      <w:r w:rsidRPr="00FF1E94">
        <w:rPr>
          <w:lang w:val="es-ES_tradnl"/>
        </w:rPr>
        <w:t>posibilidad de sustitución en el lado de la demanda a fin de determinar en qué medida los consumidores están preparados o pueden sustituir por otros productos o servicios los productos o servicios proporcionados por el titular de la licencia en cuestión;</w:t>
      </w:r>
    </w:p>
    <w:p w:rsidR="00F3360B" w:rsidRPr="00FF1E94" w:rsidRDefault="00F3360B" w:rsidP="00FF1E94">
      <w:pPr>
        <w:pStyle w:val="Enumlevel2"/>
        <w:numPr>
          <w:ilvl w:val="2"/>
          <w:numId w:val="34"/>
        </w:numPr>
        <w:ind w:left="1134" w:hanging="567"/>
        <w:rPr>
          <w:lang w:val="es-ES_tradnl"/>
        </w:rPr>
      </w:pPr>
      <w:r w:rsidRPr="00FF1E94">
        <w:rPr>
          <w:lang w:val="es-ES_tradnl"/>
        </w:rPr>
        <w:t>posibilidad de sustitución en el lado de la oferta, para determinar en qué medida los suministradores distintos del titular de la licencia en cuestión pueden ofrecer productos o servicios que representen para los consumidores una solución de recambio competitiva.</w:t>
      </w:r>
    </w:p>
    <w:p w:rsidR="00F3360B" w:rsidRPr="00FF1E94" w:rsidRDefault="00F3360B" w:rsidP="00FF1E94">
      <w:pPr>
        <w:pStyle w:val="Enumlevel1"/>
        <w:numPr>
          <w:ilvl w:val="1"/>
          <w:numId w:val="26"/>
        </w:numPr>
        <w:ind w:left="567" w:hanging="567"/>
        <w:rPr>
          <w:rFonts w:asciiTheme="minorHAnsi" w:hAnsiTheme="minorHAnsi"/>
          <w:lang w:val="es-ES_tradnl"/>
        </w:rPr>
      </w:pPr>
      <w:r w:rsidRPr="00FF1E94">
        <w:rPr>
          <w:rFonts w:asciiTheme="minorHAnsi" w:hAnsiTheme="minorHAnsi"/>
          <w:lang w:val="es-ES_tradnl"/>
        </w:rPr>
        <w:t>Las ANR deberán desarrollar un método que se empleará para determinar y designar a los titulares de licencia con posición dominante en el mercado de las comunicaciones.</w:t>
      </w:r>
    </w:p>
    <w:p w:rsidR="00F3360B" w:rsidRPr="00FF1E94" w:rsidRDefault="00F3360B" w:rsidP="00FF1E94">
      <w:pPr>
        <w:pStyle w:val="Enumlevel1"/>
        <w:numPr>
          <w:ilvl w:val="1"/>
          <w:numId w:val="26"/>
        </w:numPr>
        <w:ind w:left="567" w:hanging="567"/>
        <w:rPr>
          <w:rFonts w:asciiTheme="minorHAnsi" w:hAnsiTheme="minorHAnsi"/>
          <w:lang w:val="es-ES_tradnl"/>
        </w:rPr>
      </w:pPr>
      <w:r w:rsidRPr="00FF1E94">
        <w:rPr>
          <w:rFonts w:asciiTheme="minorHAnsi" w:hAnsiTheme="minorHAnsi"/>
          <w:lang w:val="es-ES_tradnl"/>
        </w:rPr>
        <w:t>Para determinar si un titular de licencia se encuentra en una posición dominante, las ANR pueden considerar los siguientes factores:</w:t>
      </w:r>
    </w:p>
    <w:p w:rsidR="00F3360B" w:rsidRPr="00967698" w:rsidRDefault="00F3360B" w:rsidP="00967698">
      <w:pPr>
        <w:pStyle w:val="Enumlevel2"/>
        <w:numPr>
          <w:ilvl w:val="2"/>
          <w:numId w:val="36"/>
        </w:numPr>
        <w:ind w:left="1134" w:hanging="567"/>
        <w:rPr>
          <w:lang w:val="es-ES_tradnl"/>
        </w:rPr>
      </w:pPr>
      <w:r w:rsidRPr="00967698">
        <w:rPr>
          <w:lang w:val="es-ES_tradnl"/>
        </w:rPr>
        <w:t>la cuota de mercado de un titular de licencia, determinada a través de sus ingresos, el número de abonados, el tráfico o el volumen de ventas;</w:t>
      </w:r>
    </w:p>
    <w:p w:rsidR="00F3360B" w:rsidRPr="00967698" w:rsidRDefault="00F3360B" w:rsidP="00967698">
      <w:pPr>
        <w:pStyle w:val="Enumlevel2"/>
        <w:numPr>
          <w:ilvl w:val="2"/>
          <w:numId w:val="36"/>
        </w:numPr>
        <w:ind w:left="1134" w:hanging="567"/>
        <w:rPr>
          <w:lang w:val="es-ES_tradnl"/>
        </w:rPr>
      </w:pPr>
      <w:r w:rsidRPr="00967698">
        <w:rPr>
          <w:lang w:val="es-ES_tradnl"/>
        </w:rPr>
        <w:t>el tamaño global de la sociedad titular de la licencia en comparación con las sociedades titulares de licencia competidoras;</w:t>
      </w:r>
    </w:p>
    <w:p w:rsidR="00F3360B" w:rsidRPr="00967698" w:rsidRDefault="00F3360B" w:rsidP="00967698">
      <w:pPr>
        <w:pStyle w:val="Enumlevel2"/>
        <w:numPr>
          <w:ilvl w:val="2"/>
          <w:numId w:val="36"/>
        </w:numPr>
        <w:ind w:left="1134" w:hanging="567"/>
        <w:rPr>
          <w:lang w:val="es-ES_tradnl"/>
        </w:rPr>
      </w:pPr>
      <w:r w:rsidRPr="00967698">
        <w:rPr>
          <w:lang w:val="es-ES_tradnl"/>
        </w:rPr>
        <w:t>el control de las instalaciones o de otras infraestructuras de red cuyo acceso solicitan los titulares de licencias en competencia y que, por motivos comerciales o razones técnicas, no pueden ser reproducidas por dichos titulares de licencias;</w:t>
      </w:r>
    </w:p>
    <w:p w:rsidR="00F3360B" w:rsidRPr="00967698" w:rsidRDefault="00F3360B" w:rsidP="00967698">
      <w:pPr>
        <w:pStyle w:val="Enumlevel2"/>
        <w:numPr>
          <w:ilvl w:val="2"/>
          <w:numId w:val="36"/>
        </w:numPr>
        <w:ind w:left="1134" w:hanging="567"/>
        <w:rPr>
          <w:lang w:val="es-ES_tradnl"/>
        </w:rPr>
      </w:pPr>
      <w:r w:rsidRPr="00967698">
        <w:rPr>
          <w:lang w:val="es-ES_tradnl"/>
        </w:rPr>
        <w:t>la ausencia de poder de compra o de posibilidad de negociación por parte de los clientes o los consumidores, incluidos los costes de conmutación y cualquier otro obstáculo que dificulte el cambio de suministrador del servicio;</w:t>
      </w:r>
    </w:p>
    <w:p w:rsidR="00F3360B" w:rsidRPr="00967698" w:rsidRDefault="00F3360B" w:rsidP="00967698">
      <w:pPr>
        <w:pStyle w:val="Enumlevel2"/>
        <w:numPr>
          <w:ilvl w:val="2"/>
          <w:numId w:val="36"/>
        </w:numPr>
        <w:ind w:left="1134" w:hanging="567"/>
        <w:rPr>
          <w:lang w:val="es-ES_tradnl"/>
        </w:rPr>
      </w:pPr>
      <w:r w:rsidRPr="00967698">
        <w:rPr>
          <w:lang w:val="es-ES_tradnl"/>
        </w:rPr>
        <w:t xml:space="preserve">la facilidad de entrada en el mercado y la medida en que esta entrada, efectiva o potencial, protege contra el ejercicio del poder sobre el mercado, por ejemplo contra un aumento de los precios; </w:t>
      </w:r>
    </w:p>
    <w:p w:rsidR="00F3360B" w:rsidRPr="00967698" w:rsidRDefault="00F3360B" w:rsidP="00967698">
      <w:pPr>
        <w:pStyle w:val="Enumlevel2"/>
        <w:numPr>
          <w:ilvl w:val="2"/>
          <w:numId w:val="36"/>
        </w:numPr>
        <w:ind w:left="1134" w:hanging="567"/>
        <w:rPr>
          <w:lang w:val="es-ES_tradnl"/>
        </w:rPr>
      </w:pPr>
      <w:r w:rsidRPr="00967698">
        <w:rPr>
          <w:lang w:val="es-ES_tradnl"/>
        </w:rPr>
        <w:t>la rapidez de los cambios tecnológicos o de otro tipo en el mercado y su incidencia en la entrada en el mercado o el mantenimiento de la posición dominante.</w:t>
      </w:r>
    </w:p>
    <w:p w:rsidR="00F3360B" w:rsidRPr="00894434" w:rsidRDefault="00F3360B" w:rsidP="00894434">
      <w:pPr>
        <w:pStyle w:val="Enumlevel1"/>
        <w:numPr>
          <w:ilvl w:val="1"/>
          <w:numId w:val="26"/>
        </w:numPr>
        <w:ind w:left="567" w:hanging="567"/>
        <w:rPr>
          <w:rFonts w:asciiTheme="minorHAnsi" w:eastAsia="Verdana" w:hAnsiTheme="minorHAnsi"/>
          <w:lang w:val="es-ES_tradnl"/>
        </w:rPr>
      </w:pPr>
      <w:r w:rsidRPr="00894434">
        <w:rPr>
          <w:rFonts w:asciiTheme="minorHAnsi" w:eastAsia="Verdana" w:hAnsiTheme="minorHAnsi"/>
          <w:lang w:val="es-ES_tradnl"/>
        </w:rPr>
        <w:t>Las ANR deberán imponer obligaciones a los titulares de licencias en posición de fuerza sobre el mercado que les obliguen a:</w:t>
      </w:r>
    </w:p>
    <w:p w:rsidR="00F3360B" w:rsidRPr="00752B0D" w:rsidRDefault="00F3360B" w:rsidP="007C3386">
      <w:pPr>
        <w:pStyle w:val="Enumlevel2"/>
        <w:numPr>
          <w:ilvl w:val="0"/>
          <w:numId w:val="37"/>
        </w:numPr>
        <w:ind w:left="993" w:hanging="426"/>
        <w:rPr>
          <w:lang w:val="es-ES_tradnl"/>
        </w:rPr>
      </w:pPr>
      <w:r w:rsidRPr="00752B0D">
        <w:rPr>
          <w:lang w:val="es-ES_tradnl"/>
        </w:rPr>
        <w:t>proporcionar servicios en condiciones no discriminatorias;</w:t>
      </w:r>
    </w:p>
    <w:p w:rsidR="00F3360B" w:rsidRPr="00752B0D" w:rsidRDefault="00F3360B" w:rsidP="007C3386">
      <w:pPr>
        <w:pStyle w:val="Enumlevel2"/>
        <w:numPr>
          <w:ilvl w:val="0"/>
          <w:numId w:val="37"/>
        </w:numPr>
        <w:ind w:left="993" w:hanging="426"/>
        <w:rPr>
          <w:lang w:val="es-ES_tradnl"/>
        </w:rPr>
      </w:pPr>
      <w:r w:rsidRPr="00752B0D">
        <w:rPr>
          <w:lang w:val="es-ES_tradnl"/>
        </w:rPr>
        <w:t>aplicar tarifas que reflejen los costes reales;</w:t>
      </w:r>
    </w:p>
    <w:p w:rsidR="00F3360B" w:rsidRPr="00752B0D" w:rsidRDefault="00F3360B" w:rsidP="007C3386">
      <w:pPr>
        <w:pStyle w:val="Enumlevel2"/>
        <w:numPr>
          <w:ilvl w:val="0"/>
          <w:numId w:val="37"/>
        </w:numPr>
        <w:ind w:left="993" w:hanging="426"/>
        <w:rPr>
          <w:lang w:val="es-ES_tradnl"/>
        </w:rPr>
      </w:pPr>
      <w:r w:rsidRPr="00752B0D">
        <w:rPr>
          <w:lang w:val="es-ES_tradnl"/>
        </w:rPr>
        <w:t>mantener registros de contabilidad separados para cada uno de los servicios como puedan prescribir de vez en cuando las ANR y a no subvencionar los precios practicados por cualquier servicio ofrecido sobre el mercado con la ayuda de los beneficios procedentes de la venta de sistemas y servicios de comunicaciones.</w:t>
      </w:r>
    </w:p>
    <w:p w:rsidR="00F3360B" w:rsidRPr="00894434" w:rsidRDefault="00F3360B" w:rsidP="00894434">
      <w:pPr>
        <w:pStyle w:val="Enumlevel1"/>
        <w:numPr>
          <w:ilvl w:val="1"/>
          <w:numId w:val="26"/>
        </w:numPr>
        <w:ind w:left="567" w:hanging="567"/>
        <w:rPr>
          <w:rFonts w:asciiTheme="minorHAnsi" w:hAnsiTheme="minorHAnsi"/>
          <w:lang w:val="es-ES_tradnl"/>
        </w:rPr>
      </w:pPr>
      <w:r w:rsidRPr="00894434">
        <w:rPr>
          <w:rFonts w:asciiTheme="minorHAnsi" w:hAnsiTheme="minorHAnsi"/>
          <w:lang w:val="es-ES_tradnl"/>
        </w:rPr>
        <w:t>Las ANR deberán establecer reglas sobre competencia leal en lo referente a la prohibición de:</w:t>
      </w:r>
    </w:p>
    <w:p w:rsidR="00F3360B" w:rsidRPr="007C3386" w:rsidRDefault="00F3360B" w:rsidP="007C3386">
      <w:pPr>
        <w:pStyle w:val="Enumlevel2"/>
        <w:numPr>
          <w:ilvl w:val="0"/>
          <w:numId w:val="38"/>
        </w:numPr>
        <w:ind w:left="993" w:hanging="426"/>
        <w:rPr>
          <w:lang w:val="es-ES_tradnl"/>
        </w:rPr>
      </w:pPr>
      <w:r w:rsidRPr="007C3386">
        <w:rPr>
          <w:lang w:val="es-ES_tradnl"/>
        </w:rPr>
        <w:t>cerrar acuerdos anticompetencia o cualquier arreglo, decisión o prácticas concertadas;</w:t>
      </w:r>
    </w:p>
    <w:p w:rsidR="00F3360B" w:rsidRPr="007C3386" w:rsidRDefault="00F3360B" w:rsidP="007C3386">
      <w:pPr>
        <w:pStyle w:val="Enumlevel2"/>
        <w:numPr>
          <w:ilvl w:val="0"/>
          <w:numId w:val="38"/>
        </w:numPr>
        <w:ind w:left="993" w:hanging="426"/>
        <w:rPr>
          <w:lang w:val="es-ES_tradnl"/>
        </w:rPr>
      </w:pPr>
      <w:r w:rsidRPr="007C3386">
        <w:rPr>
          <w:lang w:val="es-ES_tradnl"/>
        </w:rPr>
        <w:t>abuso de posición dominante por un operador;</w:t>
      </w:r>
    </w:p>
    <w:p w:rsidR="00F3360B" w:rsidRPr="007C3386" w:rsidRDefault="00F3360B" w:rsidP="007C3386">
      <w:pPr>
        <w:pStyle w:val="Enumlevel2"/>
        <w:numPr>
          <w:ilvl w:val="0"/>
          <w:numId w:val="38"/>
        </w:numPr>
        <w:ind w:left="993" w:hanging="426"/>
        <w:rPr>
          <w:lang w:val="es-ES_tradnl"/>
        </w:rPr>
      </w:pPr>
      <w:r w:rsidRPr="007C3386">
        <w:rPr>
          <w:lang w:val="es-ES_tradnl"/>
        </w:rPr>
        <w:t>fusiones, adquisiciones, asociaciones, tomas de control o acuerdos contrarios a la competencia que puedan desembocar en cambios en lo referente a la propiedad y el control en la estructura del mercado; y</w:t>
      </w:r>
    </w:p>
    <w:p w:rsidR="00F3360B" w:rsidRPr="007C3386" w:rsidRDefault="00F3360B" w:rsidP="007C3386">
      <w:pPr>
        <w:pStyle w:val="Enumlevel2"/>
        <w:numPr>
          <w:ilvl w:val="0"/>
          <w:numId w:val="38"/>
        </w:numPr>
        <w:ind w:left="993" w:hanging="426"/>
        <w:rPr>
          <w:lang w:val="es-ES_tradnl"/>
        </w:rPr>
      </w:pPr>
      <w:r w:rsidRPr="007C3386">
        <w:rPr>
          <w:lang w:val="es-ES_tradnl"/>
        </w:rPr>
        <w:lastRenderedPageBreak/>
        <w:t>cualquier otra práctica o actuación con efecto negativo sobre la competencia leal, incluidos los métodos de competencia desleal, y practicas o actos desleales y engañosos cuyo objetivo o consecuencia sea la de distorsionar la competencia en el mercado de las comunicaciones.</w:t>
      </w:r>
    </w:p>
    <w:p w:rsidR="00F3360B" w:rsidRPr="00894434" w:rsidRDefault="00F3360B" w:rsidP="004C0D09">
      <w:pPr>
        <w:pStyle w:val="Enumlevel1"/>
        <w:keepNext/>
        <w:keepLines/>
        <w:numPr>
          <w:ilvl w:val="1"/>
          <w:numId w:val="26"/>
        </w:numPr>
        <w:ind w:left="567" w:hanging="567"/>
        <w:rPr>
          <w:rFonts w:asciiTheme="minorHAnsi" w:eastAsia="Verdana" w:hAnsiTheme="minorHAnsi"/>
          <w:lang w:val="es-ES_tradnl"/>
        </w:rPr>
      </w:pPr>
      <w:r w:rsidRPr="00894434">
        <w:rPr>
          <w:rFonts w:asciiTheme="minorHAnsi" w:eastAsia="Verdana" w:hAnsiTheme="minorHAnsi"/>
          <w:lang w:val="es-ES_tradnl"/>
        </w:rPr>
        <w:t>El titular de una licencia no deberá emprender ninguna actividad, directamente o por omisión, que tenga por objeto, o probablemente tenga como consecuencia, impedir, restringir o distorsionar la competencia de manera desleal, cuando la actuación u omisión se realiza en el transcurso o como resultado o en conexión con cualquier actividad comercial relativa a los servicios de comunicaciones.</w:t>
      </w:r>
    </w:p>
    <w:p w:rsidR="00F3360B" w:rsidRPr="00894434" w:rsidRDefault="00F3360B" w:rsidP="00894434">
      <w:pPr>
        <w:pStyle w:val="Enumlevel1"/>
        <w:numPr>
          <w:ilvl w:val="1"/>
          <w:numId w:val="26"/>
        </w:numPr>
        <w:ind w:left="567" w:hanging="567"/>
        <w:rPr>
          <w:rFonts w:asciiTheme="minorHAnsi" w:eastAsia="Verdana" w:hAnsiTheme="minorHAnsi"/>
          <w:lang w:val="es-ES_tradnl"/>
        </w:rPr>
      </w:pPr>
      <w:r w:rsidRPr="00894434">
        <w:rPr>
          <w:rFonts w:asciiTheme="minorHAnsi" w:eastAsia="Verdana" w:hAnsiTheme="minorHAnsi"/>
          <w:lang w:val="es-ES_tradnl"/>
        </w:rPr>
        <w:t>Para evitar cualquier duda, se considerará que el titular de una licencia se haya implicado en una actividad contraria a la competencia si directamente o por omisión esta actuación tiene un efecto apreciable sobre la competencia leal en el mercado de las comunicaciones.</w:t>
      </w:r>
    </w:p>
    <w:p w:rsidR="00F3360B" w:rsidRPr="00894434" w:rsidRDefault="00F3360B" w:rsidP="000A1A25">
      <w:pPr>
        <w:pStyle w:val="Enumlevel2"/>
        <w:numPr>
          <w:ilvl w:val="0"/>
          <w:numId w:val="39"/>
        </w:numPr>
        <w:ind w:left="993" w:hanging="426"/>
        <w:rPr>
          <w:rFonts w:asciiTheme="minorHAnsi" w:hAnsiTheme="minorHAnsi"/>
          <w:lang w:val="es-ES_tradnl"/>
        </w:rPr>
      </w:pPr>
      <w:r w:rsidRPr="00894434">
        <w:rPr>
          <w:rFonts w:asciiTheme="minorHAnsi" w:hAnsiTheme="minorHAnsi"/>
          <w:lang w:val="es-ES_tradnl"/>
        </w:rPr>
        <w:t>toda actuación u omisión del titular de una licencia con posición dominante, a título individual o en connivencia con otros, se considerará un abuso de su posición dominante si esta actuación u omisión implica:</w:t>
      </w:r>
    </w:p>
    <w:p w:rsidR="00F3360B" w:rsidRPr="00894434" w:rsidRDefault="00F3360B" w:rsidP="000A1A25">
      <w:pPr>
        <w:pStyle w:val="Enumlevel2"/>
        <w:numPr>
          <w:ilvl w:val="0"/>
          <w:numId w:val="39"/>
        </w:numPr>
        <w:ind w:left="993" w:hanging="426"/>
        <w:rPr>
          <w:rFonts w:asciiTheme="minorHAnsi" w:hAnsiTheme="minorHAnsi"/>
          <w:lang w:val="es-ES_tradnl"/>
        </w:rPr>
      </w:pPr>
      <w:r w:rsidRPr="00894434">
        <w:rPr>
          <w:rFonts w:asciiTheme="minorHAnsi" w:hAnsiTheme="minorHAnsi"/>
          <w:lang w:val="es-ES_tradnl"/>
        </w:rPr>
        <w:t>abuso en materia de precios o precios contrarios a la competencia, tales como precios abusivamente bajos, compresión de precios, subvenciones cruzadas, discriminaciones de precios o cualquier otra forma de imposición directa o indirecta de un precio de compra o venta desleal o de otras condiciones de mercado desleales;</w:t>
      </w:r>
    </w:p>
    <w:p w:rsidR="00F3360B" w:rsidRPr="00894434" w:rsidRDefault="00F3360B" w:rsidP="000A1A25">
      <w:pPr>
        <w:pStyle w:val="Enumlevel2"/>
        <w:numPr>
          <w:ilvl w:val="0"/>
          <w:numId w:val="39"/>
        </w:numPr>
        <w:ind w:left="993" w:hanging="426"/>
        <w:rPr>
          <w:rFonts w:asciiTheme="minorHAnsi" w:hAnsiTheme="minorHAnsi"/>
          <w:lang w:val="es-ES_tradnl"/>
        </w:rPr>
      </w:pPr>
      <w:r w:rsidRPr="00894434">
        <w:rPr>
          <w:rFonts w:asciiTheme="minorHAnsi" w:hAnsiTheme="minorHAnsi"/>
          <w:lang w:val="es-ES_tradnl"/>
        </w:rPr>
        <w:t>toda conducta que explote a los clientes o a los suministradores imponiéndoles precios excesivamente elevados o precios en condiciones discriminatorias o toda conducta que elimine o limite la competencia ejercida por los competidores existentes o desaliente su entrada en el mercado o que prohíba la entrada en el mercado de nuevas empresas mediante un comportamiento predador, restricciones verticales o la negativa a suministrar material a los competidores existentes o potenciales;</w:t>
      </w:r>
    </w:p>
    <w:p w:rsidR="00F3360B" w:rsidRPr="00894434" w:rsidRDefault="00F3360B" w:rsidP="000A1A25">
      <w:pPr>
        <w:pStyle w:val="Enumlevel2"/>
        <w:numPr>
          <w:ilvl w:val="0"/>
          <w:numId w:val="39"/>
        </w:numPr>
        <w:ind w:left="993" w:hanging="426"/>
        <w:rPr>
          <w:rFonts w:asciiTheme="minorHAnsi" w:hAnsiTheme="minorHAnsi"/>
          <w:lang w:val="es-ES_tradnl"/>
        </w:rPr>
      </w:pPr>
      <w:r w:rsidRPr="00894434">
        <w:rPr>
          <w:rFonts w:asciiTheme="minorHAnsi" w:hAnsiTheme="minorHAnsi"/>
          <w:lang w:val="es-ES_tradnl"/>
        </w:rPr>
        <w:t>la restricción de la producción o de la prestación de servicios, mercados o desarrollos técnicos en perjuicio de los consumidores;</w:t>
      </w:r>
    </w:p>
    <w:p w:rsidR="00F3360B" w:rsidRPr="00894434" w:rsidRDefault="00F3360B" w:rsidP="000A1A25">
      <w:pPr>
        <w:pStyle w:val="Enumlevel2"/>
        <w:numPr>
          <w:ilvl w:val="0"/>
          <w:numId w:val="39"/>
        </w:numPr>
        <w:ind w:left="993" w:hanging="426"/>
        <w:rPr>
          <w:rFonts w:asciiTheme="minorHAnsi" w:hAnsiTheme="minorHAnsi"/>
          <w:lang w:val="es-ES_tradnl"/>
        </w:rPr>
      </w:pPr>
      <w:r w:rsidRPr="00894434">
        <w:rPr>
          <w:rFonts w:asciiTheme="minorHAnsi" w:hAnsiTheme="minorHAnsi"/>
          <w:lang w:val="es-ES_tradnl"/>
        </w:rPr>
        <w:t>la aplicación de condiciones desiguales a transacciones equivalentes con otras partes, que las ponga en desventaja en cuanto a la competencia;</w:t>
      </w:r>
    </w:p>
    <w:p w:rsidR="00F3360B" w:rsidRPr="00894434" w:rsidRDefault="00F3360B" w:rsidP="000A1A25">
      <w:pPr>
        <w:pStyle w:val="Enumlevel2"/>
        <w:numPr>
          <w:ilvl w:val="0"/>
          <w:numId w:val="39"/>
        </w:numPr>
        <w:ind w:left="993" w:hanging="426"/>
        <w:rPr>
          <w:rFonts w:asciiTheme="minorHAnsi" w:hAnsiTheme="minorHAnsi"/>
          <w:lang w:val="es-ES_tradnl"/>
        </w:rPr>
      </w:pPr>
      <w:r w:rsidRPr="00894434">
        <w:rPr>
          <w:rFonts w:asciiTheme="minorHAnsi" w:hAnsiTheme="minorHAnsi"/>
          <w:lang w:val="es-ES_tradnl"/>
        </w:rPr>
        <w:t>la conclusión de contratos sujetos a la aceptación por otras partes de obligaciones suplementarias que, por su naturaleza o de conformidad con el uso comercial, no tengan relación alguna con los contratos;</w:t>
      </w:r>
    </w:p>
    <w:p w:rsidR="00F3360B" w:rsidRPr="000A1A25" w:rsidRDefault="00F3360B" w:rsidP="000A1A25">
      <w:pPr>
        <w:pStyle w:val="Enumlevel2"/>
        <w:numPr>
          <w:ilvl w:val="0"/>
          <w:numId w:val="39"/>
        </w:numPr>
        <w:ind w:left="993" w:hanging="426"/>
        <w:rPr>
          <w:rFonts w:asciiTheme="minorHAnsi" w:hAnsiTheme="minorHAnsi"/>
          <w:lang w:val="es-ES_tradnl"/>
        </w:rPr>
      </w:pPr>
      <w:r w:rsidRPr="000A1A25">
        <w:rPr>
          <w:rFonts w:asciiTheme="minorHAnsi" w:hAnsiTheme="minorHAnsi"/>
          <w:lang w:val="es-ES_tradnl"/>
        </w:rPr>
        <w:t>las modificaciones predatorias de la red mediante las cuales el titular de una licencia en posición dominante altera la interfaz física o lógica de su red de manera que impone a los titulares de licencias interconectados importantes costes sin justificación alguna válida de orden comercial, operativo o técnico;</w:t>
      </w:r>
    </w:p>
    <w:p w:rsidR="00F3360B" w:rsidRPr="000A1A25" w:rsidRDefault="00F3360B" w:rsidP="000A1A25">
      <w:pPr>
        <w:pStyle w:val="Enumlevel2"/>
        <w:numPr>
          <w:ilvl w:val="0"/>
          <w:numId w:val="39"/>
        </w:numPr>
        <w:ind w:left="993" w:hanging="426"/>
        <w:rPr>
          <w:rFonts w:asciiTheme="minorHAnsi" w:hAnsiTheme="minorHAnsi"/>
          <w:lang w:val="es-ES_tradnl"/>
        </w:rPr>
      </w:pPr>
      <w:r w:rsidRPr="000A1A25">
        <w:rPr>
          <w:rFonts w:asciiTheme="minorHAnsi" w:hAnsiTheme="minorHAnsi"/>
          <w:lang w:val="es-ES_tradnl"/>
        </w:rPr>
        <w:t>la negativa a proporcionar o permitir el acceso a las instalaciones;</w:t>
      </w:r>
    </w:p>
    <w:p w:rsidR="00F3360B" w:rsidRPr="000A1A25" w:rsidRDefault="00F3360B" w:rsidP="000A1A25">
      <w:pPr>
        <w:pStyle w:val="Enumlevel2"/>
        <w:numPr>
          <w:ilvl w:val="0"/>
          <w:numId w:val="39"/>
        </w:numPr>
        <w:ind w:left="993" w:hanging="426"/>
        <w:rPr>
          <w:rFonts w:asciiTheme="minorHAnsi" w:hAnsiTheme="minorHAnsi"/>
          <w:lang w:val="es-ES_tradnl"/>
        </w:rPr>
      </w:pPr>
      <w:r w:rsidRPr="000A1A25">
        <w:rPr>
          <w:rFonts w:asciiTheme="minorHAnsi" w:hAnsiTheme="minorHAnsi"/>
          <w:lang w:val="es-ES_tradnl"/>
        </w:rPr>
        <w:t>la negativa a interconectar o a actuar de buena fe en el transcurso de las negociaciones de interconexión;</w:t>
      </w:r>
    </w:p>
    <w:p w:rsidR="00F3360B" w:rsidRPr="000A1A25" w:rsidRDefault="00F3360B" w:rsidP="000A1A25">
      <w:pPr>
        <w:pStyle w:val="Enumlevel2"/>
        <w:numPr>
          <w:ilvl w:val="0"/>
          <w:numId w:val="39"/>
        </w:numPr>
        <w:ind w:left="993" w:hanging="426"/>
        <w:rPr>
          <w:rFonts w:asciiTheme="minorHAnsi" w:hAnsiTheme="minorHAnsi"/>
          <w:lang w:val="es-ES_tradnl"/>
        </w:rPr>
      </w:pPr>
      <w:r w:rsidRPr="000A1A25">
        <w:rPr>
          <w:rFonts w:asciiTheme="minorHAnsi" w:hAnsiTheme="minorHAnsi"/>
          <w:lang w:val="es-ES_tradnl"/>
        </w:rPr>
        <w:t>el recurso a métodos de competencia desleal que disuadan injustamente o que puedan disuadir de la entrada en el mercado de las comunicaciones o restrinjan o puedan restringir la competencia existente en los mercados de las comunicaciones por motivos ajenos a la disponibilidad, el precio o la calidad del servicio que ofrece o tiene previsto ofrecer una sociedad titular o que pretenda ser titular de una licencia mediante:</w:t>
      </w:r>
    </w:p>
    <w:p w:rsidR="00F3360B" w:rsidRPr="00AA7E10" w:rsidRDefault="00BC51AD" w:rsidP="000A1A25">
      <w:pPr>
        <w:pStyle w:val="Enumlevel3"/>
        <w:ind w:left="1418" w:hanging="425"/>
        <w:rPr>
          <w:lang w:val="es-ES_tradnl"/>
        </w:rPr>
      </w:pPr>
      <w:r w:rsidRPr="007E3BE9">
        <w:rPr>
          <w:lang w:val="es-ES_tradnl"/>
        </w:rPr>
        <w:t>(</w:t>
      </w:r>
      <w:r w:rsidR="00F3360B" w:rsidRPr="007E3BE9">
        <w:rPr>
          <w:lang w:val="es-ES_tradnl"/>
        </w:rPr>
        <w:t>i)</w:t>
      </w:r>
      <w:r w:rsidR="00F3360B" w:rsidRPr="00AA7E10">
        <w:rPr>
          <w:lang w:val="es-ES_tradnl"/>
        </w:rPr>
        <w:tab/>
        <w:t>declaraciones falsas o engañosas;</w:t>
      </w:r>
    </w:p>
    <w:p w:rsidR="00F3360B" w:rsidRPr="00AA7E10" w:rsidRDefault="00BC51AD" w:rsidP="000A1A25">
      <w:pPr>
        <w:pStyle w:val="Enumlevel3"/>
        <w:ind w:left="1418" w:hanging="425"/>
        <w:rPr>
          <w:lang w:val="es-ES_tradnl"/>
        </w:rPr>
      </w:pPr>
      <w:r w:rsidRPr="007E3BE9">
        <w:rPr>
          <w:lang w:val="es-ES_tradnl"/>
        </w:rPr>
        <w:t>(</w:t>
      </w:r>
      <w:r w:rsidR="00F3360B" w:rsidRPr="007E3BE9">
        <w:rPr>
          <w:lang w:val="es-ES_tradnl"/>
        </w:rPr>
        <w:t>ii)</w:t>
      </w:r>
      <w:r w:rsidR="00F3360B" w:rsidRPr="00AA7E10">
        <w:rPr>
          <w:lang w:val="es-ES_tradnl"/>
        </w:rPr>
        <w:tab/>
        <w:t>degradación de la disponibilidad o de la calidad del servicio;</w:t>
      </w:r>
    </w:p>
    <w:p w:rsidR="00F3360B" w:rsidRPr="00AA7E10" w:rsidRDefault="00BC51AD" w:rsidP="00BC51AD">
      <w:pPr>
        <w:pStyle w:val="Enumlevel3"/>
        <w:ind w:left="1418" w:hanging="425"/>
        <w:rPr>
          <w:lang w:val="es-ES_tradnl"/>
        </w:rPr>
      </w:pPr>
      <w:r w:rsidRPr="007E3BE9">
        <w:rPr>
          <w:lang w:val="es-ES_tradnl"/>
        </w:rPr>
        <w:t>(</w:t>
      </w:r>
      <w:r w:rsidR="00F3360B" w:rsidRPr="007E3BE9">
        <w:rPr>
          <w:lang w:val="es-ES_tradnl"/>
        </w:rPr>
        <w:t>iii)</w:t>
      </w:r>
      <w:r w:rsidR="00F3360B" w:rsidRPr="00AA7E10">
        <w:rPr>
          <w:lang w:val="es-ES_tradnl"/>
        </w:rPr>
        <w:tab/>
        <w:t>difusión de información falsa o engañosa a los competidores; o</w:t>
      </w:r>
    </w:p>
    <w:p w:rsidR="00F3360B" w:rsidRPr="00AA7E10" w:rsidRDefault="00BC51AD" w:rsidP="000A1A25">
      <w:pPr>
        <w:pStyle w:val="Enumlevel3"/>
        <w:ind w:left="1418" w:hanging="425"/>
        <w:rPr>
          <w:lang w:val="es-ES_tradnl"/>
        </w:rPr>
      </w:pPr>
      <w:r w:rsidRPr="007E3BE9">
        <w:rPr>
          <w:lang w:val="es-ES_tradnl"/>
        </w:rPr>
        <w:lastRenderedPageBreak/>
        <w:t>(</w:t>
      </w:r>
      <w:r w:rsidR="00F3360B" w:rsidRPr="007E3BE9">
        <w:rPr>
          <w:lang w:val="es-ES_tradnl"/>
        </w:rPr>
        <w:t>iv)</w:t>
      </w:r>
      <w:r w:rsidR="00F3360B" w:rsidRPr="00AA7E10">
        <w:rPr>
          <w:lang w:val="es-ES_tradnl"/>
        </w:rPr>
        <w:tab/>
        <w:t>interposición en las relaciones con el usuario final o el suministrador.</w:t>
      </w:r>
    </w:p>
    <w:p w:rsidR="00F3360B" w:rsidRPr="00CF6B5C" w:rsidRDefault="00F3360B" w:rsidP="00CF6B5C">
      <w:pPr>
        <w:pStyle w:val="Enumlevel1"/>
        <w:numPr>
          <w:ilvl w:val="1"/>
          <w:numId w:val="26"/>
        </w:numPr>
        <w:ind w:left="567" w:hanging="567"/>
        <w:rPr>
          <w:rFonts w:asciiTheme="minorHAnsi" w:eastAsia="Verdana" w:hAnsiTheme="minorHAnsi"/>
          <w:lang w:val="es-ES_tradnl"/>
        </w:rPr>
      </w:pPr>
      <w:r w:rsidRPr="00CF6B5C">
        <w:rPr>
          <w:rFonts w:asciiTheme="minorHAnsi" w:eastAsia="Verdana" w:hAnsiTheme="minorHAnsi"/>
          <w:lang w:val="es-ES_tradnl"/>
        </w:rPr>
        <w:t>Las ANR deben revisar sus marcos reglamentarios para garantizar un método flexible en los nuevos servicios.</w:t>
      </w:r>
    </w:p>
    <w:p w:rsidR="00F3360B" w:rsidRPr="00CF6B5C" w:rsidRDefault="00F3360B" w:rsidP="00CF6B5C">
      <w:pPr>
        <w:pStyle w:val="Enumlevel1"/>
        <w:numPr>
          <w:ilvl w:val="1"/>
          <w:numId w:val="26"/>
        </w:numPr>
        <w:ind w:left="567" w:hanging="567"/>
        <w:rPr>
          <w:rFonts w:asciiTheme="minorHAnsi" w:eastAsia="Verdana" w:hAnsiTheme="minorHAnsi"/>
          <w:lang w:val="es-ES_tradnl"/>
        </w:rPr>
      </w:pPr>
      <w:r w:rsidRPr="00CF6B5C">
        <w:rPr>
          <w:rFonts w:asciiTheme="minorHAnsi" w:eastAsia="Verdana" w:hAnsiTheme="minorHAnsi"/>
          <w:lang w:val="es-ES_tradnl"/>
        </w:rPr>
        <w:t>Las ANR deben establecer relaciones de trabajo con otros organismos de reglamentación, tales como los reguladores bancarios o financieros, sobre servicios financieros emergentes, incluida la banca móvil y el comercio móvil.</w:t>
      </w:r>
    </w:p>
    <w:p w:rsidR="00F3360B" w:rsidRPr="00CF6B5C" w:rsidRDefault="00F3360B" w:rsidP="00CF6B5C">
      <w:pPr>
        <w:pStyle w:val="Enumlevel1"/>
        <w:numPr>
          <w:ilvl w:val="1"/>
          <w:numId w:val="26"/>
        </w:numPr>
        <w:ind w:left="567" w:hanging="567"/>
        <w:rPr>
          <w:rFonts w:asciiTheme="minorHAnsi" w:eastAsia="Verdana" w:hAnsiTheme="minorHAnsi"/>
          <w:lang w:val="es-ES_tradnl"/>
        </w:rPr>
      </w:pPr>
      <w:r w:rsidRPr="00CF6B5C">
        <w:rPr>
          <w:rFonts w:asciiTheme="minorHAnsi" w:eastAsia="Verdana" w:hAnsiTheme="minorHAnsi"/>
          <w:lang w:val="es-ES_tradnl"/>
        </w:rPr>
        <w:t>Las ANR deben considerar implantar un marco que dé acomodo a los nuevos temas que aparecen en el sector de las telecomunicaciones/TIC y colaborar con organismos responsables para: la aplicación de las leyes, las cuestiones del medio ambiente, la educación, los cuidados sanitarios, los juegos y los derechos de propiedad intelectual.</w:t>
      </w:r>
    </w:p>
    <w:p w:rsidR="00F3360B" w:rsidRPr="00AA7E10" w:rsidRDefault="00F3360B" w:rsidP="00404A27">
      <w:pPr>
        <w:pStyle w:val="Heading2"/>
        <w:ind w:left="851" w:hanging="851"/>
        <w:rPr>
          <w:lang w:val="es-ES_tradnl"/>
        </w:rPr>
      </w:pPr>
      <w:bookmarkStart w:id="161" w:name="_Toc371604096"/>
      <w:bookmarkStart w:id="162" w:name="_Toc379198855"/>
      <w:r w:rsidRPr="00AA7E10">
        <w:rPr>
          <w:lang w:val="es-ES_tradnl"/>
        </w:rPr>
        <w:t>6.B</w:t>
      </w:r>
      <w:r w:rsidRPr="00AA7E10">
        <w:rPr>
          <w:lang w:val="es-ES_tradnl"/>
        </w:rPr>
        <w:tab/>
        <w:t>Directrices sobre la fusión de las empresas de telecomunicaciones/titulares de licencias</w:t>
      </w:r>
      <w:bookmarkEnd w:id="161"/>
      <w:bookmarkEnd w:id="162"/>
    </w:p>
    <w:p w:rsidR="00F3360B" w:rsidRPr="00404A27" w:rsidRDefault="000D1C57" w:rsidP="000D1C57">
      <w:pPr>
        <w:pStyle w:val="Enumlevel1"/>
        <w:rPr>
          <w:lang w:val="es-ES_tradnl"/>
        </w:rPr>
      </w:pPr>
      <w:r>
        <w:rPr>
          <w:lang w:val="es-ES_tradnl"/>
        </w:rPr>
        <w:t>1.</w:t>
      </w:r>
      <w:r>
        <w:rPr>
          <w:lang w:val="es-ES_tradnl"/>
        </w:rPr>
        <w:tab/>
      </w:r>
      <w:r w:rsidR="00F3360B" w:rsidRPr="00404A27">
        <w:rPr>
          <w:lang w:val="es-ES_tradnl"/>
        </w:rPr>
        <w:t>Para garantizar el cumplimiento efectivo de las normas destinadas a evitar los comportamientos contrarios a la competencia en el marco de concesión de licencias en un entorno convergente se requiere una buena relación de trabajo entre las autoridades nacionales de reglamentación de las telecomunicaciones y las autoridades nacionales encargadas de la competencia. Dicha relación puede definirse en un protocolo de cooperación o en cualquier otro instrumento que oriente a las instituciones. Además, es importante que los reguladores de distintos países cooperen en lo que respecta a las fusiones.</w:t>
      </w:r>
    </w:p>
    <w:p w:rsidR="00F3360B" w:rsidRPr="00404A27" w:rsidRDefault="000D1C57" w:rsidP="000D1C57">
      <w:pPr>
        <w:pStyle w:val="Enumlevel1"/>
        <w:rPr>
          <w:lang w:val="es-ES_tradnl"/>
        </w:rPr>
      </w:pPr>
      <w:r>
        <w:rPr>
          <w:lang w:val="es-ES_tradnl"/>
        </w:rPr>
        <w:t>2.</w:t>
      </w:r>
      <w:r>
        <w:rPr>
          <w:lang w:val="es-ES_tradnl"/>
        </w:rPr>
        <w:tab/>
      </w:r>
      <w:r w:rsidR="00F3360B" w:rsidRPr="00404A27">
        <w:rPr>
          <w:lang w:val="es-ES_tradnl"/>
        </w:rPr>
        <w:t>Las ARN deben considerar:</w:t>
      </w:r>
    </w:p>
    <w:p w:rsidR="00F3360B" w:rsidRPr="00404A27" w:rsidRDefault="00F3360B" w:rsidP="00404A27">
      <w:pPr>
        <w:pStyle w:val="Enumlevel2"/>
        <w:numPr>
          <w:ilvl w:val="0"/>
          <w:numId w:val="40"/>
        </w:numPr>
        <w:ind w:left="993" w:hanging="426"/>
        <w:rPr>
          <w:rFonts w:asciiTheme="minorHAnsi" w:hAnsiTheme="minorHAnsi"/>
          <w:lang w:val="es-ES_tradnl"/>
        </w:rPr>
      </w:pPr>
      <w:r w:rsidRPr="00404A27">
        <w:rPr>
          <w:rFonts w:asciiTheme="minorHAnsi" w:hAnsiTheme="minorHAnsi"/>
          <w:lang w:val="es-ES_tradnl"/>
        </w:rPr>
        <w:t>que la solicitud de fusiones sólo pueden realizarla los detentores de licencias de explotación;</w:t>
      </w:r>
    </w:p>
    <w:p w:rsidR="00F3360B" w:rsidRPr="00404A27" w:rsidRDefault="00F3360B" w:rsidP="00404A27">
      <w:pPr>
        <w:pStyle w:val="Enumlevel2"/>
        <w:numPr>
          <w:ilvl w:val="0"/>
          <w:numId w:val="40"/>
        </w:numPr>
        <w:ind w:left="993" w:hanging="426"/>
        <w:rPr>
          <w:rFonts w:asciiTheme="minorHAnsi" w:hAnsiTheme="minorHAnsi"/>
          <w:lang w:val="es-ES_tradnl"/>
        </w:rPr>
      </w:pPr>
      <w:r w:rsidRPr="00404A27">
        <w:rPr>
          <w:rFonts w:asciiTheme="minorHAnsi" w:hAnsiTheme="minorHAnsi"/>
          <w:lang w:val="es-ES_tradnl"/>
        </w:rPr>
        <w:t>el proceso de anuncio público de la fusión entre dos detentores de licencia;</w:t>
      </w:r>
    </w:p>
    <w:p w:rsidR="00F3360B" w:rsidRPr="00404A27" w:rsidRDefault="00F3360B" w:rsidP="00404A27">
      <w:pPr>
        <w:pStyle w:val="Enumlevel2"/>
        <w:numPr>
          <w:ilvl w:val="0"/>
          <w:numId w:val="40"/>
        </w:numPr>
        <w:ind w:left="993" w:hanging="426"/>
        <w:rPr>
          <w:rFonts w:asciiTheme="minorHAnsi" w:hAnsiTheme="minorHAnsi"/>
          <w:spacing w:val="-4"/>
          <w:lang w:val="es-ES_tradnl"/>
        </w:rPr>
      </w:pPr>
      <w:r w:rsidRPr="00404A27">
        <w:rPr>
          <w:rFonts w:asciiTheme="minorHAnsi" w:hAnsiTheme="minorHAnsi"/>
          <w:spacing w:val="-4"/>
          <w:lang w:val="es-ES_tradnl"/>
        </w:rPr>
        <w:t>la puesta en marcha de la cooperación entre los ARN y las autoridades nacionales encargadas de la competencia sobre varios temas tales como la información y la compartición de recursos;</w:t>
      </w:r>
    </w:p>
    <w:p w:rsidR="00F3360B" w:rsidRPr="00404A27" w:rsidRDefault="00F3360B" w:rsidP="00404A27">
      <w:pPr>
        <w:pStyle w:val="Enumlevel2"/>
        <w:numPr>
          <w:ilvl w:val="0"/>
          <w:numId w:val="40"/>
        </w:numPr>
        <w:ind w:left="993" w:hanging="426"/>
        <w:rPr>
          <w:rFonts w:asciiTheme="minorHAnsi" w:hAnsiTheme="minorHAnsi"/>
          <w:lang w:val="es-ES_tradnl"/>
        </w:rPr>
      </w:pPr>
      <w:r w:rsidRPr="00404A27">
        <w:rPr>
          <w:rFonts w:asciiTheme="minorHAnsi" w:hAnsiTheme="minorHAnsi"/>
          <w:lang w:val="es-ES_tradnl"/>
        </w:rPr>
        <w:t>imponer obligaciones a los titulares de licencias que se fusionan exigiéndoles entre otras cosas que ofrezcan servicios en condiciones no discriminatorias y apliquen tarifas que reflejen los costes pertinentes;</w:t>
      </w:r>
    </w:p>
    <w:p w:rsidR="004C0D09" w:rsidRDefault="00F3360B" w:rsidP="00404A27">
      <w:pPr>
        <w:pStyle w:val="Enumlevel2"/>
        <w:numPr>
          <w:ilvl w:val="0"/>
          <w:numId w:val="40"/>
        </w:numPr>
        <w:ind w:left="993" w:hanging="426"/>
        <w:rPr>
          <w:rFonts w:asciiTheme="minorHAnsi" w:hAnsiTheme="minorHAnsi"/>
          <w:lang w:val="es-ES_tradnl"/>
        </w:rPr>
      </w:pPr>
      <w:r w:rsidRPr="00404A27">
        <w:rPr>
          <w:rFonts w:asciiTheme="minorHAnsi" w:hAnsiTheme="minorHAnsi"/>
          <w:lang w:val="es-ES_tradnl"/>
        </w:rPr>
        <w:t>el examen del espectro atribuido a los detentores de licencia que se fusionan.</w:t>
      </w:r>
    </w:p>
    <w:p w:rsidR="00F3360B" w:rsidRPr="00AA7E10" w:rsidRDefault="00F3360B" w:rsidP="006E15C7">
      <w:pPr>
        <w:pStyle w:val="Heading2"/>
        <w:rPr>
          <w:lang w:val="es-ES_tradnl"/>
        </w:rPr>
      </w:pPr>
      <w:bookmarkStart w:id="163" w:name="_Toc371604097"/>
      <w:bookmarkStart w:id="164" w:name="_Toc379198856"/>
      <w:r w:rsidRPr="00AA7E10">
        <w:rPr>
          <w:lang w:val="es-ES_tradnl"/>
        </w:rPr>
        <w:t>6.C</w:t>
      </w:r>
      <w:r w:rsidRPr="00AA7E10">
        <w:rPr>
          <w:lang w:val="es-ES_tradnl"/>
        </w:rPr>
        <w:tab/>
        <w:t>Directrices adicionales que deben considerarse</w:t>
      </w:r>
      <w:bookmarkEnd w:id="163"/>
      <w:bookmarkEnd w:id="164"/>
    </w:p>
    <w:p w:rsidR="00F3360B" w:rsidRPr="00AA7E10" w:rsidRDefault="00F3360B" w:rsidP="006E15C7">
      <w:pPr>
        <w:rPr>
          <w:lang w:val="es-ES_tradnl"/>
        </w:rPr>
      </w:pPr>
      <w:r w:rsidRPr="00AA7E10">
        <w:rPr>
          <w:lang w:val="es-ES_tradnl"/>
        </w:rPr>
        <w:t>Además de las directrices sobre medidas reglamentarias acerca de la competencia en un entorno convergente y fusión de los titulares de licencias de telecomunicaciones, los Estados Miembros deben considerar el cumplimiento de las Directrices sobre prácticas idóneas relativas a planteamientos normativos para avanzar en el despliegue de la banda ancha, fomentar la innovación y permitir la integración digital de todos</w:t>
      </w:r>
      <w:r w:rsidRPr="002577A8">
        <w:rPr>
          <w:rStyle w:val="FootnoteReference"/>
          <w:rFonts w:eastAsia="Times New Roman"/>
          <w:szCs w:val="21"/>
          <w:lang w:val="es-ES_tradnl" w:eastAsia="x-none"/>
        </w:rPr>
        <w:footnoteReference w:id="37"/>
      </w:r>
    </w:p>
    <w:p w:rsidR="00F3360B" w:rsidRPr="00752B0D" w:rsidRDefault="00F3360B" w:rsidP="00404A27">
      <w:pPr>
        <w:pStyle w:val="Enumlevel1"/>
        <w:rPr>
          <w:lang w:val="es-ES_tradnl"/>
        </w:rPr>
      </w:pPr>
      <w:r w:rsidRPr="007E3BE9">
        <w:rPr>
          <w:lang w:val="es-ES_tradnl"/>
        </w:rPr>
        <w:t>–</w:t>
      </w:r>
      <w:r w:rsidRPr="00752B0D">
        <w:rPr>
          <w:lang w:val="es-ES_tradnl"/>
        </w:rPr>
        <w:tab/>
        <w:t>Atribución del espectro: en un mercado competitivo la reglamentación debe abordar el uso eficiente del espectro. El mejor enfoque es el basado en incentivos dependientes del mercado para obtener más disponibilidad de espectro que facilite la competencia entre plataformas y propicie la innovación.</w:t>
      </w:r>
    </w:p>
    <w:p w:rsidR="00F3360B" w:rsidRPr="00752B0D" w:rsidRDefault="00F3360B" w:rsidP="004C0D09">
      <w:pPr>
        <w:pStyle w:val="Enumlevel1"/>
        <w:keepNext/>
        <w:keepLines/>
        <w:rPr>
          <w:lang w:val="es-ES_tradnl"/>
        </w:rPr>
      </w:pPr>
      <w:r w:rsidRPr="007E3BE9">
        <w:rPr>
          <w:lang w:val="es-ES_tradnl"/>
        </w:rPr>
        <w:lastRenderedPageBreak/>
        <w:t>–</w:t>
      </w:r>
      <w:r w:rsidRPr="00752B0D">
        <w:rPr>
          <w:lang w:val="es-ES_tradnl"/>
        </w:rPr>
        <w:tab/>
        <w:t>Revisión del marco regulatorio para dar cabida a los servicios emergentes: el sector de las TIC está evolucionando con nuevos servicios y aplicaciones, como el desarrollo de la banca móvil. Es necesario revisar los marcos regulatorios para garantizar un enfoque flexible de estos nuevos servicios. Además, existe la necesidad de forjar relaciones de trabajo entre los reguladores de telecomunicaciones y financieros, en relación con servicios financieros como la banca móvil, así como establecer un marco jurídico para la relación entre los reguladores de telecomunicaciones y los organismos responsables del juego y de los derechos de autor.</w:t>
      </w:r>
    </w:p>
    <w:p w:rsidR="00F3360B" w:rsidRPr="00752B0D" w:rsidRDefault="00F3360B" w:rsidP="00404A27">
      <w:pPr>
        <w:pStyle w:val="Enumlevel1"/>
        <w:rPr>
          <w:lang w:val="es-ES_tradnl"/>
        </w:rPr>
      </w:pPr>
      <w:r w:rsidRPr="007E3BE9">
        <w:rPr>
          <w:lang w:val="es-ES_tradnl"/>
        </w:rPr>
        <w:t>–</w:t>
      </w:r>
      <w:r w:rsidRPr="00752B0D">
        <w:rPr>
          <w:lang w:val="es-ES_tradnl"/>
        </w:rPr>
        <w:tab/>
        <w:t xml:space="preserve">Aplicación de los derechos de propiedad intelectual: los nuevos servicios y aplicaciones utilizan obras artísticas musicales, literarias y cinematográficas, lo que requiere el diseño de reglas y procedimientos de aplicación de los derechos de propiedad intelectual. Mediante la protección de la propiedad intelectual, los investigadores y los inventores se sentirán motivados y continuarán siendo creativos en el actual entorno digital. </w:t>
      </w:r>
    </w:p>
    <w:p w:rsidR="00404A27" w:rsidRPr="00752B0D" w:rsidRDefault="00404A27" w:rsidP="00404A27">
      <w:pPr>
        <w:pStyle w:val="Enumlevel1"/>
        <w:rPr>
          <w:lang w:val="es-ES_tradnl"/>
        </w:rPr>
      </w:pPr>
    </w:p>
    <w:p w:rsidR="00404A27" w:rsidRPr="00752B0D" w:rsidRDefault="00404A27" w:rsidP="00404A27">
      <w:pPr>
        <w:pStyle w:val="Enumlevel1"/>
        <w:rPr>
          <w:lang w:val="es-ES_tradnl"/>
        </w:rPr>
        <w:sectPr w:rsidR="00404A27" w:rsidRPr="00752B0D" w:rsidSect="00C22083">
          <w:headerReference w:type="even" r:id="rId29"/>
          <w:headerReference w:type="default" r:id="rId30"/>
          <w:footerReference w:type="default" r:id="rId31"/>
          <w:endnotePr>
            <w:numFmt w:val="decimal"/>
          </w:endnotePr>
          <w:type w:val="oddPage"/>
          <w:pgSz w:w="11907" w:h="16840" w:code="9"/>
          <w:pgMar w:top="1418" w:right="1418" w:bottom="1418" w:left="1418" w:header="709" w:footer="709" w:gutter="0"/>
          <w:pgNumType w:start="1"/>
          <w:cols w:space="708"/>
          <w:docGrid w:linePitch="360"/>
        </w:sectPr>
      </w:pPr>
    </w:p>
    <w:p w:rsidR="00002507" w:rsidRPr="00E83730" w:rsidRDefault="00002507" w:rsidP="00002507">
      <w:pPr>
        <w:pStyle w:val="Heading1"/>
        <w:rPr>
          <w:lang w:val="fr-FR"/>
        </w:rPr>
      </w:pPr>
      <w:bookmarkStart w:id="166" w:name="_Toc378843945"/>
      <w:bookmarkStart w:id="167" w:name="_Toc379198857"/>
      <w:r w:rsidRPr="00E83730">
        <w:rPr>
          <w:lang w:val="fr-FR"/>
        </w:rPr>
        <w:lastRenderedPageBreak/>
        <w:t>Annexes</w:t>
      </w:r>
      <w:bookmarkEnd w:id="166"/>
      <w:bookmarkEnd w:id="167"/>
    </w:p>
    <w:p w:rsidR="00002507" w:rsidRPr="00E83730" w:rsidRDefault="00002507" w:rsidP="00002507">
      <w:pPr>
        <w:pStyle w:val="HeadingB"/>
        <w:rPr>
          <w:rFonts w:eastAsiaTheme="minorEastAsia" w:cs="Times New Roman Bold"/>
          <w:lang w:val="fr-FR"/>
        </w:rPr>
      </w:pPr>
      <w:r w:rsidRPr="00E83730">
        <w:rPr>
          <w:rFonts w:eastAsiaTheme="minorEastAsia" w:cs="Times New Roman Bold"/>
          <w:lang w:val="fr-FR"/>
        </w:rPr>
        <w:t>Annex 1:</w:t>
      </w:r>
      <w:r w:rsidRPr="00E83730">
        <w:rPr>
          <w:rFonts w:eastAsiaTheme="minorEastAsia" w:cs="Times New Roman Bold"/>
          <w:lang w:val="fr-FR"/>
        </w:rPr>
        <w:tab/>
        <w:t>Composition of Rapporteur and Vice-Rapporteurs</w:t>
      </w:r>
    </w:p>
    <w:p w:rsidR="00002507" w:rsidRPr="00E83730" w:rsidRDefault="00002507" w:rsidP="00002507">
      <w:pPr>
        <w:pStyle w:val="HeadingB"/>
        <w:rPr>
          <w:rFonts w:eastAsiaTheme="minorEastAsia" w:cs="Times New Roman Bold"/>
          <w:lang w:val="fr-FR"/>
        </w:rPr>
      </w:pPr>
      <w:r w:rsidRPr="00E83730">
        <w:rPr>
          <w:rFonts w:eastAsiaTheme="minorEastAsia" w:cs="Times New Roman Bold"/>
          <w:lang w:val="fr-FR"/>
        </w:rPr>
        <w:t>Annex 2</w:t>
      </w:r>
      <w:r>
        <w:rPr>
          <w:rFonts w:eastAsiaTheme="minorEastAsia" w:cs="Times New Roman Bold"/>
          <w:lang w:val="fr-FR"/>
        </w:rPr>
        <w:t>:</w:t>
      </w:r>
      <w:r>
        <w:rPr>
          <w:rFonts w:eastAsiaTheme="minorEastAsia" w:cs="Times New Roman Bold"/>
          <w:lang w:val="fr-FR"/>
        </w:rPr>
        <w:tab/>
      </w:r>
      <w:r w:rsidRPr="00E83730">
        <w:rPr>
          <w:rFonts w:eastAsiaTheme="minorEastAsia" w:cs="Times New Roman Bold"/>
          <w:lang w:val="fr-FR"/>
        </w:rPr>
        <w:t>References</w:t>
      </w:r>
    </w:p>
    <w:p w:rsidR="00F3360B" w:rsidRPr="00AA7E10" w:rsidRDefault="00F3360B" w:rsidP="006E15C7">
      <w:pPr>
        <w:pStyle w:val="enumlev1"/>
        <w:rPr>
          <w:rFonts w:ascii="Verdana" w:eastAsia="Verdana" w:hAnsi="Verdana"/>
          <w:sz w:val="19"/>
          <w:szCs w:val="19"/>
          <w:lang w:val="es-ES_tradnl"/>
        </w:rPr>
      </w:pPr>
    </w:p>
    <w:p w:rsidR="00002507" w:rsidRDefault="00002507" w:rsidP="00133CDA">
      <w:pPr>
        <w:rPr>
          <w:lang w:val="en-US"/>
        </w:rPr>
        <w:sectPr w:rsidR="00002507" w:rsidSect="00C22083">
          <w:headerReference w:type="default" r:id="rId32"/>
          <w:footerReference w:type="default" r:id="rId33"/>
          <w:endnotePr>
            <w:numFmt w:val="decimal"/>
          </w:endnotePr>
          <w:type w:val="oddPage"/>
          <w:pgSz w:w="11907" w:h="16840" w:code="9"/>
          <w:pgMar w:top="1418" w:right="1418" w:bottom="1418" w:left="1418" w:header="709" w:footer="709" w:gutter="0"/>
          <w:pgNumType w:start="1"/>
          <w:cols w:space="708"/>
          <w:docGrid w:linePitch="360"/>
        </w:sectPr>
      </w:pPr>
    </w:p>
    <w:p w:rsidR="00002507" w:rsidRDefault="00002507" w:rsidP="00002507">
      <w:pPr>
        <w:pStyle w:val="Heading1"/>
        <w:spacing w:before="120" w:after="120"/>
        <w:rPr>
          <w:lang w:val="fr-CH"/>
        </w:rPr>
      </w:pPr>
      <w:bookmarkStart w:id="168" w:name="_Toc361549863"/>
      <w:bookmarkStart w:id="169" w:name="_Toc369681888"/>
      <w:bookmarkStart w:id="170" w:name="_Toc378843946"/>
      <w:bookmarkStart w:id="171" w:name="_Toc379198858"/>
      <w:r w:rsidRPr="00A300B6">
        <w:rPr>
          <w:lang w:val="fr-CH"/>
        </w:rPr>
        <w:lastRenderedPageBreak/>
        <w:t>A</w:t>
      </w:r>
      <w:r>
        <w:rPr>
          <w:lang w:val="fr-CH"/>
        </w:rPr>
        <w:t>nnex</w:t>
      </w:r>
      <w:r w:rsidRPr="00A300B6">
        <w:rPr>
          <w:lang w:val="fr-CH"/>
        </w:rPr>
        <w:t xml:space="preserve"> </w:t>
      </w:r>
      <w:r>
        <w:rPr>
          <w:lang w:val="fr-CH"/>
        </w:rPr>
        <w:t>1</w:t>
      </w:r>
      <w:r w:rsidRPr="00A300B6">
        <w:rPr>
          <w:lang w:val="fr-CH"/>
        </w:rPr>
        <w:t>: Composition of Rapporteur and Vice-Rapporteur</w:t>
      </w:r>
      <w:r w:rsidRPr="00836E33">
        <w:rPr>
          <w:lang w:val="fr-CH"/>
        </w:rPr>
        <w:t>s</w:t>
      </w:r>
      <w:bookmarkEnd w:id="168"/>
      <w:bookmarkEnd w:id="169"/>
      <w:bookmarkEnd w:id="170"/>
      <w:bookmarkEnd w:id="171"/>
    </w:p>
    <w:tbl>
      <w:tblPr>
        <w:tblW w:w="0" w:type="auto"/>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9"/>
        <w:gridCol w:w="3637"/>
      </w:tblGrid>
      <w:tr w:rsidR="00002507" w:rsidRPr="007410CA" w:rsidTr="00E03223">
        <w:trPr>
          <w:jc w:val="center"/>
        </w:trPr>
        <w:tc>
          <w:tcPr>
            <w:tcW w:w="5784" w:type="dxa"/>
            <w:shd w:val="clear" w:color="auto" w:fill="E8F8FD"/>
          </w:tcPr>
          <w:p w:rsidR="00002507" w:rsidRPr="00DB5863" w:rsidRDefault="00002507" w:rsidP="00E03223">
            <w:pPr>
              <w:pStyle w:val="Tabletext"/>
            </w:pPr>
            <w:r w:rsidRPr="00DB5863">
              <w:t>Ms. Fortunata B. K. Mdachi (Tanzania)</w:t>
            </w:r>
          </w:p>
        </w:tc>
        <w:tc>
          <w:tcPr>
            <w:tcW w:w="4078" w:type="dxa"/>
            <w:shd w:val="clear" w:color="auto" w:fill="E8F8FD"/>
          </w:tcPr>
          <w:p w:rsidR="00002507" w:rsidRPr="00E83730" w:rsidRDefault="00002507" w:rsidP="00E03223">
            <w:pPr>
              <w:pStyle w:val="FootnoteText"/>
            </w:pPr>
            <w:r w:rsidRPr="00E83730">
              <w:t>Rapporteur</w:t>
            </w:r>
          </w:p>
        </w:tc>
      </w:tr>
      <w:tr w:rsidR="00002507" w:rsidRPr="007410CA" w:rsidTr="00E03223">
        <w:trPr>
          <w:jc w:val="center"/>
        </w:trPr>
        <w:tc>
          <w:tcPr>
            <w:tcW w:w="5784" w:type="dxa"/>
            <w:shd w:val="clear" w:color="auto" w:fill="auto"/>
          </w:tcPr>
          <w:p w:rsidR="00002507" w:rsidRPr="00DB5863" w:rsidRDefault="00002507" w:rsidP="00E03223">
            <w:pPr>
              <w:pStyle w:val="Tabletext"/>
            </w:pPr>
            <w:r w:rsidRPr="00DB5863">
              <w:t>Ms. Marcelle M’Poue (Cote d’Ivoire)</w:t>
            </w:r>
          </w:p>
        </w:tc>
        <w:tc>
          <w:tcPr>
            <w:tcW w:w="4078" w:type="dxa"/>
            <w:shd w:val="clear" w:color="auto" w:fill="auto"/>
          </w:tcPr>
          <w:p w:rsidR="00002507" w:rsidRPr="00DD0BDE" w:rsidRDefault="00002507" w:rsidP="00E03223">
            <w:pPr>
              <w:pStyle w:val="FootnoteText"/>
              <w:rPr>
                <w:rFonts w:asciiTheme="minorHAnsi" w:hAnsiTheme="minorHAnsi"/>
                <w:szCs w:val="21"/>
              </w:rPr>
            </w:pPr>
            <w:r w:rsidRPr="00DD0BDE">
              <w:rPr>
                <w:rFonts w:asciiTheme="minorHAnsi" w:hAnsiTheme="minorHAnsi"/>
                <w:szCs w:val="21"/>
              </w:rPr>
              <w:t>Vice- Rapporteur</w:t>
            </w:r>
          </w:p>
        </w:tc>
      </w:tr>
      <w:tr w:rsidR="00002507" w:rsidRPr="007410CA" w:rsidTr="00E03223">
        <w:trPr>
          <w:jc w:val="center"/>
        </w:trPr>
        <w:tc>
          <w:tcPr>
            <w:tcW w:w="5784" w:type="dxa"/>
            <w:shd w:val="clear" w:color="auto" w:fill="E8F8FD"/>
          </w:tcPr>
          <w:p w:rsidR="00002507" w:rsidRPr="00DB5863" w:rsidRDefault="00002507" w:rsidP="00E03223">
            <w:pPr>
              <w:pStyle w:val="Tabletext"/>
            </w:pPr>
            <w:r w:rsidRPr="00DB5863">
              <w:t>Mr. Ahmadou Traoré (Mali)</w:t>
            </w:r>
          </w:p>
        </w:tc>
        <w:tc>
          <w:tcPr>
            <w:tcW w:w="4078" w:type="dxa"/>
            <w:shd w:val="clear" w:color="auto" w:fill="E8F8FD"/>
          </w:tcPr>
          <w:p w:rsidR="00002507" w:rsidRPr="00DD0BDE" w:rsidRDefault="00002507" w:rsidP="00E03223">
            <w:pPr>
              <w:pStyle w:val="FootnoteText"/>
              <w:rPr>
                <w:rFonts w:asciiTheme="minorHAnsi" w:hAnsiTheme="minorHAnsi"/>
                <w:szCs w:val="21"/>
              </w:rPr>
            </w:pPr>
            <w:r w:rsidRPr="00DD0BDE">
              <w:rPr>
                <w:rFonts w:asciiTheme="minorHAnsi" w:hAnsiTheme="minorHAnsi"/>
                <w:szCs w:val="21"/>
              </w:rPr>
              <w:t>Vice- Rapporteur</w:t>
            </w:r>
          </w:p>
        </w:tc>
      </w:tr>
      <w:tr w:rsidR="00002507" w:rsidRPr="007410CA" w:rsidTr="00E03223">
        <w:trPr>
          <w:jc w:val="center"/>
        </w:trPr>
        <w:tc>
          <w:tcPr>
            <w:tcW w:w="5784" w:type="dxa"/>
            <w:shd w:val="clear" w:color="auto" w:fill="auto"/>
          </w:tcPr>
          <w:p w:rsidR="00002507" w:rsidRPr="008510C5" w:rsidRDefault="00002507" w:rsidP="00E03223">
            <w:pPr>
              <w:pStyle w:val="Tabletext"/>
              <w:rPr>
                <w:lang w:val="en-US"/>
              </w:rPr>
            </w:pPr>
            <w:r w:rsidRPr="008510C5">
              <w:rPr>
                <w:lang w:val="en-US"/>
              </w:rPr>
              <w:t>Mr. Shree Badra Wagle (Nepal)</w:t>
            </w:r>
          </w:p>
        </w:tc>
        <w:tc>
          <w:tcPr>
            <w:tcW w:w="4078" w:type="dxa"/>
            <w:shd w:val="clear" w:color="auto" w:fill="auto"/>
          </w:tcPr>
          <w:p w:rsidR="00002507" w:rsidRPr="00DD0BDE" w:rsidRDefault="00002507" w:rsidP="00E03223">
            <w:pPr>
              <w:pStyle w:val="FootnoteText"/>
              <w:rPr>
                <w:rFonts w:asciiTheme="minorHAnsi" w:hAnsiTheme="minorHAnsi"/>
                <w:szCs w:val="21"/>
              </w:rPr>
            </w:pPr>
            <w:r w:rsidRPr="00DD0BDE">
              <w:rPr>
                <w:rFonts w:asciiTheme="minorHAnsi" w:hAnsiTheme="minorHAnsi"/>
                <w:szCs w:val="21"/>
              </w:rPr>
              <w:t>Vice- Rapporteur</w:t>
            </w:r>
          </w:p>
        </w:tc>
      </w:tr>
      <w:tr w:rsidR="00002507" w:rsidRPr="007410CA" w:rsidTr="00E03223">
        <w:trPr>
          <w:jc w:val="center"/>
        </w:trPr>
        <w:tc>
          <w:tcPr>
            <w:tcW w:w="5784" w:type="dxa"/>
            <w:shd w:val="clear" w:color="auto" w:fill="E8F8FD"/>
          </w:tcPr>
          <w:p w:rsidR="00002507" w:rsidRPr="00DB5863" w:rsidRDefault="00002507" w:rsidP="00E03223">
            <w:pPr>
              <w:pStyle w:val="Tabletext"/>
            </w:pPr>
            <w:r w:rsidRPr="00DB5863">
              <w:t>Mr. Abdou Malam Garba (Niger)</w:t>
            </w:r>
          </w:p>
        </w:tc>
        <w:tc>
          <w:tcPr>
            <w:tcW w:w="4078" w:type="dxa"/>
            <w:shd w:val="clear" w:color="auto" w:fill="E8F8FD"/>
          </w:tcPr>
          <w:p w:rsidR="00002507" w:rsidRPr="00DD0BDE" w:rsidRDefault="00002507" w:rsidP="00E03223">
            <w:pPr>
              <w:pStyle w:val="FootnoteText"/>
              <w:rPr>
                <w:rFonts w:asciiTheme="minorHAnsi" w:hAnsiTheme="minorHAnsi"/>
                <w:szCs w:val="21"/>
              </w:rPr>
            </w:pPr>
            <w:r w:rsidRPr="00DD0BDE">
              <w:rPr>
                <w:rFonts w:asciiTheme="minorHAnsi" w:hAnsiTheme="minorHAnsi"/>
                <w:szCs w:val="21"/>
              </w:rPr>
              <w:t>Vice- Rapporteur</w:t>
            </w:r>
          </w:p>
        </w:tc>
      </w:tr>
      <w:tr w:rsidR="00002507" w:rsidRPr="007410CA" w:rsidTr="00E03223">
        <w:trPr>
          <w:jc w:val="center"/>
        </w:trPr>
        <w:tc>
          <w:tcPr>
            <w:tcW w:w="5784" w:type="dxa"/>
            <w:shd w:val="clear" w:color="auto" w:fill="auto"/>
          </w:tcPr>
          <w:p w:rsidR="00002507" w:rsidRPr="008510C5" w:rsidRDefault="00002507" w:rsidP="00E03223">
            <w:pPr>
              <w:pStyle w:val="Tabletext"/>
              <w:rPr>
                <w:lang w:val="en-US"/>
              </w:rPr>
            </w:pPr>
            <w:r w:rsidRPr="008510C5">
              <w:rPr>
                <w:lang w:val="en-US"/>
              </w:rPr>
              <w:t>Mr. Baye Samba Diop (Senegal)</w:t>
            </w:r>
          </w:p>
        </w:tc>
        <w:tc>
          <w:tcPr>
            <w:tcW w:w="4078" w:type="dxa"/>
            <w:shd w:val="clear" w:color="auto" w:fill="auto"/>
          </w:tcPr>
          <w:p w:rsidR="00002507" w:rsidRPr="00DD0BDE" w:rsidRDefault="00002507" w:rsidP="00E03223">
            <w:pPr>
              <w:pStyle w:val="FootnoteText"/>
              <w:rPr>
                <w:rFonts w:asciiTheme="minorHAnsi" w:hAnsiTheme="minorHAnsi"/>
                <w:szCs w:val="21"/>
              </w:rPr>
            </w:pPr>
            <w:r w:rsidRPr="00DD0BDE">
              <w:rPr>
                <w:rFonts w:asciiTheme="minorHAnsi" w:hAnsiTheme="minorHAnsi"/>
                <w:szCs w:val="21"/>
              </w:rPr>
              <w:t>Vice- Rapporteur</w:t>
            </w:r>
          </w:p>
        </w:tc>
      </w:tr>
      <w:tr w:rsidR="00002507" w:rsidRPr="007410CA" w:rsidTr="00E03223">
        <w:trPr>
          <w:jc w:val="center"/>
        </w:trPr>
        <w:tc>
          <w:tcPr>
            <w:tcW w:w="5784" w:type="dxa"/>
            <w:shd w:val="clear" w:color="auto" w:fill="E8F8FD"/>
          </w:tcPr>
          <w:p w:rsidR="00002507" w:rsidRPr="008510C5" w:rsidRDefault="00002507" w:rsidP="00E03223">
            <w:pPr>
              <w:pStyle w:val="Tabletext"/>
              <w:rPr>
                <w:lang w:val="en-US"/>
              </w:rPr>
            </w:pPr>
            <w:r w:rsidRPr="008510C5">
              <w:rPr>
                <w:lang w:val="en-US"/>
              </w:rPr>
              <w:t>Mr. Mahmut Haluk Koc (Türk Telekom Group, Turkey)</w:t>
            </w:r>
          </w:p>
        </w:tc>
        <w:tc>
          <w:tcPr>
            <w:tcW w:w="4078" w:type="dxa"/>
            <w:shd w:val="clear" w:color="auto" w:fill="E8F8FD"/>
          </w:tcPr>
          <w:p w:rsidR="00002507" w:rsidRPr="00DD0BDE" w:rsidRDefault="00002507" w:rsidP="00E03223">
            <w:pPr>
              <w:pStyle w:val="FootnoteText"/>
              <w:rPr>
                <w:rFonts w:asciiTheme="minorHAnsi" w:hAnsiTheme="minorHAnsi"/>
                <w:szCs w:val="21"/>
              </w:rPr>
            </w:pPr>
            <w:r w:rsidRPr="00DD0BDE">
              <w:rPr>
                <w:rFonts w:asciiTheme="minorHAnsi" w:hAnsiTheme="minorHAnsi"/>
                <w:szCs w:val="21"/>
              </w:rPr>
              <w:t>Vice- Rapporteur</w:t>
            </w:r>
          </w:p>
        </w:tc>
      </w:tr>
    </w:tbl>
    <w:p w:rsidR="00002507" w:rsidRDefault="00002507" w:rsidP="00002507">
      <w:pPr>
        <w:rPr>
          <w:lang w:val="fr-CH"/>
        </w:rPr>
      </w:pPr>
    </w:p>
    <w:p w:rsidR="00002507" w:rsidRDefault="00002507" w:rsidP="00002507">
      <w:pPr>
        <w:rPr>
          <w:lang w:val="fr-CH"/>
        </w:rPr>
      </w:pPr>
    </w:p>
    <w:p w:rsidR="00002507" w:rsidRDefault="00002507" w:rsidP="00002507">
      <w:pPr>
        <w:rPr>
          <w:lang w:val="fr-CH"/>
        </w:rPr>
      </w:pPr>
    </w:p>
    <w:p w:rsidR="00002507" w:rsidRDefault="00002507" w:rsidP="00002507">
      <w:pPr>
        <w:rPr>
          <w:lang w:val="fr-CH"/>
        </w:rPr>
      </w:pPr>
    </w:p>
    <w:p w:rsidR="00002507" w:rsidRDefault="00002507" w:rsidP="00002507">
      <w:pPr>
        <w:rPr>
          <w:lang w:val="fr-CH"/>
        </w:rPr>
      </w:pPr>
    </w:p>
    <w:p w:rsidR="00002507" w:rsidRDefault="00002507" w:rsidP="00002507">
      <w:pPr>
        <w:rPr>
          <w:lang w:val="fr-CH"/>
        </w:rPr>
      </w:pPr>
    </w:p>
    <w:p w:rsidR="00002507" w:rsidRDefault="00002507" w:rsidP="00002507">
      <w:pPr>
        <w:pStyle w:val="Heading1"/>
        <w:spacing w:before="120" w:after="360"/>
      </w:pPr>
      <w:bookmarkStart w:id="172" w:name="_Toc361549864"/>
      <w:bookmarkStart w:id="173" w:name="_Toc369681889"/>
      <w:r>
        <w:br w:type="page"/>
      </w:r>
    </w:p>
    <w:p w:rsidR="00002507" w:rsidRPr="0032196A" w:rsidRDefault="00002507" w:rsidP="00002507">
      <w:pPr>
        <w:pStyle w:val="Heading1"/>
        <w:spacing w:before="120" w:after="360"/>
        <w:rPr>
          <w:smallCaps/>
        </w:rPr>
      </w:pPr>
      <w:bookmarkStart w:id="174" w:name="_Toc378843947"/>
      <w:bookmarkStart w:id="175" w:name="_Toc379198859"/>
      <w:r w:rsidRPr="00A300B6">
        <w:lastRenderedPageBreak/>
        <w:t>A</w:t>
      </w:r>
      <w:r>
        <w:t>nnex 2</w:t>
      </w:r>
      <w:r w:rsidRPr="00A300B6">
        <w:t xml:space="preserve">: </w:t>
      </w:r>
      <w:r w:rsidRPr="0032196A">
        <w:t>References</w:t>
      </w:r>
      <w:bookmarkEnd w:id="172"/>
      <w:bookmarkEnd w:id="173"/>
      <w:bookmarkEnd w:id="174"/>
      <w:bookmarkEnd w:id="175"/>
    </w:p>
    <w:p w:rsidR="00002507" w:rsidRPr="00CA367A" w:rsidRDefault="00002507" w:rsidP="00002507">
      <w:pPr>
        <w:spacing w:after="120"/>
        <w:rPr>
          <w:b/>
          <w:color w:val="005173"/>
          <w:szCs w:val="19"/>
          <w:lang w:val="en-US" w:eastAsia="en-US"/>
        </w:rPr>
      </w:pPr>
      <w:r w:rsidRPr="00CA367A">
        <w:rPr>
          <w:b/>
          <w:color w:val="005173"/>
          <w:szCs w:val="19"/>
          <w:lang w:val="en-US" w:eastAsia="en-US"/>
        </w:rPr>
        <w:t>Contributions</w:t>
      </w:r>
      <w:r w:rsidRPr="00CA367A">
        <w:rPr>
          <w:color w:val="005173"/>
          <w:szCs w:val="19"/>
          <w:lang w:val="en-US" w:eastAsia="en-US"/>
        </w:rPr>
        <w:t> </w:t>
      </w:r>
      <w:r w:rsidRPr="00CA367A">
        <w:rPr>
          <w:b/>
          <w:color w:val="005173"/>
          <w:szCs w:val="19"/>
          <w:lang w:val="en-US" w:eastAsia="en-US"/>
        </w:rPr>
        <w:t>to Study Group 1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03"/>
        <w:gridCol w:w="1915"/>
        <w:gridCol w:w="5068"/>
      </w:tblGrid>
      <w:tr w:rsidR="00002507" w:rsidRPr="008706A5" w:rsidTr="00E03223">
        <w:tc>
          <w:tcPr>
            <w:tcW w:w="1101" w:type="dxa"/>
            <w:shd w:val="clear" w:color="auto" w:fill="005173"/>
          </w:tcPr>
          <w:p w:rsidR="00002507" w:rsidRPr="008706A5" w:rsidRDefault="00002507" w:rsidP="00E03223">
            <w:pPr>
              <w:pStyle w:val="Tablehead"/>
            </w:pPr>
            <w:r w:rsidRPr="008706A5">
              <w:t>Number  </w:t>
            </w:r>
          </w:p>
        </w:tc>
        <w:tc>
          <w:tcPr>
            <w:tcW w:w="1203" w:type="dxa"/>
            <w:shd w:val="clear" w:color="auto" w:fill="005173"/>
          </w:tcPr>
          <w:p w:rsidR="00002507" w:rsidRPr="008706A5" w:rsidRDefault="00002507" w:rsidP="00E03223">
            <w:pPr>
              <w:pStyle w:val="Tablehead"/>
            </w:pPr>
            <w:r w:rsidRPr="008706A5">
              <w:t>Received</w:t>
            </w:r>
          </w:p>
        </w:tc>
        <w:tc>
          <w:tcPr>
            <w:tcW w:w="1915" w:type="dxa"/>
            <w:shd w:val="clear" w:color="auto" w:fill="005173"/>
          </w:tcPr>
          <w:p w:rsidR="00002507" w:rsidRPr="008706A5" w:rsidRDefault="00002507" w:rsidP="00E03223">
            <w:pPr>
              <w:pStyle w:val="Tablehead"/>
            </w:pPr>
            <w:r w:rsidRPr="008706A5">
              <w:t>Source</w:t>
            </w:r>
          </w:p>
        </w:tc>
        <w:tc>
          <w:tcPr>
            <w:tcW w:w="5068" w:type="dxa"/>
            <w:shd w:val="clear" w:color="auto" w:fill="005173"/>
          </w:tcPr>
          <w:p w:rsidR="00002507" w:rsidRPr="008706A5" w:rsidRDefault="00002507" w:rsidP="00E03223">
            <w:pPr>
              <w:pStyle w:val="Tablehead"/>
            </w:pPr>
            <w:r w:rsidRPr="008706A5">
              <w:t>Title</w:t>
            </w:r>
          </w:p>
        </w:tc>
      </w:tr>
      <w:tr w:rsidR="00002507" w:rsidRPr="00AC27F2" w:rsidTr="00E03223">
        <w:tc>
          <w:tcPr>
            <w:tcW w:w="1101" w:type="dxa"/>
            <w:shd w:val="clear" w:color="auto" w:fill="E8F8FD"/>
          </w:tcPr>
          <w:p w:rsidR="00002507" w:rsidRPr="008706A5" w:rsidRDefault="00AC27F2" w:rsidP="00E03223">
            <w:pPr>
              <w:pStyle w:val="Tabletext"/>
              <w:rPr>
                <w:rFonts w:asciiTheme="minorHAnsi" w:hAnsiTheme="minorHAnsi"/>
              </w:rPr>
            </w:pPr>
            <w:hyperlink r:id="rId34" w:history="1">
              <w:r w:rsidR="00002507" w:rsidRPr="008706A5">
                <w:rPr>
                  <w:rStyle w:val="Hyperlink"/>
                  <w:rFonts w:asciiTheme="minorHAnsi" w:hAnsiTheme="minorHAnsi"/>
                </w:rPr>
                <w:t>[ 189 ]</w:t>
              </w:r>
            </w:hyperlink>
            <w:r w:rsidR="00002507" w:rsidRPr="008706A5">
              <w:rPr>
                <w:rFonts w:asciiTheme="minorHAnsi" w:hAnsiTheme="minorHAnsi"/>
              </w:rPr>
              <w:t>   </w:t>
            </w:r>
            <w:r w:rsidR="00002507" w:rsidRPr="008706A5">
              <w:rPr>
                <w:rFonts w:asciiTheme="minorHAnsi" w:hAnsiTheme="minorHAnsi"/>
              </w:rPr>
              <w:br/>
              <w:t> </w:t>
            </w:r>
          </w:p>
        </w:tc>
        <w:tc>
          <w:tcPr>
            <w:tcW w:w="1203" w:type="dxa"/>
            <w:shd w:val="clear" w:color="auto" w:fill="E8F8FD"/>
          </w:tcPr>
          <w:p w:rsidR="00002507" w:rsidRPr="008706A5" w:rsidRDefault="00002507" w:rsidP="00E03223">
            <w:pPr>
              <w:pStyle w:val="Tabletext"/>
              <w:rPr>
                <w:rFonts w:asciiTheme="minorHAnsi" w:hAnsiTheme="minorHAnsi"/>
              </w:rPr>
            </w:pPr>
            <w:r w:rsidRPr="008706A5">
              <w:rPr>
                <w:rFonts w:asciiTheme="minorHAnsi" w:hAnsiTheme="minorHAnsi"/>
              </w:rPr>
              <w:t>2012-08-29</w:t>
            </w:r>
          </w:p>
        </w:tc>
        <w:tc>
          <w:tcPr>
            <w:tcW w:w="1915" w:type="dxa"/>
            <w:shd w:val="clear" w:color="auto" w:fill="E8F8FD"/>
          </w:tcPr>
          <w:p w:rsidR="00002507" w:rsidRPr="008706A5" w:rsidRDefault="00AC27F2" w:rsidP="00E03223">
            <w:pPr>
              <w:pStyle w:val="Tabletext"/>
              <w:rPr>
                <w:rFonts w:asciiTheme="minorHAnsi" w:hAnsiTheme="minorHAnsi"/>
              </w:rPr>
            </w:pPr>
            <w:hyperlink r:id="rId35" w:history="1">
              <w:r w:rsidR="00002507" w:rsidRPr="008706A5">
                <w:rPr>
                  <w:rStyle w:val="Hyperlink"/>
                  <w:rFonts w:asciiTheme="minorHAnsi" w:hAnsiTheme="minorHAnsi"/>
                </w:rPr>
                <w:t>United States of America</w:t>
              </w:r>
            </w:hyperlink>
            <w:r w:rsidR="00002507" w:rsidRPr="008706A5">
              <w:rPr>
                <w:rFonts w:asciiTheme="minorHAnsi" w:hAnsiTheme="minorHAnsi"/>
              </w:rPr>
              <w:t>  </w:t>
            </w:r>
          </w:p>
        </w:tc>
        <w:tc>
          <w:tcPr>
            <w:tcW w:w="5068" w:type="dxa"/>
            <w:shd w:val="clear" w:color="auto" w:fill="E8F8FD"/>
          </w:tcPr>
          <w:p w:rsidR="00002507" w:rsidRPr="008706A5" w:rsidRDefault="00002507" w:rsidP="00E03223">
            <w:pPr>
              <w:pStyle w:val="Tabletext"/>
              <w:rPr>
                <w:rFonts w:asciiTheme="minorHAnsi" w:hAnsiTheme="minorHAnsi"/>
                <w:lang w:val="en-US"/>
              </w:rPr>
            </w:pPr>
            <w:r w:rsidRPr="008706A5">
              <w:rPr>
                <w:rFonts w:asciiTheme="minorHAnsi" w:hAnsiTheme="minorHAnsi"/>
                <w:lang w:val="en-US"/>
              </w:rPr>
              <w:t>Practice of the United States in Reviews of Corporate Mergers by the Federal Communications Commission    </w:t>
            </w:r>
          </w:p>
        </w:tc>
      </w:tr>
      <w:tr w:rsidR="00002507" w:rsidRPr="00AC27F2" w:rsidTr="00E03223">
        <w:tc>
          <w:tcPr>
            <w:tcW w:w="1101" w:type="dxa"/>
            <w:shd w:val="clear" w:color="auto" w:fill="auto"/>
          </w:tcPr>
          <w:p w:rsidR="00002507" w:rsidRPr="008706A5" w:rsidRDefault="00AC27F2" w:rsidP="00E03223">
            <w:pPr>
              <w:pStyle w:val="Tabletext"/>
              <w:rPr>
                <w:rFonts w:asciiTheme="minorHAnsi" w:hAnsiTheme="minorHAnsi"/>
              </w:rPr>
            </w:pPr>
            <w:hyperlink r:id="rId36" w:history="1">
              <w:r w:rsidR="00002507" w:rsidRPr="008706A5">
                <w:rPr>
                  <w:rStyle w:val="Hyperlink"/>
                  <w:rFonts w:asciiTheme="minorHAnsi" w:hAnsiTheme="minorHAnsi"/>
                </w:rPr>
                <w:t>[ 171 ]</w:t>
              </w:r>
            </w:hyperlink>
            <w:r w:rsidR="00002507" w:rsidRPr="008706A5">
              <w:rPr>
                <w:rFonts w:asciiTheme="minorHAnsi" w:hAnsiTheme="minorHAnsi"/>
              </w:rPr>
              <w:t>   </w:t>
            </w:r>
            <w:r w:rsidR="00002507" w:rsidRPr="008706A5">
              <w:rPr>
                <w:rFonts w:asciiTheme="minorHAnsi" w:hAnsiTheme="minorHAnsi"/>
              </w:rPr>
              <w:br/>
              <w:t> </w:t>
            </w:r>
          </w:p>
        </w:tc>
        <w:tc>
          <w:tcPr>
            <w:tcW w:w="1203" w:type="dxa"/>
            <w:shd w:val="clear" w:color="auto" w:fill="auto"/>
          </w:tcPr>
          <w:p w:rsidR="00002507" w:rsidRPr="008706A5" w:rsidRDefault="00002507" w:rsidP="00E03223">
            <w:pPr>
              <w:pStyle w:val="Tabletext"/>
              <w:rPr>
                <w:rFonts w:asciiTheme="minorHAnsi" w:hAnsiTheme="minorHAnsi"/>
              </w:rPr>
            </w:pPr>
            <w:r w:rsidRPr="008706A5">
              <w:rPr>
                <w:rFonts w:asciiTheme="minorHAnsi" w:hAnsiTheme="minorHAnsi"/>
              </w:rPr>
              <w:t>2012-08-02</w:t>
            </w:r>
          </w:p>
        </w:tc>
        <w:tc>
          <w:tcPr>
            <w:tcW w:w="1915" w:type="dxa"/>
            <w:shd w:val="clear" w:color="auto" w:fill="auto"/>
          </w:tcPr>
          <w:p w:rsidR="00002507" w:rsidRPr="008706A5" w:rsidRDefault="00AC27F2" w:rsidP="00E03223">
            <w:pPr>
              <w:pStyle w:val="Tabletext"/>
              <w:rPr>
                <w:rFonts w:asciiTheme="minorHAnsi" w:hAnsiTheme="minorHAnsi"/>
              </w:rPr>
            </w:pPr>
            <w:hyperlink r:id="rId37" w:history="1">
              <w:r w:rsidR="00002507" w:rsidRPr="008706A5">
                <w:rPr>
                  <w:rStyle w:val="Hyperlink"/>
                  <w:rFonts w:asciiTheme="minorHAnsi" w:hAnsiTheme="minorHAnsi"/>
                </w:rPr>
                <w:t>BDT Focal Point for Question 10-3/1</w:t>
              </w:r>
            </w:hyperlink>
            <w:r w:rsidR="00002507" w:rsidRPr="008706A5">
              <w:rPr>
                <w:rFonts w:asciiTheme="minorHAnsi" w:hAnsiTheme="minorHAnsi"/>
              </w:rPr>
              <w:t>  </w:t>
            </w:r>
          </w:p>
        </w:tc>
        <w:tc>
          <w:tcPr>
            <w:tcW w:w="5068" w:type="dxa"/>
            <w:shd w:val="clear" w:color="auto" w:fill="auto"/>
          </w:tcPr>
          <w:p w:rsidR="00002507" w:rsidRPr="008706A5" w:rsidRDefault="00002507" w:rsidP="00E03223">
            <w:pPr>
              <w:pStyle w:val="Tabletext"/>
              <w:rPr>
                <w:rFonts w:asciiTheme="minorHAnsi" w:hAnsiTheme="minorHAnsi"/>
                <w:lang w:val="en-US"/>
              </w:rPr>
            </w:pPr>
            <w:r w:rsidRPr="008706A5">
              <w:rPr>
                <w:rFonts w:asciiTheme="minorHAnsi" w:hAnsiTheme="minorHAnsi"/>
                <w:lang w:val="en-US"/>
              </w:rPr>
              <w:t>Expanding the Telecom/ICT Regulator's mandate and cooperation among Regulatory Authorities in different sectors    </w:t>
            </w:r>
          </w:p>
        </w:tc>
      </w:tr>
      <w:tr w:rsidR="00002507" w:rsidRPr="00AC27F2" w:rsidTr="00E03223">
        <w:tc>
          <w:tcPr>
            <w:tcW w:w="1101" w:type="dxa"/>
            <w:shd w:val="clear" w:color="auto" w:fill="E8F8FD"/>
          </w:tcPr>
          <w:p w:rsidR="00002507" w:rsidRPr="008706A5" w:rsidRDefault="00AC27F2" w:rsidP="00E03223">
            <w:pPr>
              <w:pStyle w:val="Tabletext"/>
              <w:rPr>
                <w:rFonts w:asciiTheme="minorHAnsi" w:hAnsiTheme="minorHAnsi"/>
              </w:rPr>
            </w:pPr>
            <w:hyperlink r:id="rId38" w:history="1">
              <w:r w:rsidR="00002507" w:rsidRPr="008706A5">
                <w:rPr>
                  <w:rStyle w:val="Hyperlink"/>
                  <w:rFonts w:asciiTheme="minorHAnsi" w:hAnsiTheme="minorHAnsi"/>
                </w:rPr>
                <w:t>[ 170 ]</w:t>
              </w:r>
            </w:hyperlink>
            <w:r w:rsidR="00002507" w:rsidRPr="008706A5">
              <w:rPr>
                <w:rFonts w:asciiTheme="minorHAnsi" w:hAnsiTheme="minorHAnsi"/>
              </w:rPr>
              <w:t>   </w:t>
            </w:r>
            <w:r w:rsidR="00002507" w:rsidRPr="008706A5">
              <w:rPr>
                <w:rFonts w:asciiTheme="minorHAnsi" w:hAnsiTheme="minorHAnsi"/>
              </w:rPr>
              <w:br/>
              <w:t> </w:t>
            </w:r>
          </w:p>
        </w:tc>
        <w:tc>
          <w:tcPr>
            <w:tcW w:w="1203" w:type="dxa"/>
            <w:shd w:val="clear" w:color="auto" w:fill="E8F8FD"/>
          </w:tcPr>
          <w:p w:rsidR="00002507" w:rsidRPr="008706A5" w:rsidRDefault="00002507" w:rsidP="00E03223">
            <w:pPr>
              <w:pStyle w:val="Tabletext"/>
              <w:rPr>
                <w:rFonts w:asciiTheme="minorHAnsi" w:hAnsiTheme="minorHAnsi"/>
              </w:rPr>
            </w:pPr>
            <w:r w:rsidRPr="008706A5">
              <w:rPr>
                <w:rFonts w:asciiTheme="minorHAnsi" w:hAnsiTheme="minorHAnsi"/>
              </w:rPr>
              <w:t>2012-08-02</w:t>
            </w:r>
          </w:p>
        </w:tc>
        <w:tc>
          <w:tcPr>
            <w:tcW w:w="1915" w:type="dxa"/>
            <w:shd w:val="clear" w:color="auto" w:fill="E8F8FD"/>
          </w:tcPr>
          <w:p w:rsidR="00002507" w:rsidRPr="008706A5" w:rsidRDefault="00AC27F2" w:rsidP="00E03223">
            <w:pPr>
              <w:pStyle w:val="Tabletext"/>
              <w:rPr>
                <w:rFonts w:asciiTheme="minorHAnsi" w:hAnsiTheme="minorHAnsi"/>
              </w:rPr>
            </w:pPr>
            <w:hyperlink r:id="rId39" w:history="1">
              <w:r w:rsidR="00002507" w:rsidRPr="008706A5">
                <w:rPr>
                  <w:rStyle w:val="Hyperlink"/>
                  <w:rFonts w:asciiTheme="minorHAnsi" w:hAnsiTheme="minorHAnsi"/>
                </w:rPr>
                <w:t>BDT Focal Point for Question 10-3/1</w:t>
              </w:r>
            </w:hyperlink>
            <w:r w:rsidR="00002507" w:rsidRPr="008706A5">
              <w:rPr>
                <w:rFonts w:asciiTheme="minorHAnsi" w:hAnsiTheme="minorHAnsi"/>
              </w:rPr>
              <w:t>  </w:t>
            </w:r>
          </w:p>
        </w:tc>
        <w:tc>
          <w:tcPr>
            <w:tcW w:w="5068" w:type="dxa"/>
            <w:shd w:val="clear" w:color="auto" w:fill="E8F8FD"/>
          </w:tcPr>
          <w:p w:rsidR="00002507" w:rsidRPr="008706A5" w:rsidRDefault="00002507" w:rsidP="00E03223">
            <w:pPr>
              <w:pStyle w:val="Tabletext"/>
              <w:rPr>
                <w:rFonts w:asciiTheme="minorHAnsi" w:hAnsiTheme="minorHAnsi"/>
                <w:lang w:val="en-US"/>
              </w:rPr>
            </w:pPr>
            <w:r w:rsidRPr="008706A5">
              <w:rPr>
                <w:rFonts w:asciiTheme="minorHAnsi" w:hAnsiTheme="minorHAnsi"/>
                <w:lang w:val="en-US"/>
              </w:rPr>
              <w:t>Overview of the ICT sector and regulatory updates    </w:t>
            </w:r>
          </w:p>
        </w:tc>
      </w:tr>
      <w:tr w:rsidR="00002507" w:rsidRPr="008706A5" w:rsidTr="00E03223">
        <w:tc>
          <w:tcPr>
            <w:tcW w:w="1101" w:type="dxa"/>
            <w:shd w:val="clear" w:color="auto" w:fill="auto"/>
          </w:tcPr>
          <w:p w:rsidR="00002507" w:rsidRPr="008706A5" w:rsidRDefault="00AC27F2" w:rsidP="00E03223">
            <w:pPr>
              <w:pStyle w:val="Tabletext"/>
              <w:rPr>
                <w:rFonts w:asciiTheme="minorHAnsi" w:hAnsiTheme="minorHAnsi"/>
              </w:rPr>
            </w:pPr>
            <w:hyperlink r:id="rId40" w:history="1">
              <w:r w:rsidR="00002507" w:rsidRPr="008706A5">
                <w:rPr>
                  <w:rStyle w:val="Hyperlink"/>
                  <w:rFonts w:asciiTheme="minorHAnsi" w:hAnsiTheme="minorHAnsi"/>
                </w:rPr>
                <w:t>[ 153 ]</w:t>
              </w:r>
            </w:hyperlink>
            <w:r w:rsidR="00002507" w:rsidRPr="008706A5">
              <w:rPr>
                <w:rFonts w:asciiTheme="minorHAnsi" w:hAnsiTheme="minorHAnsi"/>
              </w:rPr>
              <w:t>   </w:t>
            </w:r>
            <w:r w:rsidR="00002507" w:rsidRPr="008706A5">
              <w:rPr>
                <w:rFonts w:asciiTheme="minorHAnsi" w:hAnsiTheme="minorHAnsi"/>
              </w:rPr>
              <w:br/>
              <w:t>+Ann.1 </w:t>
            </w:r>
          </w:p>
        </w:tc>
        <w:tc>
          <w:tcPr>
            <w:tcW w:w="1203" w:type="dxa"/>
            <w:shd w:val="clear" w:color="auto" w:fill="auto"/>
          </w:tcPr>
          <w:p w:rsidR="00002507" w:rsidRPr="008706A5" w:rsidRDefault="00002507" w:rsidP="00E03223">
            <w:pPr>
              <w:pStyle w:val="Tabletext"/>
              <w:rPr>
                <w:rFonts w:asciiTheme="minorHAnsi" w:hAnsiTheme="minorHAnsi"/>
              </w:rPr>
            </w:pPr>
            <w:r w:rsidRPr="008706A5">
              <w:rPr>
                <w:rFonts w:asciiTheme="minorHAnsi" w:hAnsiTheme="minorHAnsi"/>
              </w:rPr>
              <w:t>2012-07-09</w:t>
            </w:r>
          </w:p>
        </w:tc>
        <w:tc>
          <w:tcPr>
            <w:tcW w:w="1915" w:type="dxa"/>
            <w:shd w:val="clear" w:color="auto" w:fill="auto"/>
          </w:tcPr>
          <w:p w:rsidR="00002507" w:rsidRPr="008706A5" w:rsidRDefault="00AC27F2" w:rsidP="00E03223">
            <w:pPr>
              <w:pStyle w:val="Tabletext"/>
              <w:rPr>
                <w:rFonts w:asciiTheme="minorHAnsi" w:hAnsiTheme="minorHAnsi"/>
              </w:rPr>
            </w:pPr>
            <w:hyperlink r:id="rId41" w:history="1">
              <w:r w:rsidR="00002507" w:rsidRPr="008706A5">
                <w:rPr>
                  <w:rStyle w:val="Hyperlink"/>
                  <w:rFonts w:asciiTheme="minorHAnsi" w:hAnsiTheme="minorHAnsi"/>
                </w:rPr>
                <w:t>Rapporteur for Question 10-3/1</w:t>
              </w:r>
            </w:hyperlink>
            <w:r w:rsidR="00002507" w:rsidRPr="008706A5">
              <w:rPr>
                <w:rFonts w:asciiTheme="minorHAnsi" w:hAnsiTheme="minorHAnsi"/>
              </w:rPr>
              <w:t>  </w:t>
            </w:r>
          </w:p>
        </w:tc>
        <w:tc>
          <w:tcPr>
            <w:tcW w:w="5068" w:type="dxa"/>
            <w:shd w:val="clear" w:color="auto" w:fill="auto"/>
          </w:tcPr>
          <w:p w:rsidR="00002507" w:rsidRPr="008706A5" w:rsidRDefault="00002507" w:rsidP="00E03223">
            <w:pPr>
              <w:pStyle w:val="Tabletext"/>
              <w:rPr>
                <w:rFonts w:asciiTheme="minorHAnsi" w:hAnsiTheme="minorHAnsi"/>
              </w:rPr>
            </w:pPr>
            <w:r w:rsidRPr="008706A5">
              <w:rPr>
                <w:rFonts w:asciiTheme="minorHAnsi" w:hAnsiTheme="minorHAnsi"/>
              </w:rPr>
              <w:t>Draft Report on Question 10-3/1    </w:t>
            </w:r>
          </w:p>
        </w:tc>
      </w:tr>
      <w:tr w:rsidR="00002507" w:rsidRPr="00AC27F2" w:rsidTr="00E03223">
        <w:tc>
          <w:tcPr>
            <w:tcW w:w="1101" w:type="dxa"/>
            <w:shd w:val="clear" w:color="auto" w:fill="E8F8FD"/>
          </w:tcPr>
          <w:p w:rsidR="00002507" w:rsidRPr="008706A5" w:rsidRDefault="00AC27F2" w:rsidP="00E03223">
            <w:pPr>
              <w:pStyle w:val="Tabletext"/>
              <w:rPr>
                <w:rFonts w:asciiTheme="minorHAnsi" w:hAnsiTheme="minorHAnsi"/>
              </w:rPr>
            </w:pPr>
            <w:hyperlink r:id="rId42" w:history="1">
              <w:r w:rsidR="00002507" w:rsidRPr="008706A5">
                <w:rPr>
                  <w:rStyle w:val="Hyperlink"/>
                  <w:rFonts w:asciiTheme="minorHAnsi" w:hAnsiTheme="minorHAnsi"/>
                </w:rPr>
                <w:t>[ 126 ]</w:t>
              </w:r>
            </w:hyperlink>
            <w:r w:rsidR="00002507" w:rsidRPr="008706A5">
              <w:rPr>
                <w:rFonts w:asciiTheme="minorHAnsi" w:hAnsiTheme="minorHAnsi"/>
              </w:rPr>
              <w:t>   </w:t>
            </w:r>
            <w:r w:rsidR="00002507" w:rsidRPr="008706A5">
              <w:rPr>
                <w:rFonts w:asciiTheme="minorHAnsi" w:hAnsiTheme="minorHAnsi"/>
              </w:rPr>
              <w:br/>
              <w:t> </w:t>
            </w:r>
          </w:p>
        </w:tc>
        <w:tc>
          <w:tcPr>
            <w:tcW w:w="1203" w:type="dxa"/>
            <w:shd w:val="clear" w:color="auto" w:fill="E8F8FD"/>
          </w:tcPr>
          <w:p w:rsidR="00002507" w:rsidRPr="008706A5" w:rsidRDefault="00002507" w:rsidP="00E03223">
            <w:pPr>
              <w:pStyle w:val="Tabletext"/>
              <w:rPr>
                <w:rFonts w:asciiTheme="minorHAnsi" w:hAnsiTheme="minorHAnsi"/>
              </w:rPr>
            </w:pPr>
            <w:r w:rsidRPr="008706A5">
              <w:rPr>
                <w:rFonts w:asciiTheme="minorHAnsi" w:hAnsiTheme="minorHAnsi"/>
              </w:rPr>
              <w:t>2012-06-04</w:t>
            </w:r>
          </w:p>
        </w:tc>
        <w:tc>
          <w:tcPr>
            <w:tcW w:w="1915" w:type="dxa"/>
            <w:shd w:val="clear" w:color="auto" w:fill="E8F8FD"/>
          </w:tcPr>
          <w:p w:rsidR="00002507" w:rsidRPr="008706A5" w:rsidRDefault="00AC27F2" w:rsidP="00E03223">
            <w:pPr>
              <w:pStyle w:val="Tabletext"/>
              <w:rPr>
                <w:rFonts w:asciiTheme="minorHAnsi" w:hAnsiTheme="minorHAnsi"/>
              </w:rPr>
            </w:pPr>
            <w:hyperlink r:id="rId43" w:history="1">
              <w:r w:rsidR="00002507" w:rsidRPr="008706A5">
                <w:rPr>
                  <w:rStyle w:val="Hyperlink"/>
                  <w:rFonts w:asciiTheme="minorHAnsi" w:hAnsiTheme="minorHAnsi"/>
                </w:rPr>
                <w:t>Rapporteur for Question 10-3/1</w:t>
              </w:r>
            </w:hyperlink>
            <w:r w:rsidR="00002507" w:rsidRPr="008706A5">
              <w:rPr>
                <w:rFonts w:asciiTheme="minorHAnsi" w:hAnsiTheme="minorHAnsi"/>
              </w:rPr>
              <w:t>  </w:t>
            </w:r>
          </w:p>
        </w:tc>
        <w:tc>
          <w:tcPr>
            <w:tcW w:w="5068" w:type="dxa"/>
            <w:shd w:val="clear" w:color="auto" w:fill="E8F8FD"/>
          </w:tcPr>
          <w:p w:rsidR="00002507" w:rsidRPr="008706A5" w:rsidRDefault="00002507" w:rsidP="00E03223">
            <w:pPr>
              <w:pStyle w:val="Tabletext"/>
              <w:rPr>
                <w:rFonts w:asciiTheme="minorHAnsi" w:hAnsiTheme="minorHAnsi"/>
                <w:lang w:val="en-US"/>
              </w:rPr>
            </w:pPr>
            <w:r w:rsidRPr="008706A5">
              <w:rPr>
                <w:rFonts w:asciiTheme="minorHAnsi" w:hAnsiTheme="minorHAnsi"/>
                <w:lang w:val="en-US"/>
              </w:rPr>
              <w:t>Report of the Rapporteur Group Meeting on Question 10-3/1, Geneva, 26 April 2012    </w:t>
            </w:r>
          </w:p>
        </w:tc>
      </w:tr>
      <w:tr w:rsidR="00002507" w:rsidRPr="00AC27F2" w:rsidTr="00E03223">
        <w:tc>
          <w:tcPr>
            <w:tcW w:w="1101" w:type="dxa"/>
            <w:shd w:val="clear" w:color="auto" w:fill="auto"/>
          </w:tcPr>
          <w:p w:rsidR="00002507" w:rsidRPr="008706A5" w:rsidRDefault="00AC27F2" w:rsidP="00E03223">
            <w:pPr>
              <w:pStyle w:val="Tabletext"/>
              <w:rPr>
                <w:rFonts w:asciiTheme="minorHAnsi" w:hAnsiTheme="minorHAnsi"/>
              </w:rPr>
            </w:pPr>
            <w:hyperlink r:id="rId44" w:history="1">
              <w:r w:rsidR="00002507" w:rsidRPr="008706A5">
                <w:rPr>
                  <w:rStyle w:val="Hyperlink"/>
                  <w:rFonts w:asciiTheme="minorHAnsi" w:hAnsiTheme="minorHAnsi"/>
                </w:rPr>
                <w:t>[ 83 ]</w:t>
              </w:r>
            </w:hyperlink>
            <w:r w:rsidR="00002507" w:rsidRPr="008706A5">
              <w:rPr>
                <w:rFonts w:asciiTheme="minorHAnsi" w:hAnsiTheme="minorHAnsi"/>
              </w:rPr>
              <w:t>   </w:t>
            </w:r>
            <w:r w:rsidR="00002507" w:rsidRPr="008706A5">
              <w:rPr>
                <w:rFonts w:asciiTheme="minorHAnsi" w:hAnsiTheme="minorHAnsi"/>
              </w:rPr>
              <w:br/>
              <w:t> </w:t>
            </w:r>
          </w:p>
        </w:tc>
        <w:tc>
          <w:tcPr>
            <w:tcW w:w="1203" w:type="dxa"/>
            <w:shd w:val="clear" w:color="auto" w:fill="auto"/>
          </w:tcPr>
          <w:p w:rsidR="00002507" w:rsidRPr="008706A5" w:rsidRDefault="00002507" w:rsidP="00E03223">
            <w:pPr>
              <w:pStyle w:val="Tabletext"/>
              <w:rPr>
                <w:rFonts w:asciiTheme="minorHAnsi" w:hAnsiTheme="minorHAnsi"/>
              </w:rPr>
            </w:pPr>
            <w:r w:rsidRPr="008706A5">
              <w:rPr>
                <w:rFonts w:asciiTheme="minorHAnsi" w:hAnsiTheme="minorHAnsi"/>
              </w:rPr>
              <w:t>2011-08-11</w:t>
            </w:r>
          </w:p>
        </w:tc>
        <w:tc>
          <w:tcPr>
            <w:tcW w:w="1915" w:type="dxa"/>
            <w:shd w:val="clear" w:color="auto" w:fill="auto"/>
          </w:tcPr>
          <w:p w:rsidR="00002507" w:rsidRPr="008706A5" w:rsidRDefault="00AC27F2" w:rsidP="00E03223">
            <w:pPr>
              <w:pStyle w:val="Tabletext"/>
              <w:rPr>
                <w:rFonts w:asciiTheme="minorHAnsi" w:hAnsiTheme="minorHAnsi"/>
              </w:rPr>
            </w:pPr>
            <w:hyperlink r:id="rId45" w:history="1">
              <w:r w:rsidR="00002507" w:rsidRPr="008706A5">
                <w:rPr>
                  <w:rStyle w:val="Hyperlink"/>
                  <w:rFonts w:asciiTheme="minorHAnsi" w:hAnsiTheme="minorHAnsi"/>
                </w:rPr>
                <w:t>Rapporteur for Question 10-3/1</w:t>
              </w:r>
            </w:hyperlink>
            <w:r w:rsidR="00002507" w:rsidRPr="008706A5">
              <w:rPr>
                <w:rFonts w:asciiTheme="minorHAnsi" w:hAnsiTheme="minorHAnsi"/>
              </w:rPr>
              <w:t>  </w:t>
            </w:r>
          </w:p>
        </w:tc>
        <w:tc>
          <w:tcPr>
            <w:tcW w:w="5068" w:type="dxa"/>
            <w:shd w:val="clear" w:color="auto" w:fill="auto"/>
          </w:tcPr>
          <w:p w:rsidR="00002507" w:rsidRPr="008706A5" w:rsidRDefault="00002507" w:rsidP="00E03223">
            <w:pPr>
              <w:pStyle w:val="Tabletext"/>
              <w:rPr>
                <w:rFonts w:asciiTheme="minorHAnsi" w:hAnsiTheme="minorHAnsi"/>
                <w:lang w:val="en-US"/>
              </w:rPr>
            </w:pPr>
            <w:r w:rsidRPr="008706A5">
              <w:rPr>
                <w:rFonts w:asciiTheme="minorHAnsi" w:hAnsiTheme="minorHAnsi"/>
                <w:lang w:val="en-US"/>
              </w:rPr>
              <w:t>Overview of Question 10-3/1 and draft outline report    </w:t>
            </w:r>
          </w:p>
        </w:tc>
      </w:tr>
      <w:tr w:rsidR="00002507" w:rsidRPr="008706A5" w:rsidTr="00E03223">
        <w:tc>
          <w:tcPr>
            <w:tcW w:w="1101" w:type="dxa"/>
            <w:shd w:val="clear" w:color="auto" w:fill="E8F8FD"/>
          </w:tcPr>
          <w:p w:rsidR="00002507" w:rsidRPr="008706A5" w:rsidRDefault="00AC27F2" w:rsidP="00E03223">
            <w:pPr>
              <w:pStyle w:val="Tabletext"/>
              <w:rPr>
                <w:rFonts w:asciiTheme="minorHAnsi" w:hAnsiTheme="minorHAnsi"/>
              </w:rPr>
            </w:pPr>
            <w:hyperlink r:id="rId46" w:history="1">
              <w:r w:rsidR="00002507" w:rsidRPr="008706A5">
                <w:rPr>
                  <w:rStyle w:val="Hyperlink"/>
                  <w:rFonts w:asciiTheme="minorHAnsi" w:hAnsiTheme="minorHAnsi"/>
                </w:rPr>
                <w:t>[ 72 ]</w:t>
              </w:r>
            </w:hyperlink>
            <w:r w:rsidR="00002507" w:rsidRPr="008706A5">
              <w:rPr>
                <w:rFonts w:asciiTheme="minorHAnsi" w:hAnsiTheme="minorHAnsi"/>
              </w:rPr>
              <w:t>   </w:t>
            </w:r>
            <w:r w:rsidR="00002507" w:rsidRPr="008706A5">
              <w:rPr>
                <w:rFonts w:asciiTheme="minorHAnsi" w:hAnsiTheme="minorHAnsi"/>
              </w:rPr>
              <w:br/>
              <w:t> </w:t>
            </w:r>
          </w:p>
        </w:tc>
        <w:tc>
          <w:tcPr>
            <w:tcW w:w="1203" w:type="dxa"/>
            <w:shd w:val="clear" w:color="auto" w:fill="E8F8FD"/>
          </w:tcPr>
          <w:p w:rsidR="00002507" w:rsidRPr="008706A5" w:rsidRDefault="00002507" w:rsidP="00E03223">
            <w:pPr>
              <w:pStyle w:val="Tabletext"/>
              <w:rPr>
                <w:rFonts w:asciiTheme="minorHAnsi" w:hAnsiTheme="minorHAnsi"/>
              </w:rPr>
            </w:pPr>
            <w:r w:rsidRPr="008706A5">
              <w:rPr>
                <w:rFonts w:asciiTheme="minorHAnsi" w:hAnsiTheme="minorHAnsi"/>
              </w:rPr>
              <w:t>2011-07-12</w:t>
            </w:r>
          </w:p>
        </w:tc>
        <w:tc>
          <w:tcPr>
            <w:tcW w:w="1915" w:type="dxa"/>
            <w:shd w:val="clear" w:color="auto" w:fill="E8F8FD"/>
          </w:tcPr>
          <w:p w:rsidR="00002507" w:rsidRPr="008706A5" w:rsidRDefault="00AC27F2" w:rsidP="00E03223">
            <w:pPr>
              <w:pStyle w:val="Tabletext"/>
              <w:rPr>
                <w:rFonts w:asciiTheme="minorHAnsi" w:hAnsiTheme="minorHAnsi"/>
              </w:rPr>
            </w:pPr>
            <w:hyperlink r:id="rId47" w:history="1">
              <w:r w:rsidR="00002507" w:rsidRPr="008706A5">
                <w:rPr>
                  <w:rStyle w:val="Hyperlink"/>
                  <w:rFonts w:asciiTheme="minorHAnsi" w:hAnsiTheme="minorHAnsi"/>
                </w:rPr>
                <w:t>Rapporteur for Question 10-3/1</w:t>
              </w:r>
            </w:hyperlink>
            <w:r w:rsidR="00002507" w:rsidRPr="008706A5">
              <w:rPr>
                <w:rFonts w:asciiTheme="minorHAnsi" w:hAnsiTheme="minorHAnsi"/>
              </w:rPr>
              <w:t>  </w:t>
            </w:r>
          </w:p>
        </w:tc>
        <w:tc>
          <w:tcPr>
            <w:tcW w:w="5068" w:type="dxa"/>
            <w:shd w:val="clear" w:color="auto" w:fill="E8F8FD"/>
          </w:tcPr>
          <w:p w:rsidR="00002507" w:rsidRPr="008706A5" w:rsidRDefault="00002507" w:rsidP="00E03223">
            <w:pPr>
              <w:pStyle w:val="Tabletext"/>
              <w:rPr>
                <w:rFonts w:asciiTheme="minorHAnsi" w:hAnsiTheme="minorHAnsi"/>
              </w:rPr>
            </w:pPr>
            <w:r w:rsidRPr="008706A5">
              <w:rPr>
                <w:rFonts w:asciiTheme="minorHAnsi" w:hAnsiTheme="minorHAnsi"/>
              </w:rPr>
              <w:t>Draft report on Question 10-3/1    </w:t>
            </w:r>
          </w:p>
        </w:tc>
      </w:tr>
      <w:tr w:rsidR="00002507" w:rsidRPr="00AC27F2" w:rsidTr="00E03223">
        <w:tc>
          <w:tcPr>
            <w:tcW w:w="1101" w:type="dxa"/>
            <w:shd w:val="clear" w:color="auto" w:fill="auto"/>
          </w:tcPr>
          <w:p w:rsidR="00002507" w:rsidRPr="008706A5" w:rsidRDefault="00AC27F2" w:rsidP="00E03223">
            <w:pPr>
              <w:pStyle w:val="Tabletext"/>
              <w:rPr>
                <w:rFonts w:asciiTheme="minorHAnsi" w:hAnsiTheme="minorHAnsi"/>
              </w:rPr>
            </w:pPr>
            <w:hyperlink r:id="rId48" w:history="1">
              <w:r w:rsidR="00002507" w:rsidRPr="008706A5">
                <w:rPr>
                  <w:rStyle w:val="Hyperlink"/>
                  <w:rFonts w:asciiTheme="minorHAnsi" w:hAnsiTheme="minorHAnsi"/>
                </w:rPr>
                <w:t>[ 53 ]</w:t>
              </w:r>
            </w:hyperlink>
            <w:r w:rsidR="00002507" w:rsidRPr="008706A5">
              <w:rPr>
                <w:rFonts w:asciiTheme="minorHAnsi" w:hAnsiTheme="minorHAnsi"/>
              </w:rPr>
              <w:t>   </w:t>
            </w:r>
            <w:r w:rsidR="00002507" w:rsidRPr="008706A5">
              <w:rPr>
                <w:rFonts w:asciiTheme="minorHAnsi" w:hAnsiTheme="minorHAnsi"/>
              </w:rPr>
              <w:br/>
              <w:t> </w:t>
            </w:r>
          </w:p>
        </w:tc>
        <w:tc>
          <w:tcPr>
            <w:tcW w:w="1203" w:type="dxa"/>
            <w:shd w:val="clear" w:color="auto" w:fill="auto"/>
          </w:tcPr>
          <w:p w:rsidR="00002507" w:rsidRPr="008706A5" w:rsidRDefault="00002507" w:rsidP="00E03223">
            <w:pPr>
              <w:pStyle w:val="Tabletext"/>
              <w:rPr>
                <w:rFonts w:asciiTheme="minorHAnsi" w:hAnsiTheme="minorHAnsi"/>
              </w:rPr>
            </w:pPr>
            <w:r w:rsidRPr="008706A5">
              <w:rPr>
                <w:rFonts w:asciiTheme="minorHAnsi" w:hAnsiTheme="minorHAnsi"/>
              </w:rPr>
              <w:t>2011-06-08</w:t>
            </w:r>
          </w:p>
        </w:tc>
        <w:tc>
          <w:tcPr>
            <w:tcW w:w="1915" w:type="dxa"/>
            <w:shd w:val="clear" w:color="auto" w:fill="auto"/>
          </w:tcPr>
          <w:p w:rsidR="00002507" w:rsidRPr="008706A5" w:rsidRDefault="00AC27F2" w:rsidP="00E03223">
            <w:pPr>
              <w:pStyle w:val="Tabletext"/>
              <w:rPr>
                <w:rFonts w:asciiTheme="minorHAnsi" w:hAnsiTheme="minorHAnsi"/>
              </w:rPr>
            </w:pPr>
            <w:hyperlink r:id="rId49" w:history="1">
              <w:r w:rsidR="00002507" w:rsidRPr="008706A5">
                <w:rPr>
                  <w:rStyle w:val="Hyperlink"/>
                  <w:rFonts w:asciiTheme="minorHAnsi" w:hAnsiTheme="minorHAnsi"/>
                </w:rPr>
                <w:t>Rapporteur for Question 10-3/1</w:t>
              </w:r>
            </w:hyperlink>
            <w:r w:rsidR="00002507" w:rsidRPr="008706A5">
              <w:rPr>
                <w:rFonts w:asciiTheme="minorHAnsi" w:hAnsiTheme="minorHAnsi"/>
              </w:rPr>
              <w:t>  </w:t>
            </w:r>
          </w:p>
        </w:tc>
        <w:tc>
          <w:tcPr>
            <w:tcW w:w="5068" w:type="dxa"/>
            <w:shd w:val="clear" w:color="auto" w:fill="auto"/>
          </w:tcPr>
          <w:p w:rsidR="00002507" w:rsidRPr="008706A5" w:rsidRDefault="00002507" w:rsidP="00E03223">
            <w:pPr>
              <w:pStyle w:val="Tabletext"/>
              <w:rPr>
                <w:rFonts w:asciiTheme="minorHAnsi" w:hAnsiTheme="minorHAnsi"/>
                <w:lang w:val="en-US"/>
              </w:rPr>
            </w:pPr>
            <w:r w:rsidRPr="008706A5">
              <w:rPr>
                <w:rFonts w:asciiTheme="minorHAnsi" w:hAnsiTheme="minorHAnsi"/>
                <w:lang w:val="en-US"/>
              </w:rPr>
              <w:t>Report of the Rapporteur's Group meeting on Question 10-3/1, Geneva, 2 May 2011    </w:t>
            </w:r>
          </w:p>
        </w:tc>
      </w:tr>
      <w:tr w:rsidR="00002507" w:rsidRPr="00AC27F2" w:rsidTr="00E03223">
        <w:tc>
          <w:tcPr>
            <w:tcW w:w="1101" w:type="dxa"/>
            <w:shd w:val="clear" w:color="auto" w:fill="E8F8FD"/>
          </w:tcPr>
          <w:p w:rsidR="00002507" w:rsidRPr="008706A5" w:rsidRDefault="00AC27F2" w:rsidP="00E03223">
            <w:pPr>
              <w:pStyle w:val="Tabletext"/>
              <w:rPr>
                <w:rFonts w:asciiTheme="minorHAnsi" w:hAnsiTheme="minorHAnsi"/>
              </w:rPr>
            </w:pPr>
            <w:hyperlink r:id="rId50" w:history="1">
              <w:r w:rsidR="00002507" w:rsidRPr="008706A5">
                <w:rPr>
                  <w:rStyle w:val="Hyperlink"/>
                  <w:rFonts w:asciiTheme="minorHAnsi" w:hAnsiTheme="minorHAnsi"/>
                </w:rPr>
                <w:t>[ 31 ]</w:t>
              </w:r>
            </w:hyperlink>
            <w:r w:rsidR="00002507" w:rsidRPr="008706A5">
              <w:rPr>
                <w:rFonts w:asciiTheme="minorHAnsi" w:hAnsiTheme="minorHAnsi"/>
              </w:rPr>
              <w:t>   </w:t>
            </w:r>
            <w:r w:rsidR="00002507" w:rsidRPr="008706A5">
              <w:rPr>
                <w:rFonts w:asciiTheme="minorHAnsi" w:hAnsiTheme="minorHAnsi"/>
              </w:rPr>
              <w:br/>
              <w:t> </w:t>
            </w:r>
          </w:p>
        </w:tc>
        <w:tc>
          <w:tcPr>
            <w:tcW w:w="1203" w:type="dxa"/>
            <w:shd w:val="clear" w:color="auto" w:fill="E8F8FD"/>
          </w:tcPr>
          <w:p w:rsidR="00002507" w:rsidRPr="008706A5" w:rsidRDefault="00002507" w:rsidP="00E03223">
            <w:pPr>
              <w:pStyle w:val="Tabletext"/>
              <w:rPr>
                <w:rFonts w:asciiTheme="minorHAnsi" w:hAnsiTheme="minorHAnsi"/>
              </w:rPr>
            </w:pPr>
            <w:r w:rsidRPr="008706A5">
              <w:rPr>
                <w:rFonts w:asciiTheme="minorHAnsi" w:hAnsiTheme="minorHAnsi"/>
              </w:rPr>
              <w:t>2010-09-13</w:t>
            </w:r>
          </w:p>
        </w:tc>
        <w:tc>
          <w:tcPr>
            <w:tcW w:w="1915" w:type="dxa"/>
            <w:shd w:val="clear" w:color="auto" w:fill="E8F8FD"/>
          </w:tcPr>
          <w:p w:rsidR="00002507" w:rsidRPr="008706A5" w:rsidRDefault="00AC27F2" w:rsidP="00E03223">
            <w:pPr>
              <w:pStyle w:val="Tabletext"/>
              <w:rPr>
                <w:rFonts w:asciiTheme="minorHAnsi" w:hAnsiTheme="minorHAnsi"/>
              </w:rPr>
            </w:pPr>
            <w:hyperlink r:id="rId51" w:history="1">
              <w:r w:rsidR="00002507" w:rsidRPr="008706A5">
                <w:rPr>
                  <w:rStyle w:val="Hyperlink"/>
                  <w:rFonts w:asciiTheme="minorHAnsi" w:hAnsiTheme="minorHAnsi"/>
                </w:rPr>
                <w:t>Rapporteur for Question 10-3/1</w:t>
              </w:r>
            </w:hyperlink>
            <w:r w:rsidR="00002507" w:rsidRPr="008706A5">
              <w:rPr>
                <w:rFonts w:asciiTheme="minorHAnsi" w:hAnsiTheme="minorHAnsi"/>
              </w:rPr>
              <w:t>  </w:t>
            </w:r>
          </w:p>
        </w:tc>
        <w:tc>
          <w:tcPr>
            <w:tcW w:w="5068" w:type="dxa"/>
            <w:shd w:val="clear" w:color="auto" w:fill="E8F8FD"/>
          </w:tcPr>
          <w:p w:rsidR="00002507" w:rsidRPr="008706A5" w:rsidRDefault="00002507" w:rsidP="00E03223">
            <w:pPr>
              <w:pStyle w:val="Tabletext"/>
              <w:rPr>
                <w:rFonts w:asciiTheme="minorHAnsi" w:hAnsiTheme="minorHAnsi"/>
                <w:lang w:val="en-US"/>
              </w:rPr>
            </w:pPr>
            <w:r w:rsidRPr="008706A5">
              <w:rPr>
                <w:rFonts w:asciiTheme="minorHAnsi" w:hAnsiTheme="minorHAnsi"/>
                <w:lang w:val="en-US"/>
              </w:rPr>
              <w:t>Draft Work Programme for Question 10-3/1    </w:t>
            </w:r>
          </w:p>
        </w:tc>
      </w:tr>
      <w:tr w:rsidR="00002507" w:rsidRPr="00AC27F2" w:rsidTr="00E03223">
        <w:tc>
          <w:tcPr>
            <w:tcW w:w="1101" w:type="dxa"/>
            <w:shd w:val="clear" w:color="auto" w:fill="auto"/>
          </w:tcPr>
          <w:p w:rsidR="00002507" w:rsidRPr="008706A5" w:rsidRDefault="00AC27F2" w:rsidP="00E03223">
            <w:pPr>
              <w:pStyle w:val="Tabletext"/>
              <w:rPr>
                <w:rFonts w:asciiTheme="minorHAnsi" w:hAnsiTheme="minorHAnsi"/>
              </w:rPr>
            </w:pPr>
            <w:hyperlink r:id="rId52" w:history="1">
              <w:r w:rsidR="00002507" w:rsidRPr="008706A5">
                <w:rPr>
                  <w:rStyle w:val="Hyperlink"/>
                  <w:rFonts w:asciiTheme="minorHAnsi" w:hAnsiTheme="minorHAnsi"/>
                </w:rPr>
                <w:t>[ 12 ]</w:t>
              </w:r>
            </w:hyperlink>
            <w:r w:rsidR="00002507" w:rsidRPr="008706A5">
              <w:rPr>
                <w:rFonts w:asciiTheme="minorHAnsi" w:hAnsiTheme="minorHAnsi"/>
              </w:rPr>
              <w:t>   </w:t>
            </w:r>
            <w:r w:rsidR="00002507" w:rsidRPr="008706A5">
              <w:rPr>
                <w:rFonts w:asciiTheme="minorHAnsi" w:hAnsiTheme="minorHAnsi"/>
              </w:rPr>
              <w:br/>
              <w:t> </w:t>
            </w:r>
          </w:p>
        </w:tc>
        <w:tc>
          <w:tcPr>
            <w:tcW w:w="1203" w:type="dxa"/>
            <w:shd w:val="clear" w:color="auto" w:fill="auto"/>
          </w:tcPr>
          <w:p w:rsidR="00002507" w:rsidRPr="008706A5" w:rsidRDefault="00002507" w:rsidP="00E03223">
            <w:pPr>
              <w:pStyle w:val="Tabletext"/>
              <w:rPr>
                <w:rFonts w:asciiTheme="minorHAnsi" w:hAnsiTheme="minorHAnsi"/>
              </w:rPr>
            </w:pPr>
            <w:r w:rsidRPr="008706A5">
              <w:rPr>
                <w:rFonts w:asciiTheme="minorHAnsi" w:hAnsiTheme="minorHAnsi"/>
              </w:rPr>
              <w:t>2010-09-07</w:t>
            </w:r>
          </w:p>
        </w:tc>
        <w:tc>
          <w:tcPr>
            <w:tcW w:w="1915" w:type="dxa"/>
            <w:shd w:val="clear" w:color="auto" w:fill="auto"/>
          </w:tcPr>
          <w:p w:rsidR="00002507" w:rsidRPr="008706A5" w:rsidRDefault="00AC27F2" w:rsidP="00E03223">
            <w:pPr>
              <w:pStyle w:val="Tabletext"/>
              <w:rPr>
                <w:rFonts w:asciiTheme="minorHAnsi" w:hAnsiTheme="minorHAnsi"/>
              </w:rPr>
            </w:pPr>
            <w:hyperlink r:id="rId53" w:anchor="127;s Republic of)" w:history="1">
              <w:r w:rsidR="00002507" w:rsidRPr="008706A5">
                <w:rPr>
                  <w:rStyle w:val="Hyperlink"/>
                  <w:rFonts w:asciiTheme="minorHAnsi" w:hAnsiTheme="minorHAnsi"/>
                </w:rPr>
                <w:t>China (People's Republic of)</w:t>
              </w:r>
            </w:hyperlink>
            <w:r w:rsidR="00002507" w:rsidRPr="008706A5">
              <w:rPr>
                <w:rFonts w:asciiTheme="minorHAnsi" w:hAnsiTheme="minorHAnsi"/>
              </w:rPr>
              <w:t>  </w:t>
            </w:r>
          </w:p>
        </w:tc>
        <w:tc>
          <w:tcPr>
            <w:tcW w:w="5068" w:type="dxa"/>
            <w:shd w:val="clear" w:color="auto" w:fill="auto"/>
          </w:tcPr>
          <w:p w:rsidR="00002507" w:rsidRPr="008706A5" w:rsidRDefault="00002507" w:rsidP="00E03223">
            <w:pPr>
              <w:pStyle w:val="Tabletext"/>
              <w:rPr>
                <w:rFonts w:asciiTheme="minorHAnsi" w:hAnsiTheme="minorHAnsi"/>
                <w:lang w:val="en-US"/>
              </w:rPr>
            </w:pPr>
            <w:r w:rsidRPr="008706A5">
              <w:rPr>
                <w:rFonts w:asciiTheme="minorHAnsi" w:hAnsiTheme="minorHAnsi"/>
                <w:lang w:val="en-US"/>
              </w:rPr>
              <w:t>Progress on impelling joint construction and telecom infrastructure sharing in China    </w:t>
            </w:r>
          </w:p>
        </w:tc>
      </w:tr>
      <w:tr w:rsidR="00002507" w:rsidRPr="00AC27F2" w:rsidTr="00E03223">
        <w:tc>
          <w:tcPr>
            <w:tcW w:w="1101" w:type="dxa"/>
            <w:shd w:val="clear" w:color="auto" w:fill="E8F8FD"/>
          </w:tcPr>
          <w:p w:rsidR="00002507" w:rsidRPr="008706A5" w:rsidRDefault="00AC27F2" w:rsidP="00E03223">
            <w:pPr>
              <w:pStyle w:val="Tabletext"/>
              <w:rPr>
                <w:rFonts w:asciiTheme="minorHAnsi" w:hAnsiTheme="minorHAnsi"/>
              </w:rPr>
            </w:pPr>
            <w:hyperlink r:id="rId54" w:history="1">
              <w:r w:rsidR="00002507" w:rsidRPr="008706A5">
                <w:rPr>
                  <w:rStyle w:val="Hyperlink"/>
                  <w:rFonts w:asciiTheme="minorHAnsi" w:hAnsiTheme="minorHAnsi"/>
                </w:rPr>
                <w:t>[ 6 ]</w:t>
              </w:r>
            </w:hyperlink>
            <w:r w:rsidR="00002507" w:rsidRPr="008706A5">
              <w:rPr>
                <w:rFonts w:asciiTheme="minorHAnsi" w:hAnsiTheme="minorHAnsi"/>
              </w:rPr>
              <w:t>   </w:t>
            </w:r>
            <w:r w:rsidR="00002507" w:rsidRPr="008706A5">
              <w:rPr>
                <w:rFonts w:asciiTheme="minorHAnsi" w:hAnsiTheme="minorHAnsi"/>
              </w:rPr>
              <w:br/>
              <w:t> </w:t>
            </w:r>
          </w:p>
        </w:tc>
        <w:tc>
          <w:tcPr>
            <w:tcW w:w="1203" w:type="dxa"/>
            <w:shd w:val="clear" w:color="auto" w:fill="E8F8FD"/>
          </w:tcPr>
          <w:p w:rsidR="00002507" w:rsidRPr="008706A5" w:rsidRDefault="00002507" w:rsidP="00E03223">
            <w:pPr>
              <w:pStyle w:val="Tabletext"/>
              <w:rPr>
                <w:rFonts w:asciiTheme="minorHAnsi" w:hAnsiTheme="minorHAnsi"/>
              </w:rPr>
            </w:pPr>
            <w:r w:rsidRPr="008706A5">
              <w:rPr>
                <w:rFonts w:asciiTheme="minorHAnsi" w:hAnsiTheme="minorHAnsi"/>
              </w:rPr>
              <w:t>2010-09-06</w:t>
            </w:r>
          </w:p>
        </w:tc>
        <w:tc>
          <w:tcPr>
            <w:tcW w:w="1915" w:type="dxa"/>
            <w:shd w:val="clear" w:color="auto" w:fill="E8F8FD"/>
          </w:tcPr>
          <w:p w:rsidR="00002507" w:rsidRPr="008706A5" w:rsidRDefault="00AC27F2" w:rsidP="00E03223">
            <w:pPr>
              <w:pStyle w:val="Tabletext"/>
              <w:rPr>
                <w:rFonts w:asciiTheme="minorHAnsi" w:hAnsiTheme="minorHAnsi"/>
              </w:rPr>
            </w:pPr>
            <w:hyperlink r:id="rId55" w:history="1">
              <w:r w:rsidR="00002507" w:rsidRPr="008706A5">
                <w:rPr>
                  <w:rStyle w:val="Hyperlink"/>
                  <w:rFonts w:asciiTheme="minorHAnsi" w:hAnsiTheme="minorHAnsi"/>
                </w:rPr>
                <w:t>BDT Focal Point for Question 10-3/1</w:t>
              </w:r>
            </w:hyperlink>
            <w:r w:rsidR="00002507" w:rsidRPr="008706A5">
              <w:rPr>
                <w:rFonts w:asciiTheme="minorHAnsi" w:hAnsiTheme="minorHAnsi"/>
              </w:rPr>
              <w:t>  </w:t>
            </w:r>
          </w:p>
        </w:tc>
        <w:tc>
          <w:tcPr>
            <w:tcW w:w="5068" w:type="dxa"/>
            <w:shd w:val="clear" w:color="auto" w:fill="E8F8FD"/>
          </w:tcPr>
          <w:p w:rsidR="00002507" w:rsidRPr="008706A5" w:rsidRDefault="00002507" w:rsidP="00E03223">
            <w:pPr>
              <w:pStyle w:val="Tabletext"/>
              <w:rPr>
                <w:rFonts w:asciiTheme="minorHAnsi" w:hAnsiTheme="minorHAnsi"/>
                <w:lang w:val="en-US"/>
              </w:rPr>
            </w:pPr>
            <w:r w:rsidRPr="008706A5">
              <w:rPr>
                <w:rFonts w:asciiTheme="minorHAnsi" w:hAnsiTheme="minorHAnsi"/>
                <w:lang w:val="en-US"/>
              </w:rPr>
              <w:t>Contribution from BDT Focal Point for Question 10</w:t>
            </w:r>
            <w:r w:rsidRPr="008706A5">
              <w:rPr>
                <w:rFonts w:asciiTheme="minorHAnsi" w:hAnsiTheme="minorHAnsi"/>
                <w:lang w:val="en-US"/>
              </w:rPr>
              <w:noBreakHyphen/>
              <w:t>3/1    </w:t>
            </w:r>
          </w:p>
        </w:tc>
      </w:tr>
    </w:tbl>
    <w:p w:rsidR="00002507" w:rsidRPr="00CA367A" w:rsidRDefault="00002507" w:rsidP="00002507">
      <w:pPr>
        <w:spacing w:after="120"/>
        <w:rPr>
          <w:b/>
          <w:color w:val="005173"/>
          <w:szCs w:val="19"/>
          <w:lang w:val="en-US" w:eastAsia="en-US"/>
        </w:rPr>
      </w:pPr>
      <w:r w:rsidRPr="00CA367A">
        <w:rPr>
          <w:b/>
          <w:color w:val="005173"/>
          <w:szCs w:val="19"/>
          <w:lang w:val="en-US" w:eastAsia="en-US"/>
        </w:rPr>
        <w:t>Contributions</w:t>
      </w:r>
      <w:r w:rsidRPr="00CA367A">
        <w:rPr>
          <w:color w:val="005173"/>
          <w:szCs w:val="19"/>
          <w:lang w:val="en-US" w:eastAsia="en-US"/>
        </w:rPr>
        <w:t> </w:t>
      </w:r>
      <w:r w:rsidRPr="00CA367A">
        <w:rPr>
          <w:b/>
          <w:color w:val="005173"/>
          <w:szCs w:val="19"/>
          <w:lang w:val="en-US" w:eastAsia="en-US"/>
        </w:rPr>
        <w:t>to Study Group 1 Rapporteur Group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51"/>
      </w:tblGrid>
      <w:tr w:rsidR="00002507" w:rsidRPr="00AC27F2" w:rsidTr="00E03223">
        <w:tc>
          <w:tcPr>
            <w:tcW w:w="1100" w:type="dxa"/>
            <w:shd w:val="clear" w:color="auto" w:fill="E8F8FD"/>
          </w:tcPr>
          <w:p w:rsidR="00002507" w:rsidRPr="00CA367A" w:rsidRDefault="00AC27F2" w:rsidP="00E03223">
            <w:pPr>
              <w:pStyle w:val="Tabletext"/>
              <w:rPr>
                <w:rFonts w:asciiTheme="minorHAnsi" w:hAnsiTheme="minorHAnsi" w:cs="Arial"/>
                <w:szCs w:val="21"/>
              </w:rPr>
            </w:pPr>
            <w:hyperlink r:id="rId56" w:history="1">
              <w:r w:rsidR="00002507" w:rsidRPr="00CA367A">
                <w:rPr>
                  <w:rStyle w:val="Hyperlink"/>
                  <w:rFonts w:asciiTheme="minorHAnsi" w:hAnsiTheme="minorHAnsi" w:cs="Arial"/>
                  <w:szCs w:val="21"/>
                </w:rPr>
                <w:t>[ C 25 ]</w:t>
              </w:r>
            </w:hyperlink>
          </w:p>
        </w:tc>
        <w:tc>
          <w:tcPr>
            <w:tcW w:w="1202"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2013-04-18</w:t>
            </w:r>
          </w:p>
        </w:tc>
        <w:tc>
          <w:tcPr>
            <w:tcW w:w="1916"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Telecommunication Development Bureau</w:t>
            </w:r>
          </w:p>
        </w:tc>
        <w:tc>
          <w:tcPr>
            <w:tcW w:w="5051" w:type="dxa"/>
            <w:shd w:val="clear" w:color="auto" w:fill="E8F8FD"/>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Final List of Participants for the Rapporteur Group Meeting for Question 10-3/1, Geneva, 17 April 2013</w:t>
            </w:r>
          </w:p>
        </w:tc>
      </w:tr>
      <w:tr w:rsidR="00002507" w:rsidRPr="00CA367A" w:rsidTr="00E03223">
        <w:tc>
          <w:tcPr>
            <w:tcW w:w="1100" w:type="dxa"/>
            <w:shd w:val="clear" w:color="auto" w:fill="auto"/>
          </w:tcPr>
          <w:p w:rsidR="00002507" w:rsidRPr="00CA367A" w:rsidRDefault="00AC27F2" w:rsidP="00E03223">
            <w:pPr>
              <w:pStyle w:val="Tabletext"/>
              <w:rPr>
                <w:rFonts w:asciiTheme="minorHAnsi" w:hAnsiTheme="minorHAnsi" w:cs="Arial"/>
                <w:szCs w:val="21"/>
              </w:rPr>
            </w:pPr>
            <w:hyperlink r:id="rId57" w:history="1">
              <w:r w:rsidR="00002507" w:rsidRPr="00CA367A">
                <w:rPr>
                  <w:rStyle w:val="Hyperlink"/>
                  <w:rFonts w:asciiTheme="minorHAnsi" w:hAnsiTheme="minorHAnsi" w:cs="Arial"/>
                  <w:szCs w:val="21"/>
                </w:rPr>
                <w:t>[ C 24 ]</w:t>
              </w:r>
            </w:hyperlink>
          </w:p>
        </w:tc>
        <w:tc>
          <w:tcPr>
            <w:tcW w:w="1202"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2013-04-12</w:t>
            </w:r>
          </w:p>
        </w:tc>
        <w:tc>
          <w:tcPr>
            <w:tcW w:w="1916"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Draft report on Question 10-3/1</w:t>
            </w:r>
          </w:p>
        </w:tc>
      </w:tr>
      <w:tr w:rsidR="00002507" w:rsidRPr="00AC27F2" w:rsidTr="00E03223">
        <w:tc>
          <w:tcPr>
            <w:tcW w:w="1100" w:type="dxa"/>
            <w:shd w:val="clear" w:color="auto" w:fill="E8F8FD"/>
          </w:tcPr>
          <w:p w:rsidR="00002507" w:rsidRPr="00CA367A" w:rsidRDefault="00AC27F2" w:rsidP="00E03223">
            <w:pPr>
              <w:pStyle w:val="Tabletext"/>
              <w:rPr>
                <w:rFonts w:asciiTheme="minorHAnsi" w:hAnsiTheme="minorHAnsi" w:cs="Arial"/>
                <w:szCs w:val="21"/>
              </w:rPr>
            </w:pPr>
            <w:hyperlink r:id="rId58" w:history="1">
              <w:r w:rsidR="00002507" w:rsidRPr="00CA367A">
                <w:rPr>
                  <w:rStyle w:val="Hyperlink"/>
                  <w:rFonts w:asciiTheme="minorHAnsi" w:hAnsiTheme="minorHAnsi" w:cs="Arial"/>
                  <w:szCs w:val="21"/>
                </w:rPr>
                <w:t>[ C 23 ]</w:t>
              </w:r>
            </w:hyperlink>
            <w:r w:rsidR="00002507" w:rsidRPr="00CA367A">
              <w:rPr>
                <w:rStyle w:val="Hyperlink"/>
                <w:rFonts w:asciiTheme="minorHAnsi" w:hAnsiTheme="minorHAnsi" w:cs="Arial"/>
                <w:szCs w:val="21"/>
              </w:rPr>
              <w:t xml:space="preserve"> </w:t>
            </w:r>
            <w:r w:rsidR="00002507" w:rsidRPr="00CA367A">
              <w:rPr>
                <w:rFonts w:asciiTheme="minorHAnsi" w:hAnsiTheme="minorHAnsi" w:cs="Arial"/>
                <w:color w:val="FF0000"/>
                <w:szCs w:val="21"/>
              </w:rPr>
              <w:t>(Rev.1)</w:t>
            </w:r>
          </w:p>
        </w:tc>
        <w:tc>
          <w:tcPr>
            <w:tcW w:w="1202"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2013-03-06</w:t>
            </w:r>
          </w:p>
        </w:tc>
        <w:tc>
          <w:tcPr>
            <w:tcW w:w="1916"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E8F8FD"/>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Draft Agenda for Rapporteu</w:t>
            </w:r>
            <w:r>
              <w:rPr>
                <w:rFonts w:asciiTheme="minorHAnsi" w:hAnsiTheme="minorHAnsi" w:cs="Arial"/>
                <w:szCs w:val="21"/>
                <w:lang w:val="en-US"/>
              </w:rPr>
              <w:t>r Group Meeting for Question 10</w:t>
            </w:r>
            <w:r>
              <w:rPr>
                <w:rFonts w:asciiTheme="minorHAnsi" w:hAnsiTheme="minorHAnsi" w:cs="Arial"/>
                <w:szCs w:val="21"/>
                <w:lang w:val="en-US"/>
              </w:rPr>
              <w:noBreakHyphen/>
            </w:r>
            <w:r w:rsidRPr="00CA367A">
              <w:rPr>
                <w:rFonts w:asciiTheme="minorHAnsi" w:hAnsiTheme="minorHAnsi" w:cs="Arial"/>
                <w:szCs w:val="21"/>
                <w:lang w:val="en-US"/>
              </w:rPr>
              <w:t>3/1, Geneva, Wednesday, 17 April 2012</w:t>
            </w:r>
          </w:p>
        </w:tc>
      </w:tr>
      <w:tr w:rsidR="00002507" w:rsidRPr="00AC27F2" w:rsidTr="00E03223">
        <w:tc>
          <w:tcPr>
            <w:tcW w:w="1100" w:type="dxa"/>
            <w:shd w:val="clear" w:color="auto" w:fill="auto"/>
          </w:tcPr>
          <w:p w:rsidR="00002507" w:rsidRPr="00CA367A" w:rsidRDefault="00AC27F2" w:rsidP="00E03223">
            <w:pPr>
              <w:pStyle w:val="Tabletext"/>
              <w:rPr>
                <w:rFonts w:asciiTheme="minorHAnsi" w:hAnsiTheme="minorHAnsi" w:cs="Arial"/>
                <w:szCs w:val="21"/>
              </w:rPr>
            </w:pPr>
            <w:hyperlink r:id="rId59" w:history="1">
              <w:r w:rsidR="00002507" w:rsidRPr="00CA367A">
                <w:rPr>
                  <w:rStyle w:val="Hyperlink"/>
                  <w:rFonts w:asciiTheme="minorHAnsi" w:hAnsiTheme="minorHAnsi" w:cs="Arial"/>
                  <w:szCs w:val="21"/>
                </w:rPr>
                <w:t>[ C 22 ]</w:t>
              </w:r>
            </w:hyperlink>
            <w:r w:rsidR="00002507" w:rsidRPr="00CA367A">
              <w:rPr>
                <w:rStyle w:val="Hyperlink"/>
                <w:rFonts w:asciiTheme="minorHAnsi" w:hAnsiTheme="minorHAnsi" w:cs="Arial"/>
                <w:szCs w:val="21"/>
              </w:rPr>
              <w:t xml:space="preserve"> </w:t>
            </w:r>
            <w:r w:rsidR="00002507" w:rsidRPr="00CA367A">
              <w:rPr>
                <w:rFonts w:asciiTheme="minorHAnsi" w:hAnsiTheme="minorHAnsi" w:cs="Arial"/>
                <w:color w:val="FF0000"/>
                <w:szCs w:val="21"/>
              </w:rPr>
              <w:t>(Rev.1)</w:t>
            </w:r>
          </w:p>
        </w:tc>
        <w:tc>
          <w:tcPr>
            <w:tcW w:w="1202"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2013-02-28</w:t>
            </w:r>
          </w:p>
        </w:tc>
        <w:tc>
          <w:tcPr>
            <w:tcW w:w="1916"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auto"/>
          </w:tcPr>
          <w:p w:rsidR="00002507" w:rsidRPr="008706A5" w:rsidRDefault="00002507" w:rsidP="00E03223">
            <w:pPr>
              <w:pStyle w:val="Tabletext"/>
              <w:rPr>
                <w:rFonts w:asciiTheme="minorHAnsi" w:hAnsiTheme="minorHAnsi" w:cs="Arial"/>
                <w:spacing w:val="-6"/>
                <w:szCs w:val="21"/>
                <w:lang w:val="en-US"/>
              </w:rPr>
            </w:pPr>
            <w:r w:rsidRPr="008706A5">
              <w:rPr>
                <w:rFonts w:asciiTheme="minorHAnsi" w:hAnsiTheme="minorHAnsi" w:cs="Arial"/>
                <w:spacing w:val="-6"/>
                <w:szCs w:val="21"/>
                <w:lang w:val="en-US"/>
              </w:rPr>
              <w:t>Overview of the ICT sector and regulatory updates based on responses to the ITU annual telecommunication regulatory survey, for selected sections of the Draft Report on Question 10-3/1</w:t>
            </w:r>
          </w:p>
        </w:tc>
      </w:tr>
      <w:tr w:rsidR="00002507" w:rsidRPr="00CA367A" w:rsidTr="00E03223">
        <w:tc>
          <w:tcPr>
            <w:tcW w:w="1100" w:type="dxa"/>
            <w:shd w:val="clear" w:color="auto" w:fill="E8F8FD"/>
          </w:tcPr>
          <w:p w:rsidR="00002507" w:rsidRPr="00CA367A" w:rsidRDefault="00AC27F2" w:rsidP="00E03223">
            <w:pPr>
              <w:pStyle w:val="Tabletext"/>
              <w:rPr>
                <w:rFonts w:asciiTheme="minorHAnsi" w:hAnsiTheme="minorHAnsi" w:cs="Arial"/>
                <w:szCs w:val="21"/>
              </w:rPr>
            </w:pPr>
            <w:hyperlink r:id="rId60" w:history="1">
              <w:r w:rsidR="00002507" w:rsidRPr="00CA367A">
                <w:rPr>
                  <w:rStyle w:val="Hyperlink"/>
                  <w:rFonts w:asciiTheme="minorHAnsi" w:hAnsiTheme="minorHAnsi" w:cs="Arial"/>
                  <w:szCs w:val="21"/>
                </w:rPr>
                <w:t>[ C 21 ]</w:t>
              </w:r>
            </w:hyperlink>
            <w:r w:rsidR="00002507" w:rsidRPr="00CA367A">
              <w:rPr>
                <w:rStyle w:val="Hyperlink"/>
                <w:rFonts w:asciiTheme="minorHAnsi" w:hAnsiTheme="minorHAnsi" w:cs="Arial"/>
                <w:szCs w:val="21"/>
              </w:rPr>
              <w:t xml:space="preserve"> </w:t>
            </w:r>
            <w:r w:rsidR="00002507" w:rsidRPr="00CA367A">
              <w:rPr>
                <w:rFonts w:asciiTheme="minorHAnsi" w:hAnsiTheme="minorHAnsi" w:cs="Arial"/>
                <w:color w:val="FF0000"/>
                <w:szCs w:val="21"/>
              </w:rPr>
              <w:t>+Ann.1-3</w:t>
            </w:r>
          </w:p>
        </w:tc>
        <w:tc>
          <w:tcPr>
            <w:tcW w:w="1202"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2013-02-21</w:t>
            </w:r>
          </w:p>
        </w:tc>
        <w:tc>
          <w:tcPr>
            <w:tcW w:w="1916"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Summary of 2012 Survey Results</w:t>
            </w:r>
          </w:p>
        </w:tc>
      </w:tr>
      <w:tr w:rsidR="00002507" w:rsidRPr="00AC27F2" w:rsidTr="00E03223">
        <w:tc>
          <w:tcPr>
            <w:tcW w:w="1100" w:type="dxa"/>
            <w:shd w:val="clear" w:color="auto" w:fill="auto"/>
          </w:tcPr>
          <w:p w:rsidR="00002507" w:rsidRPr="00CA367A" w:rsidRDefault="00AC27F2" w:rsidP="00E03223">
            <w:pPr>
              <w:pStyle w:val="Tabletext"/>
              <w:rPr>
                <w:rFonts w:asciiTheme="minorHAnsi" w:hAnsiTheme="minorHAnsi" w:cs="Arial"/>
                <w:szCs w:val="21"/>
              </w:rPr>
            </w:pPr>
            <w:hyperlink r:id="rId61" w:history="1">
              <w:r w:rsidR="00002507" w:rsidRPr="00CA367A">
                <w:rPr>
                  <w:rStyle w:val="Hyperlink"/>
                  <w:rFonts w:asciiTheme="minorHAnsi" w:hAnsiTheme="minorHAnsi" w:cs="Arial"/>
                  <w:szCs w:val="21"/>
                </w:rPr>
                <w:t>[ C 20 ]</w:t>
              </w:r>
            </w:hyperlink>
          </w:p>
        </w:tc>
        <w:tc>
          <w:tcPr>
            <w:tcW w:w="1202"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2013-02-15</w:t>
            </w:r>
          </w:p>
        </w:tc>
        <w:tc>
          <w:tcPr>
            <w:tcW w:w="1916"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auto"/>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Draft Guidelines on regulatory measures on competition in a converged telecommunications/ICT environment</w:t>
            </w:r>
          </w:p>
        </w:tc>
      </w:tr>
      <w:tr w:rsidR="00002507" w:rsidRPr="00AC27F2" w:rsidTr="00E03223">
        <w:tc>
          <w:tcPr>
            <w:tcW w:w="1100" w:type="dxa"/>
            <w:shd w:val="clear" w:color="auto" w:fill="E8F8FD"/>
          </w:tcPr>
          <w:p w:rsidR="00002507" w:rsidRPr="00CA367A" w:rsidRDefault="00AC27F2" w:rsidP="00E03223">
            <w:pPr>
              <w:pStyle w:val="Tabletext"/>
              <w:rPr>
                <w:rFonts w:asciiTheme="minorHAnsi" w:hAnsiTheme="minorHAnsi" w:cs="Arial"/>
                <w:szCs w:val="21"/>
              </w:rPr>
            </w:pPr>
            <w:hyperlink r:id="rId62" w:history="1">
              <w:r w:rsidR="00002507" w:rsidRPr="00CA367A">
                <w:rPr>
                  <w:rStyle w:val="Hyperlink"/>
                  <w:rFonts w:asciiTheme="minorHAnsi" w:hAnsiTheme="minorHAnsi" w:cs="Arial"/>
                  <w:szCs w:val="21"/>
                </w:rPr>
                <w:t>[ C 19 ]</w:t>
              </w:r>
            </w:hyperlink>
          </w:p>
        </w:tc>
        <w:tc>
          <w:tcPr>
            <w:tcW w:w="1202"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2013-02-15</w:t>
            </w:r>
          </w:p>
        </w:tc>
        <w:tc>
          <w:tcPr>
            <w:tcW w:w="1916"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E8F8FD"/>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Draft Guidelines on merger of telecommunication licensees</w:t>
            </w:r>
          </w:p>
        </w:tc>
      </w:tr>
      <w:tr w:rsidR="00002507" w:rsidRPr="00AC27F2" w:rsidTr="00E03223">
        <w:tc>
          <w:tcPr>
            <w:tcW w:w="1100" w:type="dxa"/>
            <w:shd w:val="clear" w:color="auto" w:fill="auto"/>
          </w:tcPr>
          <w:p w:rsidR="00002507" w:rsidRPr="00CA367A" w:rsidRDefault="00AC27F2" w:rsidP="00E03223">
            <w:pPr>
              <w:pStyle w:val="Tabletext"/>
              <w:rPr>
                <w:rFonts w:asciiTheme="minorHAnsi" w:hAnsiTheme="minorHAnsi" w:cs="Arial"/>
                <w:szCs w:val="21"/>
              </w:rPr>
            </w:pPr>
            <w:hyperlink r:id="rId63" w:history="1">
              <w:r w:rsidR="00002507" w:rsidRPr="00CA367A">
                <w:rPr>
                  <w:rStyle w:val="Hyperlink"/>
                  <w:rFonts w:asciiTheme="minorHAnsi" w:hAnsiTheme="minorHAnsi" w:cs="Arial"/>
                  <w:szCs w:val="21"/>
                </w:rPr>
                <w:t>[ C 18 ]</w:t>
              </w:r>
            </w:hyperlink>
          </w:p>
        </w:tc>
        <w:tc>
          <w:tcPr>
            <w:tcW w:w="1202"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2013-02-14</w:t>
            </w:r>
          </w:p>
        </w:tc>
        <w:tc>
          <w:tcPr>
            <w:tcW w:w="1916"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auto"/>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Competition and regulation in a converged broadband world</w:t>
            </w:r>
          </w:p>
        </w:tc>
      </w:tr>
      <w:tr w:rsidR="00002507" w:rsidRPr="00AC27F2" w:rsidTr="00E03223">
        <w:tc>
          <w:tcPr>
            <w:tcW w:w="1100" w:type="dxa"/>
            <w:shd w:val="clear" w:color="auto" w:fill="E8F8FD"/>
          </w:tcPr>
          <w:p w:rsidR="00002507" w:rsidRPr="00CA367A" w:rsidRDefault="00AC27F2" w:rsidP="00E03223">
            <w:pPr>
              <w:pStyle w:val="Tabletext"/>
              <w:rPr>
                <w:rFonts w:asciiTheme="minorHAnsi" w:hAnsiTheme="minorHAnsi" w:cs="Arial"/>
                <w:szCs w:val="21"/>
              </w:rPr>
            </w:pPr>
            <w:hyperlink r:id="rId64" w:history="1">
              <w:r w:rsidR="00002507" w:rsidRPr="00CA367A">
                <w:rPr>
                  <w:rStyle w:val="Hyperlink"/>
                  <w:rFonts w:asciiTheme="minorHAnsi" w:hAnsiTheme="minorHAnsi" w:cs="Arial"/>
                  <w:szCs w:val="21"/>
                </w:rPr>
                <w:t>[ C 16 ]</w:t>
              </w:r>
            </w:hyperlink>
          </w:p>
        </w:tc>
        <w:tc>
          <w:tcPr>
            <w:tcW w:w="1202"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2012-11-09</w:t>
            </w:r>
          </w:p>
        </w:tc>
        <w:tc>
          <w:tcPr>
            <w:tcW w:w="1916"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THALES Communications</w:t>
            </w:r>
          </w:p>
        </w:tc>
        <w:tc>
          <w:tcPr>
            <w:tcW w:w="5051" w:type="dxa"/>
            <w:shd w:val="clear" w:color="auto" w:fill="E8F8FD"/>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Importance of economic regulation of ICTs/competition authority</w:t>
            </w:r>
          </w:p>
        </w:tc>
      </w:tr>
      <w:tr w:rsidR="00002507" w:rsidRPr="00AC27F2" w:rsidTr="00E03223">
        <w:tc>
          <w:tcPr>
            <w:tcW w:w="1100"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AC27F2" w:rsidP="00E03223">
            <w:pPr>
              <w:pStyle w:val="Tabletext"/>
              <w:rPr>
                <w:rFonts w:asciiTheme="minorHAnsi" w:hAnsiTheme="minorHAnsi"/>
                <w:szCs w:val="21"/>
              </w:rPr>
            </w:pPr>
            <w:hyperlink r:id="rId65" w:history="1">
              <w:r w:rsidR="00002507" w:rsidRPr="00CA367A">
                <w:rPr>
                  <w:rStyle w:val="Hyperlink"/>
                  <w:rFonts w:asciiTheme="minorHAnsi" w:hAnsiTheme="minorHAnsi"/>
                  <w:szCs w:val="21"/>
                  <w:lang w:val="en-US"/>
                </w:rPr>
                <w:t>[ C 15 ]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2012-05-01</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Telecommunication Development Bureau</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Final list of participants for the Rapporteur Group Meeting on Question 10-3/1, Geneva, 26 April 2012</w:t>
            </w:r>
          </w:p>
        </w:tc>
      </w:tr>
      <w:tr w:rsidR="00002507" w:rsidRPr="00AC27F2" w:rsidTr="00E03223">
        <w:tc>
          <w:tcPr>
            <w:tcW w:w="1100"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AC27F2" w:rsidP="00E03223">
            <w:pPr>
              <w:pStyle w:val="Tabletext"/>
              <w:rPr>
                <w:rFonts w:asciiTheme="minorHAnsi" w:hAnsiTheme="minorHAnsi"/>
                <w:szCs w:val="21"/>
              </w:rPr>
            </w:pPr>
            <w:hyperlink r:id="rId66" w:history="1">
              <w:r w:rsidR="00002507" w:rsidRPr="00CA367A">
                <w:rPr>
                  <w:rStyle w:val="Hyperlink"/>
                  <w:rFonts w:asciiTheme="minorHAnsi" w:hAnsiTheme="minorHAnsi"/>
                  <w:szCs w:val="21"/>
                  <w:lang w:val="en-US"/>
                </w:rPr>
                <w:t>[ C 14 ]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2012-04-16</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Nepal(Republic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Telecommunications Regulatory Designs and Licensing Scheme in Some Countries</w:t>
            </w:r>
          </w:p>
        </w:tc>
      </w:tr>
      <w:tr w:rsidR="00002507" w:rsidRPr="00AC27F2" w:rsidTr="00E03223">
        <w:tc>
          <w:tcPr>
            <w:tcW w:w="1100"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AC27F2" w:rsidP="00E03223">
            <w:pPr>
              <w:pStyle w:val="Tabletext"/>
              <w:rPr>
                <w:rFonts w:asciiTheme="minorHAnsi" w:hAnsiTheme="minorHAnsi"/>
                <w:szCs w:val="21"/>
              </w:rPr>
            </w:pPr>
            <w:hyperlink r:id="rId67" w:history="1">
              <w:r w:rsidR="00002507" w:rsidRPr="00CA367A">
                <w:rPr>
                  <w:rStyle w:val="Hyperlink"/>
                  <w:rFonts w:asciiTheme="minorHAnsi" w:hAnsiTheme="minorHAnsi"/>
                  <w:szCs w:val="21"/>
                  <w:lang w:val="en-US"/>
                </w:rPr>
                <w:t>[ C 13 ]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2012-02-24</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Tanzania (United Republic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Competition Assessment in the Tanzania Telecommunications Market</w:t>
            </w:r>
          </w:p>
        </w:tc>
      </w:tr>
      <w:tr w:rsidR="00002507" w:rsidRPr="00AC27F2" w:rsidTr="00E03223">
        <w:tc>
          <w:tcPr>
            <w:tcW w:w="1100"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AC27F2" w:rsidP="00E03223">
            <w:pPr>
              <w:pStyle w:val="Tabletext"/>
              <w:rPr>
                <w:rFonts w:asciiTheme="minorHAnsi" w:hAnsiTheme="minorHAnsi"/>
                <w:szCs w:val="21"/>
              </w:rPr>
            </w:pPr>
            <w:hyperlink r:id="rId68" w:history="1">
              <w:r w:rsidR="00002507" w:rsidRPr="00CA367A">
                <w:rPr>
                  <w:rStyle w:val="Hyperlink"/>
                  <w:rFonts w:asciiTheme="minorHAnsi" w:hAnsiTheme="minorHAnsi"/>
                  <w:szCs w:val="21"/>
                  <w:lang w:val="en-US"/>
                </w:rPr>
                <w:t>[ C 12 ]</w:t>
              </w:r>
            </w:hyperlink>
          </w:p>
          <w:p w:rsidR="00002507" w:rsidRPr="00CA367A" w:rsidRDefault="00002507" w:rsidP="00E03223">
            <w:pPr>
              <w:pStyle w:val="Tabletext"/>
              <w:rPr>
                <w:rFonts w:asciiTheme="minorHAnsi" w:hAnsiTheme="minorHAnsi"/>
                <w:szCs w:val="21"/>
              </w:rPr>
            </w:pPr>
            <w:r w:rsidRPr="008706A5">
              <w:rPr>
                <w:rFonts w:asciiTheme="minorHAnsi" w:hAnsiTheme="minorHAnsi"/>
                <w:color w:val="FF0000"/>
                <w:szCs w:val="21"/>
              </w:rPr>
              <w:t>+Ann.1-4</w:t>
            </w:r>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2012-04-12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ITU World Telecommunication Regulatory Database Reports</w:t>
            </w:r>
          </w:p>
        </w:tc>
      </w:tr>
      <w:tr w:rsidR="00002507" w:rsidRPr="00CA367A" w:rsidTr="00E03223">
        <w:tc>
          <w:tcPr>
            <w:tcW w:w="1100"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AC27F2" w:rsidP="00E03223">
            <w:pPr>
              <w:pStyle w:val="Tabletext"/>
              <w:rPr>
                <w:rFonts w:asciiTheme="minorHAnsi" w:hAnsiTheme="minorHAnsi"/>
                <w:szCs w:val="21"/>
              </w:rPr>
            </w:pPr>
            <w:hyperlink r:id="rId69" w:history="1">
              <w:r w:rsidR="00002507" w:rsidRPr="00CA367A">
                <w:rPr>
                  <w:rStyle w:val="Hyperlink"/>
                  <w:rFonts w:asciiTheme="minorHAnsi" w:hAnsiTheme="minorHAnsi"/>
                  <w:szCs w:val="21"/>
                  <w:lang w:val="en-US"/>
                </w:rPr>
                <w:t>[ C 11 ]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2012-03-26</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Benin (Republic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lang w:val="fr-CH"/>
              </w:rPr>
            </w:pPr>
            <w:r w:rsidRPr="00CA367A">
              <w:rPr>
                <w:rFonts w:asciiTheme="minorHAnsi" w:hAnsiTheme="minorHAnsi" w:cs="Arial"/>
                <w:szCs w:val="21"/>
                <w:lang w:val="fr-CH"/>
              </w:rPr>
              <w:t>Impact de la réglementation sur les NGN: Cas du Bénin</w:t>
            </w:r>
          </w:p>
        </w:tc>
      </w:tr>
      <w:tr w:rsidR="00002507" w:rsidRPr="00CA367A" w:rsidTr="00E03223">
        <w:tc>
          <w:tcPr>
            <w:tcW w:w="1100"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AC27F2" w:rsidP="00E03223">
            <w:pPr>
              <w:pStyle w:val="Tabletext"/>
              <w:rPr>
                <w:rFonts w:asciiTheme="minorHAnsi" w:hAnsiTheme="minorHAnsi"/>
                <w:szCs w:val="21"/>
              </w:rPr>
            </w:pPr>
            <w:hyperlink r:id="rId70" w:history="1">
              <w:r w:rsidR="00002507" w:rsidRPr="00CA367A">
                <w:rPr>
                  <w:rStyle w:val="Hyperlink"/>
                  <w:rFonts w:asciiTheme="minorHAnsi" w:hAnsiTheme="minorHAnsi"/>
                  <w:szCs w:val="21"/>
                  <w:lang w:val="en-US"/>
                </w:rPr>
                <w:t>[ C 10 ]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2012-03-22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Senegal (Republic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lang w:val="fr-CH"/>
              </w:rPr>
            </w:pPr>
            <w:r w:rsidRPr="00CA367A">
              <w:rPr>
                <w:rFonts w:asciiTheme="minorHAnsi" w:hAnsiTheme="minorHAnsi" w:cs="Arial"/>
                <w:szCs w:val="21"/>
                <w:lang w:val="fr-CH"/>
              </w:rPr>
              <w:t>Collaboration entre régulateur sectoriel et régulateur de la concurrence</w:t>
            </w:r>
          </w:p>
        </w:tc>
      </w:tr>
      <w:tr w:rsidR="00002507" w:rsidRPr="00AC27F2" w:rsidTr="00E03223">
        <w:tc>
          <w:tcPr>
            <w:tcW w:w="1100"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AC27F2" w:rsidP="00E03223">
            <w:pPr>
              <w:pStyle w:val="Tabletext"/>
              <w:rPr>
                <w:rFonts w:asciiTheme="minorHAnsi" w:hAnsiTheme="minorHAnsi"/>
                <w:szCs w:val="21"/>
              </w:rPr>
            </w:pPr>
            <w:hyperlink r:id="rId71" w:history="1">
              <w:r w:rsidR="00002507" w:rsidRPr="00CA367A">
                <w:rPr>
                  <w:rStyle w:val="Hyperlink"/>
                  <w:rFonts w:asciiTheme="minorHAnsi" w:hAnsiTheme="minorHAnsi"/>
                  <w:szCs w:val="21"/>
                  <w:lang w:val="en-US"/>
                </w:rPr>
                <w:t>[ C 9 ]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2012-03-08</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Overview of BDT products and services related to the Question</w:t>
            </w:r>
          </w:p>
        </w:tc>
      </w:tr>
      <w:tr w:rsidR="00002507" w:rsidRPr="00AC27F2" w:rsidTr="00E03223">
        <w:tc>
          <w:tcPr>
            <w:tcW w:w="1100"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AC27F2" w:rsidP="00E03223">
            <w:pPr>
              <w:pStyle w:val="Tabletext"/>
              <w:rPr>
                <w:rFonts w:asciiTheme="minorHAnsi" w:hAnsiTheme="minorHAnsi"/>
                <w:szCs w:val="21"/>
              </w:rPr>
            </w:pPr>
            <w:hyperlink r:id="rId72" w:history="1">
              <w:r w:rsidR="00002507" w:rsidRPr="00CA367A">
                <w:rPr>
                  <w:rStyle w:val="Hyperlink"/>
                  <w:rFonts w:asciiTheme="minorHAnsi" w:hAnsiTheme="minorHAnsi"/>
                  <w:szCs w:val="21"/>
                  <w:lang w:val="en-US"/>
                </w:rPr>
                <w:t>[ C 8 ]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2012-02-02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Draft Agenda for Rapporte</w:t>
            </w:r>
            <w:r>
              <w:rPr>
                <w:rFonts w:asciiTheme="minorHAnsi" w:hAnsiTheme="minorHAnsi" w:cs="Arial"/>
                <w:szCs w:val="21"/>
                <w:lang w:val="en-US"/>
              </w:rPr>
              <w:t>ur Group Meeting on Question 10</w:t>
            </w:r>
            <w:r>
              <w:rPr>
                <w:rFonts w:asciiTheme="minorHAnsi" w:hAnsiTheme="minorHAnsi" w:cs="Arial"/>
                <w:szCs w:val="21"/>
                <w:lang w:val="en-US"/>
              </w:rPr>
              <w:noBreakHyphen/>
            </w:r>
            <w:r w:rsidRPr="00CA367A">
              <w:rPr>
                <w:rFonts w:asciiTheme="minorHAnsi" w:hAnsiTheme="minorHAnsi" w:cs="Arial"/>
                <w:szCs w:val="21"/>
                <w:lang w:val="en-US"/>
              </w:rPr>
              <w:t>3/1, Geneva, 26 April 2012</w:t>
            </w:r>
          </w:p>
        </w:tc>
      </w:tr>
      <w:tr w:rsidR="00002507" w:rsidRPr="00AC27F2" w:rsidTr="00E03223">
        <w:tc>
          <w:tcPr>
            <w:tcW w:w="1100" w:type="dxa"/>
            <w:shd w:val="clear" w:color="auto" w:fill="auto"/>
          </w:tcPr>
          <w:p w:rsidR="00002507" w:rsidRPr="00CA367A" w:rsidRDefault="00AC27F2" w:rsidP="00E03223">
            <w:pPr>
              <w:pStyle w:val="Tabletext"/>
              <w:rPr>
                <w:rFonts w:asciiTheme="minorHAnsi" w:hAnsiTheme="minorHAnsi" w:cs="Arial"/>
                <w:szCs w:val="21"/>
              </w:rPr>
            </w:pPr>
            <w:hyperlink r:id="rId73" w:history="1">
              <w:r w:rsidR="00002507" w:rsidRPr="00CA367A">
                <w:rPr>
                  <w:rStyle w:val="Hyperlink"/>
                  <w:rFonts w:asciiTheme="minorHAnsi" w:hAnsiTheme="minorHAnsi" w:cs="Arial"/>
                  <w:szCs w:val="21"/>
                </w:rPr>
                <w:t>[ C 7 ]</w:t>
              </w:r>
            </w:hyperlink>
          </w:p>
        </w:tc>
        <w:tc>
          <w:tcPr>
            <w:tcW w:w="1202"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2011-05-03</w:t>
            </w:r>
          </w:p>
        </w:tc>
        <w:tc>
          <w:tcPr>
            <w:tcW w:w="1916"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Telecommunication Development Bureau</w:t>
            </w:r>
          </w:p>
        </w:tc>
        <w:tc>
          <w:tcPr>
            <w:tcW w:w="5051" w:type="dxa"/>
            <w:shd w:val="clear" w:color="auto" w:fill="auto"/>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Final List of participants for the Rapporteur's Group Meeting on Question 10-3/1, Geneva, 2 May 2011</w:t>
            </w:r>
          </w:p>
        </w:tc>
      </w:tr>
      <w:tr w:rsidR="00002507" w:rsidRPr="00AC27F2" w:rsidTr="00E03223">
        <w:tc>
          <w:tcPr>
            <w:tcW w:w="1100" w:type="dxa"/>
            <w:shd w:val="clear" w:color="auto" w:fill="E8F8FD"/>
          </w:tcPr>
          <w:p w:rsidR="00002507" w:rsidRPr="00CA367A" w:rsidRDefault="00AC27F2" w:rsidP="00E03223">
            <w:pPr>
              <w:pStyle w:val="Tabletext"/>
              <w:rPr>
                <w:rFonts w:asciiTheme="minorHAnsi" w:hAnsiTheme="minorHAnsi" w:cs="Arial"/>
                <w:szCs w:val="21"/>
              </w:rPr>
            </w:pPr>
            <w:hyperlink r:id="rId74" w:history="1">
              <w:r w:rsidR="00002507" w:rsidRPr="00CA367A">
                <w:rPr>
                  <w:rStyle w:val="Hyperlink"/>
                  <w:rFonts w:asciiTheme="minorHAnsi" w:hAnsiTheme="minorHAnsi" w:cs="Arial"/>
                  <w:szCs w:val="21"/>
                </w:rPr>
                <w:t>[ C 6 ]</w:t>
              </w:r>
            </w:hyperlink>
            <w:r w:rsidR="00002507" w:rsidRPr="00CA367A">
              <w:rPr>
                <w:rStyle w:val="Hyperlink"/>
                <w:rFonts w:asciiTheme="minorHAnsi" w:hAnsiTheme="minorHAnsi" w:cs="Arial"/>
                <w:szCs w:val="21"/>
              </w:rPr>
              <w:t xml:space="preserve"> </w:t>
            </w:r>
            <w:r w:rsidR="00002507" w:rsidRPr="00CA367A">
              <w:rPr>
                <w:rFonts w:asciiTheme="minorHAnsi" w:hAnsiTheme="minorHAnsi" w:cs="Arial"/>
                <w:color w:val="FF0000"/>
                <w:szCs w:val="21"/>
              </w:rPr>
              <w:t>+Ann.1</w:t>
            </w:r>
          </w:p>
        </w:tc>
        <w:tc>
          <w:tcPr>
            <w:tcW w:w="1202"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2011-05-03</w:t>
            </w:r>
          </w:p>
        </w:tc>
        <w:tc>
          <w:tcPr>
            <w:tcW w:w="1916"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E8F8FD"/>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Overview of Question 10-3/1 and Draft Outline Report</w:t>
            </w:r>
          </w:p>
        </w:tc>
      </w:tr>
      <w:tr w:rsidR="00002507" w:rsidRPr="00AC27F2" w:rsidTr="00E03223">
        <w:tc>
          <w:tcPr>
            <w:tcW w:w="1100" w:type="dxa"/>
            <w:shd w:val="clear" w:color="auto" w:fill="auto"/>
          </w:tcPr>
          <w:p w:rsidR="00002507" w:rsidRPr="00CA367A" w:rsidRDefault="00AC27F2" w:rsidP="00E03223">
            <w:pPr>
              <w:pStyle w:val="Tabletext"/>
              <w:rPr>
                <w:rFonts w:asciiTheme="minorHAnsi" w:hAnsiTheme="minorHAnsi" w:cs="Arial"/>
                <w:szCs w:val="21"/>
              </w:rPr>
            </w:pPr>
            <w:hyperlink r:id="rId75" w:history="1">
              <w:r w:rsidR="00002507" w:rsidRPr="00CA367A">
                <w:rPr>
                  <w:rStyle w:val="Hyperlink"/>
                  <w:rFonts w:asciiTheme="minorHAnsi" w:hAnsiTheme="minorHAnsi" w:cs="Arial"/>
                  <w:szCs w:val="21"/>
                </w:rPr>
                <w:t>[ C 5 ]</w:t>
              </w:r>
            </w:hyperlink>
          </w:p>
        </w:tc>
        <w:tc>
          <w:tcPr>
            <w:tcW w:w="1202"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2011-04-14</w:t>
            </w:r>
          </w:p>
        </w:tc>
        <w:tc>
          <w:tcPr>
            <w:tcW w:w="1916"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auto"/>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Contribution from BDT Focal Point for Question 10-3/1</w:t>
            </w:r>
          </w:p>
        </w:tc>
      </w:tr>
      <w:tr w:rsidR="00002507" w:rsidRPr="00CA367A" w:rsidTr="00E03223">
        <w:tc>
          <w:tcPr>
            <w:tcW w:w="1100" w:type="dxa"/>
            <w:shd w:val="clear" w:color="auto" w:fill="E8F8FD"/>
          </w:tcPr>
          <w:p w:rsidR="00002507" w:rsidRPr="00CA367A" w:rsidRDefault="00AC27F2" w:rsidP="00E03223">
            <w:pPr>
              <w:pStyle w:val="Tabletext"/>
              <w:rPr>
                <w:rFonts w:asciiTheme="minorHAnsi" w:hAnsiTheme="minorHAnsi" w:cs="Arial"/>
                <w:szCs w:val="21"/>
              </w:rPr>
            </w:pPr>
            <w:hyperlink r:id="rId76" w:history="1">
              <w:r w:rsidR="00002507" w:rsidRPr="00CA367A">
                <w:rPr>
                  <w:rStyle w:val="Hyperlink"/>
                  <w:rFonts w:asciiTheme="minorHAnsi" w:hAnsiTheme="minorHAnsi" w:cs="Arial"/>
                  <w:szCs w:val="21"/>
                </w:rPr>
                <w:t>[ C 4 ]</w:t>
              </w:r>
            </w:hyperlink>
          </w:p>
        </w:tc>
        <w:tc>
          <w:tcPr>
            <w:tcW w:w="1202"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2011-05-02</w:t>
            </w:r>
          </w:p>
        </w:tc>
        <w:tc>
          <w:tcPr>
            <w:tcW w:w="1916"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N/A</w:t>
            </w:r>
          </w:p>
        </w:tc>
        <w:tc>
          <w:tcPr>
            <w:tcW w:w="5051"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CANCELLED</w:t>
            </w:r>
          </w:p>
        </w:tc>
      </w:tr>
      <w:tr w:rsidR="00002507" w:rsidRPr="00CA367A" w:rsidTr="00E03223">
        <w:tc>
          <w:tcPr>
            <w:tcW w:w="1100" w:type="dxa"/>
            <w:shd w:val="clear" w:color="auto" w:fill="auto"/>
          </w:tcPr>
          <w:p w:rsidR="00002507" w:rsidRPr="00CA367A" w:rsidRDefault="00AC27F2" w:rsidP="00E03223">
            <w:pPr>
              <w:pStyle w:val="Tabletext"/>
              <w:rPr>
                <w:rFonts w:asciiTheme="minorHAnsi" w:hAnsiTheme="minorHAnsi" w:cs="Arial"/>
                <w:szCs w:val="21"/>
              </w:rPr>
            </w:pPr>
            <w:hyperlink r:id="rId77" w:history="1">
              <w:r w:rsidR="00002507" w:rsidRPr="00CA367A">
                <w:rPr>
                  <w:rStyle w:val="Hyperlink"/>
                  <w:rFonts w:asciiTheme="minorHAnsi" w:hAnsiTheme="minorHAnsi" w:cs="Arial"/>
                  <w:szCs w:val="21"/>
                </w:rPr>
                <w:t>[ C 3 ]</w:t>
              </w:r>
            </w:hyperlink>
          </w:p>
        </w:tc>
        <w:tc>
          <w:tcPr>
            <w:tcW w:w="1202"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2011-04-08</w:t>
            </w:r>
          </w:p>
        </w:tc>
        <w:tc>
          <w:tcPr>
            <w:tcW w:w="1916"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Togolese Republic</w:t>
            </w:r>
          </w:p>
        </w:tc>
        <w:tc>
          <w:tcPr>
            <w:tcW w:w="5051"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Législation togolaise</w:t>
            </w:r>
          </w:p>
        </w:tc>
      </w:tr>
      <w:tr w:rsidR="00002507" w:rsidRPr="00AC27F2" w:rsidTr="00E03223">
        <w:tc>
          <w:tcPr>
            <w:tcW w:w="1100" w:type="dxa"/>
            <w:shd w:val="clear" w:color="auto" w:fill="E8F8FD"/>
          </w:tcPr>
          <w:p w:rsidR="00002507" w:rsidRPr="00CA367A" w:rsidRDefault="00AC27F2" w:rsidP="00E03223">
            <w:pPr>
              <w:pStyle w:val="Tabletext"/>
              <w:rPr>
                <w:rFonts w:asciiTheme="minorHAnsi" w:hAnsiTheme="minorHAnsi" w:cs="Arial"/>
                <w:szCs w:val="21"/>
              </w:rPr>
            </w:pPr>
            <w:hyperlink r:id="rId78" w:history="1">
              <w:r w:rsidR="00002507" w:rsidRPr="00CA367A">
                <w:rPr>
                  <w:rStyle w:val="Hyperlink"/>
                  <w:rFonts w:asciiTheme="minorHAnsi" w:hAnsiTheme="minorHAnsi" w:cs="Arial"/>
                  <w:szCs w:val="21"/>
                </w:rPr>
                <w:t>[ C 2 ]</w:t>
              </w:r>
            </w:hyperlink>
          </w:p>
        </w:tc>
        <w:tc>
          <w:tcPr>
            <w:tcW w:w="1202"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2011-03-08</w:t>
            </w:r>
          </w:p>
        </w:tc>
        <w:tc>
          <w:tcPr>
            <w:tcW w:w="1916" w:type="dxa"/>
            <w:shd w:val="clear" w:color="auto" w:fill="E8F8FD"/>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BDT Focal Point for Question 10-3/1</w:t>
            </w:r>
          </w:p>
        </w:tc>
        <w:tc>
          <w:tcPr>
            <w:tcW w:w="5051" w:type="dxa"/>
            <w:shd w:val="clear" w:color="auto" w:fill="E8F8FD"/>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Input from BDT Programme 3: Enabling environment (2010/2011)</w:t>
            </w:r>
          </w:p>
        </w:tc>
      </w:tr>
      <w:tr w:rsidR="00002507" w:rsidRPr="00AC27F2" w:rsidTr="00E03223">
        <w:tc>
          <w:tcPr>
            <w:tcW w:w="1100" w:type="dxa"/>
            <w:shd w:val="clear" w:color="auto" w:fill="auto"/>
          </w:tcPr>
          <w:p w:rsidR="00002507" w:rsidRPr="00CA367A" w:rsidRDefault="00AC27F2" w:rsidP="00E03223">
            <w:pPr>
              <w:pStyle w:val="Tabletext"/>
              <w:rPr>
                <w:rFonts w:asciiTheme="minorHAnsi" w:hAnsiTheme="minorHAnsi" w:cs="Arial"/>
                <w:szCs w:val="21"/>
              </w:rPr>
            </w:pPr>
            <w:hyperlink r:id="rId79" w:history="1">
              <w:r w:rsidR="00002507" w:rsidRPr="00CA367A">
                <w:rPr>
                  <w:rStyle w:val="Hyperlink"/>
                  <w:rFonts w:asciiTheme="minorHAnsi" w:hAnsiTheme="minorHAnsi" w:cs="Arial"/>
                  <w:szCs w:val="21"/>
                </w:rPr>
                <w:t>[ C 1 ]</w:t>
              </w:r>
            </w:hyperlink>
          </w:p>
        </w:tc>
        <w:tc>
          <w:tcPr>
            <w:tcW w:w="1202"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2011-02-08</w:t>
            </w:r>
          </w:p>
        </w:tc>
        <w:tc>
          <w:tcPr>
            <w:tcW w:w="1916" w:type="dxa"/>
            <w:shd w:val="clear" w:color="auto" w:fill="auto"/>
          </w:tcPr>
          <w:p w:rsidR="00002507" w:rsidRPr="00CA367A" w:rsidRDefault="00002507" w:rsidP="00E03223">
            <w:pPr>
              <w:pStyle w:val="Tabletext"/>
              <w:rPr>
                <w:rFonts w:asciiTheme="minorHAnsi" w:hAnsiTheme="minorHAnsi" w:cs="Arial"/>
                <w:szCs w:val="21"/>
              </w:rPr>
            </w:pPr>
            <w:r w:rsidRPr="00CA367A">
              <w:rPr>
                <w:rFonts w:asciiTheme="minorHAnsi" w:hAnsiTheme="minorHAnsi" w:cs="Arial"/>
                <w:szCs w:val="21"/>
              </w:rPr>
              <w:t>Rapporteur for Question 10-3/1</w:t>
            </w:r>
          </w:p>
        </w:tc>
        <w:tc>
          <w:tcPr>
            <w:tcW w:w="5051" w:type="dxa"/>
            <w:shd w:val="clear" w:color="auto" w:fill="auto"/>
          </w:tcPr>
          <w:p w:rsidR="00002507" w:rsidRPr="00CA367A" w:rsidRDefault="00002507" w:rsidP="00E03223">
            <w:pPr>
              <w:pStyle w:val="Tabletext"/>
              <w:rPr>
                <w:rFonts w:asciiTheme="minorHAnsi" w:hAnsiTheme="minorHAnsi" w:cs="Arial"/>
                <w:szCs w:val="21"/>
                <w:lang w:val="en-US"/>
              </w:rPr>
            </w:pPr>
            <w:r w:rsidRPr="00CA367A">
              <w:rPr>
                <w:rFonts w:asciiTheme="minorHAnsi" w:hAnsiTheme="minorHAnsi" w:cs="Arial"/>
                <w:szCs w:val="21"/>
                <w:lang w:val="en-US"/>
              </w:rPr>
              <w:t>Draft agenda of the Rapporteur's Group meeting on Question 10-3/1, Geneva, Monday 2 May 2011</w:t>
            </w:r>
          </w:p>
        </w:tc>
      </w:tr>
    </w:tbl>
    <w:p w:rsidR="00002507" w:rsidRPr="00610169" w:rsidRDefault="00002507" w:rsidP="00002507">
      <w:pPr>
        <w:spacing w:after="120"/>
        <w:rPr>
          <w:b/>
          <w:color w:val="005173"/>
          <w:szCs w:val="19"/>
          <w:lang w:val="en-US" w:eastAsia="en-US"/>
        </w:rPr>
      </w:pPr>
      <w:r w:rsidRPr="00610169">
        <w:rPr>
          <w:b/>
          <w:color w:val="005173"/>
          <w:szCs w:val="19"/>
          <w:lang w:val="en-US" w:eastAsia="en-US"/>
        </w:rPr>
        <w:t>Documents submitted for information to Study Group 1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4995"/>
      </w:tblGrid>
      <w:tr w:rsidR="00002507" w:rsidRPr="00610169" w:rsidTr="00E03223">
        <w:tc>
          <w:tcPr>
            <w:tcW w:w="1101" w:type="dxa"/>
            <w:shd w:val="clear" w:color="auto" w:fill="005173"/>
          </w:tcPr>
          <w:p w:rsidR="00002507" w:rsidRPr="00610169" w:rsidRDefault="00002507" w:rsidP="00E03223">
            <w:pPr>
              <w:pStyle w:val="Tablehead"/>
            </w:pPr>
            <w:r w:rsidRPr="00610169">
              <w:t>Number  </w:t>
            </w:r>
          </w:p>
        </w:tc>
        <w:tc>
          <w:tcPr>
            <w:tcW w:w="1202" w:type="dxa"/>
            <w:shd w:val="clear" w:color="auto" w:fill="005173"/>
          </w:tcPr>
          <w:p w:rsidR="00002507" w:rsidRPr="00610169" w:rsidRDefault="00002507" w:rsidP="00E03223">
            <w:pPr>
              <w:pStyle w:val="Tablehead"/>
            </w:pPr>
            <w:r w:rsidRPr="00610169">
              <w:t>Received</w:t>
            </w:r>
          </w:p>
        </w:tc>
        <w:tc>
          <w:tcPr>
            <w:tcW w:w="1916" w:type="dxa"/>
            <w:shd w:val="clear" w:color="auto" w:fill="005173"/>
          </w:tcPr>
          <w:p w:rsidR="00002507" w:rsidRPr="00610169" w:rsidRDefault="00002507" w:rsidP="00E03223">
            <w:pPr>
              <w:pStyle w:val="Tablehead"/>
            </w:pPr>
            <w:r w:rsidRPr="00610169">
              <w:t>Source</w:t>
            </w:r>
          </w:p>
        </w:tc>
        <w:tc>
          <w:tcPr>
            <w:tcW w:w="4995" w:type="dxa"/>
            <w:shd w:val="clear" w:color="auto" w:fill="005173"/>
          </w:tcPr>
          <w:p w:rsidR="00002507" w:rsidRPr="00610169" w:rsidRDefault="00002507" w:rsidP="00E03223">
            <w:pPr>
              <w:pStyle w:val="Tablehead"/>
            </w:pPr>
            <w:r w:rsidRPr="00610169">
              <w:t>Title</w:t>
            </w:r>
          </w:p>
        </w:tc>
      </w:tr>
      <w:tr w:rsidR="00002507" w:rsidRPr="00AC27F2" w:rsidTr="00E03223">
        <w:tc>
          <w:tcPr>
            <w:tcW w:w="1101" w:type="dxa"/>
            <w:shd w:val="clear" w:color="auto" w:fill="E8F8FD"/>
          </w:tcPr>
          <w:p w:rsidR="00002507" w:rsidRPr="00610169" w:rsidRDefault="00AC27F2" w:rsidP="00E03223">
            <w:pPr>
              <w:pStyle w:val="Tabletext"/>
              <w:rPr>
                <w:rFonts w:asciiTheme="minorHAnsi" w:hAnsiTheme="minorHAnsi"/>
              </w:rPr>
            </w:pPr>
            <w:hyperlink r:id="rId80" w:history="1">
              <w:r w:rsidR="00002507" w:rsidRPr="00610169">
                <w:rPr>
                  <w:rStyle w:val="Hyperlink"/>
                  <w:rFonts w:asciiTheme="minorHAnsi" w:hAnsiTheme="minorHAnsi"/>
                </w:rPr>
                <w:t>[ 61 ]</w:t>
              </w:r>
            </w:hyperlink>
          </w:p>
        </w:tc>
        <w:tc>
          <w:tcPr>
            <w:tcW w:w="1202" w:type="dxa"/>
            <w:shd w:val="clear" w:color="auto" w:fill="E8F8FD"/>
          </w:tcPr>
          <w:p w:rsidR="00002507" w:rsidRPr="00610169" w:rsidRDefault="00002507" w:rsidP="00E03223">
            <w:pPr>
              <w:pStyle w:val="Tabletext"/>
              <w:rPr>
                <w:rFonts w:asciiTheme="minorHAnsi" w:hAnsiTheme="minorHAnsi"/>
              </w:rPr>
            </w:pPr>
            <w:r w:rsidRPr="00610169">
              <w:rPr>
                <w:rFonts w:asciiTheme="minorHAnsi" w:hAnsiTheme="minorHAnsi"/>
              </w:rPr>
              <w:t>2013-08-27</w:t>
            </w:r>
          </w:p>
        </w:tc>
        <w:tc>
          <w:tcPr>
            <w:tcW w:w="1916" w:type="dxa"/>
            <w:shd w:val="clear" w:color="auto" w:fill="E8F8FD"/>
          </w:tcPr>
          <w:p w:rsidR="00002507" w:rsidRPr="00610169" w:rsidRDefault="00002507" w:rsidP="00E03223">
            <w:pPr>
              <w:pStyle w:val="Tabletext"/>
              <w:rPr>
                <w:rFonts w:asciiTheme="minorHAnsi" w:hAnsiTheme="minorHAnsi"/>
              </w:rPr>
            </w:pPr>
            <w:r w:rsidRPr="00610169">
              <w:rPr>
                <w:rFonts w:asciiTheme="minorHAnsi" w:hAnsiTheme="minorHAnsi"/>
              </w:rPr>
              <w:t>BDT Focal Point for Question 10-3/1</w:t>
            </w:r>
          </w:p>
        </w:tc>
        <w:tc>
          <w:tcPr>
            <w:tcW w:w="4995" w:type="dxa"/>
            <w:shd w:val="clear" w:color="auto" w:fill="E8F8FD"/>
          </w:tcPr>
          <w:p w:rsidR="00002507" w:rsidRPr="00610169" w:rsidRDefault="00002507" w:rsidP="00E03223">
            <w:pPr>
              <w:pStyle w:val="Tabletext"/>
              <w:rPr>
                <w:rFonts w:asciiTheme="minorHAnsi" w:hAnsiTheme="minorHAnsi"/>
                <w:lang w:val="en-US"/>
              </w:rPr>
            </w:pPr>
            <w:r w:rsidRPr="00610169">
              <w:rPr>
                <w:rFonts w:asciiTheme="minorHAnsi" w:hAnsiTheme="minorHAnsi"/>
                <w:lang w:val="en-US"/>
              </w:rPr>
              <w:t>GSR13 Best practice guidelines on the evolving roles of both regulation and the regulators in a digital environment</w:t>
            </w:r>
          </w:p>
        </w:tc>
      </w:tr>
      <w:tr w:rsidR="00002507" w:rsidRPr="00610169" w:rsidTr="00E03223">
        <w:tc>
          <w:tcPr>
            <w:tcW w:w="1101" w:type="dxa"/>
            <w:shd w:val="clear" w:color="auto" w:fill="auto"/>
          </w:tcPr>
          <w:p w:rsidR="00002507" w:rsidRPr="00610169" w:rsidRDefault="00AC27F2" w:rsidP="00E03223">
            <w:pPr>
              <w:pStyle w:val="Tabletext"/>
              <w:rPr>
                <w:rFonts w:asciiTheme="minorHAnsi" w:hAnsiTheme="minorHAnsi"/>
              </w:rPr>
            </w:pPr>
            <w:hyperlink r:id="rId81" w:history="1">
              <w:r w:rsidR="00002507" w:rsidRPr="00610169">
                <w:rPr>
                  <w:rStyle w:val="Hyperlink"/>
                  <w:rFonts w:asciiTheme="minorHAnsi" w:hAnsiTheme="minorHAnsi"/>
                </w:rPr>
                <w:t>[ 60 ]</w:t>
              </w:r>
            </w:hyperlink>
          </w:p>
        </w:tc>
        <w:tc>
          <w:tcPr>
            <w:tcW w:w="1202" w:type="dxa"/>
            <w:shd w:val="clear" w:color="auto" w:fill="auto"/>
          </w:tcPr>
          <w:p w:rsidR="00002507" w:rsidRPr="00610169" w:rsidRDefault="00002507" w:rsidP="00E03223">
            <w:pPr>
              <w:pStyle w:val="Tabletext"/>
              <w:rPr>
                <w:rFonts w:asciiTheme="minorHAnsi" w:hAnsiTheme="minorHAnsi"/>
              </w:rPr>
            </w:pPr>
            <w:r w:rsidRPr="00610169">
              <w:rPr>
                <w:rFonts w:asciiTheme="minorHAnsi" w:hAnsiTheme="minorHAnsi"/>
              </w:rPr>
              <w:t>2013-08-20</w:t>
            </w:r>
          </w:p>
        </w:tc>
        <w:tc>
          <w:tcPr>
            <w:tcW w:w="1916" w:type="dxa"/>
            <w:shd w:val="clear" w:color="auto" w:fill="auto"/>
          </w:tcPr>
          <w:p w:rsidR="00002507" w:rsidRPr="00610169" w:rsidRDefault="00002507" w:rsidP="00E03223">
            <w:pPr>
              <w:pStyle w:val="Tabletext"/>
              <w:rPr>
                <w:rFonts w:asciiTheme="minorHAnsi" w:hAnsiTheme="minorHAnsi"/>
              </w:rPr>
            </w:pPr>
            <w:r w:rsidRPr="00610169">
              <w:rPr>
                <w:rFonts w:asciiTheme="minorHAnsi" w:hAnsiTheme="minorHAnsi"/>
              </w:rPr>
              <w:t>Côte d'Ivoire (Republic of)</w:t>
            </w:r>
          </w:p>
        </w:tc>
        <w:tc>
          <w:tcPr>
            <w:tcW w:w="4995" w:type="dxa"/>
            <w:shd w:val="clear" w:color="auto" w:fill="auto"/>
          </w:tcPr>
          <w:p w:rsidR="00002507" w:rsidRPr="00610169" w:rsidRDefault="00002507" w:rsidP="00E03223">
            <w:pPr>
              <w:pStyle w:val="Tabletext"/>
              <w:rPr>
                <w:rFonts w:asciiTheme="minorHAnsi" w:hAnsiTheme="minorHAnsi"/>
                <w:lang w:val="fr-CH"/>
              </w:rPr>
            </w:pPr>
            <w:r w:rsidRPr="00610169">
              <w:rPr>
                <w:rFonts w:asciiTheme="minorHAnsi" w:hAnsiTheme="minorHAnsi"/>
                <w:lang w:val="fr-CH"/>
              </w:rPr>
              <w:t>Evolution de la réglementation et du cadre institutionnel dans le secteur des Télécommuni</w:t>
            </w:r>
            <w:r w:rsidRPr="00610169">
              <w:rPr>
                <w:rFonts w:asciiTheme="minorHAnsi" w:hAnsiTheme="minorHAnsi"/>
              </w:rPr>
              <w:t>-</w:t>
            </w:r>
            <w:r w:rsidRPr="00610169">
              <w:rPr>
                <w:rFonts w:asciiTheme="minorHAnsi" w:hAnsiTheme="minorHAnsi"/>
                <w:lang w:val="fr-CH"/>
              </w:rPr>
              <w:t>cations/TIC en Côte d'Ivoire</w:t>
            </w:r>
          </w:p>
        </w:tc>
      </w:tr>
      <w:tr w:rsidR="00002507" w:rsidRPr="00AC27F2" w:rsidTr="00E03223">
        <w:tc>
          <w:tcPr>
            <w:tcW w:w="1101" w:type="dxa"/>
            <w:shd w:val="clear" w:color="auto" w:fill="E8F8FD"/>
          </w:tcPr>
          <w:p w:rsidR="00002507" w:rsidRPr="00610169" w:rsidRDefault="00AC27F2" w:rsidP="00E03223">
            <w:pPr>
              <w:pStyle w:val="Tabletext"/>
              <w:rPr>
                <w:rFonts w:asciiTheme="minorHAnsi" w:eastAsia="Times New Roman" w:hAnsiTheme="minorHAnsi" w:cs="Arial"/>
                <w:bCs/>
                <w:color w:val="0000FF"/>
              </w:rPr>
            </w:pPr>
            <w:hyperlink r:id="rId82" w:history="1">
              <w:r w:rsidR="00002507" w:rsidRPr="00610169">
                <w:rPr>
                  <w:rFonts w:asciiTheme="minorHAnsi" w:eastAsia="Times New Roman" w:hAnsiTheme="minorHAnsi" w:cs="Arial"/>
                  <w:color w:val="0000FF"/>
                  <w:u w:val="single"/>
                </w:rPr>
                <w:t>[ 37 ]</w:t>
              </w:r>
            </w:hyperlink>
            <w:r w:rsidR="00002507" w:rsidRPr="00610169">
              <w:rPr>
                <w:rFonts w:asciiTheme="minorHAnsi" w:eastAsia="Times New Roman" w:hAnsiTheme="minorHAnsi" w:cs="Arial"/>
                <w:color w:val="0000FF"/>
              </w:rPr>
              <w:t>   </w:t>
            </w:r>
            <w:r w:rsidR="00002507" w:rsidRPr="00610169">
              <w:rPr>
                <w:rFonts w:asciiTheme="minorHAnsi" w:eastAsia="Times New Roman" w:hAnsiTheme="minorHAnsi" w:cs="Arial"/>
                <w:color w:val="0000FF"/>
              </w:rPr>
              <w:br/>
              <w:t> </w:t>
            </w:r>
          </w:p>
        </w:tc>
        <w:tc>
          <w:tcPr>
            <w:tcW w:w="1202" w:type="dxa"/>
            <w:shd w:val="clear" w:color="auto" w:fill="E8F8FD"/>
          </w:tcPr>
          <w:p w:rsidR="00002507" w:rsidRPr="00610169" w:rsidRDefault="00002507" w:rsidP="00E03223">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2011-08-18</w:t>
            </w:r>
          </w:p>
        </w:tc>
        <w:tc>
          <w:tcPr>
            <w:tcW w:w="1916" w:type="dxa"/>
            <w:shd w:val="clear" w:color="auto" w:fill="E8F8FD"/>
          </w:tcPr>
          <w:p w:rsidR="00002507" w:rsidRPr="00887B4F" w:rsidRDefault="00AC27F2" w:rsidP="00E03223">
            <w:pPr>
              <w:pStyle w:val="Tabletext"/>
              <w:rPr>
                <w:rFonts w:asciiTheme="minorHAnsi" w:eastAsia="Times New Roman" w:hAnsiTheme="minorHAnsi" w:cs="Arial"/>
                <w:bCs/>
                <w:spacing w:val="-6"/>
              </w:rPr>
            </w:pPr>
            <w:hyperlink r:id="rId83" w:history="1">
              <w:r w:rsidR="00002507" w:rsidRPr="00887B4F">
                <w:rPr>
                  <w:rFonts w:asciiTheme="minorHAnsi" w:eastAsia="Times New Roman" w:hAnsiTheme="minorHAnsi" w:cs="Arial"/>
                  <w:spacing w:val="-6"/>
                  <w:u w:val="single"/>
                </w:rPr>
                <w:t>Egypt (Arab Republic of)</w:t>
              </w:r>
            </w:hyperlink>
            <w:r w:rsidR="00002507" w:rsidRPr="00887B4F">
              <w:rPr>
                <w:rFonts w:asciiTheme="minorHAnsi" w:eastAsia="Times New Roman" w:hAnsiTheme="minorHAnsi" w:cs="Arial"/>
                <w:spacing w:val="-6"/>
              </w:rPr>
              <w:t>  </w:t>
            </w:r>
          </w:p>
        </w:tc>
        <w:tc>
          <w:tcPr>
            <w:tcW w:w="4995" w:type="dxa"/>
            <w:shd w:val="clear" w:color="auto" w:fill="E8F8FD"/>
          </w:tcPr>
          <w:p w:rsidR="00002507" w:rsidRPr="00610169" w:rsidRDefault="00002507" w:rsidP="00E03223">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Cooperation between national regulatory authorities and competition authorities: case study of Egypt  </w:t>
            </w:r>
            <w:r w:rsidRPr="00610169">
              <w:rPr>
                <w:rFonts w:asciiTheme="minorHAnsi" w:eastAsia="Times New Roman" w:hAnsiTheme="minorHAnsi" w:cs="Arial"/>
                <w:color w:val="FF0000"/>
                <w:lang w:val="en-US"/>
              </w:rPr>
              <w:t>  </w:t>
            </w:r>
          </w:p>
        </w:tc>
      </w:tr>
      <w:tr w:rsidR="00002507" w:rsidRPr="00AC27F2" w:rsidTr="00E03223">
        <w:tc>
          <w:tcPr>
            <w:tcW w:w="1101" w:type="dxa"/>
            <w:shd w:val="clear" w:color="auto" w:fill="auto"/>
          </w:tcPr>
          <w:p w:rsidR="00002507" w:rsidRPr="00610169" w:rsidRDefault="00AC27F2" w:rsidP="00E03223">
            <w:pPr>
              <w:pStyle w:val="Tabletext"/>
              <w:rPr>
                <w:rFonts w:asciiTheme="minorHAnsi" w:eastAsia="Times New Roman" w:hAnsiTheme="minorHAnsi" w:cs="Arial"/>
                <w:bCs/>
                <w:color w:val="0000FF"/>
              </w:rPr>
            </w:pPr>
            <w:hyperlink r:id="rId84" w:history="1">
              <w:r w:rsidR="00002507" w:rsidRPr="00610169">
                <w:rPr>
                  <w:rFonts w:asciiTheme="minorHAnsi" w:eastAsia="Times New Roman" w:hAnsiTheme="minorHAnsi" w:cs="Arial"/>
                  <w:color w:val="0000FF"/>
                  <w:u w:val="single"/>
                </w:rPr>
                <w:t>[ 35 ]</w:t>
              </w:r>
            </w:hyperlink>
            <w:r w:rsidR="00002507" w:rsidRPr="00610169">
              <w:rPr>
                <w:rFonts w:asciiTheme="minorHAnsi" w:eastAsia="Times New Roman" w:hAnsiTheme="minorHAnsi" w:cs="Arial"/>
                <w:color w:val="0000FF"/>
              </w:rPr>
              <w:t>   </w:t>
            </w:r>
            <w:r w:rsidR="00002507" w:rsidRPr="00610169">
              <w:rPr>
                <w:rFonts w:asciiTheme="minorHAnsi" w:eastAsia="Times New Roman" w:hAnsiTheme="minorHAnsi" w:cs="Arial"/>
                <w:color w:val="0000FF"/>
              </w:rPr>
              <w:br/>
              <w:t> </w:t>
            </w:r>
          </w:p>
        </w:tc>
        <w:tc>
          <w:tcPr>
            <w:tcW w:w="1202" w:type="dxa"/>
            <w:shd w:val="clear" w:color="auto" w:fill="auto"/>
          </w:tcPr>
          <w:p w:rsidR="00002507" w:rsidRPr="00610169" w:rsidRDefault="00002507" w:rsidP="00E03223">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2011-08-18</w:t>
            </w:r>
          </w:p>
        </w:tc>
        <w:tc>
          <w:tcPr>
            <w:tcW w:w="1916" w:type="dxa"/>
            <w:shd w:val="clear" w:color="auto" w:fill="auto"/>
          </w:tcPr>
          <w:p w:rsidR="00002507" w:rsidRPr="00610169" w:rsidRDefault="00AC27F2" w:rsidP="00E03223">
            <w:pPr>
              <w:pStyle w:val="Tabletext"/>
              <w:rPr>
                <w:rFonts w:asciiTheme="minorHAnsi" w:eastAsia="Times New Roman" w:hAnsiTheme="minorHAnsi" w:cs="Arial"/>
                <w:bCs/>
              </w:rPr>
            </w:pPr>
            <w:hyperlink r:id="rId85" w:anchor="127;s Republic of)" w:history="1">
              <w:r w:rsidR="00002507" w:rsidRPr="00610169">
                <w:rPr>
                  <w:rFonts w:asciiTheme="minorHAnsi" w:eastAsia="Times New Roman" w:hAnsiTheme="minorHAnsi" w:cs="Arial"/>
                  <w:u w:val="single"/>
                </w:rPr>
                <w:t>China (People's Republic of)</w:t>
              </w:r>
            </w:hyperlink>
            <w:r w:rsidR="00002507" w:rsidRPr="00610169">
              <w:rPr>
                <w:rFonts w:asciiTheme="minorHAnsi" w:eastAsia="Times New Roman" w:hAnsiTheme="minorHAnsi" w:cs="Arial"/>
              </w:rPr>
              <w:t>  </w:t>
            </w:r>
          </w:p>
        </w:tc>
        <w:tc>
          <w:tcPr>
            <w:tcW w:w="4995" w:type="dxa"/>
            <w:shd w:val="clear" w:color="auto" w:fill="auto"/>
          </w:tcPr>
          <w:p w:rsidR="00002507" w:rsidRPr="00610169" w:rsidRDefault="00002507" w:rsidP="00E03223">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Co-Governance among government departments on licensing and authorization of Internet business in China  </w:t>
            </w:r>
            <w:r w:rsidRPr="00610169">
              <w:rPr>
                <w:rFonts w:asciiTheme="minorHAnsi" w:eastAsia="Times New Roman" w:hAnsiTheme="minorHAnsi" w:cs="Arial"/>
                <w:color w:val="FF0000"/>
                <w:lang w:val="en-US"/>
              </w:rPr>
              <w:t>  </w:t>
            </w:r>
          </w:p>
        </w:tc>
      </w:tr>
      <w:tr w:rsidR="00002507" w:rsidRPr="00AC27F2" w:rsidTr="00E03223">
        <w:tc>
          <w:tcPr>
            <w:tcW w:w="1101" w:type="dxa"/>
            <w:shd w:val="clear" w:color="auto" w:fill="E8F8FD"/>
          </w:tcPr>
          <w:p w:rsidR="00002507" w:rsidRPr="00610169" w:rsidRDefault="00AC27F2" w:rsidP="00E03223">
            <w:pPr>
              <w:pStyle w:val="Tabletext"/>
              <w:rPr>
                <w:rFonts w:asciiTheme="minorHAnsi" w:eastAsia="Times New Roman" w:hAnsiTheme="minorHAnsi" w:cs="Arial"/>
                <w:bCs/>
                <w:color w:val="000000"/>
              </w:rPr>
            </w:pPr>
            <w:hyperlink r:id="rId86" w:history="1">
              <w:r w:rsidR="00002507" w:rsidRPr="00610169">
                <w:rPr>
                  <w:rFonts w:asciiTheme="minorHAnsi" w:eastAsia="Times New Roman" w:hAnsiTheme="minorHAnsi" w:cs="Arial"/>
                  <w:color w:val="0000FF"/>
                  <w:u w:val="single"/>
                </w:rPr>
                <w:t>[ 22 ]</w:t>
              </w:r>
            </w:hyperlink>
            <w:r w:rsidR="00002507" w:rsidRPr="00610169">
              <w:rPr>
                <w:rFonts w:asciiTheme="minorHAnsi" w:eastAsia="Times New Roman" w:hAnsiTheme="minorHAnsi" w:cs="Arial"/>
                <w:color w:val="0000FF"/>
              </w:rPr>
              <w:t>  </w:t>
            </w:r>
            <w:r w:rsidR="00002507" w:rsidRPr="00610169">
              <w:rPr>
                <w:rFonts w:asciiTheme="minorHAnsi" w:eastAsia="Times New Roman" w:hAnsiTheme="minorHAnsi" w:cs="Arial"/>
                <w:color w:val="000000"/>
              </w:rPr>
              <w:t> </w:t>
            </w:r>
            <w:r w:rsidR="00002507" w:rsidRPr="00610169">
              <w:rPr>
                <w:rFonts w:asciiTheme="minorHAnsi" w:eastAsia="Times New Roman" w:hAnsiTheme="minorHAnsi" w:cs="Arial"/>
                <w:color w:val="000000"/>
              </w:rPr>
              <w:br/>
            </w:r>
            <w:r w:rsidR="00002507" w:rsidRPr="00610169">
              <w:rPr>
                <w:rFonts w:asciiTheme="minorHAnsi" w:eastAsia="Times New Roman" w:hAnsiTheme="minorHAnsi" w:cs="Arial"/>
                <w:color w:val="FF0000"/>
              </w:rPr>
              <w:t>+Ann.1</w:t>
            </w:r>
            <w:r w:rsidR="00002507" w:rsidRPr="00610169">
              <w:rPr>
                <w:rFonts w:asciiTheme="minorHAnsi" w:eastAsia="Times New Roman" w:hAnsiTheme="minorHAnsi" w:cs="Arial"/>
                <w:color w:val="000000"/>
              </w:rPr>
              <w:t> </w:t>
            </w:r>
          </w:p>
        </w:tc>
        <w:tc>
          <w:tcPr>
            <w:tcW w:w="1202" w:type="dxa"/>
            <w:shd w:val="clear" w:color="auto" w:fill="E8F8FD"/>
          </w:tcPr>
          <w:p w:rsidR="00002507" w:rsidRPr="00610169" w:rsidRDefault="00002507" w:rsidP="00E03223">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2011-08-19</w:t>
            </w:r>
          </w:p>
        </w:tc>
        <w:tc>
          <w:tcPr>
            <w:tcW w:w="1916" w:type="dxa"/>
            <w:shd w:val="clear" w:color="auto" w:fill="E8F8FD"/>
          </w:tcPr>
          <w:p w:rsidR="00002507" w:rsidRPr="00610169" w:rsidRDefault="00AC27F2" w:rsidP="00E03223">
            <w:pPr>
              <w:pStyle w:val="Tabletext"/>
              <w:rPr>
                <w:rFonts w:asciiTheme="minorHAnsi" w:eastAsia="Times New Roman" w:hAnsiTheme="minorHAnsi" w:cs="Arial"/>
                <w:bCs/>
              </w:rPr>
            </w:pPr>
            <w:hyperlink r:id="rId87" w:history="1">
              <w:r w:rsidR="00002507" w:rsidRPr="00610169">
                <w:rPr>
                  <w:rFonts w:asciiTheme="minorHAnsi" w:eastAsia="Times New Roman" w:hAnsiTheme="minorHAnsi" w:cs="Arial"/>
                  <w:u w:val="single"/>
                </w:rPr>
                <w:t>BDT Focal Point for Question 10-3/1</w:t>
              </w:r>
            </w:hyperlink>
            <w:r w:rsidR="00002507" w:rsidRPr="00610169">
              <w:rPr>
                <w:rFonts w:asciiTheme="minorHAnsi" w:eastAsia="Times New Roman" w:hAnsiTheme="minorHAnsi" w:cs="Arial"/>
              </w:rPr>
              <w:t>  </w:t>
            </w:r>
          </w:p>
        </w:tc>
        <w:tc>
          <w:tcPr>
            <w:tcW w:w="4995" w:type="dxa"/>
            <w:shd w:val="clear" w:color="auto" w:fill="E8F8FD"/>
          </w:tcPr>
          <w:p w:rsidR="00002507" w:rsidRPr="00610169" w:rsidRDefault="00002507" w:rsidP="00E03223">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Compilation of results on the concept of dominance based on responses to the ITU Tariff Policies Survey 2010  </w:t>
            </w:r>
            <w:r w:rsidRPr="00610169">
              <w:rPr>
                <w:rFonts w:asciiTheme="minorHAnsi" w:eastAsia="Times New Roman" w:hAnsiTheme="minorHAnsi" w:cs="Arial"/>
                <w:color w:val="FF0000"/>
                <w:lang w:val="en-US"/>
              </w:rPr>
              <w:t>  </w:t>
            </w:r>
          </w:p>
        </w:tc>
      </w:tr>
      <w:tr w:rsidR="00002507" w:rsidRPr="00AC27F2" w:rsidTr="00E03223">
        <w:tc>
          <w:tcPr>
            <w:tcW w:w="1101" w:type="dxa"/>
            <w:shd w:val="clear" w:color="auto" w:fill="auto"/>
          </w:tcPr>
          <w:p w:rsidR="00002507" w:rsidRPr="00610169" w:rsidRDefault="00AC27F2" w:rsidP="00E03223">
            <w:pPr>
              <w:pStyle w:val="Tabletext"/>
              <w:rPr>
                <w:rFonts w:asciiTheme="minorHAnsi" w:eastAsia="Times New Roman" w:hAnsiTheme="minorHAnsi" w:cs="Arial"/>
                <w:bCs/>
                <w:color w:val="0000FF"/>
              </w:rPr>
            </w:pPr>
            <w:hyperlink r:id="rId88" w:history="1">
              <w:r w:rsidR="00002507" w:rsidRPr="00610169">
                <w:rPr>
                  <w:rFonts w:asciiTheme="minorHAnsi" w:eastAsia="Times New Roman" w:hAnsiTheme="minorHAnsi" w:cs="Arial"/>
                  <w:color w:val="0000FF"/>
                  <w:u w:val="single"/>
                </w:rPr>
                <w:t>[ 21 ]</w:t>
              </w:r>
            </w:hyperlink>
            <w:r w:rsidR="00002507" w:rsidRPr="00610169">
              <w:rPr>
                <w:rFonts w:asciiTheme="minorHAnsi" w:eastAsia="Times New Roman" w:hAnsiTheme="minorHAnsi" w:cs="Arial"/>
                <w:color w:val="0000FF"/>
              </w:rPr>
              <w:t>   </w:t>
            </w:r>
            <w:r w:rsidR="00002507" w:rsidRPr="00610169">
              <w:rPr>
                <w:rFonts w:asciiTheme="minorHAnsi" w:eastAsia="Times New Roman" w:hAnsiTheme="minorHAnsi" w:cs="Arial"/>
                <w:color w:val="0000FF"/>
              </w:rPr>
              <w:br/>
              <w:t> </w:t>
            </w:r>
          </w:p>
        </w:tc>
        <w:tc>
          <w:tcPr>
            <w:tcW w:w="1202" w:type="dxa"/>
            <w:shd w:val="clear" w:color="auto" w:fill="auto"/>
          </w:tcPr>
          <w:p w:rsidR="00002507" w:rsidRPr="00610169" w:rsidRDefault="00002507" w:rsidP="00E03223">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2011-08-19</w:t>
            </w:r>
          </w:p>
        </w:tc>
        <w:tc>
          <w:tcPr>
            <w:tcW w:w="1916" w:type="dxa"/>
            <w:shd w:val="clear" w:color="auto" w:fill="auto"/>
          </w:tcPr>
          <w:p w:rsidR="00002507" w:rsidRPr="00610169" w:rsidRDefault="00AC27F2" w:rsidP="00E03223">
            <w:pPr>
              <w:pStyle w:val="Tabletext"/>
              <w:rPr>
                <w:rFonts w:asciiTheme="minorHAnsi" w:eastAsia="Times New Roman" w:hAnsiTheme="minorHAnsi" w:cs="Arial"/>
                <w:bCs/>
              </w:rPr>
            </w:pPr>
            <w:hyperlink r:id="rId89" w:history="1">
              <w:r w:rsidR="00002507" w:rsidRPr="00610169">
                <w:rPr>
                  <w:rFonts w:asciiTheme="minorHAnsi" w:eastAsia="Times New Roman" w:hAnsiTheme="minorHAnsi" w:cs="Arial"/>
                  <w:u w:val="single"/>
                </w:rPr>
                <w:t>BDT Focal Point for Question 10-3/1</w:t>
              </w:r>
            </w:hyperlink>
            <w:r w:rsidR="00002507" w:rsidRPr="00610169">
              <w:rPr>
                <w:rFonts w:asciiTheme="minorHAnsi" w:eastAsia="Times New Roman" w:hAnsiTheme="minorHAnsi" w:cs="Arial"/>
              </w:rPr>
              <w:t>  </w:t>
            </w:r>
          </w:p>
        </w:tc>
        <w:tc>
          <w:tcPr>
            <w:tcW w:w="4995" w:type="dxa"/>
            <w:shd w:val="clear" w:color="auto" w:fill="auto"/>
          </w:tcPr>
          <w:p w:rsidR="00002507" w:rsidRPr="00610169" w:rsidRDefault="00002507" w:rsidP="00E03223">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A snapshot of ICT market and regulatory trends  </w:t>
            </w:r>
            <w:r w:rsidRPr="00610169">
              <w:rPr>
                <w:rFonts w:asciiTheme="minorHAnsi" w:eastAsia="Times New Roman" w:hAnsiTheme="minorHAnsi" w:cs="Arial"/>
                <w:color w:val="FF0000"/>
                <w:lang w:val="en-US"/>
              </w:rPr>
              <w:t>  </w:t>
            </w:r>
          </w:p>
        </w:tc>
      </w:tr>
      <w:tr w:rsidR="00002507" w:rsidRPr="00610169" w:rsidTr="00E03223">
        <w:tc>
          <w:tcPr>
            <w:tcW w:w="1101" w:type="dxa"/>
            <w:shd w:val="clear" w:color="auto" w:fill="E8F8FD"/>
          </w:tcPr>
          <w:p w:rsidR="00002507" w:rsidRPr="00610169" w:rsidRDefault="00AC27F2" w:rsidP="00E03223">
            <w:pPr>
              <w:pStyle w:val="Tabletext"/>
              <w:rPr>
                <w:rFonts w:asciiTheme="minorHAnsi" w:eastAsia="Times New Roman" w:hAnsiTheme="minorHAnsi" w:cs="Arial"/>
                <w:bCs/>
                <w:color w:val="0000FF"/>
              </w:rPr>
            </w:pPr>
            <w:hyperlink r:id="rId90" w:history="1">
              <w:r w:rsidR="00002507" w:rsidRPr="00610169">
                <w:rPr>
                  <w:rFonts w:asciiTheme="minorHAnsi" w:eastAsia="Times New Roman" w:hAnsiTheme="minorHAnsi" w:cs="Arial"/>
                  <w:color w:val="0000FF"/>
                  <w:u w:val="single"/>
                </w:rPr>
                <w:t>[ 14 ]</w:t>
              </w:r>
            </w:hyperlink>
            <w:r w:rsidR="00002507" w:rsidRPr="00610169">
              <w:rPr>
                <w:rFonts w:asciiTheme="minorHAnsi" w:eastAsia="Times New Roman" w:hAnsiTheme="minorHAnsi" w:cs="Arial"/>
                <w:color w:val="0000FF"/>
              </w:rPr>
              <w:t>   </w:t>
            </w:r>
            <w:r w:rsidR="00002507" w:rsidRPr="00610169">
              <w:rPr>
                <w:rFonts w:asciiTheme="minorHAnsi" w:eastAsia="Times New Roman" w:hAnsiTheme="minorHAnsi" w:cs="Arial"/>
                <w:color w:val="0000FF"/>
              </w:rPr>
              <w:br/>
              <w:t> </w:t>
            </w:r>
          </w:p>
        </w:tc>
        <w:tc>
          <w:tcPr>
            <w:tcW w:w="1202" w:type="dxa"/>
            <w:shd w:val="clear" w:color="auto" w:fill="E8F8FD"/>
          </w:tcPr>
          <w:p w:rsidR="00002507" w:rsidRPr="00610169" w:rsidRDefault="00002507" w:rsidP="00E03223">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2011-08-08</w:t>
            </w:r>
          </w:p>
        </w:tc>
        <w:tc>
          <w:tcPr>
            <w:tcW w:w="1916" w:type="dxa"/>
            <w:shd w:val="clear" w:color="auto" w:fill="E8F8FD"/>
          </w:tcPr>
          <w:p w:rsidR="00002507" w:rsidRPr="00610169" w:rsidRDefault="00AC27F2" w:rsidP="00E03223">
            <w:pPr>
              <w:pStyle w:val="Tabletext"/>
              <w:rPr>
                <w:rFonts w:asciiTheme="minorHAnsi" w:eastAsia="Times New Roman" w:hAnsiTheme="minorHAnsi" w:cs="Arial"/>
                <w:bCs/>
              </w:rPr>
            </w:pPr>
            <w:hyperlink r:id="rId91" w:history="1">
              <w:r w:rsidR="00002507" w:rsidRPr="00610169">
                <w:rPr>
                  <w:rFonts w:asciiTheme="minorHAnsi" w:eastAsia="Times New Roman" w:hAnsiTheme="minorHAnsi" w:cs="Arial"/>
                  <w:u w:val="single"/>
                </w:rPr>
                <w:t>Cameroon (Republic of)</w:t>
              </w:r>
            </w:hyperlink>
            <w:r w:rsidR="00002507" w:rsidRPr="00610169">
              <w:rPr>
                <w:rFonts w:asciiTheme="minorHAnsi" w:eastAsia="Times New Roman" w:hAnsiTheme="minorHAnsi" w:cs="Arial"/>
              </w:rPr>
              <w:t>  </w:t>
            </w:r>
          </w:p>
        </w:tc>
        <w:tc>
          <w:tcPr>
            <w:tcW w:w="4995" w:type="dxa"/>
            <w:shd w:val="clear" w:color="auto" w:fill="E8F8FD"/>
          </w:tcPr>
          <w:p w:rsidR="00002507" w:rsidRPr="00610169" w:rsidRDefault="00002507" w:rsidP="00E03223">
            <w:pPr>
              <w:pStyle w:val="Tabletext"/>
              <w:rPr>
                <w:rFonts w:asciiTheme="minorHAnsi" w:eastAsia="Times New Roman" w:hAnsiTheme="minorHAnsi" w:cs="Arial"/>
                <w:bCs/>
                <w:color w:val="000000"/>
                <w:lang w:val="fr-CH"/>
              </w:rPr>
            </w:pPr>
            <w:r w:rsidRPr="00610169">
              <w:rPr>
                <w:rFonts w:asciiTheme="minorHAnsi" w:eastAsia="Times New Roman" w:hAnsiTheme="minorHAnsi" w:cs="Arial"/>
                <w:color w:val="000000"/>
                <w:lang w:val="fr-CH"/>
              </w:rPr>
              <w:t>Le nouvel environnement législatif et réglementaire des communications électroniques du Cameroun  </w:t>
            </w:r>
            <w:r w:rsidRPr="00610169">
              <w:rPr>
                <w:rFonts w:asciiTheme="minorHAnsi" w:eastAsia="Times New Roman" w:hAnsiTheme="minorHAnsi" w:cs="Arial"/>
                <w:color w:val="FF0000"/>
                <w:lang w:val="fr-CH"/>
              </w:rPr>
              <w:t>  </w:t>
            </w:r>
          </w:p>
        </w:tc>
      </w:tr>
      <w:tr w:rsidR="00002507" w:rsidRPr="00AC27F2" w:rsidTr="00E03223">
        <w:tc>
          <w:tcPr>
            <w:tcW w:w="1101" w:type="dxa"/>
            <w:shd w:val="clear" w:color="auto" w:fill="auto"/>
          </w:tcPr>
          <w:p w:rsidR="00002507" w:rsidRPr="00610169" w:rsidRDefault="00AC27F2" w:rsidP="00E03223">
            <w:pPr>
              <w:pStyle w:val="Tabletext"/>
              <w:rPr>
                <w:rFonts w:asciiTheme="minorHAnsi" w:eastAsia="Times New Roman" w:hAnsiTheme="minorHAnsi" w:cs="Arial"/>
                <w:bCs/>
                <w:color w:val="0000FF"/>
              </w:rPr>
            </w:pPr>
            <w:hyperlink r:id="rId92" w:history="1">
              <w:r w:rsidR="00002507" w:rsidRPr="00610169">
                <w:rPr>
                  <w:rFonts w:asciiTheme="minorHAnsi" w:eastAsia="Times New Roman" w:hAnsiTheme="minorHAnsi" w:cs="Arial"/>
                  <w:color w:val="0000FF"/>
                  <w:u w:val="single"/>
                </w:rPr>
                <w:t>[ 8 ]</w:t>
              </w:r>
            </w:hyperlink>
            <w:r w:rsidR="00002507" w:rsidRPr="00610169">
              <w:rPr>
                <w:rFonts w:asciiTheme="minorHAnsi" w:eastAsia="Times New Roman" w:hAnsiTheme="minorHAnsi" w:cs="Arial"/>
                <w:color w:val="0000FF"/>
              </w:rPr>
              <w:t>   </w:t>
            </w:r>
          </w:p>
        </w:tc>
        <w:tc>
          <w:tcPr>
            <w:tcW w:w="1202" w:type="dxa"/>
            <w:shd w:val="clear" w:color="auto" w:fill="auto"/>
          </w:tcPr>
          <w:p w:rsidR="00002507" w:rsidRPr="00610169" w:rsidRDefault="00002507" w:rsidP="00E03223">
            <w:pPr>
              <w:pStyle w:val="Tabletext"/>
              <w:rPr>
                <w:rFonts w:asciiTheme="minorHAnsi" w:eastAsia="Times New Roman" w:hAnsiTheme="minorHAnsi" w:cs="Arial"/>
                <w:bCs/>
                <w:color w:val="000000"/>
              </w:rPr>
            </w:pPr>
            <w:r w:rsidRPr="00610169">
              <w:rPr>
                <w:rFonts w:asciiTheme="minorHAnsi" w:eastAsia="Times New Roman" w:hAnsiTheme="minorHAnsi" w:cs="Arial"/>
                <w:color w:val="000000"/>
              </w:rPr>
              <w:t>2010-09-14</w:t>
            </w:r>
          </w:p>
        </w:tc>
        <w:tc>
          <w:tcPr>
            <w:tcW w:w="1916" w:type="dxa"/>
            <w:shd w:val="clear" w:color="auto" w:fill="auto"/>
          </w:tcPr>
          <w:p w:rsidR="00002507" w:rsidRPr="00610169" w:rsidRDefault="00AC27F2" w:rsidP="00E03223">
            <w:pPr>
              <w:pStyle w:val="Tabletext"/>
              <w:rPr>
                <w:rFonts w:asciiTheme="minorHAnsi" w:eastAsia="Times New Roman" w:hAnsiTheme="minorHAnsi" w:cs="Arial"/>
                <w:bCs/>
              </w:rPr>
            </w:pPr>
            <w:hyperlink r:id="rId93" w:history="1">
              <w:r w:rsidR="00002507" w:rsidRPr="00610169">
                <w:rPr>
                  <w:rFonts w:asciiTheme="minorHAnsi" w:eastAsia="Times New Roman" w:hAnsiTheme="minorHAnsi" w:cs="Arial"/>
                  <w:u w:val="single"/>
                </w:rPr>
                <w:t>Türk Telekom Group</w:t>
              </w:r>
            </w:hyperlink>
            <w:r w:rsidR="00002507" w:rsidRPr="00610169">
              <w:rPr>
                <w:rFonts w:asciiTheme="minorHAnsi" w:eastAsia="Times New Roman" w:hAnsiTheme="minorHAnsi" w:cs="Arial"/>
              </w:rPr>
              <w:t>  </w:t>
            </w:r>
          </w:p>
        </w:tc>
        <w:tc>
          <w:tcPr>
            <w:tcW w:w="4995" w:type="dxa"/>
            <w:shd w:val="clear" w:color="auto" w:fill="auto"/>
          </w:tcPr>
          <w:p w:rsidR="00002507" w:rsidRPr="00610169" w:rsidRDefault="00002507" w:rsidP="00E03223">
            <w:pPr>
              <w:pStyle w:val="Tabletext"/>
              <w:rPr>
                <w:rFonts w:asciiTheme="minorHAnsi" w:eastAsia="Times New Roman" w:hAnsiTheme="minorHAnsi" w:cs="Arial"/>
                <w:bCs/>
                <w:color w:val="000000"/>
                <w:lang w:val="en-US"/>
              </w:rPr>
            </w:pPr>
            <w:r w:rsidRPr="00610169">
              <w:rPr>
                <w:rFonts w:asciiTheme="minorHAnsi" w:eastAsia="Times New Roman" w:hAnsiTheme="minorHAnsi" w:cs="Arial"/>
                <w:color w:val="000000"/>
                <w:lang w:val="en-US"/>
              </w:rPr>
              <w:t>Convergence and converging services regulation  </w:t>
            </w:r>
            <w:r w:rsidRPr="00610169">
              <w:rPr>
                <w:rFonts w:asciiTheme="minorHAnsi" w:eastAsia="Times New Roman" w:hAnsiTheme="minorHAnsi" w:cs="Arial"/>
                <w:color w:val="FF0000"/>
                <w:lang w:val="en-US"/>
              </w:rPr>
              <w:t>  </w:t>
            </w:r>
          </w:p>
        </w:tc>
      </w:tr>
    </w:tbl>
    <w:p w:rsidR="00002507" w:rsidRPr="00610169" w:rsidRDefault="00002507" w:rsidP="00002507">
      <w:pPr>
        <w:keepNext/>
        <w:spacing w:after="120"/>
        <w:rPr>
          <w:b/>
          <w:color w:val="005173"/>
          <w:szCs w:val="19"/>
          <w:lang w:val="en-US" w:eastAsia="en-US"/>
        </w:rPr>
      </w:pPr>
      <w:r w:rsidRPr="00610169">
        <w:rPr>
          <w:b/>
          <w:color w:val="005173"/>
          <w:szCs w:val="19"/>
          <w:lang w:val="en-US" w:eastAsia="en-US"/>
        </w:rPr>
        <w:lastRenderedPageBreak/>
        <w:t xml:space="preserve">Documents submitted for information to Study Group 1 Rapporteur Group Meetings for </w:t>
      </w:r>
      <w:r w:rsidRPr="00610169">
        <w:rPr>
          <w:b/>
          <w:color w:val="005173"/>
          <w:szCs w:val="19"/>
          <w:lang w:val="en-US" w:eastAsia="en-US"/>
        </w:rPr>
        <w:br/>
        <w:t>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5069"/>
      </w:tblGrid>
      <w:tr w:rsidR="00002507" w:rsidTr="00E03223">
        <w:tc>
          <w:tcPr>
            <w:tcW w:w="1101" w:type="dxa"/>
            <w:shd w:val="clear" w:color="auto" w:fill="E8F8FD"/>
          </w:tcPr>
          <w:p w:rsidR="00002507" w:rsidRPr="007410CA" w:rsidRDefault="00AC27F2" w:rsidP="00E03223">
            <w:pPr>
              <w:pStyle w:val="Tabletext"/>
              <w:rPr>
                <w:rFonts w:cs="Arial"/>
              </w:rPr>
            </w:pPr>
            <w:hyperlink r:id="rId94" w:history="1">
              <w:r w:rsidR="00002507" w:rsidRPr="007410CA">
                <w:rPr>
                  <w:rStyle w:val="Hyperlink"/>
                  <w:rFonts w:cs="Arial"/>
                </w:rPr>
                <w:t>[ INF 4 ]</w:t>
              </w:r>
            </w:hyperlink>
          </w:p>
        </w:tc>
        <w:tc>
          <w:tcPr>
            <w:tcW w:w="1202" w:type="dxa"/>
            <w:shd w:val="clear" w:color="auto" w:fill="E8F8FD"/>
          </w:tcPr>
          <w:p w:rsidR="00002507" w:rsidRPr="007410CA" w:rsidRDefault="00002507" w:rsidP="00E03223">
            <w:pPr>
              <w:pStyle w:val="Tabletext"/>
              <w:rPr>
                <w:rFonts w:cs="Arial"/>
              </w:rPr>
            </w:pPr>
            <w:r w:rsidRPr="007410CA">
              <w:rPr>
                <w:rFonts w:cs="Arial"/>
              </w:rPr>
              <w:t>2011-04-21</w:t>
            </w:r>
          </w:p>
        </w:tc>
        <w:tc>
          <w:tcPr>
            <w:tcW w:w="1916" w:type="dxa"/>
            <w:shd w:val="clear" w:color="auto" w:fill="E8F8FD"/>
          </w:tcPr>
          <w:p w:rsidR="00002507" w:rsidRPr="007410CA" w:rsidRDefault="00002507" w:rsidP="00E03223">
            <w:pPr>
              <w:pStyle w:val="Tabletext"/>
              <w:rPr>
                <w:rFonts w:cs="Arial"/>
              </w:rPr>
            </w:pPr>
            <w:r w:rsidRPr="007410CA">
              <w:rPr>
                <w:rFonts w:cs="Arial"/>
              </w:rPr>
              <w:t>BDT Programme 4</w:t>
            </w:r>
          </w:p>
        </w:tc>
        <w:tc>
          <w:tcPr>
            <w:tcW w:w="5069" w:type="dxa"/>
            <w:shd w:val="clear" w:color="auto" w:fill="E8F8FD"/>
          </w:tcPr>
          <w:p w:rsidR="00002507" w:rsidRPr="007410CA" w:rsidRDefault="00002507" w:rsidP="00E03223">
            <w:pPr>
              <w:pStyle w:val="Tabletext"/>
              <w:rPr>
                <w:rFonts w:cs="Arial"/>
              </w:rPr>
            </w:pPr>
            <w:r w:rsidRPr="007410CA">
              <w:rPr>
                <w:rFonts w:cs="Arial"/>
              </w:rPr>
              <w:t>About the ITU Academy</w:t>
            </w:r>
          </w:p>
        </w:tc>
      </w:tr>
      <w:tr w:rsidR="00002507" w:rsidRPr="00AC27F2" w:rsidTr="00E03223">
        <w:tc>
          <w:tcPr>
            <w:tcW w:w="1101" w:type="dxa"/>
            <w:shd w:val="clear" w:color="auto" w:fill="auto"/>
          </w:tcPr>
          <w:p w:rsidR="00002507" w:rsidRPr="007410CA" w:rsidRDefault="00AC27F2" w:rsidP="00E03223">
            <w:pPr>
              <w:pStyle w:val="Tabletext"/>
              <w:rPr>
                <w:rFonts w:cs="Arial"/>
              </w:rPr>
            </w:pPr>
            <w:hyperlink r:id="rId95" w:history="1">
              <w:r w:rsidR="00002507" w:rsidRPr="007410CA">
                <w:rPr>
                  <w:rStyle w:val="Hyperlink"/>
                  <w:rFonts w:cs="Arial"/>
                </w:rPr>
                <w:t>[ INF 3 ]</w:t>
              </w:r>
            </w:hyperlink>
            <w:r w:rsidR="00002507">
              <w:rPr>
                <w:rStyle w:val="Hyperlink"/>
                <w:rFonts w:cs="Arial"/>
              </w:rPr>
              <w:t xml:space="preserve"> </w:t>
            </w:r>
            <w:r w:rsidR="00002507" w:rsidRPr="007410CA">
              <w:rPr>
                <w:rFonts w:cs="Arial"/>
                <w:color w:val="FF0000"/>
              </w:rPr>
              <w:t>+Ann.1</w:t>
            </w:r>
          </w:p>
        </w:tc>
        <w:tc>
          <w:tcPr>
            <w:tcW w:w="1202" w:type="dxa"/>
            <w:shd w:val="clear" w:color="auto" w:fill="auto"/>
          </w:tcPr>
          <w:p w:rsidR="00002507" w:rsidRPr="007410CA" w:rsidRDefault="00002507" w:rsidP="00E03223">
            <w:pPr>
              <w:pStyle w:val="Tabletext"/>
              <w:rPr>
                <w:rFonts w:cs="Arial"/>
              </w:rPr>
            </w:pPr>
            <w:r w:rsidRPr="007410CA">
              <w:rPr>
                <w:rFonts w:cs="Arial"/>
              </w:rPr>
              <w:t>2011-04-14</w:t>
            </w:r>
          </w:p>
        </w:tc>
        <w:tc>
          <w:tcPr>
            <w:tcW w:w="1916" w:type="dxa"/>
            <w:shd w:val="clear" w:color="auto" w:fill="auto"/>
          </w:tcPr>
          <w:p w:rsidR="00002507" w:rsidRPr="007410CA" w:rsidRDefault="00002507" w:rsidP="00E03223">
            <w:pPr>
              <w:pStyle w:val="Tabletext"/>
              <w:rPr>
                <w:rFonts w:cs="Arial"/>
              </w:rPr>
            </w:pPr>
            <w:r w:rsidRPr="007410CA">
              <w:rPr>
                <w:rFonts w:cs="Arial"/>
              </w:rPr>
              <w:t>BDT Focal Point for Question 10-3/1</w:t>
            </w:r>
          </w:p>
        </w:tc>
        <w:tc>
          <w:tcPr>
            <w:tcW w:w="5069" w:type="dxa"/>
            <w:shd w:val="clear" w:color="auto" w:fill="auto"/>
          </w:tcPr>
          <w:p w:rsidR="00002507" w:rsidRPr="00CA367A" w:rsidRDefault="00002507" w:rsidP="00E03223">
            <w:pPr>
              <w:pStyle w:val="Tabletext"/>
              <w:rPr>
                <w:rFonts w:cs="Arial"/>
                <w:lang w:val="en-US"/>
              </w:rPr>
            </w:pPr>
            <w:r w:rsidRPr="00CA367A">
              <w:rPr>
                <w:rFonts w:cs="Arial"/>
                <w:lang w:val="en-US"/>
              </w:rPr>
              <w:t>ITU World Telecommunication Regulatory Database Report on Licensing</w:t>
            </w:r>
          </w:p>
        </w:tc>
      </w:tr>
      <w:tr w:rsidR="00002507" w:rsidRPr="00AC27F2" w:rsidTr="00E03223">
        <w:tc>
          <w:tcPr>
            <w:tcW w:w="1101" w:type="dxa"/>
            <w:shd w:val="clear" w:color="auto" w:fill="E8F8FD"/>
          </w:tcPr>
          <w:p w:rsidR="00002507" w:rsidRPr="007410CA" w:rsidRDefault="00AC27F2" w:rsidP="00E03223">
            <w:pPr>
              <w:pStyle w:val="Tabletext"/>
              <w:rPr>
                <w:rFonts w:cs="Arial"/>
              </w:rPr>
            </w:pPr>
            <w:hyperlink r:id="rId96" w:history="1">
              <w:r w:rsidR="00002507" w:rsidRPr="007410CA">
                <w:rPr>
                  <w:rStyle w:val="Hyperlink"/>
                  <w:rFonts w:cs="Arial"/>
                </w:rPr>
                <w:t>[ INF 2 ]</w:t>
              </w:r>
            </w:hyperlink>
          </w:p>
        </w:tc>
        <w:tc>
          <w:tcPr>
            <w:tcW w:w="1202" w:type="dxa"/>
            <w:shd w:val="clear" w:color="auto" w:fill="E8F8FD"/>
          </w:tcPr>
          <w:p w:rsidR="00002507" w:rsidRPr="007410CA" w:rsidRDefault="00002507" w:rsidP="00E03223">
            <w:pPr>
              <w:pStyle w:val="Tabletext"/>
              <w:rPr>
                <w:rFonts w:cs="Arial"/>
              </w:rPr>
            </w:pPr>
            <w:r w:rsidRPr="007410CA">
              <w:rPr>
                <w:rFonts w:cs="Arial"/>
              </w:rPr>
              <w:t>2011-04-11</w:t>
            </w:r>
          </w:p>
        </w:tc>
        <w:tc>
          <w:tcPr>
            <w:tcW w:w="1916" w:type="dxa"/>
            <w:shd w:val="clear" w:color="auto" w:fill="E8F8FD"/>
          </w:tcPr>
          <w:p w:rsidR="00002507" w:rsidRPr="007410CA" w:rsidRDefault="00002507" w:rsidP="00E03223">
            <w:pPr>
              <w:pStyle w:val="Tabletext"/>
              <w:rPr>
                <w:rFonts w:cs="Arial"/>
              </w:rPr>
            </w:pPr>
            <w:r w:rsidRPr="007410CA">
              <w:rPr>
                <w:rFonts w:cs="Arial"/>
              </w:rPr>
              <w:t>Nepal(Republic of)</w:t>
            </w:r>
          </w:p>
        </w:tc>
        <w:tc>
          <w:tcPr>
            <w:tcW w:w="5069" w:type="dxa"/>
            <w:shd w:val="clear" w:color="auto" w:fill="E8F8FD"/>
          </w:tcPr>
          <w:p w:rsidR="00002507" w:rsidRPr="00CA367A" w:rsidRDefault="00002507" w:rsidP="00E03223">
            <w:pPr>
              <w:pStyle w:val="Tabletext"/>
              <w:rPr>
                <w:rFonts w:cs="Arial"/>
                <w:lang w:val="en-US"/>
              </w:rPr>
            </w:pPr>
            <w:r w:rsidRPr="00CA367A">
              <w:rPr>
                <w:rFonts w:cs="Arial"/>
                <w:lang w:val="en-US"/>
              </w:rPr>
              <w:t>The impact of the licensing and authorization regime and other relevant regulatory measures</w:t>
            </w:r>
          </w:p>
        </w:tc>
      </w:tr>
      <w:tr w:rsidR="00002507" w:rsidRPr="00AC27F2" w:rsidTr="00E03223">
        <w:tc>
          <w:tcPr>
            <w:tcW w:w="1101" w:type="dxa"/>
            <w:shd w:val="clear" w:color="auto" w:fill="auto"/>
          </w:tcPr>
          <w:p w:rsidR="00002507" w:rsidRPr="007410CA" w:rsidRDefault="00AC27F2" w:rsidP="00E03223">
            <w:pPr>
              <w:pStyle w:val="Tabletext"/>
              <w:rPr>
                <w:rFonts w:cs="Arial"/>
              </w:rPr>
            </w:pPr>
            <w:hyperlink r:id="rId97" w:history="1">
              <w:r w:rsidR="00002507" w:rsidRPr="007410CA">
                <w:rPr>
                  <w:rStyle w:val="Hyperlink"/>
                  <w:rFonts w:cs="Arial"/>
                </w:rPr>
                <w:t>[ INF 1 ]</w:t>
              </w:r>
            </w:hyperlink>
          </w:p>
        </w:tc>
        <w:tc>
          <w:tcPr>
            <w:tcW w:w="1202" w:type="dxa"/>
            <w:shd w:val="clear" w:color="auto" w:fill="auto"/>
          </w:tcPr>
          <w:p w:rsidR="00002507" w:rsidRPr="007410CA" w:rsidRDefault="00002507" w:rsidP="00E03223">
            <w:pPr>
              <w:pStyle w:val="Tabletext"/>
              <w:rPr>
                <w:rFonts w:cs="Arial"/>
              </w:rPr>
            </w:pPr>
            <w:r w:rsidRPr="007410CA">
              <w:rPr>
                <w:rFonts w:cs="Arial"/>
              </w:rPr>
              <w:t>2011-04-11</w:t>
            </w:r>
          </w:p>
        </w:tc>
        <w:tc>
          <w:tcPr>
            <w:tcW w:w="1916" w:type="dxa"/>
            <w:shd w:val="clear" w:color="auto" w:fill="auto"/>
          </w:tcPr>
          <w:p w:rsidR="00002507" w:rsidRPr="007410CA" w:rsidRDefault="00002507" w:rsidP="00E03223">
            <w:pPr>
              <w:pStyle w:val="Tabletext"/>
              <w:rPr>
                <w:rFonts w:cs="Arial"/>
              </w:rPr>
            </w:pPr>
            <w:r w:rsidRPr="007410CA">
              <w:rPr>
                <w:rFonts w:cs="Arial"/>
              </w:rPr>
              <w:t>Tanzania (United Republic of)</w:t>
            </w:r>
          </w:p>
        </w:tc>
        <w:tc>
          <w:tcPr>
            <w:tcW w:w="5069" w:type="dxa"/>
            <w:shd w:val="clear" w:color="auto" w:fill="auto"/>
          </w:tcPr>
          <w:p w:rsidR="00002507" w:rsidRPr="00CA367A" w:rsidRDefault="00002507" w:rsidP="00E03223">
            <w:pPr>
              <w:pStyle w:val="Tabletext"/>
              <w:rPr>
                <w:rFonts w:cs="Arial"/>
                <w:lang w:val="en-US"/>
              </w:rPr>
            </w:pPr>
            <w:r w:rsidRPr="00CA367A">
              <w:rPr>
                <w:rFonts w:cs="Arial"/>
                <w:lang w:val="en-US"/>
              </w:rPr>
              <w:t>Competition in the converged licensing framework: The case of Tanzania</w:t>
            </w:r>
          </w:p>
        </w:tc>
      </w:tr>
    </w:tbl>
    <w:p w:rsidR="00002507" w:rsidRPr="00610169" w:rsidRDefault="00002507" w:rsidP="00002507">
      <w:pPr>
        <w:spacing w:before="240" w:after="120"/>
        <w:rPr>
          <w:b/>
          <w:color w:val="005173"/>
          <w:szCs w:val="19"/>
          <w:lang w:val="en-US" w:eastAsia="en-US"/>
        </w:rPr>
      </w:pPr>
      <w:r w:rsidRPr="00610169">
        <w:rPr>
          <w:b/>
          <w:color w:val="005173"/>
          <w:szCs w:val="19"/>
          <w:lang w:val="en-US" w:eastAsia="en-US"/>
        </w:rPr>
        <w:t>Reports of the Rapporteur Group Meetings (April/May)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202"/>
        <w:gridCol w:w="1916"/>
        <w:gridCol w:w="5069"/>
      </w:tblGrid>
      <w:tr w:rsidR="00002507" w:rsidTr="00E03223">
        <w:tc>
          <w:tcPr>
            <w:tcW w:w="1100" w:type="dxa"/>
            <w:shd w:val="clear" w:color="auto" w:fill="005173"/>
          </w:tcPr>
          <w:p w:rsidR="00002507" w:rsidRPr="007410CA" w:rsidRDefault="00002507" w:rsidP="00E03223">
            <w:pPr>
              <w:pStyle w:val="Tablehead"/>
            </w:pPr>
            <w:r w:rsidRPr="007410CA">
              <w:t>Number  </w:t>
            </w:r>
          </w:p>
        </w:tc>
        <w:tc>
          <w:tcPr>
            <w:tcW w:w="1202" w:type="dxa"/>
            <w:shd w:val="clear" w:color="auto" w:fill="005173"/>
          </w:tcPr>
          <w:p w:rsidR="00002507" w:rsidRPr="007410CA" w:rsidRDefault="00002507" w:rsidP="00E03223">
            <w:pPr>
              <w:pStyle w:val="Tablehead"/>
            </w:pPr>
            <w:r w:rsidRPr="007410CA">
              <w:t>Received</w:t>
            </w:r>
          </w:p>
        </w:tc>
        <w:tc>
          <w:tcPr>
            <w:tcW w:w="1916" w:type="dxa"/>
            <w:shd w:val="clear" w:color="auto" w:fill="005173"/>
          </w:tcPr>
          <w:p w:rsidR="00002507" w:rsidRPr="007410CA" w:rsidRDefault="00002507" w:rsidP="00E03223">
            <w:pPr>
              <w:pStyle w:val="Tablehead"/>
            </w:pPr>
            <w:r w:rsidRPr="007410CA">
              <w:t>Source</w:t>
            </w:r>
          </w:p>
        </w:tc>
        <w:tc>
          <w:tcPr>
            <w:tcW w:w="5069" w:type="dxa"/>
            <w:shd w:val="clear" w:color="auto" w:fill="005173"/>
          </w:tcPr>
          <w:p w:rsidR="00002507" w:rsidRPr="007410CA" w:rsidRDefault="00002507" w:rsidP="00E03223">
            <w:pPr>
              <w:pStyle w:val="Tablehead"/>
            </w:pPr>
            <w:r w:rsidRPr="007410CA">
              <w:t>Title</w:t>
            </w:r>
          </w:p>
        </w:tc>
      </w:tr>
      <w:tr w:rsidR="00002507" w:rsidRPr="00AC27F2" w:rsidTr="00E03223">
        <w:tc>
          <w:tcPr>
            <w:tcW w:w="1100" w:type="dxa"/>
            <w:shd w:val="clear" w:color="auto" w:fill="E8F8FD"/>
          </w:tcPr>
          <w:p w:rsidR="00002507" w:rsidRPr="00610169" w:rsidRDefault="00AC27F2" w:rsidP="00E03223">
            <w:pPr>
              <w:pStyle w:val="Tabletext"/>
              <w:rPr>
                <w:rFonts w:eastAsia="Times New Roman" w:cs="Arial"/>
                <w:bCs/>
                <w:color w:val="0000FF"/>
              </w:rPr>
            </w:pPr>
            <w:hyperlink r:id="rId98" w:history="1">
              <w:r w:rsidR="00002507" w:rsidRPr="00610169">
                <w:rPr>
                  <w:rFonts w:eastAsia="Times New Roman" w:cs="Arial"/>
                  <w:color w:val="0000FF"/>
                  <w:u w:val="single"/>
                </w:rPr>
                <w:t>[ 3 ]</w:t>
              </w:r>
            </w:hyperlink>
            <w:r w:rsidR="00002507" w:rsidRPr="00610169">
              <w:rPr>
                <w:rFonts w:eastAsia="Times New Roman" w:cs="Arial"/>
                <w:color w:val="0000FF"/>
              </w:rPr>
              <w:t>   </w:t>
            </w:r>
          </w:p>
        </w:tc>
        <w:tc>
          <w:tcPr>
            <w:tcW w:w="1202" w:type="dxa"/>
            <w:shd w:val="clear" w:color="auto" w:fill="E8F8FD"/>
          </w:tcPr>
          <w:p w:rsidR="00002507" w:rsidRPr="00D771A6" w:rsidRDefault="00002507" w:rsidP="00E03223">
            <w:pPr>
              <w:pStyle w:val="Tabletext"/>
              <w:rPr>
                <w:rFonts w:eastAsia="Times New Roman" w:cs="Arial"/>
                <w:bCs/>
                <w:color w:val="000000"/>
              </w:rPr>
            </w:pPr>
            <w:r w:rsidRPr="00D771A6">
              <w:rPr>
                <w:rFonts w:eastAsia="Times New Roman" w:cs="Arial"/>
                <w:color w:val="000000"/>
              </w:rPr>
              <w:t>2013-04-</w:t>
            </w:r>
            <w:r>
              <w:rPr>
                <w:rFonts w:eastAsia="Times New Roman" w:cs="Arial"/>
                <w:color w:val="000000"/>
              </w:rPr>
              <w:t>17</w:t>
            </w:r>
          </w:p>
        </w:tc>
        <w:tc>
          <w:tcPr>
            <w:tcW w:w="1916" w:type="dxa"/>
            <w:shd w:val="clear" w:color="auto" w:fill="E8F8FD"/>
          </w:tcPr>
          <w:p w:rsidR="00002507" w:rsidRPr="00610169" w:rsidRDefault="00AC27F2" w:rsidP="00E03223">
            <w:pPr>
              <w:pStyle w:val="Tabletext"/>
              <w:rPr>
                <w:rFonts w:eastAsia="Times New Roman" w:cs="Arial"/>
                <w:bCs/>
                <w:color w:val="0000FF"/>
              </w:rPr>
            </w:pPr>
            <w:hyperlink r:id="rId99" w:history="1">
              <w:r w:rsidR="00002507" w:rsidRPr="00610169">
                <w:rPr>
                  <w:rFonts w:eastAsia="Times New Roman" w:cs="Arial"/>
                  <w:color w:val="0000FF"/>
                  <w:u w:val="single"/>
                </w:rPr>
                <w:t>Rapporteur for Question 10-3/1</w:t>
              </w:r>
            </w:hyperlink>
            <w:r w:rsidR="00002507" w:rsidRPr="00610169">
              <w:rPr>
                <w:rFonts w:eastAsia="Times New Roman" w:cs="Arial"/>
                <w:color w:val="0000FF"/>
              </w:rPr>
              <w:t>  </w:t>
            </w:r>
          </w:p>
        </w:tc>
        <w:tc>
          <w:tcPr>
            <w:tcW w:w="5069" w:type="dxa"/>
            <w:shd w:val="clear" w:color="auto" w:fill="E8F8FD"/>
          </w:tcPr>
          <w:p w:rsidR="00002507" w:rsidRPr="00CA367A" w:rsidRDefault="00002507" w:rsidP="00E03223">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17 April 2013</w:t>
            </w:r>
          </w:p>
        </w:tc>
      </w:tr>
      <w:tr w:rsidR="00002507" w:rsidRPr="00AC27F2" w:rsidTr="00E03223">
        <w:tc>
          <w:tcPr>
            <w:tcW w:w="1100" w:type="dxa"/>
            <w:shd w:val="clear" w:color="auto" w:fill="auto"/>
          </w:tcPr>
          <w:p w:rsidR="00002507" w:rsidRPr="00D771A6" w:rsidRDefault="00AC27F2" w:rsidP="00E03223">
            <w:pPr>
              <w:pStyle w:val="Tabletext"/>
              <w:rPr>
                <w:rFonts w:eastAsia="Times New Roman" w:cs="Arial"/>
                <w:bCs/>
                <w:color w:val="000000"/>
              </w:rPr>
            </w:pPr>
            <w:hyperlink r:id="rId100" w:history="1">
              <w:r w:rsidR="00002507" w:rsidRPr="00D771A6">
                <w:rPr>
                  <w:rStyle w:val="Hyperlink"/>
                  <w:rFonts w:eastAsia="Times New Roman" w:cs="Arial"/>
                  <w:lang w:val="en-US"/>
                </w:rPr>
                <w:t>[ 2 ]</w:t>
              </w:r>
            </w:hyperlink>
          </w:p>
        </w:tc>
        <w:tc>
          <w:tcPr>
            <w:tcW w:w="1202" w:type="dxa"/>
            <w:shd w:val="clear" w:color="auto" w:fill="auto"/>
          </w:tcPr>
          <w:p w:rsidR="00002507" w:rsidRPr="007410CA" w:rsidRDefault="00002507" w:rsidP="00E03223">
            <w:pPr>
              <w:pStyle w:val="Tabletext"/>
              <w:rPr>
                <w:rFonts w:eastAsia="Times New Roman" w:cs="Arial"/>
                <w:bCs/>
                <w:color w:val="000000"/>
              </w:rPr>
            </w:pPr>
            <w:r w:rsidRPr="007410CA">
              <w:rPr>
                <w:rFonts w:eastAsia="Times New Roman" w:cs="Arial"/>
                <w:color w:val="000000"/>
              </w:rPr>
              <w:t>2012-05-10</w:t>
            </w:r>
          </w:p>
        </w:tc>
        <w:tc>
          <w:tcPr>
            <w:tcW w:w="1916" w:type="dxa"/>
            <w:shd w:val="clear" w:color="auto" w:fill="auto"/>
          </w:tcPr>
          <w:p w:rsidR="00002507" w:rsidRPr="00610169" w:rsidRDefault="00AC27F2" w:rsidP="00E03223">
            <w:pPr>
              <w:pStyle w:val="Tabletext"/>
              <w:rPr>
                <w:rFonts w:eastAsia="Times New Roman" w:cs="Arial"/>
                <w:bCs/>
                <w:color w:val="0000FF"/>
              </w:rPr>
            </w:pPr>
            <w:hyperlink r:id="rId101" w:history="1">
              <w:r w:rsidR="00002507" w:rsidRPr="00610169">
                <w:rPr>
                  <w:rFonts w:eastAsia="Times New Roman" w:cs="Arial"/>
                  <w:color w:val="0000FF"/>
                  <w:u w:val="single"/>
                </w:rPr>
                <w:t>Rapporteur for Question 10-3/1</w:t>
              </w:r>
            </w:hyperlink>
            <w:r w:rsidR="00002507" w:rsidRPr="00610169">
              <w:rPr>
                <w:rFonts w:eastAsia="Times New Roman" w:cs="Arial"/>
                <w:color w:val="0000FF"/>
              </w:rPr>
              <w:t>  </w:t>
            </w:r>
          </w:p>
        </w:tc>
        <w:tc>
          <w:tcPr>
            <w:tcW w:w="5069" w:type="dxa"/>
            <w:shd w:val="clear" w:color="auto" w:fill="auto"/>
          </w:tcPr>
          <w:p w:rsidR="00002507" w:rsidRPr="00CA367A" w:rsidRDefault="00002507" w:rsidP="00E03223">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26 April 2012</w:t>
            </w:r>
          </w:p>
        </w:tc>
      </w:tr>
      <w:tr w:rsidR="00002507" w:rsidRPr="00AC27F2" w:rsidTr="00E03223">
        <w:tc>
          <w:tcPr>
            <w:tcW w:w="1100" w:type="dxa"/>
            <w:shd w:val="clear" w:color="auto" w:fill="E8F8FD"/>
          </w:tcPr>
          <w:p w:rsidR="00002507" w:rsidRPr="00610169" w:rsidRDefault="00AC27F2" w:rsidP="00E03223">
            <w:pPr>
              <w:pStyle w:val="Tabletext"/>
              <w:rPr>
                <w:rFonts w:eastAsia="Times New Roman" w:cs="Arial"/>
                <w:bCs/>
                <w:color w:val="0000FF"/>
              </w:rPr>
            </w:pPr>
            <w:hyperlink r:id="rId102" w:history="1">
              <w:r w:rsidR="00002507" w:rsidRPr="00610169">
                <w:rPr>
                  <w:rFonts w:eastAsia="Times New Roman" w:cs="Arial"/>
                  <w:color w:val="0000FF"/>
                  <w:u w:val="single"/>
                </w:rPr>
                <w:t>[ 1 ]</w:t>
              </w:r>
            </w:hyperlink>
            <w:r w:rsidR="00002507" w:rsidRPr="00610169">
              <w:rPr>
                <w:rFonts w:eastAsia="Times New Roman" w:cs="Arial"/>
                <w:color w:val="0000FF"/>
              </w:rPr>
              <w:t>   </w:t>
            </w:r>
          </w:p>
        </w:tc>
        <w:tc>
          <w:tcPr>
            <w:tcW w:w="1202" w:type="dxa"/>
            <w:shd w:val="clear" w:color="auto" w:fill="E8F8FD"/>
          </w:tcPr>
          <w:p w:rsidR="00002507" w:rsidRPr="007410CA" w:rsidRDefault="00002507" w:rsidP="00E03223">
            <w:pPr>
              <w:pStyle w:val="Tabletext"/>
              <w:rPr>
                <w:rFonts w:eastAsia="Times New Roman" w:cs="Arial"/>
                <w:bCs/>
                <w:color w:val="000000"/>
              </w:rPr>
            </w:pPr>
            <w:r w:rsidRPr="007410CA">
              <w:rPr>
                <w:rFonts w:eastAsia="Times New Roman" w:cs="Arial"/>
                <w:color w:val="000000"/>
              </w:rPr>
              <w:t>2011-05-06</w:t>
            </w:r>
          </w:p>
        </w:tc>
        <w:tc>
          <w:tcPr>
            <w:tcW w:w="1916" w:type="dxa"/>
            <w:shd w:val="clear" w:color="auto" w:fill="E8F8FD"/>
          </w:tcPr>
          <w:p w:rsidR="00002507" w:rsidRPr="00610169" w:rsidRDefault="00AC27F2" w:rsidP="00E03223">
            <w:pPr>
              <w:pStyle w:val="Tabletext"/>
              <w:rPr>
                <w:rFonts w:eastAsia="Times New Roman" w:cs="Arial"/>
                <w:bCs/>
                <w:color w:val="0000FF"/>
              </w:rPr>
            </w:pPr>
            <w:hyperlink r:id="rId103" w:history="1">
              <w:r w:rsidR="00002507" w:rsidRPr="00610169">
                <w:rPr>
                  <w:rFonts w:eastAsia="Times New Roman" w:cs="Arial"/>
                  <w:color w:val="0000FF"/>
                  <w:u w:val="single"/>
                </w:rPr>
                <w:t>Rapporteur for Question 10-3/1</w:t>
              </w:r>
            </w:hyperlink>
            <w:r w:rsidR="00002507" w:rsidRPr="00610169">
              <w:rPr>
                <w:rFonts w:eastAsia="Times New Roman" w:cs="Arial"/>
                <w:color w:val="0000FF"/>
              </w:rPr>
              <w:t>  </w:t>
            </w:r>
          </w:p>
        </w:tc>
        <w:tc>
          <w:tcPr>
            <w:tcW w:w="5069" w:type="dxa"/>
            <w:shd w:val="clear" w:color="auto" w:fill="E8F8FD"/>
          </w:tcPr>
          <w:p w:rsidR="00002507" w:rsidRPr="00CA367A" w:rsidRDefault="00002507" w:rsidP="00E03223">
            <w:pPr>
              <w:pStyle w:val="Tabletext"/>
              <w:rPr>
                <w:rFonts w:eastAsia="Times New Roman" w:cs="Arial"/>
                <w:bCs/>
                <w:color w:val="000000"/>
                <w:lang w:val="en-US"/>
              </w:rPr>
            </w:pPr>
            <w:r w:rsidRPr="00CA367A">
              <w:rPr>
                <w:rFonts w:eastAsia="Times New Roman" w:cs="Arial"/>
                <w:color w:val="000000"/>
                <w:lang w:val="en-US"/>
              </w:rPr>
              <w:t>Report of the Rapporteur</w:t>
            </w:r>
            <w:r>
              <w:rPr>
                <w:rFonts w:eastAsia="Times New Roman" w:cs="Arial"/>
                <w:color w:val="000000"/>
                <w:lang w:val="en-US"/>
              </w:rPr>
              <w:t>'s Group Meeting on Question 10</w:t>
            </w:r>
            <w:r>
              <w:rPr>
                <w:rFonts w:eastAsia="Times New Roman" w:cs="Arial"/>
                <w:color w:val="000000"/>
                <w:lang w:val="en-US"/>
              </w:rPr>
              <w:noBreakHyphen/>
            </w:r>
            <w:r w:rsidRPr="00CA367A">
              <w:rPr>
                <w:rFonts w:eastAsia="Times New Roman" w:cs="Arial"/>
                <w:color w:val="000000"/>
                <w:lang w:val="en-US"/>
              </w:rPr>
              <w:t>3/1, Geneva, 2 May 2011</w:t>
            </w:r>
          </w:p>
        </w:tc>
      </w:tr>
    </w:tbl>
    <w:p w:rsidR="00002507" w:rsidRPr="00610169" w:rsidRDefault="00002507" w:rsidP="00002507">
      <w:pPr>
        <w:spacing w:before="240" w:after="120"/>
        <w:rPr>
          <w:b/>
          <w:color w:val="005173"/>
          <w:szCs w:val="19"/>
          <w:lang w:val="en-US" w:eastAsia="en-US"/>
        </w:rPr>
      </w:pPr>
      <w:r w:rsidRPr="00610169">
        <w:rPr>
          <w:b/>
          <w:color w:val="005173"/>
          <w:szCs w:val="19"/>
          <w:lang w:val="en-US" w:eastAsia="en-US"/>
        </w:rPr>
        <w:t>Reports of the Study Group 1 Rapporteur Group Meetings (September)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69"/>
      </w:tblGrid>
      <w:tr w:rsidR="00002507" w:rsidTr="00E03223">
        <w:tc>
          <w:tcPr>
            <w:tcW w:w="1100" w:type="dxa"/>
            <w:shd w:val="clear" w:color="auto" w:fill="005173"/>
          </w:tcPr>
          <w:p w:rsidR="00002507" w:rsidRPr="007410CA" w:rsidRDefault="00002507" w:rsidP="00E03223">
            <w:pPr>
              <w:pStyle w:val="Tablehead"/>
            </w:pPr>
            <w:r w:rsidRPr="007410CA">
              <w:t>Number  </w:t>
            </w:r>
          </w:p>
        </w:tc>
        <w:tc>
          <w:tcPr>
            <w:tcW w:w="1202" w:type="dxa"/>
            <w:shd w:val="clear" w:color="auto" w:fill="005173"/>
          </w:tcPr>
          <w:p w:rsidR="00002507" w:rsidRPr="007410CA" w:rsidRDefault="00002507" w:rsidP="00E03223">
            <w:pPr>
              <w:pStyle w:val="Tablehead"/>
            </w:pPr>
            <w:r w:rsidRPr="007410CA">
              <w:t>Received</w:t>
            </w:r>
          </w:p>
        </w:tc>
        <w:tc>
          <w:tcPr>
            <w:tcW w:w="1916" w:type="dxa"/>
            <w:shd w:val="clear" w:color="auto" w:fill="005173"/>
          </w:tcPr>
          <w:p w:rsidR="00002507" w:rsidRPr="007410CA" w:rsidRDefault="00002507" w:rsidP="00E03223">
            <w:pPr>
              <w:pStyle w:val="Tablehead"/>
            </w:pPr>
            <w:r w:rsidRPr="007410CA">
              <w:t>Source</w:t>
            </w:r>
          </w:p>
        </w:tc>
        <w:tc>
          <w:tcPr>
            <w:tcW w:w="5069" w:type="dxa"/>
            <w:shd w:val="clear" w:color="auto" w:fill="005173"/>
          </w:tcPr>
          <w:p w:rsidR="00002507" w:rsidRPr="007410CA" w:rsidRDefault="00002507" w:rsidP="00E03223">
            <w:pPr>
              <w:pStyle w:val="Tablehead"/>
            </w:pPr>
            <w:r w:rsidRPr="007410CA">
              <w:t>Title</w:t>
            </w:r>
          </w:p>
        </w:tc>
      </w:tr>
      <w:tr w:rsidR="00002507" w:rsidRPr="00AC27F2" w:rsidTr="00E03223">
        <w:tc>
          <w:tcPr>
            <w:tcW w:w="1100" w:type="dxa"/>
            <w:shd w:val="clear" w:color="auto" w:fill="E8F8FD"/>
          </w:tcPr>
          <w:p w:rsidR="00002507" w:rsidRPr="00610169" w:rsidRDefault="00AC27F2" w:rsidP="00E03223">
            <w:pPr>
              <w:pStyle w:val="Tabletext"/>
              <w:rPr>
                <w:rFonts w:eastAsia="Times New Roman" w:cs="Arial"/>
                <w:bCs/>
              </w:rPr>
            </w:pPr>
            <w:hyperlink r:id="rId104" w:history="1">
              <w:r w:rsidR="00002507" w:rsidRPr="00887B4F">
                <w:rPr>
                  <w:rFonts w:eastAsia="Times New Roman" w:cs="Arial"/>
                  <w:color w:val="0000FF"/>
                  <w:u w:val="single"/>
                </w:rPr>
                <w:t>[ 32 ]</w:t>
              </w:r>
            </w:hyperlink>
            <w:r w:rsidR="00002507" w:rsidRPr="00610169">
              <w:rPr>
                <w:rFonts w:eastAsia="Times New Roman" w:cs="Arial"/>
              </w:rPr>
              <w:t>   </w:t>
            </w:r>
            <w:r w:rsidR="00002507" w:rsidRPr="00610169">
              <w:rPr>
                <w:rFonts w:eastAsia="Times New Roman" w:cs="Arial"/>
              </w:rPr>
              <w:br/>
            </w:r>
          </w:p>
        </w:tc>
        <w:tc>
          <w:tcPr>
            <w:tcW w:w="1202" w:type="dxa"/>
            <w:shd w:val="clear" w:color="auto" w:fill="E8F8FD"/>
          </w:tcPr>
          <w:p w:rsidR="00002507" w:rsidRPr="007410CA" w:rsidRDefault="00002507" w:rsidP="00E03223">
            <w:pPr>
              <w:pStyle w:val="Tabletext"/>
              <w:rPr>
                <w:rFonts w:eastAsia="Times New Roman" w:cs="Arial"/>
                <w:bCs/>
                <w:color w:val="000000"/>
              </w:rPr>
            </w:pPr>
            <w:r w:rsidRPr="007410CA">
              <w:rPr>
                <w:rFonts w:eastAsia="Times New Roman" w:cs="Arial"/>
                <w:color w:val="000000"/>
              </w:rPr>
              <w:t>201</w:t>
            </w:r>
            <w:r>
              <w:rPr>
                <w:rFonts w:eastAsia="Times New Roman" w:cs="Arial"/>
                <w:color w:val="000000"/>
              </w:rPr>
              <w:t>3</w:t>
            </w:r>
            <w:r w:rsidRPr="007410CA">
              <w:rPr>
                <w:rFonts w:eastAsia="Times New Roman" w:cs="Arial"/>
                <w:color w:val="000000"/>
              </w:rPr>
              <w:t>-09-1</w:t>
            </w:r>
            <w:r>
              <w:rPr>
                <w:rFonts w:eastAsia="Times New Roman" w:cs="Arial"/>
                <w:color w:val="000000"/>
              </w:rPr>
              <w:t>1</w:t>
            </w:r>
          </w:p>
        </w:tc>
        <w:tc>
          <w:tcPr>
            <w:tcW w:w="1916" w:type="dxa"/>
            <w:shd w:val="clear" w:color="auto" w:fill="E8F8FD"/>
          </w:tcPr>
          <w:p w:rsidR="00002507" w:rsidRPr="00887B4F" w:rsidRDefault="00AC27F2" w:rsidP="00E03223">
            <w:pPr>
              <w:pStyle w:val="Tabletext"/>
              <w:rPr>
                <w:rFonts w:eastAsia="Times New Roman" w:cs="Arial"/>
                <w:bCs/>
                <w:color w:val="0000FF"/>
              </w:rPr>
            </w:pPr>
            <w:hyperlink r:id="rId105" w:history="1">
              <w:r w:rsidR="00002507" w:rsidRPr="00887B4F">
                <w:rPr>
                  <w:rFonts w:eastAsia="Times New Roman" w:cs="Arial"/>
                  <w:color w:val="0000FF"/>
                  <w:u w:val="single"/>
                </w:rPr>
                <w:t>Rapporteur for Question 10-3/1</w:t>
              </w:r>
            </w:hyperlink>
            <w:r w:rsidR="00002507" w:rsidRPr="00887B4F">
              <w:rPr>
                <w:rFonts w:eastAsia="Times New Roman" w:cs="Arial"/>
                <w:color w:val="0000FF"/>
              </w:rPr>
              <w:t>  </w:t>
            </w:r>
          </w:p>
        </w:tc>
        <w:tc>
          <w:tcPr>
            <w:tcW w:w="5069" w:type="dxa"/>
            <w:shd w:val="clear" w:color="auto" w:fill="E8F8FD"/>
          </w:tcPr>
          <w:p w:rsidR="00002507" w:rsidRPr="00CA367A" w:rsidRDefault="00002507" w:rsidP="00E03223">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9 September 2013)</w:t>
            </w:r>
          </w:p>
        </w:tc>
      </w:tr>
      <w:tr w:rsidR="00002507" w:rsidRPr="00AC27F2" w:rsidTr="00E03223">
        <w:tc>
          <w:tcPr>
            <w:tcW w:w="1100" w:type="dxa"/>
            <w:shd w:val="clear" w:color="auto" w:fill="auto"/>
          </w:tcPr>
          <w:p w:rsidR="00002507" w:rsidRPr="00D771A6" w:rsidRDefault="00AC27F2" w:rsidP="00E03223">
            <w:pPr>
              <w:pStyle w:val="Tabletext"/>
              <w:rPr>
                <w:rFonts w:eastAsia="Times New Roman" w:cs="Arial"/>
                <w:bCs/>
                <w:color w:val="000000"/>
              </w:rPr>
            </w:pPr>
            <w:hyperlink r:id="rId106" w:history="1">
              <w:r w:rsidR="00002507" w:rsidRPr="00887B4F">
                <w:rPr>
                  <w:rFonts w:eastAsia="Times New Roman" w:cs="Arial"/>
                  <w:color w:val="0000FF"/>
                  <w:u w:val="single"/>
                </w:rPr>
                <w:t>[ 22 ]</w:t>
              </w:r>
            </w:hyperlink>
            <w:r w:rsidR="00002507" w:rsidRPr="00887B4F">
              <w:rPr>
                <w:rFonts w:eastAsia="Times New Roman" w:cs="Arial"/>
                <w:color w:val="0000FF"/>
              </w:rPr>
              <w:t> </w:t>
            </w:r>
            <w:r w:rsidR="00002507" w:rsidRPr="00D771A6">
              <w:rPr>
                <w:rFonts w:eastAsia="Times New Roman" w:cs="Arial"/>
                <w:color w:val="000000"/>
              </w:rPr>
              <w:t>  </w:t>
            </w:r>
            <w:r w:rsidR="00002507" w:rsidRPr="00D771A6">
              <w:rPr>
                <w:rFonts w:eastAsia="Times New Roman" w:cs="Arial"/>
                <w:color w:val="000000"/>
              </w:rPr>
              <w:br/>
            </w:r>
            <w:r w:rsidR="00002507" w:rsidRPr="00D771A6">
              <w:rPr>
                <w:rFonts w:eastAsia="Times New Roman" w:cs="Arial"/>
                <w:color w:val="FF0000"/>
              </w:rPr>
              <w:t>(Rev.1)</w:t>
            </w:r>
            <w:r w:rsidR="00002507" w:rsidRPr="00D771A6">
              <w:rPr>
                <w:rFonts w:eastAsia="Times New Roman" w:cs="Arial"/>
                <w:color w:val="000000"/>
              </w:rPr>
              <w:t> </w:t>
            </w:r>
          </w:p>
        </w:tc>
        <w:tc>
          <w:tcPr>
            <w:tcW w:w="1202" w:type="dxa"/>
            <w:shd w:val="clear" w:color="auto" w:fill="auto"/>
          </w:tcPr>
          <w:p w:rsidR="00002507" w:rsidRPr="007410CA" w:rsidRDefault="00002507" w:rsidP="00E03223">
            <w:pPr>
              <w:pStyle w:val="Tabletext"/>
              <w:rPr>
                <w:rFonts w:eastAsia="Times New Roman" w:cs="Arial"/>
                <w:bCs/>
                <w:color w:val="000000"/>
              </w:rPr>
            </w:pPr>
            <w:r w:rsidRPr="007410CA">
              <w:rPr>
                <w:rFonts w:eastAsia="Times New Roman" w:cs="Arial"/>
                <w:color w:val="000000"/>
              </w:rPr>
              <w:t>2012-09-10</w:t>
            </w:r>
          </w:p>
        </w:tc>
        <w:tc>
          <w:tcPr>
            <w:tcW w:w="1916" w:type="dxa"/>
            <w:shd w:val="clear" w:color="auto" w:fill="auto"/>
          </w:tcPr>
          <w:p w:rsidR="00002507" w:rsidRPr="00887B4F" w:rsidRDefault="00AC27F2" w:rsidP="00E03223">
            <w:pPr>
              <w:pStyle w:val="Tabletext"/>
              <w:rPr>
                <w:rFonts w:eastAsia="Times New Roman" w:cs="Arial"/>
                <w:bCs/>
                <w:color w:val="0000FF"/>
              </w:rPr>
            </w:pPr>
            <w:hyperlink r:id="rId107" w:history="1">
              <w:r w:rsidR="00002507" w:rsidRPr="00887B4F">
                <w:rPr>
                  <w:rFonts w:eastAsia="Times New Roman" w:cs="Arial"/>
                  <w:color w:val="0000FF"/>
                  <w:u w:val="single"/>
                </w:rPr>
                <w:t>Rapporteur for Question 10-3/1</w:t>
              </w:r>
            </w:hyperlink>
            <w:r w:rsidR="00002507" w:rsidRPr="00887B4F">
              <w:rPr>
                <w:rFonts w:eastAsia="Times New Roman" w:cs="Arial"/>
                <w:color w:val="0000FF"/>
              </w:rPr>
              <w:t>  </w:t>
            </w:r>
          </w:p>
        </w:tc>
        <w:tc>
          <w:tcPr>
            <w:tcW w:w="5069" w:type="dxa"/>
            <w:shd w:val="clear" w:color="auto" w:fill="auto"/>
          </w:tcPr>
          <w:p w:rsidR="00002507" w:rsidRPr="00CA367A" w:rsidRDefault="00002507" w:rsidP="00E03223">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10 September 2012)</w:t>
            </w:r>
          </w:p>
        </w:tc>
      </w:tr>
      <w:tr w:rsidR="00002507" w:rsidRPr="00AC27F2" w:rsidTr="00E03223">
        <w:tc>
          <w:tcPr>
            <w:tcW w:w="1100" w:type="dxa"/>
            <w:shd w:val="clear" w:color="auto" w:fill="E8F8FD"/>
          </w:tcPr>
          <w:p w:rsidR="00002507" w:rsidRPr="00610169" w:rsidRDefault="00AC27F2" w:rsidP="00E03223">
            <w:pPr>
              <w:pStyle w:val="Tabletext"/>
              <w:rPr>
                <w:rFonts w:eastAsia="Times New Roman" w:cs="Arial"/>
                <w:bCs/>
              </w:rPr>
            </w:pPr>
            <w:hyperlink r:id="rId108" w:history="1">
              <w:r w:rsidR="00002507" w:rsidRPr="00887B4F">
                <w:rPr>
                  <w:rFonts w:eastAsia="Times New Roman" w:cs="Arial"/>
                  <w:color w:val="0000FF"/>
                  <w:u w:val="single"/>
                </w:rPr>
                <w:t>[ 11 ]</w:t>
              </w:r>
            </w:hyperlink>
            <w:r w:rsidR="00002507" w:rsidRPr="00887B4F">
              <w:rPr>
                <w:rFonts w:eastAsia="Times New Roman" w:cs="Arial"/>
                <w:color w:val="0000FF"/>
              </w:rPr>
              <w:t>   </w:t>
            </w:r>
            <w:r w:rsidR="00002507" w:rsidRPr="00887B4F">
              <w:rPr>
                <w:rFonts w:eastAsia="Times New Roman" w:cs="Arial"/>
                <w:color w:val="0000FF"/>
              </w:rPr>
              <w:br/>
              <w:t> </w:t>
            </w:r>
          </w:p>
        </w:tc>
        <w:tc>
          <w:tcPr>
            <w:tcW w:w="1202" w:type="dxa"/>
            <w:shd w:val="clear" w:color="auto" w:fill="E8F8FD"/>
          </w:tcPr>
          <w:p w:rsidR="00002507" w:rsidRPr="007410CA" w:rsidRDefault="00002507" w:rsidP="00E03223">
            <w:pPr>
              <w:pStyle w:val="Tabletext"/>
              <w:rPr>
                <w:rFonts w:eastAsia="Times New Roman" w:cs="Arial"/>
                <w:bCs/>
                <w:color w:val="000000"/>
              </w:rPr>
            </w:pPr>
            <w:r w:rsidRPr="007410CA">
              <w:rPr>
                <w:rFonts w:eastAsia="Times New Roman" w:cs="Arial"/>
                <w:color w:val="000000"/>
              </w:rPr>
              <w:t>2011-09-05</w:t>
            </w:r>
          </w:p>
        </w:tc>
        <w:tc>
          <w:tcPr>
            <w:tcW w:w="1916" w:type="dxa"/>
            <w:shd w:val="clear" w:color="auto" w:fill="E8F8FD"/>
          </w:tcPr>
          <w:p w:rsidR="00002507" w:rsidRPr="00887B4F" w:rsidRDefault="00AC27F2" w:rsidP="00E03223">
            <w:pPr>
              <w:pStyle w:val="Tabletext"/>
              <w:rPr>
                <w:rFonts w:eastAsia="Times New Roman" w:cs="Arial"/>
                <w:bCs/>
                <w:color w:val="0000FF"/>
              </w:rPr>
            </w:pPr>
            <w:hyperlink r:id="rId109" w:history="1">
              <w:r w:rsidR="00002507" w:rsidRPr="00887B4F">
                <w:rPr>
                  <w:rFonts w:eastAsia="Times New Roman" w:cs="Arial"/>
                  <w:color w:val="0000FF"/>
                  <w:u w:val="single"/>
                </w:rPr>
                <w:t>Rapporteur for Question 10-3/1</w:t>
              </w:r>
            </w:hyperlink>
            <w:r w:rsidR="00002507" w:rsidRPr="00887B4F">
              <w:rPr>
                <w:rFonts w:eastAsia="Times New Roman" w:cs="Arial"/>
                <w:color w:val="0000FF"/>
              </w:rPr>
              <w:t>  </w:t>
            </w:r>
          </w:p>
        </w:tc>
        <w:tc>
          <w:tcPr>
            <w:tcW w:w="5069" w:type="dxa"/>
            <w:shd w:val="clear" w:color="auto" w:fill="E8F8FD"/>
          </w:tcPr>
          <w:p w:rsidR="00002507" w:rsidRPr="00CA367A" w:rsidRDefault="00002507" w:rsidP="00E03223">
            <w:pPr>
              <w:pStyle w:val="Tabletext"/>
              <w:rPr>
                <w:rFonts w:eastAsia="Times New Roman" w:cs="Arial"/>
                <w:bCs/>
                <w:color w:val="000000"/>
                <w:lang w:val="en-US"/>
              </w:rPr>
            </w:pPr>
            <w:r w:rsidRPr="00CA367A">
              <w:rPr>
                <w:rFonts w:eastAsia="Times New Roman" w:cs="Arial"/>
                <w:color w:val="000000"/>
                <w:lang w:val="en-US"/>
              </w:rPr>
              <w:t>Report of the Rapporteur Group meeting on Question 10-3/1 (Geneva, 5 September 2011)</w:t>
            </w:r>
          </w:p>
        </w:tc>
      </w:tr>
      <w:tr w:rsidR="00002507" w:rsidRPr="00AC27F2" w:rsidTr="00E03223">
        <w:tc>
          <w:tcPr>
            <w:tcW w:w="1100" w:type="dxa"/>
            <w:shd w:val="clear" w:color="auto" w:fill="auto"/>
          </w:tcPr>
          <w:p w:rsidR="00002507" w:rsidRPr="00D771A6" w:rsidRDefault="00AC27F2" w:rsidP="00E03223">
            <w:pPr>
              <w:pStyle w:val="Tabletext"/>
              <w:rPr>
                <w:rFonts w:eastAsia="Times New Roman" w:cs="Arial"/>
                <w:bCs/>
                <w:color w:val="000000"/>
              </w:rPr>
            </w:pPr>
            <w:hyperlink r:id="rId110" w:history="1">
              <w:r w:rsidR="00002507" w:rsidRPr="00887B4F">
                <w:rPr>
                  <w:rFonts w:eastAsia="Times New Roman" w:cs="Arial"/>
                  <w:color w:val="0000FF"/>
                  <w:u w:val="single"/>
                </w:rPr>
                <w:t>[ 2 ]</w:t>
              </w:r>
            </w:hyperlink>
            <w:r w:rsidR="00002507" w:rsidRPr="00887B4F">
              <w:rPr>
                <w:rFonts w:eastAsia="Times New Roman" w:cs="Arial"/>
                <w:color w:val="0000FF"/>
              </w:rPr>
              <w:t>   </w:t>
            </w:r>
            <w:r w:rsidR="00002507" w:rsidRPr="00D771A6">
              <w:rPr>
                <w:rFonts w:eastAsia="Times New Roman" w:cs="Arial"/>
                <w:color w:val="000000"/>
              </w:rPr>
              <w:br/>
            </w:r>
            <w:r w:rsidR="00002507" w:rsidRPr="00D771A6">
              <w:rPr>
                <w:rFonts w:eastAsia="Times New Roman" w:cs="Arial"/>
                <w:color w:val="FF0000"/>
              </w:rPr>
              <w:t>(Rev.1)</w:t>
            </w:r>
            <w:r w:rsidR="00002507" w:rsidRPr="00D771A6">
              <w:rPr>
                <w:rFonts w:eastAsia="Times New Roman" w:cs="Arial"/>
                <w:color w:val="000000"/>
              </w:rPr>
              <w:t> </w:t>
            </w:r>
          </w:p>
        </w:tc>
        <w:tc>
          <w:tcPr>
            <w:tcW w:w="1202" w:type="dxa"/>
            <w:shd w:val="clear" w:color="auto" w:fill="auto"/>
          </w:tcPr>
          <w:p w:rsidR="00002507" w:rsidRPr="007410CA" w:rsidRDefault="00002507" w:rsidP="00E03223">
            <w:pPr>
              <w:pStyle w:val="Tabletext"/>
              <w:rPr>
                <w:rFonts w:eastAsia="Times New Roman" w:cs="Arial"/>
                <w:bCs/>
                <w:color w:val="000000"/>
              </w:rPr>
            </w:pPr>
            <w:r w:rsidRPr="007410CA">
              <w:rPr>
                <w:rFonts w:eastAsia="Times New Roman" w:cs="Arial"/>
                <w:color w:val="000000"/>
              </w:rPr>
              <w:t>2010-09-21</w:t>
            </w:r>
          </w:p>
        </w:tc>
        <w:tc>
          <w:tcPr>
            <w:tcW w:w="1916" w:type="dxa"/>
            <w:shd w:val="clear" w:color="auto" w:fill="auto"/>
          </w:tcPr>
          <w:p w:rsidR="00002507" w:rsidRPr="00887B4F" w:rsidRDefault="00AC27F2" w:rsidP="00E03223">
            <w:pPr>
              <w:pStyle w:val="Tabletext"/>
              <w:rPr>
                <w:rFonts w:eastAsia="Times New Roman" w:cs="Arial"/>
                <w:bCs/>
                <w:color w:val="0000FF"/>
              </w:rPr>
            </w:pPr>
            <w:hyperlink r:id="rId111" w:history="1">
              <w:r w:rsidR="00002507" w:rsidRPr="00887B4F">
                <w:rPr>
                  <w:rFonts w:eastAsia="Times New Roman" w:cs="Arial"/>
                  <w:color w:val="0000FF"/>
                  <w:u w:val="single"/>
                </w:rPr>
                <w:t>Rapporteur for Question 10-3/1</w:t>
              </w:r>
            </w:hyperlink>
            <w:r w:rsidR="00002507" w:rsidRPr="00887B4F">
              <w:rPr>
                <w:rFonts w:eastAsia="Times New Roman" w:cs="Arial"/>
                <w:color w:val="0000FF"/>
              </w:rPr>
              <w:t>  </w:t>
            </w:r>
          </w:p>
        </w:tc>
        <w:tc>
          <w:tcPr>
            <w:tcW w:w="5069" w:type="dxa"/>
            <w:shd w:val="clear" w:color="auto" w:fill="auto"/>
          </w:tcPr>
          <w:p w:rsidR="00002507" w:rsidRPr="00CA367A" w:rsidRDefault="00002507" w:rsidP="00E03223">
            <w:pPr>
              <w:pStyle w:val="Tabletext"/>
              <w:rPr>
                <w:rFonts w:eastAsia="Times New Roman" w:cs="Arial"/>
                <w:bCs/>
                <w:color w:val="000000"/>
                <w:lang w:val="en-US"/>
              </w:rPr>
            </w:pPr>
            <w:r w:rsidRPr="00CA367A">
              <w:rPr>
                <w:rFonts w:eastAsia="Times New Roman" w:cs="Arial"/>
                <w:color w:val="000000"/>
                <w:lang w:val="en-US"/>
              </w:rPr>
              <w:t xml:space="preserve">Report of the Meeting of the Rapporteur's Group on Question 10-3/1 (Geneva, Monday 20 September 2010, 1615-17-30) </w:t>
            </w:r>
          </w:p>
        </w:tc>
      </w:tr>
    </w:tbl>
    <w:p w:rsidR="00002507" w:rsidRPr="00610169" w:rsidRDefault="00002507" w:rsidP="00002507">
      <w:pPr>
        <w:spacing w:before="240" w:after="120"/>
        <w:rPr>
          <w:b/>
          <w:color w:val="005173"/>
          <w:szCs w:val="19"/>
          <w:lang w:val="en-US" w:eastAsia="en-US"/>
        </w:rPr>
      </w:pPr>
      <w:r w:rsidRPr="00610169">
        <w:rPr>
          <w:b/>
          <w:color w:val="005173"/>
          <w:szCs w:val="19"/>
          <w:lang w:val="en-US" w:eastAsia="en-US"/>
        </w:rPr>
        <w:t>Other documents</w:t>
      </w:r>
    </w:p>
    <w:p w:rsidR="00002507" w:rsidRPr="009B5775" w:rsidRDefault="00002507" w:rsidP="00002507">
      <w:pPr>
        <w:pStyle w:val="Enumlevel1"/>
        <w:numPr>
          <w:ilvl w:val="0"/>
          <w:numId w:val="41"/>
        </w:numPr>
        <w:ind w:left="567" w:hanging="567"/>
        <w:rPr>
          <w:shd w:val="clear" w:color="auto" w:fill="FFFFFF"/>
        </w:rPr>
      </w:pPr>
      <w:r w:rsidRPr="009B5775">
        <w:rPr>
          <w:shd w:val="clear" w:color="auto" w:fill="FFFFFF"/>
        </w:rPr>
        <w:t>EC Competition Law – Giorgio Monti</w:t>
      </w:r>
      <w:r>
        <w:rPr>
          <w:shd w:val="clear" w:color="auto" w:fill="FFFFFF"/>
        </w:rPr>
        <w:t>.</w:t>
      </w:r>
    </w:p>
    <w:p w:rsidR="00002507" w:rsidRPr="009B5775" w:rsidRDefault="00002507" w:rsidP="00002507">
      <w:pPr>
        <w:pStyle w:val="Enumlevel1"/>
        <w:numPr>
          <w:ilvl w:val="0"/>
          <w:numId w:val="41"/>
        </w:numPr>
        <w:ind w:left="567" w:hanging="567"/>
        <w:rPr>
          <w:shd w:val="clear" w:color="auto" w:fill="FFFFFF"/>
        </w:rPr>
      </w:pPr>
      <w:r w:rsidRPr="009B5775">
        <w:rPr>
          <w:shd w:val="clear" w:color="auto" w:fill="FFFFFF"/>
        </w:rPr>
        <w:t>Cases and Materials on The Competition Law of the European Union, Eleanor M. Fox, 2</w:t>
      </w:r>
      <w:r w:rsidRPr="009B5775">
        <w:rPr>
          <w:shd w:val="clear" w:color="auto" w:fill="FFFFFF"/>
          <w:vertAlign w:val="superscript"/>
        </w:rPr>
        <w:t>nd</w:t>
      </w:r>
      <w:r w:rsidRPr="009B5775">
        <w:rPr>
          <w:shd w:val="clear" w:color="auto" w:fill="FFFFFF"/>
        </w:rPr>
        <w:t xml:space="preserve"> edition, American Casebook Series</w:t>
      </w:r>
      <w:r>
        <w:rPr>
          <w:shd w:val="clear" w:color="auto" w:fill="FFFFFF"/>
        </w:rPr>
        <w:t>.</w:t>
      </w:r>
    </w:p>
    <w:p w:rsidR="00002507" w:rsidRPr="009B5775" w:rsidRDefault="00002507" w:rsidP="00002507">
      <w:pPr>
        <w:pStyle w:val="Enumlevel1"/>
        <w:numPr>
          <w:ilvl w:val="0"/>
          <w:numId w:val="41"/>
        </w:numPr>
        <w:ind w:left="567" w:hanging="567"/>
        <w:rPr>
          <w:shd w:val="clear" w:color="auto" w:fill="FFFFFF"/>
        </w:rPr>
      </w:pPr>
      <w:r w:rsidRPr="009B5775">
        <w:rPr>
          <w:shd w:val="clear" w:color="auto" w:fill="FFFFFF"/>
        </w:rPr>
        <w:t>Competition, Volume 1- Practical Law Company, 2011</w:t>
      </w:r>
      <w:r>
        <w:rPr>
          <w:shd w:val="clear" w:color="auto" w:fill="FFFFFF"/>
        </w:rPr>
        <w:t>.</w:t>
      </w:r>
    </w:p>
    <w:p w:rsidR="00002507" w:rsidRPr="009B5775" w:rsidRDefault="00002507" w:rsidP="00002507">
      <w:pPr>
        <w:pStyle w:val="Enumlevel1"/>
        <w:numPr>
          <w:ilvl w:val="0"/>
          <w:numId w:val="41"/>
        </w:numPr>
        <w:ind w:left="567" w:hanging="567"/>
        <w:rPr>
          <w:shd w:val="clear" w:color="auto" w:fill="FFFFFF"/>
        </w:rPr>
      </w:pPr>
      <w:r w:rsidRPr="009B5775">
        <w:rPr>
          <w:shd w:val="clear" w:color="auto" w:fill="FFFFFF"/>
        </w:rPr>
        <w:t xml:space="preserve">ITU-infoDev ICT Regulation Toolkit- </w:t>
      </w:r>
      <w:hyperlink r:id="rId112" w:history="1">
        <w:r w:rsidRPr="009B5775">
          <w:rPr>
            <w:rStyle w:val="Hyperlink"/>
            <w:rFonts w:asciiTheme="minorHAnsi" w:hAnsiTheme="minorHAnsi" w:cs="Arial"/>
            <w:bCs/>
            <w:shd w:val="clear" w:color="auto" w:fill="FFFFFF"/>
          </w:rPr>
          <w:t>www.ictregulationtoolkit.org</w:t>
        </w:r>
      </w:hyperlink>
      <w:r w:rsidRPr="009B5775">
        <w:rPr>
          <w:shd w:val="clear" w:color="auto" w:fill="FFFFFF"/>
        </w:rPr>
        <w:t xml:space="preserve"> </w:t>
      </w:r>
    </w:p>
    <w:p w:rsidR="00002507" w:rsidRPr="009B5775" w:rsidRDefault="00002507" w:rsidP="00002507">
      <w:pPr>
        <w:pStyle w:val="Enumlevel1"/>
        <w:numPr>
          <w:ilvl w:val="0"/>
          <w:numId w:val="41"/>
        </w:numPr>
        <w:ind w:left="567" w:hanging="567"/>
        <w:rPr>
          <w:shd w:val="clear" w:color="auto" w:fill="FFFFFF"/>
        </w:rPr>
      </w:pPr>
      <w:r w:rsidRPr="009B5775">
        <w:rPr>
          <w:shd w:val="clear" w:color="auto" w:fill="FFFFFF"/>
        </w:rPr>
        <w:t>Discussion paper on Mobile Banking at the Global Symposium for Regulators, 2011</w:t>
      </w:r>
      <w:r>
        <w:rPr>
          <w:shd w:val="clear" w:color="auto" w:fill="FFFFFF"/>
        </w:rPr>
        <w:t>.</w:t>
      </w:r>
    </w:p>
    <w:p w:rsidR="00002507" w:rsidRPr="009B5775" w:rsidRDefault="00002507" w:rsidP="00002507">
      <w:pPr>
        <w:pStyle w:val="Enumlevel1"/>
        <w:numPr>
          <w:ilvl w:val="0"/>
          <w:numId w:val="41"/>
        </w:numPr>
        <w:ind w:left="567" w:hanging="567"/>
        <w:rPr>
          <w:shd w:val="clear" w:color="auto" w:fill="FFFFFF"/>
        </w:rPr>
      </w:pPr>
      <w:r w:rsidRPr="009B5775">
        <w:rPr>
          <w:shd w:val="clear" w:color="auto" w:fill="FFFFFF"/>
        </w:rPr>
        <w:t>Mergers and Acquisitions in 60 jurisdictions worldwide 2011, Contributing editor: Casey Cogut, Publishers Getting the Deal Through in association with Aabo Evenson &amp; co Advokatfirma &amp; others</w:t>
      </w:r>
      <w:r>
        <w:rPr>
          <w:shd w:val="clear" w:color="auto" w:fill="FFFFFF"/>
        </w:rPr>
        <w:t>.</w:t>
      </w:r>
    </w:p>
    <w:p w:rsidR="00002507" w:rsidRPr="009B5775" w:rsidRDefault="00002507" w:rsidP="00002507">
      <w:pPr>
        <w:pStyle w:val="Enumlevel1"/>
        <w:numPr>
          <w:ilvl w:val="0"/>
          <w:numId w:val="41"/>
        </w:numPr>
        <w:ind w:left="567" w:hanging="567"/>
        <w:rPr>
          <w:shd w:val="clear" w:color="auto" w:fill="FFFFFF"/>
        </w:rPr>
      </w:pPr>
      <w:r w:rsidRPr="009B5775">
        <w:rPr>
          <w:shd w:val="clear" w:color="auto" w:fill="FFFFFF"/>
        </w:rPr>
        <w:t>Competition Law &amp; Policy-A Tool for Development in Tanzania, ESRF, CUTS, 2002</w:t>
      </w:r>
      <w:r>
        <w:rPr>
          <w:shd w:val="clear" w:color="auto" w:fill="FFFFFF"/>
        </w:rPr>
        <w:t>.</w:t>
      </w:r>
    </w:p>
    <w:p w:rsidR="00002507" w:rsidRDefault="00002507" w:rsidP="00002507">
      <w:pPr>
        <w:jc w:val="center"/>
      </w:pPr>
      <w:r>
        <w:t>_________________</w:t>
      </w:r>
    </w:p>
    <w:p w:rsidR="00002507" w:rsidRPr="00487690" w:rsidRDefault="00002507" w:rsidP="00002507"/>
    <w:p w:rsidR="000A71D3" w:rsidRPr="000A67CB" w:rsidRDefault="000A71D3" w:rsidP="00133CDA">
      <w:pPr>
        <w:rPr>
          <w:lang w:val="en-US"/>
        </w:rPr>
      </w:pPr>
    </w:p>
    <w:sectPr w:rsidR="000A71D3" w:rsidRPr="000A67CB" w:rsidSect="00002507">
      <w:headerReference w:type="even" r:id="rId113"/>
      <w:headerReference w:type="default" r:id="rId114"/>
      <w:footerReference w:type="even" r:id="rId115"/>
      <w:footerReference w:type="default" r:id="rId116"/>
      <w:endnotePr>
        <w:numFmt w:val="decimal"/>
      </w:endnotePr>
      <w:type w:val="oddPage"/>
      <w:pgSz w:w="11907" w:h="16840" w:code="9"/>
      <w:pgMar w:top="1701" w:right="1418" w:bottom="1418" w:left="1418" w:header="709" w:footer="709" w:gutter="0"/>
      <w:pgNumType w:start="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6CA" w:rsidRPr="0034180A" w:rsidRDefault="008526CA" w:rsidP="00837668">
      <w:pPr>
        <w:pStyle w:val="Footer"/>
      </w:pPr>
    </w:p>
    <w:p w:rsidR="008526CA" w:rsidRDefault="008526CA"/>
    <w:p w:rsidR="008526CA" w:rsidRDefault="008526CA"/>
  </w:endnote>
  <w:endnote w:type="continuationSeparator" w:id="0">
    <w:p w:rsidR="008526CA" w:rsidRPr="0034180A" w:rsidRDefault="008526CA" w:rsidP="00837668">
      <w:pPr>
        <w:pStyle w:val="Footer"/>
      </w:pPr>
    </w:p>
    <w:p w:rsidR="008526CA" w:rsidRDefault="008526CA"/>
    <w:p w:rsidR="008526CA" w:rsidRDefault="008526CA"/>
  </w:endnote>
  <w:endnote w:type="continuationNotice" w:id="1">
    <w:p w:rsidR="008526CA" w:rsidRDefault="008526CA"/>
    <w:p w:rsidR="008526CA" w:rsidRDefault="008526CA"/>
    <w:p w:rsidR="008526CA" w:rsidRDefault="008526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15F1DF6F-14B1-498F-88E2-4224D4FBC20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412DF2F6-FB77-4136-8777-755583BC21C0}"/>
    <w:embedBold r:id="rId3" w:fontKey="{F370C93C-6CAC-4EAB-B144-7F5F7CF22B79}"/>
    <w:embedItalic r:id="rId4" w:fontKey="{C506A4EA-9037-4CDD-9041-4AA55E3F08ED}"/>
    <w:embedBoldItalic r:id="rId5" w:fontKey="{8C363DD8-7204-4C28-A08A-C12184F14545}"/>
  </w:font>
  <w:font w:name="SimSun">
    <w:altName w:val="宋体"/>
    <w:panose1 w:val="02010600030101010101"/>
    <w:charset w:val="86"/>
    <w:family w:val="auto"/>
    <w:pitch w:val="variable"/>
    <w:sig w:usb0="00000003" w:usb1="288F0000" w:usb2="00000016" w:usb3="00000000" w:csb0="00040001" w:csb1="00000000"/>
  </w:font>
  <w:font w:name="Zurich UBlkEx BT">
    <w:panose1 w:val="020B090704050203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837668" w:rsidRDefault="00E03223"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674812"/>
      <w:docPartObj>
        <w:docPartGallery w:val="Page Numbers (Bottom of Page)"/>
        <w:docPartUnique/>
      </w:docPartObj>
    </w:sdtPr>
    <w:sdtEndPr>
      <w:rPr>
        <w:noProof/>
      </w:rPr>
    </w:sdtEndPr>
    <w:sdtContent>
      <w:p w:rsidR="00E03223" w:rsidRPr="005875E1" w:rsidRDefault="00E03223" w:rsidP="00E03223">
        <w:pPr>
          <w:pStyle w:val="Footer"/>
        </w:pPr>
        <w:r w:rsidRPr="009E2BB9">
          <w:tab/>
        </w:r>
        <w:r>
          <w:fldChar w:fldCharType="begin"/>
        </w:r>
        <w:r>
          <w:instrText xml:space="preserve"> PAGE </w:instrText>
        </w:r>
        <w:r>
          <w:fldChar w:fldCharType="separate"/>
        </w:r>
        <w:r w:rsidR="00AC27F2">
          <w:rPr>
            <w:noProof/>
          </w:rPr>
          <w:t>33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075AC8" w:rsidRDefault="00E03223"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Default="00E03223"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821C93" w:rsidRDefault="00E03223" w:rsidP="00821C93">
    <w:pPr>
      <w:pStyle w:val="Footer"/>
      <w:tabs>
        <w:tab w:val="clear" w:pos="9071"/>
      </w:tabs>
      <w:ind w:left="0" w:right="6803"/>
      <w:jc w:val="left"/>
    </w:pPr>
    <w:r>
      <w:fldChar w:fldCharType="begin"/>
    </w:r>
    <w:r>
      <w:instrText xml:space="preserve"> PAGE </w:instrText>
    </w:r>
    <w:r>
      <w:fldChar w:fldCharType="separate"/>
    </w:r>
    <w:r w:rsidR="00AC27F2">
      <w:rPr>
        <w:noProof/>
      </w:rPr>
      <w:t>28</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Default="00E03223"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Default="00E03223" w:rsidP="00821C93">
    <w:pPr>
      <w:pStyle w:val="Footer"/>
    </w:pPr>
    <w:r w:rsidRPr="009E2BB9">
      <w:tab/>
    </w:r>
    <w:r>
      <w:fldChar w:fldCharType="begin"/>
    </w:r>
    <w:r>
      <w:instrText xml:space="preserve"> PAGE </w:instrText>
    </w:r>
    <w:r>
      <w:fldChar w:fldCharType="separate"/>
    </w:r>
    <w:r w:rsidR="00AC27F2">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Default="00E03223" w:rsidP="00C22083">
    <w:pPr>
      <w:pBdr>
        <w:top w:val="single" w:sz="4" w:space="1" w:color="005173"/>
      </w:pBdr>
      <w:tabs>
        <w:tab w:val="right" w:pos="9071"/>
      </w:tabs>
      <w:ind w:left="6804"/>
      <w:jc w:val="right"/>
    </w:pPr>
    <w:r w:rsidRPr="009E2BB9">
      <w:tab/>
    </w:r>
    <w:r>
      <w:fldChar w:fldCharType="begin"/>
    </w:r>
    <w:r>
      <w:instrText xml:space="preserve"> PAGE </w:instrText>
    </w:r>
    <w:r>
      <w:fldChar w:fldCharType="separate"/>
    </w:r>
    <w:r w:rsidR="00AC27F2">
      <w:rPr>
        <w:noProof/>
      </w:rPr>
      <w:t>27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002507" w:rsidRDefault="00E03223" w:rsidP="00002507">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821C93" w:rsidRDefault="00E03223" w:rsidP="00821C93">
    <w:pPr>
      <w:pStyle w:val="Footer"/>
      <w:tabs>
        <w:tab w:val="clear" w:pos="9071"/>
      </w:tabs>
      <w:ind w:left="0" w:right="6803"/>
      <w:jc w:val="left"/>
    </w:pPr>
    <w:r>
      <w:fldChar w:fldCharType="begin"/>
    </w:r>
    <w:r>
      <w:instrText xml:space="preserve"> PAGE </w:instrText>
    </w:r>
    <w:r>
      <w:fldChar w:fldCharType="separate"/>
    </w:r>
    <w:r w:rsidR="00AC27F2">
      <w:rPr>
        <w:noProof/>
      </w:rPr>
      <w:t>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6CA" w:rsidRDefault="008526CA" w:rsidP="009319E4">
      <w:pPr>
        <w:spacing w:after="120"/>
      </w:pPr>
      <w:r>
        <w:separator/>
      </w:r>
    </w:p>
  </w:footnote>
  <w:footnote w:type="continuationSeparator" w:id="0">
    <w:p w:rsidR="008526CA" w:rsidRDefault="008526CA">
      <w:r>
        <w:continuationSeparator/>
      </w:r>
    </w:p>
    <w:p w:rsidR="008526CA" w:rsidRDefault="008526CA"/>
    <w:p w:rsidR="008526CA" w:rsidRDefault="008526CA"/>
    <w:p w:rsidR="008526CA" w:rsidRDefault="008526CA"/>
    <w:p w:rsidR="008526CA" w:rsidRDefault="008526CA"/>
    <w:p w:rsidR="008526CA" w:rsidRDefault="008526CA"/>
  </w:footnote>
  <w:footnote w:type="continuationNotice" w:id="1">
    <w:p w:rsidR="008526CA" w:rsidRPr="006570A8" w:rsidRDefault="008526CA" w:rsidP="006570A8">
      <w:pPr>
        <w:pStyle w:val="Footer"/>
      </w:pPr>
    </w:p>
  </w:footnote>
  <w:footnote w:id="2">
    <w:p w:rsidR="00E03223" w:rsidRPr="002A1F21" w:rsidRDefault="00E03223" w:rsidP="00AC27F2">
      <w:pPr>
        <w:pStyle w:val="FootnoteText"/>
        <w:rPr>
          <w:lang w:val="es-ES_tradnl"/>
        </w:rPr>
      </w:pPr>
      <w:r w:rsidRPr="002A1F21">
        <w:rPr>
          <w:rStyle w:val="FootnoteReference"/>
          <w:rFonts w:ascii="Verdana" w:hAnsi="Verdana"/>
          <w:sz w:val="16"/>
          <w:szCs w:val="16"/>
          <w:lang w:val="es-ES"/>
        </w:rPr>
        <w:footnoteRef/>
      </w:r>
      <w:r>
        <w:rPr>
          <w:lang w:val="es-ES_tradnl"/>
        </w:rPr>
        <w:tab/>
      </w:r>
      <w:r w:rsidRPr="002A1F21">
        <w:rPr>
          <w:lang w:val="es-ES"/>
        </w:rPr>
        <w:t xml:space="preserve">Informe de la Comisión de Estudio 1 del UIT-D </w:t>
      </w:r>
      <w:r w:rsidRPr="00AC27F2">
        <w:rPr>
          <w:lang w:val="es-ES"/>
        </w:rPr>
        <w:t>sobre</w:t>
      </w:r>
      <w:r w:rsidRPr="002A1F21">
        <w:rPr>
          <w:lang w:val="es-ES"/>
        </w:rPr>
        <w:t xml:space="preserve"> la Cuestión 10-2/1: Reglamentación de las licencias y las autorizaciones ce </w:t>
      </w:r>
      <w:r w:rsidRPr="00093A2E">
        <w:rPr>
          <w:lang w:val="es-ES_tradnl"/>
        </w:rPr>
        <w:t>los</w:t>
      </w:r>
      <w:r w:rsidRPr="002A1F21">
        <w:rPr>
          <w:lang w:val="es-ES"/>
        </w:rPr>
        <w:t xml:space="preserve"> servicios convergentes.</w:t>
      </w:r>
    </w:p>
  </w:footnote>
  <w:footnote w:id="3">
    <w:p w:rsidR="00E03223" w:rsidRPr="00AC27F2" w:rsidRDefault="00E03223" w:rsidP="00AC27F2">
      <w:pPr>
        <w:pStyle w:val="FootnoteText"/>
        <w:rPr>
          <w:lang w:val="es-ES"/>
        </w:rPr>
      </w:pPr>
      <w:r w:rsidRPr="006D2CEF">
        <w:rPr>
          <w:rStyle w:val="FootnoteReference"/>
          <w:rFonts w:ascii="Verdana" w:hAnsi="Verdana"/>
          <w:sz w:val="16"/>
          <w:szCs w:val="16"/>
          <w:lang w:val="es-ES"/>
        </w:rPr>
        <w:footnoteRef/>
      </w:r>
      <w:r w:rsidRPr="00AC27F2">
        <w:rPr>
          <w:lang w:val="es-ES"/>
        </w:rPr>
        <w:tab/>
        <w:t xml:space="preserve">Grupo de Relator sobre la C10-3/1 de la Comisión de Estudio 1 del UIT-D, Documento </w:t>
      </w:r>
      <w:hyperlink r:id="rId1" w:history="1">
        <w:r w:rsidRPr="009F21A2">
          <w:rPr>
            <w:rStyle w:val="Hyperlink"/>
            <w:lang w:val="es-ES"/>
          </w:rPr>
          <w:t>RGQ10-3/1/22</w:t>
        </w:r>
      </w:hyperlink>
      <w:r w:rsidRPr="00AC27F2">
        <w:rPr>
          <w:lang w:val="es-ES"/>
        </w:rPr>
        <w:t xml:space="preserve"> – BDT – 28 de febrero de 2013.</w:t>
      </w:r>
    </w:p>
  </w:footnote>
  <w:footnote w:id="4">
    <w:p w:rsidR="00E03223" w:rsidRPr="00093A2E" w:rsidRDefault="00E03223" w:rsidP="009F21A2">
      <w:pPr>
        <w:pStyle w:val="FootnoteText"/>
        <w:rPr>
          <w:lang w:val="es-ES_tradnl"/>
        </w:rPr>
      </w:pPr>
      <w:r w:rsidRPr="009F21A2">
        <w:rPr>
          <w:rStyle w:val="FootnoteReference"/>
          <w:rFonts w:ascii="Verdana" w:hAnsi="Verdana"/>
          <w:sz w:val="18"/>
          <w:lang w:val="es-ES"/>
        </w:rPr>
        <w:footnoteRef/>
      </w:r>
      <w:r w:rsidRPr="00093A2E">
        <w:rPr>
          <w:lang w:val="es-ES_tradnl"/>
        </w:rPr>
        <w:tab/>
        <w:t>Ley 3320 de 31 de diciembre de 1980.</w:t>
      </w:r>
    </w:p>
  </w:footnote>
  <w:footnote w:id="5">
    <w:p w:rsidR="00E03223" w:rsidRPr="009F21A2" w:rsidRDefault="00E03223" w:rsidP="00AC27F2">
      <w:pPr>
        <w:pStyle w:val="FootnoteText"/>
      </w:pPr>
      <w:r w:rsidRPr="009F21A2">
        <w:rPr>
          <w:rStyle w:val="FootnoteReference"/>
          <w:rFonts w:ascii="Times New Roman" w:hAnsi="Times New Roman"/>
          <w:sz w:val="18"/>
          <w:lang w:val="es-ES" w:eastAsia="x-none"/>
        </w:rPr>
        <w:footnoteRef/>
      </w:r>
      <w:r w:rsidRPr="009F21A2">
        <w:rPr>
          <w:rFonts w:eastAsia="Times New Roman"/>
          <w:lang w:eastAsia="x-none"/>
        </w:rPr>
        <w:tab/>
      </w:r>
      <w:r w:rsidRPr="009F21A2">
        <w:rPr>
          <w:rStyle w:val="FootnoteTextChar"/>
          <w:rFonts w:eastAsia="Verdana"/>
        </w:rPr>
        <w:t>Competition. Volume 1 – Practical Law Company 2011 (véase</w:t>
      </w:r>
      <w:r w:rsidRPr="009F21A2">
        <w:rPr>
          <w:rStyle w:val="FootnoteTextChar"/>
          <w:rFonts w:eastAsia="SimHei"/>
        </w:rPr>
        <w:t xml:space="preserve"> </w:t>
      </w:r>
      <w:hyperlink r:id="rId2" w:history="1">
        <w:r w:rsidRPr="00FB6638">
          <w:rPr>
            <w:rStyle w:val="Hyperlink"/>
            <w:lang w:eastAsia="x-none"/>
          </w:rPr>
          <w:t>www.practicallaw.com/competitionhandbook</w:t>
        </w:r>
      </w:hyperlink>
      <w:r w:rsidRPr="009F21A2">
        <w:rPr>
          <w:rStyle w:val="FootnoteTextChar"/>
          <w:rFonts w:eastAsia="Verdana"/>
        </w:rPr>
        <w:t xml:space="preserve"> y</w:t>
      </w:r>
      <w:r w:rsidRPr="009F21A2">
        <w:rPr>
          <w:rStyle w:val="Hyperlink"/>
          <w:lang w:eastAsia="x-none"/>
        </w:rPr>
        <w:t xml:space="preserve"> </w:t>
      </w:r>
      <w:hyperlink r:id="rId3" w:history="1">
        <w:r w:rsidRPr="009F21A2">
          <w:rPr>
            <w:rStyle w:val="Hyperlink"/>
            <w:lang w:eastAsia="x-none"/>
          </w:rPr>
          <w:t>http://eng.ftc.go.kr</w:t>
        </w:r>
      </w:hyperlink>
      <w:r w:rsidRPr="009F21A2">
        <w:rPr>
          <w:rStyle w:val="FootnoteTextChar"/>
          <w:rFonts w:eastAsia="SimHei"/>
        </w:rPr>
        <w:t>).</w:t>
      </w:r>
    </w:p>
  </w:footnote>
  <w:footnote w:id="6">
    <w:p w:rsidR="00E03223" w:rsidRPr="00AC27F2" w:rsidRDefault="00E03223" w:rsidP="00AC27F2">
      <w:pPr>
        <w:pStyle w:val="FootnoteText"/>
        <w:rPr>
          <w:lang w:val="es-ES"/>
        </w:rPr>
      </w:pPr>
      <w:r w:rsidRPr="006D2CEF">
        <w:rPr>
          <w:rStyle w:val="FootnoteReference"/>
          <w:rFonts w:ascii="Verdana" w:hAnsi="Verdana"/>
          <w:sz w:val="16"/>
          <w:szCs w:val="16"/>
          <w:lang w:val="es-ES"/>
        </w:rPr>
        <w:footnoteRef/>
      </w:r>
      <w:r w:rsidRPr="006D2CEF">
        <w:rPr>
          <w:rFonts w:ascii="Verdana" w:hAnsi="Verdana"/>
          <w:sz w:val="16"/>
          <w:szCs w:val="16"/>
          <w:lang w:val="es-ES"/>
        </w:rPr>
        <w:tab/>
      </w:r>
      <w:r w:rsidRPr="00AC27F2">
        <w:rPr>
          <w:lang w:val="es-ES"/>
        </w:rPr>
        <w:t xml:space="preserve">Véase el Documento </w:t>
      </w:r>
      <w:hyperlink r:id="rId4" w:history="1">
        <w:r w:rsidRPr="00FD6E9F">
          <w:rPr>
            <w:rStyle w:val="Hyperlink"/>
            <w:rFonts w:asciiTheme="minorHAnsi" w:hAnsiTheme="minorHAnsi"/>
            <w:lang w:val="es-ES_tradnl"/>
          </w:rPr>
          <w:t>RGQ10-3/1/12</w:t>
        </w:r>
      </w:hyperlink>
      <w:r w:rsidRPr="00AC27F2">
        <w:rPr>
          <w:lang w:val="es-ES"/>
        </w:rPr>
        <w:t xml:space="preserve"> del Grupo de Relator sobre la C10-3/1 de la Comisión de Estudio 1 del UIT-D – informes actualizados en 2012.</w:t>
      </w:r>
    </w:p>
  </w:footnote>
  <w:footnote w:id="7">
    <w:p w:rsidR="00E03223" w:rsidRPr="00AC27F2" w:rsidRDefault="00E03223" w:rsidP="00AC27F2">
      <w:pPr>
        <w:pStyle w:val="FootnoteText"/>
        <w:rPr>
          <w:lang w:val="es-ES"/>
        </w:rPr>
      </w:pPr>
      <w:r w:rsidRPr="00F87B7F">
        <w:rPr>
          <w:rStyle w:val="FootnoteReference"/>
          <w:sz w:val="18"/>
          <w:lang w:val="en-US"/>
        </w:rPr>
        <w:footnoteRef/>
      </w:r>
      <w:r w:rsidRPr="00AC27F2">
        <w:rPr>
          <w:lang w:val="es-ES"/>
        </w:rPr>
        <w:tab/>
        <w:t xml:space="preserve">En Tanzanía se han identificado y dado a conocer nueve importantes mercados de telecomunicaciones, cuatro minoristas y cinco mayoristas (véase el Documento </w:t>
      </w:r>
      <w:hyperlink r:id="rId5" w:history="1">
        <w:r w:rsidRPr="00E65905">
          <w:rPr>
            <w:rStyle w:val="Hyperlink"/>
            <w:rFonts w:asciiTheme="minorHAnsi" w:hAnsiTheme="minorHAnsi"/>
            <w:lang w:val="x-none"/>
          </w:rPr>
          <w:t>RGQ10-3/1/13</w:t>
        </w:r>
      </w:hyperlink>
      <w:r w:rsidRPr="00AC27F2">
        <w:rPr>
          <w:lang w:val="es-ES"/>
        </w:rPr>
        <w:t xml:space="preserve"> (Tanzanía) del Grupo de Relator sobre la C10-3/1 de la Comisión de Estudio 1 del UIT-D), 24 de febrero de 2012.</w:t>
      </w:r>
    </w:p>
  </w:footnote>
  <w:footnote w:id="8">
    <w:p w:rsidR="00E03223" w:rsidRPr="00AC27F2" w:rsidRDefault="00E03223" w:rsidP="00AC27F2">
      <w:pPr>
        <w:pStyle w:val="FootnoteText"/>
        <w:rPr>
          <w:lang w:val="es-ES"/>
        </w:rPr>
      </w:pPr>
      <w:r w:rsidRPr="00F87B7F">
        <w:rPr>
          <w:rStyle w:val="FootnoteReference"/>
          <w:sz w:val="18"/>
          <w:lang w:val="en-US"/>
        </w:rPr>
        <w:footnoteRef/>
      </w:r>
      <w:r w:rsidRPr="00AC27F2">
        <w:rPr>
          <w:lang w:val="es-ES"/>
        </w:rPr>
        <w:tab/>
        <w:t>Artículo 3 de la Ley de Comunicaciones Electrónicas y Postales.</w:t>
      </w:r>
    </w:p>
  </w:footnote>
  <w:footnote w:id="9">
    <w:p w:rsidR="00E03223" w:rsidRPr="00AC27F2" w:rsidRDefault="00E03223" w:rsidP="00AC27F2">
      <w:pPr>
        <w:pStyle w:val="FootnoteText"/>
        <w:rPr>
          <w:lang w:val="es-ES"/>
        </w:rPr>
      </w:pPr>
      <w:r w:rsidRPr="00F87B7F">
        <w:rPr>
          <w:rStyle w:val="FootnoteReference"/>
          <w:sz w:val="18"/>
          <w:lang w:val="en-US"/>
        </w:rPr>
        <w:footnoteRef/>
      </w:r>
      <w:r w:rsidRPr="00AC27F2">
        <w:rPr>
          <w:lang w:val="es-ES"/>
        </w:rPr>
        <w:tab/>
        <w:t>Artículo 3 del Código de Telecomunicaciones.</w:t>
      </w:r>
    </w:p>
  </w:footnote>
  <w:footnote w:id="10">
    <w:p w:rsidR="00E03223" w:rsidRPr="00752B0D" w:rsidRDefault="00E03223" w:rsidP="00AC27F2">
      <w:pPr>
        <w:pStyle w:val="FootnoteText"/>
        <w:rPr>
          <w:rFonts w:ascii="Verdana" w:hAnsi="Verdana"/>
          <w:sz w:val="16"/>
          <w:szCs w:val="16"/>
          <w:lang w:val="es-ES_tradnl"/>
        </w:rPr>
      </w:pPr>
      <w:r w:rsidRPr="006D2CEF">
        <w:rPr>
          <w:rStyle w:val="FootnoteReference"/>
          <w:rFonts w:ascii="Verdana" w:hAnsi="Verdana"/>
          <w:sz w:val="16"/>
          <w:szCs w:val="16"/>
          <w:lang w:val="es-ES"/>
        </w:rPr>
        <w:footnoteRef/>
      </w:r>
      <w:r w:rsidRPr="00752B0D">
        <w:rPr>
          <w:rFonts w:ascii="Verdana" w:hAnsi="Verdana"/>
          <w:sz w:val="16"/>
          <w:szCs w:val="16"/>
          <w:lang w:val="es-ES_tradnl"/>
        </w:rPr>
        <w:tab/>
      </w:r>
      <w:hyperlink r:id="rId6" w:history="1">
        <w:r w:rsidRPr="00752B0D">
          <w:rPr>
            <w:rStyle w:val="Hyperlink"/>
            <w:rFonts w:ascii="Verdana" w:eastAsia="Calibri" w:hAnsi="Verdana" w:cs="Calibri"/>
            <w:sz w:val="16"/>
            <w:szCs w:val="16"/>
            <w:lang w:val="es-ES_tradnl"/>
          </w:rPr>
          <w:t>www.ncc.gov.ng/legal/regulations.html</w:t>
        </w:r>
      </w:hyperlink>
    </w:p>
  </w:footnote>
  <w:footnote w:id="11">
    <w:p w:rsidR="00E03223" w:rsidRPr="00AC27F2" w:rsidRDefault="00E03223" w:rsidP="00AC27F2">
      <w:pPr>
        <w:pStyle w:val="FootnoteText"/>
        <w:rPr>
          <w:lang w:val="es-ES"/>
        </w:rPr>
      </w:pPr>
      <w:r w:rsidRPr="007E3BE9">
        <w:rPr>
          <w:rStyle w:val="FootnoteReference"/>
          <w:rFonts w:asciiTheme="minorHAnsi" w:hAnsiTheme="minorHAnsi"/>
          <w:sz w:val="16"/>
          <w:szCs w:val="16"/>
          <w:lang w:val="es-ES"/>
        </w:rPr>
        <w:footnoteRef/>
      </w:r>
      <w:r w:rsidRPr="00AC27F2">
        <w:rPr>
          <w:rFonts w:ascii="Verdana" w:hAnsi="Verdana"/>
          <w:sz w:val="16"/>
          <w:szCs w:val="16"/>
          <w:lang w:val="es-ES"/>
        </w:rPr>
        <w:tab/>
      </w:r>
      <w:r w:rsidRPr="00AC27F2">
        <w:rPr>
          <w:lang w:val="es-ES"/>
        </w:rPr>
        <w:t>Artículo 62-1 de la Ley de Comunicaciones Electrónicas y Postales.</w:t>
      </w:r>
    </w:p>
  </w:footnote>
  <w:footnote w:id="12">
    <w:p w:rsidR="00E03223" w:rsidRPr="002E3986" w:rsidRDefault="00E03223" w:rsidP="002E3986">
      <w:pPr>
        <w:pStyle w:val="FootnoteText"/>
        <w:rPr>
          <w:rFonts w:asciiTheme="minorHAnsi" w:hAnsiTheme="minorHAnsi"/>
        </w:rPr>
      </w:pPr>
      <w:r w:rsidRPr="007E3BE9">
        <w:rPr>
          <w:rStyle w:val="FootnoteReference"/>
          <w:rFonts w:asciiTheme="minorHAnsi" w:hAnsiTheme="minorHAnsi"/>
          <w:sz w:val="18"/>
          <w:lang w:val="es-ES"/>
        </w:rPr>
        <w:footnoteRef/>
      </w:r>
      <w:r w:rsidRPr="00E003BD">
        <w:tab/>
      </w:r>
      <w:hyperlink r:id="rId7" w:history="1">
        <w:r w:rsidRPr="002E3986">
          <w:rPr>
            <w:rStyle w:val="Hyperlink"/>
            <w:rFonts w:asciiTheme="minorHAnsi" w:eastAsia="Verdana" w:hAnsiTheme="minorHAnsi" w:cs="Verdana"/>
          </w:rPr>
          <w:t>www.ictregulationtoolkit.org</w:t>
        </w:r>
      </w:hyperlink>
      <w:r w:rsidRPr="002E3986">
        <w:rPr>
          <w:rFonts w:asciiTheme="minorHAnsi" w:hAnsiTheme="minorHAnsi"/>
        </w:rPr>
        <w:t xml:space="preserve"> </w:t>
      </w:r>
      <w:r w:rsidRPr="002E3986">
        <w:rPr>
          <w:rFonts w:asciiTheme="minorHAnsi" w:eastAsia="Verdana" w:hAnsiTheme="minorHAnsi" w:cs="Verdana"/>
          <w:bCs/>
        </w:rPr>
        <w:t>Module 7: New Technologies and Impacts on Regulation.</w:t>
      </w:r>
    </w:p>
  </w:footnote>
  <w:footnote w:id="13">
    <w:p w:rsidR="00E03223" w:rsidRPr="002E3986" w:rsidRDefault="00E03223" w:rsidP="002E3986">
      <w:pPr>
        <w:pStyle w:val="FootnoteText"/>
        <w:rPr>
          <w:rFonts w:asciiTheme="minorHAnsi" w:hAnsiTheme="minorHAnsi"/>
          <w:lang w:val="fr-CH"/>
        </w:rPr>
      </w:pPr>
      <w:r w:rsidRPr="002E3986">
        <w:rPr>
          <w:rStyle w:val="FootnoteReference"/>
          <w:rFonts w:asciiTheme="minorHAnsi" w:hAnsiTheme="minorHAnsi"/>
          <w:sz w:val="18"/>
          <w:lang w:val="es-ES"/>
        </w:rPr>
        <w:footnoteRef/>
      </w:r>
      <w:r w:rsidRPr="002E3986">
        <w:rPr>
          <w:rFonts w:asciiTheme="minorHAnsi" w:hAnsiTheme="minorHAnsi"/>
          <w:lang w:val="fr-CH"/>
        </w:rPr>
        <w:tab/>
      </w:r>
      <w:r w:rsidRPr="002E3986">
        <w:rPr>
          <w:rFonts w:asciiTheme="minorHAnsi" w:eastAsia="Verdana" w:hAnsiTheme="minorHAnsi" w:cs="Verdana"/>
          <w:lang w:val="fr-CH"/>
        </w:rPr>
        <w:t>Véase</w:t>
      </w:r>
      <w:r w:rsidRPr="002E3986">
        <w:rPr>
          <w:rFonts w:asciiTheme="minorHAnsi" w:hAnsiTheme="minorHAnsi"/>
          <w:lang w:val="fr-CH"/>
        </w:rPr>
        <w:t xml:space="preserve"> </w:t>
      </w:r>
      <w:hyperlink r:id="rId8" w:history="1">
        <w:r w:rsidRPr="002E3986">
          <w:rPr>
            <w:rStyle w:val="Hyperlink"/>
            <w:rFonts w:asciiTheme="minorHAnsi" w:eastAsia="Verdana" w:hAnsiTheme="minorHAnsi" w:cs="Verdana"/>
            <w:lang w:val="fr-CH"/>
          </w:rPr>
          <w:t>www.itu.int/ITU-D/icteye/Reporting</w:t>
        </w:r>
      </w:hyperlink>
      <w:r w:rsidRPr="002E3986">
        <w:rPr>
          <w:rFonts w:asciiTheme="minorHAnsi" w:eastAsia="Verdana" w:hAnsiTheme="minorHAnsi" w:cs="Verdana"/>
          <w:bCs/>
          <w:lang w:val="fr-CH"/>
        </w:rPr>
        <w:t>.</w:t>
      </w:r>
    </w:p>
  </w:footnote>
  <w:footnote w:id="14">
    <w:p w:rsidR="00E03223" w:rsidRPr="00AC27F2" w:rsidRDefault="00E03223" w:rsidP="00AC27F2">
      <w:pPr>
        <w:pStyle w:val="FootnoteText"/>
        <w:rPr>
          <w:lang w:val="es-ES"/>
        </w:rPr>
      </w:pPr>
      <w:r w:rsidRPr="002E3986">
        <w:rPr>
          <w:rStyle w:val="FootnoteReference"/>
          <w:rFonts w:asciiTheme="minorHAnsi" w:hAnsiTheme="minorHAnsi"/>
          <w:sz w:val="18"/>
          <w:lang w:val="es-ES"/>
        </w:rPr>
        <w:footnoteRef/>
      </w:r>
      <w:r w:rsidRPr="00AC27F2">
        <w:rPr>
          <w:lang w:val="es-ES"/>
        </w:rPr>
        <w:tab/>
        <w:t xml:space="preserve">Véase el Documento </w:t>
      </w:r>
      <w:hyperlink r:id="rId9" w:history="1">
        <w:r w:rsidRPr="002E3986">
          <w:rPr>
            <w:rStyle w:val="Hyperlink"/>
            <w:rFonts w:asciiTheme="minorHAnsi" w:eastAsia="Verdana" w:hAnsiTheme="minorHAnsi" w:cs="Verdana"/>
            <w:lang w:val="es-ES"/>
          </w:rPr>
          <w:t>RGQ10-3/1/INF/1</w:t>
        </w:r>
      </w:hyperlink>
      <w:r w:rsidRPr="00AC27F2">
        <w:rPr>
          <w:lang w:val="es-ES"/>
        </w:rPr>
        <w:t>, de 5 de abril de 2011, del Grupo de Relator sobre la C10-3/1 de la Comisión de Estudio 1 del UIT-D. Al 31 de diciembre de 2011, con arreglo al Marco de Licencias Convergente, la Autoridad de Reglamentación de las Comunicaciones de Tanzanía había concedido licencias en las siguientes categorías: 21 para instalaciones de red, 16 para servicios de red, 80 para servicios de aplicación y 133 para servicios de contenido.</w:t>
      </w:r>
    </w:p>
  </w:footnote>
  <w:footnote w:id="15">
    <w:p w:rsidR="00E03223" w:rsidRPr="00E003BD" w:rsidRDefault="00E03223" w:rsidP="00AC27F2">
      <w:pPr>
        <w:pStyle w:val="FootnoteText"/>
        <w:rPr>
          <w:bCs/>
        </w:rPr>
      </w:pPr>
      <w:r w:rsidRPr="007E3BE9">
        <w:rPr>
          <w:rStyle w:val="FootnoteReference"/>
          <w:rFonts w:asciiTheme="minorHAnsi" w:hAnsiTheme="minorHAnsi"/>
          <w:sz w:val="18"/>
          <w:lang w:val="es-ES"/>
        </w:rPr>
        <w:footnoteRef/>
      </w:r>
      <w:r w:rsidRPr="00E003BD">
        <w:tab/>
      </w:r>
      <w:hyperlink r:id="rId10" w:history="1">
        <w:r w:rsidRPr="00AC27F2">
          <w:rPr>
            <w:rStyle w:val="Hyperlink"/>
            <w:rFonts w:asciiTheme="minorHAnsi" w:eastAsia="Verdana" w:hAnsiTheme="minorHAnsi" w:cs="Verdana"/>
          </w:rPr>
          <w:t>www.ictregulationtoolkit.org</w:t>
        </w:r>
      </w:hyperlink>
      <w:r w:rsidRPr="00E003BD">
        <w:rPr>
          <w:color w:val="0000FF"/>
          <w:u w:val="single"/>
        </w:rPr>
        <w:t xml:space="preserve"> </w:t>
      </w:r>
      <w:r w:rsidRPr="00E003BD">
        <w:rPr>
          <w:bCs/>
        </w:rPr>
        <w:t>Module 7: New Technologies and Impacts on Regulation.</w:t>
      </w:r>
    </w:p>
  </w:footnote>
  <w:footnote w:id="16">
    <w:p w:rsidR="00E03223" w:rsidRPr="00E003BD" w:rsidRDefault="00E03223" w:rsidP="00AC27F2">
      <w:pPr>
        <w:pStyle w:val="FootnoteText"/>
      </w:pPr>
      <w:r w:rsidRPr="007E3BE9">
        <w:rPr>
          <w:rStyle w:val="FootnoteReference"/>
          <w:rFonts w:asciiTheme="minorHAnsi" w:hAnsiTheme="minorHAnsi"/>
          <w:sz w:val="18"/>
          <w:lang w:val="es-ES"/>
        </w:rPr>
        <w:footnoteRef/>
      </w:r>
      <w:r w:rsidRPr="00E003BD">
        <w:tab/>
      </w:r>
      <w:hyperlink r:id="rId11" w:history="1">
        <w:r w:rsidRPr="00AC27F2">
          <w:rPr>
            <w:rStyle w:val="Hyperlink"/>
            <w:rFonts w:asciiTheme="minorHAnsi" w:eastAsia="Verdana" w:hAnsiTheme="minorHAnsi" w:cs="Verdana"/>
          </w:rPr>
          <w:t>www.ictregulationtoolkit.org</w:t>
        </w:r>
      </w:hyperlink>
      <w:r w:rsidRPr="00E003BD">
        <w:t xml:space="preserve"> </w:t>
      </w:r>
      <w:r w:rsidRPr="00E003BD">
        <w:rPr>
          <w:bCs/>
        </w:rPr>
        <w:t>Module 7: New Technologies and Impacts on Regulation.</w:t>
      </w:r>
    </w:p>
  </w:footnote>
  <w:footnote w:id="17">
    <w:p w:rsidR="00E03223" w:rsidRPr="003F1A99" w:rsidRDefault="00E03223" w:rsidP="003F1A99">
      <w:pPr>
        <w:pStyle w:val="FootnoteText"/>
        <w:rPr>
          <w:rFonts w:asciiTheme="minorHAnsi" w:hAnsiTheme="minorHAnsi"/>
        </w:rPr>
      </w:pPr>
      <w:r w:rsidRPr="007E3BE9">
        <w:rPr>
          <w:rStyle w:val="FootnoteReference"/>
          <w:rFonts w:asciiTheme="minorHAnsi" w:hAnsiTheme="minorHAnsi"/>
          <w:sz w:val="18"/>
          <w:lang w:val="es-ES"/>
        </w:rPr>
        <w:footnoteRef/>
      </w:r>
      <w:r w:rsidRPr="00BA35AB">
        <w:tab/>
      </w:r>
      <w:hyperlink r:id="rId12" w:history="1">
        <w:r w:rsidRPr="003F1A99">
          <w:rPr>
            <w:rStyle w:val="Hyperlink"/>
            <w:rFonts w:asciiTheme="minorHAnsi" w:eastAsia="Verdana" w:hAnsiTheme="minorHAnsi" w:cs="Verdana"/>
          </w:rPr>
          <w:t>www.itu.int/ITU-D/treg/Events/Seminars/GSR/GSR08</w:t>
        </w:r>
      </w:hyperlink>
    </w:p>
  </w:footnote>
  <w:footnote w:id="18">
    <w:p w:rsidR="00E03223" w:rsidRPr="003F1A99" w:rsidRDefault="00E03223" w:rsidP="00AC27F2">
      <w:pPr>
        <w:pStyle w:val="FootnoteText"/>
        <w:rPr>
          <w:lang w:val="es-ES"/>
        </w:rPr>
      </w:pPr>
      <w:r w:rsidRPr="003F1A99">
        <w:rPr>
          <w:rStyle w:val="FootnoteReference"/>
          <w:rFonts w:asciiTheme="minorHAnsi" w:hAnsiTheme="minorHAnsi"/>
          <w:sz w:val="18"/>
          <w:lang w:val="es-ES"/>
        </w:rPr>
        <w:footnoteRef/>
      </w:r>
      <w:r w:rsidRPr="003F1A99">
        <w:rPr>
          <w:lang w:val="es-ES"/>
        </w:rPr>
        <w:tab/>
        <w:t xml:space="preserve">Véase el Documento </w:t>
      </w:r>
      <w:hyperlink r:id="rId13" w:history="1">
        <w:r w:rsidRPr="003F1A99">
          <w:rPr>
            <w:rStyle w:val="Hyperlink"/>
            <w:rFonts w:asciiTheme="minorHAnsi" w:eastAsia="Verdana" w:hAnsiTheme="minorHAnsi" w:cs="Verdana"/>
            <w:bCs/>
            <w:lang w:val="es-ES"/>
          </w:rPr>
          <w:t>1/012</w:t>
        </w:r>
      </w:hyperlink>
      <w:r w:rsidRPr="003F1A99">
        <w:rPr>
          <w:lang w:val="es-ES"/>
        </w:rPr>
        <w:t xml:space="preserve"> de la Comisión de Estudio 1 de la UIT (República Popular de China) "Avances en cuanto al fomento de la construcción conjunta de infraestructura de telecomunicaciones y la compartición de la misma en China", 7 de </w:t>
      </w:r>
      <w:r w:rsidRPr="00AC27F2">
        <w:rPr>
          <w:lang w:val="es-ES"/>
        </w:rPr>
        <w:t>septiembre</w:t>
      </w:r>
      <w:r w:rsidRPr="003F1A99">
        <w:rPr>
          <w:lang w:val="es-ES"/>
        </w:rPr>
        <w:t xml:space="preserve"> de 2010.</w:t>
      </w:r>
    </w:p>
  </w:footnote>
  <w:footnote w:id="19">
    <w:p w:rsidR="00E03223" w:rsidRPr="00AC27F2" w:rsidRDefault="00E03223" w:rsidP="00AC27F2">
      <w:pPr>
        <w:pStyle w:val="FootnoteText"/>
        <w:rPr>
          <w:lang w:val="es-ES"/>
        </w:rPr>
      </w:pPr>
      <w:r w:rsidRPr="003F1A99">
        <w:rPr>
          <w:rStyle w:val="FootnoteReference"/>
          <w:rFonts w:asciiTheme="minorHAnsi" w:hAnsiTheme="minorHAnsi"/>
          <w:sz w:val="18"/>
          <w:lang w:val="es-ES"/>
        </w:rPr>
        <w:footnoteRef/>
      </w:r>
      <w:r w:rsidRPr="00AC27F2">
        <w:rPr>
          <w:lang w:val="es-ES"/>
        </w:rPr>
        <w:tab/>
        <w:t>Información obtenida de la Autoridad Nacional de Comunicaciones de Ghana.</w:t>
      </w:r>
    </w:p>
  </w:footnote>
  <w:footnote w:id="20">
    <w:p w:rsidR="00E03223" w:rsidRPr="002F32C8" w:rsidRDefault="00E03223" w:rsidP="006E15C7">
      <w:pPr>
        <w:pStyle w:val="FootnoteText"/>
        <w:rPr>
          <w:rFonts w:asciiTheme="minorHAnsi" w:hAnsiTheme="minorHAnsi"/>
          <w:lang w:val="es-ES"/>
        </w:rPr>
      </w:pPr>
      <w:r w:rsidRPr="002F32C8">
        <w:rPr>
          <w:rStyle w:val="FootnoteReference"/>
          <w:rFonts w:asciiTheme="minorHAnsi" w:hAnsiTheme="minorHAnsi"/>
          <w:sz w:val="18"/>
          <w:lang w:val="es-ES"/>
        </w:rPr>
        <w:footnoteRef/>
      </w:r>
      <w:r w:rsidRPr="002F32C8">
        <w:rPr>
          <w:rFonts w:asciiTheme="minorHAnsi" w:hAnsiTheme="minorHAnsi"/>
          <w:lang w:val="es-ES"/>
        </w:rPr>
        <w:tab/>
      </w:r>
      <w:r w:rsidRPr="002F32C8">
        <w:rPr>
          <w:rFonts w:asciiTheme="minorHAnsi" w:eastAsia="Verdana" w:hAnsiTheme="minorHAnsi" w:cs="Verdana"/>
          <w:bCs/>
          <w:lang w:val="es-ES"/>
        </w:rPr>
        <w:t xml:space="preserve">Véase el Documento </w:t>
      </w:r>
      <w:hyperlink r:id="rId14" w:history="1">
        <w:r w:rsidRPr="002F32C8">
          <w:rPr>
            <w:rStyle w:val="Hyperlink"/>
            <w:rFonts w:asciiTheme="minorHAnsi" w:eastAsia="Verdana" w:hAnsiTheme="minorHAnsi" w:cs="Verdana"/>
            <w:bCs/>
            <w:lang w:val="es-ES"/>
          </w:rPr>
          <w:t>1/INF/8</w:t>
        </w:r>
      </w:hyperlink>
      <w:r w:rsidRPr="002F32C8">
        <w:rPr>
          <w:rFonts w:asciiTheme="minorHAnsi" w:eastAsia="Verdana" w:hAnsiTheme="minorHAnsi" w:cs="Verdana"/>
          <w:bCs/>
          <w:lang w:val="es-ES"/>
        </w:rPr>
        <w:t xml:space="preserve"> (BDT) de la Comisión de Estudio 1 del UIT-D, de 9 de septiembre de 2010.</w:t>
      </w:r>
    </w:p>
  </w:footnote>
  <w:footnote w:id="21">
    <w:p w:rsidR="00E03223" w:rsidRPr="00AC27F2" w:rsidRDefault="00E03223" w:rsidP="00AC27F2">
      <w:pPr>
        <w:pStyle w:val="FootnoteText"/>
        <w:rPr>
          <w:lang w:val="es-ES"/>
        </w:rPr>
      </w:pPr>
      <w:r w:rsidRPr="007E3BE9">
        <w:rPr>
          <w:rStyle w:val="FootnoteReference"/>
          <w:rFonts w:asciiTheme="minorHAnsi" w:hAnsiTheme="minorHAnsi"/>
          <w:sz w:val="18"/>
          <w:lang w:val="es-ES"/>
        </w:rPr>
        <w:footnoteRef/>
      </w:r>
      <w:r w:rsidRPr="007E3BE9">
        <w:rPr>
          <w:rStyle w:val="FootnoteReference"/>
          <w:rFonts w:asciiTheme="minorHAnsi" w:hAnsiTheme="minorHAnsi"/>
          <w:sz w:val="18"/>
          <w:lang w:val="es-ES"/>
        </w:rPr>
        <w:t xml:space="preserve"> </w:t>
      </w:r>
      <w:r w:rsidRPr="00AC27F2">
        <w:rPr>
          <w:sz w:val="16"/>
          <w:szCs w:val="16"/>
          <w:lang w:val="es-ES"/>
        </w:rPr>
        <w:tab/>
      </w:r>
      <w:r w:rsidRPr="00AC27F2">
        <w:rPr>
          <w:lang w:val="es-ES"/>
        </w:rPr>
        <w:t xml:space="preserve">Véase el Documento </w:t>
      </w:r>
      <w:hyperlink r:id="rId15" w:history="1">
        <w:r w:rsidRPr="000C778A">
          <w:rPr>
            <w:rStyle w:val="Hyperlink"/>
            <w:rFonts w:asciiTheme="minorHAnsi" w:hAnsiTheme="minorHAnsi"/>
            <w:lang w:val="es-ES"/>
          </w:rPr>
          <w:t>RGQ18-2/1/14</w:t>
        </w:r>
      </w:hyperlink>
      <w:r w:rsidRPr="00AC27F2">
        <w:rPr>
          <w:lang w:val="es-ES"/>
        </w:rPr>
        <w:t xml:space="preserve"> (Malí) del Grupo de Relator sobre la C18-2/1 de la Comisión de Estudio 1 del UIT-D, de 15 de febrero de 2012.</w:t>
      </w:r>
    </w:p>
  </w:footnote>
  <w:footnote w:id="22">
    <w:p w:rsidR="00E03223" w:rsidRPr="00AC27F2" w:rsidRDefault="00E03223" w:rsidP="00AC27F2">
      <w:pPr>
        <w:pStyle w:val="FootnoteText"/>
        <w:rPr>
          <w:lang w:val="es-ES"/>
        </w:rPr>
      </w:pPr>
      <w:r w:rsidRPr="000C778A">
        <w:rPr>
          <w:rStyle w:val="FootnoteReference"/>
          <w:rFonts w:asciiTheme="minorHAnsi" w:hAnsiTheme="minorHAnsi"/>
          <w:sz w:val="18"/>
          <w:lang w:val="es-ES"/>
        </w:rPr>
        <w:footnoteRef/>
      </w:r>
      <w:r w:rsidRPr="00AC27F2">
        <w:rPr>
          <w:lang w:val="es-ES"/>
        </w:rPr>
        <w:t xml:space="preserve"> </w:t>
      </w:r>
      <w:r w:rsidRPr="00AC27F2">
        <w:rPr>
          <w:lang w:val="es-ES"/>
        </w:rPr>
        <w:tab/>
        <w:t xml:space="preserve">Véase el Documento </w:t>
      </w:r>
      <w:hyperlink r:id="rId16" w:history="1">
        <w:r w:rsidRPr="000C778A">
          <w:rPr>
            <w:rStyle w:val="Hyperlink"/>
            <w:rFonts w:asciiTheme="minorHAnsi" w:eastAsia="Verdana" w:hAnsiTheme="minorHAnsi" w:cs="Verdana"/>
            <w:bCs/>
            <w:lang w:val="es-ES"/>
          </w:rPr>
          <w:t>1/INF/3</w:t>
        </w:r>
      </w:hyperlink>
      <w:r w:rsidRPr="00AC27F2">
        <w:rPr>
          <w:lang w:val="es-ES"/>
        </w:rPr>
        <w:t>, (Intel Corporation (EEUU)) de la Comisión de Estudio 1 del UIT-D, de 3 de septiembre de 2010.</w:t>
      </w:r>
    </w:p>
  </w:footnote>
  <w:footnote w:id="23">
    <w:p w:rsidR="00E03223" w:rsidRPr="00AC27F2" w:rsidRDefault="00E03223" w:rsidP="00AC27F2">
      <w:pPr>
        <w:pStyle w:val="FootnoteText"/>
        <w:rPr>
          <w:lang w:val="es-ES"/>
        </w:rPr>
      </w:pPr>
      <w:r w:rsidRPr="0049745E">
        <w:rPr>
          <w:rStyle w:val="FootnoteReference"/>
          <w:rFonts w:asciiTheme="minorHAnsi" w:hAnsiTheme="minorHAnsi"/>
          <w:sz w:val="18"/>
          <w:lang w:val="es-ES"/>
        </w:rPr>
        <w:footnoteRef/>
      </w:r>
      <w:r w:rsidRPr="00AC27F2">
        <w:rPr>
          <w:lang w:val="es-ES"/>
        </w:rPr>
        <w:tab/>
        <w:t xml:space="preserve">Documento </w:t>
      </w:r>
      <w:hyperlink r:id="rId17" w:history="1">
        <w:r w:rsidRPr="0049745E">
          <w:rPr>
            <w:rStyle w:val="Hyperlink"/>
            <w:rFonts w:asciiTheme="minorHAnsi" w:eastAsia="Verdana" w:hAnsiTheme="minorHAnsi" w:cs="Verdana"/>
            <w:lang w:val="es-ES"/>
          </w:rPr>
          <w:t>RGQ10-3/1/INF/2</w:t>
        </w:r>
      </w:hyperlink>
      <w:r w:rsidRPr="00AC27F2">
        <w:rPr>
          <w:lang w:val="es-ES"/>
        </w:rPr>
        <w:t xml:space="preserve"> (Nepal) del Grupo de Relator sobre la C10-3/1 de la Comisión de Estudio 1, de 11 de abril de 2011.</w:t>
      </w:r>
    </w:p>
  </w:footnote>
  <w:footnote w:id="24">
    <w:p w:rsidR="00E03223" w:rsidRPr="00AC27F2" w:rsidRDefault="00E03223" w:rsidP="00AC27F2">
      <w:pPr>
        <w:pStyle w:val="FootnoteText"/>
        <w:rPr>
          <w:lang w:val="es-ES"/>
        </w:rPr>
      </w:pPr>
      <w:r w:rsidRPr="0049745E">
        <w:rPr>
          <w:rStyle w:val="FootnoteReference"/>
          <w:rFonts w:asciiTheme="minorHAnsi" w:hAnsiTheme="minorHAnsi"/>
          <w:sz w:val="18"/>
          <w:lang w:val="es-ES"/>
        </w:rPr>
        <w:footnoteRef/>
      </w:r>
      <w:r w:rsidRPr="00AC27F2">
        <w:rPr>
          <w:lang w:val="es-ES"/>
        </w:rPr>
        <w:tab/>
        <w:t xml:space="preserve">Documento </w:t>
      </w:r>
      <w:hyperlink r:id="rId18" w:history="1">
        <w:r w:rsidRPr="0049745E">
          <w:rPr>
            <w:rStyle w:val="Hyperlink"/>
            <w:rFonts w:asciiTheme="minorHAnsi" w:eastAsia="Calibri" w:hAnsiTheme="minorHAnsi" w:cs="Calibri"/>
            <w:lang w:val="es-ES"/>
          </w:rPr>
          <w:t>RG10-3/1/11</w:t>
        </w:r>
      </w:hyperlink>
      <w:r w:rsidRPr="00AC27F2">
        <w:rPr>
          <w:lang w:val="es-ES"/>
        </w:rPr>
        <w:t xml:space="preserve"> (Benín) del Grupo de Relator sobre la C10-3/1 de la Comisión de Estudio 1 del UIT-D, 23 de abril de 2012.</w:t>
      </w:r>
    </w:p>
  </w:footnote>
  <w:footnote w:id="25">
    <w:p w:rsidR="00E03223" w:rsidRPr="00AC27F2" w:rsidRDefault="00E03223" w:rsidP="00AC27F2">
      <w:pPr>
        <w:pStyle w:val="FootnoteText"/>
        <w:rPr>
          <w:lang w:val="es-ES"/>
        </w:rPr>
      </w:pPr>
      <w:r w:rsidRPr="0049745E">
        <w:rPr>
          <w:rStyle w:val="FootnoteReference"/>
          <w:rFonts w:asciiTheme="minorHAnsi" w:hAnsiTheme="minorHAnsi"/>
          <w:sz w:val="18"/>
          <w:lang w:val="es-ES"/>
        </w:rPr>
        <w:footnoteRef/>
      </w:r>
      <w:r w:rsidRPr="00AC27F2">
        <w:rPr>
          <w:lang w:val="es-ES"/>
        </w:rPr>
        <w:tab/>
        <w:t xml:space="preserve">Documento </w:t>
      </w:r>
      <w:hyperlink r:id="rId19" w:history="1">
        <w:r w:rsidRPr="0049745E">
          <w:rPr>
            <w:rStyle w:val="Hyperlink"/>
            <w:rFonts w:asciiTheme="minorHAnsi" w:eastAsia="Calibri" w:hAnsiTheme="minorHAnsi" w:cs="Calibri"/>
            <w:lang w:val="es-ES"/>
          </w:rPr>
          <w:t>RGQ18-2/1/29</w:t>
        </w:r>
      </w:hyperlink>
      <w:r w:rsidRPr="00AC27F2">
        <w:rPr>
          <w:lang w:val="es-ES"/>
        </w:rPr>
        <w:t xml:space="preserve"> del Grupo de Relator sobre la C18-2/1 de la Comisión de Estudio 1 del UIT-D, BDT, 27 de marzo de 2013.</w:t>
      </w:r>
    </w:p>
  </w:footnote>
  <w:footnote w:id="26">
    <w:p w:rsidR="00E03223" w:rsidRPr="00052DCD" w:rsidRDefault="00E03223" w:rsidP="00AC27F2">
      <w:pPr>
        <w:pStyle w:val="FootnoteText"/>
      </w:pPr>
      <w:r w:rsidRPr="00052DCD">
        <w:rPr>
          <w:rStyle w:val="FootnoteReference"/>
          <w:rFonts w:asciiTheme="minorHAnsi" w:hAnsiTheme="minorHAnsi"/>
          <w:sz w:val="18"/>
          <w:lang w:val="es-ES"/>
        </w:rPr>
        <w:footnoteRef/>
      </w:r>
      <w:r w:rsidRPr="00052DCD">
        <w:rPr>
          <w:lang w:val="es-ES"/>
        </w:rPr>
        <w:tab/>
        <w:t xml:space="preserve">Véase el Documento </w:t>
      </w:r>
      <w:hyperlink r:id="rId20" w:history="1">
        <w:r w:rsidRPr="00052DCD">
          <w:rPr>
            <w:rStyle w:val="Hyperlink"/>
            <w:rFonts w:asciiTheme="minorHAnsi" w:hAnsiTheme="minorHAnsi"/>
            <w:lang w:val="es-ES"/>
          </w:rPr>
          <w:t>RGQ12-3/1/14</w:t>
        </w:r>
      </w:hyperlink>
      <w:r w:rsidRPr="00052DCD">
        <w:rPr>
          <w:lang w:val="es-ES"/>
        </w:rPr>
        <w:t xml:space="preserve"> (BDT) </w:t>
      </w:r>
      <w:r w:rsidRPr="00052DCD">
        <w:rPr>
          <w:rFonts w:eastAsia="Calibri" w:cs="Calibri"/>
          <w:lang w:val="es-ES"/>
        </w:rPr>
        <w:t>del Grupo de Relator sobre la C12-3/1 de la Comisión de Estudio 1 del UIT-D</w:t>
      </w:r>
      <w:r w:rsidRPr="00052DCD">
        <w:rPr>
          <w:lang w:val="es-ES"/>
        </w:rPr>
        <w:t xml:space="preserve">. </w:t>
      </w:r>
      <w:r w:rsidRPr="00052DCD">
        <w:rPr>
          <w:bCs/>
        </w:rPr>
        <w:t>The regulation of prices in a broadband environment, 15 de febrero de 2012.</w:t>
      </w:r>
    </w:p>
  </w:footnote>
  <w:footnote w:id="27">
    <w:p w:rsidR="00E03223" w:rsidRPr="00AC27F2" w:rsidRDefault="00E03223" w:rsidP="00AC27F2">
      <w:pPr>
        <w:pStyle w:val="FootnoteText"/>
        <w:rPr>
          <w:lang w:val="es-ES"/>
        </w:rPr>
      </w:pPr>
      <w:r w:rsidRPr="00052DCD">
        <w:rPr>
          <w:rStyle w:val="FootnoteReference"/>
          <w:rFonts w:asciiTheme="minorHAnsi" w:hAnsiTheme="minorHAnsi"/>
          <w:sz w:val="18"/>
          <w:lang w:val="es-ES"/>
        </w:rPr>
        <w:footnoteRef/>
      </w:r>
      <w:r w:rsidRPr="00AC27F2">
        <w:rPr>
          <w:lang w:val="es-ES"/>
        </w:rPr>
        <w:tab/>
        <w:t xml:space="preserve">Documento </w:t>
      </w:r>
      <w:hyperlink r:id="rId21" w:history="1">
        <w:r w:rsidRPr="00052DCD">
          <w:rPr>
            <w:rStyle w:val="Hyperlink"/>
            <w:rFonts w:asciiTheme="minorHAnsi" w:hAnsiTheme="minorHAnsi"/>
            <w:lang w:val="es-ES"/>
          </w:rPr>
          <w:t>RGQ10-3/1/16</w:t>
        </w:r>
      </w:hyperlink>
      <w:r w:rsidRPr="00AC27F2">
        <w:rPr>
          <w:lang w:val="es-ES"/>
        </w:rPr>
        <w:t xml:space="preserve"> (THALES </w:t>
      </w:r>
      <w:r w:rsidRPr="00AC27F2">
        <w:rPr>
          <w:rFonts w:eastAsia="Verdana" w:cs="Verdana"/>
          <w:bCs/>
          <w:lang w:val="es-ES"/>
        </w:rPr>
        <w:t>Communications</w:t>
      </w:r>
      <w:r w:rsidRPr="00AC27F2">
        <w:rPr>
          <w:lang w:val="es-ES"/>
        </w:rPr>
        <w:t xml:space="preserve"> (Francia)) del Grupo de Relator sobre la C10-3/1 de la Comisión de Estudio 1 del UIT-D, 9 de noviembre de 2012.</w:t>
      </w:r>
    </w:p>
  </w:footnote>
  <w:footnote w:id="28">
    <w:p w:rsidR="00E03223" w:rsidRPr="003F4444" w:rsidRDefault="00E03223" w:rsidP="00AC27F2">
      <w:pPr>
        <w:pStyle w:val="FootnoteText"/>
      </w:pPr>
      <w:r w:rsidRPr="003F4444">
        <w:rPr>
          <w:rStyle w:val="FootnoteReference"/>
          <w:rFonts w:asciiTheme="minorHAnsi" w:hAnsiTheme="minorHAnsi"/>
          <w:sz w:val="18"/>
          <w:lang w:val="es-ES"/>
        </w:rPr>
        <w:footnoteRef/>
      </w:r>
      <w:r w:rsidRPr="003F4444">
        <w:t xml:space="preserve"> </w:t>
      </w:r>
      <w:r w:rsidRPr="003F4444">
        <w:tab/>
        <w:t>Base de datos mundial de reglamentación de las telecomunicaciones de la UIT.</w:t>
      </w:r>
    </w:p>
  </w:footnote>
  <w:footnote w:id="29">
    <w:p w:rsidR="00E03223" w:rsidRPr="003F4444" w:rsidRDefault="00E03223" w:rsidP="00AC27F2">
      <w:pPr>
        <w:pStyle w:val="FootnoteText"/>
        <w:rPr>
          <w:lang w:val="es-ES"/>
        </w:rPr>
      </w:pPr>
      <w:r w:rsidRPr="003F4444">
        <w:rPr>
          <w:rStyle w:val="FootnoteReference"/>
          <w:rFonts w:asciiTheme="minorHAnsi" w:hAnsiTheme="minorHAnsi"/>
          <w:sz w:val="18"/>
          <w:lang w:val="es-ES"/>
        </w:rPr>
        <w:footnoteRef/>
      </w:r>
      <w:r w:rsidRPr="003F4444">
        <w:rPr>
          <w:lang w:val="es-ES"/>
        </w:rPr>
        <w:tab/>
        <w:t xml:space="preserve">Véase el Documento </w:t>
      </w:r>
      <w:hyperlink r:id="rId22" w:history="1">
        <w:r w:rsidRPr="003F4444">
          <w:rPr>
            <w:rStyle w:val="Hyperlink"/>
            <w:rFonts w:asciiTheme="minorHAnsi" w:eastAsia="Verdana" w:hAnsiTheme="minorHAnsi" w:cs="Verdana"/>
            <w:lang w:val="es-ES"/>
          </w:rPr>
          <w:t>RGQ 10-3/1/13</w:t>
        </w:r>
      </w:hyperlink>
      <w:r w:rsidRPr="003F4444">
        <w:rPr>
          <w:lang w:val="es-ES"/>
        </w:rPr>
        <w:t xml:space="preserve"> (Tanzanía), "Competition Assessment in the Tanzania Telecommunications </w:t>
      </w:r>
      <w:r w:rsidRPr="00AC27F2">
        <w:rPr>
          <w:lang w:val="es-ES"/>
        </w:rPr>
        <w:t>Market</w:t>
      </w:r>
      <w:r w:rsidRPr="003F4444">
        <w:rPr>
          <w:lang w:val="es-ES"/>
        </w:rPr>
        <w:t>" con la posición de Tanzanía sobre temas de competencia en el sector de las telecomunicaciones, 24 de febrero de 2012.</w:t>
      </w:r>
    </w:p>
  </w:footnote>
  <w:footnote w:id="30">
    <w:p w:rsidR="00E03223" w:rsidRPr="00296A60" w:rsidRDefault="00E03223" w:rsidP="00AC27F2">
      <w:pPr>
        <w:pStyle w:val="FootnoteText"/>
      </w:pPr>
      <w:r w:rsidRPr="00CD1614">
        <w:rPr>
          <w:rStyle w:val="FootnoteReference"/>
          <w:sz w:val="18"/>
          <w:lang w:val="es-ES"/>
        </w:rPr>
        <w:footnoteRef/>
      </w:r>
      <w:r w:rsidRPr="00296A60">
        <w:tab/>
        <w:t xml:space="preserve">Véase el Documento </w:t>
      </w:r>
      <w:hyperlink r:id="rId23" w:history="1">
        <w:r w:rsidRPr="00CD1614">
          <w:rPr>
            <w:rStyle w:val="Hyperlink"/>
            <w:rFonts w:eastAsia="Verdana" w:cs="Verdana"/>
            <w:lang w:val="es-ES"/>
          </w:rPr>
          <w:t>1/INF/37</w:t>
        </w:r>
      </w:hyperlink>
      <w:r w:rsidRPr="00296A60">
        <w:t xml:space="preserve"> (Egipto) de la Comisión de Estudio 1 del UIT-D, 18 de agosto de 201</w:t>
      </w:r>
      <w:r w:rsidR="00296A60" w:rsidRPr="00296A60">
        <w:t>1</w:t>
      </w:r>
      <w:r w:rsidRPr="00296A60">
        <w:t>.</w:t>
      </w:r>
    </w:p>
  </w:footnote>
  <w:footnote w:id="31">
    <w:p w:rsidR="00E03223" w:rsidRPr="00AE5493" w:rsidRDefault="00E03223" w:rsidP="00AC27F2">
      <w:pPr>
        <w:pStyle w:val="FootnoteText"/>
      </w:pPr>
      <w:r w:rsidRPr="00AE5493">
        <w:rPr>
          <w:rStyle w:val="FootnoteReference"/>
          <w:rFonts w:asciiTheme="minorHAnsi" w:hAnsiTheme="minorHAnsi"/>
          <w:sz w:val="18"/>
          <w:lang w:val="es-ES"/>
        </w:rPr>
        <w:footnoteRef/>
      </w:r>
      <w:r w:rsidRPr="00AE5493">
        <w:tab/>
        <w:t>Véase la página 11, Documento de debate 25-27 sobre banca móvil elaborado en el GSR 2011 y el Documento </w:t>
      </w:r>
      <w:hyperlink r:id="rId24" w:history="1">
        <w:r w:rsidRPr="00AE5493">
          <w:rPr>
            <w:rStyle w:val="Hyperlink"/>
            <w:rFonts w:asciiTheme="minorHAnsi" w:eastAsia="Verdana" w:hAnsiTheme="minorHAnsi" w:cs="Verdana"/>
            <w:lang w:val="es-ES"/>
          </w:rPr>
          <w:t>RG10</w:t>
        </w:r>
        <w:r w:rsidRPr="00AE5493">
          <w:rPr>
            <w:rStyle w:val="Hyperlink"/>
            <w:rFonts w:asciiTheme="minorHAnsi" w:eastAsia="Verdana" w:hAnsiTheme="minorHAnsi" w:cs="Verdana"/>
            <w:lang w:val="es-ES"/>
          </w:rPr>
          <w:noBreakHyphen/>
          <w:t>3/1/9</w:t>
        </w:r>
      </w:hyperlink>
      <w:r w:rsidRPr="00AE5493">
        <w:t xml:space="preserve"> </w:t>
      </w:r>
      <w:r w:rsidRPr="00AE5493">
        <w:rPr>
          <w:rFonts w:eastAsia="Calibri" w:cs="Calibri"/>
        </w:rPr>
        <w:t>del Grupo de Relator sobre la C10-3/1 de la Comisión de Estudio 1 del UIT-D</w:t>
      </w:r>
      <w:r w:rsidRPr="00AE5493">
        <w:t>.</w:t>
      </w:r>
    </w:p>
  </w:footnote>
  <w:footnote w:id="32">
    <w:p w:rsidR="00E03223" w:rsidRPr="00AE5493" w:rsidRDefault="00E03223" w:rsidP="00AC27F2">
      <w:pPr>
        <w:pStyle w:val="FootnoteText"/>
      </w:pPr>
      <w:r w:rsidRPr="00AE5493">
        <w:rPr>
          <w:rStyle w:val="FootnoteReference"/>
          <w:rFonts w:asciiTheme="minorHAnsi" w:hAnsiTheme="minorHAnsi"/>
          <w:sz w:val="18"/>
          <w:lang w:val="es-ES"/>
        </w:rPr>
        <w:footnoteRef/>
      </w:r>
      <w:r w:rsidRPr="00AE5493">
        <w:tab/>
        <w:t xml:space="preserve">Conjunto de herramientas para la reglamentación de las TIC, Módulo 2 – Véase </w:t>
      </w:r>
      <w:hyperlink r:id="rId25" w:history="1">
        <w:r w:rsidRPr="00193A09">
          <w:rPr>
            <w:rStyle w:val="Hyperlink"/>
            <w:rFonts w:asciiTheme="minorHAnsi" w:eastAsia="Verdana" w:hAnsiTheme="minorHAnsi" w:cs="Verdana"/>
            <w:lang w:val="es-ES"/>
          </w:rPr>
          <w:t>www.ictregulationtoolkit.org/en/</w:t>
        </w:r>
        <w:r w:rsidRPr="00193A09">
          <w:rPr>
            <w:rStyle w:val="Hyperlink"/>
            <w:rFonts w:asciiTheme="minorHAnsi" w:eastAsia="Verdana" w:hAnsiTheme="minorHAnsi" w:cs="Verdana"/>
            <w:lang w:val="es-ES"/>
          </w:rPr>
          <w:br/>
          <w:t>Section.1560.html</w:t>
        </w:r>
      </w:hyperlink>
    </w:p>
  </w:footnote>
  <w:footnote w:id="33">
    <w:p w:rsidR="00E03223" w:rsidRPr="00AE5493" w:rsidRDefault="00E03223" w:rsidP="00AC27F2">
      <w:pPr>
        <w:pStyle w:val="FootnoteText"/>
      </w:pPr>
      <w:r w:rsidRPr="00AE5493">
        <w:rPr>
          <w:rStyle w:val="FootnoteReference"/>
          <w:rFonts w:asciiTheme="minorHAnsi" w:hAnsiTheme="minorHAnsi"/>
          <w:sz w:val="18"/>
          <w:lang w:val="es-ES"/>
        </w:rPr>
        <w:footnoteRef/>
      </w:r>
      <w:r w:rsidRPr="00AE5493">
        <w:tab/>
        <w:t>EC Competition Law, Giorgio Monti, pág. 246.</w:t>
      </w:r>
    </w:p>
  </w:footnote>
  <w:footnote w:id="34">
    <w:p w:rsidR="00E03223" w:rsidRPr="005D1246" w:rsidRDefault="00E03223" w:rsidP="00AC27F2">
      <w:pPr>
        <w:pStyle w:val="FootnoteText"/>
      </w:pPr>
      <w:r w:rsidRPr="005D1246">
        <w:rPr>
          <w:rStyle w:val="FootnoteReference"/>
          <w:rFonts w:asciiTheme="minorHAnsi" w:hAnsiTheme="minorHAnsi"/>
          <w:sz w:val="18"/>
          <w:lang w:val="es-ES"/>
        </w:rPr>
        <w:footnoteRef/>
      </w:r>
      <w:r w:rsidRPr="005D1246">
        <w:tab/>
        <w:t xml:space="preserve">Documento </w:t>
      </w:r>
      <w:hyperlink r:id="rId26" w:history="1">
        <w:r w:rsidRPr="005D1246">
          <w:rPr>
            <w:rStyle w:val="Hyperlink"/>
            <w:rFonts w:asciiTheme="minorHAnsi" w:eastAsia="Verdana" w:hAnsiTheme="minorHAnsi" w:cs="Verdana"/>
            <w:lang w:val="es-ES"/>
          </w:rPr>
          <w:t>1-189</w:t>
        </w:r>
      </w:hyperlink>
      <w:r w:rsidRPr="005D1246">
        <w:t>, (Estados Unidos de América), 29 de agosto de 2012.</w:t>
      </w:r>
    </w:p>
  </w:footnote>
  <w:footnote w:id="35">
    <w:p w:rsidR="00E03223" w:rsidRPr="005D1246" w:rsidRDefault="00E03223" w:rsidP="00AC27F2">
      <w:pPr>
        <w:pStyle w:val="FootnoteText"/>
      </w:pPr>
      <w:r w:rsidRPr="005D1246">
        <w:rPr>
          <w:rStyle w:val="FootnoteReference"/>
          <w:rFonts w:asciiTheme="minorHAnsi" w:hAnsiTheme="minorHAnsi"/>
          <w:sz w:val="18"/>
          <w:lang w:val="es-ES"/>
        </w:rPr>
        <w:footnoteRef/>
      </w:r>
      <w:r w:rsidRPr="005D1246">
        <w:tab/>
        <w:t>Australia. Véanse los Artículos 45 y 47 de la Ley de Competencia y del Consumidor.</w:t>
      </w:r>
    </w:p>
  </w:footnote>
  <w:footnote w:id="36">
    <w:p w:rsidR="00E03223" w:rsidRPr="00894434" w:rsidRDefault="00E03223" w:rsidP="00AC27F2">
      <w:pPr>
        <w:pStyle w:val="FootnoteText"/>
        <w:rPr>
          <w:lang w:val="es-ES_tradnl"/>
        </w:rPr>
      </w:pPr>
      <w:r w:rsidRPr="00806291">
        <w:rPr>
          <w:rStyle w:val="FootnoteReference"/>
          <w:rFonts w:ascii="Verdana" w:hAnsi="Verdana"/>
          <w:sz w:val="16"/>
          <w:szCs w:val="16"/>
          <w:lang w:val="es-ES"/>
        </w:rPr>
        <w:footnoteRef/>
      </w:r>
      <w:r>
        <w:rPr>
          <w:lang w:val="es-ES_tradnl"/>
        </w:rPr>
        <w:tab/>
      </w:r>
      <w:r w:rsidRPr="00894434">
        <w:t>"ANR" se refiere a Autoridades Nacionales de Reglamentación e incluye cualquier autoridad de reglamentación pertinente para las telecomunicaciones/TIC.</w:t>
      </w:r>
    </w:p>
  </w:footnote>
  <w:footnote w:id="37">
    <w:p w:rsidR="00E03223" w:rsidRPr="00404A27" w:rsidRDefault="00E03223" w:rsidP="00AC27F2">
      <w:pPr>
        <w:pStyle w:val="FootnoteText"/>
        <w:rPr>
          <w:lang w:val="es-ES_tradnl"/>
        </w:rPr>
      </w:pPr>
      <w:r w:rsidRPr="008106B5">
        <w:rPr>
          <w:rStyle w:val="FootnoteReference"/>
          <w:rFonts w:ascii="Verdana" w:hAnsi="Verdana"/>
          <w:sz w:val="16"/>
          <w:szCs w:val="16"/>
          <w:lang w:val="es-ES"/>
        </w:rPr>
        <w:footnoteRef/>
      </w:r>
      <w:r>
        <w:rPr>
          <w:lang w:val="es-ES_tradnl"/>
        </w:rPr>
        <w:tab/>
      </w:r>
      <w:r w:rsidRPr="00404A27">
        <w:t>GSR11 - Directrices sobre pr</w:t>
      </w:r>
      <w:bookmarkStart w:id="165" w:name="_GoBack"/>
      <w:bookmarkEnd w:id="165"/>
      <w:r w:rsidRPr="00404A27">
        <w:t>ácticas idóneas.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837668" w:rsidRDefault="00E03223"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EE350E" w:rsidRDefault="00E03223" w:rsidP="00977913">
    <w:pPr>
      <w:pStyle w:val="Header"/>
      <w:rPr>
        <w:lang w:val="es-ES_tradnl"/>
      </w:rPr>
    </w:pPr>
    <w:r>
      <w:rPr>
        <w:rFonts w:eastAsia="Verdana" w:cs="Verdana"/>
        <w:lang w:val="es-ES_tradnl"/>
      </w:rPr>
      <w:t xml:space="preserve">C10-3/1: </w:t>
    </w: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p w:rsidR="00E03223" w:rsidRPr="00EE350E" w:rsidRDefault="00E03223" w:rsidP="002208F5">
    <w:pPr>
      <w:rPr>
        <w:lang w:val="es-ES_tradn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002507" w:rsidRDefault="00E03223" w:rsidP="00E03223">
    <w:pPr>
      <w:pStyle w:val="Header"/>
      <w:rPr>
        <w:spacing w:val="-2"/>
        <w:lang w:val="es-ES_tradnl"/>
      </w:rPr>
    </w:pPr>
    <w:r>
      <w:rPr>
        <w:rFonts w:eastAsia="Verdana" w:cs="Verdana"/>
        <w:lang w:val="es-ES_tradnl"/>
      </w:rPr>
      <w:t xml:space="preserve">C10-3/1: </w:t>
    </w: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p w:rsidR="00E03223" w:rsidRPr="00002507" w:rsidRDefault="00E03223" w:rsidP="00E03223">
    <w:pPr>
      <w:pStyle w:val="Header"/>
      <w:pBdr>
        <w:bottom w:val="none" w:sz="0" w:space="0" w:color="auto"/>
      </w:pBd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Default="00E03223" w:rsidP="00075AC8">
    <w:pPr>
      <w:pStyle w:val="Header"/>
    </w:pPr>
    <w:r>
      <w:rPr>
        <w:rStyle w:val="PageNumber"/>
        <w:lang w:val="fr-CH"/>
      </w:rPr>
      <w:t>Q</w:t>
    </w:r>
    <w:r w:rsidRPr="002D4FCA">
      <w:rPr>
        <w:lang w:val="fr-CH"/>
      </w:rPr>
      <w:t>uestion</w:t>
    </w:r>
    <w:r>
      <w:rPr>
        <w:lang w:val="fr-CH"/>
      </w:rPr>
      <w:t xml:space="preserve"> number + title</w:t>
    </w:r>
  </w:p>
  <w:p w:rsidR="00E03223" w:rsidRPr="00FB79B8" w:rsidRDefault="00E03223"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837668" w:rsidRDefault="00E03223"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EE350E" w:rsidRDefault="00E03223" w:rsidP="00977913">
    <w:pPr>
      <w:pStyle w:val="Header"/>
      <w:rPr>
        <w:lang w:val="es-ES_tradnl"/>
      </w:rPr>
    </w:pPr>
    <w:r>
      <w:rPr>
        <w:rFonts w:eastAsia="Verdana" w:cs="Verdana"/>
        <w:lang w:val="es-ES_tradnl"/>
      </w:rPr>
      <w:t xml:space="preserve">C10-3/1: </w:t>
    </w: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p w:rsidR="00E03223" w:rsidRPr="00EE350E" w:rsidRDefault="00E03223" w:rsidP="002208F5">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AD5D4C" w:rsidRDefault="00E03223" w:rsidP="00837668">
    <w:pPr>
      <w:pStyle w:val="Header"/>
      <w:rPr>
        <w:lang w:val="es-ES_tradnl"/>
      </w:rPr>
    </w:pPr>
    <w:r>
      <w:rPr>
        <w:rFonts w:eastAsia="Verdana" w:cs="Verdana"/>
        <w:lang w:val="es-ES_tradnl"/>
      </w:rPr>
      <w:t xml:space="preserve">C10-3/1: </w:t>
    </w: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6E15C7" w:rsidRDefault="00E03223" w:rsidP="00977913">
    <w:pPr>
      <w:pStyle w:val="Header"/>
      <w:rPr>
        <w:lang w:val="es-ES_tradnl"/>
      </w:rPr>
    </w:pPr>
    <w:r>
      <w:rPr>
        <w:rFonts w:eastAsia="Verdana" w:cs="Verdana"/>
        <w:lang w:val="es-ES_tradnl"/>
      </w:rPr>
      <w:t xml:space="preserve">C10-3/1: </w:t>
    </w: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p w:rsidR="00E03223" w:rsidRPr="006E15C7" w:rsidRDefault="00E03223" w:rsidP="00837668">
    <w:pP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EE350E" w:rsidRDefault="00E03223" w:rsidP="00977913">
    <w:pPr>
      <w:pStyle w:val="Header"/>
      <w:rPr>
        <w:lang w:val="es-ES_tradnl"/>
      </w:rPr>
    </w:pPr>
    <w:r>
      <w:rPr>
        <w:rFonts w:eastAsia="Verdana" w:cs="Verdana"/>
        <w:lang w:val="es-ES_tradnl"/>
      </w:rPr>
      <w:t xml:space="preserve">C10-3/1: </w:t>
    </w: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p w:rsidR="00E03223" w:rsidRPr="00EE350E" w:rsidRDefault="00E03223" w:rsidP="002208F5">
    <w:pPr>
      <w:rPr>
        <w:lang w:val="es-ES_tradn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EE350E" w:rsidRDefault="00E03223" w:rsidP="00BC3581">
    <w:pPr>
      <w:pStyle w:val="Header"/>
      <w:rPr>
        <w:lang w:val="es-ES_tradnl"/>
      </w:rPr>
    </w:pPr>
    <w:r>
      <w:rPr>
        <w:rFonts w:eastAsia="Verdana" w:cs="Verdana"/>
        <w:lang w:val="es-ES_tradnl"/>
      </w:rPr>
      <w:t xml:space="preserve">C10-3/1: </w:t>
    </w: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p w:rsidR="00E03223" w:rsidRPr="00EE350E" w:rsidRDefault="00E03223" w:rsidP="00BC3581">
    <w:pPr>
      <w:rPr>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23" w:rsidRPr="00EE350E" w:rsidRDefault="00E03223" w:rsidP="00BC3581">
    <w:pP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0267_"/>
      </v:shape>
    </w:pict>
  </w:numPicBullet>
  <w:abstractNum w:abstractNumId="0">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4442D2"/>
    <w:multiLevelType w:val="hybridMultilevel"/>
    <w:tmpl w:val="17DEF3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0C2639E8"/>
    <w:multiLevelType w:val="hybridMultilevel"/>
    <w:tmpl w:val="01A21FBE"/>
    <w:lvl w:ilvl="0" w:tplc="A46A07A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4204030E">
      <w:start w:val="1"/>
      <w:numFmt w:val="lowerLetter"/>
      <w:lvlText w:val="(%3)"/>
      <w:lvlJc w:val="left"/>
      <w:pPr>
        <w:ind w:left="2727" w:hanging="180"/>
      </w:pPr>
      <w:rPr>
        <w:rFonts w:hint="default"/>
        <w:color w:val="auto"/>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0D17561B"/>
    <w:multiLevelType w:val="hybridMultilevel"/>
    <w:tmpl w:val="01789A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8531A2"/>
    <w:multiLevelType w:val="hybridMultilevel"/>
    <w:tmpl w:val="9468FC6C"/>
    <w:lvl w:ilvl="0" w:tplc="650264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B3632B"/>
    <w:multiLevelType w:val="hybridMultilevel"/>
    <w:tmpl w:val="0CB4ABD4"/>
    <w:lvl w:ilvl="0" w:tplc="A46A07A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5392A1EC">
      <w:start w:val="1"/>
      <w:numFmt w:val="lowerLetter"/>
      <w:lvlText w:val="(%3)"/>
      <w:lvlJc w:val="left"/>
      <w:pPr>
        <w:ind w:left="2727" w:hanging="180"/>
      </w:pPr>
      <w:rPr>
        <w:rFonts w:hint="default"/>
        <w:color w:val="auto"/>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16CD6051"/>
    <w:multiLevelType w:val="hybridMultilevel"/>
    <w:tmpl w:val="85D25608"/>
    <w:lvl w:ilvl="0" w:tplc="A46A07A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C854A96"/>
    <w:multiLevelType w:val="hybridMultilevel"/>
    <w:tmpl w:val="0792B262"/>
    <w:lvl w:ilvl="0" w:tplc="C98EE00E">
      <w:start w:val="1"/>
      <w:numFmt w:val="bullet"/>
      <w:lvlText w:val="o"/>
      <w:lvlJc w:val="left"/>
      <w:pPr>
        <w:ind w:left="1854" w:hanging="360"/>
      </w:pPr>
      <w:rPr>
        <w:rFonts w:ascii="Courier New" w:hAnsi="Courier New" w:cs="Courier New" w:hint="default"/>
        <w:b w:val="0"/>
        <w:color w:val="auto"/>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56390E"/>
    <w:multiLevelType w:val="hybridMultilevel"/>
    <w:tmpl w:val="CF56B9CA"/>
    <w:lvl w:ilvl="0" w:tplc="1F3A3F84">
      <w:start w:val="1"/>
      <w:numFmt w:val="bullet"/>
      <w:lvlText w:val="-"/>
      <w:lvlJc w:val="left"/>
      <w:pPr>
        <w:ind w:left="720" w:hanging="360"/>
      </w:pPr>
      <w:rPr>
        <w:rFonts w:ascii="Symbol" w:hAnsi="Symbol" w:hint="default"/>
        <w:color w:val="00517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D50F14"/>
    <w:multiLevelType w:val="hybridMultilevel"/>
    <w:tmpl w:val="8CF2A412"/>
    <w:lvl w:ilvl="0" w:tplc="D576AB46">
      <w:start w:val="1"/>
      <w:numFmt w:val="lowerLetter"/>
      <w:lvlText w:val="(%1)"/>
      <w:lvlJc w:val="left"/>
      <w:pPr>
        <w:ind w:left="128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383BCC"/>
    <w:multiLevelType w:val="hybridMultilevel"/>
    <w:tmpl w:val="2312E0BA"/>
    <w:lvl w:ilvl="0" w:tplc="FAB82916">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355536CE"/>
    <w:multiLevelType w:val="hybridMultilevel"/>
    <w:tmpl w:val="9460C1AA"/>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2">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CB114F1"/>
    <w:multiLevelType w:val="hybridMultilevel"/>
    <w:tmpl w:val="C19ACFF2"/>
    <w:lvl w:ilvl="0" w:tplc="2402B35C">
      <w:start w:val="1"/>
      <w:numFmt w:val="bullet"/>
      <w:pStyle w:val="ver"/>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3CF6723B"/>
    <w:multiLevelType w:val="hybridMultilevel"/>
    <w:tmpl w:val="81145A1C"/>
    <w:lvl w:ilvl="0" w:tplc="4B9E7D9E">
      <w:start w:val="1"/>
      <w:numFmt w:val="lowerLetter"/>
      <w:lvlText w:val="(%1)"/>
      <w:lvlJc w:val="left"/>
      <w:pPr>
        <w:ind w:left="128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3C7945"/>
    <w:multiLevelType w:val="hybridMultilevel"/>
    <w:tmpl w:val="5C3265DC"/>
    <w:lvl w:ilvl="0" w:tplc="3468E576">
      <w:numFmt w:val="bullet"/>
      <w:lvlText w:val="•"/>
      <w:lvlJc w:val="left"/>
      <w:pPr>
        <w:ind w:left="930" w:hanging="57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C50CBF"/>
    <w:multiLevelType w:val="hybridMultilevel"/>
    <w:tmpl w:val="7F905B64"/>
    <w:lvl w:ilvl="0" w:tplc="F40E63D8">
      <w:start w:val="1"/>
      <w:numFmt w:val="decimal"/>
      <w:lvlText w:val="%1)"/>
      <w:lvlJc w:val="left"/>
      <w:pPr>
        <w:ind w:left="720" w:hanging="360"/>
      </w:pPr>
      <w:rPr>
        <w:rFonts w:hint="default"/>
        <w:color w:val="0051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63379F"/>
    <w:multiLevelType w:val="hybridMultilevel"/>
    <w:tmpl w:val="292ABCAA"/>
    <w:lvl w:ilvl="0" w:tplc="ECA6196E">
      <w:start w:val="1"/>
      <w:numFmt w:val="bullet"/>
      <w:lvlText w:val="–"/>
      <w:lvlJc w:val="left"/>
      <w:pPr>
        <w:ind w:left="1080" w:hanging="360"/>
      </w:pPr>
      <w:rPr>
        <w:rFonts w:ascii="Courier New" w:hAnsi="Courier New"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52A5564B"/>
    <w:multiLevelType w:val="hybridMultilevel"/>
    <w:tmpl w:val="AA040E44"/>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DA671B"/>
    <w:multiLevelType w:val="hybridMultilevel"/>
    <w:tmpl w:val="E63E79D2"/>
    <w:lvl w:ilvl="0" w:tplc="06568ADE">
      <w:start w:val="1"/>
      <w:numFmt w:val="bullet"/>
      <w:lvlText w:val="-"/>
      <w:lvlJc w:val="left"/>
      <w:pPr>
        <w:ind w:left="720" w:hanging="360"/>
      </w:pPr>
      <w:rPr>
        <w:rFonts w:ascii="Symbol" w:hAnsi="Symbol" w:hint="default"/>
        <w:color w:val="00517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B02777"/>
    <w:multiLevelType w:val="hybridMultilevel"/>
    <w:tmpl w:val="D95E63A8"/>
    <w:lvl w:ilvl="0" w:tplc="BDDAC6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6F506F9"/>
    <w:multiLevelType w:val="hybridMultilevel"/>
    <w:tmpl w:val="9CF87B98"/>
    <w:lvl w:ilvl="0" w:tplc="04090001">
      <w:start w:val="1"/>
      <w:numFmt w:val="bullet"/>
      <w:lvlText w:val=""/>
      <w:lvlJc w:val="left"/>
      <w:pPr>
        <w:ind w:left="720" w:hanging="360"/>
      </w:pPr>
      <w:rPr>
        <w:rFonts w:ascii="Symbol" w:hAnsi="Symbol" w:hint="default"/>
      </w:rPr>
    </w:lvl>
    <w:lvl w:ilvl="1" w:tplc="F1644CB8">
      <w:numFmt w:val="bullet"/>
      <w:lvlText w:val="•"/>
      <w:lvlJc w:val="left"/>
      <w:pPr>
        <w:ind w:left="1650" w:hanging="570"/>
      </w:pPr>
      <w:rPr>
        <w:rFonts w:ascii="Calibri" w:eastAsia="SimSu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6C61EC"/>
    <w:multiLevelType w:val="hybridMultilevel"/>
    <w:tmpl w:val="3DAC4F40"/>
    <w:lvl w:ilvl="0" w:tplc="C1FC6F20">
      <w:start w:val="1"/>
      <w:numFmt w:val="lowerLetter"/>
      <w:lvlText w:val="%1)"/>
      <w:lvlJc w:val="left"/>
      <w:pPr>
        <w:ind w:left="1080" w:hanging="360"/>
      </w:pPr>
      <w:rPr>
        <w:color w:val="00517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E393FDD"/>
    <w:multiLevelType w:val="hybridMultilevel"/>
    <w:tmpl w:val="843A0E12"/>
    <w:lvl w:ilvl="0" w:tplc="F40E63D8">
      <w:start w:val="1"/>
      <w:numFmt w:val="decimal"/>
      <w:lvlText w:val="%1)"/>
      <w:lvlJc w:val="left"/>
      <w:pPr>
        <w:ind w:left="720" w:hanging="360"/>
      </w:pPr>
      <w:rPr>
        <w:rFonts w:hint="default"/>
        <w:color w:val="0051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3E1AD3"/>
    <w:multiLevelType w:val="hybridMultilevel"/>
    <w:tmpl w:val="A7A2839E"/>
    <w:lvl w:ilvl="0" w:tplc="A8B01D44">
      <w:start w:val="1"/>
      <w:numFmt w:val="lowerLetter"/>
      <w:lvlText w:val="(%1)"/>
      <w:lvlJc w:val="left"/>
      <w:pPr>
        <w:ind w:left="1287"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090410"/>
    <w:multiLevelType w:val="hybridMultilevel"/>
    <w:tmpl w:val="B90A6D58"/>
    <w:lvl w:ilvl="0" w:tplc="93D01212">
      <w:start w:val="1"/>
      <w:numFmt w:val="decimal"/>
      <w:lvlText w:val="%1)"/>
      <w:lvlJc w:val="left"/>
      <w:pPr>
        <w:ind w:left="720" w:hanging="360"/>
      </w:pPr>
      <w:rPr>
        <w:color w:val="005173"/>
      </w:rPr>
    </w:lvl>
    <w:lvl w:ilvl="1" w:tplc="21564862">
      <w:start w:val="1"/>
      <w:numFmt w:val="decimal"/>
      <w:lvlText w:val="%2."/>
      <w:lvlJc w:val="left"/>
      <w:pPr>
        <w:ind w:left="1440" w:hanging="360"/>
      </w:pPr>
      <w:rPr>
        <w:rFonts w:hint="default"/>
        <w:color w:val="auto"/>
      </w:rPr>
    </w:lvl>
    <w:lvl w:ilvl="2" w:tplc="63CCFAC8">
      <w:start w:val="1"/>
      <w:numFmt w:val="lowerLetter"/>
      <w:lvlText w:val="%3)"/>
      <w:lvlJc w:val="left"/>
      <w:pPr>
        <w:ind w:left="2340" w:hanging="360"/>
      </w:pPr>
      <w:rPr>
        <w:rFonts w:hint="default"/>
        <w:color w:val="005173"/>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9">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nsid w:val="7EEF6A78"/>
    <w:multiLevelType w:val="hybridMultilevel"/>
    <w:tmpl w:val="42F8983C"/>
    <w:lvl w:ilvl="0" w:tplc="E5CA28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9603FB"/>
    <w:multiLevelType w:val="hybridMultilevel"/>
    <w:tmpl w:val="7E04FD9C"/>
    <w:lvl w:ilvl="0" w:tplc="EFEE04BE">
      <w:start w:val="1"/>
      <w:numFmt w:val="lowerLetter"/>
      <w:lvlText w:val="(%1)"/>
      <w:lvlJc w:val="left"/>
      <w:pPr>
        <w:ind w:left="1287" w:hanging="360"/>
      </w:pPr>
      <w:rPr>
        <w:rFonts w:hint="default"/>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7FAE012E"/>
    <w:multiLevelType w:val="hybridMultilevel"/>
    <w:tmpl w:val="C726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0"/>
  </w:num>
  <w:num w:numId="3">
    <w:abstractNumId w:val="38"/>
  </w:num>
  <w:num w:numId="4">
    <w:abstractNumId w:val="22"/>
  </w:num>
  <w:num w:numId="5">
    <w:abstractNumId w:val="13"/>
  </w:num>
  <w:num w:numId="6">
    <w:abstractNumId w:val="32"/>
  </w:num>
  <w:num w:numId="7">
    <w:abstractNumId w:val="2"/>
  </w:num>
  <w:num w:numId="8">
    <w:abstractNumId w:val="23"/>
  </w:num>
  <w:num w:numId="9">
    <w:abstractNumId w:val="39"/>
  </w:num>
  <w:num w:numId="10">
    <w:abstractNumId w:val="5"/>
  </w:num>
  <w:num w:numId="11">
    <w:abstractNumId w:val="21"/>
  </w:num>
  <w:num w:numId="12">
    <w:abstractNumId w:val="0"/>
  </w:num>
  <w:num w:numId="13">
    <w:abstractNumId w:val="3"/>
  </w:num>
  <w:num w:numId="14">
    <w:abstractNumId w:val="7"/>
  </w:num>
  <w:num w:numId="15">
    <w:abstractNumId w:val="19"/>
  </w:num>
  <w:num w:numId="16">
    <w:abstractNumId w:val="29"/>
  </w:num>
  <w:num w:numId="17">
    <w:abstractNumId w:val="24"/>
  </w:num>
  <w:num w:numId="18">
    <w:abstractNumId w:val="28"/>
  </w:num>
  <w:num w:numId="19">
    <w:abstractNumId w:val="30"/>
  </w:num>
  <w:num w:numId="20">
    <w:abstractNumId w:val="34"/>
  </w:num>
  <w:num w:numId="21">
    <w:abstractNumId w:val="14"/>
  </w:num>
  <w:num w:numId="22">
    <w:abstractNumId w:val="43"/>
  </w:num>
  <w:num w:numId="23">
    <w:abstractNumId w:val="26"/>
  </w:num>
  <w:num w:numId="24">
    <w:abstractNumId w:val="33"/>
  </w:num>
  <w:num w:numId="25">
    <w:abstractNumId w:val="8"/>
  </w:num>
  <w:num w:numId="26">
    <w:abstractNumId w:val="37"/>
  </w:num>
  <w:num w:numId="27">
    <w:abstractNumId w:val="35"/>
  </w:num>
  <w:num w:numId="28">
    <w:abstractNumId w:val="41"/>
  </w:num>
  <w:num w:numId="29">
    <w:abstractNumId w:val="31"/>
  </w:num>
  <w:num w:numId="30">
    <w:abstractNumId w:val="16"/>
  </w:num>
  <w:num w:numId="31">
    <w:abstractNumId w:val="11"/>
  </w:num>
  <w:num w:numId="32">
    <w:abstractNumId w:val="27"/>
  </w:num>
  <w:num w:numId="33">
    <w:abstractNumId w:val="10"/>
  </w:num>
  <w:num w:numId="34">
    <w:abstractNumId w:val="9"/>
  </w:num>
  <w:num w:numId="35">
    <w:abstractNumId w:val="9"/>
    <w:lvlOverride w:ilvl="0">
      <w:lvl w:ilvl="0" w:tplc="A46A07A2">
        <w:start w:val="1"/>
        <w:numFmt w:val="lowerLetter"/>
        <w:lvlText w:val="(%1)"/>
        <w:lvlJc w:val="left"/>
        <w:pPr>
          <w:ind w:left="2727" w:hanging="180"/>
        </w:pPr>
        <w:rPr>
          <w:rFonts w:hint="default"/>
          <w:color w:val="005173"/>
        </w:rPr>
      </w:lvl>
    </w:lvlOverride>
    <w:lvlOverride w:ilvl="1">
      <w:lvl w:ilvl="1" w:tplc="04090019" w:tentative="1">
        <w:start w:val="1"/>
        <w:numFmt w:val="lowerLetter"/>
        <w:lvlText w:val="%2."/>
        <w:lvlJc w:val="left"/>
        <w:pPr>
          <w:ind w:left="1440" w:hanging="360"/>
        </w:pPr>
      </w:lvl>
    </w:lvlOverride>
    <w:lvlOverride w:ilvl="2">
      <w:lvl w:ilvl="2" w:tplc="5392A1EC">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6">
    <w:abstractNumId w:val="6"/>
  </w:num>
  <w:num w:numId="37">
    <w:abstractNumId w:val="42"/>
  </w:num>
  <w:num w:numId="38">
    <w:abstractNumId w:val="36"/>
  </w:num>
  <w:num w:numId="39">
    <w:abstractNumId w:val="15"/>
  </w:num>
  <w:num w:numId="40">
    <w:abstractNumId w:val="25"/>
  </w:num>
  <w:num w:numId="4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60B"/>
    <w:rsid w:val="000012C8"/>
    <w:rsid w:val="00002507"/>
    <w:rsid w:val="0000259F"/>
    <w:rsid w:val="00004160"/>
    <w:rsid w:val="00010631"/>
    <w:rsid w:val="00010EEB"/>
    <w:rsid w:val="000135A4"/>
    <w:rsid w:val="00013D6F"/>
    <w:rsid w:val="00013E61"/>
    <w:rsid w:val="00014747"/>
    <w:rsid w:val="00014A90"/>
    <w:rsid w:val="00017323"/>
    <w:rsid w:val="00017645"/>
    <w:rsid w:val="00021824"/>
    <w:rsid w:val="000233CA"/>
    <w:rsid w:val="00023A85"/>
    <w:rsid w:val="00024075"/>
    <w:rsid w:val="000258E8"/>
    <w:rsid w:val="000273F7"/>
    <w:rsid w:val="00031CA2"/>
    <w:rsid w:val="00033090"/>
    <w:rsid w:val="00040A84"/>
    <w:rsid w:val="00041301"/>
    <w:rsid w:val="0004319A"/>
    <w:rsid w:val="0004551C"/>
    <w:rsid w:val="00047D3C"/>
    <w:rsid w:val="0005154A"/>
    <w:rsid w:val="00051DDE"/>
    <w:rsid w:val="00052DCD"/>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A2E"/>
    <w:rsid w:val="00093E66"/>
    <w:rsid w:val="00096433"/>
    <w:rsid w:val="00096922"/>
    <w:rsid w:val="0009716E"/>
    <w:rsid w:val="00097207"/>
    <w:rsid w:val="00097422"/>
    <w:rsid w:val="00097540"/>
    <w:rsid w:val="000A14B5"/>
    <w:rsid w:val="000A1A25"/>
    <w:rsid w:val="000A316D"/>
    <w:rsid w:val="000A55BE"/>
    <w:rsid w:val="000A67CB"/>
    <w:rsid w:val="000A71D3"/>
    <w:rsid w:val="000B2FEE"/>
    <w:rsid w:val="000B40AB"/>
    <w:rsid w:val="000C0D53"/>
    <w:rsid w:val="000C36E9"/>
    <w:rsid w:val="000C58D2"/>
    <w:rsid w:val="000C778A"/>
    <w:rsid w:val="000D0DCD"/>
    <w:rsid w:val="000D0F63"/>
    <w:rsid w:val="000D1C57"/>
    <w:rsid w:val="000D6452"/>
    <w:rsid w:val="000E2EB3"/>
    <w:rsid w:val="000E54EF"/>
    <w:rsid w:val="000F0388"/>
    <w:rsid w:val="000F0922"/>
    <w:rsid w:val="000F16CC"/>
    <w:rsid w:val="000F5307"/>
    <w:rsid w:val="00100D4C"/>
    <w:rsid w:val="001016E4"/>
    <w:rsid w:val="0010381E"/>
    <w:rsid w:val="00103A5D"/>
    <w:rsid w:val="0010485E"/>
    <w:rsid w:val="00104860"/>
    <w:rsid w:val="00104DB4"/>
    <w:rsid w:val="00105EBD"/>
    <w:rsid w:val="001071F8"/>
    <w:rsid w:val="00111CA1"/>
    <w:rsid w:val="001131CF"/>
    <w:rsid w:val="00113F18"/>
    <w:rsid w:val="0011585A"/>
    <w:rsid w:val="0011701B"/>
    <w:rsid w:val="00117759"/>
    <w:rsid w:val="001178D8"/>
    <w:rsid w:val="001200DB"/>
    <w:rsid w:val="00121F29"/>
    <w:rsid w:val="001227E0"/>
    <w:rsid w:val="001239C8"/>
    <w:rsid w:val="00125968"/>
    <w:rsid w:val="0012680A"/>
    <w:rsid w:val="00126A1E"/>
    <w:rsid w:val="00127AD9"/>
    <w:rsid w:val="00130A19"/>
    <w:rsid w:val="001323E2"/>
    <w:rsid w:val="00132571"/>
    <w:rsid w:val="00132ECE"/>
    <w:rsid w:val="00133CDA"/>
    <w:rsid w:val="00134C5A"/>
    <w:rsid w:val="00135581"/>
    <w:rsid w:val="00136E05"/>
    <w:rsid w:val="001378CC"/>
    <w:rsid w:val="00137D83"/>
    <w:rsid w:val="00143C19"/>
    <w:rsid w:val="00143D5F"/>
    <w:rsid w:val="00146207"/>
    <w:rsid w:val="001542B4"/>
    <w:rsid w:val="0016035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007"/>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419"/>
    <w:rsid w:val="00211615"/>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577A8"/>
    <w:rsid w:val="00262366"/>
    <w:rsid w:val="00262368"/>
    <w:rsid w:val="0027090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96A6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986"/>
    <w:rsid w:val="002E3A9C"/>
    <w:rsid w:val="002E4E79"/>
    <w:rsid w:val="002F32C8"/>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76FF1"/>
    <w:rsid w:val="00382B6B"/>
    <w:rsid w:val="00383BD1"/>
    <w:rsid w:val="00384D7C"/>
    <w:rsid w:val="00385DD4"/>
    <w:rsid w:val="00386439"/>
    <w:rsid w:val="003913F2"/>
    <w:rsid w:val="00395676"/>
    <w:rsid w:val="0039683A"/>
    <w:rsid w:val="00396A3C"/>
    <w:rsid w:val="003A02C1"/>
    <w:rsid w:val="003A2DA8"/>
    <w:rsid w:val="003A39F7"/>
    <w:rsid w:val="003A4C99"/>
    <w:rsid w:val="003A7B16"/>
    <w:rsid w:val="003B1976"/>
    <w:rsid w:val="003B6677"/>
    <w:rsid w:val="003C1287"/>
    <w:rsid w:val="003C1570"/>
    <w:rsid w:val="003C2112"/>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1A99"/>
    <w:rsid w:val="003F433C"/>
    <w:rsid w:val="003F4444"/>
    <w:rsid w:val="003F5733"/>
    <w:rsid w:val="003F5FD0"/>
    <w:rsid w:val="003F6086"/>
    <w:rsid w:val="00402A02"/>
    <w:rsid w:val="0040368C"/>
    <w:rsid w:val="00403F4F"/>
    <w:rsid w:val="0040406E"/>
    <w:rsid w:val="00404A27"/>
    <w:rsid w:val="00404EDC"/>
    <w:rsid w:val="00406E30"/>
    <w:rsid w:val="00411536"/>
    <w:rsid w:val="0041170E"/>
    <w:rsid w:val="00411F98"/>
    <w:rsid w:val="00412B2E"/>
    <w:rsid w:val="0042073F"/>
    <w:rsid w:val="00423187"/>
    <w:rsid w:val="00424792"/>
    <w:rsid w:val="00424D86"/>
    <w:rsid w:val="004251B1"/>
    <w:rsid w:val="004252D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9745E"/>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0D09"/>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46DA"/>
    <w:rsid w:val="00536EAE"/>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0132"/>
    <w:rsid w:val="0058130F"/>
    <w:rsid w:val="00581449"/>
    <w:rsid w:val="00581532"/>
    <w:rsid w:val="005815E2"/>
    <w:rsid w:val="005827CB"/>
    <w:rsid w:val="00584E81"/>
    <w:rsid w:val="00590CB1"/>
    <w:rsid w:val="00595E56"/>
    <w:rsid w:val="005965AD"/>
    <w:rsid w:val="00597DC2"/>
    <w:rsid w:val="005A07EF"/>
    <w:rsid w:val="005A2D39"/>
    <w:rsid w:val="005B1ACE"/>
    <w:rsid w:val="005B2283"/>
    <w:rsid w:val="005C1B6E"/>
    <w:rsid w:val="005C33A1"/>
    <w:rsid w:val="005C39DC"/>
    <w:rsid w:val="005C669F"/>
    <w:rsid w:val="005C6BDA"/>
    <w:rsid w:val="005D1246"/>
    <w:rsid w:val="005E0123"/>
    <w:rsid w:val="005E151F"/>
    <w:rsid w:val="005E1D56"/>
    <w:rsid w:val="005E5E28"/>
    <w:rsid w:val="005F2E51"/>
    <w:rsid w:val="005F33E1"/>
    <w:rsid w:val="005F3586"/>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2ADA"/>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1D88"/>
    <w:rsid w:val="00662E9D"/>
    <w:rsid w:val="006630D2"/>
    <w:rsid w:val="00665EC4"/>
    <w:rsid w:val="006666B8"/>
    <w:rsid w:val="00671F7A"/>
    <w:rsid w:val="00672603"/>
    <w:rsid w:val="00674332"/>
    <w:rsid w:val="00674349"/>
    <w:rsid w:val="00676F90"/>
    <w:rsid w:val="00680BAE"/>
    <w:rsid w:val="0068146F"/>
    <w:rsid w:val="006818E2"/>
    <w:rsid w:val="00684473"/>
    <w:rsid w:val="006879C3"/>
    <w:rsid w:val="00691200"/>
    <w:rsid w:val="00693D4E"/>
    <w:rsid w:val="00695FF7"/>
    <w:rsid w:val="00696AC6"/>
    <w:rsid w:val="006A03DB"/>
    <w:rsid w:val="006A0D88"/>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15C7"/>
    <w:rsid w:val="006E2A5C"/>
    <w:rsid w:val="006E40D1"/>
    <w:rsid w:val="006E4588"/>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37E8B"/>
    <w:rsid w:val="00740292"/>
    <w:rsid w:val="00740E49"/>
    <w:rsid w:val="007417CF"/>
    <w:rsid w:val="007431C5"/>
    <w:rsid w:val="00744125"/>
    <w:rsid w:val="007457D6"/>
    <w:rsid w:val="00750D05"/>
    <w:rsid w:val="00750EB0"/>
    <w:rsid w:val="00751A94"/>
    <w:rsid w:val="00751C9C"/>
    <w:rsid w:val="00752B0D"/>
    <w:rsid w:val="00753254"/>
    <w:rsid w:val="0075342B"/>
    <w:rsid w:val="00754328"/>
    <w:rsid w:val="00754B44"/>
    <w:rsid w:val="007628CB"/>
    <w:rsid w:val="007633E7"/>
    <w:rsid w:val="00764A6A"/>
    <w:rsid w:val="00765A3F"/>
    <w:rsid w:val="00770445"/>
    <w:rsid w:val="0078113F"/>
    <w:rsid w:val="0078387C"/>
    <w:rsid w:val="007848E2"/>
    <w:rsid w:val="007914CE"/>
    <w:rsid w:val="007962E4"/>
    <w:rsid w:val="0079799F"/>
    <w:rsid w:val="007A23B5"/>
    <w:rsid w:val="007A2479"/>
    <w:rsid w:val="007A68CA"/>
    <w:rsid w:val="007A7578"/>
    <w:rsid w:val="007A7C0F"/>
    <w:rsid w:val="007B05C3"/>
    <w:rsid w:val="007C3386"/>
    <w:rsid w:val="007C5600"/>
    <w:rsid w:val="007D21D5"/>
    <w:rsid w:val="007E077D"/>
    <w:rsid w:val="007E2F21"/>
    <w:rsid w:val="007E3BE9"/>
    <w:rsid w:val="007F1E9C"/>
    <w:rsid w:val="007F254D"/>
    <w:rsid w:val="007F2B6A"/>
    <w:rsid w:val="007F3EB4"/>
    <w:rsid w:val="007F4820"/>
    <w:rsid w:val="007F56EE"/>
    <w:rsid w:val="007F6D5A"/>
    <w:rsid w:val="008002B8"/>
    <w:rsid w:val="0080095F"/>
    <w:rsid w:val="008011B0"/>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170"/>
    <w:rsid w:val="008228A6"/>
    <w:rsid w:val="0082760E"/>
    <w:rsid w:val="00830CDD"/>
    <w:rsid w:val="00831BCD"/>
    <w:rsid w:val="008325A3"/>
    <w:rsid w:val="00833048"/>
    <w:rsid w:val="00833672"/>
    <w:rsid w:val="00835C1F"/>
    <w:rsid w:val="00835FA4"/>
    <w:rsid w:val="00837668"/>
    <w:rsid w:val="00837C8C"/>
    <w:rsid w:val="00843BE3"/>
    <w:rsid w:val="00844A1C"/>
    <w:rsid w:val="008454C1"/>
    <w:rsid w:val="00845950"/>
    <w:rsid w:val="008520A7"/>
    <w:rsid w:val="008526CA"/>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434"/>
    <w:rsid w:val="0089447C"/>
    <w:rsid w:val="00894A7A"/>
    <w:rsid w:val="00894F8A"/>
    <w:rsid w:val="008966E0"/>
    <w:rsid w:val="008A3FEF"/>
    <w:rsid w:val="008A4A76"/>
    <w:rsid w:val="008A69F4"/>
    <w:rsid w:val="008B0370"/>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048"/>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50367"/>
    <w:rsid w:val="00950A55"/>
    <w:rsid w:val="009519F7"/>
    <w:rsid w:val="00953BFF"/>
    <w:rsid w:val="009544FE"/>
    <w:rsid w:val="009565F6"/>
    <w:rsid w:val="009613C6"/>
    <w:rsid w:val="00961BA7"/>
    <w:rsid w:val="00963471"/>
    <w:rsid w:val="009652B9"/>
    <w:rsid w:val="00965E79"/>
    <w:rsid w:val="00967698"/>
    <w:rsid w:val="00967B6D"/>
    <w:rsid w:val="0097164F"/>
    <w:rsid w:val="00971D03"/>
    <w:rsid w:val="00972B2C"/>
    <w:rsid w:val="0097344A"/>
    <w:rsid w:val="0097555D"/>
    <w:rsid w:val="00977913"/>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002D"/>
    <w:rsid w:val="009C1F0D"/>
    <w:rsid w:val="009C280B"/>
    <w:rsid w:val="009C3F6E"/>
    <w:rsid w:val="009C5901"/>
    <w:rsid w:val="009C703E"/>
    <w:rsid w:val="009D0B61"/>
    <w:rsid w:val="009D2085"/>
    <w:rsid w:val="009D26A2"/>
    <w:rsid w:val="009D30B8"/>
    <w:rsid w:val="009D3339"/>
    <w:rsid w:val="009D46ED"/>
    <w:rsid w:val="009D7157"/>
    <w:rsid w:val="009E27C2"/>
    <w:rsid w:val="009E2BB9"/>
    <w:rsid w:val="009E3217"/>
    <w:rsid w:val="009F0BDC"/>
    <w:rsid w:val="009F21A2"/>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0871"/>
    <w:rsid w:val="00AB2059"/>
    <w:rsid w:val="00AB3F31"/>
    <w:rsid w:val="00AB4812"/>
    <w:rsid w:val="00AC1EE3"/>
    <w:rsid w:val="00AC27F2"/>
    <w:rsid w:val="00AC3A3F"/>
    <w:rsid w:val="00AC661B"/>
    <w:rsid w:val="00AC6E22"/>
    <w:rsid w:val="00AC733C"/>
    <w:rsid w:val="00AD03C6"/>
    <w:rsid w:val="00AD24A5"/>
    <w:rsid w:val="00AD381A"/>
    <w:rsid w:val="00AD58E6"/>
    <w:rsid w:val="00AD5D4C"/>
    <w:rsid w:val="00AE0FF0"/>
    <w:rsid w:val="00AE251D"/>
    <w:rsid w:val="00AE2FCB"/>
    <w:rsid w:val="00AE4D94"/>
    <w:rsid w:val="00AE5493"/>
    <w:rsid w:val="00AE6BCF"/>
    <w:rsid w:val="00AE700F"/>
    <w:rsid w:val="00AF20C4"/>
    <w:rsid w:val="00AF31AB"/>
    <w:rsid w:val="00AF3B6E"/>
    <w:rsid w:val="00AF3C2C"/>
    <w:rsid w:val="00AF56F2"/>
    <w:rsid w:val="00AF7B25"/>
    <w:rsid w:val="00B002CC"/>
    <w:rsid w:val="00B01ACF"/>
    <w:rsid w:val="00B01E61"/>
    <w:rsid w:val="00B03387"/>
    <w:rsid w:val="00B065CE"/>
    <w:rsid w:val="00B07DC1"/>
    <w:rsid w:val="00B12998"/>
    <w:rsid w:val="00B1349F"/>
    <w:rsid w:val="00B168B2"/>
    <w:rsid w:val="00B17C55"/>
    <w:rsid w:val="00B17D34"/>
    <w:rsid w:val="00B218E3"/>
    <w:rsid w:val="00B22D73"/>
    <w:rsid w:val="00B23A08"/>
    <w:rsid w:val="00B26B47"/>
    <w:rsid w:val="00B278EB"/>
    <w:rsid w:val="00B312E9"/>
    <w:rsid w:val="00B33D4C"/>
    <w:rsid w:val="00B3573E"/>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432E"/>
    <w:rsid w:val="00B55DC5"/>
    <w:rsid w:val="00B5609E"/>
    <w:rsid w:val="00B56677"/>
    <w:rsid w:val="00B56723"/>
    <w:rsid w:val="00B56CBE"/>
    <w:rsid w:val="00B61E2B"/>
    <w:rsid w:val="00B6257F"/>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19A7"/>
    <w:rsid w:val="00B824FE"/>
    <w:rsid w:val="00B82EE3"/>
    <w:rsid w:val="00B8353D"/>
    <w:rsid w:val="00B84FD8"/>
    <w:rsid w:val="00B859AD"/>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3581"/>
    <w:rsid w:val="00BC51AD"/>
    <w:rsid w:val="00BC66FE"/>
    <w:rsid w:val="00BD1723"/>
    <w:rsid w:val="00BD1D68"/>
    <w:rsid w:val="00BD25E9"/>
    <w:rsid w:val="00BD30ED"/>
    <w:rsid w:val="00BD5189"/>
    <w:rsid w:val="00BD747A"/>
    <w:rsid w:val="00BE267E"/>
    <w:rsid w:val="00BE5449"/>
    <w:rsid w:val="00BE5A67"/>
    <w:rsid w:val="00BF08DD"/>
    <w:rsid w:val="00BF3B6A"/>
    <w:rsid w:val="00BF49C7"/>
    <w:rsid w:val="00BF50D4"/>
    <w:rsid w:val="00C0318D"/>
    <w:rsid w:val="00C07168"/>
    <w:rsid w:val="00C07C4E"/>
    <w:rsid w:val="00C12B99"/>
    <w:rsid w:val="00C15011"/>
    <w:rsid w:val="00C15624"/>
    <w:rsid w:val="00C15BC0"/>
    <w:rsid w:val="00C20AA1"/>
    <w:rsid w:val="00C210CC"/>
    <w:rsid w:val="00C21D29"/>
    <w:rsid w:val="00C21D57"/>
    <w:rsid w:val="00C22083"/>
    <w:rsid w:val="00C239F6"/>
    <w:rsid w:val="00C24C0A"/>
    <w:rsid w:val="00C25608"/>
    <w:rsid w:val="00C25E36"/>
    <w:rsid w:val="00C26F81"/>
    <w:rsid w:val="00C3027A"/>
    <w:rsid w:val="00C320A2"/>
    <w:rsid w:val="00C3274C"/>
    <w:rsid w:val="00C37EA6"/>
    <w:rsid w:val="00C40B7E"/>
    <w:rsid w:val="00C43E84"/>
    <w:rsid w:val="00C45CD5"/>
    <w:rsid w:val="00C46423"/>
    <w:rsid w:val="00C467A3"/>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767D1"/>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614"/>
    <w:rsid w:val="00CD1B01"/>
    <w:rsid w:val="00CD1D5B"/>
    <w:rsid w:val="00CD1E6E"/>
    <w:rsid w:val="00CD341E"/>
    <w:rsid w:val="00CD4791"/>
    <w:rsid w:val="00CD5187"/>
    <w:rsid w:val="00CD7815"/>
    <w:rsid w:val="00CE3E78"/>
    <w:rsid w:val="00CE40B1"/>
    <w:rsid w:val="00CE6775"/>
    <w:rsid w:val="00CE67D7"/>
    <w:rsid w:val="00CE68DB"/>
    <w:rsid w:val="00CE7256"/>
    <w:rsid w:val="00CE75F6"/>
    <w:rsid w:val="00CE76FC"/>
    <w:rsid w:val="00CE77E0"/>
    <w:rsid w:val="00CE7F23"/>
    <w:rsid w:val="00CF1AFB"/>
    <w:rsid w:val="00CF22CE"/>
    <w:rsid w:val="00CF29E9"/>
    <w:rsid w:val="00CF44B9"/>
    <w:rsid w:val="00CF6B5C"/>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533"/>
    <w:rsid w:val="00D91F0F"/>
    <w:rsid w:val="00D930B1"/>
    <w:rsid w:val="00D932DC"/>
    <w:rsid w:val="00D934E9"/>
    <w:rsid w:val="00D94FEE"/>
    <w:rsid w:val="00D9553B"/>
    <w:rsid w:val="00DA046D"/>
    <w:rsid w:val="00DA269E"/>
    <w:rsid w:val="00DA4798"/>
    <w:rsid w:val="00DA4EC8"/>
    <w:rsid w:val="00DA552F"/>
    <w:rsid w:val="00DA6A48"/>
    <w:rsid w:val="00DB0B42"/>
    <w:rsid w:val="00DB3E84"/>
    <w:rsid w:val="00DB4069"/>
    <w:rsid w:val="00DC1DFC"/>
    <w:rsid w:val="00DC2054"/>
    <w:rsid w:val="00DC2472"/>
    <w:rsid w:val="00DC33F5"/>
    <w:rsid w:val="00DC3648"/>
    <w:rsid w:val="00DC3E55"/>
    <w:rsid w:val="00DC4711"/>
    <w:rsid w:val="00DC7DFF"/>
    <w:rsid w:val="00DC7F23"/>
    <w:rsid w:val="00DD0C12"/>
    <w:rsid w:val="00DD1E6F"/>
    <w:rsid w:val="00DD4E22"/>
    <w:rsid w:val="00DD6562"/>
    <w:rsid w:val="00DD6D3A"/>
    <w:rsid w:val="00DE0F8A"/>
    <w:rsid w:val="00DE23E5"/>
    <w:rsid w:val="00DE495D"/>
    <w:rsid w:val="00DE4C4D"/>
    <w:rsid w:val="00DE4DCD"/>
    <w:rsid w:val="00DE524F"/>
    <w:rsid w:val="00DE66BE"/>
    <w:rsid w:val="00DF3F29"/>
    <w:rsid w:val="00DF421A"/>
    <w:rsid w:val="00E002E2"/>
    <w:rsid w:val="00E0321A"/>
    <w:rsid w:val="00E03223"/>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3EB"/>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E350E"/>
    <w:rsid w:val="00EF2CE0"/>
    <w:rsid w:val="00EF3C6F"/>
    <w:rsid w:val="00F01108"/>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360B"/>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87B7F"/>
    <w:rsid w:val="00F9384E"/>
    <w:rsid w:val="00F96852"/>
    <w:rsid w:val="00FA0B1A"/>
    <w:rsid w:val="00FA1758"/>
    <w:rsid w:val="00FA17B6"/>
    <w:rsid w:val="00FA470B"/>
    <w:rsid w:val="00FB059C"/>
    <w:rsid w:val="00FB0769"/>
    <w:rsid w:val="00FB0C45"/>
    <w:rsid w:val="00FB3EE3"/>
    <w:rsid w:val="00FB40C7"/>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6E9F"/>
    <w:rsid w:val="00FD7C40"/>
    <w:rsid w:val="00FE0356"/>
    <w:rsid w:val="00FE0FDE"/>
    <w:rsid w:val="00FE1089"/>
    <w:rsid w:val="00FE2943"/>
    <w:rsid w:val="00FE3CDC"/>
    <w:rsid w:val="00FE4239"/>
    <w:rsid w:val="00FF1E94"/>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aliases w:val="Error-Fußnotenzeichen5,Error-Fußnotenzeichen6,Error-Fußnotenzeichen3,Error-Fußnot..."/>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F3360B"/>
    <w:pPr>
      <w:spacing w:before="0"/>
      <w:ind w:left="3827" w:hanging="2268"/>
    </w:pPr>
    <w:rPr>
      <w:sz w:val="16"/>
      <w:szCs w:val="16"/>
    </w:rPr>
  </w:style>
  <w:style w:type="paragraph" w:customStyle="1" w:styleId="CEONormal">
    <w:name w:val="CEO_Normal"/>
    <w:autoRedefine/>
    <w:rsid w:val="00F3360B"/>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F3360B"/>
    <w:pPr>
      <w:spacing w:before="0" w:after="480"/>
    </w:pPr>
  </w:style>
  <w:style w:type="paragraph" w:customStyle="1" w:styleId="CEODocTitle2lines-First">
    <w:name w:val="CEO_DocTitle2lines-First"/>
    <w:basedOn w:val="CEODocTitle-1line"/>
    <w:next w:val="Normal"/>
    <w:rsid w:val="00F3360B"/>
    <w:pPr>
      <w:spacing w:after="0"/>
    </w:pPr>
  </w:style>
  <w:style w:type="paragraph" w:customStyle="1" w:styleId="CEODocTitle-1line">
    <w:name w:val="CEO_DocTitle-1line"/>
    <w:basedOn w:val="Normal"/>
    <w:next w:val="Normal"/>
    <w:rsid w:val="00F3360B"/>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F3360B"/>
    <w:pPr>
      <w:keepNext/>
      <w:keepLines/>
      <w:numPr>
        <w:numId w:val="0"/>
      </w:numPr>
      <w:spacing w:before="480"/>
    </w:pPr>
  </w:style>
  <w:style w:type="paragraph" w:customStyle="1" w:styleId="CEOcontribution-H123">
    <w:name w:val="CEO_contribution-H123"/>
    <w:basedOn w:val="Normal"/>
    <w:rsid w:val="00F3360B"/>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F3360B"/>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F3360B"/>
    <w:pPr>
      <w:spacing w:after="120"/>
      <w:ind w:left="743"/>
    </w:pPr>
    <w:rPr>
      <w:b/>
      <w:bCs/>
      <w:iCs/>
    </w:rPr>
  </w:style>
  <w:style w:type="paragraph" w:customStyle="1" w:styleId="CEOSourceTitle">
    <w:name w:val="CEO_Source_Title"/>
    <w:basedOn w:val="Normal"/>
    <w:rsid w:val="00F3360B"/>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F3360B"/>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F3360B"/>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F3360B"/>
    <w:pPr>
      <w:numPr>
        <w:numId w:val="0"/>
      </w:numPr>
      <w:ind w:right="12"/>
      <w:jc w:val="right"/>
    </w:pPr>
  </w:style>
  <w:style w:type="paragraph" w:customStyle="1" w:styleId="CEODocDates">
    <w:name w:val="CEO_DocDates"/>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F3360B"/>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F3360B"/>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F3360B"/>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F3360B"/>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F3360B"/>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F3360B"/>
    <w:pPr>
      <w:numPr>
        <w:numId w:val="0"/>
      </w:numPr>
      <w:spacing w:before="360"/>
    </w:pPr>
    <w:rPr>
      <w:b w:val="0"/>
    </w:rPr>
  </w:style>
  <w:style w:type="paragraph" w:customStyle="1" w:styleId="CEOParagraph111">
    <w:name w:val="CEO_Paragraph1.1.1"/>
    <w:basedOn w:val="Heading3"/>
    <w:rsid w:val="00F3360B"/>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F3360B"/>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F3360B"/>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F3360B"/>
    <w:pPr>
      <w:numPr>
        <w:numId w:val="10"/>
      </w:numPr>
    </w:pPr>
  </w:style>
  <w:style w:type="paragraph" w:customStyle="1" w:styleId="CEOMeetingDates">
    <w:name w:val="CEO_MeetingDates"/>
    <w:basedOn w:val="Normal"/>
    <w:rsid w:val="00F3360B"/>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F3360B"/>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F3360B"/>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F3360B"/>
    <w:pPr>
      <w:tabs>
        <w:tab w:val="left" w:pos="2240"/>
      </w:tabs>
      <w:ind w:left="2240" w:hanging="2240"/>
    </w:pPr>
    <w:rPr>
      <w:lang w:val="fr-CH"/>
    </w:rPr>
  </w:style>
  <w:style w:type="paragraph" w:customStyle="1" w:styleId="CEOQuestionDetails">
    <w:name w:val="CEO_QuestionDetails"/>
    <w:basedOn w:val="CEOOriginalLanguage"/>
    <w:rsid w:val="00F3360B"/>
    <w:rPr>
      <w:b w:val="0"/>
      <w:bCs/>
    </w:rPr>
  </w:style>
  <w:style w:type="paragraph" w:customStyle="1" w:styleId="CEOSectorName">
    <w:name w:val="CEO_SectorName"/>
    <w:basedOn w:val="Normal"/>
    <w:rsid w:val="00F3360B"/>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F3360B"/>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F3360B"/>
    <w:pPr>
      <w:spacing w:before="0"/>
    </w:pPr>
  </w:style>
  <w:style w:type="paragraph" w:customStyle="1" w:styleId="CEOSourceTitleDetails">
    <w:name w:val="CEO_SourceTitleDetails"/>
    <w:basedOn w:val="Normal"/>
    <w:rsid w:val="00F3360B"/>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F3360B"/>
    <w:pPr>
      <w:spacing w:before="120"/>
      <w:jc w:val="center"/>
    </w:pPr>
  </w:style>
  <w:style w:type="paragraph" w:customStyle="1" w:styleId="CEOindent-endash">
    <w:name w:val="CEO_indent-endash"/>
    <w:basedOn w:val="CEOEmdashList"/>
    <w:rsid w:val="00F3360B"/>
    <w:pPr>
      <w:numPr>
        <w:numId w:val="11"/>
      </w:numPr>
    </w:pPr>
  </w:style>
  <w:style w:type="paragraph" w:customStyle="1" w:styleId="CEOEmdashList">
    <w:name w:val="CEO_EmdashList"/>
    <w:basedOn w:val="CEONormal"/>
    <w:rsid w:val="00F3360B"/>
  </w:style>
  <w:style w:type="paragraph" w:customStyle="1" w:styleId="CEOConsidering">
    <w:name w:val="CEO_Considering"/>
    <w:basedOn w:val="CEONormal"/>
    <w:rsid w:val="00F3360B"/>
    <w:pPr>
      <w:keepNext/>
      <w:keepLines/>
      <w:spacing w:after="120"/>
      <w:ind w:left="851"/>
    </w:pPr>
    <w:rPr>
      <w:i/>
      <w:iCs/>
    </w:rPr>
  </w:style>
  <w:style w:type="paragraph" w:customStyle="1" w:styleId="CEOEndBar">
    <w:name w:val="CEO_EndBar"/>
    <w:basedOn w:val="CEONormal"/>
    <w:rsid w:val="00F3360B"/>
    <w:pPr>
      <w:spacing w:after="120"/>
      <w:jc w:val="center"/>
    </w:pPr>
  </w:style>
  <w:style w:type="paragraph" w:customStyle="1" w:styleId="CEOExtract">
    <w:name w:val="CEO_Extract"/>
    <w:basedOn w:val="CEONormal"/>
    <w:rsid w:val="00F3360B"/>
    <w:pPr>
      <w:keepNext/>
      <w:keepLines/>
      <w:spacing w:after="120"/>
    </w:pPr>
  </w:style>
  <w:style w:type="paragraph" w:customStyle="1" w:styleId="CEOHeader">
    <w:name w:val="CEO_Header"/>
    <w:basedOn w:val="Normal"/>
    <w:rsid w:val="00F3360B"/>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F3360B"/>
    <w:pPr>
      <w:spacing w:after="120"/>
      <w:ind w:left="426"/>
    </w:pPr>
  </w:style>
  <w:style w:type="paragraph" w:customStyle="1" w:styleId="CEOLogo">
    <w:name w:val="CEO_Logo"/>
    <w:basedOn w:val="CEONormal"/>
    <w:rsid w:val="00F3360B"/>
    <w:pPr>
      <w:spacing w:before="0"/>
      <w:jc w:val="right"/>
    </w:pPr>
  </w:style>
  <w:style w:type="paragraph" w:customStyle="1" w:styleId="CEOMeetingSTG">
    <w:name w:val="CEO_MeetingSTG"/>
    <w:basedOn w:val="CEOMeetingName"/>
    <w:rsid w:val="00F3360B"/>
    <w:pPr>
      <w:spacing w:before="120" w:after="120"/>
    </w:pPr>
  </w:style>
  <w:style w:type="paragraph" w:customStyle="1" w:styleId="CEORevision">
    <w:name w:val="CEO_Revision"/>
    <w:basedOn w:val="CEONormal"/>
    <w:autoRedefine/>
    <w:rsid w:val="00F3360B"/>
    <w:pPr>
      <w:tabs>
        <w:tab w:val="left" w:pos="1928"/>
      </w:tabs>
    </w:pPr>
    <w:rPr>
      <w:b/>
      <w:sz w:val="18"/>
      <w:szCs w:val="18"/>
    </w:rPr>
  </w:style>
  <w:style w:type="paragraph" w:customStyle="1" w:styleId="CEORevisionNote">
    <w:name w:val="CEO_RevisionNote"/>
    <w:basedOn w:val="CEORevision"/>
    <w:autoRedefine/>
    <w:rsid w:val="00F3360B"/>
    <w:pPr>
      <w:spacing w:after="120"/>
    </w:pPr>
    <w:rPr>
      <w:b w:val="0"/>
      <w:i/>
      <w:iCs/>
      <w:lang w:val="en-US"/>
    </w:rPr>
  </w:style>
  <w:style w:type="paragraph" w:customStyle="1" w:styleId="CEORequiredAction">
    <w:name w:val="CEO_RequiredAction"/>
    <w:basedOn w:val="CEONormal"/>
    <w:rsid w:val="00F3360B"/>
    <w:pPr>
      <w:tabs>
        <w:tab w:val="left" w:pos="1928"/>
      </w:tabs>
    </w:pPr>
    <w:rPr>
      <w:b/>
    </w:rPr>
  </w:style>
  <w:style w:type="paragraph" w:customStyle="1" w:styleId="CEOAnnex">
    <w:name w:val="CEO_Annex"/>
    <w:basedOn w:val="CEOSignatureTitle"/>
    <w:rsid w:val="00F3360B"/>
    <w:pPr>
      <w:spacing w:before="1000"/>
    </w:pPr>
  </w:style>
  <w:style w:type="paragraph" w:customStyle="1" w:styleId="CEOEndashListNoIndent">
    <w:name w:val="CEO_EndashListNoIndent"/>
    <w:basedOn w:val="CEONormal"/>
    <w:rsid w:val="00F3360B"/>
    <w:pPr>
      <w:numPr>
        <w:numId w:val="4"/>
      </w:numPr>
    </w:pPr>
  </w:style>
  <w:style w:type="paragraph" w:customStyle="1" w:styleId="CEOFootnoteText">
    <w:name w:val="CEO_Footnote Text"/>
    <w:basedOn w:val="CEONormal"/>
    <w:rsid w:val="00F3360B"/>
    <w:pPr>
      <w:tabs>
        <w:tab w:val="left" w:pos="357"/>
      </w:tabs>
      <w:spacing w:before="0"/>
    </w:pPr>
  </w:style>
  <w:style w:type="paragraph" w:customStyle="1" w:styleId="CEOHeading1-Numbered">
    <w:name w:val="CEO_Heading1-Numbered"/>
    <w:basedOn w:val="CEONormal"/>
    <w:rsid w:val="00F3360B"/>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F3360B"/>
    <w:pPr>
      <w:numPr>
        <w:numId w:val="0"/>
      </w:numPr>
    </w:pPr>
    <w:rPr>
      <w:lang w:val="fr-CH"/>
    </w:rPr>
  </w:style>
  <w:style w:type="paragraph" w:customStyle="1" w:styleId="CEOIndent1-abc">
    <w:name w:val="CEO_Indent1-abc"/>
    <w:basedOn w:val="CEONormal"/>
    <w:rsid w:val="00F3360B"/>
    <w:pPr>
      <w:numPr>
        <w:numId w:val="6"/>
      </w:numPr>
      <w:spacing w:before="60" w:after="60"/>
      <w:ind w:right="709"/>
    </w:pPr>
  </w:style>
  <w:style w:type="paragraph" w:customStyle="1" w:styleId="CEOAbstract">
    <w:name w:val="CEOAbstract"/>
    <w:rsid w:val="00F3360B"/>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F3360B"/>
    <w:pPr>
      <w:spacing w:before="720"/>
    </w:pPr>
  </w:style>
  <w:style w:type="paragraph" w:customStyle="1" w:styleId="CEOSmall">
    <w:name w:val="CEO_Small"/>
    <w:basedOn w:val="CEONormal"/>
    <w:rsid w:val="00F3360B"/>
  </w:style>
  <w:style w:type="paragraph" w:customStyle="1" w:styleId="CEOStartNextPage">
    <w:name w:val="CEO_StartNextPage"/>
    <w:next w:val="CEONormal"/>
    <w:rsid w:val="00F3360B"/>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F3360B"/>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F3360B"/>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F3360B"/>
    <w:pPr>
      <w:tabs>
        <w:tab w:val="left" w:pos="1928"/>
      </w:tabs>
    </w:pPr>
    <w:rPr>
      <w:b/>
    </w:rPr>
  </w:style>
  <w:style w:type="paragraph" w:customStyle="1" w:styleId="CEOActionRequiredDetails">
    <w:name w:val="CEO_ActionRequiredDetails"/>
    <w:rsid w:val="00F3360B"/>
    <w:pPr>
      <w:spacing w:before="120"/>
    </w:pPr>
    <w:rPr>
      <w:rFonts w:ascii="Verdana" w:hAnsi="Verdana"/>
      <w:bCs/>
      <w:sz w:val="19"/>
      <w:szCs w:val="19"/>
      <w:lang w:val="en-GB" w:eastAsia="en-US"/>
    </w:rPr>
  </w:style>
  <w:style w:type="paragraph" w:styleId="ListParagraph">
    <w:name w:val="List Paragraph"/>
    <w:basedOn w:val="Normal"/>
    <w:uiPriority w:val="34"/>
    <w:qFormat/>
    <w:rsid w:val="00F3360B"/>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F3360B"/>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F3360B"/>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rsid w:val="00F3360B"/>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iPriority w:val="99"/>
    <w:unhideWhenUsed/>
    <w:rsid w:val="00F3360B"/>
    <w:rPr>
      <w:sz w:val="18"/>
      <w:szCs w:val="18"/>
    </w:rPr>
  </w:style>
  <w:style w:type="paragraph" w:styleId="CommentText">
    <w:name w:val="annotation text"/>
    <w:basedOn w:val="Normal"/>
    <w:link w:val="CommentTextChar"/>
    <w:uiPriority w:val="99"/>
    <w:unhideWhenUsed/>
    <w:rsid w:val="00F3360B"/>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uiPriority w:val="99"/>
    <w:rsid w:val="00F3360B"/>
    <w:rPr>
      <w:rFonts w:eastAsia="Times New Roman"/>
      <w:sz w:val="24"/>
      <w:szCs w:val="24"/>
      <w:lang w:val="x-none" w:eastAsia="x-none"/>
    </w:rPr>
  </w:style>
  <w:style w:type="paragraph" w:styleId="CommentSubject">
    <w:name w:val="annotation subject"/>
    <w:basedOn w:val="CommentText"/>
    <w:next w:val="CommentText"/>
    <w:link w:val="CommentSubjectChar"/>
    <w:uiPriority w:val="99"/>
    <w:unhideWhenUsed/>
    <w:rsid w:val="00F3360B"/>
    <w:rPr>
      <w:b/>
      <w:bCs/>
    </w:rPr>
  </w:style>
  <w:style w:type="character" w:customStyle="1" w:styleId="CommentSubjectChar">
    <w:name w:val="Comment Subject Char"/>
    <w:basedOn w:val="CommentTextChar"/>
    <w:link w:val="CommentSubject"/>
    <w:uiPriority w:val="99"/>
    <w:rsid w:val="00F3360B"/>
    <w:rPr>
      <w:rFonts w:eastAsia="Times New Roman"/>
      <w:b/>
      <w:bCs/>
      <w:sz w:val="24"/>
      <w:szCs w:val="24"/>
      <w:lang w:val="x-none" w:eastAsia="x-none"/>
    </w:rPr>
  </w:style>
  <w:style w:type="paragraph" w:customStyle="1" w:styleId="Tt">
    <w:name w:val="Tt"/>
    <w:basedOn w:val="Normal"/>
    <w:rsid w:val="00F3360B"/>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F3360B"/>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F3360B"/>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F3360B"/>
    <w:pPr>
      <w:ind w:left="1588"/>
    </w:pPr>
  </w:style>
  <w:style w:type="paragraph" w:customStyle="1" w:styleId="ver">
    <w:name w:val="ver"/>
    <w:basedOn w:val="enumlev3"/>
    <w:rsid w:val="00F3360B"/>
    <w:pPr>
      <w:numPr>
        <w:numId w:val="17"/>
      </w:numPr>
    </w:pPr>
    <w:rPr>
      <w:lang w:val="es-ES_tradnl"/>
    </w:rPr>
  </w:style>
  <w:style w:type="paragraph" w:styleId="TOCHeading">
    <w:name w:val="TOC Heading"/>
    <w:basedOn w:val="Heading1"/>
    <w:next w:val="Normal"/>
    <w:uiPriority w:val="39"/>
    <w:unhideWhenUsed/>
    <w:qFormat/>
    <w:rsid w:val="00F3360B"/>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F3360B"/>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F3360B"/>
    <w:rPr>
      <w:rFonts w:ascii="Calibri" w:hAnsi="Calibri"/>
      <w:i/>
      <w:iCs/>
      <w:spacing w:val="-4"/>
      <w:kern w:val="21"/>
      <w:sz w:val="17"/>
      <w:szCs w:val="17"/>
      <w:lang w:val="x-none" w:eastAsia="x-none"/>
    </w:rPr>
  </w:style>
  <w:style w:type="paragraph" w:customStyle="1" w:styleId="FiguresandTables">
    <w:name w:val="Figures and Tables"/>
    <w:basedOn w:val="Normal"/>
    <w:qFormat/>
    <w:rsid w:val="00F3360B"/>
    <w:pPr>
      <w:keepNext/>
      <w:tabs>
        <w:tab w:val="left" w:pos="794"/>
      </w:tabs>
      <w:spacing w:before="240" w:after="120"/>
      <w:jc w:val="center"/>
    </w:pPr>
    <w:rPr>
      <w:rFonts w:ascii="Verdana" w:eastAsia="SimHei" w:hAnsi="Verdana" w:cs="Simplified Arabic"/>
      <w:b/>
      <w:sz w:val="18"/>
      <w:szCs w:val="28"/>
      <w:lang w:val="ru-R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aliases w:val="Error-Fußnotenzeichen5,Error-Fußnotenzeichen6,Error-Fußnotenzeichen3,Error-Fußnot..."/>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F3360B"/>
    <w:pPr>
      <w:spacing w:before="0"/>
      <w:ind w:left="3827" w:hanging="2268"/>
    </w:pPr>
    <w:rPr>
      <w:sz w:val="16"/>
      <w:szCs w:val="16"/>
    </w:rPr>
  </w:style>
  <w:style w:type="paragraph" w:customStyle="1" w:styleId="CEONormal">
    <w:name w:val="CEO_Normal"/>
    <w:autoRedefine/>
    <w:rsid w:val="00F3360B"/>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F3360B"/>
    <w:pPr>
      <w:spacing w:before="0" w:after="480"/>
    </w:pPr>
  </w:style>
  <w:style w:type="paragraph" w:customStyle="1" w:styleId="CEODocTitle2lines-First">
    <w:name w:val="CEO_DocTitle2lines-First"/>
    <w:basedOn w:val="CEODocTitle-1line"/>
    <w:next w:val="Normal"/>
    <w:rsid w:val="00F3360B"/>
    <w:pPr>
      <w:spacing w:after="0"/>
    </w:pPr>
  </w:style>
  <w:style w:type="paragraph" w:customStyle="1" w:styleId="CEODocTitle-1line">
    <w:name w:val="CEO_DocTitle-1line"/>
    <w:basedOn w:val="Normal"/>
    <w:next w:val="Normal"/>
    <w:rsid w:val="00F3360B"/>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F3360B"/>
    <w:pPr>
      <w:keepNext/>
      <w:keepLines/>
      <w:numPr>
        <w:numId w:val="0"/>
      </w:numPr>
      <w:spacing w:before="480"/>
    </w:pPr>
  </w:style>
  <w:style w:type="paragraph" w:customStyle="1" w:styleId="CEOcontribution-H123">
    <w:name w:val="CEO_contribution-H123"/>
    <w:basedOn w:val="Normal"/>
    <w:rsid w:val="00F3360B"/>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F3360B"/>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F3360B"/>
    <w:pPr>
      <w:spacing w:after="120"/>
      <w:ind w:left="743"/>
    </w:pPr>
    <w:rPr>
      <w:b/>
      <w:bCs/>
      <w:iCs/>
    </w:rPr>
  </w:style>
  <w:style w:type="paragraph" w:customStyle="1" w:styleId="CEOSourceTitle">
    <w:name w:val="CEO_Source_Title"/>
    <w:basedOn w:val="Normal"/>
    <w:rsid w:val="00F3360B"/>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F3360B"/>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F3360B"/>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F3360B"/>
    <w:pPr>
      <w:numPr>
        <w:numId w:val="0"/>
      </w:numPr>
      <w:ind w:right="12"/>
      <w:jc w:val="right"/>
    </w:pPr>
  </w:style>
  <w:style w:type="paragraph" w:customStyle="1" w:styleId="CEODocDates">
    <w:name w:val="CEO_DocDates"/>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F3360B"/>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F3360B"/>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F3360B"/>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F3360B"/>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F3360B"/>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F3360B"/>
    <w:pPr>
      <w:numPr>
        <w:numId w:val="0"/>
      </w:numPr>
      <w:spacing w:before="360"/>
    </w:pPr>
    <w:rPr>
      <w:b w:val="0"/>
    </w:rPr>
  </w:style>
  <w:style w:type="paragraph" w:customStyle="1" w:styleId="CEOParagraph111">
    <w:name w:val="CEO_Paragraph1.1.1"/>
    <w:basedOn w:val="Heading3"/>
    <w:rsid w:val="00F3360B"/>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F3360B"/>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F3360B"/>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F3360B"/>
    <w:pPr>
      <w:numPr>
        <w:numId w:val="10"/>
      </w:numPr>
    </w:pPr>
  </w:style>
  <w:style w:type="paragraph" w:customStyle="1" w:styleId="CEOMeetingDates">
    <w:name w:val="CEO_MeetingDates"/>
    <w:basedOn w:val="Normal"/>
    <w:rsid w:val="00F3360B"/>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F3360B"/>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F3360B"/>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F3360B"/>
    <w:pPr>
      <w:tabs>
        <w:tab w:val="left" w:pos="2240"/>
      </w:tabs>
      <w:ind w:left="2240" w:hanging="2240"/>
    </w:pPr>
    <w:rPr>
      <w:lang w:val="fr-CH"/>
    </w:rPr>
  </w:style>
  <w:style w:type="paragraph" w:customStyle="1" w:styleId="CEOQuestionDetails">
    <w:name w:val="CEO_QuestionDetails"/>
    <w:basedOn w:val="CEOOriginalLanguage"/>
    <w:rsid w:val="00F3360B"/>
    <w:rPr>
      <w:b w:val="0"/>
      <w:bCs/>
    </w:rPr>
  </w:style>
  <w:style w:type="paragraph" w:customStyle="1" w:styleId="CEOSectorName">
    <w:name w:val="CEO_SectorName"/>
    <w:basedOn w:val="Normal"/>
    <w:rsid w:val="00F3360B"/>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F3360B"/>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F3360B"/>
    <w:pPr>
      <w:spacing w:before="0"/>
    </w:pPr>
  </w:style>
  <w:style w:type="paragraph" w:customStyle="1" w:styleId="CEOSourceTitleDetails">
    <w:name w:val="CEO_SourceTitleDetails"/>
    <w:basedOn w:val="Normal"/>
    <w:rsid w:val="00F3360B"/>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F3360B"/>
    <w:pPr>
      <w:spacing w:before="120"/>
      <w:jc w:val="center"/>
    </w:pPr>
  </w:style>
  <w:style w:type="paragraph" w:customStyle="1" w:styleId="CEOindent-endash">
    <w:name w:val="CEO_indent-endash"/>
    <w:basedOn w:val="CEOEmdashList"/>
    <w:rsid w:val="00F3360B"/>
    <w:pPr>
      <w:numPr>
        <w:numId w:val="11"/>
      </w:numPr>
    </w:pPr>
  </w:style>
  <w:style w:type="paragraph" w:customStyle="1" w:styleId="CEOEmdashList">
    <w:name w:val="CEO_EmdashList"/>
    <w:basedOn w:val="CEONormal"/>
    <w:rsid w:val="00F3360B"/>
  </w:style>
  <w:style w:type="paragraph" w:customStyle="1" w:styleId="CEOConsidering">
    <w:name w:val="CEO_Considering"/>
    <w:basedOn w:val="CEONormal"/>
    <w:rsid w:val="00F3360B"/>
    <w:pPr>
      <w:keepNext/>
      <w:keepLines/>
      <w:spacing w:after="120"/>
      <w:ind w:left="851"/>
    </w:pPr>
    <w:rPr>
      <w:i/>
      <w:iCs/>
    </w:rPr>
  </w:style>
  <w:style w:type="paragraph" w:customStyle="1" w:styleId="CEOEndBar">
    <w:name w:val="CEO_EndBar"/>
    <w:basedOn w:val="CEONormal"/>
    <w:rsid w:val="00F3360B"/>
    <w:pPr>
      <w:spacing w:after="120"/>
      <w:jc w:val="center"/>
    </w:pPr>
  </w:style>
  <w:style w:type="paragraph" w:customStyle="1" w:styleId="CEOExtract">
    <w:name w:val="CEO_Extract"/>
    <w:basedOn w:val="CEONormal"/>
    <w:rsid w:val="00F3360B"/>
    <w:pPr>
      <w:keepNext/>
      <w:keepLines/>
      <w:spacing w:after="120"/>
    </w:pPr>
  </w:style>
  <w:style w:type="paragraph" w:customStyle="1" w:styleId="CEOHeader">
    <w:name w:val="CEO_Header"/>
    <w:basedOn w:val="Normal"/>
    <w:rsid w:val="00F3360B"/>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F3360B"/>
    <w:pPr>
      <w:spacing w:after="120"/>
      <w:ind w:left="426"/>
    </w:pPr>
  </w:style>
  <w:style w:type="paragraph" w:customStyle="1" w:styleId="CEOLogo">
    <w:name w:val="CEO_Logo"/>
    <w:basedOn w:val="CEONormal"/>
    <w:rsid w:val="00F3360B"/>
    <w:pPr>
      <w:spacing w:before="0"/>
      <w:jc w:val="right"/>
    </w:pPr>
  </w:style>
  <w:style w:type="paragraph" w:customStyle="1" w:styleId="CEOMeetingSTG">
    <w:name w:val="CEO_MeetingSTG"/>
    <w:basedOn w:val="CEOMeetingName"/>
    <w:rsid w:val="00F3360B"/>
    <w:pPr>
      <w:spacing w:before="120" w:after="120"/>
    </w:pPr>
  </w:style>
  <w:style w:type="paragraph" w:customStyle="1" w:styleId="CEORevision">
    <w:name w:val="CEO_Revision"/>
    <w:basedOn w:val="CEONormal"/>
    <w:autoRedefine/>
    <w:rsid w:val="00F3360B"/>
    <w:pPr>
      <w:tabs>
        <w:tab w:val="left" w:pos="1928"/>
      </w:tabs>
    </w:pPr>
    <w:rPr>
      <w:b/>
      <w:sz w:val="18"/>
      <w:szCs w:val="18"/>
    </w:rPr>
  </w:style>
  <w:style w:type="paragraph" w:customStyle="1" w:styleId="CEORevisionNote">
    <w:name w:val="CEO_RevisionNote"/>
    <w:basedOn w:val="CEORevision"/>
    <w:autoRedefine/>
    <w:rsid w:val="00F3360B"/>
    <w:pPr>
      <w:spacing w:after="120"/>
    </w:pPr>
    <w:rPr>
      <w:b w:val="0"/>
      <w:i/>
      <w:iCs/>
      <w:lang w:val="en-US"/>
    </w:rPr>
  </w:style>
  <w:style w:type="paragraph" w:customStyle="1" w:styleId="CEORequiredAction">
    <w:name w:val="CEO_RequiredAction"/>
    <w:basedOn w:val="CEONormal"/>
    <w:rsid w:val="00F3360B"/>
    <w:pPr>
      <w:tabs>
        <w:tab w:val="left" w:pos="1928"/>
      </w:tabs>
    </w:pPr>
    <w:rPr>
      <w:b/>
    </w:rPr>
  </w:style>
  <w:style w:type="paragraph" w:customStyle="1" w:styleId="CEOAnnex">
    <w:name w:val="CEO_Annex"/>
    <w:basedOn w:val="CEOSignatureTitle"/>
    <w:rsid w:val="00F3360B"/>
    <w:pPr>
      <w:spacing w:before="1000"/>
    </w:pPr>
  </w:style>
  <w:style w:type="paragraph" w:customStyle="1" w:styleId="CEOEndashListNoIndent">
    <w:name w:val="CEO_EndashListNoIndent"/>
    <w:basedOn w:val="CEONormal"/>
    <w:rsid w:val="00F3360B"/>
    <w:pPr>
      <w:numPr>
        <w:numId w:val="4"/>
      </w:numPr>
    </w:pPr>
  </w:style>
  <w:style w:type="paragraph" w:customStyle="1" w:styleId="CEOFootnoteText">
    <w:name w:val="CEO_Footnote Text"/>
    <w:basedOn w:val="CEONormal"/>
    <w:rsid w:val="00F3360B"/>
    <w:pPr>
      <w:tabs>
        <w:tab w:val="left" w:pos="357"/>
      </w:tabs>
      <w:spacing w:before="0"/>
    </w:pPr>
  </w:style>
  <w:style w:type="paragraph" w:customStyle="1" w:styleId="CEOHeading1-Numbered">
    <w:name w:val="CEO_Heading1-Numbered"/>
    <w:basedOn w:val="CEONormal"/>
    <w:rsid w:val="00F3360B"/>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F3360B"/>
    <w:pPr>
      <w:numPr>
        <w:numId w:val="0"/>
      </w:numPr>
    </w:pPr>
    <w:rPr>
      <w:lang w:val="fr-CH"/>
    </w:rPr>
  </w:style>
  <w:style w:type="paragraph" w:customStyle="1" w:styleId="CEOIndent1-abc">
    <w:name w:val="CEO_Indent1-abc"/>
    <w:basedOn w:val="CEONormal"/>
    <w:rsid w:val="00F3360B"/>
    <w:pPr>
      <w:numPr>
        <w:numId w:val="6"/>
      </w:numPr>
      <w:spacing w:before="60" w:after="60"/>
      <w:ind w:right="709"/>
    </w:pPr>
  </w:style>
  <w:style w:type="paragraph" w:customStyle="1" w:styleId="CEOAbstract">
    <w:name w:val="CEOAbstract"/>
    <w:rsid w:val="00F3360B"/>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F3360B"/>
    <w:pPr>
      <w:spacing w:before="720"/>
    </w:pPr>
  </w:style>
  <w:style w:type="paragraph" w:customStyle="1" w:styleId="CEOSmall">
    <w:name w:val="CEO_Small"/>
    <w:basedOn w:val="CEONormal"/>
    <w:rsid w:val="00F3360B"/>
  </w:style>
  <w:style w:type="paragraph" w:customStyle="1" w:styleId="CEOStartNextPage">
    <w:name w:val="CEO_StartNextPage"/>
    <w:next w:val="CEONormal"/>
    <w:rsid w:val="00F3360B"/>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F3360B"/>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F3360B"/>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F3360B"/>
    <w:pPr>
      <w:tabs>
        <w:tab w:val="left" w:pos="1928"/>
      </w:tabs>
    </w:pPr>
    <w:rPr>
      <w:b/>
    </w:rPr>
  </w:style>
  <w:style w:type="paragraph" w:customStyle="1" w:styleId="CEOActionRequiredDetails">
    <w:name w:val="CEO_ActionRequiredDetails"/>
    <w:rsid w:val="00F3360B"/>
    <w:pPr>
      <w:spacing w:before="120"/>
    </w:pPr>
    <w:rPr>
      <w:rFonts w:ascii="Verdana" w:hAnsi="Verdana"/>
      <w:bCs/>
      <w:sz w:val="19"/>
      <w:szCs w:val="19"/>
      <w:lang w:val="en-GB" w:eastAsia="en-US"/>
    </w:rPr>
  </w:style>
  <w:style w:type="paragraph" w:styleId="ListParagraph">
    <w:name w:val="List Paragraph"/>
    <w:basedOn w:val="Normal"/>
    <w:uiPriority w:val="34"/>
    <w:qFormat/>
    <w:rsid w:val="00F3360B"/>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F3360B"/>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F3360B"/>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rsid w:val="00F3360B"/>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iPriority w:val="99"/>
    <w:unhideWhenUsed/>
    <w:rsid w:val="00F3360B"/>
    <w:rPr>
      <w:sz w:val="18"/>
      <w:szCs w:val="18"/>
    </w:rPr>
  </w:style>
  <w:style w:type="paragraph" w:styleId="CommentText">
    <w:name w:val="annotation text"/>
    <w:basedOn w:val="Normal"/>
    <w:link w:val="CommentTextChar"/>
    <w:uiPriority w:val="99"/>
    <w:unhideWhenUsed/>
    <w:rsid w:val="00F3360B"/>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uiPriority w:val="99"/>
    <w:rsid w:val="00F3360B"/>
    <w:rPr>
      <w:rFonts w:eastAsia="Times New Roman"/>
      <w:sz w:val="24"/>
      <w:szCs w:val="24"/>
      <w:lang w:val="x-none" w:eastAsia="x-none"/>
    </w:rPr>
  </w:style>
  <w:style w:type="paragraph" w:styleId="CommentSubject">
    <w:name w:val="annotation subject"/>
    <w:basedOn w:val="CommentText"/>
    <w:next w:val="CommentText"/>
    <w:link w:val="CommentSubjectChar"/>
    <w:uiPriority w:val="99"/>
    <w:unhideWhenUsed/>
    <w:rsid w:val="00F3360B"/>
    <w:rPr>
      <w:b/>
      <w:bCs/>
    </w:rPr>
  </w:style>
  <w:style w:type="character" w:customStyle="1" w:styleId="CommentSubjectChar">
    <w:name w:val="Comment Subject Char"/>
    <w:basedOn w:val="CommentTextChar"/>
    <w:link w:val="CommentSubject"/>
    <w:uiPriority w:val="99"/>
    <w:rsid w:val="00F3360B"/>
    <w:rPr>
      <w:rFonts w:eastAsia="Times New Roman"/>
      <w:b/>
      <w:bCs/>
      <w:sz w:val="24"/>
      <w:szCs w:val="24"/>
      <w:lang w:val="x-none" w:eastAsia="x-none"/>
    </w:rPr>
  </w:style>
  <w:style w:type="paragraph" w:customStyle="1" w:styleId="Tt">
    <w:name w:val="Tt"/>
    <w:basedOn w:val="Normal"/>
    <w:rsid w:val="00F3360B"/>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F3360B"/>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F3360B"/>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F3360B"/>
    <w:pPr>
      <w:ind w:left="1588"/>
    </w:pPr>
  </w:style>
  <w:style w:type="paragraph" w:customStyle="1" w:styleId="ver">
    <w:name w:val="ver"/>
    <w:basedOn w:val="enumlev3"/>
    <w:rsid w:val="00F3360B"/>
    <w:pPr>
      <w:numPr>
        <w:numId w:val="17"/>
      </w:numPr>
    </w:pPr>
    <w:rPr>
      <w:lang w:val="es-ES_tradnl"/>
    </w:rPr>
  </w:style>
  <w:style w:type="paragraph" w:styleId="TOCHeading">
    <w:name w:val="TOC Heading"/>
    <w:basedOn w:val="Heading1"/>
    <w:next w:val="Normal"/>
    <w:uiPriority w:val="39"/>
    <w:unhideWhenUsed/>
    <w:qFormat/>
    <w:rsid w:val="00F3360B"/>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F3360B"/>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F3360B"/>
    <w:rPr>
      <w:rFonts w:ascii="Calibri" w:hAnsi="Calibri"/>
      <w:i/>
      <w:iCs/>
      <w:spacing w:val="-4"/>
      <w:kern w:val="21"/>
      <w:sz w:val="17"/>
      <w:szCs w:val="17"/>
      <w:lang w:val="x-none" w:eastAsia="x-none"/>
    </w:rPr>
  </w:style>
  <w:style w:type="paragraph" w:customStyle="1" w:styleId="FiguresandTables">
    <w:name w:val="Figures and Tables"/>
    <w:basedOn w:val="Normal"/>
    <w:qFormat/>
    <w:rsid w:val="00F3360B"/>
    <w:pPr>
      <w:keepNext/>
      <w:tabs>
        <w:tab w:val="left" w:pos="794"/>
      </w:tabs>
      <w:spacing w:before="240" w:after="120"/>
      <w:jc w:val="center"/>
    </w:pPr>
    <w:rPr>
      <w:rFonts w:ascii="Verdana" w:eastAsia="SimHei" w:hAnsi="Verdana" w:cs="Simplified Arabic"/>
      <w:b/>
      <w:sz w:val="18"/>
      <w:szCs w:val="28"/>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ntTable" Target="fontTable.xml"/><Relationship Id="rId21" Type="http://schemas.openxmlformats.org/officeDocument/2006/relationships/footer" Target="footer6.xml"/><Relationship Id="rId42" Type="http://schemas.openxmlformats.org/officeDocument/2006/relationships/hyperlink" Target="http://www.itu.int/md/meetingdoc.asp?lang=en&amp;parent=D10-SG01-C-0126" TargetMode="External"/><Relationship Id="rId47" Type="http://schemas.openxmlformats.org/officeDocument/2006/relationships/hyperlink" Target="http://www.itu.int/md/meetingdoc.asp?lang=en&amp;parent=D10-SG01-C&amp;question=Q10-3/1&amp;source=Rapporteur%20for%20Question%2010-3/1" TargetMode="External"/><Relationship Id="rId63" Type="http://schemas.openxmlformats.org/officeDocument/2006/relationships/hyperlink" Target="http://www.itu.int/md/meetingdoc.asp?lang=en&amp;parent=D10-RGQ10.3.1-C-0018" TargetMode="External"/><Relationship Id="rId68" Type="http://schemas.openxmlformats.org/officeDocument/2006/relationships/hyperlink" Target="http://www.itu.int/md/meetingdoc.asp?lang=en&amp;parent=D10-RGQ10.3.1-C-0012" TargetMode="External"/><Relationship Id="rId84" Type="http://schemas.openxmlformats.org/officeDocument/2006/relationships/hyperlink" Target="http://www.itu.int/md/meetingdoc.asp?lang=en&amp;parent=D10-SG01-INF-0035" TargetMode="External"/><Relationship Id="rId89" Type="http://schemas.openxmlformats.org/officeDocument/2006/relationships/hyperlink" Target="http://www.itu.int/md/meetingdoc.asp?lang=en&amp;parent=D10-SG01-inf&amp;question=Q10-3/1&amp;source=BDT%20Focal%20Point%20for%20Question%2010-3/1" TargetMode="External"/><Relationship Id="rId112" Type="http://schemas.openxmlformats.org/officeDocument/2006/relationships/hyperlink" Target="http://www.ictregulationtoolkit.org" TargetMode="External"/><Relationship Id="rId16" Type="http://schemas.openxmlformats.org/officeDocument/2006/relationships/header" Target="header4.xml"/><Relationship Id="rId107" Type="http://schemas.openxmlformats.org/officeDocument/2006/relationships/hyperlink" Target="http://www.itu.int/md/meetingdoc.asp?lang=en&amp;parent=D10-SG01-r&amp;question=Q10-3/1&amp;source=Rapporteur%20for%20Question%2010-3/1" TargetMode="Externa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9.xml"/><Relationship Id="rId37" Type="http://schemas.openxmlformats.org/officeDocument/2006/relationships/hyperlink" Target="http://www.itu.int/md/meetingdoc.asp?lang=en&amp;parent=D10-SG01-C&amp;question=Q10-3/1&amp;source=BDT%20Focal%20Point%20for%20Question%2010-3/1" TargetMode="External"/><Relationship Id="rId40" Type="http://schemas.openxmlformats.org/officeDocument/2006/relationships/hyperlink" Target="http://www.itu.int/md/meetingdoc.asp?lang=en&amp;parent=D10-SG01-C-0153" TargetMode="External"/><Relationship Id="rId45" Type="http://schemas.openxmlformats.org/officeDocument/2006/relationships/hyperlink" Target="http://www.itu.int/md/meetingdoc.asp?lang=en&amp;parent=D10-SG01-C&amp;question=Q10-3/1&amp;source=Rapporteur%20for%20Question%2010-3/1" TargetMode="External"/><Relationship Id="rId53" Type="http://schemas.openxmlformats.org/officeDocument/2006/relationships/hyperlink" Target="http://www.itu.int/md/meetingdoc.asp?lang=en&amp;parent=D10-SG01-C&amp;question=Q10-3/1&amp;source=China%20(People&amp;" TargetMode="External"/><Relationship Id="rId58" Type="http://schemas.openxmlformats.org/officeDocument/2006/relationships/hyperlink" Target="http://www.itu.int/md/meetingdoc.asp?lang=en&amp;parent=D10-RGQ10.3.1-C-0023" TargetMode="External"/><Relationship Id="rId66" Type="http://schemas.openxmlformats.org/officeDocument/2006/relationships/hyperlink" Target="http://www.itu.int/md/meetingdoc.asp?lang=en&amp;parent=D10-RGQ10.3.1-C-0014" TargetMode="External"/><Relationship Id="rId74" Type="http://schemas.openxmlformats.org/officeDocument/2006/relationships/hyperlink" Target="http://www.itu.int/md/meetingdoc.asp?lang=en&amp;parent=D10-RGQ10.3.1-C-0006" TargetMode="External"/><Relationship Id="rId79" Type="http://schemas.openxmlformats.org/officeDocument/2006/relationships/hyperlink" Target="http://www.itu.int/md/meetingdoc.asp?lang=en&amp;parent=D10-RGQ10.3.1-C-0001" TargetMode="External"/><Relationship Id="rId87" Type="http://schemas.openxmlformats.org/officeDocument/2006/relationships/hyperlink" Target="http://www.itu.int/md/meetingdoc.asp?lang=en&amp;parent=D10-SG01-inf&amp;question=Q10-3/1&amp;source=BDT%20Focal%20Point%20for%20Question%2010-3/1" TargetMode="External"/><Relationship Id="rId102" Type="http://schemas.openxmlformats.org/officeDocument/2006/relationships/hyperlink" Target="http://www.itu.int/md/meetingdoc.asp?lang=en&amp;parent=D10-RGQ10.3.1-R-0001" TargetMode="External"/><Relationship Id="rId110" Type="http://schemas.openxmlformats.org/officeDocument/2006/relationships/hyperlink" Target="http://www.itu.int/md/meetingdoc.asp?lang=en&amp;parent=D10-SG01-R-0002" TargetMode="External"/><Relationship Id="rId115"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hyperlink" Target="http://www.itu.int/md/meetingdoc.asp?lang=en&amp;parent=D10-RGQ10.3.1-C-0020" TargetMode="External"/><Relationship Id="rId82" Type="http://schemas.openxmlformats.org/officeDocument/2006/relationships/hyperlink" Target="http://www.itu.int/md/meetingdoc.asp?lang=en&amp;parent=D10-SG01-INF-0037" TargetMode="External"/><Relationship Id="rId90" Type="http://schemas.openxmlformats.org/officeDocument/2006/relationships/hyperlink" Target="http://www.itu.int/md/meetingdoc.asp?lang=en&amp;parent=D10-SG01-INF-0014" TargetMode="External"/><Relationship Id="rId95" Type="http://schemas.openxmlformats.org/officeDocument/2006/relationships/hyperlink" Target="http://www.itu.int/md/meetingdoc.asp?lang=en&amp;parent=D10-RGQ10.3.1-INF-0003"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hyperlink" Target="http://www.itu.int/md/meetingdoc.asp?lang=en&amp;parent=D10-SG01-C&amp;question=Q10-3/1&amp;source=United%20States%20of%20America" TargetMode="External"/><Relationship Id="rId43" Type="http://schemas.openxmlformats.org/officeDocument/2006/relationships/hyperlink" Target="http://www.itu.int/md/meetingdoc.asp?lang=en&amp;parent=D10-SG01-C&amp;question=Q10-3/1&amp;source=Rapporteur%20for%20Question%2010-3/1" TargetMode="External"/><Relationship Id="rId48" Type="http://schemas.openxmlformats.org/officeDocument/2006/relationships/hyperlink" Target="http://www.itu.int/md/meetingdoc.asp?lang=en&amp;parent=D10-SG01-C-0053" TargetMode="External"/><Relationship Id="rId56" Type="http://schemas.openxmlformats.org/officeDocument/2006/relationships/hyperlink" Target="http://www.itu.int/md/meetingdoc.asp?lang=en&amp;parent=D10-RGQ10.3.1-C-0025" TargetMode="External"/><Relationship Id="rId64" Type="http://schemas.openxmlformats.org/officeDocument/2006/relationships/hyperlink" Target="http://www.itu.int/md/meetingdoc.asp?lang=en&amp;parent=D10-RGQ10.3.1-C-0016" TargetMode="External"/><Relationship Id="rId69" Type="http://schemas.openxmlformats.org/officeDocument/2006/relationships/hyperlink" Target="http://www.itu.int/md/meetingdoc.asp?lang=en&amp;parent=D10-RGQ10.3.1-C-0011" TargetMode="External"/><Relationship Id="rId77" Type="http://schemas.openxmlformats.org/officeDocument/2006/relationships/hyperlink" Target="http://www.itu.int/md/meetingdoc.asp?lang=en&amp;parent=D10-RGQ10.3.1-C-0003" TargetMode="External"/><Relationship Id="rId100" Type="http://schemas.openxmlformats.org/officeDocument/2006/relationships/hyperlink" Target="http://www.itu.int/md/meetingdoc.asp?lang=en&amp;parent=D10-RGQ10.3.1-R-0002" TargetMode="External"/><Relationship Id="rId105" Type="http://schemas.openxmlformats.org/officeDocument/2006/relationships/hyperlink" Target="http://www.itu.int/md/meetingdoc.asp?lang=en&amp;parent=D10-SG01-r&amp;question=Q10-3/1&amp;source=Rapporteur%20for%20Question%2010-3/1" TargetMode="External"/><Relationship Id="rId113" Type="http://schemas.openxmlformats.org/officeDocument/2006/relationships/header" Target="header10.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itu.int/md/meetingdoc.asp?lang=en&amp;parent=D10-SG01-C&amp;question=Q10-3/1&amp;source=Rapporteur%20for%20Question%2010-3/1" TargetMode="External"/><Relationship Id="rId72" Type="http://schemas.openxmlformats.org/officeDocument/2006/relationships/hyperlink" Target="http://www.itu.int/md/meetingdoc.asp?lang=en&amp;parent=D10-RGQ10.3.1-C-0008" TargetMode="External"/><Relationship Id="rId80" Type="http://schemas.openxmlformats.org/officeDocument/2006/relationships/hyperlink" Target="http://www.itu.int/md/meetingdoc.asp?lang=en&amp;parent=D10-SG01-INF-0061" TargetMode="External"/><Relationship Id="rId85" Type="http://schemas.openxmlformats.org/officeDocument/2006/relationships/hyperlink" Target="http://www.itu.int/md/meetingdoc.asp?lang=en&amp;parent=D10-SG01-inf&amp;question=Q10-3/1&amp;source=China%20(People&amp;" TargetMode="External"/><Relationship Id="rId93" Type="http://schemas.openxmlformats.org/officeDocument/2006/relationships/hyperlink" Target="http://www.itu.int/md/meetingdoc.asp?lang=en&amp;parent=D10-SG01-inf&amp;question=Q10-3/1&amp;source=T%FCrk%20Telekom%20Group" TargetMode="External"/><Relationship Id="rId98" Type="http://schemas.openxmlformats.org/officeDocument/2006/relationships/hyperlink" Target="http://www.itu.int/md/meetingdoc.asp?lang=en&amp;parent=D10-RGQ10.3.1-R-0003"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footer" Target="footer8.xml"/><Relationship Id="rId38" Type="http://schemas.openxmlformats.org/officeDocument/2006/relationships/hyperlink" Target="http://www.itu.int/md/meetingdoc.asp?lang=en&amp;parent=D10-SG01-C-0170" TargetMode="External"/><Relationship Id="rId46" Type="http://schemas.openxmlformats.org/officeDocument/2006/relationships/hyperlink" Target="http://www.itu.int/md/meetingdoc.asp?lang=en&amp;parent=D10-SG01-C-0072" TargetMode="External"/><Relationship Id="rId59" Type="http://schemas.openxmlformats.org/officeDocument/2006/relationships/hyperlink" Target="http://www.itu.int/md/meetingdoc.asp?lang=en&amp;parent=D10-RGQ10.3.1-C-0022" TargetMode="External"/><Relationship Id="rId67" Type="http://schemas.openxmlformats.org/officeDocument/2006/relationships/hyperlink" Target="http://www.itu.int/md/meetingdoc.asp?lang=en&amp;parent=D10-RGQ10.3.1-C-0013" TargetMode="External"/><Relationship Id="rId103" Type="http://schemas.openxmlformats.org/officeDocument/2006/relationships/hyperlink" Target="http://www.itu.int/md/meetingdoc.asp?lang=en&amp;parent=D10-RGQ10.3.1-R&amp;source=Rapporteur%20for%20Question%2010-3/1" TargetMode="External"/><Relationship Id="rId108" Type="http://schemas.openxmlformats.org/officeDocument/2006/relationships/hyperlink" Target="http://www.itu.int/md/meetingdoc.asp?lang=en&amp;parent=D10-SG01-R-0011" TargetMode="External"/><Relationship Id="rId116" Type="http://schemas.openxmlformats.org/officeDocument/2006/relationships/footer" Target="footer10.xml"/><Relationship Id="rId20" Type="http://schemas.openxmlformats.org/officeDocument/2006/relationships/header" Target="header6.xml"/><Relationship Id="rId41" Type="http://schemas.openxmlformats.org/officeDocument/2006/relationships/hyperlink" Target="http://www.itu.int/md/meetingdoc.asp?lang=en&amp;parent=D10-SG01-C&amp;question=Q10-3/1&amp;source=Rapporteur%20for%20Question%2010-3/1" TargetMode="External"/><Relationship Id="rId54" Type="http://schemas.openxmlformats.org/officeDocument/2006/relationships/hyperlink" Target="http://www.itu.int/md/meetingdoc.asp?lang=en&amp;parent=D10-SG01-C-0006" TargetMode="External"/><Relationship Id="rId62" Type="http://schemas.openxmlformats.org/officeDocument/2006/relationships/hyperlink" Target="http://www.itu.int/md/meetingdoc.asp?lang=en&amp;parent=D10-RGQ10.3.1-C-0019" TargetMode="External"/><Relationship Id="rId70" Type="http://schemas.openxmlformats.org/officeDocument/2006/relationships/hyperlink" Target="http://www.itu.int/md/meetingdoc.asp?lang=en&amp;parent=D10-RGQ10.3.1-C-0010" TargetMode="External"/><Relationship Id="rId75" Type="http://schemas.openxmlformats.org/officeDocument/2006/relationships/hyperlink" Target="http://www.itu.int/md/meetingdoc.asp?lang=en&amp;parent=D10-RGQ10.3.1-C-0005" TargetMode="External"/><Relationship Id="rId83" Type="http://schemas.openxmlformats.org/officeDocument/2006/relationships/hyperlink" Target="http://www.itu.int/md/meetingdoc.asp?lang=en&amp;parent=D10-SG01-inf&amp;question=Q10-3/1&amp;source=Egypt%20(Arab%20Republic%20of)" TargetMode="External"/><Relationship Id="rId88" Type="http://schemas.openxmlformats.org/officeDocument/2006/relationships/hyperlink" Target="http://www.itu.int/md/meetingdoc.asp?lang=en&amp;parent=D10-SG01-INF-0021" TargetMode="External"/><Relationship Id="rId91" Type="http://schemas.openxmlformats.org/officeDocument/2006/relationships/hyperlink" Target="http://www.itu.int/md/meetingdoc.asp?lang=en&amp;parent=D10-SG01-inf&amp;question=Q10-3/1&amp;source=Cameroon%20(Republic%20of)" TargetMode="External"/><Relationship Id="rId96" Type="http://schemas.openxmlformats.org/officeDocument/2006/relationships/hyperlink" Target="http://www.itu.int/md/meetingdoc.asp?lang=en&amp;parent=D10-RGQ10.3.1-INF-0002" TargetMode="External"/><Relationship Id="rId111" Type="http://schemas.openxmlformats.org/officeDocument/2006/relationships/hyperlink" Target="http://www.itu.int/md/meetingdoc.asp?lang=en&amp;parent=D10-SG01-r&amp;question=Q10-3/1&amp;source=Rapporteur%20for%20Question%2010-3/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itu.int/md/meetingdoc.asp?lang=en&amp;parent=D10-SG01-C-0171" TargetMode="External"/><Relationship Id="rId49" Type="http://schemas.openxmlformats.org/officeDocument/2006/relationships/hyperlink" Target="http://www.itu.int/md/meetingdoc.asp?lang=en&amp;parent=D10-SG01-C&amp;question=Q10-3/1&amp;source=Rapporteur%20for%20Question%2010-3/1" TargetMode="External"/><Relationship Id="rId57" Type="http://schemas.openxmlformats.org/officeDocument/2006/relationships/hyperlink" Target="http://www.itu.int/md/meetingdoc.asp?lang=en&amp;parent=D10-RGQ10.3.1-C-0024" TargetMode="External"/><Relationship Id="rId106" Type="http://schemas.openxmlformats.org/officeDocument/2006/relationships/hyperlink" Target="http://www.itu.int/md/meetingdoc.asp?lang=en&amp;parent=D10-SG01-R-0022" TargetMode="External"/><Relationship Id="rId114" Type="http://schemas.openxmlformats.org/officeDocument/2006/relationships/header" Target="header11.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hyperlink" Target="http://www.itu.int/md/meetingdoc.asp?lang=en&amp;parent=D10-SG01-C-0083" TargetMode="External"/><Relationship Id="rId52" Type="http://schemas.openxmlformats.org/officeDocument/2006/relationships/hyperlink" Target="http://www.itu.int/md/meetingdoc.asp?lang=en&amp;parent=D10-SG01-C-0012" TargetMode="External"/><Relationship Id="rId60" Type="http://schemas.openxmlformats.org/officeDocument/2006/relationships/hyperlink" Target="http://www.itu.int/md/meetingdoc.asp?lang=en&amp;parent=D10-RGQ10.3.1-C-0021" TargetMode="External"/><Relationship Id="rId65" Type="http://schemas.openxmlformats.org/officeDocument/2006/relationships/hyperlink" Target="http://www.itu.int/md/meetingdoc.asp?lang=en&amp;parent=D10-RGQ10.3.1-C-0015" TargetMode="External"/><Relationship Id="rId73" Type="http://schemas.openxmlformats.org/officeDocument/2006/relationships/hyperlink" Target="http://www.itu.int/md/meetingdoc.asp?lang=en&amp;parent=D10-RGQ10.3.1-C-0007" TargetMode="External"/><Relationship Id="rId78" Type="http://schemas.openxmlformats.org/officeDocument/2006/relationships/hyperlink" Target="http://www.itu.int/md/meetingdoc.asp?lang=en&amp;parent=D10-RGQ10.3.1-C-0002" TargetMode="External"/><Relationship Id="rId81" Type="http://schemas.openxmlformats.org/officeDocument/2006/relationships/hyperlink" Target="http://www.itu.int/md/meetingdoc.asp?lang=en&amp;parent=D10-SG01-INF-0060" TargetMode="External"/><Relationship Id="rId86" Type="http://schemas.openxmlformats.org/officeDocument/2006/relationships/hyperlink" Target="http://www.itu.int/md/meetingdoc.asp?lang=en&amp;parent=D10-SG01-INF-0022" TargetMode="External"/><Relationship Id="rId94" Type="http://schemas.openxmlformats.org/officeDocument/2006/relationships/hyperlink" Target="http://www.itu.int/md/meetingdoc.asp?lang=en&amp;parent=D10-RGQ10.3.1-INF-0004" TargetMode="External"/><Relationship Id="rId99" Type="http://schemas.openxmlformats.org/officeDocument/2006/relationships/hyperlink" Target="http://www.itu.int/md/meetingdoc.asp?lang=en&amp;parent=D10-RGQ10.3.1-R&amp;source=Rapporteur%20for%20Question%2010-3/1" TargetMode="External"/><Relationship Id="rId101" Type="http://schemas.openxmlformats.org/officeDocument/2006/relationships/hyperlink" Target="http://www.itu.int/md/meetingdoc.asp?lang=en&amp;parent=D10-RGQ10.3.1-R&amp;source=Rapporteur%20for%20Question%2010-3/1"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itu.int/md/meetingdoc.asp?lang=en&amp;parent=D10-SG01-C&amp;question=Q10-3/1&amp;source=BDT%20Focal%20Point%20for%20Question%2010-3/1" TargetMode="External"/><Relationship Id="rId109" Type="http://schemas.openxmlformats.org/officeDocument/2006/relationships/hyperlink" Target="http://www.itu.int/md/meetingdoc.asp?lang=en&amp;parent=D10-SG01-r&amp;question=Q10-3/1&amp;source=Rapporteur%20for%20Question%2010-3/1" TargetMode="External"/><Relationship Id="rId34" Type="http://schemas.openxmlformats.org/officeDocument/2006/relationships/hyperlink" Target="http://www.itu.int/md/meetingdoc.asp?lang=en&amp;parent=D10-SG01-C-0189" TargetMode="External"/><Relationship Id="rId50" Type="http://schemas.openxmlformats.org/officeDocument/2006/relationships/hyperlink" Target="http://www.itu.int/md/meetingdoc.asp?lang=en&amp;parent=D10-SG01-C-0031" TargetMode="External"/><Relationship Id="rId55" Type="http://schemas.openxmlformats.org/officeDocument/2006/relationships/hyperlink" Target="http://www.itu.int/md/meetingdoc.asp?lang=en&amp;parent=D10-SG01-C&amp;question=Q10-3/1&amp;source=BDT%20Focal%20Point%20for%20Question%2010-3/1" TargetMode="External"/><Relationship Id="rId76" Type="http://schemas.openxmlformats.org/officeDocument/2006/relationships/hyperlink" Target="http://www.itu.int/md/meetingdoc.asp?lang=en&amp;parent=D10-RGQ10.3.1-C-0004" TargetMode="External"/><Relationship Id="rId97" Type="http://schemas.openxmlformats.org/officeDocument/2006/relationships/hyperlink" Target="http://www.itu.int/md/meetingdoc.asp?lang=en&amp;parent=D10-RGQ10.3.1-INF-0001" TargetMode="External"/><Relationship Id="rId104" Type="http://schemas.openxmlformats.org/officeDocument/2006/relationships/hyperlink" Target="http://www.itu.int/md/meetingdoc.asp?lang=en&amp;parent=D10-SG01-R-0032" TargetMode="External"/><Relationship Id="rId7" Type="http://schemas.openxmlformats.org/officeDocument/2006/relationships/footnotes" Target="footnotes.xml"/><Relationship Id="rId71" Type="http://schemas.openxmlformats.org/officeDocument/2006/relationships/hyperlink" Target="http://www.itu.int/md/meetingdoc.asp?lang=en&amp;parent=D10-RGQ10.3.1-C-0009" TargetMode="External"/><Relationship Id="rId92" Type="http://schemas.openxmlformats.org/officeDocument/2006/relationships/hyperlink" Target="http://www.itu.int/md/meetingdoc.asp?lang=en&amp;parent=D10-SG01-INF-0008" TargetMode="External"/><Relationship Id="rId2" Type="http://schemas.openxmlformats.org/officeDocument/2006/relationships/numbering" Target="numbering.xml"/><Relationship Id="rId29"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ITU-D/icteye/Reporting" TargetMode="External"/><Relationship Id="rId13" Type="http://schemas.openxmlformats.org/officeDocument/2006/relationships/hyperlink" Target="http://www.itu.int/md/D10-SG01-C-0012" TargetMode="External"/><Relationship Id="rId18" Type="http://schemas.openxmlformats.org/officeDocument/2006/relationships/hyperlink" Target="http://www.itu.int/md/D10-rgq10.3.1-c-0011" TargetMode="External"/><Relationship Id="rId26" Type="http://schemas.openxmlformats.org/officeDocument/2006/relationships/hyperlink" Target="http://www.itu.int/md/D10-sg01-c-0189" TargetMode="External"/><Relationship Id="rId3" Type="http://schemas.openxmlformats.org/officeDocument/2006/relationships/hyperlink" Target="http://eng.ftc.go.kr" TargetMode="External"/><Relationship Id="rId21" Type="http://schemas.openxmlformats.org/officeDocument/2006/relationships/hyperlink" Target="http://www.itu.int/md/D10-rgq10.3.1-c-0016" TargetMode="External"/><Relationship Id="rId7" Type="http://schemas.openxmlformats.org/officeDocument/2006/relationships/hyperlink" Target="http://www.ictregulationtoolkit.org" TargetMode="External"/><Relationship Id="rId12" Type="http://schemas.openxmlformats.org/officeDocument/2006/relationships/hyperlink" Target="http://www.itu.int/ITU-D/treg/Events/Seminars/GSR/GSR08" TargetMode="External"/><Relationship Id="rId17" Type="http://schemas.openxmlformats.org/officeDocument/2006/relationships/hyperlink" Target="http://www.itu.int/md/D10-rgq10.3.1-inf-0002" TargetMode="External"/><Relationship Id="rId25" Type="http://schemas.openxmlformats.org/officeDocument/2006/relationships/hyperlink" Target="http://www.ictregulationtoolkit.org/en/Section.1560.html" TargetMode="External"/><Relationship Id="rId2" Type="http://schemas.openxmlformats.org/officeDocument/2006/relationships/hyperlink" Target="http://www.practicallaw.com/competitionhandbook" TargetMode="External"/><Relationship Id="rId16" Type="http://schemas.openxmlformats.org/officeDocument/2006/relationships/hyperlink" Target="http://www.itu.int/md/D10-SG01-C-0003" TargetMode="External"/><Relationship Id="rId20" Type="http://schemas.openxmlformats.org/officeDocument/2006/relationships/hyperlink" Target="http://www.itu.int/md/D10-rgq12.3.1-c-0014" TargetMode="External"/><Relationship Id="rId1" Type="http://schemas.openxmlformats.org/officeDocument/2006/relationships/hyperlink" Target="http://www.itu.int/md/D10-rgq10.3.1-c-0022" TargetMode="External"/><Relationship Id="rId6" Type="http://schemas.openxmlformats.org/officeDocument/2006/relationships/hyperlink" Target="http://www.ncc.gov.ng/legal/regulations.html" TargetMode="External"/><Relationship Id="rId11" Type="http://schemas.openxmlformats.org/officeDocument/2006/relationships/hyperlink" Target="http://www.ictregulationtoolkit.org" TargetMode="External"/><Relationship Id="rId24" Type="http://schemas.openxmlformats.org/officeDocument/2006/relationships/hyperlink" Target="http://www.itu.int/md/D10-rgq10.3.1-c-0009" TargetMode="External"/><Relationship Id="rId5" Type="http://schemas.openxmlformats.org/officeDocument/2006/relationships/hyperlink" Target="http://www.itu.int/md/D10-rgq10.3.1-c-0013" TargetMode="External"/><Relationship Id="rId15" Type="http://schemas.openxmlformats.org/officeDocument/2006/relationships/hyperlink" Target="http://www.itu.int/md/D10-RGQ18.2.1-C-0014/" TargetMode="External"/><Relationship Id="rId23" Type="http://schemas.openxmlformats.org/officeDocument/2006/relationships/hyperlink" Target="http://www.itu.int/md/D10-SG01-inf-0037" TargetMode="External"/><Relationship Id="rId10" Type="http://schemas.openxmlformats.org/officeDocument/2006/relationships/hyperlink" Target="http://www.ictregulationtoolkit.org" TargetMode="External"/><Relationship Id="rId19" Type="http://schemas.openxmlformats.org/officeDocument/2006/relationships/hyperlink" Target="http://www.itu.int/md/D10-rgq18.2.1-c-0029" TargetMode="External"/><Relationship Id="rId4" Type="http://schemas.openxmlformats.org/officeDocument/2006/relationships/hyperlink" Target="http://www.itu.int/md/D10-rgq10.3.1-c-0012" TargetMode="External"/><Relationship Id="rId9" Type="http://schemas.openxmlformats.org/officeDocument/2006/relationships/hyperlink" Target="http://www.itu.int/md/D10-rgq10.3.1-inf-0001" TargetMode="External"/><Relationship Id="rId14" Type="http://schemas.openxmlformats.org/officeDocument/2006/relationships/hyperlink" Target="http://www.itu.int/md/D10-SG01-C-0008" TargetMode="External"/><Relationship Id="rId22" Type="http://schemas.openxmlformats.org/officeDocument/2006/relationships/hyperlink" Target="http://www.itu.int/md/D10-rgq10.3.1-c-001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COMP\COMP\UIT-D\rap-ques_2010-2014\Q-10-3-I\Question%20(SG-1)-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96D2B-C1CB-416D-BD14-1135F3015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(SG-1)-e.dotx</Template>
  <TotalTime>395</TotalTime>
  <Pages>38</Pages>
  <Words>14644</Words>
  <Characters>91669</Characters>
  <Application>Microsoft Office Word</Application>
  <DocSecurity>0</DocSecurity>
  <Lines>763</Lines>
  <Paragraphs>212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106101</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Al-Yammouni, Hala</cp:lastModifiedBy>
  <cp:revision>118</cp:revision>
  <cp:lastPrinted>2011-08-04T14:12:00Z</cp:lastPrinted>
  <dcterms:created xsi:type="dcterms:W3CDTF">2014-01-31T09:47:00Z</dcterms:created>
  <dcterms:modified xsi:type="dcterms:W3CDTF">2014-02-06T09:59:00Z</dcterms:modified>
</cp:coreProperties>
</file>