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734" w:rsidRDefault="004F0734" w:rsidP="00C15B34">
      <w:bookmarkStart w:id="0" w:name="_Toc360171154"/>
      <w:bookmarkStart w:id="1" w:name="_Toc374691806"/>
      <w:bookmarkStart w:id="2" w:name="_Toc303604611"/>
      <w:bookmarkStart w:id="3" w:name="_Toc303690909"/>
    </w:p>
    <w:p w:rsidR="004F0734" w:rsidRDefault="004F0734" w:rsidP="00C15B34"/>
    <w:p w:rsidR="00C15B34" w:rsidRDefault="00C15B34" w:rsidP="00C15B34"/>
    <w:p w:rsidR="00C729F1" w:rsidRPr="00C409E7" w:rsidRDefault="00C729F1" w:rsidP="00CE01BD">
      <w:pPr>
        <w:pStyle w:val="Questionno"/>
        <w:rPr>
          <w:lang w:val="fr-CH"/>
        </w:rPr>
      </w:pPr>
      <w:r w:rsidRPr="00C409E7">
        <w:rPr>
          <w:lang w:val="fr-CH"/>
        </w:rPr>
        <w:t xml:space="preserve">QUESTION </w:t>
      </w:r>
      <w:r w:rsidR="00CE01BD" w:rsidRPr="00C409E7">
        <w:rPr>
          <w:lang w:val="fr-CH"/>
        </w:rPr>
        <w:t>23</w:t>
      </w:r>
      <w:r w:rsidRPr="00C409E7">
        <w:rPr>
          <w:lang w:val="fr-CH"/>
        </w:rPr>
        <w:t>/1:</w:t>
      </w:r>
      <w:bookmarkEnd w:id="0"/>
      <w:bookmarkEnd w:id="1"/>
    </w:p>
    <w:p w:rsidR="00C729F1" w:rsidRPr="000A61C2" w:rsidRDefault="000A61C2" w:rsidP="000759D4">
      <w:pPr>
        <w:pStyle w:val="Questiontitle"/>
        <w:rPr>
          <w:lang w:val="fr-CH"/>
        </w:rPr>
      </w:pPr>
      <w:r w:rsidRPr="000A61C2">
        <w:rPr>
          <w:lang w:val="fr-CH"/>
        </w:rPr>
        <w:t>Stratégies et politiques concernant l'exposition des personnes aux champs électromagnétiques</w:t>
      </w:r>
    </w:p>
    <w:p w:rsidR="008B2896" w:rsidRPr="000A61C2" w:rsidRDefault="008B2896" w:rsidP="00C15B34">
      <w:pPr>
        <w:rPr>
          <w:lang w:val="fr-CH"/>
        </w:rPr>
      </w:pPr>
    </w:p>
    <w:p w:rsidR="004A3FC4" w:rsidRPr="000A61C2" w:rsidRDefault="004A3FC4" w:rsidP="00C15B34">
      <w:pPr>
        <w:rPr>
          <w:sz w:val="28"/>
          <w:szCs w:val="18"/>
          <w:lang w:val="fr-CH"/>
        </w:rPr>
      </w:pPr>
    </w:p>
    <w:p w:rsidR="008B2896" w:rsidRPr="000A61C2" w:rsidRDefault="008B2896" w:rsidP="00C15B34">
      <w:pPr>
        <w:rPr>
          <w:i/>
          <w:iCs/>
          <w:sz w:val="24"/>
          <w:szCs w:val="18"/>
          <w:lang w:val="fr-CH"/>
        </w:rPr>
      </w:pPr>
    </w:p>
    <w:bookmarkEnd w:id="2"/>
    <w:bookmarkEnd w:id="3"/>
    <w:p w:rsidR="00B824FE" w:rsidRPr="000A61C2" w:rsidRDefault="00B824FE" w:rsidP="00C15B34">
      <w:pPr>
        <w:rPr>
          <w:lang w:val="fr-CH"/>
        </w:rPr>
      </w:pPr>
    </w:p>
    <w:p w:rsidR="00B824FE" w:rsidRPr="000A61C2" w:rsidRDefault="00B824FE" w:rsidP="00C7150D">
      <w:pPr>
        <w:rPr>
          <w:noProof/>
          <w:u w:color="E36C0A"/>
          <w:lang w:val="fr-CH" w:eastAsia="zh-CN"/>
        </w:rPr>
      </w:pPr>
    </w:p>
    <w:p w:rsidR="00C7150D" w:rsidRPr="000A61C2" w:rsidRDefault="00C7150D" w:rsidP="00C7150D">
      <w:pPr>
        <w:rPr>
          <w:noProof/>
          <w:u w:color="E36C0A"/>
          <w:lang w:val="fr-CH" w:eastAsia="zh-CN"/>
        </w:rPr>
      </w:pPr>
    </w:p>
    <w:p w:rsidR="00C7150D" w:rsidRPr="000A61C2" w:rsidRDefault="00C7150D" w:rsidP="00C7150D">
      <w:pPr>
        <w:rPr>
          <w:noProof/>
          <w:u w:color="E36C0A"/>
          <w:lang w:val="fr-CH" w:eastAsia="zh-CN"/>
        </w:rPr>
      </w:pPr>
    </w:p>
    <w:p w:rsidR="00C7150D" w:rsidRPr="000A61C2" w:rsidRDefault="00C7150D" w:rsidP="00C7150D">
      <w:pPr>
        <w:rPr>
          <w:noProof/>
          <w:u w:color="E36C0A"/>
          <w:lang w:val="fr-CH" w:eastAsia="zh-CN"/>
        </w:rPr>
      </w:pPr>
    </w:p>
    <w:p w:rsidR="00C7150D" w:rsidRPr="000A61C2" w:rsidRDefault="00C7150D" w:rsidP="00C7150D">
      <w:pPr>
        <w:rPr>
          <w:noProof/>
          <w:u w:color="E36C0A"/>
          <w:lang w:val="fr-CH" w:eastAsia="zh-CN"/>
        </w:rPr>
      </w:pPr>
    </w:p>
    <w:p w:rsidR="00C7150D" w:rsidRPr="000A61C2" w:rsidRDefault="00C7150D" w:rsidP="00C7150D">
      <w:pPr>
        <w:rPr>
          <w:noProof/>
          <w:u w:color="E36C0A"/>
          <w:lang w:val="fr-CH" w:eastAsia="zh-CN"/>
        </w:rPr>
      </w:pPr>
    </w:p>
    <w:p w:rsidR="00C7150D" w:rsidRPr="000A61C2" w:rsidRDefault="00C7150D" w:rsidP="00C7150D">
      <w:pPr>
        <w:rPr>
          <w:noProof/>
          <w:u w:color="E36C0A"/>
          <w:lang w:val="fr-CH" w:eastAsia="zh-CN"/>
        </w:rPr>
      </w:pPr>
    </w:p>
    <w:p w:rsidR="00C7150D" w:rsidRPr="000A61C2" w:rsidRDefault="00C7150D" w:rsidP="00C7150D">
      <w:pPr>
        <w:rPr>
          <w:noProof/>
          <w:u w:color="E36C0A"/>
          <w:lang w:val="fr-CH" w:eastAsia="zh-CN"/>
        </w:rPr>
      </w:pPr>
    </w:p>
    <w:p w:rsidR="00C7150D" w:rsidRPr="000A61C2" w:rsidRDefault="00C7150D" w:rsidP="00C7150D">
      <w:pPr>
        <w:rPr>
          <w:noProof/>
          <w:u w:color="E36C0A"/>
          <w:lang w:val="fr-CH" w:eastAsia="zh-CN"/>
        </w:rPr>
      </w:pPr>
    </w:p>
    <w:p w:rsidR="00C7150D" w:rsidRPr="000A61C2" w:rsidRDefault="00C7150D" w:rsidP="00C7150D">
      <w:pPr>
        <w:rPr>
          <w:u w:color="E36C0A"/>
          <w:lang w:val="fr-CH"/>
        </w:rPr>
      </w:pPr>
    </w:p>
    <w:p w:rsidR="00C7150D" w:rsidRPr="000A61C2" w:rsidRDefault="00C7150D" w:rsidP="00C7150D">
      <w:pPr>
        <w:rPr>
          <w:u w:color="E36C0A"/>
          <w:lang w:val="fr-CH"/>
        </w:rPr>
      </w:pPr>
    </w:p>
    <w:p w:rsidR="00C7150D" w:rsidRPr="000A61C2" w:rsidRDefault="00C7150D" w:rsidP="00C7150D">
      <w:pPr>
        <w:rPr>
          <w:u w:color="E36C0A"/>
          <w:lang w:val="fr-CH"/>
        </w:rPr>
      </w:pPr>
    </w:p>
    <w:p w:rsidR="00C7150D" w:rsidRPr="000A61C2" w:rsidRDefault="00C7150D" w:rsidP="00C7150D">
      <w:pPr>
        <w:rPr>
          <w:u w:color="E36C0A"/>
          <w:lang w:val="fr-CH"/>
        </w:rPr>
      </w:pPr>
    </w:p>
    <w:p w:rsidR="0080173C" w:rsidRPr="000A61C2" w:rsidRDefault="0080173C" w:rsidP="00C7150D">
      <w:pPr>
        <w:rPr>
          <w:u w:color="E36C0A"/>
          <w:lang w:val="fr-CH"/>
        </w:rPr>
      </w:pPr>
    </w:p>
    <w:p w:rsidR="00B824FE" w:rsidRPr="000A61C2" w:rsidRDefault="00B824FE" w:rsidP="00B824FE">
      <w:pPr>
        <w:rPr>
          <w:rFonts w:eastAsia="Times New Roman"/>
          <w:lang w:val="fr-CH"/>
        </w:rPr>
      </w:pPr>
    </w:p>
    <w:p w:rsidR="00B824FE" w:rsidRPr="000A61C2" w:rsidRDefault="00B824FE" w:rsidP="00B824FE">
      <w:pPr>
        <w:rPr>
          <w:rFonts w:eastAsia="Times New Roman"/>
          <w:lang w:val="fr-CH"/>
        </w:rPr>
      </w:pPr>
    </w:p>
    <w:p w:rsidR="008E64AB" w:rsidRPr="000A61C2" w:rsidRDefault="008E64AB">
      <w:pPr>
        <w:spacing w:before="0"/>
        <w:jc w:val="left"/>
        <w:rPr>
          <w:lang w:val="fr-CH"/>
        </w:rPr>
      </w:pPr>
      <w:r w:rsidRPr="000A61C2">
        <w:rPr>
          <w:lang w:val="fr-CH"/>
        </w:rPr>
        <w:br w:type="page"/>
      </w:r>
      <w:r w:rsidR="00B70822" w:rsidRPr="00B70822">
        <w:rPr>
          <w:noProof/>
          <w:lang w:val="en-US" w:eastAsia="zh-CN"/>
        </w:rPr>
        <w:drawing>
          <wp:anchor distT="0" distB="0" distL="114300" distR="114300" simplePos="0" relativeHeight="251658240" behindDoc="0" locked="0" layoutInCell="1" allowOverlap="1" wp14:anchorId="63B8D025" wp14:editId="4415FC53">
            <wp:simplePos x="0" y="0"/>
            <wp:positionH relativeFrom="margin">
              <wp:align>right</wp:align>
            </wp:positionH>
            <wp:positionV relativeFrom="margin">
              <wp:align>bottom</wp:align>
            </wp:positionV>
            <wp:extent cx="723900" cy="819150"/>
            <wp:effectExtent l="0" t="0" r="0" b="0"/>
            <wp:wrapSquare wrapText="bothSides"/>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805" cy="818515"/>
                    </a:xfrm>
                    <a:prstGeom prst="rect">
                      <a:avLst/>
                    </a:prstGeom>
                  </pic:spPr>
                </pic:pic>
              </a:graphicData>
            </a:graphic>
          </wp:anchor>
        </w:drawing>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395676" w:rsidRPr="00846CA6" w:rsidTr="00C15B34">
        <w:tc>
          <w:tcPr>
            <w:tcW w:w="9072" w:type="dxa"/>
            <w:shd w:val="clear" w:color="auto" w:fill="E8F8FD"/>
          </w:tcPr>
          <w:p w:rsidR="00846CA6" w:rsidRPr="00846CA6" w:rsidRDefault="00846CA6" w:rsidP="00846CA6">
            <w:pPr>
              <w:spacing w:after="120"/>
              <w:rPr>
                <w:b/>
                <w:bCs/>
              </w:rPr>
            </w:pPr>
            <w:r w:rsidRPr="00846CA6">
              <w:rPr>
                <w:b/>
                <w:bCs/>
              </w:rPr>
              <w:lastRenderedPageBreak/>
              <w:t>L</w:t>
            </w:r>
            <w:r w:rsidR="00F4197D" w:rsidRPr="00846CA6">
              <w:rPr>
                <w:b/>
                <w:bCs/>
              </w:rPr>
              <w:t>es commissions d'études de l</w:t>
            </w:r>
            <w:r w:rsidRPr="00846CA6">
              <w:rPr>
                <w:b/>
                <w:bCs/>
              </w:rPr>
              <w:t>'UIT-D</w:t>
            </w:r>
          </w:p>
          <w:p w:rsidR="00846CA6" w:rsidRPr="00846CA6" w:rsidRDefault="00846CA6" w:rsidP="00846CA6">
            <w:pPr>
              <w:spacing w:after="120"/>
            </w:pPr>
            <w:r w:rsidRPr="00846CA6">
              <w:t>Pour appuyer les activités menées par le Bureau de développement des télécommunications dans les domaines du partage des connaissances et du renforcement des capacités, les Commissions d'études de l'UIT-D aident les pays à atteindre leurs objectifs de développement. Parce qu'elles ont un rôle de catalyseur en créant, en partageant et en mettant en pratique des connaissances dans le domaine des TIC au service de la réduction de la pauvreté et du développement socio-économique, les Commissions d'études de l'UIT-D contribuent à instaurer des conditions permettant aux pays d'utiliser les connaissances pour être mieux à même d'atteindre leurs objectifs de développement.</w:t>
            </w:r>
          </w:p>
          <w:p w:rsidR="00846CA6" w:rsidRPr="00846CA6" w:rsidRDefault="00846CA6" w:rsidP="00846CA6">
            <w:pPr>
              <w:spacing w:after="120"/>
              <w:rPr>
                <w:b/>
                <w:bCs/>
              </w:rPr>
            </w:pPr>
            <w:r w:rsidRPr="00846CA6">
              <w:rPr>
                <w:b/>
                <w:bCs/>
              </w:rPr>
              <w:t>P</w:t>
            </w:r>
            <w:r w:rsidR="00F4197D" w:rsidRPr="00846CA6">
              <w:rPr>
                <w:b/>
                <w:bCs/>
              </w:rPr>
              <w:t>late-forme de connaissances</w:t>
            </w:r>
          </w:p>
          <w:p w:rsidR="00846CA6" w:rsidRPr="00846CA6" w:rsidRDefault="00846CA6" w:rsidP="00846CA6">
            <w:pPr>
              <w:spacing w:after="120"/>
            </w:pPr>
            <w:r w:rsidRPr="00846CA6">
              <w:t xml:space="preserve">Les résultats des travaux des Commissions d'études de l'UIT-D et les documents de référence connexes sont utilisés pour faciliter la mise en </w:t>
            </w:r>
            <w:proofErr w:type="spellStart"/>
            <w:r w:rsidRPr="00846CA6">
              <w:t>oeuvre</w:t>
            </w:r>
            <w:proofErr w:type="spellEnd"/>
            <w:r w:rsidRPr="00846CA6">
              <w:t xml:space="preserve"> de politiques, stratégies, projets et initiatives spéciales dans les 193 Etats Membres de l'UIT. Ces activités permettent en outre d'étoffer la base des connaissances partagées par les membres.</w:t>
            </w:r>
          </w:p>
          <w:p w:rsidR="00846CA6" w:rsidRPr="00846CA6" w:rsidRDefault="00846CA6" w:rsidP="00846CA6">
            <w:pPr>
              <w:spacing w:after="120"/>
              <w:rPr>
                <w:b/>
                <w:bCs/>
              </w:rPr>
            </w:pPr>
            <w:r w:rsidRPr="00846CA6">
              <w:rPr>
                <w:b/>
                <w:bCs/>
              </w:rPr>
              <w:t>A</w:t>
            </w:r>
            <w:r w:rsidR="00F4197D" w:rsidRPr="00846CA6">
              <w:rPr>
                <w:b/>
                <w:bCs/>
              </w:rPr>
              <w:t xml:space="preserve">u </w:t>
            </w:r>
            <w:proofErr w:type="spellStart"/>
            <w:r w:rsidR="00F4197D" w:rsidRPr="00846CA6">
              <w:rPr>
                <w:b/>
                <w:bCs/>
              </w:rPr>
              <w:t>coeur</w:t>
            </w:r>
            <w:proofErr w:type="spellEnd"/>
            <w:r w:rsidR="00F4197D" w:rsidRPr="00846CA6">
              <w:rPr>
                <w:b/>
                <w:bCs/>
              </w:rPr>
              <w:t xml:space="preserve"> de l'échange d'information et du partage des connaissances</w:t>
            </w:r>
          </w:p>
          <w:p w:rsidR="00846CA6" w:rsidRPr="00846CA6" w:rsidRDefault="00846CA6" w:rsidP="00846CA6">
            <w:pPr>
              <w:spacing w:after="120"/>
            </w:pPr>
            <w:r w:rsidRPr="00846CA6">
              <w:t>Des réunions présentielles, le Forum électronique et des réunions offrant la possibilité de participer à distance permettent de faire part de sujets présentant un intérêt commun, dans une atmosphère propice à un débat ouvert et à l'échange d'informations.</w:t>
            </w:r>
          </w:p>
          <w:p w:rsidR="00846CA6" w:rsidRPr="00846CA6" w:rsidRDefault="00846CA6" w:rsidP="00846CA6">
            <w:pPr>
              <w:spacing w:after="120"/>
              <w:rPr>
                <w:b/>
                <w:bCs/>
              </w:rPr>
            </w:pPr>
            <w:r w:rsidRPr="00846CA6">
              <w:rPr>
                <w:b/>
                <w:bCs/>
              </w:rPr>
              <w:t>B</w:t>
            </w:r>
            <w:r w:rsidR="00F4197D" w:rsidRPr="00846CA6">
              <w:rPr>
                <w:b/>
                <w:bCs/>
              </w:rPr>
              <w:t>ase d'informations</w:t>
            </w:r>
          </w:p>
          <w:p w:rsidR="00846CA6" w:rsidRPr="00846CA6" w:rsidRDefault="00846CA6" w:rsidP="00846CA6">
            <w:pPr>
              <w:spacing w:after="120"/>
            </w:pPr>
            <w:r w:rsidRPr="00846CA6">
              <w:t>Des rapports, lignes directrices, bonnes pratiques et recommandations sont élaborés sur la base des contributions reçues et examinées par les membres des Commissions. Des données sont recueillies grâce à des enquêtes, contributions et études de cas, et mises à la disposition des membres, qui peuvent les consulter facilement en utilisant les outils de gestion de contenus et de publication web.</w:t>
            </w:r>
          </w:p>
          <w:p w:rsidR="00846CA6" w:rsidRPr="00846CA6" w:rsidRDefault="00846CA6" w:rsidP="00846CA6">
            <w:pPr>
              <w:spacing w:after="120"/>
              <w:rPr>
                <w:b/>
                <w:bCs/>
              </w:rPr>
            </w:pPr>
            <w:r w:rsidRPr="00846CA6">
              <w:rPr>
                <w:b/>
                <w:bCs/>
              </w:rPr>
              <w:t>Commission d'études 1</w:t>
            </w:r>
          </w:p>
          <w:p w:rsidR="00846CA6" w:rsidRDefault="00846CA6" w:rsidP="00846CA6">
            <w:pPr>
              <w:spacing w:after="120"/>
            </w:pPr>
            <w:r w:rsidRPr="007B3C9D">
              <w:t xml:space="preserve">Pour la période d'études 2010-2014, la Commission d'études 1 s'est vu confier l'étude de neuf Questions relatives à l'environnement propice, à la </w:t>
            </w:r>
            <w:proofErr w:type="spellStart"/>
            <w:r w:rsidRPr="007B3C9D">
              <w:t>cybersécurité</w:t>
            </w:r>
            <w:proofErr w:type="spellEnd"/>
            <w:r w:rsidRPr="007B3C9D">
              <w:t xml:space="preserve">, aux applications TIC et aux questions liées à l'Internet. Les travaux ont porté essentiellement sur les politiques et stratégies nationales de télécommunication les mieux à même de permettre aux pays de tirer parti de l'élan imprimé par les télécommunications/TIC en tant que moteur d'une croissance durable, de la création d'emplois et du développement économique, social et culturel, compte tenu des questions prioritaires pour les pays en développement. Les travaux ont porté, entre autres, sur les politiques d'accès aux télécommunications/TIC, en particulier l'accès des personnes handicapées et des personnes ayant des besoins particuliers, ainsi que sur la sécurité des réseaux de télécommunication/TIC. Ils ont également eu pour thèmes les politiques et modèles tarifaires applicables aux réseaux de prochaine génération, les questions de convergence, l'accès universel aux services fixes et mobiles large bande, l'analyse d'impact et l'application des principes relatifs aux coûts et des principes comptables, compte tenu des résultats des études effectuées par l'UIT-T et l'UIT-R et des priorités des pays en développement. </w:t>
            </w:r>
          </w:p>
          <w:p w:rsidR="00395676" w:rsidRPr="00846CA6" w:rsidRDefault="00846CA6" w:rsidP="00846CA6">
            <w:pPr>
              <w:spacing w:after="120"/>
            </w:pPr>
            <w:r w:rsidRPr="00846CA6">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750EB0" w:rsidRPr="00846CA6" w:rsidRDefault="00750EB0" w:rsidP="00750EB0">
      <w:pPr>
        <w:rPr>
          <w:lang w:val="fr-CH"/>
        </w:rPr>
      </w:pPr>
      <w:bookmarkStart w:id="4" w:name="_Toc290027810"/>
      <w:bookmarkStart w:id="5" w:name="_Toc290373307"/>
    </w:p>
    <w:p w:rsidR="00B81FBF" w:rsidRPr="00846CA6" w:rsidRDefault="00B81FBF" w:rsidP="00536D47">
      <w:pPr>
        <w:spacing w:before="360"/>
        <w:ind w:left="1060" w:right="848"/>
        <w:jc w:val="center"/>
        <w:rPr>
          <w:b/>
          <w:bCs/>
          <w:lang w:val="fr-CH"/>
        </w:rPr>
      </w:pPr>
    </w:p>
    <w:p w:rsidR="00536D47" w:rsidRPr="00211570" w:rsidRDefault="00536D47" w:rsidP="00536D47">
      <w:pPr>
        <w:spacing w:before="360"/>
        <w:ind w:left="1060" w:right="848"/>
        <w:jc w:val="center"/>
        <w:rPr>
          <w:rFonts w:asciiTheme="minorHAnsi" w:eastAsia="Times New Roman" w:hAnsiTheme="minorHAnsi"/>
          <w:lang w:val="fr-CH"/>
        </w:rPr>
      </w:pPr>
      <w:r w:rsidRPr="00BE4F77">
        <w:rPr>
          <w:rFonts w:ascii="Symbol" w:eastAsia="Times New Roman" w:hAnsi="Symbol"/>
        </w:rPr>
        <w:t></w:t>
      </w:r>
      <w:r w:rsidRPr="00211570">
        <w:rPr>
          <w:rFonts w:eastAsia="Times New Roman"/>
          <w:lang w:val="fr-CH"/>
        </w:rPr>
        <w:t xml:space="preserve"> </w:t>
      </w:r>
      <w:r w:rsidRPr="00211570">
        <w:rPr>
          <w:rFonts w:asciiTheme="minorHAnsi" w:eastAsia="Times New Roman" w:hAnsiTheme="minorHAnsi"/>
          <w:lang w:val="fr-CH"/>
        </w:rPr>
        <w:t>ITU 2014</w:t>
      </w:r>
    </w:p>
    <w:p w:rsidR="009A3F93" w:rsidRPr="00211570" w:rsidRDefault="00211570" w:rsidP="00536D47">
      <w:pPr>
        <w:rPr>
          <w:lang w:val="fr-CH"/>
        </w:rPr>
      </w:pPr>
      <w:r w:rsidRPr="007333DB">
        <w:t>Tous droits réservés. Aucune partie de cette publication ne peut être reproduite, par quelque procédé que ce soit, sans l’accord écrit préalable de l’UIT</w:t>
      </w:r>
      <w:r w:rsidR="00536D47" w:rsidRPr="00211570">
        <w:rPr>
          <w:rFonts w:eastAsia="Times New Roman"/>
          <w:lang w:val="fr-CH"/>
        </w:rPr>
        <w:t>.</w:t>
      </w:r>
    </w:p>
    <w:p w:rsidR="004D77DC" w:rsidRPr="00211570" w:rsidRDefault="004D77DC" w:rsidP="00D240F2">
      <w:pPr>
        <w:pStyle w:val="Chapttitle"/>
        <w:rPr>
          <w:lang w:val="fr-CH"/>
        </w:rPr>
        <w:sectPr w:rsidR="004D77DC" w:rsidRPr="00211570" w:rsidSect="00637721">
          <w:headerReference w:type="even" r:id="rId10"/>
          <w:headerReference w:type="default" r:id="rId11"/>
          <w:footerReference w:type="even" r:id="rId12"/>
          <w:footerReference w:type="default" r:id="rId13"/>
          <w:footerReference w:type="first" r:id="rId14"/>
          <w:endnotePr>
            <w:numFmt w:val="decimal"/>
          </w:endnotePr>
          <w:type w:val="continuous"/>
          <w:pgSz w:w="11907" w:h="16840" w:code="9"/>
          <w:pgMar w:top="1418" w:right="1418" w:bottom="1418" w:left="1418" w:header="709" w:footer="709" w:gutter="0"/>
          <w:cols w:space="708"/>
          <w:docGrid w:linePitch="360"/>
        </w:sectPr>
      </w:pPr>
      <w:bookmarkStart w:id="6" w:name="_Toc303604614"/>
      <w:bookmarkStart w:id="7" w:name="_Toc303690911"/>
      <w:bookmarkStart w:id="8" w:name="_Toc305405834"/>
      <w:bookmarkStart w:id="9" w:name="_Toc309303085"/>
      <w:bookmarkStart w:id="10" w:name="_Toc320695027"/>
      <w:bookmarkStart w:id="11" w:name="_Toc320695350"/>
      <w:bookmarkStart w:id="12" w:name="_Toc360171157"/>
      <w:bookmarkStart w:id="13" w:name="_Toc374691809"/>
      <w:bookmarkStart w:id="14" w:name="_Toc310148800"/>
      <w:bookmarkStart w:id="15" w:name="_Toc316562496"/>
      <w:bookmarkStart w:id="16" w:name="_Toc299639153"/>
      <w:bookmarkEnd w:id="4"/>
      <w:bookmarkEnd w:id="5"/>
    </w:p>
    <w:p w:rsidR="00D240F2" w:rsidRPr="00C409E7" w:rsidRDefault="00D240F2" w:rsidP="00C409E7">
      <w:pPr>
        <w:pStyle w:val="Chapttitle"/>
        <w:rPr>
          <w:lang w:val="fr-CH"/>
        </w:rPr>
      </w:pPr>
      <w:r w:rsidRPr="00634F41">
        <w:rPr>
          <w:lang w:val="en-GB"/>
        </w:rPr>
        <w:lastRenderedPageBreak/>
        <w:t xml:space="preserve">Table </w:t>
      </w:r>
      <w:bookmarkEnd w:id="6"/>
      <w:bookmarkEnd w:id="7"/>
      <w:bookmarkEnd w:id="8"/>
      <w:bookmarkEnd w:id="9"/>
      <w:bookmarkEnd w:id="10"/>
      <w:bookmarkEnd w:id="11"/>
      <w:bookmarkEnd w:id="12"/>
      <w:bookmarkEnd w:id="13"/>
      <w:r w:rsidR="00C409E7">
        <w:rPr>
          <w:lang w:val="en-GB"/>
        </w:rPr>
        <w:t xml:space="preserve">des </w:t>
      </w:r>
      <w:proofErr w:type="spellStart"/>
      <w:r w:rsidR="00C409E7">
        <w:rPr>
          <w:lang w:val="en-GB"/>
        </w:rPr>
        <w:t>matières</w:t>
      </w:r>
      <w:proofErr w:type="spellEnd"/>
    </w:p>
    <w:p w:rsidR="00D240F2" w:rsidRDefault="00D240F2" w:rsidP="00D240F2">
      <w:pPr>
        <w:pStyle w:val="Toc0"/>
        <w:tabs>
          <w:tab w:val="clear" w:pos="9071"/>
          <w:tab w:val="right" w:pos="9214"/>
        </w:tabs>
        <w:rPr>
          <w:color w:val="005173"/>
          <w:lang w:val="en-GB"/>
        </w:rPr>
      </w:pPr>
      <w:r w:rsidRPr="00DD6562">
        <w:rPr>
          <w:lang w:val="en-GB"/>
        </w:rPr>
        <w:tab/>
      </w:r>
      <w:r w:rsidRPr="00695208">
        <w:rPr>
          <w:color w:val="005173"/>
          <w:lang w:val="en-GB"/>
        </w:rPr>
        <w:t>Page</w:t>
      </w:r>
    </w:p>
    <w:p w:rsidR="00DE3DF5" w:rsidRPr="00DE3DF5" w:rsidRDefault="00DE3DF5" w:rsidP="00DE3DF5">
      <w:pPr>
        <w:pStyle w:val="TOC1"/>
        <w:rPr>
          <w:rStyle w:val="Hyperlink"/>
        </w:rPr>
      </w:pPr>
      <w:r w:rsidRPr="00DE3DF5">
        <w:rPr>
          <w:lang w:eastAsia="zh-CN"/>
        </w:rPr>
        <w:fldChar w:fldCharType="begin"/>
      </w:r>
      <w:r w:rsidRPr="00DE3DF5">
        <w:rPr>
          <w:lang w:eastAsia="zh-CN"/>
        </w:rPr>
        <w:instrText xml:space="preserve"> TOC \o "1-1" \h \z \t "Heading 2;2;Heading 3;3" </w:instrText>
      </w:r>
      <w:r w:rsidRPr="00DE3DF5">
        <w:rPr>
          <w:lang w:eastAsia="zh-CN"/>
        </w:rPr>
        <w:fldChar w:fldCharType="separate"/>
      </w:r>
      <w:hyperlink w:anchor="_Toc373423156" w:history="1">
        <w:r w:rsidRPr="00DE3DF5">
          <w:rPr>
            <w:rStyle w:val="Hyperlink"/>
          </w:rPr>
          <w:t>1</w:t>
        </w:r>
        <w:r w:rsidRPr="00DE3DF5">
          <w:rPr>
            <w:rStyle w:val="Hyperlink"/>
          </w:rPr>
          <w:tab/>
          <w:t>Rappels</w:t>
        </w:r>
        <w:r w:rsidRPr="00DE3DF5">
          <w:rPr>
            <w:rStyle w:val="Hyperlink"/>
            <w:webHidden/>
          </w:rPr>
          <w:tab/>
        </w:r>
        <w:r>
          <w:rPr>
            <w:rStyle w:val="Hyperlink"/>
            <w:webHidden/>
          </w:rPr>
          <w:tab/>
        </w:r>
        <w:r w:rsidRPr="00DE3DF5">
          <w:rPr>
            <w:rStyle w:val="Hyperlink"/>
            <w:webHidden/>
          </w:rPr>
          <w:fldChar w:fldCharType="begin"/>
        </w:r>
        <w:r w:rsidRPr="00DE3DF5">
          <w:rPr>
            <w:rStyle w:val="Hyperlink"/>
            <w:webHidden/>
          </w:rPr>
          <w:instrText xml:space="preserve"> PAGEREF _Toc373423156 \h </w:instrText>
        </w:r>
        <w:r w:rsidRPr="00DE3DF5">
          <w:rPr>
            <w:rStyle w:val="Hyperlink"/>
            <w:webHidden/>
          </w:rPr>
        </w:r>
        <w:r w:rsidRPr="00DE3DF5">
          <w:rPr>
            <w:rStyle w:val="Hyperlink"/>
            <w:webHidden/>
          </w:rPr>
          <w:fldChar w:fldCharType="separate"/>
        </w:r>
        <w:r w:rsidR="00846CA6">
          <w:rPr>
            <w:rStyle w:val="Hyperlink"/>
            <w:webHidden/>
          </w:rPr>
          <w:t>1</w:t>
        </w:r>
        <w:r w:rsidRPr="00DE3DF5">
          <w:rPr>
            <w:rStyle w:val="Hyperlink"/>
            <w:webHidden/>
          </w:rPr>
          <w:fldChar w:fldCharType="end"/>
        </w:r>
      </w:hyperlink>
    </w:p>
    <w:p w:rsidR="00DE3DF5" w:rsidRPr="00DE3DF5" w:rsidRDefault="004C088A" w:rsidP="00DE3DF5">
      <w:pPr>
        <w:pStyle w:val="TOC1"/>
        <w:rPr>
          <w:rStyle w:val="Hyperlink"/>
        </w:rPr>
      </w:pPr>
      <w:hyperlink w:anchor="_Toc373423157" w:history="1">
        <w:r w:rsidR="00DE3DF5" w:rsidRPr="00DE3DF5">
          <w:rPr>
            <w:rStyle w:val="Hyperlink"/>
          </w:rPr>
          <w:t>2</w:t>
        </w:r>
        <w:r w:rsidR="00DE3DF5" w:rsidRPr="00DE3DF5">
          <w:rPr>
            <w:rStyle w:val="Hyperlink"/>
          </w:rPr>
          <w:tab/>
          <w:t>Champ d'application et objectifs du présent Rapport</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_Toc373423157 \h </w:instrText>
        </w:r>
        <w:r w:rsidR="00DE3DF5" w:rsidRPr="00DE3DF5">
          <w:rPr>
            <w:rStyle w:val="Hyperlink"/>
            <w:webHidden/>
          </w:rPr>
        </w:r>
        <w:r w:rsidR="00DE3DF5" w:rsidRPr="00DE3DF5">
          <w:rPr>
            <w:rStyle w:val="Hyperlink"/>
            <w:webHidden/>
          </w:rPr>
          <w:fldChar w:fldCharType="separate"/>
        </w:r>
        <w:r w:rsidR="00846CA6">
          <w:rPr>
            <w:rStyle w:val="Hyperlink"/>
            <w:webHidden/>
          </w:rPr>
          <w:t>2</w:t>
        </w:r>
        <w:r w:rsidR="00DE3DF5" w:rsidRPr="00DE3DF5">
          <w:rPr>
            <w:rStyle w:val="Hyperlink"/>
            <w:webHidden/>
          </w:rPr>
          <w:fldChar w:fldCharType="end"/>
        </w:r>
      </w:hyperlink>
    </w:p>
    <w:p w:rsidR="00DE3DF5" w:rsidRPr="00DE3DF5" w:rsidRDefault="004C088A" w:rsidP="00DE3DF5">
      <w:pPr>
        <w:pStyle w:val="TOC1"/>
        <w:rPr>
          <w:rStyle w:val="Hyperlink"/>
        </w:rPr>
      </w:pPr>
      <w:hyperlink w:anchor="_Toc373423158" w:history="1">
        <w:r w:rsidR="00DE3DF5" w:rsidRPr="00DE3DF5">
          <w:rPr>
            <w:rStyle w:val="Hyperlink"/>
          </w:rPr>
          <w:t>3</w:t>
        </w:r>
        <w:r w:rsidR="00DE3DF5" w:rsidRPr="00DE3DF5">
          <w:rPr>
            <w:rStyle w:val="Hyperlink"/>
          </w:rPr>
          <w:tab/>
          <w:t>Collaboration avec d'autres secteurs et organisations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_Toc373423158 \h </w:instrText>
        </w:r>
        <w:r w:rsidR="00DE3DF5" w:rsidRPr="00DE3DF5">
          <w:rPr>
            <w:rStyle w:val="Hyperlink"/>
            <w:webHidden/>
          </w:rPr>
        </w:r>
        <w:r w:rsidR="00DE3DF5" w:rsidRPr="00DE3DF5">
          <w:rPr>
            <w:rStyle w:val="Hyperlink"/>
            <w:webHidden/>
          </w:rPr>
          <w:fldChar w:fldCharType="separate"/>
        </w:r>
        <w:r w:rsidR="00846CA6">
          <w:rPr>
            <w:rStyle w:val="Hyperlink"/>
            <w:webHidden/>
          </w:rPr>
          <w:t>3</w:t>
        </w:r>
        <w:r w:rsidR="00DE3DF5" w:rsidRPr="00DE3DF5">
          <w:rPr>
            <w:rStyle w:val="Hyperlink"/>
            <w:webHidden/>
          </w:rPr>
          <w:fldChar w:fldCharType="end"/>
        </w:r>
      </w:hyperlink>
    </w:p>
    <w:p w:rsidR="00DE3DF5" w:rsidRPr="00DE3DF5" w:rsidRDefault="004C088A" w:rsidP="00DE3DF5">
      <w:pPr>
        <w:pStyle w:val="TOC1"/>
        <w:rPr>
          <w:rStyle w:val="Hyperlink"/>
        </w:rPr>
      </w:pPr>
      <w:hyperlink w:anchor="_Toc373423159" w:history="1">
        <w:r w:rsidR="00DE3DF5" w:rsidRPr="00DE3DF5">
          <w:rPr>
            <w:rStyle w:val="Hyperlink"/>
          </w:rPr>
          <w:t>4</w:t>
        </w:r>
        <w:r w:rsidR="00DE3DF5" w:rsidRPr="00DE3DF5">
          <w:rPr>
            <w:rStyle w:val="Hyperlink"/>
          </w:rPr>
          <w:tab/>
          <w:t>Application du principe de précaution à l'exposition des personnes aux champs électromagnétiques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_Toc373423159 \h </w:instrText>
        </w:r>
        <w:r w:rsidR="00DE3DF5" w:rsidRPr="00DE3DF5">
          <w:rPr>
            <w:rStyle w:val="Hyperlink"/>
            <w:webHidden/>
          </w:rPr>
        </w:r>
        <w:r w:rsidR="00DE3DF5" w:rsidRPr="00DE3DF5">
          <w:rPr>
            <w:rStyle w:val="Hyperlink"/>
            <w:webHidden/>
          </w:rPr>
          <w:fldChar w:fldCharType="separate"/>
        </w:r>
        <w:r w:rsidR="00846CA6">
          <w:rPr>
            <w:rStyle w:val="Hyperlink"/>
            <w:webHidden/>
          </w:rPr>
          <w:t>4</w:t>
        </w:r>
        <w:r w:rsidR="00DE3DF5" w:rsidRPr="00DE3DF5">
          <w:rPr>
            <w:rStyle w:val="Hyperlink"/>
            <w:webHidden/>
          </w:rPr>
          <w:fldChar w:fldCharType="end"/>
        </w:r>
      </w:hyperlink>
    </w:p>
    <w:p w:rsidR="00DE3DF5" w:rsidRPr="00DE3DF5" w:rsidRDefault="004C088A" w:rsidP="00DE3DF5">
      <w:pPr>
        <w:pStyle w:val="TOC1"/>
        <w:rPr>
          <w:rStyle w:val="Hyperlink"/>
        </w:rPr>
      </w:pPr>
      <w:hyperlink w:anchor="_Toc373423160" w:history="1">
        <w:r w:rsidR="00DE3DF5" w:rsidRPr="00DE3DF5">
          <w:rPr>
            <w:rStyle w:val="Hyperlink"/>
          </w:rPr>
          <w:t>5</w:t>
        </w:r>
        <w:r w:rsidR="00DE3DF5" w:rsidRPr="00DE3DF5">
          <w:rPr>
            <w:rStyle w:val="Hyperlink"/>
          </w:rPr>
          <w:tab/>
          <w:t>Analyse des politiques de réglementation de certains pays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_Toc373423160 \h </w:instrText>
        </w:r>
        <w:r w:rsidR="00DE3DF5" w:rsidRPr="00DE3DF5">
          <w:rPr>
            <w:rStyle w:val="Hyperlink"/>
            <w:webHidden/>
          </w:rPr>
        </w:r>
        <w:r w:rsidR="00DE3DF5" w:rsidRPr="00DE3DF5">
          <w:rPr>
            <w:rStyle w:val="Hyperlink"/>
            <w:webHidden/>
          </w:rPr>
          <w:fldChar w:fldCharType="separate"/>
        </w:r>
        <w:r w:rsidR="00846CA6">
          <w:rPr>
            <w:rStyle w:val="Hyperlink"/>
            <w:webHidden/>
          </w:rPr>
          <w:t>6</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61" w:history="1">
        <w:r w:rsidR="00DE3DF5" w:rsidRPr="00DE3DF5">
          <w:rPr>
            <w:rStyle w:val="Hyperlink"/>
          </w:rPr>
          <w:t>5.1</w:t>
        </w:r>
        <w:r w:rsidR="00DE3DF5" w:rsidRPr="00DE3DF5">
          <w:rPr>
            <w:rStyle w:val="Hyperlink"/>
          </w:rPr>
          <w:tab/>
          <w:t>Côte d'Ivoire</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_Toc373423161 \h </w:instrText>
        </w:r>
        <w:r w:rsidR="00DE3DF5" w:rsidRPr="00DE3DF5">
          <w:rPr>
            <w:rStyle w:val="Hyperlink"/>
            <w:webHidden/>
          </w:rPr>
        </w:r>
        <w:r w:rsidR="00DE3DF5" w:rsidRPr="00DE3DF5">
          <w:rPr>
            <w:rStyle w:val="Hyperlink"/>
            <w:webHidden/>
          </w:rPr>
          <w:fldChar w:fldCharType="separate"/>
        </w:r>
        <w:r w:rsidR="00846CA6">
          <w:rPr>
            <w:rStyle w:val="Hyperlink"/>
            <w:webHidden/>
          </w:rPr>
          <w:t>7</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62" w:history="1">
        <w:r w:rsidR="00DE3DF5" w:rsidRPr="00DE3DF5">
          <w:rPr>
            <w:rStyle w:val="Hyperlink"/>
          </w:rPr>
          <w:t>5.2</w:t>
        </w:r>
        <w:r w:rsidR="00DE3DF5" w:rsidRPr="00DE3DF5">
          <w:rPr>
            <w:rStyle w:val="Hyperlink"/>
          </w:rPr>
          <w:tab/>
          <w:t>Brésil</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_Toc373423162 \h </w:instrText>
        </w:r>
        <w:r w:rsidR="00DE3DF5" w:rsidRPr="00DE3DF5">
          <w:rPr>
            <w:rStyle w:val="Hyperlink"/>
            <w:webHidden/>
          </w:rPr>
        </w:r>
        <w:r w:rsidR="00DE3DF5" w:rsidRPr="00DE3DF5">
          <w:rPr>
            <w:rStyle w:val="Hyperlink"/>
            <w:webHidden/>
          </w:rPr>
          <w:fldChar w:fldCharType="separate"/>
        </w:r>
        <w:r w:rsidR="00846CA6">
          <w:rPr>
            <w:rStyle w:val="Hyperlink"/>
            <w:webHidden/>
          </w:rPr>
          <w:t>7</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63" w:history="1">
        <w:r w:rsidR="00DE3DF5" w:rsidRPr="00DE3DF5">
          <w:rPr>
            <w:rStyle w:val="Hyperlink"/>
          </w:rPr>
          <w:t>5.3</w:t>
        </w:r>
        <w:r w:rsidR="00DE3DF5" w:rsidRPr="00DE3DF5">
          <w:rPr>
            <w:rStyle w:val="Hyperlink"/>
          </w:rPr>
          <w:tab/>
          <w:t>République de Corée</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_Toc373423163 \h </w:instrText>
        </w:r>
        <w:r w:rsidR="00DE3DF5" w:rsidRPr="00DE3DF5">
          <w:rPr>
            <w:rStyle w:val="Hyperlink"/>
            <w:webHidden/>
          </w:rPr>
        </w:r>
        <w:r w:rsidR="00DE3DF5" w:rsidRPr="00DE3DF5">
          <w:rPr>
            <w:rStyle w:val="Hyperlink"/>
            <w:webHidden/>
          </w:rPr>
          <w:fldChar w:fldCharType="separate"/>
        </w:r>
        <w:r w:rsidR="00846CA6">
          <w:rPr>
            <w:rStyle w:val="Hyperlink"/>
            <w:webHidden/>
          </w:rPr>
          <w:t>8</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64" w:history="1">
        <w:r w:rsidR="00DE3DF5" w:rsidRPr="00DE3DF5">
          <w:rPr>
            <w:rStyle w:val="Hyperlink"/>
          </w:rPr>
          <w:t xml:space="preserve">5.4 </w:t>
        </w:r>
        <w:r w:rsidR="00DE3DF5" w:rsidRPr="00DE3DF5">
          <w:rPr>
            <w:rStyle w:val="Hyperlink"/>
          </w:rPr>
          <w:tab/>
          <w:t>Israël</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_Toc373423164 \h </w:instrText>
        </w:r>
        <w:r w:rsidR="00DE3DF5" w:rsidRPr="00DE3DF5">
          <w:rPr>
            <w:rStyle w:val="Hyperlink"/>
            <w:webHidden/>
          </w:rPr>
        </w:r>
        <w:r w:rsidR="00DE3DF5" w:rsidRPr="00DE3DF5">
          <w:rPr>
            <w:rStyle w:val="Hyperlink"/>
            <w:webHidden/>
          </w:rPr>
          <w:fldChar w:fldCharType="separate"/>
        </w:r>
        <w:r w:rsidR="00846CA6">
          <w:rPr>
            <w:rStyle w:val="Hyperlink"/>
            <w:webHidden/>
          </w:rPr>
          <w:t>8</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65" w:history="1">
        <w:r w:rsidR="00DE3DF5" w:rsidRPr="00DE3DF5">
          <w:rPr>
            <w:rStyle w:val="Hyperlink"/>
          </w:rPr>
          <w:t xml:space="preserve">5.5 </w:t>
        </w:r>
        <w:r w:rsidR="00DE3DF5" w:rsidRPr="00DE3DF5">
          <w:rPr>
            <w:rStyle w:val="Hyperlink"/>
          </w:rPr>
          <w:tab/>
          <w:t>Venezuela</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_Toc373423165 \h </w:instrText>
        </w:r>
        <w:r w:rsidR="00DE3DF5" w:rsidRPr="00DE3DF5">
          <w:rPr>
            <w:rStyle w:val="Hyperlink"/>
            <w:webHidden/>
          </w:rPr>
        </w:r>
        <w:r w:rsidR="00DE3DF5" w:rsidRPr="00DE3DF5">
          <w:rPr>
            <w:rStyle w:val="Hyperlink"/>
            <w:webHidden/>
          </w:rPr>
          <w:fldChar w:fldCharType="separate"/>
        </w:r>
        <w:r w:rsidR="00846CA6">
          <w:rPr>
            <w:rStyle w:val="Hyperlink"/>
            <w:webHidden/>
          </w:rPr>
          <w:t>9</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66" w:history="1">
        <w:r w:rsidR="00DE3DF5" w:rsidRPr="00DE3DF5">
          <w:rPr>
            <w:rStyle w:val="Hyperlink"/>
          </w:rPr>
          <w:t xml:space="preserve">5.6 </w:t>
        </w:r>
        <w:r w:rsidR="00DE3DF5" w:rsidRPr="00DE3DF5">
          <w:rPr>
            <w:rStyle w:val="Hyperlink"/>
          </w:rPr>
          <w:tab/>
          <w:t>Hongrie</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_Toc373423166 \h </w:instrText>
        </w:r>
        <w:r w:rsidR="00DE3DF5" w:rsidRPr="00DE3DF5">
          <w:rPr>
            <w:rStyle w:val="Hyperlink"/>
            <w:webHidden/>
          </w:rPr>
        </w:r>
        <w:r w:rsidR="00DE3DF5" w:rsidRPr="00DE3DF5">
          <w:rPr>
            <w:rStyle w:val="Hyperlink"/>
            <w:webHidden/>
          </w:rPr>
          <w:fldChar w:fldCharType="separate"/>
        </w:r>
        <w:r w:rsidR="00846CA6">
          <w:rPr>
            <w:rStyle w:val="Hyperlink"/>
            <w:webHidden/>
          </w:rPr>
          <w:t>10</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67" w:history="1">
        <w:r w:rsidR="00DE3DF5" w:rsidRPr="00DE3DF5">
          <w:rPr>
            <w:rStyle w:val="Hyperlink"/>
          </w:rPr>
          <w:t xml:space="preserve">5.7 </w:t>
        </w:r>
        <w:r w:rsidR="00DE3DF5" w:rsidRPr="00DE3DF5">
          <w:rPr>
            <w:rStyle w:val="Hyperlink"/>
          </w:rPr>
          <w:tab/>
          <w:t>Ouzbékistan</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_Toc373423167 \h </w:instrText>
        </w:r>
        <w:r w:rsidR="00DE3DF5" w:rsidRPr="00DE3DF5">
          <w:rPr>
            <w:rStyle w:val="Hyperlink"/>
            <w:webHidden/>
          </w:rPr>
        </w:r>
        <w:r w:rsidR="00DE3DF5" w:rsidRPr="00DE3DF5">
          <w:rPr>
            <w:rStyle w:val="Hyperlink"/>
            <w:webHidden/>
          </w:rPr>
          <w:fldChar w:fldCharType="separate"/>
        </w:r>
        <w:r w:rsidR="00846CA6">
          <w:rPr>
            <w:rStyle w:val="Hyperlink"/>
            <w:webHidden/>
          </w:rPr>
          <w:t>11</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68" w:history="1">
        <w:r w:rsidR="00DE3DF5" w:rsidRPr="00DE3DF5">
          <w:rPr>
            <w:rStyle w:val="Hyperlink"/>
          </w:rPr>
          <w:t xml:space="preserve">5.8 </w:t>
        </w:r>
        <w:r w:rsidR="00DE3DF5" w:rsidRPr="00DE3DF5">
          <w:rPr>
            <w:rStyle w:val="Hyperlink"/>
          </w:rPr>
          <w:tab/>
          <w:t>Bénin</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_Toc373423168 \h </w:instrText>
        </w:r>
        <w:r w:rsidR="00DE3DF5" w:rsidRPr="00DE3DF5">
          <w:rPr>
            <w:rStyle w:val="Hyperlink"/>
            <w:webHidden/>
          </w:rPr>
        </w:r>
        <w:r w:rsidR="00DE3DF5" w:rsidRPr="00DE3DF5">
          <w:rPr>
            <w:rStyle w:val="Hyperlink"/>
            <w:webHidden/>
          </w:rPr>
          <w:fldChar w:fldCharType="separate"/>
        </w:r>
        <w:r w:rsidR="00846CA6">
          <w:rPr>
            <w:rStyle w:val="Hyperlink"/>
            <w:webHidden/>
          </w:rPr>
          <w:t>11</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69" w:history="1">
        <w:r w:rsidR="00DE3DF5" w:rsidRPr="00DE3DF5">
          <w:rPr>
            <w:rStyle w:val="Hyperlink"/>
          </w:rPr>
          <w:t xml:space="preserve">5.9 </w:t>
        </w:r>
        <w:r w:rsidR="00DE3DF5" w:rsidRPr="00DE3DF5">
          <w:rPr>
            <w:rStyle w:val="Hyperlink"/>
          </w:rPr>
          <w:tab/>
          <w:t>Inde</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_Toc373423169 \h </w:instrText>
        </w:r>
        <w:r w:rsidR="00DE3DF5" w:rsidRPr="00DE3DF5">
          <w:rPr>
            <w:rStyle w:val="Hyperlink"/>
            <w:webHidden/>
          </w:rPr>
        </w:r>
        <w:r w:rsidR="00DE3DF5" w:rsidRPr="00DE3DF5">
          <w:rPr>
            <w:rStyle w:val="Hyperlink"/>
            <w:webHidden/>
          </w:rPr>
          <w:fldChar w:fldCharType="separate"/>
        </w:r>
        <w:r w:rsidR="00846CA6">
          <w:rPr>
            <w:rStyle w:val="Hyperlink"/>
            <w:webHidden/>
          </w:rPr>
          <w:t>12</w:t>
        </w:r>
        <w:r w:rsidR="00DE3DF5" w:rsidRPr="00DE3DF5">
          <w:rPr>
            <w:rStyle w:val="Hyperlink"/>
            <w:webHidden/>
          </w:rPr>
          <w:fldChar w:fldCharType="end"/>
        </w:r>
      </w:hyperlink>
    </w:p>
    <w:p w:rsidR="00DE3DF5" w:rsidRPr="00DE3DF5" w:rsidRDefault="004C088A" w:rsidP="00DE3DF5">
      <w:pPr>
        <w:pStyle w:val="TOC1"/>
        <w:rPr>
          <w:rStyle w:val="Hyperlink"/>
        </w:rPr>
      </w:pPr>
      <w:hyperlink w:anchor="_Toc373423170" w:history="1">
        <w:r w:rsidR="00DE3DF5" w:rsidRPr="00DE3DF5">
          <w:rPr>
            <w:rStyle w:val="Hyperlink"/>
          </w:rPr>
          <w:t>6</w:t>
        </w:r>
        <w:r w:rsidR="00DE3DF5" w:rsidRPr="00DE3DF5">
          <w:rPr>
            <w:rStyle w:val="Hyperlink"/>
          </w:rPr>
          <w:tab/>
          <w:t xml:space="preserve">Projet de l'UIT en Amérique centrale sur les rayonnements électromagnétiques non ionisants </w:t>
        </w:r>
        <w:r w:rsidR="00DE3DF5">
          <w:rPr>
            <w:rStyle w:val="Hyperlink"/>
          </w:rPr>
          <w:br/>
        </w:r>
        <w:r w:rsidR="00DE3DF5" w:rsidRPr="00DE3DF5">
          <w:rPr>
            <w:rStyle w:val="Hyperlink"/>
          </w:rPr>
          <w:t>et sur la réglementation relative à l'exposition des personnes à ces rayonnements suite au déploiement des réseaux hertziens et des infrastructures associées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_Toc373423170 \h </w:instrText>
        </w:r>
        <w:r w:rsidR="00DE3DF5" w:rsidRPr="00DE3DF5">
          <w:rPr>
            <w:rStyle w:val="Hyperlink"/>
            <w:webHidden/>
          </w:rPr>
        </w:r>
        <w:r w:rsidR="00DE3DF5" w:rsidRPr="00DE3DF5">
          <w:rPr>
            <w:rStyle w:val="Hyperlink"/>
            <w:webHidden/>
          </w:rPr>
          <w:fldChar w:fldCharType="separate"/>
        </w:r>
        <w:r w:rsidR="00846CA6">
          <w:rPr>
            <w:rStyle w:val="Hyperlink"/>
            <w:webHidden/>
          </w:rPr>
          <w:t>13</w:t>
        </w:r>
        <w:r w:rsidR="00DE3DF5" w:rsidRPr="00DE3DF5">
          <w:rPr>
            <w:rStyle w:val="Hyperlink"/>
            <w:webHidden/>
          </w:rPr>
          <w:fldChar w:fldCharType="end"/>
        </w:r>
      </w:hyperlink>
    </w:p>
    <w:p w:rsidR="00DE3DF5" w:rsidRPr="00DE3DF5" w:rsidRDefault="004C088A" w:rsidP="00603859">
      <w:pPr>
        <w:pStyle w:val="TOC1"/>
        <w:rPr>
          <w:rStyle w:val="Hyperlink"/>
        </w:rPr>
      </w:pPr>
      <w:hyperlink w:anchor="_Toc373423171" w:history="1">
        <w:r w:rsidR="00DE3DF5" w:rsidRPr="00DE3DF5">
          <w:rPr>
            <w:rStyle w:val="Hyperlink"/>
          </w:rPr>
          <w:t>7</w:t>
        </w:r>
        <w:r w:rsidR="00DE3DF5" w:rsidRPr="00DE3DF5">
          <w:rPr>
            <w:rStyle w:val="Hyperlink"/>
          </w:rPr>
          <w:tab/>
          <w:t>Orientations à l'intention des Etats Membres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_Toc373423171 \h </w:instrText>
        </w:r>
        <w:r w:rsidR="00DE3DF5" w:rsidRPr="00DE3DF5">
          <w:rPr>
            <w:rStyle w:val="Hyperlink"/>
            <w:webHidden/>
          </w:rPr>
        </w:r>
        <w:r w:rsidR="00DE3DF5" w:rsidRPr="00DE3DF5">
          <w:rPr>
            <w:rStyle w:val="Hyperlink"/>
            <w:webHidden/>
          </w:rPr>
          <w:fldChar w:fldCharType="separate"/>
        </w:r>
        <w:r w:rsidR="00846CA6">
          <w:rPr>
            <w:rStyle w:val="Hyperlink"/>
            <w:webHidden/>
          </w:rPr>
          <w:t>17</w:t>
        </w:r>
        <w:r w:rsidR="00DE3DF5" w:rsidRPr="00DE3DF5">
          <w:rPr>
            <w:rStyle w:val="Hyperlink"/>
            <w:webHidden/>
          </w:rPr>
          <w:fldChar w:fldCharType="end"/>
        </w:r>
      </w:hyperlink>
    </w:p>
    <w:p w:rsidR="00DE3DF5" w:rsidRPr="00DE3DF5" w:rsidRDefault="004C088A" w:rsidP="00DE3DF5">
      <w:pPr>
        <w:pStyle w:val="TOC1"/>
        <w:rPr>
          <w:rStyle w:val="Hyperlink"/>
        </w:rPr>
      </w:pPr>
      <w:hyperlink w:anchor="_Toc373423172" w:history="1">
        <w:r w:rsidR="00DE3DF5" w:rsidRPr="00DE3DF5">
          <w:rPr>
            <w:rStyle w:val="Hyperlink"/>
          </w:rPr>
          <w:t>8</w:t>
        </w:r>
        <w:r w:rsidR="00DE3DF5" w:rsidRPr="00DE3DF5">
          <w:rPr>
            <w:rStyle w:val="Hyperlink"/>
          </w:rPr>
          <w:tab/>
          <w:t>Conclusion</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_Toc373423172 \h </w:instrText>
        </w:r>
        <w:r w:rsidR="00DE3DF5" w:rsidRPr="00DE3DF5">
          <w:rPr>
            <w:rStyle w:val="Hyperlink"/>
            <w:webHidden/>
          </w:rPr>
        </w:r>
        <w:r w:rsidR="00DE3DF5" w:rsidRPr="00DE3DF5">
          <w:rPr>
            <w:rStyle w:val="Hyperlink"/>
            <w:webHidden/>
          </w:rPr>
          <w:fldChar w:fldCharType="separate"/>
        </w:r>
        <w:r w:rsidR="00846CA6">
          <w:rPr>
            <w:rStyle w:val="Hyperlink"/>
            <w:webHidden/>
          </w:rPr>
          <w:t>19</w:t>
        </w:r>
        <w:r w:rsidR="00DE3DF5" w:rsidRPr="00DE3DF5">
          <w:rPr>
            <w:rStyle w:val="Hyperlink"/>
            <w:webHidden/>
          </w:rPr>
          <w:fldChar w:fldCharType="end"/>
        </w:r>
      </w:hyperlink>
    </w:p>
    <w:p w:rsidR="00DE3DF5" w:rsidRPr="00DE3DF5" w:rsidRDefault="004C088A" w:rsidP="00DE3DF5">
      <w:pPr>
        <w:pStyle w:val="TOC1"/>
        <w:rPr>
          <w:rStyle w:val="Hyperlink"/>
        </w:rPr>
      </w:pPr>
      <w:hyperlink w:anchor="_Toc373423173" w:history="1">
        <w:r w:rsidR="00DE3DF5" w:rsidRPr="00DE3DF5">
          <w:rPr>
            <w:rStyle w:val="Hyperlink"/>
          </w:rPr>
          <w:t>9</w:t>
        </w:r>
        <w:r w:rsidR="00DE3DF5" w:rsidRPr="00DE3DF5">
          <w:rPr>
            <w:rStyle w:val="Hyperlink"/>
          </w:rPr>
          <w:tab/>
          <w:t>Lignes directrices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_Toc373423173 \h </w:instrText>
        </w:r>
        <w:r w:rsidR="00DE3DF5" w:rsidRPr="00DE3DF5">
          <w:rPr>
            <w:rStyle w:val="Hyperlink"/>
            <w:webHidden/>
          </w:rPr>
        </w:r>
        <w:r w:rsidR="00DE3DF5" w:rsidRPr="00DE3DF5">
          <w:rPr>
            <w:rStyle w:val="Hyperlink"/>
            <w:webHidden/>
          </w:rPr>
          <w:fldChar w:fldCharType="separate"/>
        </w:r>
        <w:r w:rsidR="00846CA6">
          <w:rPr>
            <w:rStyle w:val="Hyperlink"/>
            <w:webHidden/>
          </w:rPr>
          <w:t>20</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74" w:history="1">
        <w:r w:rsidR="00DE3DF5" w:rsidRPr="00DE3DF5">
          <w:rPr>
            <w:rStyle w:val="Hyperlink"/>
          </w:rPr>
          <w:t>9.1</w:t>
        </w:r>
        <w:r w:rsidR="00DE3DF5" w:rsidRPr="00DE3DF5">
          <w:rPr>
            <w:rStyle w:val="Hyperlink"/>
          </w:rPr>
          <w:tab/>
          <w:t>Champ d'application des lignes directrices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_Toc373423174 \h </w:instrText>
        </w:r>
        <w:r w:rsidR="00DE3DF5" w:rsidRPr="00DE3DF5">
          <w:rPr>
            <w:rStyle w:val="Hyperlink"/>
            <w:webHidden/>
          </w:rPr>
        </w:r>
        <w:r w:rsidR="00DE3DF5" w:rsidRPr="00DE3DF5">
          <w:rPr>
            <w:rStyle w:val="Hyperlink"/>
            <w:webHidden/>
          </w:rPr>
          <w:fldChar w:fldCharType="separate"/>
        </w:r>
        <w:r w:rsidR="00846CA6">
          <w:rPr>
            <w:rStyle w:val="Hyperlink"/>
            <w:webHidden/>
          </w:rPr>
          <w:t>20</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75" w:history="1">
        <w:r w:rsidR="00DE3DF5" w:rsidRPr="00DE3DF5">
          <w:rPr>
            <w:rStyle w:val="Hyperlink"/>
          </w:rPr>
          <w:t>9.2</w:t>
        </w:r>
        <w:r w:rsidR="00DE3DF5" w:rsidRPr="00DE3DF5">
          <w:rPr>
            <w:rStyle w:val="Hyperlink"/>
          </w:rPr>
          <w:tab/>
          <w:t>Objectifs des lignes directrices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_Toc373423175 \h </w:instrText>
        </w:r>
        <w:r w:rsidR="00DE3DF5" w:rsidRPr="00DE3DF5">
          <w:rPr>
            <w:rStyle w:val="Hyperlink"/>
            <w:webHidden/>
          </w:rPr>
        </w:r>
        <w:r w:rsidR="00DE3DF5" w:rsidRPr="00DE3DF5">
          <w:rPr>
            <w:rStyle w:val="Hyperlink"/>
            <w:webHidden/>
          </w:rPr>
          <w:fldChar w:fldCharType="separate"/>
        </w:r>
        <w:r w:rsidR="00846CA6">
          <w:rPr>
            <w:rStyle w:val="Hyperlink"/>
            <w:webHidden/>
          </w:rPr>
          <w:t>20</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76" w:history="1">
        <w:r w:rsidR="00DE3DF5" w:rsidRPr="00DE3DF5">
          <w:rPr>
            <w:rStyle w:val="Hyperlink"/>
          </w:rPr>
          <w:t>9.3</w:t>
        </w:r>
        <w:r w:rsidR="00DE3DF5" w:rsidRPr="00DE3DF5">
          <w:rPr>
            <w:rStyle w:val="Hyperlink"/>
          </w:rPr>
          <w:tab/>
          <w:t>Principes régissant l'élaboration des lignes directrices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_Toc373423176 \h </w:instrText>
        </w:r>
        <w:r w:rsidR="00DE3DF5" w:rsidRPr="00DE3DF5">
          <w:rPr>
            <w:rStyle w:val="Hyperlink"/>
            <w:webHidden/>
          </w:rPr>
        </w:r>
        <w:r w:rsidR="00DE3DF5" w:rsidRPr="00DE3DF5">
          <w:rPr>
            <w:rStyle w:val="Hyperlink"/>
            <w:webHidden/>
          </w:rPr>
          <w:fldChar w:fldCharType="separate"/>
        </w:r>
        <w:r w:rsidR="00846CA6">
          <w:rPr>
            <w:rStyle w:val="Hyperlink"/>
            <w:webHidden/>
          </w:rPr>
          <w:t>21</w:t>
        </w:r>
        <w:r w:rsidR="00DE3DF5" w:rsidRPr="00DE3DF5">
          <w:rPr>
            <w:rStyle w:val="Hyperlink"/>
            <w:webHidden/>
          </w:rPr>
          <w:fldChar w:fldCharType="end"/>
        </w:r>
      </w:hyperlink>
    </w:p>
    <w:p w:rsidR="00DE3DF5" w:rsidRPr="00DE3DF5" w:rsidRDefault="004C088A" w:rsidP="00D24A7B">
      <w:pPr>
        <w:pStyle w:val="TOC2"/>
        <w:ind w:left="1134" w:hanging="567"/>
        <w:rPr>
          <w:rStyle w:val="Hyperlink"/>
        </w:rPr>
      </w:pPr>
      <w:hyperlink w:anchor="_Toc373423177" w:history="1">
        <w:r w:rsidR="00DE3DF5" w:rsidRPr="00DE3DF5">
          <w:rPr>
            <w:rStyle w:val="Hyperlink"/>
          </w:rPr>
          <w:t>9.4</w:t>
        </w:r>
        <w:r w:rsidR="00DE3DF5" w:rsidRPr="00DE3DF5">
          <w:rPr>
            <w:rStyle w:val="Hyperlink"/>
          </w:rPr>
          <w:tab/>
          <w:t>Obligations des opérateurs en ce qui concerne les rayonnements des champs électromagnétiques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_Toc373423177 \h </w:instrText>
        </w:r>
        <w:r w:rsidR="00DE3DF5" w:rsidRPr="00DE3DF5">
          <w:rPr>
            <w:rStyle w:val="Hyperlink"/>
            <w:webHidden/>
          </w:rPr>
        </w:r>
        <w:r w:rsidR="00DE3DF5" w:rsidRPr="00DE3DF5">
          <w:rPr>
            <w:rStyle w:val="Hyperlink"/>
            <w:webHidden/>
          </w:rPr>
          <w:fldChar w:fldCharType="separate"/>
        </w:r>
        <w:r w:rsidR="00846CA6">
          <w:rPr>
            <w:rStyle w:val="Hyperlink"/>
            <w:webHidden/>
          </w:rPr>
          <w:t>21</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78" w:history="1">
        <w:r w:rsidR="00DE3DF5" w:rsidRPr="00DE3DF5">
          <w:rPr>
            <w:rStyle w:val="Hyperlink"/>
          </w:rPr>
          <w:t>9.5</w:t>
        </w:r>
        <w:r w:rsidR="00DE3DF5" w:rsidRPr="00DE3DF5">
          <w:rPr>
            <w:rStyle w:val="Hyperlink"/>
          </w:rPr>
          <w:tab/>
          <w:t>Objectifs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_Toc373423178 \h </w:instrText>
        </w:r>
        <w:r w:rsidR="00DE3DF5" w:rsidRPr="00DE3DF5">
          <w:rPr>
            <w:rStyle w:val="Hyperlink"/>
            <w:webHidden/>
          </w:rPr>
        </w:r>
        <w:r w:rsidR="00DE3DF5" w:rsidRPr="00DE3DF5">
          <w:rPr>
            <w:rStyle w:val="Hyperlink"/>
            <w:webHidden/>
          </w:rPr>
          <w:fldChar w:fldCharType="separate"/>
        </w:r>
        <w:r w:rsidR="00846CA6">
          <w:rPr>
            <w:rStyle w:val="Hyperlink"/>
            <w:webHidden/>
          </w:rPr>
          <w:t>21</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79" w:history="1">
        <w:r w:rsidR="00DE3DF5" w:rsidRPr="00DE3DF5">
          <w:rPr>
            <w:rStyle w:val="Hyperlink"/>
          </w:rPr>
          <w:t>9.6</w:t>
        </w:r>
        <w:r w:rsidR="00DE3DF5" w:rsidRPr="00DE3DF5">
          <w:rPr>
            <w:rStyle w:val="Hyperlink"/>
          </w:rPr>
          <w:tab/>
          <w:t>Mesures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_Toc373423179 \h </w:instrText>
        </w:r>
        <w:r w:rsidR="00DE3DF5" w:rsidRPr="00DE3DF5">
          <w:rPr>
            <w:rStyle w:val="Hyperlink"/>
            <w:webHidden/>
          </w:rPr>
        </w:r>
        <w:r w:rsidR="00DE3DF5" w:rsidRPr="00DE3DF5">
          <w:rPr>
            <w:rStyle w:val="Hyperlink"/>
            <w:webHidden/>
          </w:rPr>
          <w:fldChar w:fldCharType="separate"/>
        </w:r>
        <w:r w:rsidR="00846CA6">
          <w:rPr>
            <w:rStyle w:val="Hyperlink"/>
            <w:webHidden/>
          </w:rPr>
          <w:t>22</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80" w:history="1">
        <w:r w:rsidR="00DE3DF5" w:rsidRPr="00DE3DF5">
          <w:rPr>
            <w:rStyle w:val="Hyperlink"/>
          </w:rPr>
          <w:t>9.7</w:t>
        </w:r>
        <w:r w:rsidR="00DE3DF5" w:rsidRPr="00DE3DF5">
          <w:rPr>
            <w:rStyle w:val="Hyperlink"/>
          </w:rPr>
          <w:tab/>
          <w:t>Publication des mesures par les régulateurs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_Toc373423180 \h </w:instrText>
        </w:r>
        <w:r w:rsidR="00DE3DF5" w:rsidRPr="00DE3DF5">
          <w:rPr>
            <w:rStyle w:val="Hyperlink"/>
            <w:webHidden/>
          </w:rPr>
        </w:r>
        <w:r w:rsidR="00DE3DF5" w:rsidRPr="00DE3DF5">
          <w:rPr>
            <w:rStyle w:val="Hyperlink"/>
            <w:webHidden/>
          </w:rPr>
          <w:fldChar w:fldCharType="separate"/>
        </w:r>
        <w:r w:rsidR="00846CA6">
          <w:rPr>
            <w:rStyle w:val="Hyperlink"/>
            <w:webHidden/>
          </w:rPr>
          <w:t>22</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81" w:history="1">
        <w:r w:rsidR="00DE3DF5" w:rsidRPr="00DE3DF5">
          <w:rPr>
            <w:rStyle w:val="Hyperlink"/>
          </w:rPr>
          <w:t>9.8</w:t>
        </w:r>
        <w:r w:rsidR="00DE3DF5" w:rsidRPr="00DE3DF5">
          <w:rPr>
            <w:rStyle w:val="Hyperlink"/>
          </w:rPr>
          <w:tab/>
          <w:t>Contenu et présentation des publications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_Toc373423181 \h </w:instrText>
        </w:r>
        <w:r w:rsidR="00DE3DF5" w:rsidRPr="00DE3DF5">
          <w:rPr>
            <w:rStyle w:val="Hyperlink"/>
            <w:webHidden/>
          </w:rPr>
        </w:r>
        <w:r w:rsidR="00DE3DF5" w:rsidRPr="00DE3DF5">
          <w:rPr>
            <w:rStyle w:val="Hyperlink"/>
            <w:webHidden/>
          </w:rPr>
          <w:fldChar w:fldCharType="separate"/>
        </w:r>
        <w:r w:rsidR="00846CA6">
          <w:rPr>
            <w:rStyle w:val="Hyperlink"/>
            <w:webHidden/>
          </w:rPr>
          <w:t>22</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82" w:history="1">
        <w:r w:rsidR="00DE3DF5" w:rsidRPr="00DE3DF5">
          <w:rPr>
            <w:rStyle w:val="Hyperlink"/>
          </w:rPr>
          <w:t>9.9</w:t>
        </w:r>
        <w:r w:rsidR="00DE3DF5" w:rsidRPr="00DE3DF5">
          <w:rPr>
            <w:rStyle w:val="Hyperlink"/>
          </w:rPr>
          <w:tab/>
          <w:t>Inspection et enquêtes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_Toc373423182 \h </w:instrText>
        </w:r>
        <w:r w:rsidR="00DE3DF5" w:rsidRPr="00DE3DF5">
          <w:rPr>
            <w:rStyle w:val="Hyperlink"/>
            <w:webHidden/>
          </w:rPr>
        </w:r>
        <w:r w:rsidR="00DE3DF5" w:rsidRPr="00DE3DF5">
          <w:rPr>
            <w:rStyle w:val="Hyperlink"/>
            <w:webHidden/>
          </w:rPr>
          <w:fldChar w:fldCharType="separate"/>
        </w:r>
        <w:r w:rsidR="00846CA6">
          <w:rPr>
            <w:rStyle w:val="Hyperlink"/>
            <w:webHidden/>
          </w:rPr>
          <w:t>23</w:t>
        </w:r>
        <w:r w:rsidR="00DE3DF5" w:rsidRPr="00DE3DF5">
          <w:rPr>
            <w:rStyle w:val="Hyperlink"/>
            <w:webHidden/>
          </w:rPr>
          <w:fldChar w:fldCharType="end"/>
        </w:r>
      </w:hyperlink>
    </w:p>
    <w:p w:rsidR="00DE3DF5" w:rsidRPr="00DE3DF5" w:rsidRDefault="004C088A" w:rsidP="00DE3DF5">
      <w:pPr>
        <w:pStyle w:val="TOC2"/>
        <w:rPr>
          <w:rStyle w:val="Hyperlink"/>
        </w:rPr>
      </w:pPr>
      <w:hyperlink w:anchor="_Toc373423183" w:history="1">
        <w:r w:rsidR="00DE3DF5" w:rsidRPr="00DE3DF5">
          <w:rPr>
            <w:rStyle w:val="Hyperlink"/>
          </w:rPr>
          <w:t>9.10</w:t>
        </w:r>
        <w:r w:rsidR="00DE3DF5" w:rsidRPr="00DE3DF5">
          <w:rPr>
            <w:rStyle w:val="Hyperlink"/>
          </w:rPr>
          <w:tab/>
          <w:t>Modification des lignes directrices</w:t>
        </w:r>
        <w:r w:rsidR="00DE3DF5" w:rsidRPr="00DE3DF5">
          <w:rPr>
            <w:rStyle w:val="Hyperlink"/>
            <w:webHidden/>
          </w:rPr>
          <w:tab/>
        </w:r>
        <w:r w:rsidR="00DE3DF5">
          <w:rPr>
            <w:rStyle w:val="Hyperlink"/>
            <w:webHidden/>
          </w:rPr>
          <w:tab/>
        </w:r>
        <w:r w:rsidR="00DE3DF5" w:rsidRPr="00DE3DF5">
          <w:rPr>
            <w:rStyle w:val="Hyperlink"/>
            <w:webHidden/>
          </w:rPr>
          <w:fldChar w:fldCharType="begin"/>
        </w:r>
        <w:r w:rsidR="00DE3DF5" w:rsidRPr="00DE3DF5">
          <w:rPr>
            <w:rStyle w:val="Hyperlink"/>
            <w:webHidden/>
          </w:rPr>
          <w:instrText xml:space="preserve"> PAGEREF _Toc373423183 \h </w:instrText>
        </w:r>
        <w:r w:rsidR="00DE3DF5" w:rsidRPr="00DE3DF5">
          <w:rPr>
            <w:rStyle w:val="Hyperlink"/>
            <w:webHidden/>
          </w:rPr>
        </w:r>
        <w:r w:rsidR="00DE3DF5" w:rsidRPr="00DE3DF5">
          <w:rPr>
            <w:rStyle w:val="Hyperlink"/>
            <w:webHidden/>
          </w:rPr>
          <w:fldChar w:fldCharType="separate"/>
        </w:r>
        <w:r w:rsidR="00846CA6">
          <w:rPr>
            <w:rStyle w:val="Hyperlink"/>
            <w:webHidden/>
          </w:rPr>
          <w:t>23</w:t>
        </w:r>
        <w:r w:rsidR="00DE3DF5" w:rsidRPr="00DE3DF5">
          <w:rPr>
            <w:rStyle w:val="Hyperlink"/>
            <w:webHidden/>
          </w:rPr>
          <w:fldChar w:fldCharType="end"/>
        </w:r>
      </w:hyperlink>
    </w:p>
    <w:p w:rsidR="00D24A7B" w:rsidRDefault="00D24A7B">
      <w:pPr>
        <w:spacing w:before="0"/>
        <w:jc w:val="left"/>
        <w:rPr>
          <w:rFonts w:eastAsia="SimSun" w:cs="Helvetica"/>
          <w:b/>
          <w:bCs/>
          <w:noProof/>
          <w:szCs w:val="28"/>
          <w:lang w:val="en-US"/>
        </w:rPr>
      </w:pPr>
      <w:r>
        <w:br w:type="page"/>
      </w:r>
    </w:p>
    <w:p w:rsidR="00D24A7B" w:rsidRDefault="00D24A7B" w:rsidP="00D24A7B">
      <w:pPr>
        <w:pStyle w:val="Toc0"/>
        <w:tabs>
          <w:tab w:val="clear" w:pos="9071"/>
          <w:tab w:val="right" w:pos="9214"/>
        </w:tabs>
        <w:rPr>
          <w:color w:val="005173"/>
          <w:lang w:val="en-GB"/>
        </w:rPr>
      </w:pPr>
      <w:r w:rsidRPr="00DD6562">
        <w:rPr>
          <w:lang w:val="en-GB"/>
        </w:rPr>
        <w:lastRenderedPageBreak/>
        <w:tab/>
      </w:r>
      <w:r w:rsidRPr="00695208">
        <w:rPr>
          <w:color w:val="005173"/>
          <w:lang w:val="en-GB"/>
        </w:rPr>
        <w:t>Page</w:t>
      </w:r>
    </w:p>
    <w:p w:rsidR="00DE3DF5" w:rsidRDefault="004C088A" w:rsidP="003B0B79">
      <w:pPr>
        <w:pStyle w:val="TOC1"/>
        <w:rPr>
          <w:lang w:eastAsia="zh-CN"/>
        </w:rPr>
      </w:pPr>
      <w:hyperlink w:anchor="_Toc373423184" w:history="1">
        <w:r w:rsidR="00DE3DF5" w:rsidRPr="00DE3DF5">
          <w:rPr>
            <w:rStyle w:val="Hyperlink"/>
            <w:lang w:val="fr-CH" w:eastAsia="zh-CN"/>
          </w:rPr>
          <w:t>I</w:t>
        </w:r>
        <w:r w:rsidR="00DE3DF5" w:rsidRPr="00DE3DF5">
          <w:rPr>
            <w:rStyle w:val="Hyperlink"/>
            <w:lang w:eastAsia="zh-CN"/>
          </w:rPr>
          <w:tab/>
        </w:r>
        <w:r w:rsidR="00DE3DF5" w:rsidRPr="00DE3DF5">
          <w:rPr>
            <w:rStyle w:val="Hyperlink"/>
            <w:lang w:val="fr-CH" w:eastAsia="zh-CN"/>
          </w:rPr>
          <w:t>Annexes</w:t>
        </w:r>
        <w:r w:rsidR="00DE3DF5" w:rsidRPr="00DE3DF5">
          <w:rPr>
            <w:rStyle w:val="Hyperlink"/>
            <w:webHidden/>
            <w:lang w:val="fr-CH" w:eastAsia="zh-CN"/>
          </w:rPr>
          <w:tab/>
        </w:r>
        <w:r w:rsidR="0054649D">
          <w:rPr>
            <w:rStyle w:val="Hyperlink"/>
            <w:webHidden/>
            <w:lang w:val="fr-CH" w:eastAsia="zh-CN"/>
          </w:rPr>
          <w:tab/>
        </w:r>
      </w:hyperlink>
      <w:r w:rsidR="00DE3DF5" w:rsidRPr="00DE3DF5">
        <w:rPr>
          <w:lang w:eastAsia="zh-CN"/>
        </w:rPr>
        <w:fldChar w:fldCharType="end"/>
      </w:r>
    </w:p>
    <w:p w:rsidR="003B0B79" w:rsidRPr="000F2A69" w:rsidRDefault="003B0B79" w:rsidP="003B0B79">
      <w:pPr>
        <w:pStyle w:val="TOC1"/>
        <w:rPr>
          <w:rStyle w:val="Hyperlink"/>
        </w:rPr>
      </w:pPr>
      <w:r w:rsidRPr="003B0B79">
        <w:t xml:space="preserve">Annex 1: </w:t>
      </w:r>
      <w:r w:rsidRPr="003B0B79">
        <w:tab/>
        <w:t>RF Exposure Units and Standards</w:t>
      </w:r>
      <w:r w:rsidRPr="003B0B79">
        <w:rPr>
          <w:webHidden/>
        </w:rPr>
        <w:tab/>
      </w:r>
      <w:r w:rsidRPr="003B0B79">
        <w:rPr>
          <w:webHidden/>
        </w:rPr>
        <w:tab/>
        <w:t>27</w:t>
      </w:r>
    </w:p>
    <w:p w:rsidR="003B0B79" w:rsidRPr="000F2A69" w:rsidRDefault="003B0B79" w:rsidP="003B0B79">
      <w:pPr>
        <w:pStyle w:val="TOC1"/>
        <w:rPr>
          <w:rStyle w:val="Hyperlink"/>
        </w:rPr>
      </w:pPr>
      <w:r w:rsidRPr="003B0B79">
        <w:t xml:space="preserve">Annex 2: </w:t>
      </w:r>
      <w:r w:rsidRPr="003B0B79">
        <w:tab/>
        <w:t>ICNIRP 1998 Exposure Levels and IEEE Levels</w:t>
      </w:r>
      <w:r w:rsidRPr="003B0B79">
        <w:rPr>
          <w:webHidden/>
        </w:rPr>
        <w:tab/>
      </w:r>
      <w:r w:rsidRPr="003B0B79">
        <w:rPr>
          <w:webHidden/>
        </w:rPr>
        <w:tab/>
        <w:t>28</w:t>
      </w:r>
    </w:p>
    <w:p w:rsidR="003B0B79" w:rsidRDefault="003B0B79" w:rsidP="003B0B79">
      <w:pPr>
        <w:pStyle w:val="TOC1"/>
        <w:rPr>
          <w:rFonts w:asciiTheme="minorHAnsi" w:eastAsiaTheme="minorEastAsia" w:hAnsiTheme="minorHAnsi" w:cstheme="minorBidi"/>
          <w:b w:val="0"/>
          <w:bCs w:val="0"/>
          <w:sz w:val="22"/>
          <w:szCs w:val="22"/>
          <w:lang w:eastAsia="zh-CN"/>
        </w:rPr>
      </w:pPr>
      <w:r w:rsidRPr="003B0B79">
        <w:t xml:space="preserve">Annex 3: </w:t>
      </w:r>
      <w:r>
        <w:rPr>
          <w:rFonts w:asciiTheme="minorHAnsi" w:eastAsiaTheme="minorEastAsia" w:hAnsiTheme="minorHAnsi" w:cstheme="minorBidi"/>
          <w:b w:val="0"/>
          <w:bCs w:val="0"/>
          <w:sz w:val="22"/>
          <w:szCs w:val="22"/>
          <w:lang w:eastAsia="zh-CN"/>
        </w:rPr>
        <w:tab/>
      </w:r>
      <w:r w:rsidRPr="003B0B79">
        <w:t>Mandate of Question 23/1 (WTDC-10/139 (Rev.1))*.</w:t>
      </w:r>
      <w:r>
        <w:rPr>
          <w:webHidden/>
        </w:rPr>
        <w:tab/>
      </w:r>
      <w:r>
        <w:rPr>
          <w:webHidden/>
        </w:rPr>
        <w:tab/>
        <w:t>31</w:t>
      </w:r>
    </w:p>
    <w:p w:rsidR="003B0B79" w:rsidRDefault="003B0B79" w:rsidP="003B0B79">
      <w:pPr>
        <w:pStyle w:val="TOC1"/>
        <w:ind w:left="1134" w:hanging="1134"/>
        <w:rPr>
          <w:rFonts w:asciiTheme="minorHAnsi" w:eastAsiaTheme="minorEastAsia" w:hAnsiTheme="minorHAnsi" w:cstheme="minorBidi"/>
          <w:b w:val="0"/>
          <w:bCs w:val="0"/>
          <w:sz w:val="22"/>
          <w:szCs w:val="22"/>
          <w:lang w:eastAsia="zh-CN"/>
        </w:rPr>
      </w:pPr>
      <w:r w:rsidRPr="003B0B79">
        <w:t xml:space="preserve">Annex 4: </w:t>
      </w:r>
      <w:r>
        <w:rPr>
          <w:rFonts w:asciiTheme="minorHAnsi" w:eastAsiaTheme="minorEastAsia" w:hAnsiTheme="minorHAnsi" w:cstheme="minorBidi"/>
          <w:b w:val="0"/>
          <w:bCs w:val="0"/>
          <w:sz w:val="22"/>
          <w:szCs w:val="22"/>
          <w:lang w:eastAsia="zh-CN"/>
        </w:rPr>
        <w:tab/>
      </w:r>
      <w:r w:rsidRPr="003B0B79">
        <w:t>WTSA-12 Resolution 72 on “Measurement concerns related to human exposure to electromagnetic fields”'</w:t>
      </w:r>
      <w:r>
        <w:rPr>
          <w:webHidden/>
        </w:rPr>
        <w:tab/>
      </w:r>
      <w:r>
        <w:rPr>
          <w:webHidden/>
        </w:rPr>
        <w:tab/>
        <w:t>32</w:t>
      </w:r>
    </w:p>
    <w:p w:rsidR="003B0B79" w:rsidRDefault="003B0B79" w:rsidP="003B0B79">
      <w:pPr>
        <w:pStyle w:val="TOC1"/>
        <w:ind w:left="1134" w:hanging="1134"/>
        <w:rPr>
          <w:rFonts w:asciiTheme="minorHAnsi" w:eastAsiaTheme="minorEastAsia" w:hAnsiTheme="minorHAnsi" w:cstheme="minorBidi"/>
          <w:b w:val="0"/>
          <w:bCs w:val="0"/>
          <w:sz w:val="22"/>
          <w:szCs w:val="22"/>
          <w:lang w:eastAsia="zh-CN"/>
        </w:rPr>
      </w:pPr>
      <w:r w:rsidRPr="003B0B79">
        <w:t xml:space="preserve">Annex 5: </w:t>
      </w:r>
      <w:r>
        <w:rPr>
          <w:rFonts w:asciiTheme="minorHAnsi" w:eastAsiaTheme="minorEastAsia" w:hAnsiTheme="minorHAnsi" w:cstheme="minorBidi"/>
          <w:b w:val="0"/>
          <w:bCs w:val="0"/>
          <w:sz w:val="22"/>
          <w:szCs w:val="22"/>
          <w:lang w:eastAsia="zh-CN"/>
        </w:rPr>
        <w:tab/>
      </w:r>
      <w:r w:rsidRPr="003B0B79">
        <w:t xml:space="preserve">WTDC-10 Resolution 62 on "Measurement concerns related to human exposure </w:t>
      </w:r>
      <w:r w:rsidRPr="003B0B79">
        <w:br/>
        <w:t>to EMF"</w:t>
      </w:r>
      <w:r>
        <w:rPr>
          <w:webHidden/>
        </w:rPr>
        <w:tab/>
      </w:r>
      <w:r>
        <w:rPr>
          <w:webHidden/>
        </w:rPr>
        <w:tab/>
        <w:t>35</w:t>
      </w:r>
    </w:p>
    <w:p w:rsidR="003B0B79" w:rsidRDefault="003B0B79" w:rsidP="003B0B79">
      <w:pPr>
        <w:pStyle w:val="TOC1"/>
        <w:ind w:left="1134" w:hanging="1134"/>
        <w:rPr>
          <w:rFonts w:asciiTheme="minorHAnsi" w:eastAsiaTheme="minorEastAsia" w:hAnsiTheme="minorHAnsi" w:cstheme="minorBidi"/>
          <w:b w:val="0"/>
          <w:bCs w:val="0"/>
          <w:sz w:val="22"/>
          <w:szCs w:val="22"/>
          <w:lang w:eastAsia="zh-CN"/>
        </w:rPr>
      </w:pPr>
      <w:r w:rsidRPr="003B0B79">
        <w:t xml:space="preserve">Annex 6: </w:t>
      </w:r>
      <w:r>
        <w:rPr>
          <w:rFonts w:asciiTheme="minorHAnsi" w:eastAsiaTheme="minorEastAsia" w:hAnsiTheme="minorHAnsi" w:cstheme="minorBidi"/>
          <w:b w:val="0"/>
          <w:bCs w:val="0"/>
          <w:sz w:val="22"/>
          <w:szCs w:val="22"/>
          <w:lang w:eastAsia="zh-CN"/>
        </w:rPr>
        <w:tab/>
      </w:r>
      <w:r w:rsidRPr="003B0B79">
        <w:t>Plenipotentiary Conference (PP-10) Resolution 176 on "Human exposure to and measurement of electromagnetic fields".</w:t>
      </w:r>
      <w:r>
        <w:rPr>
          <w:webHidden/>
        </w:rPr>
        <w:tab/>
      </w:r>
      <w:r>
        <w:rPr>
          <w:webHidden/>
        </w:rPr>
        <w:tab/>
        <w:t>37</w:t>
      </w:r>
    </w:p>
    <w:p w:rsidR="003B0B79" w:rsidRDefault="003B0B79" w:rsidP="003B0B79">
      <w:pPr>
        <w:pStyle w:val="TOC1"/>
        <w:rPr>
          <w:rFonts w:asciiTheme="minorHAnsi" w:eastAsiaTheme="minorEastAsia" w:hAnsiTheme="minorHAnsi" w:cstheme="minorBidi"/>
          <w:b w:val="0"/>
          <w:bCs w:val="0"/>
          <w:sz w:val="22"/>
          <w:szCs w:val="22"/>
          <w:lang w:eastAsia="zh-CN"/>
        </w:rPr>
      </w:pPr>
      <w:r w:rsidRPr="003B0B79">
        <w:t xml:space="preserve">Annex 7: </w:t>
      </w:r>
      <w:r>
        <w:rPr>
          <w:rFonts w:asciiTheme="minorHAnsi" w:eastAsiaTheme="minorEastAsia" w:hAnsiTheme="minorHAnsi" w:cstheme="minorBidi"/>
          <w:b w:val="0"/>
          <w:bCs w:val="0"/>
          <w:sz w:val="22"/>
          <w:szCs w:val="22"/>
          <w:lang w:eastAsia="zh-CN"/>
        </w:rPr>
        <w:tab/>
      </w:r>
      <w:r w:rsidRPr="003B0B79">
        <w:t>ITU Project in Central America Document</w:t>
      </w:r>
      <w:r>
        <w:rPr>
          <w:webHidden/>
        </w:rPr>
        <w:tab/>
      </w:r>
      <w:r>
        <w:rPr>
          <w:webHidden/>
        </w:rPr>
        <w:tab/>
        <w:t>39</w:t>
      </w:r>
    </w:p>
    <w:p w:rsidR="003B0B79" w:rsidRDefault="003B0B79" w:rsidP="003B0B79">
      <w:pPr>
        <w:pStyle w:val="TOC1"/>
        <w:rPr>
          <w:rFonts w:asciiTheme="minorHAnsi" w:eastAsiaTheme="minorEastAsia" w:hAnsiTheme="minorHAnsi" w:cstheme="minorBidi"/>
          <w:b w:val="0"/>
          <w:bCs w:val="0"/>
          <w:sz w:val="22"/>
          <w:szCs w:val="22"/>
          <w:lang w:eastAsia="zh-CN"/>
        </w:rPr>
      </w:pPr>
      <w:r w:rsidRPr="003B0B79">
        <w:t xml:space="preserve">Annex 8: </w:t>
      </w:r>
      <w:r>
        <w:rPr>
          <w:rFonts w:asciiTheme="minorHAnsi" w:eastAsiaTheme="minorEastAsia" w:hAnsiTheme="minorHAnsi" w:cstheme="minorBidi"/>
          <w:b w:val="0"/>
          <w:bCs w:val="0"/>
          <w:sz w:val="22"/>
          <w:szCs w:val="22"/>
          <w:lang w:eastAsia="zh-CN"/>
        </w:rPr>
        <w:tab/>
      </w:r>
      <w:r w:rsidRPr="003B0B79">
        <w:t>Q23/1 Work Plan</w:t>
      </w:r>
      <w:r>
        <w:rPr>
          <w:webHidden/>
        </w:rPr>
        <w:tab/>
      </w:r>
      <w:r>
        <w:rPr>
          <w:webHidden/>
        </w:rPr>
        <w:tab/>
        <w:t>40</w:t>
      </w:r>
    </w:p>
    <w:p w:rsidR="003B0B79" w:rsidRDefault="003B0B79" w:rsidP="003B0B79">
      <w:pPr>
        <w:pStyle w:val="TOC1"/>
        <w:rPr>
          <w:rFonts w:asciiTheme="minorHAnsi" w:eastAsiaTheme="minorEastAsia" w:hAnsiTheme="minorHAnsi" w:cstheme="minorBidi"/>
          <w:b w:val="0"/>
          <w:bCs w:val="0"/>
          <w:sz w:val="22"/>
          <w:szCs w:val="22"/>
          <w:lang w:eastAsia="zh-CN"/>
        </w:rPr>
      </w:pPr>
      <w:r w:rsidRPr="003B0B79">
        <w:t xml:space="preserve">Annex 9: </w:t>
      </w:r>
      <w:r>
        <w:rPr>
          <w:rFonts w:asciiTheme="minorHAnsi" w:eastAsiaTheme="minorEastAsia" w:hAnsiTheme="minorHAnsi" w:cstheme="minorBidi"/>
          <w:b w:val="0"/>
          <w:bCs w:val="0"/>
          <w:sz w:val="22"/>
          <w:szCs w:val="22"/>
          <w:lang w:eastAsia="zh-CN"/>
        </w:rPr>
        <w:tab/>
      </w:r>
      <w:r w:rsidRPr="003B0B79">
        <w:t>Documents for Q23/1</w:t>
      </w:r>
      <w:r>
        <w:rPr>
          <w:webHidden/>
        </w:rPr>
        <w:tab/>
      </w:r>
      <w:r>
        <w:rPr>
          <w:webHidden/>
        </w:rPr>
        <w:tab/>
        <w:t>42</w:t>
      </w:r>
    </w:p>
    <w:p w:rsidR="003B0B79" w:rsidRDefault="003B0B79" w:rsidP="003B0B79">
      <w:pPr>
        <w:pStyle w:val="TOC1"/>
        <w:rPr>
          <w:rFonts w:asciiTheme="minorHAnsi" w:eastAsiaTheme="minorEastAsia" w:hAnsiTheme="minorHAnsi" w:cstheme="minorBidi"/>
          <w:b w:val="0"/>
          <w:bCs w:val="0"/>
          <w:sz w:val="22"/>
          <w:szCs w:val="22"/>
          <w:lang w:eastAsia="zh-CN"/>
        </w:rPr>
      </w:pPr>
      <w:r w:rsidRPr="003B0B79">
        <w:t xml:space="preserve">Annex 10: </w:t>
      </w:r>
      <w:r>
        <w:rPr>
          <w:rFonts w:asciiTheme="minorHAnsi" w:eastAsiaTheme="minorEastAsia" w:hAnsiTheme="minorHAnsi" w:cstheme="minorBidi"/>
          <w:b w:val="0"/>
          <w:bCs w:val="0"/>
          <w:sz w:val="22"/>
          <w:szCs w:val="22"/>
          <w:lang w:eastAsia="zh-CN"/>
        </w:rPr>
        <w:tab/>
      </w:r>
      <w:r w:rsidRPr="003B0B79">
        <w:t>A case study from India on EMF</w:t>
      </w:r>
      <w:r>
        <w:rPr>
          <w:webHidden/>
        </w:rPr>
        <w:tab/>
      </w:r>
      <w:r>
        <w:rPr>
          <w:webHidden/>
        </w:rPr>
        <w:tab/>
        <w:t>43</w:t>
      </w:r>
    </w:p>
    <w:p w:rsidR="003B0B79" w:rsidRDefault="003B0B79" w:rsidP="003B0B79">
      <w:pPr>
        <w:pStyle w:val="TOC1"/>
        <w:rPr>
          <w:rFonts w:asciiTheme="minorHAnsi" w:eastAsiaTheme="minorEastAsia" w:hAnsiTheme="minorHAnsi" w:cstheme="minorBidi"/>
          <w:b w:val="0"/>
          <w:bCs w:val="0"/>
          <w:sz w:val="22"/>
          <w:szCs w:val="22"/>
          <w:lang w:eastAsia="zh-CN"/>
        </w:rPr>
      </w:pPr>
      <w:r w:rsidRPr="003B0B79">
        <w:t>II.</w:t>
      </w:r>
      <w:r>
        <w:rPr>
          <w:rFonts w:asciiTheme="minorHAnsi" w:eastAsiaTheme="minorEastAsia" w:hAnsiTheme="minorHAnsi" w:cstheme="minorBidi"/>
          <w:b w:val="0"/>
          <w:bCs w:val="0"/>
          <w:sz w:val="22"/>
          <w:szCs w:val="22"/>
          <w:lang w:eastAsia="zh-CN"/>
        </w:rPr>
        <w:tab/>
      </w:r>
      <w:r w:rsidRPr="003B0B79">
        <w:t>List of Contributions</w:t>
      </w:r>
      <w:r>
        <w:rPr>
          <w:webHidden/>
        </w:rPr>
        <w:tab/>
      </w:r>
      <w:r>
        <w:rPr>
          <w:webHidden/>
        </w:rPr>
        <w:tab/>
        <w:t>54</w:t>
      </w:r>
    </w:p>
    <w:p w:rsidR="003B0B79" w:rsidRDefault="003B0B79" w:rsidP="003B0B79">
      <w:pPr>
        <w:pStyle w:val="TOC1"/>
        <w:rPr>
          <w:rFonts w:asciiTheme="minorHAnsi" w:eastAsiaTheme="minorEastAsia" w:hAnsiTheme="minorHAnsi" w:cstheme="minorBidi"/>
          <w:b w:val="0"/>
          <w:bCs w:val="0"/>
          <w:sz w:val="22"/>
          <w:szCs w:val="22"/>
          <w:lang w:eastAsia="zh-CN"/>
        </w:rPr>
      </w:pPr>
      <w:r w:rsidRPr="003B0B79">
        <w:t>III.</w:t>
      </w:r>
      <w:r>
        <w:rPr>
          <w:rFonts w:asciiTheme="minorHAnsi" w:eastAsiaTheme="minorEastAsia" w:hAnsiTheme="minorHAnsi" w:cstheme="minorBidi"/>
          <w:b w:val="0"/>
          <w:bCs w:val="0"/>
          <w:sz w:val="22"/>
          <w:szCs w:val="22"/>
          <w:lang w:eastAsia="zh-CN"/>
        </w:rPr>
        <w:tab/>
      </w:r>
      <w:r w:rsidRPr="003B0B79">
        <w:t>References</w:t>
      </w:r>
      <w:r>
        <w:rPr>
          <w:webHidden/>
        </w:rPr>
        <w:tab/>
      </w:r>
      <w:r>
        <w:rPr>
          <w:webHidden/>
        </w:rPr>
        <w:tab/>
        <w:t>55</w:t>
      </w:r>
    </w:p>
    <w:p w:rsidR="003B0B79" w:rsidRPr="003B0B79" w:rsidRDefault="003B0B79" w:rsidP="00DE3DF5">
      <w:pPr>
        <w:rPr>
          <w:lang w:val="en-US" w:eastAsia="zh-CN"/>
        </w:rPr>
      </w:pPr>
    </w:p>
    <w:p w:rsidR="003B0B79" w:rsidRPr="003B0B79" w:rsidRDefault="003B0B79" w:rsidP="00DE3DF5">
      <w:pPr>
        <w:rPr>
          <w:lang w:val="en-US" w:eastAsia="zh-CN"/>
        </w:rPr>
      </w:pPr>
    </w:p>
    <w:p w:rsidR="003B0B79" w:rsidRPr="003B0B79" w:rsidRDefault="003B0B79" w:rsidP="00DE3DF5">
      <w:pPr>
        <w:rPr>
          <w:lang w:val="en-US" w:eastAsia="zh-CN"/>
        </w:rPr>
      </w:pPr>
    </w:p>
    <w:p w:rsidR="003B0B79" w:rsidRPr="003B0B79" w:rsidRDefault="003B0B79" w:rsidP="00DE3DF5">
      <w:pPr>
        <w:rPr>
          <w:lang w:val="en-US" w:eastAsia="zh-CN"/>
        </w:rPr>
      </w:pPr>
    </w:p>
    <w:p w:rsidR="00DE3DF5" w:rsidRPr="00122947" w:rsidRDefault="00122947" w:rsidP="00DE3DF5">
      <w:pPr>
        <w:rPr>
          <w:b/>
          <w:bCs/>
          <w:lang w:val="fr-CH" w:eastAsia="zh-CN"/>
        </w:rPr>
      </w:pPr>
      <w:r w:rsidRPr="00122947">
        <w:rPr>
          <w:b/>
          <w:bCs/>
          <w:lang w:val="fr-CH" w:eastAsia="zh-CN"/>
        </w:rPr>
        <w:t>FIGURES</w:t>
      </w:r>
    </w:p>
    <w:p w:rsidR="00DE3DF5" w:rsidRPr="00C409E7" w:rsidRDefault="00DE3DF5" w:rsidP="006D486F">
      <w:pPr>
        <w:pStyle w:val="TOC1"/>
        <w:rPr>
          <w:rStyle w:val="Hyperlink"/>
          <w:b w:val="0"/>
          <w:bCs w:val="0"/>
          <w:color w:val="auto"/>
          <w:u w:val="none"/>
          <w:lang w:val="fr-CH"/>
        </w:rPr>
      </w:pPr>
      <w:r w:rsidRPr="00C409E7">
        <w:rPr>
          <w:rStyle w:val="Hyperlink"/>
          <w:b w:val="0"/>
          <w:bCs w:val="0"/>
          <w:color w:val="auto"/>
          <w:u w:val="none"/>
          <w:lang w:val="fr-CH"/>
        </w:rPr>
        <w:t xml:space="preserve">Figure 1: Carte des rayonnements non ionisants à San Salvador </w:t>
      </w:r>
      <w:r w:rsidRPr="00C409E7">
        <w:rPr>
          <w:rStyle w:val="Hyperlink"/>
          <w:b w:val="0"/>
          <w:bCs w:val="0"/>
          <w:color w:val="auto"/>
          <w:u w:val="none"/>
          <w:lang w:val="fr-CH"/>
        </w:rPr>
        <w:tab/>
      </w:r>
      <w:r w:rsidRPr="00C409E7">
        <w:rPr>
          <w:rStyle w:val="Hyperlink"/>
          <w:b w:val="0"/>
          <w:bCs w:val="0"/>
          <w:color w:val="auto"/>
          <w:u w:val="none"/>
          <w:lang w:val="fr-CH"/>
        </w:rPr>
        <w:tab/>
        <w:t>1</w:t>
      </w:r>
      <w:r w:rsidR="006D486F">
        <w:rPr>
          <w:rStyle w:val="Hyperlink"/>
          <w:b w:val="0"/>
          <w:bCs w:val="0"/>
          <w:color w:val="auto"/>
          <w:u w:val="none"/>
          <w:lang w:val="fr-CH"/>
        </w:rPr>
        <w:t>6</w:t>
      </w:r>
    </w:p>
    <w:p w:rsidR="00DE3DF5" w:rsidRPr="00C409E7" w:rsidRDefault="00DE3DF5" w:rsidP="006D486F">
      <w:pPr>
        <w:pStyle w:val="TOC1"/>
        <w:rPr>
          <w:rStyle w:val="Hyperlink"/>
          <w:b w:val="0"/>
          <w:bCs w:val="0"/>
          <w:color w:val="auto"/>
          <w:u w:val="none"/>
          <w:lang w:val="fr-CH"/>
        </w:rPr>
      </w:pPr>
      <w:r w:rsidRPr="00C409E7">
        <w:rPr>
          <w:rStyle w:val="Hyperlink"/>
          <w:b w:val="0"/>
          <w:bCs w:val="0"/>
          <w:color w:val="auto"/>
          <w:u w:val="none"/>
          <w:lang w:val="fr-CH"/>
        </w:rPr>
        <w:t xml:space="preserve">Figure 2: Système de contrôle continu – "Contrôle populaire des rayonnements non ionisants" </w:t>
      </w:r>
      <w:r w:rsidRPr="00C409E7">
        <w:rPr>
          <w:rStyle w:val="Hyperlink"/>
          <w:b w:val="0"/>
          <w:bCs w:val="0"/>
          <w:color w:val="auto"/>
          <w:u w:val="none"/>
          <w:lang w:val="fr-CH"/>
        </w:rPr>
        <w:tab/>
      </w:r>
      <w:r w:rsidRPr="00C409E7">
        <w:rPr>
          <w:rStyle w:val="Hyperlink"/>
          <w:b w:val="0"/>
          <w:bCs w:val="0"/>
          <w:color w:val="auto"/>
          <w:u w:val="none"/>
          <w:lang w:val="fr-CH"/>
        </w:rPr>
        <w:tab/>
        <w:t>1</w:t>
      </w:r>
      <w:r w:rsidR="006D486F">
        <w:rPr>
          <w:rStyle w:val="Hyperlink"/>
          <w:b w:val="0"/>
          <w:bCs w:val="0"/>
          <w:color w:val="auto"/>
          <w:u w:val="none"/>
          <w:lang w:val="fr-CH"/>
        </w:rPr>
        <w:t>6</w:t>
      </w:r>
    </w:p>
    <w:p w:rsidR="00DE3DF5" w:rsidRPr="00C409E7" w:rsidRDefault="00DE3DF5" w:rsidP="006D486F">
      <w:pPr>
        <w:pStyle w:val="TOC1"/>
        <w:rPr>
          <w:rStyle w:val="Hyperlink"/>
          <w:b w:val="0"/>
          <w:bCs w:val="0"/>
          <w:color w:val="auto"/>
          <w:u w:val="none"/>
          <w:lang w:val="fr-CH"/>
        </w:rPr>
      </w:pPr>
      <w:r w:rsidRPr="00C409E7">
        <w:rPr>
          <w:rStyle w:val="Hyperlink"/>
          <w:b w:val="0"/>
          <w:bCs w:val="0"/>
          <w:color w:val="auto"/>
          <w:u w:val="none"/>
          <w:lang w:val="fr-CH"/>
        </w:rPr>
        <w:t>Figure 3: Système de contrôle continu d'El Salvador, Projet commun avec l'UIT</w:t>
      </w:r>
      <w:r w:rsidRPr="00C409E7">
        <w:rPr>
          <w:rStyle w:val="Hyperlink"/>
          <w:b w:val="0"/>
          <w:bCs w:val="0"/>
          <w:color w:val="auto"/>
          <w:u w:val="none"/>
          <w:lang w:val="fr-CH"/>
        </w:rPr>
        <w:tab/>
      </w:r>
      <w:r w:rsidRPr="00C409E7">
        <w:rPr>
          <w:rStyle w:val="Hyperlink"/>
          <w:b w:val="0"/>
          <w:bCs w:val="0"/>
          <w:color w:val="auto"/>
          <w:u w:val="none"/>
          <w:lang w:val="fr-CH"/>
        </w:rPr>
        <w:tab/>
        <w:t>1</w:t>
      </w:r>
      <w:r w:rsidR="006D486F">
        <w:rPr>
          <w:rStyle w:val="Hyperlink"/>
          <w:b w:val="0"/>
          <w:bCs w:val="0"/>
          <w:color w:val="auto"/>
          <w:u w:val="none"/>
          <w:lang w:val="fr-CH"/>
        </w:rPr>
        <w:t>7</w:t>
      </w:r>
    </w:p>
    <w:p w:rsidR="00DE3DF5" w:rsidRPr="00DE3DF5" w:rsidRDefault="00DE3DF5" w:rsidP="00DE3DF5">
      <w:pPr>
        <w:rPr>
          <w:lang w:eastAsia="zh-CN"/>
        </w:rPr>
      </w:pPr>
    </w:p>
    <w:p w:rsidR="00DE3DF5" w:rsidRPr="00DE3DF5" w:rsidRDefault="00DE3DF5" w:rsidP="00DE3DF5">
      <w:pPr>
        <w:rPr>
          <w:lang w:val="fr-CH" w:eastAsia="zh-CN"/>
        </w:rPr>
      </w:pPr>
    </w:p>
    <w:p w:rsidR="00DE3DF5" w:rsidRPr="00DE3DF5" w:rsidRDefault="00DE3DF5" w:rsidP="00DE3DF5">
      <w:pPr>
        <w:rPr>
          <w:lang w:val="fr-CH" w:eastAsia="zh-CN"/>
        </w:rPr>
      </w:pPr>
    </w:p>
    <w:p w:rsidR="00D240F2" w:rsidRPr="00C409E7" w:rsidRDefault="00D240F2" w:rsidP="00F22C89">
      <w:pPr>
        <w:rPr>
          <w:noProof/>
          <w:lang w:val="fr-CH" w:eastAsia="zh-CN"/>
        </w:rPr>
      </w:pPr>
    </w:p>
    <w:p w:rsidR="004D77DC" w:rsidRDefault="004D77DC" w:rsidP="000560EE">
      <w:pPr>
        <w:sectPr w:rsidR="004D77DC" w:rsidSect="004D77DC">
          <w:headerReference w:type="even" r:id="rId15"/>
          <w:headerReference w:type="default" r:id="rId16"/>
          <w:footerReference w:type="even" r:id="rId17"/>
          <w:footerReference w:type="default" r:id="rId18"/>
          <w:endnotePr>
            <w:numFmt w:val="decimal"/>
          </w:endnotePr>
          <w:pgSz w:w="11907" w:h="16840" w:code="9"/>
          <w:pgMar w:top="1418" w:right="1418" w:bottom="1418" w:left="1418" w:header="709" w:footer="709" w:gutter="0"/>
          <w:pgNumType w:fmt="lowerRoman" w:start="3"/>
          <w:cols w:space="708"/>
          <w:docGrid w:linePitch="360"/>
        </w:sectPr>
      </w:pPr>
      <w:bookmarkStart w:id="17" w:name="_Toc360201744"/>
      <w:bookmarkEnd w:id="14"/>
      <w:bookmarkEnd w:id="15"/>
    </w:p>
    <w:p w:rsidR="00585FA8" w:rsidRPr="000A61C2" w:rsidRDefault="00585FA8" w:rsidP="000A61C2">
      <w:pPr>
        <w:pStyle w:val="Chapttitle"/>
        <w:spacing w:before="480"/>
        <w:rPr>
          <w:lang w:val="fr-CH"/>
        </w:rPr>
      </w:pPr>
      <w:r w:rsidRPr="000A61C2">
        <w:rPr>
          <w:lang w:val="fr-CH"/>
        </w:rPr>
        <w:lastRenderedPageBreak/>
        <w:t>QUESTION 23/1</w:t>
      </w:r>
      <w:bookmarkEnd w:id="17"/>
      <w:r w:rsidRPr="000A61C2">
        <w:rPr>
          <w:lang w:val="fr-CH"/>
        </w:rPr>
        <w:br/>
      </w:r>
      <w:r w:rsidR="000A61C2" w:rsidRPr="000A61C2">
        <w:rPr>
          <w:lang w:val="fr-CH"/>
        </w:rPr>
        <w:t>Stratégies et politiques concernant l'exposition des personnes aux champs électromagnétiques</w:t>
      </w:r>
    </w:p>
    <w:p w:rsidR="005A3227" w:rsidRPr="00C409E7" w:rsidRDefault="005A3227" w:rsidP="00603859">
      <w:pPr>
        <w:pStyle w:val="Heading1"/>
        <w:rPr>
          <w:smallCaps/>
          <w:lang w:val="fr-CH"/>
        </w:rPr>
      </w:pPr>
      <w:bookmarkStart w:id="18" w:name="_Toc373423156"/>
      <w:bookmarkStart w:id="19" w:name="_Toc364674009"/>
      <w:r w:rsidRPr="00C409E7">
        <w:rPr>
          <w:lang w:val="fr-CH"/>
        </w:rPr>
        <w:t>1</w:t>
      </w:r>
      <w:r w:rsidR="00C579B5" w:rsidRPr="00C409E7">
        <w:rPr>
          <w:lang w:val="fr-CH"/>
        </w:rPr>
        <w:tab/>
      </w:r>
      <w:r w:rsidRPr="00C409E7">
        <w:rPr>
          <w:lang w:val="fr-CH"/>
        </w:rPr>
        <w:t>Rappels</w:t>
      </w:r>
      <w:bookmarkEnd w:id="18"/>
    </w:p>
    <w:bookmarkEnd w:id="19"/>
    <w:p w:rsidR="005A3227" w:rsidRPr="00CA4936" w:rsidRDefault="005A3227" w:rsidP="005A3227">
      <w:pPr>
        <w:rPr>
          <w:bCs/>
        </w:rPr>
      </w:pPr>
      <w:r w:rsidRPr="00CA4936">
        <w:rPr>
          <w:rFonts w:cs="Arial"/>
          <w:bCs/>
        </w:rPr>
        <w:t>1.1</w:t>
      </w:r>
      <w:r w:rsidRPr="00CA4936">
        <w:rPr>
          <w:rFonts w:cs="Arial"/>
          <w:bCs/>
        </w:rPr>
        <w:tab/>
      </w:r>
      <w:r w:rsidRPr="00CA4936">
        <w:rPr>
          <w:bCs/>
        </w:rPr>
        <w:t>La mise en service de différentes sources de champs électromagnétiques pour répondre aux besoins des communautés urbaines et rurales dans le domaine des technologies de l'information et de la communication (TIC) a progressé très rapidement ces dernières années. L'ouverture à la concurrence, la croissance du trafic, les exigences en matière de qualité de service, la couverture du réseau et la mise en service des technologies nouvelles sont le résultat de ce "boom" des communications. En conséquence, le public s'inquiète des risques possibles pour la santé humaine de l'exposition prolongée à des signaux radioélectriques produits par des installations de communication.</w:t>
      </w:r>
    </w:p>
    <w:p w:rsidR="005A3227" w:rsidRPr="00CA4936" w:rsidRDefault="005A3227" w:rsidP="005A3227">
      <w:pPr>
        <w:rPr>
          <w:rFonts w:ascii="Times New Roman" w:eastAsia="SimSun" w:hAnsi="Times New Roman"/>
          <w:bCs/>
          <w:sz w:val="24"/>
          <w:szCs w:val="24"/>
        </w:rPr>
      </w:pPr>
      <w:r w:rsidRPr="00CA4936">
        <w:rPr>
          <w:rFonts w:cs="Arial"/>
          <w:bCs/>
        </w:rPr>
        <w:t>1.2</w:t>
      </w:r>
      <w:r w:rsidRPr="00CA4936">
        <w:rPr>
          <w:rFonts w:cs="Arial"/>
          <w:bCs/>
        </w:rPr>
        <w:tab/>
      </w:r>
      <w:r w:rsidRPr="00CA4936">
        <w:rPr>
          <w:bCs/>
        </w:rPr>
        <w:t xml:space="preserve">Selon </w:t>
      </w:r>
      <w:proofErr w:type="gramStart"/>
      <w:r w:rsidRPr="00CA4936">
        <w:rPr>
          <w:bCs/>
        </w:rPr>
        <w:t>la base de données statistiques</w:t>
      </w:r>
      <w:proofErr w:type="gramEnd"/>
      <w:r w:rsidRPr="00CA4936">
        <w:rPr>
          <w:bCs/>
        </w:rPr>
        <w:t xml:space="preserve"> de l'Union internationale des télécommunications (UIT), en 2011, on comptait dans le monde quelque 6 milliards (précisément 5,9 milliards) d'abonnements au cellulaire mobile, et le taux de pénétration atteignait 87% dans le monde et 79% dans les pays en développement</w:t>
      </w:r>
      <w:r w:rsidRPr="00CA4936">
        <w:rPr>
          <w:rStyle w:val="FootnoteReference"/>
          <w:rFonts w:ascii="Verdana" w:hAnsi="Verdana"/>
          <w:bCs/>
          <w:sz w:val="16"/>
          <w:szCs w:val="16"/>
        </w:rPr>
        <w:footnoteReference w:id="2"/>
      </w:r>
      <w:r w:rsidRPr="00CA4936">
        <w:rPr>
          <w:bCs/>
        </w:rPr>
        <w:t>. Alors que cette croissance se poursuit, le nombre d'utilisateurs du mobile, et donc de stations de base, devrait augmenter.</w:t>
      </w:r>
      <w:r w:rsidRPr="00CA4936">
        <w:rPr>
          <w:rFonts w:ascii="Times New Roman" w:eastAsia="SimSun" w:hAnsi="Times New Roman"/>
          <w:bCs/>
          <w:sz w:val="24"/>
          <w:szCs w:val="24"/>
        </w:rPr>
        <w:t xml:space="preserve"> </w:t>
      </w:r>
    </w:p>
    <w:p w:rsidR="005A3227" w:rsidRPr="00CA4936" w:rsidRDefault="005A3227" w:rsidP="005A3227">
      <w:pPr>
        <w:rPr>
          <w:bCs/>
        </w:rPr>
      </w:pPr>
      <w:r w:rsidRPr="00CA4936">
        <w:rPr>
          <w:rFonts w:cs="Arial"/>
          <w:bCs/>
          <w:szCs w:val="19"/>
        </w:rPr>
        <w:t>1.3</w:t>
      </w:r>
      <w:r w:rsidRPr="00CA4936">
        <w:rPr>
          <w:rFonts w:cs="Arial"/>
          <w:bCs/>
          <w:szCs w:val="19"/>
        </w:rPr>
        <w:tab/>
      </w:r>
      <w:r w:rsidRPr="00CA4936">
        <w:rPr>
          <w:bCs/>
        </w:rPr>
        <w:t xml:space="preserve">Les inquiétudes du public concernant les effets potentiellement préjudiciables de l'exposition aux signaux radioélectriques émis par des équipements de télécommunication sont exacerbées par le fait que la population n'est pas toujours consultée lors de l'installation de ces équipements. Le fait que les éléments attestant des effets préjudiciables potentiels de l'exposition aux fréquences radioélectriques concernent l'ensemble de la population a donné lieu à de nombreuses conclusions, notamment la perception d'une possibilité de risque sanitaire décrite comme sérieuse dans certains pays du monde. Le présent Rapport est augmenté d'une étude des initiatives prises par certains pays en vue d'atténuer cette perception négative de l'exposition aux fréquences radioélectriques. </w:t>
      </w:r>
    </w:p>
    <w:p w:rsidR="005A3227" w:rsidRPr="00CA4936" w:rsidRDefault="005A3227" w:rsidP="005A3227">
      <w:pPr>
        <w:rPr>
          <w:rFonts w:cs="Arial"/>
          <w:bCs/>
          <w:szCs w:val="19"/>
        </w:rPr>
      </w:pPr>
      <w:r w:rsidRPr="00CA4936">
        <w:rPr>
          <w:rFonts w:cs="Arial"/>
          <w:bCs/>
          <w:szCs w:val="19"/>
        </w:rPr>
        <w:t>1.4</w:t>
      </w:r>
      <w:r w:rsidRPr="00CA4936">
        <w:rPr>
          <w:rFonts w:cs="Arial"/>
          <w:bCs/>
          <w:szCs w:val="19"/>
        </w:rPr>
        <w:tab/>
        <w:t>On observe un afflux de téléphones mobiles de certains pays dans d'autres, et il est difficile de contrôler et de surveiller ces dispositifs. En outre, on note des inquiétudes concernant la difficulté de vérifier la conformité du DAS des téléphones mobiles, qui vient du fait qu'il peut être difficile de se procurer les dispositifs conçus à cet effet. Il est nécessaire de surveiller les émissions des stations de base, ce qui nécessite des outils de contrôle ainsi que des experts à même d'utiliser ces dispositifs.</w:t>
      </w:r>
    </w:p>
    <w:p w:rsidR="005A3227" w:rsidRPr="00CA4936" w:rsidRDefault="005A3227" w:rsidP="005A3227">
      <w:pPr>
        <w:rPr>
          <w:rFonts w:cs="Arial"/>
          <w:bCs/>
          <w:szCs w:val="19"/>
        </w:rPr>
      </w:pPr>
      <w:r w:rsidRPr="00CA4936">
        <w:rPr>
          <w:rFonts w:cs="Arial"/>
          <w:bCs/>
          <w:szCs w:val="19"/>
        </w:rPr>
        <w:t>1.5</w:t>
      </w:r>
      <w:r w:rsidRPr="00CA4936">
        <w:rPr>
          <w:rFonts w:cs="Arial"/>
          <w:bCs/>
          <w:szCs w:val="19"/>
        </w:rPr>
        <w:tab/>
      </w:r>
      <w:r w:rsidRPr="00CA4936">
        <w:rPr>
          <w:bCs/>
        </w:rPr>
        <w:t>Pour gagner la confiance du public (des consommateurs) – ce qui est impératif en raison du développement continu des radiocommunications – la Commission d'études 5 (CE 5) du Secteur de la normalisation de l'UIT (UIT-T) et le Groupe de travail 1C (GT 1C) de la Commission d'études 1 (CE 1) du Secteur des radiocommunications (UIT-R) ont mené des études sur les mesures des rayonnements non ionisants, principalement en vue de fournir des informations sur les équipements/instruments et les procédures à utiliser lors de ces mesures.</w:t>
      </w:r>
    </w:p>
    <w:p w:rsidR="005A3227" w:rsidRPr="00CA4936" w:rsidRDefault="005A3227" w:rsidP="004C088A">
      <w:pPr>
        <w:rPr>
          <w:rFonts w:cs="Arial"/>
          <w:szCs w:val="19"/>
        </w:rPr>
      </w:pPr>
      <w:r w:rsidRPr="00CA4936">
        <w:rPr>
          <w:rFonts w:cs="Arial"/>
          <w:szCs w:val="19"/>
        </w:rPr>
        <w:t>1.6</w:t>
      </w:r>
      <w:r w:rsidRPr="00CA4936">
        <w:rPr>
          <w:rFonts w:cs="Arial"/>
          <w:szCs w:val="19"/>
        </w:rPr>
        <w:tab/>
      </w:r>
      <w:r w:rsidRPr="00CA4936">
        <w:t xml:space="preserve">La CE 1 du Secteur du développement des télécommunications (UIT-D) mène à bien ces études, au titre de la Question 23/1, </w:t>
      </w:r>
      <w:bookmarkStart w:id="20" w:name="_GoBack"/>
      <w:bookmarkEnd w:id="20"/>
      <w:r w:rsidRPr="00CA4936">
        <w:t>pour mieux sensibiliser et informer les populations, ainsi que pour faciliter le déploiement et l'exploitation des systèmes de radiocommunication.</w:t>
      </w:r>
    </w:p>
    <w:p w:rsidR="004C088A" w:rsidRDefault="004C088A">
      <w:pPr>
        <w:spacing w:before="0"/>
        <w:jc w:val="left"/>
        <w:rPr>
          <w:bCs/>
          <w:szCs w:val="19"/>
        </w:rPr>
      </w:pPr>
      <w:r>
        <w:rPr>
          <w:bCs/>
          <w:szCs w:val="19"/>
        </w:rPr>
        <w:br w:type="page"/>
      </w:r>
    </w:p>
    <w:p w:rsidR="005A3227" w:rsidRPr="00CA4936" w:rsidRDefault="005A3227" w:rsidP="005A3227">
      <w:pPr>
        <w:rPr>
          <w:bCs/>
          <w:szCs w:val="19"/>
        </w:rPr>
      </w:pPr>
      <w:r w:rsidRPr="00CA4936">
        <w:rPr>
          <w:bCs/>
          <w:szCs w:val="19"/>
        </w:rPr>
        <w:lastRenderedPageBreak/>
        <w:t>1.7</w:t>
      </w:r>
      <w:r w:rsidRPr="00CA4936">
        <w:rPr>
          <w:bCs/>
          <w:szCs w:val="19"/>
        </w:rPr>
        <w:tab/>
        <w:t>La Question 23/1 "</w:t>
      </w:r>
      <w:r w:rsidRPr="00CA4936">
        <w:rPr>
          <w:bCs/>
        </w:rPr>
        <w:t>Stratégies et politiques concernant l'exposition des personnes aux champs électromagnétiques" vise à recueillir et analyser les politiques de réglementation mises en œuvre ou envisagées dans différents pays en ce qui concerne l'autorisation d'installer des équipements de radiocommunication. Cette démarche résulte des perceptions d'un risque lié à l'exposition prolongée à des émissions provenant d'équipements de radiocommunication.</w:t>
      </w:r>
    </w:p>
    <w:p w:rsidR="005A3227" w:rsidRPr="00CA4936" w:rsidRDefault="005A3227" w:rsidP="005A3227">
      <w:pPr>
        <w:rPr>
          <w:bCs/>
          <w:szCs w:val="19"/>
        </w:rPr>
      </w:pPr>
      <w:r w:rsidRPr="00CA4936">
        <w:rPr>
          <w:bCs/>
          <w:szCs w:val="19"/>
        </w:rPr>
        <w:t>1.8</w:t>
      </w:r>
      <w:r w:rsidRPr="00CA4936">
        <w:rPr>
          <w:bCs/>
          <w:szCs w:val="19"/>
        </w:rPr>
        <w:tab/>
        <w:t>Etant donné que les études en cours ne permettent pas de conclure à la dangerosité de l'exposition des personnes, il importe d'informer les consommateurs, afin de dissiper les craintes et de favoriser le déploiement des équipements de communication. Il a été établi que dans certains pays, la mise en place d'applications terrestres (aux fins du déploiement des réseaux) par les opérateurs publics de télécommunication se heurtait à un rejet. Dans certains cas, des individus qui sont tombés malades en attribuent la responsabilité aux fournisseurs de services de communication, l'exposition aux fréquences radioélectriques des équipements de ces fournisseurs étant selon eux la cause de leur maladie.</w:t>
      </w:r>
    </w:p>
    <w:p w:rsidR="005A3227" w:rsidRPr="00CA4936" w:rsidRDefault="005A3227" w:rsidP="005A3227">
      <w:pPr>
        <w:rPr>
          <w:bCs/>
          <w:szCs w:val="19"/>
        </w:rPr>
      </w:pPr>
      <w:r w:rsidRPr="00CA4936">
        <w:rPr>
          <w:bCs/>
          <w:szCs w:val="19"/>
        </w:rPr>
        <w:t>1.9</w:t>
      </w:r>
      <w:r w:rsidRPr="00CA4936">
        <w:rPr>
          <w:bCs/>
          <w:szCs w:val="19"/>
        </w:rPr>
        <w:tab/>
        <w:t>Par conséquent, il était impératif que l'UIT prenne position en élaborant des lignes directrices à l'intention des États Membres, afin d'éviter que la population ne s'oppose au déploiement des réseaux de communication, tout en prenant des mesures de précaution pour écarter tout effet nocif éventuel lié à une exposition prolongée aux fréquences radioélectriques.</w:t>
      </w:r>
    </w:p>
    <w:p w:rsidR="005A3227" w:rsidRPr="00CA4936" w:rsidRDefault="005A3227" w:rsidP="005A3227">
      <w:pPr>
        <w:keepNext/>
        <w:keepLines/>
        <w:rPr>
          <w:rFonts w:cs="Arial"/>
          <w:bCs/>
          <w:szCs w:val="19"/>
        </w:rPr>
      </w:pPr>
      <w:r w:rsidRPr="00CA4936">
        <w:rPr>
          <w:rFonts w:cs="Arial"/>
          <w:bCs/>
          <w:szCs w:val="19"/>
        </w:rPr>
        <w:t>1.10</w:t>
      </w:r>
      <w:r w:rsidRPr="00CA4936">
        <w:rPr>
          <w:rFonts w:cs="Arial"/>
          <w:bCs/>
          <w:szCs w:val="19"/>
        </w:rPr>
        <w:tab/>
        <w:t>L'Assemblée mondiale de normalisation des télécommunications (AMNT-12) réunie en 2012 à Dubaï a adopté la Résolution suivante:</w:t>
      </w:r>
    </w:p>
    <w:p w:rsidR="005A3227" w:rsidRPr="00CA4936" w:rsidRDefault="005A3227" w:rsidP="00271334">
      <w:pPr>
        <w:pStyle w:val="Enumlevel1"/>
        <w:rPr>
          <w:bCs/>
          <w:lang w:val="fr-CH"/>
        </w:rPr>
      </w:pPr>
      <w:r w:rsidRPr="00CA4936">
        <w:rPr>
          <w:bCs/>
          <w:lang w:val="fr-CH"/>
        </w:rPr>
        <w:t>–</w:t>
      </w:r>
      <w:r w:rsidRPr="00CA4936">
        <w:rPr>
          <w:bCs/>
          <w:lang w:val="fr-CH"/>
        </w:rPr>
        <w:tab/>
        <w:t>Résolution 72 "Problèmes de mesure liés à l'exposition des personnes aux champs électromagnétiques".</w:t>
      </w:r>
    </w:p>
    <w:p w:rsidR="005A3227" w:rsidRPr="00CA4936" w:rsidRDefault="005A3227" w:rsidP="005A3227">
      <w:pPr>
        <w:rPr>
          <w:bCs/>
        </w:rPr>
      </w:pPr>
      <w:r w:rsidRPr="00CA4936">
        <w:rPr>
          <w:rFonts w:cs="Arial"/>
          <w:bCs/>
        </w:rPr>
        <w:t>1.11</w:t>
      </w:r>
      <w:r w:rsidRPr="00CA4936">
        <w:rPr>
          <w:rFonts w:cs="Arial"/>
          <w:bCs/>
        </w:rPr>
        <w:tab/>
      </w:r>
      <w:r w:rsidRPr="00CA4936">
        <w:rPr>
          <w:bCs/>
        </w:rPr>
        <w:t>En outre, la cinquième Conférence mondiale de développement des télécommunications (CMDT</w:t>
      </w:r>
      <w:r w:rsidRPr="00CA4936">
        <w:rPr>
          <w:bCs/>
        </w:rPr>
        <w:noBreakHyphen/>
        <w:t>10), tenue à Hyderabad (Inde) en 2010, a approuvé les documents suivants:</w:t>
      </w:r>
    </w:p>
    <w:p w:rsidR="005A3227" w:rsidRPr="00CA4936" w:rsidRDefault="005A3227" w:rsidP="00271334">
      <w:pPr>
        <w:pStyle w:val="Enumlevel1"/>
        <w:rPr>
          <w:bCs/>
          <w:lang w:val="fr-CH"/>
        </w:rPr>
      </w:pPr>
      <w:r w:rsidRPr="00CA4936">
        <w:rPr>
          <w:bCs/>
          <w:lang w:val="fr-CH"/>
        </w:rPr>
        <w:t>–</w:t>
      </w:r>
      <w:r w:rsidRPr="00CA4936">
        <w:rPr>
          <w:bCs/>
          <w:lang w:val="fr-CH"/>
        </w:rPr>
        <w:tab/>
        <w:t>Résolution 62 "Problèmes de mesure liés à l'exposition des personnes aux champs électromagnétiques".</w:t>
      </w:r>
    </w:p>
    <w:p w:rsidR="005A3227" w:rsidRPr="00CA4936" w:rsidRDefault="005A3227" w:rsidP="00271334">
      <w:pPr>
        <w:pStyle w:val="Enumlevel1"/>
        <w:rPr>
          <w:bCs/>
          <w:lang w:val="fr-CH"/>
        </w:rPr>
      </w:pPr>
      <w:r w:rsidRPr="00CA4936">
        <w:rPr>
          <w:bCs/>
          <w:lang w:val="fr-CH"/>
        </w:rPr>
        <w:t>–</w:t>
      </w:r>
      <w:r w:rsidRPr="00CA4936">
        <w:rPr>
          <w:bCs/>
          <w:lang w:val="fr-CH"/>
        </w:rPr>
        <w:tab/>
        <w:t>Question 23/1 de la Commission d'études 1 de l'UIT-D: "Stratégies et politiques concernant l'exposition des personnes aux champs électromagnétiques".</w:t>
      </w:r>
    </w:p>
    <w:p w:rsidR="005A3227" w:rsidRPr="00CA4936" w:rsidRDefault="005A3227" w:rsidP="005A3227">
      <w:pPr>
        <w:rPr>
          <w:bCs/>
          <w:szCs w:val="19"/>
        </w:rPr>
      </w:pPr>
      <w:r w:rsidRPr="00CA4936">
        <w:rPr>
          <w:bCs/>
          <w:szCs w:val="19"/>
        </w:rPr>
        <w:t>1.12</w:t>
      </w:r>
      <w:r w:rsidRPr="00CA4936">
        <w:rPr>
          <w:bCs/>
          <w:szCs w:val="19"/>
        </w:rPr>
        <w:tab/>
      </w:r>
      <w:r w:rsidRPr="00CA4936">
        <w:rPr>
          <w:bCs/>
        </w:rPr>
        <w:t>La Conférence de plénipotentiaires de l'UIT (PP-10) tenue à Guadalajara (Mexique) en 2010 a approuvé la nouvelle Résolution 176 "Exposition des personnes aux champs électromagnétiques et mesure de ces champs" et a encouragé les États Membres des différentes régions du monde à coopérer pour échanger leurs compétences et à fournir une assistance dans les domaines de la mesure et de la formation.</w:t>
      </w:r>
    </w:p>
    <w:p w:rsidR="005A3227" w:rsidRPr="00144FA9" w:rsidRDefault="005A3227" w:rsidP="005A3227">
      <w:pPr>
        <w:rPr>
          <w:lang w:val="fr-CH"/>
        </w:rPr>
      </w:pPr>
      <w:r w:rsidRPr="00CA4936">
        <w:rPr>
          <w:rFonts w:cs="Arial"/>
          <w:bCs/>
          <w:lang w:val="fr-CH"/>
        </w:rPr>
        <w:t>1.13</w:t>
      </w:r>
      <w:r w:rsidRPr="00CA4936">
        <w:rPr>
          <w:rFonts w:cs="Arial"/>
          <w:bCs/>
          <w:lang w:val="fr-CH"/>
        </w:rPr>
        <w:tab/>
      </w:r>
      <w:r w:rsidRPr="00CA4936">
        <w:rPr>
          <w:bCs/>
          <w:lang w:val="fr-CH"/>
        </w:rPr>
        <w:t>Aux termes</w:t>
      </w:r>
      <w:r w:rsidRPr="00144FA9">
        <w:rPr>
          <w:lang w:val="fr-CH"/>
        </w:rPr>
        <w:t xml:space="preserve"> de la Résolution 176 (Guadalajara, 2010) de la Conférence de plénipotentiaires, le Directeur du Bureau de développement des télécommunications (BDT), en collaboration avec le Directeur du Bureau des radiocommunications (BR) et le Directeur du Bureau de la normalisation des télécommunications (TSB) est chargé:</w:t>
      </w:r>
    </w:p>
    <w:p w:rsidR="005A3227" w:rsidRPr="004B3FA2" w:rsidRDefault="005A3227" w:rsidP="005A3227">
      <w:r>
        <w:t>–</w:t>
      </w:r>
      <w:r>
        <w:tab/>
      </w:r>
      <w:r w:rsidRPr="004B3FA2">
        <w:t>d'encourager les</w:t>
      </w:r>
      <w:r w:rsidRPr="00C409E7">
        <w:rPr>
          <w:rStyle w:val="Enumlevel1Char"/>
          <w:lang w:val="fr-CH"/>
        </w:rPr>
        <w:t xml:space="preserve"> </w:t>
      </w:r>
      <w:r>
        <w:t>É</w:t>
      </w:r>
      <w:r w:rsidRPr="004B3FA2">
        <w:t>tats Membres à coopérer pour échanger leurs compétences et leurs ressources;</w:t>
      </w:r>
    </w:p>
    <w:p w:rsidR="005A3227" w:rsidRPr="00C409E7" w:rsidRDefault="005A3227" w:rsidP="00271334">
      <w:pPr>
        <w:pStyle w:val="Enumlevel1"/>
        <w:rPr>
          <w:lang w:val="fr-CH"/>
        </w:rPr>
      </w:pPr>
      <w:r w:rsidRPr="00C409E7">
        <w:rPr>
          <w:lang w:val="fr-CH"/>
        </w:rPr>
        <w:t>–</w:t>
      </w:r>
      <w:r w:rsidRPr="00C409E7">
        <w:rPr>
          <w:lang w:val="fr-CH"/>
        </w:rPr>
        <w:tab/>
        <w:t>d'organiser des séminaires et des ateliers régionaux.</w:t>
      </w:r>
    </w:p>
    <w:p w:rsidR="005A3227" w:rsidRPr="001C7C7D" w:rsidRDefault="005A3227" w:rsidP="00603859">
      <w:pPr>
        <w:pStyle w:val="Heading1"/>
        <w:rPr>
          <w:smallCaps/>
          <w:szCs w:val="19"/>
          <w:lang w:val="fr-CH"/>
        </w:rPr>
      </w:pPr>
      <w:bookmarkStart w:id="21" w:name="_Toc373423157"/>
      <w:bookmarkStart w:id="22" w:name="_Toc361989733"/>
      <w:bookmarkStart w:id="23" w:name="_Toc364674011"/>
      <w:r>
        <w:rPr>
          <w:szCs w:val="19"/>
          <w:lang w:val="fr-CH"/>
        </w:rPr>
        <w:t>2</w:t>
      </w:r>
      <w:r w:rsidRPr="001C7C7D">
        <w:rPr>
          <w:szCs w:val="19"/>
          <w:lang w:val="fr-CH"/>
        </w:rPr>
        <w:tab/>
      </w:r>
      <w:r w:rsidRPr="001C7C7D">
        <w:rPr>
          <w:lang w:val="fr-FR"/>
        </w:rPr>
        <w:t>Cham</w:t>
      </w:r>
      <w:r w:rsidRPr="00603859">
        <w:rPr>
          <w:lang w:val="fr-CH"/>
        </w:rPr>
        <w:t>p</w:t>
      </w:r>
      <w:r w:rsidRPr="001C7C7D">
        <w:rPr>
          <w:lang w:val="fr-FR"/>
        </w:rPr>
        <w:t xml:space="preserve"> d'application et objectifs du présent Rapport</w:t>
      </w:r>
      <w:bookmarkEnd w:id="21"/>
    </w:p>
    <w:bookmarkEnd w:id="22"/>
    <w:bookmarkEnd w:id="23"/>
    <w:p w:rsidR="005A3227" w:rsidRPr="004B3FA2" w:rsidRDefault="005A3227" w:rsidP="005A3227">
      <w:pPr>
        <w:keepNext/>
        <w:keepLines/>
        <w:rPr>
          <w:rFonts w:cs="Arial"/>
          <w:szCs w:val="19"/>
        </w:rPr>
      </w:pPr>
      <w:r w:rsidRPr="004B3FA2">
        <w:rPr>
          <w:rFonts w:cs="Arial"/>
          <w:szCs w:val="19"/>
        </w:rPr>
        <w:t>Le présent Rapport devrait couvrir les aspects suivants:</w:t>
      </w:r>
    </w:p>
    <w:p w:rsidR="005A3227" w:rsidRPr="00CA4936" w:rsidRDefault="005A3227" w:rsidP="005A3227">
      <w:pPr>
        <w:rPr>
          <w:bCs/>
          <w:szCs w:val="19"/>
        </w:rPr>
      </w:pPr>
      <w:r w:rsidRPr="00CA4936">
        <w:rPr>
          <w:bCs/>
          <w:szCs w:val="19"/>
        </w:rPr>
        <w:t>2.1</w:t>
      </w:r>
      <w:r w:rsidRPr="00CA4936">
        <w:rPr>
          <w:bCs/>
          <w:szCs w:val="19"/>
        </w:rPr>
        <w:tab/>
        <w:t>Recueil et analyse d</w:t>
      </w:r>
      <w:r w:rsidRPr="00CA4936">
        <w:rPr>
          <w:bCs/>
        </w:rPr>
        <w:t xml:space="preserve">es politiques de réglementation concernant l'exposition des personnes aux champs électromagnétiques qui devraient être envisagées ou qui sont mises en </w:t>
      </w:r>
      <w:proofErr w:type="spellStart"/>
      <w:r w:rsidRPr="00CA4936">
        <w:rPr>
          <w:bCs/>
        </w:rPr>
        <w:t>oeuvre</w:t>
      </w:r>
      <w:proofErr w:type="spellEnd"/>
      <w:r w:rsidRPr="00CA4936">
        <w:rPr>
          <w:bCs/>
        </w:rPr>
        <w:t xml:space="preserve"> pour autoriser l'installation de sites de radiocommunication.</w:t>
      </w:r>
    </w:p>
    <w:p w:rsidR="005A3227" w:rsidRPr="00CA4936" w:rsidRDefault="005A3227" w:rsidP="005A3227">
      <w:pPr>
        <w:rPr>
          <w:bCs/>
          <w:szCs w:val="19"/>
        </w:rPr>
      </w:pPr>
      <w:r w:rsidRPr="00CA4936">
        <w:rPr>
          <w:bCs/>
          <w:szCs w:val="19"/>
        </w:rPr>
        <w:t>2.2</w:t>
      </w:r>
      <w:r w:rsidRPr="00CA4936">
        <w:rPr>
          <w:bCs/>
          <w:szCs w:val="19"/>
        </w:rPr>
        <w:tab/>
      </w:r>
      <w:r w:rsidRPr="00CA4936">
        <w:rPr>
          <w:bCs/>
        </w:rPr>
        <w:t>Description des stratégies et des méthodes visant à sensibiliser les populations et à les informer en ce qui concerne les effets avérés des champs électromagnétiques dus au fonctionnement des systèmes de radiocommunication.</w:t>
      </w:r>
    </w:p>
    <w:p w:rsidR="005A3227" w:rsidRPr="00CA4936" w:rsidRDefault="005A3227" w:rsidP="005A3227">
      <w:pPr>
        <w:rPr>
          <w:bCs/>
          <w:szCs w:val="19"/>
        </w:rPr>
      </w:pPr>
      <w:r w:rsidRPr="00CA4936">
        <w:rPr>
          <w:bCs/>
          <w:szCs w:val="19"/>
        </w:rPr>
        <w:lastRenderedPageBreak/>
        <w:t>2.3</w:t>
      </w:r>
      <w:r w:rsidRPr="00CA4936">
        <w:rPr>
          <w:bCs/>
          <w:szCs w:val="19"/>
        </w:rPr>
        <w:tab/>
        <w:t>Proposer des lignes directrices relatives aux méthodes de sensibilisation des populations ainsi que des bonnes pratiques résultant de l'expérience des pays en la matière.</w:t>
      </w:r>
    </w:p>
    <w:p w:rsidR="005A3227" w:rsidRPr="00CA4936" w:rsidRDefault="005A3227" w:rsidP="005A3227">
      <w:pPr>
        <w:rPr>
          <w:rFonts w:cs="Arial"/>
          <w:bCs/>
          <w:szCs w:val="19"/>
        </w:rPr>
      </w:pPr>
      <w:r w:rsidRPr="00CA4936">
        <w:rPr>
          <w:rFonts w:cs="Arial"/>
          <w:bCs/>
          <w:szCs w:val="19"/>
        </w:rPr>
        <w:t>2.4</w:t>
      </w:r>
      <w:r w:rsidRPr="00CA4936">
        <w:rPr>
          <w:rFonts w:cs="Arial"/>
          <w:bCs/>
          <w:szCs w:val="19"/>
        </w:rPr>
        <w:tab/>
        <w:t xml:space="preserve">Le présent Rapport vise à aider les </w:t>
      </w:r>
      <w:r w:rsidRPr="00CA4936">
        <w:rPr>
          <w:bCs/>
        </w:rPr>
        <w:t>É</w:t>
      </w:r>
      <w:r w:rsidRPr="00CA4936">
        <w:rPr>
          <w:rFonts w:cs="Arial"/>
          <w:bCs/>
          <w:szCs w:val="19"/>
        </w:rPr>
        <w:t>tats Membres à assurer la conformité aux normes régissant l'exposition des personnes aux fréquences radioélectriques et à répondre aux préoccupations sur ce sujet.</w:t>
      </w:r>
    </w:p>
    <w:p w:rsidR="005A3227" w:rsidRPr="00CA4936" w:rsidRDefault="005A3227" w:rsidP="005A3227">
      <w:pPr>
        <w:rPr>
          <w:rFonts w:cs="Arial"/>
          <w:bCs/>
          <w:szCs w:val="19"/>
        </w:rPr>
      </w:pPr>
      <w:r w:rsidRPr="00CA4936">
        <w:rPr>
          <w:rFonts w:cs="Arial"/>
          <w:bCs/>
          <w:szCs w:val="19"/>
        </w:rPr>
        <w:t>2.5</w:t>
      </w:r>
      <w:r w:rsidRPr="00CA4936">
        <w:rPr>
          <w:rFonts w:cs="Arial"/>
          <w:bCs/>
          <w:szCs w:val="19"/>
        </w:rPr>
        <w:tab/>
        <w:t>Le Rapport fournit les indications suivantes:</w:t>
      </w:r>
    </w:p>
    <w:p w:rsidR="005A3227" w:rsidRPr="00C409E7" w:rsidRDefault="005A3227" w:rsidP="00271334">
      <w:pPr>
        <w:pStyle w:val="Enumlevel1"/>
        <w:rPr>
          <w:lang w:val="fr-CH"/>
        </w:rPr>
      </w:pPr>
      <w:bookmarkStart w:id="24" w:name="_Toc361989735"/>
      <w:r w:rsidRPr="00CA4936">
        <w:rPr>
          <w:bCs/>
          <w:lang w:val="fr-CH"/>
        </w:rPr>
        <w:t>–</w:t>
      </w:r>
      <w:r w:rsidRPr="00CA4936">
        <w:rPr>
          <w:bCs/>
          <w:lang w:val="fr-CH"/>
        </w:rPr>
        <w:tab/>
        <w:t>Informations</w:t>
      </w:r>
      <w:r w:rsidRPr="00C409E7">
        <w:rPr>
          <w:lang w:val="fr-CH"/>
        </w:rPr>
        <w:t xml:space="preserve"> sur les paramètres techniques (par exemple, valeur limite d'exposition aux fréquences radioélectriques, distance minimale, hauteur de l'antenne au-dessus du niveau des toits).</w:t>
      </w:r>
    </w:p>
    <w:p w:rsidR="005A3227" w:rsidRPr="00C409E7" w:rsidRDefault="005A3227" w:rsidP="00271334">
      <w:pPr>
        <w:pStyle w:val="Enumlevel1"/>
        <w:rPr>
          <w:lang w:val="fr-CH"/>
        </w:rPr>
      </w:pPr>
      <w:r w:rsidRPr="00C409E7">
        <w:rPr>
          <w:lang w:val="fr-CH"/>
        </w:rPr>
        <w:t>–</w:t>
      </w:r>
      <w:r w:rsidRPr="00C409E7">
        <w:rPr>
          <w:lang w:val="fr-CH"/>
        </w:rPr>
        <w:tab/>
        <w:t>Évaluations techniques visant à établir si les antennes d'émission respectent les valeurs limites d'exposition.</w:t>
      </w:r>
    </w:p>
    <w:p w:rsidR="005A3227" w:rsidRPr="00C409E7" w:rsidRDefault="005A3227" w:rsidP="00271334">
      <w:pPr>
        <w:pStyle w:val="Enumlevel1"/>
        <w:rPr>
          <w:lang w:val="fr-CH"/>
        </w:rPr>
      </w:pPr>
      <w:r w:rsidRPr="00C409E7">
        <w:rPr>
          <w:lang w:val="fr-CH"/>
        </w:rPr>
        <w:t>–</w:t>
      </w:r>
      <w:r w:rsidRPr="00C409E7">
        <w:rPr>
          <w:lang w:val="fr-CH"/>
        </w:rPr>
        <w:tab/>
        <w:t>Informations sur le choix des emplacements à proximité d'installations collectives.</w:t>
      </w:r>
    </w:p>
    <w:p w:rsidR="005A3227" w:rsidRPr="00C409E7" w:rsidRDefault="005A3227" w:rsidP="00271334">
      <w:pPr>
        <w:pStyle w:val="Enumlevel1"/>
        <w:rPr>
          <w:lang w:val="fr-CH"/>
        </w:rPr>
      </w:pPr>
      <w:r w:rsidRPr="00C409E7">
        <w:rPr>
          <w:lang w:val="fr-CH"/>
        </w:rPr>
        <w:t>–</w:t>
      </w:r>
      <w:r w:rsidRPr="00C409E7">
        <w:rPr>
          <w:lang w:val="fr-CH"/>
        </w:rPr>
        <w:tab/>
        <w:t>Contrôle de la conformité des installations aux limites d'exposition aux fréquences radioélectriques.</w:t>
      </w:r>
    </w:p>
    <w:p w:rsidR="005A3227" w:rsidRPr="00C409E7" w:rsidRDefault="005A3227" w:rsidP="00271334">
      <w:pPr>
        <w:pStyle w:val="Enumlevel1"/>
        <w:rPr>
          <w:lang w:val="fr-CH"/>
        </w:rPr>
      </w:pPr>
      <w:r w:rsidRPr="00C409E7">
        <w:rPr>
          <w:lang w:val="fr-CH"/>
        </w:rPr>
        <w:t>–</w:t>
      </w:r>
      <w:r w:rsidRPr="00C409E7">
        <w:rPr>
          <w:lang w:val="fr-CH"/>
        </w:rPr>
        <w:tab/>
        <w:t>Conseils sur les méthodes de mesure des niveaux d'exposition aux fréquences radioélectriques.</w:t>
      </w:r>
      <w:bookmarkStart w:id="25" w:name="_Toc364674013"/>
    </w:p>
    <w:p w:rsidR="005A3227" w:rsidRPr="001C7C7D" w:rsidRDefault="005A3227" w:rsidP="00603859">
      <w:pPr>
        <w:pStyle w:val="Heading1"/>
        <w:rPr>
          <w:smallCaps/>
          <w:szCs w:val="19"/>
          <w:lang w:val="fr-CH"/>
        </w:rPr>
      </w:pPr>
      <w:bookmarkStart w:id="26" w:name="_Toc373423158"/>
      <w:r>
        <w:rPr>
          <w:szCs w:val="19"/>
          <w:lang w:val="fr-CH"/>
        </w:rPr>
        <w:t>3</w:t>
      </w:r>
      <w:r w:rsidRPr="001C7C7D">
        <w:rPr>
          <w:szCs w:val="19"/>
          <w:lang w:val="fr-CH"/>
        </w:rPr>
        <w:tab/>
      </w:r>
      <w:r w:rsidRPr="00603859">
        <w:rPr>
          <w:lang w:val="fr-CH"/>
        </w:rPr>
        <w:t>Collaboration avec d'autres secteurs et organisations</w:t>
      </w:r>
      <w:bookmarkEnd w:id="26"/>
    </w:p>
    <w:bookmarkEnd w:id="24"/>
    <w:bookmarkEnd w:id="25"/>
    <w:p w:rsidR="005A3227" w:rsidRPr="00CA4936" w:rsidRDefault="005A3227" w:rsidP="005A3227">
      <w:pPr>
        <w:rPr>
          <w:rFonts w:cs="Arial"/>
          <w:bCs/>
        </w:rPr>
      </w:pPr>
      <w:r w:rsidRPr="00CA4936">
        <w:rPr>
          <w:bCs/>
        </w:rPr>
        <w:t>3.1</w:t>
      </w:r>
      <w:r w:rsidRPr="00CA4936">
        <w:rPr>
          <w:bCs/>
        </w:rPr>
        <w:tab/>
        <w:t>Depuis le début de la période d'études, la présente Question fait l'objet d'une coordination avec d'autres secteurs et d'autres organisations, tels que la CE 5 de l'UIT-T, le GT 1C de la CE 1 de l'UIT-R et l'OMS.</w:t>
      </w:r>
    </w:p>
    <w:p w:rsidR="005A3227" w:rsidRPr="00CA4936" w:rsidRDefault="005A3227" w:rsidP="00603859">
      <w:pPr>
        <w:rPr>
          <w:bCs/>
        </w:rPr>
      </w:pPr>
      <w:r w:rsidRPr="00CA4936">
        <w:rPr>
          <w:bCs/>
        </w:rPr>
        <w:t>3.2</w:t>
      </w:r>
      <w:r w:rsidRPr="00CA4936">
        <w:rPr>
          <w:bCs/>
        </w:rPr>
        <w:tab/>
        <w:t>Des notes de liaison ont été transmises à la CE 5 de l'UIT-T et au GT 1C de la CE 1 de l'UIT-R pour leur demander des informations sur un résumé des conclusions techniques et des mises à jour régulières sur l'état d'avancement de leurs travaux concernant les champs électromagnétiques. Les commissions d'études ont fourni des informations détaillées concernant les activités pertinentes, et indiqué que la bonne collaboration sur les questions relatives aux champs électromagnétiques, qui repose notamment sur la participation des experts aux travaux de tous les groupes, permettait d'éviter les doubles emplois. Cette collaboration a bénéficié à l'ensemble des groupes.</w:t>
      </w:r>
    </w:p>
    <w:p w:rsidR="005A3227" w:rsidRPr="00CA4936" w:rsidRDefault="005A3227" w:rsidP="00603859">
      <w:pPr>
        <w:rPr>
          <w:bCs/>
        </w:rPr>
      </w:pPr>
      <w:r w:rsidRPr="00CA4936">
        <w:rPr>
          <w:bCs/>
        </w:rPr>
        <w:t>3.3</w:t>
      </w:r>
      <w:r w:rsidRPr="00CA4936">
        <w:rPr>
          <w:bCs/>
        </w:rPr>
        <w:tab/>
        <w:t>L'UIT-T, dans le cadre de son initiative visant à réduire l'écart en matière de normalisation, a organisé des activités de renforcement des capacités à travers le monde, afin d'aider les pays à mettre en œuvre les normes de l'UIT-T. En outre, l'UIT a organisé des ateliers visant à sensibiliser les populations aux problèmes liés à l'exposition aux champs électromagnétiques. Le dernier en date s'est tenu à Turin (Italie) le 9 mai 2013, et a donné lieu à un appel à l'action</w:t>
      </w:r>
      <w:r w:rsidRPr="00CA4936">
        <w:rPr>
          <w:rStyle w:val="FootnoteReference"/>
          <w:rFonts w:cs="Arial"/>
          <w:bCs/>
          <w:lang w:val="fr-FR"/>
        </w:rPr>
        <w:footnoteReference w:id="3"/>
      </w:r>
      <w:r w:rsidRPr="00CA4936">
        <w:rPr>
          <w:bCs/>
        </w:rPr>
        <w:t>.</w:t>
      </w:r>
    </w:p>
    <w:p w:rsidR="005A3227" w:rsidRPr="00CA4936" w:rsidRDefault="005A3227" w:rsidP="00FA2090">
      <w:pPr>
        <w:rPr>
          <w:b/>
        </w:rPr>
      </w:pPr>
      <w:r w:rsidRPr="00CA4936">
        <w:t>3.4</w:t>
      </w:r>
      <w:r w:rsidRPr="00CA4936">
        <w:tab/>
        <w:t>Le GT 1C de l'UIT-R, qui travaille sur le "Contrôle du spectre", a approuvé l'édition de 2011 du Manuel de l'UIT sur le contrôle du spectre, qui contient des renseignements sur les mesures des rayonnements non ionisants.</w:t>
      </w:r>
    </w:p>
    <w:p w:rsidR="005A3227" w:rsidRPr="00CA4936" w:rsidRDefault="005A3227" w:rsidP="005A3227">
      <w:pPr>
        <w:rPr>
          <w:rFonts w:cs="Arial"/>
          <w:bCs/>
          <w:szCs w:val="19"/>
        </w:rPr>
      </w:pPr>
      <w:r w:rsidRPr="00CA4936">
        <w:rPr>
          <w:rFonts w:cs="Arial"/>
          <w:bCs/>
          <w:szCs w:val="19"/>
        </w:rPr>
        <w:t>3.5</w:t>
      </w:r>
      <w:r w:rsidRPr="00CA4936">
        <w:rPr>
          <w:rFonts w:cs="Arial"/>
          <w:bCs/>
          <w:szCs w:val="19"/>
        </w:rPr>
        <w:tab/>
      </w:r>
      <w:r w:rsidRPr="00CA4936">
        <w:rPr>
          <w:bCs/>
        </w:rPr>
        <w:t>La CE 6 de l'UIT-R a aussi publié la Recommandation BS.1698 (2005) sur le thème "Évaluation des champs provenant des systèmes d'émission de radiodiffusion par voie hertzienne de Terre fonctionnant dans n'importe quelle bande de fréquences pour estimer l'effet de l'exposition aux rayonnements non ionisants", qui donne une estimation des valeurs de l'exposition aux fréquences radioélectriques provenant des stations de radiodiffusion, afin d'aider à élaborer des normes pour la protection des personnes contre les effets potentiellement dangereux des champs électromagnétiques.</w:t>
      </w:r>
    </w:p>
    <w:p w:rsidR="005A3227" w:rsidRPr="00CA4936" w:rsidRDefault="005A3227" w:rsidP="005A3227">
      <w:pPr>
        <w:rPr>
          <w:rFonts w:cs="Arial"/>
          <w:bCs/>
          <w:szCs w:val="19"/>
        </w:rPr>
      </w:pPr>
      <w:r w:rsidRPr="00CA4936">
        <w:rPr>
          <w:rFonts w:cs="Arial"/>
          <w:bCs/>
          <w:szCs w:val="19"/>
        </w:rPr>
        <w:t>3.6</w:t>
      </w:r>
      <w:r w:rsidRPr="00CA4936">
        <w:rPr>
          <w:rFonts w:cs="Arial"/>
          <w:bCs/>
          <w:szCs w:val="19"/>
        </w:rPr>
        <w:tab/>
      </w:r>
      <w:r w:rsidRPr="00CA4936">
        <w:rPr>
          <w:bCs/>
        </w:rPr>
        <w:t>La CE 5 de l'UIT-T a informé l'UIT-D de la publication de nouvelles Recommandations et de l'adoption d'une nouvelle Question:</w:t>
      </w:r>
    </w:p>
    <w:p w:rsidR="005A3227" w:rsidRPr="00CA4936" w:rsidRDefault="005A3227" w:rsidP="005A3227">
      <w:pPr>
        <w:ind w:left="284" w:hanging="284"/>
        <w:rPr>
          <w:bCs/>
          <w:szCs w:val="19"/>
        </w:rPr>
      </w:pPr>
      <w:r w:rsidRPr="00CA4936">
        <w:rPr>
          <w:bCs/>
        </w:rPr>
        <w:lastRenderedPageBreak/>
        <w:t>–</w:t>
      </w:r>
      <w:r w:rsidRPr="00CA4936">
        <w:rPr>
          <w:bCs/>
        </w:rPr>
        <w:tab/>
        <w:t>La Recommandation K.91 "Guide d'évaluation et de surveillance de l'exposition des personnes aux champs électromagnétiques radioélectriques".</w:t>
      </w:r>
    </w:p>
    <w:p w:rsidR="005A3227" w:rsidRPr="00CA4936" w:rsidRDefault="005A3227" w:rsidP="005A3227">
      <w:pPr>
        <w:rPr>
          <w:bCs/>
          <w:szCs w:val="19"/>
        </w:rPr>
      </w:pPr>
      <w:r w:rsidRPr="00CA4936">
        <w:rPr>
          <w:bCs/>
        </w:rPr>
        <w:t>–</w:t>
      </w:r>
      <w:r w:rsidRPr="00CA4936">
        <w:rPr>
          <w:bCs/>
        </w:rPr>
        <w:tab/>
      </w:r>
      <w:r w:rsidRPr="00CA4936">
        <w:rPr>
          <w:bCs/>
          <w:szCs w:val="19"/>
        </w:rPr>
        <w:t xml:space="preserve">La </w:t>
      </w:r>
      <w:r w:rsidRPr="00CA4936">
        <w:rPr>
          <w:bCs/>
        </w:rPr>
        <w:t>Recommandation K.83 "Surveillance des niveaux des champs électromagnétiques".</w:t>
      </w:r>
    </w:p>
    <w:p w:rsidR="005A3227" w:rsidRPr="00CA4936" w:rsidRDefault="005A3227" w:rsidP="005A3227">
      <w:pPr>
        <w:ind w:left="284" w:hanging="284"/>
        <w:rPr>
          <w:bCs/>
          <w:szCs w:val="19"/>
        </w:rPr>
      </w:pPr>
      <w:r w:rsidRPr="00CA4936">
        <w:rPr>
          <w:bCs/>
        </w:rPr>
        <w:t>–</w:t>
      </w:r>
      <w:r w:rsidRPr="00CA4936">
        <w:rPr>
          <w:bCs/>
        </w:rPr>
        <w:tab/>
      </w:r>
      <w:r w:rsidRPr="00CA4936">
        <w:rPr>
          <w:bCs/>
          <w:szCs w:val="19"/>
        </w:rPr>
        <w:t>La Recommandation K.70 (06/2007) "</w:t>
      </w:r>
      <w:r w:rsidRPr="00CA4936">
        <w:rPr>
          <w:bCs/>
        </w:rPr>
        <w:t>Techniques de limitation de l'exposition des personnes aux champs électromagnétiques au voisinage de stations de radiocommunication</w:t>
      </w:r>
      <w:r w:rsidRPr="00CA4936">
        <w:rPr>
          <w:bCs/>
          <w:szCs w:val="19"/>
        </w:rPr>
        <w:t>".</w:t>
      </w:r>
    </w:p>
    <w:p w:rsidR="005A3227" w:rsidRPr="00CA4936" w:rsidRDefault="005A3227" w:rsidP="005A3227">
      <w:pPr>
        <w:rPr>
          <w:bCs/>
          <w:szCs w:val="19"/>
        </w:rPr>
      </w:pPr>
      <w:r w:rsidRPr="00CA4936">
        <w:rPr>
          <w:bCs/>
        </w:rPr>
        <w:t>–</w:t>
      </w:r>
      <w:r w:rsidRPr="00CA4936">
        <w:rPr>
          <w:bCs/>
        </w:rPr>
        <w:tab/>
      </w:r>
      <w:r w:rsidRPr="00CA4936">
        <w:rPr>
          <w:bCs/>
          <w:szCs w:val="19"/>
        </w:rPr>
        <w:t>La nouvelle Question 7/5 de l'UIT-T relative à l'exposition des personnes.</w:t>
      </w:r>
    </w:p>
    <w:p w:rsidR="005A3227" w:rsidRPr="00CA4936" w:rsidRDefault="005A3227" w:rsidP="005A3227">
      <w:pPr>
        <w:pStyle w:val="ListParagraph"/>
        <w:ind w:left="0"/>
        <w:contextualSpacing w:val="0"/>
        <w:rPr>
          <w:bCs/>
          <w:smallCaps/>
          <w:szCs w:val="19"/>
          <w:lang w:val="fr-FR"/>
        </w:rPr>
      </w:pPr>
      <w:r w:rsidRPr="00CA4936">
        <w:rPr>
          <w:bCs/>
          <w:smallCaps/>
          <w:szCs w:val="19"/>
          <w:lang w:val="fr-FR"/>
        </w:rPr>
        <w:t>3.7</w:t>
      </w:r>
      <w:r w:rsidRPr="00CA4936">
        <w:rPr>
          <w:bCs/>
          <w:szCs w:val="19"/>
          <w:lang w:val="fr-FR"/>
        </w:rPr>
        <w:tab/>
        <w:t>Le point de vue de l'Organisation mondiale de la santé (OMS)</w:t>
      </w:r>
    </w:p>
    <w:p w:rsidR="005A3227" w:rsidRPr="00CA4936" w:rsidRDefault="005A3227" w:rsidP="005A3227">
      <w:pPr>
        <w:tabs>
          <w:tab w:val="left" w:pos="709"/>
        </w:tabs>
        <w:rPr>
          <w:rFonts w:cs="Arial"/>
          <w:bCs/>
          <w:szCs w:val="19"/>
        </w:rPr>
      </w:pPr>
      <w:r w:rsidRPr="00CA4936">
        <w:rPr>
          <w:rFonts w:cs="Arial"/>
          <w:bCs/>
          <w:szCs w:val="19"/>
        </w:rPr>
        <w:t>3.7.1</w:t>
      </w:r>
      <w:r w:rsidRPr="00CA4936">
        <w:rPr>
          <w:rFonts w:cs="Arial"/>
          <w:bCs/>
          <w:szCs w:val="19"/>
        </w:rPr>
        <w:tab/>
      </w:r>
      <w:r w:rsidRPr="00CA4936">
        <w:rPr>
          <w:bCs/>
        </w:rPr>
        <w:t>L'OMS a créé en 1996 son projet international CEM qui a, entre autres, pour objectifs de passer en revue la littérature scientifique sur les effets pour la santé de l'exposition aux champs électromagnétiques et d'encourager l'élaboration de normes internationalement acceptables et harmonisées sur le sujet. Les partenaires de l'OMS sont notamment l'UIT, l'Organisation internationale du travail (OIT), la Commission internationale pour la protection contre les rayonnements non ionisants (CIPRNI) et le Programme des Nations Unies pour l'environnement (PNUE). L'OMS n'effectue pas de recherches, pas plus qu'elle n'en finance, mais évalue les résultats des recherches par l'intermédiaire d'ateliers scientifiques et d'évaluation des risques pour la santé.</w:t>
      </w:r>
    </w:p>
    <w:p w:rsidR="005A3227" w:rsidRPr="004B3FA2" w:rsidRDefault="005A3227" w:rsidP="005A3227">
      <w:pPr>
        <w:tabs>
          <w:tab w:val="left" w:pos="709"/>
        </w:tabs>
        <w:rPr>
          <w:rFonts w:cs="Arial"/>
          <w:szCs w:val="19"/>
        </w:rPr>
      </w:pPr>
      <w:r w:rsidRPr="00CA4936">
        <w:rPr>
          <w:rFonts w:cs="Arial"/>
          <w:bCs/>
          <w:szCs w:val="19"/>
        </w:rPr>
        <w:t>3.7.2</w:t>
      </w:r>
      <w:r w:rsidRPr="00CA4936">
        <w:rPr>
          <w:rFonts w:cs="Arial"/>
          <w:bCs/>
          <w:szCs w:val="19"/>
        </w:rPr>
        <w:tab/>
      </w:r>
      <w:r w:rsidRPr="00CA4936">
        <w:rPr>
          <w:bCs/>
        </w:rPr>
        <w:t>Selon l'Aide-mémoire</w:t>
      </w:r>
      <w:r w:rsidRPr="004B3FA2">
        <w:t xml:space="preserve"> N° 193 publié par l'OMS en 2011</w:t>
      </w:r>
      <w:r w:rsidRPr="004B3FA2">
        <w:rPr>
          <w:rStyle w:val="FootnoteReference"/>
          <w:position w:val="4"/>
          <w:sz w:val="16"/>
          <w:szCs w:val="16"/>
        </w:rPr>
        <w:footnoteReference w:id="4"/>
      </w:r>
      <w:r w:rsidRPr="004B3FA2">
        <w:t>, l'utilisation du téléphone mobile n'aurait pas d'effets préjudiciables pour la santé; des études sont en cours pour évaluer les effets potentiels à long terme de l'utilisation du téléphone mobile. La conclusion de l'Aide-mémoire N° 304 de l'OMS est qu'à ce jour, il n'existe aucun élément scientifique probant confirmant d'éventuels effets nocifs des stations de base et des réseaux sans fil pour la santé</w:t>
      </w:r>
      <w:r w:rsidRPr="004B3FA2">
        <w:rPr>
          <w:rStyle w:val="FootnoteReference"/>
          <w:position w:val="4"/>
          <w:sz w:val="16"/>
          <w:szCs w:val="16"/>
        </w:rPr>
        <w:footnoteReference w:id="5"/>
      </w:r>
      <w:r w:rsidRPr="004B3FA2">
        <w:t>.</w:t>
      </w:r>
    </w:p>
    <w:p w:rsidR="005A3227" w:rsidRPr="001C7C7D" w:rsidRDefault="005A3227" w:rsidP="00603859">
      <w:pPr>
        <w:pStyle w:val="Heading1"/>
        <w:rPr>
          <w:smallCaps/>
          <w:szCs w:val="19"/>
          <w:lang w:val="fr-CH"/>
        </w:rPr>
      </w:pPr>
      <w:bookmarkStart w:id="27" w:name="_Toc373423159"/>
      <w:bookmarkStart w:id="28" w:name="_Toc360793149"/>
      <w:bookmarkStart w:id="29" w:name="_Toc361989736"/>
      <w:bookmarkStart w:id="30" w:name="_Toc364674014"/>
      <w:r>
        <w:rPr>
          <w:szCs w:val="19"/>
          <w:lang w:val="fr-CH"/>
        </w:rPr>
        <w:t>4</w:t>
      </w:r>
      <w:r w:rsidRPr="001C7C7D">
        <w:rPr>
          <w:szCs w:val="19"/>
          <w:lang w:val="fr-CH"/>
        </w:rPr>
        <w:tab/>
      </w:r>
      <w:r w:rsidRPr="001C7C7D">
        <w:rPr>
          <w:lang w:val="fr-FR"/>
        </w:rPr>
        <w:t>Application du principe de précaution à l'exposition des personnes aux champs électromagnétiques</w:t>
      </w:r>
      <w:bookmarkEnd w:id="27"/>
    </w:p>
    <w:bookmarkEnd w:id="28"/>
    <w:bookmarkEnd w:id="29"/>
    <w:bookmarkEnd w:id="30"/>
    <w:p w:rsidR="005A3227" w:rsidRPr="004B3FA2" w:rsidRDefault="005A3227" w:rsidP="005A3227">
      <w:pPr>
        <w:keepNext/>
        <w:keepLines/>
      </w:pPr>
      <w:r w:rsidRPr="00CA4936">
        <w:rPr>
          <w:bCs/>
          <w:szCs w:val="19"/>
        </w:rPr>
        <w:t>4.1</w:t>
      </w:r>
      <w:r w:rsidRPr="00CA4936">
        <w:rPr>
          <w:bCs/>
          <w:szCs w:val="19"/>
        </w:rPr>
        <w:tab/>
      </w:r>
      <w:r w:rsidRPr="004B3FA2">
        <w:t>Les craintes qui se manifestent dans le public concernent surtout les éventuels effets à long terme que pourrait avoir une exposition à des champs électromagnétiques d'intensité inférieure au seuil d'apparition de réactions biologiques aiguës. Dans un projet de rapport</w:t>
      </w:r>
      <w:r w:rsidRPr="005E6D32">
        <w:rPr>
          <w:rStyle w:val="FootnoteReference"/>
          <w:position w:val="4"/>
          <w:sz w:val="16"/>
          <w:szCs w:val="16"/>
        </w:rPr>
        <w:footnoteReference w:id="6"/>
      </w:r>
      <w:r w:rsidRPr="004B3FA2">
        <w:t xml:space="preserve"> d'information soumis au Séminaire international d'échange entre les parties prenantes de l'OMS sur les radiofréquences (Paris, 5 juin 2013), les politiques menées actuellement dans le monde en matière de gestion des risques liés à l'exposition aux fréquences radioélectriques sont classées en cinq catégories non mutuellement exclusives:</w:t>
      </w:r>
    </w:p>
    <w:p w:rsidR="005A3227" w:rsidRPr="004B3FA2" w:rsidRDefault="005A3227" w:rsidP="005A3227">
      <w:r>
        <w:t>–</w:t>
      </w:r>
      <w:r>
        <w:tab/>
      </w:r>
      <w:r w:rsidRPr="004B3FA2">
        <w:t>Approche factuelle</w:t>
      </w:r>
    </w:p>
    <w:p w:rsidR="005A3227" w:rsidRPr="004B3FA2" w:rsidRDefault="005A3227" w:rsidP="005A3227">
      <w:r>
        <w:t>–</w:t>
      </w:r>
      <w:r>
        <w:tab/>
      </w:r>
      <w:r w:rsidRPr="004B3FA2">
        <w:t>Application du principe de précaution</w:t>
      </w:r>
    </w:p>
    <w:p w:rsidR="005A3227" w:rsidRPr="004B3FA2" w:rsidRDefault="005A3227" w:rsidP="005A3227">
      <w:r>
        <w:t>–</w:t>
      </w:r>
      <w:r>
        <w:tab/>
      </w:r>
      <w:r w:rsidRPr="004B3FA2">
        <w:t>Application du principe ALARA</w:t>
      </w:r>
      <w:r w:rsidRPr="005E6D32">
        <w:rPr>
          <w:rStyle w:val="FootnoteReference"/>
          <w:position w:val="4"/>
          <w:sz w:val="16"/>
          <w:szCs w:val="16"/>
        </w:rPr>
        <w:footnoteReference w:id="7"/>
      </w:r>
    </w:p>
    <w:p w:rsidR="005A3227" w:rsidRPr="004B3FA2" w:rsidRDefault="005A3227" w:rsidP="005A3227">
      <w:r>
        <w:t>–</w:t>
      </w:r>
      <w:r>
        <w:tab/>
      </w:r>
      <w:r w:rsidRPr="004B3FA2">
        <w:t>Politique volontariste</w:t>
      </w:r>
    </w:p>
    <w:p w:rsidR="005A3227" w:rsidRPr="004B3FA2" w:rsidRDefault="005A3227" w:rsidP="005A3227">
      <w:r>
        <w:t>–</w:t>
      </w:r>
      <w:r>
        <w:tab/>
      </w:r>
      <w:r w:rsidRPr="004B3FA2">
        <w:t>Information et consultation</w:t>
      </w:r>
    </w:p>
    <w:p w:rsidR="005A3227" w:rsidRPr="004B3FA2" w:rsidRDefault="005A3227" w:rsidP="005A3227">
      <w:r w:rsidRPr="004B3FA2">
        <w:lastRenderedPageBreak/>
        <w:t>Dans la partie du projet de rapport consacrée à l'analyse des réponses</w:t>
      </w:r>
      <w:r w:rsidRPr="005E6D32">
        <w:rPr>
          <w:rStyle w:val="FootnoteReference"/>
          <w:position w:val="4"/>
          <w:sz w:val="16"/>
          <w:szCs w:val="16"/>
        </w:rPr>
        <w:footnoteReference w:id="8"/>
      </w:r>
      <w:r w:rsidRPr="005E6D32">
        <w:rPr>
          <w:rStyle w:val="FootnoteReference"/>
          <w:position w:val="4"/>
          <w:sz w:val="16"/>
          <w:szCs w:val="16"/>
        </w:rPr>
        <w:t xml:space="preserve"> </w:t>
      </w:r>
      <w:r w:rsidRPr="004B3FA2">
        <w:t>à l'enquête de l'OMS, il est indiqué que 77 des 85 pays participants ont fixé des limites d'exposition pour les installations fixes. La majorité d'entre eux, 55 au total, appliquent les limites de la CIPRNI. Quatre pays disent avoir établi leurs propres limites sur la base de données scientifiques, alors que deux d'entre eux appliquent les limites de la FFC</w:t>
      </w:r>
      <w:r w:rsidRPr="005E6D32">
        <w:rPr>
          <w:rStyle w:val="FootnoteReference"/>
          <w:position w:val="4"/>
          <w:sz w:val="16"/>
          <w:szCs w:val="16"/>
        </w:rPr>
        <w:footnoteReference w:id="9"/>
      </w:r>
      <w:r w:rsidRPr="004B3FA2">
        <w:t>. Seize pays ont des limites d'exposition inférieures aux recommandations internationales, ce qui résulte de l'application du principe ALARA pour trois d'entre eux, et du principe de précaution pour les treize autres.</w:t>
      </w:r>
    </w:p>
    <w:p w:rsidR="005A3227" w:rsidRPr="00CA4936" w:rsidRDefault="005A3227" w:rsidP="005A3227">
      <w:pPr>
        <w:rPr>
          <w:szCs w:val="19"/>
        </w:rPr>
      </w:pPr>
      <w:r w:rsidRPr="004B3FA2">
        <w:rPr>
          <w:szCs w:val="19"/>
        </w:rPr>
        <w:t xml:space="preserve">L'étude des champs électromagnétiques a été lancée par l'OMS et de nombreuses autres entités, afin d'apporter des réponses scientifiquement valables et objectives aux inquiétudes du public en ce qui concerne les dangers que pourrait comporter l'exposition aux champs électromagnétiques. Dans un document </w:t>
      </w:r>
      <w:r w:rsidRPr="00CA4936">
        <w:rPr>
          <w:szCs w:val="19"/>
        </w:rPr>
        <w:t xml:space="preserve">d'information de </w:t>
      </w:r>
      <w:r w:rsidRPr="00CA4936">
        <w:t>l'OMS</w:t>
      </w:r>
      <w:r w:rsidRPr="00CA4936">
        <w:rPr>
          <w:rStyle w:val="FootnoteReference"/>
          <w:position w:val="4"/>
          <w:sz w:val="16"/>
          <w:szCs w:val="16"/>
        </w:rPr>
        <w:footnoteReference w:id="10"/>
      </w:r>
      <w:r w:rsidRPr="00CA4936">
        <w:rPr>
          <w:szCs w:val="19"/>
        </w:rPr>
        <w:t>, le principe de précaution est décrit comme "une politique de gestion des risques appliquée en cas de grande incertitude scientifique, compte tenu de la nécessité de prendre des mesures préventives contre un risque potentiellement grave, sans attendre les résultats des études scientifiques".</w:t>
      </w:r>
    </w:p>
    <w:p w:rsidR="005A3227" w:rsidRPr="00CA4936" w:rsidRDefault="005A3227" w:rsidP="005A3227">
      <w:pPr>
        <w:rPr>
          <w:lang w:val="fr-CH"/>
        </w:rPr>
      </w:pPr>
      <w:r w:rsidRPr="00CA4936">
        <w:rPr>
          <w:lang w:val="fr-CH"/>
        </w:rPr>
        <w:t>4.2</w:t>
      </w:r>
      <w:r w:rsidRPr="00CA4936">
        <w:rPr>
          <w:lang w:val="fr-CH"/>
        </w:rPr>
        <w:tab/>
        <w:t>Dans certaines situations, des avertissements précoces concernant les risques sanitaires ou environnementaux ont été ignorés au seul motif que la preuve ou la forte probabilité du risque n'avait pas été établie scientifiquement. Cette attitude conduit à attendre que les dommages à la santé ou à l'environnement se produisent, ou au moins que la réalité du risque soit prouvée, pour réagir en adoptant des mesures de protection. Nous n'en connaissons que trop bien les conséquences pour la santé humaine et l'environnement. C'est là qu'intervient le principe de précaution. Il oblige à ne pas nier le risque au prétexte que celui-ci n'est pas certain. Il contraint au contraire à se donner les moyens de connaître, en amont, les éventuels dommages à l'environnement et à la santé pour mieux les prévenir.</w:t>
      </w:r>
    </w:p>
    <w:p w:rsidR="005A3227" w:rsidRPr="00CA4936" w:rsidRDefault="005A3227" w:rsidP="005A3227">
      <w:pPr>
        <w:keepNext/>
        <w:keepLines/>
        <w:rPr>
          <w:lang w:val="fr-CH"/>
        </w:rPr>
      </w:pPr>
      <w:r w:rsidRPr="00CA4936">
        <w:rPr>
          <w:lang w:val="fr-CH"/>
        </w:rPr>
        <w:t>4.3</w:t>
      </w:r>
      <w:r w:rsidRPr="00CA4936">
        <w:rPr>
          <w:lang w:val="fr-CH"/>
        </w:rPr>
        <w:tab/>
        <w:t xml:space="preserve">Le principe de précaution n'est pas </w:t>
      </w:r>
      <w:r w:rsidRPr="00CA4936">
        <w:t>une</w:t>
      </w:r>
      <w:r w:rsidRPr="00CA4936">
        <w:rPr>
          <w:lang w:val="fr-CH"/>
        </w:rPr>
        <w:t xml:space="preserve"> solution à l'incertitude scientifique, mais un processus interactif régulier entre action et connaissance. A la différence d'une règle fixe, il fournit des points de repère (abstraits ou concrets) qui sont régulièrement révisés, et nécessite par conséquent un jugement au cas par cas. Il est bon de se soucier précocement des éventuels risques de dommages graves dans le but de les anticiper et de mettre en place des stratégies de prévention comportant des mesures efficaces et appropriées. Il ne s'agit pas de faire preuve d'une prudence excessive, mais de prendre en considération les risques à un stade précoce.</w:t>
      </w:r>
    </w:p>
    <w:p w:rsidR="005A3227" w:rsidRPr="00CA4936" w:rsidRDefault="005A3227" w:rsidP="005A3227">
      <w:pPr>
        <w:rPr>
          <w:lang w:val="fr-CH"/>
        </w:rPr>
      </w:pPr>
      <w:r w:rsidRPr="00CA4936">
        <w:rPr>
          <w:lang w:val="fr-CH"/>
        </w:rPr>
        <w:t>4.4</w:t>
      </w:r>
      <w:r w:rsidRPr="00CA4936">
        <w:rPr>
          <w:lang w:val="fr-CH"/>
        </w:rPr>
        <w:tab/>
        <w:t>En fait de prise en compte des risques, il existe deux attitudes antithétiques: la recherche proactive d'une certitude sur l'existence et l'ampleur du risque et, à l'opposé, l'ignorance. S'il est clair que l'état d'ignorance ne favorise pas la gestion des risques, il existe néanmoins des règles communes aux principes de précaution et de prévention, à savoir l'identification, l'évaluation et l'estimation du risque. En l'absence de certitude sur les phénomènes de base et sur l'existence du danger, le risque est hypothétique. Cependant, bien que le danger puisse ne pas avoir été confirmé, il n'est pas question pour autant de le considérer comme très peu probable, voire négligeable. Il s'agit d'une possibilité identifiée de risque dont on ne connaît pas précisément encore la probabilité. Par conséquent, le champ d'application du principe de précaution est, en théorie, potentiellement illimité.</w:t>
      </w:r>
    </w:p>
    <w:p w:rsidR="005A3227" w:rsidRPr="00CA4936" w:rsidRDefault="005A3227" w:rsidP="005A3227">
      <w:pPr>
        <w:rPr>
          <w:lang w:val="fr-CH"/>
        </w:rPr>
      </w:pPr>
      <w:r w:rsidRPr="00CA4936">
        <w:rPr>
          <w:lang w:val="fr-CH"/>
        </w:rPr>
        <w:t>4.5</w:t>
      </w:r>
      <w:r w:rsidRPr="00CA4936">
        <w:rPr>
          <w:lang w:val="fr-CH"/>
        </w:rPr>
        <w:tab/>
        <w:t xml:space="preserve">Le principe de précaution a été mis en place pour justifier l'action des pouvoirs publics en matière de protection sanitaire en cas de dangers plausibles, graves et irréversibles liés à des expositions actuelles et futures, ou en cas d'incertitude liée à un manque de connaissances scientifiques. L'histoire nous enseigne que l'application de mesures de précaution appropriées dès les premiers signes d'alerte permet </w:t>
      </w:r>
      <w:r w:rsidRPr="00CA4936">
        <w:rPr>
          <w:lang w:val="fr-CH"/>
        </w:rPr>
        <w:lastRenderedPageBreak/>
        <w:t>d'éviter les coûts engendrés par l'amiante, le tabac, les PCB, les rayons X, etc. Afin de ne pas compromettre l'intégrité scientifique, les décideurs doivent prendre en considération les à priori dont peut faire preuve la médecine environnementale dans la recherche d'un réel danger, chacun de ces à priori pouvant mettre en péril la santé et l'environnement.</w:t>
      </w:r>
    </w:p>
    <w:p w:rsidR="005A3227" w:rsidRPr="00CA4936" w:rsidRDefault="005A3227" w:rsidP="005A3227">
      <w:pPr>
        <w:rPr>
          <w:lang w:val="fr-CH"/>
        </w:rPr>
      </w:pPr>
      <w:r w:rsidRPr="00CA4936">
        <w:rPr>
          <w:lang w:val="fr-CH"/>
        </w:rPr>
        <w:t>4.6</w:t>
      </w:r>
      <w:r w:rsidRPr="00CA4936">
        <w:rPr>
          <w:lang w:val="fr-CH"/>
        </w:rPr>
        <w:tab/>
        <w:t>Le principe de précaution se base sur différents niveaux de preuve (ou degrés d'évidence) pour justifier d'éventuelles réductions des niveaux d'exposition. Le niveau de preuve choisi dépend de facteurs tels que la nature et l'équilibre des coûts engendrés respectivement par l'action et l'inaction; les bienfaits associés au produit ou à la substance en cause; l'existence de solutions de substitution; etc. Attendre que soit atteint, sur la base de résultats scientifiques, un haut niveau de preuve de la causalité ou de connaissance des mécanismes en jeu, peut s'avérer très coûteux en termes d'indemnités de réparation, de soins de santé, de perte d'emplois et de baisse de la crédibilité vis-à-vis de la communauté scientifique. Le niveau de preuve choisi pour justifier l'action ne détermine aucune mesure ni aucun type d'action particuliers. Ceux-ci dépendent de facteurs tels que le coût des différentes mesures, les capitaux et les origines du risque (c'est-à-dire volontaire ou imposé). Il convient de faire participer les parties prenantes, afin que celles-ci contribuent à l'évaluation des problèmes liés à la gestion des risques et au choix des niveaux et des types d'action appropriés en vue de réduire l'exposition des personnes.</w:t>
      </w:r>
    </w:p>
    <w:p w:rsidR="005A3227" w:rsidRPr="00CA4936" w:rsidRDefault="005A3227" w:rsidP="005A3227">
      <w:r w:rsidRPr="00CA4936">
        <w:rPr>
          <w:lang w:val="fr-CH"/>
        </w:rPr>
        <w:t>4.7</w:t>
      </w:r>
      <w:r w:rsidRPr="00CA4936">
        <w:rPr>
          <w:lang w:val="fr-CH"/>
        </w:rPr>
        <w:tab/>
        <w:t xml:space="preserve">Dès 1972, la Conférence mondiale sur l'environnement de Stockholm, organisée dans le cadre des Nations unies, a posé les premiers droits et devoirs dans le domaine de la préservation de l'environnement. </w:t>
      </w:r>
      <w:r w:rsidRPr="00CA4936">
        <w:t>Ainsi, le principe 1 de la déclaration de Stockholm énonce:</w:t>
      </w:r>
    </w:p>
    <w:p w:rsidR="005A3227" w:rsidRPr="00CA4936" w:rsidRDefault="005A3227" w:rsidP="00752698">
      <w:pPr>
        <w:pStyle w:val="Enumlevel1"/>
        <w:rPr>
          <w:lang w:val="fr-CH"/>
        </w:rPr>
      </w:pPr>
      <w:r w:rsidRPr="00CA4936">
        <w:rPr>
          <w:lang w:val="fr-CH"/>
        </w:rPr>
        <w:t>–</w:t>
      </w:r>
      <w:r w:rsidRPr="00CA4936">
        <w:rPr>
          <w:lang w:val="fr-CH"/>
        </w:rPr>
        <w:tab/>
        <w:t>"L'homme a un droit fondamental à la liberté, à l'égalité et à des conditions de vie satisfaisantes, dans un environnement dont la qualité lui permette de vivre dans la dignité et le bien-être. Il a le devoir solennel de protéger et d'améliorer l'environnement pour les générations présentes et futures."</w:t>
      </w:r>
    </w:p>
    <w:p w:rsidR="005A3227" w:rsidRPr="00CA4936" w:rsidRDefault="005A3227" w:rsidP="00752698">
      <w:pPr>
        <w:pStyle w:val="Enumlevel1"/>
        <w:rPr>
          <w:lang w:val="fr-CH"/>
        </w:rPr>
      </w:pPr>
      <w:r w:rsidRPr="00CA4936">
        <w:rPr>
          <w:lang w:val="fr-CH"/>
        </w:rPr>
        <w:t>–</w:t>
      </w:r>
      <w:r w:rsidRPr="00CA4936">
        <w:rPr>
          <w:lang w:val="fr-CH"/>
        </w:rPr>
        <w:tab/>
        <w:t>Dans le système des Nations Unies, le principe de précaution a été formulé pour la première fois en 1992 dans le Principe 15 de la Déclaration de Rio sur l'environnement et le développement: "En cas de risque de dommages graves ou irréversibles, l'absence de certitude scientifique absolue ne doit pas servir de prétexte pour remettre à plus tard l'adoption de mesures effectives visant à prévenir la dégradation de l'environnement" et dans la Convention-cadre des Nations Unies sur les changements climatiques (CCNUC/1994) et son Protocole de Kyoto (1997).</w:t>
      </w:r>
    </w:p>
    <w:p w:rsidR="005A3227" w:rsidRPr="00D04A3F" w:rsidRDefault="005A3227" w:rsidP="00752698">
      <w:pPr>
        <w:rPr>
          <w:lang w:val="fr-CH"/>
        </w:rPr>
      </w:pPr>
      <w:r w:rsidRPr="00CA4936">
        <w:rPr>
          <w:lang w:val="fr-CH"/>
        </w:rPr>
        <w:t>4.8</w:t>
      </w:r>
      <w:r w:rsidRPr="00CA4936">
        <w:rPr>
          <w:lang w:val="fr-CH"/>
        </w:rPr>
        <w:tab/>
        <w:t>Le principe</w:t>
      </w:r>
      <w:r w:rsidRPr="00D04A3F">
        <w:rPr>
          <w:lang w:val="fr-CH"/>
        </w:rPr>
        <w:t xml:space="preserve"> de précaution a été inscrit dans:</w:t>
      </w:r>
    </w:p>
    <w:p w:rsidR="005A3227" w:rsidRPr="00C409E7" w:rsidRDefault="005A3227" w:rsidP="00752698">
      <w:pPr>
        <w:pStyle w:val="Enumlevel1"/>
        <w:rPr>
          <w:lang w:val="fr-CH"/>
        </w:rPr>
      </w:pPr>
      <w:r w:rsidRPr="00C409E7">
        <w:rPr>
          <w:lang w:val="fr-CH"/>
        </w:rPr>
        <w:t>a)</w:t>
      </w:r>
      <w:r w:rsidRPr="00C409E7">
        <w:rPr>
          <w:lang w:val="fr-CH"/>
        </w:rPr>
        <w:tab/>
        <w:t>L'article 5.7 sur la précaution de l'Accord SPS sur les mesures sanitaires et phytosanitaires de l'Organisation mondiale du commerce (OMC) de 1994. Il autorise un Etat membre à prendre des mesures à titre de précaution s'il considère qu'il n'existe pas de preuves scientifiques suffisantes permettant de prendre une décision définitive au sujet de l'innocuité d'un produit ou de la sécurité d'un procédé.</w:t>
      </w:r>
    </w:p>
    <w:p w:rsidR="005A3227" w:rsidRPr="00C409E7" w:rsidRDefault="005A3227" w:rsidP="00752698">
      <w:pPr>
        <w:pStyle w:val="Enumlevel1"/>
        <w:rPr>
          <w:lang w:val="fr-CH"/>
        </w:rPr>
      </w:pPr>
      <w:r w:rsidRPr="00C409E7">
        <w:rPr>
          <w:lang w:val="fr-CH"/>
        </w:rPr>
        <w:t>b)</w:t>
      </w:r>
      <w:r w:rsidRPr="00C409E7">
        <w:rPr>
          <w:lang w:val="fr-CH"/>
        </w:rPr>
        <w:tab/>
        <w:t>Le Protocole sur la biosécurité qui a été approuvé à Montréal en janvier 2000. En fait, l'introduction explicite de ce principe dans les articles opérationnels du Protocole sur la biosécurité s'inscrit dans un mouvement plus vaste tendant à donner forme à ce principe dans le cadre légal.</w:t>
      </w:r>
    </w:p>
    <w:p w:rsidR="005A3227" w:rsidRPr="00144FA9" w:rsidRDefault="005A3227" w:rsidP="005A3227">
      <w:pPr>
        <w:rPr>
          <w:lang w:val="fr-CH"/>
        </w:rPr>
      </w:pPr>
      <w:r w:rsidRPr="00144FA9">
        <w:rPr>
          <w:u w:val="single"/>
          <w:lang w:val="fr-CH"/>
        </w:rPr>
        <w:t>Note</w:t>
      </w:r>
      <w:r w:rsidRPr="00144FA9">
        <w:rPr>
          <w:lang w:val="fr-CH"/>
        </w:rPr>
        <w:t>: Le principe de précaution n'a jamais été clairement défini dans les accords de l'OMC. L'organe de règlement des différends (ORD), chargé d'arbitrer les conflits entre les membres de l'organisation, a toujours refusé de se prononcer sur la portée réelle du principe de précaution et ne le considère pas comme un principe de droit général. Lorsqu'on a un doute sur un risque potentiel, l'ORD autorise les restrictions commerciales au motif de l'application du principe uniquement s'il existe des indices tangibles de dangerosité.</w:t>
      </w:r>
    </w:p>
    <w:p w:rsidR="005A3227" w:rsidRPr="001C7C7D" w:rsidRDefault="005A3227" w:rsidP="00603859">
      <w:pPr>
        <w:pStyle w:val="Heading1"/>
        <w:rPr>
          <w:smallCaps/>
          <w:szCs w:val="19"/>
          <w:lang w:val="fr-CH"/>
        </w:rPr>
      </w:pPr>
      <w:bookmarkStart w:id="31" w:name="_Toc373423160"/>
      <w:bookmarkStart w:id="32" w:name="_Toc330816726"/>
      <w:bookmarkStart w:id="33" w:name="_Toc361989737"/>
      <w:bookmarkStart w:id="34" w:name="_Toc364674015"/>
      <w:r>
        <w:rPr>
          <w:szCs w:val="19"/>
          <w:lang w:val="fr-CH"/>
        </w:rPr>
        <w:t>5</w:t>
      </w:r>
      <w:r w:rsidRPr="001C7C7D">
        <w:rPr>
          <w:szCs w:val="19"/>
          <w:lang w:val="fr-CH"/>
        </w:rPr>
        <w:tab/>
      </w:r>
      <w:r w:rsidRPr="001C7C7D">
        <w:rPr>
          <w:lang w:val="fr-FR"/>
        </w:rPr>
        <w:t xml:space="preserve">Analyse des </w:t>
      </w:r>
      <w:r w:rsidRPr="00C409E7">
        <w:rPr>
          <w:lang w:val="fr-CH"/>
        </w:rPr>
        <w:t>politiques</w:t>
      </w:r>
      <w:r w:rsidRPr="001C7C7D">
        <w:rPr>
          <w:lang w:val="fr-FR"/>
        </w:rPr>
        <w:t xml:space="preserve"> de réglementation de certains pays</w:t>
      </w:r>
      <w:bookmarkEnd w:id="31"/>
    </w:p>
    <w:bookmarkEnd w:id="32"/>
    <w:bookmarkEnd w:id="33"/>
    <w:bookmarkEnd w:id="34"/>
    <w:p w:rsidR="005A3227" w:rsidRPr="004B3FA2" w:rsidRDefault="005A3227" w:rsidP="005A3227">
      <w:pPr>
        <w:rPr>
          <w:rFonts w:cs="Arial"/>
          <w:szCs w:val="19"/>
        </w:rPr>
      </w:pPr>
      <w:r w:rsidRPr="004B3FA2">
        <w:rPr>
          <w:rFonts w:cs="Arial"/>
          <w:szCs w:val="19"/>
        </w:rPr>
        <w:t xml:space="preserve">Lors de l'élaboration du présent Rapport, il a été procédé à l'analyse et à la compilation des politiques de réglementation relatives à l'exposition des personnes aux champs électromagnétiques mises en œuvre par certains </w:t>
      </w:r>
      <w:r>
        <w:t>É</w:t>
      </w:r>
      <w:r w:rsidRPr="004B3FA2">
        <w:rPr>
          <w:rFonts w:cs="Arial"/>
          <w:szCs w:val="19"/>
        </w:rPr>
        <w:t xml:space="preserve">tats Membres pour autoriser l'installation de sites de radiocommunication. Il est également </w:t>
      </w:r>
      <w:r w:rsidRPr="004B3FA2">
        <w:rPr>
          <w:rFonts w:cs="Arial"/>
          <w:szCs w:val="19"/>
        </w:rPr>
        <w:lastRenderedPageBreak/>
        <w:t>rendu compte des stratégies ou les méthodes servant à informer les personnes au sujet des effets des champs électromagnétiques dus aux systèmes de radiocommunication.</w:t>
      </w:r>
      <w:bookmarkStart w:id="35" w:name="_Toc330816727"/>
      <w:bookmarkStart w:id="36" w:name="_Toc361989738"/>
      <w:bookmarkStart w:id="37" w:name="_Toc364674016"/>
    </w:p>
    <w:p w:rsidR="005A3227" w:rsidRPr="00C409E7" w:rsidRDefault="005A3227" w:rsidP="00603859">
      <w:pPr>
        <w:pStyle w:val="Heading2"/>
        <w:rPr>
          <w:smallCaps/>
          <w:lang w:val="fr-CH"/>
        </w:rPr>
      </w:pPr>
      <w:bookmarkStart w:id="38" w:name="_Toc370825000"/>
      <w:bookmarkStart w:id="39" w:name="_Toc373423161"/>
      <w:r w:rsidRPr="00C409E7">
        <w:rPr>
          <w:lang w:val="fr-CH"/>
        </w:rPr>
        <w:t>5.1</w:t>
      </w:r>
      <w:r w:rsidRPr="00C409E7">
        <w:rPr>
          <w:lang w:val="fr-CH"/>
        </w:rPr>
        <w:tab/>
        <w:t>Côte d'Ivoire</w:t>
      </w:r>
      <w:bookmarkEnd w:id="38"/>
      <w:bookmarkEnd w:id="39"/>
    </w:p>
    <w:bookmarkEnd w:id="35"/>
    <w:bookmarkEnd w:id="36"/>
    <w:bookmarkEnd w:id="37"/>
    <w:p w:rsidR="005A3227" w:rsidRPr="004B3FA2" w:rsidRDefault="005A3227" w:rsidP="005A3227">
      <w:pPr>
        <w:rPr>
          <w:szCs w:val="19"/>
        </w:rPr>
      </w:pPr>
      <w:r w:rsidRPr="004B3FA2">
        <w:rPr>
          <w:b/>
          <w:szCs w:val="19"/>
        </w:rPr>
        <w:t>Politique:</w:t>
      </w:r>
      <w:r w:rsidRPr="004B3FA2">
        <w:rPr>
          <w:szCs w:val="19"/>
        </w:rPr>
        <w:t xml:space="preserve"> En Côte d'Ivoire, la mise en place ou la modification d'installations de radiocommunication est systématiquement soumise à l'approbation du régulateur et d'autres autorités locales. Des mesures de précaution ont été prises afin de protéger la population de l'exposition aux fréquences radioélectriques, en particulier dans les zones sensibles pour la communauté: hôpitaux, écoles, crèche, zones de combat, et autres zones à forte présence de personnes vulnérables. Ces mesures de précaution ne visaient pas à éviter les antennes de communication, mais à tenir compte des diagrammes de rayonnement et à éviter les expositions inutiles. Le déploiement des antennes de communication donne lieu au préalable aux vérifications suivantes:</w:t>
      </w:r>
    </w:p>
    <w:p w:rsidR="005A3227" w:rsidRPr="00C409E7" w:rsidRDefault="005A3227" w:rsidP="00752698">
      <w:pPr>
        <w:pStyle w:val="Enumlevel1"/>
        <w:rPr>
          <w:lang w:val="fr-CH"/>
        </w:rPr>
      </w:pPr>
      <w:r w:rsidRPr="00C409E7">
        <w:rPr>
          <w:lang w:val="fr-CH"/>
        </w:rPr>
        <w:t>–</w:t>
      </w:r>
      <w:r w:rsidRPr="00C409E7">
        <w:rPr>
          <w:lang w:val="fr-CH"/>
        </w:rPr>
        <w:tab/>
        <w:t>Évaluation des caractéristiques techniques visant à s'assurer de la conformité avec les exigences réglementaires sur la base des Recommandations UIT-T.</w:t>
      </w:r>
    </w:p>
    <w:p w:rsidR="005A3227" w:rsidRPr="00C409E7" w:rsidRDefault="005A3227" w:rsidP="00752698">
      <w:pPr>
        <w:pStyle w:val="Enumlevel1"/>
        <w:rPr>
          <w:lang w:val="fr-CH"/>
        </w:rPr>
      </w:pPr>
      <w:r w:rsidRPr="00C409E7">
        <w:rPr>
          <w:lang w:val="fr-CH"/>
        </w:rPr>
        <w:t>–</w:t>
      </w:r>
      <w:r w:rsidRPr="00C409E7">
        <w:rPr>
          <w:lang w:val="fr-CH"/>
        </w:rPr>
        <w:tab/>
        <w:t>Validation du site consistant à vérifier que les travaux sont conformes au permis de construire.</w:t>
      </w:r>
    </w:p>
    <w:p w:rsidR="005A3227" w:rsidRPr="00C409E7" w:rsidRDefault="005A3227" w:rsidP="00752698">
      <w:pPr>
        <w:pStyle w:val="Enumlevel1"/>
        <w:rPr>
          <w:lang w:val="fr-CH"/>
        </w:rPr>
      </w:pPr>
      <w:r w:rsidRPr="00C409E7">
        <w:rPr>
          <w:lang w:val="fr-CH"/>
        </w:rPr>
        <w:t>–</w:t>
      </w:r>
      <w:r w:rsidRPr="00C409E7">
        <w:rPr>
          <w:lang w:val="fr-CH"/>
        </w:rPr>
        <w:tab/>
        <w:t>Analyse technique en vue de l'autorisation finale d'exploitation du site.</w:t>
      </w:r>
    </w:p>
    <w:p w:rsidR="005A3227" w:rsidRPr="00C409E7" w:rsidRDefault="005A3227" w:rsidP="00752698">
      <w:pPr>
        <w:pStyle w:val="Enumlevel1"/>
        <w:rPr>
          <w:lang w:val="fr-CH"/>
        </w:rPr>
      </w:pPr>
      <w:r w:rsidRPr="00C409E7">
        <w:rPr>
          <w:lang w:val="fr-CH"/>
        </w:rPr>
        <w:t>–</w:t>
      </w:r>
      <w:r w:rsidRPr="00C409E7">
        <w:rPr>
          <w:lang w:val="fr-CH"/>
        </w:rPr>
        <w:tab/>
        <w:t xml:space="preserve">Mesures in situ annuelles mises en </w:t>
      </w:r>
      <w:proofErr w:type="spellStart"/>
      <w:r w:rsidRPr="00C409E7">
        <w:rPr>
          <w:lang w:val="fr-CH"/>
        </w:rPr>
        <w:t>oeuvre</w:t>
      </w:r>
      <w:proofErr w:type="spellEnd"/>
      <w:r w:rsidRPr="00C409E7">
        <w:rPr>
          <w:lang w:val="fr-CH"/>
        </w:rPr>
        <w:t xml:space="preserve"> à l'échelle nationale conformément aux normes pertinentes.</w:t>
      </w:r>
    </w:p>
    <w:p w:rsidR="005A3227" w:rsidRPr="004B3FA2" w:rsidRDefault="005A3227" w:rsidP="005A3227">
      <w:pPr>
        <w:spacing w:after="60"/>
        <w:rPr>
          <w:szCs w:val="19"/>
        </w:rPr>
      </w:pPr>
      <w:r w:rsidRPr="004B3FA2">
        <w:rPr>
          <w:szCs w:val="19"/>
        </w:rPr>
        <w:t>Un projet de politique visant à réglementer l'exposition aux fréquences radioélectriques est en cours d'élaboration. Cette politique aura pour objet de:</w:t>
      </w:r>
    </w:p>
    <w:p w:rsidR="005A3227" w:rsidRPr="00C409E7" w:rsidRDefault="005A3227" w:rsidP="00752698">
      <w:pPr>
        <w:pStyle w:val="Enumlevel1"/>
        <w:rPr>
          <w:lang w:val="fr-CH"/>
        </w:rPr>
      </w:pPr>
      <w:r w:rsidRPr="00C409E7">
        <w:rPr>
          <w:lang w:val="fr-CH"/>
        </w:rPr>
        <w:t>–</w:t>
      </w:r>
      <w:r w:rsidRPr="00C409E7">
        <w:rPr>
          <w:lang w:val="fr-CH"/>
        </w:rPr>
        <w:tab/>
        <w:t>fixer les valeurs limites d'exposition aux fréquences radioélectriques provenant d'installations émettrices en Côte d'Ivoire conformément aux lignes directrices de la CIPRNI;</w:t>
      </w:r>
    </w:p>
    <w:p w:rsidR="005A3227" w:rsidRPr="00C409E7" w:rsidRDefault="005A3227" w:rsidP="00752698">
      <w:pPr>
        <w:pStyle w:val="Enumlevel1"/>
        <w:rPr>
          <w:lang w:val="fr-CH"/>
        </w:rPr>
      </w:pPr>
      <w:r w:rsidRPr="00C409E7">
        <w:rPr>
          <w:lang w:val="fr-CH"/>
        </w:rPr>
        <w:t>–</w:t>
      </w:r>
      <w:r w:rsidRPr="00C409E7">
        <w:rPr>
          <w:lang w:val="fr-CH"/>
        </w:rPr>
        <w:tab/>
        <w:t>déterminer les obligations des propriétaires de ces installations.</w:t>
      </w:r>
    </w:p>
    <w:p w:rsidR="005A3227" w:rsidRPr="004B3FA2" w:rsidRDefault="005A3227" w:rsidP="005A3227">
      <w:pPr>
        <w:rPr>
          <w:szCs w:val="19"/>
        </w:rPr>
      </w:pPr>
      <w:r w:rsidRPr="004B3FA2">
        <w:rPr>
          <w:b/>
          <w:szCs w:val="19"/>
        </w:rPr>
        <w:t>Information et participation du public:</w:t>
      </w:r>
      <w:r w:rsidRPr="004B3FA2">
        <w:rPr>
          <w:szCs w:val="19"/>
        </w:rPr>
        <w:t xml:space="preserve"> Une consultation publique a lieu avant l'érection des antennes. Les services de radiodiffusion sont utilisés afin d'informer le public au sujet des signaux radiofréquences. On trouve sur le site web du régulateur une FAQ concernant les rayonnements non ionisants et le DAS. Les résultats des mesures doivent faire l'objet d'une publication.</w:t>
      </w:r>
    </w:p>
    <w:p w:rsidR="005A3227" w:rsidRPr="00C409E7" w:rsidRDefault="005A3227" w:rsidP="00780E9E">
      <w:pPr>
        <w:pStyle w:val="HeadingB"/>
        <w:rPr>
          <w:lang w:val="fr-CH"/>
        </w:rPr>
      </w:pPr>
      <w:r w:rsidRPr="00C409E7">
        <w:rPr>
          <w:lang w:val="fr-CH"/>
        </w:rPr>
        <w:t>Analyse</w:t>
      </w:r>
    </w:p>
    <w:p w:rsidR="005A3227" w:rsidRPr="004B3FA2" w:rsidRDefault="005A3227" w:rsidP="005A3227">
      <w:pPr>
        <w:rPr>
          <w:szCs w:val="19"/>
        </w:rPr>
      </w:pPr>
      <w:r w:rsidRPr="004B3FA2">
        <w:rPr>
          <w:szCs w:val="19"/>
        </w:rPr>
        <w:t>Cette politique peut être mise à l'essai par d'autres Etats Membres. Le projet consistant à fixer des valeurs minimales devrait suivre les lignes directrices de la CIPRNI sur la limitation de l'exposition aux fréquences radioélectriques.</w:t>
      </w:r>
      <w:bookmarkStart w:id="40" w:name="Proposal"/>
      <w:bookmarkStart w:id="41" w:name="_Toc330816728"/>
      <w:bookmarkStart w:id="42" w:name="_Toc361989739"/>
      <w:bookmarkStart w:id="43" w:name="_Toc364674017"/>
      <w:bookmarkEnd w:id="40"/>
    </w:p>
    <w:p w:rsidR="005A3227" w:rsidRPr="00C409E7" w:rsidRDefault="005A3227" w:rsidP="00603859">
      <w:pPr>
        <w:pStyle w:val="Heading2"/>
        <w:rPr>
          <w:lang w:val="fr-CH"/>
        </w:rPr>
      </w:pPr>
      <w:bookmarkStart w:id="44" w:name="_Toc373423162"/>
      <w:r w:rsidRPr="00C409E7">
        <w:rPr>
          <w:lang w:val="fr-CH"/>
        </w:rPr>
        <w:t>5.2</w:t>
      </w:r>
      <w:r w:rsidRPr="00C409E7">
        <w:rPr>
          <w:lang w:val="fr-CH"/>
        </w:rPr>
        <w:tab/>
        <w:t>Brésil</w:t>
      </w:r>
      <w:bookmarkEnd w:id="44"/>
    </w:p>
    <w:bookmarkEnd w:id="41"/>
    <w:bookmarkEnd w:id="42"/>
    <w:bookmarkEnd w:id="43"/>
    <w:p w:rsidR="005A3227" w:rsidRPr="004B3FA2" w:rsidRDefault="005A3227" w:rsidP="005A3227">
      <w:pPr>
        <w:rPr>
          <w:szCs w:val="19"/>
        </w:rPr>
      </w:pPr>
      <w:r w:rsidRPr="004B3FA2">
        <w:rPr>
          <w:b/>
          <w:szCs w:val="19"/>
        </w:rPr>
        <w:t>Politique:</w:t>
      </w:r>
      <w:r w:rsidRPr="004B3FA2">
        <w:rPr>
          <w:szCs w:val="19"/>
        </w:rPr>
        <w:t xml:space="preserve"> Au Brésil, les limites d'exposition suivent les lignes directrices de la Commission internationale de protection contre les rayonnements non ionisants (CIPRNI). La législation fédérale brésilienne prévoit la surveillance des systèmes de radiocommunication et en garantit la conformité avec les niveaux de rayonnement électromagnétique recommandés par l'OMS.</w:t>
      </w:r>
    </w:p>
    <w:p w:rsidR="005A3227" w:rsidRPr="004B3FA2" w:rsidRDefault="005A3227" w:rsidP="005A3227">
      <w:pPr>
        <w:rPr>
          <w:szCs w:val="19"/>
        </w:rPr>
      </w:pPr>
      <w:r w:rsidRPr="004B3FA2">
        <w:rPr>
          <w:szCs w:val="19"/>
        </w:rPr>
        <w:t>La mesure des niveaux de rayonnement dans le pays est prise en charge par A</w:t>
      </w:r>
      <w:r>
        <w:rPr>
          <w:szCs w:val="19"/>
        </w:rPr>
        <w:t>NATEL</w:t>
      </w:r>
      <w:r w:rsidRPr="004B3FA2">
        <w:rPr>
          <w:szCs w:val="19"/>
        </w:rPr>
        <w:t>, qui évalue la conformité en termes d'exposition aux champs électromagnétiques des stations de radiocommunication situées dans un rayon de 50 mètres autour des hôpitaux, des cliniques, des écoles, des garderies et des maisons de retraite, 60 jours au plus tard après que ces stations se sont vu délivrer leur licence.</w:t>
      </w:r>
    </w:p>
    <w:p w:rsidR="005A3227" w:rsidRPr="004B3FA2" w:rsidRDefault="005A3227" w:rsidP="005A3227">
      <w:pPr>
        <w:rPr>
          <w:rFonts w:cs="Arial"/>
          <w:szCs w:val="19"/>
        </w:rPr>
      </w:pPr>
      <w:r w:rsidRPr="004B3FA2">
        <w:rPr>
          <w:rFonts w:cs="Arial"/>
          <w:szCs w:val="19"/>
        </w:rPr>
        <w:t>L'évaluation de l'exposition aux champs électromagnétiques a lieu au moins tous les cinq ans. A</w:t>
      </w:r>
      <w:r>
        <w:rPr>
          <w:rFonts w:cs="Arial"/>
          <w:szCs w:val="19"/>
        </w:rPr>
        <w:t>NATEL</w:t>
      </w:r>
      <w:r w:rsidRPr="004B3FA2">
        <w:rPr>
          <w:rFonts w:cs="Arial"/>
          <w:szCs w:val="19"/>
        </w:rPr>
        <w:t xml:space="preserve"> effectue des mesures sur des sites choisis dans le cadre du plan de mise en œuvre annuel, conformément à la législation et à la suite de demandes de la société émanant de différentes sources, telles que les centres d'appel, les services web et d'autres voies de relations publiques. La plupart de ces évaluations </w:t>
      </w:r>
      <w:r w:rsidRPr="004B3FA2">
        <w:rPr>
          <w:rFonts w:cs="Arial"/>
          <w:szCs w:val="19"/>
        </w:rPr>
        <w:lastRenderedPageBreak/>
        <w:t>concernent des stations BTS cellulaires et certaines ont lieu à la suite de plaintes du voisinage et d'inquiétudes vis-à-vis de l'exposition aux champs électromagnétiques.</w:t>
      </w:r>
    </w:p>
    <w:p w:rsidR="005A3227" w:rsidRPr="004B3FA2" w:rsidRDefault="005A3227" w:rsidP="00780E9E">
      <w:r w:rsidRPr="004B3FA2">
        <w:rPr>
          <w:b/>
        </w:rPr>
        <w:t>Information du public:</w:t>
      </w:r>
      <w:r w:rsidRPr="004B3FA2">
        <w:t xml:space="preserve"> </w:t>
      </w:r>
      <w:r w:rsidRPr="00056640">
        <w:rPr>
          <w:rFonts w:cs="Arial"/>
          <w:lang w:val="fr-CH"/>
        </w:rPr>
        <w:t>ANATEL</w:t>
      </w:r>
      <w:r w:rsidRPr="004B3FA2">
        <w:t xml:space="preserve"> a publié un logiciel qui présente les résultats de calculs théoriques du ratio total d'exposition, qui a été estimé au moyen d'un modèle de propagation en espace libre et de la base de données nationale sur les stations de radiocommunication. Les mesures effectuées par la Division de la mise en application d'</w:t>
      </w:r>
      <w:r w:rsidRPr="002A4891">
        <w:rPr>
          <w:rFonts w:cs="Arial"/>
          <w:lang w:val="fr-CH"/>
        </w:rPr>
        <w:t>ANATEL</w:t>
      </w:r>
      <w:r w:rsidRPr="004B3FA2">
        <w:t xml:space="preserve"> sont intégrées dans ce logiciel, si bien que dans les cas où il n'existe pas de valeurs mesurées, les valeurs calculées sont présentées.</w:t>
      </w:r>
    </w:p>
    <w:p w:rsidR="005A3227" w:rsidRPr="004B3FA2" w:rsidRDefault="005A3227" w:rsidP="00780E9E">
      <w:r w:rsidRPr="004B3FA2">
        <w:t xml:space="preserve">En outre, </w:t>
      </w:r>
      <w:r w:rsidRPr="00C325BE">
        <w:rPr>
          <w:rFonts w:cs="Arial"/>
          <w:lang w:val="fr-CH"/>
        </w:rPr>
        <w:t xml:space="preserve">ANATEL </w:t>
      </w:r>
      <w:r w:rsidRPr="004B3FA2">
        <w:t>publie sur son site web le débit d'absorption spécifique (DAS) de tous les téléphones mobiles homologués au Brésil. Le pays présente la mise à disposition du public d'une carte interactive indiquant des résultats de mesures et des calculs théoriques comme une méthode judicieuse pour fournir à ce dernier des informations correctes et pertinentes.</w:t>
      </w:r>
    </w:p>
    <w:p w:rsidR="005A3227" w:rsidRPr="00C409E7" w:rsidRDefault="005A3227" w:rsidP="00780E9E">
      <w:pPr>
        <w:pStyle w:val="HeadingB"/>
        <w:rPr>
          <w:lang w:val="fr-CH"/>
        </w:rPr>
      </w:pPr>
      <w:r w:rsidRPr="00C409E7">
        <w:rPr>
          <w:lang w:val="fr-CH"/>
        </w:rPr>
        <w:t>Analyse</w:t>
      </w:r>
    </w:p>
    <w:p w:rsidR="005A3227" w:rsidRPr="004B3FA2" w:rsidRDefault="005A3227" w:rsidP="005A3227">
      <w:pPr>
        <w:rPr>
          <w:szCs w:val="19"/>
        </w:rPr>
      </w:pPr>
      <w:r w:rsidRPr="004B3FA2">
        <w:rPr>
          <w:szCs w:val="19"/>
        </w:rPr>
        <w:t>La politique suit les lignes directrices de l'OMS et de la CIPRNI, et tient compte des zones sensibles, telles que les hôpitaux. Les plaintes reçues tendent à indiquer que le public dispose de connaissances concernant les champs électromagnétiques, et que la publication de données au moyen d'un logiciel a donc été une bonne méthode d'information du public.</w:t>
      </w:r>
    </w:p>
    <w:p w:rsidR="005A3227" w:rsidRPr="00C409E7" w:rsidRDefault="005A3227" w:rsidP="00780E9E">
      <w:pPr>
        <w:pStyle w:val="Heading2"/>
        <w:rPr>
          <w:lang w:val="fr-CH"/>
        </w:rPr>
      </w:pPr>
      <w:bookmarkStart w:id="45" w:name="_Toc373423163"/>
      <w:bookmarkStart w:id="46" w:name="_Toc330816729"/>
      <w:bookmarkStart w:id="47" w:name="_Toc361989740"/>
      <w:bookmarkStart w:id="48" w:name="_Toc364674018"/>
      <w:r w:rsidRPr="00C409E7">
        <w:rPr>
          <w:lang w:val="fr-CH"/>
        </w:rPr>
        <w:t>5.3</w:t>
      </w:r>
      <w:r w:rsidRPr="00C409E7">
        <w:rPr>
          <w:lang w:val="fr-CH"/>
        </w:rPr>
        <w:tab/>
        <w:t>République de Corée</w:t>
      </w:r>
      <w:bookmarkEnd w:id="45"/>
    </w:p>
    <w:bookmarkEnd w:id="46"/>
    <w:bookmarkEnd w:id="47"/>
    <w:bookmarkEnd w:id="48"/>
    <w:p w:rsidR="005A3227" w:rsidRPr="00144FA9" w:rsidRDefault="005A3227" w:rsidP="005A3227">
      <w:pPr>
        <w:rPr>
          <w:lang w:val="fr-CH"/>
        </w:rPr>
      </w:pPr>
      <w:r w:rsidRPr="00144FA9">
        <w:rPr>
          <w:b/>
          <w:lang w:val="fr-CH"/>
        </w:rPr>
        <w:t>Politique:</w:t>
      </w:r>
      <w:r w:rsidRPr="00144FA9">
        <w:rPr>
          <w:lang w:val="fr-CH"/>
        </w:rPr>
        <w:t xml:space="preserve"> Le pays utilise les limites d'exposition aux champs électromagnétiques de la CIPRNI et de l'IEEE. L'évaluation environnementale des champs électromagnétiques au niveau des stations de base et des émetteurs de radiodiffusion donne lieu à des rapports. Une mesure des niveaux de champ électromagnétique a lieu pour tous les équipements qui rayonnent de l'énergie radioélectrique, hormis dans le cas des installations de radiocommunication suivantes: stations mobiles, stations d'urgence, stations situées dans des zones difficiles d'accès (par exemple les montagnes, les îles, etc.), stations de faible puissance comme les microphones sans fil exemptés de licence, les contrôleurs radio, les dispositifs d'appel unilatéral de personnes, etc.</w:t>
      </w:r>
    </w:p>
    <w:p w:rsidR="005A3227" w:rsidRPr="00144FA9" w:rsidRDefault="005A3227" w:rsidP="005A3227">
      <w:pPr>
        <w:rPr>
          <w:lang w:val="fr-CH"/>
        </w:rPr>
      </w:pPr>
      <w:r w:rsidRPr="00144FA9">
        <w:rPr>
          <w:lang w:val="fr-CH"/>
        </w:rPr>
        <w:t>L'exploitation normale des stations radioélectriques installées à proximité des zones publiques ne peut débuter qu'après la publication des résultats de l'évaluation des niveaux de champ électromagnétique et à condition que ceux-ci soient conformes aux limites prescrites.</w:t>
      </w:r>
    </w:p>
    <w:p w:rsidR="005A3227" w:rsidRPr="004B3FA2" w:rsidRDefault="005A3227" w:rsidP="00780E9E">
      <w:r w:rsidRPr="004B3FA2">
        <w:rPr>
          <w:b/>
        </w:rPr>
        <w:t>Information du public</w:t>
      </w:r>
      <w:r w:rsidRPr="004B3FA2">
        <w:t>: Depuis 2004, deux lettres d'information, l'une de la RRA concernant les étalons de mesure des champs électromagnétiques, et l'autre du KIEES sur les effets biologiques, les limites d'exposition et les politiques, sont publiées deux fois par an. Des guides et des CD visant à informer le public sur l'exposition aux champs électromagnétiques sont publiés tous les deux ans. Une revue spécialisée est publiée une fois par an à l'intention des professionnels. Des ateliers sur le thème des relations entre les champs électromagnétiques et la biologie sont organisés une à deux fois par an depuis 1999.</w:t>
      </w:r>
    </w:p>
    <w:p w:rsidR="005A3227" w:rsidRPr="00C409E7" w:rsidRDefault="005A3227" w:rsidP="00780E9E">
      <w:pPr>
        <w:pStyle w:val="HeadingB"/>
        <w:rPr>
          <w:lang w:val="fr-CH"/>
        </w:rPr>
      </w:pPr>
      <w:r w:rsidRPr="00C409E7">
        <w:rPr>
          <w:lang w:val="fr-CH"/>
        </w:rPr>
        <w:t>Analyse</w:t>
      </w:r>
    </w:p>
    <w:p w:rsidR="005A3227" w:rsidRPr="004B3FA2" w:rsidRDefault="005A3227" w:rsidP="005A3227">
      <w:pPr>
        <w:rPr>
          <w:szCs w:val="19"/>
        </w:rPr>
      </w:pPr>
      <w:r w:rsidRPr="004B3FA2">
        <w:rPr>
          <w:szCs w:val="19"/>
        </w:rPr>
        <w:t>La République de Corée est très active sur le front des projets de recherche liés aux champs électromagnétiques. Le public est tenu informé par l'intermédiaire de journaux, de CD, d'ateliers et de livres. Enfin, la politique mise en place répond aux normes de la CIPRNI et de l'IEEE.</w:t>
      </w:r>
    </w:p>
    <w:p w:rsidR="005A3227" w:rsidRPr="00FA2090" w:rsidRDefault="005A3227" w:rsidP="00CA4936">
      <w:pPr>
        <w:pStyle w:val="Heading2"/>
        <w:rPr>
          <w:lang w:val="fr-CH"/>
        </w:rPr>
      </w:pPr>
      <w:bookmarkStart w:id="49" w:name="_Toc373423164"/>
      <w:bookmarkStart w:id="50" w:name="_Toc330816730"/>
      <w:bookmarkStart w:id="51" w:name="_Toc361989741"/>
      <w:bookmarkStart w:id="52" w:name="_Toc364674019"/>
      <w:r w:rsidRPr="00FA2090">
        <w:rPr>
          <w:lang w:val="fr-CH"/>
        </w:rPr>
        <w:t xml:space="preserve">5.4 </w:t>
      </w:r>
      <w:r w:rsidRPr="00FA2090">
        <w:rPr>
          <w:lang w:val="fr-CH"/>
        </w:rPr>
        <w:tab/>
        <w:t>Israël</w:t>
      </w:r>
      <w:bookmarkEnd w:id="49"/>
    </w:p>
    <w:bookmarkEnd w:id="50"/>
    <w:bookmarkEnd w:id="51"/>
    <w:bookmarkEnd w:id="52"/>
    <w:p w:rsidR="005A3227" w:rsidRPr="004B3FA2" w:rsidRDefault="005A3227" w:rsidP="005A3227">
      <w:pPr>
        <w:rPr>
          <w:szCs w:val="19"/>
        </w:rPr>
      </w:pPr>
      <w:r w:rsidRPr="004B3FA2">
        <w:rPr>
          <w:b/>
          <w:szCs w:val="19"/>
        </w:rPr>
        <w:t>Politique:</w:t>
      </w:r>
      <w:r w:rsidRPr="004B3FA2">
        <w:rPr>
          <w:szCs w:val="19"/>
        </w:rPr>
        <w:t xml:space="preserve"> Les limites d'exposition de la CIPRNI sont utilisées. Le Ministère de la protection de l'environnement surveille l'exposition des personnes aux champs électromagnétiques créés par les stations de base. Le cadre réglementaire d'Israël est basé sur la Loi sur les rayonnements non ionisants (2006) et le Règlement sur les rayonnements non ionisants (2009). Le principe de précaution est obligatoire en vertu de la Loi sur les rayonnements non ionisants. Israël a été le premier pays à instituer </w:t>
      </w:r>
      <w:r w:rsidRPr="004B3FA2">
        <w:rPr>
          <w:szCs w:val="19"/>
        </w:rPr>
        <w:lastRenderedPageBreak/>
        <w:t>des mesures annuelles au voisinage des stations d'émission de base. Chaque citoyen peut accéder en ligne à la liste de tous les sites de station cellulaire. Au 10 juillet 2013, on dénombrait 8 591 stations (voir le fichier .</w:t>
      </w:r>
      <w:proofErr w:type="spellStart"/>
      <w:r w:rsidRPr="004B3FA2">
        <w:rPr>
          <w:szCs w:val="19"/>
        </w:rPr>
        <w:t>xls</w:t>
      </w:r>
      <w:proofErr w:type="spellEnd"/>
      <w:r w:rsidRPr="004B3FA2">
        <w:rPr>
          <w:rStyle w:val="FootnoteReference"/>
          <w:position w:val="4"/>
          <w:sz w:val="16"/>
          <w:szCs w:val="16"/>
        </w:rPr>
        <w:footnoteReference w:id="11"/>
      </w:r>
      <w:r w:rsidRPr="004B3FA2">
        <w:rPr>
          <w:szCs w:val="19"/>
        </w:rPr>
        <w:t>). Les informations disponibles incluent le nom de l'exploitant, l'adresse exacte, les coordonnées géographiques, ainsi que les dates d'approbation et de déploiement.</w:t>
      </w:r>
    </w:p>
    <w:p w:rsidR="005A3227" w:rsidRPr="004B3FA2" w:rsidRDefault="005A3227" w:rsidP="005A3227">
      <w:pPr>
        <w:rPr>
          <w:szCs w:val="19"/>
        </w:rPr>
      </w:pPr>
      <w:r w:rsidRPr="004B3FA2">
        <w:rPr>
          <w:szCs w:val="19"/>
        </w:rPr>
        <w:t>En 2010, le Département chargé de la réduction du bruit et des rayonnements du Ministère de la protection de l'environnement a mis en œuvre un programme innovant, qui permet au Commissariat aux rayonnements de surveiller, depuis ses locaux, l'ensemble des zones du pays représentant au total plus de 30 000 secteurs UMTS, et de recevoir toutes les données relatives aux rayonnements émis par chaque antenne, au niveau national, et ce 24 heures sur 24 et 365 jours par an. Le programme consiste à extraire directement des fichiers de données brutes dans les dispositifs de commande de commutation radioélectrique de l'opérateur de téléphonie cellulaire, à authentifier ces données, et à les analyser et les comparer avec la limite. Les anomalies font l'objet d'une alerte.</w:t>
      </w:r>
    </w:p>
    <w:p w:rsidR="005A3227" w:rsidRPr="004B3FA2" w:rsidRDefault="005A3227" w:rsidP="005A3227">
      <w:pPr>
        <w:rPr>
          <w:szCs w:val="19"/>
        </w:rPr>
      </w:pPr>
      <w:r w:rsidRPr="004B3FA2">
        <w:rPr>
          <w:szCs w:val="19"/>
        </w:rPr>
        <w:t>Ce système permet également de surveiller en continu la correspondance entre les fréquences radioélectriques utilisées et les fréquences assignées, ou des paramètres liés à la qualité de service, tels que les taux d'interruption des appels, les appels groupés, les délais de remise en service, et la couverture par type de zone.</w:t>
      </w:r>
    </w:p>
    <w:p w:rsidR="005A3227" w:rsidRPr="004B3FA2" w:rsidRDefault="005A3227" w:rsidP="00780E9E">
      <w:r w:rsidRPr="004B3FA2">
        <w:rPr>
          <w:b/>
        </w:rPr>
        <w:t>Information du public</w:t>
      </w:r>
      <w:r w:rsidRPr="004B3FA2">
        <w:t>: Les techniques de contrôle des rayonnements mises en place par Israël fournissent des données facilement accessibles, puisque celles-ci sont entièrement électroniques et qu'il est possible de les consulter, de les analyser et de les publier sur le site web du Ministère, ce qui garantit une transparence totale pour le grand public. Dès que le système repère une infraction, il permet d'automatiser les alertes, tant sur le plan interne qu'au niveau du Ministère et des opérateurs, et de tenir un registre précis des activités de leur lancement à leur conclusion. La liste des anomalies est publiée sur l'Internet.</w:t>
      </w:r>
    </w:p>
    <w:p w:rsidR="005A3227" w:rsidRPr="00C409E7" w:rsidRDefault="005A3227" w:rsidP="00780E9E">
      <w:pPr>
        <w:pStyle w:val="HeadingB"/>
        <w:rPr>
          <w:lang w:val="fr-CH"/>
        </w:rPr>
      </w:pPr>
      <w:r w:rsidRPr="00C409E7">
        <w:rPr>
          <w:lang w:val="fr-CH"/>
        </w:rPr>
        <w:t>Analyse</w:t>
      </w:r>
    </w:p>
    <w:p w:rsidR="005A3227" w:rsidRPr="004B3FA2" w:rsidRDefault="005A3227" w:rsidP="005A3227">
      <w:pPr>
        <w:rPr>
          <w:szCs w:val="19"/>
        </w:rPr>
      </w:pPr>
      <w:r w:rsidRPr="004B3FA2">
        <w:rPr>
          <w:szCs w:val="19"/>
        </w:rPr>
        <w:t>Israël a mis en place un système de contrôle convivial plus efficace et plus fiable.</w:t>
      </w:r>
    </w:p>
    <w:p w:rsidR="005A3227" w:rsidRPr="004B3FA2" w:rsidRDefault="005A3227" w:rsidP="005A3227">
      <w:pPr>
        <w:rPr>
          <w:szCs w:val="19"/>
        </w:rPr>
      </w:pPr>
      <w:r w:rsidRPr="004B3FA2">
        <w:rPr>
          <w:szCs w:val="19"/>
        </w:rPr>
        <w:t>En raison du degré élevé d'exposition des personnes aux fréquences radioélectriques provenant des émetteurs de radiodiffusion et des stations de base cellulaires et du maintien de l'incertitude scientifique en ce qui concerne les effets nocifs d'une telle exposition, Israël propose que les systèmes de télécommunication par câble, par fibres optiques ou par satellite soit utilisés de préférence à l'accès hertzien fixe, à la télévision par voie hertzienne et aux routeurs hertziens. En outre, il conviendrait d'encourager l'utilisation en partage des sites de station cellulaire entre les opérateurs, afin de réduire le nombre de stations de base et l'exposition des personnes aux champs électromagnétiques.</w:t>
      </w:r>
    </w:p>
    <w:p w:rsidR="005A3227" w:rsidRPr="00CA4936" w:rsidRDefault="005A3227" w:rsidP="00CA4936">
      <w:pPr>
        <w:pStyle w:val="Heading2"/>
        <w:rPr>
          <w:lang w:val="fr-CH"/>
        </w:rPr>
      </w:pPr>
      <w:bookmarkStart w:id="53" w:name="_Toc373423165"/>
      <w:bookmarkStart w:id="54" w:name="_Toc330816731"/>
      <w:bookmarkStart w:id="55" w:name="_Toc361989742"/>
      <w:bookmarkStart w:id="56" w:name="_Toc364674020"/>
      <w:r w:rsidRPr="00CA4936">
        <w:rPr>
          <w:lang w:val="fr-CH"/>
        </w:rPr>
        <w:t xml:space="preserve">5.5 </w:t>
      </w:r>
      <w:r w:rsidRPr="00CA4936">
        <w:rPr>
          <w:lang w:val="fr-CH"/>
        </w:rPr>
        <w:tab/>
        <w:t>Venezuela</w:t>
      </w:r>
      <w:bookmarkEnd w:id="53"/>
    </w:p>
    <w:bookmarkEnd w:id="54"/>
    <w:bookmarkEnd w:id="55"/>
    <w:bookmarkEnd w:id="56"/>
    <w:p w:rsidR="005A3227" w:rsidRPr="004B3FA2" w:rsidRDefault="005A3227" w:rsidP="005A3227">
      <w:pPr>
        <w:keepNext/>
        <w:keepLines/>
      </w:pPr>
      <w:r w:rsidRPr="004B3FA2">
        <w:rPr>
          <w:b/>
          <w:szCs w:val="19"/>
        </w:rPr>
        <w:t xml:space="preserve">Politique: </w:t>
      </w:r>
      <w:r w:rsidRPr="004B3FA2">
        <w:t>L'Arrêté administratif N° 581 de CONATEL a été publié le 3 juin 2005. Cet Arrêté vise à établir les conditions de sécurité relatives à l'exposition aux fréquences radioélectriques émises par des stations de radiocommunication fixes dans la gamme comprise entre 3 kHz et 300 GHz, notamment en ce qui concerne les spécifications techniques applicables à l'installation d'antennes d'émission et la méthode à suivre pour déterminer si les limites d'exposition prescrites concernant ces émissions sont conformes à la législation en vigueur.</w:t>
      </w:r>
    </w:p>
    <w:p w:rsidR="005A3227" w:rsidRPr="00144FA9" w:rsidRDefault="005A3227" w:rsidP="005A3227">
      <w:pPr>
        <w:rPr>
          <w:lang w:val="fr-CH"/>
        </w:rPr>
      </w:pPr>
      <w:r w:rsidRPr="00144FA9">
        <w:rPr>
          <w:lang w:val="fr-CH"/>
        </w:rPr>
        <w:t>L'Arrêté administratif comprend une série d'articles sur les conditions de sécurité applicables aux émissions radioélectriques provenant de stations de radiocommunication fixes dans la gamme de fréquences 3 kHz</w:t>
      </w:r>
      <w:r w:rsidRPr="00144FA9">
        <w:rPr>
          <w:lang w:val="fr-CH"/>
        </w:rPr>
        <w:noBreakHyphen/>
        <w:t>300 GHz, accompagnés de trois (3) annexes. Ledit Arrêté s'applique à tous les opérateurs de stations de radiocommunication fixes d'émission fonctionnant dans la gamme de fréquences 3 kHz</w:t>
      </w:r>
      <w:r w:rsidRPr="00144FA9">
        <w:rPr>
          <w:lang w:val="fr-CH"/>
        </w:rPr>
        <w:noBreakHyphen/>
        <w:t>300 GHz.</w:t>
      </w:r>
    </w:p>
    <w:p w:rsidR="005A3227" w:rsidRPr="00144FA9" w:rsidRDefault="005A3227" w:rsidP="005A3227">
      <w:pPr>
        <w:rPr>
          <w:lang w:val="fr-CH"/>
        </w:rPr>
      </w:pPr>
      <w:r w:rsidRPr="00144FA9">
        <w:rPr>
          <w:lang w:val="fr-CH"/>
        </w:rPr>
        <w:lastRenderedPageBreak/>
        <w:t>En ce qui concerne les limites d'exposition, l'Arrêté dispose que les opérateurs de stations de radiocommunication fixes doivent veiller à ce que, dans les différentes zones accessibles, le niveau d'énergie reçue en provenance de ces stations ne dépasse pas la limite d'exposition correspondant à la fréquence d'exploitation de chaque station, conformément aux tableaux pertinents et aux valeurs fixées dans la norme vénézuélienne COVENIN 228 pour la gamme de fréquences visée par l'Arrêté administratif.</w:t>
      </w:r>
    </w:p>
    <w:p w:rsidR="005A3227" w:rsidRPr="00144FA9" w:rsidRDefault="005A3227" w:rsidP="005A3227">
      <w:pPr>
        <w:rPr>
          <w:lang w:val="fr-CH"/>
        </w:rPr>
      </w:pPr>
      <w:r w:rsidRPr="00144FA9">
        <w:rPr>
          <w:lang w:val="fr-CH"/>
        </w:rPr>
        <w:t>Conformément aux dispositions de la Résolution N° 508 du Ministère de la santé, tout exploitant d'une station de radiocommunication se trouvant à proximité de bâtiments scolaires, d'un centre de santé, d'une maison de retraite, d'un orphelinat ou d'une aire de jeu, est tenu de procéder aux ajustements nécessaires pour que le niveau d'exposition aux champs électromagnétiques des personnes se trouvant dans ces zones soit dix fois inférieur à la valeur fixée dans la norme vénézuélienne COVENIN 2238.</w:t>
      </w:r>
    </w:p>
    <w:p w:rsidR="005A3227" w:rsidRPr="00144FA9" w:rsidRDefault="005A3227" w:rsidP="005A3227">
      <w:pPr>
        <w:rPr>
          <w:lang w:val="fr-CH"/>
        </w:rPr>
      </w:pPr>
      <w:r w:rsidRPr="00144FA9">
        <w:rPr>
          <w:b/>
          <w:lang w:val="fr-CH"/>
        </w:rPr>
        <w:t xml:space="preserve">Information du public: </w:t>
      </w:r>
      <w:r w:rsidRPr="00144FA9">
        <w:rPr>
          <w:lang w:val="fr-CH"/>
        </w:rPr>
        <w:t>Afin de veiller au respect de la législation nationale, la CONATEL effectue des mesures des rayonnements non ionisants dans les stations radioélectriques au niveau national, de façon à vérifier les informations figurant dans les rapports soumis par les opérateurs de télécommunication. Elle transmet ensuite les rapports en question au Ministère de la santé, afin que celui-ci se prononce sur les effets de l'exposition aux fréquences radioélectriques émises par ces stations sur la santé des personnes et prenne des mesures appropriées, complètes et opportunes vis-à-vis des personnes qui s'estiment affectées par le déploiement et l'exploitation de ces stations.</w:t>
      </w:r>
    </w:p>
    <w:p w:rsidR="005A3227" w:rsidRPr="004B3FA2" w:rsidRDefault="005A3227" w:rsidP="005A3227">
      <w:pPr>
        <w:rPr>
          <w:b/>
          <w:szCs w:val="19"/>
        </w:rPr>
      </w:pPr>
      <w:r w:rsidRPr="004B3FA2">
        <w:t>Par ailleurs, des réunions d'information sont tenues à l'intention des communautés organisées au sujet des rayonnements produits par les stations radioélectriques et de leurs effets possibles sur la santé des personnes. Lors de ces réunion, il est notamment question du développement des services de télécommunication au Venezuela et des bases réglementaires, juridiques et pratiques associées aux champs électromagnétiques dans les zones résidentielles, l'objectif étant uniquement de promouvoir l'intégration de la population dans le développement et l'évolution des télécommunications nationales.</w:t>
      </w:r>
    </w:p>
    <w:p w:rsidR="005A3227" w:rsidRPr="00C409E7" w:rsidRDefault="005A3227" w:rsidP="00780E9E">
      <w:pPr>
        <w:pStyle w:val="HeadingB"/>
        <w:rPr>
          <w:lang w:val="fr-CH"/>
        </w:rPr>
      </w:pPr>
      <w:r w:rsidRPr="00C409E7">
        <w:rPr>
          <w:lang w:val="fr-CH"/>
        </w:rPr>
        <w:t>Analyse</w:t>
      </w:r>
    </w:p>
    <w:p w:rsidR="005A3227" w:rsidRPr="004B3FA2" w:rsidRDefault="005A3227" w:rsidP="005A3227">
      <w:pPr>
        <w:rPr>
          <w:szCs w:val="19"/>
        </w:rPr>
      </w:pPr>
      <w:r w:rsidRPr="004B3FA2">
        <w:rPr>
          <w:szCs w:val="19"/>
        </w:rPr>
        <w:t>Cette politique suit les lignes directrices de l'OMS et de la CIPRNI. En outre, la norme COVENIN 2238 est basée sur les Recommandations de la CIPRNI.</w:t>
      </w:r>
    </w:p>
    <w:p w:rsidR="005A3227" w:rsidRPr="004B3FA2" w:rsidRDefault="005A3227" w:rsidP="005A3227">
      <w:pPr>
        <w:rPr>
          <w:szCs w:val="19"/>
        </w:rPr>
      </w:pPr>
      <w:r w:rsidRPr="004B3FA2">
        <w:rPr>
          <w:szCs w:val="19"/>
        </w:rPr>
        <w:t>Le régulateur, les opérateurs mobiles et les entités concernées diffusent au public des informations pertinentes.</w:t>
      </w:r>
    </w:p>
    <w:p w:rsidR="005A3227" w:rsidRPr="00C409E7" w:rsidRDefault="005A3227" w:rsidP="00780E9E">
      <w:pPr>
        <w:pStyle w:val="Heading2"/>
        <w:rPr>
          <w:lang w:val="fr-CH"/>
        </w:rPr>
      </w:pPr>
      <w:bookmarkStart w:id="57" w:name="_Toc373423166"/>
      <w:bookmarkStart w:id="58" w:name="_Toc361989743"/>
      <w:bookmarkStart w:id="59" w:name="_Toc364674021"/>
      <w:r w:rsidRPr="00C409E7">
        <w:rPr>
          <w:lang w:val="fr-CH"/>
        </w:rPr>
        <w:t xml:space="preserve">5.6 </w:t>
      </w:r>
      <w:r w:rsidRPr="00C409E7">
        <w:rPr>
          <w:lang w:val="fr-CH"/>
        </w:rPr>
        <w:tab/>
        <w:t>Hongrie</w:t>
      </w:r>
      <w:bookmarkEnd w:id="57"/>
    </w:p>
    <w:bookmarkEnd w:id="58"/>
    <w:bookmarkEnd w:id="59"/>
    <w:p w:rsidR="005A3227" w:rsidRPr="004B3FA2" w:rsidRDefault="005A3227" w:rsidP="005A3227">
      <w:pPr>
        <w:rPr>
          <w:bCs/>
          <w:szCs w:val="19"/>
        </w:rPr>
      </w:pPr>
      <w:r w:rsidRPr="004B3FA2">
        <w:rPr>
          <w:b/>
          <w:szCs w:val="19"/>
        </w:rPr>
        <w:t>Politique:</w:t>
      </w:r>
      <w:r w:rsidRPr="004B3FA2">
        <w:rPr>
          <w:szCs w:val="19"/>
        </w:rPr>
        <w:t xml:space="preserve"> En Hongrie, les aspects sanitaires des rayonnements électromagnétiques relevaient de la responsabilité d'une institution spécialisée – l'Institut de recherche en radiobiologie et en radio</w:t>
      </w:r>
      <w:r>
        <w:rPr>
          <w:szCs w:val="19"/>
        </w:rPr>
        <w:t xml:space="preserve"> </w:t>
      </w:r>
      <w:r w:rsidRPr="004B3FA2">
        <w:rPr>
          <w:szCs w:val="19"/>
        </w:rPr>
        <w:t>hygiène (NRIRR) – dans le cadre du Service national de santé publique. Cet organisme est notamment chargé de participer à l'octroi des licences pour la construction d'installations de radiocommunication et d'effectuer des mesures ponctuelles. Toutefois, compte tenu de ses capacités et de son expertise, l'Autorité nationale des médias et de l'</w:t>
      </w:r>
      <w:proofErr w:type="spellStart"/>
      <w:r w:rsidRPr="004B3FA2">
        <w:rPr>
          <w:szCs w:val="19"/>
        </w:rPr>
        <w:t>infocommunication</w:t>
      </w:r>
      <w:proofErr w:type="spellEnd"/>
      <w:r w:rsidRPr="004B3FA2">
        <w:rPr>
          <w:szCs w:val="19"/>
        </w:rPr>
        <w:t xml:space="preserve"> (NMIAH) a mis en place, en accord avec le NRIRR, un réseau national de contrôle et d'information sur les champs électromagnétiques.</w:t>
      </w:r>
    </w:p>
    <w:p w:rsidR="005A3227" w:rsidRPr="004B3FA2" w:rsidRDefault="005A3227" w:rsidP="005A3227">
      <w:pPr>
        <w:rPr>
          <w:bCs/>
          <w:szCs w:val="19"/>
        </w:rPr>
      </w:pPr>
      <w:r w:rsidRPr="004B3FA2">
        <w:rPr>
          <w:szCs w:val="19"/>
        </w:rPr>
        <w:t>Le programme de mesures prévoit la collecte des données à l'aide de 25 instruments de contrôle de zone dont l'emplacement change toutes les deux semaines. Les lieux choisis pour les mesures sont les établissements d'enseignement, les crèches et les écoles situés à proximité d'installations de radiocommunication. Occasionnellement, des tests sont effectués à la demande de particuliers.</w:t>
      </w:r>
    </w:p>
    <w:p w:rsidR="005A3227" w:rsidRPr="004B3FA2" w:rsidRDefault="005A3227" w:rsidP="005A3227">
      <w:pPr>
        <w:rPr>
          <w:szCs w:val="19"/>
        </w:rPr>
      </w:pPr>
      <w:r w:rsidRPr="004B3FA2">
        <w:rPr>
          <w:b/>
          <w:szCs w:val="19"/>
        </w:rPr>
        <w:t>Information du public:</w:t>
      </w:r>
      <w:r w:rsidRPr="004B3FA2">
        <w:rPr>
          <w:szCs w:val="19"/>
        </w:rPr>
        <w:t xml:space="preserve"> Les résultats des mesures sont publiés sur le web.</w:t>
      </w:r>
    </w:p>
    <w:p w:rsidR="005A3227" w:rsidRPr="00C409E7" w:rsidRDefault="005A3227" w:rsidP="0037761F">
      <w:pPr>
        <w:pStyle w:val="HeadingB"/>
        <w:keepNext/>
        <w:rPr>
          <w:lang w:val="fr-CH"/>
        </w:rPr>
      </w:pPr>
      <w:r w:rsidRPr="00C409E7">
        <w:rPr>
          <w:lang w:val="fr-CH"/>
        </w:rPr>
        <w:lastRenderedPageBreak/>
        <w:t>Analyse</w:t>
      </w:r>
    </w:p>
    <w:p w:rsidR="005A3227" w:rsidRPr="004B3FA2" w:rsidRDefault="005A3227" w:rsidP="005A3227">
      <w:pPr>
        <w:keepNext/>
        <w:keepLines/>
        <w:rPr>
          <w:szCs w:val="19"/>
        </w:rPr>
      </w:pPr>
      <w:r w:rsidRPr="004B3FA2">
        <w:rPr>
          <w:szCs w:val="19"/>
        </w:rPr>
        <w:t>Le système de contrôle mis en place en Hongrie à l'échelle nationale et la publication des résultats sur le web constituent un outil qui permet de prendre en charge les préoccupations concernant les dangers pour la santé des champs électromagnétiques et d'améliorer la sensibilisation du public.</w:t>
      </w:r>
    </w:p>
    <w:p w:rsidR="005A3227" w:rsidRPr="00C409E7" w:rsidRDefault="005A3227" w:rsidP="00780E9E">
      <w:pPr>
        <w:pStyle w:val="Heading2"/>
        <w:rPr>
          <w:lang w:val="fr-CH"/>
        </w:rPr>
      </w:pPr>
      <w:bookmarkStart w:id="60" w:name="_Toc373423167"/>
      <w:bookmarkStart w:id="61" w:name="_Toc361989744"/>
      <w:bookmarkStart w:id="62" w:name="_Toc364674022"/>
      <w:r w:rsidRPr="00C409E7">
        <w:rPr>
          <w:lang w:val="fr-CH"/>
        </w:rPr>
        <w:t xml:space="preserve">5.7 </w:t>
      </w:r>
      <w:r w:rsidRPr="00C409E7">
        <w:rPr>
          <w:lang w:val="fr-CH"/>
        </w:rPr>
        <w:tab/>
        <w:t>Ouzbékistan</w:t>
      </w:r>
      <w:bookmarkEnd w:id="60"/>
    </w:p>
    <w:bookmarkEnd w:id="61"/>
    <w:bookmarkEnd w:id="62"/>
    <w:p w:rsidR="005A3227" w:rsidRPr="004B3FA2" w:rsidRDefault="005A3227" w:rsidP="005A3227">
      <w:pPr>
        <w:rPr>
          <w:bCs/>
          <w:szCs w:val="19"/>
        </w:rPr>
      </w:pPr>
      <w:r w:rsidRPr="004B3FA2">
        <w:rPr>
          <w:b/>
          <w:szCs w:val="19"/>
        </w:rPr>
        <w:t>Politique:</w:t>
      </w:r>
      <w:r w:rsidRPr="004B3FA2">
        <w:rPr>
          <w:szCs w:val="19"/>
        </w:rPr>
        <w:t xml:space="preserve"> La politique publique de l'Ouzbékistan relative à l'exposition des personnes aux champs électromagnétiques est définie dans deux lois, à savoir la loi sur le spectre des fréquences radioélectriques et la loi sur l'inspection de la santé publique. La loi sur le spectre des fréquences radioélectriques stipule que la santé des personnes et le maintien de conditions environnementales favorables prévaut, en dernier ressort, sur l'utilisation d'équipements de radiocommunication à haute fréquence. La loi sur l'inspection de la santé publique vise à réglementer les relations sociales servant à garantir le bien-être des personnes sur le plan sanitaire et épidémiologique ainsi que leur sécurité vis</w:t>
      </w:r>
      <w:r>
        <w:rPr>
          <w:szCs w:val="19"/>
        </w:rPr>
        <w:noBreakHyphen/>
      </w:r>
      <w:r w:rsidRPr="004B3FA2">
        <w:rPr>
          <w:szCs w:val="19"/>
        </w:rPr>
        <w:t>à</w:t>
      </w:r>
      <w:r>
        <w:rPr>
          <w:szCs w:val="19"/>
        </w:rPr>
        <w:noBreakHyphen/>
      </w:r>
      <w:r w:rsidRPr="004B3FA2">
        <w:rPr>
          <w:szCs w:val="19"/>
        </w:rPr>
        <w:t>vis des rayonnements. Elle établit en outre le droit des personnes à bénéficier de conditions environnementales favorables, ainsi que d'autres droits et garanties associés relatifs à la sauvegarde ces conditions.</w:t>
      </w:r>
    </w:p>
    <w:p w:rsidR="005A3227" w:rsidRPr="004B3FA2" w:rsidRDefault="005A3227" w:rsidP="005A3227">
      <w:pPr>
        <w:keepLines/>
        <w:rPr>
          <w:bCs/>
          <w:szCs w:val="19"/>
        </w:rPr>
      </w:pPr>
      <w:r w:rsidRPr="004B3FA2">
        <w:rPr>
          <w:szCs w:val="19"/>
        </w:rPr>
        <w:t>Les organisations qui exploitent, reconstruisent ou conçoivent des installations de radiocommunication sont tenues de se conformer aux normes et règles sanitaires. Le contrôle de la conformité avec les exigences et les limites est assuré par l'agence sanitaire et épidémiologique nationale, qui relève du Ministère de la santé. Les niveaux des champs électromagnétiques dus aux installations de radiocommunication sont déterminés à la fois à l'aide des calculs et des résultats des mesures.</w:t>
      </w:r>
    </w:p>
    <w:p w:rsidR="005A3227" w:rsidRPr="004B3FA2" w:rsidRDefault="005A3227" w:rsidP="005A3227">
      <w:pPr>
        <w:rPr>
          <w:szCs w:val="19"/>
        </w:rPr>
      </w:pPr>
      <w:r w:rsidRPr="004B3FA2">
        <w:rPr>
          <w:b/>
          <w:szCs w:val="19"/>
        </w:rPr>
        <w:t>Information du public:</w:t>
      </w:r>
      <w:r w:rsidRPr="004B3FA2">
        <w:rPr>
          <w:szCs w:val="19"/>
        </w:rPr>
        <w:t xml:space="preserve"> Toute installation de radiocommunication qui émet de l'énergie électromagnétique dans l'environnement doit se voir délivrer au préalable un passeport sanitaire, signé par le directeur et l'inspecteur de santé publique, et conservé dans les locaux de l'installation.</w:t>
      </w:r>
    </w:p>
    <w:p w:rsidR="005A3227" w:rsidRPr="00C409E7" w:rsidRDefault="005A3227" w:rsidP="00780E9E">
      <w:pPr>
        <w:pStyle w:val="Heading2"/>
        <w:rPr>
          <w:lang w:val="fr-CH"/>
        </w:rPr>
      </w:pPr>
      <w:bookmarkStart w:id="63" w:name="_Toc373423168"/>
      <w:bookmarkStart w:id="64" w:name="_Toc361989745"/>
      <w:bookmarkStart w:id="65" w:name="_Toc364674023"/>
      <w:bookmarkStart w:id="66" w:name="_Toc330816732"/>
      <w:r w:rsidRPr="00C409E7">
        <w:rPr>
          <w:lang w:val="fr-CH"/>
        </w:rPr>
        <w:t xml:space="preserve">5.8 </w:t>
      </w:r>
      <w:r w:rsidRPr="00C409E7">
        <w:rPr>
          <w:lang w:val="fr-CH"/>
        </w:rPr>
        <w:tab/>
        <w:t>Bénin</w:t>
      </w:r>
      <w:bookmarkEnd w:id="63"/>
    </w:p>
    <w:bookmarkEnd w:id="64"/>
    <w:bookmarkEnd w:id="65"/>
    <w:p w:rsidR="005A3227" w:rsidRPr="004B3FA2" w:rsidRDefault="005A3227" w:rsidP="005A3227">
      <w:pPr>
        <w:rPr>
          <w:bCs/>
          <w:szCs w:val="19"/>
        </w:rPr>
      </w:pPr>
      <w:r w:rsidRPr="004B3FA2">
        <w:rPr>
          <w:b/>
          <w:szCs w:val="19"/>
        </w:rPr>
        <w:t>Politique:</w:t>
      </w:r>
      <w:r w:rsidRPr="004B3FA2">
        <w:rPr>
          <w:szCs w:val="19"/>
        </w:rPr>
        <w:t xml:space="preserve"> L'Autorité nationale de régulation du Bénin (ATRPT) a fait l'acquisition au début de 2012 de stations de contrôle fixes et mobiles dotées d'équipements servant à évaluer l'exposition de la population aux rayonnements non ionisants. Ces équipements effectuent des mesures du champ électrique en un point donné. Par ailleurs, l'ATRPT a tenu en avril 2012 un séminaire national sur les effets des rayonnements non ionisants sur la population.</w:t>
      </w:r>
    </w:p>
    <w:p w:rsidR="005A3227" w:rsidRPr="004B3FA2" w:rsidRDefault="005A3227" w:rsidP="005A3227">
      <w:pPr>
        <w:rPr>
          <w:rFonts w:eastAsia="Times New Roman"/>
          <w:bCs/>
          <w:szCs w:val="19"/>
        </w:rPr>
      </w:pPr>
      <w:r w:rsidRPr="004B3FA2">
        <w:rPr>
          <w:rFonts w:eastAsia="Times New Roman"/>
          <w:szCs w:val="19"/>
        </w:rPr>
        <w:t>Lors de ce séminaire, trois projets de textes réglementaires ont été proposés:</w:t>
      </w:r>
    </w:p>
    <w:p w:rsidR="005A3227" w:rsidRPr="00C409E7" w:rsidRDefault="005A3227" w:rsidP="00752698">
      <w:pPr>
        <w:pStyle w:val="Enumlevel1"/>
        <w:rPr>
          <w:lang w:val="fr-CH"/>
        </w:rPr>
      </w:pPr>
      <w:r w:rsidRPr="00C409E7">
        <w:rPr>
          <w:lang w:val="fr-CH"/>
        </w:rPr>
        <w:t>–</w:t>
      </w:r>
      <w:r w:rsidRPr="00C409E7">
        <w:rPr>
          <w:lang w:val="fr-CH"/>
        </w:rPr>
        <w:tab/>
        <w:t>Projet de décret portant protection des personnes contre les effets des champs électriques, magnétiques et électromagnétiques de 0 à 300 GHz.</w:t>
      </w:r>
    </w:p>
    <w:p w:rsidR="005A3227" w:rsidRPr="00C409E7" w:rsidRDefault="005A3227" w:rsidP="00752698">
      <w:pPr>
        <w:pStyle w:val="Enumlevel1"/>
        <w:rPr>
          <w:lang w:val="fr-CH"/>
        </w:rPr>
      </w:pPr>
      <w:r w:rsidRPr="00C409E7">
        <w:rPr>
          <w:lang w:val="fr-CH"/>
        </w:rPr>
        <w:t>–</w:t>
      </w:r>
      <w:r w:rsidRPr="00C409E7">
        <w:rPr>
          <w:lang w:val="fr-CH"/>
        </w:rPr>
        <w:tab/>
        <w:t>Projet de décret portant sur les conditions d'installation des stations radioélectriques.</w:t>
      </w:r>
    </w:p>
    <w:p w:rsidR="005A3227" w:rsidRPr="00C409E7" w:rsidRDefault="005A3227" w:rsidP="00752698">
      <w:pPr>
        <w:pStyle w:val="Enumlevel1"/>
        <w:rPr>
          <w:lang w:val="fr-CH"/>
        </w:rPr>
      </w:pPr>
      <w:r w:rsidRPr="00C409E7">
        <w:rPr>
          <w:lang w:val="fr-CH"/>
        </w:rPr>
        <w:t>–</w:t>
      </w:r>
      <w:r w:rsidRPr="00C409E7">
        <w:rPr>
          <w:lang w:val="fr-CH"/>
        </w:rPr>
        <w:tab/>
        <w:t>Projet de décret fixant les spécifications techniques applicables aux équipements terminaux de télécommunication et aux équipements terminaux radioélectriques.</w:t>
      </w:r>
    </w:p>
    <w:p w:rsidR="005A3227" w:rsidRPr="004B3FA2" w:rsidRDefault="005A3227" w:rsidP="005A3227">
      <w:r w:rsidRPr="004B3FA2">
        <w:t>Le cadre réglementaire mis en place prévoit les dispositions suivantes:</w:t>
      </w:r>
    </w:p>
    <w:p w:rsidR="005A3227" w:rsidRPr="00C409E7" w:rsidRDefault="005A3227" w:rsidP="00752698">
      <w:pPr>
        <w:pStyle w:val="Enumlevel1"/>
        <w:rPr>
          <w:lang w:val="fr-CH"/>
        </w:rPr>
      </w:pPr>
      <w:r w:rsidRPr="00C409E7">
        <w:rPr>
          <w:lang w:val="fr-CH"/>
        </w:rPr>
        <w:t>–</w:t>
      </w:r>
      <w:r w:rsidRPr="00C409E7">
        <w:rPr>
          <w:lang w:val="fr-CH"/>
        </w:rPr>
        <w:tab/>
        <w:t>Les niveaux d'exposition retenus sont ceux fixés par l'INCIRP pour le public. Aucune distinction n'a été faite pour les travailleurs ou pour le grand public.</w:t>
      </w:r>
    </w:p>
    <w:p w:rsidR="005A3227" w:rsidRPr="00C409E7" w:rsidRDefault="005A3227" w:rsidP="00752698">
      <w:pPr>
        <w:pStyle w:val="Enumlevel1"/>
        <w:rPr>
          <w:lang w:val="fr-CH"/>
        </w:rPr>
      </w:pPr>
      <w:r w:rsidRPr="00C409E7">
        <w:rPr>
          <w:lang w:val="fr-CH"/>
        </w:rPr>
        <w:t>–</w:t>
      </w:r>
      <w:r w:rsidRPr="00C409E7">
        <w:rPr>
          <w:lang w:val="fr-CH"/>
        </w:rPr>
        <w:tab/>
        <w:t>L'accent a été mis sur le principe de précaution. Ainsi, dans les établissements scolaires et assimilés, les crèches, jardins d'enfants, établissements hospitaliers, les parcours de santé et jardins publics, les niveaux des champs électriques, magnétiques et électromagnétiques ne doivent pas dépasser 25% des niveaux de référence fixés pour le grand public.</w:t>
      </w:r>
    </w:p>
    <w:p w:rsidR="005A3227" w:rsidRPr="00C409E7" w:rsidRDefault="005A3227" w:rsidP="00752698">
      <w:pPr>
        <w:pStyle w:val="Enumlevel1"/>
        <w:rPr>
          <w:lang w:val="fr-CH"/>
        </w:rPr>
      </w:pPr>
      <w:r w:rsidRPr="00C409E7">
        <w:rPr>
          <w:lang w:val="fr-CH"/>
        </w:rPr>
        <w:t>–</w:t>
      </w:r>
      <w:r w:rsidRPr="00C409E7">
        <w:rPr>
          <w:lang w:val="fr-CH"/>
        </w:rPr>
        <w:tab/>
        <w:t xml:space="preserve">De plus, en vue de prévenir les variations de puissance par les opérateurs sur les stations de base, il est interdit aux opérateurs de diriger les lobes principaux des antennes vers les écoles, les centres </w:t>
      </w:r>
      <w:r w:rsidRPr="00C409E7">
        <w:rPr>
          <w:lang w:val="fr-CH"/>
        </w:rPr>
        <w:lastRenderedPageBreak/>
        <w:t>hospitaliers et autres établissements sensibles lorsque ces antennes se situent à une distance inférieure à 100 m desdits centres.</w:t>
      </w:r>
    </w:p>
    <w:p w:rsidR="005A3227" w:rsidRPr="00C409E7" w:rsidRDefault="005A3227" w:rsidP="00752698">
      <w:pPr>
        <w:pStyle w:val="Enumlevel1"/>
        <w:rPr>
          <w:lang w:val="fr-CH"/>
        </w:rPr>
      </w:pPr>
      <w:r w:rsidRPr="00C409E7">
        <w:rPr>
          <w:lang w:val="fr-CH"/>
        </w:rPr>
        <w:t>–</w:t>
      </w:r>
      <w:r w:rsidRPr="00C409E7">
        <w:rPr>
          <w:lang w:val="fr-CH"/>
        </w:rPr>
        <w:tab/>
        <w:t xml:space="preserve">Il est fait obligation aux opérateurs de faire un autocontrôle du respect des niveaux d'exposition lors du déploiement de nouvelles stations de base. </w:t>
      </w:r>
    </w:p>
    <w:p w:rsidR="005A3227" w:rsidRPr="00C409E7" w:rsidRDefault="005A3227" w:rsidP="00752698">
      <w:pPr>
        <w:pStyle w:val="Enumlevel1"/>
        <w:rPr>
          <w:lang w:val="fr-CH"/>
        </w:rPr>
      </w:pPr>
      <w:r w:rsidRPr="00C409E7">
        <w:rPr>
          <w:lang w:val="fr-CH"/>
        </w:rPr>
        <w:t>–</w:t>
      </w:r>
      <w:r w:rsidRPr="00C409E7">
        <w:rPr>
          <w:lang w:val="fr-CH"/>
        </w:rPr>
        <w:tab/>
        <w:t xml:space="preserve">Les opérateurs doivent ériger une clôture de sécurité autour de leurs installations. </w:t>
      </w:r>
    </w:p>
    <w:p w:rsidR="005A3227" w:rsidRPr="00C409E7" w:rsidRDefault="005A3227" w:rsidP="00752698">
      <w:pPr>
        <w:pStyle w:val="Enumlevel1"/>
        <w:rPr>
          <w:lang w:val="fr-CH"/>
        </w:rPr>
      </w:pPr>
      <w:r w:rsidRPr="00C409E7">
        <w:rPr>
          <w:lang w:val="fr-CH"/>
        </w:rPr>
        <w:t>–</w:t>
      </w:r>
      <w:r w:rsidRPr="00C409E7">
        <w:rPr>
          <w:lang w:val="fr-CH"/>
        </w:rPr>
        <w:tab/>
        <w:t>En ce qui concerne les terminaux, le débit d'absorption spécifique (DAS) maximal est fixé à 2W/kg.</w:t>
      </w:r>
    </w:p>
    <w:p w:rsidR="005A3227" w:rsidRPr="00C409E7" w:rsidRDefault="005A3227" w:rsidP="00752698">
      <w:pPr>
        <w:pStyle w:val="Enumlevel1"/>
        <w:rPr>
          <w:lang w:val="fr-CH"/>
        </w:rPr>
      </w:pPr>
      <w:r w:rsidRPr="00C409E7">
        <w:rPr>
          <w:lang w:val="fr-CH"/>
        </w:rPr>
        <w:t>–</w:t>
      </w:r>
      <w:r w:rsidRPr="00C409E7">
        <w:rPr>
          <w:lang w:val="fr-CH"/>
        </w:rPr>
        <w:tab/>
        <w:t>L'ATRPT est chargée du contrôle du respect des niveaux d'exposition fixés par la réglementation.</w:t>
      </w:r>
    </w:p>
    <w:p w:rsidR="005A3227" w:rsidRPr="004B3FA2" w:rsidRDefault="005A3227" w:rsidP="005A3227">
      <w:pPr>
        <w:rPr>
          <w:rFonts w:eastAsia="Times New Roman"/>
          <w:bCs/>
          <w:szCs w:val="19"/>
        </w:rPr>
      </w:pPr>
      <w:r w:rsidRPr="004B3FA2">
        <w:rPr>
          <w:b/>
          <w:szCs w:val="19"/>
        </w:rPr>
        <w:t>Information du public:</w:t>
      </w:r>
      <w:r w:rsidRPr="004B3FA2">
        <w:rPr>
          <w:rFonts w:eastAsia="Times New Roman"/>
          <w:szCs w:val="19"/>
        </w:rPr>
        <w:t xml:space="preserve"> Le pays organise des campagnes de sensibilisation du public aux effets des rayonnements non ionisants.</w:t>
      </w:r>
    </w:p>
    <w:p w:rsidR="005A3227" w:rsidRPr="00C409E7" w:rsidRDefault="005A3227" w:rsidP="00780E9E">
      <w:pPr>
        <w:pStyle w:val="Heading2"/>
        <w:rPr>
          <w:lang w:val="fr-CH"/>
        </w:rPr>
      </w:pPr>
      <w:bookmarkStart w:id="67" w:name="_Toc373423169"/>
      <w:r w:rsidRPr="00C409E7">
        <w:rPr>
          <w:lang w:val="fr-CH"/>
        </w:rPr>
        <w:t xml:space="preserve">5.9 </w:t>
      </w:r>
      <w:r w:rsidRPr="00C409E7">
        <w:rPr>
          <w:lang w:val="fr-CH"/>
        </w:rPr>
        <w:tab/>
        <w:t>Inde</w:t>
      </w:r>
      <w:bookmarkEnd w:id="67"/>
    </w:p>
    <w:p w:rsidR="005A3227" w:rsidRPr="004B3FA2" w:rsidRDefault="005A3227" w:rsidP="005A3227">
      <w:pPr>
        <w:rPr>
          <w:bCs/>
          <w:szCs w:val="19"/>
        </w:rPr>
      </w:pPr>
      <w:r w:rsidRPr="004B3FA2">
        <w:rPr>
          <w:b/>
          <w:szCs w:val="19"/>
        </w:rPr>
        <w:t>Politique:</w:t>
      </w:r>
      <w:r w:rsidRPr="004B3FA2">
        <w:rPr>
          <w:szCs w:val="19"/>
        </w:rPr>
        <w:t xml:space="preserve"> L'étude de cas de l'Inde sur les champs électromagnétiques (qui fait l'objet du Document 1/278), jointe en Annexe 10 au présent Rapport, contient des renseignements intéressants sur le niveau d'utilisation des combinés mobiles, et tend à montrer que ce niveau est très élevé dans les pays en développement. Cette tendance s'explique peut-être par le fait qu'une grande partie des activités des centres d'appel sont désormais accomplies au moyen de téléphones mobiles, et non plus de téléphones fixes.</w:t>
      </w:r>
    </w:p>
    <w:p w:rsidR="005A3227" w:rsidRPr="004B3FA2" w:rsidRDefault="005A3227" w:rsidP="005A3227">
      <w:pPr>
        <w:rPr>
          <w:bCs/>
          <w:szCs w:val="19"/>
        </w:rPr>
      </w:pPr>
      <w:r w:rsidRPr="004B3FA2">
        <w:rPr>
          <w:szCs w:val="19"/>
        </w:rPr>
        <w:t>La situation en Inde, comme dans d'autres pays en développement, est susceptible de différer de celle qui prévaut en Europe au niveau de certains paramètres:</w:t>
      </w:r>
    </w:p>
    <w:p w:rsidR="005A3227" w:rsidRPr="00C409E7" w:rsidRDefault="005A3227" w:rsidP="00752698">
      <w:pPr>
        <w:pStyle w:val="Enumlevel1"/>
        <w:rPr>
          <w:b/>
          <w:bCs/>
          <w:lang w:val="fr-CH"/>
        </w:rPr>
      </w:pPr>
      <w:r w:rsidRPr="00C409E7">
        <w:rPr>
          <w:lang w:val="fr-CH"/>
        </w:rPr>
        <w:t>–</w:t>
      </w:r>
      <w:r w:rsidRPr="00C409E7">
        <w:rPr>
          <w:lang w:val="fr-CH"/>
        </w:rPr>
        <w:tab/>
        <w:t>niveau d'utilisation des téléphones mobiles;</w:t>
      </w:r>
    </w:p>
    <w:p w:rsidR="005A3227" w:rsidRPr="00C409E7" w:rsidRDefault="005A3227" w:rsidP="00752698">
      <w:pPr>
        <w:pStyle w:val="Enumlevel1"/>
        <w:rPr>
          <w:b/>
          <w:bCs/>
          <w:lang w:val="fr-CH"/>
        </w:rPr>
      </w:pPr>
      <w:r w:rsidRPr="00C409E7">
        <w:rPr>
          <w:lang w:val="fr-CH"/>
        </w:rPr>
        <w:t>–</w:t>
      </w:r>
      <w:r w:rsidRPr="00C409E7">
        <w:rPr>
          <w:lang w:val="fr-CH"/>
        </w:rPr>
        <w:tab/>
        <w:t>nombre d'opérateurs;</w:t>
      </w:r>
    </w:p>
    <w:p w:rsidR="005A3227" w:rsidRPr="00C409E7" w:rsidRDefault="005A3227" w:rsidP="00752698">
      <w:pPr>
        <w:pStyle w:val="Enumlevel1"/>
        <w:rPr>
          <w:b/>
          <w:bCs/>
          <w:lang w:val="fr-CH"/>
        </w:rPr>
      </w:pPr>
      <w:r w:rsidRPr="00C409E7">
        <w:rPr>
          <w:lang w:val="fr-CH"/>
        </w:rPr>
        <w:t>–</w:t>
      </w:r>
      <w:r w:rsidRPr="00C409E7">
        <w:rPr>
          <w:lang w:val="fr-CH"/>
        </w:rPr>
        <w:tab/>
        <w:t>densité de population plus élevée;</w:t>
      </w:r>
    </w:p>
    <w:p w:rsidR="005A3227" w:rsidRPr="00C409E7" w:rsidRDefault="005A3227" w:rsidP="00752698">
      <w:pPr>
        <w:pStyle w:val="Enumlevel1"/>
        <w:rPr>
          <w:b/>
          <w:bCs/>
          <w:lang w:val="fr-CH"/>
        </w:rPr>
      </w:pPr>
      <w:r w:rsidRPr="00C409E7">
        <w:rPr>
          <w:lang w:val="fr-CH"/>
        </w:rPr>
        <w:t>–</w:t>
      </w:r>
      <w:r w:rsidRPr="00C409E7">
        <w:rPr>
          <w:lang w:val="fr-CH"/>
        </w:rPr>
        <w:tab/>
        <w:t>croissance chaotique dans les zones urbaines;</w:t>
      </w:r>
    </w:p>
    <w:p w:rsidR="005A3227" w:rsidRPr="00C409E7" w:rsidRDefault="005A3227" w:rsidP="00752698">
      <w:pPr>
        <w:pStyle w:val="Enumlevel1"/>
        <w:rPr>
          <w:b/>
          <w:bCs/>
          <w:lang w:val="fr-CH"/>
        </w:rPr>
      </w:pPr>
      <w:r w:rsidRPr="00C409E7">
        <w:rPr>
          <w:lang w:val="fr-CH"/>
        </w:rPr>
        <w:t>–</w:t>
      </w:r>
      <w:r w:rsidRPr="00C409E7">
        <w:rPr>
          <w:lang w:val="fr-CH"/>
        </w:rPr>
        <w:tab/>
        <w:t>voies étroites entre les bâtiments;</w:t>
      </w:r>
    </w:p>
    <w:p w:rsidR="005A3227" w:rsidRPr="00C409E7" w:rsidRDefault="005A3227" w:rsidP="00752698">
      <w:pPr>
        <w:pStyle w:val="Enumlevel1"/>
        <w:rPr>
          <w:b/>
          <w:bCs/>
          <w:lang w:val="fr-CH"/>
        </w:rPr>
      </w:pPr>
      <w:r w:rsidRPr="00C409E7">
        <w:rPr>
          <w:lang w:val="fr-CH"/>
        </w:rPr>
        <w:t>–</w:t>
      </w:r>
      <w:r w:rsidRPr="00C409E7">
        <w:rPr>
          <w:lang w:val="fr-CH"/>
        </w:rPr>
        <w:tab/>
        <w:t>moins de fréquences par opérateur;</w:t>
      </w:r>
    </w:p>
    <w:p w:rsidR="005A3227" w:rsidRPr="00C409E7" w:rsidRDefault="005A3227" w:rsidP="00752698">
      <w:pPr>
        <w:pStyle w:val="Enumlevel1"/>
        <w:rPr>
          <w:b/>
          <w:bCs/>
          <w:lang w:val="fr-CH"/>
        </w:rPr>
      </w:pPr>
      <w:r w:rsidRPr="00C409E7">
        <w:rPr>
          <w:lang w:val="fr-CH"/>
        </w:rPr>
        <w:t>–</w:t>
      </w:r>
      <w:r w:rsidRPr="00C409E7">
        <w:rPr>
          <w:lang w:val="fr-CH"/>
        </w:rPr>
        <w:tab/>
        <w:t>puissance émise de 20 W dans certains secteurs;</w:t>
      </w:r>
    </w:p>
    <w:p w:rsidR="005A3227" w:rsidRPr="00C409E7" w:rsidRDefault="005A3227" w:rsidP="00752698">
      <w:pPr>
        <w:pStyle w:val="Enumlevel1"/>
        <w:rPr>
          <w:b/>
          <w:bCs/>
          <w:lang w:val="fr-CH"/>
        </w:rPr>
      </w:pPr>
      <w:r w:rsidRPr="00C409E7">
        <w:rPr>
          <w:lang w:val="fr-CH"/>
        </w:rPr>
        <w:t>–</w:t>
      </w:r>
      <w:r w:rsidRPr="00C409E7">
        <w:rPr>
          <w:lang w:val="fr-CH"/>
        </w:rPr>
        <w:tab/>
        <w:t>antennes moins hautes, etc.;</w:t>
      </w:r>
    </w:p>
    <w:p w:rsidR="005A3227" w:rsidRPr="00C409E7" w:rsidRDefault="005A3227" w:rsidP="00752698">
      <w:pPr>
        <w:pStyle w:val="Enumlevel1"/>
        <w:rPr>
          <w:b/>
          <w:bCs/>
          <w:lang w:val="fr-CH"/>
        </w:rPr>
      </w:pPr>
      <w:r w:rsidRPr="00C409E7">
        <w:rPr>
          <w:lang w:val="fr-CH"/>
        </w:rPr>
        <w:t>–</w:t>
      </w:r>
      <w:r w:rsidRPr="00C409E7">
        <w:rPr>
          <w:lang w:val="fr-CH"/>
        </w:rPr>
        <w:tab/>
        <w:t>combinés fonctionnant à une puissance plus élevée en raison de mauvaises conditions de couverture;</w:t>
      </w:r>
    </w:p>
    <w:p w:rsidR="005A3227" w:rsidRPr="00C409E7" w:rsidRDefault="005A3227" w:rsidP="00752698">
      <w:pPr>
        <w:pStyle w:val="Enumlevel1"/>
        <w:rPr>
          <w:b/>
          <w:bCs/>
          <w:lang w:val="fr-CH"/>
        </w:rPr>
      </w:pPr>
      <w:r w:rsidRPr="00C409E7">
        <w:rPr>
          <w:lang w:val="fr-CH"/>
        </w:rPr>
        <w:t>–</w:t>
      </w:r>
      <w:r w:rsidRPr="00C409E7">
        <w:rPr>
          <w:lang w:val="fr-CH"/>
        </w:rPr>
        <w:tab/>
        <w:t>externalisation de l'installation et de la maintenance des infrastructures par les opérateurs;</w:t>
      </w:r>
    </w:p>
    <w:p w:rsidR="005A3227" w:rsidRPr="00C409E7" w:rsidRDefault="005A3227" w:rsidP="00752698">
      <w:pPr>
        <w:pStyle w:val="Enumlevel1"/>
        <w:rPr>
          <w:b/>
          <w:bCs/>
          <w:lang w:val="fr-CH"/>
        </w:rPr>
      </w:pPr>
      <w:r w:rsidRPr="00C409E7">
        <w:rPr>
          <w:lang w:val="fr-CH"/>
        </w:rPr>
        <w:t>–</w:t>
      </w:r>
      <w:r w:rsidRPr="00C409E7">
        <w:rPr>
          <w:lang w:val="fr-CH"/>
        </w:rPr>
        <w:tab/>
        <w:t>expertise technique insuffisante sur le terrain et de la part des autorités locales pour comprendre les calculs des zones d'exclusion exposés dans les Recommandations UIT-T de la série K. Il convient également de tenir compte de la difficulté que représente la surveillance des quelque 747 000 stations d'émission de base réparties sur l'ensemble du territoire.</w:t>
      </w:r>
    </w:p>
    <w:p w:rsidR="005A3227" w:rsidRPr="004B3FA2" w:rsidRDefault="005A3227" w:rsidP="005A3227">
      <w:pPr>
        <w:rPr>
          <w:rFonts w:eastAsia="Times New Roman"/>
          <w:bCs/>
          <w:szCs w:val="19"/>
        </w:rPr>
      </w:pPr>
      <w:r w:rsidRPr="00015DCF">
        <w:rPr>
          <w:rFonts w:eastAsia="Times New Roman"/>
          <w:szCs w:val="19"/>
        </w:rPr>
        <w:t>Cette étude de cas contient de nombreux autres renseignements sur les initiatives politiques de l'Inde (voir les liens en bas de page</w:t>
      </w:r>
      <w:r w:rsidRPr="00015DCF">
        <w:rPr>
          <w:rStyle w:val="FootnoteReference"/>
          <w:szCs w:val="19"/>
        </w:rPr>
        <w:footnoteReference w:id="12"/>
      </w:r>
      <w:r w:rsidRPr="00015DCF">
        <w:rPr>
          <w:rFonts w:eastAsia="Times New Roman"/>
          <w:szCs w:val="19"/>
        </w:rPr>
        <w:t>)</w:t>
      </w:r>
      <w:r w:rsidRPr="004B3FA2">
        <w:rPr>
          <w:rFonts w:eastAsia="Times New Roman"/>
          <w:szCs w:val="19"/>
        </w:rPr>
        <w:t>.</w:t>
      </w:r>
    </w:p>
    <w:p w:rsidR="005A3227" w:rsidRPr="00E55BA5" w:rsidRDefault="005A3227" w:rsidP="00780E9E">
      <w:pPr>
        <w:pStyle w:val="Heading1"/>
        <w:rPr>
          <w:smallCaps/>
          <w:szCs w:val="19"/>
          <w:lang w:val="fr-CH"/>
        </w:rPr>
      </w:pPr>
      <w:bookmarkStart w:id="68" w:name="_Toc370825011"/>
      <w:bookmarkStart w:id="69" w:name="_Toc373423170"/>
      <w:bookmarkStart w:id="70" w:name="_Toc364674024"/>
      <w:bookmarkStart w:id="71" w:name="_Toc361989746"/>
      <w:r w:rsidRPr="00E55BA5">
        <w:rPr>
          <w:szCs w:val="19"/>
          <w:lang w:val="fr-CH"/>
        </w:rPr>
        <w:lastRenderedPageBreak/>
        <w:t>6</w:t>
      </w:r>
      <w:r w:rsidRPr="00E55BA5">
        <w:rPr>
          <w:szCs w:val="19"/>
          <w:lang w:val="fr-CH"/>
        </w:rPr>
        <w:tab/>
      </w:r>
      <w:bookmarkEnd w:id="68"/>
      <w:r w:rsidRPr="00E55BA5">
        <w:rPr>
          <w:lang w:val="fr-FR"/>
        </w:rPr>
        <w:t xml:space="preserve">Projet de l'UIT en Amérique centrale sur les rayonnements électromagnétiques non ionisants et sur la réglementation relative à l'exposition des personnes à ces rayonnements suite au déploiement </w:t>
      </w:r>
      <w:r w:rsidRPr="00C409E7">
        <w:rPr>
          <w:lang w:val="fr-CH"/>
        </w:rPr>
        <w:t>des</w:t>
      </w:r>
      <w:r w:rsidRPr="00E55BA5">
        <w:rPr>
          <w:lang w:val="fr-FR"/>
        </w:rPr>
        <w:t xml:space="preserve"> réseaux hertziens et des infrastructures associées</w:t>
      </w:r>
      <w:bookmarkEnd w:id="69"/>
    </w:p>
    <w:bookmarkEnd w:id="70"/>
    <w:bookmarkEnd w:id="71"/>
    <w:p w:rsidR="005A3227" w:rsidRPr="00144FA9" w:rsidRDefault="005A3227" w:rsidP="005A3227">
      <w:pPr>
        <w:rPr>
          <w:lang w:val="fr-CH"/>
        </w:rPr>
      </w:pPr>
      <w:r w:rsidRPr="00144FA9">
        <w:rPr>
          <w:b/>
          <w:lang w:val="fr-CH"/>
        </w:rPr>
        <w:t>6.1</w:t>
      </w:r>
      <w:r w:rsidRPr="00144FA9">
        <w:rPr>
          <w:lang w:val="fr-CH"/>
        </w:rPr>
        <w:tab/>
        <w:t xml:space="preserve">Ce projet visait à analyser les difficultés rencontrées dans le déploiement des réseaux mobiles et des infrastructures associées en Amérique centrale, qui sont liées aux réticences du public face aux rayonnements électromagnétiques, et à évaluer la réglementation relative au contrôle de ces rayonnements dans ces pays. Dans le cadre de ce projet et sur la base des études et des évaluations menées, un certain nombre de solutions ont été proposées, en vue d'apporter des modifications aux politiques existantes ou d'en élaborer de nouvelles et de mettre en </w:t>
      </w:r>
      <w:proofErr w:type="spellStart"/>
      <w:r w:rsidRPr="00144FA9">
        <w:rPr>
          <w:lang w:val="fr-CH"/>
        </w:rPr>
        <w:t>oeuvre</w:t>
      </w:r>
      <w:proofErr w:type="spellEnd"/>
      <w:r w:rsidRPr="00144FA9">
        <w:rPr>
          <w:lang w:val="fr-CH"/>
        </w:rPr>
        <w:t xml:space="preserve"> des projets pilotes de mesure des rayonnements prévoyant la diffusion de ces informations au public. En outre, ce projet vise à élaborer les outils généraux nécessaires pour faciliter le déploiement des réseaux hertziens et leur acceptation par la population et les associations politiques ou civiles.</w:t>
      </w:r>
    </w:p>
    <w:p w:rsidR="005A3227" w:rsidRPr="00144FA9" w:rsidRDefault="005A3227" w:rsidP="005A3227">
      <w:pPr>
        <w:rPr>
          <w:lang w:val="fr-CH"/>
        </w:rPr>
      </w:pPr>
      <w:r w:rsidRPr="00144FA9">
        <w:rPr>
          <w:lang w:val="fr-CH"/>
        </w:rPr>
        <w:t xml:space="preserve">En ce qui concerne ce dernier point, des mesures pilotes ont été mises en </w:t>
      </w:r>
      <w:proofErr w:type="spellStart"/>
      <w:r w:rsidRPr="00144FA9">
        <w:rPr>
          <w:lang w:val="fr-CH"/>
        </w:rPr>
        <w:t>oeuvre</w:t>
      </w:r>
      <w:proofErr w:type="spellEnd"/>
      <w:r w:rsidRPr="00144FA9">
        <w:rPr>
          <w:lang w:val="fr-CH"/>
        </w:rPr>
        <w:t xml:space="preserve"> à El Salvador. On trouvera des explications les concernant à la fin de la présente section.</w:t>
      </w:r>
    </w:p>
    <w:p w:rsidR="005A3227" w:rsidRPr="004B3FA2" w:rsidRDefault="005A3227" w:rsidP="00780E9E">
      <w:r w:rsidRPr="004B3FA2">
        <w:rPr>
          <w:b/>
          <w:bCs/>
        </w:rPr>
        <w:t>6.2</w:t>
      </w:r>
      <w:r w:rsidRPr="004B3FA2">
        <w:tab/>
        <w:t>Les difficultés du déploiement des réseaux de télécommunication hertziens en raison de l'appréhension du public vis-à-vis des antennes et des effets éventuels de l'exposition aux fréquences radioélectriques sont devenues un problème difficile à résoudre, et font partie des sujets d'étude prioritaires pour l'UIT, la Commission interaméricaine des télécommunications (CITEL) et la Commission technique régionale des télécommunications d'Amérique centrale (COMTELCA).</w:t>
      </w:r>
    </w:p>
    <w:p w:rsidR="005A3227" w:rsidRPr="004B3FA2" w:rsidRDefault="005A3227" w:rsidP="00780E9E">
      <w:r w:rsidRPr="004B3FA2">
        <w:rPr>
          <w:b/>
          <w:bCs/>
        </w:rPr>
        <w:t>6.3</w:t>
      </w:r>
      <w:r w:rsidRPr="004B3FA2">
        <w:tab/>
        <w:t xml:space="preserve">Ce projet visait à étudier, proposer et mettre en </w:t>
      </w:r>
      <w:proofErr w:type="spellStart"/>
      <w:r w:rsidRPr="004B3FA2">
        <w:t>oeuvre</w:t>
      </w:r>
      <w:proofErr w:type="spellEnd"/>
      <w:r w:rsidRPr="004B3FA2">
        <w:t xml:space="preserve"> un projet pilote dans la région d'Amérique centrale en ce qui concerne le déploiement des mâts et des infrastructures de téléphonie mobile, ainsi que la question des rayonnements non ionisants et de la protection de la santé, conformément à diverses Résolutions, telles que la Résolution 176 (Guadalajara, 2010) de la Conférence de plénipotentiaires "Exposition des personnes aux champs électromagnétiques et mesure de ces champs", la Résolution 72 </w:t>
      </w:r>
      <w:r w:rsidRPr="004B3FA2">
        <w:lastRenderedPageBreak/>
        <w:t>(</w:t>
      </w:r>
      <w:proofErr w:type="spellStart"/>
      <w:r w:rsidRPr="004B3FA2">
        <w:t>Rév.Dubaï</w:t>
      </w:r>
      <w:proofErr w:type="spellEnd"/>
      <w:r w:rsidRPr="004B3FA2">
        <w:t>, 2012) de l'AMNT, relative à l'exposition des personnes aux champs électromagnétiques, et la Résolution 62 (Hyderabad, 2010) de la CMDT. En outre, il est prévu que les enseignements tirés sur la Question 23/1 "Stratégies et politiques concernant l'exposition des personnes aux champs électromagnétiques" dans le cadre de ce projet servent de retour d'informations à la Commission d'études 1 de l'UIT-D et au Groupe régional pour l'Amérique latine et les Caraïbes de la Commission d'études 5 de l'UIT-T.</w:t>
      </w:r>
    </w:p>
    <w:p w:rsidR="005A3227" w:rsidRPr="004B3FA2" w:rsidRDefault="005A3227" w:rsidP="00780E9E">
      <w:r w:rsidRPr="004B3FA2">
        <w:rPr>
          <w:b/>
          <w:bCs/>
        </w:rPr>
        <w:t>6.4</w:t>
      </w:r>
      <w:r w:rsidRPr="004B3FA2">
        <w:tab/>
        <w:t xml:space="preserve">Ce projet a été mis en </w:t>
      </w:r>
      <w:proofErr w:type="spellStart"/>
      <w:r w:rsidRPr="004B3FA2">
        <w:t>oeuvre</w:t>
      </w:r>
      <w:proofErr w:type="spellEnd"/>
      <w:r w:rsidRPr="004B3FA2">
        <w:t xml:space="preserve"> par le Bureau de développement des télécommunications (BDT) de l'UIT, dans le cadre d'une étroite collaboration entre son Bureau de zone pour l'Amérique centrale, Cuba, le Mexique et la République dominicaine et son Bureau régional pour les Amériques et les Caraïbes. Il a également bénéficié de l'appui d'experts extérieurs et des pays participants.</w:t>
      </w:r>
    </w:p>
    <w:p w:rsidR="005A3227" w:rsidRPr="004B3FA2" w:rsidRDefault="005A3227" w:rsidP="00780E9E">
      <w:r w:rsidRPr="004B3FA2">
        <w:rPr>
          <w:b/>
          <w:bCs/>
        </w:rPr>
        <w:t>6.5</w:t>
      </w:r>
      <w:r w:rsidRPr="004B3FA2">
        <w:tab/>
        <w:t>L'appréhension sociétale vis-à-vis des rayonnements électromagnétiques s'exprime par l'intermédiaire de communautés et de groupes d'utilisateurs des services de télécommunication qui s'opposent au déploiement des antennes par crainte des effets éventuels de ces rayonnements sur la santé. Les administrations des pays d'Amérique centrale recherchent des propositions de solutions qui prévoient l'élaboration d'outils généraux nécessaires en vue de faciliter le déploiement des réseaux hertziens et d'obtenir l'acceptation sociétale de la population et des organisations civiles et politiques.</w:t>
      </w:r>
    </w:p>
    <w:p w:rsidR="005A3227" w:rsidRPr="004B3FA2" w:rsidRDefault="005A3227" w:rsidP="00780E9E">
      <w:r w:rsidRPr="004B3FA2">
        <w:rPr>
          <w:b/>
          <w:bCs/>
        </w:rPr>
        <w:t>6.6</w:t>
      </w:r>
      <w:r w:rsidRPr="004B3FA2">
        <w:tab/>
        <w:t>El Salvador, le Panama et le Honduras ont rejoint ce projet afin de mener une étude visant à déterminer l'état de la situation en ce qui concerne le déploiement des réseaux hertziens et des infrastructures associées dans leurs pays respectifs, compte tenu de l'appréhension sociétale exprimée par la population vis-à-vis des rayonnements électromagnétiques, dans le but final de faciliter le déploiement des antennes et des infrastructures associées.</w:t>
      </w:r>
    </w:p>
    <w:p w:rsidR="005A3227" w:rsidRPr="004B3FA2" w:rsidRDefault="005A3227" w:rsidP="00780E9E">
      <w:r w:rsidRPr="004B3FA2">
        <w:rPr>
          <w:b/>
        </w:rPr>
        <w:t>6.7</w:t>
      </w:r>
      <w:r w:rsidRPr="004B3FA2">
        <w:rPr>
          <w:b/>
          <w:bCs/>
        </w:rPr>
        <w:tab/>
      </w:r>
      <w:r w:rsidRPr="004B3FA2">
        <w:t>Il a été décidé d'organiser des réunions avec divers secteurs de l'administration publique susceptibles d'être concernés par le sujet: régulateur des télécommunications, ministère de la santé, ministère de l'environnement, organismes nationaux fournissant un appui aux municipalités, organismes de planification municipaux dans les zones métropolitaines et les grandes municipalités, associations de maires, exploitants. L'objectif était, d'une part, de recueillir des informations auprès de différentes sources n'ayant pas toujours de relations entre elles, et, d'autre part, d'essayer d'aboutir à une position commune entre les différentes branches des pouvoirs publics concernées par la question.</w:t>
      </w:r>
    </w:p>
    <w:p w:rsidR="005A3227" w:rsidRPr="004B3FA2" w:rsidRDefault="005A3227" w:rsidP="00780E9E">
      <w:r w:rsidRPr="004B3FA2">
        <w:rPr>
          <w:b/>
          <w:bCs/>
        </w:rPr>
        <w:t>6.8</w:t>
      </w:r>
      <w:r w:rsidRPr="004B3FA2">
        <w:tab/>
        <w:t>Nous pouvons observer que dans deux des trois pays participants perdurent les caractéristiques suivantes, qui sont similaires à celles rencontrées dans le reste de l'Amérique latine et dans les autres régions du monde: manque de cohérence entre les politiques des différents secteurs de l'administration publique, manque d'intégration et absence d'une politique commune entre les différentes branches des pouvoirs publics, absence d'une politique de communication relative aux rayonnements non ionisants et à la protection de la santé, infraction aux règlements municipaux, existence d'installations non autorisées au niveau municipal, défiance de la population vis-à-vis des installations, participation d'organisations de protection de l'environnement, politisation de la question, peur des éventuels effets des rayonnements ionisants sur la santé, début d'alarme chez la population. La défiance vis-à-vis des installations, dans des quartiers ou des zones locales, tend à augmenter.</w:t>
      </w:r>
    </w:p>
    <w:p w:rsidR="005A3227" w:rsidRPr="004B3FA2" w:rsidRDefault="005A3227" w:rsidP="00780E9E">
      <w:r w:rsidRPr="004B3FA2">
        <w:rPr>
          <w:b/>
          <w:bCs/>
        </w:rPr>
        <w:t>6.9</w:t>
      </w:r>
      <w:r w:rsidRPr="004B3FA2">
        <w:tab/>
        <w:t>On se trouve en présence d'un conflit qui n'est ni d'ordre technique ni d'ordre commercial, et qui, essentiellement, ne relève pas d'un problème de santé, mais d'un conflit basé sur la perception sociétale du risque et la peur des rayonnements qui en résulte chez la population, peur qui entraîne, sous l'effet de la pression exercée sur les maires et les organes législatifs municipaux par la population en question, l'adoption d'obstacles législatifs au déploiement des infrastructures.</w:t>
      </w:r>
    </w:p>
    <w:p w:rsidR="005A3227" w:rsidRPr="004B3FA2" w:rsidRDefault="005A3227" w:rsidP="005A3227">
      <w:r w:rsidRPr="004B3FA2">
        <w:rPr>
          <w:b/>
        </w:rPr>
        <w:t>6.10</w:t>
      </w:r>
      <w:r w:rsidRPr="004B3FA2">
        <w:tab/>
        <w:t>Certains pays ne disposent pas d'une législation nationale en matière de santé qui réglemente spécifiquement l'utilisation des rayonnements non ionisants, mais, dans certains cas, il existe un règlement dans le secteur des télécommunications, et dans d'autres cas, les règles de la COMTELCA s'appliquent. Dans tous les cas, nous avons formulé des recommandations spécifiques en ce qui concerne l'élaboration de la réglementation locale.</w:t>
      </w:r>
    </w:p>
    <w:p w:rsidR="005A3227" w:rsidRPr="004B3FA2" w:rsidRDefault="005A3227" w:rsidP="00780E9E">
      <w:r w:rsidRPr="004B3FA2">
        <w:rPr>
          <w:b/>
        </w:rPr>
        <w:t>6.11</w:t>
      </w:r>
      <w:r w:rsidRPr="004B3FA2">
        <w:tab/>
        <w:t xml:space="preserve">Compte tenu de la situation spécifique de chaque pays, et sur la base du document de l'OMS sur "L'instauration d'un dialogue sur les risques dus aux champs électromagnétiques", nous avons formulé </w:t>
      </w:r>
      <w:r w:rsidRPr="004B3FA2">
        <w:lastRenderedPageBreak/>
        <w:t>une proposition concernant la gestion de l'acceptation sociétale vis-à-vis du déploiement des antennes dans chaque pays, assortie d'un programme de travail viable sur la durée visant à atteindre cet objectif.</w:t>
      </w:r>
    </w:p>
    <w:p w:rsidR="005A3227" w:rsidRPr="00F33B33" w:rsidRDefault="005A3227" w:rsidP="00780E9E">
      <w:r w:rsidRPr="00F33B33">
        <w:t>6.12</w:t>
      </w:r>
      <w:r w:rsidRPr="00F33B33">
        <w:tab/>
        <w:t>Un projet de Guide de bonnes pratiques pour l'installation des antennes a été élaboré. Il présente le fonctionnement de la téléphonie mobile ainsi que des notions de base concernant les rayonnements non ionisants, et décrit des méthodes d'installation qui permettent de protéger l'environnement et de réduire l'impact visuel, et qui prennent en compte la réglementation en matière d'urbanisme, la protection du patrimoine et le contrôle des rayonnements. Il est prévu d'y faire figurer des lignes directrices relatives aux procédures d'octroi de licences au niveau municipal, en vue d'harmoniser ces procédures entre les différentes municipalités.</w:t>
      </w:r>
    </w:p>
    <w:p w:rsidR="005A3227" w:rsidRPr="00F33B33" w:rsidRDefault="005A3227" w:rsidP="00780E9E">
      <w:r w:rsidRPr="00F33B33">
        <w:t>6.13</w:t>
      </w:r>
      <w:r w:rsidRPr="00F33B33">
        <w:tab/>
        <w:t>Les équipements et licences suivantes ont été acquis pour El Salvador, qui a accueilli l'expérience pilote.</w:t>
      </w:r>
    </w:p>
    <w:p w:rsidR="005A3227" w:rsidRPr="00F33B33" w:rsidRDefault="005A3227" w:rsidP="00752698">
      <w:pPr>
        <w:pStyle w:val="Enumlevel1"/>
        <w:rPr>
          <w:lang w:val="fr-CH"/>
        </w:rPr>
      </w:pPr>
      <w:r w:rsidRPr="00F33B33">
        <w:rPr>
          <w:lang w:val="fr-CH"/>
        </w:rPr>
        <w:t>–</w:t>
      </w:r>
      <w:r w:rsidRPr="00F33B33">
        <w:rPr>
          <w:lang w:val="fr-CH"/>
        </w:rPr>
        <w:tab/>
        <w:t>Un système portatif de mesure des rayonnements non ionisants.</w:t>
      </w:r>
    </w:p>
    <w:p w:rsidR="005A3227" w:rsidRPr="00F33B33" w:rsidRDefault="005A3227" w:rsidP="00752698">
      <w:pPr>
        <w:pStyle w:val="Enumlevel1"/>
        <w:rPr>
          <w:lang w:val="fr-CH"/>
        </w:rPr>
      </w:pPr>
      <w:r w:rsidRPr="00F33B33">
        <w:rPr>
          <w:lang w:val="fr-CH"/>
        </w:rPr>
        <w:t>–</w:t>
      </w:r>
      <w:r w:rsidRPr="00F33B33">
        <w:rPr>
          <w:lang w:val="fr-CH"/>
        </w:rPr>
        <w:tab/>
        <w:t>Fourniture, étalonnage, installation et surveillance de deux dispositifs permanents de mesure des champs électromagnétiques et leur centre de contrôle, assortis des applications nécessaires à la gestion des données et à leur publication sur le web, conformément à la Recommandation UIT</w:t>
      </w:r>
      <w:r w:rsidRPr="00F33B33">
        <w:rPr>
          <w:lang w:val="fr-CH"/>
        </w:rPr>
        <w:noBreakHyphen/>
        <w:t>T K.83.</w:t>
      </w:r>
    </w:p>
    <w:p w:rsidR="005A3227" w:rsidRPr="00F33B33" w:rsidRDefault="005A3227" w:rsidP="00752698">
      <w:pPr>
        <w:pStyle w:val="Enumlevel1"/>
        <w:rPr>
          <w:lang w:val="fr-CH"/>
        </w:rPr>
      </w:pPr>
      <w:r w:rsidRPr="00F33B33">
        <w:rPr>
          <w:lang w:val="fr-CH"/>
        </w:rPr>
        <w:t>–</w:t>
      </w:r>
      <w:r w:rsidRPr="00F33B33">
        <w:rPr>
          <w:lang w:val="fr-CH"/>
        </w:rPr>
        <w:tab/>
        <w:t>La carte de rayonnement d'un secteur de la zone métropolitaine d'El Salvador.</w:t>
      </w:r>
    </w:p>
    <w:p w:rsidR="005A3227" w:rsidRPr="00F33B33" w:rsidRDefault="005A3227" w:rsidP="00780E9E">
      <w:r w:rsidRPr="00F33B33">
        <w:t xml:space="preserve">L'UIT s'est chargée de l'achat des équipements, au moyen d'un appel d'offres remporté par l'entreprise </w:t>
      </w:r>
      <w:proofErr w:type="spellStart"/>
      <w:r w:rsidRPr="00F33B33">
        <w:t>Wave</w:t>
      </w:r>
      <w:proofErr w:type="spellEnd"/>
      <w:r w:rsidRPr="00F33B33">
        <w:t xml:space="preserve"> Control.</w:t>
      </w:r>
    </w:p>
    <w:p w:rsidR="005A3227" w:rsidRPr="00F33B33" w:rsidRDefault="005A3227" w:rsidP="00780E9E">
      <w:r w:rsidRPr="00F33B33">
        <w:t>6.14</w:t>
      </w:r>
      <w:r w:rsidRPr="00F33B33">
        <w:tab/>
        <w:t>Étant donné que cet outil n'est pas basé sur les normes à observer en matière de mesures, il ne remplace pas les mesures que doit effectuer l'autorité chargée de l'application de la réglementation, et doit être considéré comme un outil supplémentaire de communication auprès du public visant à réduire les craintes des effets négatifs des rayonnements non ionisants sur la santé. L'objectif est de mesurer les niveaux des rayonnements non ionisants au niveau des rues et en des endroits sensibles à définir par les pouvoirs publics. Ces niveaux feront l'objet d'un contrôle continu. Il s'agit de montrer à la population, de manière transparente et compréhensible (web, publications, etc.), que les niveaux des rayonnements sont nettement inférieurs à ceux définis dans les règles, afin de réduire l'appréhension sociétale.</w:t>
      </w:r>
    </w:p>
    <w:p w:rsidR="005A3227" w:rsidRPr="00F33B33" w:rsidRDefault="005A3227" w:rsidP="00780E9E">
      <w:r w:rsidRPr="00F33B33">
        <w:t>6.15</w:t>
      </w:r>
      <w:r w:rsidRPr="00F33B33">
        <w:tab/>
        <w:t>Les cartes électromagnétiques ont été générées en parcourant toutes les rues d'une zone métropolitaine de San Salvador, afin d'obtenir un relevé exhaustif des niveaux de champ électromagnétique au niveau des rues. Les mesures ont été effectuées au niveau des rues à l'aide de sondes isotropes pour la mesure des champs électromagnétiques, avec une gamme de fréquences de 300 kHz à 3 GHz (large bande). Les niveaux de champ électromagnétique en chaque point de la ville ont été relevés de façon dynamique avec la date et la position GPS.</w:t>
      </w:r>
    </w:p>
    <w:p w:rsidR="005A3227" w:rsidRPr="004B3FA2" w:rsidRDefault="005A3227" w:rsidP="00780E9E">
      <w:r w:rsidRPr="00F33B33">
        <w:t>6.16</w:t>
      </w:r>
      <w:r w:rsidRPr="00F33B33">
        <w:tab/>
        <w:t>Les</w:t>
      </w:r>
      <w:r w:rsidRPr="004B3FA2">
        <w:t xml:space="preserve"> relevés ont été effectués par des membres du personnel logistique de la SIGET à bord d'un véhicule fourni par cette organisation. Les niveaux ont été mesurés en V/m, si bien qu'il est possible de les comparer directement avec les niveaux définis dans les normes internationales concernant les limites de l'exposition des personnes aux champs électromagnétiques. Les données ont été collectées, stockées et associées avec leur date et leur position GPS, et ont fait l'objet d'un traitement au moyen d'un système d'information géographique (SIG), qui permet de représenter graphiquement des données sur une carte au moyen d'un code de couleur indiquant les niveaux relevés.</w:t>
      </w:r>
    </w:p>
    <w:p w:rsidR="009906F2" w:rsidRPr="009906F2" w:rsidRDefault="009906F2" w:rsidP="009906F2">
      <w:pPr>
        <w:pStyle w:val="Figuretitle"/>
        <w:jc w:val="left"/>
        <w:rPr>
          <w:noProof/>
          <w:lang w:val="fr-CH" w:eastAsia="zh-CN"/>
        </w:rPr>
      </w:pPr>
      <w:r w:rsidRPr="00FA2090">
        <w:rPr>
          <w:lang w:val="fr-CH"/>
        </w:rPr>
        <w:lastRenderedPageBreak/>
        <w:t xml:space="preserve">Figure 1: Carte des rayonnements non ionisants à San Salvador </w:t>
      </w:r>
      <w:r w:rsidRPr="00FA2090">
        <w:rPr>
          <w:lang w:val="fr-CH"/>
        </w:rPr>
        <w:br/>
        <w:t>(non publiée à l'époque de l'élaboration du présent rapport)</w:t>
      </w:r>
    </w:p>
    <w:p w:rsidR="005A3227" w:rsidRPr="004B3FA2" w:rsidRDefault="005A3227" w:rsidP="009906F2">
      <w:pPr>
        <w:pStyle w:val="Figure"/>
        <w:rPr>
          <w:lang w:val="fr-FR"/>
        </w:rPr>
      </w:pPr>
      <w:r w:rsidRPr="004B3FA2">
        <w:rPr>
          <w:noProof/>
          <w:lang w:val="en-US" w:eastAsia="zh-CN"/>
        </w:rPr>
        <w:drawing>
          <wp:inline distT="0" distB="0" distL="0" distR="0" wp14:anchorId="022A6A6D" wp14:editId="30417FFC">
            <wp:extent cx="3876675" cy="2276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061" cy="2276114"/>
                    </a:xfrm>
                    <a:prstGeom prst="rect">
                      <a:avLst/>
                    </a:prstGeom>
                    <a:noFill/>
                  </pic:spPr>
                </pic:pic>
              </a:graphicData>
            </a:graphic>
          </wp:inline>
        </w:drawing>
      </w:r>
    </w:p>
    <w:p w:rsidR="005A3227" w:rsidRPr="004B3FA2" w:rsidRDefault="005A3227" w:rsidP="005A3227">
      <w:pPr>
        <w:pStyle w:val="CEOcontributionStart"/>
        <w:spacing w:before="120" w:after="240"/>
        <w:jc w:val="center"/>
        <w:rPr>
          <w:b/>
          <w:bCs/>
          <w:lang w:val="fr-FR"/>
        </w:rPr>
      </w:pPr>
    </w:p>
    <w:p w:rsidR="005A3227" w:rsidRPr="009906F2" w:rsidRDefault="005A3227" w:rsidP="00780E9E">
      <w:r w:rsidRPr="009906F2">
        <w:t>6.17</w:t>
      </w:r>
      <w:r w:rsidRPr="009906F2">
        <w:tab/>
        <w:t>La carte ci-dessus représente les niveaux des rayonnements électromagnétiques sur une échelle allant du bleu au rouge, cette couleur indiquant un dépassement des limites maximales fixées par l'OMS.</w:t>
      </w:r>
    </w:p>
    <w:p w:rsidR="005A3227" w:rsidRPr="004B3FA2" w:rsidRDefault="005A3227" w:rsidP="00780E9E">
      <w:r w:rsidRPr="009906F2">
        <w:t>6.18</w:t>
      </w:r>
      <w:r w:rsidRPr="009906F2">
        <w:tab/>
        <w:t xml:space="preserve">Ci-dessous une carte similaire de la ville de </w:t>
      </w:r>
      <w:proofErr w:type="spellStart"/>
      <w:r w:rsidRPr="009906F2">
        <w:t>Lomas</w:t>
      </w:r>
      <w:proofErr w:type="spellEnd"/>
      <w:r w:rsidRPr="009906F2">
        <w:t xml:space="preserve"> de Zamora (Argentine), déjà publiée avec son échelle</w:t>
      </w:r>
      <w:r w:rsidRPr="004B3FA2">
        <w:t xml:space="preserve"> de niveau des rayonnements non ionisants.</w:t>
      </w:r>
    </w:p>
    <w:p w:rsidR="009906F2" w:rsidRPr="00CA4936" w:rsidRDefault="009906F2" w:rsidP="009906F2">
      <w:pPr>
        <w:pStyle w:val="Figuretitle"/>
        <w:jc w:val="left"/>
        <w:rPr>
          <w:lang w:val="fr-CH"/>
        </w:rPr>
      </w:pPr>
      <w:r w:rsidRPr="00CA4936">
        <w:rPr>
          <w:lang w:val="fr-CH"/>
        </w:rPr>
        <w:t>Figure 2: Système de contrôle continu – "Contrôle populaire  des rayonnements non ionisants"</w:t>
      </w:r>
    </w:p>
    <w:p w:rsidR="005A3227" w:rsidRPr="004B3FA2" w:rsidRDefault="005A3227" w:rsidP="009906F2">
      <w:pPr>
        <w:pStyle w:val="Figure"/>
        <w:rPr>
          <w:lang w:val="fr-FR"/>
        </w:rPr>
      </w:pPr>
      <w:r w:rsidRPr="004B3FA2">
        <w:rPr>
          <w:noProof/>
          <w:lang w:val="en-US" w:eastAsia="zh-CN"/>
        </w:rPr>
        <w:drawing>
          <wp:inline distT="0" distB="0" distL="0" distR="0" wp14:anchorId="113B4C4D" wp14:editId="2AEAD913">
            <wp:extent cx="299085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3636" cy="2536010"/>
                    </a:xfrm>
                    <a:prstGeom prst="rect">
                      <a:avLst/>
                    </a:prstGeom>
                    <a:noFill/>
                  </pic:spPr>
                </pic:pic>
              </a:graphicData>
            </a:graphic>
          </wp:inline>
        </w:drawing>
      </w:r>
    </w:p>
    <w:p w:rsidR="005A3227" w:rsidRPr="00F33B33" w:rsidRDefault="005A3227" w:rsidP="00780E9E">
      <w:r w:rsidRPr="00F33B33">
        <w:t>6.19</w:t>
      </w:r>
      <w:r w:rsidRPr="00F33B33">
        <w:tab/>
        <w:t>Un système de contrôle continu de faible envergure a été déployé dans le cadre d'une expérience pilote, afin d'assurer la tranquillité dans certains quartiers ou dans des quartiers en proie à des conflits intenses en raison de l'appréhension des rayonnements ionisants. La population peut se rendre sur le site web de la SIGET et, en cliquant sur le point vert correspondant, accéder aux mesures du point de contrôle de leur choix et consulter les résultats, comme le montre la figure ci-dessous. Le système de programmation envoie des rapports par courriel à la fréquence requise aux principaux acteurs, tels que le président du conseil de quartier, les directeurs d'école, les représentants du quartier, les associations non gouvernementales concernées par la question, etc.</w:t>
      </w:r>
    </w:p>
    <w:p w:rsidR="005A3227" w:rsidRPr="004B3FA2" w:rsidRDefault="005A3227" w:rsidP="00780E9E">
      <w:r w:rsidRPr="00F33B33">
        <w:t>6.20</w:t>
      </w:r>
      <w:r w:rsidRPr="00F33B33">
        <w:tab/>
        <w:t>Le</w:t>
      </w:r>
      <w:r w:rsidRPr="004B3FA2">
        <w:t xml:space="preserve"> présent Rapport a été élaboré alors que ces informations n'avaient pas encore été officiellement publiées par la SIGET. Il n'a donc pas été possible d'y faire figurer le lien correspondant.</w:t>
      </w:r>
    </w:p>
    <w:p w:rsidR="00605317" w:rsidRPr="00FA2090" w:rsidRDefault="00605317" w:rsidP="00605317">
      <w:pPr>
        <w:pStyle w:val="Figuretitle"/>
        <w:rPr>
          <w:lang w:val="fr-CH"/>
        </w:rPr>
      </w:pPr>
      <w:r w:rsidRPr="00FA2090">
        <w:rPr>
          <w:lang w:val="fr-CH"/>
        </w:rPr>
        <w:lastRenderedPageBreak/>
        <w:t>Figure 3: Système de contrôle continu d'El Salvador, Projet commun avec l'UIT</w:t>
      </w:r>
    </w:p>
    <w:p w:rsidR="005A3227" w:rsidRPr="004B3FA2" w:rsidRDefault="005A3227" w:rsidP="00605317">
      <w:pPr>
        <w:pStyle w:val="Figure"/>
        <w:rPr>
          <w:lang w:val="fr-FR"/>
        </w:rPr>
      </w:pPr>
      <w:r w:rsidRPr="004B3FA2">
        <w:rPr>
          <w:noProof/>
          <w:lang w:val="en-US" w:eastAsia="zh-CN"/>
        </w:rPr>
        <w:drawing>
          <wp:inline distT="0" distB="0" distL="0" distR="0" wp14:anchorId="16D14E53" wp14:editId="76B686BD">
            <wp:extent cx="3384000" cy="27144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4000" cy="2714400"/>
                    </a:xfrm>
                    <a:prstGeom prst="rect">
                      <a:avLst/>
                    </a:prstGeom>
                    <a:noFill/>
                  </pic:spPr>
                </pic:pic>
              </a:graphicData>
            </a:graphic>
          </wp:inline>
        </w:drawing>
      </w:r>
    </w:p>
    <w:p w:rsidR="005A3227" w:rsidRPr="004B3FA2" w:rsidRDefault="005A3227" w:rsidP="007E0269">
      <w:r w:rsidRPr="00F33B33">
        <w:t>6.21</w:t>
      </w:r>
      <w:r w:rsidRPr="00F33B33">
        <w:tab/>
        <w:t>Dans</w:t>
      </w:r>
      <w:r w:rsidRPr="004B3FA2">
        <w:t xml:space="preserve"> le cas d'El Salvador, nous nous sommes servis d'une sonde large bande et d'une sonde à bande étroite dans les bandes de fréquences utilisées par les opérateurs de téléphonie mobile du pays.</w:t>
      </w:r>
    </w:p>
    <w:p w:rsidR="005A3227" w:rsidRPr="00FA2090" w:rsidRDefault="005A3227" w:rsidP="00605317">
      <w:pPr>
        <w:pStyle w:val="Heading2"/>
        <w:rPr>
          <w:lang w:val="fr-CH"/>
        </w:rPr>
      </w:pPr>
      <w:r w:rsidRPr="00FA2090">
        <w:rPr>
          <w:lang w:val="fr-CH"/>
        </w:rPr>
        <w:t>6.22</w:t>
      </w:r>
      <w:r w:rsidRPr="00FA2090">
        <w:rPr>
          <w:lang w:val="fr-CH"/>
        </w:rPr>
        <w:tab/>
        <w:t>Système de contrôle continu dans la région Amériques</w:t>
      </w:r>
    </w:p>
    <w:p w:rsidR="005A3227" w:rsidRPr="004B3FA2" w:rsidRDefault="005A3227" w:rsidP="007E0269">
      <w:r w:rsidRPr="004B3FA2">
        <w:t>En dehors de ce projet, divers pays de la région Amériques élaborent leur propre système de contrôle continu en se basant sur la Recommandation UIT-T K.83.</w:t>
      </w:r>
    </w:p>
    <w:p w:rsidR="005A3227" w:rsidRPr="004B3FA2" w:rsidRDefault="005A3227" w:rsidP="007E0269">
      <w:r w:rsidRPr="004B3FA2">
        <w:t>Argentine:</w:t>
      </w:r>
      <w:r w:rsidRPr="004B3FA2">
        <w:tab/>
        <w:t>En phase d'expansion</w:t>
      </w:r>
    </w:p>
    <w:p w:rsidR="005A3227" w:rsidRPr="004B3FA2" w:rsidRDefault="005A3227" w:rsidP="007E0269">
      <w:r w:rsidRPr="004B3FA2">
        <w:t>Colombie:</w:t>
      </w:r>
      <w:r w:rsidRPr="004B3FA2">
        <w:tab/>
        <w:t>Récemment installé (non publié à ce jour)</w:t>
      </w:r>
    </w:p>
    <w:p w:rsidR="005A3227" w:rsidRPr="004B3FA2" w:rsidRDefault="005A3227" w:rsidP="007E0269">
      <w:r>
        <w:t>É</w:t>
      </w:r>
      <w:r w:rsidRPr="004B3FA2">
        <w:t>quateur:</w:t>
      </w:r>
      <w:r w:rsidRPr="004B3FA2">
        <w:tab/>
        <w:t>Récemment installé (non publié à ce jour)</w:t>
      </w:r>
    </w:p>
    <w:p w:rsidR="005A3227" w:rsidRPr="004B3FA2" w:rsidRDefault="005A3227" w:rsidP="007E0269">
      <w:r w:rsidRPr="004B3FA2">
        <w:t>Brésil:</w:t>
      </w:r>
      <w:r w:rsidRPr="004B3FA2">
        <w:tab/>
      </w:r>
      <w:r w:rsidRPr="004B3FA2">
        <w:tab/>
        <w:t>Récemment acheté (non installé à ce jour)</w:t>
      </w:r>
    </w:p>
    <w:p w:rsidR="005A3227" w:rsidRPr="004B3FA2" w:rsidRDefault="005A3227" w:rsidP="00752698">
      <w:r w:rsidRPr="004B3FA2">
        <w:t xml:space="preserve">Pour de plus amples renseignements concernant ce projet, veuillez contacter M. </w:t>
      </w:r>
      <w:proofErr w:type="spellStart"/>
      <w:r w:rsidRPr="004B3FA2">
        <w:t>Héctor</w:t>
      </w:r>
      <w:proofErr w:type="spellEnd"/>
      <w:r w:rsidRPr="004B3FA2">
        <w:t xml:space="preserve"> </w:t>
      </w:r>
      <w:proofErr w:type="spellStart"/>
      <w:r w:rsidRPr="004B3FA2">
        <w:t>Carril</w:t>
      </w:r>
      <w:proofErr w:type="spellEnd"/>
      <w:r w:rsidRPr="004B3FA2">
        <w:t xml:space="preserve"> (</w:t>
      </w:r>
      <w:hyperlink r:id="rId22" w:history="1">
        <w:r w:rsidRPr="004B3FA2">
          <w:rPr>
            <w:rStyle w:val="Hyperlink"/>
          </w:rPr>
          <w:t>hectormario.carril@ties.itu.int</w:t>
        </w:r>
      </w:hyperlink>
      <w:r w:rsidRPr="004B3FA2">
        <w:rPr>
          <w:rStyle w:val="Hyperlink"/>
        </w:rPr>
        <w:t xml:space="preserve">) </w:t>
      </w:r>
      <w:r w:rsidRPr="004B3FA2">
        <w:t xml:space="preserve">ou M. Miguel </w:t>
      </w:r>
      <w:proofErr w:type="spellStart"/>
      <w:r w:rsidRPr="004B3FA2">
        <w:t>Alcaine</w:t>
      </w:r>
      <w:proofErr w:type="spellEnd"/>
      <w:r w:rsidRPr="004B3FA2">
        <w:t xml:space="preserve"> (</w:t>
      </w:r>
      <w:hyperlink r:id="rId23" w:history="1">
        <w:r w:rsidRPr="004B3FA2">
          <w:rPr>
            <w:rStyle w:val="Hyperlink"/>
          </w:rPr>
          <w:t>miguel.alcaine@itu.int</w:t>
        </w:r>
      </w:hyperlink>
      <w:r w:rsidRPr="004B3FA2">
        <w:rPr>
          <w:rStyle w:val="Hyperlink"/>
        </w:rPr>
        <w:t>)</w:t>
      </w:r>
      <w:r w:rsidRPr="004B3FA2">
        <w:t xml:space="preserve"> du Bureau régional de l'UIT au Honduras.</w:t>
      </w:r>
    </w:p>
    <w:p w:rsidR="005A3227" w:rsidRPr="00E55BA5" w:rsidRDefault="005A3227" w:rsidP="00780E9E">
      <w:pPr>
        <w:pStyle w:val="Heading1"/>
        <w:rPr>
          <w:smallCaps/>
          <w:szCs w:val="19"/>
          <w:lang w:val="fr-CH"/>
        </w:rPr>
      </w:pPr>
      <w:bookmarkStart w:id="72" w:name="_Toc370825012"/>
      <w:bookmarkStart w:id="73" w:name="_Toc373423171"/>
      <w:bookmarkStart w:id="74" w:name="_Toc361989747"/>
      <w:bookmarkStart w:id="75" w:name="_Toc364674025"/>
      <w:r w:rsidRPr="00E55BA5">
        <w:rPr>
          <w:szCs w:val="19"/>
          <w:lang w:val="fr-CH"/>
        </w:rPr>
        <w:t>7</w:t>
      </w:r>
      <w:r w:rsidRPr="00E55BA5">
        <w:rPr>
          <w:szCs w:val="19"/>
          <w:lang w:val="fr-CH"/>
        </w:rPr>
        <w:tab/>
      </w:r>
      <w:bookmarkEnd w:id="72"/>
      <w:r w:rsidRPr="00081AA2">
        <w:rPr>
          <w:lang w:val="fr-CH"/>
        </w:rPr>
        <w:t>Orientations</w:t>
      </w:r>
      <w:r w:rsidRPr="00E55BA5">
        <w:rPr>
          <w:lang w:val="fr-FR"/>
        </w:rPr>
        <w:t xml:space="preserve"> à l'intention des Etats Membres</w:t>
      </w:r>
      <w:bookmarkEnd w:id="73"/>
    </w:p>
    <w:bookmarkEnd w:id="66"/>
    <w:bookmarkEnd w:id="74"/>
    <w:bookmarkEnd w:id="75"/>
    <w:p w:rsidR="005A3227" w:rsidRPr="00F33B33" w:rsidRDefault="005A3227" w:rsidP="005A3227">
      <w:pPr>
        <w:rPr>
          <w:bCs/>
          <w:szCs w:val="19"/>
        </w:rPr>
      </w:pPr>
      <w:r w:rsidRPr="00F33B33">
        <w:rPr>
          <w:bCs/>
          <w:szCs w:val="19"/>
        </w:rPr>
        <w:t>7.1</w:t>
      </w:r>
      <w:r w:rsidRPr="00F33B33">
        <w:rPr>
          <w:bCs/>
          <w:szCs w:val="19"/>
        </w:rPr>
        <w:tab/>
        <w:t>Il est recommandé aux Etats Membres d'adopter les lignes directrices sur les champs électromagnétiques de la CIPRNI (qui ont reçu l'approbation de l'OMS</w:t>
      </w:r>
      <w:r w:rsidRPr="00F33B33">
        <w:rPr>
          <w:rStyle w:val="FootnoteReference"/>
          <w:bCs/>
          <w:szCs w:val="19"/>
        </w:rPr>
        <w:footnoteReference w:id="13"/>
      </w:r>
      <w:r w:rsidRPr="00F33B33">
        <w:rPr>
          <w:bCs/>
          <w:szCs w:val="19"/>
        </w:rPr>
        <w:t xml:space="preserve"> et de l'UIT</w:t>
      </w:r>
      <w:r w:rsidRPr="00F33B33">
        <w:rPr>
          <w:rStyle w:val="FootnoteReference"/>
          <w:bCs/>
          <w:szCs w:val="19"/>
        </w:rPr>
        <w:footnoteReference w:id="14"/>
      </w:r>
      <w:r w:rsidRPr="00F33B33">
        <w:rPr>
          <w:bCs/>
          <w:szCs w:val="19"/>
        </w:rPr>
        <w:t xml:space="preserve">), plutôt que de définir leurs propres seuils d'émission. L'OMS, dans le cadre de son Projet international pour l'étude des champs électromagnétiques, a mis en place un cadre pour l'élaboration de normes sur les champs électromagnétiques basées sur la santé, qu'il est possible d'utiliser si les normes nationales s'écartent des </w:t>
      </w:r>
      <w:r w:rsidRPr="00F33B33">
        <w:rPr>
          <w:bCs/>
          <w:szCs w:val="19"/>
        </w:rPr>
        <w:lastRenderedPageBreak/>
        <w:t>recommandations internationales</w:t>
      </w:r>
      <w:r w:rsidRPr="00F33B33">
        <w:rPr>
          <w:rStyle w:val="FootnoteReference"/>
          <w:bCs/>
          <w:position w:val="4"/>
          <w:sz w:val="16"/>
          <w:szCs w:val="16"/>
        </w:rPr>
        <w:footnoteReference w:id="15"/>
      </w:r>
      <w:r w:rsidRPr="00F33B33">
        <w:rPr>
          <w:bCs/>
          <w:szCs w:val="19"/>
        </w:rPr>
        <w:t>. L'OMS reconnaît aux pays la possibilité d'adopter d'autres politiques de gestion des risques liés aux champs électromagnétiques.</w:t>
      </w:r>
    </w:p>
    <w:p w:rsidR="005A3227" w:rsidRPr="00F33B33" w:rsidRDefault="005A3227" w:rsidP="005A3227">
      <w:pPr>
        <w:autoSpaceDE w:val="0"/>
        <w:autoSpaceDN w:val="0"/>
        <w:rPr>
          <w:rFonts w:cs="VendettaLight"/>
          <w:bCs/>
          <w:color w:val="000000"/>
          <w:szCs w:val="19"/>
        </w:rPr>
      </w:pPr>
      <w:r w:rsidRPr="00F33B33">
        <w:rPr>
          <w:rFonts w:cs="VendettaLight"/>
          <w:bCs/>
          <w:color w:val="000000"/>
          <w:szCs w:val="19"/>
        </w:rPr>
        <w:t>7.2</w:t>
      </w:r>
      <w:r w:rsidRPr="00F33B33">
        <w:rPr>
          <w:rFonts w:cs="VendettaLight"/>
          <w:bCs/>
          <w:color w:val="000000"/>
          <w:szCs w:val="19"/>
        </w:rPr>
        <w:tab/>
        <w:t>Au niveau national, les instruments réglementaires visant à limiter l'exposition aux champs électromagnétiques se répartissent entre instruments d'application volontaire et instruments obligatoires.</w:t>
      </w:r>
    </w:p>
    <w:p w:rsidR="005A3227" w:rsidRPr="00F33B33" w:rsidRDefault="005A3227" w:rsidP="005A3227">
      <w:pPr>
        <w:keepLines/>
        <w:tabs>
          <w:tab w:val="left" w:pos="709"/>
        </w:tabs>
        <w:autoSpaceDE w:val="0"/>
        <w:autoSpaceDN w:val="0"/>
        <w:rPr>
          <w:rFonts w:cs="VendettaLight"/>
          <w:bCs/>
          <w:color w:val="000000"/>
          <w:szCs w:val="19"/>
        </w:rPr>
      </w:pPr>
      <w:r w:rsidRPr="00F33B33">
        <w:rPr>
          <w:rFonts w:cs="VendettaLight"/>
          <w:bCs/>
          <w:color w:val="000000"/>
          <w:szCs w:val="19"/>
        </w:rPr>
        <w:t>7.2.1</w:t>
      </w:r>
      <w:r w:rsidRPr="00F33B33">
        <w:rPr>
          <w:rFonts w:cs="VendettaLight"/>
          <w:bCs/>
          <w:color w:val="000000"/>
          <w:szCs w:val="19"/>
        </w:rPr>
        <w:tab/>
        <w:t>Les instruments d'application volontaire incluent des lignes directrices, instructions et recommandations qui ne sont pas prescrites dans la loi, et qui n'ont généralement pas de valeur juridique. Il s'agit, par exemple, de lignes directrices internationales, telles que celles formulées, entre autres, par la CIPRNI et l'IEEE, qui fournissent des orientations aux organismes nationaux. Ils ne deviennent juridiquement contraignants que si le pays les intègre dans sa propre législation.</w:t>
      </w:r>
    </w:p>
    <w:p w:rsidR="005A3227" w:rsidRPr="00F33B33" w:rsidRDefault="005A3227" w:rsidP="005A3227">
      <w:pPr>
        <w:tabs>
          <w:tab w:val="left" w:pos="709"/>
        </w:tabs>
        <w:autoSpaceDE w:val="0"/>
        <w:autoSpaceDN w:val="0"/>
        <w:rPr>
          <w:rFonts w:cs="VendettaLight"/>
          <w:bCs/>
          <w:color w:val="000000"/>
          <w:szCs w:val="19"/>
        </w:rPr>
      </w:pPr>
      <w:r w:rsidRPr="00F33B33">
        <w:rPr>
          <w:rFonts w:cs="VendettaLight"/>
          <w:bCs/>
          <w:color w:val="000000"/>
          <w:szCs w:val="19"/>
        </w:rPr>
        <w:t>7.2.2</w:t>
      </w:r>
      <w:r w:rsidRPr="00F33B33">
        <w:rPr>
          <w:rFonts w:cs="VendettaLight"/>
          <w:bCs/>
          <w:color w:val="000000"/>
          <w:szCs w:val="19"/>
        </w:rPr>
        <w:tab/>
        <w:t>Les instruments réglementaires obligatoires ou juridiquement contraignants incluent les lois, règlements, arrêtés, décisions et décrets, et nécessitent un cadre juridique.</w:t>
      </w:r>
    </w:p>
    <w:p w:rsidR="005A3227" w:rsidRPr="00F33B33" w:rsidRDefault="005A3227" w:rsidP="005A3227">
      <w:pPr>
        <w:tabs>
          <w:tab w:val="left" w:pos="709"/>
        </w:tabs>
        <w:autoSpaceDE w:val="0"/>
        <w:autoSpaceDN w:val="0"/>
        <w:rPr>
          <w:rFonts w:cs="VendettaLight"/>
          <w:bCs/>
          <w:color w:val="000000"/>
          <w:szCs w:val="19"/>
        </w:rPr>
      </w:pPr>
      <w:r w:rsidRPr="00F33B33">
        <w:rPr>
          <w:rFonts w:cs="VendettaLight"/>
          <w:bCs/>
          <w:color w:val="000000"/>
          <w:szCs w:val="19"/>
        </w:rPr>
        <w:t>7.2.3</w:t>
      </w:r>
      <w:r w:rsidRPr="00F33B33">
        <w:rPr>
          <w:rFonts w:cs="VendettaLight"/>
          <w:bCs/>
          <w:color w:val="000000"/>
          <w:szCs w:val="19"/>
        </w:rPr>
        <w:tab/>
        <w:t>Les responsables du projet de l'OMS sur les champs électromagnétiques ont estimé qu'il serait plus utile d'élaborer à partir des normes internationales existantes une législation type, qui permettrait aux pouvoirs publics des pays qui le souhaitent, d'intégrer ces normes dans leur législation nationale. En outre, la législation type de l'OMS</w:t>
      </w:r>
      <w:r w:rsidRPr="00F33B33">
        <w:rPr>
          <w:rStyle w:val="FootnoteReference"/>
          <w:rFonts w:cs="VendettaLight"/>
          <w:bCs/>
          <w:color w:val="000000"/>
          <w:szCs w:val="19"/>
        </w:rPr>
        <w:footnoteReference w:id="16"/>
      </w:r>
      <w:r w:rsidRPr="00F33B33">
        <w:rPr>
          <w:rFonts w:cs="VendettaLight"/>
          <w:bCs/>
          <w:color w:val="000000"/>
          <w:szCs w:val="19"/>
        </w:rPr>
        <w:t xml:space="preserve"> permettrait à tous les pays souhaitant élaborer leurs propres normes nationales de le faire à l'intérieur de ce cadre.</w:t>
      </w:r>
    </w:p>
    <w:p w:rsidR="005A3227" w:rsidRPr="00F33B33" w:rsidRDefault="005A3227" w:rsidP="005A3227">
      <w:pPr>
        <w:autoSpaceDE w:val="0"/>
        <w:autoSpaceDN w:val="0"/>
        <w:rPr>
          <w:rFonts w:cs="VendettaMediumItalic"/>
          <w:bCs/>
          <w:iCs/>
          <w:color w:val="000000"/>
          <w:szCs w:val="19"/>
        </w:rPr>
      </w:pPr>
      <w:r w:rsidRPr="00F33B33">
        <w:rPr>
          <w:rFonts w:cs="VendettaMediumItalic"/>
          <w:bCs/>
          <w:iCs/>
          <w:color w:val="000000"/>
          <w:szCs w:val="19"/>
        </w:rPr>
        <w:t>7.3</w:t>
      </w:r>
      <w:r w:rsidRPr="00F33B33">
        <w:rPr>
          <w:rFonts w:cs="VendettaMediumItalic"/>
          <w:bCs/>
          <w:iCs/>
          <w:color w:val="000000"/>
          <w:szCs w:val="19"/>
        </w:rPr>
        <w:tab/>
        <w:t>Les normes de mesure, qui présentent des méthodes utilisables en vue de garantir la conformité avec les normes d'exposition ou d'émission, sont basées sur des normes de la CEI, de l'IEEE/ICES et du CENELEC, et les pays sont libres d'y apporter des modifications suivant leurs normes nationales. Dans certains cas, elles indiquent la manière de procéder pour mesurer le champ électromagnétique causé par une installation ou un produit. On peut citer, par exemple, l'utilisation d'un fantôme pour mesurer les valeurs de DAS des téléphones mobiles.</w:t>
      </w:r>
    </w:p>
    <w:p w:rsidR="005A3227" w:rsidRPr="00F33B33" w:rsidRDefault="005A3227" w:rsidP="005A3227">
      <w:pPr>
        <w:autoSpaceDE w:val="0"/>
        <w:autoSpaceDN w:val="0"/>
        <w:adjustRightInd w:val="0"/>
        <w:spacing w:before="0"/>
        <w:rPr>
          <w:rFonts w:cs="VendettaMediumItalic"/>
          <w:bCs/>
          <w:iCs/>
          <w:color w:val="000000"/>
          <w:szCs w:val="19"/>
        </w:rPr>
      </w:pPr>
      <w:r w:rsidRPr="00F33B33">
        <w:rPr>
          <w:rFonts w:cs="VendettaMediumItalic"/>
          <w:bCs/>
          <w:iCs/>
          <w:color w:val="000000"/>
          <w:szCs w:val="19"/>
        </w:rPr>
        <w:t>7.3.1</w:t>
      </w:r>
      <w:r w:rsidR="00C579B5" w:rsidRPr="00F33B33">
        <w:rPr>
          <w:rFonts w:cs="VendettaMediumItalic"/>
          <w:bCs/>
          <w:iCs/>
          <w:color w:val="000000"/>
          <w:szCs w:val="19"/>
        </w:rPr>
        <w:tab/>
      </w:r>
      <w:r w:rsidRPr="00F33B33">
        <w:rPr>
          <w:rFonts w:cs="VendettaMediumItalic"/>
          <w:bCs/>
          <w:iCs/>
          <w:color w:val="000000"/>
          <w:szCs w:val="19"/>
        </w:rPr>
        <w:t>D'après la section 5.6 du Manuel de l'UIT sur le contrôle du spectre, c'est l'autorité de gestion du spectre, compte tenu de son expertise dans ce domaine, qui est chargée de faire appliquer la réglementation relative aux niveaux maximums de RNI émis par les dispositifs de télécommunication. Les expériences nationales décrites dans le présent Rapport montrent que c'est principalement l'autorité chargée de l'octroi des licences qui se charge de faire appliquer cette réglementation.</w:t>
      </w:r>
    </w:p>
    <w:p w:rsidR="005A3227" w:rsidRPr="00F33B33" w:rsidRDefault="005A3227" w:rsidP="005A3227">
      <w:pPr>
        <w:rPr>
          <w:bCs/>
        </w:rPr>
      </w:pPr>
      <w:r w:rsidRPr="00F33B33">
        <w:rPr>
          <w:bCs/>
        </w:rPr>
        <w:t>7.3.2</w:t>
      </w:r>
      <w:r w:rsidR="00C579B5" w:rsidRPr="00F33B33">
        <w:rPr>
          <w:bCs/>
        </w:rPr>
        <w:tab/>
      </w:r>
      <w:r w:rsidRPr="00F33B33">
        <w:rPr>
          <w:bCs/>
        </w:rPr>
        <w:t>En outre, il est recommandé dans le Manuel de mesurer les rayonnements non ionisants suivant les modalités suivantes:</w:t>
      </w:r>
    </w:p>
    <w:p w:rsidR="005A3227" w:rsidRPr="00F33B33" w:rsidRDefault="005A3227" w:rsidP="00752698">
      <w:pPr>
        <w:pStyle w:val="Enumlevel1"/>
        <w:rPr>
          <w:bCs/>
          <w:lang w:val="fr-CH"/>
        </w:rPr>
      </w:pPr>
      <w:r w:rsidRPr="00F33B33">
        <w:rPr>
          <w:bCs/>
          <w:lang w:val="fr-CH"/>
        </w:rPr>
        <w:t>–</w:t>
      </w:r>
      <w:r w:rsidRPr="00F33B33">
        <w:rPr>
          <w:bCs/>
          <w:lang w:val="fr-CH"/>
        </w:rPr>
        <w:tab/>
        <w:t>en lien avec la délivrance d'une licence de radiocommunication;</w:t>
      </w:r>
    </w:p>
    <w:p w:rsidR="005A3227" w:rsidRPr="00F33B33" w:rsidRDefault="005A3227" w:rsidP="00752698">
      <w:pPr>
        <w:pStyle w:val="Enumlevel1"/>
        <w:rPr>
          <w:bCs/>
          <w:lang w:val="fr-CH"/>
        </w:rPr>
      </w:pPr>
      <w:r w:rsidRPr="00F33B33">
        <w:rPr>
          <w:bCs/>
          <w:lang w:val="fr-CH"/>
        </w:rPr>
        <w:t>–</w:t>
      </w:r>
      <w:r w:rsidRPr="00F33B33">
        <w:rPr>
          <w:bCs/>
          <w:lang w:val="fr-CH"/>
        </w:rPr>
        <w:tab/>
        <w:t>à intervalles réguliers, conformément à un plan de contrôle et de suivi des rayonnements non  ionisants; ou</w:t>
      </w:r>
    </w:p>
    <w:p w:rsidR="005A3227" w:rsidRPr="00F33B33" w:rsidRDefault="005A3227" w:rsidP="00752698">
      <w:pPr>
        <w:pStyle w:val="Enumlevel1"/>
        <w:rPr>
          <w:bCs/>
          <w:lang w:val="fr-CH"/>
        </w:rPr>
      </w:pPr>
      <w:r w:rsidRPr="00F33B33">
        <w:rPr>
          <w:bCs/>
          <w:lang w:val="fr-CH"/>
        </w:rPr>
        <w:t>–</w:t>
      </w:r>
      <w:r w:rsidRPr="00F33B33">
        <w:rPr>
          <w:bCs/>
          <w:lang w:val="fr-CH"/>
        </w:rPr>
        <w:tab/>
        <w:t>pour une raison valable, c'est-à-dire à la suite d'une demande publique ou officielle</w:t>
      </w:r>
      <w:r w:rsidRPr="00F33B33">
        <w:rPr>
          <w:rStyle w:val="FootnoteReference"/>
          <w:bCs/>
        </w:rPr>
        <w:footnoteReference w:id="17"/>
      </w:r>
      <w:r w:rsidRPr="00F33B33">
        <w:rPr>
          <w:bCs/>
          <w:lang w:val="fr-CH"/>
        </w:rPr>
        <w:t>.</w:t>
      </w:r>
    </w:p>
    <w:p w:rsidR="005A3227" w:rsidRPr="00F33B33" w:rsidRDefault="005A3227" w:rsidP="00752698">
      <w:pPr>
        <w:rPr>
          <w:bCs/>
          <w:lang w:eastAsia="en-US"/>
        </w:rPr>
      </w:pPr>
      <w:r w:rsidRPr="00F33B33">
        <w:rPr>
          <w:bCs/>
          <w:lang w:eastAsia="en-US"/>
        </w:rPr>
        <w:t>7.4</w:t>
      </w:r>
      <w:r w:rsidRPr="00F33B33">
        <w:rPr>
          <w:bCs/>
          <w:lang w:eastAsia="en-US"/>
        </w:rPr>
        <w:tab/>
        <w:t>Les émetteurs devant faire l'objet de mesures sont les suivants:</w:t>
      </w:r>
    </w:p>
    <w:p w:rsidR="005A3227" w:rsidRPr="00C409E7" w:rsidRDefault="005A3227" w:rsidP="00752698">
      <w:pPr>
        <w:pStyle w:val="Enumlevel1"/>
        <w:rPr>
          <w:lang w:val="fr-CH"/>
        </w:rPr>
      </w:pPr>
      <w:r w:rsidRPr="00F33B33">
        <w:rPr>
          <w:bCs/>
          <w:lang w:val="fr-CH"/>
        </w:rPr>
        <w:t>–</w:t>
      </w:r>
      <w:r w:rsidRPr="00F33B33">
        <w:rPr>
          <w:bCs/>
          <w:lang w:val="fr-CH"/>
        </w:rPr>
        <w:tab/>
        <w:t>Stations de</w:t>
      </w:r>
      <w:r w:rsidRPr="00C409E7">
        <w:rPr>
          <w:lang w:val="fr-CH"/>
        </w:rPr>
        <w:t xml:space="preserve"> radiodiffusion et stations de base cellulaires.</w:t>
      </w:r>
    </w:p>
    <w:p w:rsidR="005A3227" w:rsidRPr="00C409E7" w:rsidRDefault="005A3227" w:rsidP="00752698">
      <w:pPr>
        <w:pStyle w:val="Enumlevel1"/>
        <w:rPr>
          <w:lang w:val="fr-CH"/>
        </w:rPr>
      </w:pPr>
      <w:r w:rsidRPr="00C409E7">
        <w:rPr>
          <w:lang w:val="fr-CH"/>
        </w:rPr>
        <w:t>–</w:t>
      </w:r>
      <w:r w:rsidRPr="00C409E7">
        <w:rPr>
          <w:lang w:val="fr-CH"/>
        </w:rPr>
        <w:tab/>
        <w:t>Stations du service de radioamateur.</w:t>
      </w:r>
    </w:p>
    <w:p w:rsidR="005A3227" w:rsidRPr="00C409E7" w:rsidRDefault="005A3227" w:rsidP="00752698">
      <w:pPr>
        <w:pStyle w:val="Enumlevel1"/>
        <w:rPr>
          <w:szCs w:val="19"/>
          <w:u w:val="single"/>
          <w:lang w:val="fr-CH"/>
        </w:rPr>
      </w:pPr>
      <w:r w:rsidRPr="00C409E7">
        <w:rPr>
          <w:lang w:val="fr-CH"/>
        </w:rPr>
        <w:t>–</w:t>
      </w:r>
      <w:r w:rsidRPr="00C409E7">
        <w:rPr>
          <w:lang w:val="fr-CH"/>
        </w:rPr>
        <w:tab/>
      </w:r>
      <w:r w:rsidRPr="00C409E7">
        <w:rPr>
          <w:szCs w:val="19"/>
          <w:lang w:val="fr-CH"/>
        </w:rPr>
        <w:t>Stations portatives, pour lesquelles on se contentera de contrôler les spécifications techniques du fournisseur, les mesures relatives à ce type de station pouvant se révéler coûteuses.</w:t>
      </w:r>
    </w:p>
    <w:p w:rsidR="005A3227" w:rsidRPr="00C409E7" w:rsidRDefault="005A3227" w:rsidP="00081AA2">
      <w:pPr>
        <w:pStyle w:val="Heading2"/>
        <w:rPr>
          <w:lang w:val="fr-CH"/>
        </w:rPr>
      </w:pPr>
      <w:r w:rsidRPr="00C409E7">
        <w:rPr>
          <w:lang w:val="fr-CH"/>
        </w:rPr>
        <w:lastRenderedPageBreak/>
        <w:t>7.5</w:t>
      </w:r>
      <w:r w:rsidRPr="00C409E7">
        <w:rPr>
          <w:lang w:val="fr-CH"/>
        </w:rPr>
        <w:tab/>
        <w:t>Procédures</w:t>
      </w:r>
    </w:p>
    <w:p w:rsidR="005A3227" w:rsidRPr="00184F5E" w:rsidRDefault="005A3227" w:rsidP="005A3227">
      <w:pPr>
        <w:tabs>
          <w:tab w:val="left" w:pos="709"/>
        </w:tabs>
        <w:rPr>
          <w:rFonts w:cs="VendettaLight"/>
          <w:bCs/>
          <w:color w:val="000000"/>
          <w:szCs w:val="19"/>
        </w:rPr>
      </w:pPr>
      <w:r w:rsidRPr="00184F5E">
        <w:rPr>
          <w:rFonts w:cs="VendettaLight"/>
          <w:bCs/>
          <w:color w:val="000000"/>
          <w:szCs w:val="19"/>
        </w:rPr>
        <w:t>7.5.1</w:t>
      </w:r>
      <w:r w:rsidRPr="00184F5E">
        <w:rPr>
          <w:rFonts w:cs="VendettaLight"/>
          <w:bCs/>
          <w:color w:val="000000"/>
          <w:szCs w:val="19"/>
        </w:rPr>
        <w:tab/>
        <w:t>Il devrait exister des procédures visant à garantir la conformité avec les normes obligatoires. En ce qui concerne les normes relatives à l'exposition aux champs électromagnétiques, un organisme (qui pourrait être public ou privé) est normalement chargé de vérifier la conformité à l'aide de calculs et de mesures sur les lieux de travail et en d'autres endroits. Pour ce qui est des limites d'exposition, la conformité des dispositifs est généralement certifiée par le fabricant (mesure du DAS).</w:t>
      </w:r>
    </w:p>
    <w:p w:rsidR="005A3227" w:rsidRPr="00184F5E" w:rsidRDefault="005A3227" w:rsidP="005A3227">
      <w:pPr>
        <w:tabs>
          <w:tab w:val="left" w:pos="709"/>
        </w:tabs>
        <w:rPr>
          <w:bCs/>
          <w:szCs w:val="19"/>
        </w:rPr>
      </w:pPr>
      <w:r w:rsidRPr="00184F5E">
        <w:rPr>
          <w:bCs/>
          <w:szCs w:val="19"/>
        </w:rPr>
        <w:t>7.5.2</w:t>
      </w:r>
      <w:r w:rsidRPr="00184F5E">
        <w:rPr>
          <w:bCs/>
          <w:szCs w:val="19"/>
        </w:rPr>
        <w:tab/>
        <w:t xml:space="preserve">Actuellement, les orientations concernant les modalités d'évaluation de l'exposition des personnes dans des situations réelles sont basées sur les normes IEC/CENELEC en vigueur. Par conséquent, il est recommandé aux Etats Membres de suivre les normes IEC/CENELEC. On peut également se référer à la Recommandation (02)04 (révisée à Bratislava en 2003 et à Helsinki en 2007) (9 kHz-300 GHz) du </w:t>
      </w:r>
      <w:proofErr w:type="spellStart"/>
      <w:r w:rsidRPr="00184F5E">
        <w:rPr>
          <w:bCs/>
          <w:szCs w:val="19"/>
        </w:rPr>
        <w:t>Electronic</w:t>
      </w:r>
      <w:proofErr w:type="spellEnd"/>
      <w:r w:rsidRPr="00184F5E">
        <w:rPr>
          <w:bCs/>
          <w:szCs w:val="19"/>
        </w:rPr>
        <w:t xml:space="preserve"> Communications </w:t>
      </w:r>
      <w:proofErr w:type="spellStart"/>
      <w:r w:rsidRPr="00184F5E">
        <w:rPr>
          <w:bCs/>
          <w:szCs w:val="19"/>
        </w:rPr>
        <w:t>Committee</w:t>
      </w:r>
      <w:proofErr w:type="spellEnd"/>
      <w:r w:rsidRPr="00184F5E">
        <w:rPr>
          <w:bCs/>
          <w:szCs w:val="19"/>
        </w:rPr>
        <w:t xml:space="preserve"> (ECC) de la Conférence européenne des administrations des postes et des télécommunications (CEPT) relative à la mesure des rayonnements électromagnétiques non ionisants.</w:t>
      </w:r>
    </w:p>
    <w:p w:rsidR="005A3227" w:rsidRPr="00184F5E" w:rsidRDefault="005A3227" w:rsidP="005A3227">
      <w:pPr>
        <w:tabs>
          <w:tab w:val="left" w:pos="709"/>
        </w:tabs>
        <w:rPr>
          <w:rFonts w:cs="Consolas"/>
          <w:bCs/>
          <w:szCs w:val="19"/>
        </w:rPr>
      </w:pPr>
      <w:r w:rsidRPr="00184F5E">
        <w:rPr>
          <w:rFonts w:cs="Consolas"/>
          <w:bCs/>
          <w:szCs w:val="19"/>
        </w:rPr>
        <w:t>7.5.3</w:t>
      </w:r>
      <w:r w:rsidRPr="00184F5E">
        <w:rPr>
          <w:rFonts w:cs="Consolas"/>
          <w:bCs/>
          <w:szCs w:val="19"/>
        </w:rPr>
        <w:tab/>
        <w:t xml:space="preserve">La section 5.6 du Manuel de l'UIT sur le contrôle du spectre décrit </w:t>
      </w:r>
      <w:r w:rsidRPr="00184F5E">
        <w:rPr>
          <w:bCs/>
        </w:rPr>
        <w:t>les procédures de mesure: choix de l'emplacement, positionnement des instruments, précautions à prendre, équipements à utiliser, points à clarifier et format dans lequel il convient de présenter les rapports.</w:t>
      </w:r>
    </w:p>
    <w:p w:rsidR="005A3227" w:rsidRPr="00184F5E" w:rsidRDefault="005A3227" w:rsidP="005A3227">
      <w:pPr>
        <w:tabs>
          <w:tab w:val="left" w:pos="709"/>
        </w:tabs>
        <w:rPr>
          <w:rFonts w:cs="Consolas"/>
          <w:bCs/>
          <w:szCs w:val="19"/>
        </w:rPr>
      </w:pPr>
      <w:r w:rsidRPr="00184F5E">
        <w:rPr>
          <w:rFonts w:cs="Consolas"/>
          <w:bCs/>
          <w:szCs w:val="19"/>
        </w:rPr>
        <w:t>7.5.4</w:t>
      </w:r>
      <w:r w:rsidRPr="00184F5E">
        <w:rPr>
          <w:rFonts w:cs="Consolas"/>
          <w:bCs/>
          <w:szCs w:val="19"/>
        </w:rPr>
        <w:tab/>
        <w:t>Il est recommandé de définir des orientations relatives au contrôle de la circulation des téléphones mobiles dans tout pays ou région, afin d'éviter la présence d'équipements non conformes.</w:t>
      </w:r>
    </w:p>
    <w:p w:rsidR="005A3227" w:rsidRPr="004B3FA2" w:rsidRDefault="005A3227" w:rsidP="005A3227">
      <w:pPr>
        <w:tabs>
          <w:tab w:val="left" w:pos="709"/>
        </w:tabs>
        <w:rPr>
          <w:rFonts w:cs="Consolas"/>
          <w:szCs w:val="19"/>
        </w:rPr>
      </w:pPr>
      <w:r w:rsidRPr="00184F5E">
        <w:rPr>
          <w:rFonts w:cs="Consolas"/>
          <w:bCs/>
          <w:szCs w:val="19"/>
        </w:rPr>
        <w:t>7.5.5</w:t>
      </w:r>
      <w:r w:rsidRPr="00184F5E">
        <w:rPr>
          <w:rFonts w:cs="Consolas"/>
          <w:bCs/>
          <w:szCs w:val="19"/>
        </w:rPr>
        <w:tab/>
        <w:t>Il est recommandé de procéder régulièrement à des mesures des rayonnements aux fins du contrôle de la conformité. Les pays devraient également encourager le regroupement des sites et le</w:t>
      </w:r>
      <w:r w:rsidRPr="004B3FA2">
        <w:rPr>
          <w:rFonts w:cs="Consolas"/>
          <w:szCs w:val="19"/>
        </w:rPr>
        <w:t xml:space="preserve"> partage des infrastructures, afin d'éviter la prolifération des antennes et la perception de l'existence d'effets néfastes.</w:t>
      </w:r>
    </w:p>
    <w:p w:rsidR="005A3227" w:rsidRPr="00E55BA5" w:rsidRDefault="005A3227" w:rsidP="005A3227">
      <w:pPr>
        <w:pStyle w:val="Heading1"/>
        <w:spacing w:before="240" w:after="120"/>
        <w:rPr>
          <w:smallCaps/>
          <w:szCs w:val="19"/>
          <w:lang w:val="fr-CH"/>
        </w:rPr>
      </w:pPr>
      <w:bookmarkStart w:id="76" w:name="_Toc370825013"/>
      <w:bookmarkStart w:id="77" w:name="_Toc373423172"/>
      <w:bookmarkStart w:id="78" w:name="_Toc330816733"/>
      <w:bookmarkStart w:id="79" w:name="_Toc361989748"/>
      <w:bookmarkStart w:id="80" w:name="_Toc364674026"/>
      <w:r w:rsidRPr="00E55BA5">
        <w:rPr>
          <w:szCs w:val="19"/>
          <w:lang w:val="fr-CH"/>
        </w:rPr>
        <w:t>8</w:t>
      </w:r>
      <w:r w:rsidRPr="00E55BA5">
        <w:rPr>
          <w:szCs w:val="19"/>
          <w:lang w:val="fr-CH"/>
        </w:rPr>
        <w:tab/>
        <w:t>Conclusion</w:t>
      </w:r>
      <w:bookmarkEnd w:id="76"/>
      <w:bookmarkEnd w:id="77"/>
    </w:p>
    <w:bookmarkEnd w:id="78"/>
    <w:bookmarkEnd w:id="79"/>
    <w:bookmarkEnd w:id="80"/>
    <w:p w:rsidR="005A3227" w:rsidRPr="00184F5E" w:rsidRDefault="005A3227" w:rsidP="005A3227">
      <w:pPr>
        <w:rPr>
          <w:bCs/>
          <w:snapToGrid w:val="0"/>
          <w:szCs w:val="19"/>
        </w:rPr>
      </w:pPr>
      <w:r w:rsidRPr="00184F5E">
        <w:rPr>
          <w:bCs/>
          <w:snapToGrid w:val="0"/>
          <w:szCs w:val="19"/>
        </w:rPr>
        <w:t>8.1</w:t>
      </w:r>
      <w:r w:rsidRPr="00184F5E">
        <w:rPr>
          <w:bCs/>
          <w:snapToGrid w:val="0"/>
          <w:szCs w:val="19"/>
        </w:rPr>
        <w:tab/>
        <w:t>Il est important d'élaborer des rapports qui soient accessibles au public. Cette publication peut avoir lieu au moyen des médias disponibles dans le pays. Il convient de comparer les quantités mesurées et calculées. Si les valeurs mesurées ou calculées sont supérieures aux niveaux prescrits par la CIPRNI, il convient de le souligner dans le rapport et de prendre des dispositions conformément à la réglementation en vigueur.</w:t>
      </w:r>
    </w:p>
    <w:p w:rsidR="005A3227" w:rsidRPr="00184F5E" w:rsidRDefault="005A3227" w:rsidP="005A3227">
      <w:pPr>
        <w:rPr>
          <w:bCs/>
        </w:rPr>
      </w:pPr>
      <w:r w:rsidRPr="00184F5E">
        <w:rPr>
          <w:bCs/>
        </w:rPr>
        <w:t>8.2</w:t>
      </w:r>
      <w:r w:rsidRPr="00184F5E">
        <w:rPr>
          <w:bCs/>
        </w:rPr>
        <w:tab/>
        <w:t>Il est également recommandé de publier un rapport exhaustif sur les mesures dans lequel figurent les informations suivantes:</w:t>
      </w:r>
    </w:p>
    <w:p w:rsidR="005A3227" w:rsidRPr="00184F5E" w:rsidRDefault="005A3227" w:rsidP="00752698">
      <w:pPr>
        <w:pStyle w:val="Enumlevel1"/>
        <w:rPr>
          <w:bCs/>
          <w:lang w:val="fr-CH"/>
        </w:rPr>
      </w:pPr>
      <w:r w:rsidRPr="00184F5E">
        <w:rPr>
          <w:bCs/>
          <w:lang w:val="fr-CH"/>
        </w:rPr>
        <w:t>–</w:t>
      </w:r>
      <w:r w:rsidRPr="00184F5E">
        <w:rPr>
          <w:bCs/>
          <w:lang w:val="fr-CH"/>
        </w:rPr>
        <w:tab/>
        <w:t>objet et finalités des mesures;</w:t>
      </w:r>
    </w:p>
    <w:p w:rsidR="005A3227" w:rsidRPr="00184F5E" w:rsidRDefault="005A3227" w:rsidP="00752698">
      <w:pPr>
        <w:pStyle w:val="Enumlevel1"/>
        <w:rPr>
          <w:bCs/>
          <w:lang w:val="fr-CH"/>
        </w:rPr>
      </w:pPr>
      <w:r w:rsidRPr="00184F5E">
        <w:rPr>
          <w:bCs/>
          <w:lang w:val="fr-CH"/>
        </w:rPr>
        <w:t>–</w:t>
      </w:r>
      <w:r w:rsidRPr="00184F5E">
        <w:rPr>
          <w:bCs/>
          <w:lang w:val="fr-CH"/>
        </w:rPr>
        <w:tab/>
        <w:t>date et heures de début et de fin;</w:t>
      </w:r>
    </w:p>
    <w:p w:rsidR="005A3227" w:rsidRPr="00184F5E" w:rsidRDefault="005A3227" w:rsidP="00752698">
      <w:pPr>
        <w:pStyle w:val="Enumlevel1"/>
        <w:rPr>
          <w:bCs/>
          <w:lang w:val="fr-CH"/>
        </w:rPr>
      </w:pPr>
      <w:r w:rsidRPr="00184F5E">
        <w:rPr>
          <w:bCs/>
          <w:lang w:val="fr-CH"/>
        </w:rPr>
        <w:t>–</w:t>
      </w:r>
      <w:r w:rsidRPr="00184F5E">
        <w:rPr>
          <w:bCs/>
          <w:lang w:val="fr-CH"/>
        </w:rPr>
        <w:tab/>
        <w:t>coordonnées géographiques, altitude au-dessus du niveau du sol, et caractéristiques particulières des sites de mesure;</w:t>
      </w:r>
    </w:p>
    <w:p w:rsidR="005A3227" w:rsidRPr="00184F5E" w:rsidRDefault="005A3227" w:rsidP="00752698">
      <w:pPr>
        <w:pStyle w:val="Enumlevel1"/>
        <w:rPr>
          <w:bCs/>
          <w:lang w:val="fr-CH"/>
        </w:rPr>
      </w:pPr>
      <w:r w:rsidRPr="00184F5E">
        <w:rPr>
          <w:bCs/>
          <w:lang w:val="fr-CH"/>
        </w:rPr>
        <w:t>–</w:t>
      </w:r>
      <w:r w:rsidRPr="00184F5E">
        <w:rPr>
          <w:bCs/>
          <w:lang w:val="fr-CH"/>
        </w:rPr>
        <w:tab/>
        <w:t>liste des émetteurs identifiés;</w:t>
      </w:r>
    </w:p>
    <w:p w:rsidR="005A3227" w:rsidRPr="00184F5E" w:rsidRDefault="005A3227" w:rsidP="00752698">
      <w:pPr>
        <w:pStyle w:val="Enumlevel1"/>
        <w:rPr>
          <w:bCs/>
          <w:lang w:val="fr-CH"/>
        </w:rPr>
      </w:pPr>
      <w:r w:rsidRPr="00184F5E">
        <w:rPr>
          <w:bCs/>
          <w:lang w:val="fr-CH"/>
        </w:rPr>
        <w:t>–</w:t>
      </w:r>
      <w:r w:rsidRPr="00184F5E">
        <w:rPr>
          <w:bCs/>
          <w:lang w:val="fr-CH"/>
        </w:rPr>
        <w:tab/>
        <w:t>équipements de mesure utilisés, numéros de série et état d'étalonnage;</w:t>
      </w:r>
    </w:p>
    <w:p w:rsidR="005A3227" w:rsidRPr="00184F5E" w:rsidRDefault="005A3227" w:rsidP="00752698">
      <w:pPr>
        <w:pStyle w:val="Enumlevel1"/>
        <w:rPr>
          <w:bCs/>
          <w:lang w:val="fr-CH"/>
        </w:rPr>
      </w:pPr>
      <w:r w:rsidRPr="00184F5E">
        <w:rPr>
          <w:bCs/>
          <w:lang w:val="fr-CH"/>
        </w:rPr>
        <w:t>–</w:t>
      </w:r>
      <w:r w:rsidRPr="00184F5E">
        <w:rPr>
          <w:bCs/>
          <w:lang w:val="fr-CH"/>
        </w:rPr>
        <w:tab/>
        <w:t>incertitudes de mesure;</w:t>
      </w:r>
    </w:p>
    <w:p w:rsidR="005A3227" w:rsidRPr="00184F5E" w:rsidRDefault="005A3227" w:rsidP="00752698">
      <w:pPr>
        <w:pStyle w:val="Enumlevel1"/>
        <w:rPr>
          <w:bCs/>
          <w:lang w:val="fr-CH"/>
        </w:rPr>
      </w:pPr>
      <w:r w:rsidRPr="00184F5E">
        <w:rPr>
          <w:bCs/>
          <w:lang w:val="fr-CH"/>
        </w:rPr>
        <w:t>–</w:t>
      </w:r>
      <w:r w:rsidRPr="00184F5E">
        <w:rPr>
          <w:bCs/>
          <w:lang w:val="fr-CH"/>
        </w:rPr>
        <w:tab/>
        <w:t>protocole ou norme de mesure; température ou conditions météorologiques, y compris humidité</w:t>
      </w:r>
      <w:r w:rsidRPr="00184F5E">
        <w:rPr>
          <w:rStyle w:val="FootnoteReference"/>
          <w:rFonts w:eastAsia="Times New Roman"/>
          <w:bCs/>
          <w:position w:val="4"/>
          <w:sz w:val="16"/>
          <w:szCs w:val="16"/>
        </w:rPr>
        <w:footnoteReference w:id="18"/>
      </w:r>
      <w:r w:rsidRPr="00184F5E">
        <w:rPr>
          <w:bCs/>
          <w:lang w:val="fr-CH"/>
        </w:rPr>
        <w:t>.</w:t>
      </w:r>
    </w:p>
    <w:p w:rsidR="005A3227" w:rsidRPr="00184F5E" w:rsidRDefault="005A3227" w:rsidP="005A3227">
      <w:pPr>
        <w:rPr>
          <w:szCs w:val="19"/>
        </w:rPr>
      </w:pPr>
      <w:r w:rsidRPr="00184F5E">
        <w:rPr>
          <w:bCs/>
          <w:szCs w:val="19"/>
        </w:rPr>
        <w:t>8.3</w:t>
      </w:r>
      <w:r w:rsidRPr="00184F5E">
        <w:rPr>
          <w:bCs/>
          <w:szCs w:val="19"/>
        </w:rPr>
        <w:tab/>
      </w:r>
      <w:r w:rsidRPr="00184F5E">
        <w:rPr>
          <w:bCs/>
        </w:rPr>
        <w:t>En outre, pour rendre le rapport plus intelligible, il est souhaitable de représenter graphiquement les résultats sous forme</w:t>
      </w:r>
      <w:r w:rsidRPr="004B3FA2">
        <w:t xml:space="preserve"> de cartes, diagrammes et photos. Ces illustrations peuvent présenter les résultats </w:t>
      </w:r>
      <w:r w:rsidRPr="004B3FA2">
        <w:lastRenderedPageBreak/>
        <w:t xml:space="preserve">des évaluations aux emplacements voulus, ainsi que les positions relatives des principaux émetteurs et </w:t>
      </w:r>
      <w:r w:rsidRPr="00184F5E">
        <w:t>des zones sensibles, telles que les écoles, les hôpitaux et les habitations</w:t>
      </w:r>
      <w:r w:rsidRPr="00184F5E">
        <w:rPr>
          <w:rStyle w:val="FootnoteReference"/>
          <w:position w:val="4"/>
          <w:sz w:val="16"/>
          <w:szCs w:val="16"/>
        </w:rPr>
        <w:footnoteReference w:id="19"/>
      </w:r>
      <w:r w:rsidRPr="00184F5E">
        <w:t>.</w:t>
      </w:r>
    </w:p>
    <w:p w:rsidR="005A3227" w:rsidRPr="00184F5E" w:rsidRDefault="005A3227" w:rsidP="005A3227">
      <w:pPr>
        <w:keepLines/>
        <w:tabs>
          <w:tab w:val="left" w:pos="567"/>
          <w:tab w:val="left" w:pos="1134"/>
          <w:tab w:val="left" w:pos="1701"/>
          <w:tab w:val="left" w:pos="2268"/>
          <w:tab w:val="left" w:pos="2835"/>
          <w:tab w:val="left" w:pos="3402"/>
          <w:tab w:val="left" w:pos="3969"/>
          <w:tab w:val="left" w:pos="4536"/>
          <w:tab w:val="left" w:pos="5103"/>
          <w:tab w:val="left" w:pos="5518"/>
        </w:tabs>
        <w:rPr>
          <w:szCs w:val="19"/>
        </w:rPr>
      </w:pPr>
      <w:r w:rsidRPr="00184F5E">
        <w:rPr>
          <w:szCs w:val="19"/>
        </w:rPr>
        <w:t>8.4</w:t>
      </w:r>
      <w:r w:rsidRPr="00184F5E">
        <w:rPr>
          <w:szCs w:val="19"/>
        </w:rPr>
        <w:tab/>
        <w:t>En ce qui concerne la sensibilisation du public, il importe de fournir des renseignements sur les dispositifs qui créent des champs électromagnétiques, afin de réduire la perception de la dangerosité de l'exposition. Le public peut être mis au courant de l'importation dans le pays d'équipements de mesure permettant d'évaluer le DAS. Il est important d'établir une coordination avec les pays voisins afin de contrôler le trafic de ces équipements, dont seuls ceux qui sont autorisés devraient pouvoir entrer dans le pays.</w:t>
      </w:r>
    </w:p>
    <w:p w:rsidR="005A3227" w:rsidRPr="004B3FA2" w:rsidRDefault="005A3227" w:rsidP="005A3227">
      <w:pPr>
        <w:rPr>
          <w:szCs w:val="19"/>
        </w:rPr>
      </w:pPr>
      <w:r w:rsidRPr="00184F5E">
        <w:rPr>
          <w:szCs w:val="19"/>
        </w:rPr>
        <w:t>8.5</w:t>
      </w:r>
      <w:r w:rsidRPr="00184F5E">
        <w:rPr>
          <w:szCs w:val="19"/>
        </w:rPr>
        <w:tab/>
        <w:t>Il convient de noter la distinction entre la présence de stations de base installées par les fournisseurs de</w:t>
      </w:r>
      <w:r w:rsidRPr="004B3FA2">
        <w:rPr>
          <w:szCs w:val="19"/>
        </w:rPr>
        <w:t xml:space="preserve"> services et l'utilisation des téléphones mobiles qui correspond à un choix personnel. Le contrôle de ces dispositifs a lieu à différents niveaux (fournisseurs de service et clients), d'où la nécessité d'une collaboration et d'un partage d'informations entre les fournisseurs de services et les clients. Par conséquent, il est recommandé de faire en sorte que le public</w:t>
      </w:r>
      <w:r w:rsidRPr="002F2C60">
        <w:rPr>
          <w:rStyle w:val="FootnoteReference"/>
          <w:szCs w:val="19"/>
        </w:rPr>
        <w:footnoteReference w:id="20"/>
      </w:r>
      <w:r w:rsidRPr="004B3FA2">
        <w:rPr>
          <w:szCs w:val="19"/>
        </w:rPr>
        <w:t xml:space="preserve"> puisse consulter le DAS de chaque téléphone mobile et procéder ainsi à des choix informés.</w:t>
      </w:r>
    </w:p>
    <w:p w:rsidR="005A3227" w:rsidRPr="00E55BA5" w:rsidRDefault="005A3227" w:rsidP="00081AA2">
      <w:pPr>
        <w:pStyle w:val="Heading1"/>
        <w:rPr>
          <w:b w:val="0"/>
          <w:smallCaps/>
          <w:lang w:val="fr-CH"/>
        </w:rPr>
      </w:pPr>
      <w:bookmarkStart w:id="81" w:name="_Toc370825014"/>
      <w:bookmarkStart w:id="82" w:name="_Toc373423173"/>
      <w:r w:rsidRPr="00E55BA5">
        <w:rPr>
          <w:lang w:val="fr-CH"/>
        </w:rPr>
        <w:t>9</w:t>
      </w:r>
      <w:r w:rsidRPr="00E55BA5">
        <w:rPr>
          <w:lang w:val="fr-CH"/>
        </w:rPr>
        <w:tab/>
      </w:r>
      <w:bookmarkEnd w:id="81"/>
      <w:r w:rsidRPr="00E55BA5">
        <w:rPr>
          <w:lang w:val="fr-FR"/>
        </w:rPr>
        <w:t>Lignes directrices</w:t>
      </w:r>
      <w:bookmarkEnd w:id="82"/>
    </w:p>
    <w:p w:rsidR="005A3227" w:rsidRPr="00C409E7" w:rsidRDefault="005A3227" w:rsidP="00081AA2">
      <w:pPr>
        <w:pStyle w:val="Heading2"/>
        <w:rPr>
          <w:lang w:val="fr-CH"/>
        </w:rPr>
      </w:pPr>
      <w:bookmarkStart w:id="83" w:name="_Toc373423174"/>
      <w:r w:rsidRPr="00C409E7">
        <w:rPr>
          <w:lang w:val="fr-CH"/>
        </w:rPr>
        <w:t>9.1</w:t>
      </w:r>
      <w:r w:rsidRPr="00C409E7">
        <w:rPr>
          <w:lang w:val="fr-CH"/>
        </w:rPr>
        <w:tab/>
        <w:t>Champ d'application des lignes directrices</w:t>
      </w:r>
      <w:bookmarkEnd w:id="83"/>
    </w:p>
    <w:p w:rsidR="005A3227" w:rsidRPr="004B3FA2" w:rsidRDefault="005A3227" w:rsidP="005A3227">
      <w:pPr>
        <w:rPr>
          <w:rFonts w:cs="Arial"/>
          <w:szCs w:val="19"/>
        </w:rPr>
      </w:pPr>
      <w:r w:rsidRPr="004B3FA2">
        <w:rPr>
          <w:rFonts w:cs="Arial"/>
          <w:szCs w:val="19"/>
        </w:rPr>
        <w:t>Les lignes directrices devraient couvrir les aspects suivants:</w:t>
      </w:r>
    </w:p>
    <w:p w:rsidR="005A3227" w:rsidRPr="007F457D" w:rsidRDefault="005A3227" w:rsidP="005A3227">
      <w:pPr>
        <w:rPr>
          <w:bCs/>
          <w:szCs w:val="19"/>
        </w:rPr>
      </w:pPr>
      <w:r w:rsidRPr="007F457D">
        <w:rPr>
          <w:bCs/>
          <w:szCs w:val="19"/>
        </w:rPr>
        <w:t>9.1.1</w:t>
      </w:r>
      <w:r w:rsidR="00C579B5" w:rsidRPr="007F457D">
        <w:rPr>
          <w:bCs/>
          <w:szCs w:val="19"/>
        </w:rPr>
        <w:tab/>
      </w:r>
      <w:r w:rsidRPr="007F457D">
        <w:rPr>
          <w:bCs/>
          <w:szCs w:val="19"/>
        </w:rPr>
        <w:t>P</w:t>
      </w:r>
      <w:r w:rsidRPr="007F457D">
        <w:rPr>
          <w:bCs/>
        </w:rPr>
        <w:t>olitiques de réglementation concernant l'exposition des personnes aux champs électromagnétiques qui devraient être envisagées ou qui sont mises en œuvre pour autoriser l'installation de sites de radiocommunication.</w:t>
      </w:r>
    </w:p>
    <w:p w:rsidR="005A3227" w:rsidRPr="004B3FA2" w:rsidRDefault="005A3227" w:rsidP="005A3227">
      <w:r w:rsidRPr="007F457D">
        <w:rPr>
          <w:bCs/>
          <w:szCs w:val="19"/>
        </w:rPr>
        <w:t>9.1.2</w:t>
      </w:r>
      <w:r w:rsidR="00C579B5" w:rsidRPr="007F457D">
        <w:rPr>
          <w:bCs/>
          <w:szCs w:val="19"/>
        </w:rPr>
        <w:tab/>
      </w:r>
      <w:r w:rsidRPr="007F457D">
        <w:rPr>
          <w:bCs/>
        </w:rPr>
        <w:t>Description</w:t>
      </w:r>
      <w:r w:rsidRPr="004B3FA2">
        <w:t xml:space="preserve"> des stratégies et des méthodes visant à sensibiliser la population et à l'informer en ce qui concerne les effets avérés des champs électromagnétiques dus au fonctionnement des systèmes de radiocommunication.</w:t>
      </w:r>
    </w:p>
    <w:p w:rsidR="005A3227" w:rsidRPr="00C409E7" w:rsidRDefault="005A3227" w:rsidP="00081AA2">
      <w:pPr>
        <w:pStyle w:val="Heading2"/>
        <w:rPr>
          <w:lang w:val="fr-CH"/>
        </w:rPr>
      </w:pPr>
      <w:bookmarkStart w:id="84" w:name="_Toc370825015"/>
      <w:bookmarkStart w:id="85" w:name="_Toc373423175"/>
      <w:r w:rsidRPr="00C409E7">
        <w:rPr>
          <w:lang w:val="fr-CH"/>
        </w:rPr>
        <w:t>9.2</w:t>
      </w:r>
      <w:r w:rsidRPr="00C409E7">
        <w:rPr>
          <w:lang w:val="fr-CH"/>
        </w:rPr>
        <w:tab/>
      </w:r>
      <w:bookmarkEnd w:id="84"/>
      <w:r w:rsidRPr="00C409E7">
        <w:rPr>
          <w:lang w:val="fr-CH"/>
        </w:rPr>
        <w:t>Objectifs des lignes directrices</w:t>
      </w:r>
      <w:bookmarkEnd w:id="85"/>
    </w:p>
    <w:p w:rsidR="005A3227" w:rsidRPr="004B3FA2" w:rsidRDefault="005A3227" w:rsidP="005A3227">
      <w:pPr>
        <w:rPr>
          <w:rFonts w:cs="Arial"/>
          <w:szCs w:val="19"/>
        </w:rPr>
      </w:pPr>
      <w:r w:rsidRPr="00983D09">
        <w:rPr>
          <w:rFonts w:cs="Arial"/>
          <w:bCs/>
          <w:szCs w:val="19"/>
        </w:rPr>
        <w:t>9.2.1</w:t>
      </w:r>
      <w:r w:rsidR="00C579B5" w:rsidRPr="00983D09">
        <w:rPr>
          <w:rFonts w:cs="Arial"/>
          <w:bCs/>
          <w:szCs w:val="19"/>
        </w:rPr>
        <w:tab/>
      </w:r>
      <w:r w:rsidRPr="00983D09">
        <w:rPr>
          <w:rFonts w:cs="Arial"/>
          <w:bCs/>
          <w:szCs w:val="19"/>
        </w:rPr>
        <w:t>Les présentes lignes directrices visent à aider les Etats Membres à gérer la perception des risques</w:t>
      </w:r>
      <w:r w:rsidRPr="004B3FA2">
        <w:rPr>
          <w:rFonts w:cs="Arial"/>
          <w:szCs w:val="19"/>
        </w:rPr>
        <w:t xml:space="preserve"> liés à l'exposition des personnes aux champs électromagnétiques.</w:t>
      </w:r>
    </w:p>
    <w:p w:rsidR="005A3227" w:rsidRPr="004B3FA2" w:rsidRDefault="005A3227" w:rsidP="005A3227">
      <w:pPr>
        <w:rPr>
          <w:rFonts w:cs="Arial"/>
          <w:szCs w:val="19"/>
        </w:rPr>
      </w:pPr>
      <w:r w:rsidRPr="004B3FA2">
        <w:rPr>
          <w:rFonts w:cs="Arial"/>
          <w:szCs w:val="19"/>
        </w:rPr>
        <w:t>Les lignes directrices fournissent les indications suivantes:</w:t>
      </w:r>
    </w:p>
    <w:p w:rsidR="005A3227" w:rsidRPr="00C409E7" w:rsidRDefault="005A3227" w:rsidP="00752698">
      <w:pPr>
        <w:pStyle w:val="Enumlevel1"/>
        <w:rPr>
          <w:lang w:val="fr-CH"/>
        </w:rPr>
      </w:pPr>
      <w:r w:rsidRPr="00C409E7">
        <w:rPr>
          <w:lang w:val="fr-CH"/>
        </w:rPr>
        <w:t>–</w:t>
      </w:r>
      <w:r w:rsidRPr="00C409E7">
        <w:rPr>
          <w:lang w:val="fr-CH"/>
        </w:rPr>
        <w:tab/>
        <w:t>informations sur les paramètres techniques (par exemple: valeur limite de rayonnement, distance, hauteur des antennes au-dessus du niveau des toits);</w:t>
      </w:r>
    </w:p>
    <w:p w:rsidR="005A3227" w:rsidRPr="00C409E7" w:rsidRDefault="005A3227" w:rsidP="00752698">
      <w:pPr>
        <w:pStyle w:val="Enumlevel1"/>
        <w:rPr>
          <w:lang w:val="fr-CH"/>
        </w:rPr>
      </w:pPr>
      <w:r w:rsidRPr="00C409E7">
        <w:rPr>
          <w:lang w:val="fr-CH"/>
        </w:rPr>
        <w:t>–</w:t>
      </w:r>
      <w:r w:rsidRPr="00C409E7">
        <w:rPr>
          <w:lang w:val="fr-CH"/>
        </w:rPr>
        <w:tab/>
        <w:t>données scientifiques attestant de la non-dangerosité des pylônes de télécommunication;</w:t>
      </w:r>
    </w:p>
    <w:p w:rsidR="005A3227" w:rsidRPr="00C409E7" w:rsidRDefault="005A3227" w:rsidP="00752698">
      <w:pPr>
        <w:pStyle w:val="Enumlevel1"/>
        <w:rPr>
          <w:lang w:val="fr-CH"/>
        </w:rPr>
      </w:pPr>
      <w:r w:rsidRPr="00C409E7">
        <w:rPr>
          <w:lang w:val="fr-CH"/>
        </w:rPr>
        <w:t>–</w:t>
      </w:r>
      <w:r w:rsidRPr="00C409E7">
        <w:rPr>
          <w:lang w:val="fr-CH"/>
        </w:rPr>
        <w:tab/>
        <w:t>indications concernant les mesures à appliquer pour protéger les zones sensibles (par exemple: écoles et hôpitaux);</w:t>
      </w:r>
    </w:p>
    <w:p w:rsidR="005A3227" w:rsidRPr="00C409E7" w:rsidRDefault="005A3227" w:rsidP="00752698">
      <w:pPr>
        <w:pStyle w:val="Enumlevel1"/>
        <w:rPr>
          <w:lang w:val="fr-CH"/>
        </w:rPr>
      </w:pPr>
      <w:r w:rsidRPr="00C409E7">
        <w:rPr>
          <w:lang w:val="fr-CH"/>
        </w:rPr>
        <w:t>–</w:t>
      </w:r>
      <w:r w:rsidRPr="00C409E7">
        <w:rPr>
          <w:lang w:val="fr-CH"/>
        </w:rPr>
        <w:tab/>
        <w:t>contrôle de la conformité des installations aux limites d'émission; et</w:t>
      </w:r>
    </w:p>
    <w:p w:rsidR="005A3227" w:rsidRPr="00C409E7" w:rsidRDefault="005A3227" w:rsidP="00752698">
      <w:pPr>
        <w:pStyle w:val="Enumlevel1"/>
        <w:rPr>
          <w:lang w:val="fr-CH"/>
        </w:rPr>
      </w:pPr>
      <w:r w:rsidRPr="00C409E7">
        <w:rPr>
          <w:lang w:val="fr-CH"/>
        </w:rPr>
        <w:t>–</w:t>
      </w:r>
      <w:r w:rsidRPr="00C409E7">
        <w:rPr>
          <w:lang w:val="fr-CH"/>
        </w:rPr>
        <w:tab/>
        <w:t>procédures de mesure des niveaux de rayonnement.</w:t>
      </w:r>
    </w:p>
    <w:p w:rsidR="005A3227" w:rsidRPr="00C409E7" w:rsidRDefault="005A3227" w:rsidP="00081AA2">
      <w:pPr>
        <w:pStyle w:val="Heading2"/>
        <w:rPr>
          <w:lang w:val="fr-CH"/>
        </w:rPr>
      </w:pPr>
      <w:bookmarkStart w:id="86" w:name="_Toc373423176"/>
      <w:r w:rsidRPr="00C409E7">
        <w:rPr>
          <w:lang w:val="fr-CH"/>
        </w:rPr>
        <w:lastRenderedPageBreak/>
        <w:t>9.3</w:t>
      </w:r>
      <w:r w:rsidRPr="00C409E7">
        <w:rPr>
          <w:lang w:val="fr-CH"/>
        </w:rPr>
        <w:tab/>
        <w:t>Principes régissant l'élaboration des lignes directrices</w:t>
      </w:r>
      <w:bookmarkEnd w:id="86"/>
    </w:p>
    <w:p w:rsidR="005A3227" w:rsidRPr="004B3FA2" w:rsidRDefault="005A3227" w:rsidP="005A3227">
      <w:pPr>
        <w:spacing w:before="60" w:after="60"/>
        <w:rPr>
          <w:szCs w:val="19"/>
        </w:rPr>
      </w:pPr>
      <w:r w:rsidRPr="004B3FA2">
        <w:rPr>
          <w:szCs w:val="19"/>
        </w:rPr>
        <w:t>Les principes fondamentaux en ce qui concerne l'exposition des personnes aux champs électromagnétiques sont les suivants:</w:t>
      </w:r>
    </w:p>
    <w:p w:rsidR="005A3227" w:rsidRPr="007F457D" w:rsidRDefault="005A3227" w:rsidP="005A3227">
      <w:pPr>
        <w:rPr>
          <w:rFonts w:cs="Arial"/>
          <w:bCs/>
          <w:szCs w:val="19"/>
        </w:rPr>
      </w:pPr>
      <w:r w:rsidRPr="007F457D">
        <w:rPr>
          <w:rFonts w:cs="Arial"/>
          <w:bCs/>
          <w:szCs w:val="19"/>
        </w:rPr>
        <w:t>9.3.1</w:t>
      </w:r>
      <w:r w:rsidR="00C579B5" w:rsidRPr="007F457D">
        <w:rPr>
          <w:rFonts w:cs="Arial"/>
          <w:bCs/>
          <w:szCs w:val="19"/>
        </w:rPr>
        <w:tab/>
      </w:r>
      <w:r w:rsidRPr="007F457D">
        <w:rPr>
          <w:rFonts w:cs="Arial"/>
          <w:bCs/>
          <w:szCs w:val="19"/>
        </w:rPr>
        <w:t>Respect des Recommandations de l'UIT relatives aux limites d'exposition aux champs électromagnétiques.</w:t>
      </w:r>
    </w:p>
    <w:p w:rsidR="005A3227" w:rsidRPr="007F457D" w:rsidRDefault="005A3227" w:rsidP="005A3227">
      <w:pPr>
        <w:rPr>
          <w:rFonts w:cs="Arial"/>
          <w:bCs/>
          <w:szCs w:val="19"/>
        </w:rPr>
      </w:pPr>
      <w:r w:rsidRPr="007F457D">
        <w:rPr>
          <w:rFonts w:cs="Arial"/>
          <w:bCs/>
          <w:szCs w:val="19"/>
        </w:rPr>
        <w:t>9.3.2</w:t>
      </w:r>
      <w:r w:rsidR="00C579B5" w:rsidRPr="007F457D">
        <w:rPr>
          <w:rFonts w:cs="Arial"/>
          <w:bCs/>
          <w:szCs w:val="19"/>
        </w:rPr>
        <w:tab/>
      </w:r>
      <w:r w:rsidRPr="007F457D">
        <w:rPr>
          <w:rFonts w:cs="Arial"/>
          <w:bCs/>
          <w:szCs w:val="19"/>
        </w:rPr>
        <w:t>Respect des lignes directrices de la CIPRNI, ainsi que des objectifs proposés par cet organisme.</w:t>
      </w:r>
    </w:p>
    <w:p w:rsidR="005A3227" w:rsidRPr="007F457D" w:rsidRDefault="005A3227" w:rsidP="005A3227">
      <w:pPr>
        <w:rPr>
          <w:rFonts w:cs="Arial"/>
          <w:bCs/>
          <w:szCs w:val="19"/>
        </w:rPr>
      </w:pPr>
      <w:r w:rsidRPr="007F457D">
        <w:rPr>
          <w:rFonts w:cs="Arial"/>
          <w:bCs/>
          <w:szCs w:val="19"/>
        </w:rPr>
        <w:t>9.3.3</w:t>
      </w:r>
      <w:r w:rsidR="00C579B5" w:rsidRPr="007F457D">
        <w:rPr>
          <w:rFonts w:cs="Arial"/>
          <w:bCs/>
          <w:szCs w:val="19"/>
        </w:rPr>
        <w:tab/>
      </w:r>
      <w:r w:rsidRPr="007F457D">
        <w:rPr>
          <w:rFonts w:cs="Arial"/>
          <w:bCs/>
          <w:szCs w:val="19"/>
        </w:rPr>
        <w:t>Respect des Recommandations de l'OMS, de l'OIT, de la CIPRNI et du PNUE.</w:t>
      </w:r>
    </w:p>
    <w:p w:rsidR="005A3227" w:rsidRPr="007F457D" w:rsidRDefault="005A3227" w:rsidP="005A3227">
      <w:pPr>
        <w:rPr>
          <w:rFonts w:cs="Arial"/>
          <w:bCs/>
          <w:szCs w:val="19"/>
        </w:rPr>
      </w:pPr>
      <w:r w:rsidRPr="007F457D">
        <w:rPr>
          <w:rFonts w:cs="Arial"/>
          <w:bCs/>
          <w:szCs w:val="19"/>
        </w:rPr>
        <w:t>9.3.4</w:t>
      </w:r>
      <w:r w:rsidR="00C579B5" w:rsidRPr="007F457D">
        <w:rPr>
          <w:rFonts w:cs="Arial"/>
          <w:bCs/>
          <w:szCs w:val="19"/>
        </w:rPr>
        <w:tab/>
      </w:r>
      <w:r w:rsidRPr="007F457D">
        <w:rPr>
          <w:rFonts w:cs="Arial"/>
          <w:bCs/>
          <w:szCs w:val="19"/>
        </w:rPr>
        <w:t>Le public doit être informé des résultats de toutes mesures des rayonnements provenant d'équipements de communication.</w:t>
      </w:r>
    </w:p>
    <w:p w:rsidR="005A3227" w:rsidRPr="007F457D" w:rsidRDefault="005A3227" w:rsidP="005A3227">
      <w:pPr>
        <w:rPr>
          <w:rFonts w:cs="Arial"/>
          <w:bCs/>
          <w:szCs w:val="19"/>
        </w:rPr>
      </w:pPr>
      <w:r w:rsidRPr="007F457D">
        <w:rPr>
          <w:rFonts w:cs="Arial"/>
          <w:bCs/>
          <w:szCs w:val="19"/>
        </w:rPr>
        <w:t>9.3.5</w:t>
      </w:r>
      <w:r w:rsidR="00C579B5" w:rsidRPr="007F457D">
        <w:rPr>
          <w:rFonts w:cs="Arial"/>
          <w:bCs/>
          <w:szCs w:val="19"/>
        </w:rPr>
        <w:tab/>
      </w:r>
      <w:r w:rsidRPr="007F457D">
        <w:rPr>
          <w:rFonts w:cs="Arial"/>
          <w:bCs/>
          <w:szCs w:val="19"/>
        </w:rPr>
        <w:t>Dans les rapports publiés, il convient d'indiquer les exigences minimales à observer en matière de rayonnements.</w:t>
      </w:r>
    </w:p>
    <w:p w:rsidR="005A3227" w:rsidRPr="007F457D" w:rsidRDefault="005A3227" w:rsidP="006C05EF">
      <w:pPr>
        <w:rPr>
          <w:bCs/>
        </w:rPr>
      </w:pPr>
      <w:r w:rsidRPr="007F457D">
        <w:rPr>
          <w:bCs/>
        </w:rPr>
        <w:t>9.3.6</w:t>
      </w:r>
      <w:r w:rsidR="00C579B5" w:rsidRPr="007F457D">
        <w:rPr>
          <w:bCs/>
        </w:rPr>
        <w:tab/>
      </w:r>
      <w:r w:rsidRPr="007F457D">
        <w:rPr>
          <w:bCs/>
        </w:rPr>
        <w:t>Il convient de prendre des précautions particulières lors du déploiement d'équipements de radiocommunication à proximité des hôpitaux et des écoles, par exemple, et dans les zones à forte densité de population.</w:t>
      </w:r>
    </w:p>
    <w:p w:rsidR="005A3227" w:rsidRPr="00C409E7" w:rsidRDefault="005A3227" w:rsidP="006C05EF">
      <w:pPr>
        <w:pStyle w:val="Heading2"/>
        <w:ind w:left="851" w:hanging="851"/>
        <w:rPr>
          <w:lang w:val="fr-CH"/>
        </w:rPr>
      </w:pPr>
      <w:bookmarkStart w:id="87" w:name="_Toc373423177"/>
      <w:r w:rsidRPr="00C409E7">
        <w:rPr>
          <w:lang w:val="fr-CH"/>
        </w:rPr>
        <w:t>9.4</w:t>
      </w:r>
      <w:r w:rsidRPr="00C409E7">
        <w:rPr>
          <w:lang w:val="fr-CH"/>
        </w:rPr>
        <w:tab/>
        <w:t>Obligations des opérateurs en ce qui concerne les rayonnements des champs électromagnétiques</w:t>
      </w:r>
      <w:bookmarkEnd w:id="87"/>
    </w:p>
    <w:p w:rsidR="005A3227" w:rsidRPr="004B3FA2" w:rsidRDefault="005A3227" w:rsidP="005A3227">
      <w:pPr>
        <w:spacing w:before="60" w:after="60"/>
        <w:rPr>
          <w:szCs w:val="19"/>
        </w:rPr>
      </w:pPr>
      <w:r w:rsidRPr="004B3FA2">
        <w:rPr>
          <w:szCs w:val="19"/>
        </w:rPr>
        <w:t>Lors du déploiement de leurs équipements de communication, les opérateurs sont soumis aux obligations suivantes:</w:t>
      </w:r>
    </w:p>
    <w:p w:rsidR="005A3227" w:rsidRPr="007F457D" w:rsidRDefault="005A3227" w:rsidP="005A3227">
      <w:pPr>
        <w:rPr>
          <w:bCs/>
          <w:szCs w:val="19"/>
        </w:rPr>
      </w:pPr>
      <w:r w:rsidRPr="007F457D">
        <w:rPr>
          <w:bCs/>
          <w:szCs w:val="19"/>
        </w:rPr>
        <w:t>9.4.1</w:t>
      </w:r>
      <w:r w:rsidR="00C579B5" w:rsidRPr="007F457D">
        <w:rPr>
          <w:bCs/>
          <w:szCs w:val="19"/>
        </w:rPr>
        <w:tab/>
      </w:r>
      <w:r w:rsidRPr="007F457D">
        <w:rPr>
          <w:bCs/>
          <w:szCs w:val="19"/>
        </w:rPr>
        <w:t>Respecter les limites de rayonnement.</w:t>
      </w:r>
    </w:p>
    <w:p w:rsidR="005A3227" w:rsidRPr="007F457D" w:rsidRDefault="005A3227" w:rsidP="005A3227">
      <w:pPr>
        <w:rPr>
          <w:bCs/>
          <w:szCs w:val="19"/>
        </w:rPr>
      </w:pPr>
      <w:r w:rsidRPr="007F457D">
        <w:rPr>
          <w:bCs/>
          <w:szCs w:val="19"/>
        </w:rPr>
        <w:t>9.4.2</w:t>
      </w:r>
      <w:r w:rsidR="00C579B5" w:rsidRPr="007F457D">
        <w:rPr>
          <w:bCs/>
          <w:szCs w:val="19"/>
        </w:rPr>
        <w:tab/>
      </w:r>
      <w:r w:rsidRPr="007F457D">
        <w:rPr>
          <w:bCs/>
          <w:szCs w:val="19"/>
        </w:rPr>
        <w:t>Respecter la limite de distance.</w:t>
      </w:r>
    </w:p>
    <w:p w:rsidR="005A3227" w:rsidRPr="007F457D" w:rsidRDefault="005A3227" w:rsidP="005A3227">
      <w:pPr>
        <w:rPr>
          <w:bCs/>
          <w:szCs w:val="19"/>
        </w:rPr>
      </w:pPr>
      <w:r w:rsidRPr="007F457D">
        <w:rPr>
          <w:bCs/>
          <w:szCs w:val="19"/>
        </w:rPr>
        <w:t>9.4.3</w:t>
      </w:r>
      <w:r w:rsidR="00C579B5" w:rsidRPr="007F457D">
        <w:rPr>
          <w:bCs/>
          <w:szCs w:val="19"/>
        </w:rPr>
        <w:tab/>
      </w:r>
      <w:r w:rsidRPr="007F457D">
        <w:rPr>
          <w:bCs/>
          <w:szCs w:val="19"/>
        </w:rPr>
        <w:t>Effectuer les essais sur leurs équipements avant de les installer et de les mettre en service.</w:t>
      </w:r>
    </w:p>
    <w:p w:rsidR="005A3227" w:rsidRPr="007F457D" w:rsidRDefault="005A3227" w:rsidP="005A3227">
      <w:pPr>
        <w:rPr>
          <w:bCs/>
          <w:szCs w:val="19"/>
        </w:rPr>
      </w:pPr>
      <w:r w:rsidRPr="007F457D">
        <w:rPr>
          <w:bCs/>
          <w:szCs w:val="19"/>
        </w:rPr>
        <w:t>9.4.4</w:t>
      </w:r>
      <w:r w:rsidR="00C579B5" w:rsidRPr="007F457D">
        <w:rPr>
          <w:bCs/>
          <w:szCs w:val="19"/>
        </w:rPr>
        <w:tab/>
      </w:r>
      <w:r w:rsidRPr="007F457D">
        <w:rPr>
          <w:bCs/>
          <w:szCs w:val="19"/>
        </w:rPr>
        <w:t>Faire approuver les essais par le régulateur.</w:t>
      </w:r>
    </w:p>
    <w:p w:rsidR="005A3227" w:rsidRPr="007F457D" w:rsidRDefault="005A3227" w:rsidP="005A3227">
      <w:pPr>
        <w:rPr>
          <w:bCs/>
          <w:szCs w:val="19"/>
        </w:rPr>
      </w:pPr>
      <w:r w:rsidRPr="007F457D">
        <w:rPr>
          <w:bCs/>
          <w:szCs w:val="19"/>
        </w:rPr>
        <w:t>9.4.5</w:t>
      </w:r>
      <w:r w:rsidR="00C579B5" w:rsidRPr="007F457D">
        <w:rPr>
          <w:bCs/>
          <w:szCs w:val="19"/>
        </w:rPr>
        <w:tab/>
      </w:r>
      <w:r w:rsidRPr="007F457D">
        <w:rPr>
          <w:bCs/>
          <w:szCs w:val="19"/>
        </w:rPr>
        <w:t>Consulter et informer les consommateurs au sujet des nouvelles installations.</w:t>
      </w:r>
    </w:p>
    <w:p w:rsidR="005A3227" w:rsidRPr="007F457D" w:rsidRDefault="005A3227" w:rsidP="005A3227">
      <w:pPr>
        <w:rPr>
          <w:bCs/>
          <w:szCs w:val="19"/>
        </w:rPr>
      </w:pPr>
      <w:r w:rsidRPr="007F457D">
        <w:rPr>
          <w:bCs/>
          <w:szCs w:val="19"/>
        </w:rPr>
        <w:t>9.4.6</w:t>
      </w:r>
      <w:r w:rsidR="00C579B5" w:rsidRPr="007F457D">
        <w:rPr>
          <w:bCs/>
          <w:szCs w:val="19"/>
        </w:rPr>
        <w:tab/>
      </w:r>
      <w:r w:rsidRPr="007F457D">
        <w:rPr>
          <w:bCs/>
          <w:szCs w:val="19"/>
        </w:rPr>
        <w:t>Informer le public au sujet des nouvelles installations et publier les niveaux de rayonnement des équipements.</w:t>
      </w:r>
    </w:p>
    <w:p w:rsidR="005A3227" w:rsidRPr="007F457D" w:rsidRDefault="005A3227" w:rsidP="005A3227">
      <w:pPr>
        <w:rPr>
          <w:bCs/>
          <w:szCs w:val="19"/>
        </w:rPr>
      </w:pPr>
      <w:r w:rsidRPr="007F457D">
        <w:rPr>
          <w:bCs/>
          <w:szCs w:val="19"/>
        </w:rPr>
        <w:t>9.4.7</w:t>
      </w:r>
      <w:r w:rsidR="00C579B5" w:rsidRPr="007F457D">
        <w:rPr>
          <w:bCs/>
          <w:szCs w:val="19"/>
        </w:rPr>
        <w:tab/>
      </w:r>
      <w:r w:rsidRPr="007F457D">
        <w:rPr>
          <w:bCs/>
          <w:szCs w:val="19"/>
        </w:rPr>
        <w:t>Eviter, dans toute la mesure possible, les zones sensibles, comme les écoles et les hôpitaux.</w:t>
      </w:r>
    </w:p>
    <w:p w:rsidR="005A3227" w:rsidRPr="004B3FA2" w:rsidRDefault="005A3227" w:rsidP="005A3227">
      <w:pPr>
        <w:rPr>
          <w:szCs w:val="19"/>
        </w:rPr>
      </w:pPr>
      <w:r w:rsidRPr="007F457D">
        <w:rPr>
          <w:bCs/>
          <w:szCs w:val="19"/>
        </w:rPr>
        <w:t>9.4.8</w:t>
      </w:r>
      <w:r w:rsidR="00C579B5" w:rsidRPr="007F457D">
        <w:rPr>
          <w:bCs/>
          <w:szCs w:val="19"/>
        </w:rPr>
        <w:tab/>
      </w:r>
      <w:r w:rsidRPr="007F457D">
        <w:rPr>
          <w:bCs/>
          <w:szCs w:val="19"/>
        </w:rPr>
        <w:t>Placer des</w:t>
      </w:r>
      <w:r w:rsidRPr="004B3FA2">
        <w:rPr>
          <w:szCs w:val="19"/>
        </w:rPr>
        <w:t xml:space="preserve"> panneaux d'avertissement de grandes dimensions, portant, par exemple, la mention "Danger", sur les équipements de radiocommunication en fonctionnement.</w:t>
      </w:r>
    </w:p>
    <w:p w:rsidR="005A3227" w:rsidRPr="00C409E7" w:rsidRDefault="005A3227" w:rsidP="00081AA2">
      <w:pPr>
        <w:pStyle w:val="Heading2"/>
        <w:rPr>
          <w:lang w:val="fr-CH"/>
        </w:rPr>
      </w:pPr>
      <w:bookmarkStart w:id="88" w:name="_Toc373423178"/>
      <w:r w:rsidRPr="00C409E7">
        <w:rPr>
          <w:lang w:val="fr-CH"/>
        </w:rPr>
        <w:t>9.5</w:t>
      </w:r>
      <w:r w:rsidRPr="00C409E7">
        <w:rPr>
          <w:lang w:val="fr-CH"/>
        </w:rPr>
        <w:tab/>
        <w:t>Objectifs</w:t>
      </w:r>
      <w:bookmarkEnd w:id="88"/>
    </w:p>
    <w:p w:rsidR="005A3227" w:rsidRPr="004B3FA2" w:rsidRDefault="005A3227" w:rsidP="005A3227">
      <w:pPr>
        <w:keepNext/>
        <w:keepLines/>
        <w:rPr>
          <w:szCs w:val="19"/>
        </w:rPr>
      </w:pPr>
      <w:r w:rsidRPr="004B3FA2">
        <w:rPr>
          <w:szCs w:val="19"/>
        </w:rPr>
        <w:t>Les objectifs définis dans les présentes lignes directrices en ce qui concerne les rayonnements des champs électromagnétiques seront basés sur:</w:t>
      </w:r>
    </w:p>
    <w:p w:rsidR="005A3227" w:rsidRPr="007F457D" w:rsidRDefault="005A3227" w:rsidP="005A3227">
      <w:pPr>
        <w:rPr>
          <w:bCs/>
        </w:rPr>
      </w:pPr>
      <w:r w:rsidRPr="007F457D">
        <w:rPr>
          <w:bCs/>
          <w:szCs w:val="19"/>
        </w:rPr>
        <w:t>9.5.1</w:t>
      </w:r>
      <w:r w:rsidR="00C579B5" w:rsidRPr="007F457D">
        <w:rPr>
          <w:bCs/>
          <w:szCs w:val="19"/>
        </w:rPr>
        <w:tab/>
      </w:r>
      <w:r w:rsidRPr="007F457D">
        <w:rPr>
          <w:bCs/>
          <w:szCs w:val="19"/>
        </w:rPr>
        <w:t>Les l</w:t>
      </w:r>
      <w:r w:rsidRPr="007F457D">
        <w:rPr>
          <w:bCs/>
        </w:rPr>
        <w:t>ignes directrices internationales sur l'exposition des personnes aux champs électromagnétiques établies par la CIPRNI (approuvées par l'OMS), l'IEEE et d'autres organismes internationaux de normalisation.</w:t>
      </w:r>
    </w:p>
    <w:p w:rsidR="005A3227" w:rsidRPr="007F457D" w:rsidRDefault="005A3227" w:rsidP="005A3227">
      <w:pPr>
        <w:rPr>
          <w:bCs/>
        </w:rPr>
      </w:pPr>
      <w:r w:rsidRPr="007F457D">
        <w:rPr>
          <w:bCs/>
        </w:rPr>
        <w:t>9.5.2</w:t>
      </w:r>
      <w:r w:rsidR="00C579B5" w:rsidRPr="007F457D">
        <w:rPr>
          <w:bCs/>
        </w:rPr>
        <w:tab/>
      </w:r>
      <w:r w:rsidRPr="007F457D">
        <w:rPr>
          <w:bCs/>
        </w:rPr>
        <w:t>A l'échelle nationale, l'application de la réglementation de l'exposition aux fréquences radioélectriques peut être facultative (comme c'est le cas pour l'application des présentes lignes directrices) ou obligatoire si le pays intègre ces dispositions dans sa législation.</w:t>
      </w:r>
    </w:p>
    <w:p w:rsidR="005A3227" w:rsidRPr="004B3FA2" w:rsidRDefault="005A3227" w:rsidP="005A3227">
      <w:r w:rsidRPr="007F457D">
        <w:rPr>
          <w:bCs/>
        </w:rPr>
        <w:t>9.5.3</w:t>
      </w:r>
      <w:r w:rsidR="00C579B5" w:rsidRPr="007F457D">
        <w:rPr>
          <w:bCs/>
        </w:rPr>
        <w:tab/>
      </w:r>
      <w:r w:rsidRPr="007F457D">
        <w:rPr>
          <w:bCs/>
        </w:rPr>
        <w:t>En l'absence de normes internationales pour certains appareils émetteurs de fréquences radioélectriques</w:t>
      </w:r>
      <w:r w:rsidRPr="004B3FA2">
        <w:t>, les Etats Membres doivent encourager énergiquement l'élaboration de telles normes par l'organisation internationale concernée; et</w:t>
      </w:r>
    </w:p>
    <w:p w:rsidR="005A3227" w:rsidRPr="004B3FA2" w:rsidRDefault="005A3227" w:rsidP="005A3227">
      <w:r w:rsidRPr="007F457D">
        <w:rPr>
          <w:bCs/>
        </w:rPr>
        <w:lastRenderedPageBreak/>
        <w:t>9.5.4</w:t>
      </w:r>
      <w:r w:rsidR="00C579B5" w:rsidRPr="007F457D">
        <w:rPr>
          <w:bCs/>
        </w:rPr>
        <w:tab/>
      </w:r>
      <w:proofErr w:type="gramStart"/>
      <w:r w:rsidRPr="007F457D">
        <w:rPr>
          <w:bCs/>
        </w:rPr>
        <w:t>au</w:t>
      </w:r>
      <w:proofErr w:type="gramEnd"/>
      <w:r w:rsidRPr="007F457D">
        <w:rPr>
          <w:bCs/>
        </w:rPr>
        <w:t xml:space="preserve"> cas</w:t>
      </w:r>
      <w:r w:rsidRPr="004B3FA2">
        <w:t xml:space="preserve"> où des normes nationales devraient être élaborées, il convient d'appliquer le Cadre de l'OMS pour l'élaboration de normes sur les champs électromagnétiques basées sur la santé, établi par l'OMS dans le cadre de son projet international sur les champs électromagnétiques.</w:t>
      </w:r>
    </w:p>
    <w:p w:rsidR="005A3227" w:rsidRPr="00C409E7" w:rsidRDefault="005A3227" w:rsidP="00081AA2">
      <w:pPr>
        <w:pStyle w:val="Heading2"/>
        <w:rPr>
          <w:lang w:val="fr-CH"/>
        </w:rPr>
      </w:pPr>
      <w:bookmarkStart w:id="89" w:name="_Toc373423179"/>
      <w:r w:rsidRPr="00C409E7">
        <w:rPr>
          <w:lang w:val="fr-CH"/>
        </w:rPr>
        <w:t>9.6</w:t>
      </w:r>
      <w:r w:rsidRPr="00C409E7">
        <w:rPr>
          <w:lang w:val="fr-CH"/>
        </w:rPr>
        <w:tab/>
        <w:t>Mesures</w:t>
      </w:r>
      <w:bookmarkEnd w:id="89"/>
    </w:p>
    <w:p w:rsidR="005A3227" w:rsidRPr="007F457D" w:rsidRDefault="005A3227" w:rsidP="005A3227">
      <w:pPr>
        <w:rPr>
          <w:bCs/>
          <w:szCs w:val="19"/>
        </w:rPr>
      </w:pPr>
      <w:r w:rsidRPr="007F457D">
        <w:rPr>
          <w:bCs/>
          <w:szCs w:val="19"/>
        </w:rPr>
        <w:t>9.6.1</w:t>
      </w:r>
      <w:r w:rsidR="00C579B5" w:rsidRPr="007F457D">
        <w:rPr>
          <w:bCs/>
          <w:szCs w:val="19"/>
        </w:rPr>
        <w:tab/>
      </w:r>
      <w:r w:rsidRPr="007F457D">
        <w:rPr>
          <w:bCs/>
          <w:szCs w:val="19"/>
        </w:rPr>
        <w:t>Des normes de mesures, qui présentent des méthodes utilisables en vue de garantir la conformité avec les normes relatives à l'exposition ou aux émissions, sont proposées dans le cadre du projet de l'OMS sur les champs électromagnétiques.</w:t>
      </w:r>
    </w:p>
    <w:p w:rsidR="005A3227" w:rsidRPr="007F457D" w:rsidRDefault="005A3227" w:rsidP="005A3227">
      <w:pPr>
        <w:rPr>
          <w:bCs/>
        </w:rPr>
      </w:pPr>
      <w:r w:rsidRPr="007F457D">
        <w:rPr>
          <w:bCs/>
          <w:szCs w:val="19"/>
        </w:rPr>
        <w:t>9.6.2</w:t>
      </w:r>
      <w:r w:rsidR="00C579B5" w:rsidRPr="007F457D">
        <w:rPr>
          <w:bCs/>
          <w:szCs w:val="19"/>
        </w:rPr>
        <w:tab/>
      </w:r>
      <w:r w:rsidRPr="007F457D">
        <w:rPr>
          <w:bCs/>
        </w:rPr>
        <w:t>Les directives relatives aux méthodes d'évaluation de l'exposition des personnes en situation réelle seront fondées sur les normes CEI/CENELEC en vigueur.</w:t>
      </w:r>
    </w:p>
    <w:p w:rsidR="005A3227" w:rsidRPr="007F457D" w:rsidRDefault="005A3227" w:rsidP="005A3227">
      <w:pPr>
        <w:rPr>
          <w:bCs/>
        </w:rPr>
      </w:pPr>
      <w:r w:rsidRPr="007F457D">
        <w:rPr>
          <w:bCs/>
        </w:rPr>
        <w:t>9.6.3</w:t>
      </w:r>
      <w:r w:rsidR="00C579B5" w:rsidRPr="007F457D">
        <w:rPr>
          <w:bCs/>
        </w:rPr>
        <w:tab/>
      </w:r>
      <w:r w:rsidRPr="007F457D">
        <w:rPr>
          <w:bCs/>
        </w:rPr>
        <w:t xml:space="preserve">Il pourra être fait référence à la Recommandation (02)04 (révisée à Bratislava en 2003 et à Helsinki en 2007) du </w:t>
      </w:r>
      <w:proofErr w:type="spellStart"/>
      <w:r w:rsidRPr="007F457D">
        <w:rPr>
          <w:bCs/>
        </w:rPr>
        <w:t>Electronic</w:t>
      </w:r>
      <w:proofErr w:type="spellEnd"/>
      <w:r w:rsidRPr="007F457D">
        <w:rPr>
          <w:bCs/>
        </w:rPr>
        <w:t xml:space="preserve"> Communications </w:t>
      </w:r>
      <w:proofErr w:type="spellStart"/>
      <w:r w:rsidRPr="007F457D">
        <w:rPr>
          <w:bCs/>
        </w:rPr>
        <w:t>Committee</w:t>
      </w:r>
      <w:proofErr w:type="spellEnd"/>
      <w:r w:rsidRPr="007F457D">
        <w:rPr>
          <w:bCs/>
        </w:rPr>
        <w:t xml:space="preserve"> (ECC) de la Conférence européenne des administrations des postes et des télécommunications (CEPT), relative à la mesure des rayonnements électromagnétiques non-ionisants (9 kHz-300 GHz).</w:t>
      </w:r>
    </w:p>
    <w:p w:rsidR="005A3227" w:rsidRPr="007F457D" w:rsidRDefault="005A3227" w:rsidP="005A3227">
      <w:pPr>
        <w:rPr>
          <w:bCs/>
        </w:rPr>
      </w:pPr>
      <w:r w:rsidRPr="007F457D">
        <w:rPr>
          <w:bCs/>
        </w:rPr>
        <w:t>9.6.4</w:t>
      </w:r>
      <w:r w:rsidR="00C579B5" w:rsidRPr="007F457D">
        <w:rPr>
          <w:bCs/>
        </w:rPr>
        <w:tab/>
      </w:r>
      <w:r w:rsidRPr="007F457D">
        <w:rPr>
          <w:bCs/>
        </w:rPr>
        <w:t>Au Chapitre 5.6 du Manuel de l'UIT sur la gestion du spectre, il est recommandé de procéder comme suit pour mesurer les rayonnements non-ionisants:</w:t>
      </w:r>
    </w:p>
    <w:p w:rsidR="005A3227" w:rsidRPr="007F457D" w:rsidRDefault="005A3227" w:rsidP="006C05EF">
      <w:pPr>
        <w:rPr>
          <w:bCs/>
          <w:lang w:val="fr-CH"/>
        </w:rPr>
      </w:pPr>
      <w:r w:rsidRPr="007F457D">
        <w:rPr>
          <w:bCs/>
          <w:lang w:val="fr-CH"/>
        </w:rPr>
        <w:t>9.6.4.1</w:t>
      </w:r>
      <w:r w:rsidRPr="007F457D">
        <w:rPr>
          <w:bCs/>
          <w:lang w:val="fr-CH"/>
        </w:rPr>
        <w:tab/>
        <w:t>dans le cadre de l'octroi d'une licence de radiocommunication;</w:t>
      </w:r>
    </w:p>
    <w:p w:rsidR="005A3227" w:rsidRPr="007F457D" w:rsidRDefault="005A3227" w:rsidP="006C05EF">
      <w:pPr>
        <w:rPr>
          <w:bCs/>
          <w:lang w:val="fr-CH"/>
        </w:rPr>
      </w:pPr>
      <w:r w:rsidRPr="007F457D">
        <w:rPr>
          <w:bCs/>
          <w:lang w:val="fr-CH"/>
        </w:rPr>
        <w:t>9.6.4.2</w:t>
      </w:r>
      <w:r w:rsidRPr="007F457D">
        <w:rPr>
          <w:bCs/>
          <w:lang w:val="fr-CH"/>
        </w:rPr>
        <w:tab/>
        <w:t>à intervalles réguliers, aux termes d'un programme de contrôle et de surveillance des rayonnements non ionisants; ou</w:t>
      </w:r>
    </w:p>
    <w:p w:rsidR="005A3227" w:rsidRPr="007F457D" w:rsidRDefault="005A3227" w:rsidP="006C05EF">
      <w:pPr>
        <w:rPr>
          <w:bCs/>
        </w:rPr>
      </w:pPr>
      <w:r w:rsidRPr="007F457D">
        <w:rPr>
          <w:bCs/>
        </w:rPr>
        <w:t>9.6.4.3</w:t>
      </w:r>
      <w:r w:rsidRPr="007F457D">
        <w:rPr>
          <w:bCs/>
        </w:rPr>
        <w:tab/>
        <w:t>lorsque cela est fondé, autrement  dit pour répondre à des demandes du public ou à des demandes officielles.</w:t>
      </w:r>
    </w:p>
    <w:p w:rsidR="005A3227" w:rsidRPr="004B3FA2" w:rsidRDefault="005A3227" w:rsidP="005A3227">
      <w:r w:rsidRPr="007F457D">
        <w:rPr>
          <w:bCs/>
        </w:rPr>
        <w:t>9.6.5</w:t>
      </w:r>
      <w:r w:rsidR="00C579B5" w:rsidRPr="007F457D">
        <w:rPr>
          <w:bCs/>
        </w:rPr>
        <w:tab/>
      </w:r>
      <w:r w:rsidRPr="007F457D">
        <w:rPr>
          <w:bCs/>
        </w:rPr>
        <w:t>Ce Manuel</w:t>
      </w:r>
      <w:r w:rsidRPr="004B3FA2">
        <w:t xml:space="preserve"> décrit en outre les procédures de mesure: choix de l'emplacement, positionnement des instruments, précautions à prendre, équipements à utiliser, points à clarifier et modalités de présentation des rapports. </w:t>
      </w:r>
    </w:p>
    <w:p w:rsidR="005A3227" w:rsidRPr="00C409E7" w:rsidRDefault="005A3227" w:rsidP="00081AA2">
      <w:pPr>
        <w:pStyle w:val="Heading2"/>
        <w:rPr>
          <w:lang w:val="fr-CH"/>
        </w:rPr>
      </w:pPr>
      <w:bookmarkStart w:id="90" w:name="_Toc373423180"/>
      <w:r w:rsidRPr="00C409E7">
        <w:rPr>
          <w:lang w:val="fr-CH"/>
        </w:rPr>
        <w:t>9.7</w:t>
      </w:r>
      <w:r w:rsidRPr="00C409E7">
        <w:rPr>
          <w:lang w:val="fr-CH"/>
        </w:rPr>
        <w:tab/>
        <w:t>Publication des mesures par les régulateurs</w:t>
      </w:r>
      <w:bookmarkEnd w:id="90"/>
    </w:p>
    <w:p w:rsidR="005A3227" w:rsidRPr="007F457D" w:rsidRDefault="005A3227" w:rsidP="005A3227">
      <w:pPr>
        <w:rPr>
          <w:bCs/>
        </w:rPr>
      </w:pPr>
      <w:r w:rsidRPr="007F457D">
        <w:rPr>
          <w:bCs/>
        </w:rPr>
        <w:t>9.7.1</w:t>
      </w:r>
      <w:r w:rsidR="00C579B5" w:rsidRPr="007F457D">
        <w:rPr>
          <w:bCs/>
        </w:rPr>
        <w:tab/>
      </w:r>
      <w:r w:rsidRPr="007F457D">
        <w:rPr>
          <w:bCs/>
        </w:rPr>
        <w:t>Le régulateur est tenu de publier les évaluations qui lui sont soumises par les opérateurs et qu'il aura vérifiées à intervalles réguliers au terme de la période couverte par le rapport, dont il aura fixé la durée.</w:t>
      </w:r>
    </w:p>
    <w:p w:rsidR="005A3227" w:rsidRPr="007F457D" w:rsidRDefault="005A3227" w:rsidP="005A3227">
      <w:pPr>
        <w:rPr>
          <w:bCs/>
        </w:rPr>
      </w:pPr>
      <w:r w:rsidRPr="007F457D">
        <w:rPr>
          <w:bCs/>
        </w:rPr>
        <w:t>9.7.2</w:t>
      </w:r>
      <w:r w:rsidR="00C579B5" w:rsidRPr="007F457D">
        <w:rPr>
          <w:bCs/>
        </w:rPr>
        <w:tab/>
      </w:r>
      <w:r w:rsidRPr="007F457D">
        <w:rPr>
          <w:bCs/>
        </w:rPr>
        <w:t>Le document publié décrira précisément la méthode d'évaluation, la période couverte par le rapport et les valeurs limites d'exposition requises.</w:t>
      </w:r>
    </w:p>
    <w:p w:rsidR="005A3227" w:rsidRPr="007F457D" w:rsidRDefault="005A3227" w:rsidP="005A3227">
      <w:pPr>
        <w:rPr>
          <w:bCs/>
        </w:rPr>
      </w:pPr>
      <w:r w:rsidRPr="007F457D">
        <w:rPr>
          <w:bCs/>
        </w:rPr>
        <w:t>9.7.3</w:t>
      </w:r>
      <w:r w:rsidR="00C579B5" w:rsidRPr="007F457D">
        <w:rPr>
          <w:bCs/>
        </w:rPr>
        <w:tab/>
      </w:r>
      <w:r w:rsidRPr="007F457D">
        <w:rPr>
          <w:bCs/>
        </w:rPr>
        <w:t>Les paramètres publiés seront répartis selon les catégories d'équipements suivantes, sans que la liste soit exhaustive:</w:t>
      </w:r>
    </w:p>
    <w:p w:rsidR="005A3227" w:rsidRPr="007F457D" w:rsidRDefault="005A3227" w:rsidP="00752698">
      <w:pPr>
        <w:pStyle w:val="Enumlevel1"/>
        <w:rPr>
          <w:bCs/>
          <w:lang w:val="fr-CH"/>
        </w:rPr>
      </w:pPr>
      <w:r w:rsidRPr="007F457D">
        <w:rPr>
          <w:bCs/>
          <w:lang w:val="fr-CH"/>
        </w:rPr>
        <w:t>–</w:t>
      </w:r>
      <w:r w:rsidRPr="007F457D">
        <w:rPr>
          <w:bCs/>
          <w:lang w:val="fr-CH"/>
        </w:rPr>
        <w:tab/>
        <w:t>stations de radiodiffusion et stations de base pour la téléphonie cellulaire;</w:t>
      </w:r>
    </w:p>
    <w:p w:rsidR="005A3227" w:rsidRPr="007F457D" w:rsidRDefault="005A3227" w:rsidP="00752698">
      <w:pPr>
        <w:pStyle w:val="Enumlevel1"/>
        <w:rPr>
          <w:bCs/>
          <w:lang w:val="fr-CH"/>
        </w:rPr>
      </w:pPr>
      <w:r w:rsidRPr="007F457D">
        <w:rPr>
          <w:bCs/>
          <w:lang w:val="fr-CH"/>
        </w:rPr>
        <w:t>–</w:t>
      </w:r>
      <w:r w:rsidRPr="007F457D">
        <w:rPr>
          <w:bCs/>
          <w:lang w:val="fr-CH"/>
        </w:rPr>
        <w:tab/>
        <w:t>stations de radiodiffusion d'amateur; et</w:t>
      </w:r>
    </w:p>
    <w:p w:rsidR="005A3227" w:rsidRPr="007F457D" w:rsidRDefault="005A3227" w:rsidP="00752698">
      <w:pPr>
        <w:pStyle w:val="Enumlevel1"/>
        <w:rPr>
          <w:bCs/>
          <w:lang w:val="fr-CH"/>
        </w:rPr>
      </w:pPr>
      <w:r w:rsidRPr="007F457D">
        <w:rPr>
          <w:bCs/>
          <w:lang w:val="fr-CH"/>
        </w:rPr>
        <w:t>–</w:t>
      </w:r>
      <w:r w:rsidRPr="007F457D">
        <w:rPr>
          <w:bCs/>
          <w:lang w:val="fr-CH"/>
        </w:rPr>
        <w:tab/>
        <w:t>appareils portables (il suffira pour cela de vérifier les échantillons ou spécifications techniques fournis par le fournisseur; en effet le débit SAR des portables est difficilement mesurable et cette opération coûte cher; de plus, elle n'est pas nécessaire dans tous les pays.).</w:t>
      </w:r>
    </w:p>
    <w:p w:rsidR="005A3227" w:rsidRPr="004B3FA2" w:rsidRDefault="005A3227" w:rsidP="005A3227">
      <w:r w:rsidRPr="007F457D">
        <w:rPr>
          <w:bCs/>
          <w:szCs w:val="19"/>
        </w:rPr>
        <w:t>9.7.4</w:t>
      </w:r>
      <w:r w:rsidR="00C579B5" w:rsidRPr="007F457D">
        <w:rPr>
          <w:bCs/>
          <w:szCs w:val="19"/>
        </w:rPr>
        <w:tab/>
      </w:r>
      <w:r w:rsidRPr="007F457D">
        <w:rPr>
          <w:bCs/>
        </w:rPr>
        <w:t>Il</w:t>
      </w:r>
      <w:r w:rsidRPr="004B3FA2">
        <w:t xml:space="preserve"> est important de publier des rapports auxquels le public aura accès, par exemple par l'intermédiaire des médias existant dans le pays.</w:t>
      </w:r>
    </w:p>
    <w:p w:rsidR="005A3227" w:rsidRPr="00C409E7" w:rsidRDefault="005A3227" w:rsidP="00081AA2">
      <w:pPr>
        <w:pStyle w:val="Heading2"/>
        <w:rPr>
          <w:lang w:val="fr-CH"/>
        </w:rPr>
      </w:pPr>
      <w:bookmarkStart w:id="91" w:name="_Toc373423181"/>
      <w:r w:rsidRPr="00C409E7">
        <w:rPr>
          <w:lang w:val="fr-CH"/>
        </w:rPr>
        <w:t>9.8</w:t>
      </w:r>
      <w:r w:rsidRPr="00C409E7">
        <w:rPr>
          <w:lang w:val="fr-CH"/>
        </w:rPr>
        <w:tab/>
        <w:t>Contenu et présentation des publications</w:t>
      </w:r>
      <w:bookmarkEnd w:id="91"/>
    </w:p>
    <w:p w:rsidR="005A3227" w:rsidRPr="00130DC3" w:rsidRDefault="005A3227" w:rsidP="00983D09">
      <w:pPr>
        <w:rPr>
          <w:b/>
          <w:bCs/>
          <w:lang w:val="fr-CH"/>
        </w:rPr>
      </w:pPr>
      <w:r w:rsidRPr="00E55BA5">
        <w:rPr>
          <w:lang w:val="fr-CH"/>
        </w:rPr>
        <w:t>9.8.1</w:t>
      </w:r>
      <w:r w:rsidR="00C579B5">
        <w:rPr>
          <w:lang w:val="fr-CH"/>
        </w:rPr>
        <w:tab/>
      </w:r>
      <w:r w:rsidRPr="00130DC3">
        <w:rPr>
          <w:lang w:val="fr-CH"/>
        </w:rPr>
        <w:t>En principe, un rapport d'évaluation complet devrait contenir les informations suivantes:</w:t>
      </w:r>
    </w:p>
    <w:p w:rsidR="005A3227" w:rsidRPr="00C409E7" w:rsidRDefault="005A3227" w:rsidP="00752698">
      <w:pPr>
        <w:pStyle w:val="Enumlevel1"/>
        <w:rPr>
          <w:b/>
          <w:bCs/>
          <w:lang w:val="fr-CH"/>
        </w:rPr>
      </w:pPr>
      <w:r w:rsidRPr="00C409E7">
        <w:rPr>
          <w:lang w:val="fr-CH"/>
        </w:rPr>
        <w:t>–</w:t>
      </w:r>
      <w:r w:rsidRPr="00C409E7">
        <w:rPr>
          <w:lang w:val="fr-CH"/>
        </w:rPr>
        <w:tab/>
        <w:t>résultats des mesures;</w:t>
      </w:r>
    </w:p>
    <w:p w:rsidR="005A3227" w:rsidRPr="00C409E7" w:rsidRDefault="005A3227" w:rsidP="00752698">
      <w:pPr>
        <w:pStyle w:val="Enumlevel1"/>
        <w:rPr>
          <w:b/>
          <w:bCs/>
          <w:lang w:val="fr-CH"/>
        </w:rPr>
      </w:pPr>
      <w:r w:rsidRPr="00C409E7">
        <w:rPr>
          <w:lang w:val="fr-CH"/>
        </w:rPr>
        <w:lastRenderedPageBreak/>
        <w:t>–</w:t>
      </w:r>
      <w:r w:rsidRPr="00C409E7">
        <w:rPr>
          <w:lang w:val="fr-CH"/>
        </w:rPr>
        <w:tab/>
        <w:t>finalité et objectifs des mesures;</w:t>
      </w:r>
    </w:p>
    <w:p w:rsidR="005A3227" w:rsidRPr="00C409E7" w:rsidRDefault="005A3227" w:rsidP="00752698">
      <w:pPr>
        <w:pStyle w:val="Enumlevel1"/>
        <w:rPr>
          <w:b/>
          <w:bCs/>
          <w:lang w:val="fr-CH"/>
        </w:rPr>
      </w:pPr>
      <w:r w:rsidRPr="00C409E7">
        <w:rPr>
          <w:lang w:val="fr-CH"/>
        </w:rPr>
        <w:t>–</w:t>
      </w:r>
      <w:r w:rsidRPr="00C409E7">
        <w:rPr>
          <w:lang w:val="fr-CH"/>
        </w:rPr>
        <w:tab/>
        <w:t>date et heure de début et de fin des mesures;</w:t>
      </w:r>
    </w:p>
    <w:p w:rsidR="005A3227" w:rsidRPr="00C409E7" w:rsidRDefault="005A3227" w:rsidP="00752698">
      <w:pPr>
        <w:pStyle w:val="Enumlevel1"/>
        <w:rPr>
          <w:b/>
          <w:bCs/>
          <w:lang w:val="fr-CH"/>
        </w:rPr>
      </w:pPr>
      <w:r w:rsidRPr="00C409E7">
        <w:rPr>
          <w:lang w:val="fr-CH"/>
        </w:rPr>
        <w:t>–</w:t>
      </w:r>
      <w:r w:rsidRPr="00C409E7">
        <w:rPr>
          <w:lang w:val="fr-CH"/>
        </w:rPr>
        <w:tab/>
        <w:t>coordonnées géographiques, altitude au-dessus du niveau du sol et caractéristiques des emplacements où ont été effectuées les mesures;</w:t>
      </w:r>
    </w:p>
    <w:p w:rsidR="005A3227" w:rsidRPr="00C409E7" w:rsidRDefault="005A3227" w:rsidP="00752698">
      <w:pPr>
        <w:pStyle w:val="Enumlevel1"/>
        <w:rPr>
          <w:b/>
          <w:bCs/>
          <w:lang w:val="fr-CH"/>
        </w:rPr>
      </w:pPr>
      <w:r w:rsidRPr="00C409E7">
        <w:rPr>
          <w:lang w:val="fr-CH"/>
        </w:rPr>
        <w:t>–</w:t>
      </w:r>
      <w:r w:rsidRPr="00C409E7">
        <w:rPr>
          <w:lang w:val="fr-CH"/>
        </w:rPr>
        <w:tab/>
        <w:t>liste des émetteurs recensés;</w:t>
      </w:r>
    </w:p>
    <w:p w:rsidR="005A3227" w:rsidRPr="00C409E7" w:rsidRDefault="005A3227" w:rsidP="00752698">
      <w:pPr>
        <w:pStyle w:val="Enumlevel1"/>
        <w:rPr>
          <w:b/>
          <w:bCs/>
          <w:lang w:val="fr-CH"/>
        </w:rPr>
      </w:pPr>
      <w:r w:rsidRPr="00C409E7">
        <w:rPr>
          <w:lang w:val="fr-CH"/>
        </w:rPr>
        <w:t>–</w:t>
      </w:r>
      <w:r w:rsidRPr="00C409E7">
        <w:rPr>
          <w:lang w:val="fr-CH"/>
        </w:rPr>
        <w:tab/>
        <w:t>descriptif des équipements utilisés et indication de leurs numéros de série; et</w:t>
      </w:r>
    </w:p>
    <w:p w:rsidR="005A3227" w:rsidRPr="00C409E7" w:rsidRDefault="005A3227" w:rsidP="00752698">
      <w:pPr>
        <w:pStyle w:val="Enumlevel1"/>
        <w:rPr>
          <w:b/>
          <w:bCs/>
          <w:lang w:val="fr-CH"/>
        </w:rPr>
      </w:pPr>
      <w:r w:rsidRPr="00C409E7">
        <w:rPr>
          <w:lang w:val="fr-CH"/>
        </w:rPr>
        <w:t>–</w:t>
      </w:r>
      <w:r w:rsidRPr="00C409E7">
        <w:rPr>
          <w:lang w:val="fr-CH"/>
        </w:rPr>
        <w:tab/>
        <w:t>incertitude des mesures.</w:t>
      </w:r>
    </w:p>
    <w:p w:rsidR="005A3227" w:rsidRPr="007F457D" w:rsidRDefault="005A3227" w:rsidP="005A3227">
      <w:pPr>
        <w:rPr>
          <w:bCs/>
        </w:rPr>
      </w:pPr>
      <w:r w:rsidRPr="007F457D">
        <w:rPr>
          <w:bCs/>
        </w:rPr>
        <w:t>9.8.2</w:t>
      </w:r>
      <w:r w:rsidR="00C579B5" w:rsidRPr="007F457D">
        <w:rPr>
          <w:bCs/>
        </w:rPr>
        <w:tab/>
      </w:r>
      <w:r w:rsidRPr="007F457D">
        <w:rPr>
          <w:bCs/>
        </w:rPr>
        <w:t>Il convient de comparer les résultats des mesures et des calculs. Si les valeurs mesurées ou calculées sont supérieures au seuil inférieur défini par la CIPRNI, il convient de le signaler dans le rapport, et des dispositions doivent être prises conformément à la réglementation en vigueur.</w:t>
      </w:r>
    </w:p>
    <w:p w:rsidR="005A3227" w:rsidRPr="004B3FA2" w:rsidRDefault="005A3227" w:rsidP="005A3227">
      <w:r w:rsidRPr="007F457D">
        <w:rPr>
          <w:bCs/>
        </w:rPr>
        <w:t>9.8.3</w:t>
      </w:r>
      <w:r w:rsidR="00C579B5" w:rsidRPr="007F457D">
        <w:rPr>
          <w:bCs/>
        </w:rPr>
        <w:tab/>
      </w:r>
      <w:r w:rsidRPr="007F457D">
        <w:rPr>
          <w:bCs/>
        </w:rPr>
        <w:t>En outre, pour rendre le rapport plus intelligible, il est souhaitable de représenter graphiquement les résultats sous forme de cartes, diagrammes et photos. Ces illustrations peuvent présenter les résultats des évaluations aux emplacements voulus, ainsi que les positions relatives des principaux émetteurs et des zones</w:t>
      </w:r>
      <w:r w:rsidRPr="004B3FA2">
        <w:t xml:space="preserve"> sensibles, comme les écoles, les hôpitaux et les maisons.</w:t>
      </w:r>
    </w:p>
    <w:p w:rsidR="005A3227" w:rsidRPr="00C409E7" w:rsidRDefault="005A3227" w:rsidP="00081AA2">
      <w:pPr>
        <w:pStyle w:val="Heading2"/>
        <w:rPr>
          <w:lang w:val="fr-CH"/>
        </w:rPr>
      </w:pPr>
      <w:bookmarkStart w:id="92" w:name="_Toc373423182"/>
      <w:r w:rsidRPr="00C409E7">
        <w:rPr>
          <w:lang w:val="fr-CH"/>
        </w:rPr>
        <w:t>9.9</w:t>
      </w:r>
      <w:r w:rsidRPr="00C409E7">
        <w:rPr>
          <w:lang w:val="fr-CH"/>
        </w:rPr>
        <w:tab/>
        <w:t>Inspection et enquêtes</w:t>
      </w:r>
      <w:bookmarkEnd w:id="92"/>
    </w:p>
    <w:p w:rsidR="005A3227" w:rsidRPr="007F457D" w:rsidRDefault="005A3227" w:rsidP="005A3227">
      <w:pPr>
        <w:rPr>
          <w:bCs/>
        </w:rPr>
      </w:pPr>
      <w:r w:rsidRPr="007F457D">
        <w:rPr>
          <w:bCs/>
        </w:rPr>
        <w:t>9.9.1</w:t>
      </w:r>
      <w:r w:rsidR="00C579B5" w:rsidRPr="007F457D">
        <w:rPr>
          <w:bCs/>
        </w:rPr>
        <w:tab/>
      </w:r>
      <w:r w:rsidRPr="007F457D">
        <w:rPr>
          <w:bCs/>
        </w:rPr>
        <w:t>Pour garantir la conformité, le régulateur est tenu de procéder à des inspections ou à des enquêtes en cas de problème relatif aux évaluations présentées par les opérateurs. En ce qui concerne les normes d'exposition aux champs électromagnétiques, le régulateur devrait être chargé de vérifier la conformité par des calculs et des mesures effectués sur le lieu de travail, entre autres. La conformité des appareils aux normes d'émission est habituellement certifiée par le fabricant.</w:t>
      </w:r>
    </w:p>
    <w:p w:rsidR="005A3227" w:rsidRPr="007F457D" w:rsidRDefault="005A3227" w:rsidP="005A3227">
      <w:pPr>
        <w:rPr>
          <w:bCs/>
        </w:rPr>
      </w:pPr>
      <w:r w:rsidRPr="007F457D">
        <w:rPr>
          <w:bCs/>
        </w:rPr>
        <w:t>9.9.2</w:t>
      </w:r>
      <w:r w:rsidR="00C579B5" w:rsidRPr="007F457D">
        <w:rPr>
          <w:bCs/>
        </w:rPr>
        <w:tab/>
      </w:r>
      <w:r w:rsidRPr="007F457D">
        <w:rPr>
          <w:bCs/>
        </w:rPr>
        <w:t>Le fonctionnement des équipements non conformes aux normes prescrites n'est pas autorisé.</w:t>
      </w:r>
    </w:p>
    <w:p w:rsidR="005A3227" w:rsidRPr="007F457D" w:rsidRDefault="005A3227" w:rsidP="005A3227">
      <w:pPr>
        <w:rPr>
          <w:bCs/>
        </w:rPr>
      </w:pPr>
      <w:r w:rsidRPr="007F457D">
        <w:rPr>
          <w:bCs/>
        </w:rPr>
        <w:t>9.9.3</w:t>
      </w:r>
      <w:r w:rsidR="00C579B5" w:rsidRPr="007F457D">
        <w:rPr>
          <w:bCs/>
        </w:rPr>
        <w:tab/>
      </w:r>
      <w:r w:rsidRPr="007F457D">
        <w:rPr>
          <w:bCs/>
        </w:rPr>
        <w:t>Si un opérateur soumet des mesures mensongères, il doit être interdit d'activité dans le pays et ses équipements doivent être détruits.</w:t>
      </w:r>
    </w:p>
    <w:p w:rsidR="005A3227" w:rsidRPr="004B3FA2" w:rsidRDefault="005A3227" w:rsidP="005A3227">
      <w:r w:rsidRPr="007F457D">
        <w:rPr>
          <w:bCs/>
        </w:rPr>
        <w:t>9.9.4</w:t>
      </w:r>
      <w:r w:rsidR="00C579B5" w:rsidRPr="007F457D">
        <w:rPr>
          <w:bCs/>
        </w:rPr>
        <w:tab/>
      </w:r>
      <w:r w:rsidRPr="007F457D">
        <w:rPr>
          <w:bCs/>
        </w:rPr>
        <w:t>La mise en application de la réglementation relative aux niveaux d'exposition aux rayonnements non ionisants provenant des dispositifs de télécommunication, relève de la responsabilité de l'autorité chargée</w:t>
      </w:r>
      <w:r w:rsidRPr="004B3FA2">
        <w:t xml:space="preserve"> de la gestion du spectre, qui doit s'appuyer sur les avis des spécialistes en la matière.</w:t>
      </w:r>
    </w:p>
    <w:p w:rsidR="005A3227" w:rsidRPr="00C409E7" w:rsidRDefault="005A3227" w:rsidP="00081AA2">
      <w:pPr>
        <w:pStyle w:val="Heading2"/>
        <w:rPr>
          <w:lang w:val="fr-CH"/>
        </w:rPr>
      </w:pPr>
      <w:bookmarkStart w:id="93" w:name="_Toc373423183"/>
      <w:r w:rsidRPr="00C409E7">
        <w:rPr>
          <w:lang w:val="fr-CH"/>
        </w:rPr>
        <w:t>9.10</w:t>
      </w:r>
      <w:r w:rsidRPr="00C409E7">
        <w:rPr>
          <w:lang w:val="fr-CH"/>
        </w:rPr>
        <w:tab/>
        <w:t>Modification des lignes directrices</w:t>
      </w:r>
      <w:bookmarkEnd w:id="93"/>
    </w:p>
    <w:p w:rsidR="005A3227" w:rsidRPr="007F457D" w:rsidRDefault="005A3227" w:rsidP="005A3227">
      <w:pPr>
        <w:rPr>
          <w:bCs/>
        </w:rPr>
      </w:pPr>
      <w:r w:rsidRPr="007F457D">
        <w:rPr>
          <w:bCs/>
          <w:szCs w:val="19"/>
        </w:rPr>
        <w:t>9.10.1</w:t>
      </w:r>
      <w:r w:rsidRPr="007F457D">
        <w:rPr>
          <w:bCs/>
          <w:szCs w:val="19"/>
        </w:rPr>
        <w:tab/>
      </w:r>
      <w:r w:rsidRPr="007F457D">
        <w:rPr>
          <w:bCs/>
        </w:rPr>
        <w:t>Les présentes lignes directrices peuvent être modifiées, en tenant compte des grands principes énoncés dans le présent document.</w:t>
      </w:r>
    </w:p>
    <w:p w:rsidR="005A3227" w:rsidRPr="007F457D" w:rsidRDefault="005A3227" w:rsidP="005A3227">
      <w:pPr>
        <w:rPr>
          <w:bCs/>
        </w:rPr>
      </w:pPr>
      <w:r w:rsidRPr="007F457D">
        <w:rPr>
          <w:bCs/>
        </w:rPr>
        <w:t>9.10.2</w:t>
      </w:r>
      <w:r w:rsidRPr="007F457D">
        <w:rPr>
          <w:bCs/>
        </w:rPr>
        <w:tab/>
        <w:t>Il peut également être procédé à des modifications si la CIPRNI fixe de nouveaux objectifs.</w:t>
      </w:r>
    </w:p>
    <w:p w:rsidR="005A3227" w:rsidRPr="007F457D" w:rsidRDefault="005A3227" w:rsidP="005A3227">
      <w:pPr>
        <w:rPr>
          <w:bCs/>
        </w:rPr>
      </w:pPr>
      <w:r w:rsidRPr="007F457D">
        <w:rPr>
          <w:bCs/>
        </w:rPr>
        <w:t>9.10.3</w:t>
      </w:r>
      <w:r w:rsidRPr="007F457D">
        <w:rPr>
          <w:bCs/>
        </w:rPr>
        <w:tab/>
        <w:t>Il convient de consulter toutes les parties prenantes, y compris le grand public.</w:t>
      </w:r>
    </w:p>
    <w:p w:rsidR="005A3227" w:rsidRPr="007F457D" w:rsidRDefault="005A3227" w:rsidP="005A3227">
      <w:pPr>
        <w:rPr>
          <w:bCs/>
        </w:rPr>
      </w:pPr>
      <w:r w:rsidRPr="007F457D">
        <w:rPr>
          <w:bCs/>
        </w:rPr>
        <w:t>9.10.4</w:t>
      </w:r>
      <w:r w:rsidRPr="007F457D">
        <w:rPr>
          <w:bCs/>
        </w:rPr>
        <w:tab/>
        <w:t>Les modifications, une fois adoptées, entrent en vigueur au terme d'un délai jugé approprié par le pays.</w:t>
      </w:r>
    </w:p>
    <w:p w:rsidR="005A3227" w:rsidRPr="004B3FA2" w:rsidRDefault="005A3227" w:rsidP="006D7206">
      <w:r w:rsidRPr="007F457D">
        <w:rPr>
          <w:bCs/>
        </w:rPr>
        <w:t>9.10.5</w:t>
      </w:r>
      <w:r w:rsidRPr="007F457D">
        <w:rPr>
          <w:bCs/>
        </w:rPr>
        <w:tab/>
        <w:t>Examen</w:t>
      </w:r>
      <w:r w:rsidRPr="004B3FA2">
        <w:t xml:space="preserve"> des lignes directrices. Cet examen doit porter sur les points suivants:</w:t>
      </w:r>
    </w:p>
    <w:p w:rsidR="005A3227" w:rsidRPr="00CE3378" w:rsidRDefault="005A3227" w:rsidP="006D7206">
      <w:pPr>
        <w:pStyle w:val="Enumlevel1"/>
        <w:rPr>
          <w:lang w:val="fr-CH"/>
        </w:rPr>
      </w:pPr>
      <w:r w:rsidRPr="00CE3378">
        <w:rPr>
          <w:lang w:val="fr-CH"/>
        </w:rPr>
        <w:t>–</w:t>
      </w:r>
      <w:r w:rsidRPr="00CE3378">
        <w:rPr>
          <w:lang w:val="fr-CH"/>
        </w:rPr>
        <w:tab/>
        <w:t>Objectifs devant être définis.</w:t>
      </w:r>
    </w:p>
    <w:p w:rsidR="005A3227" w:rsidRPr="00CE3378" w:rsidRDefault="005A3227" w:rsidP="006D7206">
      <w:pPr>
        <w:pStyle w:val="Enumlevel1"/>
        <w:rPr>
          <w:lang w:val="fr-CH"/>
        </w:rPr>
      </w:pPr>
      <w:r w:rsidRPr="00CE3378">
        <w:rPr>
          <w:lang w:val="fr-CH"/>
        </w:rPr>
        <w:t>–</w:t>
      </w:r>
      <w:r w:rsidRPr="00CE3378">
        <w:rPr>
          <w:lang w:val="fr-CH"/>
        </w:rPr>
        <w:tab/>
        <w:t>Mesure des équipements.</w:t>
      </w:r>
    </w:p>
    <w:p w:rsidR="005A3227" w:rsidRPr="00CE3378" w:rsidRDefault="005A3227" w:rsidP="006D7206">
      <w:pPr>
        <w:pStyle w:val="Enumlevel1"/>
        <w:rPr>
          <w:lang w:val="fr-CH"/>
        </w:rPr>
      </w:pPr>
      <w:r w:rsidRPr="00CE3378">
        <w:rPr>
          <w:lang w:val="fr-CH"/>
        </w:rPr>
        <w:t>–</w:t>
      </w:r>
      <w:r w:rsidRPr="00CE3378">
        <w:rPr>
          <w:lang w:val="fr-CH"/>
        </w:rPr>
        <w:tab/>
        <w:t>Logiciels de calcul.</w:t>
      </w:r>
    </w:p>
    <w:p w:rsidR="005A3227" w:rsidRPr="00CE3378" w:rsidRDefault="005A3227" w:rsidP="006D7206">
      <w:pPr>
        <w:pStyle w:val="Enumlevel1"/>
        <w:rPr>
          <w:lang w:val="fr-CH"/>
        </w:rPr>
      </w:pPr>
      <w:r w:rsidRPr="00CE3378">
        <w:rPr>
          <w:lang w:val="fr-CH"/>
        </w:rPr>
        <w:t>–</w:t>
      </w:r>
      <w:r w:rsidRPr="00CE3378">
        <w:rPr>
          <w:lang w:val="fr-CH"/>
        </w:rPr>
        <w:tab/>
        <w:t>Publication.</w:t>
      </w:r>
    </w:p>
    <w:p w:rsidR="005A3227" w:rsidRPr="00CE3378" w:rsidRDefault="005A3227" w:rsidP="006D7206">
      <w:pPr>
        <w:pStyle w:val="Enumlevel1"/>
        <w:rPr>
          <w:lang w:val="fr-CH"/>
        </w:rPr>
      </w:pPr>
      <w:r w:rsidRPr="00CE3378">
        <w:rPr>
          <w:lang w:val="fr-CH"/>
        </w:rPr>
        <w:t>–</w:t>
      </w:r>
      <w:r w:rsidRPr="00CE3378">
        <w:rPr>
          <w:lang w:val="fr-CH"/>
        </w:rPr>
        <w:tab/>
        <w:t>Equipements devant faire l'objet de mesures.</w:t>
      </w:r>
    </w:p>
    <w:p w:rsidR="00AF3080" w:rsidRPr="00CE3378" w:rsidRDefault="005A3227" w:rsidP="006D7206">
      <w:pPr>
        <w:pStyle w:val="Enumlevel1"/>
        <w:rPr>
          <w:lang w:val="fr-CH"/>
        </w:rPr>
      </w:pPr>
      <w:r w:rsidRPr="00CE3378">
        <w:rPr>
          <w:lang w:val="fr-CH"/>
        </w:rPr>
        <w:t>–</w:t>
      </w:r>
      <w:r w:rsidRPr="00CE3378">
        <w:rPr>
          <w:lang w:val="fr-CH"/>
        </w:rPr>
        <w:tab/>
        <w:t>Méthodes de mesure</w:t>
      </w:r>
      <w:r w:rsidR="00585FA8" w:rsidRPr="00CE3378">
        <w:rPr>
          <w:lang w:val="fr-CH"/>
        </w:rPr>
        <w:t>.</w:t>
      </w:r>
      <w:bookmarkStart w:id="94" w:name="_Toc374691839"/>
    </w:p>
    <w:p w:rsidR="00011D10" w:rsidRPr="00C409E7" w:rsidRDefault="00011D10" w:rsidP="002314BE">
      <w:pPr>
        <w:pStyle w:val="Heading1"/>
        <w:rPr>
          <w:lang w:val="fr-CH"/>
        </w:rPr>
        <w:sectPr w:rsidR="00011D10" w:rsidRPr="00C409E7" w:rsidSect="00F24083">
          <w:headerReference w:type="even" r:id="rId24"/>
          <w:headerReference w:type="default" r:id="rId25"/>
          <w:footerReference w:type="even" r:id="rId26"/>
          <w:footerReference w:type="default" r:id="rId27"/>
          <w:endnotePr>
            <w:numFmt w:val="decimal"/>
          </w:endnotePr>
          <w:pgSz w:w="11907" w:h="16840" w:code="9"/>
          <w:pgMar w:top="1418" w:right="1418" w:bottom="1418" w:left="1418" w:header="709" w:footer="709" w:gutter="0"/>
          <w:pgNumType w:start="1"/>
          <w:cols w:space="708"/>
          <w:docGrid w:linePitch="360"/>
        </w:sectPr>
      </w:pPr>
    </w:p>
    <w:p w:rsidR="00585FA8" w:rsidRPr="00C409E7" w:rsidRDefault="00585FA8" w:rsidP="002314BE">
      <w:pPr>
        <w:pStyle w:val="Heading1"/>
        <w:rPr>
          <w:lang w:val="fr-CH"/>
        </w:rPr>
      </w:pPr>
      <w:r w:rsidRPr="00C409E7">
        <w:rPr>
          <w:lang w:val="fr-CH"/>
        </w:rPr>
        <w:lastRenderedPageBreak/>
        <w:t>I.</w:t>
      </w:r>
      <w:r w:rsidRPr="00C409E7">
        <w:rPr>
          <w:lang w:val="fr-CH"/>
        </w:rPr>
        <w:tab/>
        <w:t>Annexes</w:t>
      </w:r>
      <w:bookmarkEnd w:id="94"/>
    </w:p>
    <w:p w:rsidR="00585FA8" w:rsidRPr="00C409E7" w:rsidRDefault="00585FA8" w:rsidP="00585FA8">
      <w:pPr>
        <w:pStyle w:val="HeadingB"/>
        <w:rPr>
          <w:lang w:val="fr-CH"/>
        </w:rPr>
      </w:pPr>
      <w:proofErr w:type="spellStart"/>
      <w:r w:rsidRPr="00C409E7">
        <w:rPr>
          <w:lang w:val="fr-CH"/>
        </w:rPr>
        <w:t>Annex</w:t>
      </w:r>
      <w:proofErr w:type="spellEnd"/>
      <w:r w:rsidRPr="00C409E7">
        <w:rPr>
          <w:lang w:val="fr-CH"/>
        </w:rPr>
        <w:t xml:space="preserve"> 1: </w:t>
      </w:r>
      <w:r w:rsidR="00357951" w:rsidRPr="00C409E7">
        <w:rPr>
          <w:lang w:val="fr-CH"/>
        </w:rPr>
        <w:tab/>
      </w:r>
      <w:r w:rsidRPr="00C409E7">
        <w:rPr>
          <w:lang w:val="fr-CH"/>
        </w:rPr>
        <w:t xml:space="preserve">RF </w:t>
      </w:r>
      <w:proofErr w:type="spellStart"/>
      <w:r w:rsidRPr="00C409E7">
        <w:rPr>
          <w:lang w:val="fr-CH"/>
        </w:rPr>
        <w:t>Exposure</w:t>
      </w:r>
      <w:proofErr w:type="spellEnd"/>
      <w:r w:rsidRPr="00C409E7">
        <w:rPr>
          <w:lang w:val="fr-CH"/>
        </w:rPr>
        <w:t xml:space="preserve"> </w:t>
      </w:r>
      <w:proofErr w:type="spellStart"/>
      <w:r w:rsidRPr="00C409E7">
        <w:rPr>
          <w:lang w:val="fr-CH"/>
        </w:rPr>
        <w:t>Units</w:t>
      </w:r>
      <w:proofErr w:type="spellEnd"/>
      <w:r w:rsidRPr="00C409E7">
        <w:rPr>
          <w:lang w:val="fr-CH"/>
        </w:rPr>
        <w:t xml:space="preserve"> and Standards</w:t>
      </w:r>
    </w:p>
    <w:p w:rsidR="00585FA8" w:rsidRPr="00CB013A" w:rsidRDefault="00585FA8" w:rsidP="00585FA8">
      <w:pPr>
        <w:pStyle w:val="HeadingB"/>
        <w:rPr>
          <w:lang w:val="en-US"/>
        </w:rPr>
      </w:pPr>
      <w:r w:rsidRPr="00CB013A">
        <w:rPr>
          <w:lang w:val="en-US"/>
        </w:rPr>
        <w:t xml:space="preserve">Annex 2: </w:t>
      </w:r>
      <w:r w:rsidR="00357951">
        <w:rPr>
          <w:lang w:val="en-US"/>
        </w:rPr>
        <w:tab/>
      </w:r>
      <w:r w:rsidRPr="00CB013A">
        <w:rPr>
          <w:lang w:val="en-US"/>
        </w:rPr>
        <w:t>ICNIRP 1998 Exposure Levels and IEEE Levels</w:t>
      </w:r>
    </w:p>
    <w:p w:rsidR="00585FA8" w:rsidRPr="00CB013A" w:rsidRDefault="00585FA8" w:rsidP="00585FA8">
      <w:pPr>
        <w:pStyle w:val="HeadingB"/>
        <w:rPr>
          <w:lang w:val="en-US"/>
        </w:rPr>
      </w:pPr>
      <w:r w:rsidRPr="00CB013A">
        <w:rPr>
          <w:lang w:val="en-US"/>
        </w:rPr>
        <w:t xml:space="preserve">Annex 3: </w:t>
      </w:r>
      <w:r w:rsidR="00357951">
        <w:rPr>
          <w:lang w:val="en-US"/>
        </w:rPr>
        <w:tab/>
      </w:r>
      <w:r w:rsidRPr="00CB013A">
        <w:rPr>
          <w:lang w:val="en-US"/>
        </w:rPr>
        <w:t>Mandate of Question 23/1 (WTDC-10/139 (Rev.1))</w:t>
      </w:r>
    </w:p>
    <w:p w:rsidR="00585FA8" w:rsidRPr="00CB013A" w:rsidRDefault="00585FA8" w:rsidP="00011D10">
      <w:pPr>
        <w:pStyle w:val="HeadingB"/>
        <w:ind w:left="1134" w:hanging="1134"/>
        <w:rPr>
          <w:lang w:val="en-US"/>
        </w:rPr>
      </w:pPr>
      <w:r w:rsidRPr="00CB013A">
        <w:rPr>
          <w:lang w:val="en-US"/>
        </w:rPr>
        <w:t xml:space="preserve">Annex 4: </w:t>
      </w:r>
      <w:r w:rsidR="00357951">
        <w:rPr>
          <w:lang w:val="en-US"/>
        </w:rPr>
        <w:tab/>
      </w:r>
      <w:r w:rsidRPr="00CB013A">
        <w:rPr>
          <w:lang w:val="en-US"/>
        </w:rPr>
        <w:t>WTSA-12 Resolution 72 on “Measurement concerns related to human exposure to electromagnetic fields”'</w:t>
      </w:r>
    </w:p>
    <w:p w:rsidR="00585FA8" w:rsidRPr="00CB013A" w:rsidRDefault="00585FA8" w:rsidP="00011D10">
      <w:pPr>
        <w:pStyle w:val="HeadingB"/>
        <w:ind w:left="1134" w:hanging="1134"/>
        <w:rPr>
          <w:lang w:val="en-US"/>
        </w:rPr>
      </w:pPr>
      <w:r w:rsidRPr="00CB013A">
        <w:rPr>
          <w:lang w:val="en-US"/>
        </w:rPr>
        <w:t xml:space="preserve">Annex 5: </w:t>
      </w:r>
      <w:r w:rsidR="00357951">
        <w:rPr>
          <w:lang w:val="en-US"/>
        </w:rPr>
        <w:tab/>
      </w:r>
      <w:r w:rsidRPr="00CB013A">
        <w:rPr>
          <w:lang w:val="en-US"/>
        </w:rPr>
        <w:t>WTDC-10 Resolution 62 on "Measurement concerns related to human exposure to EMF".</w:t>
      </w:r>
    </w:p>
    <w:p w:rsidR="00585FA8" w:rsidRPr="00CB013A" w:rsidRDefault="00585FA8" w:rsidP="00011D10">
      <w:pPr>
        <w:pStyle w:val="HeadingB"/>
        <w:ind w:left="1134" w:hanging="1134"/>
        <w:rPr>
          <w:lang w:val="en-US"/>
        </w:rPr>
      </w:pPr>
      <w:r w:rsidRPr="00CB013A">
        <w:rPr>
          <w:lang w:val="en-US"/>
        </w:rPr>
        <w:t xml:space="preserve">Annex 6: </w:t>
      </w:r>
      <w:r w:rsidR="00357951">
        <w:rPr>
          <w:lang w:val="en-US"/>
        </w:rPr>
        <w:tab/>
      </w:r>
      <w:r w:rsidRPr="00CB013A">
        <w:rPr>
          <w:lang w:val="en-US"/>
        </w:rPr>
        <w:t>Plenipotentiary Conference (PP-10) Resolution 176 on "Human exposure to and measurement of electromagnetic fields"</w:t>
      </w:r>
    </w:p>
    <w:p w:rsidR="00585FA8" w:rsidRPr="00CB013A" w:rsidRDefault="00585FA8" w:rsidP="00585FA8">
      <w:pPr>
        <w:pStyle w:val="HeadingB"/>
        <w:rPr>
          <w:lang w:val="en-US"/>
        </w:rPr>
      </w:pPr>
      <w:r w:rsidRPr="00CB013A">
        <w:rPr>
          <w:lang w:val="en-US"/>
        </w:rPr>
        <w:t xml:space="preserve">Annex 7: </w:t>
      </w:r>
      <w:r w:rsidR="00357951">
        <w:rPr>
          <w:lang w:val="en-US"/>
        </w:rPr>
        <w:tab/>
      </w:r>
      <w:r w:rsidRPr="00CB013A">
        <w:rPr>
          <w:lang w:val="en-US"/>
        </w:rPr>
        <w:t>ITU Project in Central America Document</w:t>
      </w:r>
    </w:p>
    <w:p w:rsidR="00585FA8" w:rsidRPr="00CB013A" w:rsidRDefault="00585FA8" w:rsidP="00585FA8">
      <w:pPr>
        <w:pStyle w:val="HeadingB"/>
        <w:rPr>
          <w:lang w:val="en-US"/>
        </w:rPr>
      </w:pPr>
      <w:r w:rsidRPr="00CB013A">
        <w:rPr>
          <w:lang w:val="en-US"/>
        </w:rPr>
        <w:t xml:space="preserve">Annex 8: </w:t>
      </w:r>
      <w:r w:rsidR="00357951">
        <w:rPr>
          <w:lang w:val="en-US"/>
        </w:rPr>
        <w:tab/>
      </w:r>
      <w:r w:rsidRPr="00CB013A">
        <w:rPr>
          <w:lang w:val="en-US"/>
        </w:rPr>
        <w:t xml:space="preserve">Q23/1 </w:t>
      </w:r>
      <w:proofErr w:type="spellStart"/>
      <w:r w:rsidRPr="00CB013A">
        <w:rPr>
          <w:lang w:val="en-US"/>
        </w:rPr>
        <w:t>Workplan</w:t>
      </w:r>
      <w:proofErr w:type="spellEnd"/>
    </w:p>
    <w:p w:rsidR="00585FA8" w:rsidRPr="00CB013A" w:rsidRDefault="00585FA8" w:rsidP="00585FA8">
      <w:pPr>
        <w:pStyle w:val="HeadingB"/>
        <w:rPr>
          <w:lang w:val="en-US"/>
        </w:rPr>
      </w:pPr>
      <w:r w:rsidRPr="00CB013A">
        <w:rPr>
          <w:lang w:val="en-US"/>
        </w:rPr>
        <w:t xml:space="preserve">Annex 9: </w:t>
      </w:r>
      <w:r w:rsidR="00357951">
        <w:rPr>
          <w:lang w:val="en-US"/>
        </w:rPr>
        <w:tab/>
      </w:r>
      <w:r w:rsidRPr="00CB013A">
        <w:rPr>
          <w:lang w:val="en-US"/>
        </w:rPr>
        <w:t>Documents for Q23/1</w:t>
      </w:r>
    </w:p>
    <w:p w:rsidR="00585FA8" w:rsidRPr="00CB013A" w:rsidRDefault="00585FA8" w:rsidP="002314BE">
      <w:pPr>
        <w:pStyle w:val="HeadingB"/>
        <w:rPr>
          <w:lang w:val="en-US"/>
        </w:rPr>
      </w:pPr>
      <w:r w:rsidRPr="00CB013A">
        <w:rPr>
          <w:lang w:val="en-US"/>
        </w:rPr>
        <w:t xml:space="preserve">Annex 10: </w:t>
      </w:r>
      <w:r w:rsidR="00357951">
        <w:rPr>
          <w:lang w:val="en-US"/>
        </w:rPr>
        <w:tab/>
      </w:r>
      <w:r w:rsidRPr="00CB013A">
        <w:rPr>
          <w:lang w:val="en-US"/>
        </w:rPr>
        <w:t>A Case Study from India on EMF</w:t>
      </w:r>
    </w:p>
    <w:p w:rsidR="00585FA8" w:rsidRPr="00CB013A" w:rsidRDefault="00585FA8" w:rsidP="00011D10">
      <w:pPr>
        <w:pStyle w:val="Heading1"/>
      </w:pPr>
      <w:r w:rsidRPr="00CB013A">
        <w:t>II.</w:t>
      </w:r>
      <w:r w:rsidRPr="00CB013A">
        <w:tab/>
        <w:t>List of Contributions</w:t>
      </w:r>
    </w:p>
    <w:p w:rsidR="00581532" w:rsidRPr="002314BE" w:rsidRDefault="00585FA8" w:rsidP="00B03492">
      <w:pPr>
        <w:pStyle w:val="Heading1"/>
      </w:pPr>
      <w:r w:rsidRPr="00CB013A">
        <w:t>III.</w:t>
      </w:r>
      <w:r w:rsidRPr="00CB013A">
        <w:tab/>
        <w:t>References</w:t>
      </w:r>
    </w:p>
    <w:p w:rsidR="00002906" w:rsidRDefault="00002906" w:rsidP="00AF3080">
      <w:pPr>
        <w:pStyle w:val="HeadingB"/>
      </w:pPr>
      <w:bookmarkStart w:id="95" w:name="_Toc361912440"/>
      <w:bookmarkStart w:id="96" w:name="_Toc374691840"/>
    </w:p>
    <w:p w:rsidR="00C15B34" w:rsidRDefault="00C15B34" w:rsidP="00AF3080">
      <w:pPr>
        <w:pStyle w:val="HeadingB"/>
        <w:sectPr w:rsidR="00C15B34" w:rsidSect="00011D10">
          <w:headerReference w:type="first" r:id="rId28"/>
          <w:footerReference w:type="first" r:id="rId29"/>
          <w:endnotePr>
            <w:numFmt w:val="decimal"/>
          </w:endnotePr>
          <w:type w:val="oddPage"/>
          <w:pgSz w:w="11907" w:h="16840" w:code="9"/>
          <w:pgMar w:top="1418" w:right="1418" w:bottom="1418" w:left="1418" w:header="709" w:footer="709" w:gutter="0"/>
          <w:cols w:space="708"/>
          <w:titlePg/>
          <w:docGrid w:linePitch="360"/>
        </w:sectPr>
      </w:pPr>
    </w:p>
    <w:p w:rsidR="00061F17" w:rsidRPr="00637721" w:rsidRDefault="00061F17" w:rsidP="00C15B34">
      <w:pPr>
        <w:pStyle w:val="Heading1"/>
        <w:spacing w:before="0"/>
      </w:pPr>
      <w:r w:rsidRPr="00637721">
        <w:lastRenderedPageBreak/>
        <w:t xml:space="preserve">Annex 1: </w:t>
      </w:r>
      <w:r w:rsidR="00357951">
        <w:tab/>
      </w:r>
      <w:r w:rsidRPr="00637721">
        <w:t xml:space="preserve">RF Exposure Units </w:t>
      </w:r>
      <w:r w:rsidRPr="00C15B34">
        <w:t>and</w:t>
      </w:r>
      <w:r w:rsidRPr="00637721">
        <w:t xml:space="preserve"> Standards</w:t>
      </w:r>
      <w:bookmarkEnd w:id="95"/>
      <w:bookmarkEnd w:id="96"/>
    </w:p>
    <w:p w:rsidR="00061F17" w:rsidRDefault="00FA6CE1" w:rsidP="00C20DC1">
      <w:pPr>
        <w:pStyle w:val="Normalaftertitle"/>
      </w:pPr>
      <w:r w:rsidRPr="00FA6CE1">
        <w:rPr>
          <w:rStyle w:val="FootnoteReference"/>
          <w:szCs w:val="19"/>
          <w:lang w:val="en-US" w:eastAsia="en-GB"/>
        </w:rPr>
        <w:footnoteReference w:customMarkFollows="1" w:id="21"/>
        <w:t>1</w:t>
      </w:r>
      <w:r w:rsidR="00061F17" w:rsidRPr="00061F17">
        <w:rPr>
          <w:lang w:eastAsia="en-GB"/>
        </w:rPr>
        <w:t xml:space="preserve">Table 1 </w:t>
      </w:r>
      <w:r w:rsidR="00061F17" w:rsidRPr="00061F17">
        <w:t>lists the reference units of the physical quantities used in this report.</w:t>
      </w:r>
    </w:p>
    <w:p w:rsidR="00C20DC1" w:rsidRPr="00C20DC1" w:rsidRDefault="00C20DC1" w:rsidP="00C20DC1">
      <w:pPr>
        <w:rPr>
          <w:lang w:val="en-GB" w:eastAsia="en-US"/>
        </w:rPr>
      </w:pPr>
    </w:p>
    <w:p w:rsidR="00061F17" w:rsidRPr="00214D1D" w:rsidRDefault="00061F17" w:rsidP="00637721">
      <w:pPr>
        <w:pStyle w:val="Tabletitle"/>
        <w:rPr>
          <w:lang w:eastAsia="zh-CN"/>
        </w:rPr>
      </w:pPr>
      <w:bookmarkStart w:id="97" w:name="_Toc148460119"/>
      <w:bookmarkStart w:id="98" w:name="_Toc199908850"/>
      <w:r w:rsidRPr="00214D1D">
        <w:rPr>
          <w:lang w:eastAsia="zh-CN"/>
        </w:rPr>
        <w:t>Table 1: Physical quantities and units</w:t>
      </w:r>
      <w:bookmarkEnd w:id="97"/>
      <w:bookmarkEnd w:id="98"/>
    </w:p>
    <w:tbl>
      <w:tblPr>
        <w:tblStyle w:val="Style1"/>
        <w:tblW w:w="4804" w:type="pct"/>
        <w:jc w:val="center"/>
        <w:tblLook w:val="0020" w:firstRow="1" w:lastRow="0" w:firstColumn="0" w:lastColumn="0" w:noHBand="0" w:noVBand="0"/>
      </w:tblPr>
      <w:tblGrid>
        <w:gridCol w:w="3773"/>
        <w:gridCol w:w="1049"/>
        <w:gridCol w:w="2452"/>
        <w:gridCol w:w="1649"/>
      </w:tblGrid>
      <w:tr w:rsidR="00061F17" w:rsidRPr="008D153A" w:rsidTr="002A225A">
        <w:trPr>
          <w:cnfStyle w:val="100000000000" w:firstRow="1" w:lastRow="0" w:firstColumn="0" w:lastColumn="0" w:oddVBand="0" w:evenVBand="0" w:oddHBand="0" w:evenHBand="0" w:firstRowFirstColumn="0" w:firstRowLastColumn="0" w:lastRowFirstColumn="0" w:lastRowLastColumn="0"/>
          <w:trHeight w:val="385"/>
          <w:jc w:val="center"/>
        </w:trPr>
        <w:tc>
          <w:tcPr>
            <w:tcW w:w="2114" w:type="pct"/>
          </w:tcPr>
          <w:p w:rsidR="00061F17" w:rsidRPr="008D153A" w:rsidRDefault="00061F17" w:rsidP="00637721">
            <w:pPr>
              <w:pStyle w:val="Tablehead"/>
              <w:rPr>
                <w:lang w:eastAsia="en-GB"/>
              </w:rPr>
            </w:pPr>
            <w:r w:rsidRPr="008D153A">
              <w:rPr>
                <w:lang w:eastAsia="en-GB"/>
              </w:rPr>
              <w:t>Quantity</w:t>
            </w:r>
          </w:p>
        </w:tc>
        <w:tc>
          <w:tcPr>
            <w:tcW w:w="588" w:type="pct"/>
          </w:tcPr>
          <w:p w:rsidR="00061F17" w:rsidRPr="008D153A" w:rsidRDefault="00061F17" w:rsidP="00637721">
            <w:pPr>
              <w:pStyle w:val="Tablehead"/>
              <w:rPr>
                <w:lang w:eastAsia="en-GB"/>
              </w:rPr>
            </w:pPr>
            <w:r w:rsidRPr="008D153A">
              <w:rPr>
                <w:lang w:eastAsia="en-GB"/>
              </w:rPr>
              <w:t>Symbol</w:t>
            </w:r>
          </w:p>
        </w:tc>
        <w:tc>
          <w:tcPr>
            <w:tcW w:w="1374" w:type="pct"/>
          </w:tcPr>
          <w:p w:rsidR="00061F17" w:rsidRPr="008D153A" w:rsidRDefault="00061F17" w:rsidP="00637721">
            <w:pPr>
              <w:pStyle w:val="Tablehead"/>
              <w:rPr>
                <w:lang w:eastAsia="en-GB"/>
              </w:rPr>
            </w:pPr>
            <w:r w:rsidRPr="008D153A">
              <w:rPr>
                <w:lang w:eastAsia="en-GB"/>
              </w:rPr>
              <w:t>Unit</w:t>
            </w:r>
          </w:p>
        </w:tc>
        <w:tc>
          <w:tcPr>
            <w:tcW w:w="924" w:type="pct"/>
          </w:tcPr>
          <w:p w:rsidR="00061F17" w:rsidRPr="008D153A" w:rsidRDefault="00061F17" w:rsidP="00637721">
            <w:pPr>
              <w:pStyle w:val="Tablehead"/>
              <w:rPr>
                <w:lang w:eastAsia="en-GB"/>
              </w:rPr>
            </w:pPr>
            <w:r w:rsidRPr="008D153A">
              <w:rPr>
                <w:lang w:eastAsia="en-GB"/>
              </w:rPr>
              <w:t>Symbol</w:t>
            </w:r>
          </w:p>
        </w:tc>
      </w:tr>
      <w:tr w:rsidR="00061F17" w:rsidRPr="00D572A5"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061F17" w:rsidRPr="00D572A5" w:rsidRDefault="00061F17" w:rsidP="00637721">
            <w:pPr>
              <w:pStyle w:val="Tabletext"/>
              <w:rPr>
                <w:lang w:eastAsia="en-GB"/>
              </w:rPr>
            </w:pPr>
            <w:proofErr w:type="spellStart"/>
            <w:r w:rsidRPr="00D572A5">
              <w:rPr>
                <w:lang w:eastAsia="en-GB"/>
              </w:rPr>
              <w:t>Frequency</w:t>
            </w:r>
            <w:proofErr w:type="spellEnd"/>
          </w:p>
        </w:tc>
        <w:tc>
          <w:tcPr>
            <w:tcW w:w="588" w:type="pct"/>
          </w:tcPr>
          <w:p w:rsidR="00061F17" w:rsidRPr="00D572A5" w:rsidRDefault="00061F17" w:rsidP="00637721">
            <w:pPr>
              <w:pStyle w:val="Tabletext"/>
              <w:rPr>
                <w:lang w:eastAsia="en-GB"/>
              </w:rPr>
            </w:pPr>
            <w:r w:rsidRPr="00D572A5">
              <w:rPr>
                <w:lang w:eastAsia="en-GB"/>
              </w:rPr>
              <w:t>f</w:t>
            </w:r>
          </w:p>
        </w:tc>
        <w:tc>
          <w:tcPr>
            <w:tcW w:w="1374" w:type="pct"/>
          </w:tcPr>
          <w:p w:rsidR="00061F17" w:rsidRPr="00D572A5" w:rsidRDefault="00061F17" w:rsidP="00637721">
            <w:pPr>
              <w:pStyle w:val="Tabletext"/>
              <w:rPr>
                <w:lang w:eastAsia="en-GB"/>
              </w:rPr>
            </w:pPr>
            <w:r w:rsidRPr="00D572A5">
              <w:rPr>
                <w:lang w:eastAsia="en-GB"/>
              </w:rPr>
              <w:t>Hertz</w:t>
            </w:r>
          </w:p>
        </w:tc>
        <w:tc>
          <w:tcPr>
            <w:tcW w:w="924" w:type="pct"/>
          </w:tcPr>
          <w:p w:rsidR="00061F17" w:rsidRPr="00D572A5" w:rsidRDefault="00061F17" w:rsidP="00637721">
            <w:pPr>
              <w:pStyle w:val="Tabletext"/>
              <w:rPr>
                <w:lang w:eastAsia="en-GB"/>
              </w:rPr>
            </w:pPr>
            <w:r w:rsidRPr="00D572A5">
              <w:rPr>
                <w:lang w:eastAsia="en-GB"/>
              </w:rPr>
              <w:t>Hz</w:t>
            </w:r>
          </w:p>
        </w:tc>
      </w:tr>
      <w:tr w:rsidR="00061F17" w:rsidRPr="00D572A5"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061F17" w:rsidRPr="00D572A5" w:rsidRDefault="00061F17" w:rsidP="00637721">
            <w:pPr>
              <w:pStyle w:val="Tabletext"/>
              <w:rPr>
                <w:lang w:eastAsia="en-GB"/>
              </w:rPr>
            </w:pPr>
            <w:r w:rsidRPr="00D572A5">
              <w:rPr>
                <w:lang w:eastAsia="en-GB"/>
              </w:rPr>
              <w:t xml:space="preserve">Electric </w:t>
            </w:r>
            <w:proofErr w:type="spellStart"/>
            <w:r w:rsidRPr="00D572A5">
              <w:rPr>
                <w:lang w:eastAsia="en-GB"/>
              </w:rPr>
              <w:t>field</w:t>
            </w:r>
            <w:proofErr w:type="spellEnd"/>
            <w:r w:rsidRPr="00D572A5">
              <w:rPr>
                <w:lang w:eastAsia="en-GB"/>
              </w:rPr>
              <w:t xml:space="preserve"> </w:t>
            </w:r>
            <w:proofErr w:type="spellStart"/>
            <w:r w:rsidRPr="00D572A5">
              <w:rPr>
                <w:lang w:eastAsia="en-GB"/>
              </w:rPr>
              <w:t>strength</w:t>
            </w:r>
            <w:proofErr w:type="spellEnd"/>
          </w:p>
        </w:tc>
        <w:tc>
          <w:tcPr>
            <w:tcW w:w="588" w:type="pct"/>
          </w:tcPr>
          <w:p w:rsidR="00061F17" w:rsidRPr="00D572A5" w:rsidRDefault="00061F17" w:rsidP="00637721">
            <w:pPr>
              <w:pStyle w:val="Tabletext"/>
              <w:rPr>
                <w:lang w:eastAsia="en-GB"/>
              </w:rPr>
            </w:pPr>
            <w:r w:rsidRPr="00D572A5">
              <w:rPr>
                <w:lang w:eastAsia="en-GB"/>
              </w:rPr>
              <w:t>E</w:t>
            </w:r>
          </w:p>
        </w:tc>
        <w:tc>
          <w:tcPr>
            <w:tcW w:w="1374" w:type="pct"/>
          </w:tcPr>
          <w:p w:rsidR="00061F17" w:rsidRPr="00D572A5" w:rsidRDefault="00061F17" w:rsidP="00637721">
            <w:pPr>
              <w:pStyle w:val="Tabletext"/>
              <w:rPr>
                <w:lang w:eastAsia="en-GB"/>
              </w:rPr>
            </w:pPr>
            <w:r w:rsidRPr="00D572A5">
              <w:rPr>
                <w:lang w:eastAsia="en-GB"/>
              </w:rPr>
              <w:t xml:space="preserve">Volt per </w:t>
            </w:r>
            <w:proofErr w:type="spellStart"/>
            <w:r w:rsidRPr="00D572A5">
              <w:rPr>
                <w:lang w:eastAsia="en-GB"/>
              </w:rPr>
              <w:t>metre</w:t>
            </w:r>
            <w:proofErr w:type="spellEnd"/>
          </w:p>
        </w:tc>
        <w:tc>
          <w:tcPr>
            <w:tcW w:w="924" w:type="pct"/>
          </w:tcPr>
          <w:p w:rsidR="00061F17" w:rsidRPr="00D572A5" w:rsidRDefault="00061F17" w:rsidP="00637721">
            <w:pPr>
              <w:pStyle w:val="Tabletext"/>
              <w:rPr>
                <w:lang w:eastAsia="en-GB"/>
              </w:rPr>
            </w:pPr>
            <w:r w:rsidRPr="00D572A5">
              <w:rPr>
                <w:lang w:eastAsia="en-GB"/>
              </w:rPr>
              <w:t>V/m</w:t>
            </w:r>
          </w:p>
        </w:tc>
      </w:tr>
      <w:tr w:rsidR="00061F17" w:rsidRPr="00D572A5"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061F17" w:rsidRPr="00D572A5" w:rsidRDefault="00061F17" w:rsidP="00637721">
            <w:pPr>
              <w:pStyle w:val="Tabletext"/>
              <w:rPr>
                <w:lang w:eastAsia="en-GB"/>
              </w:rPr>
            </w:pPr>
            <w:r w:rsidRPr="00D572A5">
              <w:rPr>
                <w:lang w:eastAsia="en-GB"/>
              </w:rPr>
              <w:t>Power</w:t>
            </w:r>
          </w:p>
        </w:tc>
        <w:tc>
          <w:tcPr>
            <w:tcW w:w="588" w:type="pct"/>
          </w:tcPr>
          <w:p w:rsidR="00061F17" w:rsidRPr="00D572A5" w:rsidRDefault="00061F17" w:rsidP="00637721">
            <w:pPr>
              <w:pStyle w:val="Tabletext"/>
              <w:rPr>
                <w:lang w:eastAsia="en-GB"/>
              </w:rPr>
            </w:pPr>
            <w:r w:rsidRPr="00D572A5">
              <w:rPr>
                <w:lang w:eastAsia="en-GB"/>
              </w:rPr>
              <w:t>P</w:t>
            </w:r>
          </w:p>
        </w:tc>
        <w:tc>
          <w:tcPr>
            <w:tcW w:w="1374" w:type="pct"/>
          </w:tcPr>
          <w:p w:rsidR="00061F17" w:rsidRPr="00D572A5" w:rsidRDefault="00061F17" w:rsidP="00637721">
            <w:pPr>
              <w:pStyle w:val="Tabletext"/>
              <w:rPr>
                <w:lang w:eastAsia="en-GB"/>
              </w:rPr>
            </w:pPr>
            <w:r w:rsidRPr="00D572A5">
              <w:rPr>
                <w:lang w:eastAsia="en-GB"/>
              </w:rPr>
              <w:t>Watts</w:t>
            </w:r>
          </w:p>
        </w:tc>
        <w:tc>
          <w:tcPr>
            <w:tcW w:w="924" w:type="pct"/>
          </w:tcPr>
          <w:p w:rsidR="00061F17" w:rsidRPr="00D572A5" w:rsidRDefault="00061F17" w:rsidP="00637721">
            <w:pPr>
              <w:pStyle w:val="Tabletext"/>
              <w:rPr>
                <w:lang w:eastAsia="en-GB"/>
              </w:rPr>
            </w:pPr>
            <w:r w:rsidRPr="00D572A5">
              <w:rPr>
                <w:lang w:eastAsia="en-GB"/>
              </w:rPr>
              <w:t>W</w:t>
            </w:r>
          </w:p>
        </w:tc>
      </w:tr>
      <w:tr w:rsidR="00061F17" w:rsidRPr="00D572A5"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061F17" w:rsidRPr="00D572A5" w:rsidRDefault="00061F17" w:rsidP="00637721">
            <w:pPr>
              <w:pStyle w:val="Tabletext"/>
              <w:rPr>
                <w:lang w:eastAsia="en-GB"/>
              </w:rPr>
            </w:pPr>
            <w:proofErr w:type="spellStart"/>
            <w:r w:rsidRPr="00D572A5">
              <w:rPr>
                <w:lang w:eastAsia="en-GB"/>
              </w:rPr>
              <w:t>Specific</w:t>
            </w:r>
            <w:proofErr w:type="spellEnd"/>
            <w:r w:rsidRPr="00D572A5">
              <w:rPr>
                <w:lang w:eastAsia="en-GB"/>
              </w:rPr>
              <w:t xml:space="preserve"> Absorption Rate </w:t>
            </w:r>
          </w:p>
        </w:tc>
        <w:tc>
          <w:tcPr>
            <w:tcW w:w="588" w:type="pct"/>
          </w:tcPr>
          <w:p w:rsidR="00061F17" w:rsidRPr="00D572A5" w:rsidRDefault="00061F17" w:rsidP="00637721">
            <w:pPr>
              <w:pStyle w:val="Tabletext"/>
              <w:rPr>
                <w:lang w:eastAsia="en-GB"/>
              </w:rPr>
            </w:pPr>
            <w:r w:rsidRPr="00D572A5">
              <w:rPr>
                <w:lang w:eastAsia="en-GB"/>
              </w:rPr>
              <w:t>SAR</w:t>
            </w:r>
          </w:p>
        </w:tc>
        <w:tc>
          <w:tcPr>
            <w:tcW w:w="1374" w:type="pct"/>
          </w:tcPr>
          <w:p w:rsidR="00061F17" w:rsidRPr="007A19CC" w:rsidRDefault="00061F17" w:rsidP="00637721">
            <w:pPr>
              <w:pStyle w:val="Tabletext"/>
              <w:rPr>
                <w:lang w:val="en-US" w:eastAsia="en-GB"/>
              </w:rPr>
            </w:pPr>
            <w:r w:rsidRPr="007A19CC">
              <w:rPr>
                <w:lang w:val="en-US" w:eastAsia="en-GB"/>
              </w:rPr>
              <w:t xml:space="preserve">Watt per kilogram or </w:t>
            </w:r>
            <w:proofErr w:type="spellStart"/>
            <w:r w:rsidRPr="007A19CC">
              <w:rPr>
                <w:lang w:val="en-US" w:eastAsia="en-GB"/>
              </w:rPr>
              <w:t>milliWatt</w:t>
            </w:r>
            <w:proofErr w:type="spellEnd"/>
            <w:r w:rsidRPr="007A19CC">
              <w:rPr>
                <w:lang w:val="en-US" w:eastAsia="en-GB"/>
              </w:rPr>
              <w:t xml:space="preserve"> per gram</w:t>
            </w:r>
          </w:p>
        </w:tc>
        <w:tc>
          <w:tcPr>
            <w:tcW w:w="924" w:type="pct"/>
          </w:tcPr>
          <w:p w:rsidR="00061F17" w:rsidRPr="00D572A5" w:rsidRDefault="00061F17" w:rsidP="00637721">
            <w:pPr>
              <w:pStyle w:val="Tabletext"/>
              <w:rPr>
                <w:lang w:eastAsia="en-GB"/>
              </w:rPr>
            </w:pPr>
            <w:r w:rsidRPr="00D572A5">
              <w:rPr>
                <w:lang w:eastAsia="en-GB"/>
              </w:rPr>
              <w:t>W/kg or mW/g</w:t>
            </w:r>
          </w:p>
        </w:tc>
      </w:tr>
      <w:tr w:rsidR="00061F17" w:rsidRPr="00D572A5"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vMerge w:val="restart"/>
          </w:tcPr>
          <w:p w:rsidR="00061F17" w:rsidRPr="007A19CC" w:rsidRDefault="00061F17" w:rsidP="00637721">
            <w:pPr>
              <w:pStyle w:val="Tabletext"/>
              <w:rPr>
                <w:lang w:val="en-US" w:eastAsia="en-GB"/>
              </w:rPr>
            </w:pPr>
            <w:r w:rsidRPr="007A19CC">
              <w:rPr>
                <w:lang w:val="en-US" w:eastAsia="en-GB"/>
              </w:rPr>
              <w:t xml:space="preserve">Power density or power flux density </w:t>
            </w:r>
          </w:p>
        </w:tc>
        <w:tc>
          <w:tcPr>
            <w:tcW w:w="588" w:type="pct"/>
            <w:vMerge w:val="restart"/>
          </w:tcPr>
          <w:p w:rsidR="00061F17" w:rsidRPr="00D572A5" w:rsidRDefault="00061F17" w:rsidP="00637721">
            <w:pPr>
              <w:pStyle w:val="Tabletext"/>
              <w:rPr>
                <w:lang w:eastAsia="en-GB"/>
              </w:rPr>
            </w:pPr>
            <w:r w:rsidRPr="00D572A5">
              <w:rPr>
                <w:lang w:eastAsia="en-GB"/>
              </w:rPr>
              <w:t>S</w:t>
            </w:r>
          </w:p>
        </w:tc>
        <w:tc>
          <w:tcPr>
            <w:tcW w:w="1374" w:type="pct"/>
          </w:tcPr>
          <w:p w:rsidR="00061F17" w:rsidRPr="00D572A5" w:rsidRDefault="00061F17" w:rsidP="00637721">
            <w:pPr>
              <w:pStyle w:val="Tabletext"/>
              <w:rPr>
                <w:lang w:eastAsia="en-GB"/>
              </w:rPr>
            </w:pPr>
            <w:r w:rsidRPr="00D572A5">
              <w:rPr>
                <w:lang w:eastAsia="en-GB"/>
              </w:rPr>
              <w:t xml:space="preserve">Watt per square </w:t>
            </w:r>
            <w:proofErr w:type="spellStart"/>
            <w:r w:rsidRPr="00D572A5">
              <w:rPr>
                <w:lang w:eastAsia="en-GB"/>
              </w:rPr>
              <w:t>metre</w:t>
            </w:r>
            <w:proofErr w:type="spellEnd"/>
          </w:p>
        </w:tc>
        <w:tc>
          <w:tcPr>
            <w:tcW w:w="924" w:type="pct"/>
          </w:tcPr>
          <w:p w:rsidR="00061F17" w:rsidRPr="00D572A5" w:rsidRDefault="00061F17" w:rsidP="00637721">
            <w:pPr>
              <w:pStyle w:val="Tabletext"/>
              <w:rPr>
                <w:lang w:eastAsia="en-GB"/>
              </w:rPr>
            </w:pPr>
            <w:r w:rsidRPr="00D572A5">
              <w:rPr>
                <w:lang w:eastAsia="en-GB"/>
              </w:rPr>
              <w:t>W/m²</w:t>
            </w:r>
          </w:p>
        </w:tc>
      </w:tr>
      <w:tr w:rsidR="00061F17" w:rsidRPr="00D572A5"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vMerge/>
          </w:tcPr>
          <w:p w:rsidR="00061F17" w:rsidRPr="00D572A5" w:rsidRDefault="00061F17" w:rsidP="00061F17">
            <w:pPr>
              <w:pStyle w:val="BodyText"/>
              <w:rPr>
                <w:rFonts w:ascii="Verdana" w:hAnsi="Verdana"/>
                <w:sz w:val="19"/>
                <w:szCs w:val="19"/>
                <w:lang w:eastAsia="en-GB"/>
              </w:rPr>
            </w:pPr>
          </w:p>
        </w:tc>
        <w:tc>
          <w:tcPr>
            <w:tcW w:w="588" w:type="pct"/>
            <w:vMerge/>
          </w:tcPr>
          <w:p w:rsidR="00061F17" w:rsidRPr="00D572A5" w:rsidRDefault="00061F17" w:rsidP="00061F17">
            <w:pPr>
              <w:pStyle w:val="BodyText"/>
              <w:rPr>
                <w:rFonts w:ascii="Verdana" w:hAnsi="Verdana"/>
                <w:sz w:val="19"/>
                <w:szCs w:val="19"/>
                <w:lang w:eastAsia="en-GB"/>
              </w:rPr>
            </w:pPr>
          </w:p>
        </w:tc>
        <w:tc>
          <w:tcPr>
            <w:tcW w:w="1374" w:type="pct"/>
          </w:tcPr>
          <w:p w:rsidR="00061F17" w:rsidRPr="00D572A5" w:rsidRDefault="00061F17" w:rsidP="00637721">
            <w:pPr>
              <w:pStyle w:val="Tabletext"/>
              <w:rPr>
                <w:lang w:eastAsia="en-GB"/>
              </w:rPr>
            </w:pPr>
            <w:proofErr w:type="spellStart"/>
            <w:r w:rsidRPr="00D572A5">
              <w:rPr>
                <w:lang w:eastAsia="en-GB"/>
              </w:rPr>
              <w:t>mWatt</w:t>
            </w:r>
            <w:proofErr w:type="spellEnd"/>
            <w:r w:rsidRPr="00D572A5">
              <w:rPr>
                <w:lang w:eastAsia="en-GB"/>
              </w:rPr>
              <w:t xml:space="preserve"> per square cm</w:t>
            </w:r>
          </w:p>
        </w:tc>
        <w:tc>
          <w:tcPr>
            <w:tcW w:w="924" w:type="pct"/>
          </w:tcPr>
          <w:p w:rsidR="00061F17" w:rsidRPr="00D572A5" w:rsidRDefault="00061F17" w:rsidP="00637721">
            <w:pPr>
              <w:pStyle w:val="Tabletext"/>
              <w:rPr>
                <w:lang w:eastAsia="en-GB"/>
              </w:rPr>
            </w:pPr>
            <w:r w:rsidRPr="00D572A5">
              <w:rPr>
                <w:lang w:eastAsia="en-GB"/>
              </w:rPr>
              <w:t>mW/cm²</w:t>
            </w:r>
          </w:p>
        </w:tc>
      </w:tr>
    </w:tbl>
    <w:p w:rsidR="00C20DC1" w:rsidRDefault="00C20DC1" w:rsidP="00F37D6C">
      <w:pPr>
        <w:rPr>
          <w:lang w:val="en-US"/>
        </w:rPr>
      </w:pPr>
    </w:p>
    <w:p w:rsidR="00061F17" w:rsidRPr="007A19CC" w:rsidRDefault="00061F17" w:rsidP="00F37D6C">
      <w:pPr>
        <w:rPr>
          <w:lang w:val="en-US"/>
        </w:rPr>
      </w:pPr>
      <w:r w:rsidRPr="007A19CC">
        <w:rPr>
          <w:lang w:val="en-US"/>
        </w:rPr>
        <w:t xml:space="preserve">Various institutions define the allowed limits permitted in specific regions: ICNIRP (1998, </w:t>
      </w:r>
      <w:r w:rsidRPr="007A19CC">
        <w:rPr>
          <w:i/>
          <w:iCs/>
          <w:lang w:val="en-US"/>
        </w:rPr>
        <w:t>Guidelines</w:t>
      </w:r>
      <w:r w:rsidRPr="007A19CC">
        <w:rPr>
          <w:lang w:val="en-US"/>
        </w:rPr>
        <w:t xml:space="preserve">); FCC- Federal Communications Commission (1997, </w:t>
      </w:r>
      <w:r w:rsidRPr="007A19CC">
        <w:rPr>
          <w:i/>
          <w:iCs/>
          <w:lang w:val="en-US"/>
        </w:rPr>
        <w:t>Bulletin 65</w:t>
      </w:r>
      <w:r w:rsidRPr="007A19CC">
        <w:rPr>
          <w:lang w:val="en-US"/>
        </w:rPr>
        <w:t xml:space="preserve">), developed by IEEE (Institute of Electrical and Electronic Engineers) 1991 C95.1 and adopted by ANSI (American National Standards Institute) (1992, ANSI/IEEE C95.1); IEEE 2006 standard (C95.1-2005), not adopted by FCC. ICNIRP (1998 p. 509 table 4 and p. 511 table 7) defines the exposure thresholds of the World Health </w:t>
      </w:r>
      <w:proofErr w:type="spellStart"/>
      <w:r w:rsidRPr="007A19CC">
        <w:rPr>
          <w:lang w:val="en-US"/>
        </w:rPr>
        <w:t>Organisation</w:t>
      </w:r>
      <w:proofErr w:type="spellEnd"/>
      <w:r w:rsidRPr="007A19CC">
        <w:rPr>
          <w:lang w:val="en-US"/>
        </w:rPr>
        <w:t xml:space="preserve"> (WHO) for EMF. The European Council EC 1999/519 (Annex III, tables 1 and 2) adopted its values.   The following tables refer to the exposure limits for general public/ uncontrolled/ unperturbed environment (unlike the controlled/ occupational) for the cellular (UHF bands), where 'f' represents frequency in MHz, unless otherwise stated. </w:t>
      </w:r>
    </w:p>
    <w:p w:rsidR="00061F17" w:rsidRPr="007A19CC" w:rsidRDefault="00061F17" w:rsidP="00F37D6C">
      <w:pPr>
        <w:rPr>
          <w:lang w:val="en-US"/>
        </w:rPr>
      </w:pPr>
      <w:r w:rsidRPr="007A19CC">
        <w:rPr>
          <w:lang w:val="en-US"/>
        </w:rPr>
        <w:t>A distinction is made between the exposure levels from cellular base stations and handsets. The hazards from a base station’s radiation refer to the field intensity and power density generated, whereas the hazards from handsets are considered by the SAR value. The reason for the two different approaches: the far-field standard (easily computable and measured) is used for the base station case, whereas the near-field standard (SAR and phantom-based measurements) is applied for the handset case. The standards and guidelines give the 'baseline limits' for power density and SAR.</w:t>
      </w:r>
    </w:p>
    <w:p w:rsidR="00002906" w:rsidRDefault="00002906" w:rsidP="00B754AE">
      <w:pPr>
        <w:pStyle w:val="HeadingB"/>
      </w:pPr>
      <w:bookmarkStart w:id="99" w:name="_Toc361912441"/>
      <w:bookmarkStart w:id="100" w:name="_Toc374691841"/>
      <w:bookmarkStart w:id="101" w:name="_Toc149211791"/>
      <w:r>
        <w:br w:type="page"/>
      </w:r>
    </w:p>
    <w:p w:rsidR="00061F17" w:rsidRPr="00B10CC5" w:rsidRDefault="00061F17" w:rsidP="00C15B34">
      <w:pPr>
        <w:pStyle w:val="Heading1"/>
        <w:rPr>
          <w:smallCaps/>
        </w:rPr>
      </w:pPr>
      <w:r w:rsidRPr="00C15B34">
        <w:lastRenderedPageBreak/>
        <w:t>Annex</w:t>
      </w:r>
      <w:r>
        <w:t xml:space="preserve"> 2: </w:t>
      </w:r>
      <w:r w:rsidR="00357951">
        <w:tab/>
      </w:r>
      <w:r>
        <w:t>ICNIRP 1998 Exposure Levels and IEEE L</w:t>
      </w:r>
      <w:r w:rsidRPr="00B10CC5">
        <w:t>evels</w:t>
      </w:r>
      <w:bookmarkEnd w:id="99"/>
      <w:bookmarkEnd w:id="100"/>
    </w:p>
    <w:p w:rsidR="00061F17" w:rsidRPr="00413C13" w:rsidRDefault="001970D2" w:rsidP="00F37D6C">
      <w:pPr>
        <w:pStyle w:val="Tabletitle"/>
        <w:spacing w:before="120"/>
        <w:rPr>
          <w:lang w:val="en-GB" w:eastAsia="en-GB"/>
        </w:rPr>
      </w:pPr>
      <w:bookmarkStart w:id="102" w:name="_Toc361912442"/>
      <w:r w:rsidRPr="001970D2">
        <w:rPr>
          <w:rStyle w:val="FootnoteReference"/>
          <w:lang w:val="en-US"/>
        </w:rPr>
        <w:footnoteReference w:customMarkFollows="1" w:id="22"/>
        <w:t>1</w:t>
      </w:r>
      <w:r w:rsidR="00061F17" w:rsidRPr="00061F17">
        <w:t>Table 2</w:t>
      </w:r>
      <w:r w:rsidR="00061F17" w:rsidRPr="00061F17">
        <w:rPr>
          <w:lang w:eastAsia="en-GB"/>
        </w:rPr>
        <w:t>: ICNIRP (1998:511) Reference levels for occupational and general public exposure</w:t>
      </w:r>
      <w:bookmarkEnd w:id="102"/>
    </w:p>
    <w:tbl>
      <w:tblPr>
        <w:tblStyle w:val="Style1"/>
        <w:tblW w:w="4851" w:type="pct"/>
        <w:jc w:val="center"/>
        <w:tblLook w:val="01E0" w:firstRow="1" w:lastRow="1" w:firstColumn="1" w:lastColumn="1" w:noHBand="0" w:noVBand="0"/>
      </w:tblPr>
      <w:tblGrid>
        <w:gridCol w:w="2702"/>
        <w:gridCol w:w="1842"/>
        <w:gridCol w:w="1487"/>
        <w:gridCol w:w="1485"/>
        <w:gridCol w:w="1494"/>
      </w:tblGrid>
      <w:tr w:rsidR="00061F17" w:rsidRPr="004C088A" w:rsidTr="002A225A">
        <w:trPr>
          <w:cnfStyle w:val="100000000000" w:firstRow="1" w:lastRow="0" w:firstColumn="0" w:lastColumn="0" w:oddVBand="0" w:evenVBand="0" w:oddHBand="0" w:evenHBand="0" w:firstRowFirstColumn="0" w:firstRowLastColumn="0" w:lastRowFirstColumn="0" w:lastRowLastColumn="0"/>
          <w:trHeight w:val="664"/>
          <w:jc w:val="center"/>
        </w:trPr>
        <w:tc>
          <w:tcPr>
            <w:tcW w:w="1500" w:type="pct"/>
            <w:hideMark/>
          </w:tcPr>
          <w:p w:rsidR="00061F17" w:rsidRPr="000B0EF9" w:rsidRDefault="00061F17" w:rsidP="00F37D6C">
            <w:pPr>
              <w:pStyle w:val="Tablehead"/>
              <w:rPr>
                <w:lang w:val="en-GB" w:eastAsia="en-GB"/>
              </w:rPr>
            </w:pPr>
            <w:r w:rsidRPr="000B0EF9">
              <w:rPr>
                <w:lang w:eastAsia="en-GB"/>
              </w:rPr>
              <w:t>Frequency  range</w:t>
            </w:r>
          </w:p>
        </w:tc>
        <w:tc>
          <w:tcPr>
            <w:tcW w:w="1846" w:type="pct"/>
            <w:gridSpan w:val="2"/>
            <w:hideMark/>
          </w:tcPr>
          <w:p w:rsidR="00061F17" w:rsidRPr="000B0EF9" w:rsidRDefault="00061F17" w:rsidP="00F37D6C">
            <w:pPr>
              <w:pStyle w:val="Tablehead"/>
              <w:rPr>
                <w:lang w:val="en-GB" w:eastAsia="en-GB"/>
              </w:rPr>
            </w:pPr>
            <w:r w:rsidRPr="00061F17">
              <w:rPr>
                <w:lang w:eastAsia="en-GB"/>
              </w:rPr>
              <w:t>Electric field strength (V/m)</w:t>
            </w:r>
          </w:p>
        </w:tc>
        <w:tc>
          <w:tcPr>
            <w:tcW w:w="1654" w:type="pct"/>
            <w:gridSpan w:val="2"/>
            <w:hideMark/>
          </w:tcPr>
          <w:p w:rsidR="00061F17" w:rsidRPr="000B0EF9" w:rsidRDefault="00061F17" w:rsidP="00F37D6C">
            <w:pPr>
              <w:pStyle w:val="Tablehead"/>
              <w:rPr>
                <w:lang w:val="en-GB" w:eastAsia="en-GB"/>
              </w:rPr>
            </w:pPr>
            <w:r w:rsidRPr="00061F17">
              <w:rPr>
                <w:lang w:eastAsia="en-GB"/>
              </w:rPr>
              <w:t xml:space="preserve">Equivalent plane wave power density </w:t>
            </w:r>
            <w:proofErr w:type="spellStart"/>
            <w:r w:rsidRPr="00061F17">
              <w:rPr>
                <w:lang w:eastAsia="en-GB"/>
              </w:rPr>
              <w:t>S</w:t>
            </w:r>
            <w:r w:rsidRPr="00061F17">
              <w:rPr>
                <w:vertAlign w:val="subscript"/>
                <w:lang w:eastAsia="en-GB"/>
              </w:rPr>
              <w:t>eq</w:t>
            </w:r>
            <w:proofErr w:type="spellEnd"/>
            <w:r w:rsidRPr="00061F17">
              <w:rPr>
                <w:lang w:eastAsia="en-GB"/>
              </w:rPr>
              <w:t>(W/m</w:t>
            </w:r>
            <w:r w:rsidRPr="00061F17">
              <w:rPr>
                <w:vertAlign w:val="superscript"/>
                <w:lang w:eastAsia="en-GB"/>
              </w:rPr>
              <w:t>2</w:t>
            </w:r>
            <w:r w:rsidRPr="00061F17">
              <w:rPr>
                <w:lang w:eastAsia="en-GB"/>
              </w:rPr>
              <w:t>)</w:t>
            </w: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345"/>
          <w:jc w:val="center"/>
        </w:trPr>
        <w:tc>
          <w:tcPr>
            <w:tcW w:w="1500" w:type="pct"/>
          </w:tcPr>
          <w:p w:rsidR="00061F17" w:rsidRPr="00BC042E" w:rsidRDefault="00061F17" w:rsidP="00F37D6C">
            <w:pPr>
              <w:pStyle w:val="Tabletext"/>
              <w:rPr>
                <w:lang w:val="en-GB" w:eastAsia="en-GB"/>
              </w:rPr>
            </w:pPr>
          </w:p>
        </w:tc>
        <w:tc>
          <w:tcPr>
            <w:tcW w:w="1022" w:type="pct"/>
            <w:hideMark/>
          </w:tcPr>
          <w:p w:rsidR="00061F17" w:rsidRPr="00BC042E" w:rsidRDefault="00061F17" w:rsidP="00F37D6C">
            <w:pPr>
              <w:pStyle w:val="Tabletext"/>
              <w:rPr>
                <w:b/>
                <w:lang w:val="en-GB" w:eastAsia="en-GB"/>
              </w:rPr>
            </w:pPr>
            <w:proofErr w:type="spellStart"/>
            <w:r w:rsidRPr="00BC042E">
              <w:rPr>
                <w:rFonts w:eastAsiaTheme="minorHAnsi"/>
                <w:b/>
                <w:lang w:eastAsia="en-US"/>
              </w:rPr>
              <w:t>general</w:t>
            </w:r>
            <w:proofErr w:type="spellEnd"/>
            <w:r w:rsidRPr="00BC042E">
              <w:rPr>
                <w:rFonts w:eastAsiaTheme="minorHAnsi"/>
                <w:b/>
                <w:lang w:eastAsia="en-US"/>
              </w:rPr>
              <w:t xml:space="preserve"> public</w:t>
            </w:r>
          </w:p>
        </w:tc>
        <w:tc>
          <w:tcPr>
            <w:tcW w:w="825" w:type="pct"/>
            <w:hideMark/>
          </w:tcPr>
          <w:p w:rsidR="00061F17" w:rsidRPr="00BC042E" w:rsidRDefault="00061F17" w:rsidP="00F37D6C">
            <w:pPr>
              <w:pStyle w:val="Tabletext"/>
              <w:rPr>
                <w:b/>
                <w:lang w:val="en-GB" w:eastAsia="en-GB"/>
              </w:rPr>
            </w:pPr>
            <w:proofErr w:type="spellStart"/>
            <w:r w:rsidRPr="00BC042E">
              <w:rPr>
                <w:rFonts w:eastAsiaTheme="minorHAnsi"/>
                <w:b/>
                <w:lang w:eastAsia="en-US"/>
              </w:rPr>
              <w:t>occupational</w:t>
            </w:r>
            <w:proofErr w:type="spellEnd"/>
          </w:p>
        </w:tc>
        <w:tc>
          <w:tcPr>
            <w:tcW w:w="824" w:type="pct"/>
            <w:hideMark/>
          </w:tcPr>
          <w:p w:rsidR="00061F17" w:rsidRPr="00BC042E" w:rsidRDefault="00061F17" w:rsidP="00F37D6C">
            <w:pPr>
              <w:pStyle w:val="Tabletext"/>
              <w:rPr>
                <w:b/>
                <w:lang w:val="en-GB" w:eastAsia="en-GB"/>
              </w:rPr>
            </w:pPr>
            <w:proofErr w:type="spellStart"/>
            <w:r w:rsidRPr="00BC042E">
              <w:rPr>
                <w:rFonts w:eastAsiaTheme="minorHAnsi"/>
                <w:b/>
                <w:lang w:eastAsia="en-US"/>
              </w:rPr>
              <w:t>general</w:t>
            </w:r>
            <w:proofErr w:type="spellEnd"/>
            <w:r w:rsidRPr="00BC042E">
              <w:rPr>
                <w:rFonts w:eastAsiaTheme="minorHAnsi"/>
                <w:b/>
                <w:lang w:eastAsia="en-US"/>
              </w:rPr>
              <w:t xml:space="preserve"> public</w:t>
            </w:r>
          </w:p>
        </w:tc>
        <w:tc>
          <w:tcPr>
            <w:tcW w:w="830" w:type="pct"/>
            <w:hideMark/>
          </w:tcPr>
          <w:p w:rsidR="00061F17" w:rsidRPr="00BC042E" w:rsidRDefault="00061F17" w:rsidP="00F37D6C">
            <w:pPr>
              <w:pStyle w:val="Tabletext"/>
              <w:rPr>
                <w:b/>
                <w:lang w:val="en-GB" w:eastAsia="en-GB"/>
              </w:rPr>
            </w:pPr>
            <w:proofErr w:type="spellStart"/>
            <w:r w:rsidRPr="00BC042E">
              <w:rPr>
                <w:rFonts w:eastAsiaTheme="minorHAnsi"/>
                <w:b/>
                <w:lang w:eastAsia="en-US"/>
              </w:rPr>
              <w:t>Occupational</w:t>
            </w:r>
            <w:proofErr w:type="spellEnd"/>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1-25  Hz </w:t>
            </w:r>
          </w:p>
        </w:tc>
        <w:tc>
          <w:tcPr>
            <w:tcW w:w="1022" w:type="pct"/>
            <w:hideMark/>
          </w:tcPr>
          <w:p w:rsidR="00061F17" w:rsidRPr="00BC042E" w:rsidRDefault="00061F17" w:rsidP="00F37D6C">
            <w:pPr>
              <w:pStyle w:val="Tabletext"/>
              <w:rPr>
                <w:lang w:val="en-GB" w:eastAsia="en-GB"/>
              </w:rPr>
            </w:pPr>
            <w:r w:rsidRPr="00BC042E">
              <w:rPr>
                <w:lang w:eastAsia="en-GB"/>
              </w:rPr>
              <w:t>10,000</w:t>
            </w:r>
          </w:p>
        </w:tc>
        <w:tc>
          <w:tcPr>
            <w:tcW w:w="825" w:type="pct"/>
            <w:hideMark/>
          </w:tcPr>
          <w:p w:rsidR="00061F17" w:rsidRPr="00BC042E" w:rsidRDefault="00061F17" w:rsidP="00F37D6C">
            <w:pPr>
              <w:pStyle w:val="Tabletext"/>
              <w:rPr>
                <w:lang w:val="en-GB" w:eastAsia="en-GB"/>
              </w:rPr>
            </w:pPr>
            <w:r w:rsidRPr="00BC042E">
              <w:rPr>
                <w:lang w:eastAsia="en-GB"/>
              </w:rPr>
              <w:t>20,000</w:t>
            </w:r>
          </w:p>
        </w:tc>
        <w:tc>
          <w:tcPr>
            <w:tcW w:w="1654" w:type="pct"/>
            <w:gridSpan w:val="2"/>
            <w:vMerge w:val="restart"/>
            <w:hideMark/>
          </w:tcPr>
          <w:p w:rsidR="00061F17" w:rsidRPr="00BC042E" w:rsidRDefault="00061F17" w:rsidP="00F37D6C">
            <w:pPr>
              <w:pStyle w:val="Tabletext"/>
              <w:rPr>
                <w:lang w:val="en-GB" w:eastAsia="en-GB"/>
              </w:rPr>
            </w:pP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0.025- 0.82 KHz </w:t>
            </w:r>
          </w:p>
        </w:tc>
        <w:tc>
          <w:tcPr>
            <w:tcW w:w="1022" w:type="pct"/>
            <w:hideMark/>
          </w:tcPr>
          <w:p w:rsidR="00061F17" w:rsidRPr="00BC042E" w:rsidRDefault="00061F17" w:rsidP="00F37D6C">
            <w:pPr>
              <w:pStyle w:val="Tabletext"/>
              <w:rPr>
                <w:lang w:val="en-GB" w:eastAsia="en-GB"/>
              </w:rPr>
            </w:pPr>
            <w:r w:rsidRPr="00BC042E">
              <w:rPr>
                <w:lang w:eastAsia="en-GB"/>
              </w:rPr>
              <w:t>250/f(KHz)</w:t>
            </w:r>
          </w:p>
        </w:tc>
        <w:tc>
          <w:tcPr>
            <w:tcW w:w="825" w:type="pct"/>
            <w:hideMark/>
          </w:tcPr>
          <w:p w:rsidR="00061F17" w:rsidRPr="00BC042E" w:rsidRDefault="00061F17" w:rsidP="00F37D6C">
            <w:pPr>
              <w:pStyle w:val="Tabletext"/>
              <w:rPr>
                <w:lang w:val="en-GB" w:eastAsia="en-GB"/>
              </w:rPr>
            </w:pPr>
            <w:r w:rsidRPr="00BC042E">
              <w:rPr>
                <w:lang w:eastAsia="en-GB"/>
              </w:rPr>
              <w:t>500/f(KHz)</w:t>
            </w:r>
          </w:p>
        </w:tc>
        <w:tc>
          <w:tcPr>
            <w:tcW w:w="0" w:type="auto"/>
            <w:gridSpan w:val="2"/>
            <w:vMerge/>
            <w:hideMark/>
          </w:tcPr>
          <w:p w:rsidR="00061F17" w:rsidRPr="00BC042E" w:rsidRDefault="00061F17" w:rsidP="00F37D6C">
            <w:pPr>
              <w:pStyle w:val="Tabletext"/>
              <w:rPr>
                <w:lang w:val="en-GB" w:eastAsia="en-GB"/>
              </w:rPr>
            </w:pP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0.82 -3 KHz </w:t>
            </w:r>
          </w:p>
        </w:tc>
        <w:tc>
          <w:tcPr>
            <w:tcW w:w="1022" w:type="pct"/>
            <w:hideMark/>
          </w:tcPr>
          <w:p w:rsidR="00061F17" w:rsidRPr="00BC042E" w:rsidRDefault="00061F17" w:rsidP="00F37D6C">
            <w:pPr>
              <w:pStyle w:val="Tabletext"/>
              <w:rPr>
                <w:lang w:val="en-GB" w:eastAsia="en-GB"/>
              </w:rPr>
            </w:pPr>
            <w:r w:rsidRPr="00BC042E">
              <w:rPr>
                <w:lang w:eastAsia="en-GB"/>
              </w:rPr>
              <w:t>250/f(KHz)</w:t>
            </w:r>
          </w:p>
        </w:tc>
        <w:tc>
          <w:tcPr>
            <w:tcW w:w="825" w:type="pct"/>
            <w:hideMark/>
          </w:tcPr>
          <w:p w:rsidR="00061F17" w:rsidRPr="00BC042E" w:rsidRDefault="00061F17" w:rsidP="00F37D6C">
            <w:pPr>
              <w:pStyle w:val="Tabletext"/>
              <w:rPr>
                <w:lang w:val="en-GB" w:eastAsia="en-GB"/>
              </w:rPr>
            </w:pPr>
            <w:r w:rsidRPr="00BC042E">
              <w:rPr>
                <w:lang w:eastAsia="en-GB"/>
              </w:rPr>
              <w:t>610</w:t>
            </w:r>
          </w:p>
        </w:tc>
        <w:tc>
          <w:tcPr>
            <w:tcW w:w="0" w:type="auto"/>
            <w:gridSpan w:val="2"/>
            <w:vMerge/>
            <w:hideMark/>
          </w:tcPr>
          <w:p w:rsidR="00061F17" w:rsidRPr="00BC042E" w:rsidRDefault="00061F17" w:rsidP="00F37D6C">
            <w:pPr>
              <w:pStyle w:val="Tabletext"/>
              <w:rPr>
                <w:lang w:val="en-GB" w:eastAsia="en-GB"/>
              </w:rPr>
            </w:pP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3-1000 KHz </w:t>
            </w:r>
          </w:p>
        </w:tc>
        <w:tc>
          <w:tcPr>
            <w:tcW w:w="1022" w:type="pct"/>
            <w:hideMark/>
          </w:tcPr>
          <w:p w:rsidR="00061F17" w:rsidRPr="00BC042E" w:rsidRDefault="00061F17" w:rsidP="00F37D6C">
            <w:pPr>
              <w:pStyle w:val="Tabletext"/>
              <w:rPr>
                <w:lang w:val="en-GB" w:eastAsia="en-GB"/>
              </w:rPr>
            </w:pPr>
            <w:r w:rsidRPr="00BC042E">
              <w:rPr>
                <w:lang w:eastAsia="en-GB"/>
              </w:rPr>
              <w:t>87</w:t>
            </w:r>
          </w:p>
        </w:tc>
        <w:tc>
          <w:tcPr>
            <w:tcW w:w="825" w:type="pct"/>
            <w:hideMark/>
          </w:tcPr>
          <w:p w:rsidR="00061F17" w:rsidRPr="00BC042E" w:rsidRDefault="00061F17" w:rsidP="00F37D6C">
            <w:pPr>
              <w:pStyle w:val="Tabletext"/>
              <w:rPr>
                <w:lang w:val="en-GB" w:eastAsia="en-GB"/>
              </w:rPr>
            </w:pPr>
            <w:r w:rsidRPr="00BC042E">
              <w:rPr>
                <w:lang w:eastAsia="en-GB"/>
              </w:rPr>
              <w:t>610</w:t>
            </w:r>
          </w:p>
        </w:tc>
        <w:tc>
          <w:tcPr>
            <w:tcW w:w="0" w:type="auto"/>
            <w:gridSpan w:val="2"/>
            <w:vMerge/>
            <w:hideMark/>
          </w:tcPr>
          <w:p w:rsidR="00061F17" w:rsidRPr="00BC042E" w:rsidRDefault="00061F17" w:rsidP="00F37D6C">
            <w:pPr>
              <w:pStyle w:val="Tabletext"/>
              <w:rPr>
                <w:lang w:val="en-GB" w:eastAsia="en-GB"/>
              </w:rPr>
            </w:pP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1-10 MHz </w:t>
            </w:r>
          </w:p>
        </w:tc>
        <w:tc>
          <w:tcPr>
            <w:tcW w:w="1022" w:type="pct"/>
            <w:hideMark/>
          </w:tcPr>
          <w:p w:rsidR="00061F17" w:rsidRPr="00BC042E" w:rsidRDefault="00061F17" w:rsidP="00F37D6C">
            <w:pPr>
              <w:pStyle w:val="Tabletext"/>
              <w:rPr>
                <w:lang w:val="en-GB" w:eastAsia="en-GB"/>
              </w:rPr>
            </w:pPr>
            <w:r w:rsidRPr="00BC042E">
              <w:rPr>
                <w:lang w:eastAsia="en-GB"/>
              </w:rPr>
              <w:t xml:space="preserve">87/f </w:t>
            </w:r>
            <w:r w:rsidRPr="00BC042E">
              <w:rPr>
                <w:vertAlign w:val="superscript"/>
                <w:lang w:eastAsia="en-GB"/>
              </w:rPr>
              <w:t>1/2</w:t>
            </w:r>
            <w:r w:rsidRPr="00BC042E">
              <w:rPr>
                <w:lang w:eastAsia="en-GB"/>
              </w:rPr>
              <w:t xml:space="preserve"> (MHz)</w:t>
            </w:r>
          </w:p>
        </w:tc>
        <w:tc>
          <w:tcPr>
            <w:tcW w:w="825" w:type="pct"/>
            <w:hideMark/>
          </w:tcPr>
          <w:p w:rsidR="00061F17" w:rsidRPr="00BC042E" w:rsidRDefault="00061F17" w:rsidP="00F37D6C">
            <w:pPr>
              <w:pStyle w:val="Tabletext"/>
              <w:rPr>
                <w:lang w:val="en-GB" w:eastAsia="en-GB"/>
              </w:rPr>
            </w:pPr>
            <w:r w:rsidRPr="00BC042E">
              <w:rPr>
                <w:lang w:eastAsia="en-GB"/>
              </w:rPr>
              <w:t>610/f (MHz)</w:t>
            </w:r>
          </w:p>
        </w:tc>
        <w:tc>
          <w:tcPr>
            <w:tcW w:w="0" w:type="auto"/>
            <w:gridSpan w:val="2"/>
            <w:vMerge/>
            <w:hideMark/>
          </w:tcPr>
          <w:p w:rsidR="00061F17" w:rsidRPr="00BC042E" w:rsidRDefault="00061F17" w:rsidP="00F37D6C">
            <w:pPr>
              <w:pStyle w:val="Tabletext"/>
              <w:rPr>
                <w:lang w:val="en-GB" w:eastAsia="en-GB"/>
              </w:rPr>
            </w:pP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10-400  MHz</w:t>
            </w:r>
          </w:p>
        </w:tc>
        <w:tc>
          <w:tcPr>
            <w:tcW w:w="1022" w:type="pct"/>
            <w:hideMark/>
          </w:tcPr>
          <w:p w:rsidR="00061F17" w:rsidRPr="00BC042E" w:rsidRDefault="00061F17" w:rsidP="00F37D6C">
            <w:pPr>
              <w:pStyle w:val="Tabletext"/>
              <w:rPr>
                <w:lang w:val="en-GB" w:eastAsia="en-GB"/>
              </w:rPr>
            </w:pPr>
            <w:r w:rsidRPr="00BC042E">
              <w:rPr>
                <w:lang w:eastAsia="en-GB"/>
              </w:rPr>
              <w:t>28</w:t>
            </w:r>
          </w:p>
        </w:tc>
        <w:tc>
          <w:tcPr>
            <w:tcW w:w="825" w:type="pct"/>
            <w:hideMark/>
          </w:tcPr>
          <w:p w:rsidR="00061F17" w:rsidRPr="00BC042E" w:rsidRDefault="00061F17" w:rsidP="00F37D6C">
            <w:pPr>
              <w:pStyle w:val="Tabletext"/>
              <w:rPr>
                <w:lang w:val="en-GB" w:eastAsia="en-GB"/>
              </w:rPr>
            </w:pPr>
            <w:r w:rsidRPr="00BC042E">
              <w:rPr>
                <w:lang w:eastAsia="en-GB"/>
              </w:rPr>
              <w:t>61</w:t>
            </w:r>
          </w:p>
        </w:tc>
        <w:tc>
          <w:tcPr>
            <w:tcW w:w="824" w:type="pct"/>
            <w:hideMark/>
          </w:tcPr>
          <w:p w:rsidR="00061F17" w:rsidRPr="00BC042E" w:rsidRDefault="00061F17" w:rsidP="00F37D6C">
            <w:pPr>
              <w:pStyle w:val="Tabletext"/>
              <w:rPr>
                <w:lang w:val="en-GB" w:eastAsia="en-GB"/>
              </w:rPr>
            </w:pPr>
            <w:r w:rsidRPr="00BC042E">
              <w:rPr>
                <w:lang w:eastAsia="en-GB"/>
              </w:rPr>
              <w:t>2</w:t>
            </w:r>
          </w:p>
        </w:tc>
        <w:tc>
          <w:tcPr>
            <w:tcW w:w="830" w:type="pct"/>
            <w:hideMark/>
          </w:tcPr>
          <w:p w:rsidR="00061F17" w:rsidRPr="00BC042E" w:rsidRDefault="00061F17" w:rsidP="00F37D6C">
            <w:pPr>
              <w:pStyle w:val="Tabletext"/>
              <w:rPr>
                <w:lang w:val="en-GB" w:eastAsia="en-GB"/>
              </w:rPr>
            </w:pPr>
            <w:r w:rsidRPr="00BC042E">
              <w:rPr>
                <w:lang w:eastAsia="en-GB"/>
              </w:rPr>
              <w:t>10</w:t>
            </w: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400-2000 MHz</w:t>
            </w:r>
          </w:p>
        </w:tc>
        <w:tc>
          <w:tcPr>
            <w:tcW w:w="1022" w:type="pct"/>
            <w:hideMark/>
          </w:tcPr>
          <w:p w:rsidR="00061F17" w:rsidRPr="00BC042E" w:rsidRDefault="00061F17" w:rsidP="00F37D6C">
            <w:pPr>
              <w:pStyle w:val="Tabletext"/>
              <w:rPr>
                <w:lang w:val="en-GB" w:eastAsia="en-GB"/>
              </w:rPr>
            </w:pPr>
            <w:r w:rsidRPr="00BC042E">
              <w:rPr>
                <w:lang w:eastAsia="en-GB"/>
              </w:rPr>
              <w:t xml:space="preserve">1.375f </w:t>
            </w:r>
            <w:r w:rsidRPr="00BC042E">
              <w:rPr>
                <w:vertAlign w:val="superscript"/>
                <w:lang w:eastAsia="en-GB"/>
              </w:rPr>
              <w:t>1/2</w:t>
            </w:r>
            <w:r w:rsidRPr="00BC042E">
              <w:rPr>
                <w:lang w:eastAsia="en-GB"/>
              </w:rPr>
              <w:t xml:space="preserve"> (MHz)</w:t>
            </w:r>
          </w:p>
        </w:tc>
        <w:tc>
          <w:tcPr>
            <w:tcW w:w="825" w:type="pct"/>
            <w:hideMark/>
          </w:tcPr>
          <w:p w:rsidR="00061F17" w:rsidRPr="00BC042E" w:rsidRDefault="00061F17" w:rsidP="00F37D6C">
            <w:pPr>
              <w:pStyle w:val="Tabletext"/>
              <w:rPr>
                <w:lang w:val="en-GB" w:eastAsia="en-GB"/>
              </w:rPr>
            </w:pPr>
            <w:r w:rsidRPr="00BC042E">
              <w:rPr>
                <w:lang w:eastAsia="en-GB"/>
              </w:rPr>
              <w:t xml:space="preserve">3f </w:t>
            </w:r>
            <w:r w:rsidRPr="00BC042E">
              <w:rPr>
                <w:vertAlign w:val="superscript"/>
                <w:lang w:eastAsia="en-GB"/>
              </w:rPr>
              <w:t>1/2</w:t>
            </w:r>
            <w:r w:rsidRPr="00BC042E">
              <w:rPr>
                <w:lang w:eastAsia="en-GB"/>
              </w:rPr>
              <w:t xml:space="preserve"> (MHz)</w:t>
            </w:r>
          </w:p>
        </w:tc>
        <w:tc>
          <w:tcPr>
            <w:tcW w:w="824" w:type="pct"/>
            <w:hideMark/>
          </w:tcPr>
          <w:p w:rsidR="00061F17" w:rsidRPr="00BC042E" w:rsidRDefault="00061F17" w:rsidP="00F37D6C">
            <w:pPr>
              <w:pStyle w:val="Tabletext"/>
              <w:rPr>
                <w:lang w:val="en-GB" w:eastAsia="en-GB"/>
              </w:rPr>
            </w:pPr>
            <w:r w:rsidRPr="00BC042E">
              <w:rPr>
                <w:lang w:eastAsia="en-GB"/>
              </w:rPr>
              <w:t>f/200</w:t>
            </w:r>
          </w:p>
        </w:tc>
        <w:tc>
          <w:tcPr>
            <w:tcW w:w="830" w:type="pct"/>
            <w:hideMark/>
          </w:tcPr>
          <w:p w:rsidR="00061F17" w:rsidRPr="00BC042E" w:rsidRDefault="00061F17" w:rsidP="00F37D6C">
            <w:pPr>
              <w:pStyle w:val="Tabletext"/>
              <w:rPr>
                <w:lang w:val="en-GB" w:eastAsia="en-GB"/>
              </w:rPr>
            </w:pPr>
            <w:r w:rsidRPr="00BC042E">
              <w:rPr>
                <w:lang w:eastAsia="en-GB"/>
              </w:rPr>
              <w:t>f/40</w:t>
            </w: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2-300 GHz  </w:t>
            </w:r>
          </w:p>
        </w:tc>
        <w:tc>
          <w:tcPr>
            <w:tcW w:w="1022" w:type="pct"/>
            <w:hideMark/>
          </w:tcPr>
          <w:p w:rsidR="00061F17" w:rsidRPr="00BC042E" w:rsidRDefault="00061F17" w:rsidP="00F37D6C">
            <w:pPr>
              <w:pStyle w:val="Tabletext"/>
              <w:rPr>
                <w:lang w:val="en-GB" w:eastAsia="en-GB"/>
              </w:rPr>
            </w:pPr>
            <w:r w:rsidRPr="00BC042E">
              <w:rPr>
                <w:lang w:eastAsia="en-GB"/>
              </w:rPr>
              <w:t>61</w:t>
            </w:r>
          </w:p>
        </w:tc>
        <w:tc>
          <w:tcPr>
            <w:tcW w:w="825" w:type="pct"/>
            <w:hideMark/>
          </w:tcPr>
          <w:p w:rsidR="00061F17" w:rsidRPr="00BC042E" w:rsidRDefault="00061F17" w:rsidP="00F37D6C">
            <w:pPr>
              <w:pStyle w:val="Tabletext"/>
              <w:rPr>
                <w:lang w:val="en-GB" w:eastAsia="en-GB"/>
              </w:rPr>
            </w:pPr>
            <w:r w:rsidRPr="00BC042E">
              <w:rPr>
                <w:lang w:eastAsia="en-GB"/>
              </w:rPr>
              <w:t>137</w:t>
            </w:r>
          </w:p>
        </w:tc>
        <w:tc>
          <w:tcPr>
            <w:tcW w:w="824" w:type="pct"/>
            <w:hideMark/>
          </w:tcPr>
          <w:p w:rsidR="00061F17" w:rsidRPr="00BC042E" w:rsidRDefault="00061F17" w:rsidP="00F37D6C">
            <w:pPr>
              <w:pStyle w:val="Tabletext"/>
              <w:rPr>
                <w:lang w:val="en-GB" w:eastAsia="en-GB"/>
              </w:rPr>
            </w:pPr>
            <w:r w:rsidRPr="00BC042E">
              <w:rPr>
                <w:lang w:eastAsia="en-GB"/>
              </w:rPr>
              <w:t>10</w:t>
            </w:r>
          </w:p>
        </w:tc>
        <w:tc>
          <w:tcPr>
            <w:tcW w:w="830" w:type="pct"/>
            <w:hideMark/>
          </w:tcPr>
          <w:p w:rsidR="00061F17" w:rsidRPr="00BC042E" w:rsidRDefault="00061F17" w:rsidP="00F37D6C">
            <w:pPr>
              <w:pStyle w:val="Tabletext"/>
              <w:rPr>
                <w:lang w:val="en-GB" w:eastAsia="en-GB"/>
              </w:rPr>
            </w:pPr>
            <w:r w:rsidRPr="00BC042E">
              <w:rPr>
                <w:lang w:eastAsia="en-GB"/>
              </w:rPr>
              <w:t>50</w:t>
            </w:r>
          </w:p>
        </w:tc>
      </w:tr>
    </w:tbl>
    <w:p w:rsidR="00061F17" w:rsidRPr="00BC042E" w:rsidRDefault="00061F17" w:rsidP="00061F17">
      <w:pPr>
        <w:rPr>
          <w:szCs w:val="19"/>
          <w:lang w:eastAsia="en-US"/>
        </w:rPr>
      </w:pPr>
    </w:p>
    <w:p w:rsidR="00061F17" w:rsidRDefault="00061F17" w:rsidP="00F37D6C">
      <w:pPr>
        <w:pStyle w:val="Figuretitle"/>
        <w:spacing w:before="120"/>
      </w:pPr>
      <w:bookmarkStart w:id="103" w:name="_Toc356299111"/>
      <w:bookmarkStart w:id="104" w:name="_Toc336265634"/>
      <w:bookmarkStart w:id="105" w:name="_Toc375239132"/>
      <w:r w:rsidRPr="00252687">
        <w:t xml:space="preserve">Figure </w:t>
      </w:r>
      <w:r w:rsidRPr="00252687">
        <w:fldChar w:fldCharType="begin"/>
      </w:r>
      <w:r w:rsidRPr="00252687">
        <w:instrText xml:space="preserve"> SEQ Figure \* ARABIC \s 1 </w:instrText>
      </w:r>
      <w:r w:rsidRPr="00252687">
        <w:fldChar w:fldCharType="separate"/>
      </w:r>
      <w:r w:rsidR="00846CA6">
        <w:rPr>
          <w:noProof/>
        </w:rPr>
        <w:t>1</w:t>
      </w:r>
      <w:r w:rsidRPr="00252687">
        <w:fldChar w:fldCharType="end"/>
      </w:r>
      <w:r w:rsidRPr="00252687">
        <w:t>: ICNIRP field strength reference levels; see also Table 2</w:t>
      </w:r>
      <w:bookmarkEnd w:id="103"/>
      <w:bookmarkEnd w:id="104"/>
      <w:bookmarkEnd w:id="105"/>
    </w:p>
    <w:p w:rsidR="00F37D6C" w:rsidRDefault="00F37D6C" w:rsidP="00F37D6C">
      <w:pPr>
        <w:pStyle w:val="Figure"/>
        <w:spacing w:before="120"/>
      </w:pPr>
      <w:r w:rsidRPr="00BC042E">
        <w:rPr>
          <w:noProof/>
          <w:lang w:val="en-US" w:eastAsia="zh-CN"/>
        </w:rPr>
        <w:drawing>
          <wp:inline distT="0" distB="0" distL="0" distR="0" wp14:anchorId="72300315" wp14:editId="36F327B4">
            <wp:extent cx="5179162" cy="2560320"/>
            <wp:effectExtent l="0" t="0" r="2159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6D63" w:rsidRPr="00252687" w:rsidRDefault="00A86D63" w:rsidP="00A86D63">
      <w:pPr>
        <w:pStyle w:val="figuresource"/>
      </w:pPr>
    </w:p>
    <w:p w:rsidR="00061F17" w:rsidRPr="00BC042E" w:rsidRDefault="00061F17" w:rsidP="00061F17">
      <w:pPr>
        <w:pStyle w:val="Caption"/>
        <w:jc w:val="center"/>
      </w:pPr>
      <w:bookmarkStart w:id="106" w:name="_Toc356299112"/>
      <w:bookmarkStart w:id="107" w:name="_Toc336265635"/>
    </w:p>
    <w:p w:rsidR="00061F17" w:rsidRDefault="00061F17" w:rsidP="00623EAD">
      <w:pPr>
        <w:pStyle w:val="Figuretitle"/>
      </w:pPr>
      <w:bookmarkStart w:id="108" w:name="_Toc375239133"/>
      <w:r w:rsidRPr="00882FF2">
        <w:lastRenderedPageBreak/>
        <w:t xml:space="preserve">Figure </w:t>
      </w:r>
      <w:r w:rsidRPr="00882FF2">
        <w:fldChar w:fldCharType="begin"/>
      </w:r>
      <w:r w:rsidRPr="00882FF2">
        <w:instrText xml:space="preserve"> SEQ Figure \* ARABIC \s 1 </w:instrText>
      </w:r>
      <w:r w:rsidRPr="00882FF2">
        <w:fldChar w:fldCharType="separate"/>
      </w:r>
      <w:r w:rsidR="00846CA6">
        <w:rPr>
          <w:noProof/>
        </w:rPr>
        <w:t>2</w:t>
      </w:r>
      <w:r w:rsidRPr="00882FF2">
        <w:fldChar w:fldCharType="end"/>
      </w:r>
      <w:r w:rsidRPr="00882FF2">
        <w:t>: ICNIRP power density reference levels; above 10MHz only; see Table 2</w:t>
      </w:r>
      <w:bookmarkStart w:id="109" w:name="_Toc361912443"/>
      <w:bookmarkEnd w:id="106"/>
      <w:bookmarkEnd w:id="107"/>
      <w:bookmarkEnd w:id="108"/>
    </w:p>
    <w:p w:rsidR="00623EAD" w:rsidRDefault="00623EAD" w:rsidP="00623EAD">
      <w:pPr>
        <w:pStyle w:val="Figure"/>
      </w:pPr>
      <w:r w:rsidRPr="00BC042E">
        <w:rPr>
          <w:noProof/>
          <w:lang w:val="en-US" w:eastAsia="zh-CN"/>
        </w:rPr>
        <w:drawing>
          <wp:inline distT="0" distB="0" distL="0" distR="0" wp14:anchorId="2946ED99" wp14:editId="2115CBD1">
            <wp:extent cx="5156835" cy="2362200"/>
            <wp:effectExtent l="0" t="0" r="2476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A6CE1" w:rsidRPr="00882FF2" w:rsidRDefault="00FA6CE1" w:rsidP="00FA6CE1">
      <w:pPr>
        <w:pStyle w:val="figuresource"/>
        <w:spacing w:before="120"/>
      </w:pPr>
    </w:p>
    <w:p w:rsidR="00061F17" w:rsidRPr="006A2D6B" w:rsidRDefault="00061F17" w:rsidP="002A225A">
      <w:pPr>
        <w:pStyle w:val="Heading2"/>
        <w:rPr>
          <w:lang w:eastAsia="en-US"/>
        </w:rPr>
      </w:pPr>
      <w:bookmarkStart w:id="110" w:name="_Toc374691842"/>
      <w:r w:rsidRPr="006A2D6B">
        <w:t>2.1</w:t>
      </w:r>
      <w:r w:rsidRPr="006A2D6B">
        <w:tab/>
        <w:t>Exposure Levels: Cellular Base-Stations</w:t>
      </w:r>
      <w:bookmarkEnd w:id="101"/>
      <w:bookmarkEnd w:id="109"/>
      <w:bookmarkEnd w:id="110"/>
    </w:p>
    <w:p w:rsidR="00061F17" w:rsidRPr="007A19CC" w:rsidRDefault="00061F17" w:rsidP="002A225A">
      <w:pPr>
        <w:rPr>
          <w:lang w:val="en-US"/>
        </w:rPr>
      </w:pPr>
      <w:bookmarkStart w:id="111" w:name="_Toc122404840"/>
      <w:bookmarkStart w:id="112" w:name="_Toc124020448"/>
      <w:bookmarkStart w:id="113" w:name="_Toc124026980"/>
      <w:bookmarkStart w:id="114" w:name="_Toc124027421"/>
      <w:bookmarkStart w:id="115" w:name="_Toc124571119"/>
      <w:bookmarkStart w:id="116" w:name="_Toc124918549"/>
      <w:bookmarkStart w:id="117" w:name="_Toc128043074"/>
      <w:bookmarkStart w:id="118" w:name="_Toc144965636"/>
      <w:bookmarkStart w:id="119" w:name="_Toc147387478"/>
      <w:r w:rsidRPr="007A19CC">
        <w:rPr>
          <w:lang w:val="en-US"/>
        </w:rPr>
        <w:t xml:space="preserve">The limits of ICNIRP (1998:511, table 7) and the European Community (EC 1999/519: Annex III, table 2) are identical. The ICNIRP levels have been endorsed by the Commission's Scientific Steering Committee. Table 2 specifies these exposure limits </w:t>
      </w:r>
      <w:bookmarkEnd w:id="111"/>
      <w:bookmarkEnd w:id="112"/>
      <w:bookmarkEnd w:id="113"/>
      <w:bookmarkEnd w:id="114"/>
      <w:bookmarkEnd w:id="115"/>
      <w:bookmarkEnd w:id="116"/>
      <w:bookmarkEnd w:id="117"/>
      <w:bookmarkEnd w:id="118"/>
      <w:bookmarkEnd w:id="119"/>
      <w:r w:rsidRPr="007A19CC">
        <w:rPr>
          <w:lang w:val="en-US"/>
        </w:rPr>
        <w:t>for frequencies of cellular base stations.</w:t>
      </w:r>
      <w:bookmarkStart w:id="120" w:name="_Ref149546100"/>
      <w:bookmarkStart w:id="121" w:name="_Ref154567326"/>
      <w:bookmarkStart w:id="122" w:name="_Ref147993205"/>
      <w:bookmarkStart w:id="123" w:name="_Toc148460120"/>
      <w:bookmarkStart w:id="124" w:name="_Toc199908851"/>
      <w:bookmarkStart w:id="125" w:name="_Toc108101960"/>
    </w:p>
    <w:p w:rsidR="00061F17" w:rsidRPr="00B47154" w:rsidRDefault="00061F17" w:rsidP="002A225A">
      <w:pPr>
        <w:pStyle w:val="Tabletitle"/>
      </w:pPr>
      <w:r w:rsidRPr="00B47154">
        <w:t>Table</w:t>
      </w:r>
      <w:bookmarkEnd w:id="120"/>
      <w:bookmarkEnd w:id="121"/>
      <w:r w:rsidRPr="00B47154">
        <w:t xml:space="preserve"> 3: ICNIRP and EC reference levels for exposure</w:t>
      </w:r>
      <w:bookmarkEnd w:id="122"/>
      <w:bookmarkEnd w:id="123"/>
      <w:bookmarkEnd w:id="124"/>
    </w:p>
    <w:tbl>
      <w:tblPr>
        <w:tblStyle w:val="Style1"/>
        <w:tblW w:w="4880" w:type="pct"/>
        <w:jc w:val="center"/>
        <w:tblLook w:val="01E0" w:firstRow="1" w:lastRow="1" w:firstColumn="1" w:lastColumn="1" w:noHBand="0" w:noVBand="0"/>
      </w:tblPr>
      <w:tblGrid>
        <w:gridCol w:w="1844"/>
        <w:gridCol w:w="1751"/>
        <w:gridCol w:w="1699"/>
        <w:gridCol w:w="1885"/>
        <w:gridCol w:w="1885"/>
      </w:tblGrid>
      <w:tr w:rsidR="00061F17" w:rsidRPr="004C088A" w:rsidTr="002A225A">
        <w:trPr>
          <w:cnfStyle w:val="100000000000" w:firstRow="1" w:lastRow="0" w:firstColumn="0" w:lastColumn="0" w:oddVBand="0" w:evenVBand="0" w:oddHBand="0" w:evenHBand="0" w:firstRowFirstColumn="0" w:firstRowLastColumn="0" w:lastRowFirstColumn="0" w:lastRowLastColumn="0"/>
          <w:trHeight w:val="20"/>
          <w:jc w:val="center"/>
        </w:trPr>
        <w:tc>
          <w:tcPr>
            <w:tcW w:w="1017" w:type="pct"/>
          </w:tcPr>
          <w:p w:rsidR="00061F17" w:rsidRPr="000B0EF9" w:rsidRDefault="00061F17" w:rsidP="002A225A">
            <w:pPr>
              <w:pStyle w:val="Tablehead"/>
              <w:rPr>
                <w:lang w:eastAsia="en-GB"/>
              </w:rPr>
            </w:pPr>
            <w:r w:rsidRPr="000B0EF9">
              <w:rPr>
                <w:lang w:eastAsia="en-GB"/>
              </w:rPr>
              <w:t>Frequency range</w:t>
            </w:r>
          </w:p>
        </w:tc>
        <w:tc>
          <w:tcPr>
            <w:tcW w:w="966" w:type="pct"/>
          </w:tcPr>
          <w:p w:rsidR="00061F17" w:rsidRPr="00061F17" w:rsidRDefault="00061F17" w:rsidP="002A225A">
            <w:pPr>
              <w:pStyle w:val="Tablehead"/>
              <w:rPr>
                <w:lang w:eastAsia="en-GB"/>
              </w:rPr>
            </w:pPr>
            <w:r w:rsidRPr="00061F17">
              <w:rPr>
                <w:lang w:eastAsia="en-GB"/>
              </w:rPr>
              <w:t>Electric field strength (V/m)</w:t>
            </w:r>
          </w:p>
        </w:tc>
        <w:tc>
          <w:tcPr>
            <w:tcW w:w="937" w:type="pct"/>
          </w:tcPr>
          <w:p w:rsidR="00061F17" w:rsidRPr="00061F17" w:rsidRDefault="00061F17" w:rsidP="002A225A">
            <w:pPr>
              <w:pStyle w:val="Tablehead"/>
              <w:rPr>
                <w:lang w:eastAsia="en-GB"/>
              </w:rPr>
            </w:pPr>
            <w:r w:rsidRPr="00061F17">
              <w:rPr>
                <w:lang w:eastAsia="en-GB"/>
              </w:rPr>
              <w:t>Magnetic field strength (A/m)</w:t>
            </w:r>
          </w:p>
        </w:tc>
        <w:tc>
          <w:tcPr>
            <w:tcW w:w="1040" w:type="pct"/>
          </w:tcPr>
          <w:p w:rsidR="00061F17" w:rsidRPr="00061F17" w:rsidRDefault="00061F17" w:rsidP="002A225A">
            <w:pPr>
              <w:pStyle w:val="Tablehead"/>
              <w:rPr>
                <w:lang w:eastAsia="en-GB"/>
              </w:rPr>
            </w:pPr>
            <w:r w:rsidRPr="00061F17">
              <w:rPr>
                <w:lang w:eastAsia="en-GB"/>
              </w:rPr>
              <w:t xml:space="preserve">Equivalent plane wave power density </w:t>
            </w:r>
            <w:proofErr w:type="spellStart"/>
            <w:r w:rsidRPr="00061F17">
              <w:rPr>
                <w:lang w:eastAsia="en-GB"/>
              </w:rPr>
              <w:t>S</w:t>
            </w:r>
            <w:r w:rsidRPr="00061F17">
              <w:rPr>
                <w:vertAlign w:val="subscript"/>
                <w:lang w:eastAsia="en-GB"/>
              </w:rPr>
              <w:t>eq</w:t>
            </w:r>
            <w:proofErr w:type="spellEnd"/>
            <w:r w:rsidRPr="00061F17">
              <w:rPr>
                <w:lang w:eastAsia="en-GB"/>
              </w:rPr>
              <w:t>(W/m</w:t>
            </w:r>
            <w:r w:rsidRPr="00061F17">
              <w:rPr>
                <w:vertAlign w:val="superscript"/>
                <w:lang w:eastAsia="en-GB"/>
              </w:rPr>
              <w:t>2</w:t>
            </w:r>
            <w:r w:rsidRPr="00061F17">
              <w:rPr>
                <w:lang w:eastAsia="en-GB"/>
              </w:rPr>
              <w:t>)</w:t>
            </w:r>
          </w:p>
        </w:tc>
        <w:tc>
          <w:tcPr>
            <w:tcW w:w="1040" w:type="pct"/>
          </w:tcPr>
          <w:p w:rsidR="00061F17" w:rsidRPr="00061F17" w:rsidRDefault="00061F17" w:rsidP="002A225A">
            <w:pPr>
              <w:pStyle w:val="Tablehead"/>
              <w:rPr>
                <w:lang w:eastAsia="en-GB"/>
              </w:rPr>
            </w:pPr>
            <w:r w:rsidRPr="00061F17">
              <w:rPr>
                <w:lang w:eastAsia="en-GB"/>
              </w:rPr>
              <w:t>Magnetic Flux Density (µT), B</w:t>
            </w: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017" w:type="pct"/>
          </w:tcPr>
          <w:p w:rsidR="00061F17" w:rsidRPr="00BC042E" w:rsidRDefault="00061F17" w:rsidP="002A225A">
            <w:pPr>
              <w:pStyle w:val="Tabletext"/>
              <w:rPr>
                <w:lang w:eastAsia="en-GB"/>
              </w:rPr>
            </w:pPr>
            <w:r w:rsidRPr="00BC042E">
              <w:rPr>
                <w:lang w:eastAsia="en-GB"/>
              </w:rPr>
              <w:t>400-2000 MHz</w:t>
            </w:r>
          </w:p>
        </w:tc>
        <w:tc>
          <w:tcPr>
            <w:tcW w:w="966" w:type="pct"/>
          </w:tcPr>
          <w:p w:rsidR="00061F17" w:rsidRPr="00BC042E" w:rsidRDefault="00061F17" w:rsidP="002A225A">
            <w:pPr>
              <w:pStyle w:val="Tabletext"/>
              <w:rPr>
                <w:lang w:eastAsia="en-GB"/>
              </w:rPr>
            </w:pPr>
            <w:r w:rsidRPr="00BC042E">
              <w:rPr>
                <w:lang w:eastAsia="en-GB"/>
              </w:rPr>
              <w:t xml:space="preserve">1.375f </w:t>
            </w:r>
            <w:r>
              <w:rPr>
                <w:vertAlign w:val="superscript"/>
                <w:lang w:eastAsia="en-GB"/>
              </w:rPr>
              <w:t>½</w:t>
            </w:r>
          </w:p>
        </w:tc>
        <w:tc>
          <w:tcPr>
            <w:tcW w:w="937" w:type="pct"/>
          </w:tcPr>
          <w:p w:rsidR="00061F17" w:rsidRPr="00BC042E" w:rsidRDefault="00061F17" w:rsidP="002A225A">
            <w:pPr>
              <w:pStyle w:val="Tabletext"/>
              <w:rPr>
                <w:lang w:eastAsia="en-GB"/>
              </w:rPr>
            </w:pPr>
            <w:r w:rsidRPr="00BC042E">
              <w:rPr>
                <w:lang w:eastAsia="en-GB"/>
              </w:rPr>
              <w:t xml:space="preserve">0.0037f </w:t>
            </w:r>
            <w:r w:rsidRPr="00BC042E">
              <w:rPr>
                <w:vertAlign w:val="superscript"/>
                <w:lang w:eastAsia="en-GB"/>
              </w:rPr>
              <w:t>1/2</w:t>
            </w:r>
          </w:p>
        </w:tc>
        <w:tc>
          <w:tcPr>
            <w:tcW w:w="1040" w:type="pct"/>
          </w:tcPr>
          <w:p w:rsidR="00061F17" w:rsidRPr="00BC042E" w:rsidRDefault="00061F17" w:rsidP="002A225A">
            <w:pPr>
              <w:pStyle w:val="Tabletext"/>
              <w:rPr>
                <w:lang w:eastAsia="en-GB"/>
              </w:rPr>
            </w:pPr>
            <w:r w:rsidRPr="00BC042E">
              <w:rPr>
                <w:lang w:eastAsia="en-GB"/>
              </w:rPr>
              <w:t>f/200</w:t>
            </w:r>
          </w:p>
        </w:tc>
        <w:tc>
          <w:tcPr>
            <w:tcW w:w="1040" w:type="pct"/>
          </w:tcPr>
          <w:p w:rsidR="00061F17" w:rsidRPr="00BC042E" w:rsidRDefault="00061F17" w:rsidP="002A225A">
            <w:pPr>
              <w:pStyle w:val="Tabletext"/>
              <w:rPr>
                <w:lang w:eastAsia="en-GB"/>
              </w:rPr>
            </w:pPr>
            <w:r w:rsidRPr="00BC042E">
              <w:rPr>
                <w:lang w:eastAsia="en-GB"/>
              </w:rPr>
              <w:t xml:space="preserve">0.0046 f </w:t>
            </w:r>
            <w:r w:rsidRPr="00BC042E">
              <w:rPr>
                <w:vertAlign w:val="superscript"/>
                <w:lang w:eastAsia="en-GB"/>
              </w:rPr>
              <w:t>½</w:t>
            </w: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017" w:type="pct"/>
          </w:tcPr>
          <w:p w:rsidR="00061F17" w:rsidRPr="00BC042E" w:rsidRDefault="00061F17" w:rsidP="002A225A">
            <w:pPr>
              <w:pStyle w:val="Tabletext"/>
              <w:rPr>
                <w:lang w:eastAsia="en-GB"/>
              </w:rPr>
            </w:pPr>
            <w:r w:rsidRPr="00BC042E">
              <w:rPr>
                <w:lang w:eastAsia="en-GB"/>
              </w:rPr>
              <w:t>2-300 GHz</w:t>
            </w:r>
          </w:p>
        </w:tc>
        <w:tc>
          <w:tcPr>
            <w:tcW w:w="966" w:type="pct"/>
          </w:tcPr>
          <w:p w:rsidR="00061F17" w:rsidRPr="00BC042E" w:rsidRDefault="00061F17" w:rsidP="002A225A">
            <w:pPr>
              <w:pStyle w:val="Tabletext"/>
              <w:rPr>
                <w:lang w:eastAsia="en-GB"/>
              </w:rPr>
            </w:pPr>
            <w:r w:rsidRPr="00BC042E">
              <w:rPr>
                <w:lang w:eastAsia="en-GB"/>
              </w:rPr>
              <w:t>61</w:t>
            </w:r>
          </w:p>
        </w:tc>
        <w:tc>
          <w:tcPr>
            <w:tcW w:w="937" w:type="pct"/>
          </w:tcPr>
          <w:p w:rsidR="00061F17" w:rsidRPr="00BC042E" w:rsidRDefault="00061F17" w:rsidP="002A225A">
            <w:pPr>
              <w:pStyle w:val="Tabletext"/>
              <w:rPr>
                <w:lang w:eastAsia="en-GB"/>
              </w:rPr>
            </w:pPr>
            <w:r w:rsidRPr="00BC042E">
              <w:rPr>
                <w:lang w:eastAsia="en-GB"/>
              </w:rPr>
              <w:t>0.16</w:t>
            </w:r>
          </w:p>
        </w:tc>
        <w:tc>
          <w:tcPr>
            <w:tcW w:w="1040" w:type="pct"/>
          </w:tcPr>
          <w:p w:rsidR="00061F17" w:rsidRPr="00BC042E" w:rsidRDefault="00061F17" w:rsidP="002A225A">
            <w:pPr>
              <w:pStyle w:val="Tabletext"/>
              <w:rPr>
                <w:lang w:eastAsia="en-GB"/>
              </w:rPr>
            </w:pPr>
            <w:r w:rsidRPr="00BC042E">
              <w:rPr>
                <w:lang w:eastAsia="en-GB"/>
              </w:rPr>
              <w:t>10</w:t>
            </w:r>
          </w:p>
        </w:tc>
        <w:tc>
          <w:tcPr>
            <w:tcW w:w="1040" w:type="pct"/>
          </w:tcPr>
          <w:p w:rsidR="00061F17" w:rsidRPr="00BC042E" w:rsidRDefault="00061F17" w:rsidP="002A225A">
            <w:pPr>
              <w:pStyle w:val="Tabletext"/>
              <w:rPr>
                <w:lang w:eastAsia="en-GB"/>
              </w:rPr>
            </w:pPr>
            <w:r w:rsidRPr="00BC042E">
              <w:rPr>
                <w:lang w:eastAsia="en-GB"/>
              </w:rPr>
              <w:t>0.2</w:t>
            </w:r>
          </w:p>
        </w:tc>
      </w:tr>
    </w:tbl>
    <w:p w:rsidR="00061F17" w:rsidRPr="00BC042E" w:rsidRDefault="00061F17" w:rsidP="002A225A">
      <w:pPr>
        <w:pStyle w:val="Tablesource"/>
      </w:pPr>
      <w:bookmarkStart w:id="126" w:name="_Toc147387745"/>
      <w:bookmarkEnd w:id="125"/>
      <w:r w:rsidRPr="00BC042E">
        <w:t>Table 3 specifies the US thresholds for cellular base stations.</w:t>
      </w:r>
    </w:p>
    <w:p w:rsidR="00061F17" w:rsidRPr="007A19CC" w:rsidRDefault="00061F17" w:rsidP="002A225A">
      <w:pPr>
        <w:pStyle w:val="Tabletitle"/>
        <w:rPr>
          <w:lang w:val="fr-CH"/>
        </w:rPr>
      </w:pPr>
      <w:bookmarkStart w:id="127" w:name="_Ref149546227"/>
      <w:bookmarkStart w:id="128" w:name="_Toc147387748"/>
      <w:bookmarkStart w:id="129" w:name="_Toc148460122"/>
      <w:bookmarkStart w:id="130" w:name="_Toc199908852"/>
      <w:bookmarkStart w:id="131" w:name="_Toc33287256"/>
      <w:bookmarkStart w:id="132" w:name="_Toc76900331"/>
      <w:bookmarkStart w:id="133" w:name="_Toc147387746"/>
      <w:bookmarkEnd w:id="126"/>
      <w:r w:rsidRPr="007A19CC">
        <w:rPr>
          <w:lang w:val="fr-CH"/>
        </w:rPr>
        <w:t xml:space="preserve">Table </w:t>
      </w:r>
      <w:bookmarkEnd w:id="127"/>
      <w:r w:rsidRPr="007A19CC">
        <w:rPr>
          <w:lang w:val="fr-CH"/>
        </w:rPr>
        <w:t xml:space="preserve">4 : FCC </w:t>
      </w:r>
      <w:proofErr w:type="spellStart"/>
      <w:r w:rsidRPr="007A19CC">
        <w:rPr>
          <w:lang w:val="fr-CH"/>
        </w:rPr>
        <w:t>exposure</w:t>
      </w:r>
      <w:proofErr w:type="spellEnd"/>
      <w:r w:rsidRPr="007A19CC">
        <w:rPr>
          <w:lang w:val="fr-CH"/>
        </w:rPr>
        <w:t xml:space="preserve"> </w:t>
      </w:r>
      <w:proofErr w:type="spellStart"/>
      <w:r w:rsidRPr="007A19CC">
        <w:rPr>
          <w:lang w:val="fr-CH"/>
        </w:rPr>
        <w:t>limits</w:t>
      </w:r>
      <w:proofErr w:type="spellEnd"/>
      <w:r w:rsidRPr="007A19CC">
        <w:rPr>
          <w:lang w:val="fr-CH"/>
        </w:rPr>
        <w:t xml:space="preserve"> (FCC 2001:67)</w:t>
      </w:r>
      <w:bookmarkEnd w:id="128"/>
      <w:bookmarkEnd w:id="129"/>
      <w:bookmarkEnd w:id="130"/>
    </w:p>
    <w:tbl>
      <w:tblPr>
        <w:tblStyle w:val="Style1"/>
        <w:tblW w:w="5000" w:type="pct"/>
        <w:jc w:val="center"/>
        <w:tblLook w:val="01E0" w:firstRow="1" w:lastRow="1" w:firstColumn="1" w:lastColumn="1" w:noHBand="0" w:noVBand="0"/>
      </w:tblPr>
      <w:tblGrid>
        <w:gridCol w:w="2896"/>
        <w:gridCol w:w="2035"/>
        <w:gridCol w:w="2060"/>
        <w:gridCol w:w="2296"/>
      </w:tblGrid>
      <w:tr w:rsidR="00061F17" w:rsidRPr="004C088A" w:rsidTr="00C15B34">
        <w:trPr>
          <w:cnfStyle w:val="100000000000" w:firstRow="1" w:lastRow="0" w:firstColumn="0" w:lastColumn="0" w:oddVBand="0" w:evenVBand="0" w:oddHBand="0" w:evenHBand="0" w:firstRowFirstColumn="0" w:firstRowLastColumn="0" w:lastRowFirstColumn="0" w:lastRowLastColumn="0"/>
          <w:trHeight w:val="315"/>
          <w:jc w:val="center"/>
        </w:trPr>
        <w:tc>
          <w:tcPr>
            <w:tcW w:w="2619" w:type="dxa"/>
            <w:noWrap/>
          </w:tcPr>
          <w:p w:rsidR="00061F17" w:rsidRPr="000B0EF9" w:rsidRDefault="00061F17" w:rsidP="002A225A">
            <w:pPr>
              <w:pStyle w:val="Tablehead"/>
              <w:rPr>
                <w:lang w:eastAsia="en-GB"/>
              </w:rPr>
            </w:pPr>
            <w:r w:rsidRPr="000B0EF9">
              <w:rPr>
                <w:lang w:eastAsia="en-GB"/>
              </w:rPr>
              <w:t>Frequency Range MHz</w:t>
            </w:r>
          </w:p>
        </w:tc>
        <w:tc>
          <w:tcPr>
            <w:tcW w:w="1841" w:type="dxa"/>
            <w:noWrap/>
          </w:tcPr>
          <w:p w:rsidR="00061F17" w:rsidRPr="00061F17" w:rsidRDefault="00061F17" w:rsidP="002A225A">
            <w:pPr>
              <w:pStyle w:val="Tablehead"/>
              <w:rPr>
                <w:lang w:eastAsia="en-GB"/>
              </w:rPr>
            </w:pPr>
            <w:r w:rsidRPr="00061F17">
              <w:rPr>
                <w:lang w:eastAsia="en-GB"/>
              </w:rPr>
              <w:t>Electric Field (E)  (V/m)</w:t>
            </w:r>
          </w:p>
        </w:tc>
        <w:tc>
          <w:tcPr>
            <w:tcW w:w="1863" w:type="dxa"/>
            <w:noWrap/>
          </w:tcPr>
          <w:p w:rsidR="00061F17" w:rsidRPr="00061F17" w:rsidRDefault="00061F17" w:rsidP="002A225A">
            <w:pPr>
              <w:pStyle w:val="Tablehead"/>
              <w:rPr>
                <w:lang w:eastAsia="en-GB"/>
              </w:rPr>
            </w:pPr>
            <w:r w:rsidRPr="00061F17">
              <w:rPr>
                <w:lang w:eastAsia="en-GB"/>
              </w:rPr>
              <w:t>Magnetic Field H (A/m)</w:t>
            </w:r>
          </w:p>
        </w:tc>
        <w:tc>
          <w:tcPr>
            <w:tcW w:w="2077" w:type="dxa"/>
            <w:noWrap/>
          </w:tcPr>
          <w:p w:rsidR="00061F17" w:rsidRPr="00061F17" w:rsidRDefault="00061F17" w:rsidP="002A225A">
            <w:pPr>
              <w:pStyle w:val="Tablehead"/>
              <w:rPr>
                <w:lang w:eastAsia="en-GB"/>
              </w:rPr>
            </w:pPr>
            <w:r w:rsidRPr="00061F17">
              <w:rPr>
                <w:lang w:eastAsia="en-GB"/>
              </w:rPr>
              <w:t>Power Density (S) (</w:t>
            </w:r>
            <w:proofErr w:type="spellStart"/>
            <w:r w:rsidRPr="00061F17">
              <w:rPr>
                <w:lang w:eastAsia="en-GB"/>
              </w:rPr>
              <w:t>mW</w:t>
            </w:r>
            <w:proofErr w:type="spellEnd"/>
            <w:r w:rsidRPr="00061F17">
              <w:rPr>
                <w:lang w:eastAsia="en-GB"/>
              </w:rPr>
              <w:t>/cm</w:t>
            </w:r>
            <w:r w:rsidRPr="00061F17">
              <w:rPr>
                <w:vertAlign w:val="superscript"/>
                <w:lang w:eastAsia="en-GB"/>
              </w:rPr>
              <w:t>2</w:t>
            </w:r>
            <w:r w:rsidRPr="00061F17">
              <w:rPr>
                <w:lang w:eastAsia="en-GB"/>
              </w:rPr>
              <w:t>)</w:t>
            </w:r>
          </w:p>
        </w:tc>
      </w:tr>
      <w:tr w:rsidR="00061F17" w:rsidRPr="00BC042E" w:rsidTr="00C15B34">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30-300</w:t>
            </w:r>
          </w:p>
        </w:tc>
        <w:tc>
          <w:tcPr>
            <w:tcW w:w="1841" w:type="dxa"/>
            <w:noWrap/>
          </w:tcPr>
          <w:p w:rsidR="00061F17" w:rsidRPr="00BC042E" w:rsidRDefault="00061F17" w:rsidP="002A225A">
            <w:pPr>
              <w:pStyle w:val="Tabletext"/>
              <w:rPr>
                <w:lang w:eastAsia="en-GB"/>
              </w:rPr>
            </w:pPr>
            <w:r w:rsidRPr="00BC042E">
              <w:rPr>
                <w:lang w:eastAsia="en-GB"/>
              </w:rPr>
              <w:t>27.5</w:t>
            </w:r>
          </w:p>
        </w:tc>
        <w:tc>
          <w:tcPr>
            <w:tcW w:w="1863" w:type="dxa"/>
            <w:noWrap/>
          </w:tcPr>
          <w:p w:rsidR="00061F17" w:rsidRPr="00BC042E" w:rsidRDefault="00061F17" w:rsidP="002A225A">
            <w:pPr>
              <w:pStyle w:val="Tabletext"/>
              <w:rPr>
                <w:lang w:eastAsia="en-GB"/>
              </w:rPr>
            </w:pPr>
            <w:r w:rsidRPr="00BC042E">
              <w:rPr>
                <w:lang w:eastAsia="en-GB"/>
              </w:rPr>
              <w:t>0.073</w:t>
            </w:r>
          </w:p>
        </w:tc>
        <w:tc>
          <w:tcPr>
            <w:tcW w:w="2077" w:type="dxa"/>
            <w:noWrap/>
          </w:tcPr>
          <w:p w:rsidR="00061F17" w:rsidRPr="00BC042E" w:rsidRDefault="00061F17" w:rsidP="002A225A">
            <w:pPr>
              <w:pStyle w:val="Tabletext"/>
              <w:rPr>
                <w:lang w:eastAsia="en-GB"/>
              </w:rPr>
            </w:pPr>
            <w:r w:rsidRPr="00BC042E">
              <w:rPr>
                <w:lang w:eastAsia="en-GB"/>
              </w:rPr>
              <w:t>0.2</w:t>
            </w:r>
          </w:p>
        </w:tc>
      </w:tr>
      <w:tr w:rsidR="00061F17" w:rsidRPr="00BC042E" w:rsidTr="00C15B34">
        <w:trPr>
          <w:cnfStyle w:val="000000010000" w:firstRow="0" w:lastRow="0" w:firstColumn="0" w:lastColumn="0" w:oddVBand="0" w:evenVBand="0" w:oddHBand="0" w:evenHBand="1"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300-1500</w:t>
            </w:r>
          </w:p>
        </w:tc>
        <w:tc>
          <w:tcPr>
            <w:tcW w:w="1841" w:type="dxa"/>
            <w:noWrap/>
          </w:tcPr>
          <w:p w:rsidR="00061F17" w:rsidRPr="00BC042E" w:rsidRDefault="00061F17" w:rsidP="002A225A">
            <w:pPr>
              <w:pStyle w:val="Tabletext"/>
              <w:rPr>
                <w:lang w:eastAsia="en-GB"/>
              </w:rPr>
            </w:pPr>
            <w:r w:rsidRPr="00BC042E">
              <w:rPr>
                <w:lang w:eastAsia="en-GB"/>
              </w:rPr>
              <w:t>--</w:t>
            </w:r>
          </w:p>
        </w:tc>
        <w:tc>
          <w:tcPr>
            <w:tcW w:w="1863" w:type="dxa"/>
            <w:noWrap/>
          </w:tcPr>
          <w:p w:rsidR="00061F17" w:rsidRPr="00BC042E" w:rsidRDefault="00061F17" w:rsidP="002A225A">
            <w:pPr>
              <w:pStyle w:val="Tabletext"/>
              <w:rPr>
                <w:lang w:eastAsia="en-GB"/>
              </w:rPr>
            </w:pPr>
            <w:r w:rsidRPr="00BC042E">
              <w:rPr>
                <w:lang w:eastAsia="en-GB"/>
              </w:rPr>
              <w:t>--</w:t>
            </w:r>
          </w:p>
        </w:tc>
        <w:tc>
          <w:tcPr>
            <w:tcW w:w="2077" w:type="dxa"/>
            <w:noWrap/>
          </w:tcPr>
          <w:p w:rsidR="00061F17" w:rsidRPr="00BC042E" w:rsidRDefault="00061F17" w:rsidP="002A225A">
            <w:pPr>
              <w:pStyle w:val="Tabletext"/>
              <w:rPr>
                <w:lang w:eastAsia="en-GB"/>
              </w:rPr>
            </w:pPr>
            <w:r w:rsidRPr="00BC042E">
              <w:rPr>
                <w:lang w:eastAsia="en-GB"/>
              </w:rPr>
              <w:t>f/1500</w:t>
            </w:r>
          </w:p>
        </w:tc>
      </w:tr>
      <w:tr w:rsidR="00061F17" w:rsidRPr="00BC042E" w:rsidTr="00C15B34">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1500-100,000</w:t>
            </w:r>
          </w:p>
        </w:tc>
        <w:tc>
          <w:tcPr>
            <w:tcW w:w="1841" w:type="dxa"/>
            <w:noWrap/>
          </w:tcPr>
          <w:p w:rsidR="00061F17" w:rsidRPr="00BC042E" w:rsidRDefault="00061F17" w:rsidP="002A225A">
            <w:pPr>
              <w:pStyle w:val="Tabletext"/>
              <w:rPr>
                <w:lang w:eastAsia="en-GB"/>
              </w:rPr>
            </w:pPr>
            <w:r w:rsidRPr="00BC042E">
              <w:rPr>
                <w:lang w:eastAsia="en-GB"/>
              </w:rPr>
              <w:t>--</w:t>
            </w:r>
          </w:p>
        </w:tc>
        <w:tc>
          <w:tcPr>
            <w:tcW w:w="1863" w:type="dxa"/>
            <w:noWrap/>
          </w:tcPr>
          <w:p w:rsidR="00061F17" w:rsidRPr="00BC042E" w:rsidRDefault="00061F17" w:rsidP="002A225A">
            <w:pPr>
              <w:pStyle w:val="Tabletext"/>
              <w:rPr>
                <w:lang w:eastAsia="en-GB"/>
              </w:rPr>
            </w:pPr>
            <w:r w:rsidRPr="00BC042E">
              <w:rPr>
                <w:lang w:eastAsia="en-GB"/>
              </w:rPr>
              <w:t>--</w:t>
            </w:r>
          </w:p>
        </w:tc>
        <w:tc>
          <w:tcPr>
            <w:tcW w:w="2077" w:type="dxa"/>
            <w:noWrap/>
          </w:tcPr>
          <w:p w:rsidR="00061F17" w:rsidRPr="00BC042E" w:rsidRDefault="00061F17" w:rsidP="002A225A">
            <w:pPr>
              <w:pStyle w:val="Tabletext"/>
              <w:rPr>
                <w:lang w:eastAsia="en-GB"/>
              </w:rPr>
            </w:pPr>
            <w:r w:rsidRPr="00BC042E">
              <w:rPr>
                <w:lang w:eastAsia="en-GB"/>
              </w:rPr>
              <w:t>1</w:t>
            </w:r>
          </w:p>
        </w:tc>
      </w:tr>
    </w:tbl>
    <w:p w:rsidR="00061F17" w:rsidRPr="00BC042E" w:rsidRDefault="00061F17" w:rsidP="002A225A">
      <w:pPr>
        <w:pStyle w:val="Tablesource"/>
      </w:pPr>
      <w:r w:rsidRPr="00BC042E">
        <w:t>Table-</w:t>
      </w:r>
      <w:r>
        <w:t>4</w:t>
      </w:r>
      <w:r w:rsidRPr="00BC042E">
        <w:t xml:space="preserve"> depicts that the levels in power exposure limits of the US are 4/3 (=200/150) higher than ICNIRP and Europe. </w:t>
      </w:r>
    </w:p>
    <w:p w:rsidR="00061F17" w:rsidRPr="007A19CC" w:rsidRDefault="00061F17" w:rsidP="002A225A">
      <w:pPr>
        <w:rPr>
          <w:lang w:val="en-US"/>
        </w:rPr>
      </w:pPr>
      <w:r w:rsidRPr="007A19CC">
        <w:rPr>
          <w:lang w:val="en-US"/>
        </w:rPr>
        <w:t xml:space="preserve">The IEEE maximum permissible exposure 2005 updates are shown in Table 5. </w:t>
      </w:r>
    </w:p>
    <w:p w:rsidR="00002906" w:rsidRDefault="00002906" w:rsidP="002A225A">
      <w:pPr>
        <w:pStyle w:val="Tabletitle"/>
      </w:pPr>
      <w:bookmarkStart w:id="134" w:name="_Ref149546318"/>
      <w:bookmarkStart w:id="135" w:name="_Toc148460123"/>
      <w:bookmarkStart w:id="136" w:name="_Toc199908853"/>
      <w:r>
        <w:br w:type="page"/>
      </w:r>
    </w:p>
    <w:p w:rsidR="00061F17" w:rsidRPr="00FE56DC" w:rsidRDefault="00061F17" w:rsidP="002A225A">
      <w:pPr>
        <w:pStyle w:val="Tabletitle"/>
      </w:pPr>
      <w:r w:rsidRPr="00FE56DC">
        <w:lastRenderedPageBreak/>
        <w:t xml:space="preserve">Table </w:t>
      </w:r>
      <w:bookmarkEnd w:id="134"/>
      <w:r w:rsidRPr="00FE56DC">
        <w:t>5</w:t>
      </w:r>
      <w:r>
        <w:t>:</w:t>
      </w:r>
      <w:r w:rsidRPr="00FE56DC">
        <w:t xml:space="preserve"> The 2005 IEEE permissible exposure (</w:t>
      </w:r>
      <w:r>
        <w:rPr>
          <w:rStyle w:val="CharChar"/>
          <w:rFonts w:ascii="Verdana" w:hAnsi="Verdana"/>
          <w:sz w:val="18"/>
          <w:szCs w:val="18"/>
        </w:rPr>
        <w:t xml:space="preserve">IEEE </w:t>
      </w:r>
      <w:proofErr w:type="spellStart"/>
      <w:r>
        <w:rPr>
          <w:rStyle w:val="CharChar"/>
          <w:rFonts w:ascii="Verdana" w:hAnsi="Verdana"/>
          <w:sz w:val="18"/>
          <w:szCs w:val="18"/>
        </w:rPr>
        <w:t>Std</w:t>
      </w:r>
      <w:proofErr w:type="spellEnd"/>
      <w:r>
        <w:rPr>
          <w:rStyle w:val="CharChar"/>
          <w:rFonts w:ascii="Verdana" w:hAnsi="Verdana"/>
          <w:sz w:val="18"/>
          <w:szCs w:val="18"/>
        </w:rPr>
        <w:t xml:space="preserve"> C95.1-2005:25, T</w:t>
      </w:r>
      <w:r w:rsidRPr="00FE56DC">
        <w:rPr>
          <w:rStyle w:val="CharChar"/>
          <w:rFonts w:ascii="Verdana" w:hAnsi="Verdana"/>
          <w:sz w:val="18"/>
          <w:szCs w:val="18"/>
        </w:rPr>
        <w:t>able 9</w:t>
      </w:r>
      <w:r w:rsidRPr="00FE56DC">
        <w:t>)</w:t>
      </w:r>
      <w:bookmarkEnd w:id="135"/>
      <w:bookmarkEnd w:id="136"/>
    </w:p>
    <w:tbl>
      <w:tblPr>
        <w:tblStyle w:val="Style1"/>
        <w:tblW w:w="5000" w:type="pct"/>
        <w:jc w:val="center"/>
        <w:tblLook w:val="01E0" w:firstRow="1" w:lastRow="1" w:firstColumn="1" w:lastColumn="1" w:noHBand="0" w:noVBand="0"/>
      </w:tblPr>
      <w:tblGrid>
        <w:gridCol w:w="2896"/>
        <w:gridCol w:w="2035"/>
        <w:gridCol w:w="2060"/>
        <w:gridCol w:w="2296"/>
      </w:tblGrid>
      <w:tr w:rsidR="00061F17" w:rsidRPr="004C088A" w:rsidTr="00F22C89">
        <w:trPr>
          <w:cnfStyle w:val="100000000000" w:firstRow="1" w:lastRow="0" w:firstColumn="0" w:lastColumn="0" w:oddVBand="0" w:evenVBand="0" w:oddHBand="0" w:evenHBand="0" w:firstRowFirstColumn="0" w:firstRowLastColumn="0" w:lastRowFirstColumn="0" w:lastRowLastColumn="0"/>
          <w:trHeight w:val="315"/>
          <w:jc w:val="center"/>
        </w:trPr>
        <w:tc>
          <w:tcPr>
            <w:tcW w:w="2619" w:type="dxa"/>
            <w:noWrap/>
          </w:tcPr>
          <w:p w:rsidR="00061F17" w:rsidRPr="000B0EF9" w:rsidRDefault="00061F17" w:rsidP="002A225A">
            <w:pPr>
              <w:pStyle w:val="Tablehead"/>
              <w:rPr>
                <w:lang w:eastAsia="en-GB"/>
              </w:rPr>
            </w:pPr>
            <w:r w:rsidRPr="000B0EF9">
              <w:rPr>
                <w:lang w:eastAsia="en-GB"/>
              </w:rPr>
              <w:t>Frequency Range MHz</w:t>
            </w:r>
          </w:p>
        </w:tc>
        <w:tc>
          <w:tcPr>
            <w:tcW w:w="1841" w:type="dxa"/>
            <w:noWrap/>
          </w:tcPr>
          <w:p w:rsidR="00061F17" w:rsidRPr="00061F17" w:rsidRDefault="00061F17" w:rsidP="002A225A">
            <w:pPr>
              <w:pStyle w:val="Tablehead"/>
              <w:rPr>
                <w:lang w:eastAsia="en-GB"/>
              </w:rPr>
            </w:pPr>
            <w:r w:rsidRPr="00061F17">
              <w:rPr>
                <w:lang w:eastAsia="en-GB"/>
              </w:rPr>
              <w:t>Electric Field (E)  (V/m)</w:t>
            </w:r>
          </w:p>
        </w:tc>
        <w:tc>
          <w:tcPr>
            <w:tcW w:w="1863" w:type="dxa"/>
            <w:noWrap/>
          </w:tcPr>
          <w:p w:rsidR="00061F17" w:rsidRPr="00061F17" w:rsidRDefault="00061F17" w:rsidP="002A225A">
            <w:pPr>
              <w:pStyle w:val="Tablehead"/>
              <w:rPr>
                <w:lang w:eastAsia="en-GB"/>
              </w:rPr>
            </w:pPr>
            <w:r w:rsidRPr="00061F17">
              <w:rPr>
                <w:lang w:eastAsia="en-GB"/>
              </w:rPr>
              <w:t>Magnetic Field H (A/m)</w:t>
            </w:r>
          </w:p>
        </w:tc>
        <w:tc>
          <w:tcPr>
            <w:tcW w:w="2077" w:type="dxa"/>
            <w:noWrap/>
          </w:tcPr>
          <w:p w:rsidR="00061F17" w:rsidRPr="00061F17" w:rsidRDefault="00061F17" w:rsidP="002A225A">
            <w:pPr>
              <w:pStyle w:val="Tablehead"/>
              <w:rPr>
                <w:lang w:eastAsia="en-GB"/>
              </w:rPr>
            </w:pPr>
            <w:r w:rsidRPr="00061F17">
              <w:rPr>
                <w:lang w:eastAsia="en-GB"/>
              </w:rPr>
              <w:t>RMS power density (S) (W/m</w:t>
            </w:r>
            <w:r w:rsidRPr="00061F17">
              <w:rPr>
                <w:vertAlign w:val="superscript"/>
                <w:lang w:eastAsia="en-GB"/>
              </w:rPr>
              <w:t>2</w:t>
            </w:r>
            <w:r w:rsidRPr="00061F17">
              <w:rPr>
                <w:lang w:eastAsia="en-GB"/>
              </w:rPr>
              <w:t>)</w:t>
            </w:r>
          </w:p>
        </w:tc>
      </w:tr>
      <w:tr w:rsidR="00061F17" w:rsidRPr="00BC042E" w:rsidTr="00F22C89">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100-400</w:t>
            </w:r>
          </w:p>
        </w:tc>
        <w:tc>
          <w:tcPr>
            <w:tcW w:w="1841" w:type="dxa"/>
            <w:noWrap/>
          </w:tcPr>
          <w:p w:rsidR="00061F17" w:rsidRPr="00BC042E" w:rsidRDefault="00061F17" w:rsidP="002A225A">
            <w:pPr>
              <w:pStyle w:val="Tabletext"/>
              <w:rPr>
                <w:lang w:eastAsia="en-GB"/>
              </w:rPr>
            </w:pPr>
            <w:r w:rsidRPr="00BC042E">
              <w:rPr>
                <w:lang w:eastAsia="en-GB"/>
              </w:rPr>
              <w:t>27.5</w:t>
            </w:r>
          </w:p>
        </w:tc>
        <w:tc>
          <w:tcPr>
            <w:tcW w:w="1863" w:type="dxa"/>
            <w:noWrap/>
          </w:tcPr>
          <w:p w:rsidR="00061F17" w:rsidRPr="00BC042E" w:rsidRDefault="00061F17" w:rsidP="002A225A">
            <w:pPr>
              <w:pStyle w:val="Tabletext"/>
              <w:rPr>
                <w:lang w:eastAsia="en-GB"/>
              </w:rPr>
            </w:pPr>
            <w:r w:rsidRPr="00BC042E">
              <w:rPr>
                <w:lang w:eastAsia="en-GB"/>
              </w:rPr>
              <w:t>0.073</w:t>
            </w:r>
          </w:p>
        </w:tc>
        <w:tc>
          <w:tcPr>
            <w:tcW w:w="2077" w:type="dxa"/>
            <w:noWrap/>
          </w:tcPr>
          <w:p w:rsidR="00061F17" w:rsidRPr="00BC042E" w:rsidRDefault="00061F17" w:rsidP="002A225A">
            <w:pPr>
              <w:pStyle w:val="Tabletext"/>
              <w:rPr>
                <w:lang w:eastAsia="en-GB"/>
              </w:rPr>
            </w:pPr>
            <w:r w:rsidRPr="00BC042E">
              <w:rPr>
                <w:lang w:eastAsia="en-GB"/>
              </w:rPr>
              <w:t>2</w:t>
            </w:r>
          </w:p>
        </w:tc>
      </w:tr>
      <w:tr w:rsidR="00061F17" w:rsidRPr="00BC042E" w:rsidTr="00F22C89">
        <w:trPr>
          <w:cnfStyle w:val="000000010000" w:firstRow="0" w:lastRow="0" w:firstColumn="0" w:lastColumn="0" w:oddVBand="0" w:evenVBand="0" w:oddHBand="0" w:evenHBand="1"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400-2000</w:t>
            </w:r>
          </w:p>
        </w:tc>
        <w:tc>
          <w:tcPr>
            <w:tcW w:w="1841" w:type="dxa"/>
            <w:noWrap/>
          </w:tcPr>
          <w:p w:rsidR="00061F17" w:rsidRPr="00BC042E" w:rsidRDefault="00061F17" w:rsidP="002A225A">
            <w:pPr>
              <w:pStyle w:val="Tabletext"/>
              <w:rPr>
                <w:lang w:eastAsia="en-GB"/>
              </w:rPr>
            </w:pPr>
            <w:r w:rsidRPr="00BC042E">
              <w:rPr>
                <w:lang w:eastAsia="en-GB"/>
              </w:rPr>
              <w:t>--</w:t>
            </w:r>
          </w:p>
        </w:tc>
        <w:tc>
          <w:tcPr>
            <w:tcW w:w="1863" w:type="dxa"/>
            <w:noWrap/>
          </w:tcPr>
          <w:p w:rsidR="00061F17" w:rsidRPr="00BC042E" w:rsidRDefault="00061F17" w:rsidP="002A225A">
            <w:pPr>
              <w:pStyle w:val="Tabletext"/>
              <w:rPr>
                <w:lang w:eastAsia="en-GB"/>
              </w:rPr>
            </w:pPr>
            <w:r w:rsidRPr="00BC042E">
              <w:rPr>
                <w:lang w:eastAsia="en-GB"/>
              </w:rPr>
              <w:t>--</w:t>
            </w:r>
          </w:p>
        </w:tc>
        <w:tc>
          <w:tcPr>
            <w:tcW w:w="2077" w:type="dxa"/>
            <w:noWrap/>
          </w:tcPr>
          <w:p w:rsidR="00061F17" w:rsidRPr="00BC042E" w:rsidRDefault="00061F17" w:rsidP="002A225A">
            <w:pPr>
              <w:pStyle w:val="Tabletext"/>
              <w:rPr>
                <w:lang w:eastAsia="en-GB"/>
              </w:rPr>
            </w:pPr>
            <w:r w:rsidRPr="00BC042E">
              <w:rPr>
                <w:lang w:eastAsia="en-GB"/>
              </w:rPr>
              <w:t>f/200</w:t>
            </w:r>
          </w:p>
        </w:tc>
      </w:tr>
      <w:tr w:rsidR="00061F17" w:rsidRPr="00BC042E" w:rsidTr="00F22C89">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2000-5000</w:t>
            </w:r>
          </w:p>
        </w:tc>
        <w:tc>
          <w:tcPr>
            <w:tcW w:w="1841" w:type="dxa"/>
            <w:noWrap/>
          </w:tcPr>
          <w:p w:rsidR="00061F17" w:rsidRPr="00BC042E" w:rsidRDefault="00061F17" w:rsidP="002A225A">
            <w:pPr>
              <w:pStyle w:val="Tabletext"/>
              <w:rPr>
                <w:lang w:eastAsia="en-GB"/>
              </w:rPr>
            </w:pPr>
            <w:r w:rsidRPr="00BC042E">
              <w:rPr>
                <w:lang w:eastAsia="en-GB"/>
              </w:rPr>
              <w:t>--</w:t>
            </w:r>
          </w:p>
        </w:tc>
        <w:tc>
          <w:tcPr>
            <w:tcW w:w="1863" w:type="dxa"/>
            <w:noWrap/>
          </w:tcPr>
          <w:p w:rsidR="00061F17" w:rsidRPr="00BC042E" w:rsidRDefault="00061F17" w:rsidP="002A225A">
            <w:pPr>
              <w:pStyle w:val="Tabletext"/>
              <w:rPr>
                <w:lang w:eastAsia="en-GB"/>
              </w:rPr>
            </w:pPr>
            <w:r w:rsidRPr="00BC042E">
              <w:rPr>
                <w:lang w:eastAsia="en-GB"/>
              </w:rPr>
              <w:t>--</w:t>
            </w:r>
          </w:p>
        </w:tc>
        <w:tc>
          <w:tcPr>
            <w:tcW w:w="2077" w:type="dxa"/>
            <w:noWrap/>
          </w:tcPr>
          <w:p w:rsidR="00061F17" w:rsidRPr="00BC042E" w:rsidRDefault="00061F17" w:rsidP="002A225A">
            <w:pPr>
              <w:pStyle w:val="Tabletext"/>
              <w:rPr>
                <w:lang w:eastAsia="en-GB"/>
              </w:rPr>
            </w:pPr>
            <w:r w:rsidRPr="00BC042E">
              <w:rPr>
                <w:lang w:eastAsia="en-GB"/>
              </w:rPr>
              <w:t>10</w:t>
            </w:r>
          </w:p>
        </w:tc>
      </w:tr>
    </w:tbl>
    <w:p w:rsidR="00061F17" w:rsidRPr="007A19CC" w:rsidRDefault="00061F17" w:rsidP="002A225A">
      <w:pPr>
        <w:rPr>
          <w:lang w:val="en-US"/>
        </w:rPr>
      </w:pPr>
      <w:r w:rsidRPr="007A19CC">
        <w:rPr>
          <w:lang w:val="en-US"/>
        </w:rPr>
        <w:t>The IEEE C95.1-2005 level for 400-2000 MHz (typical cellular RF bands) is identical (not to FCC nor ANSI levels) to the ICNIRP level (f/200 W/m</w:t>
      </w:r>
      <w:r w:rsidRPr="007A19CC">
        <w:rPr>
          <w:vertAlign w:val="superscript"/>
          <w:lang w:val="en-US"/>
        </w:rPr>
        <w:t>2</w:t>
      </w:r>
      <w:r w:rsidRPr="007A19CC">
        <w:rPr>
          <w:lang w:val="en-US"/>
        </w:rPr>
        <w:t>); the units are also the same.</w:t>
      </w:r>
      <w:bookmarkEnd w:id="131"/>
      <w:bookmarkEnd w:id="132"/>
      <w:bookmarkEnd w:id="133"/>
    </w:p>
    <w:p w:rsidR="00061F17" w:rsidRPr="00001D3B" w:rsidRDefault="00061F17" w:rsidP="00530177">
      <w:pPr>
        <w:pStyle w:val="Heading2"/>
      </w:pPr>
      <w:bookmarkStart w:id="137" w:name="_Toc149211792"/>
      <w:bookmarkStart w:id="138" w:name="_Toc361912444"/>
      <w:bookmarkStart w:id="139" w:name="_Toc374691843"/>
      <w:r w:rsidRPr="00001D3B">
        <w:t>2.2</w:t>
      </w:r>
      <w:r w:rsidRPr="00001D3B">
        <w:tab/>
        <w:t>Exposures: Cellular Handsets</w:t>
      </w:r>
      <w:bookmarkEnd w:id="137"/>
      <w:bookmarkEnd w:id="138"/>
      <w:bookmarkEnd w:id="139"/>
    </w:p>
    <w:p w:rsidR="00061F17" w:rsidRPr="007A19CC" w:rsidRDefault="00061F17" w:rsidP="00530177">
      <w:pPr>
        <w:rPr>
          <w:lang w:val="en-US"/>
        </w:rPr>
      </w:pPr>
      <w:r w:rsidRPr="007A19CC">
        <w:rPr>
          <w:lang w:val="en-US"/>
        </w:rPr>
        <w:t>Specific energy Absorption Rate (SAR) is the time rate of energy absorption per gram of tissue from electromagnetic radiation; it is expressed in watts per kilogram (W/kg). Table 6 compares the rate absorption in ICNIRP, EC and FCC</w:t>
      </w:r>
      <w:r w:rsidR="001970D2" w:rsidRPr="001970D2">
        <w:rPr>
          <w:rStyle w:val="FootnoteReference"/>
          <w:lang w:val="en-US"/>
        </w:rPr>
        <w:footnoteReference w:customMarkFollows="1" w:id="23"/>
        <w:t>2</w:t>
      </w:r>
      <w:r w:rsidRPr="007A19CC">
        <w:rPr>
          <w:lang w:val="en-US"/>
        </w:rPr>
        <w:t>.</w:t>
      </w:r>
    </w:p>
    <w:p w:rsidR="00061F17" w:rsidRPr="00B14959" w:rsidRDefault="00061F17" w:rsidP="00530177">
      <w:pPr>
        <w:pStyle w:val="Tabletitle"/>
      </w:pPr>
      <w:bookmarkStart w:id="140" w:name="_Ref149547028"/>
      <w:bookmarkStart w:id="141" w:name="_Toc199908855"/>
      <w:bookmarkStart w:id="142" w:name="_Toc148460125"/>
      <w:r w:rsidRPr="00B14959">
        <w:t>Table</w:t>
      </w:r>
      <w:r>
        <w:t xml:space="preserve"> </w:t>
      </w:r>
      <w:bookmarkEnd w:id="140"/>
      <w:r w:rsidRPr="00B14959">
        <w:t>6</w:t>
      </w:r>
      <w:r>
        <w:t>:</w:t>
      </w:r>
      <w:r w:rsidRPr="00B14959">
        <w:t xml:space="preserve"> Maximal</w:t>
      </w:r>
      <w:r>
        <w:t xml:space="preserve"> power from handsets: Specific absorption r</w:t>
      </w:r>
      <w:r w:rsidRPr="00B14959">
        <w:t>ate, SAR (W/kg)</w:t>
      </w:r>
      <w:bookmarkEnd w:id="141"/>
      <w:bookmarkEnd w:id="142"/>
    </w:p>
    <w:tbl>
      <w:tblPr>
        <w:tblStyle w:val="Style1"/>
        <w:tblW w:w="5000" w:type="pct"/>
        <w:jc w:val="center"/>
        <w:tblLook w:val="0020" w:firstRow="1" w:lastRow="0" w:firstColumn="0" w:lastColumn="0" w:noHBand="0" w:noVBand="0"/>
      </w:tblPr>
      <w:tblGrid>
        <w:gridCol w:w="1925"/>
        <w:gridCol w:w="3926"/>
        <w:gridCol w:w="3436"/>
      </w:tblGrid>
      <w:tr w:rsidR="00061F17" w:rsidRPr="000B0EF9" w:rsidTr="00C15B34">
        <w:trPr>
          <w:cnfStyle w:val="100000000000" w:firstRow="1" w:lastRow="0" w:firstColumn="0" w:lastColumn="0" w:oddVBand="0" w:evenVBand="0" w:oddHBand="0" w:evenHBand="0" w:firstRowFirstColumn="0" w:firstRowLastColumn="0" w:lastRowFirstColumn="0" w:lastRowLastColumn="0"/>
          <w:jc w:val="center"/>
        </w:trPr>
        <w:tc>
          <w:tcPr>
            <w:tcW w:w="1766" w:type="dxa"/>
          </w:tcPr>
          <w:p w:rsidR="00061F17" w:rsidRPr="000B0EF9" w:rsidRDefault="00061F17" w:rsidP="00530177">
            <w:pPr>
              <w:pStyle w:val="Tablehead"/>
              <w:rPr>
                <w:lang w:eastAsia="en-GB"/>
              </w:rPr>
            </w:pPr>
            <w:r w:rsidRPr="000B0EF9">
              <w:rPr>
                <w:lang w:eastAsia="en-GB"/>
              </w:rPr>
              <w:t>ICNIRP</w:t>
            </w:r>
          </w:p>
        </w:tc>
        <w:tc>
          <w:tcPr>
            <w:tcW w:w="3603" w:type="dxa"/>
          </w:tcPr>
          <w:p w:rsidR="00061F17" w:rsidRPr="000B0EF9" w:rsidRDefault="00061F17" w:rsidP="00530177">
            <w:pPr>
              <w:pStyle w:val="Tablehead"/>
              <w:rPr>
                <w:lang w:eastAsia="en-GB"/>
              </w:rPr>
            </w:pPr>
            <w:r w:rsidRPr="000B0EF9">
              <w:rPr>
                <w:lang w:eastAsia="en-GB"/>
              </w:rPr>
              <w:t>European Community</w:t>
            </w:r>
          </w:p>
        </w:tc>
        <w:tc>
          <w:tcPr>
            <w:tcW w:w="3153" w:type="dxa"/>
          </w:tcPr>
          <w:p w:rsidR="00061F17" w:rsidRPr="000B0EF9" w:rsidRDefault="00061F17" w:rsidP="00530177">
            <w:pPr>
              <w:pStyle w:val="Tablehead"/>
              <w:rPr>
                <w:lang w:eastAsia="en-GB"/>
              </w:rPr>
            </w:pPr>
            <w:r w:rsidRPr="000B0EF9">
              <w:rPr>
                <w:lang w:eastAsia="en-GB"/>
              </w:rPr>
              <w:t>FCC- USA</w:t>
            </w:r>
          </w:p>
        </w:tc>
      </w:tr>
      <w:tr w:rsidR="00061F17" w:rsidRPr="00BC042E" w:rsidTr="00C15B34">
        <w:trPr>
          <w:cnfStyle w:val="000000100000" w:firstRow="0" w:lastRow="0" w:firstColumn="0" w:lastColumn="0" w:oddVBand="0" w:evenVBand="0" w:oddHBand="1" w:evenHBand="0" w:firstRowFirstColumn="0" w:firstRowLastColumn="0" w:lastRowFirstColumn="0" w:lastRowLastColumn="0"/>
          <w:jc w:val="center"/>
        </w:trPr>
        <w:tc>
          <w:tcPr>
            <w:tcW w:w="5369" w:type="dxa"/>
            <w:gridSpan w:val="2"/>
          </w:tcPr>
          <w:p w:rsidR="00061F17" w:rsidRPr="007A19CC" w:rsidRDefault="00061F17" w:rsidP="00530177">
            <w:pPr>
              <w:pStyle w:val="Tabletext"/>
              <w:rPr>
                <w:lang w:val="en-US" w:eastAsia="en-GB"/>
              </w:rPr>
            </w:pPr>
            <w:r w:rsidRPr="007A19CC">
              <w:rPr>
                <w:lang w:val="en-US" w:eastAsia="en-GB"/>
              </w:rPr>
              <w:t xml:space="preserve">10 MHz–10 GHz; </w:t>
            </w:r>
            <w:proofErr w:type="spellStart"/>
            <w:r w:rsidRPr="007A19CC">
              <w:rPr>
                <w:lang w:val="en-US" w:eastAsia="en-GB"/>
              </w:rPr>
              <w:t>Localised</w:t>
            </w:r>
            <w:proofErr w:type="spellEnd"/>
            <w:r w:rsidRPr="007A19CC">
              <w:rPr>
                <w:lang w:val="en-US" w:eastAsia="en-GB"/>
              </w:rPr>
              <w:t xml:space="preserve"> SAR (Head and Trunk)</w:t>
            </w:r>
          </w:p>
        </w:tc>
        <w:tc>
          <w:tcPr>
            <w:tcW w:w="3153" w:type="dxa"/>
          </w:tcPr>
          <w:p w:rsidR="00061F17" w:rsidRPr="00BC042E" w:rsidRDefault="00061F17" w:rsidP="00530177">
            <w:pPr>
              <w:pStyle w:val="Tabletext"/>
              <w:rPr>
                <w:lang w:eastAsia="en-GB"/>
              </w:rPr>
            </w:pPr>
            <w:r w:rsidRPr="00BC042E">
              <w:rPr>
                <w:lang w:eastAsia="en-GB"/>
              </w:rPr>
              <w:t xml:space="preserve">Portable </w:t>
            </w:r>
            <w:proofErr w:type="spellStart"/>
            <w:r w:rsidRPr="00BC042E">
              <w:rPr>
                <w:lang w:eastAsia="en-GB"/>
              </w:rPr>
              <w:t>Devices</w:t>
            </w:r>
            <w:proofErr w:type="spellEnd"/>
            <w:r w:rsidRPr="00BC042E">
              <w:rPr>
                <w:lang w:eastAsia="en-GB"/>
              </w:rPr>
              <w:t xml:space="preserve">; General Population/ </w:t>
            </w:r>
            <w:proofErr w:type="spellStart"/>
            <w:r w:rsidRPr="00BC042E">
              <w:rPr>
                <w:lang w:eastAsia="en-GB"/>
              </w:rPr>
              <w:t>Uncontrolled</w:t>
            </w:r>
            <w:proofErr w:type="spellEnd"/>
            <w:r w:rsidRPr="00BC042E">
              <w:rPr>
                <w:lang w:eastAsia="en-GB"/>
              </w:rPr>
              <w:t xml:space="preserve"> </w:t>
            </w:r>
          </w:p>
        </w:tc>
      </w:tr>
      <w:tr w:rsidR="00061F17" w:rsidRPr="00BC042E" w:rsidTr="00C15B34">
        <w:trPr>
          <w:cnfStyle w:val="000000010000" w:firstRow="0" w:lastRow="0" w:firstColumn="0" w:lastColumn="0" w:oddVBand="0" w:evenVBand="0" w:oddHBand="0" w:evenHBand="1" w:firstRowFirstColumn="0" w:firstRowLastColumn="0" w:lastRowFirstColumn="0" w:lastRowLastColumn="0"/>
          <w:jc w:val="center"/>
        </w:trPr>
        <w:tc>
          <w:tcPr>
            <w:tcW w:w="5369" w:type="dxa"/>
            <w:gridSpan w:val="2"/>
          </w:tcPr>
          <w:p w:rsidR="00061F17" w:rsidRPr="00BC042E" w:rsidRDefault="00061F17" w:rsidP="00530177">
            <w:pPr>
              <w:pStyle w:val="Tabletext"/>
              <w:rPr>
                <w:lang w:eastAsia="en-GB"/>
              </w:rPr>
            </w:pPr>
            <w:r w:rsidRPr="00BC042E">
              <w:rPr>
                <w:lang w:eastAsia="en-GB"/>
              </w:rPr>
              <w:t xml:space="preserve">2.0; </w:t>
            </w:r>
            <w:proofErr w:type="spellStart"/>
            <w:r w:rsidRPr="00BC042E">
              <w:rPr>
                <w:lang w:eastAsia="en-GB"/>
              </w:rPr>
              <w:t>averaged</w:t>
            </w:r>
            <w:proofErr w:type="spellEnd"/>
            <w:r w:rsidRPr="00BC042E">
              <w:rPr>
                <w:lang w:eastAsia="en-GB"/>
              </w:rPr>
              <w:t xml:space="preserve"> over 10 g tissue</w:t>
            </w:r>
          </w:p>
        </w:tc>
        <w:tc>
          <w:tcPr>
            <w:tcW w:w="3153" w:type="dxa"/>
          </w:tcPr>
          <w:p w:rsidR="00061F17" w:rsidRPr="00BC042E" w:rsidRDefault="00061F17" w:rsidP="00530177">
            <w:pPr>
              <w:pStyle w:val="Tabletext"/>
              <w:rPr>
                <w:lang w:eastAsia="en-GB"/>
              </w:rPr>
            </w:pPr>
            <w:r w:rsidRPr="00BC042E">
              <w:rPr>
                <w:lang w:eastAsia="en-GB"/>
              </w:rPr>
              <w:t xml:space="preserve">1.6; </w:t>
            </w:r>
            <w:proofErr w:type="spellStart"/>
            <w:r w:rsidRPr="00BC042E">
              <w:rPr>
                <w:lang w:eastAsia="en-GB"/>
              </w:rPr>
              <w:t>averaged</w:t>
            </w:r>
            <w:proofErr w:type="spellEnd"/>
            <w:r w:rsidRPr="00BC042E">
              <w:rPr>
                <w:lang w:eastAsia="en-GB"/>
              </w:rPr>
              <w:t xml:space="preserve"> over 1g tissue</w:t>
            </w:r>
          </w:p>
        </w:tc>
      </w:tr>
    </w:tbl>
    <w:p w:rsidR="00FF79CB" w:rsidRDefault="00FF79CB" w:rsidP="00530177"/>
    <w:p w:rsidR="00061F17" w:rsidRPr="007A19CC" w:rsidRDefault="00061F17" w:rsidP="00530177">
      <w:pPr>
        <w:rPr>
          <w:lang w:val="en-US"/>
        </w:rPr>
      </w:pPr>
      <w:r w:rsidRPr="00FF79CB">
        <w:rPr>
          <w:lang w:val="en-US"/>
        </w:rPr>
        <w:t xml:space="preserve">In contrast to the thresholds of power density from cellular base stations, it is important to observe that the US is more risk averse than Europe in the allowed SAR from the cellular terminal. </w:t>
      </w:r>
      <w:r w:rsidRPr="007A19CC">
        <w:rPr>
          <w:lang w:val="en-US"/>
        </w:rPr>
        <w:t>The ICNIRP threshold (adopted by EC) is 2.0 W/kg, while the US limits are 1.6 watts/kg</w:t>
      </w:r>
      <w:r w:rsidR="001970D2" w:rsidRPr="001970D2">
        <w:rPr>
          <w:rStyle w:val="FootnoteReference"/>
          <w:lang w:val="en-US"/>
        </w:rPr>
        <w:footnoteReference w:customMarkFollows="1" w:id="24"/>
        <w:t>3</w:t>
      </w:r>
      <w:r w:rsidRPr="007A19CC">
        <w:rPr>
          <w:lang w:val="en-US"/>
        </w:rPr>
        <w:t xml:space="preserve"> for the partial body. The IEEE (2006:79) has changed the peak spatial average SAR values from 1.6 W/kg for exposure of the public environment to 2 W/kg; moreover, the SAR is to be averaged over </w:t>
      </w:r>
      <w:proofErr w:type="gramStart"/>
      <w:r w:rsidRPr="007A19CC">
        <w:rPr>
          <w:lang w:val="en-US"/>
        </w:rPr>
        <w:t>10g tissue</w:t>
      </w:r>
      <w:proofErr w:type="gramEnd"/>
      <w:r w:rsidRPr="007A19CC">
        <w:rPr>
          <w:lang w:val="en-US"/>
        </w:rPr>
        <w:t xml:space="preserve"> as in the ICNIRP and not for 1g as before. These changes were based on the scientific considerations and were also influenced by the desire to harmonize the basic restrictions with ICNIRP, where scientifically justified. </w:t>
      </w:r>
    </w:p>
    <w:p w:rsidR="00002906" w:rsidRDefault="00002906">
      <w:pPr>
        <w:spacing w:before="0"/>
        <w:jc w:val="left"/>
        <w:rPr>
          <w:rFonts w:cs="Times New Roman Bold"/>
          <w:b/>
          <w:bCs/>
          <w:lang w:val="en-AU"/>
        </w:rPr>
      </w:pPr>
      <w:bookmarkStart w:id="143" w:name="_Toc361912445"/>
      <w:bookmarkStart w:id="144" w:name="_Toc374691844"/>
      <w:r w:rsidRPr="00B03492">
        <w:rPr>
          <w:lang w:val="en-US"/>
        </w:rPr>
        <w:br w:type="page"/>
      </w:r>
    </w:p>
    <w:p w:rsidR="00061F17" w:rsidRDefault="00061F17" w:rsidP="00002906">
      <w:pPr>
        <w:pStyle w:val="Heading1"/>
        <w:tabs>
          <w:tab w:val="left" w:pos="1418"/>
        </w:tabs>
        <w:ind w:left="1418" w:hanging="1418"/>
      </w:pPr>
      <w:r w:rsidRPr="00FF79CB">
        <w:lastRenderedPageBreak/>
        <w:t xml:space="preserve">Annex 3: </w:t>
      </w:r>
      <w:r w:rsidR="00357951">
        <w:tab/>
      </w:r>
      <w:r w:rsidRPr="00FF79CB">
        <w:t>Mandate of Question 23/1 (WTDC-10/139 (Rev.1))</w:t>
      </w:r>
      <w:bookmarkEnd w:id="143"/>
      <w:r w:rsidR="00C20DC1" w:rsidRPr="00002906">
        <w:footnoteReference w:customMarkFollows="1" w:id="25"/>
        <w:t>*</w:t>
      </w:r>
      <w:r w:rsidRPr="00FF79CB">
        <w:t>.</w:t>
      </w:r>
      <w:bookmarkEnd w:id="144"/>
    </w:p>
    <w:p w:rsidR="00002906" w:rsidRPr="00002906" w:rsidRDefault="00002906" w:rsidP="00002906">
      <w:pPr>
        <w:rPr>
          <w:lang w:val="en-US"/>
        </w:rPr>
      </w:pPr>
    </w:p>
    <w:p w:rsidR="00061F17" w:rsidRPr="004F5CF4" w:rsidRDefault="00061F17" w:rsidP="00F22C89">
      <w:pPr>
        <w:pStyle w:val="Figuretitle"/>
        <w:pBdr>
          <w:right w:val="single" w:sz="12" w:space="0" w:color="005173"/>
        </w:pBdr>
        <w:rPr>
          <w:bCs/>
          <w:lang w:eastAsia="en-ZA"/>
        </w:rPr>
      </w:pPr>
      <w:bookmarkStart w:id="145" w:name="_Toc375239134"/>
      <w:r w:rsidRPr="004F5CF4">
        <w:rPr>
          <w:lang w:eastAsia="en-ZA"/>
        </w:rPr>
        <w:t>Question 23/1 – Strategies and policies concerning human exposure to electromagnetic fields</w:t>
      </w:r>
      <w:bookmarkEnd w:id="145"/>
      <w:r w:rsidRPr="004F5CF4">
        <w:rPr>
          <w:lang w:eastAsia="en-ZA"/>
        </w:rPr>
        <w:t xml:space="preserve"> </w:t>
      </w:r>
    </w:p>
    <w:p w:rsidR="00061F17" w:rsidRPr="004F5CF4" w:rsidRDefault="00061F17" w:rsidP="00F22C89">
      <w:pPr>
        <w:pStyle w:val="Figuretitle"/>
        <w:pBdr>
          <w:right w:val="single" w:sz="12" w:space="0" w:color="005173"/>
        </w:pBdr>
        <w:spacing w:before="240"/>
        <w:rPr>
          <w:bCs/>
          <w:lang w:eastAsia="en-ZA"/>
        </w:rPr>
      </w:pPr>
      <w:bookmarkStart w:id="146" w:name="_Toc375239135"/>
      <w:r w:rsidRPr="004F5CF4">
        <w:rPr>
          <w:lang w:eastAsia="en-ZA"/>
        </w:rPr>
        <w:t>1</w:t>
      </w:r>
      <w:r w:rsidRPr="00F361D6">
        <w:rPr>
          <w:lang w:eastAsia="en-ZA"/>
        </w:rPr>
        <w:t>.</w:t>
      </w:r>
      <w:r w:rsidRPr="004F5CF4">
        <w:rPr>
          <w:lang w:eastAsia="en-ZA"/>
        </w:rPr>
        <w:t xml:space="preserve"> </w:t>
      </w:r>
      <w:r w:rsidR="00FF79CB">
        <w:rPr>
          <w:lang w:eastAsia="en-ZA"/>
        </w:rPr>
        <w:tab/>
      </w:r>
      <w:r w:rsidRPr="004F5CF4">
        <w:rPr>
          <w:lang w:eastAsia="en-ZA"/>
        </w:rPr>
        <w:t>Statement of the situation</w:t>
      </w:r>
      <w:bookmarkEnd w:id="146"/>
      <w:r w:rsidRPr="004F5CF4">
        <w:rPr>
          <w:lang w:eastAsia="en-ZA"/>
        </w:rPr>
        <w:t xml:space="preserve"> </w:t>
      </w:r>
    </w:p>
    <w:p w:rsidR="00061F17" w:rsidRPr="00F361D6" w:rsidRDefault="00061F17" w:rsidP="00F22C89">
      <w:pPr>
        <w:pStyle w:val="Figure"/>
        <w:pBdr>
          <w:right w:val="single" w:sz="12" w:space="0" w:color="005173"/>
        </w:pBdr>
        <w:spacing w:before="120" w:after="0"/>
        <w:ind w:left="0" w:firstLine="0"/>
        <w:jc w:val="both"/>
        <w:rPr>
          <w:lang w:eastAsia="en-ZA"/>
        </w:rPr>
      </w:pPr>
      <w:r w:rsidRPr="004F5CF4">
        <w:rPr>
          <w:lang w:eastAsia="en-ZA"/>
        </w:rPr>
        <w:t xml:space="preserve">The deployment of different sources of electromagnetic fields to cater for the telecommunication </w:t>
      </w:r>
      <w:r w:rsidRPr="00F361D6">
        <w:rPr>
          <w:lang w:eastAsia="en-ZA"/>
        </w:rPr>
        <w:t xml:space="preserve">and ICT </w:t>
      </w:r>
      <w:r w:rsidRPr="004F5CF4">
        <w:rPr>
          <w:lang w:eastAsia="en-ZA"/>
        </w:rPr>
        <w:t xml:space="preserve">needs of urban and rural communities has developed very rapidly over the past ten (10) </w:t>
      </w:r>
      <w:r w:rsidRPr="00F361D6">
        <w:rPr>
          <w:lang w:eastAsia="en-ZA"/>
        </w:rPr>
        <w:t xml:space="preserve">years. This has </w:t>
      </w:r>
      <w:r w:rsidRPr="004F5CF4">
        <w:rPr>
          <w:lang w:eastAsia="en-ZA"/>
        </w:rPr>
        <w:t xml:space="preserve">been due to strong competition, ongoing traffic growth, </w:t>
      </w:r>
      <w:proofErr w:type="gramStart"/>
      <w:r w:rsidRPr="004F5CF4">
        <w:rPr>
          <w:lang w:eastAsia="en-ZA"/>
        </w:rPr>
        <w:t>quality</w:t>
      </w:r>
      <w:proofErr w:type="gramEnd"/>
      <w:r w:rsidRPr="004F5CF4">
        <w:rPr>
          <w:lang w:eastAsia="en-ZA"/>
        </w:rPr>
        <w:t xml:space="preserve"> of service requirements, network coverage extension and the introduction of new technologies. It has produced concern on the possible effects of prolonged exposure to emissions on people's health. </w:t>
      </w:r>
    </w:p>
    <w:p w:rsidR="00061F17" w:rsidRPr="00F361D6" w:rsidRDefault="00061F17" w:rsidP="00F22C89">
      <w:pPr>
        <w:pStyle w:val="Figure"/>
        <w:pBdr>
          <w:right w:val="single" w:sz="12" w:space="0" w:color="005173"/>
        </w:pBdr>
        <w:spacing w:before="120" w:after="0"/>
        <w:ind w:left="0" w:firstLine="0"/>
        <w:jc w:val="both"/>
        <w:rPr>
          <w:lang w:eastAsia="en-ZA"/>
        </w:rPr>
      </w:pPr>
      <w:r w:rsidRPr="004F5CF4">
        <w:rPr>
          <w:lang w:eastAsia="en-ZA"/>
        </w:rPr>
        <w:t>This concern on the part of populations is growing,</w:t>
      </w:r>
      <w:r w:rsidRPr="00F361D6">
        <w:rPr>
          <w:lang w:eastAsia="en-ZA"/>
        </w:rPr>
        <w:t xml:space="preserve"> </w:t>
      </w:r>
      <w:r w:rsidRPr="004F5CF4">
        <w:rPr>
          <w:lang w:eastAsia="en-ZA"/>
        </w:rPr>
        <w:t xml:space="preserve">aggravated by the feeling that they are not being kept informed of the process for deploying these installations; hence many complaints received by operators and government bodies responsible for </w:t>
      </w:r>
      <w:proofErr w:type="spellStart"/>
      <w:r w:rsidRPr="004F5CF4">
        <w:rPr>
          <w:lang w:eastAsia="en-ZA"/>
        </w:rPr>
        <w:t>radiocommunications</w:t>
      </w:r>
      <w:proofErr w:type="spellEnd"/>
      <w:r w:rsidRPr="004F5CF4">
        <w:rPr>
          <w:lang w:eastAsia="en-ZA"/>
        </w:rPr>
        <w:t xml:space="preserve">/ICTs. </w:t>
      </w:r>
    </w:p>
    <w:p w:rsidR="00061F17" w:rsidRPr="004F5CF4" w:rsidRDefault="00061F17" w:rsidP="00F22C89">
      <w:pPr>
        <w:pStyle w:val="Figure"/>
        <w:pBdr>
          <w:right w:val="single" w:sz="12" w:space="0" w:color="005173"/>
        </w:pBdr>
        <w:spacing w:before="120" w:after="0"/>
        <w:ind w:left="0" w:firstLine="0"/>
        <w:jc w:val="both"/>
        <w:rPr>
          <w:lang w:eastAsia="en-ZA"/>
        </w:rPr>
      </w:pPr>
      <w:r w:rsidRPr="004F5CF4">
        <w:rPr>
          <w:lang w:eastAsia="en-ZA"/>
        </w:rPr>
        <w:t xml:space="preserve">Thus, since the continued development of </w:t>
      </w:r>
      <w:proofErr w:type="spellStart"/>
      <w:r w:rsidRPr="004F5CF4">
        <w:rPr>
          <w:lang w:eastAsia="en-ZA"/>
        </w:rPr>
        <w:t>radiocommunications</w:t>
      </w:r>
      <w:proofErr w:type="spellEnd"/>
      <w:r w:rsidRPr="004F5CF4">
        <w:rPr>
          <w:lang w:eastAsia="en-ZA"/>
        </w:rPr>
        <w:t xml:space="preserve"> requires trust on the part of populations, the work carried out in ITU-R Study Group 1 Working Party 1C and ITU-T Study Group 5 under Resolution 72, on measurement concerns related to human exposure to electromagnetic fields, should be complemented by studies on the different regulatory and communication mechanisms developed by countries to increase the awareness of and information to populations and facilitate the deployment and operation of </w:t>
      </w:r>
      <w:proofErr w:type="spellStart"/>
      <w:r w:rsidRPr="004F5CF4">
        <w:rPr>
          <w:lang w:eastAsia="en-ZA"/>
        </w:rPr>
        <w:t>radiocommunication</w:t>
      </w:r>
      <w:proofErr w:type="spellEnd"/>
      <w:r w:rsidRPr="004F5CF4">
        <w:rPr>
          <w:lang w:eastAsia="en-ZA"/>
        </w:rPr>
        <w:t xml:space="preserve"> systems. </w:t>
      </w:r>
    </w:p>
    <w:p w:rsidR="00061F17" w:rsidRPr="004F5CF4" w:rsidRDefault="00061F17" w:rsidP="00F22C89">
      <w:pPr>
        <w:pStyle w:val="Figuretitle"/>
        <w:pBdr>
          <w:right w:val="single" w:sz="12" w:space="0" w:color="005173"/>
        </w:pBdr>
        <w:spacing w:before="240"/>
        <w:rPr>
          <w:bCs/>
          <w:lang w:eastAsia="en-ZA"/>
        </w:rPr>
      </w:pPr>
      <w:bookmarkStart w:id="147" w:name="_Toc375239136"/>
      <w:r w:rsidRPr="004F5CF4">
        <w:rPr>
          <w:lang w:eastAsia="en-ZA"/>
        </w:rPr>
        <w:t>2</w:t>
      </w:r>
      <w:r w:rsidRPr="00F361D6">
        <w:rPr>
          <w:lang w:eastAsia="en-ZA"/>
        </w:rPr>
        <w:t xml:space="preserve">. </w:t>
      </w:r>
      <w:r w:rsidR="00FF79CB">
        <w:rPr>
          <w:lang w:eastAsia="en-ZA"/>
        </w:rPr>
        <w:tab/>
      </w:r>
      <w:r w:rsidRPr="004F5CF4">
        <w:rPr>
          <w:lang w:eastAsia="en-ZA"/>
        </w:rPr>
        <w:t>Question for study</w:t>
      </w:r>
      <w:bookmarkEnd w:id="147"/>
      <w:r w:rsidRPr="004F5CF4">
        <w:rPr>
          <w:lang w:eastAsia="en-ZA"/>
        </w:rPr>
        <w:t xml:space="preserve"> </w:t>
      </w:r>
    </w:p>
    <w:p w:rsidR="00061F17" w:rsidRPr="004F5CF4" w:rsidRDefault="00061F17" w:rsidP="00F22C89">
      <w:pPr>
        <w:pStyle w:val="Figure"/>
        <w:pBdr>
          <w:right w:val="single" w:sz="12" w:space="0" w:color="005173"/>
        </w:pBdr>
        <w:spacing w:before="120" w:after="0"/>
        <w:ind w:left="0" w:firstLine="0"/>
        <w:jc w:val="both"/>
        <w:rPr>
          <w:lang w:eastAsia="en-ZA"/>
        </w:rPr>
      </w:pPr>
      <w:r w:rsidRPr="004F5CF4">
        <w:rPr>
          <w:lang w:eastAsia="en-ZA"/>
        </w:rPr>
        <w:t xml:space="preserve">The following subjects should be studied: </w:t>
      </w:r>
    </w:p>
    <w:p w:rsidR="00061F17" w:rsidRPr="004F5CF4" w:rsidRDefault="00061F17" w:rsidP="00F22C89">
      <w:pPr>
        <w:pStyle w:val="Figure"/>
        <w:pBdr>
          <w:right w:val="single" w:sz="12" w:space="0" w:color="005173"/>
        </w:pBdr>
        <w:spacing w:before="120" w:after="0"/>
        <w:ind w:left="0" w:firstLine="0"/>
        <w:jc w:val="both"/>
        <w:rPr>
          <w:lang w:eastAsia="en-ZA"/>
        </w:rPr>
      </w:pPr>
      <w:r w:rsidRPr="004F5CF4">
        <w:rPr>
          <w:lang w:eastAsia="en-ZA"/>
        </w:rPr>
        <w:t xml:space="preserve">a) </w:t>
      </w:r>
      <w:r w:rsidRPr="00F361D6">
        <w:rPr>
          <w:lang w:eastAsia="en-ZA"/>
        </w:rPr>
        <w:tab/>
      </w:r>
      <w:r w:rsidRPr="004F5CF4">
        <w:rPr>
          <w:lang w:eastAsia="en-ZA"/>
        </w:rPr>
        <w:t>To compile and analyse the regulatory policies concerning human exposure to electromagnetic fields that are being considered or</w:t>
      </w:r>
      <w:r w:rsidRPr="00F361D6">
        <w:rPr>
          <w:lang w:eastAsia="en-ZA"/>
        </w:rPr>
        <w:t xml:space="preserve"> </w:t>
      </w:r>
      <w:r w:rsidRPr="004F5CF4">
        <w:rPr>
          <w:lang w:eastAsia="en-ZA"/>
        </w:rPr>
        <w:t xml:space="preserve">being undertaken for authorizing the installation of </w:t>
      </w:r>
      <w:proofErr w:type="spellStart"/>
      <w:r w:rsidRPr="004F5CF4">
        <w:rPr>
          <w:lang w:eastAsia="en-ZA"/>
        </w:rPr>
        <w:t>radiocommunication</w:t>
      </w:r>
      <w:proofErr w:type="spellEnd"/>
      <w:r w:rsidRPr="004F5CF4">
        <w:rPr>
          <w:lang w:eastAsia="en-ZA"/>
        </w:rPr>
        <w:t xml:space="preserve"> sites and Power Lines Telecommunications systems. </w:t>
      </w:r>
    </w:p>
    <w:p w:rsidR="00061F17" w:rsidRPr="004F5CF4" w:rsidRDefault="00061F17" w:rsidP="00F22C89">
      <w:pPr>
        <w:pStyle w:val="Figure"/>
        <w:pBdr>
          <w:right w:val="single" w:sz="12" w:space="0" w:color="005173"/>
        </w:pBdr>
        <w:spacing w:before="120" w:after="0"/>
        <w:ind w:left="0" w:firstLine="0"/>
        <w:jc w:val="both"/>
        <w:rPr>
          <w:lang w:eastAsia="en-ZA"/>
        </w:rPr>
      </w:pPr>
      <w:r w:rsidRPr="00F361D6">
        <w:rPr>
          <w:lang w:eastAsia="en-ZA"/>
        </w:rPr>
        <w:t>b)</w:t>
      </w:r>
      <w:r w:rsidRPr="00F361D6">
        <w:rPr>
          <w:lang w:eastAsia="en-ZA"/>
        </w:rPr>
        <w:tab/>
      </w:r>
      <w:r w:rsidRPr="004F5CF4">
        <w:rPr>
          <w:lang w:eastAsia="en-ZA"/>
        </w:rPr>
        <w:t xml:space="preserve">To describe the strategies or methods for raising the awareness of populations and </w:t>
      </w:r>
      <w:r w:rsidRPr="00F361D6">
        <w:rPr>
          <w:lang w:eastAsia="en-ZA"/>
        </w:rPr>
        <w:t xml:space="preserve">information to </w:t>
      </w:r>
      <w:r w:rsidRPr="004F5CF4">
        <w:rPr>
          <w:lang w:eastAsia="en-ZA"/>
        </w:rPr>
        <w:t>populations regarding the effects of</w:t>
      </w:r>
      <w:r w:rsidRPr="00F361D6">
        <w:rPr>
          <w:lang w:eastAsia="en-ZA"/>
        </w:rPr>
        <w:t xml:space="preserve"> </w:t>
      </w:r>
      <w:r w:rsidRPr="004F5CF4">
        <w:rPr>
          <w:lang w:eastAsia="en-ZA"/>
        </w:rPr>
        <w:t xml:space="preserve">electromagnetic fields due to </w:t>
      </w:r>
      <w:proofErr w:type="spellStart"/>
      <w:r w:rsidRPr="004F5CF4">
        <w:rPr>
          <w:lang w:eastAsia="en-ZA"/>
        </w:rPr>
        <w:t>radiocommunication</w:t>
      </w:r>
      <w:proofErr w:type="spellEnd"/>
      <w:r w:rsidRPr="004F5CF4">
        <w:rPr>
          <w:lang w:eastAsia="en-ZA"/>
        </w:rPr>
        <w:t xml:space="preserve"> systems. </w:t>
      </w:r>
    </w:p>
    <w:p w:rsidR="00061F17" w:rsidRPr="00F361D6" w:rsidRDefault="00061F17" w:rsidP="00F22C89">
      <w:pPr>
        <w:pStyle w:val="Figure"/>
        <w:pBdr>
          <w:right w:val="single" w:sz="12" w:space="0" w:color="005173"/>
        </w:pBdr>
        <w:spacing w:before="120" w:after="0"/>
        <w:ind w:left="0" w:firstLine="0"/>
        <w:jc w:val="both"/>
        <w:rPr>
          <w:lang w:eastAsia="en-ZA"/>
        </w:rPr>
      </w:pPr>
      <w:r w:rsidRPr="00F361D6">
        <w:rPr>
          <w:lang w:eastAsia="en-ZA"/>
        </w:rPr>
        <w:t>c)</w:t>
      </w:r>
      <w:r w:rsidRPr="00F361D6">
        <w:rPr>
          <w:lang w:eastAsia="en-ZA"/>
        </w:rPr>
        <w:tab/>
      </w:r>
      <w:r w:rsidRPr="004F5CF4">
        <w:rPr>
          <w:lang w:eastAsia="en-ZA"/>
        </w:rPr>
        <w:t>To propose guidelines and best practices on this</w:t>
      </w:r>
      <w:r>
        <w:rPr>
          <w:lang w:eastAsia="en-ZA"/>
        </w:rPr>
        <w:t xml:space="preserve"> </w:t>
      </w:r>
      <w:r w:rsidRPr="004F5CF4">
        <w:rPr>
          <w:lang w:eastAsia="en-ZA"/>
        </w:rPr>
        <w:t xml:space="preserve">matter. </w:t>
      </w:r>
    </w:p>
    <w:p w:rsidR="00061F17" w:rsidRPr="004F5CF4" w:rsidRDefault="00061F17" w:rsidP="00F22C89">
      <w:pPr>
        <w:pStyle w:val="Figuretitle"/>
        <w:pBdr>
          <w:right w:val="single" w:sz="12" w:space="0" w:color="005173"/>
        </w:pBdr>
        <w:spacing w:before="240"/>
        <w:rPr>
          <w:bCs/>
          <w:lang w:eastAsia="en-ZA"/>
        </w:rPr>
      </w:pPr>
      <w:bookmarkStart w:id="148" w:name="_Toc375239137"/>
      <w:r w:rsidRPr="004F5CF4">
        <w:rPr>
          <w:lang w:eastAsia="en-ZA"/>
        </w:rPr>
        <w:t>3</w:t>
      </w:r>
      <w:r w:rsidRPr="00F361D6">
        <w:rPr>
          <w:lang w:eastAsia="en-ZA"/>
        </w:rPr>
        <w:t>.</w:t>
      </w:r>
      <w:r w:rsidRPr="004F5CF4">
        <w:rPr>
          <w:lang w:eastAsia="en-ZA"/>
        </w:rPr>
        <w:t xml:space="preserve"> </w:t>
      </w:r>
      <w:r w:rsidR="00FF79CB">
        <w:rPr>
          <w:lang w:eastAsia="en-ZA"/>
        </w:rPr>
        <w:tab/>
      </w:r>
      <w:r w:rsidRPr="004F5CF4">
        <w:rPr>
          <w:lang w:eastAsia="en-ZA"/>
        </w:rPr>
        <w:t>Expected outcome</w:t>
      </w:r>
      <w:bookmarkEnd w:id="148"/>
      <w:r w:rsidRPr="004F5CF4">
        <w:rPr>
          <w:lang w:eastAsia="en-ZA"/>
        </w:rPr>
        <w:t xml:space="preserve"> </w:t>
      </w:r>
    </w:p>
    <w:p w:rsidR="00061F17" w:rsidRPr="004F5CF4" w:rsidRDefault="00061F17" w:rsidP="00F22C89">
      <w:pPr>
        <w:pStyle w:val="Figure"/>
        <w:pBdr>
          <w:right w:val="single" w:sz="12" w:space="0" w:color="005173"/>
        </w:pBdr>
        <w:spacing w:before="120" w:after="0"/>
        <w:ind w:left="0" w:firstLine="0"/>
        <w:jc w:val="both"/>
        <w:rPr>
          <w:lang w:eastAsia="en-ZA"/>
        </w:rPr>
      </w:pPr>
      <w:r w:rsidRPr="00F361D6">
        <w:rPr>
          <w:lang w:eastAsia="en-ZA"/>
        </w:rPr>
        <w:t>a)</w:t>
      </w:r>
      <w:r w:rsidRPr="00F361D6">
        <w:rPr>
          <w:lang w:eastAsia="en-ZA"/>
        </w:rPr>
        <w:tab/>
      </w:r>
      <w:r w:rsidRPr="004F5CF4">
        <w:rPr>
          <w:lang w:eastAsia="en-ZA"/>
        </w:rPr>
        <w:t>A report to the membership presenting guidelines</w:t>
      </w:r>
      <w:r>
        <w:rPr>
          <w:lang w:eastAsia="en-ZA"/>
        </w:rPr>
        <w:t xml:space="preserve"> </w:t>
      </w:r>
      <w:r w:rsidRPr="004F5CF4">
        <w:rPr>
          <w:lang w:eastAsia="en-ZA"/>
        </w:rPr>
        <w:t xml:space="preserve">to assist Member States in resolving </w:t>
      </w:r>
      <w:r w:rsidRPr="00F361D6">
        <w:rPr>
          <w:lang w:eastAsia="en-ZA"/>
        </w:rPr>
        <w:t>similar</w:t>
      </w:r>
      <w:r>
        <w:rPr>
          <w:lang w:eastAsia="en-ZA"/>
        </w:rPr>
        <w:t xml:space="preserve"> p</w:t>
      </w:r>
      <w:r w:rsidRPr="00F361D6">
        <w:rPr>
          <w:lang w:eastAsia="en-ZA"/>
        </w:rPr>
        <w:t xml:space="preserve">roblems </w:t>
      </w:r>
      <w:r w:rsidRPr="004F5CF4">
        <w:rPr>
          <w:lang w:eastAsia="en-ZA"/>
        </w:rPr>
        <w:t xml:space="preserve">faced by regulatory bodies. </w:t>
      </w:r>
    </w:p>
    <w:p w:rsidR="00061F17" w:rsidRPr="00F361D6" w:rsidRDefault="00061F17" w:rsidP="00F22C89">
      <w:pPr>
        <w:pStyle w:val="Figure"/>
        <w:pBdr>
          <w:right w:val="single" w:sz="12" w:space="0" w:color="005173"/>
        </w:pBdr>
        <w:spacing w:before="120" w:after="0"/>
        <w:ind w:left="0" w:firstLine="0"/>
        <w:jc w:val="both"/>
        <w:rPr>
          <w:lang w:eastAsia="en-ZA"/>
        </w:rPr>
      </w:pPr>
      <w:r w:rsidRPr="00F361D6">
        <w:rPr>
          <w:lang w:eastAsia="en-ZA"/>
        </w:rPr>
        <w:t>b)</w:t>
      </w:r>
      <w:r w:rsidRPr="00F361D6">
        <w:rPr>
          <w:lang w:eastAsia="en-ZA"/>
        </w:rPr>
        <w:tab/>
      </w:r>
      <w:r w:rsidRPr="004F5CF4">
        <w:rPr>
          <w:lang w:eastAsia="en-ZA"/>
        </w:rPr>
        <w:t xml:space="preserve">The report will provide regulatory authorities with guidelines on methods for raising the </w:t>
      </w:r>
      <w:r>
        <w:rPr>
          <w:lang w:eastAsia="en-ZA"/>
        </w:rPr>
        <w:t>a</w:t>
      </w:r>
      <w:r w:rsidRPr="004F5CF4">
        <w:rPr>
          <w:lang w:eastAsia="en-ZA"/>
        </w:rPr>
        <w:t xml:space="preserve">wareness of populations along with best practices based on countries' experience in the matter. </w:t>
      </w:r>
    </w:p>
    <w:p w:rsidR="00061F17" w:rsidRPr="004F5CF4" w:rsidRDefault="00061F17" w:rsidP="00F22C89">
      <w:pPr>
        <w:pStyle w:val="Figuretitle"/>
        <w:pBdr>
          <w:right w:val="single" w:sz="12" w:space="0" w:color="005173"/>
        </w:pBdr>
        <w:spacing w:before="240"/>
        <w:rPr>
          <w:bCs/>
          <w:lang w:eastAsia="en-ZA"/>
        </w:rPr>
      </w:pPr>
      <w:bookmarkStart w:id="149" w:name="_Toc375239138"/>
      <w:r w:rsidRPr="004F5CF4">
        <w:rPr>
          <w:lang w:eastAsia="en-ZA"/>
        </w:rPr>
        <w:t xml:space="preserve">4 </w:t>
      </w:r>
      <w:r w:rsidR="00FF79CB">
        <w:rPr>
          <w:lang w:eastAsia="en-ZA"/>
        </w:rPr>
        <w:tab/>
      </w:r>
      <w:r w:rsidRPr="004F5CF4">
        <w:rPr>
          <w:lang w:eastAsia="en-ZA"/>
        </w:rPr>
        <w:t>Timeline</w:t>
      </w:r>
      <w:bookmarkEnd w:id="149"/>
      <w:r w:rsidRPr="004F5CF4">
        <w:rPr>
          <w:lang w:eastAsia="en-ZA"/>
        </w:rPr>
        <w:t xml:space="preserve"> </w:t>
      </w:r>
    </w:p>
    <w:p w:rsidR="00061F17" w:rsidRPr="004F5CF4" w:rsidRDefault="00061F17" w:rsidP="00F22C89">
      <w:pPr>
        <w:pStyle w:val="Figure"/>
        <w:pBdr>
          <w:right w:val="single" w:sz="12" w:space="0" w:color="005173"/>
        </w:pBdr>
        <w:spacing w:before="120" w:after="0"/>
        <w:ind w:left="0" w:firstLine="0"/>
        <w:jc w:val="both"/>
        <w:rPr>
          <w:lang w:eastAsia="en-ZA"/>
        </w:rPr>
      </w:pPr>
      <w:r w:rsidRPr="004F5CF4">
        <w:rPr>
          <w:lang w:eastAsia="en-ZA"/>
        </w:rPr>
        <w:t>A provisional report is to be presented to the Study Group in 2012. It is proposed that the study be completed in 2013, at which date a final report containing guidelines will be submitted</w:t>
      </w:r>
    </w:p>
    <w:p w:rsidR="00061F17" w:rsidRDefault="00061F17" w:rsidP="00061F17">
      <w:pPr>
        <w:spacing w:before="0"/>
        <w:rPr>
          <w:b/>
          <w:szCs w:val="19"/>
          <w:lang w:val="en-GB"/>
        </w:rPr>
      </w:pPr>
      <w:bookmarkStart w:id="150" w:name="_Toc361912446"/>
      <w:r w:rsidRPr="00061F17">
        <w:rPr>
          <w:smallCaps/>
          <w:szCs w:val="19"/>
          <w:lang w:val="en-US"/>
        </w:rPr>
        <w:br w:type="page"/>
      </w:r>
    </w:p>
    <w:p w:rsidR="00061F17" w:rsidRPr="00013023" w:rsidRDefault="00061F17" w:rsidP="00534837">
      <w:pPr>
        <w:pStyle w:val="Heading1"/>
        <w:tabs>
          <w:tab w:val="left" w:pos="1418"/>
        </w:tabs>
        <w:ind w:left="1418" w:hanging="1418"/>
        <w:rPr>
          <w:smallCaps/>
        </w:rPr>
      </w:pPr>
      <w:bookmarkStart w:id="151" w:name="_Toc374691845"/>
      <w:r w:rsidRPr="00013023">
        <w:lastRenderedPageBreak/>
        <w:t>A</w:t>
      </w:r>
      <w:r>
        <w:t>nnex</w:t>
      </w:r>
      <w:r w:rsidRPr="00013023">
        <w:t xml:space="preserve"> 4: </w:t>
      </w:r>
      <w:r w:rsidR="00357951">
        <w:tab/>
      </w:r>
      <w:r w:rsidRPr="00013023">
        <w:t>WTSA</w:t>
      </w:r>
      <w:r>
        <w:t>-</w:t>
      </w:r>
      <w:r w:rsidRPr="00013023">
        <w:t>12</w:t>
      </w:r>
      <w:r w:rsidR="00FA6CE1" w:rsidRPr="00FA6CE1">
        <w:rPr>
          <w:rStyle w:val="FootnoteReference"/>
          <w:lang w:val="en-US"/>
        </w:rPr>
        <w:footnoteReference w:customMarkFollows="1" w:id="26"/>
        <w:t>*</w:t>
      </w:r>
      <w:r w:rsidRPr="00013023">
        <w:t xml:space="preserve"> Resolution 72 on “Measurement concerns related to human exposure to electromagnetic fields”'</w:t>
      </w:r>
      <w:bookmarkEnd w:id="150"/>
      <w:bookmarkEnd w:id="151"/>
    </w:p>
    <w:p w:rsidR="00FF79CB" w:rsidRDefault="00FF79CB" w:rsidP="00FA6CE1">
      <w:pPr>
        <w:rPr>
          <w:lang w:val="en-US"/>
        </w:rPr>
      </w:pPr>
      <w:bookmarkStart w:id="152" w:name="dstart"/>
      <w:bookmarkStart w:id="153" w:name="dbreak"/>
      <w:bookmarkStart w:id="154" w:name="c2tope"/>
      <w:bookmarkStart w:id="155" w:name="irecnoe"/>
      <w:bookmarkEnd w:id="152"/>
      <w:bookmarkEnd w:id="153"/>
      <w:bookmarkEnd w:id="154"/>
      <w:bookmarkEnd w:id="155"/>
    </w:p>
    <w:p w:rsidR="00A86D63" w:rsidRPr="00A86D63" w:rsidRDefault="00A86D63" w:rsidP="00FA6CE1">
      <w:pPr>
        <w:rPr>
          <w:lang w:val="en-US"/>
        </w:rPr>
      </w:pPr>
    </w:p>
    <w:p w:rsidR="00061F17" w:rsidRPr="007A19CC" w:rsidRDefault="00061F17" w:rsidP="00FF79CB">
      <w:pPr>
        <w:pStyle w:val="ResNo"/>
        <w:rPr>
          <w:lang w:val="en-US"/>
        </w:rPr>
      </w:pPr>
      <w:r w:rsidRPr="007A19CC">
        <w:rPr>
          <w:lang w:val="en-US"/>
        </w:rPr>
        <w:t xml:space="preserve">resolution </w:t>
      </w:r>
      <w:r w:rsidRPr="007A19CC">
        <w:rPr>
          <w:rStyle w:val="href"/>
          <w:lang w:val="en-US"/>
        </w:rPr>
        <w:t xml:space="preserve">72 </w:t>
      </w:r>
      <w:r w:rsidRPr="007A19CC">
        <w:rPr>
          <w:lang w:val="en-US"/>
        </w:rPr>
        <w:t>(Rev. Dubai, 2012)</w:t>
      </w:r>
    </w:p>
    <w:p w:rsidR="00061F17" w:rsidRPr="00F361D6" w:rsidRDefault="00061F17" w:rsidP="00FF79CB">
      <w:pPr>
        <w:pStyle w:val="Restitle"/>
        <w:rPr>
          <w:lang w:val="en-GB"/>
        </w:rPr>
      </w:pPr>
      <w:r w:rsidRPr="007A19CC">
        <w:rPr>
          <w:lang w:val="en-US"/>
        </w:rPr>
        <w:t>Measurement</w:t>
      </w:r>
      <w:r w:rsidRPr="00F361D6">
        <w:rPr>
          <w:lang w:val="en-GB"/>
        </w:rPr>
        <w:t xml:space="preserve"> concerns related to human exposure to electromagnetic fields</w:t>
      </w:r>
    </w:p>
    <w:p w:rsidR="00061F17" w:rsidRPr="007A19CC" w:rsidRDefault="00061F17" w:rsidP="00FF79CB">
      <w:pPr>
        <w:pStyle w:val="Resref"/>
        <w:rPr>
          <w:lang w:val="en-US"/>
        </w:rPr>
      </w:pPr>
      <w:r w:rsidRPr="007A19CC">
        <w:rPr>
          <w:lang w:val="en-US"/>
        </w:rPr>
        <w:t>(Johannesburg, 2008; Dubai, 2012)</w:t>
      </w:r>
    </w:p>
    <w:p w:rsidR="00FF79CB" w:rsidRDefault="00FF79CB" w:rsidP="00061F17">
      <w:pPr>
        <w:pStyle w:val="Normalaftertitle"/>
        <w:spacing w:before="120" w:after="120"/>
        <w:rPr>
          <w:rFonts w:ascii="Verdana" w:hAnsi="Verdana"/>
          <w:sz w:val="19"/>
          <w:szCs w:val="19"/>
        </w:rPr>
      </w:pPr>
    </w:p>
    <w:p w:rsidR="00061F17" w:rsidRPr="00FF79CB" w:rsidRDefault="00061F17" w:rsidP="00FF79CB">
      <w:pPr>
        <w:pStyle w:val="Normalaftertitle"/>
      </w:pPr>
      <w:r w:rsidRPr="00FF79CB">
        <w:t>The World Telecommunication Standardization Assembly (Dubai, 2012),</w:t>
      </w:r>
    </w:p>
    <w:p w:rsidR="00061F17" w:rsidRPr="00F361D6" w:rsidRDefault="00061F17" w:rsidP="00FF79CB">
      <w:pPr>
        <w:pStyle w:val="Call"/>
      </w:pPr>
      <w:proofErr w:type="gramStart"/>
      <w:r w:rsidRPr="00FF79CB">
        <w:t>considering</w:t>
      </w:r>
      <w:proofErr w:type="gramEnd"/>
      <w:r w:rsidRPr="00F361D6">
        <w:t xml:space="preserve"> </w:t>
      </w:r>
    </w:p>
    <w:p w:rsidR="00061F17" w:rsidRPr="00F361D6" w:rsidRDefault="00061F17" w:rsidP="00061F17">
      <w:pPr>
        <w:rPr>
          <w:szCs w:val="19"/>
          <w:lang w:val="en-GB"/>
        </w:rPr>
      </w:pPr>
      <w:r w:rsidRPr="00F361D6">
        <w:rPr>
          <w:i/>
          <w:iCs/>
          <w:szCs w:val="19"/>
          <w:lang w:val="en-GB"/>
        </w:rPr>
        <w:t>a)</w:t>
      </w:r>
      <w:r w:rsidRPr="00F361D6">
        <w:rPr>
          <w:szCs w:val="19"/>
          <w:lang w:val="en-GB"/>
        </w:rPr>
        <w:tab/>
      </w:r>
      <w:proofErr w:type="gramStart"/>
      <w:r w:rsidRPr="00F361D6">
        <w:rPr>
          <w:szCs w:val="19"/>
          <w:lang w:val="en-GB"/>
        </w:rPr>
        <w:t>the</w:t>
      </w:r>
      <w:proofErr w:type="gramEnd"/>
      <w:r w:rsidRPr="00F361D6">
        <w:rPr>
          <w:szCs w:val="19"/>
          <w:lang w:val="en-GB"/>
        </w:rPr>
        <w:t xml:space="preserve"> importance of telecommunications and information and communication technologies (ICT) for political, economic, social and cultural progress;</w:t>
      </w:r>
    </w:p>
    <w:p w:rsidR="00061F17" w:rsidRPr="00F361D6" w:rsidRDefault="00061F17" w:rsidP="00061F17">
      <w:pPr>
        <w:rPr>
          <w:szCs w:val="19"/>
          <w:lang w:val="en-GB"/>
        </w:rPr>
      </w:pPr>
      <w:r w:rsidRPr="00F361D6">
        <w:rPr>
          <w:i/>
          <w:iCs/>
          <w:szCs w:val="19"/>
          <w:lang w:val="en-GB"/>
        </w:rPr>
        <w:t>b)</w:t>
      </w:r>
      <w:r w:rsidRPr="00F361D6">
        <w:rPr>
          <w:szCs w:val="19"/>
          <w:lang w:val="en-GB"/>
        </w:rPr>
        <w:tab/>
      </w:r>
      <w:proofErr w:type="gramStart"/>
      <w:r w:rsidRPr="00F361D6">
        <w:rPr>
          <w:szCs w:val="19"/>
          <w:lang w:val="en-GB"/>
        </w:rPr>
        <w:t>that</w:t>
      </w:r>
      <w:proofErr w:type="gramEnd"/>
      <w:r w:rsidRPr="00F361D6">
        <w:rPr>
          <w:szCs w:val="19"/>
          <w:lang w:val="en-GB"/>
        </w:rPr>
        <w:t xml:space="preserve"> a significant part of the infrastructure needed to help bridge the digital divide between developed and developing countries</w:t>
      </w:r>
      <w:r w:rsidR="00FA6CE1" w:rsidRPr="00FA6CE1">
        <w:rPr>
          <w:rStyle w:val="FootnoteReference"/>
          <w:szCs w:val="19"/>
          <w:lang w:val="en-US"/>
        </w:rPr>
        <w:footnoteReference w:customMarkFollows="1" w:id="27"/>
        <w:t>1</w:t>
      </w:r>
      <w:r w:rsidRPr="00F361D6">
        <w:rPr>
          <w:szCs w:val="19"/>
          <w:lang w:val="en-GB"/>
        </w:rPr>
        <w:t xml:space="preserve"> involves various wireless technologies;</w:t>
      </w:r>
    </w:p>
    <w:p w:rsidR="00061F17" w:rsidRPr="00F361D6" w:rsidRDefault="00061F17" w:rsidP="00061F17">
      <w:pPr>
        <w:rPr>
          <w:szCs w:val="19"/>
          <w:lang w:val="en-GB"/>
        </w:rPr>
      </w:pPr>
      <w:r w:rsidRPr="00F361D6">
        <w:rPr>
          <w:i/>
          <w:iCs/>
          <w:szCs w:val="19"/>
          <w:lang w:val="en-GB"/>
        </w:rPr>
        <w:t>c)</w:t>
      </w:r>
      <w:r w:rsidRPr="00F361D6">
        <w:rPr>
          <w:szCs w:val="19"/>
          <w:lang w:val="en-GB"/>
        </w:rPr>
        <w:tab/>
      </w:r>
      <w:proofErr w:type="gramStart"/>
      <w:r w:rsidRPr="00F361D6">
        <w:rPr>
          <w:szCs w:val="19"/>
          <w:lang w:val="en-GB"/>
        </w:rPr>
        <w:t>that</w:t>
      </w:r>
      <w:proofErr w:type="gramEnd"/>
      <w:r w:rsidRPr="00F361D6">
        <w:rPr>
          <w:szCs w:val="19"/>
          <w:lang w:val="en-GB"/>
        </w:rPr>
        <w:t xml:space="preserve"> there is a need to inform the public of the potential effects of exposure to electromagnetic fields (EMF);</w:t>
      </w:r>
    </w:p>
    <w:p w:rsidR="00061F17" w:rsidRPr="00F361D6" w:rsidRDefault="00061F17" w:rsidP="00061F17">
      <w:pPr>
        <w:rPr>
          <w:szCs w:val="19"/>
          <w:lang w:val="en-GB"/>
        </w:rPr>
      </w:pPr>
      <w:r w:rsidRPr="00F361D6">
        <w:rPr>
          <w:i/>
          <w:iCs/>
          <w:szCs w:val="19"/>
          <w:lang w:val="en-GB"/>
        </w:rPr>
        <w:t>d)</w:t>
      </w:r>
      <w:r w:rsidRPr="00F361D6">
        <w:rPr>
          <w:szCs w:val="19"/>
          <w:lang w:val="en-GB"/>
        </w:rPr>
        <w:tab/>
      </w:r>
      <w:proofErr w:type="gramStart"/>
      <w:r w:rsidRPr="00F361D6">
        <w:rPr>
          <w:szCs w:val="19"/>
          <w:lang w:val="en-GB"/>
        </w:rPr>
        <w:t>that</w:t>
      </w:r>
      <w:proofErr w:type="gramEnd"/>
      <w:r w:rsidRPr="00F361D6">
        <w:rPr>
          <w:szCs w:val="19"/>
          <w:lang w:val="en-GB"/>
        </w:rPr>
        <w:t xml:space="preserve"> an enormous amount of research has been carried out regarding wireless systems and health, and many independent expert committees have reviewed this research;</w:t>
      </w:r>
    </w:p>
    <w:p w:rsidR="00061F17" w:rsidRPr="00F361D6" w:rsidRDefault="00061F17" w:rsidP="00061F17">
      <w:pPr>
        <w:rPr>
          <w:szCs w:val="19"/>
          <w:lang w:val="en-GB"/>
        </w:rPr>
      </w:pPr>
      <w:r w:rsidRPr="00F361D6">
        <w:rPr>
          <w:i/>
          <w:iCs/>
          <w:szCs w:val="19"/>
          <w:lang w:val="en-GB"/>
        </w:rPr>
        <w:t>e)</w:t>
      </w:r>
      <w:r w:rsidRPr="00F361D6">
        <w:rPr>
          <w:szCs w:val="19"/>
          <w:lang w:val="en-GB"/>
        </w:rPr>
        <w:tab/>
        <w:t xml:space="preserve">that the International Commission on Non-Ionizing Radiation Protection (ICNIRP), the International </w:t>
      </w:r>
      <w:proofErr w:type="spellStart"/>
      <w:r w:rsidRPr="00F361D6">
        <w:rPr>
          <w:szCs w:val="19"/>
          <w:lang w:val="en-GB"/>
        </w:rPr>
        <w:t>Electrotechnical</w:t>
      </w:r>
      <w:proofErr w:type="spellEnd"/>
      <w:r w:rsidRPr="00F361D6">
        <w:rPr>
          <w:szCs w:val="19"/>
          <w:lang w:val="en-GB"/>
        </w:rPr>
        <w:t xml:space="preserve"> Commission (IEC) and the Institute of Electrical and Electronics Engineers (IEEE) are three among a number of pre-eminent international bodies in establishing measurement methodologies for assessing human exposure to EMF, and they already cooperate with many standards bodies and industry forums;</w:t>
      </w:r>
    </w:p>
    <w:p w:rsidR="00061F17" w:rsidRPr="00F361D6" w:rsidRDefault="00061F17" w:rsidP="00061F17">
      <w:pPr>
        <w:rPr>
          <w:szCs w:val="19"/>
          <w:lang w:val="en-GB"/>
        </w:rPr>
      </w:pPr>
      <w:r w:rsidRPr="00F361D6">
        <w:rPr>
          <w:i/>
          <w:iCs/>
          <w:szCs w:val="19"/>
          <w:lang w:val="en-GB"/>
        </w:rPr>
        <w:t>f)</w:t>
      </w:r>
      <w:r w:rsidRPr="00F361D6">
        <w:rPr>
          <w:szCs w:val="19"/>
          <w:lang w:val="en-GB"/>
        </w:rPr>
        <w:tab/>
        <w:t>that the World Health Organization (WHO) has issued fact sheets regarding EMF issues, including mobile terminals, base stations and wireless networks, referencing ICNIRP standards;</w:t>
      </w:r>
    </w:p>
    <w:p w:rsidR="00061F17" w:rsidRPr="00F361D6" w:rsidRDefault="00061F17" w:rsidP="00061F17">
      <w:pPr>
        <w:rPr>
          <w:szCs w:val="19"/>
          <w:lang w:val="en-GB"/>
        </w:rPr>
      </w:pPr>
      <w:r w:rsidRPr="00F361D6">
        <w:rPr>
          <w:i/>
          <w:iCs/>
          <w:szCs w:val="19"/>
          <w:lang w:val="en-GB"/>
        </w:rPr>
        <w:t>g)</w:t>
      </w:r>
      <w:r w:rsidRPr="00F361D6">
        <w:rPr>
          <w:szCs w:val="19"/>
          <w:lang w:val="en-GB"/>
        </w:rPr>
        <w:tab/>
        <w:t xml:space="preserve">Resolution 176 (Guadalajara, 2010) of the Plenipotentiary Conference, on human exposure to and measurement of electromagnetic fields; </w:t>
      </w:r>
    </w:p>
    <w:p w:rsidR="00061F17" w:rsidRPr="00F361D6" w:rsidRDefault="00061F17" w:rsidP="00061F17">
      <w:pPr>
        <w:rPr>
          <w:szCs w:val="19"/>
          <w:lang w:val="en-GB"/>
        </w:rPr>
      </w:pPr>
      <w:r w:rsidRPr="00F361D6">
        <w:rPr>
          <w:i/>
          <w:iCs/>
          <w:szCs w:val="19"/>
          <w:lang w:val="en-GB"/>
        </w:rPr>
        <w:t>h)</w:t>
      </w:r>
      <w:r w:rsidRPr="00F361D6">
        <w:rPr>
          <w:szCs w:val="19"/>
          <w:lang w:val="en-GB"/>
        </w:rPr>
        <w:tab/>
        <w:t>Resolution 62 (Hyderabad, 2010) of the World Telecommunication Development Conference, on measurement concerns related to human exposure to electromagnetic fields,</w:t>
      </w:r>
    </w:p>
    <w:p w:rsidR="00061F17" w:rsidRPr="00F361D6" w:rsidRDefault="00061F17" w:rsidP="00FF79CB">
      <w:pPr>
        <w:pStyle w:val="Call"/>
      </w:pPr>
      <w:proofErr w:type="gramStart"/>
      <w:r w:rsidRPr="00FF79CB">
        <w:t>recognizing</w:t>
      </w:r>
      <w:proofErr w:type="gramEnd"/>
    </w:p>
    <w:p w:rsidR="00061F17" w:rsidRPr="00F361D6" w:rsidRDefault="00061F17" w:rsidP="00061F17">
      <w:pPr>
        <w:rPr>
          <w:szCs w:val="19"/>
          <w:lang w:val="en-GB"/>
        </w:rPr>
      </w:pPr>
      <w:r w:rsidRPr="00F361D6">
        <w:rPr>
          <w:i/>
          <w:iCs/>
          <w:szCs w:val="19"/>
          <w:lang w:val="en-GB"/>
        </w:rPr>
        <w:t>a)</w:t>
      </w:r>
      <w:r w:rsidRPr="00F361D6">
        <w:rPr>
          <w:szCs w:val="19"/>
          <w:lang w:val="en-GB"/>
        </w:rPr>
        <w:tab/>
      </w:r>
      <w:proofErr w:type="gramStart"/>
      <w:r w:rsidRPr="00F361D6">
        <w:rPr>
          <w:szCs w:val="19"/>
          <w:lang w:val="en-GB"/>
        </w:rPr>
        <w:t>the</w:t>
      </w:r>
      <w:proofErr w:type="gramEnd"/>
      <w:r w:rsidRPr="00F361D6">
        <w:rPr>
          <w:szCs w:val="19"/>
          <w:lang w:val="en-GB"/>
        </w:rPr>
        <w:t xml:space="preserve"> work done within ITU </w:t>
      </w:r>
      <w:proofErr w:type="spellStart"/>
      <w:r w:rsidRPr="00F361D6">
        <w:rPr>
          <w:szCs w:val="19"/>
          <w:lang w:val="en-GB"/>
        </w:rPr>
        <w:t>Radiocommunication</w:t>
      </w:r>
      <w:proofErr w:type="spellEnd"/>
      <w:r w:rsidRPr="00F361D6">
        <w:rPr>
          <w:szCs w:val="19"/>
          <w:lang w:val="en-GB"/>
        </w:rPr>
        <w:t xml:space="preserve"> Sector (ITU</w:t>
      </w:r>
      <w:r w:rsidRPr="00F361D6">
        <w:rPr>
          <w:szCs w:val="19"/>
          <w:lang w:val="en-GB"/>
        </w:rPr>
        <w:noBreakHyphen/>
        <w:t xml:space="preserve">R) study groups on </w:t>
      </w:r>
      <w:proofErr w:type="spellStart"/>
      <w:r w:rsidRPr="00F361D6">
        <w:rPr>
          <w:szCs w:val="19"/>
          <w:lang w:val="en-GB"/>
        </w:rPr>
        <w:t>radiowave</w:t>
      </w:r>
      <w:proofErr w:type="spellEnd"/>
      <w:r w:rsidRPr="00F361D6">
        <w:rPr>
          <w:szCs w:val="19"/>
          <w:lang w:val="en-GB"/>
        </w:rPr>
        <w:t xml:space="preserve"> propagation, electromagnetic compatibility (EMC) and related aspects, including measurement methods;</w:t>
      </w:r>
    </w:p>
    <w:p w:rsidR="00061F17" w:rsidRPr="00F361D6" w:rsidRDefault="00061F17" w:rsidP="00061F17">
      <w:pPr>
        <w:rPr>
          <w:szCs w:val="19"/>
          <w:lang w:val="en-GB"/>
        </w:rPr>
      </w:pPr>
      <w:r w:rsidRPr="00F361D6">
        <w:rPr>
          <w:i/>
          <w:iCs/>
          <w:szCs w:val="19"/>
          <w:lang w:val="en-GB"/>
        </w:rPr>
        <w:t>b)</w:t>
      </w:r>
      <w:r w:rsidRPr="00F361D6">
        <w:rPr>
          <w:szCs w:val="19"/>
          <w:lang w:val="en-GB"/>
        </w:rPr>
        <w:tab/>
      </w:r>
      <w:proofErr w:type="gramStart"/>
      <w:r w:rsidRPr="00F361D6">
        <w:rPr>
          <w:szCs w:val="19"/>
          <w:lang w:val="en-GB"/>
        </w:rPr>
        <w:t>the</w:t>
      </w:r>
      <w:proofErr w:type="gramEnd"/>
      <w:r w:rsidRPr="00F361D6">
        <w:rPr>
          <w:szCs w:val="19"/>
          <w:lang w:val="en-GB"/>
        </w:rPr>
        <w:t xml:space="preserve"> work done within Study Group 5 of the ITU Telecommunication Standardization Sector (ITU</w:t>
      </w:r>
      <w:r w:rsidRPr="00F361D6">
        <w:rPr>
          <w:szCs w:val="19"/>
          <w:lang w:val="en-GB"/>
        </w:rPr>
        <w:noBreakHyphen/>
        <w:t>T) on techniques for taking radio-frequency (RF) measurements;</w:t>
      </w:r>
    </w:p>
    <w:p w:rsidR="00061F17" w:rsidRPr="00F361D6" w:rsidRDefault="00061F17" w:rsidP="00061F17">
      <w:pPr>
        <w:rPr>
          <w:szCs w:val="19"/>
          <w:lang w:val="en-GB"/>
        </w:rPr>
      </w:pPr>
      <w:r w:rsidRPr="00F361D6">
        <w:rPr>
          <w:i/>
          <w:iCs/>
          <w:szCs w:val="19"/>
          <w:lang w:val="en-GB"/>
        </w:rPr>
        <w:lastRenderedPageBreak/>
        <w:t>c)</w:t>
      </w:r>
      <w:r w:rsidRPr="00F361D6">
        <w:rPr>
          <w:szCs w:val="19"/>
          <w:lang w:val="en-GB"/>
        </w:rPr>
        <w:tab/>
        <w:t>that Study Group 5, in establishing measurement methodologies for assessing human exposure to RF energy, already cooperates with many participating standards organizations (PSOs),</w:t>
      </w:r>
    </w:p>
    <w:p w:rsidR="00061F17" w:rsidRPr="00F361D6" w:rsidRDefault="00061F17" w:rsidP="00FF79CB">
      <w:pPr>
        <w:pStyle w:val="Call"/>
      </w:pPr>
      <w:proofErr w:type="gramStart"/>
      <w:r w:rsidRPr="00FF79CB">
        <w:t>recognizing</w:t>
      </w:r>
      <w:proofErr w:type="gramEnd"/>
      <w:r w:rsidRPr="00F361D6">
        <w:t xml:space="preserve"> further</w:t>
      </w:r>
    </w:p>
    <w:p w:rsidR="00061F17" w:rsidRPr="00F361D6" w:rsidRDefault="00061F17" w:rsidP="00061F17">
      <w:pPr>
        <w:rPr>
          <w:szCs w:val="19"/>
          <w:lang w:val="en-GB"/>
        </w:rPr>
      </w:pPr>
      <w:r w:rsidRPr="00F361D6">
        <w:rPr>
          <w:i/>
          <w:iCs/>
          <w:szCs w:val="19"/>
          <w:lang w:val="en-GB"/>
        </w:rPr>
        <w:t>a)</w:t>
      </w:r>
      <w:r w:rsidRPr="00F361D6">
        <w:rPr>
          <w:szCs w:val="19"/>
          <w:lang w:val="en-GB"/>
        </w:rPr>
        <w:tab/>
      </w:r>
      <w:proofErr w:type="gramStart"/>
      <w:r w:rsidRPr="00F361D6">
        <w:rPr>
          <w:szCs w:val="19"/>
          <w:lang w:val="en-GB"/>
        </w:rPr>
        <w:t>that</w:t>
      </w:r>
      <w:proofErr w:type="gramEnd"/>
      <w:r w:rsidRPr="00F361D6">
        <w:rPr>
          <w:szCs w:val="19"/>
          <w:lang w:val="en-GB"/>
        </w:rPr>
        <w:t xml:space="preserve"> some publications about EMF effects on health create doubt among the population, in particular in developing countries;</w:t>
      </w:r>
    </w:p>
    <w:p w:rsidR="00061F17" w:rsidRPr="00F361D6" w:rsidRDefault="00061F17" w:rsidP="00061F17">
      <w:pPr>
        <w:rPr>
          <w:szCs w:val="19"/>
          <w:lang w:val="en-GB"/>
        </w:rPr>
      </w:pPr>
      <w:r w:rsidRPr="00F361D6">
        <w:rPr>
          <w:i/>
          <w:iCs/>
          <w:szCs w:val="19"/>
          <w:lang w:val="en-GB"/>
        </w:rPr>
        <w:t>b)</w:t>
      </w:r>
      <w:r w:rsidRPr="00F361D6">
        <w:rPr>
          <w:szCs w:val="19"/>
          <w:lang w:val="en-GB"/>
        </w:rPr>
        <w:tab/>
      </w:r>
      <w:proofErr w:type="gramStart"/>
      <w:r w:rsidRPr="00F361D6">
        <w:rPr>
          <w:szCs w:val="19"/>
          <w:lang w:val="en-GB"/>
        </w:rPr>
        <w:t>that</w:t>
      </w:r>
      <w:proofErr w:type="gramEnd"/>
      <w:r w:rsidRPr="00F361D6">
        <w:rPr>
          <w:szCs w:val="19"/>
          <w:lang w:val="en-GB"/>
        </w:rPr>
        <w:t>, in the absence of regulation, people, in particular in developing countries, become more and more doubtful and are increasingly opposing the deployment of radio installations in their neighbourhoods;</w:t>
      </w:r>
    </w:p>
    <w:p w:rsidR="00061F17" w:rsidRPr="00F361D6" w:rsidRDefault="00061F17" w:rsidP="00061F17">
      <w:pPr>
        <w:rPr>
          <w:szCs w:val="19"/>
          <w:lang w:val="en-GB"/>
        </w:rPr>
      </w:pPr>
      <w:r w:rsidRPr="00F361D6">
        <w:rPr>
          <w:i/>
          <w:iCs/>
          <w:szCs w:val="19"/>
          <w:lang w:val="en-GB"/>
        </w:rPr>
        <w:t>c)</w:t>
      </w:r>
      <w:r w:rsidRPr="00F361D6">
        <w:rPr>
          <w:szCs w:val="19"/>
          <w:lang w:val="en-GB"/>
        </w:rPr>
        <w:tab/>
      </w:r>
      <w:proofErr w:type="gramStart"/>
      <w:r w:rsidRPr="00F361D6">
        <w:rPr>
          <w:szCs w:val="19"/>
          <w:lang w:val="en-GB"/>
        </w:rPr>
        <w:t>that</w:t>
      </w:r>
      <w:proofErr w:type="gramEnd"/>
      <w:r w:rsidRPr="00F361D6">
        <w:rPr>
          <w:szCs w:val="19"/>
          <w:lang w:val="en-GB"/>
        </w:rPr>
        <w:t xml:space="preserve"> the cost of the equipment used for assessing human exposure to RF energy is very high, and that the equipment is more likely to be affordable only in developed countries;</w:t>
      </w:r>
    </w:p>
    <w:p w:rsidR="00061F17" w:rsidRPr="00F361D6" w:rsidRDefault="00061F17" w:rsidP="00061F17">
      <w:pPr>
        <w:rPr>
          <w:szCs w:val="19"/>
          <w:lang w:val="en-GB"/>
        </w:rPr>
      </w:pPr>
      <w:r w:rsidRPr="00F361D6">
        <w:rPr>
          <w:i/>
          <w:iCs/>
          <w:szCs w:val="19"/>
          <w:lang w:val="en-GB"/>
        </w:rPr>
        <w:t>d)</w:t>
      </w:r>
      <w:r w:rsidRPr="00F361D6">
        <w:rPr>
          <w:szCs w:val="19"/>
          <w:lang w:val="en-GB"/>
        </w:rPr>
        <w:tab/>
        <w:t>that implementing such measurement is essential for many regulatory authorities, in particular in developing countries, in order to monitor the limits for human exposure to RF energy, and that they are called upon to ensure those limits are met in order to license different services,</w:t>
      </w:r>
    </w:p>
    <w:p w:rsidR="00061F17" w:rsidRPr="00F361D6" w:rsidRDefault="00061F17" w:rsidP="00FF79CB">
      <w:pPr>
        <w:pStyle w:val="Call"/>
      </w:pPr>
      <w:proofErr w:type="gramStart"/>
      <w:r w:rsidRPr="00FF79CB">
        <w:t>noting</w:t>
      </w:r>
      <w:proofErr w:type="gramEnd"/>
    </w:p>
    <w:p w:rsidR="00061F17" w:rsidRPr="00F361D6" w:rsidRDefault="00061F17" w:rsidP="00061F17">
      <w:pPr>
        <w:rPr>
          <w:szCs w:val="19"/>
          <w:lang w:val="en-GB"/>
        </w:rPr>
      </w:pPr>
      <w:proofErr w:type="gramStart"/>
      <w:r w:rsidRPr="00F361D6">
        <w:rPr>
          <w:szCs w:val="19"/>
          <w:lang w:val="en-GB"/>
        </w:rPr>
        <w:t>the</w:t>
      </w:r>
      <w:proofErr w:type="gramEnd"/>
      <w:r w:rsidRPr="00F361D6">
        <w:rPr>
          <w:szCs w:val="19"/>
          <w:lang w:val="en-GB"/>
        </w:rPr>
        <w:t xml:space="preserve"> similar activities carried out by other national, regional and international standards development organizations (SDOs),</w:t>
      </w:r>
    </w:p>
    <w:p w:rsidR="00061F17" w:rsidRPr="00F361D6" w:rsidRDefault="00061F17" w:rsidP="00FF79CB">
      <w:pPr>
        <w:pStyle w:val="Call"/>
      </w:pPr>
      <w:proofErr w:type="gramStart"/>
      <w:r w:rsidRPr="00F361D6">
        <w:t>resolves</w:t>
      </w:r>
      <w:proofErr w:type="gramEnd"/>
    </w:p>
    <w:p w:rsidR="00061F17" w:rsidRPr="00F361D6" w:rsidRDefault="00061F17" w:rsidP="00061F17">
      <w:pPr>
        <w:rPr>
          <w:szCs w:val="19"/>
          <w:lang w:val="en-GB"/>
        </w:rPr>
      </w:pPr>
      <w:proofErr w:type="gramStart"/>
      <w:r w:rsidRPr="00F361D6">
        <w:rPr>
          <w:szCs w:val="19"/>
          <w:lang w:val="en-GB"/>
        </w:rPr>
        <w:t>to</w:t>
      </w:r>
      <w:proofErr w:type="gramEnd"/>
      <w:r w:rsidRPr="00F361D6">
        <w:rPr>
          <w:szCs w:val="19"/>
          <w:lang w:val="en-GB"/>
        </w:rPr>
        <w:t xml:space="preserve"> invite ITU</w:t>
      </w:r>
      <w:r w:rsidRPr="00F361D6">
        <w:rPr>
          <w:szCs w:val="19"/>
          <w:lang w:val="en-GB"/>
        </w:rPr>
        <w:noBreakHyphen/>
        <w:t>T, in particular Study Group 5, to expand and continue its work and support in this domain, including but not limited to:</w:t>
      </w:r>
    </w:p>
    <w:p w:rsidR="00061F17" w:rsidRPr="00F361D6" w:rsidRDefault="00061F17" w:rsidP="00FF79CB">
      <w:pPr>
        <w:pStyle w:val="Enumlevel1"/>
      </w:pPr>
      <w:proofErr w:type="spellStart"/>
      <w:r w:rsidRPr="00F361D6">
        <w:t>i</w:t>
      </w:r>
      <w:proofErr w:type="spellEnd"/>
      <w:r w:rsidRPr="00F361D6">
        <w:t>)</w:t>
      </w:r>
      <w:r w:rsidRPr="00F361D6">
        <w:tab/>
      </w:r>
      <w:proofErr w:type="gramStart"/>
      <w:r w:rsidRPr="00F361D6">
        <w:t>disseminating</w:t>
      </w:r>
      <w:proofErr w:type="gramEnd"/>
      <w:r w:rsidRPr="00F361D6">
        <w:t xml:space="preserve"> information related to this topic through organizing workshops and seminars for regulators, operators and any interested stakeholders from developing countries;</w:t>
      </w:r>
    </w:p>
    <w:p w:rsidR="00061F17" w:rsidRPr="00F361D6" w:rsidRDefault="00061F17" w:rsidP="00FF79CB">
      <w:pPr>
        <w:pStyle w:val="Enumlevel1"/>
      </w:pPr>
      <w:r w:rsidRPr="00F361D6">
        <w:t>ii)</w:t>
      </w:r>
      <w:r w:rsidRPr="00F361D6">
        <w:tab/>
      </w:r>
      <w:proofErr w:type="gramStart"/>
      <w:r w:rsidRPr="00F361D6">
        <w:t>continuing</w:t>
      </w:r>
      <w:proofErr w:type="gramEnd"/>
      <w:r w:rsidRPr="00F361D6">
        <w:t xml:space="preserve"> to cooperate and collaborate with other organizations working on this topic and to leverage their work, in particular with a view to assisting the developing countries in the establishment of standards and in monitoring compliance with these standards, especially on telecommunication terminals; </w:t>
      </w:r>
    </w:p>
    <w:p w:rsidR="00061F17" w:rsidRPr="00F361D6" w:rsidRDefault="00061F17" w:rsidP="00FF79CB">
      <w:pPr>
        <w:pStyle w:val="Enumlevel1"/>
      </w:pPr>
      <w:r w:rsidRPr="00F361D6">
        <w:t>iii)</w:t>
      </w:r>
      <w:r w:rsidRPr="00F361D6">
        <w:tab/>
      </w:r>
      <w:proofErr w:type="gramStart"/>
      <w:r w:rsidRPr="00F361D6">
        <w:t>cooperating</w:t>
      </w:r>
      <w:proofErr w:type="gramEnd"/>
      <w:r w:rsidRPr="00F361D6">
        <w:t xml:space="preserve"> on these issues with ITU</w:t>
      </w:r>
      <w:r w:rsidRPr="00F361D6">
        <w:noBreakHyphen/>
        <w:t>R Study Groups 1 and 6, and with Study Group 1 of the ITU Telecommunication Development Sector (ITU</w:t>
      </w:r>
      <w:r w:rsidRPr="00F361D6">
        <w:noBreakHyphen/>
        <w:t>D) in the framework of Question 23/1;</w:t>
      </w:r>
    </w:p>
    <w:p w:rsidR="00061F17" w:rsidRPr="00F361D6" w:rsidRDefault="00061F17" w:rsidP="00FF79CB">
      <w:pPr>
        <w:pStyle w:val="Enumlevel1"/>
      </w:pPr>
      <w:r w:rsidRPr="00F361D6">
        <w:t>iv)</w:t>
      </w:r>
      <w:r w:rsidRPr="00F361D6">
        <w:tab/>
      </w:r>
      <w:proofErr w:type="gramStart"/>
      <w:r w:rsidRPr="00F361D6">
        <w:t>strengthening</w:t>
      </w:r>
      <w:proofErr w:type="gramEnd"/>
      <w:r w:rsidRPr="00F361D6">
        <w:t xml:space="preserve"> coordination with WHO so that any fact sheet relating to human exposure to electromagnetic fields is circulated to Member States as soon as it is issued,</w:t>
      </w:r>
    </w:p>
    <w:p w:rsidR="00061F17" w:rsidRPr="00F361D6" w:rsidRDefault="00061F17" w:rsidP="00FF79CB">
      <w:pPr>
        <w:pStyle w:val="Call"/>
      </w:pPr>
      <w:proofErr w:type="gramStart"/>
      <w:r w:rsidRPr="00FF79CB">
        <w:t>instructs</w:t>
      </w:r>
      <w:proofErr w:type="gramEnd"/>
      <w:r w:rsidRPr="00F361D6">
        <w:t xml:space="preserve"> the Director of the Telecommunication Standardization Bureau, in close collaboration with the Directors of the other two Bureaux, and within the available financial resources</w:t>
      </w:r>
    </w:p>
    <w:p w:rsidR="00061F17" w:rsidRPr="00F361D6" w:rsidRDefault="00061F17" w:rsidP="00061F17">
      <w:pPr>
        <w:rPr>
          <w:szCs w:val="19"/>
          <w:lang w:val="en-GB"/>
        </w:rPr>
      </w:pPr>
      <w:r w:rsidRPr="00F361D6">
        <w:rPr>
          <w:szCs w:val="19"/>
          <w:lang w:val="en-GB"/>
        </w:rPr>
        <w:t>1</w:t>
      </w:r>
      <w:r w:rsidRPr="00F361D6">
        <w:rPr>
          <w:szCs w:val="19"/>
          <w:lang w:val="en-GB"/>
        </w:rPr>
        <w:tab/>
        <w:t xml:space="preserve">to support the development of reports identifying the needs of developing countries on the issue of assessing human exposure to EMF, and submit the reports as soon as possible to ITU-T Study Group 5 for its consideration and action in accordance with its mandate; </w:t>
      </w:r>
    </w:p>
    <w:p w:rsidR="00061F17" w:rsidRPr="00F361D6" w:rsidRDefault="00061F17" w:rsidP="00061F17">
      <w:pPr>
        <w:rPr>
          <w:szCs w:val="19"/>
          <w:lang w:val="en-GB"/>
        </w:rPr>
      </w:pPr>
      <w:r w:rsidRPr="00F361D6">
        <w:rPr>
          <w:szCs w:val="19"/>
          <w:lang w:val="en-GB"/>
        </w:rPr>
        <w:t>2</w:t>
      </w:r>
      <w:r w:rsidRPr="00F361D6">
        <w:rPr>
          <w:szCs w:val="19"/>
          <w:lang w:val="en-GB"/>
        </w:rPr>
        <w:tab/>
        <w:t>to hold workshops in developing countries with presentations and training on the use of equipment employed in assessing human exposure to RF energy;</w:t>
      </w:r>
    </w:p>
    <w:p w:rsidR="00061F17" w:rsidRPr="00F361D6" w:rsidRDefault="00061F17" w:rsidP="00061F17">
      <w:pPr>
        <w:rPr>
          <w:szCs w:val="19"/>
          <w:lang w:val="en-GB"/>
        </w:rPr>
      </w:pPr>
      <w:r w:rsidRPr="00F361D6">
        <w:rPr>
          <w:szCs w:val="19"/>
          <w:lang w:val="en-GB"/>
        </w:rPr>
        <w:t>3</w:t>
      </w:r>
      <w:r w:rsidRPr="00F361D6">
        <w:rPr>
          <w:szCs w:val="19"/>
          <w:lang w:val="en-GB"/>
        </w:rPr>
        <w:tab/>
        <w:t>to support developing countries while they establish their regional centres equipped with test benches for monitoring conformance of telecommunication terminal equipment and human exposure to electromagnetic waves using, among other things, the modalities listed in Resolutions 44 (Rev. Dubai, 2012) and 76 (Rev. Dubai, 2012) of this assembly, in the context of the development of the regional test centres and of Resolution 177 (Guadalajara, 2010) of the Plenipotentiary Conference,</w:t>
      </w:r>
    </w:p>
    <w:p w:rsidR="00E11A6C" w:rsidRDefault="00E11A6C" w:rsidP="00FF79CB">
      <w:pPr>
        <w:pStyle w:val="Call"/>
      </w:pPr>
      <w:r>
        <w:br w:type="page"/>
      </w:r>
    </w:p>
    <w:p w:rsidR="00061F17" w:rsidRPr="00F361D6" w:rsidRDefault="00061F17" w:rsidP="00FF79CB">
      <w:pPr>
        <w:pStyle w:val="Call"/>
      </w:pPr>
      <w:proofErr w:type="gramStart"/>
      <w:r w:rsidRPr="00FF79CB">
        <w:lastRenderedPageBreak/>
        <w:t>invites</w:t>
      </w:r>
      <w:proofErr w:type="gramEnd"/>
      <w:r w:rsidRPr="00F361D6">
        <w:t xml:space="preserve"> Member States and Sector Members</w:t>
      </w:r>
    </w:p>
    <w:p w:rsidR="00061F17" w:rsidRPr="00F361D6" w:rsidRDefault="00061F17" w:rsidP="00061F17">
      <w:pPr>
        <w:rPr>
          <w:szCs w:val="19"/>
          <w:lang w:val="en-GB"/>
        </w:rPr>
      </w:pPr>
      <w:r w:rsidRPr="00F361D6">
        <w:rPr>
          <w:szCs w:val="19"/>
          <w:lang w:val="en-GB"/>
        </w:rPr>
        <w:t>to contribute actively to the work of Study Group 5 in providing relevant and timely information in order to assist developing countries in providing information and addressing measurement concerns related to RF exposure and electromagnetic fields,</w:t>
      </w:r>
    </w:p>
    <w:p w:rsidR="00061F17" w:rsidRPr="00F361D6" w:rsidRDefault="00061F17" w:rsidP="00FF79CB">
      <w:pPr>
        <w:pStyle w:val="Call"/>
      </w:pPr>
      <w:proofErr w:type="gramStart"/>
      <w:r w:rsidRPr="00F361D6">
        <w:t>further</w:t>
      </w:r>
      <w:proofErr w:type="gramEnd"/>
      <w:r w:rsidRPr="00F361D6">
        <w:t xml:space="preserve"> invites Member States</w:t>
      </w:r>
    </w:p>
    <w:p w:rsidR="00061F17" w:rsidRPr="00F361D6" w:rsidRDefault="00061F17" w:rsidP="00061F17">
      <w:pPr>
        <w:rPr>
          <w:szCs w:val="19"/>
          <w:lang w:val="en-GB"/>
        </w:rPr>
      </w:pPr>
      <w:proofErr w:type="gramStart"/>
      <w:r w:rsidRPr="00F361D6">
        <w:rPr>
          <w:szCs w:val="19"/>
          <w:lang w:val="en-GB"/>
        </w:rPr>
        <w:t>to</w:t>
      </w:r>
      <w:proofErr w:type="gramEnd"/>
      <w:r w:rsidRPr="00F361D6">
        <w:rPr>
          <w:szCs w:val="19"/>
          <w:lang w:val="en-GB"/>
        </w:rPr>
        <w:t xml:space="preserve"> adopt suitable measures in order to ensure compliance with relevant international recommendations to protect health against the adverse effect of EMF.</w:t>
      </w:r>
    </w:p>
    <w:p w:rsidR="00061F17" w:rsidRDefault="00061F17" w:rsidP="00061F17">
      <w:pPr>
        <w:spacing w:before="0"/>
        <w:rPr>
          <w:b/>
          <w:szCs w:val="19"/>
          <w:lang w:val="en-GB"/>
        </w:rPr>
      </w:pPr>
      <w:bookmarkStart w:id="156" w:name="_Toc361912447"/>
      <w:r w:rsidRPr="00061F17">
        <w:rPr>
          <w:smallCaps/>
          <w:szCs w:val="19"/>
          <w:lang w:val="en-US"/>
        </w:rPr>
        <w:br w:type="page"/>
      </w:r>
    </w:p>
    <w:p w:rsidR="00061F17" w:rsidRPr="00F361D6" w:rsidRDefault="00061F17" w:rsidP="00534837">
      <w:pPr>
        <w:pStyle w:val="Heading1"/>
        <w:tabs>
          <w:tab w:val="left" w:pos="1418"/>
        </w:tabs>
        <w:ind w:left="1418" w:hanging="1418"/>
        <w:rPr>
          <w:smallCaps/>
        </w:rPr>
      </w:pPr>
      <w:bookmarkStart w:id="157" w:name="_Toc374691846"/>
      <w:r w:rsidRPr="00F361D6">
        <w:lastRenderedPageBreak/>
        <w:t>A</w:t>
      </w:r>
      <w:r>
        <w:t xml:space="preserve">nnex </w:t>
      </w:r>
      <w:r w:rsidRPr="00F361D6">
        <w:t xml:space="preserve">5: </w:t>
      </w:r>
      <w:r w:rsidR="00357951">
        <w:tab/>
      </w:r>
      <w:r w:rsidRPr="00F361D6">
        <w:t>WTDC-10</w:t>
      </w:r>
      <w:r w:rsidR="00BC0DB7" w:rsidRPr="00BC0DB7">
        <w:rPr>
          <w:rStyle w:val="FootnoteReference"/>
          <w:lang w:val="en-US"/>
        </w:rPr>
        <w:footnoteReference w:customMarkFollows="1" w:id="28"/>
        <w:t>*</w:t>
      </w:r>
      <w:r w:rsidRPr="00F361D6">
        <w:t xml:space="preserve"> Resolution 62 on "Measurement concerns related to </w:t>
      </w:r>
      <w:r w:rsidRPr="00FF79CB">
        <w:t>human</w:t>
      </w:r>
      <w:r w:rsidRPr="00F361D6">
        <w:t xml:space="preserve"> exposure to EMF"</w:t>
      </w:r>
      <w:bookmarkEnd w:id="156"/>
      <w:bookmarkEnd w:id="157"/>
    </w:p>
    <w:p w:rsidR="00FF79CB" w:rsidRPr="007A19CC" w:rsidRDefault="00FF79CB" w:rsidP="00FF79CB">
      <w:pPr>
        <w:pStyle w:val="Restitle"/>
        <w:rPr>
          <w:lang w:val="en-US"/>
        </w:rPr>
      </w:pPr>
    </w:p>
    <w:p w:rsidR="00061F17" w:rsidRPr="007A19CC" w:rsidRDefault="00061F17" w:rsidP="00FF79CB">
      <w:pPr>
        <w:pStyle w:val="ResNo"/>
        <w:rPr>
          <w:lang w:val="en-US"/>
        </w:rPr>
      </w:pPr>
      <w:r w:rsidRPr="007A19CC">
        <w:rPr>
          <w:lang w:val="en-US"/>
        </w:rPr>
        <w:t xml:space="preserve">resolution </w:t>
      </w:r>
      <w:r w:rsidRPr="007A19CC">
        <w:rPr>
          <w:rStyle w:val="href"/>
          <w:lang w:val="en-US"/>
        </w:rPr>
        <w:t xml:space="preserve">62 </w:t>
      </w:r>
      <w:r w:rsidRPr="007A19CC">
        <w:rPr>
          <w:lang w:val="en-US"/>
        </w:rPr>
        <w:t>(Hyderabad, 2010)</w:t>
      </w:r>
    </w:p>
    <w:p w:rsidR="00061F17" w:rsidRPr="00061F17" w:rsidRDefault="00061F17" w:rsidP="00A11960">
      <w:pPr>
        <w:pStyle w:val="Restitle"/>
        <w:spacing w:before="480"/>
        <w:rPr>
          <w:lang w:val="en-US"/>
        </w:rPr>
      </w:pPr>
      <w:r w:rsidRPr="00061F17">
        <w:rPr>
          <w:lang w:val="en-US"/>
        </w:rPr>
        <w:t>Measurement concerns related to human exposure to electromagnetic fields</w:t>
      </w:r>
    </w:p>
    <w:p w:rsidR="00A11960" w:rsidRDefault="00A11960" w:rsidP="00C91119">
      <w:pPr>
        <w:pStyle w:val="Normalaftertitle"/>
      </w:pPr>
    </w:p>
    <w:p w:rsidR="00061F17" w:rsidRPr="00C91119" w:rsidRDefault="00061F17" w:rsidP="00C91119">
      <w:pPr>
        <w:pStyle w:val="Normalaftertitle"/>
      </w:pPr>
      <w:r w:rsidRPr="00C91119">
        <w:t>The World Telecommunication Development Conference (Hyderabad, 2010),</w:t>
      </w:r>
    </w:p>
    <w:p w:rsidR="00061F17" w:rsidRPr="00061F17" w:rsidRDefault="00061F17" w:rsidP="00C91119">
      <w:pPr>
        <w:pStyle w:val="Call"/>
      </w:pPr>
      <w:proofErr w:type="gramStart"/>
      <w:r w:rsidRPr="00061F17">
        <w:t>recalling</w:t>
      </w:r>
      <w:proofErr w:type="gramEnd"/>
      <w:r w:rsidRPr="00061F17">
        <w:t xml:space="preserve">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 xml:space="preserve">Resolution 72 (Johannesburg, 2008) of the World Telecommunication Standardization Assembly, on measurement concerns related to human exposure to electromagnetic fields (EMF), which calls for close cooperation with the Directors of the other two </w:t>
      </w:r>
      <w:proofErr w:type="spellStart"/>
      <w:r w:rsidRPr="00061F17">
        <w:rPr>
          <w:rFonts w:eastAsia="Times New Roman"/>
          <w:szCs w:val="19"/>
          <w:lang w:val="en-US" w:eastAsia="en-ZA"/>
        </w:rPr>
        <w:t>Bureaux</w:t>
      </w:r>
      <w:proofErr w:type="spellEnd"/>
      <w:r w:rsidRPr="00061F17">
        <w:rPr>
          <w:rFonts w:eastAsia="Times New Roman"/>
          <w:szCs w:val="19"/>
          <w:lang w:val="en-US" w:eastAsia="en-ZA"/>
        </w:rPr>
        <w:t xml:space="preserve"> – Telecommunication Development Bureau (BDT) and </w:t>
      </w:r>
      <w:proofErr w:type="spellStart"/>
      <w:r w:rsidRPr="00061F17">
        <w:rPr>
          <w:rFonts w:eastAsia="Times New Roman"/>
          <w:szCs w:val="19"/>
          <w:lang w:val="en-US" w:eastAsia="en-ZA"/>
        </w:rPr>
        <w:t>Radiocommunication</w:t>
      </w:r>
      <w:proofErr w:type="spellEnd"/>
      <w:r w:rsidRPr="00061F17">
        <w:rPr>
          <w:rFonts w:eastAsia="Times New Roman"/>
          <w:szCs w:val="19"/>
          <w:lang w:val="en-US" w:eastAsia="en-ZA"/>
        </w:rPr>
        <w:t xml:space="preserve"> Bureau (BR) – to implement the resolution in view of its importance to developing countries, </w:t>
      </w:r>
    </w:p>
    <w:p w:rsidR="00061F17" w:rsidRPr="00061F17" w:rsidRDefault="00061F17" w:rsidP="00C91119">
      <w:pPr>
        <w:pStyle w:val="Call"/>
      </w:pPr>
      <w:proofErr w:type="gramStart"/>
      <w:r w:rsidRPr="00061F17">
        <w:t>considering</w:t>
      </w:r>
      <w:proofErr w:type="gramEnd"/>
      <w:r w:rsidRPr="00061F17">
        <w:t xml:space="preserve">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a)</w:t>
      </w:r>
      <w:r w:rsidRPr="00061F17">
        <w:rPr>
          <w:rFonts w:eastAsia="Times New Roman"/>
          <w:szCs w:val="19"/>
          <w:lang w:val="en-US" w:eastAsia="en-ZA"/>
        </w:rPr>
        <w:tab/>
      </w:r>
      <w:proofErr w:type="gramStart"/>
      <w:r w:rsidRPr="00061F17">
        <w:rPr>
          <w:rFonts w:eastAsia="Times New Roman"/>
          <w:szCs w:val="19"/>
          <w:lang w:val="en-US" w:eastAsia="en-ZA"/>
        </w:rPr>
        <w:t>that</w:t>
      </w:r>
      <w:proofErr w:type="gramEnd"/>
      <w:r w:rsidRPr="00061F17">
        <w:rPr>
          <w:rFonts w:eastAsia="Times New Roman"/>
          <w:szCs w:val="19"/>
          <w:lang w:val="en-US" w:eastAsia="en-ZA"/>
        </w:rPr>
        <w:t xml:space="preserve"> there is a pressing need for information on the potential effects of human exposure to EMF in order to protect humans from such effects; </w:t>
      </w:r>
    </w:p>
    <w:p w:rsidR="00061F17" w:rsidRPr="00061F17" w:rsidRDefault="00061F17" w:rsidP="00BE1873">
      <w:pPr>
        <w:rPr>
          <w:rFonts w:eastAsia="Times New Roman"/>
          <w:szCs w:val="19"/>
          <w:lang w:val="en-US" w:eastAsia="en-ZA"/>
        </w:rPr>
      </w:pPr>
      <w:r w:rsidRPr="00061F17">
        <w:rPr>
          <w:rFonts w:eastAsia="Times New Roman"/>
          <w:szCs w:val="19"/>
          <w:lang w:val="en-US" w:eastAsia="en-ZA"/>
        </w:rPr>
        <w:t>b)</w:t>
      </w:r>
      <w:r w:rsidRPr="00061F17">
        <w:rPr>
          <w:rFonts w:eastAsia="Times New Roman"/>
          <w:szCs w:val="19"/>
          <w:lang w:val="en-US" w:eastAsia="en-ZA"/>
        </w:rPr>
        <w:tab/>
        <w:t>that there are a number of eminent international bodies involved in establishing measurement methodologies for assessing human exposure to EMF, and these already cooperate with many</w:t>
      </w:r>
      <w:r w:rsidR="00BE1873">
        <w:rPr>
          <w:rFonts w:eastAsia="Times New Roman"/>
          <w:szCs w:val="19"/>
          <w:lang w:val="en-US" w:eastAsia="en-ZA"/>
        </w:rPr>
        <w:t> </w:t>
      </w:r>
      <w:r w:rsidRPr="00061F17">
        <w:rPr>
          <w:rFonts w:eastAsia="Times New Roman"/>
          <w:szCs w:val="19"/>
          <w:lang w:val="en-US" w:eastAsia="en-ZA"/>
        </w:rPr>
        <w:t>telecommunication standards bodies, including the ITU Telecommunication Standardization Sector</w:t>
      </w:r>
      <w:r w:rsidR="00BE1873">
        <w:rPr>
          <w:rFonts w:eastAsia="Times New Roman"/>
          <w:szCs w:val="19"/>
          <w:lang w:val="en-US" w:eastAsia="en-ZA"/>
        </w:rPr>
        <w:t> (ITU-T),</w:t>
      </w:r>
    </w:p>
    <w:p w:rsidR="00061F17" w:rsidRPr="00061F17" w:rsidRDefault="00061F17" w:rsidP="00C91119">
      <w:pPr>
        <w:pStyle w:val="Call"/>
      </w:pPr>
      <w:proofErr w:type="gramStart"/>
      <w:r w:rsidRPr="00061F17">
        <w:t>recognizing</w:t>
      </w:r>
      <w:proofErr w:type="gramEnd"/>
    </w:p>
    <w:p w:rsidR="00061F17" w:rsidRPr="00061F17" w:rsidRDefault="00061F17" w:rsidP="00061F17">
      <w:pPr>
        <w:rPr>
          <w:rFonts w:eastAsia="Times New Roman"/>
          <w:szCs w:val="19"/>
          <w:lang w:val="en-US" w:eastAsia="en-ZA"/>
        </w:rPr>
      </w:pPr>
      <w:r w:rsidRPr="00061F17">
        <w:rPr>
          <w:rFonts w:eastAsia="Times New Roman"/>
          <w:szCs w:val="19"/>
          <w:lang w:val="en-US" w:eastAsia="en-ZA"/>
        </w:rPr>
        <w:t>a)</w:t>
      </w:r>
      <w:r w:rsidRPr="00061F17">
        <w:rPr>
          <w:rFonts w:eastAsia="Times New Roman"/>
          <w:szCs w:val="19"/>
          <w:lang w:val="en-US" w:eastAsia="en-ZA"/>
        </w:rPr>
        <w:tab/>
        <w:t>that some publications and information about EMF effects on health create doubt among the population, in particular in developing countries</w:t>
      </w:r>
      <w:r w:rsidR="00FA6CE1" w:rsidRPr="00FA6CE1">
        <w:rPr>
          <w:rStyle w:val="FootnoteReference"/>
          <w:rFonts w:eastAsia="Times New Roman"/>
          <w:szCs w:val="19"/>
          <w:lang w:val="en-US" w:eastAsia="en-ZA"/>
        </w:rPr>
        <w:footnoteReference w:customMarkFollows="1" w:id="29"/>
        <w:t>1</w:t>
      </w:r>
      <w:r w:rsidRPr="00061F17">
        <w:rPr>
          <w:rFonts w:eastAsia="Times New Roman"/>
          <w:szCs w:val="19"/>
          <w:lang w:val="en-US" w:eastAsia="en-ZA"/>
        </w:rPr>
        <w:t xml:space="preserve">, causing these countries to address questions to ITU-T and, currently, to the ITU Telecommunication Development Sector (ITU-D);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b)</w:t>
      </w:r>
      <w:r w:rsidRPr="00061F17">
        <w:rPr>
          <w:rFonts w:eastAsia="Times New Roman"/>
          <w:szCs w:val="19"/>
          <w:lang w:val="en-US" w:eastAsia="en-ZA"/>
        </w:rPr>
        <w:tab/>
      </w:r>
      <w:proofErr w:type="gramStart"/>
      <w:r w:rsidRPr="00061F17">
        <w:rPr>
          <w:rFonts w:eastAsia="Times New Roman"/>
          <w:szCs w:val="19"/>
          <w:lang w:val="en-US" w:eastAsia="en-ZA"/>
        </w:rPr>
        <w:t>that</w:t>
      </w:r>
      <w:proofErr w:type="gramEnd"/>
      <w:r w:rsidRPr="00061F17">
        <w:rPr>
          <w:rFonts w:eastAsia="Times New Roman"/>
          <w:szCs w:val="19"/>
          <w:lang w:val="en-US" w:eastAsia="en-ZA"/>
        </w:rPr>
        <w:t xml:space="preserve">, in the absence of regulation, people, particularly in developing countries, become more and more doubtful and are increasingly opposing the deployment of radio installations in their </w:t>
      </w:r>
      <w:proofErr w:type="spellStart"/>
      <w:r w:rsidRPr="00061F17">
        <w:rPr>
          <w:rFonts w:eastAsia="Times New Roman"/>
          <w:szCs w:val="19"/>
          <w:lang w:val="en-US" w:eastAsia="en-ZA"/>
        </w:rPr>
        <w:t>neighbourhoods</w:t>
      </w:r>
      <w:proofErr w:type="spellEnd"/>
      <w:r w:rsidRPr="00061F17">
        <w:rPr>
          <w:rFonts w:eastAsia="Times New Roman"/>
          <w:szCs w:val="19"/>
          <w:lang w:val="en-US" w:eastAsia="en-ZA"/>
        </w:rPr>
        <w:t xml:space="preserve">;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c)</w:t>
      </w:r>
      <w:r w:rsidRPr="00061F17">
        <w:rPr>
          <w:rFonts w:eastAsia="Times New Roman"/>
          <w:szCs w:val="19"/>
          <w:lang w:val="en-US" w:eastAsia="en-ZA"/>
        </w:rPr>
        <w:tab/>
        <w:t xml:space="preserve">that the cost of the equipment used for assessing human exposure to EMF is very high and difficult for many developing countries to afford;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d)</w:t>
      </w:r>
      <w:r w:rsidRPr="00061F17">
        <w:rPr>
          <w:rFonts w:eastAsia="Times New Roman"/>
          <w:szCs w:val="19"/>
          <w:lang w:val="en-US" w:eastAsia="en-ZA"/>
        </w:rPr>
        <w:tab/>
        <w:t xml:space="preserve">that implementing such measurement is essential for many regulatory authorities in developing countries, in order to monitor the limits for human exposure to radio-frequency energy, and that they are called upon to ensure those limits are met in order to license different services, </w:t>
      </w:r>
    </w:p>
    <w:p w:rsidR="00A11960" w:rsidRDefault="00A11960" w:rsidP="00C91119">
      <w:pPr>
        <w:pStyle w:val="Call"/>
      </w:pPr>
      <w:r>
        <w:br w:type="page"/>
      </w:r>
    </w:p>
    <w:p w:rsidR="00061F17" w:rsidRPr="00061F17" w:rsidRDefault="00061F17" w:rsidP="00C91119">
      <w:pPr>
        <w:pStyle w:val="Call"/>
      </w:pPr>
      <w:proofErr w:type="gramStart"/>
      <w:r w:rsidRPr="00061F17">
        <w:lastRenderedPageBreak/>
        <w:t>resolves</w:t>
      </w:r>
      <w:proofErr w:type="gramEnd"/>
      <w:r w:rsidRPr="00061F17">
        <w:t xml:space="preserve"> to instruct the Director of the Telecommunication Development Bureau </w:t>
      </w:r>
    </w:p>
    <w:p w:rsidR="00061F17" w:rsidRPr="00061F17" w:rsidRDefault="00061F17" w:rsidP="00061F17">
      <w:pPr>
        <w:rPr>
          <w:rFonts w:eastAsia="Times New Roman"/>
          <w:szCs w:val="19"/>
          <w:lang w:val="en-US" w:eastAsia="en-ZA"/>
        </w:rPr>
      </w:pPr>
      <w:proofErr w:type="gramStart"/>
      <w:r w:rsidRPr="00061F17">
        <w:rPr>
          <w:rFonts w:eastAsia="Times New Roman"/>
          <w:szCs w:val="19"/>
          <w:lang w:val="en-US" w:eastAsia="en-ZA"/>
        </w:rPr>
        <w:t>in</w:t>
      </w:r>
      <w:proofErr w:type="gramEnd"/>
      <w:r w:rsidRPr="00061F17">
        <w:rPr>
          <w:rFonts w:eastAsia="Times New Roman"/>
          <w:szCs w:val="19"/>
          <w:lang w:val="en-US" w:eastAsia="en-ZA"/>
        </w:rPr>
        <w:t xml:space="preserve"> response to the needs of the developing countries and consistent with the substance of Resolution 72 (Johannesburg, 2008), and in close cooperation with the Director of BR and Director of the Telecommunication Standardization Bureau (TSB):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1</w:t>
      </w:r>
      <w:r w:rsidRPr="00061F17">
        <w:rPr>
          <w:rFonts w:eastAsia="Times New Roman"/>
          <w:szCs w:val="19"/>
          <w:lang w:val="en-US" w:eastAsia="en-ZA"/>
        </w:rPr>
        <w:tab/>
        <w:t xml:space="preserve">to give the necessary priority to this subject and, within the available resources, </w:t>
      </w:r>
      <w:proofErr w:type="gramStart"/>
      <w:r w:rsidRPr="00061F17">
        <w:rPr>
          <w:rFonts w:eastAsia="Times New Roman"/>
          <w:szCs w:val="19"/>
          <w:lang w:val="en-US" w:eastAsia="en-ZA"/>
        </w:rPr>
        <w:t>allocate</w:t>
      </w:r>
      <w:proofErr w:type="gramEnd"/>
      <w:r w:rsidRPr="00061F17">
        <w:rPr>
          <w:rFonts w:eastAsia="Times New Roman"/>
          <w:szCs w:val="19"/>
          <w:lang w:val="en-US" w:eastAsia="en-ZA"/>
        </w:rPr>
        <w:t xml:space="preserve"> the necessary funds for expediting execution of this resolution;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2</w:t>
      </w:r>
      <w:r w:rsidRPr="00061F17">
        <w:rPr>
          <w:rFonts w:eastAsia="Times New Roman"/>
          <w:szCs w:val="19"/>
          <w:lang w:val="en-US" w:eastAsia="en-ZA"/>
        </w:rPr>
        <w:tab/>
        <w:t xml:space="preserve">to ensure that </w:t>
      </w:r>
      <w:proofErr w:type="spellStart"/>
      <w:r w:rsidRPr="00061F17">
        <w:rPr>
          <w:rFonts w:eastAsia="Times New Roman"/>
          <w:szCs w:val="19"/>
          <w:lang w:val="en-US" w:eastAsia="en-ZA"/>
        </w:rPr>
        <w:t>Programme</w:t>
      </w:r>
      <w:proofErr w:type="spellEnd"/>
      <w:r w:rsidRPr="00061F17">
        <w:rPr>
          <w:rFonts w:eastAsia="Times New Roman"/>
          <w:szCs w:val="19"/>
          <w:lang w:val="en-US" w:eastAsia="en-ZA"/>
        </w:rPr>
        <w:t xml:space="preserve"> 1 determines the requirements of developing countries and their regulatory authorities (at regional level) in relation to this resolution, contributes to studies on this subject, takes an active part in the work of the relevant ITU </w:t>
      </w:r>
      <w:proofErr w:type="spellStart"/>
      <w:r w:rsidRPr="00061F17">
        <w:rPr>
          <w:rFonts w:eastAsia="Times New Roman"/>
          <w:szCs w:val="19"/>
          <w:lang w:val="en-US" w:eastAsia="en-ZA"/>
        </w:rPr>
        <w:t>Radiocommunication</w:t>
      </w:r>
      <w:proofErr w:type="spellEnd"/>
      <w:r w:rsidRPr="00061F17">
        <w:rPr>
          <w:rFonts w:eastAsia="Times New Roman"/>
          <w:szCs w:val="19"/>
          <w:lang w:val="en-US" w:eastAsia="en-ZA"/>
        </w:rPr>
        <w:t xml:space="preserve"> Sector (ITU-R) and ITU-T study groups, and submits written contributions on the results of its work in this regard, plus any proposals it deems necessary, to ITU-D Study Group 2,</w:t>
      </w:r>
    </w:p>
    <w:p w:rsidR="00061F17" w:rsidRPr="00061F17" w:rsidRDefault="00061F17" w:rsidP="00C91119">
      <w:pPr>
        <w:pStyle w:val="Call"/>
      </w:pPr>
      <w:proofErr w:type="gramStart"/>
      <w:r w:rsidRPr="00061F17">
        <w:t>instructs</w:t>
      </w:r>
      <w:proofErr w:type="gramEnd"/>
      <w:r w:rsidRPr="00061F17">
        <w:t xml:space="preserve"> Study Group 1 </w:t>
      </w:r>
    </w:p>
    <w:p w:rsidR="00061F17" w:rsidRPr="00061F17" w:rsidRDefault="00061F17" w:rsidP="00061F17">
      <w:pPr>
        <w:keepNext/>
        <w:rPr>
          <w:rFonts w:eastAsia="Times New Roman"/>
          <w:szCs w:val="19"/>
          <w:lang w:val="en-US" w:eastAsia="en-ZA"/>
        </w:rPr>
      </w:pPr>
      <w:r w:rsidRPr="00061F17">
        <w:rPr>
          <w:rFonts w:eastAsia="Times New Roman"/>
          <w:szCs w:val="19"/>
          <w:lang w:val="en-US" w:eastAsia="en-ZA"/>
        </w:rPr>
        <w:t xml:space="preserve">within the framework of their Questions, to cooperate with ITU-T Study Group 5 and ITU-R Study Groups 1, 5 and 6, in order to achieve the following goals: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w:t>
      </w:r>
      <w:r w:rsidRPr="00061F17">
        <w:rPr>
          <w:rFonts w:eastAsia="Times New Roman"/>
          <w:szCs w:val="19"/>
          <w:lang w:val="en-US" w:eastAsia="en-ZA"/>
        </w:rPr>
        <w:tab/>
        <w:t>prepare an annual report on the progress of work in this area in respect of their Questions;</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w:t>
      </w:r>
      <w:r w:rsidRPr="00061F17">
        <w:rPr>
          <w:rFonts w:eastAsia="Times New Roman"/>
          <w:szCs w:val="19"/>
          <w:lang w:val="en-US" w:eastAsia="en-ZA"/>
        </w:rPr>
        <w:tab/>
        <w:t xml:space="preserve">contribute to the organization of any seminars on this subject;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w:t>
      </w:r>
      <w:r w:rsidRPr="00061F17">
        <w:rPr>
          <w:rFonts w:eastAsia="Times New Roman"/>
          <w:szCs w:val="19"/>
          <w:lang w:val="en-US" w:eastAsia="en-ZA"/>
        </w:rPr>
        <w:tab/>
        <w:t>contribute to preparation of the Guide on the use of ITU-T publications on achieving electromagnetic compatibility and safety, and publications relating to measurement methodologies, the need for measurements to be performed by a "Qualified Radio Engineer" and the criteria for a "Qualified Radio Engineer", and system specifications.</w:t>
      </w:r>
    </w:p>
    <w:p w:rsidR="00061F17" w:rsidRDefault="00061F17" w:rsidP="00061F17">
      <w:pPr>
        <w:spacing w:before="0"/>
        <w:rPr>
          <w:rFonts w:ascii="Verdana Bold" w:hAnsi="Verdana Bold"/>
          <w:b/>
          <w:szCs w:val="19"/>
          <w:lang w:val="en-GB"/>
        </w:rPr>
      </w:pPr>
      <w:bookmarkStart w:id="158" w:name="_Toc361912448"/>
      <w:r w:rsidRPr="00061F17">
        <w:rPr>
          <w:rFonts w:ascii="Verdana Bold" w:hAnsi="Verdana Bold" w:hint="eastAsia"/>
          <w:smallCaps/>
          <w:szCs w:val="19"/>
          <w:lang w:val="en-US"/>
        </w:rPr>
        <w:br w:type="page"/>
      </w:r>
    </w:p>
    <w:p w:rsidR="00061F17" w:rsidRPr="00FA2397" w:rsidRDefault="00061F17" w:rsidP="00534837">
      <w:pPr>
        <w:pStyle w:val="Heading1"/>
        <w:tabs>
          <w:tab w:val="left" w:pos="1418"/>
        </w:tabs>
        <w:ind w:left="1418" w:hanging="1418"/>
      </w:pPr>
      <w:bookmarkStart w:id="159" w:name="_Toc374691847"/>
      <w:r w:rsidRPr="00FA2397">
        <w:lastRenderedPageBreak/>
        <w:t xml:space="preserve">Annex 6: </w:t>
      </w:r>
      <w:r w:rsidR="00357951">
        <w:tab/>
      </w:r>
      <w:r w:rsidRPr="00FA2397">
        <w:t>Plenipotentiary Conference (PP-10)</w:t>
      </w:r>
      <w:r w:rsidR="00BC0DB7" w:rsidRPr="00BC0DB7">
        <w:rPr>
          <w:rStyle w:val="FootnoteReference"/>
          <w:lang w:val="en-US"/>
        </w:rPr>
        <w:footnoteReference w:customMarkFollows="1" w:id="30"/>
        <w:t>*</w:t>
      </w:r>
      <w:r w:rsidRPr="00FA2397">
        <w:t xml:space="preserve"> Resolution 176 on "Human exposure to and measurement of electromagnetic fields".</w:t>
      </w:r>
      <w:bookmarkEnd w:id="158"/>
      <w:bookmarkEnd w:id="159"/>
    </w:p>
    <w:p w:rsidR="00FA2397" w:rsidRDefault="00FA2397" w:rsidP="00FA2397">
      <w:pPr>
        <w:rPr>
          <w:lang w:val="en-US"/>
        </w:rPr>
      </w:pPr>
    </w:p>
    <w:p w:rsidR="00A11960" w:rsidRPr="00061F17" w:rsidRDefault="00A11960" w:rsidP="00FA2397">
      <w:pPr>
        <w:rPr>
          <w:lang w:val="en-US"/>
        </w:rPr>
      </w:pPr>
    </w:p>
    <w:p w:rsidR="00061F17" w:rsidRPr="007A19CC" w:rsidRDefault="00061F17" w:rsidP="00FA2397">
      <w:pPr>
        <w:pStyle w:val="ResNo"/>
        <w:rPr>
          <w:lang w:val="en-US"/>
        </w:rPr>
      </w:pPr>
      <w:r w:rsidRPr="007A19CC">
        <w:rPr>
          <w:lang w:val="en-US"/>
        </w:rPr>
        <w:t>RESOLUTION 176 (Guadalajara, 2010)</w:t>
      </w:r>
    </w:p>
    <w:p w:rsidR="00061F17" w:rsidRPr="007A19CC" w:rsidRDefault="00061F17" w:rsidP="00FA2397">
      <w:pPr>
        <w:pStyle w:val="Restitle"/>
        <w:rPr>
          <w:lang w:val="en-US"/>
        </w:rPr>
      </w:pPr>
      <w:r w:rsidRPr="007A19CC">
        <w:rPr>
          <w:lang w:val="en-US"/>
        </w:rPr>
        <w:t>Human exposure to and measurement of electromagnetic fields</w:t>
      </w:r>
    </w:p>
    <w:p w:rsidR="00061F17" w:rsidRPr="00667A32" w:rsidRDefault="00061F17" w:rsidP="00FA2397">
      <w:pPr>
        <w:pStyle w:val="Normalaftertitle"/>
      </w:pPr>
      <w:r w:rsidRPr="00667A32">
        <w:t xml:space="preserve">The Plenipotentiary Conference of the International Telecommunication Union (Guadalajara, 2010), </w:t>
      </w:r>
    </w:p>
    <w:p w:rsidR="00061F17" w:rsidRPr="00667A32" w:rsidRDefault="00061F17" w:rsidP="00FA2397">
      <w:pPr>
        <w:pStyle w:val="Call"/>
        <w:rPr>
          <w:lang w:val="en-US"/>
        </w:rPr>
      </w:pPr>
      <w:proofErr w:type="gramStart"/>
      <w:r w:rsidRPr="00FA2397">
        <w:t>recalling</w:t>
      </w:r>
      <w:proofErr w:type="gramEnd"/>
    </w:p>
    <w:p w:rsidR="00061F17" w:rsidRPr="00061F17" w:rsidRDefault="00061F17" w:rsidP="00061F17">
      <w:pPr>
        <w:rPr>
          <w:szCs w:val="19"/>
          <w:lang w:val="en-US"/>
        </w:rPr>
      </w:pPr>
      <w:r w:rsidRPr="00061F17">
        <w:rPr>
          <w:i/>
          <w:iCs/>
          <w:szCs w:val="19"/>
          <w:lang w:val="en-US"/>
        </w:rPr>
        <w:t>a)</w:t>
      </w:r>
      <w:r w:rsidRPr="00061F17">
        <w:rPr>
          <w:szCs w:val="19"/>
          <w:lang w:val="en-US"/>
        </w:rPr>
        <w:tab/>
        <w:t>Resolution 72 (Johannesburg, 2008) of the World Telecommunication Standardization Assembly, on measurement concerns related to human exposure to electromagnetic fields (EMF);</w:t>
      </w:r>
    </w:p>
    <w:p w:rsidR="00061F17" w:rsidRPr="00061F17" w:rsidRDefault="00061F17" w:rsidP="00061F17">
      <w:pPr>
        <w:rPr>
          <w:szCs w:val="19"/>
          <w:lang w:val="en-US"/>
        </w:rPr>
      </w:pPr>
      <w:r w:rsidRPr="00061F17">
        <w:rPr>
          <w:i/>
          <w:iCs/>
          <w:szCs w:val="19"/>
          <w:lang w:val="en-US"/>
        </w:rPr>
        <w:t>b)</w:t>
      </w:r>
      <w:r w:rsidRPr="00061F17">
        <w:rPr>
          <w:szCs w:val="19"/>
          <w:lang w:val="en-US"/>
        </w:rPr>
        <w:tab/>
        <w:t>Resolution 62 (Hyderabad, 2010) of the World Telecommunication Development Conference, on measurement concerns related to human exposure to EMF;</w:t>
      </w:r>
    </w:p>
    <w:p w:rsidR="00061F17" w:rsidRPr="00061F17" w:rsidRDefault="00061F17" w:rsidP="00061F17">
      <w:pPr>
        <w:rPr>
          <w:szCs w:val="19"/>
          <w:lang w:val="en-US"/>
        </w:rPr>
      </w:pPr>
      <w:r w:rsidRPr="00061F17">
        <w:rPr>
          <w:i/>
          <w:iCs/>
          <w:szCs w:val="19"/>
          <w:lang w:val="en-US"/>
        </w:rPr>
        <w:t>c)</w:t>
      </w:r>
      <w:r w:rsidRPr="00061F17">
        <w:rPr>
          <w:szCs w:val="19"/>
          <w:lang w:val="en-US"/>
        </w:rPr>
        <w:tab/>
      </w:r>
      <w:proofErr w:type="gramStart"/>
      <w:r w:rsidRPr="00061F17">
        <w:rPr>
          <w:szCs w:val="19"/>
          <w:lang w:val="en-US"/>
        </w:rPr>
        <w:t>relevant</w:t>
      </w:r>
      <w:proofErr w:type="gramEnd"/>
      <w:r w:rsidRPr="00061F17">
        <w:rPr>
          <w:szCs w:val="19"/>
          <w:lang w:val="en-US"/>
        </w:rPr>
        <w:t xml:space="preserve"> resolutions and recommendations of the ITU </w:t>
      </w:r>
      <w:proofErr w:type="spellStart"/>
      <w:r w:rsidRPr="00061F17">
        <w:rPr>
          <w:szCs w:val="19"/>
          <w:lang w:val="en-US"/>
        </w:rPr>
        <w:t>Radiocommunication</w:t>
      </w:r>
      <w:proofErr w:type="spellEnd"/>
      <w:r w:rsidRPr="00061F17">
        <w:rPr>
          <w:szCs w:val="19"/>
          <w:lang w:val="en-US"/>
        </w:rPr>
        <w:t xml:space="preserve"> Sector (ITU-R) and ITU Telecommunication Standardization Sector (ITU-T);</w:t>
      </w:r>
    </w:p>
    <w:p w:rsidR="00061F17" w:rsidRPr="00061F17" w:rsidRDefault="00061F17" w:rsidP="00061F17">
      <w:pPr>
        <w:rPr>
          <w:szCs w:val="19"/>
          <w:lang w:val="en-US"/>
        </w:rPr>
      </w:pPr>
      <w:r w:rsidRPr="00061F17">
        <w:rPr>
          <w:i/>
          <w:iCs/>
          <w:szCs w:val="19"/>
          <w:lang w:val="en-US"/>
        </w:rPr>
        <w:t>d)</w:t>
      </w:r>
      <w:r w:rsidRPr="00061F17">
        <w:rPr>
          <w:szCs w:val="19"/>
          <w:lang w:val="en-US"/>
        </w:rPr>
        <w:tab/>
        <w:t>that there is ongoing work in the three Sectors relating to human exposure to electromagnetic fields, and that liaison and collaboration between the Sectors and with other expert organizations are important, in order to avoid duplication of effort,</w:t>
      </w:r>
    </w:p>
    <w:p w:rsidR="00061F17" w:rsidRPr="00667A32" w:rsidRDefault="00061F17" w:rsidP="00FA2397">
      <w:pPr>
        <w:pStyle w:val="Call"/>
      </w:pPr>
      <w:proofErr w:type="gramStart"/>
      <w:r w:rsidRPr="00667A32">
        <w:t>considering</w:t>
      </w:r>
      <w:proofErr w:type="gramEnd"/>
    </w:p>
    <w:p w:rsidR="00061F17" w:rsidRPr="00061F17" w:rsidRDefault="00061F17" w:rsidP="00061F17">
      <w:pPr>
        <w:rPr>
          <w:szCs w:val="19"/>
          <w:lang w:val="en-US"/>
        </w:rPr>
      </w:pPr>
      <w:r w:rsidRPr="00061F17">
        <w:rPr>
          <w:i/>
          <w:iCs/>
          <w:szCs w:val="19"/>
          <w:lang w:val="en-US"/>
        </w:rPr>
        <w:t>a)</w:t>
      </w:r>
      <w:r w:rsidRPr="00061F17">
        <w:rPr>
          <w:szCs w:val="19"/>
          <w:lang w:val="en-US"/>
        </w:rPr>
        <w:tab/>
        <w:t xml:space="preserve"> that the World Health Organization (WHO) and the International Commission on Non</w:t>
      </w:r>
      <w:r w:rsidRPr="00061F17">
        <w:rPr>
          <w:szCs w:val="19"/>
          <w:lang w:val="en-US"/>
        </w:rPr>
        <w:noBreakHyphen/>
        <w:t>Ionizing Radiation Protection (ICNIRP) have the specialized health expertise and competence to assess the impact of radio waves on the human body;</w:t>
      </w:r>
    </w:p>
    <w:p w:rsidR="00061F17" w:rsidRPr="00061F17" w:rsidRDefault="00061F17" w:rsidP="00061F17">
      <w:pPr>
        <w:rPr>
          <w:szCs w:val="19"/>
          <w:lang w:val="en-US"/>
        </w:rPr>
      </w:pPr>
      <w:r w:rsidRPr="00061F17">
        <w:rPr>
          <w:i/>
          <w:iCs/>
          <w:szCs w:val="19"/>
          <w:lang w:val="en-US"/>
        </w:rPr>
        <w:t>b)</w:t>
      </w:r>
      <w:r w:rsidRPr="00061F17">
        <w:rPr>
          <w:szCs w:val="19"/>
          <w:lang w:val="en-US"/>
        </w:rPr>
        <w:tab/>
        <w:t xml:space="preserve"> </w:t>
      </w:r>
      <w:proofErr w:type="gramStart"/>
      <w:r w:rsidRPr="00061F17">
        <w:rPr>
          <w:szCs w:val="19"/>
          <w:lang w:val="en-US"/>
        </w:rPr>
        <w:t>that</w:t>
      </w:r>
      <w:proofErr w:type="gramEnd"/>
      <w:r w:rsidRPr="00061F17">
        <w:rPr>
          <w:szCs w:val="19"/>
          <w:lang w:val="en-US"/>
        </w:rPr>
        <w:t xml:space="preserve"> ITU has expertise in calculating and measuring the field strength and power density of radio signals;</w:t>
      </w:r>
    </w:p>
    <w:p w:rsidR="00061F17" w:rsidRPr="00061F17" w:rsidRDefault="00061F17" w:rsidP="00061F17">
      <w:pPr>
        <w:rPr>
          <w:szCs w:val="19"/>
          <w:lang w:val="en-US"/>
        </w:rPr>
      </w:pPr>
      <w:r w:rsidRPr="00061F17">
        <w:rPr>
          <w:i/>
          <w:iCs/>
          <w:szCs w:val="19"/>
          <w:lang w:val="en-US"/>
        </w:rPr>
        <w:t>c)</w:t>
      </w:r>
      <w:r w:rsidRPr="00061F17">
        <w:rPr>
          <w:szCs w:val="19"/>
          <w:lang w:val="en-US"/>
        </w:rPr>
        <w:tab/>
      </w:r>
      <w:proofErr w:type="gramStart"/>
      <w:r w:rsidRPr="00061F17">
        <w:rPr>
          <w:szCs w:val="19"/>
          <w:lang w:val="en-US"/>
        </w:rPr>
        <w:t>the</w:t>
      </w:r>
      <w:proofErr w:type="gramEnd"/>
      <w:r w:rsidRPr="00061F17">
        <w:rPr>
          <w:szCs w:val="19"/>
          <w:lang w:val="en-US"/>
        </w:rPr>
        <w:t xml:space="preserve"> high cost of equipment used for measuring and assessing human exposure to EMF;</w:t>
      </w:r>
    </w:p>
    <w:p w:rsidR="00061F17" w:rsidRPr="00061F17" w:rsidRDefault="00061F17" w:rsidP="00061F17">
      <w:pPr>
        <w:rPr>
          <w:szCs w:val="19"/>
          <w:lang w:val="en-US"/>
        </w:rPr>
      </w:pPr>
      <w:r w:rsidRPr="00061F17">
        <w:rPr>
          <w:i/>
          <w:iCs/>
          <w:szCs w:val="19"/>
          <w:lang w:val="en-US"/>
        </w:rPr>
        <w:t>d)</w:t>
      </w:r>
      <w:r w:rsidRPr="00061F17">
        <w:rPr>
          <w:szCs w:val="19"/>
          <w:lang w:val="en-US"/>
        </w:rPr>
        <w:tab/>
      </w:r>
      <w:proofErr w:type="gramStart"/>
      <w:r w:rsidRPr="00061F17">
        <w:rPr>
          <w:szCs w:val="19"/>
          <w:lang w:val="en-US"/>
        </w:rPr>
        <w:t>that</w:t>
      </w:r>
      <w:proofErr w:type="gramEnd"/>
      <w:r w:rsidRPr="00061F17">
        <w:rPr>
          <w:szCs w:val="19"/>
          <w:lang w:val="en-US"/>
        </w:rPr>
        <w:t xml:space="preserve"> the considerable development in radio spectrum use has resulted in multiple sources of EMF emissions within any given geographic area;</w:t>
      </w:r>
    </w:p>
    <w:p w:rsidR="00061F17" w:rsidRPr="00061F17" w:rsidRDefault="00061F17" w:rsidP="00061F17">
      <w:pPr>
        <w:rPr>
          <w:szCs w:val="19"/>
          <w:lang w:val="en-US"/>
        </w:rPr>
      </w:pPr>
      <w:r w:rsidRPr="00061F17">
        <w:rPr>
          <w:i/>
          <w:iCs/>
          <w:szCs w:val="19"/>
          <w:lang w:val="en-US"/>
        </w:rPr>
        <w:t>e)</w:t>
      </w:r>
      <w:r w:rsidRPr="00061F17">
        <w:rPr>
          <w:szCs w:val="19"/>
          <w:lang w:val="en-US"/>
        </w:rPr>
        <w:tab/>
      </w:r>
      <w:proofErr w:type="gramStart"/>
      <w:r w:rsidRPr="00061F17">
        <w:rPr>
          <w:szCs w:val="19"/>
          <w:lang w:val="en-US"/>
        </w:rPr>
        <w:t>the</w:t>
      </w:r>
      <w:proofErr w:type="gramEnd"/>
      <w:r w:rsidRPr="00061F17">
        <w:rPr>
          <w:szCs w:val="19"/>
          <w:lang w:val="en-US"/>
        </w:rPr>
        <w:t xml:space="preserve"> urgent need for regulatory bodies in many developing countries to obtain information on EMF measurement methodologies in regard to human exposure to radio-frequency energy, in order to establish national regulations to protect their citizens;</w:t>
      </w:r>
    </w:p>
    <w:p w:rsidR="00061F17" w:rsidRPr="00061F17" w:rsidRDefault="00061F17" w:rsidP="00061F17">
      <w:pPr>
        <w:rPr>
          <w:szCs w:val="19"/>
          <w:lang w:val="en-US"/>
        </w:rPr>
      </w:pPr>
      <w:r w:rsidRPr="00061F17">
        <w:rPr>
          <w:i/>
          <w:iCs/>
          <w:szCs w:val="19"/>
          <w:lang w:val="en-US"/>
        </w:rPr>
        <w:t>f)</w:t>
      </w:r>
      <w:r w:rsidRPr="00061F17">
        <w:rPr>
          <w:szCs w:val="19"/>
          <w:lang w:val="en-US"/>
        </w:rPr>
        <w:tab/>
        <w:t>that guidelines on limits of exposure to EMF have been established by ICNIRP</w:t>
      </w:r>
      <w:r w:rsidRPr="00061F17">
        <w:rPr>
          <w:rStyle w:val="FootnoteReference"/>
          <w:szCs w:val="19"/>
          <w:lang w:val="en-US"/>
        </w:rPr>
        <w:footnoteReference w:customMarkFollows="1" w:id="31"/>
        <w:t>1</w:t>
      </w:r>
      <w:r w:rsidRPr="00061F17">
        <w:rPr>
          <w:szCs w:val="19"/>
          <w:lang w:val="en-US"/>
        </w:rPr>
        <w:t>, the Institute of Electrical and Electronics Engineers (IEEE)</w:t>
      </w:r>
      <w:r w:rsidRPr="00061F17">
        <w:rPr>
          <w:rStyle w:val="FootnoteReference"/>
          <w:szCs w:val="19"/>
          <w:lang w:val="en-US"/>
        </w:rPr>
        <w:footnoteReference w:customMarkFollows="1" w:id="32"/>
        <w:t>2</w:t>
      </w:r>
      <w:r w:rsidRPr="00061F17">
        <w:rPr>
          <w:szCs w:val="19"/>
          <w:lang w:val="en-US"/>
        </w:rPr>
        <w:t xml:space="preserve"> and the International Organization for Standardization/International </w:t>
      </w:r>
      <w:proofErr w:type="spellStart"/>
      <w:r w:rsidRPr="00061F17">
        <w:rPr>
          <w:szCs w:val="19"/>
          <w:lang w:val="en-US"/>
        </w:rPr>
        <w:t>Electrotechnical</w:t>
      </w:r>
      <w:proofErr w:type="spellEnd"/>
      <w:r w:rsidRPr="00061F17">
        <w:rPr>
          <w:szCs w:val="19"/>
          <w:lang w:val="en-US"/>
        </w:rPr>
        <w:t xml:space="preserve"> Commission (ISO/IEC) and that many administrations have adopted national regulations based on these guidelines,</w:t>
      </w:r>
    </w:p>
    <w:p w:rsidR="00061F17" w:rsidRPr="00667A32" w:rsidRDefault="00061F17" w:rsidP="00FA2397">
      <w:pPr>
        <w:pStyle w:val="Call"/>
      </w:pPr>
      <w:proofErr w:type="gramStart"/>
      <w:r w:rsidRPr="00667A32">
        <w:lastRenderedPageBreak/>
        <w:t>resolves</w:t>
      </w:r>
      <w:proofErr w:type="gramEnd"/>
      <w:r w:rsidRPr="00667A32">
        <w:t xml:space="preserve"> to instruct the Directors of the three Bureaux</w:t>
      </w:r>
    </w:p>
    <w:p w:rsidR="00061F17" w:rsidRPr="00061F17" w:rsidRDefault="00061F17" w:rsidP="00061F17">
      <w:pPr>
        <w:rPr>
          <w:szCs w:val="19"/>
          <w:lang w:val="en-US"/>
        </w:rPr>
      </w:pPr>
      <w:r w:rsidRPr="00061F17">
        <w:rPr>
          <w:szCs w:val="19"/>
          <w:lang w:val="en-US"/>
        </w:rPr>
        <w:t>to collect and disseminate information concerning exposure to EMF, including on EMF measurement methodologies, in order to assist national administrations, particularly in developing countries, to develop appropriate national regulations,</w:t>
      </w:r>
    </w:p>
    <w:p w:rsidR="00061F17" w:rsidRPr="00667A32" w:rsidRDefault="00061F17" w:rsidP="00FA2397">
      <w:pPr>
        <w:pStyle w:val="Call"/>
      </w:pPr>
      <w:proofErr w:type="gramStart"/>
      <w:r w:rsidRPr="00667A32">
        <w:t>instructs</w:t>
      </w:r>
      <w:proofErr w:type="gramEnd"/>
      <w:r w:rsidRPr="00667A32">
        <w:t xml:space="preserve"> the Director of the Telecommunication Development Bureau, in collaboration with the Director of the </w:t>
      </w:r>
      <w:proofErr w:type="spellStart"/>
      <w:r w:rsidRPr="00667A32">
        <w:t>Radiocommunication</w:t>
      </w:r>
      <w:proofErr w:type="spellEnd"/>
      <w:r w:rsidRPr="00667A32">
        <w:t xml:space="preserve"> Bureau and the Director of the Telecommunication Standardization Bureau</w:t>
      </w:r>
    </w:p>
    <w:p w:rsidR="00061F17" w:rsidRPr="00061F17" w:rsidRDefault="00061F17" w:rsidP="00061F17">
      <w:pPr>
        <w:rPr>
          <w:szCs w:val="19"/>
          <w:lang w:val="en-US"/>
        </w:rPr>
      </w:pPr>
      <w:r w:rsidRPr="00061F17">
        <w:rPr>
          <w:szCs w:val="19"/>
          <w:lang w:val="en-US"/>
        </w:rPr>
        <w:t>1</w:t>
      </w:r>
      <w:r w:rsidRPr="00061F17">
        <w:rPr>
          <w:szCs w:val="19"/>
          <w:lang w:val="en-US"/>
        </w:rPr>
        <w:tab/>
        <w:t>to ascertain the requirement for, and as appropriate conduct, regional seminars and workshops in order to identify the needs of developing countries and to build human capacity in regard to measurement of EMF related to human exposure to these fields;</w:t>
      </w:r>
    </w:p>
    <w:p w:rsidR="00061F17" w:rsidRPr="00061F17" w:rsidRDefault="00061F17" w:rsidP="00061F17">
      <w:pPr>
        <w:rPr>
          <w:szCs w:val="19"/>
          <w:lang w:val="en-US"/>
        </w:rPr>
      </w:pPr>
      <w:r w:rsidRPr="00061F17">
        <w:rPr>
          <w:szCs w:val="19"/>
          <w:lang w:val="en-US"/>
        </w:rPr>
        <w:t>2</w:t>
      </w:r>
      <w:r w:rsidRPr="00061F17">
        <w:rPr>
          <w:szCs w:val="19"/>
          <w:lang w:val="en-US"/>
        </w:rPr>
        <w:tab/>
        <w:t xml:space="preserve">to encourage Member States in the various regions to cooperate in sharing expertise and resources and identify a focal point or regional cooperation mechanism, including if required a regional </w:t>
      </w:r>
      <w:proofErr w:type="spellStart"/>
      <w:r w:rsidRPr="00061F17">
        <w:rPr>
          <w:szCs w:val="19"/>
          <w:lang w:val="en-US"/>
        </w:rPr>
        <w:t>centre</w:t>
      </w:r>
      <w:proofErr w:type="spellEnd"/>
      <w:r w:rsidRPr="00061F17">
        <w:rPr>
          <w:szCs w:val="19"/>
          <w:lang w:val="en-US"/>
        </w:rPr>
        <w:t>, so as to assist all Member States in the region in measurement and training,</w:t>
      </w:r>
    </w:p>
    <w:p w:rsidR="00061F17" w:rsidRPr="00061F17" w:rsidRDefault="00061F17" w:rsidP="00FA2397">
      <w:pPr>
        <w:pStyle w:val="Call"/>
      </w:pPr>
      <w:proofErr w:type="gramStart"/>
      <w:r w:rsidRPr="00061F17">
        <w:t>instructs</w:t>
      </w:r>
      <w:proofErr w:type="gramEnd"/>
      <w:r w:rsidRPr="00061F17">
        <w:t xml:space="preserve"> the Secretary-General, in consultation with the Directors of the three Bureaux</w:t>
      </w:r>
    </w:p>
    <w:p w:rsidR="00061F17" w:rsidRPr="00061F17" w:rsidRDefault="00061F17" w:rsidP="00061F17">
      <w:pPr>
        <w:rPr>
          <w:szCs w:val="19"/>
          <w:lang w:val="en-US"/>
        </w:rPr>
      </w:pPr>
      <w:r w:rsidRPr="00061F17">
        <w:rPr>
          <w:szCs w:val="19"/>
          <w:lang w:val="en-US"/>
        </w:rPr>
        <w:t>1</w:t>
      </w:r>
      <w:r w:rsidRPr="00061F17">
        <w:rPr>
          <w:szCs w:val="19"/>
          <w:lang w:val="en-US"/>
        </w:rPr>
        <w:tab/>
        <w:t>to prepare a report on the implementation of this resolution for submission to the ITU Council at each annual session;</w:t>
      </w:r>
    </w:p>
    <w:p w:rsidR="00061F17" w:rsidRPr="00061F17" w:rsidRDefault="00061F17" w:rsidP="00061F17">
      <w:pPr>
        <w:rPr>
          <w:szCs w:val="19"/>
          <w:lang w:val="en-US"/>
        </w:rPr>
      </w:pPr>
      <w:proofErr w:type="gramStart"/>
      <w:r w:rsidRPr="00061F17">
        <w:rPr>
          <w:szCs w:val="19"/>
          <w:lang w:val="en-US"/>
        </w:rPr>
        <w:t>2</w:t>
      </w:r>
      <w:r w:rsidRPr="00061F17">
        <w:rPr>
          <w:szCs w:val="19"/>
          <w:lang w:val="en-US"/>
        </w:rPr>
        <w:tab/>
        <w:t>to provide a report to the next plenipotentiary conference on measures taken to implement this resolution.</w:t>
      </w:r>
      <w:proofErr w:type="gramEnd"/>
    </w:p>
    <w:p w:rsidR="00061F17" w:rsidRPr="00061F17" w:rsidRDefault="00061F17" w:rsidP="00061F17">
      <w:pPr>
        <w:rPr>
          <w:szCs w:val="19"/>
          <w:lang w:val="en-US"/>
        </w:rPr>
      </w:pPr>
    </w:p>
    <w:p w:rsidR="00FA2397" w:rsidRDefault="00FA2397" w:rsidP="00061F17">
      <w:pPr>
        <w:pStyle w:val="Heading1"/>
        <w:spacing w:before="360" w:after="120"/>
        <w:rPr>
          <w:rFonts w:ascii="Verdana Bold" w:hAnsi="Verdana Bold"/>
          <w:szCs w:val="19"/>
        </w:rPr>
      </w:pPr>
      <w:bookmarkStart w:id="160" w:name="_Toc361912449"/>
      <w:r>
        <w:rPr>
          <w:rFonts w:ascii="Verdana Bold" w:hAnsi="Verdana Bold"/>
          <w:szCs w:val="19"/>
        </w:rPr>
        <w:br w:type="page"/>
      </w:r>
    </w:p>
    <w:p w:rsidR="00061F17" w:rsidRPr="00FA2397" w:rsidRDefault="00061F17" w:rsidP="00357951">
      <w:pPr>
        <w:pStyle w:val="Heading1"/>
        <w:tabs>
          <w:tab w:val="left" w:pos="1418"/>
        </w:tabs>
      </w:pPr>
      <w:bookmarkStart w:id="161" w:name="_Toc374691848"/>
      <w:r w:rsidRPr="00FA2397">
        <w:lastRenderedPageBreak/>
        <w:t xml:space="preserve">Annex 7: </w:t>
      </w:r>
      <w:r w:rsidR="00357951">
        <w:tab/>
      </w:r>
      <w:r w:rsidRPr="00FA2397">
        <w:t>ITU Project in Central America Document</w:t>
      </w:r>
      <w:bookmarkEnd w:id="160"/>
      <w:bookmarkEnd w:id="161"/>
      <w:r w:rsidR="008B2D4E" w:rsidRPr="00B03492">
        <w:rPr>
          <w:rStyle w:val="FootnoteReference"/>
          <w:lang w:val="en-US"/>
        </w:rPr>
        <w:footnoteReference w:customMarkFollows="1" w:id="33"/>
        <w:t>*</w:t>
      </w:r>
    </w:p>
    <w:p w:rsidR="00061F17" w:rsidRPr="001970D2" w:rsidRDefault="00061F17" w:rsidP="00FA2397">
      <w:pPr>
        <w:jc w:val="center"/>
        <w:rPr>
          <w:b/>
          <w:bCs/>
          <w:szCs w:val="19"/>
          <w:lang w:val="en-US"/>
        </w:rPr>
      </w:pPr>
    </w:p>
    <w:p w:rsidR="00061F17" w:rsidRDefault="00061F17" w:rsidP="00061F17">
      <w:pPr>
        <w:spacing w:before="0"/>
        <w:rPr>
          <w:rFonts w:ascii="Verdana Bold" w:hAnsi="Verdana Bold"/>
          <w:b/>
          <w:szCs w:val="19"/>
          <w:lang w:val="en-GB"/>
        </w:rPr>
      </w:pPr>
      <w:bookmarkStart w:id="162" w:name="_Toc361912450"/>
      <w:r w:rsidRPr="00061F17">
        <w:rPr>
          <w:rFonts w:ascii="Verdana Bold" w:hAnsi="Verdana Bold" w:hint="eastAsia"/>
          <w:smallCaps/>
          <w:szCs w:val="19"/>
          <w:lang w:val="en-US"/>
        </w:rPr>
        <w:br w:type="page"/>
      </w:r>
    </w:p>
    <w:p w:rsidR="00061F17" w:rsidRPr="00BE1873" w:rsidRDefault="00061F17" w:rsidP="00357951">
      <w:pPr>
        <w:pStyle w:val="Heading1"/>
        <w:tabs>
          <w:tab w:val="left" w:pos="1418"/>
        </w:tabs>
      </w:pPr>
      <w:bookmarkStart w:id="163" w:name="_Toc374691849"/>
      <w:r w:rsidRPr="00BE1873">
        <w:lastRenderedPageBreak/>
        <w:t xml:space="preserve">Annex 8: </w:t>
      </w:r>
      <w:r w:rsidR="00357951">
        <w:tab/>
      </w:r>
      <w:r w:rsidRPr="00BE1873">
        <w:t>Q23/1 Work Plan</w:t>
      </w:r>
      <w:bookmarkEnd w:id="162"/>
      <w:bookmarkEnd w:id="163"/>
    </w:p>
    <w:p w:rsidR="00061F17" w:rsidRPr="00CB48E2" w:rsidRDefault="00061F17" w:rsidP="00BE1873">
      <w:pPr>
        <w:pStyle w:val="Tabletitle"/>
      </w:pPr>
      <w:r w:rsidRPr="00CB48E2">
        <w:t xml:space="preserve">Work </w:t>
      </w:r>
      <w:proofErr w:type="spellStart"/>
      <w:r w:rsidRPr="00CB48E2">
        <w:t>Programme</w:t>
      </w:r>
      <w:proofErr w:type="spellEnd"/>
      <w:r w:rsidRPr="00CB48E2">
        <w:t xml:space="preserve"> 2010-2014</w:t>
      </w:r>
    </w:p>
    <w:tbl>
      <w:tblPr>
        <w:tblStyle w:val="Style1"/>
        <w:tblW w:w="4884" w:type="pct"/>
        <w:tblInd w:w="108" w:type="dxa"/>
        <w:tblLayout w:type="fixed"/>
        <w:tblLook w:val="0020" w:firstRow="1" w:lastRow="0" w:firstColumn="0" w:lastColumn="0" w:noHBand="0" w:noVBand="0"/>
      </w:tblPr>
      <w:tblGrid>
        <w:gridCol w:w="1843"/>
        <w:gridCol w:w="5387"/>
        <w:gridCol w:w="1842"/>
      </w:tblGrid>
      <w:tr w:rsidR="00061F17" w:rsidRPr="00413C13" w:rsidTr="00386DA4">
        <w:trPr>
          <w:cnfStyle w:val="100000000000" w:firstRow="1" w:lastRow="0" w:firstColumn="0" w:lastColumn="0" w:oddVBand="0" w:evenVBand="0" w:oddHBand="0" w:evenHBand="0" w:firstRowFirstColumn="0" w:firstRowLastColumn="0" w:lastRowFirstColumn="0" w:lastRowLastColumn="0"/>
          <w:tblHeader/>
        </w:trPr>
        <w:tc>
          <w:tcPr>
            <w:tcW w:w="1843" w:type="dxa"/>
          </w:tcPr>
          <w:p w:rsidR="00061F17" w:rsidRPr="00413C13" w:rsidRDefault="00061F17" w:rsidP="00BE1873">
            <w:pPr>
              <w:pStyle w:val="Tablehead"/>
            </w:pPr>
            <w:r w:rsidRPr="00413C13">
              <w:t>DATE</w:t>
            </w:r>
          </w:p>
        </w:tc>
        <w:tc>
          <w:tcPr>
            <w:tcW w:w="5387" w:type="dxa"/>
          </w:tcPr>
          <w:p w:rsidR="00061F17" w:rsidRPr="00413C13" w:rsidRDefault="00061F17" w:rsidP="00BE1873">
            <w:pPr>
              <w:pStyle w:val="Tablehead"/>
            </w:pPr>
            <w:r w:rsidRPr="00413C13">
              <w:t>ACTIVITY / EXPECTED RESULTS</w:t>
            </w:r>
          </w:p>
        </w:tc>
        <w:tc>
          <w:tcPr>
            <w:tcW w:w="1842" w:type="dxa"/>
          </w:tcPr>
          <w:p w:rsidR="00061F17" w:rsidRPr="00413C13" w:rsidRDefault="00061F17" w:rsidP="00BE1873">
            <w:pPr>
              <w:pStyle w:val="Tablehead"/>
            </w:pPr>
            <w:r w:rsidRPr="00413C13">
              <w:t>PERSON RESPONSIBLE</w:t>
            </w:r>
          </w:p>
        </w:tc>
      </w:tr>
      <w:tr w:rsidR="00061F17" w:rsidRPr="00BE1873" w:rsidTr="00386DA4">
        <w:trPr>
          <w:cnfStyle w:val="000000100000" w:firstRow="0" w:lastRow="0" w:firstColumn="0" w:lastColumn="0" w:oddVBand="0" w:evenVBand="0" w:oddHBand="1" w:evenHBand="0" w:firstRowFirstColumn="0" w:firstRowLastColumn="0" w:lastRowFirstColumn="0" w:lastRowLastColumn="0"/>
        </w:trPr>
        <w:tc>
          <w:tcPr>
            <w:tcW w:w="1843" w:type="dxa"/>
          </w:tcPr>
          <w:p w:rsidR="00061F17" w:rsidRPr="00413C13" w:rsidRDefault="00061F17" w:rsidP="00BE1873">
            <w:pPr>
              <w:pStyle w:val="Tabletext"/>
            </w:pPr>
            <w:proofErr w:type="spellStart"/>
            <w:r w:rsidRPr="00413C13">
              <w:t>September</w:t>
            </w:r>
            <w:proofErr w:type="spellEnd"/>
            <w:r w:rsidRPr="00413C13">
              <w:t xml:space="preserve"> 2010</w:t>
            </w:r>
          </w:p>
        </w:tc>
        <w:tc>
          <w:tcPr>
            <w:tcW w:w="5387" w:type="dxa"/>
          </w:tcPr>
          <w:p w:rsidR="00061F17" w:rsidRPr="00061F17" w:rsidRDefault="00BE1873" w:rsidP="00BE1873">
            <w:pPr>
              <w:pStyle w:val="enumlev1"/>
            </w:pPr>
            <w:r>
              <w:t>-</w:t>
            </w:r>
            <w:r>
              <w:tab/>
            </w:r>
            <w:r w:rsidR="00061F17" w:rsidRPr="00061F17">
              <w:t xml:space="preserve">Determination of the working method and of the means to carry out the work </w:t>
            </w:r>
          </w:p>
        </w:tc>
        <w:tc>
          <w:tcPr>
            <w:tcW w:w="1842" w:type="dxa"/>
          </w:tcPr>
          <w:p w:rsidR="00061F17" w:rsidRPr="00BE1873" w:rsidRDefault="00061F17" w:rsidP="00BE1873">
            <w:pPr>
              <w:pStyle w:val="Tabletext"/>
              <w:rPr>
                <w:rFonts w:cs="Arial"/>
                <w:szCs w:val="19"/>
                <w:lang w:val="en-US"/>
              </w:rPr>
            </w:pPr>
            <w:r w:rsidRPr="00BE1873">
              <w:rPr>
                <w:rFonts w:cs="Arial"/>
                <w:szCs w:val="19"/>
                <w:lang w:val="en-US"/>
              </w:rPr>
              <w:t>BDT, Rapporteur’s Group</w:t>
            </w:r>
          </w:p>
        </w:tc>
      </w:tr>
      <w:tr w:rsidR="00061F17" w:rsidRPr="00413C13" w:rsidTr="00386DA4">
        <w:trPr>
          <w:cnfStyle w:val="000000010000" w:firstRow="0" w:lastRow="0" w:firstColumn="0" w:lastColumn="0" w:oddVBand="0" w:evenVBand="0" w:oddHBand="0" w:evenHBand="1" w:firstRowFirstColumn="0" w:firstRowLastColumn="0" w:lastRowFirstColumn="0" w:lastRowLastColumn="0"/>
        </w:trPr>
        <w:tc>
          <w:tcPr>
            <w:tcW w:w="1843" w:type="dxa"/>
          </w:tcPr>
          <w:p w:rsidR="00061F17" w:rsidRPr="00BE1873" w:rsidRDefault="00061F17" w:rsidP="00BE1873">
            <w:pPr>
              <w:pStyle w:val="Tabletext"/>
              <w:rPr>
                <w:lang w:val="en-US"/>
              </w:rPr>
            </w:pPr>
            <w:r w:rsidRPr="00BE1873">
              <w:rPr>
                <w:lang w:val="en-US"/>
              </w:rPr>
              <w:t>October 2010 – February 2011</w:t>
            </w:r>
          </w:p>
        </w:tc>
        <w:tc>
          <w:tcPr>
            <w:tcW w:w="5387" w:type="dxa"/>
          </w:tcPr>
          <w:p w:rsidR="00061F17" w:rsidRPr="00413C13" w:rsidRDefault="00061F17" w:rsidP="00BE1873">
            <w:pPr>
              <w:pStyle w:val="enumlev1"/>
            </w:pPr>
            <w:r w:rsidRPr="00413C13">
              <w:t>-</w:t>
            </w:r>
            <w:r w:rsidRPr="00413C13">
              <w:tab/>
              <w:t xml:space="preserve">Compilation and analysis of envisaged or adopted regulatory policies on human exposure to electromagnetic fields authorizing the installation of </w:t>
            </w:r>
            <w:proofErr w:type="spellStart"/>
            <w:r w:rsidRPr="00BE1873">
              <w:t>radiocommunication</w:t>
            </w:r>
            <w:proofErr w:type="spellEnd"/>
            <w:r w:rsidRPr="00413C13">
              <w:t xml:space="preserve"> sites and telecommunication systems over electric power lines</w:t>
            </w:r>
          </w:p>
          <w:p w:rsidR="00061F17" w:rsidRPr="00602504" w:rsidRDefault="00061F17" w:rsidP="00BE1873">
            <w:pPr>
              <w:pStyle w:val="enumlev1"/>
            </w:pPr>
            <w:r w:rsidRPr="00413C13">
              <w:t>-</w:t>
            </w:r>
            <w:r w:rsidRPr="00413C13">
              <w:tab/>
              <w:t xml:space="preserve">Description of strategies or methods for raising </w:t>
            </w:r>
            <w:r w:rsidRPr="00BE1873">
              <w:t>awareness</w:t>
            </w:r>
            <w:r w:rsidRPr="00413C13">
              <w:t xml:space="preserve"> and informing people about the effects of electromagnetic fields caused by radio systems</w:t>
            </w:r>
          </w:p>
          <w:p w:rsidR="00061F17" w:rsidRPr="00602504" w:rsidRDefault="00061F17" w:rsidP="00BE1873">
            <w:pPr>
              <w:pStyle w:val="enumlev1"/>
            </w:pPr>
            <w:r w:rsidRPr="00413C13">
              <w:rPr>
                <w:shd w:val="clear" w:color="auto" w:fill="FFFFFF"/>
              </w:rPr>
              <w:t>-</w:t>
            </w:r>
            <w:r w:rsidRPr="00413C13">
              <w:rPr>
                <w:shd w:val="clear" w:color="auto" w:fill="FFFFFF"/>
              </w:rPr>
              <w:tab/>
              <w:t>Guidelines and best practices</w:t>
            </w:r>
          </w:p>
        </w:tc>
        <w:tc>
          <w:tcPr>
            <w:tcW w:w="1842" w:type="dxa"/>
          </w:tcPr>
          <w:p w:rsidR="00061F17" w:rsidRPr="00602504" w:rsidRDefault="00061F17" w:rsidP="00BE1873">
            <w:pPr>
              <w:pStyle w:val="Tabletext"/>
              <w:rPr>
                <w:rFonts w:cs="Arial"/>
                <w:szCs w:val="19"/>
                <w:lang w:val="fr-CH"/>
              </w:rPr>
            </w:pPr>
            <w:r w:rsidRPr="00413C13">
              <w:rPr>
                <w:rFonts w:cs="Arial"/>
                <w:szCs w:val="19"/>
                <w:lang w:val="fr-CH"/>
              </w:rPr>
              <w:t xml:space="preserve">BDT, </w:t>
            </w:r>
            <w:proofErr w:type="spellStart"/>
            <w:r w:rsidRPr="00413C13">
              <w:rPr>
                <w:rFonts w:cs="Arial"/>
                <w:szCs w:val="19"/>
                <w:lang w:val="fr-CH"/>
              </w:rPr>
              <w:t>Rapporteur’s</w:t>
            </w:r>
            <w:proofErr w:type="spellEnd"/>
            <w:r w:rsidRPr="00413C13">
              <w:rPr>
                <w:rFonts w:cs="Arial"/>
                <w:szCs w:val="19"/>
                <w:lang w:val="fr-CH"/>
              </w:rPr>
              <w:t xml:space="preserve"> Group</w:t>
            </w:r>
          </w:p>
        </w:tc>
      </w:tr>
      <w:tr w:rsidR="00061F17" w:rsidRPr="00413C13" w:rsidTr="00386DA4">
        <w:trPr>
          <w:cnfStyle w:val="000000100000" w:firstRow="0" w:lastRow="0" w:firstColumn="0" w:lastColumn="0" w:oddVBand="0" w:evenVBand="0" w:oddHBand="1" w:evenHBand="0" w:firstRowFirstColumn="0" w:firstRowLastColumn="0" w:lastRowFirstColumn="0" w:lastRowLastColumn="0"/>
        </w:trPr>
        <w:tc>
          <w:tcPr>
            <w:tcW w:w="1843" w:type="dxa"/>
          </w:tcPr>
          <w:p w:rsidR="00061F17" w:rsidRPr="00413C13" w:rsidRDefault="00061F17" w:rsidP="00BE1873">
            <w:pPr>
              <w:pStyle w:val="Tabletext"/>
              <w:rPr>
                <w:rFonts w:cs="Arial"/>
                <w:szCs w:val="19"/>
                <w:lang w:val="fr-CH" w:eastAsia="en-US"/>
              </w:rPr>
            </w:pPr>
            <w:r w:rsidRPr="00413C13">
              <w:rPr>
                <w:rFonts w:cs="Arial"/>
                <w:szCs w:val="19"/>
                <w:lang w:val="fr-CH" w:eastAsia="en-US"/>
              </w:rPr>
              <w:t>March/April 2011</w:t>
            </w:r>
          </w:p>
        </w:tc>
        <w:tc>
          <w:tcPr>
            <w:tcW w:w="5387" w:type="dxa"/>
          </w:tcPr>
          <w:p w:rsidR="00061F17" w:rsidRDefault="00061F17" w:rsidP="00BE1873">
            <w:pPr>
              <w:pStyle w:val="Tabletext"/>
              <w:rPr>
                <w:lang w:val="en-US"/>
              </w:rPr>
            </w:pPr>
            <w:r w:rsidRPr="00413C13">
              <w:rPr>
                <w:lang w:val="en-US"/>
              </w:rPr>
              <w:t>Rapporteur’s Group meeting:</w:t>
            </w:r>
          </w:p>
          <w:p w:rsidR="00BE1873" w:rsidRDefault="00BE1873" w:rsidP="00BE1873">
            <w:pPr>
              <w:pStyle w:val="enumlev1"/>
            </w:pPr>
            <w:r>
              <w:t>-</w:t>
            </w:r>
            <w:r>
              <w:tab/>
              <w:t>Consideration of contributions received</w:t>
            </w:r>
          </w:p>
          <w:p w:rsidR="00BE1873" w:rsidRDefault="00BE1873" w:rsidP="00BE1873">
            <w:pPr>
              <w:pStyle w:val="enumlev1"/>
            </w:pPr>
            <w:r>
              <w:t>-</w:t>
            </w:r>
            <w:r>
              <w:tab/>
              <w:t>Consideration of relevant documents of others Sectors (ITU-T, ITU-R)</w:t>
            </w:r>
          </w:p>
          <w:p w:rsidR="00BE1873" w:rsidRPr="00413C13" w:rsidRDefault="00BE1873" w:rsidP="00BE1873">
            <w:pPr>
              <w:pStyle w:val="enumlev1"/>
            </w:pPr>
            <w:r>
              <w:t>-</w:t>
            </w:r>
            <w:r>
              <w:tab/>
              <w:t>Call for contributions from:</w:t>
            </w:r>
          </w:p>
          <w:p w:rsidR="00061F17" w:rsidRPr="00602504" w:rsidRDefault="00BE1873" w:rsidP="00BE1873">
            <w:pPr>
              <w:pStyle w:val="enumlev2"/>
            </w:pPr>
            <w:r>
              <w:sym w:font="Symbol" w:char="F0B7"/>
            </w:r>
            <w:r w:rsidR="00061F17" w:rsidRPr="00413C13">
              <w:tab/>
              <w:t>World Health Organization</w:t>
            </w:r>
          </w:p>
          <w:p w:rsidR="00061F17" w:rsidRDefault="00BE1873" w:rsidP="00BE1873">
            <w:pPr>
              <w:pStyle w:val="enumlev2"/>
            </w:pPr>
            <w:r>
              <w:sym w:font="Symbol" w:char="F0B7"/>
            </w:r>
            <w:r w:rsidRPr="00413C13">
              <w:tab/>
            </w:r>
            <w:r w:rsidR="00061F17" w:rsidRPr="00413C13">
              <w:t>International Commission on Non-Ionizing Radiation Protection (ICNIRP)</w:t>
            </w:r>
          </w:p>
          <w:p w:rsidR="00061F17" w:rsidRPr="00BE1873" w:rsidRDefault="00BE1873" w:rsidP="00BE1873">
            <w:pPr>
              <w:pStyle w:val="enumlev2"/>
              <w:rPr>
                <w:shd w:val="clear" w:color="auto" w:fill="E6ECF9"/>
              </w:rPr>
            </w:pPr>
            <w:r>
              <w:sym w:font="Symbol" w:char="F0B7"/>
            </w:r>
            <w:r w:rsidRPr="00413C13">
              <w:tab/>
            </w:r>
            <w:r>
              <w:t>Institute of Electrical and Electronic Engineers (IEEE)</w:t>
            </w:r>
          </w:p>
        </w:tc>
        <w:tc>
          <w:tcPr>
            <w:tcW w:w="1842" w:type="dxa"/>
          </w:tcPr>
          <w:p w:rsidR="00061F17" w:rsidRPr="00602504" w:rsidRDefault="00061F17" w:rsidP="00BE1873">
            <w:pPr>
              <w:pStyle w:val="Tabletext"/>
              <w:rPr>
                <w:rFonts w:cs="Arial"/>
                <w:szCs w:val="19"/>
                <w:lang w:val="fr-CH"/>
              </w:rPr>
            </w:pPr>
            <w:r w:rsidRPr="00413C13">
              <w:rPr>
                <w:rFonts w:cs="Arial"/>
                <w:szCs w:val="19"/>
                <w:lang w:val="fr-CH"/>
              </w:rPr>
              <w:t xml:space="preserve">BDT, </w:t>
            </w:r>
            <w:proofErr w:type="spellStart"/>
            <w:r w:rsidRPr="00413C13">
              <w:rPr>
                <w:rFonts w:cs="Arial"/>
                <w:szCs w:val="19"/>
                <w:lang w:val="fr-CH"/>
              </w:rPr>
              <w:t>Rapporteur’s</w:t>
            </w:r>
            <w:proofErr w:type="spellEnd"/>
            <w:r w:rsidRPr="00413C13">
              <w:rPr>
                <w:rFonts w:cs="Arial"/>
                <w:szCs w:val="19"/>
                <w:lang w:val="fr-CH"/>
              </w:rPr>
              <w:t xml:space="preserve"> Group</w:t>
            </w:r>
          </w:p>
        </w:tc>
      </w:tr>
      <w:tr w:rsidR="00061F17" w:rsidRPr="00413C13" w:rsidTr="00386DA4">
        <w:trPr>
          <w:cnfStyle w:val="000000010000" w:firstRow="0" w:lastRow="0" w:firstColumn="0" w:lastColumn="0" w:oddVBand="0" w:evenVBand="0" w:oddHBand="0" w:evenHBand="1" w:firstRowFirstColumn="0" w:firstRowLastColumn="0" w:lastRowFirstColumn="0" w:lastRowLastColumn="0"/>
        </w:trPr>
        <w:tc>
          <w:tcPr>
            <w:tcW w:w="1843" w:type="dxa"/>
          </w:tcPr>
          <w:p w:rsidR="00061F17" w:rsidRPr="00413C13" w:rsidRDefault="00061F17" w:rsidP="00BE1873">
            <w:pPr>
              <w:pStyle w:val="Tabletext"/>
              <w:rPr>
                <w:rFonts w:cs="Arial"/>
                <w:szCs w:val="19"/>
                <w:lang w:val="fr-CH" w:eastAsia="en-US"/>
              </w:rPr>
            </w:pPr>
            <w:proofErr w:type="spellStart"/>
            <w:r w:rsidRPr="00413C13">
              <w:rPr>
                <w:rFonts w:cs="Arial"/>
                <w:szCs w:val="19"/>
                <w:lang w:val="fr-CH" w:eastAsia="en-US"/>
              </w:rPr>
              <w:t>September</w:t>
            </w:r>
            <w:proofErr w:type="spellEnd"/>
            <w:r w:rsidRPr="00413C13">
              <w:rPr>
                <w:rFonts w:cs="Arial"/>
                <w:szCs w:val="19"/>
                <w:lang w:val="fr-CH" w:eastAsia="en-US"/>
              </w:rPr>
              <w:t xml:space="preserve"> 2011</w:t>
            </w:r>
          </w:p>
        </w:tc>
        <w:tc>
          <w:tcPr>
            <w:tcW w:w="5387" w:type="dxa"/>
          </w:tcPr>
          <w:p w:rsidR="00061F17" w:rsidRPr="007A19CC" w:rsidRDefault="00061F17" w:rsidP="00A51E5B">
            <w:pPr>
              <w:pStyle w:val="Tabletext"/>
              <w:rPr>
                <w:lang w:val="en-US"/>
              </w:rPr>
            </w:pPr>
            <w:r w:rsidRPr="007A19CC">
              <w:rPr>
                <w:lang w:val="en-US"/>
              </w:rPr>
              <w:t>Rapporteur’s Group meeting:</w:t>
            </w:r>
          </w:p>
          <w:p w:rsidR="00061F17" w:rsidRPr="00413C13" w:rsidRDefault="00061F17" w:rsidP="00BE1873">
            <w:pPr>
              <w:pStyle w:val="enumlev1"/>
              <w:rPr>
                <w:shd w:val="clear" w:color="auto" w:fill="FFFFFF"/>
              </w:rPr>
            </w:pPr>
            <w:r w:rsidRPr="00413C13">
              <w:rPr>
                <w:shd w:val="clear" w:color="auto" w:fill="FFFFFF"/>
              </w:rPr>
              <w:t>-</w:t>
            </w:r>
            <w:r w:rsidRPr="00413C13">
              <w:rPr>
                <w:shd w:val="clear" w:color="auto" w:fill="FFFFFF"/>
              </w:rPr>
              <w:tab/>
              <w:t>Consideration of contributions received</w:t>
            </w:r>
          </w:p>
          <w:p w:rsidR="00061F17" w:rsidRPr="00413C13" w:rsidRDefault="00061F17" w:rsidP="00BE1873">
            <w:pPr>
              <w:pStyle w:val="enumlev1"/>
              <w:rPr>
                <w:shd w:val="clear" w:color="auto" w:fill="FFFFFF"/>
              </w:rPr>
            </w:pPr>
            <w:r w:rsidRPr="00413C13">
              <w:rPr>
                <w:shd w:val="clear" w:color="auto" w:fill="FFFFFF"/>
              </w:rPr>
              <w:t>-</w:t>
            </w:r>
            <w:r w:rsidRPr="00413C13">
              <w:rPr>
                <w:shd w:val="clear" w:color="auto" w:fill="FFFFFF"/>
              </w:rPr>
              <w:tab/>
              <w:t>Consideration</w:t>
            </w:r>
            <w:r>
              <w:rPr>
                <w:shd w:val="clear" w:color="auto" w:fill="FFFFFF"/>
              </w:rPr>
              <w:t xml:space="preserve"> </w:t>
            </w:r>
            <w:r w:rsidRPr="00413C13">
              <w:rPr>
                <w:shd w:val="clear" w:color="auto" w:fill="FFFFFF"/>
              </w:rPr>
              <w:t>of relevant documents of other Sectors and programmes</w:t>
            </w:r>
          </w:p>
          <w:p w:rsidR="00061F17" w:rsidRPr="00602504" w:rsidRDefault="00061F17" w:rsidP="00BE1873">
            <w:pPr>
              <w:pStyle w:val="enumlev1"/>
              <w:rPr>
                <w:shd w:val="clear" w:color="auto" w:fill="FFFFFF"/>
              </w:rPr>
            </w:pPr>
            <w:r w:rsidRPr="00413C13">
              <w:rPr>
                <w:shd w:val="clear" w:color="auto" w:fill="FFFFFF"/>
              </w:rPr>
              <w:t>-</w:t>
            </w:r>
            <w:r w:rsidRPr="00413C13">
              <w:rPr>
                <w:shd w:val="clear" w:color="auto" w:fill="FFFFFF"/>
              </w:rPr>
              <w:tab/>
              <w:t>Call for new contributions</w:t>
            </w:r>
          </w:p>
          <w:p w:rsidR="00061F17" w:rsidRPr="00602504" w:rsidRDefault="00061F17" w:rsidP="00BE1873">
            <w:pPr>
              <w:pStyle w:val="enumlev1"/>
            </w:pPr>
            <w:r w:rsidRPr="00413C13">
              <w:rPr>
                <w:shd w:val="clear" w:color="auto" w:fill="FFFFFF"/>
              </w:rPr>
              <w:t>-</w:t>
            </w:r>
            <w:r w:rsidRPr="00413C13">
              <w:rPr>
                <w:shd w:val="clear" w:color="auto" w:fill="FFFFFF"/>
              </w:rPr>
              <w:tab/>
              <w:t>Draft guidelines for compliance with relevant international recommendations aimed at protecting health against the harmful effects of electromagnetic fields</w:t>
            </w:r>
          </w:p>
        </w:tc>
        <w:tc>
          <w:tcPr>
            <w:tcW w:w="1842" w:type="dxa"/>
          </w:tcPr>
          <w:p w:rsidR="00061F17" w:rsidRPr="00602504" w:rsidRDefault="00061F17" w:rsidP="00BE1873">
            <w:pPr>
              <w:pStyle w:val="Tabletext"/>
              <w:rPr>
                <w:rFonts w:cs="Arial"/>
                <w:szCs w:val="19"/>
                <w:lang w:val="fr-CH"/>
              </w:rPr>
            </w:pPr>
            <w:r w:rsidRPr="00413C13">
              <w:rPr>
                <w:rFonts w:cs="Arial"/>
                <w:szCs w:val="19"/>
                <w:lang w:val="fr-CH"/>
              </w:rPr>
              <w:t xml:space="preserve">BDT, </w:t>
            </w:r>
            <w:proofErr w:type="spellStart"/>
            <w:r w:rsidRPr="00413C13">
              <w:rPr>
                <w:rFonts w:cs="Arial"/>
                <w:szCs w:val="19"/>
                <w:lang w:val="fr-CH"/>
              </w:rPr>
              <w:t>Rapporteur’s</w:t>
            </w:r>
            <w:proofErr w:type="spellEnd"/>
            <w:r w:rsidRPr="00413C13">
              <w:rPr>
                <w:rFonts w:cs="Arial"/>
                <w:szCs w:val="19"/>
                <w:lang w:val="fr-CH"/>
              </w:rPr>
              <w:t xml:space="preserve"> Group</w:t>
            </w:r>
          </w:p>
        </w:tc>
      </w:tr>
      <w:tr w:rsidR="00061F17" w:rsidRPr="00725C15" w:rsidTr="00386DA4">
        <w:trPr>
          <w:cnfStyle w:val="000000100000" w:firstRow="0" w:lastRow="0" w:firstColumn="0" w:lastColumn="0" w:oddVBand="0" w:evenVBand="0" w:oddHBand="1" w:evenHBand="0" w:firstRowFirstColumn="0" w:firstRowLastColumn="0" w:lastRowFirstColumn="0" w:lastRowLastColumn="0"/>
        </w:trPr>
        <w:tc>
          <w:tcPr>
            <w:tcW w:w="1843" w:type="dxa"/>
          </w:tcPr>
          <w:p w:rsidR="00061F17" w:rsidRPr="00602504" w:rsidRDefault="00061F17" w:rsidP="00BE1873">
            <w:pPr>
              <w:pStyle w:val="Tabletext"/>
            </w:pPr>
            <w:r w:rsidRPr="00413C13">
              <w:t>March/April 2012</w:t>
            </w:r>
          </w:p>
        </w:tc>
        <w:tc>
          <w:tcPr>
            <w:tcW w:w="5387" w:type="dxa"/>
          </w:tcPr>
          <w:p w:rsidR="00061F17" w:rsidRPr="007A19CC" w:rsidRDefault="00061F17" w:rsidP="00A51E5B">
            <w:pPr>
              <w:pStyle w:val="Tabletext"/>
              <w:rPr>
                <w:lang w:val="en-US"/>
              </w:rPr>
            </w:pPr>
            <w:r w:rsidRPr="007A19CC">
              <w:rPr>
                <w:lang w:val="en-US"/>
              </w:rPr>
              <w:t>Rapporteur’s Group meeting</w:t>
            </w:r>
          </w:p>
          <w:p w:rsidR="00061F17" w:rsidRPr="00061F17" w:rsidRDefault="00061F17" w:rsidP="00A51E5B">
            <w:pPr>
              <w:pStyle w:val="enumlev1"/>
              <w:rPr>
                <w:bCs/>
              </w:rPr>
            </w:pPr>
            <w:r w:rsidRPr="00061F17">
              <w:t>-</w:t>
            </w:r>
            <w:r w:rsidRPr="00061F17">
              <w:tab/>
              <w:t>Consideration of contributions received</w:t>
            </w:r>
          </w:p>
          <w:p w:rsidR="00061F17" w:rsidRDefault="00061F17" w:rsidP="00A51E5B">
            <w:pPr>
              <w:pStyle w:val="enumlev1"/>
            </w:pPr>
            <w:r w:rsidRPr="00061F17">
              <w:t>-</w:t>
            </w:r>
            <w:r w:rsidRPr="00061F17">
              <w:tab/>
              <w:t>Consideration of relevant documents of other ITU Sectors and international organizations working on this issue</w:t>
            </w:r>
          </w:p>
          <w:p w:rsidR="00A51E5B" w:rsidRDefault="00A51E5B" w:rsidP="00A51E5B">
            <w:pPr>
              <w:pStyle w:val="enumlev1"/>
            </w:pPr>
            <w:r>
              <w:t>-</w:t>
            </w:r>
            <w:r>
              <w:tab/>
              <w:t>Finalization of guidelines</w:t>
            </w:r>
          </w:p>
          <w:p w:rsidR="00A51E5B" w:rsidRDefault="00A51E5B" w:rsidP="00A51E5B">
            <w:pPr>
              <w:pStyle w:val="enumlev1"/>
              <w:rPr>
                <w:bCs/>
              </w:rPr>
            </w:pPr>
            <w:r>
              <w:rPr>
                <w:bCs/>
              </w:rPr>
              <w:t>-</w:t>
            </w:r>
            <w:r>
              <w:rPr>
                <w:bCs/>
              </w:rPr>
              <w:tab/>
              <w:t>Development of plan of the draft report</w:t>
            </w:r>
          </w:p>
          <w:p w:rsidR="00A51E5B" w:rsidRDefault="00A51E5B" w:rsidP="00A51E5B">
            <w:pPr>
              <w:pStyle w:val="enumlev1"/>
              <w:rPr>
                <w:bCs/>
              </w:rPr>
            </w:pPr>
            <w:r>
              <w:rPr>
                <w:bCs/>
              </w:rPr>
              <w:t>-</w:t>
            </w:r>
            <w:r>
              <w:rPr>
                <w:bCs/>
              </w:rPr>
              <w:tab/>
              <w:t>Call for new contributions</w:t>
            </w:r>
          </w:p>
          <w:p w:rsidR="00061F17" w:rsidRPr="00061F17" w:rsidRDefault="00A51E5B" w:rsidP="00A51E5B">
            <w:pPr>
              <w:pStyle w:val="enumlev1"/>
              <w:rPr>
                <w:bCs/>
              </w:rPr>
            </w:pPr>
            <w:r>
              <w:rPr>
                <w:bCs/>
              </w:rPr>
              <w:t>-</w:t>
            </w:r>
            <w:r>
              <w:rPr>
                <w:bCs/>
              </w:rPr>
              <w:tab/>
              <w:t>Dissemination of information on this topic at workshops and seminars organized for regulators, operators and the public</w:t>
            </w:r>
          </w:p>
        </w:tc>
        <w:tc>
          <w:tcPr>
            <w:tcW w:w="1842" w:type="dxa"/>
          </w:tcPr>
          <w:p w:rsidR="00061F17" w:rsidRPr="00602504" w:rsidRDefault="00061F17" w:rsidP="00BE1873">
            <w:pPr>
              <w:pStyle w:val="Tabletext"/>
              <w:rPr>
                <w:rFonts w:cs="Arial"/>
                <w:szCs w:val="19"/>
                <w:lang w:val="fr-CH"/>
              </w:rPr>
            </w:pPr>
            <w:r w:rsidRPr="00413C13">
              <w:rPr>
                <w:rFonts w:cs="Arial"/>
                <w:szCs w:val="19"/>
                <w:lang w:val="fr-CH"/>
              </w:rPr>
              <w:t>BDT, Rapporteur and Vice</w:t>
            </w:r>
            <w:r w:rsidRPr="00413C13">
              <w:rPr>
                <w:rFonts w:cs="Arial"/>
                <w:szCs w:val="19"/>
                <w:lang w:val="fr-CH"/>
              </w:rPr>
              <w:noBreakHyphen/>
              <w:t>Rapporteurs</w:t>
            </w:r>
          </w:p>
        </w:tc>
      </w:tr>
      <w:tr w:rsidR="00061F17" w:rsidRPr="00A51E5B" w:rsidTr="00386DA4">
        <w:trPr>
          <w:cnfStyle w:val="000000010000" w:firstRow="0" w:lastRow="0" w:firstColumn="0" w:lastColumn="0" w:oddVBand="0" w:evenVBand="0" w:oddHBand="0" w:evenHBand="1" w:firstRowFirstColumn="0" w:firstRowLastColumn="0" w:lastRowFirstColumn="0" w:lastRowLastColumn="0"/>
        </w:trPr>
        <w:tc>
          <w:tcPr>
            <w:tcW w:w="1843" w:type="dxa"/>
          </w:tcPr>
          <w:p w:rsidR="00061F17" w:rsidRPr="00602504" w:rsidRDefault="00061F17" w:rsidP="00BE1873">
            <w:pPr>
              <w:pStyle w:val="Tabletext"/>
              <w:rPr>
                <w:lang w:val="en-US"/>
              </w:rPr>
            </w:pPr>
            <w:proofErr w:type="spellStart"/>
            <w:r w:rsidRPr="00413C13">
              <w:t>September</w:t>
            </w:r>
            <w:proofErr w:type="spellEnd"/>
            <w:r w:rsidRPr="00413C13">
              <w:t xml:space="preserve"> 2012</w:t>
            </w:r>
          </w:p>
        </w:tc>
        <w:tc>
          <w:tcPr>
            <w:tcW w:w="5387" w:type="dxa"/>
          </w:tcPr>
          <w:p w:rsidR="00061F17" w:rsidRPr="00A51E5B" w:rsidRDefault="00061F17" w:rsidP="00A51E5B">
            <w:pPr>
              <w:pStyle w:val="Tabletext"/>
              <w:rPr>
                <w:lang w:val="en-US"/>
              </w:rPr>
            </w:pPr>
            <w:r w:rsidRPr="00A51E5B">
              <w:rPr>
                <w:lang w:val="en-US"/>
              </w:rPr>
              <w:t>Rapporteur’s Group meeting:</w:t>
            </w:r>
          </w:p>
          <w:p w:rsidR="00061F17" w:rsidRPr="00602504" w:rsidRDefault="00A51E5B" w:rsidP="00A51E5B">
            <w:pPr>
              <w:pStyle w:val="enumlev1"/>
            </w:pPr>
            <w:r>
              <w:t>-</w:t>
            </w:r>
            <w:r>
              <w:tab/>
            </w:r>
            <w:r w:rsidR="00061F17" w:rsidRPr="00602504">
              <w:t>Preparation of draft report</w:t>
            </w:r>
          </w:p>
          <w:p w:rsidR="00061F17" w:rsidRPr="00A51E5B" w:rsidRDefault="00A51E5B" w:rsidP="00A51E5B">
            <w:pPr>
              <w:pStyle w:val="enumlev1"/>
            </w:pPr>
            <w:r>
              <w:t>-</w:t>
            </w:r>
            <w:r>
              <w:tab/>
            </w:r>
            <w:r w:rsidR="00061F17" w:rsidRPr="00A51E5B">
              <w:t>Consideration of contributions received</w:t>
            </w:r>
          </w:p>
          <w:p w:rsidR="00061F17" w:rsidRPr="00A51E5B" w:rsidRDefault="00A51E5B" w:rsidP="00A51E5B">
            <w:pPr>
              <w:pStyle w:val="enumlev1"/>
            </w:pPr>
            <w:r>
              <w:rPr>
                <w:shd w:val="clear" w:color="auto" w:fill="FFFFFF"/>
              </w:rPr>
              <w:t>-</w:t>
            </w:r>
            <w:r>
              <w:rPr>
                <w:shd w:val="clear" w:color="auto" w:fill="FFFFFF"/>
              </w:rPr>
              <w:tab/>
            </w:r>
            <w:r w:rsidR="00061F17" w:rsidRPr="00A51E5B">
              <w:rPr>
                <w:shd w:val="clear" w:color="auto" w:fill="FFFFFF"/>
              </w:rPr>
              <w:t>Call for new contributions</w:t>
            </w:r>
          </w:p>
        </w:tc>
        <w:tc>
          <w:tcPr>
            <w:tcW w:w="1842" w:type="dxa"/>
          </w:tcPr>
          <w:p w:rsidR="00061F17" w:rsidRPr="00A51E5B" w:rsidRDefault="00061F17" w:rsidP="00BE1873">
            <w:pPr>
              <w:pStyle w:val="Tabletext"/>
              <w:rPr>
                <w:lang w:val="en-US"/>
              </w:rPr>
            </w:pPr>
            <w:r w:rsidRPr="00A51E5B">
              <w:rPr>
                <w:lang w:val="en-US"/>
              </w:rPr>
              <w:t>BDT, Rapporteur’s Group</w:t>
            </w:r>
          </w:p>
        </w:tc>
      </w:tr>
      <w:tr w:rsidR="00061F17" w:rsidRPr="00413C13" w:rsidTr="00386DA4">
        <w:trPr>
          <w:cnfStyle w:val="000000100000" w:firstRow="0" w:lastRow="0" w:firstColumn="0" w:lastColumn="0" w:oddVBand="0" w:evenVBand="0" w:oddHBand="1" w:evenHBand="0" w:firstRowFirstColumn="0" w:firstRowLastColumn="0" w:lastRowFirstColumn="0" w:lastRowLastColumn="0"/>
        </w:trPr>
        <w:tc>
          <w:tcPr>
            <w:tcW w:w="1843" w:type="dxa"/>
          </w:tcPr>
          <w:p w:rsidR="00061F17" w:rsidRPr="00A51E5B" w:rsidRDefault="00061F17" w:rsidP="00BE1873">
            <w:pPr>
              <w:pStyle w:val="Tabletext"/>
              <w:rPr>
                <w:lang w:val="en-US"/>
              </w:rPr>
            </w:pPr>
            <w:r w:rsidRPr="00A51E5B">
              <w:rPr>
                <w:lang w:val="en-US"/>
              </w:rPr>
              <w:t>March/April 2013</w:t>
            </w:r>
          </w:p>
        </w:tc>
        <w:tc>
          <w:tcPr>
            <w:tcW w:w="5387" w:type="dxa"/>
          </w:tcPr>
          <w:p w:rsidR="00061F17" w:rsidRPr="00A51E5B" w:rsidRDefault="00061F17" w:rsidP="00A51E5B">
            <w:pPr>
              <w:pStyle w:val="Tabletext"/>
              <w:rPr>
                <w:lang w:val="en-US"/>
              </w:rPr>
            </w:pPr>
            <w:r w:rsidRPr="007A19CC">
              <w:rPr>
                <w:lang w:val="en-US"/>
              </w:rPr>
              <w:t>Rapporteur’s</w:t>
            </w:r>
            <w:r w:rsidRPr="00A51E5B">
              <w:rPr>
                <w:lang w:val="en-US"/>
              </w:rPr>
              <w:t xml:space="preserve"> Group meeting:</w:t>
            </w:r>
          </w:p>
          <w:p w:rsidR="00061F17" w:rsidRPr="00A51E5B" w:rsidRDefault="00061F17" w:rsidP="00A51E5B">
            <w:pPr>
              <w:pStyle w:val="enumlev1"/>
            </w:pPr>
            <w:r w:rsidRPr="00A51E5B">
              <w:t>-</w:t>
            </w:r>
            <w:r w:rsidRPr="00A51E5B">
              <w:tab/>
              <w:t>Consideration and adoption of draft report</w:t>
            </w:r>
          </w:p>
          <w:p w:rsidR="00061F17" w:rsidRDefault="00061F17" w:rsidP="00A51E5B">
            <w:pPr>
              <w:pStyle w:val="enumlev1"/>
            </w:pPr>
            <w:r w:rsidRPr="00A51E5B">
              <w:rPr>
                <w:lang w:val="en-US"/>
              </w:rPr>
              <w:t>-</w:t>
            </w:r>
            <w:r w:rsidRPr="00A51E5B">
              <w:rPr>
                <w:lang w:val="en-US"/>
              </w:rPr>
              <w:tab/>
            </w:r>
            <w:proofErr w:type="spellStart"/>
            <w:r w:rsidRPr="00A51E5B">
              <w:rPr>
                <w:lang w:val="en-US"/>
              </w:rPr>
              <w:t>Considerat</w:t>
            </w:r>
            <w:proofErr w:type="spellEnd"/>
            <w:r w:rsidRPr="00602504">
              <w:t>ion of contributions received</w:t>
            </w:r>
          </w:p>
          <w:p w:rsidR="00061F17" w:rsidRPr="00A51E5B" w:rsidRDefault="00A51E5B" w:rsidP="00A51E5B">
            <w:pPr>
              <w:pStyle w:val="enumlev1"/>
              <w:rPr>
                <w:shd w:val="clear" w:color="auto" w:fill="E6ECF9"/>
              </w:rPr>
            </w:pPr>
            <w:r>
              <w:t>-</w:t>
            </w:r>
            <w:r>
              <w:tab/>
              <w:t>Consideration of relevant documents of other Sectors and programmes</w:t>
            </w:r>
          </w:p>
        </w:tc>
        <w:tc>
          <w:tcPr>
            <w:tcW w:w="1842" w:type="dxa"/>
          </w:tcPr>
          <w:p w:rsidR="00061F17" w:rsidRPr="00413C13" w:rsidRDefault="00061F17" w:rsidP="00BE1873">
            <w:pPr>
              <w:pStyle w:val="Tabletext"/>
            </w:pPr>
            <w:r w:rsidRPr="00413C13">
              <w:t xml:space="preserve">BDT, </w:t>
            </w:r>
            <w:proofErr w:type="spellStart"/>
            <w:r w:rsidRPr="00413C13">
              <w:t>Rapporteur’s</w:t>
            </w:r>
            <w:proofErr w:type="spellEnd"/>
            <w:r w:rsidRPr="00413C13">
              <w:t xml:space="preserve"> Group</w:t>
            </w:r>
          </w:p>
        </w:tc>
      </w:tr>
      <w:tr w:rsidR="00061F17" w:rsidRPr="00C71B8F" w:rsidTr="00386DA4">
        <w:trPr>
          <w:cnfStyle w:val="000000010000" w:firstRow="0" w:lastRow="0" w:firstColumn="0" w:lastColumn="0" w:oddVBand="0" w:evenVBand="0" w:oddHBand="0" w:evenHBand="1" w:firstRowFirstColumn="0" w:firstRowLastColumn="0" w:lastRowFirstColumn="0" w:lastRowLastColumn="0"/>
        </w:trPr>
        <w:tc>
          <w:tcPr>
            <w:tcW w:w="1843" w:type="dxa"/>
          </w:tcPr>
          <w:p w:rsidR="00061F17" w:rsidRPr="00602504" w:rsidRDefault="00061F17" w:rsidP="00C71B8F">
            <w:pPr>
              <w:pStyle w:val="Tabletext"/>
              <w:pageBreakBefore/>
            </w:pPr>
            <w:proofErr w:type="spellStart"/>
            <w:r w:rsidRPr="00413C13">
              <w:lastRenderedPageBreak/>
              <w:t>September</w:t>
            </w:r>
            <w:proofErr w:type="spellEnd"/>
            <w:r w:rsidRPr="00413C13">
              <w:t xml:space="preserve"> 2013</w:t>
            </w:r>
          </w:p>
        </w:tc>
        <w:tc>
          <w:tcPr>
            <w:tcW w:w="5387" w:type="dxa"/>
          </w:tcPr>
          <w:p w:rsidR="00061F17" w:rsidRPr="00C71B8F" w:rsidRDefault="00061F17" w:rsidP="00A51E5B">
            <w:pPr>
              <w:pStyle w:val="Tabletext"/>
              <w:rPr>
                <w:lang w:val="en-US"/>
              </w:rPr>
            </w:pPr>
            <w:r w:rsidRPr="00C71B8F">
              <w:rPr>
                <w:lang w:val="en-US"/>
              </w:rPr>
              <w:t>Rapporteur’s Group meeting:</w:t>
            </w:r>
          </w:p>
          <w:p w:rsidR="00061F17" w:rsidRPr="00C71B8F" w:rsidRDefault="00C71B8F" w:rsidP="00C71B8F">
            <w:pPr>
              <w:pStyle w:val="enumlev1"/>
            </w:pPr>
            <w:r w:rsidRPr="00C71B8F">
              <w:rPr>
                <w:shd w:val="clear" w:color="auto" w:fill="FFFFFF"/>
              </w:rPr>
              <w:t>-</w:t>
            </w:r>
            <w:r w:rsidRPr="00C71B8F">
              <w:rPr>
                <w:shd w:val="clear" w:color="auto" w:fill="FFFFFF"/>
              </w:rPr>
              <w:tab/>
            </w:r>
            <w:r w:rsidR="00061F17" w:rsidRPr="00C71B8F">
              <w:rPr>
                <w:shd w:val="clear" w:color="auto" w:fill="FFFFFF"/>
              </w:rPr>
              <w:t>Seminar</w:t>
            </w:r>
          </w:p>
          <w:p w:rsidR="00061F17" w:rsidRPr="00C71B8F" w:rsidRDefault="00C71B8F" w:rsidP="00C71B8F">
            <w:pPr>
              <w:pStyle w:val="enumlev1"/>
            </w:pPr>
            <w:r>
              <w:t>-</w:t>
            </w:r>
            <w:r>
              <w:tab/>
            </w:r>
            <w:r w:rsidR="00061F17" w:rsidRPr="00C71B8F">
              <w:t>Presentation of draft report</w:t>
            </w:r>
          </w:p>
          <w:p w:rsidR="00061F17" w:rsidRPr="00C71B8F" w:rsidRDefault="00C71B8F" w:rsidP="00C71B8F">
            <w:pPr>
              <w:pStyle w:val="enumlev1"/>
            </w:pPr>
            <w:r>
              <w:t>-</w:t>
            </w:r>
            <w:r>
              <w:tab/>
            </w:r>
            <w:r w:rsidR="00061F17" w:rsidRPr="00C71B8F">
              <w:t>Consideration of contributions received</w:t>
            </w:r>
          </w:p>
          <w:p w:rsidR="00061F17" w:rsidRPr="00C71B8F" w:rsidRDefault="00C71B8F" w:rsidP="00C71B8F">
            <w:pPr>
              <w:pStyle w:val="enumlev1"/>
            </w:pPr>
            <w:r>
              <w:rPr>
                <w:rFonts w:eastAsia="Times New Roman"/>
              </w:rPr>
              <w:t>-</w:t>
            </w:r>
            <w:r>
              <w:rPr>
                <w:rFonts w:eastAsia="Times New Roman"/>
              </w:rPr>
              <w:tab/>
            </w:r>
            <w:r w:rsidR="00061F17" w:rsidRPr="00C71B8F">
              <w:rPr>
                <w:rFonts w:eastAsia="Times New Roman"/>
              </w:rPr>
              <w:t xml:space="preserve">Consideration </w:t>
            </w:r>
            <w:r w:rsidR="00061F17" w:rsidRPr="00C71B8F">
              <w:rPr>
                <w:shd w:val="clear" w:color="auto" w:fill="FFFFFF"/>
              </w:rPr>
              <w:t>of relevant documents of other Sectors and programmes</w:t>
            </w:r>
          </w:p>
        </w:tc>
        <w:tc>
          <w:tcPr>
            <w:tcW w:w="1842" w:type="dxa"/>
          </w:tcPr>
          <w:p w:rsidR="00061F17" w:rsidRPr="00C71B8F" w:rsidRDefault="00061F17" w:rsidP="00BE1873">
            <w:pPr>
              <w:pStyle w:val="Tabletext"/>
              <w:rPr>
                <w:lang w:val="en-US"/>
              </w:rPr>
            </w:pPr>
            <w:r w:rsidRPr="00C71B8F">
              <w:rPr>
                <w:lang w:val="en-US"/>
              </w:rPr>
              <w:t>BDT, Rapporteur’s Group</w:t>
            </w:r>
          </w:p>
        </w:tc>
      </w:tr>
    </w:tbl>
    <w:p w:rsidR="00C71B8F" w:rsidRDefault="00C71B8F" w:rsidP="00061F17">
      <w:pPr>
        <w:pStyle w:val="Heading1"/>
        <w:spacing w:before="360" w:after="120"/>
        <w:rPr>
          <w:szCs w:val="19"/>
        </w:rPr>
      </w:pPr>
      <w:bookmarkStart w:id="164" w:name="_Toc361912451"/>
      <w:r>
        <w:rPr>
          <w:szCs w:val="19"/>
        </w:rPr>
        <w:br w:type="page"/>
      </w:r>
    </w:p>
    <w:p w:rsidR="00061F17" w:rsidRPr="00C71B8F" w:rsidRDefault="00061F17" w:rsidP="00357951">
      <w:pPr>
        <w:pStyle w:val="Heading1"/>
        <w:tabs>
          <w:tab w:val="left" w:pos="1418"/>
        </w:tabs>
        <w:spacing w:before="360" w:after="120"/>
        <w:rPr>
          <w:smallCaps/>
          <w:szCs w:val="19"/>
        </w:rPr>
      </w:pPr>
      <w:bookmarkStart w:id="165" w:name="_Toc374691850"/>
      <w:r w:rsidRPr="00C71B8F">
        <w:rPr>
          <w:szCs w:val="19"/>
        </w:rPr>
        <w:lastRenderedPageBreak/>
        <w:t xml:space="preserve">Annex 9: </w:t>
      </w:r>
      <w:r w:rsidR="00357951">
        <w:rPr>
          <w:szCs w:val="19"/>
        </w:rPr>
        <w:tab/>
      </w:r>
      <w:r w:rsidRPr="00C71B8F">
        <w:rPr>
          <w:szCs w:val="19"/>
        </w:rPr>
        <w:t>Documents for Q23/1</w:t>
      </w:r>
      <w:bookmarkEnd w:id="165"/>
      <w:r w:rsidR="008B2D4E">
        <w:rPr>
          <w:rStyle w:val="FootnoteReference"/>
          <w:szCs w:val="19"/>
        </w:rPr>
        <w:footnoteReference w:customMarkFollows="1" w:id="34"/>
        <w:t>*</w:t>
      </w:r>
    </w:p>
    <w:bookmarkEnd w:id="164"/>
    <w:p w:rsidR="00061F17" w:rsidRPr="001970D2" w:rsidRDefault="00061F17" w:rsidP="00C71B8F">
      <w:pPr>
        <w:jc w:val="center"/>
        <w:rPr>
          <w:b/>
          <w:bCs/>
          <w:szCs w:val="19"/>
          <w:lang w:val="en-US"/>
        </w:rPr>
      </w:pPr>
    </w:p>
    <w:p w:rsidR="00061F17" w:rsidRPr="007A19CC" w:rsidRDefault="00061F17" w:rsidP="00061F17">
      <w:pPr>
        <w:spacing w:before="0"/>
        <w:rPr>
          <w:szCs w:val="19"/>
          <w:lang w:val="en-US"/>
        </w:rPr>
      </w:pPr>
      <w:bookmarkStart w:id="166" w:name="_Toc361912452"/>
    </w:p>
    <w:p w:rsidR="00061F17" w:rsidRPr="007A19CC" w:rsidRDefault="00061F17" w:rsidP="00061F17">
      <w:pPr>
        <w:spacing w:before="0"/>
        <w:rPr>
          <w:szCs w:val="19"/>
          <w:lang w:val="en-US"/>
        </w:rPr>
      </w:pPr>
    </w:p>
    <w:p w:rsidR="00C71B8F" w:rsidRDefault="00C71B8F" w:rsidP="00061F17">
      <w:pPr>
        <w:pStyle w:val="CEOcontributionStart"/>
        <w:spacing w:before="120"/>
        <w:rPr>
          <w:b/>
          <w:lang w:val="en-US"/>
        </w:rPr>
      </w:pPr>
      <w:r>
        <w:rPr>
          <w:b/>
          <w:lang w:val="en-US"/>
        </w:rPr>
        <w:br w:type="page"/>
      </w:r>
    </w:p>
    <w:p w:rsidR="00061F17" w:rsidRDefault="00061F17" w:rsidP="00357951">
      <w:pPr>
        <w:pStyle w:val="Heading1"/>
        <w:tabs>
          <w:tab w:val="left" w:pos="1418"/>
        </w:tabs>
      </w:pPr>
      <w:bookmarkStart w:id="167" w:name="_Toc374691851"/>
      <w:r w:rsidRPr="00BA33FF">
        <w:lastRenderedPageBreak/>
        <w:t>A</w:t>
      </w:r>
      <w:r>
        <w:t>nnex</w:t>
      </w:r>
      <w:r w:rsidRPr="00BA33FF">
        <w:t xml:space="preserve"> 10: </w:t>
      </w:r>
      <w:r w:rsidR="00357951">
        <w:tab/>
      </w:r>
      <w:r w:rsidRPr="00C91548">
        <w:t>A case study from India on EMF</w:t>
      </w:r>
      <w:bookmarkEnd w:id="167"/>
    </w:p>
    <w:p w:rsidR="00061F17" w:rsidRPr="00061F17" w:rsidRDefault="00061F17" w:rsidP="00A11960">
      <w:pPr>
        <w:pStyle w:val="Normalaftertitle"/>
      </w:pPr>
      <w:r w:rsidRPr="00061F17">
        <w:t xml:space="preserve">This contribution is shared among the members for information and also for comments. ITU is also requested to consider and take appropriate action as per the findings of this contribution. Formation of a Focus Group cutting across ITU-T, ITU-R, </w:t>
      </w:r>
      <w:proofErr w:type="gramStart"/>
      <w:r w:rsidRPr="00061F17">
        <w:t>ITU</w:t>
      </w:r>
      <w:proofErr w:type="gramEnd"/>
      <w:r w:rsidRPr="00061F17">
        <w:t>-D may be necessary to study the various aspects considering the importance of the issue.</w:t>
      </w:r>
    </w:p>
    <w:p w:rsidR="00061F17" w:rsidRPr="00061F17" w:rsidRDefault="00061F17" w:rsidP="00061F17">
      <w:pPr>
        <w:rPr>
          <w:lang w:val="en-US"/>
        </w:rPr>
      </w:pPr>
      <w:r w:rsidRPr="00061F17">
        <w:rPr>
          <w:lang w:val="en-US"/>
        </w:rPr>
        <w:t xml:space="preserve">The deployment of different sources of electromagnetic fields to cater for the telecommunication and ICT needs of urban and rural communities has developed very rapidly over the past decade in India. This has been due to strong competition, presence of multiple operators (10 to 12 in each service area) on-going traffic growth, quality of service requirements, network coverage and introduction of new technologies. Indian Territory has been divided into 22 Licensing Service Areas for provision of mobile services in the country. Growing number of towers nearing more residential premises has produced increasing concern on the possible adverse effects of EMF exposure on people’s health. In India the issue has been raised by the public as well as by media. Accordingly, India adopted a policy on the EMF radiation covering Base Transmitting Station (BTS) and Mobile Handsets standard in the year 2008. </w:t>
      </w:r>
    </w:p>
    <w:p w:rsidR="00061F17" w:rsidRPr="001D6905" w:rsidRDefault="00061F17" w:rsidP="00061F17">
      <w:pPr>
        <w:rPr>
          <w:rFonts w:eastAsia="Times New Roman" w:cs="Arial"/>
          <w:b/>
          <w:bCs/>
          <w:szCs w:val="19"/>
          <w:lang w:val="en-GB" w:bidi="hi-IN"/>
        </w:rPr>
      </w:pPr>
      <w:r w:rsidRPr="001D6905">
        <w:rPr>
          <w:rFonts w:eastAsia="Times New Roman" w:cs="Arial"/>
          <w:b/>
          <w:szCs w:val="19"/>
          <w:lang w:val="en-GB" w:bidi="hi-IN"/>
        </w:rPr>
        <w:t>1.</w:t>
      </w:r>
      <w:r w:rsidRPr="001D6905">
        <w:rPr>
          <w:rFonts w:eastAsia="Times New Roman" w:cs="Arial"/>
          <w:b/>
          <w:szCs w:val="19"/>
          <w:lang w:val="en-GB" w:bidi="hi-IN"/>
        </w:rPr>
        <w:tab/>
        <w:t>Statement of the situation</w:t>
      </w:r>
    </w:p>
    <w:p w:rsidR="00061F17" w:rsidRPr="00061F17" w:rsidRDefault="00061F17" w:rsidP="00061F17">
      <w:pPr>
        <w:tabs>
          <w:tab w:val="left" w:pos="-4962"/>
        </w:tabs>
        <w:rPr>
          <w:rFonts w:eastAsia="MS Mincho" w:cs="Arial"/>
          <w:szCs w:val="19"/>
          <w:lang w:val="en-US"/>
        </w:rPr>
      </w:pPr>
      <w:r w:rsidRPr="00061F17">
        <w:rPr>
          <w:rFonts w:eastAsia="MS Mincho" w:cs="Arial"/>
          <w:szCs w:val="19"/>
          <w:lang w:val="en-US"/>
        </w:rPr>
        <w:t>1.1</w:t>
      </w:r>
      <w:r w:rsidRPr="00061F17">
        <w:rPr>
          <w:rFonts w:eastAsia="MS Mincho" w:cs="Arial"/>
          <w:szCs w:val="19"/>
          <w:lang w:val="en-US"/>
        </w:rPr>
        <w:tab/>
        <w:t xml:space="preserve">The deployment of different sources of electromagnetic fields to cater for the telecommunication and ICT needs of urban and rural communities has developed very rapidly over the past decade in India. This has been due to strong competition, presence of multiple operators (10 to 12 in each Service area) on-going traffic growth, quality of service requirements, network coverage and introduction of new technologies. Indian Territory has been divided into 22 Licensing Service Areas for provision of mobile services in the country. Licensed Service Area wise subscriber base for landline and mobile customer is enclosed as </w:t>
      </w:r>
      <w:r w:rsidRPr="00061F17">
        <w:rPr>
          <w:rFonts w:eastAsia="MS Mincho" w:cs="Arial"/>
          <w:b/>
          <w:szCs w:val="19"/>
          <w:lang w:val="en-US"/>
        </w:rPr>
        <w:t>Annex 10A</w:t>
      </w:r>
      <w:r w:rsidRPr="00061F17">
        <w:rPr>
          <w:rFonts w:eastAsia="MS Mincho" w:cs="Arial"/>
          <w:szCs w:val="19"/>
          <w:lang w:val="en-US"/>
        </w:rPr>
        <w:t>.</w:t>
      </w:r>
    </w:p>
    <w:p w:rsidR="00061F17" w:rsidRPr="00061F17" w:rsidRDefault="00061F17" w:rsidP="00061F17">
      <w:pPr>
        <w:tabs>
          <w:tab w:val="left" w:pos="-4962"/>
        </w:tabs>
        <w:rPr>
          <w:rFonts w:eastAsia="MS Mincho" w:cs="Arial"/>
          <w:szCs w:val="19"/>
          <w:lang w:val="en-US"/>
        </w:rPr>
      </w:pPr>
      <w:r w:rsidRPr="00061F17">
        <w:rPr>
          <w:rFonts w:eastAsia="MS Mincho" w:cs="Arial"/>
          <w:szCs w:val="19"/>
          <w:lang w:val="en-US"/>
        </w:rPr>
        <w:t>1.2</w:t>
      </w:r>
      <w:r w:rsidRPr="00061F17">
        <w:rPr>
          <w:rFonts w:eastAsia="MS Mincho" w:cs="Arial"/>
          <w:szCs w:val="19"/>
          <w:lang w:val="en-US"/>
        </w:rPr>
        <w:tab/>
        <w:t xml:space="preserve">Growing number of towers nearing more residential premises has produced increasing concern on the possible adverse effects of EMF exposure on people’s health. In India the issue has been raised by the public as well as by media. Accordingly, India adopted a policy on the EMF radiation covering Base Transmitting Station (BTS) and Mobile Handsets standard in the year 2008. Licensed Service Area wise details of BTS installed in the country is enclosed as </w:t>
      </w:r>
      <w:r w:rsidRPr="00061F17">
        <w:rPr>
          <w:rFonts w:eastAsia="MS Mincho" w:cs="Arial"/>
          <w:b/>
          <w:szCs w:val="19"/>
          <w:lang w:val="en-US"/>
        </w:rPr>
        <w:t>Annex 10B</w:t>
      </w:r>
      <w:r w:rsidRPr="00061F17">
        <w:rPr>
          <w:rFonts w:eastAsia="MS Mincho" w:cs="Arial"/>
          <w:szCs w:val="19"/>
          <w:lang w:val="en-US"/>
        </w:rPr>
        <w:t>.</w:t>
      </w:r>
    </w:p>
    <w:p w:rsidR="00061F17" w:rsidRPr="00061F17" w:rsidRDefault="00061F17" w:rsidP="00061F17">
      <w:pPr>
        <w:tabs>
          <w:tab w:val="left" w:pos="-4962"/>
        </w:tabs>
        <w:rPr>
          <w:rFonts w:eastAsia="MS Mincho" w:cs="Arial"/>
          <w:b/>
          <w:bCs/>
          <w:szCs w:val="19"/>
          <w:lang w:val="en-US"/>
        </w:rPr>
      </w:pPr>
      <w:r w:rsidRPr="00061F17">
        <w:rPr>
          <w:rFonts w:eastAsia="MS Mincho" w:cs="Arial"/>
          <w:b/>
          <w:szCs w:val="19"/>
          <w:lang w:val="en-US"/>
        </w:rPr>
        <w:t>2.</w:t>
      </w:r>
      <w:r w:rsidRPr="00061F17">
        <w:rPr>
          <w:rFonts w:eastAsia="MS Mincho" w:cs="Arial"/>
          <w:b/>
          <w:szCs w:val="19"/>
          <w:lang w:val="en-US"/>
        </w:rPr>
        <w:tab/>
        <w:t>Steps taken by Government of India</w:t>
      </w:r>
    </w:p>
    <w:p w:rsidR="00061F17" w:rsidRPr="00061F17" w:rsidRDefault="00061F17" w:rsidP="00061F17">
      <w:pPr>
        <w:rPr>
          <w:rFonts w:cs="Arial"/>
          <w:szCs w:val="19"/>
          <w:lang w:val="en-US"/>
        </w:rPr>
      </w:pPr>
      <w:r w:rsidRPr="00061F17">
        <w:rPr>
          <w:rFonts w:cs="Arial"/>
          <w:szCs w:val="19"/>
          <w:lang w:val="en-US"/>
        </w:rPr>
        <w:t>2.1</w:t>
      </w:r>
      <w:r w:rsidRPr="00061F17">
        <w:rPr>
          <w:rFonts w:cs="Arial"/>
          <w:szCs w:val="19"/>
          <w:lang w:val="en-US"/>
        </w:rPr>
        <w:tab/>
        <w:t xml:space="preserve">In its Fact Sheet No. 304 of 2006, WHO recommended that </w:t>
      </w:r>
      <w:r w:rsidRPr="00061F17">
        <w:rPr>
          <w:rFonts w:cs="Arial"/>
          <w:i/>
          <w:szCs w:val="19"/>
          <w:lang w:val="en-US"/>
        </w:rPr>
        <w:t xml:space="preserve">‘National authorities should adopt international standards to protect their citizens against adverse levels of RF </w:t>
      </w:r>
      <w:proofErr w:type="gramStart"/>
      <w:r w:rsidRPr="00061F17">
        <w:rPr>
          <w:rFonts w:cs="Arial"/>
          <w:i/>
          <w:szCs w:val="19"/>
          <w:lang w:val="en-US"/>
        </w:rPr>
        <w:t>fields.</w:t>
      </w:r>
      <w:proofErr w:type="gramEnd"/>
      <w:r w:rsidRPr="00061F17">
        <w:rPr>
          <w:rFonts w:cs="Arial"/>
          <w:i/>
          <w:szCs w:val="19"/>
          <w:lang w:val="en-US"/>
        </w:rPr>
        <w:t xml:space="preserve"> They should restrict access to areas where exposure limits may be exceeded.’</w:t>
      </w:r>
      <w:r w:rsidRPr="00061F17">
        <w:rPr>
          <w:rFonts w:cs="Arial"/>
          <w:szCs w:val="19"/>
          <w:lang w:val="en-US"/>
        </w:rPr>
        <w:t xml:space="preserve">  WHO has referred to the International Exposure Guidelines developed by International Commission on Non-Ionizing Radiation Protection (ICNIRP)</w:t>
      </w:r>
      <w:proofErr w:type="gramStart"/>
      <w:r w:rsidRPr="00061F17">
        <w:rPr>
          <w:rFonts w:cs="Arial"/>
          <w:szCs w:val="19"/>
          <w:lang w:val="en-US"/>
        </w:rPr>
        <w:t>.</w:t>
      </w:r>
      <w:proofErr w:type="gramEnd"/>
    </w:p>
    <w:p w:rsidR="00061F17" w:rsidRPr="00061F17" w:rsidRDefault="00061F17" w:rsidP="00061F17">
      <w:pPr>
        <w:tabs>
          <w:tab w:val="left" w:pos="-5670"/>
        </w:tabs>
        <w:rPr>
          <w:rFonts w:eastAsia="Times New Roman" w:cs="Arial"/>
          <w:szCs w:val="19"/>
          <w:lang w:val="en-US"/>
        </w:rPr>
      </w:pPr>
      <w:r w:rsidRPr="00061F17">
        <w:rPr>
          <w:rFonts w:eastAsia="Times New Roman" w:cs="Arial"/>
          <w:szCs w:val="19"/>
          <w:lang w:val="en-US"/>
        </w:rPr>
        <w:t>2.2</w:t>
      </w:r>
      <w:r w:rsidRPr="00061F17">
        <w:rPr>
          <w:rFonts w:eastAsia="Times New Roman" w:cs="Arial"/>
          <w:szCs w:val="19"/>
          <w:lang w:val="en-US"/>
        </w:rPr>
        <w:tab/>
        <w:t xml:space="preserve">Based on the recommendation of </w:t>
      </w:r>
      <w:proofErr w:type="gramStart"/>
      <w:r w:rsidRPr="00061F17">
        <w:rPr>
          <w:rFonts w:eastAsia="Times New Roman" w:cs="Arial"/>
          <w:szCs w:val="19"/>
          <w:lang w:val="en-US"/>
        </w:rPr>
        <w:t>WHO</w:t>
      </w:r>
      <w:proofErr w:type="gramEnd"/>
      <w:r w:rsidRPr="00061F17">
        <w:rPr>
          <w:rFonts w:eastAsia="Times New Roman" w:cs="Arial"/>
          <w:szCs w:val="19"/>
          <w:lang w:val="en-US"/>
        </w:rPr>
        <w:t xml:space="preserve">, India adopted ICNIRP norms, in the year 2008, for basic restrictions &amp; reference level for limiting electro-magnetic field exposure from Base Stations as well as for mobile handsets and necessary provisions were made in the Unified Access Service </w:t>
      </w:r>
      <w:proofErr w:type="spellStart"/>
      <w:r w:rsidRPr="00061F17">
        <w:rPr>
          <w:rFonts w:eastAsia="Times New Roman" w:cs="Arial"/>
          <w:szCs w:val="19"/>
          <w:lang w:val="en-US"/>
        </w:rPr>
        <w:t>Licence</w:t>
      </w:r>
      <w:proofErr w:type="spellEnd"/>
      <w:r w:rsidRPr="00061F17">
        <w:rPr>
          <w:rFonts w:eastAsia="Times New Roman" w:cs="Arial"/>
          <w:szCs w:val="19"/>
          <w:lang w:val="en-US"/>
        </w:rPr>
        <w:t xml:space="preserve"> (Mobile Telephone Service operators’ license) on 4</w:t>
      </w:r>
      <w:r w:rsidRPr="00061F17">
        <w:rPr>
          <w:rFonts w:eastAsia="Times New Roman" w:cs="Arial"/>
          <w:szCs w:val="19"/>
          <w:vertAlign w:val="superscript"/>
          <w:lang w:val="en-US"/>
        </w:rPr>
        <w:t>th</w:t>
      </w:r>
      <w:r w:rsidRPr="00061F17">
        <w:rPr>
          <w:rFonts w:eastAsia="Times New Roman" w:cs="Arial"/>
          <w:szCs w:val="19"/>
          <w:lang w:val="en-US"/>
        </w:rPr>
        <w:t xml:space="preserve"> November, 2008. As per the provisions, </w:t>
      </w:r>
    </w:p>
    <w:p w:rsidR="00061F17" w:rsidRPr="00061F17" w:rsidRDefault="00061F17" w:rsidP="00061F17">
      <w:pPr>
        <w:tabs>
          <w:tab w:val="left" w:pos="-5670"/>
        </w:tabs>
        <w:rPr>
          <w:rFonts w:eastAsia="Times New Roman" w:cs="Arial"/>
          <w:i/>
          <w:szCs w:val="19"/>
          <w:lang w:val="en-US"/>
        </w:rPr>
      </w:pPr>
      <w:r w:rsidRPr="00061F17">
        <w:rPr>
          <w:rFonts w:eastAsia="Times New Roman" w:cs="Arial"/>
          <w:i/>
          <w:szCs w:val="19"/>
          <w:lang w:val="en-US"/>
        </w:rPr>
        <w:t xml:space="preserve">“Licensee shall conduct audit and provide </w:t>
      </w:r>
      <w:proofErr w:type="spellStart"/>
      <w:r w:rsidRPr="00061F17">
        <w:rPr>
          <w:rFonts w:eastAsia="Times New Roman" w:cs="Arial"/>
          <w:i/>
          <w:szCs w:val="19"/>
          <w:lang w:val="en-US"/>
        </w:rPr>
        <w:t>self certificates</w:t>
      </w:r>
      <w:proofErr w:type="spellEnd"/>
      <w:r w:rsidRPr="00061F17">
        <w:rPr>
          <w:rFonts w:eastAsia="Times New Roman" w:cs="Arial"/>
          <w:i/>
          <w:szCs w:val="19"/>
          <w:lang w:val="en-US"/>
        </w:rPr>
        <w:t xml:space="preserve"> annually as per procedure prescribed by Telecommunication Engineering Centre (TEC) / or any other agency authorized by Licensor from time to time for conforming to limits / levels for antennae ( Base Station Emissions) for general public exposure as prescribed by International Commission on Non-Ionizing Radiation Protection (ICNIRP) from time to time”. </w:t>
      </w:r>
    </w:p>
    <w:p w:rsidR="00C71B8F" w:rsidRDefault="00C71B8F" w:rsidP="00061F17">
      <w:pPr>
        <w:tabs>
          <w:tab w:val="left" w:pos="-5670"/>
        </w:tabs>
        <w:rPr>
          <w:rFonts w:cs="Arial"/>
          <w:szCs w:val="19"/>
          <w:lang w:val="en-US"/>
        </w:rPr>
      </w:pPr>
      <w:r>
        <w:rPr>
          <w:rFonts w:cs="Arial"/>
          <w:szCs w:val="19"/>
          <w:lang w:val="en-US"/>
        </w:rPr>
        <w:br w:type="page"/>
      </w:r>
    </w:p>
    <w:p w:rsidR="00061F17" w:rsidRDefault="00061F17" w:rsidP="00061F17">
      <w:pPr>
        <w:tabs>
          <w:tab w:val="left" w:pos="-5670"/>
        </w:tabs>
        <w:rPr>
          <w:rFonts w:cs="Arial"/>
          <w:szCs w:val="19"/>
          <w:lang w:val="en-US"/>
        </w:rPr>
      </w:pPr>
      <w:r w:rsidRPr="00061F17">
        <w:rPr>
          <w:rFonts w:cs="Arial"/>
          <w:szCs w:val="19"/>
          <w:lang w:val="en-US"/>
        </w:rPr>
        <w:lastRenderedPageBreak/>
        <w:t>The ICNIRP limits/levels are reproduced as detailed below:</w:t>
      </w:r>
    </w:p>
    <w:p w:rsidR="00C71B8F" w:rsidRPr="00061F17" w:rsidRDefault="00C71B8F" w:rsidP="00061F17">
      <w:pPr>
        <w:tabs>
          <w:tab w:val="left" w:pos="-5670"/>
        </w:tabs>
        <w:rPr>
          <w:rFonts w:cs="Arial"/>
          <w:szCs w:val="19"/>
          <w:lang w:val="en-US"/>
        </w:rPr>
      </w:pPr>
    </w:p>
    <w:tbl>
      <w:tblPr>
        <w:tblStyle w:val="Style1"/>
        <w:tblW w:w="4898" w:type="pct"/>
        <w:jc w:val="center"/>
        <w:tblInd w:w="135" w:type="dxa"/>
        <w:tblLook w:val="01E0" w:firstRow="1" w:lastRow="1" w:firstColumn="1" w:lastColumn="1" w:noHBand="0" w:noVBand="0"/>
      </w:tblPr>
      <w:tblGrid>
        <w:gridCol w:w="2268"/>
        <w:gridCol w:w="2245"/>
        <w:gridCol w:w="2405"/>
        <w:gridCol w:w="2180"/>
      </w:tblGrid>
      <w:tr w:rsidR="00061F17" w:rsidRPr="004C088A" w:rsidTr="00F22C89">
        <w:trPr>
          <w:cnfStyle w:val="100000000000" w:firstRow="1" w:lastRow="0" w:firstColumn="0" w:lastColumn="0" w:oddVBand="0" w:evenVBand="0" w:oddHBand="0" w:evenHBand="0" w:firstRowFirstColumn="0" w:firstRowLastColumn="0" w:lastRowFirstColumn="0" w:lastRowLastColumn="0"/>
          <w:jc w:val="center"/>
        </w:trPr>
        <w:tc>
          <w:tcPr>
            <w:tcW w:w="2268" w:type="dxa"/>
          </w:tcPr>
          <w:p w:rsidR="00061F17" w:rsidRPr="001D6905" w:rsidRDefault="00061F17" w:rsidP="00C71B8F">
            <w:pPr>
              <w:pStyle w:val="Tablehead"/>
            </w:pPr>
            <w:r w:rsidRPr="001D6905">
              <w:t>Frequency Range</w:t>
            </w:r>
          </w:p>
        </w:tc>
        <w:tc>
          <w:tcPr>
            <w:tcW w:w="2245" w:type="dxa"/>
          </w:tcPr>
          <w:p w:rsidR="00061F17" w:rsidRPr="00061F17" w:rsidRDefault="00061F17" w:rsidP="00C71B8F">
            <w:pPr>
              <w:pStyle w:val="Tablehead"/>
              <w:rPr>
                <w:lang w:val="de-CH"/>
              </w:rPr>
            </w:pPr>
            <w:r w:rsidRPr="00061F17">
              <w:rPr>
                <w:lang w:val="de-CH"/>
              </w:rPr>
              <w:t>E-Field Strength ( Volt/Meter (V/m))</w:t>
            </w:r>
          </w:p>
        </w:tc>
        <w:tc>
          <w:tcPr>
            <w:tcW w:w="2405" w:type="dxa"/>
          </w:tcPr>
          <w:p w:rsidR="00061F17" w:rsidRPr="00061F17" w:rsidRDefault="00061F17" w:rsidP="00C71B8F">
            <w:pPr>
              <w:pStyle w:val="Tablehead"/>
            </w:pPr>
            <w:r w:rsidRPr="00061F17">
              <w:t>H-Field Strength (Amp/Meter (A/m))</w:t>
            </w:r>
          </w:p>
        </w:tc>
        <w:tc>
          <w:tcPr>
            <w:tcW w:w="2180" w:type="dxa"/>
          </w:tcPr>
          <w:p w:rsidR="00061F17" w:rsidRPr="00061F17" w:rsidRDefault="00061F17" w:rsidP="00C71B8F">
            <w:pPr>
              <w:pStyle w:val="Tablehead"/>
            </w:pPr>
            <w:r w:rsidRPr="00061F17">
              <w:t>Power Density (Watt/</w:t>
            </w:r>
            <w:proofErr w:type="spellStart"/>
            <w:r w:rsidRPr="00061F17">
              <w:t>Sq.Meter</w:t>
            </w:r>
            <w:proofErr w:type="spellEnd"/>
            <w:r w:rsidRPr="00061F17">
              <w:t xml:space="preserve"> (W/</w:t>
            </w:r>
            <w:proofErr w:type="spellStart"/>
            <w:r w:rsidRPr="00061F17">
              <w:t>Sq.m</w:t>
            </w:r>
            <w:proofErr w:type="spellEnd"/>
            <w:r w:rsidRPr="00061F17">
              <w:t>))</w:t>
            </w:r>
          </w:p>
        </w:tc>
      </w:tr>
      <w:tr w:rsidR="00061F17" w:rsidRPr="001D6905" w:rsidTr="00F22C89">
        <w:trPr>
          <w:cnfStyle w:val="000000100000" w:firstRow="0" w:lastRow="0" w:firstColumn="0" w:lastColumn="0" w:oddVBand="0" w:evenVBand="0" w:oddHBand="1" w:evenHBand="0" w:firstRowFirstColumn="0" w:firstRowLastColumn="0" w:lastRowFirstColumn="0" w:lastRowLastColumn="0"/>
          <w:jc w:val="center"/>
        </w:trPr>
        <w:tc>
          <w:tcPr>
            <w:tcW w:w="2268" w:type="dxa"/>
          </w:tcPr>
          <w:p w:rsidR="00061F17" w:rsidRPr="001D6905" w:rsidRDefault="00061F17" w:rsidP="00C71B8F">
            <w:pPr>
              <w:pStyle w:val="Tabletext"/>
            </w:pPr>
            <w:r w:rsidRPr="001D6905">
              <w:t>400MHz to 2000MHz</w:t>
            </w:r>
          </w:p>
        </w:tc>
        <w:tc>
          <w:tcPr>
            <w:tcW w:w="2245" w:type="dxa"/>
          </w:tcPr>
          <w:p w:rsidR="00061F17" w:rsidRPr="001D6905" w:rsidRDefault="00061F17" w:rsidP="00C71B8F">
            <w:pPr>
              <w:pStyle w:val="Tabletext"/>
            </w:pPr>
            <w:r w:rsidRPr="001D6905">
              <w:t xml:space="preserve">1.375f </w:t>
            </w:r>
            <w:r w:rsidRPr="001D6905">
              <w:rPr>
                <w:vertAlign w:val="superscript"/>
              </w:rPr>
              <w:t>½</w:t>
            </w:r>
          </w:p>
        </w:tc>
        <w:tc>
          <w:tcPr>
            <w:tcW w:w="2405" w:type="dxa"/>
          </w:tcPr>
          <w:p w:rsidR="00061F17" w:rsidRPr="001D6905" w:rsidRDefault="00061F17" w:rsidP="00C71B8F">
            <w:pPr>
              <w:pStyle w:val="Tabletext"/>
            </w:pPr>
            <w:r w:rsidRPr="001D6905">
              <w:t xml:space="preserve">0.0037f </w:t>
            </w:r>
            <w:r w:rsidRPr="001D6905">
              <w:rPr>
                <w:vertAlign w:val="superscript"/>
              </w:rPr>
              <w:t>½</w:t>
            </w:r>
          </w:p>
        </w:tc>
        <w:tc>
          <w:tcPr>
            <w:tcW w:w="2180" w:type="dxa"/>
          </w:tcPr>
          <w:p w:rsidR="00061F17" w:rsidRPr="001D6905" w:rsidRDefault="00061F17" w:rsidP="00C71B8F">
            <w:pPr>
              <w:pStyle w:val="Tabletext"/>
            </w:pPr>
            <w:r w:rsidRPr="001D6905">
              <w:t>f/200</w:t>
            </w:r>
          </w:p>
        </w:tc>
      </w:tr>
      <w:tr w:rsidR="00061F17" w:rsidRPr="001D6905" w:rsidTr="00F22C89">
        <w:trPr>
          <w:cnfStyle w:val="000000010000" w:firstRow="0" w:lastRow="0" w:firstColumn="0" w:lastColumn="0" w:oddVBand="0" w:evenVBand="0" w:oddHBand="0" w:evenHBand="1" w:firstRowFirstColumn="0" w:firstRowLastColumn="0" w:lastRowFirstColumn="0" w:lastRowLastColumn="0"/>
          <w:jc w:val="center"/>
        </w:trPr>
        <w:tc>
          <w:tcPr>
            <w:tcW w:w="2268" w:type="dxa"/>
          </w:tcPr>
          <w:p w:rsidR="00061F17" w:rsidRPr="001D6905" w:rsidRDefault="00061F17" w:rsidP="00C71B8F">
            <w:pPr>
              <w:pStyle w:val="Tabletext"/>
            </w:pPr>
            <w:r w:rsidRPr="001D6905">
              <w:t>2GHz to 300GHz</w:t>
            </w:r>
          </w:p>
        </w:tc>
        <w:tc>
          <w:tcPr>
            <w:tcW w:w="2245" w:type="dxa"/>
          </w:tcPr>
          <w:p w:rsidR="00061F17" w:rsidRPr="001D6905" w:rsidRDefault="00061F17" w:rsidP="00C71B8F">
            <w:pPr>
              <w:pStyle w:val="Tabletext"/>
            </w:pPr>
            <w:r w:rsidRPr="001D6905">
              <w:t>61</w:t>
            </w:r>
          </w:p>
        </w:tc>
        <w:tc>
          <w:tcPr>
            <w:tcW w:w="2405" w:type="dxa"/>
          </w:tcPr>
          <w:p w:rsidR="00061F17" w:rsidRPr="001D6905" w:rsidRDefault="00061F17" w:rsidP="00C71B8F">
            <w:pPr>
              <w:pStyle w:val="Tabletext"/>
            </w:pPr>
            <w:r w:rsidRPr="001D6905">
              <w:t>0.16</w:t>
            </w:r>
          </w:p>
        </w:tc>
        <w:tc>
          <w:tcPr>
            <w:tcW w:w="2180" w:type="dxa"/>
          </w:tcPr>
          <w:p w:rsidR="00061F17" w:rsidRPr="001D6905" w:rsidRDefault="00061F17" w:rsidP="00C71B8F">
            <w:pPr>
              <w:pStyle w:val="Tabletext"/>
            </w:pPr>
            <w:r w:rsidRPr="001D6905">
              <w:t>10</w:t>
            </w:r>
          </w:p>
        </w:tc>
      </w:tr>
    </w:tbl>
    <w:p w:rsidR="00061F17" w:rsidRPr="001D6905" w:rsidRDefault="00061F17" w:rsidP="004D77DC">
      <w:pPr>
        <w:pStyle w:val="Tablesource"/>
      </w:pPr>
      <w:r w:rsidRPr="001D6905">
        <w:t>(f = frequency in MHz)</w:t>
      </w:r>
    </w:p>
    <w:p w:rsidR="00061F17" w:rsidRPr="001D6905" w:rsidRDefault="00061F17" w:rsidP="00061F17">
      <w:pPr>
        <w:tabs>
          <w:tab w:val="left" w:pos="-4962"/>
        </w:tabs>
        <w:rPr>
          <w:rFonts w:eastAsia="Calibri" w:cs="Arial"/>
          <w:szCs w:val="19"/>
        </w:rPr>
      </w:pPr>
      <w:r w:rsidRPr="00061F17">
        <w:rPr>
          <w:rFonts w:cs="Arial"/>
          <w:szCs w:val="19"/>
          <w:lang w:val="en-US"/>
        </w:rPr>
        <w:t>2.3</w:t>
      </w:r>
      <w:r w:rsidRPr="00061F17">
        <w:rPr>
          <w:rFonts w:cs="Arial"/>
          <w:szCs w:val="19"/>
          <w:lang w:val="en-US"/>
        </w:rPr>
        <w:tab/>
      </w:r>
      <w:r w:rsidRPr="00061F17">
        <w:rPr>
          <w:rFonts w:eastAsia="MS Mincho" w:cs="Arial"/>
          <w:szCs w:val="19"/>
          <w:lang w:val="en-US"/>
        </w:rPr>
        <w:t>Department of Telecommunications (DoT), Government of India further issued instructions on 8</w:t>
      </w:r>
      <w:r w:rsidRPr="00061F17">
        <w:rPr>
          <w:rFonts w:eastAsia="MS Mincho" w:cs="Arial"/>
          <w:szCs w:val="19"/>
          <w:vertAlign w:val="superscript"/>
          <w:lang w:val="en-US"/>
        </w:rPr>
        <w:t>th</w:t>
      </w:r>
      <w:r w:rsidRPr="00061F17">
        <w:rPr>
          <w:rFonts w:eastAsia="MS Mincho" w:cs="Arial"/>
          <w:szCs w:val="19"/>
          <w:lang w:val="en-US"/>
        </w:rPr>
        <w:t xml:space="preserve"> April, 2010 to all the mobile operators regarding implementation of radiation norms on Electro Magnetic Field (EMF) exposure by Base Transceiver Stations (BTSs) by submitting the </w:t>
      </w:r>
      <w:proofErr w:type="spellStart"/>
      <w:r w:rsidRPr="00061F17">
        <w:rPr>
          <w:rFonts w:eastAsia="MS Mincho" w:cs="Arial"/>
          <w:szCs w:val="19"/>
          <w:lang w:val="en-US"/>
        </w:rPr>
        <w:t>self certification</w:t>
      </w:r>
      <w:proofErr w:type="spellEnd"/>
      <w:r w:rsidRPr="00061F17">
        <w:rPr>
          <w:rFonts w:eastAsia="MS Mincho" w:cs="Arial"/>
          <w:szCs w:val="19"/>
          <w:lang w:val="en-US"/>
        </w:rPr>
        <w:t xml:space="preserve"> for each and every BTS. </w:t>
      </w:r>
      <w:r w:rsidRPr="001D6905">
        <w:rPr>
          <w:rFonts w:eastAsia="MS Mincho" w:cs="Arial"/>
          <w:szCs w:val="19"/>
        </w:rPr>
        <w:t xml:space="preserve">The instructions, </w:t>
      </w:r>
      <w:r w:rsidRPr="001D6905">
        <w:rPr>
          <w:rFonts w:eastAsia="Calibri" w:cs="Arial"/>
          <w:szCs w:val="19"/>
        </w:rPr>
        <w:t xml:space="preserve">inter-alia, </w:t>
      </w:r>
      <w:proofErr w:type="spellStart"/>
      <w:r w:rsidRPr="001D6905">
        <w:rPr>
          <w:rFonts w:eastAsia="Calibri" w:cs="Arial"/>
          <w:szCs w:val="19"/>
        </w:rPr>
        <w:t>include</w:t>
      </w:r>
      <w:proofErr w:type="spellEnd"/>
      <w:r w:rsidRPr="001D6905">
        <w:rPr>
          <w:rFonts w:eastAsia="Calibri" w:cs="Arial"/>
          <w:szCs w:val="19"/>
        </w:rPr>
        <w:t xml:space="preserve"> the </w:t>
      </w:r>
      <w:proofErr w:type="spellStart"/>
      <w:r w:rsidRPr="001D6905">
        <w:rPr>
          <w:rFonts w:eastAsia="Calibri" w:cs="Arial"/>
          <w:szCs w:val="19"/>
        </w:rPr>
        <w:t>following</w:t>
      </w:r>
      <w:proofErr w:type="spellEnd"/>
      <w:r w:rsidRPr="001D6905">
        <w:rPr>
          <w:rFonts w:eastAsia="Calibri" w:cs="Arial"/>
          <w:szCs w:val="19"/>
        </w:rPr>
        <w:t>:</w:t>
      </w:r>
    </w:p>
    <w:p w:rsidR="00061F17" w:rsidRPr="00061F17" w:rsidRDefault="00061F17" w:rsidP="00F00BDA">
      <w:pPr>
        <w:numPr>
          <w:ilvl w:val="0"/>
          <w:numId w:val="15"/>
        </w:numPr>
        <w:spacing w:after="120"/>
        <w:ind w:left="567" w:hanging="567"/>
        <w:jc w:val="left"/>
        <w:rPr>
          <w:rFonts w:eastAsia="Calibri" w:cs="Arial"/>
          <w:szCs w:val="19"/>
          <w:lang w:val="en-US"/>
        </w:rPr>
      </w:pPr>
      <w:r w:rsidRPr="00061F17">
        <w:rPr>
          <w:rFonts w:eastAsia="Calibri" w:cs="Arial"/>
          <w:szCs w:val="19"/>
          <w:lang w:val="en-US"/>
        </w:rPr>
        <w:t xml:space="preserve">All Base Station Transceivers (BTSs) must be </w:t>
      </w:r>
      <w:proofErr w:type="spellStart"/>
      <w:r w:rsidRPr="00061F17">
        <w:rPr>
          <w:rFonts w:eastAsia="Calibri" w:cs="Arial"/>
          <w:szCs w:val="19"/>
          <w:lang w:val="en-US"/>
        </w:rPr>
        <w:t>self certified</w:t>
      </w:r>
      <w:proofErr w:type="spellEnd"/>
      <w:r w:rsidRPr="00061F17">
        <w:rPr>
          <w:rFonts w:eastAsia="Calibri" w:cs="Arial"/>
          <w:szCs w:val="19"/>
          <w:lang w:val="en-US"/>
        </w:rPr>
        <w:t xml:space="preserve"> as meeting the radiation norms.  </w:t>
      </w:r>
      <w:proofErr w:type="spellStart"/>
      <w:r w:rsidRPr="00061F17">
        <w:rPr>
          <w:rFonts w:eastAsia="Calibri" w:cs="Arial"/>
          <w:szCs w:val="19"/>
          <w:lang w:val="en-US"/>
        </w:rPr>
        <w:t>Self certification</w:t>
      </w:r>
      <w:proofErr w:type="spellEnd"/>
      <w:r w:rsidRPr="00061F17">
        <w:rPr>
          <w:rFonts w:eastAsia="Calibri" w:cs="Arial"/>
          <w:szCs w:val="19"/>
          <w:lang w:val="en-US"/>
        </w:rPr>
        <w:t xml:space="preserve"> is submitted to respective Telecom Enforcement Resource &amp; Monitoring (TERM) Cells of DoT by the telecom service providers.</w:t>
      </w:r>
    </w:p>
    <w:p w:rsidR="00061F17" w:rsidRPr="00061F17" w:rsidRDefault="00061F17" w:rsidP="00F00BDA">
      <w:pPr>
        <w:numPr>
          <w:ilvl w:val="0"/>
          <w:numId w:val="15"/>
        </w:numPr>
        <w:tabs>
          <w:tab w:val="left" w:pos="-5103"/>
        </w:tabs>
        <w:spacing w:after="120"/>
        <w:ind w:left="567" w:hanging="567"/>
        <w:jc w:val="left"/>
        <w:rPr>
          <w:rFonts w:eastAsia="Calibri" w:cs="Arial"/>
          <w:szCs w:val="19"/>
          <w:lang w:val="en-US"/>
        </w:rPr>
      </w:pPr>
      <w:r w:rsidRPr="00061F17">
        <w:rPr>
          <w:rFonts w:eastAsia="Calibri" w:cs="Arial"/>
          <w:szCs w:val="19"/>
          <w:lang w:val="en-US"/>
        </w:rPr>
        <w:t xml:space="preserve">All new BTS sites start radiating only after </w:t>
      </w:r>
      <w:proofErr w:type="spellStart"/>
      <w:r w:rsidRPr="00061F17">
        <w:rPr>
          <w:rFonts w:eastAsia="Calibri" w:cs="Arial"/>
          <w:szCs w:val="19"/>
          <w:lang w:val="en-US"/>
        </w:rPr>
        <w:t>self certificate</w:t>
      </w:r>
      <w:proofErr w:type="spellEnd"/>
      <w:r w:rsidRPr="00061F17">
        <w:rPr>
          <w:rFonts w:eastAsia="Calibri" w:cs="Arial"/>
          <w:szCs w:val="19"/>
          <w:lang w:val="en-US"/>
        </w:rPr>
        <w:t xml:space="preserve"> has been submitted to relevant TERM Cells.</w:t>
      </w:r>
    </w:p>
    <w:p w:rsidR="00061F17" w:rsidRPr="00061F17" w:rsidRDefault="00061F17" w:rsidP="00F00BDA">
      <w:pPr>
        <w:numPr>
          <w:ilvl w:val="0"/>
          <w:numId w:val="15"/>
        </w:numPr>
        <w:spacing w:after="120"/>
        <w:ind w:left="567" w:hanging="567"/>
        <w:jc w:val="left"/>
        <w:rPr>
          <w:rFonts w:eastAsia="Calibri" w:cs="Arial"/>
          <w:szCs w:val="19"/>
          <w:lang w:val="en-US"/>
        </w:rPr>
      </w:pPr>
      <w:r w:rsidRPr="00061F17">
        <w:rPr>
          <w:rFonts w:eastAsia="Calibri" w:cs="Arial"/>
          <w:szCs w:val="19"/>
          <w:lang w:val="en-US"/>
        </w:rPr>
        <w:t xml:space="preserve">The TERM Cell tests </w:t>
      </w:r>
      <w:proofErr w:type="spellStart"/>
      <w:r w:rsidRPr="00061F17">
        <w:rPr>
          <w:rFonts w:eastAsia="Calibri" w:cs="Arial"/>
          <w:szCs w:val="19"/>
          <w:lang w:val="en-US"/>
        </w:rPr>
        <w:t>upto</w:t>
      </w:r>
      <w:proofErr w:type="spellEnd"/>
      <w:r w:rsidRPr="00061F17">
        <w:rPr>
          <w:rFonts w:eastAsia="Calibri" w:cs="Arial"/>
          <w:szCs w:val="19"/>
          <w:lang w:val="en-US"/>
        </w:rPr>
        <w:t xml:space="preserve"> 10 per cent of BTS sites randomly at its discretion.  Additionally, BTS sites against which there are public complaints are also be tested by TERM Cell.</w:t>
      </w:r>
    </w:p>
    <w:p w:rsidR="00061F17" w:rsidRPr="00061F17" w:rsidRDefault="00061F17" w:rsidP="00F00BDA">
      <w:pPr>
        <w:numPr>
          <w:ilvl w:val="0"/>
          <w:numId w:val="15"/>
        </w:numPr>
        <w:spacing w:after="120"/>
        <w:ind w:left="567" w:hanging="567"/>
        <w:jc w:val="left"/>
        <w:rPr>
          <w:rFonts w:eastAsia="Calibri" w:cs="Arial"/>
          <w:szCs w:val="19"/>
          <w:lang w:val="en-US"/>
        </w:rPr>
      </w:pPr>
      <w:r w:rsidRPr="00061F17">
        <w:rPr>
          <w:rFonts w:eastAsia="Calibri" w:cs="Arial"/>
          <w:szCs w:val="19"/>
          <w:lang w:val="en-US"/>
        </w:rPr>
        <w:t>If a site fails to meet the Electro Magnetic Radiation criterion, there is a provision of penalty of Rs.5 lakh (about US$10,000) per BTS per service provider. Service providers must meet the criterion within one month of the report of TERM Cell in such cases, after which site will be shut down.</w:t>
      </w:r>
    </w:p>
    <w:p w:rsidR="00061F17" w:rsidRDefault="00061F17" w:rsidP="00061F17">
      <w:pPr>
        <w:rPr>
          <w:rFonts w:cs="Arial"/>
          <w:szCs w:val="19"/>
          <w:lang w:val="en-US"/>
        </w:rPr>
      </w:pPr>
      <w:r w:rsidRPr="00061F17">
        <w:rPr>
          <w:rFonts w:cs="Arial"/>
          <w:szCs w:val="19"/>
          <w:lang w:val="en-US"/>
        </w:rPr>
        <w:t>2.4</w:t>
      </w:r>
      <w:r w:rsidRPr="00061F17">
        <w:rPr>
          <w:rFonts w:cs="Arial"/>
          <w:szCs w:val="19"/>
          <w:lang w:val="en-US"/>
        </w:rPr>
        <w:tab/>
        <w:t>In year 2008, Department of Telecommunications had adopted International Commission on Non-Ionizing Radiation Protection (ICNIRP) guidelines for mobile handsets also. ICNIRP prescribed the following values for Specific Absorption Rate (SAR) for mobile handset:</w:t>
      </w:r>
    </w:p>
    <w:p w:rsidR="00C71B8F" w:rsidRPr="00061F17" w:rsidRDefault="00C71B8F" w:rsidP="00061F17">
      <w:pPr>
        <w:rPr>
          <w:rFonts w:cs="Arial"/>
          <w:szCs w:val="19"/>
          <w:lang w:val="en-US"/>
        </w:rPr>
      </w:pPr>
    </w:p>
    <w:tbl>
      <w:tblPr>
        <w:tblStyle w:val="Style1"/>
        <w:tblW w:w="4913" w:type="pct"/>
        <w:jc w:val="center"/>
        <w:tblInd w:w="162" w:type="dxa"/>
        <w:tblLook w:val="04A0" w:firstRow="1" w:lastRow="0" w:firstColumn="1" w:lastColumn="0" w:noHBand="0" w:noVBand="1"/>
      </w:tblPr>
      <w:tblGrid>
        <w:gridCol w:w="2156"/>
        <w:gridCol w:w="2269"/>
        <w:gridCol w:w="2350"/>
        <w:gridCol w:w="2350"/>
      </w:tblGrid>
      <w:tr w:rsidR="00061F17" w:rsidRPr="004C088A" w:rsidTr="00F22C89">
        <w:trPr>
          <w:cnfStyle w:val="100000000000" w:firstRow="1" w:lastRow="0" w:firstColumn="0" w:lastColumn="0" w:oddVBand="0" w:evenVBand="0" w:oddHBand="0" w:evenHBand="0" w:firstRowFirstColumn="0" w:firstRowLastColumn="0" w:lastRowFirstColumn="0" w:lastRowLastColumn="0"/>
          <w:jc w:val="center"/>
        </w:trPr>
        <w:tc>
          <w:tcPr>
            <w:tcW w:w="2156" w:type="dxa"/>
          </w:tcPr>
          <w:p w:rsidR="00061F17" w:rsidRPr="00061F17" w:rsidRDefault="00061F17" w:rsidP="00C71B8F">
            <w:pPr>
              <w:pStyle w:val="Tablehead"/>
            </w:pPr>
            <w:r w:rsidRPr="00061F17">
              <w:t xml:space="preserve">For Frequency Range </w:t>
            </w:r>
            <w:r w:rsidR="00F22C89">
              <w:br/>
            </w:r>
            <w:r w:rsidRPr="00061F17">
              <w:t>10 MHz to 10 GHz</w:t>
            </w:r>
          </w:p>
        </w:tc>
        <w:tc>
          <w:tcPr>
            <w:tcW w:w="2269" w:type="dxa"/>
          </w:tcPr>
          <w:p w:rsidR="00061F17" w:rsidRPr="00061F17" w:rsidRDefault="00061F17" w:rsidP="00C71B8F">
            <w:pPr>
              <w:pStyle w:val="Tablehead"/>
            </w:pPr>
            <w:r w:rsidRPr="00061F17">
              <w:t>Whole body average SAR (W/Kg)</w:t>
            </w:r>
          </w:p>
        </w:tc>
        <w:tc>
          <w:tcPr>
            <w:tcW w:w="2350" w:type="dxa"/>
          </w:tcPr>
          <w:p w:rsidR="00061F17" w:rsidRPr="00061F17" w:rsidRDefault="00061F17" w:rsidP="00C71B8F">
            <w:pPr>
              <w:pStyle w:val="Tablehead"/>
            </w:pPr>
            <w:proofErr w:type="spellStart"/>
            <w:r w:rsidRPr="00061F17">
              <w:t>Localised</w:t>
            </w:r>
            <w:proofErr w:type="spellEnd"/>
            <w:r w:rsidRPr="00061F17">
              <w:t xml:space="preserve"> SAR head &amp; trunk (W/Kg)</w:t>
            </w:r>
          </w:p>
        </w:tc>
        <w:tc>
          <w:tcPr>
            <w:tcW w:w="2350" w:type="dxa"/>
          </w:tcPr>
          <w:p w:rsidR="00061F17" w:rsidRPr="00061F17" w:rsidRDefault="00061F17" w:rsidP="00C71B8F">
            <w:pPr>
              <w:pStyle w:val="Tablehead"/>
            </w:pPr>
            <w:proofErr w:type="spellStart"/>
            <w:r w:rsidRPr="00061F17">
              <w:t>Localised</w:t>
            </w:r>
            <w:proofErr w:type="spellEnd"/>
            <w:r w:rsidRPr="00061F17">
              <w:t xml:space="preserve"> SAR limbs (W/Kg)</w:t>
            </w:r>
          </w:p>
        </w:tc>
      </w:tr>
      <w:tr w:rsidR="00061F17" w:rsidRPr="001D6905" w:rsidTr="00F22C89">
        <w:trPr>
          <w:cnfStyle w:val="000000100000" w:firstRow="0" w:lastRow="0" w:firstColumn="0" w:lastColumn="0" w:oddVBand="0" w:evenVBand="0" w:oddHBand="1" w:evenHBand="0" w:firstRowFirstColumn="0" w:firstRowLastColumn="0" w:lastRowFirstColumn="0" w:lastRowLastColumn="0"/>
          <w:jc w:val="center"/>
        </w:trPr>
        <w:tc>
          <w:tcPr>
            <w:tcW w:w="2156" w:type="dxa"/>
          </w:tcPr>
          <w:p w:rsidR="00061F17" w:rsidRPr="001D6905" w:rsidRDefault="00061F17" w:rsidP="00C71B8F">
            <w:pPr>
              <w:pStyle w:val="Tabletext"/>
            </w:pPr>
            <w:r w:rsidRPr="001D6905">
              <w:t xml:space="preserve">General Public </w:t>
            </w:r>
            <w:proofErr w:type="spellStart"/>
            <w:r w:rsidRPr="001D6905">
              <w:t>Exposure</w:t>
            </w:r>
            <w:proofErr w:type="spellEnd"/>
          </w:p>
        </w:tc>
        <w:tc>
          <w:tcPr>
            <w:tcW w:w="2269" w:type="dxa"/>
          </w:tcPr>
          <w:p w:rsidR="00061F17" w:rsidRPr="001D6905" w:rsidRDefault="00061F17" w:rsidP="00C71B8F">
            <w:pPr>
              <w:pStyle w:val="Tabletext"/>
            </w:pPr>
            <w:r w:rsidRPr="001D6905">
              <w:t>0.08</w:t>
            </w:r>
          </w:p>
        </w:tc>
        <w:tc>
          <w:tcPr>
            <w:tcW w:w="2350" w:type="dxa"/>
          </w:tcPr>
          <w:p w:rsidR="00061F17" w:rsidRPr="001D6905" w:rsidRDefault="00061F17" w:rsidP="00C71B8F">
            <w:pPr>
              <w:pStyle w:val="Tabletext"/>
            </w:pPr>
            <w:r w:rsidRPr="001D6905">
              <w:t>2</w:t>
            </w:r>
          </w:p>
        </w:tc>
        <w:tc>
          <w:tcPr>
            <w:tcW w:w="2350" w:type="dxa"/>
          </w:tcPr>
          <w:p w:rsidR="00061F17" w:rsidRPr="001D6905" w:rsidRDefault="00061F17" w:rsidP="00C71B8F">
            <w:pPr>
              <w:pStyle w:val="Tabletext"/>
            </w:pPr>
            <w:r w:rsidRPr="001D6905">
              <w:t>4</w:t>
            </w:r>
          </w:p>
        </w:tc>
      </w:tr>
    </w:tbl>
    <w:p w:rsidR="00C71B8F" w:rsidRDefault="00C71B8F" w:rsidP="00061F17">
      <w:pPr>
        <w:rPr>
          <w:rFonts w:cs="Arial"/>
          <w:szCs w:val="19"/>
          <w:lang w:val="en-US"/>
        </w:rPr>
      </w:pPr>
    </w:p>
    <w:p w:rsidR="00061F17" w:rsidRPr="00061F17" w:rsidRDefault="00061F17" w:rsidP="00061F17">
      <w:pPr>
        <w:rPr>
          <w:rFonts w:eastAsia="Calibri" w:cs="Arial"/>
          <w:szCs w:val="19"/>
          <w:lang w:val="en-US"/>
        </w:rPr>
      </w:pPr>
      <w:r w:rsidRPr="00061F17">
        <w:rPr>
          <w:rFonts w:cs="Arial"/>
          <w:szCs w:val="19"/>
          <w:lang w:val="en-US"/>
        </w:rPr>
        <w:t>2.5</w:t>
      </w:r>
      <w:r w:rsidRPr="00061F17">
        <w:rPr>
          <w:rFonts w:cs="Arial"/>
          <w:szCs w:val="19"/>
          <w:lang w:val="en-US"/>
        </w:rPr>
        <w:tab/>
      </w:r>
      <w:r w:rsidRPr="00061F17">
        <w:rPr>
          <w:rFonts w:eastAsia="Calibri" w:cs="Arial"/>
          <w:szCs w:val="19"/>
          <w:lang w:val="en-US"/>
        </w:rPr>
        <w:t xml:space="preserve">For the mobile handsets, DoT, in the year 2008, had issued instructions to the indigenous manufacturers to conform to ICNIRP prescribed Specific Absorption Rate (SAR) limit of 2 W/kg (averaged over 10 gm tissue) in the frequency range of 10 MHz to 10 GHz. </w:t>
      </w:r>
    </w:p>
    <w:p w:rsidR="00061F17" w:rsidRPr="00061F17" w:rsidRDefault="00061F17" w:rsidP="00061F17">
      <w:pPr>
        <w:rPr>
          <w:rFonts w:cs="Arial"/>
          <w:b/>
          <w:bCs/>
          <w:szCs w:val="19"/>
          <w:lang w:val="en-US"/>
        </w:rPr>
      </w:pPr>
      <w:r w:rsidRPr="00061F17">
        <w:rPr>
          <w:rFonts w:cs="Arial"/>
          <w:b/>
          <w:szCs w:val="19"/>
          <w:lang w:val="en-US"/>
        </w:rPr>
        <w:t>3.</w:t>
      </w:r>
      <w:r w:rsidRPr="00061F17">
        <w:rPr>
          <w:rFonts w:cs="Arial"/>
          <w:b/>
          <w:szCs w:val="19"/>
          <w:lang w:val="en-US"/>
        </w:rPr>
        <w:tab/>
        <w:t>Inter-Ministerial Committee</w:t>
      </w:r>
    </w:p>
    <w:p w:rsidR="00061F17" w:rsidRPr="00061F17" w:rsidRDefault="00061F17" w:rsidP="00061F17">
      <w:pPr>
        <w:rPr>
          <w:rFonts w:cs="Arial"/>
          <w:bCs/>
          <w:szCs w:val="19"/>
          <w:lang w:val="en-US"/>
        </w:rPr>
      </w:pPr>
      <w:r w:rsidRPr="00061F17">
        <w:rPr>
          <w:rFonts w:cs="Arial"/>
          <w:szCs w:val="19"/>
          <w:lang w:val="en-US"/>
        </w:rPr>
        <w:t>3.1</w:t>
      </w:r>
      <w:r w:rsidRPr="00061F17">
        <w:rPr>
          <w:rFonts w:cs="Arial"/>
          <w:szCs w:val="19"/>
          <w:lang w:val="en-US"/>
        </w:rPr>
        <w:tab/>
        <w:t xml:space="preserve">Subsequently, based on public concern and media reports, Government of India set up an Inter-Ministerial Committee (IMC) on 24.08.2010 consisting of representatives from DoT, Indian Council of Medical Research (Ministry of Health), Department of Biotechnology and Ministry of Environment and Forest to examine the effect of EMF Radiation from mobile base stations and mobile phones. </w:t>
      </w:r>
    </w:p>
    <w:p w:rsidR="00061F17" w:rsidRPr="00061F17" w:rsidRDefault="00061F17" w:rsidP="00061F17">
      <w:pPr>
        <w:autoSpaceDE w:val="0"/>
        <w:autoSpaceDN w:val="0"/>
        <w:rPr>
          <w:rFonts w:cs="Arial"/>
          <w:szCs w:val="19"/>
          <w:lang w:val="en-US"/>
        </w:rPr>
      </w:pPr>
      <w:r w:rsidRPr="00061F17">
        <w:rPr>
          <w:rFonts w:cs="Arial"/>
          <w:szCs w:val="19"/>
          <w:lang w:val="en-US"/>
        </w:rPr>
        <w:t>3.2</w:t>
      </w:r>
      <w:r w:rsidRPr="00061F17">
        <w:rPr>
          <w:rFonts w:cs="Arial"/>
          <w:szCs w:val="19"/>
          <w:lang w:val="en-US"/>
        </w:rPr>
        <w:tab/>
        <w:t>Inter-Ministerial Committee (IMC) in its report submitted in the year 2011 examined the environmental and health related concerns and indicated that most of the laboratory studies were unable to find a direct link between exposure to radio frequency radiation and health; and the scientific studies as yet have not been able to confirm a cause and effect relationship between radio frequency radiation and health. The effect of emission from cell phone towers is not known yet with certainty. The inter-ministerial committee (IMC) examined 90 international and national studies/reference papers, related with the EMF radiation, before finalizing its recommendations.</w:t>
      </w:r>
    </w:p>
    <w:p w:rsidR="00061F17" w:rsidRPr="00061F17" w:rsidRDefault="00061F17" w:rsidP="00061F17">
      <w:pPr>
        <w:rPr>
          <w:rFonts w:cs="Arial"/>
          <w:bCs/>
          <w:szCs w:val="19"/>
          <w:lang w:val="en-US"/>
        </w:rPr>
      </w:pPr>
      <w:r w:rsidRPr="00061F17">
        <w:rPr>
          <w:rFonts w:cs="Arial"/>
          <w:szCs w:val="19"/>
          <w:lang w:val="en-US"/>
        </w:rPr>
        <w:lastRenderedPageBreak/>
        <w:t>3.3</w:t>
      </w:r>
      <w:r w:rsidRPr="00061F17">
        <w:rPr>
          <w:rFonts w:cs="Arial"/>
          <w:szCs w:val="19"/>
          <w:lang w:val="en-US"/>
        </w:rPr>
        <w:tab/>
        <w:t>However, as a precautionary measure, IMC recommended for lowering of the BTS RF exposure limits to 1/10</w:t>
      </w:r>
      <w:r w:rsidRPr="00061F17">
        <w:rPr>
          <w:rFonts w:cs="Arial"/>
          <w:szCs w:val="19"/>
          <w:vertAlign w:val="superscript"/>
          <w:lang w:val="en-US"/>
        </w:rPr>
        <w:t>th</w:t>
      </w:r>
      <w:r w:rsidRPr="00061F17">
        <w:rPr>
          <w:rFonts w:cs="Arial"/>
          <w:szCs w:val="19"/>
          <w:lang w:val="en-US"/>
        </w:rPr>
        <w:t xml:space="preserve"> of the ICNIRP limit and adoption of Specific Absorption Rate (SAR) level for mobile handsets limits to 1.6 Watt/Kg (averaged over 1 gm of tissue) in place 2.0 Watt/Kg in India.</w:t>
      </w:r>
    </w:p>
    <w:p w:rsidR="00061F17" w:rsidRDefault="00061F17" w:rsidP="00061F17">
      <w:pPr>
        <w:rPr>
          <w:rFonts w:cs="Arial"/>
          <w:szCs w:val="19"/>
          <w:lang w:val="en-US"/>
        </w:rPr>
      </w:pPr>
      <w:r w:rsidRPr="00061F17">
        <w:rPr>
          <w:rFonts w:cs="Arial"/>
          <w:szCs w:val="19"/>
          <w:lang w:val="en-US"/>
        </w:rPr>
        <w:t>3.4</w:t>
      </w:r>
      <w:r w:rsidRPr="00061F17">
        <w:rPr>
          <w:rFonts w:cs="Arial"/>
          <w:szCs w:val="19"/>
          <w:lang w:val="en-US"/>
        </w:rPr>
        <w:tab/>
        <w:t>The recommendations of the Inter Ministerial Committee were accepted by the Government of India. Accordingly, in respect of BTS, norms for exposure limit for the Radio Frequency Field (Base Station Emissions) were reduced to 1/10</w:t>
      </w:r>
      <w:r w:rsidRPr="00061F17">
        <w:rPr>
          <w:rFonts w:cs="Arial"/>
          <w:szCs w:val="19"/>
          <w:vertAlign w:val="superscript"/>
          <w:lang w:val="en-US"/>
        </w:rPr>
        <w:t>th</w:t>
      </w:r>
      <w:r w:rsidRPr="00061F17">
        <w:rPr>
          <w:rFonts w:cs="Arial"/>
          <w:szCs w:val="19"/>
          <w:lang w:val="en-US"/>
        </w:rPr>
        <w:t xml:space="preserve"> of the limits prescribed by ICNIRP with effect from 1</w:t>
      </w:r>
      <w:r w:rsidRPr="00061F17">
        <w:rPr>
          <w:rFonts w:cs="Arial"/>
          <w:szCs w:val="19"/>
          <w:vertAlign w:val="superscript"/>
          <w:lang w:val="en-US"/>
        </w:rPr>
        <w:t>st</w:t>
      </w:r>
      <w:r w:rsidRPr="00061F17">
        <w:rPr>
          <w:rFonts w:cs="Arial"/>
          <w:szCs w:val="19"/>
          <w:lang w:val="en-US"/>
        </w:rPr>
        <w:t xml:space="preserve"> September 2012. The revised limits/levels for India for BTS Emission </w:t>
      </w:r>
      <w:proofErr w:type="gramStart"/>
      <w:r w:rsidRPr="00061F17">
        <w:rPr>
          <w:rFonts w:cs="Arial"/>
          <w:szCs w:val="19"/>
          <w:lang w:val="en-US"/>
        </w:rPr>
        <w:t>is</w:t>
      </w:r>
      <w:proofErr w:type="gramEnd"/>
      <w:r w:rsidRPr="00061F17">
        <w:rPr>
          <w:rFonts w:cs="Arial"/>
          <w:szCs w:val="19"/>
          <w:lang w:val="en-US"/>
        </w:rPr>
        <w:t xml:space="preserve"> as below:</w:t>
      </w:r>
    </w:p>
    <w:p w:rsidR="00C71B8F" w:rsidRPr="00061F17" w:rsidRDefault="00C71B8F" w:rsidP="00061F17">
      <w:pPr>
        <w:rPr>
          <w:rFonts w:cs="Arial"/>
          <w:bCs/>
          <w:szCs w:val="19"/>
          <w:lang w:val="en-US"/>
        </w:rPr>
      </w:pPr>
    </w:p>
    <w:tbl>
      <w:tblPr>
        <w:tblStyle w:val="Style1"/>
        <w:tblW w:w="4913" w:type="pct"/>
        <w:jc w:val="center"/>
        <w:tblInd w:w="162" w:type="dxa"/>
        <w:tblLook w:val="01E0" w:firstRow="1" w:lastRow="1" w:firstColumn="1" w:lastColumn="1" w:noHBand="0" w:noVBand="0"/>
      </w:tblPr>
      <w:tblGrid>
        <w:gridCol w:w="2157"/>
        <w:gridCol w:w="2161"/>
        <w:gridCol w:w="2659"/>
        <w:gridCol w:w="2148"/>
      </w:tblGrid>
      <w:tr w:rsidR="00061F17" w:rsidRPr="004C088A" w:rsidTr="00F22C89">
        <w:trPr>
          <w:cnfStyle w:val="100000000000" w:firstRow="1" w:lastRow="0" w:firstColumn="0" w:lastColumn="0" w:oddVBand="0" w:evenVBand="0" w:oddHBand="0" w:evenHBand="0" w:firstRowFirstColumn="0" w:firstRowLastColumn="0" w:lastRowFirstColumn="0" w:lastRowLastColumn="0"/>
          <w:jc w:val="center"/>
        </w:trPr>
        <w:tc>
          <w:tcPr>
            <w:tcW w:w="2157" w:type="dxa"/>
          </w:tcPr>
          <w:p w:rsidR="00061F17" w:rsidRPr="001D6905" w:rsidRDefault="00061F17" w:rsidP="00C71B8F">
            <w:pPr>
              <w:pStyle w:val="Tablehead"/>
            </w:pPr>
            <w:r w:rsidRPr="001D6905">
              <w:t>Frequency Range</w:t>
            </w:r>
          </w:p>
        </w:tc>
        <w:tc>
          <w:tcPr>
            <w:tcW w:w="2161" w:type="dxa"/>
          </w:tcPr>
          <w:p w:rsidR="00061F17" w:rsidRPr="00061F17" w:rsidRDefault="00061F17" w:rsidP="00C71B8F">
            <w:pPr>
              <w:pStyle w:val="Tablehead"/>
              <w:rPr>
                <w:lang w:val="de-CH"/>
              </w:rPr>
            </w:pPr>
            <w:r w:rsidRPr="00061F17">
              <w:rPr>
                <w:lang w:val="de-CH"/>
              </w:rPr>
              <w:t>E-Field Strength ( Volt/Meter (V/m))</w:t>
            </w:r>
          </w:p>
        </w:tc>
        <w:tc>
          <w:tcPr>
            <w:tcW w:w="2659" w:type="dxa"/>
          </w:tcPr>
          <w:p w:rsidR="00061F17" w:rsidRPr="00061F17" w:rsidRDefault="00061F17" w:rsidP="00C71B8F">
            <w:pPr>
              <w:pStyle w:val="Tablehead"/>
            </w:pPr>
            <w:r w:rsidRPr="00061F17">
              <w:t>H-Field Strength (Amp/Meter (A/m))</w:t>
            </w:r>
          </w:p>
        </w:tc>
        <w:tc>
          <w:tcPr>
            <w:tcW w:w="2148" w:type="dxa"/>
          </w:tcPr>
          <w:p w:rsidR="00061F17" w:rsidRPr="00061F17" w:rsidRDefault="00061F17" w:rsidP="00C71B8F">
            <w:pPr>
              <w:pStyle w:val="Tablehead"/>
            </w:pPr>
            <w:r w:rsidRPr="00061F17">
              <w:t>Power Density (Watt/</w:t>
            </w:r>
            <w:proofErr w:type="spellStart"/>
            <w:r w:rsidRPr="00061F17">
              <w:t>Sq.Meter</w:t>
            </w:r>
            <w:proofErr w:type="spellEnd"/>
            <w:r w:rsidRPr="00061F17">
              <w:t xml:space="preserve"> (W/</w:t>
            </w:r>
            <w:proofErr w:type="spellStart"/>
            <w:r w:rsidRPr="00061F17">
              <w:t>Sq.m</w:t>
            </w:r>
            <w:proofErr w:type="spellEnd"/>
            <w:r w:rsidRPr="00061F17">
              <w:t>))</w:t>
            </w:r>
          </w:p>
        </w:tc>
      </w:tr>
      <w:tr w:rsidR="00061F17" w:rsidRPr="001D6905" w:rsidTr="00F22C89">
        <w:trPr>
          <w:cnfStyle w:val="000000100000" w:firstRow="0" w:lastRow="0" w:firstColumn="0" w:lastColumn="0" w:oddVBand="0" w:evenVBand="0" w:oddHBand="1" w:evenHBand="0" w:firstRowFirstColumn="0" w:firstRowLastColumn="0" w:lastRowFirstColumn="0" w:lastRowLastColumn="0"/>
          <w:jc w:val="center"/>
        </w:trPr>
        <w:tc>
          <w:tcPr>
            <w:tcW w:w="2157" w:type="dxa"/>
          </w:tcPr>
          <w:p w:rsidR="00061F17" w:rsidRPr="001D6905" w:rsidRDefault="00061F17" w:rsidP="00C71B8F">
            <w:pPr>
              <w:pStyle w:val="Tabletext"/>
            </w:pPr>
            <w:r w:rsidRPr="001D6905">
              <w:t>400MHz to 2000MHz</w:t>
            </w:r>
          </w:p>
        </w:tc>
        <w:tc>
          <w:tcPr>
            <w:tcW w:w="2161" w:type="dxa"/>
          </w:tcPr>
          <w:p w:rsidR="00061F17" w:rsidRPr="001D6905" w:rsidRDefault="00061F17" w:rsidP="00C71B8F">
            <w:pPr>
              <w:pStyle w:val="Tabletext"/>
            </w:pPr>
            <w:r w:rsidRPr="001D6905">
              <w:t xml:space="preserve">0.434f </w:t>
            </w:r>
            <w:r w:rsidRPr="001D6905">
              <w:rPr>
                <w:vertAlign w:val="superscript"/>
              </w:rPr>
              <w:t>½</w:t>
            </w:r>
          </w:p>
        </w:tc>
        <w:tc>
          <w:tcPr>
            <w:tcW w:w="2659" w:type="dxa"/>
          </w:tcPr>
          <w:p w:rsidR="00061F17" w:rsidRPr="001D6905" w:rsidRDefault="00061F17" w:rsidP="00C71B8F">
            <w:pPr>
              <w:pStyle w:val="Tabletext"/>
            </w:pPr>
            <w:r w:rsidRPr="001D6905">
              <w:t xml:space="preserve">0.0011f </w:t>
            </w:r>
            <w:r w:rsidRPr="001D6905">
              <w:rPr>
                <w:vertAlign w:val="superscript"/>
              </w:rPr>
              <w:t>½</w:t>
            </w:r>
          </w:p>
        </w:tc>
        <w:tc>
          <w:tcPr>
            <w:tcW w:w="2148" w:type="dxa"/>
          </w:tcPr>
          <w:p w:rsidR="00061F17" w:rsidRPr="001D6905" w:rsidRDefault="00061F17" w:rsidP="00C71B8F">
            <w:pPr>
              <w:pStyle w:val="Tabletext"/>
            </w:pPr>
            <w:r w:rsidRPr="001D6905">
              <w:t>f/2000</w:t>
            </w:r>
          </w:p>
        </w:tc>
      </w:tr>
      <w:tr w:rsidR="00061F17" w:rsidRPr="001D6905" w:rsidTr="00F22C89">
        <w:trPr>
          <w:cnfStyle w:val="000000010000" w:firstRow="0" w:lastRow="0" w:firstColumn="0" w:lastColumn="0" w:oddVBand="0" w:evenVBand="0" w:oddHBand="0" w:evenHBand="1" w:firstRowFirstColumn="0" w:firstRowLastColumn="0" w:lastRowFirstColumn="0" w:lastRowLastColumn="0"/>
          <w:jc w:val="center"/>
        </w:trPr>
        <w:tc>
          <w:tcPr>
            <w:tcW w:w="2157" w:type="dxa"/>
          </w:tcPr>
          <w:p w:rsidR="00061F17" w:rsidRPr="001D6905" w:rsidRDefault="00061F17" w:rsidP="00C71B8F">
            <w:pPr>
              <w:pStyle w:val="Tabletext"/>
            </w:pPr>
            <w:r w:rsidRPr="001D6905">
              <w:t>2GHz to 300GHz</w:t>
            </w:r>
          </w:p>
        </w:tc>
        <w:tc>
          <w:tcPr>
            <w:tcW w:w="2161" w:type="dxa"/>
          </w:tcPr>
          <w:p w:rsidR="00061F17" w:rsidRPr="001D6905" w:rsidRDefault="00061F17" w:rsidP="00C71B8F">
            <w:pPr>
              <w:pStyle w:val="Tabletext"/>
            </w:pPr>
            <w:r w:rsidRPr="001D6905">
              <w:t>19.29</w:t>
            </w:r>
          </w:p>
        </w:tc>
        <w:tc>
          <w:tcPr>
            <w:tcW w:w="2659" w:type="dxa"/>
          </w:tcPr>
          <w:p w:rsidR="00061F17" w:rsidRPr="001D6905" w:rsidRDefault="00061F17" w:rsidP="00C71B8F">
            <w:pPr>
              <w:pStyle w:val="Tabletext"/>
            </w:pPr>
            <w:r w:rsidRPr="001D6905">
              <w:t>0.05</w:t>
            </w:r>
          </w:p>
        </w:tc>
        <w:tc>
          <w:tcPr>
            <w:tcW w:w="2148" w:type="dxa"/>
          </w:tcPr>
          <w:p w:rsidR="00061F17" w:rsidRPr="001D6905" w:rsidRDefault="00061F17" w:rsidP="00C71B8F">
            <w:pPr>
              <w:pStyle w:val="Tabletext"/>
            </w:pPr>
            <w:r w:rsidRPr="001D6905">
              <w:t>1</w:t>
            </w:r>
          </w:p>
        </w:tc>
      </w:tr>
    </w:tbl>
    <w:p w:rsidR="00061F17" w:rsidRPr="001D6905" w:rsidRDefault="00061F17" w:rsidP="004D77DC">
      <w:pPr>
        <w:pStyle w:val="Tablesource"/>
      </w:pPr>
      <w:r w:rsidRPr="001D6905">
        <w:t>(f = frequency in MHz)</w:t>
      </w:r>
    </w:p>
    <w:p w:rsidR="00061F17" w:rsidRPr="00061F17" w:rsidRDefault="00061F17" w:rsidP="00061F17">
      <w:pPr>
        <w:rPr>
          <w:rFonts w:cs="Arial"/>
          <w:szCs w:val="19"/>
          <w:lang w:val="en-US"/>
        </w:rPr>
      </w:pPr>
      <w:r w:rsidRPr="00061F17">
        <w:rPr>
          <w:rFonts w:cs="Arial"/>
          <w:szCs w:val="19"/>
          <w:lang w:val="en-US"/>
        </w:rPr>
        <w:t>3.5</w:t>
      </w:r>
      <w:r w:rsidRPr="00061F17">
        <w:rPr>
          <w:rFonts w:cs="Arial"/>
          <w:szCs w:val="19"/>
          <w:lang w:val="en-US"/>
        </w:rPr>
        <w:tab/>
        <w:t>In respect of Mobile Handsets, the following directions were issued regarding Specific Absorption Rate (SAR) level:</w:t>
      </w:r>
    </w:p>
    <w:p w:rsidR="00061F17" w:rsidRPr="00E86592" w:rsidRDefault="00061F17" w:rsidP="00C71B8F">
      <w:pPr>
        <w:pStyle w:val="Enumlevel1"/>
      </w:pPr>
      <w:r w:rsidRPr="001D6905">
        <w:t>(</w:t>
      </w:r>
      <w:proofErr w:type="spellStart"/>
      <w:r w:rsidRPr="001D6905">
        <w:t>i</w:t>
      </w:r>
      <w:proofErr w:type="spellEnd"/>
      <w:r w:rsidRPr="001D6905">
        <w:t>)</w:t>
      </w:r>
      <w:r w:rsidRPr="001D6905">
        <w:tab/>
        <w:t>SAR leve</w:t>
      </w:r>
      <w:r w:rsidRPr="00E86592">
        <w:t>l for mobile handsets shall be limited to 1.6 Watt/Kg, average over a mass of 1 gram of human tissue.</w:t>
      </w:r>
    </w:p>
    <w:p w:rsidR="00061F17" w:rsidRPr="001D6905" w:rsidRDefault="00061F17" w:rsidP="00C71B8F">
      <w:pPr>
        <w:pStyle w:val="Enumlevel1"/>
      </w:pPr>
      <w:r w:rsidRPr="00E86592">
        <w:t>(ii)</w:t>
      </w:r>
      <w:r w:rsidRPr="00E86592">
        <w:tab/>
        <w:t>All the ne</w:t>
      </w:r>
      <w:r w:rsidRPr="001D6905">
        <w:t>w design of mobile handsets shall comply with the SAR level of 1.6 Watt/Kg averaged over a mass of 1 gram tissue with effect from 1</w:t>
      </w:r>
      <w:r w:rsidRPr="001D6905">
        <w:rPr>
          <w:vertAlign w:val="superscript"/>
        </w:rPr>
        <w:t>st</w:t>
      </w:r>
      <w:r w:rsidRPr="001D6905">
        <w:t xml:space="preserve"> September, 2012. However, the mobile handsets with existing designs, which are compliant with 2.0 Watt/Kg averaged over a mass of 10 gram tissue, may continue to co-exist up</w:t>
      </w:r>
      <w:r>
        <w:t xml:space="preserve"> </w:t>
      </w:r>
      <w:r w:rsidRPr="001D6905">
        <w:t>to 31</w:t>
      </w:r>
      <w:r w:rsidRPr="001D6905">
        <w:rPr>
          <w:vertAlign w:val="superscript"/>
        </w:rPr>
        <w:t>st</w:t>
      </w:r>
      <w:r w:rsidRPr="001D6905">
        <w:t xml:space="preserve"> August 2013.</w:t>
      </w:r>
    </w:p>
    <w:p w:rsidR="00061F17" w:rsidRPr="001D6905" w:rsidRDefault="00061F17" w:rsidP="00C71B8F">
      <w:pPr>
        <w:pStyle w:val="Enumlevel1"/>
      </w:pPr>
      <w:r w:rsidRPr="001D6905">
        <w:t>(iii)</w:t>
      </w:r>
      <w:r w:rsidRPr="001D6905">
        <w:tab/>
        <w:t>From 1</w:t>
      </w:r>
      <w:r w:rsidRPr="001D6905">
        <w:rPr>
          <w:vertAlign w:val="superscript"/>
        </w:rPr>
        <w:t>st</w:t>
      </w:r>
      <w:r w:rsidRPr="001D6905">
        <w:t xml:space="preserve"> September 2013, only the mobile handsets with revised SAR value of 1.6 Watt/Kg are permitted to be manufactured or imported in India for domestic market.</w:t>
      </w:r>
    </w:p>
    <w:p w:rsidR="00061F17" w:rsidRPr="007A19CC" w:rsidRDefault="00061F17" w:rsidP="00C71B8F">
      <w:pPr>
        <w:rPr>
          <w:lang w:val="en-US"/>
        </w:rPr>
      </w:pPr>
      <w:r w:rsidRPr="007A19CC">
        <w:rPr>
          <w:lang w:val="en-US"/>
        </w:rPr>
        <w:t>3.6</w:t>
      </w:r>
      <w:r w:rsidRPr="007A19CC">
        <w:rPr>
          <w:lang w:val="en-US"/>
        </w:rPr>
        <w:tab/>
        <w:t>DoT has also set-up a laboratory in the Telecommunication Engineering Centre (TEC), for testing of SAR value of mobile handsets imported/manufactured in India.</w:t>
      </w:r>
    </w:p>
    <w:p w:rsidR="00061F17" w:rsidRPr="00061F17" w:rsidRDefault="00061F17" w:rsidP="00061F17">
      <w:pPr>
        <w:keepNext/>
        <w:autoSpaceDE w:val="0"/>
        <w:autoSpaceDN w:val="0"/>
        <w:rPr>
          <w:rFonts w:eastAsia="Calibri" w:cs="Arial"/>
          <w:szCs w:val="19"/>
          <w:lang w:val="en-US"/>
        </w:rPr>
      </w:pPr>
      <w:r w:rsidRPr="00061F17">
        <w:rPr>
          <w:rFonts w:eastAsia="Calibri" w:cs="Arial"/>
          <w:szCs w:val="19"/>
          <w:lang w:val="en-US"/>
        </w:rPr>
        <w:t>4.</w:t>
      </w:r>
      <w:r w:rsidRPr="00061F17">
        <w:rPr>
          <w:rFonts w:eastAsia="Calibri" w:cs="Arial"/>
          <w:szCs w:val="19"/>
          <w:lang w:val="en-US"/>
        </w:rPr>
        <w:tab/>
        <w:t>Further, following steps have also been taken by Department of Telecommunications for the awareness of the general public in respect of EMF Radiation:</w:t>
      </w:r>
    </w:p>
    <w:p w:rsidR="00061F17" w:rsidRPr="00061F17" w:rsidRDefault="00061F17" w:rsidP="00061F17">
      <w:pPr>
        <w:rPr>
          <w:rFonts w:cs="Arial"/>
          <w:szCs w:val="19"/>
          <w:lang w:val="en-US"/>
        </w:rPr>
      </w:pPr>
      <w:r w:rsidRPr="00061F17">
        <w:rPr>
          <w:rFonts w:cs="Arial"/>
          <w:szCs w:val="19"/>
          <w:lang w:val="en-US"/>
        </w:rPr>
        <w:t>4.1</w:t>
      </w:r>
      <w:r w:rsidRPr="00061F17">
        <w:rPr>
          <w:rFonts w:cs="Arial"/>
          <w:szCs w:val="19"/>
          <w:lang w:val="en-US"/>
        </w:rPr>
        <w:tab/>
        <w:t xml:space="preserve">General awareness </w:t>
      </w:r>
      <w:proofErr w:type="spellStart"/>
      <w:r w:rsidRPr="00061F17">
        <w:rPr>
          <w:rFonts w:cs="Arial"/>
          <w:szCs w:val="19"/>
          <w:lang w:val="en-US"/>
        </w:rPr>
        <w:t>programmes</w:t>
      </w:r>
      <w:proofErr w:type="spellEnd"/>
      <w:r w:rsidRPr="00061F17">
        <w:rPr>
          <w:rFonts w:cs="Arial"/>
          <w:szCs w:val="19"/>
          <w:lang w:val="en-US"/>
        </w:rPr>
        <w:t xml:space="preserve"> / seminars regarding the steps taken for safety of public health from mobile tower radiation are being conducted by the Associations of Mobile Service Providers in various major cities. </w:t>
      </w:r>
    </w:p>
    <w:p w:rsidR="00061F17" w:rsidRPr="00061F17" w:rsidRDefault="00061F17" w:rsidP="00061F17">
      <w:pPr>
        <w:rPr>
          <w:rFonts w:cs="Arial"/>
          <w:szCs w:val="19"/>
          <w:lang w:val="en-US"/>
        </w:rPr>
      </w:pPr>
      <w:r w:rsidRPr="00061F17">
        <w:rPr>
          <w:rFonts w:cs="Arial"/>
          <w:szCs w:val="19"/>
          <w:lang w:val="en-US"/>
        </w:rPr>
        <w:t>4.2</w:t>
      </w:r>
      <w:r w:rsidRPr="00061F17">
        <w:rPr>
          <w:rFonts w:cs="Arial"/>
          <w:szCs w:val="19"/>
          <w:lang w:val="en-US"/>
        </w:rPr>
        <w:tab/>
        <w:t>A ‘Precautionary Guidelines for Mobile User’ advising to take certain precautions while using/purchasing the mobile handsets has been placed on DoT website.</w:t>
      </w:r>
    </w:p>
    <w:p w:rsidR="00061F17" w:rsidRPr="00061F17" w:rsidRDefault="00061F17" w:rsidP="00061F17">
      <w:pPr>
        <w:rPr>
          <w:rFonts w:cs="Arial"/>
          <w:szCs w:val="19"/>
          <w:lang w:val="en-US"/>
        </w:rPr>
      </w:pPr>
      <w:r w:rsidRPr="00061F17">
        <w:rPr>
          <w:rFonts w:cs="Arial"/>
          <w:szCs w:val="19"/>
          <w:lang w:val="en-US"/>
        </w:rPr>
        <w:t>4.3</w:t>
      </w:r>
      <w:r w:rsidRPr="00061F17">
        <w:rPr>
          <w:rFonts w:cs="Arial"/>
          <w:szCs w:val="19"/>
          <w:lang w:val="en-US"/>
        </w:rPr>
        <w:tab/>
        <w:t>An informative guide on ‘Mobile Communications-Radio Waves and Safety’ has been issued and the same is also available on DoT website. The document covers a basic introduction to radio waves, various terminologies, Do’s &amp; Don’ts related to mobile phone usage, clarification of various myths regarding deployment, use of Radio waves / Safety Standards and frequently asked questions relating to Mobile phones &amp; Human health. The document shall help in facilitating the right inputs and creating an environment where everyone can use the radio wave safely.</w:t>
      </w:r>
    </w:p>
    <w:p w:rsidR="00061F17" w:rsidRPr="00061F17" w:rsidRDefault="00061F17" w:rsidP="00061F17">
      <w:pPr>
        <w:rPr>
          <w:rFonts w:cs="Arial"/>
          <w:szCs w:val="19"/>
          <w:lang w:val="en-US"/>
        </w:rPr>
      </w:pPr>
      <w:r w:rsidRPr="00061F17">
        <w:rPr>
          <w:rFonts w:cs="Arial"/>
          <w:szCs w:val="19"/>
          <w:lang w:val="en-US"/>
        </w:rPr>
        <w:t>4.4</w:t>
      </w:r>
      <w:r w:rsidRPr="00061F17">
        <w:rPr>
          <w:rFonts w:cs="Arial"/>
          <w:szCs w:val="19"/>
          <w:lang w:val="en-US"/>
        </w:rPr>
        <w:tab/>
      </w:r>
      <w:hyperlink r:id="rId32" w:history="1">
        <w:r w:rsidRPr="00061F17">
          <w:rPr>
            <w:rStyle w:val="Hyperlink"/>
            <w:rFonts w:cs="Arial"/>
            <w:szCs w:val="19"/>
            <w:lang w:val="en-US"/>
          </w:rPr>
          <w:t>Advertisements</w:t>
        </w:r>
      </w:hyperlink>
      <w:r w:rsidRPr="00061F17">
        <w:rPr>
          <w:rFonts w:cs="Arial"/>
          <w:szCs w:val="19"/>
          <w:lang w:val="en-US"/>
        </w:rPr>
        <w:t xml:space="preserve"> for ensuring safety from radiations of Mobile Towers &amp; handsets </w:t>
      </w:r>
      <w:proofErr w:type="gramStart"/>
      <w:r w:rsidRPr="00061F17">
        <w:rPr>
          <w:rFonts w:cs="Arial"/>
          <w:szCs w:val="19"/>
          <w:lang w:val="en-US"/>
        </w:rPr>
        <w:t>has</w:t>
      </w:r>
      <w:proofErr w:type="gramEnd"/>
      <w:r w:rsidRPr="00061F17">
        <w:rPr>
          <w:rFonts w:cs="Arial"/>
          <w:szCs w:val="19"/>
          <w:lang w:val="en-US"/>
        </w:rPr>
        <w:t xml:space="preserve"> been issued by DoT which has been published in National &amp;</w:t>
      </w:r>
      <w:r w:rsidR="0065590E">
        <w:rPr>
          <w:rFonts w:cs="Arial"/>
          <w:szCs w:val="19"/>
          <w:lang w:val="en-US"/>
        </w:rPr>
        <w:t xml:space="preserve"> </w:t>
      </w:r>
      <w:hyperlink r:id="rId33" w:history="1">
        <w:r w:rsidRPr="00061F17">
          <w:rPr>
            <w:rStyle w:val="Hyperlink"/>
            <w:rFonts w:cs="Arial"/>
            <w:szCs w:val="19"/>
            <w:lang w:val="en-US"/>
          </w:rPr>
          <w:t>Regional</w:t>
        </w:r>
      </w:hyperlink>
      <w:r w:rsidR="0065590E">
        <w:rPr>
          <w:rStyle w:val="Hyperlink"/>
          <w:rFonts w:cs="Arial"/>
          <w:szCs w:val="19"/>
          <w:lang w:val="en-US"/>
        </w:rPr>
        <w:t xml:space="preserve"> </w:t>
      </w:r>
      <w:hyperlink r:id="rId34" w:history="1"/>
      <w:r w:rsidRPr="00061F17">
        <w:rPr>
          <w:rFonts w:cs="Arial"/>
          <w:szCs w:val="19"/>
          <w:lang w:val="en-US"/>
        </w:rPr>
        <w:t>Newspapers.</w:t>
      </w:r>
    </w:p>
    <w:p w:rsidR="00061F17" w:rsidRPr="00061F17" w:rsidRDefault="00061F17" w:rsidP="00061F17">
      <w:pPr>
        <w:autoSpaceDE w:val="0"/>
        <w:autoSpaceDN w:val="0"/>
        <w:rPr>
          <w:rFonts w:cs="Arial"/>
          <w:szCs w:val="19"/>
          <w:lang w:val="en-US"/>
        </w:rPr>
      </w:pPr>
      <w:r w:rsidRPr="00061F17">
        <w:rPr>
          <w:rFonts w:eastAsia="Calibri" w:cs="Arial"/>
          <w:szCs w:val="19"/>
          <w:lang w:val="en-US"/>
        </w:rPr>
        <w:t>4.5</w:t>
      </w:r>
      <w:r w:rsidRPr="00061F17">
        <w:rPr>
          <w:rFonts w:eastAsia="Calibri" w:cs="Arial"/>
          <w:szCs w:val="19"/>
          <w:lang w:val="en-US"/>
        </w:rPr>
        <w:tab/>
        <w:t>A</w:t>
      </w:r>
      <w:r w:rsidRPr="00061F17">
        <w:rPr>
          <w:rFonts w:cs="Arial"/>
          <w:szCs w:val="19"/>
          <w:lang w:val="en-US"/>
        </w:rPr>
        <w:t xml:space="preserve"> Complaint Handling System for Electro Magnetic Field (EMF) Radiation from Mobile Towers has also been launched by DoT in October 2012 in Mumbai. The online facility is available on DoT website </w:t>
      </w:r>
      <w:hyperlink r:id="rId35" w:history="1">
        <w:r w:rsidR="004A1AD2">
          <w:rPr>
            <w:rStyle w:val="Hyperlink"/>
            <w:rFonts w:cs="Arial"/>
            <w:szCs w:val="19"/>
            <w:lang w:val="en-US"/>
          </w:rPr>
          <w:t>www</w:t>
        </w:r>
        <w:r w:rsidRPr="00032C7B">
          <w:rPr>
            <w:rStyle w:val="Hyperlink"/>
            <w:rFonts w:cs="Arial"/>
            <w:szCs w:val="19"/>
            <w:lang w:val="en-US"/>
          </w:rPr>
          <w:t>.dot.gov.in/</w:t>
        </w:r>
      </w:hyperlink>
      <w:r w:rsidR="0065590E">
        <w:rPr>
          <w:rStyle w:val="Hyperlink"/>
          <w:rFonts w:cs="Arial"/>
          <w:szCs w:val="19"/>
          <w:lang w:val="en-US"/>
        </w:rPr>
        <w:t xml:space="preserve"> </w:t>
      </w:r>
      <w:r w:rsidRPr="00061F17">
        <w:rPr>
          <w:rFonts w:cs="Arial"/>
          <w:szCs w:val="19"/>
          <w:lang w:val="en-US"/>
        </w:rPr>
        <w:t>through a link “Public Grievance – EMF Radiation”.</w:t>
      </w:r>
    </w:p>
    <w:p w:rsidR="001970D2" w:rsidRDefault="001970D2" w:rsidP="00061F17">
      <w:pPr>
        <w:autoSpaceDE w:val="0"/>
        <w:autoSpaceDN w:val="0"/>
        <w:rPr>
          <w:rFonts w:cs="Arial"/>
          <w:szCs w:val="19"/>
          <w:lang w:val="en-US"/>
        </w:rPr>
      </w:pPr>
      <w:r>
        <w:rPr>
          <w:rFonts w:cs="Arial"/>
          <w:szCs w:val="19"/>
          <w:lang w:val="en-US"/>
        </w:rPr>
        <w:br w:type="page"/>
      </w:r>
    </w:p>
    <w:p w:rsidR="00061F17" w:rsidRPr="00061F17" w:rsidRDefault="00061F17" w:rsidP="00061F17">
      <w:pPr>
        <w:autoSpaceDE w:val="0"/>
        <w:autoSpaceDN w:val="0"/>
        <w:rPr>
          <w:rFonts w:cs="Arial"/>
          <w:szCs w:val="19"/>
          <w:lang w:val="en-US"/>
        </w:rPr>
      </w:pPr>
      <w:r w:rsidRPr="00061F17">
        <w:rPr>
          <w:rFonts w:cs="Arial"/>
          <w:szCs w:val="19"/>
          <w:lang w:val="en-US"/>
        </w:rPr>
        <w:lastRenderedPageBreak/>
        <w:t>4.6</w:t>
      </w:r>
      <w:r w:rsidRPr="00061F17">
        <w:rPr>
          <w:rFonts w:cs="Arial"/>
          <w:szCs w:val="19"/>
          <w:lang w:val="en-US"/>
        </w:rPr>
        <w:tab/>
        <w:t>Guidelines for State Government / Local Bodies for issue of clearance for installation of mobile towers at various locations in the licensed service area are under finalization. Similarly, various parameters to be checked by TERM Cell units to monitor the Radiation levels are also under finalization.</w:t>
      </w:r>
    </w:p>
    <w:p w:rsidR="00061F17" w:rsidRPr="00061F17" w:rsidRDefault="00061F17" w:rsidP="00061F17">
      <w:pPr>
        <w:autoSpaceDE w:val="0"/>
        <w:autoSpaceDN w:val="0"/>
        <w:rPr>
          <w:rFonts w:cs="Arial"/>
          <w:szCs w:val="19"/>
          <w:lang w:val="en-US"/>
        </w:rPr>
      </w:pPr>
      <w:r w:rsidRPr="00061F17">
        <w:rPr>
          <w:rFonts w:cs="Arial"/>
          <w:szCs w:val="19"/>
          <w:lang w:val="en-US"/>
        </w:rPr>
        <w:t>4.7</w:t>
      </w:r>
      <w:r w:rsidRPr="00061F17">
        <w:rPr>
          <w:rFonts w:cs="Arial"/>
          <w:szCs w:val="19"/>
          <w:lang w:val="en-US"/>
        </w:rPr>
        <w:tab/>
        <w:t xml:space="preserve">Various steps being taken by the Government of India regarding EMF related issues are available on DoT website </w:t>
      </w:r>
      <w:hyperlink r:id="rId36" w:history="1">
        <w:r w:rsidR="004A1AD2">
          <w:rPr>
            <w:rStyle w:val="Hyperlink"/>
            <w:rFonts w:cs="Arial"/>
            <w:szCs w:val="19"/>
            <w:lang w:val="en-US"/>
          </w:rPr>
          <w:t>www</w:t>
        </w:r>
        <w:r w:rsidRPr="00061F17">
          <w:rPr>
            <w:rStyle w:val="Hyperlink"/>
            <w:rFonts w:cs="Arial"/>
            <w:szCs w:val="19"/>
            <w:lang w:val="en-US"/>
          </w:rPr>
          <w:t>.dot.gov.in</w:t>
        </w:r>
      </w:hyperlink>
      <w:r w:rsidRPr="00061F17">
        <w:rPr>
          <w:rFonts w:cs="Arial"/>
          <w:szCs w:val="19"/>
          <w:lang w:val="en-US"/>
        </w:rPr>
        <w:t xml:space="preserve"> under the caption “Journey to EMF”.</w:t>
      </w:r>
    </w:p>
    <w:p w:rsidR="00061F17" w:rsidRPr="00061F17" w:rsidRDefault="00061F17" w:rsidP="00061F17">
      <w:pPr>
        <w:rPr>
          <w:rFonts w:cs="Arial"/>
          <w:szCs w:val="19"/>
          <w:lang w:val="en-US"/>
        </w:rPr>
      </w:pPr>
      <w:r w:rsidRPr="00061F17">
        <w:rPr>
          <w:rFonts w:cs="Arial"/>
          <w:szCs w:val="19"/>
          <w:lang w:val="en-US"/>
        </w:rPr>
        <w:t>4.8</w:t>
      </w:r>
      <w:r w:rsidRPr="00061F17">
        <w:rPr>
          <w:rFonts w:cs="Arial"/>
          <w:szCs w:val="19"/>
          <w:lang w:val="en-US"/>
        </w:rPr>
        <w:tab/>
        <w:t xml:space="preserve">Surprise test checks of BTS sites are also carried out by DoT to verify the compliance to revised norms. During surprise check by DoT’s TERM Cell Unit more than 100 BTS sites in many parts of the country including Mumbai were found radiating at much higher level than prescribed between the </w:t>
      </w:r>
      <w:proofErr w:type="gramStart"/>
      <w:r w:rsidRPr="00061F17">
        <w:rPr>
          <w:rFonts w:cs="Arial"/>
          <w:szCs w:val="19"/>
          <w:lang w:val="en-US"/>
        </w:rPr>
        <w:t>period</w:t>
      </w:r>
      <w:proofErr w:type="gramEnd"/>
      <w:r w:rsidRPr="00061F17">
        <w:rPr>
          <w:rFonts w:cs="Arial"/>
          <w:szCs w:val="19"/>
          <w:lang w:val="en-US"/>
        </w:rPr>
        <w:t xml:space="preserve"> September 2012 to March 2013.</w:t>
      </w:r>
    </w:p>
    <w:p w:rsidR="00061F17" w:rsidRPr="00061F17" w:rsidRDefault="00061F17" w:rsidP="00061F17">
      <w:pPr>
        <w:tabs>
          <w:tab w:val="left" w:pos="-5670"/>
          <w:tab w:val="left" w:pos="-4962"/>
        </w:tabs>
        <w:rPr>
          <w:rFonts w:eastAsia="Calibri" w:cs="Arial"/>
          <w:b/>
          <w:szCs w:val="19"/>
          <w:lang w:val="en-US"/>
        </w:rPr>
      </w:pPr>
      <w:r w:rsidRPr="00061F17">
        <w:rPr>
          <w:rFonts w:eastAsia="Calibri" w:cs="Arial"/>
          <w:b/>
          <w:szCs w:val="19"/>
          <w:lang w:val="en-US"/>
        </w:rPr>
        <w:t>5.</w:t>
      </w:r>
      <w:r w:rsidRPr="00061F17">
        <w:rPr>
          <w:rFonts w:eastAsia="Calibri" w:cs="Arial"/>
          <w:b/>
          <w:szCs w:val="19"/>
          <w:lang w:val="en-US"/>
        </w:rPr>
        <w:tab/>
        <w:t>Further Indian Initiatives on Scientific Assessment</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5.1</w:t>
      </w:r>
      <w:r w:rsidRPr="00061F17">
        <w:rPr>
          <w:rFonts w:eastAsia="Calibri" w:cs="Arial"/>
          <w:szCs w:val="19"/>
          <w:lang w:val="en-US"/>
        </w:rPr>
        <w:tab/>
        <w:t xml:space="preserve">Government of India, Department of Science &amp; Technology (DST) has constituted a committee on 01.10.2012 under the Chairmanship of Former Director General of Indian Council for Medical Research (ICMR), having members from Indian Institute of Technology (IIT) Chennai, Indian Institute of Toxicology Research, </w:t>
      </w:r>
      <w:proofErr w:type="spellStart"/>
      <w:r w:rsidRPr="00061F17">
        <w:rPr>
          <w:rFonts w:eastAsia="Calibri" w:cs="Arial"/>
          <w:szCs w:val="19"/>
          <w:lang w:val="en-US"/>
        </w:rPr>
        <w:t>Lucknow</w:t>
      </w:r>
      <w:proofErr w:type="spellEnd"/>
      <w:r w:rsidRPr="00061F17">
        <w:rPr>
          <w:rFonts w:eastAsia="Calibri" w:cs="Arial"/>
          <w:szCs w:val="19"/>
          <w:lang w:val="en-US"/>
        </w:rPr>
        <w:t xml:space="preserve">, Department of Telecom, Ministry of Environment &amp; Forest, ICMR and Department of Science &amp; Technology to examine the possible harmful effects from Cell towers on the population living in the vicinity and for developing the frame of reference for calling out Request For Proposals (RFP) for scientific assessment of health hazards and adverse impact on ecology.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5.2</w:t>
      </w:r>
      <w:r w:rsidRPr="00061F17">
        <w:rPr>
          <w:rFonts w:eastAsia="Calibri" w:cs="Arial"/>
          <w:szCs w:val="19"/>
          <w:lang w:val="en-US"/>
        </w:rPr>
        <w:tab/>
        <w:t>The Committee has invited R&amp;D proposals in June 2013 on the possible impact of EMF radiation exposure from mobile towers and handsets on life (humans, living organism, flora &amp; fauna and environment) and related initiatives. Eligible Scientist / Organizations – public or private, individually or in collaboration have been requested for submission of their proposal on or before 14</w:t>
      </w:r>
      <w:r w:rsidRPr="00061F17">
        <w:rPr>
          <w:rFonts w:eastAsia="Calibri" w:cs="Arial"/>
          <w:szCs w:val="19"/>
          <w:vertAlign w:val="superscript"/>
          <w:lang w:val="en-US"/>
        </w:rPr>
        <w:t>th</w:t>
      </w:r>
      <w:r w:rsidRPr="00061F17">
        <w:rPr>
          <w:rFonts w:eastAsia="Calibri" w:cs="Arial"/>
          <w:szCs w:val="19"/>
          <w:lang w:val="en-US"/>
        </w:rPr>
        <w:t xml:space="preserve"> August 2013.</w:t>
      </w:r>
    </w:p>
    <w:p w:rsidR="00061F17" w:rsidRPr="00061F17" w:rsidRDefault="00061F17" w:rsidP="00061F17">
      <w:pPr>
        <w:tabs>
          <w:tab w:val="left" w:pos="-5670"/>
          <w:tab w:val="left" w:pos="-4962"/>
        </w:tabs>
        <w:rPr>
          <w:rFonts w:eastAsia="Calibri" w:cs="Arial"/>
          <w:b/>
          <w:bCs/>
          <w:szCs w:val="19"/>
          <w:lang w:val="en-US"/>
        </w:rPr>
      </w:pPr>
      <w:r w:rsidRPr="00061F17">
        <w:rPr>
          <w:rFonts w:eastAsia="Calibri" w:cs="Arial"/>
          <w:b/>
          <w:szCs w:val="19"/>
          <w:lang w:val="en-US"/>
        </w:rPr>
        <w:t>6.</w:t>
      </w:r>
      <w:r w:rsidRPr="00061F17">
        <w:rPr>
          <w:rFonts w:eastAsia="Calibri" w:cs="Arial"/>
          <w:b/>
          <w:szCs w:val="19"/>
          <w:lang w:val="en-US"/>
        </w:rPr>
        <w:tab/>
        <w:t>Submissions</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w:t>
      </w:r>
      <w:r w:rsidRPr="00061F17">
        <w:rPr>
          <w:rFonts w:eastAsia="Calibri" w:cs="Arial"/>
          <w:szCs w:val="19"/>
          <w:lang w:val="en-US"/>
        </w:rPr>
        <w:tab/>
        <w:t>In a latest development, an Indian Delegation from DoT, Government of India had visited Geneva from 19 to 22 Feb. 2013 to discuss EMF Radiation related health issues with WHO Secretariat and Technical standards with ITU.</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6.2</w:t>
      </w:r>
      <w:r w:rsidRPr="00061F17">
        <w:rPr>
          <w:rFonts w:eastAsia="Calibri" w:cs="Arial"/>
          <w:szCs w:val="19"/>
          <w:lang w:val="en-US"/>
        </w:rPr>
        <w:tab/>
        <w:t xml:space="preserve">WHO officials suggested that lowering of the EMF radiation limit alone may not be adequate to achieve the desired results, though a strong regulation on siting of BTS Tower antennae could be more important. Few countries have imposed restrictions specifying the horizontal distance in regards to the installation of base station Antenna from sensitive locations in the urban planning itself.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6.3</w:t>
      </w:r>
      <w:r w:rsidRPr="00061F17">
        <w:rPr>
          <w:rFonts w:eastAsia="Calibri" w:cs="Arial"/>
          <w:szCs w:val="19"/>
          <w:lang w:val="en-US"/>
        </w:rPr>
        <w:tab/>
        <w:t>Indian scenario with more than 10 mobile operators in each service area along with high population density is quite different from Europe</w:t>
      </w:r>
    </w:p>
    <w:p w:rsidR="00061F17" w:rsidRPr="00061F17" w:rsidRDefault="00061F17" w:rsidP="00061F17">
      <w:pPr>
        <w:tabs>
          <w:tab w:val="left" w:pos="-5670"/>
          <w:tab w:val="left" w:pos="-4962"/>
        </w:tabs>
        <w:rPr>
          <w:rFonts w:eastAsia="Calibri" w:cs="Arial"/>
          <w:bCs/>
          <w:szCs w:val="19"/>
          <w:lang w:val="en-US"/>
        </w:rPr>
      </w:pPr>
      <w:r w:rsidRPr="00061F17">
        <w:rPr>
          <w:rFonts w:eastAsia="Calibri" w:cs="Arial"/>
          <w:szCs w:val="19"/>
          <w:lang w:val="en-US"/>
        </w:rPr>
        <w:t>6.4</w:t>
      </w:r>
      <w:r w:rsidRPr="00061F17">
        <w:rPr>
          <w:rFonts w:eastAsia="Calibri" w:cs="Arial"/>
          <w:szCs w:val="19"/>
          <w:lang w:val="en-US"/>
        </w:rPr>
        <w:tab/>
        <w:t xml:space="preserve">Officials from International Agency on Cancer Research (IARC) at Lyon, France indicated that in Europe Mobile Towers are not considered as a threat as Antennas are at higher levels /heights and fairly distant apart. </w:t>
      </w:r>
    </w:p>
    <w:p w:rsidR="00061F17" w:rsidRPr="00061F17" w:rsidRDefault="00061F17" w:rsidP="00061F17">
      <w:pPr>
        <w:tabs>
          <w:tab w:val="left" w:pos="-5670"/>
          <w:tab w:val="left" w:pos="-4962"/>
        </w:tabs>
        <w:contextualSpacing/>
        <w:rPr>
          <w:rFonts w:eastAsia="Calibri" w:cs="Arial"/>
          <w:bCs/>
          <w:szCs w:val="19"/>
          <w:lang w:val="en-US"/>
        </w:rPr>
      </w:pPr>
      <w:r w:rsidRPr="00061F17">
        <w:rPr>
          <w:rFonts w:eastAsia="Calibri" w:cs="Arial"/>
          <w:szCs w:val="19"/>
          <w:lang w:val="en-US"/>
        </w:rPr>
        <w:t xml:space="preserve">6.5 </w:t>
      </w:r>
      <w:r w:rsidRPr="00061F17">
        <w:rPr>
          <w:rFonts w:eastAsia="Calibri" w:cs="Arial"/>
          <w:szCs w:val="19"/>
          <w:lang w:val="en-US"/>
        </w:rPr>
        <w:tab/>
        <w:t>However, the conditions in India and other developing countries are totally different from those in Europe in terms of:</w:t>
      </w:r>
    </w:p>
    <w:p w:rsidR="00061F17" w:rsidRPr="00061F17" w:rsidRDefault="004D77DC" w:rsidP="00C71B8F">
      <w:pPr>
        <w:pStyle w:val="Enumlevel1"/>
        <w:rPr>
          <w:bCs/>
        </w:rPr>
      </w:pPr>
      <w:r>
        <w:t>‒</w:t>
      </w:r>
      <w:r w:rsidR="00061F17" w:rsidRPr="00061F17">
        <w:tab/>
      </w:r>
      <w:proofErr w:type="gramStart"/>
      <w:r w:rsidR="00061F17" w:rsidRPr="00061F17">
        <w:t>mobile</w:t>
      </w:r>
      <w:proofErr w:type="gramEnd"/>
      <w:r w:rsidR="00061F17" w:rsidRPr="00061F17">
        <w:t xml:space="preserve"> phone usages, </w:t>
      </w:r>
    </w:p>
    <w:p w:rsidR="00061F17" w:rsidRPr="00061F17" w:rsidRDefault="004D77DC" w:rsidP="00C71B8F">
      <w:pPr>
        <w:pStyle w:val="Enumlevel1"/>
        <w:rPr>
          <w:bCs/>
        </w:rPr>
      </w:pPr>
      <w:r>
        <w:t>‒</w:t>
      </w:r>
      <w:r w:rsidR="00061F17" w:rsidRPr="00061F17">
        <w:tab/>
      </w:r>
      <w:proofErr w:type="gramStart"/>
      <w:r w:rsidR="00061F17" w:rsidRPr="00061F17">
        <w:t>number</w:t>
      </w:r>
      <w:proofErr w:type="gramEnd"/>
      <w:r w:rsidR="00061F17" w:rsidRPr="00061F17">
        <w:t xml:space="preserve"> of operators, </w:t>
      </w:r>
    </w:p>
    <w:p w:rsidR="00061F17" w:rsidRPr="00061F17" w:rsidRDefault="004D77DC" w:rsidP="00C71B8F">
      <w:pPr>
        <w:pStyle w:val="Enumlevel1"/>
        <w:rPr>
          <w:bCs/>
        </w:rPr>
      </w:pPr>
      <w:r>
        <w:rPr>
          <w:rFonts w:eastAsia="Calibri"/>
        </w:rPr>
        <w:t>‒</w:t>
      </w:r>
      <w:r w:rsidR="00061F17" w:rsidRPr="00061F17">
        <w:rPr>
          <w:rFonts w:eastAsia="Calibri"/>
        </w:rPr>
        <w:tab/>
      </w:r>
      <w:r w:rsidR="00061F17" w:rsidRPr="00061F17">
        <w:t xml:space="preserve">higher levels of population density, </w:t>
      </w:r>
    </w:p>
    <w:p w:rsidR="00061F17" w:rsidRPr="00061F17" w:rsidRDefault="004D77DC" w:rsidP="00C71B8F">
      <w:pPr>
        <w:pStyle w:val="Enumlevel1"/>
        <w:rPr>
          <w:bCs/>
        </w:rPr>
      </w:pPr>
      <w:r>
        <w:t>‒</w:t>
      </w:r>
      <w:r w:rsidR="00061F17" w:rsidRPr="00061F17">
        <w:tab/>
        <w:t xml:space="preserve">in-organic growth in urban areas, </w:t>
      </w:r>
    </w:p>
    <w:p w:rsidR="00061F17" w:rsidRPr="00061F17" w:rsidRDefault="004D77DC" w:rsidP="00C71B8F">
      <w:pPr>
        <w:pStyle w:val="Enumlevel1"/>
        <w:rPr>
          <w:bCs/>
        </w:rPr>
      </w:pPr>
      <w:r>
        <w:t>‒</w:t>
      </w:r>
      <w:r w:rsidR="00061F17" w:rsidRPr="00061F17">
        <w:tab/>
      </w:r>
      <w:proofErr w:type="gramStart"/>
      <w:r w:rsidR="00061F17" w:rsidRPr="00061F17">
        <w:t>narrow</w:t>
      </w:r>
      <w:proofErr w:type="gramEnd"/>
      <w:r w:rsidR="00061F17" w:rsidRPr="00061F17">
        <w:t xml:space="preserve"> lanes separating buildings, </w:t>
      </w:r>
    </w:p>
    <w:p w:rsidR="00061F17" w:rsidRPr="00061F17" w:rsidRDefault="004D77DC" w:rsidP="00C71B8F">
      <w:pPr>
        <w:pStyle w:val="Enumlevel1"/>
        <w:rPr>
          <w:bCs/>
        </w:rPr>
      </w:pPr>
      <w:r>
        <w:t>‒</w:t>
      </w:r>
      <w:r w:rsidR="00061F17" w:rsidRPr="00061F17">
        <w:tab/>
      </w:r>
      <w:proofErr w:type="gramStart"/>
      <w:r w:rsidR="00061F17" w:rsidRPr="00061F17">
        <w:t>lower</w:t>
      </w:r>
      <w:proofErr w:type="gramEnd"/>
      <w:r w:rsidR="00061F17" w:rsidRPr="00061F17">
        <w:t xml:space="preserve"> body mass index, </w:t>
      </w:r>
    </w:p>
    <w:p w:rsidR="00061F17" w:rsidRPr="00061F17" w:rsidRDefault="004D77DC" w:rsidP="00C71B8F">
      <w:pPr>
        <w:pStyle w:val="Enumlevel1"/>
        <w:rPr>
          <w:bCs/>
        </w:rPr>
      </w:pPr>
      <w:r>
        <w:t>‒</w:t>
      </w:r>
      <w:r w:rsidR="00061F17" w:rsidRPr="00061F17">
        <w:tab/>
      </w:r>
      <w:proofErr w:type="gramStart"/>
      <w:r w:rsidR="00061F17" w:rsidRPr="00061F17">
        <w:t>lower</w:t>
      </w:r>
      <w:proofErr w:type="gramEnd"/>
      <w:r w:rsidR="00061F17" w:rsidRPr="00061F17">
        <w:t xml:space="preserve"> fat content, </w:t>
      </w:r>
    </w:p>
    <w:p w:rsidR="00C407FD" w:rsidRDefault="00C407FD" w:rsidP="00C71B8F">
      <w:pPr>
        <w:pStyle w:val="Enumlevel1"/>
      </w:pPr>
      <w:r>
        <w:br w:type="page"/>
      </w:r>
    </w:p>
    <w:p w:rsidR="00061F17" w:rsidRPr="00061F17" w:rsidRDefault="004D77DC" w:rsidP="00C71B8F">
      <w:pPr>
        <w:pStyle w:val="Enumlevel1"/>
        <w:rPr>
          <w:bCs/>
        </w:rPr>
      </w:pPr>
      <w:r>
        <w:lastRenderedPageBreak/>
        <w:t>‒</w:t>
      </w:r>
      <w:r w:rsidR="00061F17" w:rsidRPr="00061F17">
        <w:tab/>
      </w:r>
      <w:proofErr w:type="gramStart"/>
      <w:r w:rsidR="00061F17" w:rsidRPr="00061F17">
        <w:t>lesser</w:t>
      </w:r>
      <w:proofErr w:type="gramEnd"/>
      <w:r w:rsidR="00061F17" w:rsidRPr="00061F17">
        <w:t xml:space="preserve"> spectrum per operator,</w:t>
      </w:r>
    </w:p>
    <w:p w:rsidR="00061F17" w:rsidRPr="00061F17" w:rsidRDefault="004D77DC" w:rsidP="00C71B8F">
      <w:pPr>
        <w:pStyle w:val="Enumlevel1"/>
        <w:rPr>
          <w:bCs/>
        </w:rPr>
      </w:pPr>
      <w:r>
        <w:t>‒</w:t>
      </w:r>
      <w:r w:rsidR="00061F17" w:rsidRPr="00061F17">
        <w:tab/>
        <w:t xml:space="preserve">radiated power being 20 Watt per sector, </w:t>
      </w:r>
    </w:p>
    <w:p w:rsidR="00061F17" w:rsidRPr="00061F17" w:rsidRDefault="004D77DC" w:rsidP="00C71B8F">
      <w:pPr>
        <w:pStyle w:val="Enumlevel1"/>
        <w:rPr>
          <w:bCs/>
        </w:rPr>
      </w:pPr>
      <w:r>
        <w:t>‒</w:t>
      </w:r>
      <w:r w:rsidR="00061F17" w:rsidRPr="00061F17">
        <w:tab/>
      </w:r>
      <w:proofErr w:type="gramStart"/>
      <w:r w:rsidR="00061F17" w:rsidRPr="00061F17">
        <w:t>higher</w:t>
      </w:r>
      <w:proofErr w:type="gramEnd"/>
      <w:r w:rsidR="00061F17" w:rsidRPr="00061F17">
        <w:t xml:space="preserve"> levels of RF exposure on account of multiple operators having BTSs on same tower, and </w:t>
      </w:r>
    </w:p>
    <w:p w:rsidR="00061F17" w:rsidRPr="00061F17" w:rsidRDefault="004D77DC" w:rsidP="00C71B8F">
      <w:pPr>
        <w:pStyle w:val="Enumlevel1"/>
        <w:rPr>
          <w:bCs/>
        </w:rPr>
      </w:pPr>
      <w:r>
        <w:t>‒</w:t>
      </w:r>
      <w:r w:rsidR="00061F17" w:rsidRPr="00061F17">
        <w:tab/>
        <w:t>Antennas mounted at lower heights etc.</w:t>
      </w:r>
    </w:p>
    <w:p w:rsidR="00061F17" w:rsidRPr="00061F17" w:rsidRDefault="004D77DC" w:rsidP="00C71B8F">
      <w:pPr>
        <w:pStyle w:val="Enumlevel1"/>
        <w:rPr>
          <w:bCs/>
        </w:rPr>
      </w:pPr>
      <w:r>
        <w:t>‒</w:t>
      </w:r>
      <w:r w:rsidR="00061F17" w:rsidRPr="00061F17">
        <w:tab/>
        <w:t>Poor coverage conditions also lead handsets to operate at higher levels of power</w:t>
      </w:r>
    </w:p>
    <w:p w:rsidR="00061F17" w:rsidRPr="00061F17" w:rsidRDefault="004D77DC" w:rsidP="00C71B8F">
      <w:pPr>
        <w:pStyle w:val="Enumlevel1"/>
        <w:rPr>
          <w:bCs/>
        </w:rPr>
      </w:pPr>
      <w:r>
        <w:t>‒</w:t>
      </w:r>
      <w:r w:rsidR="00061F17" w:rsidRPr="00061F17">
        <w:tab/>
        <w:t>Outsourcing of infrastructure installation &amp; maintenance to third parties by operators</w:t>
      </w:r>
    </w:p>
    <w:p w:rsidR="00061F17" w:rsidRPr="00061F17" w:rsidRDefault="004D77DC" w:rsidP="00C71B8F">
      <w:pPr>
        <w:pStyle w:val="Enumlevel1"/>
      </w:pPr>
      <w:r>
        <w:t>‒</w:t>
      </w:r>
      <w:r w:rsidR="00061F17" w:rsidRPr="00061F17">
        <w:tab/>
      </w:r>
      <w:proofErr w:type="gramStart"/>
      <w:r w:rsidR="00061F17" w:rsidRPr="00061F17">
        <w:t>Inadequate</w:t>
      </w:r>
      <w:proofErr w:type="gramEnd"/>
      <w:r w:rsidR="00061F17" w:rsidRPr="00061F17">
        <w:t xml:space="preserve"> technical expertise at field level and local authorities to understand exclusion zone calculations based on ITU K series recommendations.  This also needs to be seen in the background of monitoring requirements extending to 0.747 million BTSs as in Annexure II.</w:t>
      </w:r>
    </w:p>
    <w:p w:rsidR="00061F17" w:rsidRPr="00061F17" w:rsidRDefault="00061F17" w:rsidP="00061F17">
      <w:pPr>
        <w:tabs>
          <w:tab w:val="left" w:pos="-5670"/>
          <w:tab w:val="left" w:pos="-4962"/>
        </w:tabs>
        <w:rPr>
          <w:rFonts w:cs="Arial"/>
          <w:b/>
          <w:bCs/>
          <w:szCs w:val="19"/>
          <w:lang w:val="en-US"/>
        </w:rPr>
      </w:pPr>
      <w:r w:rsidRPr="00061F17">
        <w:rPr>
          <w:rFonts w:cs="Arial"/>
          <w:szCs w:val="19"/>
          <w:lang w:val="en-US"/>
        </w:rPr>
        <w:t xml:space="preserve">Some of the typical Wall mounted BTS installation photographs are enclosed in the </w:t>
      </w:r>
      <w:r w:rsidRPr="00061F17">
        <w:rPr>
          <w:rFonts w:cs="Arial"/>
          <w:b/>
          <w:szCs w:val="19"/>
          <w:lang w:val="en-US"/>
        </w:rPr>
        <w:t xml:space="preserve">Annex </w:t>
      </w:r>
      <w:r w:rsidRPr="00061F17">
        <w:rPr>
          <w:rFonts w:cs="Arial"/>
          <w:szCs w:val="19"/>
          <w:lang w:val="en-US"/>
        </w:rPr>
        <w:t>from city of Mumbai, India</w:t>
      </w:r>
      <w:r w:rsidRPr="00061F17">
        <w:rPr>
          <w:rFonts w:cs="Arial"/>
          <w:b/>
          <w:szCs w:val="19"/>
          <w:lang w:val="en-US"/>
        </w:rPr>
        <w:t>.</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6.6</w:t>
      </w:r>
      <w:r w:rsidRPr="00061F17">
        <w:rPr>
          <w:rFonts w:eastAsia="Calibri" w:cs="Arial"/>
          <w:szCs w:val="19"/>
          <w:lang w:val="en-US"/>
        </w:rPr>
        <w:tab/>
        <w:t xml:space="preserve">During discussions on Indian scenario, IARC felt that their present research that is addressing only Mobile Handsets may have to be reassessed to include Mobile Towers also.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6.7</w:t>
      </w:r>
      <w:r w:rsidRPr="00061F17">
        <w:rPr>
          <w:rFonts w:eastAsia="Calibri" w:cs="Arial"/>
          <w:szCs w:val="19"/>
          <w:lang w:val="en-US"/>
        </w:rPr>
        <w:tab/>
        <w:t>A research project focusing on measurements of exposure levels from base stations in densely populated areas and areas covered by many base stations, level of usage, and measurements of emissions from regular and counterfeit mobile phones, was considered to be of great scientific interest by IARC. Based on the suggestions from IARC, Mobile Handset usage study was taken up by licensor in India.</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6.8</w:t>
      </w:r>
      <w:r w:rsidRPr="00061F17">
        <w:rPr>
          <w:rFonts w:eastAsia="Calibri" w:cs="Arial"/>
          <w:szCs w:val="19"/>
          <w:lang w:val="en-US"/>
        </w:rPr>
        <w:tab/>
        <w:t>DoT obtained the latest version of ITU’s EMF estimator Software and organized an ITU Workshop on 21</w:t>
      </w:r>
      <w:r w:rsidRPr="00061F17">
        <w:rPr>
          <w:rFonts w:eastAsia="Calibri" w:cs="Arial"/>
          <w:szCs w:val="19"/>
          <w:vertAlign w:val="superscript"/>
          <w:lang w:val="en-US"/>
        </w:rPr>
        <w:t xml:space="preserve">st </w:t>
      </w:r>
      <w:r w:rsidRPr="00061F17">
        <w:rPr>
          <w:rFonts w:eastAsia="Calibri" w:cs="Arial"/>
          <w:szCs w:val="19"/>
          <w:lang w:val="en-US"/>
        </w:rPr>
        <w:t>&amp; 22</w:t>
      </w:r>
      <w:r w:rsidRPr="00061F17">
        <w:rPr>
          <w:rFonts w:eastAsia="Calibri" w:cs="Arial"/>
          <w:szCs w:val="19"/>
          <w:vertAlign w:val="superscript"/>
          <w:lang w:val="en-US"/>
        </w:rPr>
        <w:t>nd</w:t>
      </w:r>
      <w:r w:rsidRPr="00061F17">
        <w:rPr>
          <w:rFonts w:eastAsia="Calibri" w:cs="Arial"/>
          <w:szCs w:val="19"/>
          <w:lang w:val="en-US"/>
        </w:rPr>
        <w:t xml:space="preserve"> May 2013 at Delhi. The Workshop has facilitated Indian Telecom Service Providers for better evaluation on the human exposure to electromagnetic field from multiple sources of communication installation, and for taking steps to reduce the radiation levels in the areas around transmitting stations.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6.9</w:t>
      </w:r>
      <w:r w:rsidRPr="00061F17">
        <w:rPr>
          <w:rFonts w:eastAsia="Calibri" w:cs="Arial"/>
          <w:szCs w:val="19"/>
          <w:lang w:val="en-US"/>
        </w:rPr>
        <w:tab/>
        <w:t xml:space="preserve">Minutes of Usage/ Hours of Mobile Hand Usage by Indian Service Providers has been collected from Indian Mobile Operators across various Licensing Service Areas, based on IARC suggestion as in Para 6.7 above. The detailed data is enclosed as </w:t>
      </w:r>
      <w:r w:rsidRPr="00061F17">
        <w:rPr>
          <w:rFonts w:eastAsia="Calibri" w:cs="Arial"/>
          <w:b/>
          <w:szCs w:val="19"/>
          <w:lang w:val="en-US"/>
        </w:rPr>
        <w:t>Annex 10C</w:t>
      </w:r>
      <w:r w:rsidRPr="00061F17">
        <w:rPr>
          <w:rFonts w:eastAsia="Calibri" w:cs="Arial"/>
          <w:szCs w:val="19"/>
          <w:lang w:val="en-US"/>
        </w:rPr>
        <w:t xml:space="preserve">. There are 22 Licensed Service Areas and on an average, there are 10 Mobile Operators in each Licensed Area. </w:t>
      </w:r>
    </w:p>
    <w:p w:rsidR="00061F17" w:rsidRPr="00061F17" w:rsidRDefault="00061F17" w:rsidP="00061F17">
      <w:pPr>
        <w:tabs>
          <w:tab w:val="left" w:pos="-5670"/>
          <w:tab w:val="left" w:pos="-4962"/>
        </w:tabs>
        <w:rPr>
          <w:rFonts w:eastAsia="Calibri" w:cs="Arial"/>
          <w:bCs/>
          <w:szCs w:val="19"/>
          <w:lang w:val="en-US"/>
        </w:rPr>
      </w:pPr>
      <w:r w:rsidRPr="00061F17">
        <w:rPr>
          <w:rFonts w:eastAsia="Calibri" w:cs="Arial"/>
          <w:szCs w:val="19"/>
          <w:lang w:val="en-US"/>
        </w:rPr>
        <w:t>6.10</w:t>
      </w:r>
      <w:r w:rsidRPr="00061F17">
        <w:rPr>
          <w:rFonts w:eastAsia="Calibri" w:cs="Arial"/>
          <w:szCs w:val="19"/>
          <w:lang w:val="en-US"/>
        </w:rPr>
        <w:tab/>
        <w:t xml:space="preserve">Typical Results show that on an average more than 100,000 Mobile users of one operator in one licensed service area have about 2 hours of mobile usage per day. Taking on an average 10 operators in all the 22 service area in India, at least 20 million mobile users have mobile usage of 2 or more hours per day. </w:t>
      </w:r>
    </w:p>
    <w:p w:rsidR="00061F17" w:rsidRPr="00061F17" w:rsidRDefault="00061F17" w:rsidP="00061F17">
      <w:pPr>
        <w:tabs>
          <w:tab w:val="left" w:pos="-5670"/>
          <w:tab w:val="left" w:pos="-4962"/>
        </w:tabs>
        <w:rPr>
          <w:rFonts w:eastAsia="Calibri" w:cs="Arial"/>
          <w:bCs/>
          <w:szCs w:val="19"/>
          <w:lang w:val="en-US"/>
        </w:rPr>
      </w:pPr>
      <w:r w:rsidRPr="00061F17">
        <w:rPr>
          <w:rFonts w:eastAsia="Calibri" w:cs="Arial"/>
          <w:szCs w:val="19"/>
          <w:lang w:val="en-US"/>
        </w:rPr>
        <w:t>6.11</w:t>
      </w:r>
      <w:r w:rsidRPr="00061F17">
        <w:rPr>
          <w:rFonts w:eastAsia="Calibri" w:cs="Arial"/>
          <w:szCs w:val="19"/>
          <w:lang w:val="en-US"/>
        </w:rPr>
        <w:tab/>
        <w:t>In Europe, the tariff for mobile service is higher than fixed telephone service and the Tele-density for both Mobile &amp; Fixed Lines phones is comparable to the level of 100+ in Europe and that explains lower levels of usage of mobile.</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6.12</w:t>
      </w:r>
      <w:r w:rsidRPr="00061F17">
        <w:rPr>
          <w:rFonts w:eastAsia="Calibri" w:cs="Arial"/>
          <w:szCs w:val="19"/>
          <w:lang w:val="en-US"/>
        </w:rPr>
        <w:tab/>
        <w:t xml:space="preserve">Whereas, in developing countries the tariff for Mobile &amp; Fixed telephone is almost same and </w:t>
      </w:r>
      <w:proofErr w:type="spellStart"/>
      <w:r w:rsidRPr="00061F17">
        <w:rPr>
          <w:rFonts w:eastAsia="Calibri" w:cs="Arial"/>
          <w:szCs w:val="19"/>
          <w:lang w:val="en-US"/>
        </w:rPr>
        <w:t>tele</w:t>
      </w:r>
      <w:proofErr w:type="spellEnd"/>
      <w:r w:rsidRPr="00061F17">
        <w:rPr>
          <w:rFonts w:eastAsia="Calibri" w:cs="Arial"/>
          <w:szCs w:val="19"/>
          <w:lang w:val="en-US"/>
        </w:rPr>
        <w:t xml:space="preserve">-density for mobile telephones are generally above 90% whereas it is less than 10% for </w:t>
      </w:r>
      <w:proofErr w:type="gramStart"/>
      <w:r w:rsidRPr="00061F17">
        <w:rPr>
          <w:rFonts w:eastAsia="Calibri" w:cs="Arial"/>
          <w:szCs w:val="19"/>
          <w:lang w:val="en-US"/>
        </w:rPr>
        <w:t>Fixed</w:t>
      </w:r>
      <w:proofErr w:type="gramEnd"/>
      <w:r w:rsidRPr="00061F17">
        <w:rPr>
          <w:rFonts w:eastAsia="Calibri" w:cs="Arial"/>
          <w:szCs w:val="19"/>
          <w:lang w:val="en-US"/>
        </w:rPr>
        <w:t xml:space="preserve"> telephones.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6.13</w:t>
      </w:r>
      <w:r w:rsidRPr="00061F17">
        <w:rPr>
          <w:rFonts w:eastAsia="Calibri" w:cs="Arial"/>
          <w:szCs w:val="19"/>
          <w:lang w:val="en-US"/>
        </w:rPr>
        <w:tab/>
        <w:t xml:space="preserve">The usage in Indian study is many folds higher than Inter Phone Study inputs that are referenced in IARC’s Monograph 102 on EMF published on 24/4/2013 which on Page 421 (Chapter 6 on Conclusions) states “Radiofrequency Electromagnetic fields are possibly carcinogenic to humans (Group 2B).”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6.14</w:t>
      </w:r>
      <w:r w:rsidRPr="00061F17">
        <w:rPr>
          <w:rFonts w:eastAsia="Calibri" w:cs="Arial"/>
          <w:szCs w:val="19"/>
          <w:lang w:val="en-US"/>
        </w:rPr>
        <w:tab/>
        <w:t xml:space="preserve">IARC and WHO need to go further from IARC Monographs’ 102 findings with focus on latest available inputs from developing world outside Europe. Inputs from Indian Case Study as above, is an example.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6.15</w:t>
      </w:r>
      <w:r w:rsidRPr="00061F17">
        <w:rPr>
          <w:rFonts w:eastAsia="Calibri" w:cs="Arial"/>
          <w:szCs w:val="19"/>
          <w:lang w:val="en-US"/>
        </w:rPr>
        <w:tab/>
        <w:t>ITU needs to have a relook at all EMF related initiatives through Study Groups. Possibly a new ITU Focus Group on ‘EMF Radiation &amp; Health Issues’ cutting across ITU-T, ITU-R and ITU-D needs to be constituted.</w:t>
      </w:r>
    </w:p>
    <w:p w:rsidR="00061F17" w:rsidRPr="00061F17" w:rsidRDefault="00061F17" w:rsidP="00061F17">
      <w:pPr>
        <w:keepNext/>
        <w:keepLines/>
        <w:tabs>
          <w:tab w:val="left" w:pos="-5670"/>
          <w:tab w:val="left" w:pos="-4962"/>
        </w:tabs>
        <w:rPr>
          <w:rFonts w:eastAsia="Calibri" w:cs="Arial"/>
          <w:bCs/>
          <w:szCs w:val="19"/>
          <w:lang w:val="en-US"/>
        </w:rPr>
      </w:pPr>
      <w:r w:rsidRPr="00061F17">
        <w:rPr>
          <w:rFonts w:eastAsia="Calibri" w:cs="Arial"/>
          <w:szCs w:val="19"/>
          <w:lang w:val="en-US"/>
        </w:rPr>
        <w:lastRenderedPageBreak/>
        <w:t>6.16</w:t>
      </w:r>
      <w:r w:rsidRPr="00061F17">
        <w:rPr>
          <w:rFonts w:eastAsia="Calibri" w:cs="Arial"/>
          <w:szCs w:val="19"/>
          <w:lang w:val="en-US"/>
        </w:rPr>
        <w:tab/>
        <w:t xml:space="preserve">Though ITU Recommendations on EMF calculations including exclusion zone distance calculations and EMF Estimator Software are available, but further up-gradation of the software is required.  India has already written to Secretary General (ITU) &amp; Director TSB (ITU) with a request to make it more </w:t>
      </w:r>
      <w:proofErr w:type="gramStart"/>
      <w:r w:rsidRPr="00061F17">
        <w:rPr>
          <w:rFonts w:eastAsia="Calibri" w:cs="Arial"/>
          <w:szCs w:val="19"/>
          <w:lang w:val="en-US"/>
        </w:rPr>
        <w:t>user</w:t>
      </w:r>
      <w:proofErr w:type="gramEnd"/>
      <w:r w:rsidRPr="00061F17">
        <w:rPr>
          <w:rFonts w:eastAsia="Calibri" w:cs="Arial"/>
          <w:szCs w:val="19"/>
          <w:lang w:val="en-US"/>
        </w:rPr>
        <w:t xml:space="preserve"> friendly and a special feature incorporating acceptance of Excel data based BTS data inputs by EMF Estimator software and avoiding manual keying of all the data. Further, linkages with 3D maps have also been requested.</w:t>
      </w:r>
    </w:p>
    <w:p w:rsidR="00061F17" w:rsidRPr="00061F17" w:rsidRDefault="00061F17" w:rsidP="00061F17">
      <w:pPr>
        <w:rPr>
          <w:rFonts w:cs="Arial"/>
          <w:szCs w:val="19"/>
          <w:lang w:val="en-US"/>
        </w:rPr>
      </w:pPr>
      <w:r w:rsidRPr="00061F17">
        <w:rPr>
          <w:rFonts w:eastAsia="Calibri" w:cs="Arial"/>
          <w:szCs w:val="19"/>
          <w:lang w:val="en-US"/>
        </w:rPr>
        <w:t>6.17</w:t>
      </w:r>
      <w:r w:rsidRPr="00061F17">
        <w:rPr>
          <w:rFonts w:eastAsia="Calibri" w:cs="Arial"/>
          <w:szCs w:val="19"/>
          <w:lang w:val="en-US"/>
        </w:rPr>
        <w:tab/>
        <w:t xml:space="preserve">An ITU Handbook on EMF Radiation should also be taken up by ITU-D under Q 23/1 or proposed Focus Group. It can include ITU’s generic guidelines on EMF including safe distances to be maintained for populated location directly falling within the main radiated lobe coverage based on typical shared sites radiating at say 20 Watts/ sector along with other safe usage instructions. The Handbook should also include “How to minimize exposures to EMF Radiations from Mobile Towers and handsets”, Do’s&amp; Don’t related to mobile phone usage, clarifications on various myths regarding </w:t>
      </w:r>
      <w:r w:rsidRPr="00061F17">
        <w:rPr>
          <w:rFonts w:cs="Arial"/>
          <w:szCs w:val="19"/>
          <w:lang w:val="en-US"/>
        </w:rPr>
        <w:t>deployment, use of Radio waves / Safety Standards and frequently asked questions relating to Mobile phones &amp; Human health. The Handbook shall help in facilitating the right inputs for world telecom community and create an environment where everyone can use the radio wave safely.</w:t>
      </w:r>
    </w:p>
    <w:p w:rsidR="00061F17" w:rsidRPr="00061F17" w:rsidRDefault="00061F17" w:rsidP="00061F17">
      <w:pPr>
        <w:spacing w:before="0"/>
        <w:rPr>
          <w:rFonts w:eastAsia="Calibri" w:cs="Arial"/>
          <w:b/>
          <w:szCs w:val="19"/>
          <w:lang w:val="en-US"/>
        </w:rPr>
      </w:pPr>
      <w:r w:rsidRPr="00061F17">
        <w:rPr>
          <w:rFonts w:eastAsia="Calibri" w:cs="Arial"/>
          <w:b/>
          <w:szCs w:val="19"/>
          <w:lang w:val="en-US"/>
        </w:rPr>
        <w:br w:type="page"/>
      </w:r>
    </w:p>
    <w:p w:rsidR="00061F17" w:rsidRDefault="00061F17" w:rsidP="00534837">
      <w:pPr>
        <w:pStyle w:val="Heading1"/>
        <w:tabs>
          <w:tab w:val="left" w:pos="1418"/>
        </w:tabs>
        <w:ind w:left="1418" w:hanging="1418"/>
        <w:rPr>
          <w:rFonts w:eastAsia="Calibri"/>
        </w:rPr>
      </w:pPr>
      <w:bookmarkStart w:id="168" w:name="_Toc374691852"/>
      <w:r w:rsidRPr="00061F17">
        <w:rPr>
          <w:rFonts w:eastAsia="Calibri"/>
        </w:rPr>
        <w:lastRenderedPageBreak/>
        <w:t xml:space="preserve">Annex 10A: </w:t>
      </w:r>
      <w:r w:rsidR="00A051DF">
        <w:rPr>
          <w:rFonts w:eastAsia="Calibri"/>
        </w:rPr>
        <w:tab/>
      </w:r>
      <w:r w:rsidRPr="00061F17">
        <w:rPr>
          <w:rFonts w:eastAsia="Calibri"/>
        </w:rPr>
        <w:t>Wireless</w:t>
      </w:r>
      <w:r w:rsidR="00A051DF">
        <w:rPr>
          <w:rFonts w:eastAsia="Calibri"/>
        </w:rPr>
        <w:t> </w:t>
      </w:r>
      <w:r w:rsidRPr="00061F17">
        <w:rPr>
          <w:rFonts w:eastAsia="Calibri"/>
        </w:rPr>
        <w:t>/</w:t>
      </w:r>
      <w:r w:rsidR="00A051DF">
        <w:rPr>
          <w:rFonts w:eastAsia="Calibri"/>
        </w:rPr>
        <w:t> </w:t>
      </w:r>
      <w:r w:rsidRPr="00061F17">
        <w:rPr>
          <w:rFonts w:eastAsia="Calibri"/>
        </w:rPr>
        <w:t>Landline subscribers as on 31</w:t>
      </w:r>
      <w:r w:rsidRPr="00061F17">
        <w:rPr>
          <w:rFonts w:eastAsia="Calibri"/>
          <w:vertAlign w:val="superscript"/>
        </w:rPr>
        <w:t>st</w:t>
      </w:r>
      <w:r w:rsidRPr="00061F17">
        <w:rPr>
          <w:rFonts w:eastAsia="Calibri"/>
        </w:rPr>
        <w:t xml:space="preserve"> March 2013 service area wise in India</w:t>
      </w:r>
      <w:bookmarkEnd w:id="168"/>
    </w:p>
    <w:p w:rsidR="00C71B8F" w:rsidRPr="00C71B8F" w:rsidRDefault="00C71B8F" w:rsidP="00C71B8F">
      <w:pPr>
        <w:rPr>
          <w:lang w:val="en-US"/>
        </w:rPr>
      </w:pPr>
    </w:p>
    <w:tbl>
      <w:tblPr>
        <w:tblStyle w:val="Style1"/>
        <w:tblW w:w="0" w:type="auto"/>
        <w:tblInd w:w="108" w:type="dxa"/>
        <w:tblLook w:val="04A0" w:firstRow="1" w:lastRow="0" w:firstColumn="1" w:lastColumn="0" w:noHBand="0" w:noVBand="1"/>
      </w:tblPr>
      <w:tblGrid>
        <w:gridCol w:w="720"/>
        <w:gridCol w:w="3060"/>
        <w:gridCol w:w="2610"/>
        <w:gridCol w:w="2682"/>
      </w:tblGrid>
      <w:tr w:rsidR="00061F17" w:rsidRPr="001D6905" w:rsidTr="00A11960">
        <w:trPr>
          <w:cnfStyle w:val="100000000000" w:firstRow="1" w:lastRow="0" w:firstColumn="0" w:lastColumn="0" w:oddVBand="0" w:evenVBand="0" w:oddHBand="0" w:evenHBand="0" w:firstRowFirstColumn="0" w:firstRowLastColumn="0" w:lastRowFirstColumn="0" w:lastRowLastColumn="0"/>
        </w:trPr>
        <w:tc>
          <w:tcPr>
            <w:tcW w:w="720" w:type="dxa"/>
          </w:tcPr>
          <w:p w:rsidR="00061F17" w:rsidRPr="00BD3B9A" w:rsidRDefault="00061F17" w:rsidP="00C71B8F">
            <w:pPr>
              <w:pStyle w:val="Tablehead"/>
            </w:pPr>
            <w:proofErr w:type="spellStart"/>
            <w:r w:rsidRPr="00BD3B9A">
              <w:t>Sl</w:t>
            </w:r>
            <w:proofErr w:type="spellEnd"/>
            <w:r w:rsidRPr="00BD3B9A">
              <w:t xml:space="preserve"> No.</w:t>
            </w:r>
          </w:p>
        </w:tc>
        <w:tc>
          <w:tcPr>
            <w:tcW w:w="3060" w:type="dxa"/>
          </w:tcPr>
          <w:p w:rsidR="00061F17" w:rsidRPr="00BD3B9A" w:rsidRDefault="00061F17" w:rsidP="00C71B8F">
            <w:pPr>
              <w:pStyle w:val="Tablehead"/>
            </w:pPr>
            <w:r w:rsidRPr="00BD3B9A">
              <w:t>License Service Area</w:t>
            </w:r>
          </w:p>
        </w:tc>
        <w:tc>
          <w:tcPr>
            <w:tcW w:w="2610" w:type="dxa"/>
          </w:tcPr>
          <w:p w:rsidR="00061F17" w:rsidRPr="00BD3B9A" w:rsidRDefault="00061F17" w:rsidP="00C71B8F">
            <w:pPr>
              <w:pStyle w:val="Tablehead"/>
            </w:pPr>
            <w:r w:rsidRPr="00BD3B9A">
              <w:t>Number of Wireless Subscriber</w:t>
            </w:r>
          </w:p>
        </w:tc>
        <w:tc>
          <w:tcPr>
            <w:tcW w:w="2682" w:type="dxa"/>
          </w:tcPr>
          <w:p w:rsidR="00061F17" w:rsidRPr="00BD3B9A" w:rsidRDefault="00061F17" w:rsidP="00C71B8F">
            <w:pPr>
              <w:pStyle w:val="Tablehead"/>
            </w:pPr>
            <w:r w:rsidRPr="00BD3B9A">
              <w:t>Number of Landline Subscriber</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w:t>
            </w:r>
          </w:p>
        </w:tc>
        <w:tc>
          <w:tcPr>
            <w:tcW w:w="3060" w:type="dxa"/>
          </w:tcPr>
          <w:p w:rsidR="00061F17" w:rsidRPr="001D6905" w:rsidRDefault="00061F17" w:rsidP="00C71B8F">
            <w:pPr>
              <w:pStyle w:val="Tabletext"/>
              <w:rPr>
                <w:rFonts w:eastAsia="Calibri"/>
              </w:rPr>
            </w:pPr>
            <w:r w:rsidRPr="001D6905">
              <w:t xml:space="preserve">Andhra </w:t>
            </w:r>
            <w:proofErr w:type="spellStart"/>
            <w:r w:rsidRPr="001D6905">
              <w:t>Pradesh</w:t>
            </w:r>
            <w:proofErr w:type="spellEnd"/>
          </w:p>
        </w:tc>
        <w:tc>
          <w:tcPr>
            <w:tcW w:w="2610" w:type="dxa"/>
          </w:tcPr>
          <w:p w:rsidR="00061F17" w:rsidRPr="001D6905" w:rsidRDefault="00061F17" w:rsidP="00C71B8F">
            <w:pPr>
              <w:pStyle w:val="Tabletext"/>
              <w:rPr>
                <w:rFonts w:eastAsia="Calibri"/>
              </w:rPr>
            </w:pPr>
            <w:r w:rsidRPr="001D6905">
              <w:t>64363622</w:t>
            </w:r>
          </w:p>
        </w:tc>
        <w:tc>
          <w:tcPr>
            <w:tcW w:w="2682" w:type="dxa"/>
          </w:tcPr>
          <w:p w:rsidR="00061F17" w:rsidRPr="001D6905" w:rsidRDefault="00061F17" w:rsidP="00C71B8F">
            <w:pPr>
              <w:pStyle w:val="Tabletext"/>
              <w:rPr>
                <w:rFonts w:eastAsia="Calibri"/>
                <w:lang w:val="en-GB" w:eastAsia="ar-SA"/>
              </w:rPr>
            </w:pPr>
            <w:r w:rsidRPr="001D6905">
              <w:t>2239363</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2</w:t>
            </w:r>
          </w:p>
        </w:tc>
        <w:tc>
          <w:tcPr>
            <w:tcW w:w="3060" w:type="dxa"/>
          </w:tcPr>
          <w:p w:rsidR="00061F17" w:rsidRPr="001D6905" w:rsidRDefault="00061F17" w:rsidP="00C71B8F">
            <w:pPr>
              <w:pStyle w:val="Tabletext"/>
              <w:rPr>
                <w:rFonts w:eastAsia="Calibri"/>
              </w:rPr>
            </w:pPr>
            <w:r w:rsidRPr="001D6905">
              <w:t>Assam</w:t>
            </w:r>
          </w:p>
        </w:tc>
        <w:tc>
          <w:tcPr>
            <w:tcW w:w="2610" w:type="dxa"/>
          </w:tcPr>
          <w:p w:rsidR="00061F17" w:rsidRPr="001D6905" w:rsidRDefault="00061F17" w:rsidP="00C71B8F">
            <w:pPr>
              <w:pStyle w:val="Tabletext"/>
              <w:rPr>
                <w:rFonts w:eastAsia="Calibri"/>
              </w:rPr>
            </w:pPr>
            <w:r w:rsidRPr="001D6905">
              <w:t>14387664</w:t>
            </w:r>
          </w:p>
        </w:tc>
        <w:tc>
          <w:tcPr>
            <w:tcW w:w="2682" w:type="dxa"/>
          </w:tcPr>
          <w:p w:rsidR="00061F17" w:rsidRPr="001D6905" w:rsidRDefault="00061F17" w:rsidP="00C71B8F">
            <w:pPr>
              <w:pStyle w:val="Tabletext"/>
              <w:rPr>
                <w:rFonts w:eastAsia="Calibri"/>
                <w:lang w:val="en-GB" w:eastAsia="ar-SA"/>
              </w:rPr>
            </w:pPr>
            <w:r w:rsidRPr="001D6905">
              <w:t>194395</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3</w:t>
            </w:r>
          </w:p>
        </w:tc>
        <w:tc>
          <w:tcPr>
            <w:tcW w:w="3060" w:type="dxa"/>
          </w:tcPr>
          <w:p w:rsidR="00061F17" w:rsidRPr="001D6905" w:rsidRDefault="00061F17" w:rsidP="00C71B8F">
            <w:pPr>
              <w:pStyle w:val="Tabletext"/>
              <w:rPr>
                <w:rFonts w:eastAsia="Calibri"/>
              </w:rPr>
            </w:pPr>
            <w:proofErr w:type="spellStart"/>
            <w:r w:rsidRPr="001D6905">
              <w:t>Bihar</w:t>
            </w:r>
            <w:proofErr w:type="spellEnd"/>
          </w:p>
        </w:tc>
        <w:tc>
          <w:tcPr>
            <w:tcW w:w="2610" w:type="dxa"/>
          </w:tcPr>
          <w:p w:rsidR="00061F17" w:rsidRPr="001D6905" w:rsidRDefault="00061F17" w:rsidP="00C71B8F">
            <w:pPr>
              <w:pStyle w:val="Tabletext"/>
              <w:rPr>
                <w:rFonts w:eastAsia="Calibri"/>
              </w:rPr>
            </w:pPr>
            <w:r w:rsidRPr="001D6905">
              <w:t>60301859</w:t>
            </w:r>
          </w:p>
        </w:tc>
        <w:tc>
          <w:tcPr>
            <w:tcW w:w="2682" w:type="dxa"/>
          </w:tcPr>
          <w:p w:rsidR="00061F17" w:rsidRPr="001D6905" w:rsidRDefault="00061F17" w:rsidP="00C71B8F">
            <w:pPr>
              <w:pStyle w:val="Tabletext"/>
              <w:rPr>
                <w:rFonts w:eastAsia="Calibri"/>
                <w:lang w:val="en-GB" w:eastAsia="ar-SA"/>
              </w:rPr>
            </w:pPr>
            <w:r w:rsidRPr="001D6905">
              <w:t>394129</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4</w:t>
            </w:r>
          </w:p>
        </w:tc>
        <w:tc>
          <w:tcPr>
            <w:tcW w:w="3060" w:type="dxa"/>
          </w:tcPr>
          <w:p w:rsidR="00061F17" w:rsidRPr="001D6905" w:rsidRDefault="00061F17" w:rsidP="00C71B8F">
            <w:pPr>
              <w:pStyle w:val="Tabletext"/>
              <w:rPr>
                <w:rFonts w:eastAsia="Calibri"/>
              </w:rPr>
            </w:pPr>
            <w:r w:rsidRPr="001D6905">
              <w:t>Delhi</w:t>
            </w:r>
          </w:p>
        </w:tc>
        <w:tc>
          <w:tcPr>
            <w:tcW w:w="2610" w:type="dxa"/>
          </w:tcPr>
          <w:p w:rsidR="00061F17" w:rsidRPr="001D6905" w:rsidRDefault="00061F17" w:rsidP="00C71B8F">
            <w:pPr>
              <w:pStyle w:val="Tabletext"/>
              <w:rPr>
                <w:rFonts w:eastAsia="Calibri"/>
              </w:rPr>
            </w:pPr>
            <w:r w:rsidRPr="001D6905">
              <w:t>40426200</w:t>
            </w:r>
          </w:p>
        </w:tc>
        <w:tc>
          <w:tcPr>
            <w:tcW w:w="2682" w:type="dxa"/>
          </w:tcPr>
          <w:p w:rsidR="00061F17" w:rsidRPr="001D6905" w:rsidRDefault="00061F17" w:rsidP="00C71B8F">
            <w:pPr>
              <w:pStyle w:val="Tabletext"/>
              <w:rPr>
                <w:rFonts w:eastAsia="Calibri"/>
                <w:lang w:val="en-GB" w:eastAsia="ar-SA"/>
              </w:rPr>
            </w:pPr>
            <w:r w:rsidRPr="001D6905">
              <w:t>2962600</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5</w:t>
            </w:r>
          </w:p>
        </w:tc>
        <w:tc>
          <w:tcPr>
            <w:tcW w:w="3060" w:type="dxa"/>
          </w:tcPr>
          <w:p w:rsidR="00061F17" w:rsidRPr="001D6905" w:rsidRDefault="00061F17" w:rsidP="00C71B8F">
            <w:pPr>
              <w:pStyle w:val="Tabletext"/>
              <w:rPr>
                <w:rFonts w:eastAsia="Calibri"/>
              </w:rPr>
            </w:pPr>
            <w:r w:rsidRPr="001D6905">
              <w:t>Gujarat</w:t>
            </w:r>
          </w:p>
        </w:tc>
        <w:tc>
          <w:tcPr>
            <w:tcW w:w="2610" w:type="dxa"/>
          </w:tcPr>
          <w:p w:rsidR="00061F17" w:rsidRPr="001D6905" w:rsidRDefault="00061F17" w:rsidP="00C71B8F">
            <w:pPr>
              <w:pStyle w:val="Tabletext"/>
              <w:rPr>
                <w:rFonts w:eastAsia="Calibri"/>
              </w:rPr>
            </w:pPr>
            <w:r w:rsidRPr="001D6905">
              <w:t>51693364</w:t>
            </w:r>
          </w:p>
        </w:tc>
        <w:tc>
          <w:tcPr>
            <w:tcW w:w="2682" w:type="dxa"/>
          </w:tcPr>
          <w:p w:rsidR="00061F17" w:rsidRPr="001D6905" w:rsidRDefault="00061F17" w:rsidP="00C71B8F">
            <w:pPr>
              <w:pStyle w:val="Tabletext"/>
              <w:rPr>
                <w:rFonts w:eastAsia="Calibri"/>
                <w:lang w:val="en-GB" w:eastAsia="ar-SA"/>
              </w:rPr>
            </w:pPr>
            <w:r w:rsidRPr="001D6905">
              <w:t>1792030</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6</w:t>
            </w:r>
          </w:p>
        </w:tc>
        <w:tc>
          <w:tcPr>
            <w:tcW w:w="3060" w:type="dxa"/>
          </w:tcPr>
          <w:p w:rsidR="00061F17" w:rsidRPr="001D6905" w:rsidRDefault="00061F17" w:rsidP="00C71B8F">
            <w:pPr>
              <w:pStyle w:val="Tabletext"/>
              <w:rPr>
                <w:rFonts w:eastAsia="Calibri"/>
              </w:rPr>
            </w:pPr>
            <w:r w:rsidRPr="001D6905">
              <w:t>Haryana</w:t>
            </w:r>
          </w:p>
        </w:tc>
        <w:tc>
          <w:tcPr>
            <w:tcW w:w="2610" w:type="dxa"/>
          </w:tcPr>
          <w:p w:rsidR="00061F17" w:rsidRPr="001D6905" w:rsidRDefault="00061F17" w:rsidP="00C71B8F">
            <w:pPr>
              <w:pStyle w:val="Tabletext"/>
              <w:rPr>
                <w:rFonts w:eastAsia="Calibri"/>
              </w:rPr>
            </w:pPr>
            <w:r w:rsidRPr="001D6905">
              <w:t>19543589</w:t>
            </w:r>
          </w:p>
        </w:tc>
        <w:tc>
          <w:tcPr>
            <w:tcW w:w="2682" w:type="dxa"/>
          </w:tcPr>
          <w:p w:rsidR="00061F17" w:rsidRPr="001D6905" w:rsidRDefault="00061F17" w:rsidP="00C71B8F">
            <w:pPr>
              <w:pStyle w:val="Tabletext"/>
              <w:rPr>
                <w:rFonts w:eastAsia="Calibri"/>
                <w:lang w:val="en-GB" w:eastAsia="ar-SA"/>
              </w:rPr>
            </w:pPr>
            <w:r w:rsidRPr="001D6905">
              <w:t>560474</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7</w:t>
            </w:r>
          </w:p>
        </w:tc>
        <w:tc>
          <w:tcPr>
            <w:tcW w:w="3060" w:type="dxa"/>
          </w:tcPr>
          <w:p w:rsidR="00061F17" w:rsidRPr="001D6905" w:rsidRDefault="00061F17" w:rsidP="00C71B8F">
            <w:pPr>
              <w:pStyle w:val="Tabletext"/>
              <w:rPr>
                <w:rFonts w:eastAsia="Calibri"/>
              </w:rPr>
            </w:pPr>
            <w:proofErr w:type="spellStart"/>
            <w:r w:rsidRPr="001D6905">
              <w:t>Himachal</w:t>
            </w:r>
            <w:proofErr w:type="spellEnd"/>
            <w:r w:rsidRPr="001D6905">
              <w:t xml:space="preserve"> </w:t>
            </w:r>
            <w:proofErr w:type="spellStart"/>
            <w:r w:rsidRPr="001D6905">
              <w:t>Pradesh</w:t>
            </w:r>
            <w:proofErr w:type="spellEnd"/>
          </w:p>
        </w:tc>
        <w:tc>
          <w:tcPr>
            <w:tcW w:w="2610" w:type="dxa"/>
          </w:tcPr>
          <w:p w:rsidR="00061F17" w:rsidRPr="001D6905" w:rsidRDefault="00061F17" w:rsidP="00C71B8F">
            <w:pPr>
              <w:pStyle w:val="Tabletext"/>
              <w:rPr>
                <w:rFonts w:eastAsia="Calibri"/>
              </w:rPr>
            </w:pPr>
            <w:r w:rsidRPr="001D6905">
              <w:t>7015343</w:t>
            </w:r>
          </w:p>
        </w:tc>
        <w:tc>
          <w:tcPr>
            <w:tcW w:w="2682" w:type="dxa"/>
          </w:tcPr>
          <w:p w:rsidR="00061F17" w:rsidRPr="001D6905" w:rsidRDefault="00061F17" w:rsidP="00C71B8F">
            <w:pPr>
              <w:pStyle w:val="Tabletext"/>
              <w:rPr>
                <w:rFonts w:eastAsia="Calibri"/>
                <w:lang w:val="en-GB" w:eastAsia="ar-SA"/>
              </w:rPr>
            </w:pPr>
            <w:r w:rsidRPr="001D6905">
              <w:t>280669</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8</w:t>
            </w:r>
          </w:p>
        </w:tc>
        <w:tc>
          <w:tcPr>
            <w:tcW w:w="3060" w:type="dxa"/>
          </w:tcPr>
          <w:p w:rsidR="00061F17" w:rsidRPr="001D6905" w:rsidRDefault="00061F17" w:rsidP="00C71B8F">
            <w:pPr>
              <w:pStyle w:val="Tabletext"/>
              <w:rPr>
                <w:rFonts w:eastAsia="Calibri"/>
              </w:rPr>
            </w:pPr>
            <w:r w:rsidRPr="001D6905">
              <w:t xml:space="preserve">Jammu &amp; </w:t>
            </w:r>
            <w:proofErr w:type="spellStart"/>
            <w:r w:rsidRPr="001D6905">
              <w:t>Kashmir</w:t>
            </w:r>
            <w:proofErr w:type="spellEnd"/>
          </w:p>
        </w:tc>
        <w:tc>
          <w:tcPr>
            <w:tcW w:w="2610" w:type="dxa"/>
          </w:tcPr>
          <w:p w:rsidR="00061F17" w:rsidRPr="001D6905" w:rsidRDefault="00061F17" w:rsidP="00C71B8F">
            <w:pPr>
              <w:pStyle w:val="Tabletext"/>
              <w:rPr>
                <w:rFonts w:eastAsia="Calibri"/>
              </w:rPr>
            </w:pPr>
            <w:r w:rsidRPr="001D6905">
              <w:t>6844607</w:t>
            </w:r>
          </w:p>
        </w:tc>
        <w:tc>
          <w:tcPr>
            <w:tcW w:w="2682" w:type="dxa"/>
          </w:tcPr>
          <w:p w:rsidR="00061F17" w:rsidRPr="001D6905" w:rsidRDefault="00061F17" w:rsidP="00C71B8F">
            <w:pPr>
              <w:pStyle w:val="Tabletext"/>
              <w:rPr>
                <w:rFonts w:eastAsia="Calibri"/>
                <w:lang w:val="en-GB" w:eastAsia="ar-SA"/>
              </w:rPr>
            </w:pPr>
            <w:r w:rsidRPr="001D6905">
              <w:t>196811</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9</w:t>
            </w:r>
          </w:p>
        </w:tc>
        <w:tc>
          <w:tcPr>
            <w:tcW w:w="3060" w:type="dxa"/>
          </w:tcPr>
          <w:p w:rsidR="00061F17" w:rsidRPr="001D6905" w:rsidRDefault="00061F17" w:rsidP="00C71B8F">
            <w:pPr>
              <w:pStyle w:val="Tabletext"/>
              <w:rPr>
                <w:rFonts w:eastAsia="Calibri"/>
              </w:rPr>
            </w:pPr>
            <w:r w:rsidRPr="001D6905">
              <w:t>Karnataka</w:t>
            </w:r>
          </w:p>
        </w:tc>
        <w:tc>
          <w:tcPr>
            <w:tcW w:w="2610" w:type="dxa"/>
          </w:tcPr>
          <w:p w:rsidR="00061F17" w:rsidRPr="001D6905" w:rsidRDefault="00061F17" w:rsidP="00C71B8F">
            <w:pPr>
              <w:pStyle w:val="Tabletext"/>
              <w:rPr>
                <w:rFonts w:eastAsia="Calibri"/>
              </w:rPr>
            </w:pPr>
            <w:r w:rsidRPr="001D6905">
              <w:t>52914789</w:t>
            </w:r>
          </w:p>
        </w:tc>
        <w:tc>
          <w:tcPr>
            <w:tcW w:w="2682" w:type="dxa"/>
          </w:tcPr>
          <w:p w:rsidR="00061F17" w:rsidRPr="001D6905" w:rsidRDefault="00061F17" w:rsidP="00C71B8F">
            <w:pPr>
              <w:pStyle w:val="Tabletext"/>
              <w:rPr>
                <w:rFonts w:eastAsia="Calibri"/>
                <w:lang w:val="en-GB" w:eastAsia="ar-SA"/>
              </w:rPr>
            </w:pPr>
            <w:r w:rsidRPr="001D6905">
              <w:t>2443394</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10</w:t>
            </w:r>
          </w:p>
        </w:tc>
        <w:tc>
          <w:tcPr>
            <w:tcW w:w="3060" w:type="dxa"/>
          </w:tcPr>
          <w:p w:rsidR="00061F17" w:rsidRPr="001D6905" w:rsidRDefault="00061F17" w:rsidP="00C71B8F">
            <w:pPr>
              <w:pStyle w:val="Tabletext"/>
              <w:rPr>
                <w:rFonts w:eastAsia="Calibri"/>
              </w:rPr>
            </w:pPr>
            <w:r w:rsidRPr="001D6905">
              <w:t>Kerala</w:t>
            </w:r>
          </w:p>
        </w:tc>
        <w:tc>
          <w:tcPr>
            <w:tcW w:w="2610" w:type="dxa"/>
          </w:tcPr>
          <w:p w:rsidR="00061F17" w:rsidRPr="001D6905" w:rsidRDefault="00061F17" w:rsidP="00C71B8F">
            <w:pPr>
              <w:pStyle w:val="Tabletext"/>
              <w:rPr>
                <w:rFonts w:eastAsia="Calibri"/>
              </w:rPr>
            </w:pPr>
            <w:r w:rsidRPr="001D6905">
              <w:t>30692668</w:t>
            </w:r>
          </w:p>
        </w:tc>
        <w:tc>
          <w:tcPr>
            <w:tcW w:w="2682" w:type="dxa"/>
          </w:tcPr>
          <w:p w:rsidR="00061F17" w:rsidRPr="001D6905" w:rsidRDefault="00061F17" w:rsidP="00C71B8F">
            <w:pPr>
              <w:pStyle w:val="Tabletext"/>
              <w:rPr>
                <w:rFonts w:eastAsia="Calibri"/>
                <w:lang w:val="en-GB" w:eastAsia="ar-SA"/>
              </w:rPr>
            </w:pPr>
            <w:r w:rsidRPr="001D6905">
              <w:t>3064818</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11</w:t>
            </w:r>
          </w:p>
        </w:tc>
        <w:tc>
          <w:tcPr>
            <w:tcW w:w="3060" w:type="dxa"/>
          </w:tcPr>
          <w:p w:rsidR="00061F17" w:rsidRPr="001D6905" w:rsidRDefault="00061F17" w:rsidP="00C71B8F">
            <w:pPr>
              <w:pStyle w:val="Tabletext"/>
              <w:rPr>
                <w:rFonts w:eastAsia="Calibri"/>
              </w:rPr>
            </w:pPr>
            <w:proofErr w:type="spellStart"/>
            <w:r w:rsidRPr="001D6905">
              <w:t>Kolkata</w:t>
            </w:r>
            <w:proofErr w:type="spellEnd"/>
          </w:p>
        </w:tc>
        <w:tc>
          <w:tcPr>
            <w:tcW w:w="2610" w:type="dxa"/>
          </w:tcPr>
          <w:p w:rsidR="00061F17" w:rsidRPr="001D6905" w:rsidRDefault="00061F17" w:rsidP="00C71B8F">
            <w:pPr>
              <w:pStyle w:val="Tabletext"/>
              <w:rPr>
                <w:rFonts w:eastAsia="Calibri"/>
              </w:rPr>
            </w:pPr>
            <w:r w:rsidRPr="001D6905">
              <w:t>21260064</w:t>
            </w:r>
          </w:p>
        </w:tc>
        <w:tc>
          <w:tcPr>
            <w:tcW w:w="2682" w:type="dxa"/>
          </w:tcPr>
          <w:p w:rsidR="00061F17" w:rsidRPr="001D6905" w:rsidRDefault="00061F17" w:rsidP="00C71B8F">
            <w:pPr>
              <w:pStyle w:val="Tabletext"/>
              <w:rPr>
                <w:rFonts w:eastAsia="Calibri"/>
                <w:lang w:val="en-GB" w:eastAsia="ar-SA"/>
              </w:rPr>
            </w:pPr>
            <w:r w:rsidRPr="001D6905">
              <w:t>1144255</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12</w:t>
            </w:r>
          </w:p>
        </w:tc>
        <w:tc>
          <w:tcPr>
            <w:tcW w:w="3060" w:type="dxa"/>
          </w:tcPr>
          <w:p w:rsidR="00061F17" w:rsidRPr="001D6905" w:rsidRDefault="00061F17" w:rsidP="00C71B8F">
            <w:pPr>
              <w:pStyle w:val="Tabletext"/>
              <w:rPr>
                <w:rFonts w:eastAsia="Calibri"/>
              </w:rPr>
            </w:pPr>
            <w:proofErr w:type="spellStart"/>
            <w:r w:rsidRPr="001D6905">
              <w:t>Madhya</w:t>
            </w:r>
            <w:proofErr w:type="spellEnd"/>
            <w:r w:rsidRPr="001D6905">
              <w:t xml:space="preserve"> </w:t>
            </w:r>
            <w:proofErr w:type="spellStart"/>
            <w:r w:rsidRPr="001D6905">
              <w:t>Pradesh</w:t>
            </w:r>
            <w:proofErr w:type="spellEnd"/>
          </w:p>
        </w:tc>
        <w:tc>
          <w:tcPr>
            <w:tcW w:w="2610" w:type="dxa"/>
          </w:tcPr>
          <w:p w:rsidR="00061F17" w:rsidRPr="001D6905" w:rsidRDefault="00061F17" w:rsidP="00C71B8F">
            <w:pPr>
              <w:pStyle w:val="Tabletext"/>
              <w:rPr>
                <w:rFonts w:eastAsia="Calibri"/>
              </w:rPr>
            </w:pPr>
            <w:r w:rsidRPr="001D6905">
              <w:t>52164292</w:t>
            </w:r>
          </w:p>
        </w:tc>
        <w:tc>
          <w:tcPr>
            <w:tcW w:w="2682" w:type="dxa"/>
          </w:tcPr>
          <w:p w:rsidR="00061F17" w:rsidRPr="001D6905" w:rsidRDefault="00061F17" w:rsidP="00C71B8F">
            <w:pPr>
              <w:pStyle w:val="Tabletext"/>
              <w:rPr>
                <w:rFonts w:eastAsia="Calibri"/>
                <w:lang w:val="en-GB" w:eastAsia="ar-SA"/>
              </w:rPr>
            </w:pPr>
            <w:r w:rsidRPr="001D6905">
              <w:t>1120350</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13</w:t>
            </w:r>
          </w:p>
        </w:tc>
        <w:tc>
          <w:tcPr>
            <w:tcW w:w="3060" w:type="dxa"/>
          </w:tcPr>
          <w:p w:rsidR="00061F17" w:rsidRPr="001D6905" w:rsidRDefault="00061F17" w:rsidP="00C71B8F">
            <w:pPr>
              <w:pStyle w:val="Tabletext"/>
              <w:rPr>
                <w:rFonts w:eastAsia="Calibri"/>
              </w:rPr>
            </w:pPr>
            <w:proofErr w:type="spellStart"/>
            <w:r w:rsidRPr="001D6905">
              <w:t>Maharashtra</w:t>
            </w:r>
            <w:proofErr w:type="spellEnd"/>
          </w:p>
        </w:tc>
        <w:tc>
          <w:tcPr>
            <w:tcW w:w="2610" w:type="dxa"/>
          </w:tcPr>
          <w:p w:rsidR="00061F17" w:rsidRPr="001D6905" w:rsidRDefault="00061F17" w:rsidP="00C71B8F">
            <w:pPr>
              <w:pStyle w:val="Tabletext"/>
              <w:rPr>
                <w:rFonts w:eastAsia="Calibri"/>
              </w:rPr>
            </w:pPr>
            <w:r w:rsidRPr="001D6905">
              <w:t>68400365</w:t>
            </w:r>
          </w:p>
        </w:tc>
        <w:tc>
          <w:tcPr>
            <w:tcW w:w="2682" w:type="dxa"/>
          </w:tcPr>
          <w:p w:rsidR="00061F17" w:rsidRPr="001D6905" w:rsidRDefault="00061F17" w:rsidP="00C71B8F">
            <w:pPr>
              <w:pStyle w:val="Tabletext"/>
              <w:rPr>
                <w:rFonts w:eastAsia="Calibri"/>
                <w:lang w:val="en-GB" w:eastAsia="ar-SA"/>
              </w:rPr>
            </w:pPr>
            <w:r w:rsidRPr="001D6905">
              <w:t>2466496</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14</w:t>
            </w:r>
          </w:p>
        </w:tc>
        <w:tc>
          <w:tcPr>
            <w:tcW w:w="3060" w:type="dxa"/>
          </w:tcPr>
          <w:p w:rsidR="00061F17" w:rsidRPr="001D6905" w:rsidRDefault="00061F17" w:rsidP="00C71B8F">
            <w:pPr>
              <w:pStyle w:val="Tabletext"/>
              <w:rPr>
                <w:rFonts w:eastAsia="Calibri"/>
              </w:rPr>
            </w:pPr>
            <w:proofErr w:type="spellStart"/>
            <w:r w:rsidRPr="001D6905">
              <w:t>Mumbai</w:t>
            </w:r>
            <w:proofErr w:type="spellEnd"/>
          </w:p>
        </w:tc>
        <w:tc>
          <w:tcPr>
            <w:tcW w:w="2610" w:type="dxa"/>
          </w:tcPr>
          <w:p w:rsidR="00061F17" w:rsidRPr="001D6905" w:rsidRDefault="00061F17" w:rsidP="00C71B8F">
            <w:pPr>
              <w:pStyle w:val="Tabletext"/>
              <w:rPr>
                <w:rFonts w:eastAsia="Calibri"/>
              </w:rPr>
            </w:pPr>
            <w:r w:rsidRPr="001D6905">
              <w:t>30372793</w:t>
            </w:r>
          </w:p>
        </w:tc>
        <w:tc>
          <w:tcPr>
            <w:tcW w:w="2682" w:type="dxa"/>
          </w:tcPr>
          <w:p w:rsidR="00061F17" w:rsidRPr="001D6905" w:rsidRDefault="00061F17" w:rsidP="00C71B8F">
            <w:pPr>
              <w:pStyle w:val="Tabletext"/>
              <w:rPr>
                <w:rFonts w:eastAsia="Calibri"/>
                <w:lang w:val="en-GB" w:eastAsia="ar-SA"/>
              </w:rPr>
            </w:pPr>
            <w:r w:rsidRPr="001D6905">
              <w:t>2985057</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15</w:t>
            </w:r>
          </w:p>
        </w:tc>
        <w:tc>
          <w:tcPr>
            <w:tcW w:w="3060" w:type="dxa"/>
          </w:tcPr>
          <w:p w:rsidR="00061F17" w:rsidRPr="001D6905" w:rsidRDefault="00061F17" w:rsidP="00C71B8F">
            <w:pPr>
              <w:pStyle w:val="Tabletext"/>
              <w:rPr>
                <w:rFonts w:eastAsia="Calibri"/>
              </w:rPr>
            </w:pPr>
            <w:proofErr w:type="spellStart"/>
            <w:r w:rsidRPr="001D6905">
              <w:t>North</w:t>
            </w:r>
            <w:proofErr w:type="spellEnd"/>
            <w:r w:rsidRPr="001D6905">
              <w:t xml:space="preserve"> East</w:t>
            </w:r>
          </w:p>
        </w:tc>
        <w:tc>
          <w:tcPr>
            <w:tcW w:w="2610" w:type="dxa"/>
          </w:tcPr>
          <w:p w:rsidR="00061F17" w:rsidRPr="001D6905" w:rsidRDefault="00061F17" w:rsidP="00C71B8F">
            <w:pPr>
              <w:pStyle w:val="Tabletext"/>
              <w:rPr>
                <w:rFonts w:eastAsia="Calibri"/>
              </w:rPr>
            </w:pPr>
            <w:r w:rsidRPr="001D6905">
              <w:t>8960542</w:t>
            </w:r>
          </w:p>
        </w:tc>
        <w:tc>
          <w:tcPr>
            <w:tcW w:w="2682" w:type="dxa"/>
          </w:tcPr>
          <w:p w:rsidR="00061F17" w:rsidRPr="001D6905" w:rsidRDefault="00061F17" w:rsidP="00C71B8F">
            <w:pPr>
              <w:pStyle w:val="Tabletext"/>
              <w:rPr>
                <w:rFonts w:eastAsia="Calibri"/>
                <w:lang w:val="en-GB" w:eastAsia="ar-SA"/>
              </w:rPr>
            </w:pPr>
            <w:r w:rsidRPr="001D6905">
              <w:t>189884</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16</w:t>
            </w:r>
          </w:p>
        </w:tc>
        <w:tc>
          <w:tcPr>
            <w:tcW w:w="3060" w:type="dxa"/>
          </w:tcPr>
          <w:p w:rsidR="00061F17" w:rsidRPr="001D6905" w:rsidRDefault="00061F17" w:rsidP="00C71B8F">
            <w:pPr>
              <w:pStyle w:val="Tabletext"/>
              <w:rPr>
                <w:rFonts w:eastAsia="Calibri"/>
              </w:rPr>
            </w:pPr>
            <w:r w:rsidRPr="001D6905">
              <w:t>Orissa</w:t>
            </w:r>
          </w:p>
        </w:tc>
        <w:tc>
          <w:tcPr>
            <w:tcW w:w="2610" w:type="dxa"/>
          </w:tcPr>
          <w:p w:rsidR="00061F17" w:rsidRPr="001D6905" w:rsidRDefault="00061F17" w:rsidP="00C71B8F">
            <w:pPr>
              <w:pStyle w:val="Tabletext"/>
              <w:rPr>
                <w:rFonts w:eastAsia="Calibri"/>
              </w:rPr>
            </w:pPr>
            <w:r w:rsidRPr="001D6905">
              <w:t>24601935</w:t>
            </w:r>
          </w:p>
        </w:tc>
        <w:tc>
          <w:tcPr>
            <w:tcW w:w="2682" w:type="dxa"/>
          </w:tcPr>
          <w:p w:rsidR="00061F17" w:rsidRPr="001D6905" w:rsidRDefault="00061F17" w:rsidP="00C71B8F">
            <w:pPr>
              <w:pStyle w:val="Tabletext"/>
              <w:rPr>
                <w:rFonts w:eastAsia="Calibri"/>
                <w:lang w:val="en-GB" w:eastAsia="ar-SA"/>
              </w:rPr>
            </w:pPr>
            <w:r w:rsidRPr="001D6905">
              <w:t>374427</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17</w:t>
            </w:r>
          </w:p>
        </w:tc>
        <w:tc>
          <w:tcPr>
            <w:tcW w:w="3060" w:type="dxa"/>
          </w:tcPr>
          <w:p w:rsidR="00061F17" w:rsidRPr="001D6905" w:rsidRDefault="00061F17" w:rsidP="00C71B8F">
            <w:pPr>
              <w:pStyle w:val="Tabletext"/>
              <w:rPr>
                <w:rFonts w:eastAsia="Calibri"/>
              </w:rPr>
            </w:pPr>
            <w:proofErr w:type="spellStart"/>
            <w:r w:rsidRPr="001D6905">
              <w:t>Punjab</w:t>
            </w:r>
            <w:proofErr w:type="spellEnd"/>
          </w:p>
        </w:tc>
        <w:tc>
          <w:tcPr>
            <w:tcW w:w="2610" w:type="dxa"/>
          </w:tcPr>
          <w:p w:rsidR="00061F17" w:rsidRPr="001D6905" w:rsidRDefault="00061F17" w:rsidP="00C71B8F">
            <w:pPr>
              <w:pStyle w:val="Tabletext"/>
              <w:rPr>
                <w:rFonts w:eastAsia="Calibri"/>
              </w:rPr>
            </w:pPr>
            <w:r w:rsidRPr="001D6905">
              <w:t>29462871</w:t>
            </w:r>
          </w:p>
        </w:tc>
        <w:tc>
          <w:tcPr>
            <w:tcW w:w="2682" w:type="dxa"/>
          </w:tcPr>
          <w:p w:rsidR="00061F17" w:rsidRPr="001D6905" w:rsidRDefault="00061F17" w:rsidP="00C71B8F">
            <w:pPr>
              <w:pStyle w:val="Tabletext"/>
              <w:rPr>
                <w:rFonts w:eastAsia="Calibri"/>
                <w:lang w:val="en-GB" w:eastAsia="ar-SA"/>
              </w:rPr>
            </w:pPr>
            <w:r w:rsidRPr="001D6905">
              <w:t>1320185</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18</w:t>
            </w:r>
          </w:p>
        </w:tc>
        <w:tc>
          <w:tcPr>
            <w:tcW w:w="3060" w:type="dxa"/>
          </w:tcPr>
          <w:p w:rsidR="00061F17" w:rsidRPr="001D6905" w:rsidRDefault="00061F17" w:rsidP="00C71B8F">
            <w:pPr>
              <w:pStyle w:val="Tabletext"/>
              <w:rPr>
                <w:rFonts w:eastAsia="Calibri"/>
              </w:rPr>
            </w:pPr>
            <w:r w:rsidRPr="001D6905">
              <w:t>Rajasthan</w:t>
            </w:r>
          </w:p>
        </w:tc>
        <w:tc>
          <w:tcPr>
            <w:tcW w:w="2610" w:type="dxa"/>
          </w:tcPr>
          <w:p w:rsidR="00061F17" w:rsidRPr="001D6905" w:rsidRDefault="00061F17" w:rsidP="00C71B8F">
            <w:pPr>
              <w:pStyle w:val="Tabletext"/>
              <w:rPr>
                <w:rFonts w:eastAsia="Calibri"/>
              </w:rPr>
            </w:pPr>
            <w:r w:rsidRPr="001D6905">
              <w:t>48601130</w:t>
            </w:r>
          </w:p>
        </w:tc>
        <w:tc>
          <w:tcPr>
            <w:tcW w:w="2682" w:type="dxa"/>
          </w:tcPr>
          <w:p w:rsidR="00061F17" w:rsidRPr="001D6905" w:rsidRDefault="00061F17" w:rsidP="00C71B8F">
            <w:pPr>
              <w:pStyle w:val="Tabletext"/>
              <w:rPr>
                <w:rFonts w:eastAsia="Calibri"/>
                <w:lang w:val="en-GB" w:eastAsia="ar-SA"/>
              </w:rPr>
            </w:pPr>
            <w:r w:rsidRPr="001D6905">
              <w:t>1011041</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19</w:t>
            </w:r>
          </w:p>
        </w:tc>
        <w:tc>
          <w:tcPr>
            <w:tcW w:w="3060" w:type="dxa"/>
          </w:tcPr>
          <w:p w:rsidR="00061F17" w:rsidRPr="001D6905" w:rsidRDefault="00061F17" w:rsidP="00C71B8F">
            <w:pPr>
              <w:pStyle w:val="Tabletext"/>
              <w:rPr>
                <w:rFonts w:eastAsia="Calibri"/>
              </w:rPr>
            </w:pPr>
            <w:r w:rsidRPr="001D6905">
              <w:t xml:space="preserve">Tamil </w:t>
            </w:r>
            <w:proofErr w:type="spellStart"/>
            <w:r w:rsidRPr="001D6905">
              <w:t>Nadu</w:t>
            </w:r>
            <w:proofErr w:type="spellEnd"/>
            <w:r w:rsidRPr="001D6905">
              <w:t xml:space="preserve"> (incl. </w:t>
            </w:r>
            <w:proofErr w:type="spellStart"/>
            <w:r w:rsidRPr="001D6905">
              <w:t>Chennai</w:t>
            </w:r>
            <w:proofErr w:type="spellEnd"/>
            <w:r w:rsidRPr="001D6905">
              <w:t>)</w:t>
            </w:r>
          </w:p>
        </w:tc>
        <w:tc>
          <w:tcPr>
            <w:tcW w:w="2610" w:type="dxa"/>
          </w:tcPr>
          <w:p w:rsidR="00061F17" w:rsidRPr="001D6905" w:rsidRDefault="00061F17" w:rsidP="00C71B8F">
            <w:pPr>
              <w:pStyle w:val="Tabletext"/>
              <w:rPr>
                <w:rFonts w:eastAsia="Calibri"/>
              </w:rPr>
            </w:pPr>
            <w:r w:rsidRPr="001D6905">
              <w:t>72412392</w:t>
            </w:r>
          </w:p>
        </w:tc>
        <w:tc>
          <w:tcPr>
            <w:tcW w:w="2682" w:type="dxa"/>
          </w:tcPr>
          <w:p w:rsidR="00061F17" w:rsidRPr="001D6905" w:rsidRDefault="00061F17" w:rsidP="00C71B8F">
            <w:pPr>
              <w:pStyle w:val="Tabletext"/>
              <w:rPr>
                <w:rFonts w:eastAsia="Calibri"/>
                <w:lang w:val="en-GB" w:eastAsia="ar-SA"/>
              </w:rPr>
            </w:pPr>
            <w:r w:rsidRPr="001D6905">
              <w:t>3109695</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20</w:t>
            </w:r>
          </w:p>
        </w:tc>
        <w:tc>
          <w:tcPr>
            <w:tcW w:w="3060" w:type="dxa"/>
          </w:tcPr>
          <w:p w:rsidR="00061F17" w:rsidRPr="001D6905" w:rsidRDefault="00061F17" w:rsidP="00C71B8F">
            <w:pPr>
              <w:pStyle w:val="Tabletext"/>
              <w:rPr>
                <w:rFonts w:eastAsia="Calibri"/>
              </w:rPr>
            </w:pPr>
            <w:proofErr w:type="spellStart"/>
            <w:r w:rsidRPr="001D6905">
              <w:rPr>
                <w:color w:val="000000"/>
              </w:rPr>
              <w:t>Uttar</w:t>
            </w:r>
            <w:proofErr w:type="spellEnd"/>
            <w:r w:rsidRPr="001D6905">
              <w:rPr>
                <w:color w:val="000000"/>
              </w:rPr>
              <w:t xml:space="preserve"> </w:t>
            </w:r>
            <w:proofErr w:type="spellStart"/>
            <w:r w:rsidRPr="001D6905">
              <w:rPr>
                <w:color w:val="000000"/>
              </w:rPr>
              <w:t>Pradesh</w:t>
            </w:r>
            <w:proofErr w:type="spellEnd"/>
            <w:r w:rsidRPr="001D6905">
              <w:rPr>
                <w:color w:val="000000"/>
              </w:rPr>
              <w:t xml:space="preserve"> (East)</w:t>
            </w:r>
          </w:p>
        </w:tc>
        <w:tc>
          <w:tcPr>
            <w:tcW w:w="2610" w:type="dxa"/>
          </w:tcPr>
          <w:p w:rsidR="00061F17" w:rsidRPr="001D6905" w:rsidRDefault="00061F17" w:rsidP="00C71B8F">
            <w:pPr>
              <w:pStyle w:val="Tabletext"/>
              <w:rPr>
                <w:rFonts w:eastAsia="Calibri"/>
              </w:rPr>
            </w:pPr>
            <w:r w:rsidRPr="001D6905">
              <w:t>73824150</w:t>
            </w:r>
          </w:p>
        </w:tc>
        <w:tc>
          <w:tcPr>
            <w:tcW w:w="2682" w:type="dxa"/>
          </w:tcPr>
          <w:p w:rsidR="00061F17" w:rsidRPr="001D6905" w:rsidRDefault="00061F17" w:rsidP="00C71B8F">
            <w:pPr>
              <w:pStyle w:val="Tabletext"/>
              <w:rPr>
                <w:rFonts w:eastAsia="Calibri"/>
                <w:lang w:val="en-GB" w:eastAsia="ar-SA"/>
              </w:rPr>
            </w:pPr>
            <w:r w:rsidRPr="001D6905">
              <w:t>1048303</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21</w:t>
            </w:r>
          </w:p>
        </w:tc>
        <w:tc>
          <w:tcPr>
            <w:tcW w:w="3060" w:type="dxa"/>
          </w:tcPr>
          <w:p w:rsidR="00061F17" w:rsidRPr="001D6905" w:rsidRDefault="00061F17" w:rsidP="00C71B8F">
            <w:pPr>
              <w:pStyle w:val="Tabletext"/>
              <w:rPr>
                <w:rFonts w:eastAsia="Calibri"/>
              </w:rPr>
            </w:pPr>
            <w:proofErr w:type="spellStart"/>
            <w:r w:rsidRPr="001D6905">
              <w:rPr>
                <w:color w:val="000000"/>
              </w:rPr>
              <w:t>Uttar</w:t>
            </w:r>
            <w:proofErr w:type="spellEnd"/>
            <w:r w:rsidRPr="001D6905">
              <w:rPr>
                <w:color w:val="000000"/>
              </w:rPr>
              <w:t xml:space="preserve"> </w:t>
            </w:r>
            <w:proofErr w:type="spellStart"/>
            <w:r w:rsidRPr="001D6905">
              <w:rPr>
                <w:color w:val="000000"/>
              </w:rPr>
              <w:t>Pradesh</w:t>
            </w:r>
            <w:proofErr w:type="spellEnd"/>
            <w:r w:rsidRPr="001D6905">
              <w:rPr>
                <w:color w:val="000000"/>
              </w:rPr>
              <w:t xml:space="preserve"> (West)</w:t>
            </w:r>
          </w:p>
        </w:tc>
        <w:tc>
          <w:tcPr>
            <w:tcW w:w="2610" w:type="dxa"/>
          </w:tcPr>
          <w:p w:rsidR="00061F17" w:rsidRPr="001D6905" w:rsidRDefault="00061F17" w:rsidP="00C71B8F">
            <w:pPr>
              <w:pStyle w:val="Tabletext"/>
              <w:rPr>
                <w:rFonts w:eastAsia="Calibri"/>
              </w:rPr>
            </w:pPr>
            <w:r w:rsidRPr="001D6905">
              <w:t>48399485</w:t>
            </w:r>
          </w:p>
        </w:tc>
        <w:tc>
          <w:tcPr>
            <w:tcW w:w="2682" w:type="dxa"/>
          </w:tcPr>
          <w:p w:rsidR="00061F17" w:rsidRPr="001D6905" w:rsidRDefault="00061F17" w:rsidP="00C71B8F">
            <w:pPr>
              <w:pStyle w:val="Tabletext"/>
              <w:rPr>
                <w:rFonts w:eastAsia="Calibri"/>
                <w:lang w:val="en-GB" w:eastAsia="ar-SA"/>
              </w:rPr>
            </w:pPr>
            <w:r w:rsidRPr="001D6905">
              <w:t>767118</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22</w:t>
            </w:r>
          </w:p>
        </w:tc>
        <w:tc>
          <w:tcPr>
            <w:tcW w:w="3060" w:type="dxa"/>
          </w:tcPr>
          <w:p w:rsidR="00061F17" w:rsidRPr="001D6905" w:rsidRDefault="00061F17" w:rsidP="00C71B8F">
            <w:pPr>
              <w:pStyle w:val="Tabletext"/>
              <w:rPr>
                <w:rFonts w:eastAsia="Calibri"/>
              </w:rPr>
            </w:pPr>
            <w:r w:rsidRPr="001D6905">
              <w:t xml:space="preserve">West </w:t>
            </w:r>
            <w:proofErr w:type="spellStart"/>
            <w:r w:rsidRPr="001D6905">
              <w:t>Bengal</w:t>
            </w:r>
            <w:proofErr w:type="spellEnd"/>
          </w:p>
        </w:tc>
        <w:tc>
          <w:tcPr>
            <w:tcW w:w="2610" w:type="dxa"/>
          </w:tcPr>
          <w:p w:rsidR="00061F17" w:rsidRPr="001D6905" w:rsidRDefault="00061F17" w:rsidP="00C71B8F">
            <w:pPr>
              <w:pStyle w:val="Tabletext"/>
              <w:rPr>
                <w:rFonts w:eastAsia="Calibri"/>
              </w:rPr>
            </w:pPr>
            <w:r w:rsidRPr="001D6905">
              <w:t>41159859</w:t>
            </w:r>
          </w:p>
        </w:tc>
        <w:tc>
          <w:tcPr>
            <w:tcW w:w="2682" w:type="dxa"/>
          </w:tcPr>
          <w:p w:rsidR="00061F17" w:rsidRPr="001D6905" w:rsidRDefault="00061F17" w:rsidP="00C71B8F">
            <w:pPr>
              <w:pStyle w:val="Tabletext"/>
              <w:rPr>
                <w:rFonts w:eastAsia="Calibri"/>
                <w:lang w:val="en-GB" w:eastAsia="ar-SA"/>
              </w:rPr>
            </w:pPr>
            <w:r w:rsidRPr="001D6905">
              <w:t>548248</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rPr>
                <w:rFonts w:eastAsia="Calibri"/>
              </w:rPr>
            </w:pPr>
          </w:p>
        </w:tc>
        <w:tc>
          <w:tcPr>
            <w:tcW w:w="3060" w:type="dxa"/>
          </w:tcPr>
          <w:p w:rsidR="00061F17" w:rsidRPr="001D6905" w:rsidRDefault="00061F17" w:rsidP="00C71B8F">
            <w:pPr>
              <w:pStyle w:val="Tabletext"/>
              <w:rPr>
                <w:rFonts w:eastAsia="Calibri"/>
                <w:b/>
              </w:rPr>
            </w:pPr>
            <w:r w:rsidRPr="001D6905">
              <w:rPr>
                <w:rFonts w:eastAsia="Calibri"/>
                <w:b/>
              </w:rPr>
              <w:t>Total</w:t>
            </w:r>
          </w:p>
        </w:tc>
        <w:tc>
          <w:tcPr>
            <w:tcW w:w="2610" w:type="dxa"/>
          </w:tcPr>
          <w:p w:rsidR="00061F17" w:rsidRPr="001D6905" w:rsidRDefault="00061F17" w:rsidP="00C71B8F">
            <w:pPr>
              <w:pStyle w:val="Tabletext"/>
              <w:rPr>
                <w:rFonts w:eastAsia="Calibri"/>
                <w:b/>
              </w:rPr>
            </w:pPr>
            <w:r w:rsidRPr="001D6905">
              <w:rPr>
                <w:b/>
              </w:rPr>
              <w:t>867803583</w:t>
            </w:r>
          </w:p>
        </w:tc>
        <w:tc>
          <w:tcPr>
            <w:tcW w:w="2682" w:type="dxa"/>
          </w:tcPr>
          <w:p w:rsidR="00061F17" w:rsidRPr="001D6905" w:rsidRDefault="00061F17" w:rsidP="00C71B8F">
            <w:pPr>
              <w:pStyle w:val="Tabletext"/>
              <w:rPr>
                <w:rFonts w:eastAsia="Calibri"/>
                <w:b/>
                <w:lang w:val="en-GB" w:eastAsia="ar-SA"/>
              </w:rPr>
            </w:pPr>
            <w:r w:rsidRPr="001D6905">
              <w:rPr>
                <w:b/>
              </w:rPr>
              <w:t>30213742</w:t>
            </w:r>
          </w:p>
        </w:tc>
      </w:tr>
    </w:tbl>
    <w:p w:rsidR="00061F17" w:rsidRPr="007F1B76" w:rsidRDefault="00C71B8F" w:rsidP="00061F17">
      <w:pPr>
        <w:spacing w:before="240"/>
        <w:rPr>
          <w:rFonts w:eastAsia="Calibri" w:cs="Arial"/>
          <w:szCs w:val="19"/>
          <w:lang w:val="en-US"/>
        </w:rPr>
      </w:pPr>
      <w:r w:rsidRPr="007F1B76">
        <w:rPr>
          <w:rFonts w:eastAsia="Calibri" w:cs="Arial"/>
          <w:szCs w:val="19"/>
          <w:lang w:val="en-US"/>
        </w:rPr>
        <w:t>Total number of subscriber</w:t>
      </w:r>
      <w:r w:rsidRPr="007F1B76">
        <w:rPr>
          <w:rFonts w:eastAsia="Calibri" w:cs="Arial"/>
          <w:szCs w:val="19"/>
          <w:lang w:val="en-US"/>
        </w:rPr>
        <w:tab/>
      </w:r>
      <w:r w:rsidRPr="007F1B76">
        <w:rPr>
          <w:rFonts w:eastAsia="Calibri" w:cs="Arial"/>
          <w:szCs w:val="19"/>
          <w:lang w:val="en-US"/>
        </w:rPr>
        <w:tab/>
      </w:r>
      <w:r w:rsidRPr="007F1B76">
        <w:rPr>
          <w:rFonts w:eastAsia="Calibri" w:cs="Arial"/>
          <w:szCs w:val="19"/>
          <w:lang w:val="en-US"/>
        </w:rPr>
        <w:tab/>
      </w:r>
      <w:r w:rsidR="00061F17" w:rsidRPr="007F1B76">
        <w:rPr>
          <w:rFonts w:eastAsia="Calibri" w:cs="Arial"/>
          <w:szCs w:val="19"/>
          <w:lang w:val="en-US"/>
        </w:rPr>
        <w:t>:</w:t>
      </w:r>
      <w:r w:rsidR="00061F17" w:rsidRPr="007F1B76">
        <w:rPr>
          <w:rFonts w:eastAsia="Calibri" w:cs="Arial"/>
          <w:szCs w:val="19"/>
          <w:lang w:val="en-US"/>
        </w:rPr>
        <w:tab/>
        <w:t>898,017,325</w:t>
      </w:r>
      <w:r w:rsidR="00061F17" w:rsidRPr="007F1B76">
        <w:rPr>
          <w:rFonts w:eastAsia="Calibri" w:cs="Arial"/>
          <w:szCs w:val="19"/>
          <w:lang w:val="en-US"/>
        </w:rPr>
        <w:tab/>
      </w:r>
    </w:p>
    <w:p w:rsidR="00061F17" w:rsidRPr="00061F17" w:rsidRDefault="00061F17" w:rsidP="00061F17">
      <w:pPr>
        <w:rPr>
          <w:rFonts w:eastAsia="Calibri" w:cs="Arial"/>
          <w:szCs w:val="19"/>
          <w:lang w:val="en-US"/>
        </w:rPr>
      </w:pPr>
      <w:r w:rsidRPr="00061F17">
        <w:rPr>
          <w:rFonts w:eastAsia="Calibri" w:cs="Arial"/>
          <w:szCs w:val="19"/>
          <w:lang w:val="en-US"/>
        </w:rPr>
        <w:t>Percentage of Mobile (Wireless) subscriber</w:t>
      </w:r>
      <w:r w:rsidRPr="00061F17">
        <w:rPr>
          <w:rFonts w:eastAsia="Calibri" w:cs="Arial"/>
          <w:szCs w:val="19"/>
          <w:lang w:val="en-US"/>
        </w:rPr>
        <w:tab/>
        <w:t>:</w:t>
      </w:r>
      <w:r w:rsidRPr="00061F17">
        <w:rPr>
          <w:rFonts w:eastAsia="Calibri" w:cs="Arial"/>
          <w:szCs w:val="19"/>
          <w:lang w:val="en-US"/>
        </w:rPr>
        <w:tab/>
        <w:t>96.6 %</w:t>
      </w:r>
    </w:p>
    <w:p w:rsidR="00061F17" w:rsidRPr="00061F17" w:rsidRDefault="00061F17" w:rsidP="00061F17">
      <w:pPr>
        <w:rPr>
          <w:rFonts w:eastAsia="Calibri" w:cs="Arial"/>
          <w:szCs w:val="19"/>
          <w:lang w:val="en-US"/>
        </w:rPr>
      </w:pPr>
      <w:r w:rsidRPr="00061F17">
        <w:rPr>
          <w:rFonts w:eastAsia="Calibri" w:cs="Arial"/>
          <w:szCs w:val="19"/>
          <w:lang w:val="en-US"/>
        </w:rPr>
        <w:t>Percentage of Landline (Wire-line) subscriber</w:t>
      </w:r>
      <w:r w:rsidRPr="00061F17">
        <w:rPr>
          <w:rFonts w:eastAsia="Calibri" w:cs="Arial"/>
          <w:szCs w:val="19"/>
          <w:lang w:val="en-US"/>
        </w:rPr>
        <w:tab/>
        <w:t>:</w:t>
      </w:r>
      <w:r w:rsidRPr="00061F17">
        <w:rPr>
          <w:rFonts w:eastAsia="Calibri" w:cs="Arial"/>
          <w:szCs w:val="19"/>
          <w:lang w:val="en-US"/>
        </w:rPr>
        <w:tab/>
        <w:t>3.4 %</w:t>
      </w:r>
    </w:p>
    <w:p w:rsidR="00061F17" w:rsidRPr="00061F17" w:rsidRDefault="00061F17" w:rsidP="00061F17">
      <w:pPr>
        <w:rPr>
          <w:rFonts w:eastAsia="Calibri" w:cs="Arial"/>
          <w:szCs w:val="19"/>
          <w:lang w:val="en-US"/>
        </w:rPr>
      </w:pPr>
      <w:r w:rsidRPr="00061F17">
        <w:rPr>
          <w:rFonts w:eastAsia="Calibri" w:cs="Arial"/>
          <w:szCs w:val="19"/>
          <w:lang w:val="en-US"/>
        </w:rPr>
        <w:br w:type="page"/>
      </w:r>
    </w:p>
    <w:p w:rsidR="00061F17" w:rsidRDefault="00061F17" w:rsidP="00534837">
      <w:pPr>
        <w:pStyle w:val="Heading1"/>
        <w:tabs>
          <w:tab w:val="left" w:pos="1418"/>
        </w:tabs>
        <w:ind w:left="1418" w:hanging="1418"/>
        <w:rPr>
          <w:rFonts w:eastAsia="Calibri"/>
        </w:rPr>
      </w:pPr>
      <w:bookmarkStart w:id="169" w:name="_Toc374691853"/>
      <w:r w:rsidRPr="00061F17">
        <w:rPr>
          <w:rFonts w:eastAsia="Calibri"/>
        </w:rPr>
        <w:lastRenderedPageBreak/>
        <w:t xml:space="preserve">Annex 10B: </w:t>
      </w:r>
      <w:r w:rsidR="00A051DF">
        <w:rPr>
          <w:rFonts w:eastAsia="Calibri"/>
        </w:rPr>
        <w:tab/>
      </w:r>
      <w:r w:rsidRPr="00061F17">
        <w:rPr>
          <w:rFonts w:eastAsia="Calibri"/>
        </w:rPr>
        <w:t>Number of base stations (service area wise) in India as on 31</w:t>
      </w:r>
      <w:r w:rsidRPr="00061F17">
        <w:rPr>
          <w:rFonts w:eastAsia="Calibri"/>
          <w:vertAlign w:val="superscript"/>
        </w:rPr>
        <w:t>st</w:t>
      </w:r>
      <w:r w:rsidRPr="00061F17">
        <w:rPr>
          <w:rFonts w:eastAsia="Calibri"/>
        </w:rPr>
        <w:t xml:space="preserve"> May 2013</w:t>
      </w:r>
      <w:bookmarkEnd w:id="169"/>
    </w:p>
    <w:p w:rsidR="00C71B8F" w:rsidRPr="00C71B8F" w:rsidRDefault="00C71B8F" w:rsidP="00C71B8F">
      <w:pPr>
        <w:rPr>
          <w:lang w:val="en-US"/>
        </w:rPr>
      </w:pPr>
    </w:p>
    <w:tbl>
      <w:tblPr>
        <w:tblStyle w:val="Style1"/>
        <w:tblW w:w="7920" w:type="dxa"/>
        <w:jc w:val="center"/>
        <w:tblLook w:val="04A0" w:firstRow="1" w:lastRow="0" w:firstColumn="1" w:lastColumn="0" w:noHBand="0" w:noVBand="1"/>
      </w:tblPr>
      <w:tblGrid>
        <w:gridCol w:w="1080"/>
        <w:gridCol w:w="3330"/>
        <w:gridCol w:w="3510"/>
      </w:tblGrid>
      <w:tr w:rsidR="00061F17" w:rsidRPr="001D6905" w:rsidTr="00C71B8F">
        <w:trPr>
          <w:cnfStyle w:val="100000000000" w:firstRow="1" w:lastRow="0" w:firstColumn="0" w:lastColumn="0" w:oddVBand="0" w:evenVBand="0" w:oddHBand="0" w:evenHBand="0" w:firstRowFirstColumn="0" w:firstRowLastColumn="0" w:lastRowFirstColumn="0" w:lastRowLastColumn="0"/>
          <w:trHeight w:val="255"/>
          <w:jc w:val="center"/>
        </w:trPr>
        <w:tc>
          <w:tcPr>
            <w:tcW w:w="1080" w:type="dxa"/>
            <w:hideMark/>
          </w:tcPr>
          <w:p w:rsidR="00061F17" w:rsidRPr="001D6905" w:rsidRDefault="00061F17" w:rsidP="00EB559A">
            <w:pPr>
              <w:pStyle w:val="Tablehead"/>
              <w:rPr>
                <w:lang w:eastAsia="en-US"/>
              </w:rPr>
            </w:pPr>
            <w:proofErr w:type="spellStart"/>
            <w:r w:rsidRPr="001D6905">
              <w:rPr>
                <w:lang w:eastAsia="en-US"/>
              </w:rPr>
              <w:t>Sl</w:t>
            </w:r>
            <w:proofErr w:type="spellEnd"/>
            <w:r w:rsidRPr="001D6905">
              <w:rPr>
                <w:lang w:eastAsia="en-US"/>
              </w:rPr>
              <w:t xml:space="preserve"> No.</w:t>
            </w:r>
          </w:p>
        </w:tc>
        <w:tc>
          <w:tcPr>
            <w:tcW w:w="3330" w:type="dxa"/>
            <w:hideMark/>
          </w:tcPr>
          <w:p w:rsidR="00061F17" w:rsidRPr="001D6905" w:rsidRDefault="00061F17" w:rsidP="00EB559A">
            <w:pPr>
              <w:pStyle w:val="Tablehead"/>
              <w:rPr>
                <w:lang w:eastAsia="en-US"/>
              </w:rPr>
            </w:pPr>
            <w:r w:rsidRPr="001D6905">
              <w:rPr>
                <w:lang w:eastAsia="en-US"/>
              </w:rPr>
              <w:t>Service Area</w:t>
            </w:r>
          </w:p>
        </w:tc>
        <w:tc>
          <w:tcPr>
            <w:tcW w:w="3510" w:type="dxa"/>
            <w:hideMark/>
          </w:tcPr>
          <w:p w:rsidR="00061F17" w:rsidRPr="001D6905" w:rsidRDefault="00061F17" w:rsidP="00EB559A">
            <w:pPr>
              <w:pStyle w:val="Tablehead"/>
              <w:rPr>
                <w:lang w:eastAsia="en-US"/>
              </w:rPr>
            </w:pPr>
            <w:r w:rsidRPr="001D6905">
              <w:rPr>
                <w:lang w:eastAsia="en-US"/>
              </w:rPr>
              <w:t>Number of BTS</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w:t>
            </w:r>
          </w:p>
        </w:tc>
        <w:tc>
          <w:tcPr>
            <w:tcW w:w="3330" w:type="dxa"/>
            <w:hideMark/>
          </w:tcPr>
          <w:p w:rsidR="00061F17" w:rsidRPr="001D6905" w:rsidRDefault="00061F17" w:rsidP="00C6698D">
            <w:pPr>
              <w:pStyle w:val="Tabletext"/>
              <w:rPr>
                <w:lang w:eastAsia="en-US"/>
              </w:rPr>
            </w:pPr>
            <w:r w:rsidRPr="001D6905">
              <w:rPr>
                <w:lang w:eastAsia="en-US"/>
              </w:rPr>
              <w:t xml:space="preserve">Andhra </w:t>
            </w:r>
            <w:proofErr w:type="spellStart"/>
            <w:r w:rsidRPr="001D6905">
              <w:rPr>
                <w:lang w:eastAsia="en-US"/>
              </w:rPr>
              <w:t>Pradesh</w:t>
            </w:r>
            <w:proofErr w:type="spellEnd"/>
          </w:p>
        </w:tc>
        <w:tc>
          <w:tcPr>
            <w:tcW w:w="3510" w:type="dxa"/>
            <w:hideMark/>
          </w:tcPr>
          <w:p w:rsidR="00061F17" w:rsidRPr="001D6905" w:rsidRDefault="00061F17" w:rsidP="00C6698D">
            <w:pPr>
              <w:pStyle w:val="Tabletext"/>
              <w:rPr>
                <w:lang w:eastAsia="en-US"/>
              </w:rPr>
            </w:pPr>
            <w:r w:rsidRPr="001D6905">
              <w:rPr>
                <w:lang w:eastAsia="en-US"/>
              </w:rPr>
              <w:t>60285</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2</w:t>
            </w:r>
          </w:p>
        </w:tc>
        <w:tc>
          <w:tcPr>
            <w:tcW w:w="3330" w:type="dxa"/>
            <w:hideMark/>
          </w:tcPr>
          <w:p w:rsidR="00061F17" w:rsidRPr="001D6905" w:rsidRDefault="00061F17" w:rsidP="00C6698D">
            <w:pPr>
              <w:pStyle w:val="Tabletext"/>
              <w:rPr>
                <w:lang w:eastAsia="en-US"/>
              </w:rPr>
            </w:pPr>
            <w:r w:rsidRPr="001D6905">
              <w:rPr>
                <w:lang w:eastAsia="en-US"/>
              </w:rPr>
              <w:t>ASSAM</w:t>
            </w:r>
          </w:p>
        </w:tc>
        <w:tc>
          <w:tcPr>
            <w:tcW w:w="3510" w:type="dxa"/>
            <w:hideMark/>
          </w:tcPr>
          <w:p w:rsidR="00061F17" w:rsidRPr="001D6905" w:rsidRDefault="00061F17" w:rsidP="00C6698D">
            <w:pPr>
              <w:pStyle w:val="Tabletext"/>
              <w:rPr>
                <w:lang w:eastAsia="en-US"/>
              </w:rPr>
            </w:pPr>
            <w:r w:rsidRPr="001D6905">
              <w:rPr>
                <w:lang w:eastAsia="en-US"/>
              </w:rPr>
              <w:t>14152</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3</w:t>
            </w:r>
          </w:p>
        </w:tc>
        <w:tc>
          <w:tcPr>
            <w:tcW w:w="3330" w:type="dxa"/>
            <w:hideMark/>
          </w:tcPr>
          <w:p w:rsidR="00061F17" w:rsidRPr="001D6905" w:rsidRDefault="00061F17" w:rsidP="00C6698D">
            <w:pPr>
              <w:pStyle w:val="Tabletext"/>
              <w:rPr>
                <w:lang w:eastAsia="en-US"/>
              </w:rPr>
            </w:pPr>
            <w:proofErr w:type="spellStart"/>
            <w:r w:rsidRPr="001D6905">
              <w:rPr>
                <w:lang w:eastAsia="en-US"/>
              </w:rPr>
              <w:t>Bihar</w:t>
            </w:r>
            <w:proofErr w:type="spellEnd"/>
          </w:p>
        </w:tc>
        <w:tc>
          <w:tcPr>
            <w:tcW w:w="3510" w:type="dxa"/>
            <w:hideMark/>
          </w:tcPr>
          <w:p w:rsidR="00061F17" w:rsidRPr="001D6905" w:rsidRDefault="00061F17" w:rsidP="00C6698D">
            <w:pPr>
              <w:pStyle w:val="Tabletext"/>
              <w:rPr>
                <w:lang w:eastAsia="en-US"/>
              </w:rPr>
            </w:pPr>
            <w:r w:rsidRPr="001D6905">
              <w:rPr>
                <w:lang w:eastAsia="en-US"/>
              </w:rPr>
              <w:t>44283</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4</w:t>
            </w:r>
          </w:p>
        </w:tc>
        <w:tc>
          <w:tcPr>
            <w:tcW w:w="3330" w:type="dxa"/>
            <w:hideMark/>
          </w:tcPr>
          <w:p w:rsidR="00061F17" w:rsidRPr="001D6905" w:rsidRDefault="00061F17" w:rsidP="00C6698D">
            <w:pPr>
              <w:pStyle w:val="Tabletext"/>
              <w:rPr>
                <w:lang w:eastAsia="en-US"/>
              </w:rPr>
            </w:pPr>
            <w:r w:rsidRPr="001D6905">
              <w:rPr>
                <w:lang w:eastAsia="en-US"/>
              </w:rPr>
              <w:t>Delhi</w:t>
            </w:r>
          </w:p>
        </w:tc>
        <w:tc>
          <w:tcPr>
            <w:tcW w:w="3510" w:type="dxa"/>
            <w:hideMark/>
          </w:tcPr>
          <w:p w:rsidR="00061F17" w:rsidRPr="001D6905" w:rsidRDefault="00061F17" w:rsidP="00C6698D">
            <w:pPr>
              <w:pStyle w:val="Tabletext"/>
              <w:rPr>
                <w:lang w:eastAsia="en-US"/>
              </w:rPr>
            </w:pPr>
            <w:r w:rsidRPr="001D6905">
              <w:rPr>
                <w:lang w:eastAsia="en-US"/>
              </w:rPr>
              <w:t>30900</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5</w:t>
            </w:r>
          </w:p>
        </w:tc>
        <w:tc>
          <w:tcPr>
            <w:tcW w:w="3330" w:type="dxa"/>
            <w:hideMark/>
          </w:tcPr>
          <w:p w:rsidR="00061F17" w:rsidRPr="001D6905" w:rsidRDefault="00061F17" w:rsidP="00C6698D">
            <w:pPr>
              <w:pStyle w:val="Tabletext"/>
              <w:rPr>
                <w:lang w:eastAsia="en-US"/>
              </w:rPr>
            </w:pPr>
            <w:r w:rsidRPr="001D6905">
              <w:rPr>
                <w:lang w:eastAsia="en-US"/>
              </w:rPr>
              <w:t>Gujarat</w:t>
            </w:r>
          </w:p>
        </w:tc>
        <w:tc>
          <w:tcPr>
            <w:tcW w:w="3510" w:type="dxa"/>
            <w:hideMark/>
          </w:tcPr>
          <w:p w:rsidR="00061F17" w:rsidRPr="001D6905" w:rsidRDefault="00061F17" w:rsidP="00C6698D">
            <w:pPr>
              <w:pStyle w:val="Tabletext"/>
              <w:rPr>
                <w:lang w:eastAsia="en-US"/>
              </w:rPr>
            </w:pPr>
            <w:r w:rsidRPr="001D6905">
              <w:rPr>
                <w:lang w:eastAsia="en-US"/>
              </w:rPr>
              <w:t>45950</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6</w:t>
            </w:r>
          </w:p>
        </w:tc>
        <w:tc>
          <w:tcPr>
            <w:tcW w:w="3330" w:type="dxa"/>
            <w:hideMark/>
          </w:tcPr>
          <w:p w:rsidR="00061F17" w:rsidRPr="001D6905" w:rsidRDefault="00061F17" w:rsidP="00C6698D">
            <w:pPr>
              <w:pStyle w:val="Tabletext"/>
              <w:rPr>
                <w:lang w:eastAsia="en-US"/>
              </w:rPr>
            </w:pPr>
            <w:r w:rsidRPr="001D6905">
              <w:rPr>
                <w:lang w:eastAsia="en-US"/>
              </w:rPr>
              <w:t>Haryana</w:t>
            </w:r>
          </w:p>
        </w:tc>
        <w:tc>
          <w:tcPr>
            <w:tcW w:w="3510" w:type="dxa"/>
            <w:hideMark/>
          </w:tcPr>
          <w:p w:rsidR="00061F17" w:rsidRPr="001D6905" w:rsidRDefault="00061F17" w:rsidP="00C6698D">
            <w:pPr>
              <w:pStyle w:val="Tabletext"/>
              <w:rPr>
                <w:lang w:eastAsia="en-US"/>
              </w:rPr>
            </w:pPr>
            <w:r w:rsidRPr="001D6905">
              <w:rPr>
                <w:lang w:eastAsia="en-US"/>
              </w:rPr>
              <w:t>17604</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7</w:t>
            </w:r>
          </w:p>
        </w:tc>
        <w:tc>
          <w:tcPr>
            <w:tcW w:w="3330" w:type="dxa"/>
            <w:hideMark/>
          </w:tcPr>
          <w:p w:rsidR="00061F17" w:rsidRPr="001D6905" w:rsidRDefault="00061F17" w:rsidP="00C6698D">
            <w:pPr>
              <w:pStyle w:val="Tabletext"/>
              <w:rPr>
                <w:lang w:eastAsia="en-US"/>
              </w:rPr>
            </w:pPr>
            <w:proofErr w:type="spellStart"/>
            <w:r w:rsidRPr="001D6905">
              <w:rPr>
                <w:lang w:eastAsia="en-US"/>
              </w:rPr>
              <w:t>Himachal</w:t>
            </w:r>
            <w:proofErr w:type="spellEnd"/>
            <w:r w:rsidRPr="001D6905">
              <w:rPr>
                <w:lang w:eastAsia="en-US"/>
              </w:rPr>
              <w:t xml:space="preserve"> </w:t>
            </w:r>
            <w:proofErr w:type="spellStart"/>
            <w:r w:rsidRPr="001D6905">
              <w:rPr>
                <w:lang w:eastAsia="en-US"/>
              </w:rPr>
              <w:t>Pradesh</w:t>
            </w:r>
            <w:proofErr w:type="spellEnd"/>
          </w:p>
        </w:tc>
        <w:tc>
          <w:tcPr>
            <w:tcW w:w="3510" w:type="dxa"/>
            <w:hideMark/>
          </w:tcPr>
          <w:p w:rsidR="00061F17" w:rsidRPr="001D6905" w:rsidRDefault="00061F17" w:rsidP="00C6698D">
            <w:pPr>
              <w:pStyle w:val="Tabletext"/>
              <w:rPr>
                <w:lang w:eastAsia="en-US"/>
              </w:rPr>
            </w:pPr>
            <w:r w:rsidRPr="001D6905">
              <w:rPr>
                <w:lang w:eastAsia="en-US"/>
              </w:rPr>
              <w:t>7021</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8</w:t>
            </w:r>
          </w:p>
        </w:tc>
        <w:tc>
          <w:tcPr>
            <w:tcW w:w="3330" w:type="dxa"/>
            <w:hideMark/>
          </w:tcPr>
          <w:p w:rsidR="00061F17" w:rsidRPr="001D6905" w:rsidRDefault="00061F17" w:rsidP="00C6698D">
            <w:pPr>
              <w:pStyle w:val="Tabletext"/>
              <w:rPr>
                <w:lang w:eastAsia="en-US"/>
              </w:rPr>
            </w:pPr>
            <w:r w:rsidRPr="001D6905">
              <w:rPr>
                <w:lang w:eastAsia="en-US"/>
              </w:rPr>
              <w:t xml:space="preserve">Jammu &amp; </w:t>
            </w:r>
            <w:proofErr w:type="spellStart"/>
            <w:r w:rsidRPr="001D6905">
              <w:rPr>
                <w:lang w:eastAsia="en-US"/>
              </w:rPr>
              <w:t>Kashmir</w:t>
            </w:r>
            <w:proofErr w:type="spellEnd"/>
          </w:p>
        </w:tc>
        <w:tc>
          <w:tcPr>
            <w:tcW w:w="3510" w:type="dxa"/>
            <w:hideMark/>
          </w:tcPr>
          <w:p w:rsidR="00061F17" w:rsidRPr="001D6905" w:rsidRDefault="00061F17" w:rsidP="00C6698D">
            <w:pPr>
              <w:pStyle w:val="Tabletext"/>
              <w:rPr>
                <w:lang w:eastAsia="en-US"/>
              </w:rPr>
            </w:pPr>
            <w:r w:rsidRPr="001D6905">
              <w:rPr>
                <w:lang w:eastAsia="en-US"/>
              </w:rPr>
              <w:t>11115</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9</w:t>
            </w:r>
          </w:p>
        </w:tc>
        <w:tc>
          <w:tcPr>
            <w:tcW w:w="3330" w:type="dxa"/>
            <w:hideMark/>
          </w:tcPr>
          <w:p w:rsidR="00061F17" w:rsidRPr="001D6905" w:rsidRDefault="00061F17" w:rsidP="00C6698D">
            <w:pPr>
              <w:pStyle w:val="Tabletext"/>
              <w:rPr>
                <w:lang w:eastAsia="en-US"/>
              </w:rPr>
            </w:pPr>
            <w:r w:rsidRPr="001D6905">
              <w:rPr>
                <w:lang w:eastAsia="en-US"/>
              </w:rPr>
              <w:t>Karnataka</w:t>
            </w:r>
          </w:p>
        </w:tc>
        <w:tc>
          <w:tcPr>
            <w:tcW w:w="3510" w:type="dxa"/>
            <w:hideMark/>
          </w:tcPr>
          <w:p w:rsidR="00061F17" w:rsidRPr="001D6905" w:rsidRDefault="00061F17" w:rsidP="00C6698D">
            <w:pPr>
              <w:pStyle w:val="Tabletext"/>
              <w:rPr>
                <w:lang w:eastAsia="en-US"/>
              </w:rPr>
            </w:pPr>
            <w:r w:rsidRPr="001D6905">
              <w:rPr>
                <w:lang w:eastAsia="en-US"/>
              </w:rPr>
              <w:t>54307</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10</w:t>
            </w:r>
          </w:p>
        </w:tc>
        <w:tc>
          <w:tcPr>
            <w:tcW w:w="3330" w:type="dxa"/>
            <w:hideMark/>
          </w:tcPr>
          <w:p w:rsidR="00061F17" w:rsidRPr="001D6905" w:rsidRDefault="00061F17" w:rsidP="00C6698D">
            <w:pPr>
              <w:pStyle w:val="Tabletext"/>
              <w:rPr>
                <w:lang w:eastAsia="en-US"/>
              </w:rPr>
            </w:pPr>
            <w:r w:rsidRPr="001D6905">
              <w:rPr>
                <w:lang w:eastAsia="en-US"/>
              </w:rPr>
              <w:t>KERALA</w:t>
            </w:r>
          </w:p>
        </w:tc>
        <w:tc>
          <w:tcPr>
            <w:tcW w:w="3510" w:type="dxa"/>
            <w:hideMark/>
          </w:tcPr>
          <w:p w:rsidR="00061F17" w:rsidRPr="001D6905" w:rsidRDefault="00061F17" w:rsidP="00C6698D">
            <w:pPr>
              <w:pStyle w:val="Tabletext"/>
              <w:rPr>
                <w:lang w:eastAsia="en-US"/>
              </w:rPr>
            </w:pPr>
            <w:r w:rsidRPr="001D6905">
              <w:rPr>
                <w:lang w:eastAsia="en-US"/>
              </w:rPr>
              <w:t>32658</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11</w:t>
            </w:r>
          </w:p>
        </w:tc>
        <w:tc>
          <w:tcPr>
            <w:tcW w:w="3330" w:type="dxa"/>
            <w:hideMark/>
          </w:tcPr>
          <w:p w:rsidR="00061F17" w:rsidRPr="001D6905" w:rsidRDefault="00061F17" w:rsidP="00C6698D">
            <w:pPr>
              <w:pStyle w:val="Tabletext"/>
              <w:rPr>
                <w:lang w:eastAsia="en-US"/>
              </w:rPr>
            </w:pPr>
            <w:proofErr w:type="spellStart"/>
            <w:r w:rsidRPr="001D6905">
              <w:rPr>
                <w:lang w:eastAsia="en-US"/>
              </w:rPr>
              <w:t>Kolkata</w:t>
            </w:r>
            <w:proofErr w:type="spellEnd"/>
          </w:p>
        </w:tc>
        <w:tc>
          <w:tcPr>
            <w:tcW w:w="3510" w:type="dxa"/>
            <w:hideMark/>
          </w:tcPr>
          <w:p w:rsidR="00061F17" w:rsidRPr="001D6905" w:rsidRDefault="00061F17" w:rsidP="00C6698D">
            <w:pPr>
              <w:pStyle w:val="Tabletext"/>
              <w:rPr>
                <w:lang w:eastAsia="en-US"/>
              </w:rPr>
            </w:pPr>
            <w:r w:rsidRPr="001D6905">
              <w:rPr>
                <w:lang w:eastAsia="en-US"/>
              </w:rPr>
              <w:t>19609</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12</w:t>
            </w:r>
          </w:p>
        </w:tc>
        <w:tc>
          <w:tcPr>
            <w:tcW w:w="3330" w:type="dxa"/>
            <w:hideMark/>
          </w:tcPr>
          <w:p w:rsidR="00061F17" w:rsidRPr="001D6905" w:rsidRDefault="00061F17" w:rsidP="00C6698D">
            <w:pPr>
              <w:pStyle w:val="Tabletext"/>
              <w:rPr>
                <w:lang w:eastAsia="en-US"/>
              </w:rPr>
            </w:pPr>
            <w:r w:rsidRPr="001D6905">
              <w:rPr>
                <w:lang w:eastAsia="en-US"/>
              </w:rPr>
              <w:t>MAHARASHTRA</w:t>
            </w:r>
          </w:p>
        </w:tc>
        <w:tc>
          <w:tcPr>
            <w:tcW w:w="3510" w:type="dxa"/>
            <w:hideMark/>
          </w:tcPr>
          <w:p w:rsidR="00061F17" w:rsidRPr="001D6905" w:rsidRDefault="00061F17" w:rsidP="00C6698D">
            <w:pPr>
              <w:pStyle w:val="Tabletext"/>
              <w:rPr>
                <w:lang w:eastAsia="en-US"/>
              </w:rPr>
            </w:pPr>
            <w:r w:rsidRPr="001D6905">
              <w:rPr>
                <w:lang w:eastAsia="en-US"/>
              </w:rPr>
              <w:t>64354</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13</w:t>
            </w:r>
          </w:p>
        </w:tc>
        <w:tc>
          <w:tcPr>
            <w:tcW w:w="3330" w:type="dxa"/>
            <w:hideMark/>
          </w:tcPr>
          <w:p w:rsidR="00061F17" w:rsidRPr="001D6905" w:rsidRDefault="00061F17" w:rsidP="00C6698D">
            <w:pPr>
              <w:pStyle w:val="Tabletext"/>
              <w:rPr>
                <w:lang w:eastAsia="en-US"/>
              </w:rPr>
            </w:pPr>
            <w:proofErr w:type="spellStart"/>
            <w:r w:rsidRPr="001D6905">
              <w:rPr>
                <w:lang w:eastAsia="en-US"/>
              </w:rPr>
              <w:t>Madhya</w:t>
            </w:r>
            <w:proofErr w:type="spellEnd"/>
            <w:r w:rsidRPr="001D6905">
              <w:rPr>
                <w:lang w:eastAsia="en-US"/>
              </w:rPr>
              <w:t xml:space="preserve"> </w:t>
            </w:r>
            <w:proofErr w:type="spellStart"/>
            <w:r w:rsidRPr="001D6905">
              <w:rPr>
                <w:lang w:eastAsia="en-US"/>
              </w:rPr>
              <w:t>Pradesh</w:t>
            </w:r>
            <w:proofErr w:type="spellEnd"/>
          </w:p>
        </w:tc>
        <w:tc>
          <w:tcPr>
            <w:tcW w:w="3510" w:type="dxa"/>
            <w:hideMark/>
          </w:tcPr>
          <w:p w:rsidR="00061F17" w:rsidRPr="001D6905" w:rsidRDefault="00061F17" w:rsidP="00C6698D">
            <w:pPr>
              <w:pStyle w:val="Tabletext"/>
              <w:rPr>
                <w:lang w:eastAsia="en-US"/>
              </w:rPr>
            </w:pPr>
            <w:r w:rsidRPr="001D6905">
              <w:rPr>
                <w:lang w:eastAsia="en-US"/>
              </w:rPr>
              <w:t>46423</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14</w:t>
            </w:r>
          </w:p>
        </w:tc>
        <w:tc>
          <w:tcPr>
            <w:tcW w:w="3330" w:type="dxa"/>
            <w:hideMark/>
          </w:tcPr>
          <w:p w:rsidR="00061F17" w:rsidRPr="001D6905" w:rsidRDefault="00061F17" w:rsidP="00C6698D">
            <w:pPr>
              <w:pStyle w:val="Tabletext"/>
              <w:rPr>
                <w:lang w:eastAsia="en-US"/>
              </w:rPr>
            </w:pPr>
            <w:r w:rsidRPr="001D6905">
              <w:rPr>
                <w:lang w:eastAsia="en-US"/>
              </w:rPr>
              <w:t>MUMBAI</w:t>
            </w:r>
          </w:p>
        </w:tc>
        <w:tc>
          <w:tcPr>
            <w:tcW w:w="3510" w:type="dxa"/>
            <w:hideMark/>
          </w:tcPr>
          <w:p w:rsidR="00061F17" w:rsidRPr="001D6905" w:rsidRDefault="00061F17" w:rsidP="00C6698D">
            <w:pPr>
              <w:pStyle w:val="Tabletext"/>
              <w:rPr>
                <w:lang w:eastAsia="en-US"/>
              </w:rPr>
            </w:pPr>
            <w:r w:rsidRPr="001D6905">
              <w:rPr>
                <w:lang w:eastAsia="en-US"/>
              </w:rPr>
              <w:t>25535</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15</w:t>
            </w:r>
          </w:p>
        </w:tc>
        <w:tc>
          <w:tcPr>
            <w:tcW w:w="3330" w:type="dxa"/>
            <w:hideMark/>
          </w:tcPr>
          <w:p w:rsidR="00061F17" w:rsidRPr="001D6905" w:rsidRDefault="00061F17" w:rsidP="00C6698D">
            <w:pPr>
              <w:pStyle w:val="Tabletext"/>
              <w:rPr>
                <w:lang w:eastAsia="en-US"/>
              </w:rPr>
            </w:pPr>
            <w:proofErr w:type="spellStart"/>
            <w:r w:rsidRPr="001D6905">
              <w:rPr>
                <w:lang w:eastAsia="en-US"/>
              </w:rPr>
              <w:t>North</w:t>
            </w:r>
            <w:proofErr w:type="spellEnd"/>
            <w:r w:rsidRPr="001D6905">
              <w:rPr>
                <w:lang w:eastAsia="en-US"/>
              </w:rPr>
              <w:t xml:space="preserve"> East</w:t>
            </w:r>
          </w:p>
        </w:tc>
        <w:tc>
          <w:tcPr>
            <w:tcW w:w="3510" w:type="dxa"/>
            <w:hideMark/>
          </w:tcPr>
          <w:p w:rsidR="00061F17" w:rsidRPr="001D6905" w:rsidRDefault="00061F17" w:rsidP="00C6698D">
            <w:pPr>
              <w:pStyle w:val="Tabletext"/>
              <w:rPr>
                <w:lang w:eastAsia="en-US"/>
              </w:rPr>
            </w:pPr>
            <w:r w:rsidRPr="001D6905">
              <w:rPr>
                <w:lang w:eastAsia="en-US"/>
              </w:rPr>
              <w:t>8634</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16</w:t>
            </w:r>
          </w:p>
        </w:tc>
        <w:tc>
          <w:tcPr>
            <w:tcW w:w="3330" w:type="dxa"/>
            <w:hideMark/>
          </w:tcPr>
          <w:p w:rsidR="00061F17" w:rsidRPr="001D6905" w:rsidRDefault="00061F17" w:rsidP="00C6698D">
            <w:pPr>
              <w:pStyle w:val="Tabletext"/>
              <w:rPr>
                <w:lang w:eastAsia="en-US"/>
              </w:rPr>
            </w:pPr>
            <w:r w:rsidRPr="001D6905">
              <w:rPr>
                <w:lang w:eastAsia="en-US"/>
              </w:rPr>
              <w:t>Orissa</w:t>
            </w:r>
          </w:p>
        </w:tc>
        <w:tc>
          <w:tcPr>
            <w:tcW w:w="3510" w:type="dxa"/>
            <w:hideMark/>
          </w:tcPr>
          <w:p w:rsidR="00061F17" w:rsidRPr="001D6905" w:rsidRDefault="00061F17" w:rsidP="00C6698D">
            <w:pPr>
              <w:pStyle w:val="Tabletext"/>
              <w:rPr>
                <w:lang w:eastAsia="en-US"/>
              </w:rPr>
            </w:pPr>
            <w:r w:rsidRPr="001D6905">
              <w:rPr>
                <w:lang w:eastAsia="en-US"/>
              </w:rPr>
              <w:t>20795</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17</w:t>
            </w:r>
          </w:p>
        </w:tc>
        <w:tc>
          <w:tcPr>
            <w:tcW w:w="3330" w:type="dxa"/>
            <w:hideMark/>
          </w:tcPr>
          <w:p w:rsidR="00061F17" w:rsidRPr="001D6905" w:rsidRDefault="00061F17" w:rsidP="00C6698D">
            <w:pPr>
              <w:pStyle w:val="Tabletext"/>
              <w:rPr>
                <w:lang w:eastAsia="en-US"/>
              </w:rPr>
            </w:pPr>
            <w:proofErr w:type="spellStart"/>
            <w:r w:rsidRPr="001D6905">
              <w:rPr>
                <w:lang w:eastAsia="en-US"/>
              </w:rPr>
              <w:t>Punjab</w:t>
            </w:r>
            <w:proofErr w:type="spellEnd"/>
          </w:p>
        </w:tc>
        <w:tc>
          <w:tcPr>
            <w:tcW w:w="3510" w:type="dxa"/>
            <w:hideMark/>
          </w:tcPr>
          <w:p w:rsidR="00061F17" w:rsidRPr="001D6905" w:rsidRDefault="00061F17" w:rsidP="00C6698D">
            <w:pPr>
              <w:pStyle w:val="Tabletext"/>
              <w:rPr>
                <w:lang w:eastAsia="en-US"/>
              </w:rPr>
            </w:pPr>
            <w:r w:rsidRPr="001D6905">
              <w:rPr>
                <w:lang w:eastAsia="en-US"/>
              </w:rPr>
              <w:t>26959</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18</w:t>
            </w:r>
          </w:p>
        </w:tc>
        <w:tc>
          <w:tcPr>
            <w:tcW w:w="3330" w:type="dxa"/>
            <w:hideMark/>
          </w:tcPr>
          <w:p w:rsidR="00061F17" w:rsidRPr="001D6905" w:rsidRDefault="00061F17" w:rsidP="00C6698D">
            <w:pPr>
              <w:pStyle w:val="Tabletext"/>
              <w:rPr>
                <w:lang w:eastAsia="en-US"/>
              </w:rPr>
            </w:pPr>
            <w:r w:rsidRPr="001D6905">
              <w:rPr>
                <w:lang w:eastAsia="en-US"/>
              </w:rPr>
              <w:t>RAJASTHAN</w:t>
            </w:r>
          </w:p>
        </w:tc>
        <w:tc>
          <w:tcPr>
            <w:tcW w:w="3510" w:type="dxa"/>
            <w:hideMark/>
          </w:tcPr>
          <w:p w:rsidR="00061F17" w:rsidRPr="001D6905" w:rsidRDefault="00061F17" w:rsidP="00C6698D">
            <w:pPr>
              <w:pStyle w:val="Tabletext"/>
              <w:rPr>
                <w:lang w:eastAsia="en-US"/>
              </w:rPr>
            </w:pPr>
            <w:r w:rsidRPr="001D6905">
              <w:rPr>
                <w:lang w:eastAsia="en-US"/>
              </w:rPr>
              <w:t>35560</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19.1</w:t>
            </w:r>
          </w:p>
        </w:tc>
        <w:tc>
          <w:tcPr>
            <w:tcW w:w="3330" w:type="dxa"/>
            <w:hideMark/>
          </w:tcPr>
          <w:p w:rsidR="00061F17" w:rsidRPr="001D6905" w:rsidRDefault="00061F17" w:rsidP="00C6698D">
            <w:pPr>
              <w:pStyle w:val="Tabletext"/>
              <w:rPr>
                <w:lang w:eastAsia="en-US"/>
              </w:rPr>
            </w:pPr>
            <w:r w:rsidRPr="001D6905">
              <w:rPr>
                <w:lang w:eastAsia="en-US"/>
              </w:rPr>
              <w:t xml:space="preserve">Tamil </w:t>
            </w:r>
            <w:proofErr w:type="spellStart"/>
            <w:r w:rsidRPr="001D6905">
              <w:rPr>
                <w:lang w:eastAsia="en-US"/>
              </w:rPr>
              <w:t>Nadu</w:t>
            </w:r>
            <w:proofErr w:type="spellEnd"/>
            <w:r w:rsidRPr="001D6905">
              <w:rPr>
                <w:lang w:eastAsia="en-US"/>
              </w:rPr>
              <w:t xml:space="preserve"> </w:t>
            </w:r>
            <w:proofErr w:type="spellStart"/>
            <w:r w:rsidRPr="001D6905">
              <w:rPr>
                <w:lang w:eastAsia="en-US"/>
              </w:rPr>
              <w:t>excluding</w:t>
            </w:r>
            <w:proofErr w:type="spellEnd"/>
            <w:r w:rsidRPr="001D6905">
              <w:rPr>
                <w:lang w:eastAsia="en-US"/>
              </w:rPr>
              <w:t xml:space="preserve"> </w:t>
            </w:r>
            <w:proofErr w:type="spellStart"/>
            <w:r w:rsidRPr="001D6905">
              <w:rPr>
                <w:lang w:eastAsia="en-US"/>
              </w:rPr>
              <w:t>Chennai</w:t>
            </w:r>
            <w:proofErr w:type="spellEnd"/>
          </w:p>
        </w:tc>
        <w:tc>
          <w:tcPr>
            <w:tcW w:w="3510" w:type="dxa"/>
            <w:hideMark/>
          </w:tcPr>
          <w:p w:rsidR="00061F17" w:rsidRPr="001D6905" w:rsidRDefault="00061F17" w:rsidP="00C6698D">
            <w:pPr>
              <w:pStyle w:val="Tabletext"/>
              <w:rPr>
                <w:lang w:eastAsia="en-US"/>
              </w:rPr>
            </w:pPr>
            <w:r w:rsidRPr="001D6905">
              <w:rPr>
                <w:lang w:eastAsia="en-US"/>
              </w:rPr>
              <w:t>45484</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19.2</w:t>
            </w:r>
          </w:p>
        </w:tc>
        <w:tc>
          <w:tcPr>
            <w:tcW w:w="3330" w:type="dxa"/>
            <w:hideMark/>
          </w:tcPr>
          <w:p w:rsidR="00061F17" w:rsidRPr="001D6905" w:rsidRDefault="00061F17" w:rsidP="00C6698D">
            <w:pPr>
              <w:pStyle w:val="Tabletext"/>
              <w:rPr>
                <w:lang w:eastAsia="en-US"/>
              </w:rPr>
            </w:pPr>
            <w:proofErr w:type="spellStart"/>
            <w:r w:rsidRPr="001D6905">
              <w:rPr>
                <w:lang w:eastAsia="en-US"/>
              </w:rPr>
              <w:t>Chennai</w:t>
            </w:r>
            <w:proofErr w:type="spellEnd"/>
          </w:p>
        </w:tc>
        <w:tc>
          <w:tcPr>
            <w:tcW w:w="3510" w:type="dxa"/>
            <w:hideMark/>
          </w:tcPr>
          <w:p w:rsidR="00061F17" w:rsidRPr="001D6905" w:rsidRDefault="00061F17" w:rsidP="00C6698D">
            <w:pPr>
              <w:pStyle w:val="Tabletext"/>
              <w:rPr>
                <w:lang w:eastAsia="en-US"/>
              </w:rPr>
            </w:pPr>
            <w:r w:rsidRPr="001D6905">
              <w:rPr>
                <w:lang w:eastAsia="en-US"/>
              </w:rPr>
              <w:t>21835</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20</w:t>
            </w:r>
          </w:p>
        </w:tc>
        <w:tc>
          <w:tcPr>
            <w:tcW w:w="3330" w:type="dxa"/>
            <w:hideMark/>
          </w:tcPr>
          <w:p w:rsidR="00061F17" w:rsidRPr="001D6905" w:rsidRDefault="00061F17" w:rsidP="00C6698D">
            <w:pPr>
              <w:pStyle w:val="Tabletext"/>
              <w:rPr>
                <w:lang w:eastAsia="en-US"/>
              </w:rPr>
            </w:pPr>
            <w:proofErr w:type="spellStart"/>
            <w:r w:rsidRPr="001D6905">
              <w:rPr>
                <w:lang w:eastAsia="en-US"/>
              </w:rPr>
              <w:t>Uttar</w:t>
            </w:r>
            <w:proofErr w:type="spellEnd"/>
            <w:r w:rsidRPr="001D6905">
              <w:rPr>
                <w:lang w:eastAsia="en-US"/>
              </w:rPr>
              <w:t xml:space="preserve"> </w:t>
            </w:r>
            <w:proofErr w:type="spellStart"/>
            <w:r w:rsidRPr="001D6905">
              <w:rPr>
                <w:lang w:eastAsia="en-US"/>
              </w:rPr>
              <w:t>Pradesh</w:t>
            </w:r>
            <w:proofErr w:type="spellEnd"/>
            <w:r w:rsidRPr="001D6905">
              <w:rPr>
                <w:lang w:eastAsia="en-US"/>
              </w:rPr>
              <w:t xml:space="preserve"> (East)</w:t>
            </w:r>
          </w:p>
        </w:tc>
        <w:tc>
          <w:tcPr>
            <w:tcW w:w="3510" w:type="dxa"/>
            <w:hideMark/>
          </w:tcPr>
          <w:p w:rsidR="00061F17" w:rsidRPr="001D6905" w:rsidRDefault="00061F17" w:rsidP="00C6698D">
            <w:pPr>
              <w:pStyle w:val="Tabletext"/>
              <w:rPr>
                <w:lang w:eastAsia="en-US"/>
              </w:rPr>
            </w:pPr>
            <w:r w:rsidRPr="001D6905">
              <w:rPr>
                <w:lang w:eastAsia="en-US"/>
              </w:rPr>
              <w:t>45176</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21</w:t>
            </w:r>
          </w:p>
        </w:tc>
        <w:tc>
          <w:tcPr>
            <w:tcW w:w="3330" w:type="dxa"/>
            <w:hideMark/>
          </w:tcPr>
          <w:p w:rsidR="00061F17" w:rsidRPr="001D6905" w:rsidRDefault="00061F17" w:rsidP="00C6698D">
            <w:pPr>
              <w:pStyle w:val="Tabletext"/>
              <w:rPr>
                <w:lang w:eastAsia="en-US"/>
              </w:rPr>
            </w:pPr>
            <w:proofErr w:type="spellStart"/>
            <w:r w:rsidRPr="001D6905">
              <w:rPr>
                <w:lang w:eastAsia="en-US"/>
              </w:rPr>
              <w:t>Uttar</w:t>
            </w:r>
            <w:proofErr w:type="spellEnd"/>
            <w:r w:rsidRPr="001D6905">
              <w:rPr>
                <w:lang w:eastAsia="en-US"/>
              </w:rPr>
              <w:t xml:space="preserve"> </w:t>
            </w:r>
            <w:proofErr w:type="spellStart"/>
            <w:r w:rsidRPr="001D6905">
              <w:rPr>
                <w:lang w:eastAsia="en-US"/>
              </w:rPr>
              <w:t>Pradesh</w:t>
            </w:r>
            <w:proofErr w:type="spellEnd"/>
            <w:r w:rsidRPr="001D6905">
              <w:rPr>
                <w:lang w:eastAsia="en-US"/>
              </w:rPr>
              <w:t xml:space="preserve"> (West)</w:t>
            </w:r>
          </w:p>
        </w:tc>
        <w:tc>
          <w:tcPr>
            <w:tcW w:w="3510" w:type="dxa"/>
            <w:hideMark/>
          </w:tcPr>
          <w:p w:rsidR="00061F17" w:rsidRPr="001D6905" w:rsidRDefault="00061F17" w:rsidP="00C6698D">
            <w:pPr>
              <w:pStyle w:val="Tabletext"/>
              <w:rPr>
                <w:lang w:eastAsia="en-US"/>
              </w:rPr>
            </w:pPr>
            <w:r w:rsidRPr="001D6905">
              <w:rPr>
                <w:lang w:eastAsia="en-US"/>
              </w:rPr>
              <w:t>37883</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22</w:t>
            </w:r>
          </w:p>
        </w:tc>
        <w:tc>
          <w:tcPr>
            <w:tcW w:w="3330" w:type="dxa"/>
            <w:hideMark/>
          </w:tcPr>
          <w:p w:rsidR="00061F17" w:rsidRPr="001D6905" w:rsidRDefault="00061F17" w:rsidP="00C6698D">
            <w:pPr>
              <w:pStyle w:val="Tabletext"/>
              <w:rPr>
                <w:lang w:eastAsia="en-US"/>
              </w:rPr>
            </w:pPr>
            <w:r w:rsidRPr="001D6905">
              <w:rPr>
                <w:lang w:eastAsia="en-US"/>
              </w:rPr>
              <w:t xml:space="preserve">West </w:t>
            </w:r>
            <w:proofErr w:type="spellStart"/>
            <w:r w:rsidRPr="001D6905">
              <w:rPr>
                <w:lang w:eastAsia="en-US"/>
              </w:rPr>
              <w:t>Bengal</w:t>
            </w:r>
            <w:proofErr w:type="spellEnd"/>
          </w:p>
        </w:tc>
        <w:tc>
          <w:tcPr>
            <w:tcW w:w="3510" w:type="dxa"/>
            <w:hideMark/>
          </w:tcPr>
          <w:p w:rsidR="00061F17" w:rsidRPr="001D6905" w:rsidRDefault="00061F17" w:rsidP="00C6698D">
            <w:pPr>
              <w:pStyle w:val="Tabletext"/>
              <w:rPr>
                <w:lang w:eastAsia="en-US"/>
              </w:rPr>
            </w:pPr>
            <w:r w:rsidRPr="001D6905">
              <w:rPr>
                <w:lang w:eastAsia="en-US"/>
              </w:rPr>
              <w:t>30080</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b/>
                <w:lang w:eastAsia="en-US"/>
              </w:rPr>
            </w:pPr>
            <w:r w:rsidRPr="001D6905">
              <w:rPr>
                <w:b/>
                <w:lang w:eastAsia="en-US"/>
              </w:rPr>
              <w:t> </w:t>
            </w:r>
          </w:p>
        </w:tc>
        <w:tc>
          <w:tcPr>
            <w:tcW w:w="3330" w:type="dxa"/>
            <w:hideMark/>
          </w:tcPr>
          <w:p w:rsidR="00061F17" w:rsidRPr="001D6905" w:rsidRDefault="00061F17" w:rsidP="00C6698D">
            <w:pPr>
              <w:pStyle w:val="Tabletext"/>
              <w:rPr>
                <w:b/>
                <w:lang w:eastAsia="en-US"/>
              </w:rPr>
            </w:pPr>
            <w:r w:rsidRPr="001D6905">
              <w:rPr>
                <w:b/>
                <w:lang w:eastAsia="en-US"/>
              </w:rPr>
              <w:t>Total</w:t>
            </w:r>
          </w:p>
        </w:tc>
        <w:tc>
          <w:tcPr>
            <w:tcW w:w="3510" w:type="dxa"/>
            <w:hideMark/>
          </w:tcPr>
          <w:p w:rsidR="00061F17" w:rsidRPr="001D6905" w:rsidRDefault="00061F17" w:rsidP="00C6698D">
            <w:pPr>
              <w:pStyle w:val="Tabletext"/>
              <w:rPr>
                <w:b/>
                <w:lang w:eastAsia="en-US"/>
              </w:rPr>
            </w:pPr>
            <w:r w:rsidRPr="001D6905">
              <w:rPr>
                <w:b/>
                <w:lang w:eastAsia="en-US"/>
              </w:rPr>
              <w:t>746602</w:t>
            </w:r>
          </w:p>
        </w:tc>
      </w:tr>
    </w:tbl>
    <w:p w:rsidR="00061F17" w:rsidRPr="001D6905" w:rsidRDefault="00061F17" w:rsidP="00061F17">
      <w:pPr>
        <w:rPr>
          <w:rFonts w:eastAsia="Calibri" w:cs="Arial"/>
          <w:b/>
          <w:szCs w:val="19"/>
        </w:rPr>
      </w:pPr>
      <w:r w:rsidRPr="001D6905">
        <w:rPr>
          <w:rFonts w:eastAsia="Calibri" w:cs="Arial"/>
          <w:b/>
          <w:szCs w:val="19"/>
        </w:rPr>
        <w:br w:type="page"/>
      </w:r>
    </w:p>
    <w:p w:rsidR="00061F17" w:rsidRDefault="00061F17" w:rsidP="00C71B8F">
      <w:pPr>
        <w:pStyle w:val="Heading1"/>
        <w:rPr>
          <w:rFonts w:eastAsia="Calibri"/>
        </w:rPr>
      </w:pPr>
      <w:bookmarkStart w:id="170" w:name="_Toc374691854"/>
      <w:r>
        <w:rPr>
          <w:rFonts w:eastAsia="Calibri"/>
        </w:rPr>
        <w:lastRenderedPageBreak/>
        <w:t>Annex 10C</w:t>
      </w:r>
      <w:bookmarkEnd w:id="170"/>
    </w:p>
    <w:p w:rsidR="00C71B8F" w:rsidRPr="00C71B8F" w:rsidRDefault="00C71B8F" w:rsidP="00C71B8F">
      <w:pPr>
        <w:rPr>
          <w:lang w:val="en-US"/>
        </w:rPr>
      </w:pPr>
    </w:p>
    <w:p w:rsidR="00061F17" w:rsidRPr="001D6905" w:rsidRDefault="00061F17" w:rsidP="00061F17">
      <w:pPr>
        <w:rPr>
          <w:rFonts w:eastAsia="Calibri" w:cs="Arial"/>
          <w:szCs w:val="19"/>
        </w:rPr>
      </w:pPr>
      <w:r>
        <w:object w:dxaOrig="12337" w:dyaOrig="7610">
          <v:shape id="_x0000_i1026" type="#_x0000_t75" style="width:435pt;height:270pt;mso-position-vertical:absolute" o:ole="" o:allowoverlap="f">
            <v:imagedata r:id="rId37" o:title=""/>
          </v:shape>
          <o:OLEObject Type="Embed" ProgID="Excel.Sheet.12" ShapeID="_x0000_i1026" DrawAspect="Content" ObjectID="_1451479228" r:id="rId38"/>
        </w:object>
      </w:r>
    </w:p>
    <w:p w:rsidR="00061F17" w:rsidRPr="001D6905" w:rsidRDefault="00061F17" w:rsidP="00061F17">
      <w:pPr>
        <w:rPr>
          <w:rFonts w:eastAsia="Calibri" w:cs="Arial"/>
          <w:szCs w:val="19"/>
        </w:rPr>
      </w:pPr>
      <w:r>
        <w:object w:dxaOrig="12047" w:dyaOrig="8192">
          <v:shape id="_x0000_i1027" type="#_x0000_t75" style="width:451.5pt;height:309pt" o:ole="" o:allowoverlap="f">
            <v:imagedata r:id="rId39" o:title=""/>
          </v:shape>
          <o:OLEObject Type="Embed" ProgID="Excel.Sheet.12" ShapeID="_x0000_i1027" DrawAspect="Content" ObjectID="_1451479229" r:id="rId40"/>
        </w:object>
      </w:r>
    </w:p>
    <w:p w:rsidR="00061F17" w:rsidRPr="001D6905" w:rsidRDefault="00061F17" w:rsidP="00061F17">
      <w:pPr>
        <w:rPr>
          <w:rFonts w:eastAsia="Calibri" w:cs="Arial"/>
          <w:szCs w:val="19"/>
        </w:rPr>
      </w:pPr>
    </w:p>
    <w:p w:rsidR="00061F17" w:rsidRPr="001D6905" w:rsidRDefault="00061F17" w:rsidP="00061F17">
      <w:pPr>
        <w:rPr>
          <w:rFonts w:eastAsia="Calibri" w:cs="Arial"/>
          <w:szCs w:val="19"/>
        </w:rPr>
      </w:pPr>
      <w:r>
        <w:object w:dxaOrig="13240" w:dyaOrig="8002">
          <v:shape id="_x0000_i1028" type="#_x0000_t75" style="width:448.5pt;height:296.25pt" o:ole="" o:allowoverlap="f">
            <v:imagedata r:id="rId41" o:title=""/>
          </v:shape>
          <o:OLEObject Type="Embed" ProgID="Excel.Sheet.12" ShapeID="_x0000_i1028" DrawAspect="Content" ObjectID="_1451479230" r:id="rId42"/>
        </w:object>
      </w:r>
    </w:p>
    <w:p w:rsidR="00061F17" w:rsidRPr="001D6905" w:rsidRDefault="00061F17" w:rsidP="00061F17">
      <w:pPr>
        <w:rPr>
          <w:rFonts w:eastAsia="Calibri" w:cs="Arial"/>
          <w:szCs w:val="19"/>
        </w:rPr>
      </w:pPr>
    </w:p>
    <w:bookmarkStart w:id="171" w:name="_MON_1448782912"/>
    <w:bookmarkEnd w:id="171"/>
    <w:p w:rsidR="00061F17" w:rsidRPr="001D6905" w:rsidRDefault="00A11960" w:rsidP="00061F17">
      <w:pPr>
        <w:rPr>
          <w:rFonts w:eastAsia="Calibri" w:cs="Arial"/>
          <w:szCs w:val="19"/>
        </w:rPr>
      </w:pPr>
      <w:r>
        <w:object w:dxaOrig="11822" w:dyaOrig="7165">
          <v:shape id="_x0000_i1029" type="#_x0000_t75" style="width:444pt;height:270pt" o:ole="">
            <v:imagedata r:id="rId43" o:title=""/>
          </v:shape>
          <o:OLEObject Type="Embed" ProgID="Excel.Sheet.12" ShapeID="_x0000_i1029" DrawAspect="Content" ObjectID="_1451479231" r:id="rId44"/>
        </w:object>
      </w:r>
    </w:p>
    <w:p w:rsidR="00061F17" w:rsidRPr="001D6905" w:rsidRDefault="00093EAA" w:rsidP="00061F17">
      <w:pPr>
        <w:rPr>
          <w:rFonts w:eastAsia="Calibri" w:cs="Arial"/>
          <w:szCs w:val="19"/>
        </w:rPr>
      </w:pPr>
      <w:r>
        <w:object w:dxaOrig="11853" w:dyaOrig="6438">
          <v:shape id="_x0000_i1030" type="#_x0000_t75" style="width:444pt;height:242.25pt" o:ole="">
            <v:imagedata r:id="rId45" o:title=""/>
          </v:shape>
          <o:OLEObject Type="Embed" ProgID="Excel.Sheet.12" ShapeID="_x0000_i1030" DrawAspect="Content" ObjectID="_1451479232" r:id="rId46"/>
        </w:object>
      </w:r>
    </w:p>
    <w:p w:rsidR="00061F17" w:rsidRPr="00CE3378" w:rsidRDefault="00061F17" w:rsidP="00061F17">
      <w:pPr>
        <w:pStyle w:val="CEOcontributionStart"/>
        <w:rPr>
          <w:lang w:val="fr-FR"/>
        </w:rPr>
      </w:pPr>
      <w:r>
        <w:object w:dxaOrig="13336" w:dyaOrig="4555">
          <v:shape id="_x0000_i1031" type="#_x0000_t75" style="width:460.5pt;height:143.25pt" o:ole="" o:allowoverlap="f">
            <v:imagedata r:id="rId47" o:title=""/>
          </v:shape>
          <o:OLEObject Type="Embed" ProgID="Excel.Sheet.12" ShapeID="_x0000_i1031" DrawAspect="Content" ObjectID="_1451479233" r:id="rId48"/>
        </w:object>
      </w:r>
      <w:r w:rsidRPr="00CE3378">
        <w:rPr>
          <w:lang w:val="fr-FR"/>
        </w:rPr>
        <w:t>____</w:t>
      </w:r>
    </w:p>
    <w:p w:rsidR="00061F17" w:rsidRPr="00CE3378" w:rsidRDefault="00061F17" w:rsidP="00061F17">
      <w:pPr>
        <w:spacing w:before="0"/>
        <w:rPr>
          <w:b/>
          <w:szCs w:val="19"/>
        </w:rPr>
      </w:pPr>
      <w:r w:rsidRPr="00CE3378">
        <w:rPr>
          <w:smallCaps/>
          <w:szCs w:val="19"/>
        </w:rPr>
        <w:br w:type="page"/>
      </w:r>
    </w:p>
    <w:p w:rsidR="00061F17" w:rsidRPr="00CE3378" w:rsidRDefault="00061F17" w:rsidP="00061F17">
      <w:pPr>
        <w:pStyle w:val="Heading1"/>
        <w:rPr>
          <w:smallCaps/>
          <w:szCs w:val="19"/>
          <w:lang w:val="fr-FR"/>
        </w:rPr>
      </w:pPr>
      <w:bookmarkStart w:id="172" w:name="_Toc374691855"/>
      <w:r w:rsidRPr="00CE3378">
        <w:rPr>
          <w:szCs w:val="19"/>
          <w:lang w:val="fr-FR"/>
        </w:rPr>
        <w:lastRenderedPageBreak/>
        <w:t>II.</w:t>
      </w:r>
      <w:r w:rsidRPr="00CE3378">
        <w:rPr>
          <w:szCs w:val="19"/>
          <w:lang w:val="fr-FR"/>
        </w:rPr>
        <w:tab/>
      </w:r>
      <w:r w:rsidR="00011D10" w:rsidRPr="00CE3378">
        <w:rPr>
          <w:szCs w:val="19"/>
          <w:lang w:val="fr-FR"/>
        </w:rPr>
        <w:t>List of Contributions</w:t>
      </w:r>
      <w:bookmarkEnd w:id="166"/>
      <w:bookmarkEnd w:id="172"/>
    </w:p>
    <w:p w:rsidR="00061F17" w:rsidRPr="00CE3378" w:rsidRDefault="00877683" w:rsidP="00877683">
      <w:pPr>
        <w:pStyle w:val="Enumlevel1"/>
        <w:rPr>
          <w:rFonts w:asciiTheme="minorHAnsi" w:hAnsiTheme="minorHAnsi"/>
          <w:lang w:val="fr-FR"/>
        </w:rPr>
      </w:pPr>
      <w:bookmarkStart w:id="173" w:name="_Toc361912453"/>
      <w:r w:rsidRPr="00CE3378">
        <w:rPr>
          <w:rFonts w:asciiTheme="minorHAnsi" w:hAnsiTheme="minorHAnsi"/>
          <w:lang w:val="fr-FR"/>
        </w:rPr>
        <w:t>1.</w:t>
      </w:r>
      <w:r w:rsidRPr="00CE3378">
        <w:rPr>
          <w:rFonts w:asciiTheme="minorHAnsi" w:hAnsiTheme="minorHAnsi"/>
          <w:lang w:val="fr-FR"/>
        </w:rPr>
        <w:tab/>
      </w:r>
      <w:r w:rsidR="00061F17" w:rsidRPr="00CE3378">
        <w:rPr>
          <w:rFonts w:asciiTheme="minorHAnsi" w:hAnsiTheme="minorHAnsi"/>
          <w:lang w:val="fr-FR"/>
        </w:rPr>
        <w:t>Côte d’Ivoire</w:t>
      </w:r>
      <w:bookmarkEnd w:id="173"/>
      <w:r w:rsidR="00061F17" w:rsidRPr="00CE3378">
        <w:rPr>
          <w:rFonts w:asciiTheme="minorHAnsi" w:hAnsiTheme="minorHAnsi"/>
          <w:lang w:val="fr-FR"/>
        </w:rPr>
        <w:t xml:space="preserve">  </w:t>
      </w:r>
      <w:hyperlink r:id="rId49" w:history="1">
        <w:r w:rsidR="004A1AD2" w:rsidRPr="00CE3378">
          <w:rPr>
            <w:rStyle w:val="Hyperlink"/>
            <w:rFonts w:asciiTheme="minorHAnsi" w:hAnsiTheme="minorHAnsi"/>
            <w:lang w:val="fr-FR"/>
          </w:rPr>
          <w:t>www</w:t>
        </w:r>
        <w:r w:rsidR="00061F17" w:rsidRPr="00CE3378">
          <w:rPr>
            <w:rStyle w:val="Hyperlink"/>
            <w:rFonts w:asciiTheme="minorHAnsi" w:hAnsiTheme="minorHAnsi"/>
            <w:lang w:val="fr-FR"/>
          </w:rPr>
          <w:t>.itu.int/md/D10-SG01-INF-0034/</w:t>
        </w:r>
      </w:hyperlink>
      <w:r w:rsidR="00061F17" w:rsidRPr="00CE3378">
        <w:rPr>
          <w:rFonts w:asciiTheme="minorHAnsi" w:hAnsiTheme="minorHAnsi"/>
          <w:lang w:val="fr-FR"/>
        </w:rPr>
        <w:t xml:space="preserve"> </w:t>
      </w:r>
    </w:p>
    <w:p w:rsidR="00061F17" w:rsidRPr="004C088A" w:rsidRDefault="00877683" w:rsidP="00877683">
      <w:pPr>
        <w:pStyle w:val="Enumlevel1"/>
        <w:rPr>
          <w:rFonts w:asciiTheme="minorHAnsi" w:hAnsiTheme="minorHAnsi"/>
          <w:lang w:val="es-ES_tradnl"/>
        </w:rPr>
      </w:pPr>
      <w:bookmarkStart w:id="174" w:name="_Toc361912454"/>
      <w:r w:rsidRPr="004C088A">
        <w:rPr>
          <w:rFonts w:asciiTheme="minorHAnsi" w:hAnsiTheme="minorHAnsi"/>
          <w:lang w:val="es-ES_tradnl"/>
        </w:rPr>
        <w:t>2.</w:t>
      </w:r>
      <w:r w:rsidRPr="004C088A">
        <w:rPr>
          <w:rFonts w:asciiTheme="minorHAnsi" w:hAnsiTheme="minorHAnsi"/>
          <w:lang w:val="es-ES_tradnl"/>
        </w:rPr>
        <w:tab/>
      </w:r>
      <w:proofErr w:type="spellStart"/>
      <w:r w:rsidR="00061F17" w:rsidRPr="004C088A">
        <w:rPr>
          <w:rFonts w:asciiTheme="minorHAnsi" w:hAnsiTheme="minorHAnsi"/>
          <w:lang w:val="es-ES_tradnl"/>
        </w:rPr>
        <w:t>Brazil</w:t>
      </w:r>
      <w:bookmarkEnd w:id="174"/>
      <w:proofErr w:type="spellEnd"/>
      <w:r w:rsidR="00061F17" w:rsidRPr="004C088A">
        <w:rPr>
          <w:rFonts w:asciiTheme="minorHAnsi" w:hAnsiTheme="minorHAnsi"/>
          <w:lang w:val="es-ES_tradnl"/>
        </w:rPr>
        <w:t xml:space="preserve">   </w:t>
      </w:r>
      <w:hyperlink r:id="rId50" w:history="1">
        <w:r w:rsidR="004A1AD2" w:rsidRPr="004C088A">
          <w:rPr>
            <w:rStyle w:val="Hyperlink"/>
            <w:rFonts w:asciiTheme="minorHAnsi" w:hAnsiTheme="minorHAnsi"/>
            <w:lang w:val="es-ES_tradnl"/>
          </w:rPr>
          <w:t>www</w:t>
        </w:r>
        <w:r w:rsidR="00061F17" w:rsidRPr="004C088A">
          <w:rPr>
            <w:rStyle w:val="Hyperlink"/>
            <w:rFonts w:asciiTheme="minorHAnsi" w:hAnsiTheme="minorHAnsi"/>
            <w:lang w:val="es-ES_tradnl"/>
          </w:rPr>
          <w:t>.itu.int/md/D10-SG01-C-0088/</w:t>
        </w:r>
      </w:hyperlink>
      <w:r w:rsidR="00061F17" w:rsidRPr="004C088A">
        <w:rPr>
          <w:rFonts w:asciiTheme="minorHAnsi" w:hAnsiTheme="minorHAnsi"/>
          <w:lang w:val="es-ES_tradnl"/>
        </w:rPr>
        <w:t xml:space="preserve"> </w:t>
      </w:r>
    </w:p>
    <w:p w:rsidR="00061F17" w:rsidRPr="0066164F" w:rsidRDefault="00877683" w:rsidP="00877683">
      <w:pPr>
        <w:pStyle w:val="Enumlevel1"/>
        <w:rPr>
          <w:rFonts w:asciiTheme="minorHAnsi" w:hAnsiTheme="minorHAnsi"/>
        </w:rPr>
      </w:pPr>
      <w:bookmarkStart w:id="175" w:name="_Toc361912455"/>
      <w:r w:rsidRPr="0066164F">
        <w:rPr>
          <w:rFonts w:asciiTheme="minorHAnsi" w:hAnsiTheme="minorHAnsi"/>
        </w:rPr>
        <w:t>3.</w:t>
      </w:r>
      <w:r w:rsidRPr="0066164F">
        <w:rPr>
          <w:rFonts w:asciiTheme="minorHAnsi" w:hAnsiTheme="minorHAnsi"/>
        </w:rPr>
        <w:tab/>
      </w:r>
      <w:r w:rsidR="00061F17" w:rsidRPr="0066164F">
        <w:rPr>
          <w:rFonts w:asciiTheme="minorHAnsi" w:hAnsiTheme="minorHAnsi"/>
        </w:rPr>
        <w:t>Republic of Korea</w:t>
      </w:r>
      <w:bookmarkEnd w:id="175"/>
      <w:r w:rsidR="00061F17" w:rsidRPr="0066164F">
        <w:rPr>
          <w:rFonts w:asciiTheme="minorHAnsi" w:hAnsiTheme="minorHAnsi"/>
        </w:rPr>
        <w:t xml:space="preserve">   </w:t>
      </w:r>
      <w:hyperlink r:id="rId51" w:history="1">
        <w:r w:rsidR="004A1AD2" w:rsidRPr="0066164F">
          <w:rPr>
            <w:rStyle w:val="Hyperlink"/>
            <w:rFonts w:asciiTheme="minorHAnsi" w:hAnsiTheme="minorHAnsi"/>
          </w:rPr>
          <w:t>www</w:t>
        </w:r>
        <w:r w:rsidR="00061F17" w:rsidRPr="0066164F">
          <w:rPr>
            <w:rStyle w:val="Hyperlink"/>
            <w:rFonts w:asciiTheme="minorHAnsi" w:hAnsiTheme="minorHAnsi"/>
          </w:rPr>
          <w:t>.itu.int/md/D10-SG01-C-0181/</w:t>
        </w:r>
      </w:hyperlink>
      <w:r w:rsidR="00061F17" w:rsidRPr="0066164F">
        <w:rPr>
          <w:rFonts w:asciiTheme="minorHAnsi" w:hAnsiTheme="minorHAnsi"/>
        </w:rPr>
        <w:t xml:space="preserve"> </w:t>
      </w:r>
    </w:p>
    <w:p w:rsidR="00061F17" w:rsidRPr="0066164F" w:rsidRDefault="00877683" w:rsidP="00877683">
      <w:pPr>
        <w:pStyle w:val="Enumlevel1"/>
        <w:rPr>
          <w:rFonts w:asciiTheme="minorHAnsi" w:hAnsiTheme="minorHAnsi"/>
          <w:lang w:val="es-ES_tradnl"/>
        </w:rPr>
      </w:pPr>
      <w:bookmarkStart w:id="176" w:name="_Toc361912456"/>
      <w:r w:rsidRPr="0066164F">
        <w:rPr>
          <w:rFonts w:asciiTheme="minorHAnsi" w:hAnsiTheme="minorHAnsi"/>
          <w:lang w:val="es-ES_tradnl"/>
        </w:rPr>
        <w:t>4.</w:t>
      </w:r>
      <w:r w:rsidRPr="0066164F">
        <w:rPr>
          <w:rFonts w:asciiTheme="minorHAnsi" w:hAnsiTheme="minorHAnsi"/>
          <w:lang w:val="es-ES_tradnl"/>
        </w:rPr>
        <w:tab/>
      </w:r>
      <w:proofErr w:type="spellStart"/>
      <w:r w:rsidR="00061F17" w:rsidRPr="0066164F">
        <w:rPr>
          <w:rFonts w:asciiTheme="minorHAnsi" w:hAnsiTheme="minorHAnsi"/>
          <w:lang w:val="es-ES_tradnl"/>
        </w:rPr>
        <w:t>Israël</w:t>
      </w:r>
      <w:bookmarkEnd w:id="176"/>
      <w:proofErr w:type="spellEnd"/>
      <w:r w:rsidR="00061F17" w:rsidRPr="0066164F">
        <w:rPr>
          <w:rFonts w:asciiTheme="minorHAnsi" w:hAnsiTheme="minorHAnsi"/>
          <w:lang w:val="es-ES_tradnl"/>
        </w:rPr>
        <w:t xml:space="preserve">  </w:t>
      </w:r>
      <w:hyperlink r:id="rId52" w:history="1">
        <w:r w:rsidR="004A1AD2" w:rsidRPr="0066164F">
          <w:rPr>
            <w:rStyle w:val="Hyperlink"/>
            <w:rFonts w:asciiTheme="minorHAnsi" w:hAnsiTheme="minorHAnsi"/>
            <w:lang w:val="es-ES_tradnl"/>
          </w:rPr>
          <w:t>www</w:t>
        </w:r>
        <w:r w:rsidR="00061F17" w:rsidRPr="0066164F">
          <w:rPr>
            <w:rStyle w:val="Hyperlink"/>
            <w:rFonts w:asciiTheme="minorHAnsi" w:hAnsiTheme="minorHAnsi"/>
            <w:lang w:val="es-ES_tradnl"/>
          </w:rPr>
          <w:t>.itu.int/md/D10-SG01-C-0135/</w:t>
        </w:r>
      </w:hyperlink>
      <w:r w:rsidR="00061F17" w:rsidRPr="0066164F">
        <w:rPr>
          <w:rFonts w:asciiTheme="minorHAnsi" w:hAnsiTheme="minorHAnsi"/>
          <w:lang w:val="es-ES_tradnl"/>
        </w:rPr>
        <w:t xml:space="preserve"> </w:t>
      </w:r>
    </w:p>
    <w:p w:rsidR="00061F17" w:rsidRPr="0066164F" w:rsidRDefault="00877683" w:rsidP="00877683">
      <w:pPr>
        <w:pStyle w:val="Enumlevel1"/>
        <w:rPr>
          <w:rFonts w:asciiTheme="minorHAnsi" w:hAnsiTheme="minorHAnsi"/>
          <w:lang w:val="es-ES_tradnl"/>
        </w:rPr>
      </w:pPr>
      <w:bookmarkStart w:id="177" w:name="_Toc361912457"/>
      <w:r w:rsidRPr="0066164F">
        <w:rPr>
          <w:rFonts w:asciiTheme="minorHAnsi" w:hAnsiTheme="minorHAnsi"/>
          <w:lang w:val="es-ES_tradnl"/>
        </w:rPr>
        <w:t>5.</w:t>
      </w:r>
      <w:r w:rsidRPr="0066164F">
        <w:rPr>
          <w:rFonts w:asciiTheme="minorHAnsi" w:hAnsiTheme="minorHAnsi"/>
          <w:lang w:val="es-ES_tradnl"/>
        </w:rPr>
        <w:tab/>
      </w:r>
      <w:r w:rsidR="00061F17" w:rsidRPr="0066164F">
        <w:rPr>
          <w:rFonts w:asciiTheme="minorHAnsi" w:hAnsiTheme="minorHAnsi"/>
          <w:lang w:val="es-ES_tradnl"/>
        </w:rPr>
        <w:t>Venezuela</w:t>
      </w:r>
      <w:bookmarkEnd w:id="177"/>
      <w:r w:rsidR="00061F17" w:rsidRPr="0066164F">
        <w:rPr>
          <w:rFonts w:asciiTheme="minorHAnsi" w:hAnsiTheme="minorHAnsi"/>
          <w:lang w:val="es-ES_tradnl"/>
        </w:rPr>
        <w:t xml:space="preserve">   </w:t>
      </w:r>
      <w:hyperlink r:id="rId53" w:history="1">
        <w:r w:rsidR="004A1AD2" w:rsidRPr="0066164F">
          <w:rPr>
            <w:rStyle w:val="Hyperlink"/>
            <w:rFonts w:asciiTheme="minorHAnsi" w:hAnsiTheme="minorHAnsi"/>
            <w:lang w:val="es-ES_tradnl"/>
          </w:rPr>
          <w:t>www</w:t>
        </w:r>
        <w:r w:rsidR="00061F17" w:rsidRPr="0066164F">
          <w:rPr>
            <w:rStyle w:val="Hyperlink"/>
            <w:rFonts w:asciiTheme="minorHAnsi" w:hAnsiTheme="minorHAnsi"/>
            <w:lang w:val="es-ES_tradnl"/>
          </w:rPr>
          <w:t>.itu.int/md/D10-SG01-C-0082</w:t>
        </w:r>
      </w:hyperlink>
      <w:r w:rsidR="00061F17" w:rsidRPr="0066164F">
        <w:rPr>
          <w:rFonts w:asciiTheme="minorHAnsi" w:hAnsiTheme="minorHAnsi"/>
          <w:lang w:val="es-ES_tradnl"/>
        </w:rPr>
        <w:t xml:space="preserve">/ </w:t>
      </w:r>
    </w:p>
    <w:p w:rsidR="00061F17" w:rsidRPr="0066164F" w:rsidRDefault="00877683" w:rsidP="00877683">
      <w:pPr>
        <w:pStyle w:val="Enumlevel1"/>
        <w:rPr>
          <w:rFonts w:asciiTheme="minorHAnsi" w:hAnsiTheme="minorHAnsi"/>
        </w:rPr>
      </w:pPr>
      <w:bookmarkStart w:id="178" w:name="_Toc361912458"/>
      <w:r w:rsidRPr="0066164F">
        <w:rPr>
          <w:rFonts w:asciiTheme="minorHAnsi" w:hAnsiTheme="minorHAnsi"/>
        </w:rPr>
        <w:t>6.</w:t>
      </w:r>
      <w:r w:rsidRPr="0066164F">
        <w:rPr>
          <w:rFonts w:asciiTheme="minorHAnsi" w:hAnsiTheme="minorHAnsi"/>
        </w:rPr>
        <w:tab/>
      </w:r>
      <w:r w:rsidR="00061F17" w:rsidRPr="0066164F">
        <w:rPr>
          <w:rFonts w:asciiTheme="minorHAnsi" w:hAnsiTheme="minorHAnsi"/>
        </w:rPr>
        <w:t>Hungary</w:t>
      </w:r>
      <w:bookmarkEnd w:id="178"/>
      <w:r w:rsidR="00061F17" w:rsidRPr="0066164F">
        <w:rPr>
          <w:rFonts w:asciiTheme="minorHAnsi" w:hAnsiTheme="minorHAnsi"/>
        </w:rPr>
        <w:t xml:space="preserve">   </w:t>
      </w:r>
      <w:hyperlink r:id="rId54" w:history="1">
        <w:r w:rsidR="004A1AD2" w:rsidRPr="0066164F">
          <w:rPr>
            <w:rStyle w:val="Hyperlink"/>
            <w:rFonts w:asciiTheme="minorHAnsi" w:hAnsiTheme="minorHAnsi"/>
          </w:rPr>
          <w:t>www</w:t>
        </w:r>
        <w:r w:rsidR="00061F17" w:rsidRPr="0066164F">
          <w:rPr>
            <w:rStyle w:val="Hyperlink"/>
            <w:rFonts w:asciiTheme="minorHAnsi" w:hAnsiTheme="minorHAnsi"/>
          </w:rPr>
          <w:t>.itu.int/md/D10-RGQ23.1-C-0015/</w:t>
        </w:r>
      </w:hyperlink>
      <w:r w:rsidR="00061F17" w:rsidRPr="0066164F">
        <w:rPr>
          <w:rFonts w:asciiTheme="minorHAnsi" w:hAnsiTheme="minorHAnsi"/>
        </w:rPr>
        <w:t xml:space="preserve"> </w:t>
      </w:r>
    </w:p>
    <w:p w:rsidR="00061F17" w:rsidRPr="0066164F" w:rsidRDefault="00877683" w:rsidP="00877683">
      <w:pPr>
        <w:pStyle w:val="Enumlevel1"/>
        <w:rPr>
          <w:rFonts w:asciiTheme="minorHAnsi" w:hAnsiTheme="minorHAnsi"/>
          <w:lang w:val="de-CH"/>
        </w:rPr>
      </w:pPr>
      <w:bookmarkStart w:id="179" w:name="_Toc361912459"/>
      <w:r w:rsidRPr="0066164F">
        <w:rPr>
          <w:rFonts w:asciiTheme="minorHAnsi" w:hAnsiTheme="minorHAnsi"/>
          <w:lang w:val="es-ES_tradnl"/>
        </w:rPr>
        <w:t>7.</w:t>
      </w:r>
      <w:r w:rsidRPr="0066164F">
        <w:rPr>
          <w:rFonts w:asciiTheme="minorHAnsi" w:hAnsiTheme="minorHAnsi"/>
          <w:lang w:val="es-ES_tradnl"/>
        </w:rPr>
        <w:tab/>
      </w:r>
      <w:r w:rsidR="00061F17" w:rsidRPr="0066164F">
        <w:rPr>
          <w:rFonts w:asciiTheme="minorHAnsi" w:hAnsiTheme="minorHAnsi"/>
          <w:lang w:val="de-CH"/>
        </w:rPr>
        <w:t>Uzbekistan</w:t>
      </w:r>
      <w:bookmarkEnd w:id="179"/>
      <w:r w:rsidR="00061F17" w:rsidRPr="0066164F">
        <w:rPr>
          <w:rFonts w:asciiTheme="minorHAnsi" w:hAnsiTheme="minorHAnsi"/>
          <w:lang w:val="de-CH"/>
        </w:rPr>
        <w:t xml:space="preserve">  </w:t>
      </w:r>
      <w:r w:rsidR="00CE3378">
        <w:fldChar w:fldCharType="begin"/>
      </w:r>
      <w:r w:rsidR="00CE3378" w:rsidRPr="00CE3378">
        <w:rPr>
          <w:lang w:val="es-ES_tradnl"/>
        </w:rPr>
        <w:instrText xml:space="preserve"> HYPERLINK "http://www.itu.int/md/D10-SG01-INF-0018/" </w:instrText>
      </w:r>
      <w:r w:rsidR="00CE3378">
        <w:fldChar w:fldCharType="separate"/>
      </w:r>
      <w:r w:rsidR="004A1AD2" w:rsidRPr="0066164F">
        <w:rPr>
          <w:rStyle w:val="Hyperlink"/>
          <w:rFonts w:asciiTheme="minorHAnsi" w:hAnsiTheme="minorHAnsi"/>
          <w:lang w:val="de-CH"/>
        </w:rPr>
        <w:t>www</w:t>
      </w:r>
      <w:r w:rsidR="00061F17" w:rsidRPr="0066164F">
        <w:rPr>
          <w:rStyle w:val="Hyperlink"/>
          <w:rFonts w:asciiTheme="minorHAnsi" w:hAnsiTheme="minorHAnsi"/>
          <w:lang w:val="de-CH"/>
        </w:rPr>
        <w:t>.itu.int/md/D10-SG01-INF-0018/</w:t>
      </w:r>
      <w:r w:rsidR="00CE3378">
        <w:rPr>
          <w:rStyle w:val="Hyperlink"/>
          <w:rFonts w:asciiTheme="minorHAnsi" w:hAnsiTheme="minorHAnsi"/>
          <w:lang w:val="de-CH"/>
        </w:rPr>
        <w:fldChar w:fldCharType="end"/>
      </w:r>
      <w:r w:rsidR="00061F17" w:rsidRPr="0066164F">
        <w:rPr>
          <w:rFonts w:asciiTheme="minorHAnsi" w:hAnsiTheme="minorHAnsi"/>
          <w:lang w:val="de-CH"/>
        </w:rPr>
        <w:t xml:space="preserve"> </w:t>
      </w:r>
    </w:p>
    <w:p w:rsidR="00061F17" w:rsidRPr="0066164F" w:rsidRDefault="00877683" w:rsidP="00877683">
      <w:pPr>
        <w:pStyle w:val="Enumlevel1"/>
        <w:rPr>
          <w:rStyle w:val="Hyperlink"/>
          <w:rFonts w:asciiTheme="minorHAnsi" w:hAnsiTheme="minorHAnsi"/>
        </w:rPr>
      </w:pPr>
      <w:bookmarkStart w:id="180" w:name="_Toc361912460"/>
      <w:r w:rsidRPr="0066164F">
        <w:rPr>
          <w:rFonts w:asciiTheme="minorHAnsi" w:hAnsiTheme="minorHAnsi"/>
        </w:rPr>
        <w:t>8.</w:t>
      </w:r>
      <w:r w:rsidRPr="0066164F">
        <w:rPr>
          <w:rFonts w:asciiTheme="minorHAnsi" w:hAnsiTheme="minorHAnsi"/>
        </w:rPr>
        <w:tab/>
      </w:r>
      <w:proofErr w:type="gramStart"/>
      <w:r w:rsidR="00061F17" w:rsidRPr="0066164F">
        <w:rPr>
          <w:rFonts w:asciiTheme="minorHAnsi" w:hAnsiTheme="minorHAnsi"/>
        </w:rPr>
        <w:t>Benin</w:t>
      </w:r>
      <w:bookmarkEnd w:id="180"/>
      <w:r w:rsidR="00061F17" w:rsidRPr="0066164F">
        <w:rPr>
          <w:rFonts w:asciiTheme="minorHAnsi" w:hAnsiTheme="minorHAnsi"/>
        </w:rPr>
        <w:t xml:space="preserve">  </w:t>
      </w:r>
      <w:proofErr w:type="gramEnd"/>
      <w:hyperlink r:id="rId55" w:history="1">
        <w:r w:rsidR="004A1AD2" w:rsidRPr="0066164F">
          <w:rPr>
            <w:rStyle w:val="Hyperlink"/>
            <w:rFonts w:asciiTheme="minorHAnsi" w:hAnsiTheme="minorHAnsi"/>
          </w:rPr>
          <w:t>www</w:t>
        </w:r>
        <w:r w:rsidR="00061F17" w:rsidRPr="0066164F">
          <w:rPr>
            <w:rStyle w:val="Hyperlink"/>
            <w:rFonts w:asciiTheme="minorHAnsi" w:hAnsiTheme="minorHAnsi"/>
          </w:rPr>
          <w:t>.itu.int/md/D10-SG01-C-0228/</w:t>
        </w:r>
      </w:hyperlink>
      <w:r w:rsidR="00061F17" w:rsidRPr="0066164F">
        <w:rPr>
          <w:rStyle w:val="Hyperlink"/>
          <w:rFonts w:asciiTheme="minorHAnsi" w:hAnsiTheme="minorHAnsi"/>
        </w:rPr>
        <w:t xml:space="preserve"> </w:t>
      </w:r>
    </w:p>
    <w:p w:rsidR="00061F17" w:rsidRPr="00CE3378" w:rsidRDefault="00877683" w:rsidP="008A224D">
      <w:pPr>
        <w:pStyle w:val="Enumlevel1"/>
        <w:rPr>
          <w:rFonts w:asciiTheme="minorHAnsi" w:hAnsiTheme="minorHAnsi"/>
          <w:lang w:val="en-US"/>
        </w:rPr>
      </w:pPr>
      <w:r w:rsidRPr="00CE3378">
        <w:rPr>
          <w:rFonts w:asciiTheme="minorHAnsi" w:hAnsiTheme="minorHAnsi"/>
          <w:lang w:val="en-US"/>
        </w:rPr>
        <w:t>9.</w:t>
      </w:r>
      <w:r w:rsidRPr="00CE3378">
        <w:rPr>
          <w:rFonts w:asciiTheme="minorHAnsi" w:hAnsiTheme="minorHAnsi"/>
          <w:lang w:val="en-US"/>
        </w:rPr>
        <w:tab/>
      </w:r>
      <w:r w:rsidR="0066164F" w:rsidRPr="00CE3378">
        <w:rPr>
          <w:rFonts w:asciiTheme="minorHAnsi" w:hAnsiTheme="minorHAnsi"/>
          <w:lang w:val="en-US"/>
        </w:rPr>
        <w:t>India</w:t>
      </w:r>
      <w:r w:rsidR="008A224D" w:rsidRPr="00CE3378">
        <w:rPr>
          <w:rFonts w:asciiTheme="minorHAnsi" w:hAnsiTheme="minorHAnsi"/>
          <w:lang w:val="en-US"/>
        </w:rPr>
        <w:t xml:space="preserve">  </w:t>
      </w:r>
      <w:r w:rsidR="0066164F" w:rsidRPr="00CE3378">
        <w:rPr>
          <w:rFonts w:asciiTheme="minorHAnsi" w:hAnsiTheme="minorHAnsi"/>
          <w:lang w:val="en-US"/>
        </w:rPr>
        <w:t xml:space="preserve"> </w:t>
      </w:r>
      <w:hyperlink r:id="rId56" w:history="1">
        <w:r w:rsidR="00061F17" w:rsidRPr="00CE3378">
          <w:rPr>
            <w:rStyle w:val="Hyperlink"/>
            <w:rFonts w:asciiTheme="minorHAnsi" w:hAnsiTheme="minorHAnsi"/>
            <w:lang w:val="en-US"/>
          </w:rPr>
          <w:t>www.itu.int/md/D10-SG01-C-0278/</w:t>
        </w:r>
      </w:hyperlink>
      <w:r w:rsidR="00061F17" w:rsidRPr="00CE3378">
        <w:rPr>
          <w:rStyle w:val="Hyperlink"/>
          <w:rFonts w:asciiTheme="minorHAnsi" w:hAnsiTheme="minorHAnsi"/>
          <w:lang w:val="en-US"/>
        </w:rPr>
        <w:t xml:space="preserve"> </w:t>
      </w:r>
    </w:p>
    <w:p w:rsidR="00C71B8F" w:rsidRPr="00CE3378" w:rsidRDefault="00C71B8F" w:rsidP="00061F17">
      <w:pPr>
        <w:pStyle w:val="Heading1"/>
        <w:spacing w:before="120" w:after="120"/>
        <w:rPr>
          <w:szCs w:val="19"/>
        </w:rPr>
      </w:pPr>
      <w:bookmarkStart w:id="181" w:name="_Toc361912461"/>
    </w:p>
    <w:p w:rsidR="00C71B8F" w:rsidRPr="00CE3378" w:rsidRDefault="00C71B8F" w:rsidP="00061F17">
      <w:pPr>
        <w:pStyle w:val="Heading1"/>
        <w:spacing w:before="120" w:after="120"/>
        <w:rPr>
          <w:szCs w:val="19"/>
        </w:rPr>
      </w:pPr>
      <w:r w:rsidRPr="00CE3378">
        <w:rPr>
          <w:szCs w:val="19"/>
        </w:rPr>
        <w:br w:type="page"/>
      </w:r>
    </w:p>
    <w:p w:rsidR="00061F17" w:rsidRPr="005C67CA" w:rsidRDefault="00061F17" w:rsidP="00061F17">
      <w:pPr>
        <w:pStyle w:val="Heading1"/>
        <w:spacing w:before="120" w:after="120"/>
        <w:rPr>
          <w:smallCaps/>
          <w:szCs w:val="19"/>
        </w:rPr>
      </w:pPr>
      <w:bookmarkStart w:id="182" w:name="_Toc374691856"/>
      <w:r w:rsidRPr="005C67CA">
        <w:rPr>
          <w:szCs w:val="19"/>
        </w:rPr>
        <w:lastRenderedPageBreak/>
        <w:t>III.</w:t>
      </w:r>
      <w:r w:rsidRPr="005C67CA">
        <w:rPr>
          <w:szCs w:val="19"/>
        </w:rPr>
        <w:tab/>
      </w:r>
      <w:r w:rsidR="00011D10" w:rsidRPr="005C67CA">
        <w:rPr>
          <w:szCs w:val="19"/>
        </w:rPr>
        <w:t>References</w:t>
      </w:r>
      <w:bookmarkEnd w:id="181"/>
      <w:bookmarkEnd w:id="182"/>
    </w:p>
    <w:p w:rsidR="00061F17" w:rsidRPr="00C71B8F" w:rsidRDefault="00061F17" w:rsidP="00FA6CE1">
      <w:pPr>
        <w:spacing w:before="240"/>
        <w:rPr>
          <w:b/>
          <w:bCs/>
          <w:szCs w:val="19"/>
          <w:lang w:val="en-US"/>
        </w:rPr>
      </w:pPr>
      <w:r w:rsidRPr="00C71B8F">
        <w:rPr>
          <w:b/>
          <w:szCs w:val="19"/>
          <w:lang w:val="en-US"/>
        </w:rPr>
        <w:t>Useful websites</w:t>
      </w:r>
    </w:p>
    <w:p w:rsidR="00061F17" w:rsidRPr="00C71B8F" w:rsidRDefault="004C088A" w:rsidP="001970D2">
      <w:pPr>
        <w:spacing w:before="240" w:after="60"/>
        <w:rPr>
          <w:szCs w:val="19"/>
          <w:lang w:val="en-US"/>
        </w:rPr>
      </w:pPr>
      <w:hyperlink r:id="rId57" w:history="1">
        <w:r w:rsidR="004A1AD2">
          <w:rPr>
            <w:rStyle w:val="Hyperlink"/>
            <w:szCs w:val="19"/>
            <w:lang w:val="en-US"/>
          </w:rPr>
          <w:t>www</w:t>
        </w:r>
        <w:r w:rsidR="00061F17" w:rsidRPr="00C71B8F">
          <w:rPr>
            <w:rStyle w:val="Hyperlink"/>
            <w:szCs w:val="19"/>
            <w:lang w:val="en-US"/>
          </w:rPr>
          <w:t>.icnirp.org</w:t>
        </w:r>
      </w:hyperlink>
      <w:r w:rsidR="00061F17" w:rsidRPr="00C71B8F">
        <w:rPr>
          <w:szCs w:val="19"/>
          <w:lang w:val="en-US"/>
        </w:rPr>
        <w:t xml:space="preserve">; </w:t>
      </w:r>
    </w:p>
    <w:p w:rsidR="00061F17" w:rsidRPr="007A19CC" w:rsidRDefault="004C088A" w:rsidP="001970D2">
      <w:pPr>
        <w:spacing w:before="240" w:after="60"/>
        <w:rPr>
          <w:szCs w:val="19"/>
          <w:lang w:val="en-US"/>
        </w:rPr>
      </w:pPr>
      <w:hyperlink r:id="rId58" w:history="1">
        <w:r w:rsidR="00061F17" w:rsidRPr="007A19CC">
          <w:rPr>
            <w:rStyle w:val="Hyperlink"/>
            <w:szCs w:val="19"/>
            <w:lang w:val="en-US"/>
          </w:rPr>
          <w:t>http://grouper.ieee.org/groups/scc28</w:t>
        </w:r>
      </w:hyperlink>
      <w:r w:rsidR="00061F17" w:rsidRPr="007A19CC">
        <w:rPr>
          <w:szCs w:val="19"/>
          <w:lang w:val="en-US"/>
        </w:rPr>
        <w:t xml:space="preserve">; </w:t>
      </w:r>
    </w:p>
    <w:p w:rsidR="00061F17" w:rsidRPr="007A19CC" w:rsidRDefault="004C088A" w:rsidP="001970D2">
      <w:pPr>
        <w:spacing w:before="240" w:after="60"/>
        <w:rPr>
          <w:szCs w:val="19"/>
          <w:lang w:val="en-US"/>
        </w:rPr>
      </w:pPr>
      <w:hyperlink r:id="rId59" w:history="1">
        <w:r w:rsidR="004A1AD2">
          <w:rPr>
            <w:rStyle w:val="Hyperlink"/>
            <w:szCs w:val="19"/>
            <w:lang w:val="en-US"/>
          </w:rPr>
          <w:t>www</w:t>
        </w:r>
        <w:r w:rsidR="00061F17" w:rsidRPr="007A19CC">
          <w:rPr>
            <w:rStyle w:val="Hyperlink"/>
            <w:szCs w:val="19"/>
            <w:lang w:val="en-US"/>
          </w:rPr>
          <w:t>.iec.ch/</w:t>
        </w:r>
      </w:hyperlink>
      <w:r w:rsidR="00061F17" w:rsidRPr="007A19CC">
        <w:rPr>
          <w:szCs w:val="19"/>
          <w:lang w:val="en-US"/>
        </w:rPr>
        <w:t xml:space="preserve">; </w:t>
      </w:r>
    </w:p>
    <w:p w:rsidR="00061F17" w:rsidRPr="007A19CC" w:rsidRDefault="004C088A" w:rsidP="001970D2">
      <w:pPr>
        <w:spacing w:before="240" w:after="60"/>
        <w:rPr>
          <w:szCs w:val="19"/>
          <w:lang w:val="en-US"/>
        </w:rPr>
      </w:pPr>
      <w:hyperlink r:id="rId60" w:history="1">
        <w:r w:rsidR="004A1AD2">
          <w:rPr>
            <w:rStyle w:val="Hyperlink"/>
            <w:szCs w:val="19"/>
            <w:lang w:val="en-US"/>
          </w:rPr>
          <w:t>www</w:t>
        </w:r>
        <w:r w:rsidR="00061F17" w:rsidRPr="007A19CC">
          <w:rPr>
            <w:rStyle w:val="Hyperlink"/>
            <w:szCs w:val="19"/>
            <w:lang w:val="en-US"/>
          </w:rPr>
          <w:t>.cenelec.org</w:t>
        </w:r>
      </w:hyperlink>
      <w:r w:rsidR="00061F17" w:rsidRPr="007A19CC">
        <w:rPr>
          <w:szCs w:val="19"/>
          <w:lang w:val="en-US"/>
        </w:rPr>
        <w:t xml:space="preserve"> ;</w:t>
      </w:r>
    </w:p>
    <w:p w:rsidR="00061F17" w:rsidRPr="007A19CC" w:rsidRDefault="004C088A" w:rsidP="001970D2">
      <w:pPr>
        <w:spacing w:before="240" w:after="60"/>
        <w:rPr>
          <w:szCs w:val="19"/>
          <w:lang w:val="en-US"/>
        </w:rPr>
      </w:pPr>
      <w:hyperlink r:id="rId61" w:history="1">
        <w:r w:rsidR="004A1AD2">
          <w:rPr>
            <w:rStyle w:val="Hyperlink"/>
            <w:szCs w:val="19"/>
            <w:lang w:val="en-US"/>
          </w:rPr>
          <w:t>www</w:t>
        </w:r>
        <w:r w:rsidR="00061F17" w:rsidRPr="007A19CC">
          <w:rPr>
            <w:rStyle w:val="Hyperlink"/>
            <w:szCs w:val="19"/>
            <w:lang w:val="en-US"/>
          </w:rPr>
          <w:t>.sviva.gov.il/subjectsEnv/Radiation/Communication_Facilities/cellular/Documents/shidur_selulariim_peilim_1.xls</w:t>
        </w:r>
      </w:hyperlink>
    </w:p>
    <w:p w:rsidR="00C71B8F" w:rsidRPr="007A19CC" w:rsidRDefault="00C71B8F" w:rsidP="00061F17">
      <w:pPr>
        <w:rPr>
          <w:b/>
          <w:szCs w:val="19"/>
          <w:lang w:val="en-US"/>
        </w:rPr>
      </w:pPr>
      <w:r w:rsidRPr="007A19CC">
        <w:rPr>
          <w:b/>
          <w:szCs w:val="19"/>
          <w:lang w:val="en-US"/>
        </w:rPr>
        <w:br w:type="page"/>
      </w:r>
    </w:p>
    <w:p w:rsidR="003C483E" w:rsidRDefault="003C483E" w:rsidP="003C483E">
      <w:pPr>
        <w:pStyle w:val="Heading1"/>
      </w:pPr>
      <w:bookmarkStart w:id="183" w:name="_Toc374691857"/>
    </w:p>
    <w:p w:rsidR="00061F17" w:rsidRDefault="00061F17" w:rsidP="003C483E">
      <w:pPr>
        <w:pStyle w:val="HeadingB"/>
      </w:pPr>
      <w:r w:rsidRPr="005C67CA">
        <w:t>Bibliography</w:t>
      </w:r>
      <w:bookmarkEnd w:id="183"/>
      <w:r w:rsidRPr="005C67CA">
        <w:t xml:space="preserve"> </w:t>
      </w:r>
    </w:p>
    <w:p w:rsidR="00C71B8F" w:rsidRPr="00C71B8F" w:rsidRDefault="00C71B8F" w:rsidP="00C71B8F">
      <w:pPr>
        <w:rPr>
          <w:lang w:val="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061F17" w:rsidRPr="004C088A" w:rsidTr="00F22C89">
        <w:trPr>
          <w:cantSplit/>
          <w:trHeight w:val="20"/>
        </w:trPr>
        <w:tc>
          <w:tcPr>
            <w:tcW w:w="9072" w:type="dxa"/>
            <w:hideMark/>
          </w:tcPr>
          <w:p w:rsidR="00061F17" w:rsidRPr="00C71B8F" w:rsidRDefault="00061F17" w:rsidP="00C71B8F">
            <w:pPr>
              <w:pStyle w:val="RegParagraph"/>
              <w:numPr>
                <w:ilvl w:val="0"/>
                <w:numId w:val="10"/>
              </w:numPr>
              <w:spacing w:before="40" w:after="40" w:line="240" w:lineRule="auto"/>
              <w:ind w:left="357" w:hanging="357"/>
              <w:jc w:val="left"/>
              <w:rPr>
                <w:rFonts w:ascii="Calibri" w:hAnsi="Calibri"/>
                <w:sz w:val="19"/>
                <w:szCs w:val="19"/>
                <w:lang w:eastAsia="zh-CN" w:bidi="ar-SA"/>
              </w:rPr>
            </w:pPr>
            <w:r w:rsidRPr="00C71B8F">
              <w:rPr>
                <w:rFonts w:ascii="Calibri" w:hAnsi="Calibri"/>
                <w:sz w:val="19"/>
                <w:szCs w:val="19"/>
                <w:lang w:eastAsia="zh-CN" w:bidi="ar-SA"/>
              </w:rPr>
              <w:t xml:space="preserve">EN 50385:2002 </w:t>
            </w:r>
            <w:hyperlink r:id="rId62" w:history="1">
              <w:r w:rsidRPr="00C71B8F">
                <w:rPr>
                  <w:rStyle w:val="Hyperlink"/>
                  <w:rFonts w:ascii="Calibri" w:hAnsi="Calibri"/>
                  <w:i/>
                  <w:iCs/>
                  <w:sz w:val="19"/>
                  <w:szCs w:val="19"/>
                  <w:lang w:eastAsia="zh-CN" w:bidi="ar-SA"/>
                </w:rPr>
                <w:t>Product standard to demonstrate the compliance of radio base stations and fixed terminal stations for wireless telecommunication systems with the basic restrictions or the reference levels related to human exposure to radio frequency electromagnetic fields (110 MHz - 40 GHz) - General public</w:t>
              </w:r>
            </w:hyperlink>
          </w:p>
        </w:tc>
      </w:tr>
      <w:tr w:rsidR="00061F17" w:rsidRPr="004C088A" w:rsidTr="00F22C89">
        <w:trPr>
          <w:cantSplit/>
          <w:trHeight w:val="20"/>
        </w:trPr>
        <w:tc>
          <w:tcPr>
            <w:tcW w:w="9072" w:type="dxa"/>
            <w:hideMark/>
          </w:tcPr>
          <w:p w:rsidR="00061F17" w:rsidRPr="00C71B8F" w:rsidRDefault="00061F17" w:rsidP="00C71B8F">
            <w:pPr>
              <w:pStyle w:val="Equation"/>
              <w:numPr>
                <w:ilvl w:val="0"/>
                <w:numId w:val="10"/>
              </w:numPr>
              <w:tabs>
                <w:tab w:val="clear" w:pos="794"/>
              </w:tabs>
              <w:spacing w:before="40" w:after="40"/>
              <w:ind w:left="357" w:hanging="357"/>
              <w:jc w:val="left"/>
              <w:rPr>
                <w:rFonts w:ascii="Calibri" w:hAnsi="Calibri"/>
                <w:bCs/>
                <w:snapToGrid w:val="0"/>
                <w:sz w:val="19"/>
                <w:szCs w:val="19"/>
                <w:lang w:val="en-GB" w:eastAsia="zh-CN"/>
              </w:rPr>
            </w:pPr>
            <w:r w:rsidRPr="00C71B8F">
              <w:rPr>
                <w:rFonts w:ascii="Calibri" w:hAnsi="Calibri"/>
                <w:snapToGrid w:val="0"/>
                <w:sz w:val="19"/>
                <w:szCs w:val="19"/>
                <w:lang w:val="en-GB" w:eastAsia="zh-CN"/>
              </w:rPr>
              <w:t xml:space="preserve">EC General Council Recommendation 1999/519/EC  </w:t>
            </w:r>
            <w:hyperlink r:id="rId63" w:history="1">
              <w:r w:rsidRPr="00C71B8F">
                <w:rPr>
                  <w:rStyle w:val="Hyperlink"/>
                  <w:rFonts w:ascii="Calibri" w:hAnsi="Calibri"/>
                  <w:i/>
                  <w:iCs/>
                  <w:snapToGrid w:val="0"/>
                  <w:sz w:val="19"/>
                  <w:szCs w:val="19"/>
                  <w:lang w:val="en-US" w:eastAsia="zh-CN"/>
                </w:rPr>
                <w:t>On the Limitation of Exposure of the General Public to Electromagnetic Fields, 0 Hz to 300 GHz</w:t>
              </w:r>
            </w:hyperlink>
          </w:p>
        </w:tc>
      </w:tr>
      <w:tr w:rsidR="00061F17" w:rsidRPr="004C088A" w:rsidTr="00F22C89">
        <w:trPr>
          <w:cantSplit/>
          <w:trHeight w:val="20"/>
        </w:trPr>
        <w:tc>
          <w:tcPr>
            <w:tcW w:w="9072" w:type="dxa"/>
            <w:hideMark/>
          </w:tcPr>
          <w:p w:rsidR="00061F17" w:rsidRPr="00C71B8F" w:rsidRDefault="00061F17" w:rsidP="00C71B8F">
            <w:pPr>
              <w:pStyle w:val="Equation"/>
              <w:numPr>
                <w:ilvl w:val="0"/>
                <w:numId w:val="10"/>
              </w:numPr>
              <w:tabs>
                <w:tab w:val="left" w:pos="1191"/>
                <w:tab w:val="left" w:pos="1588"/>
                <w:tab w:val="left" w:pos="1985"/>
              </w:tabs>
              <w:suppressAutoHyphens/>
              <w:spacing w:before="40" w:after="40"/>
              <w:ind w:left="357" w:hanging="357"/>
              <w:jc w:val="left"/>
              <w:textAlignment w:val="baseline"/>
              <w:rPr>
                <w:rFonts w:ascii="Calibri" w:hAnsi="Calibri"/>
                <w:snapToGrid w:val="0"/>
                <w:sz w:val="19"/>
                <w:szCs w:val="19"/>
                <w:lang w:val="en-GB" w:eastAsia="zh-CN"/>
              </w:rPr>
            </w:pPr>
            <w:r w:rsidRPr="00C71B8F">
              <w:rPr>
                <w:rFonts w:ascii="Calibri" w:hAnsi="Calibri"/>
                <w:snapToGrid w:val="0"/>
                <w:sz w:val="19"/>
                <w:szCs w:val="19"/>
                <w:lang w:val="en-GB" w:eastAsia="zh-CN"/>
              </w:rPr>
              <w:t xml:space="preserve">EC Directive 2004/40/EC of the European parliament and of the Council of 29 April 2004 </w:t>
            </w:r>
            <w:hyperlink r:id="rId64" w:history="1">
              <w:r w:rsidRPr="00C71B8F">
                <w:rPr>
                  <w:rStyle w:val="Hyperlink"/>
                  <w:rFonts w:ascii="Calibri" w:hAnsi="Calibri"/>
                  <w:i/>
                  <w:iCs/>
                  <w:sz w:val="19"/>
                  <w:szCs w:val="19"/>
                  <w:lang w:val="en-US" w:eastAsia="zh-CN"/>
                </w:rPr>
                <w:t>On The Minimum Health And Safety Requirements Regarding The Exposure Of Workers To The Risks Arising From Physical Agents (Electromagnetic Fields</w:t>
              </w:r>
            </w:hyperlink>
            <w:r w:rsidRPr="00C71B8F">
              <w:rPr>
                <w:rFonts w:ascii="Calibri" w:hAnsi="Calibri"/>
                <w:sz w:val="19"/>
                <w:szCs w:val="19"/>
                <w:lang w:val="en-GB" w:eastAsia="zh-CN"/>
              </w:rPr>
              <w:t>)</w:t>
            </w:r>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autoSpaceDN w:val="0"/>
              <w:adjustRightInd w:val="0"/>
              <w:spacing w:before="40" w:after="40" w:line="240" w:lineRule="auto"/>
              <w:ind w:left="357" w:hanging="357"/>
              <w:textAlignment w:val="baseline"/>
              <w:rPr>
                <w:rFonts w:ascii="Calibri" w:hAnsi="Calibri"/>
                <w:color w:val="000000"/>
                <w:sz w:val="19"/>
                <w:szCs w:val="19"/>
                <w:lang w:eastAsia="en-GB"/>
              </w:rPr>
            </w:pPr>
            <w:r w:rsidRPr="00C71B8F">
              <w:rPr>
                <w:rFonts w:ascii="Calibri" w:hAnsi="Calibri"/>
                <w:sz w:val="19"/>
                <w:szCs w:val="19"/>
              </w:rPr>
              <w:t xml:space="preserve">FCC 1997 OET Bulletin 65 </w:t>
            </w:r>
            <w:hyperlink r:id="rId65" w:history="1">
              <w:r w:rsidRPr="00C71B8F">
                <w:rPr>
                  <w:rStyle w:val="Hyperlink"/>
                  <w:rFonts w:ascii="Calibri" w:hAnsi="Calibri" w:cs="TimesNewRomanPS-ItalicMT"/>
                  <w:i/>
                  <w:iCs/>
                  <w:sz w:val="19"/>
                  <w:szCs w:val="19"/>
                </w:rPr>
                <w:t xml:space="preserve">Evaluating Compliance with FCC Guidelines for Human Exposure to Radiofrequency Electromagnetic </w:t>
              </w:r>
              <w:proofErr w:type="spellStart"/>
              <w:r w:rsidRPr="00C71B8F">
                <w:rPr>
                  <w:rStyle w:val="Hyperlink"/>
                  <w:rFonts w:ascii="Calibri" w:hAnsi="Calibri" w:cs="TimesNewRomanPS-ItalicMT"/>
                  <w:i/>
                  <w:iCs/>
                  <w:sz w:val="19"/>
                  <w:szCs w:val="19"/>
                </w:rPr>
                <w:t>Fields</w:t>
              </w:r>
            </w:hyperlink>
            <w:r w:rsidRPr="00C71B8F">
              <w:rPr>
                <w:rFonts w:ascii="Calibri" w:hAnsi="Calibri" w:cs="TimesNewRomanPS-ItalicMT"/>
                <w:sz w:val="19"/>
                <w:szCs w:val="19"/>
              </w:rPr>
              <w:t>,</w:t>
            </w:r>
            <w:hyperlink r:id="rId66" w:history="1">
              <w:r w:rsidRPr="00C71B8F">
                <w:rPr>
                  <w:rStyle w:val="Hyperlink"/>
                  <w:rFonts w:ascii="Calibri" w:hAnsi="Calibri" w:cs="TimesNewRomanPS-ItalicMT"/>
                  <w:i/>
                  <w:iCs/>
                  <w:sz w:val="19"/>
                  <w:szCs w:val="19"/>
                </w:rPr>
                <w:t>Radio</w:t>
              </w:r>
              <w:proofErr w:type="spellEnd"/>
              <w:r w:rsidRPr="00C71B8F">
                <w:rPr>
                  <w:rStyle w:val="Hyperlink"/>
                  <w:rFonts w:ascii="Calibri" w:hAnsi="Calibri" w:cs="TimesNewRomanPS-ItalicMT"/>
                  <w:i/>
                  <w:iCs/>
                  <w:sz w:val="19"/>
                  <w:szCs w:val="19"/>
                </w:rPr>
                <w:t xml:space="preserve"> and Television Broadcast Stations- Supplement A (Edition 97-01)</w:t>
              </w:r>
            </w:hyperlink>
            <w:r w:rsidRPr="00C71B8F">
              <w:rPr>
                <w:rFonts w:ascii="Calibri" w:hAnsi="Calibri" w:cs="TimesNewRomanPS-ItalicMT"/>
                <w:sz w:val="19"/>
                <w:szCs w:val="19"/>
              </w:rPr>
              <w:t>,</w:t>
            </w:r>
            <w:hyperlink r:id="rId67" w:history="1">
              <w:r w:rsidRPr="00C71B8F">
                <w:rPr>
                  <w:rStyle w:val="Hyperlink"/>
                  <w:rFonts w:ascii="Calibri" w:hAnsi="Calibri" w:cs="TimesNewRomanPS-ItalicMT"/>
                  <w:i/>
                  <w:iCs/>
                  <w:sz w:val="19"/>
                  <w:szCs w:val="19"/>
                </w:rPr>
                <w:t>Amateur Radio Stations- Supplement B (Edition 97-01)</w:t>
              </w:r>
            </w:hyperlink>
            <w:r w:rsidRPr="00C71B8F">
              <w:rPr>
                <w:rFonts w:ascii="Calibri" w:hAnsi="Calibri" w:cs="TimesNewRomanPS-ItalicMT"/>
                <w:sz w:val="19"/>
                <w:szCs w:val="19"/>
              </w:rPr>
              <w:t xml:space="preserve"> ,</w:t>
            </w:r>
            <w:hyperlink r:id="rId68" w:history="1">
              <w:r w:rsidRPr="00C71B8F">
                <w:rPr>
                  <w:rStyle w:val="Hyperlink"/>
                  <w:rFonts w:ascii="Calibri" w:hAnsi="Calibri" w:cs="TimesNewRomanPS-ItalicMT"/>
                  <w:i/>
                  <w:iCs/>
                  <w:sz w:val="19"/>
                  <w:szCs w:val="19"/>
                </w:rPr>
                <w:t>Supplement C (Edition 01-01)</w:t>
              </w:r>
            </w:hyperlink>
          </w:p>
        </w:tc>
      </w:tr>
      <w:tr w:rsidR="00061F17" w:rsidRPr="00C71B8F"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olor w:val="000000"/>
                <w:sz w:val="19"/>
                <w:szCs w:val="19"/>
                <w:lang w:eastAsia="en-GB"/>
              </w:rPr>
              <w:t xml:space="preserve">FCC </w:t>
            </w:r>
            <w:r w:rsidRPr="00C71B8F">
              <w:rPr>
                <w:rFonts w:ascii="Calibri" w:hAnsi="Calibri"/>
                <w:snapToGrid w:val="0"/>
                <w:sz w:val="19"/>
                <w:szCs w:val="19"/>
              </w:rPr>
              <w:t>2011</w:t>
            </w:r>
            <w:hyperlink r:id="rId69" w:history="1">
              <w:r w:rsidRPr="00C71B8F">
                <w:rPr>
                  <w:rStyle w:val="Hyperlink"/>
                  <w:rFonts w:ascii="Calibri" w:hAnsi="Calibri"/>
                  <w:i/>
                  <w:sz w:val="19"/>
                  <w:szCs w:val="19"/>
                  <w:lang w:eastAsia="en-GB"/>
                </w:rPr>
                <w:t>Radiofrequency Radiation Exposure Limits</w:t>
              </w:r>
            </w:hyperlink>
            <w:r w:rsidRPr="00C71B8F">
              <w:rPr>
                <w:rFonts w:ascii="Calibri" w:hAnsi="Calibri"/>
                <w:color w:val="000000"/>
                <w:sz w:val="19"/>
                <w:szCs w:val="19"/>
                <w:lang w:eastAsia="en-GB"/>
              </w:rPr>
              <w:t xml:space="preserve"> CFR 47 § 1.1310  </w:t>
            </w:r>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olor w:val="000000"/>
                <w:sz w:val="19"/>
                <w:szCs w:val="19"/>
                <w:lang w:eastAsia="en-GB"/>
              </w:rPr>
              <w:t>FCC</w:t>
            </w:r>
            <w:r w:rsidRPr="00C71B8F">
              <w:rPr>
                <w:rFonts w:ascii="Calibri" w:hAnsi="Calibri"/>
                <w:snapToGrid w:val="0"/>
                <w:sz w:val="19"/>
                <w:szCs w:val="19"/>
              </w:rPr>
              <w:t xml:space="preserve"> 2012 </w:t>
            </w:r>
            <w:hyperlink r:id="rId70" w:history="1">
              <w:r w:rsidRPr="00C71B8F">
                <w:rPr>
                  <w:rStyle w:val="Hyperlink"/>
                  <w:rFonts w:ascii="Calibri" w:hAnsi="Calibri"/>
                  <w:snapToGrid w:val="0"/>
                  <w:sz w:val="19"/>
                  <w:szCs w:val="19"/>
                </w:rPr>
                <w:t>Radiofrequency radiation exposure evaluation: portable devices</w:t>
              </w:r>
            </w:hyperlink>
            <w:r w:rsidRPr="00C71B8F">
              <w:rPr>
                <w:rFonts w:ascii="Calibri" w:hAnsi="Calibri"/>
                <w:snapToGrid w:val="0"/>
                <w:sz w:val="19"/>
                <w:szCs w:val="19"/>
              </w:rPr>
              <w:t xml:space="preserve">, </w:t>
            </w:r>
            <w:r w:rsidRPr="00C71B8F">
              <w:rPr>
                <w:rFonts w:ascii="Calibri" w:hAnsi="Calibri"/>
                <w:color w:val="000000"/>
                <w:sz w:val="19"/>
                <w:szCs w:val="19"/>
                <w:lang w:eastAsia="en-GB"/>
              </w:rPr>
              <w:t xml:space="preserve">CFR 47 </w:t>
            </w:r>
            <w:r w:rsidRPr="00C71B8F">
              <w:rPr>
                <w:rFonts w:ascii="Calibri" w:hAnsi="Calibri"/>
                <w:snapToGrid w:val="0"/>
                <w:sz w:val="19"/>
                <w:szCs w:val="19"/>
              </w:rPr>
              <w:t>§ 2.1093 re</w:t>
            </w:r>
            <w:r w:rsidRPr="00C71B8F">
              <w:rPr>
                <w:rFonts w:ascii="Calibri" w:hAnsi="Calibri"/>
                <w:sz w:val="19"/>
                <w:szCs w:val="19"/>
              </w:rPr>
              <w:t xml:space="preserve">viewed 31 August 2012: </w:t>
            </w:r>
            <w:r w:rsidRPr="00C71B8F">
              <w:rPr>
                <w:rFonts w:ascii="Calibri" w:hAnsi="Calibri"/>
                <w:snapToGrid w:val="0"/>
                <w:sz w:val="19"/>
                <w:szCs w:val="19"/>
              </w:rPr>
              <w:t>e-CFR Data is current as of August 29, 2012</w:t>
            </w:r>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color w:val="000000"/>
                <w:sz w:val="19"/>
                <w:szCs w:val="19"/>
                <w:lang w:eastAsia="en-GB"/>
              </w:rPr>
            </w:pPr>
            <w:r w:rsidRPr="00C71B8F">
              <w:rPr>
                <w:rFonts w:ascii="Calibri" w:hAnsi="Calibri"/>
                <w:color w:val="000000"/>
                <w:sz w:val="19"/>
                <w:szCs w:val="19"/>
                <w:lang w:eastAsia="en-GB"/>
              </w:rPr>
              <w:t xml:space="preserve">FCC 2013 </w:t>
            </w:r>
            <w:hyperlink r:id="rId71" w:history="1">
              <w:r w:rsidRPr="00C71B8F">
                <w:rPr>
                  <w:rStyle w:val="Hyperlink"/>
                  <w:rFonts w:ascii="Calibri" w:hAnsi="Calibri"/>
                  <w:i/>
                  <w:iCs/>
                  <w:sz w:val="19"/>
                  <w:szCs w:val="19"/>
                  <w:lang w:eastAsia="en-GB"/>
                </w:rPr>
                <w:t>First Report and Order further Notice of Proposed Rule Making and Notice of Inquiry</w:t>
              </w:r>
            </w:hyperlink>
            <w:r w:rsidRPr="00C71B8F">
              <w:rPr>
                <w:rFonts w:ascii="Calibri" w:hAnsi="Calibri"/>
                <w:color w:val="000000"/>
                <w:sz w:val="19"/>
                <w:szCs w:val="19"/>
                <w:lang w:eastAsia="en-GB"/>
              </w:rPr>
              <w:t xml:space="preserve"> Reassessment of Federal Communications Commission Radiofrequency Exposure Limits and Policies </w:t>
            </w:r>
            <w:r w:rsidRPr="00C71B8F">
              <w:rPr>
                <w:rFonts w:ascii="Calibri" w:hAnsi="Calibri"/>
                <w:spacing w:val="-2"/>
                <w:sz w:val="19"/>
                <w:szCs w:val="19"/>
              </w:rPr>
              <w:t xml:space="preserve">ET Docket No. 13-84, and  </w:t>
            </w:r>
            <w:r w:rsidRPr="00C71B8F">
              <w:rPr>
                <w:rFonts w:ascii="Calibri" w:hAnsi="Calibri"/>
                <w:color w:val="000000"/>
                <w:sz w:val="19"/>
                <w:szCs w:val="19"/>
                <w:lang w:eastAsia="en-GB"/>
              </w:rPr>
              <w:t xml:space="preserve">Proposed Changes in the Commission's Rules Regarding Human Exposure to Radiofrequency Electromagnetic Fields </w:t>
            </w:r>
            <w:r w:rsidRPr="00C71B8F">
              <w:rPr>
                <w:rFonts w:ascii="Calibri" w:hAnsi="Calibri"/>
                <w:spacing w:val="-2"/>
                <w:sz w:val="19"/>
                <w:szCs w:val="19"/>
              </w:rPr>
              <w:t xml:space="preserve">ET Docket No. 03-137  </w:t>
            </w:r>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Health Canada 1999 </w:t>
            </w:r>
            <w:hyperlink r:id="rId72" w:history="1">
              <w:r w:rsidRPr="00C71B8F">
                <w:rPr>
                  <w:rStyle w:val="Hyperlink"/>
                  <w:rFonts w:ascii="Calibri" w:hAnsi="Calibri"/>
                  <w:i/>
                  <w:iCs/>
                  <w:snapToGrid w:val="0"/>
                  <w:sz w:val="19"/>
                  <w:szCs w:val="19"/>
                </w:rPr>
                <w:t xml:space="preserve">Limits of Human Exposure to Radiofrequency Electromagnetic Fields in the Frequency Range from 3 kHz to 300 </w:t>
              </w:r>
              <w:proofErr w:type="spellStart"/>
              <w:r w:rsidRPr="00C71B8F">
                <w:rPr>
                  <w:rStyle w:val="Hyperlink"/>
                  <w:rFonts w:ascii="Calibri" w:hAnsi="Calibri"/>
                  <w:i/>
                  <w:iCs/>
                  <w:snapToGrid w:val="0"/>
                  <w:sz w:val="19"/>
                  <w:szCs w:val="19"/>
                </w:rPr>
                <w:t>GHz</w:t>
              </w:r>
            </w:hyperlink>
            <w:r w:rsidRPr="00C71B8F">
              <w:rPr>
                <w:rFonts w:ascii="Calibri" w:hAnsi="Calibri"/>
                <w:snapToGrid w:val="0"/>
                <w:sz w:val="19"/>
                <w:szCs w:val="19"/>
              </w:rPr>
              <w:t>Safety</w:t>
            </w:r>
            <w:proofErr w:type="spellEnd"/>
            <w:r w:rsidRPr="00C71B8F">
              <w:rPr>
                <w:rFonts w:ascii="Calibri" w:hAnsi="Calibri"/>
                <w:snapToGrid w:val="0"/>
                <w:sz w:val="19"/>
                <w:szCs w:val="19"/>
              </w:rPr>
              <w:t xml:space="preserve"> Code 6</w:t>
            </w:r>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IARC 2011 </w:t>
            </w:r>
            <w:hyperlink r:id="rId73" w:history="1">
              <w:r w:rsidRPr="00C71B8F">
                <w:rPr>
                  <w:rStyle w:val="Hyperlink"/>
                  <w:rFonts w:ascii="Calibri" w:hAnsi="Calibri"/>
                  <w:i/>
                  <w:iCs/>
                  <w:snapToGrid w:val="0"/>
                  <w:sz w:val="19"/>
                  <w:szCs w:val="19"/>
                </w:rPr>
                <w:t>IARC Classifies Radiofrequency Electromagnetic Fields as Possibly Carcinogenic to Humans</w:t>
              </w:r>
            </w:hyperlink>
            <w:r w:rsidRPr="00C71B8F">
              <w:rPr>
                <w:rFonts w:ascii="Calibri" w:hAnsi="Calibri"/>
                <w:snapToGrid w:val="0"/>
                <w:sz w:val="19"/>
                <w:szCs w:val="19"/>
              </w:rPr>
              <w:t>, viewed 22 August 2012</w:t>
            </w:r>
          </w:p>
        </w:tc>
      </w:tr>
      <w:tr w:rsidR="00061F17" w:rsidRPr="004C088A" w:rsidTr="00F22C89">
        <w:trPr>
          <w:cantSplit/>
          <w:trHeight w:val="20"/>
        </w:trPr>
        <w:tc>
          <w:tcPr>
            <w:tcW w:w="9072" w:type="dxa"/>
            <w:hideMark/>
          </w:tcPr>
          <w:p w:rsidR="00061F17" w:rsidRPr="00C71B8F" w:rsidRDefault="004C088A"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hyperlink r:id="rId74" w:history="1">
              <w:r w:rsidR="00061F17" w:rsidRPr="00C71B8F">
                <w:rPr>
                  <w:rStyle w:val="Hyperlink"/>
                  <w:rFonts w:ascii="Calibri" w:hAnsi="Calibri"/>
                  <w:snapToGrid w:val="0"/>
                  <w:sz w:val="19"/>
                  <w:szCs w:val="19"/>
                </w:rPr>
                <w:t>IARC  2013</w:t>
              </w:r>
            </w:hyperlink>
            <w:hyperlink r:id="rId75" w:history="1">
              <w:r w:rsidR="00061F17" w:rsidRPr="00C71B8F">
                <w:rPr>
                  <w:rStyle w:val="Hyperlink"/>
                  <w:rFonts w:ascii="Calibri" w:hAnsi="Calibri"/>
                  <w:i/>
                  <w:iCs/>
                  <w:snapToGrid w:val="0"/>
                  <w:sz w:val="19"/>
                  <w:szCs w:val="19"/>
                </w:rPr>
                <w:t>Monograph on radiofrequency electromagnetic fields</w:t>
              </w:r>
              <w:r w:rsidR="00061F17" w:rsidRPr="00C71B8F">
                <w:rPr>
                  <w:rStyle w:val="Hyperlink"/>
                  <w:rFonts w:ascii="Calibri" w:hAnsi="Calibri"/>
                  <w:i/>
                  <w:iCs/>
                  <w:sz w:val="19"/>
                  <w:szCs w:val="19"/>
                </w:rPr>
                <w:t xml:space="preserve"> Monographs</w:t>
              </w:r>
            </w:hyperlink>
            <w:r w:rsidR="00061F17" w:rsidRPr="00C71B8F">
              <w:rPr>
                <w:rFonts w:ascii="Calibri" w:hAnsi="Calibri"/>
                <w:sz w:val="19"/>
                <w:szCs w:val="19"/>
              </w:rPr>
              <w:t xml:space="preserve"> Vol. 102 </w:t>
            </w:r>
            <w:hyperlink r:id="rId76" w:history="1">
              <w:r w:rsidR="00061F17" w:rsidRPr="00C71B8F">
                <w:rPr>
                  <w:rStyle w:val="Hyperlink"/>
                  <w:rFonts w:ascii="Calibri" w:hAnsi="Calibri"/>
                  <w:i/>
                  <w:iCs/>
                  <w:sz w:val="19"/>
                  <w:szCs w:val="19"/>
                </w:rPr>
                <w:t>Non-Ionizing Radiation, Part 2: Radiofrequency Electromagnetic Fields</w:t>
              </w:r>
            </w:hyperlink>
            <w:r w:rsidR="00061F17" w:rsidRPr="00C71B8F">
              <w:rPr>
                <w:rFonts w:ascii="Calibri" w:hAnsi="Calibri"/>
                <w:sz w:val="19"/>
                <w:szCs w:val="19"/>
              </w:rPr>
              <w:t>‘</w:t>
            </w:r>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ICNIRP 1998 ‘</w:t>
            </w:r>
            <w:hyperlink r:id="rId77" w:history="1">
              <w:r w:rsidRPr="00C71B8F">
                <w:rPr>
                  <w:rStyle w:val="Hyperlink"/>
                  <w:rFonts w:ascii="Calibri" w:hAnsi="Calibri"/>
                  <w:i/>
                  <w:iCs/>
                  <w:snapToGrid w:val="0"/>
                  <w:sz w:val="19"/>
                  <w:szCs w:val="19"/>
                </w:rPr>
                <w:t>Guidelines for Limiting Exposure to Time-Varying Electric, Magnetic, and Electromagnetic Fields (up to 300 GHz)</w:t>
              </w:r>
            </w:hyperlink>
            <w:r w:rsidRPr="00C71B8F">
              <w:rPr>
                <w:rFonts w:ascii="Calibri" w:hAnsi="Calibri"/>
                <w:snapToGrid w:val="0"/>
                <w:sz w:val="19"/>
                <w:szCs w:val="19"/>
              </w:rPr>
              <w:t xml:space="preserve">’, ICNIRP guidelines, </w:t>
            </w:r>
            <w:r w:rsidRPr="00C71B8F">
              <w:rPr>
                <w:rFonts w:ascii="Calibri" w:hAnsi="Calibri"/>
                <w:i/>
                <w:iCs/>
                <w:snapToGrid w:val="0"/>
                <w:sz w:val="19"/>
                <w:szCs w:val="19"/>
              </w:rPr>
              <w:t>Health Physics</w:t>
            </w:r>
            <w:r w:rsidRPr="00C71B8F">
              <w:rPr>
                <w:rFonts w:ascii="Calibri" w:hAnsi="Calibri"/>
                <w:snapToGrid w:val="0"/>
                <w:sz w:val="19"/>
                <w:szCs w:val="19"/>
              </w:rPr>
              <w:t>, vol.74, pp. 494</w:t>
            </w:r>
            <w:r w:rsidRPr="00C71B8F">
              <w:rPr>
                <w:rFonts w:ascii="Calibri" w:hAnsi="Calibri"/>
                <w:color w:val="000000"/>
                <w:sz w:val="19"/>
                <w:szCs w:val="19"/>
                <w:lang w:eastAsia="en-GB"/>
              </w:rPr>
              <w:t>-</w:t>
            </w:r>
            <w:r w:rsidRPr="00C71B8F">
              <w:rPr>
                <w:rFonts w:ascii="Calibri" w:hAnsi="Calibri"/>
                <w:snapToGrid w:val="0"/>
                <w:sz w:val="19"/>
                <w:szCs w:val="19"/>
              </w:rPr>
              <w:t>522</w:t>
            </w:r>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ICNIRP 2009 “</w:t>
            </w:r>
            <w:hyperlink r:id="rId78" w:history="1">
              <w:r w:rsidRPr="00C71B8F">
                <w:rPr>
                  <w:rStyle w:val="Hyperlink"/>
                  <w:rFonts w:ascii="Calibri" w:hAnsi="Calibri"/>
                  <w:i/>
                  <w:iCs/>
                  <w:snapToGrid w:val="0"/>
                  <w:sz w:val="19"/>
                  <w:szCs w:val="19"/>
                </w:rPr>
                <w:t>Statement on the ‘guidelines for limiting exposure to time</w:t>
              </w:r>
              <w:r w:rsidRPr="00C71B8F">
                <w:rPr>
                  <w:rStyle w:val="Hyperlink"/>
                  <w:rFonts w:ascii="Calibri" w:hAnsi="Calibri" w:cs="Cambria Math"/>
                  <w:i/>
                  <w:iCs/>
                  <w:snapToGrid w:val="0"/>
                  <w:sz w:val="19"/>
                  <w:szCs w:val="19"/>
                </w:rPr>
                <w:t>‐</w:t>
              </w:r>
              <w:r w:rsidRPr="00C71B8F">
                <w:rPr>
                  <w:rStyle w:val="Hyperlink"/>
                  <w:rFonts w:ascii="Calibri" w:hAnsi="Calibri"/>
                  <w:i/>
                  <w:iCs/>
                  <w:snapToGrid w:val="0"/>
                  <w:sz w:val="19"/>
                  <w:szCs w:val="19"/>
                </w:rPr>
                <w:t>varying electric, magnetic, and electromagnetic fields (up to 300 GHz)</w:t>
              </w:r>
            </w:hyperlink>
            <w:r w:rsidRPr="00C71B8F">
              <w:rPr>
                <w:rFonts w:ascii="Calibri" w:hAnsi="Calibri"/>
                <w:snapToGrid w:val="0"/>
                <w:sz w:val="19"/>
                <w:szCs w:val="19"/>
              </w:rPr>
              <w:t xml:space="preserve">‘” ICNIRP statement, </w:t>
            </w:r>
            <w:r w:rsidRPr="00C71B8F">
              <w:rPr>
                <w:rFonts w:ascii="Calibri" w:hAnsi="Calibri"/>
                <w:i/>
                <w:iCs/>
                <w:snapToGrid w:val="0"/>
                <w:sz w:val="19"/>
                <w:szCs w:val="19"/>
              </w:rPr>
              <w:t>Health Physics</w:t>
            </w:r>
            <w:r w:rsidRPr="00C71B8F">
              <w:rPr>
                <w:rFonts w:ascii="Calibri" w:hAnsi="Calibri"/>
                <w:snapToGrid w:val="0"/>
                <w:sz w:val="19"/>
                <w:szCs w:val="19"/>
              </w:rPr>
              <w:t>, vol.97 (3), pp. 257</w:t>
            </w:r>
            <w:r w:rsidRPr="00C71B8F">
              <w:rPr>
                <w:rFonts w:ascii="Calibri" w:hAnsi="Calibri"/>
                <w:color w:val="000000"/>
                <w:sz w:val="19"/>
                <w:szCs w:val="19"/>
                <w:lang w:eastAsia="en-GB"/>
              </w:rPr>
              <w:t>-</w:t>
            </w:r>
            <w:r w:rsidRPr="00C71B8F">
              <w:rPr>
                <w:rFonts w:ascii="Calibri" w:hAnsi="Calibri"/>
                <w:snapToGrid w:val="0"/>
                <w:sz w:val="19"/>
                <w:szCs w:val="19"/>
              </w:rPr>
              <w:t>8</w:t>
            </w:r>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ICNIRP 2009 a “</w:t>
            </w:r>
            <w:hyperlink r:id="rId79" w:history="1">
              <w:r w:rsidRPr="00C71B8F">
                <w:rPr>
                  <w:rStyle w:val="Hyperlink"/>
                  <w:rFonts w:ascii="Calibri" w:hAnsi="Calibri"/>
                  <w:i/>
                  <w:iCs/>
                  <w:sz w:val="19"/>
                  <w:szCs w:val="19"/>
                </w:rPr>
                <w:t>Exposure to high frequency electromagnetic fields, biological effects and health consequences (100 kHz-300 GHz)</w:t>
              </w:r>
            </w:hyperlink>
            <w:r w:rsidRPr="00C71B8F">
              <w:rPr>
                <w:rFonts w:ascii="Calibri" w:hAnsi="Calibri"/>
                <w:snapToGrid w:val="0"/>
                <w:sz w:val="19"/>
                <w:szCs w:val="19"/>
              </w:rPr>
              <w:t xml:space="preserve">” la </w:t>
            </w:r>
            <w:proofErr w:type="spellStart"/>
            <w:r w:rsidRPr="00C71B8F">
              <w:rPr>
                <w:rFonts w:ascii="Calibri" w:hAnsi="Calibri"/>
                <w:snapToGrid w:val="0"/>
                <w:sz w:val="19"/>
                <w:szCs w:val="19"/>
              </w:rPr>
              <w:t>Vecchia</w:t>
            </w:r>
            <w:proofErr w:type="spellEnd"/>
            <w:r w:rsidRPr="00C71B8F">
              <w:rPr>
                <w:rFonts w:ascii="Calibri" w:hAnsi="Calibri"/>
                <w:snapToGrid w:val="0"/>
                <w:sz w:val="19"/>
                <w:szCs w:val="19"/>
              </w:rPr>
              <w:t xml:space="preserve"> C, </w:t>
            </w:r>
            <w:proofErr w:type="spellStart"/>
            <w:r w:rsidRPr="00C71B8F">
              <w:rPr>
                <w:rFonts w:ascii="Calibri" w:hAnsi="Calibri"/>
                <w:snapToGrid w:val="0"/>
                <w:sz w:val="19"/>
                <w:szCs w:val="19"/>
              </w:rPr>
              <w:t>Matthes</w:t>
            </w:r>
            <w:proofErr w:type="spellEnd"/>
            <w:r w:rsidRPr="00C71B8F">
              <w:rPr>
                <w:rFonts w:ascii="Calibri" w:hAnsi="Calibri"/>
                <w:snapToGrid w:val="0"/>
                <w:sz w:val="19"/>
                <w:szCs w:val="19"/>
              </w:rPr>
              <w:t xml:space="preserve"> R, </w:t>
            </w:r>
            <w:proofErr w:type="spellStart"/>
            <w:r w:rsidRPr="00C71B8F">
              <w:rPr>
                <w:rFonts w:ascii="Calibri" w:hAnsi="Calibri"/>
                <w:snapToGrid w:val="0"/>
                <w:sz w:val="19"/>
                <w:szCs w:val="19"/>
              </w:rPr>
              <w:t>Ziegelberger</w:t>
            </w:r>
            <w:proofErr w:type="spellEnd"/>
            <w:r w:rsidRPr="00C71B8F">
              <w:rPr>
                <w:rFonts w:ascii="Calibri" w:hAnsi="Calibri"/>
                <w:snapToGrid w:val="0"/>
                <w:sz w:val="19"/>
                <w:szCs w:val="19"/>
              </w:rPr>
              <w:t xml:space="preserve"> G et al., editors</w:t>
            </w:r>
          </w:p>
        </w:tc>
      </w:tr>
      <w:tr w:rsidR="00061F17" w:rsidRPr="004C088A"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IEC 62209-1 ed1.0 </w:t>
            </w:r>
            <w:r w:rsidRPr="00C71B8F">
              <w:rPr>
                <w:rFonts w:ascii="Calibri" w:hAnsi="Calibri"/>
                <w:sz w:val="19"/>
                <w:szCs w:val="19"/>
                <w:lang w:val="en-US" w:eastAsia="zh-CN" w:bidi="ar-SA"/>
              </w:rPr>
              <w:t>published on 18 Feb 2005 ‘</w:t>
            </w:r>
            <w:hyperlink r:id="rId80" w:history="1">
              <w:r w:rsidRPr="00C71B8F">
                <w:rPr>
                  <w:rStyle w:val="Hyperlink"/>
                  <w:rFonts w:ascii="Calibri" w:hAnsi="Calibri"/>
                  <w:i/>
                  <w:iCs/>
                  <w:sz w:val="19"/>
                  <w:szCs w:val="19"/>
                  <w:lang w:val="en-US" w:eastAsia="zh-CN" w:bidi="ar-SA"/>
                </w:rPr>
                <w:t>Human exposure to radio frequency fields from hand-held and body-mounted wireless communication devices - Human models, instrumentation, and procedures - Part 1: Procedure to determine the specific absorption rate (SAR) for hand-held devices used in close proximity to the ear (frequency range of 300 MHz to 3 GHz</w:t>
              </w:r>
            </w:hyperlink>
            <w:r w:rsidRPr="00C71B8F">
              <w:rPr>
                <w:rFonts w:ascii="Calibri" w:hAnsi="Calibri"/>
                <w:sz w:val="19"/>
                <w:szCs w:val="19"/>
                <w:lang w:val="en-US" w:eastAsia="zh-CN" w:bidi="ar-SA"/>
              </w:rPr>
              <w:t xml:space="preserve">‘ </w:t>
            </w:r>
          </w:p>
        </w:tc>
      </w:tr>
      <w:tr w:rsidR="00061F17" w:rsidRPr="004C088A"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IEC 62232 ed. 1.0, </w:t>
            </w:r>
            <w:r w:rsidRPr="00C71B8F">
              <w:rPr>
                <w:rFonts w:ascii="Calibri" w:hAnsi="Calibri"/>
                <w:sz w:val="19"/>
                <w:szCs w:val="19"/>
                <w:lang w:val="en-US" w:eastAsia="zh-CN" w:bidi="ar-SA"/>
              </w:rPr>
              <w:t xml:space="preserve">published on 19 May 2011 </w:t>
            </w:r>
            <w:hyperlink r:id="rId81" w:history="1">
              <w:r w:rsidRPr="00C71B8F">
                <w:rPr>
                  <w:rStyle w:val="Hyperlink"/>
                  <w:rFonts w:ascii="Calibri" w:hAnsi="Calibri"/>
                  <w:i/>
                  <w:sz w:val="19"/>
                  <w:szCs w:val="19"/>
                  <w:lang w:eastAsia="zh-CN" w:bidi="ar-SA"/>
                </w:rPr>
                <w:t xml:space="preserve">Determination of RF field strength and SAR in the vicinity of </w:t>
              </w:r>
              <w:proofErr w:type="spellStart"/>
              <w:r w:rsidRPr="00C71B8F">
                <w:rPr>
                  <w:rStyle w:val="Hyperlink"/>
                  <w:rFonts w:ascii="Calibri" w:hAnsi="Calibri"/>
                  <w:i/>
                  <w:sz w:val="19"/>
                  <w:szCs w:val="19"/>
                  <w:lang w:eastAsia="zh-CN" w:bidi="ar-SA"/>
                </w:rPr>
                <w:t>radiocommunication</w:t>
              </w:r>
              <w:proofErr w:type="spellEnd"/>
              <w:r w:rsidRPr="00C71B8F">
                <w:rPr>
                  <w:rStyle w:val="Hyperlink"/>
                  <w:rFonts w:ascii="Calibri" w:hAnsi="Calibri"/>
                  <w:i/>
                  <w:sz w:val="19"/>
                  <w:szCs w:val="19"/>
                  <w:lang w:eastAsia="zh-CN" w:bidi="ar-SA"/>
                </w:rPr>
                <w:t xml:space="preserve"> base stations for the purpose of evaluating human exposure</w:t>
              </w:r>
            </w:hyperlink>
          </w:p>
        </w:tc>
      </w:tr>
      <w:tr w:rsidR="00061F17" w:rsidRPr="004C088A"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IEEE </w:t>
            </w:r>
            <w:proofErr w:type="spellStart"/>
            <w:r w:rsidRPr="00C71B8F">
              <w:rPr>
                <w:rFonts w:ascii="Calibri" w:hAnsi="Calibri"/>
                <w:sz w:val="19"/>
                <w:szCs w:val="19"/>
                <w:lang w:eastAsia="zh-CN" w:bidi="ar-SA"/>
              </w:rPr>
              <w:t>Std</w:t>
            </w:r>
            <w:proofErr w:type="spellEnd"/>
            <w:r w:rsidRPr="00C71B8F">
              <w:rPr>
                <w:rFonts w:ascii="Calibri" w:hAnsi="Calibri"/>
                <w:sz w:val="19"/>
                <w:szCs w:val="19"/>
                <w:lang w:eastAsia="zh-CN" w:bidi="ar-SA"/>
              </w:rPr>
              <w:t xml:space="preserve"> C95.1-1999 (and ANSI 1992) </w:t>
            </w:r>
            <w:hyperlink r:id="rId82" w:history="1">
              <w:proofErr w:type="spellStart"/>
              <w:r w:rsidRPr="00C71B8F">
                <w:rPr>
                  <w:rStyle w:val="Hyperlink"/>
                  <w:rFonts w:ascii="Calibri" w:hAnsi="Calibri"/>
                  <w:i/>
                  <w:iCs/>
                  <w:sz w:val="19"/>
                  <w:szCs w:val="19"/>
                  <w:lang w:eastAsia="zh-CN" w:bidi="ar-SA"/>
                </w:rPr>
                <w:t>IEEEStandard</w:t>
              </w:r>
              <w:proofErr w:type="spellEnd"/>
              <w:r w:rsidRPr="00C71B8F">
                <w:rPr>
                  <w:rStyle w:val="Hyperlink"/>
                  <w:rFonts w:ascii="Calibri" w:hAnsi="Calibri"/>
                  <w:i/>
                  <w:iCs/>
                  <w:sz w:val="19"/>
                  <w:szCs w:val="19"/>
                  <w:lang w:eastAsia="zh-CN" w:bidi="ar-SA"/>
                </w:rPr>
                <w:t xml:space="preserve"> C95.1 for Safety Levels with Respect to Human Exposure to Radio Frequency Electromagnetic Fields, 3 kHz to 300 GHz</w:t>
              </w:r>
            </w:hyperlink>
          </w:p>
        </w:tc>
      </w:tr>
      <w:tr w:rsidR="00061F17" w:rsidRPr="004C088A"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IEEE Std1528-2003</w:t>
            </w:r>
            <w:hyperlink r:id="rId83" w:history="1">
              <w:r w:rsidRPr="00C71B8F">
                <w:rPr>
                  <w:rStyle w:val="Hyperlink"/>
                  <w:rFonts w:ascii="Calibri" w:hAnsi="Calibri"/>
                  <w:i/>
                  <w:iCs/>
                  <w:sz w:val="19"/>
                  <w:szCs w:val="19"/>
                  <w:lang w:eastAsia="zh-CN" w:bidi="ar-SA"/>
                </w:rPr>
                <w:t>IEEE Recommended Practice for Determining the Peak Spatial-Average Specific Absorption Rate (SAR) in the Human Head from Wireless Communications Devices: Measurement Techniques</w:t>
              </w:r>
            </w:hyperlink>
          </w:p>
        </w:tc>
      </w:tr>
      <w:tr w:rsidR="00061F17" w:rsidRPr="004C088A"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IEEE </w:t>
            </w:r>
            <w:proofErr w:type="spellStart"/>
            <w:r w:rsidRPr="00C71B8F">
              <w:rPr>
                <w:rFonts w:ascii="Calibri" w:hAnsi="Calibri"/>
                <w:sz w:val="19"/>
                <w:szCs w:val="19"/>
                <w:lang w:eastAsia="zh-CN" w:bidi="ar-SA"/>
              </w:rPr>
              <w:t>Std</w:t>
            </w:r>
            <w:proofErr w:type="spellEnd"/>
            <w:r w:rsidRPr="00C71B8F">
              <w:rPr>
                <w:rFonts w:ascii="Calibri" w:hAnsi="Calibri"/>
                <w:sz w:val="19"/>
                <w:szCs w:val="19"/>
                <w:lang w:eastAsia="zh-CN" w:bidi="ar-SA"/>
              </w:rPr>
              <w:t xml:space="preserve"> C95.1-2005 </w:t>
            </w:r>
            <w:hyperlink r:id="rId84" w:history="1">
              <w:r w:rsidRPr="00C71B8F">
                <w:rPr>
                  <w:rStyle w:val="Hyperlink"/>
                  <w:rFonts w:ascii="Calibri" w:hAnsi="Calibri"/>
                  <w:i/>
                  <w:iCs/>
                  <w:sz w:val="19"/>
                  <w:szCs w:val="19"/>
                  <w:lang w:eastAsia="zh-CN" w:bidi="ar-SA"/>
                </w:rPr>
                <w:t xml:space="preserve">IEEE Standard </w:t>
              </w:r>
              <w:proofErr w:type="spellStart"/>
              <w:r w:rsidRPr="00C71B8F">
                <w:rPr>
                  <w:rStyle w:val="Hyperlink"/>
                  <w:rFonts w:ascii="Calibri" w:hAnsi="Calibri"/>
                  <w:i/>
                  <w:iCs/>
                  <w:sz w:val="19"/>
                  <w:szCs w:val="19"/>
                  <w:lang w:eastAsia="zh-CN" w:bidi="ar-SA"/>
                </w:rPr>
                <w:t>forSafety</w:t>
              </w:r>
              <w:proofErr w:type="spellEnd"/>
              <w:r w:rsidRPr="00C71B8F">
                <w:rPr>
                  <w:rStyle w:val="Hyperlink"/>
                  <w:rFonts w:ascii="Calibri" w:hAnsi="Calibri"/>
                  <w:i/>
                  <w:iCs/>
                  <w:sz w:val="19"/>
                  <w:szCs w:val="19"/>
                  <w:lang w:eastAsia="zh-CN" w:bidi="ar-SA"/>
                </w:rPr>
                <w:t xml:space="preserve"> Levels with Respect to Human Exposure to Radio Frequency Electromagnetic Fields, 3 kHz to 300 GHz</w:t>
              </w:r>
            </w:hyperlink>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color w:val="000000"/>
                <w:sz w:val="19"/>
                <w:szCs w:val="19"/>
                <w:lang w:eastAsia="en-GB"/>
              </w:rPr>
            </w:pPr>
            <w:r w:rsidRPr="00C71B8F">
              <w:rPr>
                <w:rFonts w:ascii="Calibri" w:hAnsi="Calibri"/>
                <w:color w:val="000000"/>
                <w:sz w:val="19"/>
                <w:szCs w:val="19"/>
                <w:lang w:eastAsia="en-GB"/>
              </w:rPr>
              <w:t xml:space="preserve">ITU 2011 Handbook </w:t>
            </w:r>
            <w:hyperlink r:id="rId85" w:history="1">
              <w:r w:rsidRPr="00C71B8F">
                <w:rPr>
                  <w:rStyle w:val="Hyperlink"/>
                  <w:rFonts w:ascii="Calibri" w:hAnsi="Calibri"/>
                  <w:i/>
                  <w:iCs/>
                  <w:sz w:val="19"/>
                  <w:szCs w:val="19"/>
                </w:rPr>
                <w:t>Spectrum Monitoring, Edition of 2011</w:t>
              </w:r>
            </w:hyperlink>
            <w:r w:rsidRPr="00C71B8F">
              <w:rPr>
                <w:rFonts w:ascii="Calibri" w:hAnsi="Calibri"/>
                <w:i/>
                <w:color w:val="000000"/>
                <w:sz w:val="19"/>
                <w:szCs w:val="19"/>
                <w:lang w:eastAsia="en-GB"/>
              </w:rPr>
              <w:t xml:space="preserve">, </w:t>
            </w:r>
            <w:r w:rsidRPr="00C71B8F">
              <w:rPr>
                <w:rFonts w:ascii="Calibri" w:hAnsi="Calibri"/>
                <w:sz w:val="19"/>
                <w:szCs w:val="19"/>
              </w:rPr>
              <w:t>Chapter 5 - Specific monitoring systems and procedures</w:t>
            </w:r>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olor w:val="000000"/>
                <w:sz w:val="19"/>
                <w:szCs w:val="19"/>
                <w:lang w:eastAsia="en-GB"/>
              </w:rPr>
              <w:t xml:space="preserve">ITU-R Recommendation BS.1698 </w:t>
            </w:r>
            <w:hyperlink r:id="rId86" w:history="1">
              <w:r w:rsidRPr="00C71B8F">
                <w:rPr>
                  <w:rStyle w:val="Hyperlink"/>
                  <w:rFonts w:ascii="Calibri" w:hAnsi="Calibri"/>
                  <w:i/>
                  <w:sz w:val="19"/>
                  <w:szCs w:val="19"/>
                  <w:lang w:eastAsia="en-GB"/>
                </w:rPr>
                <w:t>Evaluating Fields from Terrestrial Broadcasting Transmitting Systems Operating in any Frequency Band for Assessing Exposure to Non</w:t>
              </w:r>
              <w:r w:rsidRPr="00C71B8F">
                <w:rPr>
                  <w:rStyle w:val="Hyperlink"/>
                  <w:rFonts w:ascii="Calibri" w:hAnsi="Calibri"/>
                  <w:i/>
                  <w:sz w:val="19"/>
                  <w:szCs w:val="19"/>
                  <w:lang w:eastAsia="en-GB"/>
                </w:rPr>
                <w:noBreakHyphen/>
                <w:t>Ionizing Radiation</w:t>
              </w:r>
            </w:hyperlink>
            <w:r w:rsidRPr="00C71B8F">
              <w:rPr>
                <w:rFonts w:ascii="Calibri" w:hAnsi="Calibri"/>
                <w:i/>
                <w:color w:val="000000"/>
                <w:sz w:val="19"/>
                <w:szCs w:val="19"/>
                <w:lang w:eastAsia="en-GB"/>
              </w:rPr>
              <w:t xml:space="preserve">, </w:t>
            </w:r>
          </w:p>
        </w:tc>
      </w:tr>
      <w:tr w:rsidR="00061F17" w:rsidRPr="004C088A" w:rsidTr="00F22C89">
        <w:trPr>
          <w:cantSplit/>
          <w:trHeight w:val="20"/>
        </w:trPr>
        <w:tc>
          <w:tcPr>
            <w:tcW w:w="9072" w:type="dxa"/>
          </w:tcPr>
          <w:p w:rsidR="00061F17" w:rsidRPr="00C71B8F" w:rsidRDefault="00061F17" w:rsidP="00C71B8F">
            <w:pPr>
              <w:pStyle w:val="RegParagraph"/>
              <w:numPr>
                <w:ilvl w:val="0"/>
                <w:numId w:val="10"/>
              </w:numPr>
              <w:spacing w:before="40" w:after="40" w:line="240" w:lineRule="auto"/>
              <w:jc w:val="left"/>
              <w:rPr>
                <w:rFonts w:ascii="Calibri" w:hAnsi="Calibri"/>
                <w:sz w:val="19"/>
                <w:szCs w:val="19"/>
                <w:lang w:eastAsia="zh-CN" w:bidi="ar-SA"/>
              </w:rPr>
            </w:pPr>
            <w:r w:rsidRPr="00C71B8F">
              <w:rPr>
                <w:rFonts w:ascii="Calibri" w:hAnsi="Calibri"/>
                <w:sz w:val="19"/>
                <w:szCs w:val="19"/>
                <w:lang w:eastAsia="zh-CN" w:bidi="ar-SA"/>
              </w:rPr>
              <w:lastRenderedPageBreak/>
              <w:t xml:space="preserve">ITU Hand book on </w:t>
            </w:r>
            <w:hyperlink r:id="rId87" w:history="1">
              <w:r w:rsidRPr="00C71B8F">
                <w:rPr>
                  <w:rStyle w:val="Hyperlink"/>
                  <w:rFonts w:ascii="Calibri" w:hAnsi="Calibri"/>
                  <w:sz w:val="19"/>
                  <w:szCs w:val="19"/>
                  <w:lang w:eastAsia="zh-CN" w:bidi="ar-SA"/>
                </w:rPr>
                <w:t>Spectrum Monitoring</w:t>
              </w:r>
            </w:hyperlink>
            <w:r w:rsidRPr="00C71B8F">
              <w:rPr>
                <w:rFonts w:ascii="Calibri" w:hAnsi="Calibri"/>
                <w:sz w:val="19"/>
                <w:szCs w:val="19"/>
                <w:lang w:eastAsia="zh-CN" w:bidi="ar-SA"/>
              </w:rPr>
              <w:t xml:space="preserve">, Edition 2011; </w:t>
            </w:r>
            <w:r w:rsidRPr="00C71B8F">
              <w:rPr>
                <w:rFonts w:ascii="Calibri" w:hAnsi="Calibri"/>
                <w:sz w:val="19"/>
                <w:szCs w:val="19"/>
              </w:rPr>
              <w:t>Chapter 5.6</w:t>
            </w:r>
          </w:p>
        </w:tc>
      </w:tr>
      <w:tr w:rsidR="00061F17" w:rsidRPr="004C088A"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cstheme="majorBidi"/>
                <w:i/>
                <w:iCs/>
                <w:sz w:val="19"/>
                <w:szCs w:val="19"/>
                <w:lang w:val="en-US" w:eastAsia="zh-CN"/>
              </w:rPr>
            </w:pPr>
            <w:r w:rsidRPr="00C71B8F">
              <w:rPr>
                <w:rFonts w:ascii="Calibri" w:hAnsi="Calibri" w:cstheme="majorBidi"/>
                <w:sz w:val="19"/>
                <w:szCs w:val="19"/>
                <w:lang w:val="en-US" w:eastAsia="zh-CN"/>
              </w:rPr>
              <w:t xml:space="preserve">ITU-T </w:t>
            </w:r>
            <w:hyperlink r:id="rId88" w:tooltip="Main page of the respective Study Group" w:history="1">
              <w:r w:rsidRPr="00C71B8F">
                <w:rPr>
                  <w:rStyle w:val="Hyperlink"/>
                  <w:rFonts w:ascii="Calibri" w:hAnsi="Calibri" w:cstheme="majorBidi"/>
                  <w:sz w:val="19"/>
                  <w:szCs w:val="19"/>
                  <w:lang w:val="en-US" w:eastAsia="zh-CN"/>
                </w:rPr>
                <w:t>Study Group 5</w:t>
              </w:r>
            </w:hyperlink>
            <w:r w:rsidRPr="00C71B8F">
              <w:rPr>
                <w:rFonts w:ascii="Calibri" w:hAnsi="Calibri" w:cstheme="majorBidi"/>
                <w:sz w:val="19"/>
                <w:szCs w:val="19"/>
                <w:lang w:val="en-US" w:eastAsia="zh-CN"/>
              </w:rPr>
              <w:t xml:space="preserve">Recommendation K.52  </w:t>
            </w:r>
            <w:hyperlink r:id="rId89" w:history="1">
              <w:r w:rsidRPr="00C71B8F">
                <w:rPr>
                  <w:rStyle w:val="Hyperlink"/>
                  <w:rFonts w:ascii="Calibri" w:hAnsi="Calibri" w:cstheme="majorBidi"/>
                  <w:i/>
                  <w:iCs/>
                  <w:sz w:val="19"/>
                  <w:szCs w:val="19"/>
                  <w:lang w:val="en-US" w:eastAsia="zh-CN"/>
                </w:rPr>
                <w:t>Guidance on complying with limits for human exposure to electromagnetic fields</w:t>
              </w:r>
            </w:hyperlink>
          </w:p>
        </w:tc>
      </w:tr>
      <w:tr w:rsidR="00061F17" w:rsidRPr="004C088A"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i/>
                <w:iCs/>
                <w:sz w:val="19"/>
                <w:szCs w:val="19"/>
                <w:lang w:val="en-GB" w:eastAsia="zh-CN"/>
              </w:rPr>
            </w:pPr>
            <w:r w:rsidRPr="00C71B8F">
              <w:rPr>
                <w:rFonts w:ascii="Calibri" w:hAnsi="Calibri"/>
                <w:sz w:val="19"/>
                <w:szCs w:val="19"/>
                <w:lang w:val="en-GB" w:eastAsia="zh-CN"/>
              </w:rPr>
              <w:t xml:space="preserve">ITU-T K.61 </w:t>
            </w:r>
            <w:hyperlink r:id="rId90" w:history="1">
              <w:r w:rsidRPr="00C71B8F">
                <w:rPr>
                  <w:rStyle w:val="Hyperlink"/>
                  <w:rFonts w:ascii="Calibri" w:hAnsi="Calibri"/>
                  <w:i/>
                  <w:iCs/>
                  <w:sz w:val="19"/>
                  <w:szCs w:val="19"/>
                  <w:lang w:val="en-US" w:eastAsia="zh-CN"/>
                </w:rPr>
                <w:t>Guidance on measurement and numerical prediction of electromagnetic fields for compliance with human exposure limits for telecommunication installations</w:t>
              </w:r>
            </w:hyperlink>
          </w:p>
        </w:tc>
      </w:tr>
      <w:tr w:rsidR="00061F17" w:rsidRPr="004C088A"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US" w:eastAsia="zh-CN"/>
              </w:rPr>
            </w:pPr>
            <w:r w:rsidRPr="00C71B8F">
              <w:rPr>
                <w:rFonts w:ascii="Calibri" w:hAnsi="Calibri"/>
                <w:sz w:val="19"/>
                <w:szCs w:val="19"/>
                <w:lang w:val="en-GB" w:eastAsia="zh-CN"/>
              </w:rPr>
              <w:t xml:space="preserve">ITU-T K.70 </w:t>
            </w:r>
            <w:hyperlink r:id="rId91" w:history="1">
              <w:r w:rsidRPr="00C71B8F">
                <w:rPr>
                  <w:rStyle w:val="Hyperlink"/>
                  <w:rFonts w:ascii="Calibri" w:hAnsi="Calibri"/>
                  <w:i/>
                  <w:iCs/>
                  <w:sz w:val="19"/>
                  <w:szCs w:val="19"/>
                  <w:lang w:val="en-US" w:eastAsia="zh-CN"/>
                </w:rPr>
                <w:t xml:space="preserve">Mitigation techniques to limit human exposure to EMFs in the vicinity of </w:t>
              </w:r>
              <w:proofErr w:type="spellStart"/>
              <w:r w:rsidRPr="00C71B8F">
                <w:rPr>
                  <w:rStyle w:val="Hyperlink"/>
                  <w:rFonts w:ascii="Calibri" w:hAnsi="Calibri"/>
                  <w:i/>
                  <w:iCs/>
                  <w:sz w:val="19"/>
                  <w:szCs w:val="19"/>
                  <w:lang w:val="en-US" w:eastAsia="zh-CN"/>
                </w:rPr>
                <w:t>radiocommunication</w:t>
              </w:r>
              <w:proofErr w:type="spellEnd"/>
              <w:r w:rsidRPr="00C71B8F">
                <w:rPr>
                  <w:rStyle w:val="Hyperlink"/>
                  <w:rFonts w:ascii="Calibri" w:hAnsi="Calibri"/>
                  <w:i/>
                  <w:iCs/>
                  <w:sz w:val="19"/>
                  <w:szCs w:val="19"/>
                  <w:lang w:val="en-US" w:eastAsia="zh-CN"/>
                </w:rPr>
                <w:t xml:space="preserve"> stations</w:t>
              </w:r>
            </w:hyperlink>
          </w:p>
        </w:tc>
      </w:tr>
      <w:tr w:rsidR="00061F17" w:rsidRPr="004C088A"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cstheme="majorBidi"/>
                <w:sz w:val="19"/>
                <w:szCs w:val="19"/>
                <w:lang w:val="en-US" w:eastAsia="zh-CN"/>
              </w:rPr>
            </w:pPr>
            <w:r w:rsidRPr="00C71B8F">
              <w:rPr>
                <w:rFonts w:ascii="Calibri" w:hAnsi="Calibri" w:cstheme="majorBidi"/>
                <w:sz w:val="19"/>
                <w:szCs w:val="19"/>
                <w:lang w:val="en-GB" w:eastAsia="zh-CN"/>
              </w:rPr>
              <w:t xml:space="preserve">ITU-T </w:t>
            </w:r>
            <w:hyperlink r:id="rId92" w:history="1">
              <w:r w:rsidRPr="00C71B8F">
                <w:rPr>
                  <w:rStyle w:val="Hyperlink"/>
                  <w:rFonts w:ascii="Calibri" w:eastAsia="MS Mincho" w:hAnsi="Calibri" w:cstheme="majorBidi"/>
                  <w:i/>
                  <w:iCs/>
                  <w:noProof/>
                  <w:sz w:val="19"/>
                  <w:szCs w:val="19"/>
                  <w:lang w:val="en-US" w:eastAsia="zh-CN"/>
                </w:rPr>
                <w:t>Software EMF-estimator</w:t>
              </w:r>
            </w:hyperlink>
            <w:hyperlink r:id="rId93" w:history="1">
              <w:r w:rsidRPr="00C71B8F">
                <w:rPr>
                  <w:rStyle w:val="Hyperlink"/>
                  <w:rFonts w:ascii="Calibri" w:hAnsi="Calibri" w:cstheme="majorBidi"/>
                  <w:sz w:val="19"/>
                  <w:szCs w:val="19"/>
                  <w:lang w:val="en-US" w:eastAsia="zh-CN"/>
                </w:rPr>
                <w:t>K.70 (2007)</w:t>
              </w:r>
            </w:hyperlink>
            <w:hyperlink r:id="rId94" w:history="1">
              <w:r w:rsidRPr="00C71B8F">
                <w:rPr>
                  <w:rStyle w:val="Hyperlink"/>
                  <w:rFonts w:ascii="Calibri" w:hAnsi="Calibri" w:cstheme="majorBidi"/>
                  <w:sz w:val="19"/>
                  <w:szCs w:val="19"/>
                  <w:lang w:val="en-US" w:eastAsia="zh-CN"/>
                </w:rPr>
                <w:t>Amd.2 (05/2011)</w:t>
              </w:r>
            </w:hyperlink>
            <w:r w:rsidRPr="00C71B8F">
              <w:rPr>
                <w:rFonts w:ascii="Calibri" w:hAnsi="Calibri" w:cstheme="majorBidi"/>
                <w:color w:val="000000"/>
                <w:sz w:val="19"/>
                <w:szCs w:val="19"/>
                <w:lang w:val="en-GB" w:eastAsia="zh-CN"/>
              </w:rPr>
              <w:t xml:space="preserve"> and </w:t>
            </w:r>
            <w:hyperlink r:id="rId95" w:history="1">
              <w:r w:rsidRPr="00C71B8F">
                <w:rPr>
                  <w:rStyle w:val="Hyperlink"/>
                  <w:rFonts w:ascii="Calibri" w:hAnsi="Calibri" w:cstheme="majorBidi"/>
                  <w:i/>
                  <w:iCs/>
                  <w:sz w:val="19"/>
                  <w:szCs w:val="19"/>
                  <w:lang w:val="en-US" w:eastAsia="zh-CN"/>
                </w:rPr>
                <w:t>Amd.3 (02/2013)</w:t>
              </w:r>
            </w:hyperlink>
            <w:r w:rsidRPr="00C71B8F">
              <w:rPr>
                <w:rFonts w:ascii="Calibri" w:hAnsi="Calibri" w:cstheme="majorBidi"/>
                <w:sz w:val="19"/>
                <w:szCs w:val="19"/>
                <w:lang w:val="en-US" w:eastAsia="zh-CN"/>
              </w:rPr>
              <w:t xml:space="preserve"> by </w:t>
            </w:r>
            <w:proofErr w:type="spellStart"/>
            <w:r w:rsidRPr="00C71B8F">
              <w:rPr>
                <w:rFonts w:ascii="Calibri" w:hAnsi="Calibri" w:cstheme="majorBidi"/>
                <w:sz w:val="19"/>
                <w:szCs w:val="19"/>
                <w:lang w:val="en-US" w:eastAsia="zh-CN"/>
              </w:rPr>
              <w:t>Lewicki</w:t>
            </w:r>
            <w:proofErr w:type="spellEnd"/>
            <w:r w:rsidRPr="00C71B8F">
              <w:rPr>
                <w:rFonts w:ascii="Calibri" w:hAnsi="Calibri" w:cstheme="majorBidi"/>
                <w:sz w:val="19"/>
                <w:szCs w:val="19"/>
                <w:lang w:val="en-US" w:eastAsia="zh-CN"/>
              </w:rPr>
              <w:t xml:space="preserve"> F.</w:t>
            </w:r>
          </w:p>
        </w:tc>
      </w:tr>
      <w:tr w:rsidR="00061F17" w:rsidRPr="004C088A"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ITU-T K.91 </w:t>
            </w:r>
            <w:hyperlink r:id="rId96" w:history="1">
              <w:r w:rsidRPr="00C71B8F">
                <w:rPr>
                  <w:rStyle w:val="Hyperlink"/>
                  <w:rFonts w:ascii="Calibri" w:hAnsi="Calibri"/>
                  <w:i/>
                  <w:iCs/>
                  <w:sz w:val="19"/>
                  <w:szCs w:val="19"/>
                  <w:lang w:val="en-US" w:eastAsia="zh-CN"/>
                </w:rPr>
                <w:t>Guidance for assessment, evaluation and monitoring of human exposure to radio frequency electromagnetic fields</w:t>
              </w:r>
            </w:hyperlink>
          </w:p>
        </w:tc>
      </w:tr>
      <w:tr w:rsidR="00061F17" w:rsidRPr="004C088A" w:rsidTr="00F22C89">
        <w:trPr>
          <w:cantSplit/>
          <w:trHeight w:val="20"/>
        </w:trPr>
        <w:tc>
          <w:tcPr>
            <w:tcW w:w="9072" w:type="dxa"/>
            <w:hideMark/>
          </w:tcPr>
          <w:p w:rsidR="00061F17" w:rsidRPr="00C71B8F" w:rsidRDefault="00061F17" w:rsidP="00C71B8F">
            <w:pPr>
              <w:pStyle w:val="Equation"/>
              <w:numPr>
                <w:ilvl w:val="0"/>
                <w:numId w:val="10"/>
              </w:numPr>
              <w:tabs>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Japan 2004, Ministry of Public Management, Home Affairs, Posts and Telecommunications;  Ministry of Economy, Trade and Industry </w:t>
            </w:r>
            <w:hyperlink r:id="rId97" w:history="1">
              <w:r w:rsidRPr="00C71B8F">
                <w:rPr>
                  <w:rStyle w:val="Hyperlink"/>
                  <w:rFonts w:ascii="Calibri" w:hAnsi="Calibri"/>
                  <w:sz w:val="19"/>
                  <w:szCs w:val="19"/>
                  <w:lang w:val="en-US" w:eastAsia="zh-CN"/>
                </w:rPr>
                <w:t xml:space="preserve">WHO, Japan exposure  for general </w:t>
              </w:r>
            </w:hyperlink>
            <w:r w:rsidRPr="00C71B8F">
              <w:rPr>
                <w:rFonts w:ascii="Calibri" w:hAnsi="Calibri"/>
                <w:sz w:val="19"/>
                <w:szCs w:val="19"/>
                <w:lang w:val="en-GB" w:eastAsia="zh-CN"/>
              </w:rPr>
              <w:t xml:space="preserve">;   on 27 September 2012, there is a mistake in </w:t>
            </w:r>
            <w:r w:rsidRPr="00C71B8F">
              <w:rPr>
                <w:rFonts w:ascii="Calibri" w:hAnsi="Calibri"/>
                <w:sz w:val="19"/>
                <w:szCs w:val="19"/>
                <w:lang w:val="en-US" w:eastAsia="zh-CN"/>
              </w:rPr>
              <w:t xml:space="preserve">the frequency range 1.5 - 300 GHz : the exposure values are not dependent on the frequency ; </w:t>
            </w:r>
            <w:proofErr w:type="spellStart"/>
            <w:r w:rsidRPr="00C71B8F">
              <w:rPr>
                <w:rFonts w:ascii="Calibri" w:hAnsi="Calibri"/>
                <w:sz w:val="19"/>
                <w:szCs w:val="19"/>
                <w:lang w:val="en-US" w:eastAsia="zh-CN"/>
              </w:rPr>
              <w:t>see</w:t>
            </w:r>
            <w:hyperlink r:id="rId98" w:history="1">
              <w:r w:rsidRPr="00C71B8F">
                <w:rPr>
                  <w:rStyle w:val="Hyperlink"/>
                  <w:rFonts w:ascii="Calibri" w:hAnsi="Calibri"/>
                  <w:sz w:val="19"/>
                  <w:szCs w:val="19"/>
                  <w:lang w:val="en-US" w:eastAsia="zh-CN"/>
                </w:rPr>
                <w:t>Radio</w:t>
              </w:r>
              <w:proofErr w:type="spellEnd"/>
              <w:r w:rsidRPr="00C71B8F">
                <w:rPr>
                  <w:rStyle w:val="Hyperlink"/>
                  <w:rFonts w:ascii="Calibri" w:hAnsi="Calibri"/>
                  <w:sz w:val="19"/>
                  <w:szCs w:val="19"/>
                  <w:lang w:val="en-US" w:eastAsia="zh-CN"/>
                </w:rPr>
                <w:t xml:space="preserve"> Waves and Safety</w:t>
              </w:r>
            </w:hyperlink>
          </w:p>
        </w:tc>
      </w:tr>
      <w:tr w:rsidR="00061F17" w:rsidRPr="004C088A"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Japan 2012,  Ministry of Internal affairs and Communications </w:t>
            </w:r>
            <w:r w:rsidRPr="00C71B8F">
              <w:rPr>
                <w:rFonts w:ascii="Calibri" w:eastAsia="MS Mincho" w:hAnsi="Calibri" w:cs="MS Mincho" w:hint="eastAsia"/>
                <w:i/>
                <w:iCs/>
                <w:sz w:val="19"/>
                <w:szCs w:val="19"/>
                <w:lang w:val="en-GB" w:eastAsia="zh-CN"/>
              </w:rPr>
              <w:t>電波と安心の暮らし</w:t>
            </w:r>
            <w:r w:rsidR="00CE3378">
              <w:fldChar w:fldCharType="begin"/>
            </w:r>
            <w:r w:rsidR="00CE3378" w:rsidRPr="00CE3378">
              <w:rPr>
                <w:lang w:val="en-US"/>
              </w:rPr>
              <w:instrText xml:space="preserve"> HYPERLINK "http://www.tele.soumu.go.jp/resource/j/ele/body/emf_pamphlet.pdf" </w:instrText>
            </w:r>
            <w:r w:rsidR="00CE3378">
              <w:fldChar w:fldCharType="separate"/>
            </w:r>
            <w:r w:rsidRPr="00C71B8F">
              <w:rPr>
                <w:rStyle w:val="Hyperlink"/>
                <w:rFonts w:ascii="Calibri" w:hAnsi="Calibri"/>
                <w:i/>
                <w:iCs/>
                <w:sz w:val="19"/>
                <w:szCs w:val="19"/>
                <w:lang w:val="en-US" w:eastAsia="zh-CN"/>
              </w:rPr>
              <w:t xml:space="preserve"> Radio Waves and Safety</w:t>
            </w:r>
            <w:r w:rsidR="00CE3378">
              <w:rPr>
                <w:rStyle w:val="Hyperlink"/>
                <w:rFonts w:ascii="Calibri" w:hAnsi="Calibri"/>
                <w:i/>
                <w:iCs/>
                <w:sz w:val="19"/>
                <w:szCs w:val="19"/>
                <w:lang w:val="en-US" w:eastAsia="zh-CN"/>
              </w:rPr>
              <w:fldChar w:fldCharType="end"/>
            </w:r>
            <w:r w:rsidRPr="00C71B8F">
              <w:rPr>
                <w:rFonts w:ascii="Calibri" w:hAnsi="Calibri"/>
                <w:sz w:val="19"/>
                <w:szCs w:val="19"/>
                <w:lang w:val="en-GB" w:eastAsia="zh-CN"/>
              </w:rPr>
              <w:t>; reviewed on 27 September 2012</w:t>
            </w:r>
          </w:p>
        </w:tc>
      </w:tr>
      <w:tr w:rsidR="00061F17" w:rsidRPr="004C088A" w:rsidTr="00F22C89">
        <w:trPr>
          <w:cantSplit/>
          <w:trHeight w:val="20"/>
        </w:trPr>
        <w:tc>
          <w:tcPr>
            <w:tcW w:w="9072" w:type="dxa"/>
            <w:hideMark/>
          </w:tcPr>
          <w:p w:rsidR="00061F17" w:rsidRPr="00C71B8F" w:rsidRDefault="00061F17" w:rsidP="00C71B8F">
            <w:pPr>
              <w:pStyle w:val="Equation"/>
              <w:numPr>
                <w:ilvl w:val="0"/>
                <w:numId w:val="10"/>
              </w:numPr>
              <w:tabs>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proofErr w:type="spellStart"/>
            <w:r w:rsidRPr="00C71B8F">
              <w:rPr>
                <w:rFonts w:ascii="Calibri" w:hAnsi="Calibri"/>
                <w:sz w:val="19"/>
                <w:szCs w:val="19"/>
                <w:lang w:val="en-GB" w:eastAsia="zh-CN"/>
              </w:rPr>
              <w:t>Linhares</w:t>
            </w:r>
            <w:proofErr w:type="spellEnd"/>
            <w:r w:rsidRPr="00C71B8F">
              <w:rPr>
                <w:rFonts w:ascii="Calibri" w:hAnsi="Calibri"/>
                <w:sz w:val="19"/>
                <w:szCs w:val="19"/>
                <w:lang w:val="en-GB" w:eastAsia="zh-CN"/>
              </w:rPr>
              <w:t xml:space="preserve"> A., Terada MAB. and </w:t>
            </w:r>
            <w:proofErr w:type="spellStart"/>
            <w:r w:rsidRPr="00C71B8F">
              <w:rPr>
                <w:rFonts w:ascii="Calibri" w:hAnsi="Calibri"/>
                <w:sz w:val="19"/>
                <w:szCs w:val="19"/>
                <w:lang w:val="en-GB" w:eastAsia="zh-CN"/>
              </w:rPr>
              <w:t>Soares</w:t>
            </w:r>
            <w:proofErr w:type="spellEnd"/>
            <w:r w:rsidRPr="00C71B8F">
              <w:rPr>
                <w:rFonts w:ascii="Calibri" w:hAnsi="Calibri"/>
                <w:sz w:val="19"/>
                <w:szCs w:val="19"/>
                <w:lang w:val="en-US" w:eastAsia="zh-CN"/>
              </w:rPr>
              <w:t xml:space="preserve"> AJM 2013, ‘</w:t>
            </w:r>
            <w:hyperlink r:id="rId99" w:history="1">
              <w:r w:rsidRPr="00C71B8F">
                <w:rPr>
                  <w:rStyle w:val="Hyperlink"/>
                  <w:rFonts w:ascii="Calibri" w:hAnsi="Calibri"/>
                  <w:sz w:val="19"/>
                  <w:szCs w:val="19"/>
                  <w:lang w:val="en-US" w:eastAsia="zh-CN"/>
                </w:rPr>
                <w:t xml:space="preserve">Estimating the Location of Maximum Exposure to Electromagnetic Fields Associated with a </w:t>
              </w:r>
              <w:proofErr w:type="spellStart"/>
              <w:r w:rsidRPr="00C71B8F">
                <w:rPr>
                  <w:rStyle w:val="Hyperlink"/>
                  <w:rFonts w:ascii="Calibri" w:hAnsi="Calibri"/>
                  <w:sz w:val="19"/>
                  <w:szCs w:val="19"/>
                  <w:lang w:val="en-US" w:eastAsia="zh-CN"/>
                </w:rPr>
                <w:t>Radiocommunication</w:t>
              </w:r>
              <w:proofErr w:type="spellEnd"/>
              <w:r w:rsidRPr="00C71B8F">
                <w:rPr>
                  <w:rStyle w:val="Hyperlink"/>
                  <w:rFonts w:ascii="Calibri" w:hAnsi="Calibri"/>
                  <w:sz w:val="19"/>
                  <w:szCs w:val="19"/>
                  <w:lang w:val="en-US" w:eastAsia="zh-CN"/>
                </w:rPr>
                <w:t xml:space="preserve"> Station</w:t>
              </w:r>
            </w:hyperlink>
            <w:r w:rsidRPr="00C71B8F">
              <w:rPr>
                <w:rFonts w:ascii="Calibri" w:hAnsi="Calibri"/>
                <w:sz w:val="19"/>
                <w:szCs w:val="19"/>
                <w:lang w:val="en-US" w:eastAsia="zh-CN"/>
              </w:rPr>
              <w:t xml:space="preserve">’, </w:t>
            </w:r>
            <w:r w:rsidRPr="00C71B8F">
              <w:rPr>
                <w:rFonts w:ascii="Calibri" w:hAnsi="Calibri"/>
                <w:i/>
                <w:iCs/>
                <w:sz w:val="19"/>
                <w:szCs w:val="19"/>
                <w:lang w:val="en-US" w:eastAsia="zh-CN"/>
              </w:rPr>
              <w:t xml:space="preserve">Journal of Microwaves, Optoelectronics and Electromagnetic Applications, Vol. 12, No. 1, June 2013 </w:t>
            </w:r>
          </w:p>
        </w:tc>
      </w:tr>
      <w:tr w:rsidR="00061F17" w:rsidRPr="004C088A"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napToGrid w:val="0"/>
                <w:sz w:val="19"/>
                <w:szCs w:val="19"/>
                <w:lang w:val="en-GB" w:eastAsia="zh-CN"/>
              </w:rPr>
            </w:pPr>
            <w:proofErr w:type="spellStart"/>
            <w:r w:rsidRPr="00C71B8F">
              <w:rPr>
                <w:rFonts w:ascii="Calibri" w:hAnsi="Calibri"/>
                <w:bCs/>
                <w:snapToGrid w:val="0"/>
                <w:sz w:val="19"/>
                <w:szCs w:val="19"/>
                <w:lang w:val="en-GB" w:eastAsia="zh-CN"/>
              </w:rPr>
              <w:t>Mazar</w:t>
            </w:r>
            <w:proofErr w:type="spellEnd"/>
            <w:r w:rsidRPr="00C71B8F">
              <w:rPr>
                <w:rFonts w:ascii="Calibri" w:hAnsi="Calibri"/>
                <w:bCs/>
                <w:snapToGrid w:val="0"/>
                <w:sz w:val="19"/>
                <w:szCs w:val="19"/>
                <w:lang w:val="en-GB" w:eastAsia="zh-CN"/>
              </w:rPr>
              <w:t xml:space="preserve"> H. 2009a </w:t>
            </w:r>
            <w:hyperlink r:id="rId100" w:history="1">
              <w:r w:rsidRPr="00C71B8F">
                <w:rPr>
                  <w:rStyle w:val="Hyperlink"/>
                  <w:rFonts w:ascii="Calibri" w:hAnsi="Calibri"/>
                  <w:bCs/>
                  <w:i/>
                  <w:iCs/>
                  <w:snapToGrid w:val="0"/>
                  <w:sz w:val="19"/>
                  <w:szCs w:val="19"/>
                  <w:lang w:val="en-US" w:eastAsia="zh-CN"/>
                </w:rPr>
                <w:t>An Analysis of Regulatory Frameworks for Wireless Communications, Societal Concerns and Risk: the Case of Radio Frequency (RF) Allocation and Licensing</w:t>
              </w:r>
            </w:hyperlink>
            <w:r w:rsidRPr="00C71B8F">
              <w:rPr>
                <w:rFonts w:ascii="Calibri" w:hAnsi="Calibri"/>
                <w:bCs/>
                <w:snapToGrid w:val="0"/>
                <w:sz w:val="19"/>
                <w:szCs w:val="19"/>
                <w:lang w:val="en-GB" w:eastAsia="zh-CN"/>
              </w:rPr>
              <w:t xml:space="preserve">, Boca Raton Florida: Dissertation.Com. </w:t>
            </w:r>
            <w:r w:rsidRPr="00C71B8F">
              <w:rPr>
                <w:rFonts w:ascii="Calibri" w:hAnsi="Calibri"/>
                <w:bCs/>
                <w:snapToGrid w:val="0"/>
                <w:sz w:val="19"/>
                <w:szCs w:val="19"/>
                <w:lang w:val="en-US" w:eastAsia="zh-CN"/>
              </w:rPr>
              <w:t xml:space="preserve">PhD thesis, Middlesex University, </w:t>
            </w:r>
            <w:proofErr w:type="spellStart"/>
            <w:r w:rsidRPr="00C71B8F">
              <w:rPr>
                <w:rFonts w:ascii="Calibri" w:hAnsi="Calibri"/>
                <w:bCs/>
                <w:snapToGrid w:val="0"/>
                <w:sz w:val="19"/>
                <w:szCs w:val="19"/>
                <w:lang w:val="en-US" w:eastAsia="zh-CN"/>
              </w:rPr>
              <w:t>London.</w:t>
            </w:r>
            <w:hyperlink r:id="rId101" w:history="1">
              <w:r w:rsidRPr="00C71B8F">
                <w:rPr>
                  <w:rStyle w:val="Hyperlink"/>
                  <w:rFonts w:ascii="Calibri" w:hAnsi="Calibri"/>
                  <w:i/>
                  <w:iCs/>
                  <w:sz w:val="19"/>
                  <w:szCs w:val="19"/>
                  <w:lang w:val="en-US" w:eastAsia="zh-CN"/>
                </w:rPr>
                <w:t>Guidance</w:t>
              </w:r>
              <w:proofErr w:type="spellEnd"/>
              <w:r w:rsidRPr="00C71B8F">
                <w:rPr>
                  <w:rStyle w:val="Hyperlink"/>
                  <w:rFonts w:ascii="Calibri" w:hAnsi="Calibri"/>
                  <w:i/>
                  <w:iCs/>
                  <w:sz w:val="19"/>
                  <w:szCs w:val="19"/>
                  <w:lang w:val="en-US" w:eastAsia="zh-CN"/>
                </w:rPr>
                <w:t xml:space="preserve"> on complying with limits for human exposure to electromagnetic fields</w:t>
              </w:r>
            </w:hyperlink>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proofErr w:type="spellStart"/>
            <w:r w:rsidRPr="00C71B8F">
              <w:rPr>
                <w:rFonts w:ascii="Calibri" w:hAnsi="Calibri"/>
                <w:snapToGrid w:val="0"/>
                <w:sz w:val="19"/>
                <w:szCs w:val="19"/>
              </w:rPr>
              <w:t>Mazar</w:t>
            </w:r>
            <w:proofErr w:type="spellEnd"/>
            <w:r w:rsidRPr="00C71B8F">
              <w:rPr>
                <w:rFonts w:ascii="Calibri" w:hAnsi="Calibri"/>
                <w:snapToGrid w:val="0"/>
                <w:sz w:val="19"/>
                <w:szCs w:val="19"/>
              </w:rPr>
              <w:t xml:space="preserve"> (</w:t>
            </w:r>
            <w:proofErr w:type="spellStart"/>
            <w:r w:rsidRPr="00C71B8F">
              <w:rPr>
                <w:rFonts w:ascii="Calibri" w:hAnsi="Calibri"/>
                <w:snapToGrid w:val="0"/>
                <w:sz w:val="19"/>
                <w:szCs w:val="19"/>
              </w:rPr>
              <w:t>Madjar</w:t>
            </w:r>
            <w:proofErr w:type="spellEnd"/>
            <w:r w:rsidRPr="00C71B8F">
              <w:rPr>
                <w:rFonts w:ascii="Calibri" w:hAnsi="Calibri"/>
                <w:snapToGrid w:val="0"/>
                <w:sz w:val="19"/>
                <w:szCs w:val="19"/>
              </w:rPr>
              <w:t>) H. 2009b ‘</w:t>
            </w:r>
            <w:hyperlink r:id="rId102" w:history="1">
              <w:r w:rsidRPr="00C71B8F">
                <w:rPr>
                  <w:rStyle w:val="Hyperlink"/>
                  <w:rFonts w:ascii="Calibri" w:hAnsi="Calibri"/>
                  <w:sz w:val="19"/>
                  <w:szCs w:val="19"/>
                  <w:lang w:val="en-CA"/>
                </w:rPr>
                <w:t>A Global Survey and Comparison of Different Regulatory Approaches to Non-Ionizing RADHAZ and Spurious Emissions</w:t>
              </w:r>
            </w:hyperlink>
            <w:r w:rsidRPr="00C71B8F">
              <w:rPr>
                <w:rFonts w:ascii="Calibri" w:hAnsi="Calibri"/>
                <w:snapToGrid w:val="0"/>
                <w:sz w:val="19"/>
                <w:szCs w:val="19"/>
              </w:rPr>
              <w:t xml:space="preserve">‘, </w:t>
            </w:r>
            <w:r w:rsidRPr="00C71B8F">
              <w:rPr>
                <w:rFonts w:ascii="Calibri" w:hAnsi="Calibri"/>
                <w:sz w:val="19"/>
                <w:szCs w:val="19"/>
                <w:lang w:val="en-CA"/>
              </w:rPr>
              <w:t xml:space="preserve">IEEE </w:t>
            </w:r>
            <w:proofErr w:type="spellStart"/>
            <w:r w:rsidRPr="00C71B8F">
              <w:rPr>
                <w:rFonts w:ascii="Calibri" w:hAnsi="Calibri"/>
                <w:sz w:val="19"/>
                <w:szCs w:val="19"/>
                <w:lang w:val="en-CA"/>
              </w:rPr>
              <w:t>TelAviv</w:t>
            </w:r>
            <w:proofErr w:type="spellEnd"/>
            <w:r w:rsidRPr="00C71B8F">
              <w:rPr>
                <w:rFonts w:ascii="Calibri" w:hAnsi="Calibri"/>
                <w:sz w:val="19"/>
                <w:szCs w:val="19"/>
                <w:lang w:val="en-CA"/>
              </w:rPr>
              <w:t xml:space="preserve">, </w:t>
            </w:r>
            <w:hyperlink r:id="rId103" w:history="1">
              <w:r w:rsidRPr="00C71B8F">
                <w:rPr>
                  <w:rStyle w:val="Hyperlink"/>
                  <w:rFonts w:ascii="Calibri" w:hAnsi="Calibri"/>
                  <w:sz w:val="19"/>
                  <w:szCs w:val="19"/>
                  <w:lang w:val="en-CA"/>
                </w:rPr>
                <w:t>COMCAS</w:t>
              </w:r>
            </w:hyperlink>
            <w:r w:rsidRPr="00C71B8F">
              <w:rPr>
                <w:rFonts w:ascii="Calibri" w:hAnsi="Calibri"/>
                <w:sz w:val="19"/>
                <w:szCs w:val="19"/>
                <w:lang w:val="en-CA"/>
              </w:rPr>
              <w:t>, 9 Nov 2009</w:t>
            </w:r>
            <w:hyperlink r:id="rId104" w:history="1">
              <w:r w:rsidR="004A1AD2">
                <w:rPr>
                  <w:rStyle w:val="Hyperlink"/>
                  <w:rFonts w:ascii="Calibri" w:hAnsi="Calibri"/>
                  <w:snapToGrid w:val="0"/>
                  <w:sz w:val="19"/>
                  <w:szCs w:val="19"/>
                </w:rPr>
                <w:t>www</w:t>
              </w:r>
              <w:r w:rsidRPr="00C71B8F">
                <w:rPr>
                  <w:rStyle w:val="Hyperlink"/>
                  <w:rFonts w:ascii="Calibri" w:hAnsi="Calibri"/>
                  <w:snapToGrid w:val="0"/>
                  <w:sz w:val="19"/>
                  <w:szCs w:val="19"/>
                </w:rPr>
                <w:t>.mtt-tpms.org/symposia_v6/COMCAS2009/fileuploads/292-JI4GGWYnIdKk-2.pdf</w:t>
              </w:r>
            </w:hyperlink>
          </w:p>
        </w:tc>
      </w:tr>
      <w:tr w:rsidR="00061F17" w:rsidRPr="004C088A" w:rsidTr="00F22C89">
        <w:trPr>
          <w:cantSplit/>
          <w:trHeight w:val="20"/>
        </w:trPr>
        <w:tc>
          <w:tcPr>
            <w:tcW w:w="9072" w:type="dxa"/>
            <w:hideMark/>
          </w:tcPr>
          <w:p w:rsidR="00061F17" w:rsidRPr="00C71B8F" w:rsidRDefault="00061F17" w:rsidP="00C71B8F">
            <w:pPr>
              <w:pStyle w:val="Default"/>
              <w:numPr>
                <w:ilvl w:val="0"/>
                <w:numId w:val="10"/>
              </w:numPr>
              <w:tabs>
                <w:tab w:val="left" w:pos="794"/>
                <w:tab w:val="left" w:pos="1191"/>
                <w:tab w:val="left" w:pos="1588"/>
                <w:tab w:val="left" w:pos="1985"/>
              </w:tabs>
              <w:suppressAutoHyphens/>
              <w:overflowPunct w:val="0"/>
              <w:spacing w:before="40" w:after="40"/>
              <w:ind w:left="357" w:hanging="357"/>
              <w:textAlignment w:val="baseline"/>
              <w:rPr>
                <w:rFonts w:ascii="Calibri" w:hAnsi="Calibri"/>
                <w:sz w:val="19"/>
                <w:szCs w:val="19"/>
                <w:lang w:eastAsia="en-GB"/>
              </w:rPr>
            </w:pPr>
            <w:proofErr w:type="spellStart"/>
            <w:r w:rsidRPr="00C71B8F">
              <w:rPr>
                <w:rFonts w:ascii="Calibri" w:hAnsi="Calibri"/>
                <w:sz w:val="19"/>
                <w:szCs w:val="19"/>
                <w:lang w:eastAsia="zh-CN"/>
              </w:rPr>
              <w:t>Mazar</w:t>
            </w:r>
            <w:proofErr w:type="spellEnd"/>
            <w:r w:rsidRPr="00C71B8F">
              <w:rPr>
                <w:rFonts w:ascii="Calibri" w:hAnsi="Calibri"/>
                <w:sz w:val="19"/>
                <w:szCs w:val="19"/>
                <w:lang w:eastAsia="zh-CN"/>
              </w:rPr>
              <w:t xml:space="preserve"> (</w:t>
            </w:r>
            <w:proofErr w:type="spellStart"/>
            <w:r w:rsidRPr="00C71B8F">
              <w:rPr>
                <w:rFonts w:ascii="Calibri" w:hAnsi="Calibri"/>
                <w:sz w:val="19"/>
                <w:szCs w:val="19"/>
                <w:lang w:eastAsia="zh-CN"/>
              </w:rPr>
              <w:t>Madjar</w:t>
            </w:r>
            <w:proofErr w:type="spellEnd"/>
            <w:r w:rsidRPr="00C71B8F">
              <w:rPr>
                <w:rFonts w:ascii="Calibri" w:hAnsi="Calibri"/>
                <w:sz w:val="19"/>
                <w:szCs w:val="19"/>
                <w:lang w:eastAsia="zh-CN"/>
              </w:rPr>
              <w:t>) H. 2011 ‘</w:t>
            </w:r>
            <w:hyperlink r:id="rId105" w:history="1">
              <w:r w:rsidRPr="00C71B8F">
                <w:rPr>
                  <w:rStyle w:val="Hyperlink"/>
                  <w:rFonts w:ascii="Calibri" w:hAnsi="Calibri" w:cstheme="majorBidi"/>
                  <w:sz w:val="19"/>
                  <w:szCs w:val="19"/>
                  <w:lang w:eastAsia="zh-CN"/>
                </w:rPr>
                <w:t>A Comparison Between European and North American Wireless Regulations</w:t>
              </w:r>
            </w:hyperlink>
            <w:r w:rsidRPr="00C71B8F">
              <w:rPr>
                <w:rFonts w:ascii="Calibri" w:hAnsi="Calibri"/>
                <w:sz w:val="19"/>
                <w:szCs w:val="19"/>
                <w:lang w:eastAsia="zh-CN"/>
              </w:rPr>
              <w:t xml:space="preserve">’, “Technical Symposium at ITU Telecom World 2011” </w:t>
            </w:r>
            <w:hyperlink r:id="rId106" w:history="1">
              <w:r w:rsidRPr="00C71B8F">
                <w:rPr>
                  <w:rStyle w:val="Hyperlink"/>
                  <w:rFonts w:ascii="Calibri" w:hAnsi="Calibri"/>
                  <w:sz w:val="19"/>
                  <w:szCs w:val="19"/>
                  <w:lang w:eastAsia="zh-CN"/>
                </w:rPr>
                <w:t>www.itu.int/worl2011</w:t>
              </w:r>
            </w:hyperlink>
            <w:r w:rsidRPr="00C71B8F">
              <w:rPr>
                <w:rFonts w:ascii="Calibri" w:hAnsi="Calibri"/>
                <w:sz w:val="19"/>
                <w:szCs w:val="19"/>
                <w:lang w:eastAsia="zh-CN"/>
              </w:rPr>
              <w:t xml:space="preserve"> on 27 October 2011 </w:t>
            </w:r>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z w:val="19"/>
                <w:szCs w:val="19"/>
              </w:rPr>
            </w:pPr>
            <w:r w:rsidRPr="00C71B8F">
              <w:rPr>
                <w:rFonts w:ascii="Calibri" w:hAnsi="Calibri" w:cstheme="majorBidi"/>
                <w:sz w:val="19"/>
                <w:szCs w:val="19"/>
              </w:rPr>
              <w:t xml:space="preserve">MEP (Ministry of Environmental Protection Israel) 2011 </w:t>
            </w:r>
            <w:hyperlink r:id="rId107" w:history="1">
              <w:r w:rsidRPr="00C71B8F">
                <w:rPr>
                  <w:rStyle w:val="Hyperlink"/>
                  <w:rFonts w:ascii="Calibri" w:hAnsi="Calibri" w:cstheme="majorBidi"/>
                  <w:sz w:val="19"/>
                  <w:szCs w:val="19"/>
                </w:rPr>
                <w:t>Continuous  Monitoring  of  Cellular Radiation</w:t>
              </w:r>
            </w:hyperlink>
          </w:p>
        </w:tc>
      </w:tr>
      <w:tr w:rsidR="00061F17" w:rsidRPr="004C088A"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NRPB 2004 </w:t>
            </w:r>
            <w:hyperlink r:id="rId108" w:history="1">
              <w:r w:rsidRPr="00C71B8F">
                <w:rPr>
                  <w:rStyle w:val="Hyperlink"/>
                  <w:rFonts w:ascii="Calibri" w:hAnsi="Calibri"/>
                  <w:i/>
                  <w:iCs/>
                  <w:sz w:val="19"/>
                  <w:szCs w:val="19"/>
                  <w:lang w:eastAsia="zh-CN" w:bidi="ar-SA"/>
                </w:rPr>
                <w:t>Advice on Limiting Exposure to Electromagnetic Fields (0–300 GHz)</w:t>
              </w:r>
            </w:hyperlink>
            <w:r w:rsidRPr="00C71B8F">
              <w:rPr>
                <w:rFonts w:ascii="Calibri" w:hAnsi="Calibri"/>
                <w:sz w:val="19"/>
                <w:szCs w:val="19"/>
                <w:lang w:eastAsia="zh-CN" w:bidi="ar-SA"/>
              </w:rPr>
              <w:t xml:space="preserve"> 15(2) Chilton: NRPB</w:t>
            </w:r>
          </w:p>
        </w:tc>
      </w:tr>
      <w:tr w:rsidR="00061F17" w:rsidRPr="004C088A"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Salzburg municipal authorities, the Environmental Protection Office; and the company EMC – RF </w:t>
            </w:r>
            <w:proofErr w:type="spellStart"/>
            <w:r w:rsidRPr="00C71B8F">
              <w:rPr>
                <w:rFonts w:ascii="Calibri" w:hAnsi="Calibri"/>
                <w:sz w:val="19"/>
                <w:szCs w:val="19"/>
                <w:lang w:eastAsia="zh-CN" w:bidi="ar-SA"/>
              </w:rPr>
              <w:t>Szentkuti</w:t>
            </w:r>
            <w:proofErr w:type="spellEnd"/>
            <w:r w:rsidRPr="00C71B8F">
              <w:rPr>
                <w:rFonts w:ascii="Calibri" w:hAnsi="Calibri"/>
                <w:sz w:val="19"/>
                <w:szCs w:val="19"/>
                <w:lang w:eastAsia="zh-CN" w:bidi="ar-SA"/>
              </w:rPr>
              <w:t>, 2002, ‘</w:t>
            </w:r>
            <w:hyperlink r:id="rId109" w:history="1">
              <w:r w:rsidRPr="00C71B8F">
                <w:rPr>
                  <w:rStyle w:val="Hyperlink"/>
                  <w:rFonts w:ascii="Calibri" w:hAnsi="Calibri"/>
                  <w:sz w:val="19"/>
                  <w:szCs w:val="19"/>
                  <w:lang w:eastAsia="zh-CN" w:bidi="ar-SA"/>
                </w:rPr>
                <w:t xml:space="preserve">NIR Exposure of Salzburg: study set up by the Federal Office of Communications in collaboration with the research centre -ARC </w:t>
              </w:r>
              <w:proofErr w:type="spellStart"/>
              <w:r w:rsidRPr="00C71B8F">
                <w:rPr>
                  <w:rStyle w:val="Hyperlink"/>
                  <w:rFonts w:ascii="Calibri" w:hAnsi="Calibri"/>
                  <w:sz w:val="19"/>
                  <w:szCs w:val="19"/>
                  <w:lang w:eastAsia="zh-CN" w:bidi="ar-SA"/>
                </w:rPr>
                <w:t>Seibersdorf</w:t>
              </w:r>
              <w:proofErr w:type="spellEnd"/>
              <w:r w:rsidRPr="00C71B8F">
                <w:rPr>
                  <w:rStyle w:val="Hyperlink"/>
                  <w:rFonts w:ascii="Calibri" w:hAnsi="Calibri"/>
                  <w:sz w:val="19"/>
                  <w:szCs w:val="19"/>
                  <w:lang w:eastAsia="zh-CN" w:bidi="ar-SA"/>
                </w:rPr>
                <w:t xml:space="preserve"> research GmbH</w:t>
              </w:r>
            </w:hyperlink>
            <w:r w:rsidRPr="00C71B8F">
              <w:rPr>
                <w:rFonts w:ascii="Calibri" w:hAnsi="Calibri"/>
                <w:sz w:val="19"/>
                <w:szCs w:val="19"/>
                <w:lang w:eastAsia="zh-CN" w:bidi="ar-SA"/>
              </w:rPr>
              <w:t xml:space="preserve">’ </w:t>
            </w:r>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z w:val="19"/>
                <w:szCs w:val="19"/>
              </w:rPr>
            </w:pPr>
            <w:r w:rsidRPr="00C71B8F">
              <w:rPr>
                <w:rFonts w:ascii="Calibri" w:hAnsi="Calibri"/>
                <w:color w:val="000000"/>
                <w:sz w:val="19"/>
                <w:szCs w:val="19"/>
                <w:lang w:eastAsia="en-GB"/>
              </w:rPr>
              <w:t>Stewart  W. 2001 'Mobile Phones and Health'  Chilton: [UK] IEGMP (Independent Expert Group on Mobile Phones)</w:t>
            </w:r>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z w:val="19"/>
                <w:szCs w:val="19"/>
              </w:rPr>
            </w:pPr>
            <w:proofErr w:type="spellStart"/>
            <w:r w:rsidRPr="00C71B8F">
              <w:rPr>
                <w:rFonts w:ascii="Calibri" w:hAnsi="Calibri"/>
                <w:sz w:val="19"/>
                <w:szCs w:val="19"/>
              </w:rPr>
              <w:t>Viel</w:t>
            </w:r>
            <w:proofErr w:type="spellEnd"/>
            <w:r w:rsidRPr="00C71B8F">
              <w:rPr>
                <w:rFonts w:ascii="Calibri" w:hAnsi="Calibri"/>
                <w:sz w:val="19"/>
                <w:szCs w:val="19"/>
              </w:rPr>
              <w:t xml:space="preserve"> JF, </w:t>
            </w:r>
            <w:proofErr w:type="spellStart"/>
            <w:r w:rsidRPr="00C71B8F">
              <w:rPr>
                <w:rFonts w:ascii="Calibri" w:hAnsi="Calibri"/>
                <w:sz w:val="19"/>
                <w:szCs w:val="19"/>
              </w:rPr>
              <w:t>Clerc</w:t>
            </w:r>
            <w:proofErr w:type="spellEnd"/>
            <w:r w:rsidRPr="00C71B8F">
              <w:rPr>
                <w:rFonts w:ascii="Calibri" w:hAnsi="Calibri"/>
                <w:sz w:val="19"/>
                <w:szCs w:val="19"/>
              </w:rPr>
              <w:t xml:space="preserve"> S, Barrera C, </w:t>
            </w:r>
            <w:proofErr w:type="spellStart"/>
            <w:r w:rsidRPr="00C71B8F">
              <w:rPr>
                <w:rFonts w:ascii="Calibri" w:hAnsi="Calibri"/>
                <w:sz w:val="19"/>
                <w:szCs w:val="19"/>
              </w:rPr>
              <w:t>Rymzhanova</w:t>
            </w:r>
            <w:proofErr w:type="spellEnd"/>
            <w:r w:rsidRPr="00C71B8F">
              <w:rPr>
                <w:rFonts w:ascii="Calibri" w:hAnsi="Calibri"/>
                <w:sz w:val="19"/>
                <w:szCs w:val="19"/>
              </w:rPr>
              <w:t xml:space="preserve"> R, </w:t>
            </w:r>
            <w:proofErr w:type="spellStart"/>
            <w:r w:rsidRPr="00C71B8F">
              <w:rPr>
                <w:rFonts w:ascii="Calibri" w:hAnsi="Calibri"/>
                <w:sz w:val="19"/>
                <w:szCs w:val="19"/>
              </w:rPr>
              <w:t>Moissonnier</w:t>
            </w:r>
            <w:proofErr w:type="spellEnd"/>
            <w:r w:rsidRPr="00C71B8F">
              <w:rPr>
                <w:rFonts w:ascii="Calibri" w:hAnsi="Calibri"/>
                <w:sz w:val="19"/>
                <w:szCs w:val="19"/>
              </w:rPr>
              <w:t xml:space="preserve"> M, Hours M and </w:t>
            </w:r>
            <w:proofErr w:type="spellStart"/>
            <w:r w:rsidRPr="00C71B8F">
              <w:rPr>
                <w:rFonts w:ascii="Calibri" w:hAnsi="Calibri"/>
                <w:sz w:val="19"/>
                <w:szCs w:val="19"/>
              </w:rPr>
              <w:t>Cardis</w:t>
            </w:r>
            <w:proofErr w:type="spellEnd"/>
            <w:r w:rsidRPr="00C71B8F">
              <w:rPr>
                <w:rFonts w:ascii="Calibri" w:hAnsi="Calibri"/>
                <w:sz w:val="19"/>
                <w:szCs w:val="19"/>
              </w:rPr>
              <w:t xml:space="preserve"> E 2009, ‘</w:t>
            </w:r>
            <w:hyperlink r:id="rId110" w:history="1">
              <w:r w:rsidRPr="00C71B8F">
                <w:rPr>
                  <w:rStyle w:val="Hyperlink"/>
                  <w:rFonts w:ascii="Calibri" w:hAnsi="Calibri"/>
                  <w:sz w:val="19"/>
                  <w:szCs w:val="19"/>
                </w:rPr>
                <w:t>Residential exposure to radiofrequency fields from mobile phone base stations, and broadcast transmitters: a population-based survey with personal meter</w:t>
              </w:r>
            </w:hyperlink>
            <w:r w:rsidRPr="00C71B8F">
              <w:rPr>
                <w:rFonts w:ascii="Calibri" w:hAnsi="Calibri"/>
                <w:sz w:val="19"/>
                <w:szCs w:val="19"/>
              </w:rPr>
              <w:t xml:space="preserve">’, </w:t>
            </w:r>
            <w:r w:rsidRPr="00C71B8F">
              <w:rPr>
                <w:rFonts w:ascii="Calibri" w:hAnsi="Calibri"/>
                <w:i/>
                <w:iCs/>
                <w:sz w:val="19"/>
                <w:szCs w:val="19"/>
              </w:rPr>
              <w:t>Occupational &amp; Environmental Medicine,</w:t>
            </w:r>
            <w:r w:rsidRPr="00C71B8F">
              <w:rPr>
                <w:rFonts w:ascii="Calibri" w:hAnsi="Calibri"/>
                <w:sz w:val="19"/>
                <w:szCs w:val="19"/>
              </w:rPr>
              <w:t xml:space="preserve">  vol. 66, pp. 550-6; originally published online 30 Mar 2009, viewed 22 August 2012</w:t>
            </w:r>
          </w:p>
        </w:tc>
      </w:tr>
      <w:tr w:rsidR="00061F17" w:rsidRPr="004C088A" w:rsidTr="00F22C89">
        <w:trPr>
          <w:cantSplit/>
          <w:trHeight w:val="20"/>
        </w:trPr>
        <w:tc>
          <w:tcPr>
            <w:tcW w:w="9072" w:type="dxa"/>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WHO (World Health </w:t>
            </w:r>
            <w:proofErr w:type="spellStart"/>
            <w:r w:rsidRPr="00C71B8F">
              <w:rPr>
                <w:rFonts w:ascii="Calibri" w:hAnsi="Calibri"/>
                <w:snapToGrid w:val="0"/>
                <w:sz w:val="19"/>
                <w:szCs w:val="19"/>
              </w:rPr>
              <w:t>Organisation</w:t>
            </w:r>
            <w:proofErr w:type="spellEnd"/>
            <w:r w:rsidRPr="00C71B8F">
              <w:rPr>
                <w:rFonts w:ascii="Calibri" w:hAnsi="Calibri"/>
                <w:snapToGrid w:val="0"/>
                <w:sz w:val="19"/>
                <w:szCs w:val="19"/>
              </w:rPr>
              <w:t>), 2006,  Fact sheet No 304, Base stations and wireless technologies</w:t>
            </w:r>
          </w:p>
        </w:tc>
      </w:tr>
      <w:tr w:rsidR="00061F17" w:rsidRPr="00C71B8F"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i/>
                <w:iCs/>
                <w:snapToGrid w:val="0"/>
                <w:sz w:val="19"/>
                <w:szCs w:val="19"/>
              </w:rPr>
            </w:pPr>
            <w:r w:rsidRPr="00C71B8F">
              <w:rPr>
                <w:rFonts w:ascii="Calibri" w:hAnsi="Calibri"/>
                <w:snapToGrid w:val="0"/>
                <w:sz w:val="19"/>
                <w:szCs w:val="19"/>
              </w:rPr>
              <w:t xml:space="preserve">WHO  2007 </w:t>
            </w:r>
            <w:proofErr w:type="spellStart"/>
            <w:r w:rsidRPr="00C71B8F">
              <w:rPr>
                <w:rFonts w:ascii="Calibri" w:hAnsi="Calibri"/>
                <w:snapToGrid w:val="0"/>
                <w:sz w:val="19"/>
                <w:szCs w:val="19"/>
              </w:rPr>
              <w:t>Repacholi</w:t>
            </w:r>
            <w:proofErr w:type="spellEnd"/>
            <w:r w:rsidRPr="00C71B8F">
              <w:rPr>
                <w:rFonts w:ascii="Calibri" w:hAnsi="Calibri"/>
                <w:snapToGrid w:val="0"/>
                <w:sz w:val="19"/>
                <w:szCs w:val="19"/>
              </w:rPr>
              <w:t xml:space="preserve"> M., van Deventer E. and </w:t>
            </w:r>
            <w:proofErr w:type="spellStart"/>
            <w:r w:rsidRPr="00C71B8F">
              <w:rPr>
                <w:rFonts w:ascii="Calibri" w:hAnsi="Calibri"/>
                <w:snapToGrid w:val="0"/>
                <w:sz w:val="19"/>
                <w:szCs w:val="19"/>
              </w:rPr>
              <w:t>Ravazzani</w:t>
            </w:r>
            <w:proofErr w:type="spellEnd"/>
            <w:r w:rsidRPr="00C71B8F">
              <w:rPr>
                <w:rFonts w:ascii="Calibri" w:hAnsi="Calibri"/>
                <w:snapToGrid w:val="0"/>
                <w:sz w:val="19"/>
                <w:szCs w:val="19"/>
              </w:rPr>
              <w:t xml:space="preserve">  P. </w:t>
            </w:r>
            <w:hyperlink r:id="rId111" w:history="1">
              <w:r w:rsidRPr="00C71B8F">
                <w:rPr>
                  <w:rStyle w:val="Hyperlink"/>
                  <w:rFonts w:ascii="Calibri" w:hAnsi="Calibri"/>
                  <w:i/>
                  <w:iCs/>
                  <w:snapToGrid w:val="0"/>
                  <w:sz w:val="19"/>
                  <w:szCs w:val="19"/>
                </w:rPr>
                <w:t>Base Stations and Wireless Networks: Exposures and Health Consequences</w:t>
              </w:r>
            </w:hyperlink>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s="TimesNewRoman"/>
                <w:color w:val="000000"/>
                <w:sz w:val="19"/>
                <w:szCs w:val="19"/>
              </w:rPr>
              <w:t xml:space="preserve">WHO 2011 Fact sheet No 193 (June 2011), </w:t>
            </w:r>
            <w:hyperlink r:id="rId112" w:history="1">
              <w:r w:rsidRPr="00C71B8F">
                <w:rPr>
                  <w:rStyle w:val="Hyperlink"/>
                  <w:rFonts w:ascii="Calibri" w:hAnsi="Calibri" w:cs="TimesNewRoman,Italic"/>
                  <w:i/>
                  <w:iCs/>
                  <w:sz w:val="19"/>
                  <w:szCs w:val="19"/>
                </w:rPr>
                <w:t>Electromagnetic fields and public health: mobilephones</w:t>
              </w:r>
            </w:hyperlink>
            <w:r w:rsidRPr="00C71B8F">
              <w:rPr>
                <w:rFonts w:ascii="Calibri" w:hAnsi="Calibri" w:cs="TimesNewRoman,Italic"/>
                <w:i/>
                <w:iCs/>
                <w:color w:val="000000"/>
                <w:sz w:val="19"/>
                <w:szCs w:val="19"/>
              </w:rPr>
              <w:t xml:space="preserve">, </w:t>
            </w:r>
            <w:hyperlink r:id="rId113" w:history="1">
              <w:r w:rsidR="004A1AD2">
                <w:rPr>
                  <w:rStyle w:val="Hyperlink"/>
                  <w:rFonts w:ascii="Calibri" w:hAnsi="Calibri" w:cs="Calibri"/>
                  <w:sz w:val="19"/>
                  <w:szCs w:val="19"/>
                </w:rPr>
                <w:t>www</w:t>
              </w:r>
              <w:r w:rsidRPr="00C71B8F">
                <w:rPr>
                  <w:rStyle w:val="Hyperlink"/>
                  <w:rFonts w:ascii="Calibri" w:hAnsi="Calibri" w:cs="Calibri"/>
                  <w:sz w:val="19"/>
                  <w:szCs w:val="19"/>
                </w:rPr>
                <w:t>.who.int/mediacentre/factsheets/fs193/en/index.html</w:t>
              </w:r>
            </w:hyperlink>
            <w:r w:rsidRPr="00C71B8F">
              <w:rPr>
                <w:rFonts w:ascii="Calibri" w:hAnsi="Calibri" w:cs="TimesNewRoman"/>
                <w:color w:val="000000"/>
                <w:sz w:val="19"/>
                <w:szCs w:val="19"/>
              </w:rPr>
              <w:t>]. reviewed 26 Aug 2012</w:t>
            </w:r>
          </w:p>
        </w:tc>
      </w:tr>
      <w:tr w:rsidR="00061F17" w:rsidRPr="00C71B8F"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WHO 2012 </w:t>
            </w:r>
            <w:hyperlink r:id="rId114" w:history="1">
              <w:r w:rsidRPr="00C71B8F">
                <w:rPr>
                  <w:rStyle w:val="Hyperlink"/>
                  <w:rFonts w:ascii="Calibri" w:hAnsi="Calibri"/>
                  <w:i/>
                  <w:iCs/>
                  <w:snapToGrid w:val="0"/>
                  <w:sz w:val="19"/>
                  <w:szCs w:val="19"/>
                </w:rPr>
                <w:t>EMF worldwide standards</w:t>
              </w:r>
            </w:hyperlink>
          </w:p>
        </w:tc>
      </w:tr>
      <w:tr w:rsidR="00061F17" w:rsidRPr="004C088A" w:rsidTr="00F22C89">
        <w:trPr>
          <w:cantSplit/>
          <w:trHeight w:val="20"/>
        </w:trPr>
        <w:tc>
          <w:tcPr>
            <w:tcW w:w="9072" w:type="dxa"/>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textAlignment w:val="baseline"/>
              <w:rPr>
                <w:rFonts w:ascii="Calibri" w:hAnsi="Calibri"/>
                <w:snapToGrid w:val="0"/>
                <w:sz w:val="19"/>
                <w:szCs w:val="19"/>
              </w:rPr>
            </w:pPr>
            <w:r w:rsidRPr="00C71B8F">
              <w:rPr>
                <w:rFonts w:ascii="Calibri" w:hAnsi="Calibri"/>
                <w:snapToGrid w:val="0"/>
                <w:sz w:val="19"/>
                <w:szCs w:val="19"/>
              </w:rPr>
              <w:t>WHO Framework for developing health-based electromagnetic field standards</w:t>
            </w:r>
          </w:p>
        </w:tc>
      </w:tr>
      <w:tr w:rsidR="00061F17" w:rsidRPr="004C088A"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textAlignment w:val="baseline"/>
              <w:rPr>
                <w:rFonts w:ascii="Calibri" w:hAnsi="Calibri"/>
                <w:snapToGrid w:val="0"/>
                <w:sz w:val="19"/>
                <w:szCs w:val="19"/>
              </w:rPr>
            </w:pPr>
            <w:r w:rsidRPr="00C71B8F">
              <w:rPr>
                <w:rFonts w:ascii="Calibri" w:hAnsi="Calibri"/>
                <w:snapToGrid w:val="0"/>
                <w:sz w:val="19"/>
                <w:szCs w:val="19"/>
              </w:rPr>
              <w:t xml:space="preserve">World in 2011: </w:t>
            </w:r>
            <w:hyperlink r:id="rId115" w:history="1">
              <w:r w:rsidRPr="00C71B8F">
                <w:rPr>
                  <w:rStyle w:val="Hyperlink"/>
                  <w:rFonts w:ascii="Calibri" w:hAnsi="Calibri"/>
                  <w:snapToGrid w:val="0"/>
                  <w:sz w:val="19"/>
                  <w:szCs w:val="19"/>
                </w:rPr>
                <w:t>ICT Facts and Figures</w:t>
              </w:r>
            </w:hyperlink>
            <w:r w:rsidRPr="00C71B8F">
              <w:rPr>
                <w:rFonts w:ascii="Calibri" w:hAnsi="Calibri"/>
                <w:snapToGrid w:val="0"/>
                <w:sz w:val="19"/>
                <w:szCs w:val="19"/>
              </w:rPr>
              <w:t>, October 2011</w:t>
            </w:r>
          </w:p>
        </w:tc>
      </w:tr>
      <w:tr w:rsidR="00061F17" w:rsidRPr="004C088A" w:rsidTr="00F22C89">
        <w:trPr>
          <w:cantSplit/>
          <w:trHeight w:val="20"/>
        </w:trPr>
        <w:tc>
          <w:tcPr>
            <w:tcW w:w="9072" w:type="dxa"/>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textAlignment w:val="baseline"/>
              <w:rPr>
                <w:rFonts w:ascii="Calibri" w:hAnsi="Calibri"/>
                <w:snapToGrid w:val="0"/>
                <w:sz w:val="19"/>
                <w:szCs w:val="19"/>
              </w:rPr>
            </w:pPr>
            <w:r w:rsidRPr="00C71B8F">
              <w:rPr>
                <w:rFonts w:ascii="Calibri" w:hAnsi="Calibri"/>
                <w:snapToGrid w:val="0"/>
                <w:sz w:val="19"/>
                <w:szCs w:val="19"/>
              </w:rPr>
              <w:t xml:space="preserve">World in 2013: </w:t>
            </w:r>
            <w:hyperlink r:id="rId116" w:history="1">
              <w:r w:rsidRPr="00C71B8F">
                <w:rPr>
                  <w:rStyle w:val="Hyperlink"/>
                  <w:rFonts w:ascii="Calibri" w:hAnsi="Calibri"/>
                  <w:snapToGrid w:val="0"/>
                  <w:sz w:val="19"/>
                  <w:szCs w:val="19"/>
                </w:rPr>
                <w:t>ICT Facts and Figures</w:t>
              </w:r>
            </w:hyperlink>
            <w:r w:rsidRPr="00C71B8F">
              <w:rPr>
                <w:rFonts w:ascii="Calibri" w:hAnsi="Calibri"/>
                <w:snapToGrid w:val="0"/>
                <w:sz w:val="19"/>
                <w:szCs w:val="19"/>
              </w:rPr>
              <w:t xml:space="preserve">, February 2013 </w:t>
            </w:r>
          </w:p>
        </w:tc>
      </w:tr>
    </w:tbl>
    <w:p w:rsidR="00061F17" w:rsidRPr="009D4B99" w:rsidRDefault="00061F17" w:rsidP="003C483E">
      <w:pPr>
        <w:pStyle w:val="CEOcontributionStart"/>
        <w:spacing w:before="120"/>
        <w:jc w:val="center"/>
        <w:rPr>
          <w:lang w:val="en-US"/>
        </w:rPr>
      </w:pPr>
      <w:r>
        <w:rPr>
          <w:lang w:val="en-US"/>
        </w:rPr>
        <w:t>_____________</w:t>
      </w:r>
      <w:bookmarkEnd w:id="16"/>
    </w:p>
    <w:sectPr w:rsidR="00061F17" w:rsidRPr="009D4B99" w:rsidSect="00002906">
      <w:headerReference w:type="first" r:id="rId117"/>
      <w:footerReference w:type="first" r:id="rId118"/>
      <w:endnotePr>
        <w:numFmt w:val="decimal"/>
      </w:endnotePr>
      <w:type w:val="oddPage"/>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207" w:rsidRPr="0034180A" w:rsidRDefault="005E2207" w:rsidP="00837668">
      <w:pPr>
        <w:pStyle w:val="Footer"/>
      </w:pPr>
    </w:p>
    <w:p w:rsidR="005E2207" w:rsidRDefault="005E2207"/>
    <w:p w:rsidR="005E2207" w:rsidRDefault="005E2207"/>
  </w:endnote>
  <w:endnote w:type="continuationSeparator" w:id="0">
    <w:p w:rsidR="005E2207" w:rsidRPr="0034180A" w:rsidRDefault="005E2207" w:rsidP="00837668">
      <w:pPr>
        <w:pStyle w:val="Footer"/>
      </w:pPr>
    </w:p>
    <w:p w:rsidR="005E2207" w:rsidRDefault="005E2207"/>
    <w:p w:rsidR="005E2207" w:rsidRDefault="005E2207"/>
  </w:endnote>
  <w:endnote w:type="continuationNotice" w:id="1">
    <w:p w:rsidR="005E2207" w:rsidRDefault="005E2207"/>
    <w:p w:rsidR="005E2207" w:rsidRDefault="005E2207"/>
    <w:p w:rsidR="005E2207" w:rsidRDefault="005E22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0AFF" w:usb1="00007843" w:usb2="00000001" w:usb3="00000000" w:csb0="000001B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CDC916BC-8578-41DF-B0AC-D8E0959F43CD}"/>
    <w:embedBold r:id="rId2" w:subsetted="1" w:fontKey="{7EC6645A-ABA8-434C-AA1C-BBEA975E986B}"/>
  </w:font>
  <w:font w:name="Trebuchet MS">
    <w:panose1 w:val="020B0603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urich UBlkEx BT">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3" w:fontKey="{1313ABAD-7DDC-4280-B146-1F6FAC8AC791}"/>
    <w:embedBold r:id="rId4" w:fontKey="{FE54F237-A79F-4D5F-9F95-A755CDECED00}"/>
    <w:embedItalic r:id="rId5" w:fontKey="{3FE8A53D-4CB9-4ACA-9CB4-0375072136D1}"/>
    <w:embedBoldItalic r:id="rId6" w:fontKey="{C98626AE-8582-4823-9DCE-9CB5937982ED}"/>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Lucida Grande">
    <w:altName w:val="Arial"/>
    <w:charset w:val="00"/>
    <w:family w:val="auto"/>
    <w:pitch w:val="variable"/>
    <w:sig w:usb0="E1000AEF" w:usb1="5000A1FF" w:usb2="00000000" w:usb3="00000000" w:csb0="000001BF" w:csb1="00000000"/>
  </w:font>
  <w:font w:name="Times New Roman italic">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ndettaLight">
    <w:panose1 w:val="00000000000000000000"/>
    <w:charset w:val="00"/>
    <w:family w:val="auto"/>
    <w:notTrueType/>
    <w:pitch w:val="default"/>
    <w:sig w:usb0="00000003" w:usb1="00000000" w:usb2="00000000" w:usb3="00000000" w:csb0="00000001" w:csb1="00000000"/>
  </w:font>
  <w:font w:name="VendettaMediumItalic">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Bold">
    <w:panose1 w:val="020B080403050404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embedItalic r:id="rId7" w:subsetted="1" w:fontKey="{DC6DCE7B-EB4D-4C63-BA4C-0F3DA6730878}"/>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7" w:rsidRPr="004D77DC" w:rsidRDefault="005E2207" w:rsidP="004D77D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7" w:rsidRPr="004D77DC" w:rsidRDefault="005E2207" w:rsidP="004D77DC">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118358"/>
      <w:docPartObj>
        <w:docPartGallery w:val="Page Numbers (Bottom of Page)"/>
        <w:docPartUnique/>
      </w:docPartObj>
    </w:sdtPr>
    <w:sdtEndPr>
      <w:rPr>
        <w:noProof/>
      </w:rPr>
    </w:sdtEndPr>
    <w:sdtContent>
      <w:p w:rsidR="005E2207" w:rsidRPr="00002906" w:rsidRDefault="005E2207" w:rsidP="00002906">
        <w:pPr>
          <w:pStyle w:val="Footer"/>
        </w:pPr>
        <w:r w:rsidRPr="009E2BB9">
          <w:tab/>
        </w:r>
        <w:r>
          <w:fldChar w:fldCharType="begin"/>
        </w:r>
        <w:r>
          <w:instrText xml:space="preserve"> PAGE </w:instrText>
        </w:r>
        <w:r>
          <w:fldChar w:fldCharType="separate"/>
        </w:r>
        <w:r>
          <w:rPr>
            <w:noProof/>
          </w:rPr>
          <w:t>27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7" w:rsidRDefault="005E2207" w:rsidP="008E4040">
    <w:pPr>
      <w:pStyle w:val="Footer"/>
      <w:tabs>
        <w:tab w:val="clear" w:pos="9071"/>
      </w:tabs>
      <w:ind w:left="0" w:right="6803"/>
      <w:jc w:val="left"/>
    </w:pPr>
    <w:r>
      <w:fldChar w:fldCharType="begin"/>
    </w:r>
    <w:r>
      <w:instrText xml:space="preserve"> PAGE </w:instrText>
    </w:r>
    <w:r>
      <w:fldChar w:fldCharType="separate"/>
    </w:r>
    <w:r w:rsidR="004C088A">
      <w:rPr>
        <w:noProof/>
      </w:rPr>
      <w:t>iv</w:t>
    </w:r>
    <w:r>
      <w:rPr>
        <w:noProof/>
      </w:rPr>
      <w:fldChar w:fldCharType="end"/>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111448"/>
      <w:docPartObj>
        <w:docPartGallery w:val="Page Numbers (Bottom of Page)"/>
        <w:docPartUnique/>
      </w:docPartObj>
    </w:sdtPr>
    <w:sdtEndPr>
      <w:rPr>
        <w:noProof/>
      </w:rPr>
    </w:sdtEndPr>
    <w:sdtContent>
      <w:p w:rsidR="005E2207" w:rsidRDefault="005E2207" w:rsidP="008E4040">
        <w:pPr>
          <w:pStyle w:val="Footer"/>
        </w:pPr>
        <w:r w:rsidRPr="009E2BB9">
          <w:tab/>
        </w:r>
        <w:r>
          <w:fldChar w:fldCharType="begin"/>
        </w:r>
        <w:r>
          <w:instrText xml:space="preserve"> PAGE </w:instrText>
        </w:r>
        <w:r>
          <w:fldChar w:fldCharType="separate"/>
        </w:r>
        <w:r w:rsidR="004C088A">
          <w:rPr>
            <w:noProof/>
          </w:rPr>
          <w:t>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7" w:rsidRDefault="005E2207" w:rsidP="00D02287">
    <w:pPr>
      <w:pStyle w:val="Footer"/>
      <w:tabs>
        <w:tab w:val="clear" w:pos="9071"/>
      </w:tabs>
      <w:ind w:left="0" w:right="6803"/>
      <w:jc w:val="left"/>
    </w:pPr>
    <w:r>
      <w:fldChar w:fldCharType="begin"/>
    </w:r>
    <w:r>
      <w:instrText xml:space="preserve"> PAGE </w:instrText>
    </w:r>
    <w:r>
      <w:fldChar w:fldCharType="separate"/>
    </w:r>
    <w:r w:rsidR="004C088A">
      <w:rPr>
        <w:noProof/>
      </w:rPr>
      <w:t>2</w:t>
    </w:r>
    <w:r>
      <w:rPr>
        <w:noProof/>
      </w:rPr>
      <w:fldChar w:fldCharType="end"/>
    </w: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85484"/>
      <w:docPartObj>
        <w:docPartGallery w:val="Page Numbers (Bottom of Page)"/>
        <w:docPartUnique/>
      </w:docPartObj>
    </w:sdtPr>
    <w:sdtEndPr>
      <w:rPr>
        <w:noProof/>
      </w:rPr>
    </w:sdtEndPr>
    <w:sdtContent>
      <w:p w:rsidR="005E2207" w:rsidRDefault="005E2207" w:rsidP="00D02287">
        <w:pPr>
          <w:pStyle w:val="Footer"/>
        </w:pPr>
        <w:r w:rsidRPr="009E2BB9">
          <w:tab/>
        </w:r>
        <w:r>
          <w:fldChar w:fldCharType="begin"/>
        </w:r>
        <w:r>
          <w:instrText xml:space="preserve"> PAGE </w:instrText>
        </w:r>
        <w:r>
          <w:fldChar w:fldCharType="separate"/>
        </w:r>
        <w:r w:rsidR="004C088A">
          <w:rPr>
            <w:noProof/>
          </w:rPr>
          <w:t>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7" w:rsidRPr="00002906" w:rsidRDefault="005E2207" w:rsidP="00002906">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831140"/>
      <w:docPartObj>
        <w:docPartGallery w:val="Page Numbers (Bottom of Page)"/>
        <w:docPartUnique/>
      </w:docPartObj>
    </w:sdtPr>
    <w:sdtEndPr>
      <w:rPr>
        <w:noProof/>
      </w:rPr>
    </w:sdtEndPr>
    <w:sdtContent>
      <w:p w:rsidR="005E2207" w:rsidRPr="00002906" w:rsidRDefault="005E2207" w:rsidP="00002906">
        <w:pPr>
          <w:pStyle w:val="Footer"/>
        </w:pPr>
        <w:r w:rsidRPr="009E2BB9">
          <w:tab/>
        </w:r>
        <w:r>
          <w:fldChar w:fldCharType="begin"/>
        </w:r>
        <w:r>
          <w:instrText xml:space="preserve"> PAGE </w:instrText>
        </w:r>
        <w:r>
          <w:fldChar w:fldCharType="separate"/>
        </w:r>
        <w:r w:rsidR="004C088A">
          <w:rPr>
            <w:noProof/>
          </w:rPr>
          <w:t>26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207" w:rsidRDefault="005E2207" w:rsidP="009319E4">
      <w:pPr>
        <w:spacing w:after="120"/>
      </w:pPr>
      <w:r>
        <w:separator/>
      </w:r>
    </w:p>
  </w:footnote>
  <w:footnote w:type="continuationSeparator" w:id="0">
    <w:p w:rsidR="005E2207" w:rsidRDefault="005E2207">
      <w:r>
        <w:continuationSeparator/>
      </w:r>
    </w:p>
  </w:footnote>
  <w:footnote w:type="continuationNotice" w:id="1">
    <w:p w:rsidR="005E2207" w:rsidRPr="00D1373A" w:rsidRDefault="005E2207">
      <w:pPr>
        <w:rPr>
          <w:lang w:val="en-US"/>
        </w:rPr>
      </w:pPr>
    </w:p>
  </w:footnote>
  <w:footnote w:id="2">
    <w:p w:rsidR="005E2207" w:rsidRPr="00FA2090" w:rsidRDefault="005E2207" w:rsidP="005A3227">
      <w:pPr>
        <w:pStyle w:val="FootnoteText"/>
        <w:rPr>
          <w:lang w:val="fr-CH"/>
        </w:rPr>
      </w:pPr>
      <w:r w:rsidRPr="00EB5E0B">
        <w:rPr>
          <w:rStyle w:val="FootnoteReference"/>
          <w:rFonts w:ascii="Verdana" w:hAnsi="Verdana"/>
        </w:rPr>
        <w:footnoteRef/>
      </w:r>
      <w:r w:rsidRPr="00EB5E0B">
        <w:rPr>
          <w:rFonts w:ascii="Verdana" w:hAnsi="Verdana"/>
          <w:lang w:val="fr-CH"/>
        </w:rPr>
        <w:t xml:space="preserve"> </w:t>
      </w:r>
      <w:r>
        <w:rPr>
          <w:lang w:val="fr-CH"/>
        </w:rPr>
        <w:tab/>
      </w:r>
      <w:r w:rsidRPr="00FA2090">
        <w:rPr>
          <w:lang w:val="fr-CH"/>
        </w:rPr>
        <w:t>Le</w:t>
      </w:r>
      <w:r w:rsidRPr="009A3C51">
        <w:rPr>
          <w:rFonts w:ascii="Verdana" w:hAnsi="Verdana"/>
          <w:szCs w:val="18"/>
          <w:lang w:val="fr-CH"/>
        </w:rPr>
        <w:t xml:space="preserve"> </w:t>
      </w:r>
      <w:r w:rsidRPr="00FA2090">
        <w:rPr>
          <w:lang w:val="fr-CH"/>
        </w:rPr>
        <w:t>monde en 2011: Faits et chiffres concernant les TIC, octobre 2011.</w:t>
      </w:r>
    </w:p>
  </w:footnote>
  <w:footnote w:id="3">
    <w:p w:rsidR="005E2207" w:rsidRPr="005E2207" w:rsidRDefault="005E2207" w:rsidP="005E2207">
      <w:pPr>
        <w:pStyle w:val="FootnoteText"/>
        <w:spacing w:before="80"/>
        <w:ind w:left="284" w:hanging="284"/>
        <w:rPr>
          <w:lang w:val="fr-CH"/>
        </w:rPr>
      </w:pPr>
      <w:r>
        <w:rPr>
          <w:rStyle w:val="FootnoteReference"/>
        </w:rPr>
        <w:footnoteRef/>
      </w:r>
      <w:r>
        <w:rPr>
          <w:lang w:val="fr-CH"/>
        </w:rPr>
        <w:tab/>
      </w:r>
      <w:r w:rsidRPr="00FA2090">
        <w:rPr>
          <w:lang w:val="fr-CH"/>
        </w:rPr>
        <w:t xml:space="preserve">Atelier de l'UIT sur l'exposition des personnes aux champs électromagnétiques, Turin (Italie), le 9 mai 2013. </w:t>
      </w:r>
      <w:r w:rsidRPr="005E2207">
        <w:rPr>
          <w:lang w:val="fr-CH"/>
        </w:rPr>
        <w:t xml:space="preserve">Pour de plus amples renseignements, voir: </w:t>
      </w:r>
      <w:r w:rsidR="004C088A">
        <w:fldChar w:fldCharType="begin"/>
      </w:r>
      <w:r w:rsidR="004C088A" w:rsidRPr="004C088A">
        <w:rPr>
          <w:lang w:val="fr-CH"/>
        </w:rPr>
        <w:instrText xml:space="preserve"> HYPERLINK "http://www.itu.int/en</w:instrText>
      </w:r>
      <w:r w:rsidR="004C088A" w:rsidRPr="004C088A">
        <w:rPr>
          <w:lang w:val="fr-CH"/>
        </w:rPr>
        <w:instrText xml:space="preserve">/ITU-T/climatechange/emf-1305/Documents/Turin-Call-to-Action.pdf" </w:instrText>
      </w:r>
      <w:r w:rsidR="004C088A">
        <w:fldChar w:fldCharType="separate"/>
      </w:r>
      <w:r w:rsidRPr="00DE6DEA">
        <w:rPr>
          <w:rStyle w:val="Hyperlink"/>
          <w:lang w:val="fr-CH"/>
        </w:rPr>
        <w:t>www.itu.int/en/ITU-T/climatechange/emf-1305/Documents/Turin-Call-to-Action.pdf</w:t>
      </w:r>
      <w:r w:rsidR="004C088A">
        <w:rPr>
          <w:rStyle w:val="Hyperlink"/>
          <w:lang w:val="fr-CH"/>
        </w:rPr>
        <w:fldChar w:fldCharType="end"/>
      </w:r>
      <w:r w:rsidRPr="005E2207">
        <w:rPr>
          <w:lang w:val="fr-CH"/>
        </w:rPr>
        <w:t>.</w:t>
      </w:r>
    </w:p>
  </w:footnote>
  <w:footnote w:id="4">
    <w:p w:rsidR="005E2207" w:rsidRPr="00FA2090" w:rsidRDefault="005E2207" w:rsidP="005A3227">
      <w:pPr>
        <w:pStyle w:val="FootnoteText"/>
        <w:spacing w:before="80"/>
        <w:ind w:left="284" w:hanging="284"/>
        <w:rPr>
          <w:lang w:val="fr-CH"/>
        </w:rPr>
      </w:pPr>
      <w:r w:rsidRPr="0047621E">
        <w:rPr>
          <w:rStyle w:val="FootnoteReference"/>
          <w:rFonts w:ascii="Verdana" w:hAnsi="Verdana"/>
          <w:sz w:val="16"/>
          <w:szCs w:val="16"/>
        </w:rPr>
        <w:footnoteRef/>
      </w:r>
      <w:r w:rsidRPr="001944FE">
        <w:rPr>
          <w:lang w:val="fr-CH"/>
        </w:rPr>
        <w:t xml:space="preserve"> </w:t>
      </w:r>
      <w:r>
        <w:rPr>
          <w:lang w:val="fr-CH"/>
        </w:rPr>
        <w:tab/>
      </w:r>
      <w:r w:rsidRPr="00FA2090">
        <w:rPr>
          <w:lang w:val="fr-CH"/>
        </w:rPr>
        <w:t>Aide-mémoire N° 193 de l'OMS: Champs électromagnétiques et santé publique: téléphones portables, juin 2011.</w:t>
      </w:r>
    </w:p>
  </w:footnote>
  <w:footnote w:id="5">
    <w:p w:rsidR="005E2207" w:rsidRPr="00FA2090" w:rsidRDefault="005E2207" w:rsidP="005A3227">
      <w:pPr>
        <w:pStyle w:val="FootnoteText"/>
        <w:spacing w:before="80"/>
        <w:rPr>
          <w:lang w:val="fr-CH"/>
        </w:rPr>
      </w:pPr>
      <w:r w:rsidRPr="0019626B">
        <w:rPr>
          <w:rStyle w:val="FootnoteReference"/>
          <w:rFonts w:ascii="Verdana" w:hAnsi="Verdana"/>
          <w:sz w:val="16"/>
          <w:szCs w:val="16"/>
        </w:rPr>
        <w:footnoteRef/>
      </w:r>
      <w:r w:rsidRPr="0098671F">
        <w:rPr>
          <w:sz w:val="16"/>
          <w:szCs w:val="16"/>
          <w:lang w:val="fr-FR"/>
        </w:rPr>
        <w:tab/>
      </w:r>
      <w:r w:rsidRPr="00FA2090">
        <w:rPr>
          <w:lang w:val="fr-CH"/>
        </w:rPr>
        <w:t>Aide-mémoire N° 304 de l'OMS: Stations de base et technologies sans fil, mai 2006.</w:t>
      </w:r>
    </w:p>
  </w:footnote>
  <w:footnote w:id="6">
    <w:p w:rsidR="005E2207" w:rsidRPr="00FA2090" w:rsidRDefault="005E2207" w:rsidP="005A3227">
      <w:pPr>
        <w:pStyle w:val="FootnoteText"/>
        <w:spacing w:before="80"/>
        <w:ind w:left="284" w:hanging="284"/>
        <w:rPr>
          <w:lang w:val="fr-CH"/>
        </w:rPr>
      </w:pPr>
      <w:r>
        <w:rPr>
          <w:rStyle w:val="FootnoteReference"/>
        </w:rPr>
        <w:footnoteRef/>
      </w:r>
      <w:r w:rsidRPr="001C58C3">
        <w:rPr>
          <w:lang w:val="fr-CH"/>
        </w:rPr>
        <w:t xml:space="preserve"> </w:t>
      </w:r>
      <w:r>
        <w:rPr>
          <w:lang w:val="fr-CH"/>
        </w:rPr>
        <w:tab/>
      </w:r>
      <w:r w:rsidRPr="00FA2090">
        <w:rPr>
          <w:lang w:val="fr-CH"/>
        </w:rPr>
        <w:t xml:space="preserve">Résumé analytique de l'enquête menée en 2012 par l'OMS sur les politiques de gestion des risques liés à l'exposition aux champs de radiofréquences électromagnétiques. Document d'information soumis au Séminaire international d'échanges entre les parties prenantes de l'OMS sur les radiofréquences, Paris (France), le 5 juin 2013. Denis </w:t>
      </w:r>
      <w:proofErr w:type="spellStart"/>
      <w:r w:rsidRPr="00FA2090">
        <w:rPr>
          <w:lang w:val="fr-CH"/>
        </w:rPr>
        <w:t>Zmirou</w:t>
      </w:r>
      <w:proofErr w:type="spellEnd"/>
      <w:r w:rsidRPr="00FA2090">
        <w:rPr>
          <w:lang w:val="fr-CH"/>
        </w:rPr>
        <w:t xml:space="preserve">-Navier, </w:t>
      </w:r>
      <w:proofErr w:type="spellStart"/>
      <w:r w:rsidRPr="00FA2090">
        <w:rPr>
          <w:lang w:val="fr-CH"/>
        </w:rPr>
        <w:t>Amit</w:t>
      </w:r>
      <w:proofErr w:type="spellEnd"/>
      <w:r w:rsidRPr="00FA2090">
        <w:rPr>
          <w:lang w:val="fr-CH"/>
        </w:rPr>
        <w:t xml:space="preserve"> </w:t>
      </w:r>
      <w:proofErr w:type="spellStart"/>
      <w:r w:rsidRPr="00FA2090">
        <w:rPr>
          <w:lang w:val="fr-CH"/>
        </w:rPr>
        <w:t>Dhungel</w:t>
      </w:r>
      <w:proofErr w:type="spellEnd"/>
      <w:r w:rsidRPr="00FA2090">
        <w:rPr>
          <w:lang w:val="fr-CH"/>
        </w:rPr>
        <w:t xml:space="preserve"> et Clémence </w:t>
      </w:r>
      <w:proofErr w:type="spellStart"/>
      <w:r w:rsidRPr="00FA2090">
        <w:rPr>
          <w:lang w:val="fr-CH"/>
        </w:rPr>
        <w:t>Varret</w:t>
      </w:r>
      <w:proofErr w:type="spellEnd"/>
      <w:r w:rsidRPr="00FA2090">
        <w:rPr>
          <w:lang w:val="fr-CH"/>
        </w:rPr>
        <w:t>; Ecole des hautes études en santé publique (EHESP), Département de santé environnementale et santé au travail, Rennes (France); Faculté de médecine de l'université de Lorraine, Nancy (France); mai 2013.</w:t>
      </w:r>
    </w:p>
  </w:footnote>
  <w:footnote w:id="7">
    <w:p w:rsidR="005E2207" w:rsidRPr="00FA2090" w:rsidRDefault="005E2207" w:rsidP="005A3227">
      <w:pPr>
        <w:pStyle w:val="FootnoteText"/>
        <w:spacing w:before="80"/>
        <w:rPr>
          <w:lang w:val="fr-CH"/>
        </w:rPr>
      </w:pPr>
      <w:r w:rsidRPr="00E628D2">
        <w:rPr>
          <w:rStyle w:val="FootnoteReference"/>
        </w:rPr>
        <w:footnoteRef/>
      </w:r>
      <w:r w:rsidRPr="00E628D2">
        <w:rPr>
          <w:rFonts w:ascii="Verdana" w:hAnsi="Verdana"/>
          <w:szCs w:val="18"/>
          <w:lang w:val="fr-CH"/>
        </w:rPr>
        <w:t xml:space="preserve"> </w:t>
      </w:r>
      <w:r>
        <w:rPr>
          <w:rFonts w:ascii="Verdana" w:hAnsi="Verdana"/>
          <w:szCs w:val="18"/>
          <w:lang w:val="fr-CH"/>
        </w:rPr>
        <w:tab/>
      </w:r>
      <w:r w:rsidRPr="00FA2090">
        <w:rPr>
          <w:lang w:val="fr-CH"/>
        </w:rPr>
        <w:t xml:space="preserve">As </w:t>
      </w:r>
      <w:proofErr w:type="spellStart"/>
      <w:r w:rsidRPr="00FA2090">
        <w:rPr>
          <w:lang w:val="fr-CH"/>
        </w:rPr>
        <w:t>low</w:t>
      </w:r>
      <w:proofErr w:type="spellEnd"/>
      <w:r w:rsidRPr="00FA2090">
        <w:rPr>
          <w:lang w:val="fr-CH"/>
        </w:rPr>
        <w:t xml:space="preserve"> as </w:t>
      </w:r>
      <w:proofErr w:type="spellStart"/>
      <w:r w:rsidRPr="00FA2090">
        <w:rPr>
          <w:lang w:val="fr-CH"/>
        </w:rPr>
        <w:t>reasonably</w:t>
      </w:r>
      <w:proofErr w:type="spellEnd"/>
      <w:r w:rsidRPr="00FA2090">
        <w:rPr>
          <w:lang w:val="fr-CH"/>
        </w:rPr>
        <w:t xml:space="preserve"> possible ("le plus bas que l'on peut raisonnablement atteindre").</w:t>
      </w:r>
    </w:p>
  </w:footnote>
  <w:footnote w:id="8">
    <w:p w:rsidR="005E2207" w:rsidRPr="00FA2090" w:rsidRDefault="005E2207" w:rsidP="0037761F">
      <w:pPr>
        <w:pStyle w:val="FootnoteText"/>
        <w:spacing w:before="80"/>
        <w:ind w:left="284" w:hanging="284"/>
        <w:jc w:val="both"/>
        <w:rPr>
          <w:lang w:val="fr-CH"/>
        </w:rPr>
      </w:pPr>
      <w:r>
        <w:rPr>
          <w:rStyle w:val="FootnoteReference"/>
        </w:rPr>
        <w:footnoteRef/>
      </w:r>
      <w:r w:rsidRPr="00143A0A">
        <w:rPr>
          <w:lang w:val="fr-CH"/>
        </w:rPr>
        <w:t xml:space="preserve"> </w:t>
      </w:r>
      <w:r>
        <w:rPr>
          <w:lang w:val="fr-CH"/>
        </w:rPr>
        <w:tab/>
      </w:r>
      <w:r w:rsidRPr="00FA2090">
        <w:rPr>
          <w:lang w:val="fr-CH"/>
        </w:rPr>
        <w:t>Le projet de rapport porte l'avertissement suivant: "Les informations figurant dans le présent projet de rapport sont basées sur les réponses à l'enquête internationale menée en 2012; elles sont encore en attente de validation. Le document est distribué sans garantie d'aucune sorte, ni expresse ni implicite, et son interprétation et son utilisation relèvent de la responsabilité du lecteur."</w:t>
      </w:r>
    </w:p>
  </w:footnote>
  <w:footnote w:id="9">
    <w:p w:rsidR="005E2207" w:rsidRPr="00FA2090" w:rsidRDefault="005E2207" w:rsidP="005A3227">
      <w:pPr>
        <w:pStyle w:val="FootnoteText"/>
        <w:spacing w:before="80"/>
        <w:rPr>
          <w:lang w:val="fr-CH"/>
        </w:rPr>
      </w:pPr>
      <w:r>
        <w:rPr>
          <w:rStyle w:val="FootnoteReference"/>
        </w:rPr>
        <w:footnoteRef/>
      </w:r>
      <w:r>
        <w:rPr>
          <w:lang w:val="fr-CH"/>
        </w:rPr>
        <w:tab/>
      </w:r>
      <w:proofErr w:type="spellStart"/>
      <w:r w:rsidRPr="00FA2090">
        <w:rPr>
          <w:lang w:val="fr-CH"/>
        </w:rPr>
        <w:t>Federal</w:t>
      </w:r>
      <w:proofErr w:type="spellEnd"/>
      <w:r w:rsidRPr="00FA2090">
        <w:rPr>
          <w:lang w:val="fr-CH"/>
        </w:rPr>
        <w:t xml:space="preserve"> Communications Commission.</w:t>
      </w:r>
    </w:p>
  </w:footnote>
  <w:footnote w:id="10">
    <w:p w:rsidR="005E2207" w:rsidRPr="00FE058F" w:rsidRDefault="005E2207" w:rsidP="00FE058F">
      <w:pPr>
        <w:pStyle w:val="FootnoteText"/>
        <w:spacing w:before="80"/>
        <w:ind w:left="284" w:hanging="284"/>
        <w:rPr>
          <w:lang w:val="fr-CH"/>
        </w:rPr>
      </w:pPr>
      <w:r>
        <w:rPr>
          <w:rStyle w:val="FootnoteReference"/>
        </w:rPr>
        <w:footnoteRef/>
      </w:r>
      <w:r>
        <w:rPr>
          <w:rFonts w:ascii="Verdana" w:hAnsi="Verdana"/>
          <w:szCs w:val="18"/>
          <w:lang w:val="fr-CH"/>
        </w:rPr>
        <w:tab/>
      </w:r>
      <w:r w:rsidRPr="00FE058F">
        <w:rPr>
          <w:lang w:val="fr-CH"/>
        </w:rPr>
        <w:t xml:space="preserve">Champs électromagnétiques et santé publique: politiques de précaution (Document d'information de l'OMS, mars 2000), disponible à l'adresse: </w:t>
      </w:r>
      <w:r w:rsidR="004C088A">
        <w:fldChar w:fldCharType="begin"/>
      </w:r>
      <w:r w:rsidR="004C088A" w:rsidRPr="004C088A">
        <w:rPr>
          <w:lang w:val="fr-CH"/>
        </w:rPr>
        <w:instrText xml:space="preserve"> HYPERLINK "http://www.who.int/docstore/pehemf/publications/facts_press/EMFPrecaution.htm" </w:instrText>
      </w:r>
      <w:r w:rsidR="004C088A">
        <w:fldChar w:fldCharType="separate"/>
      </w:r>
      <w:r w:rsidR="00FE058F" w:rsidRPr="00DE6DEA">
        <w:rPr>
          <w:rStyle w:val="Hyperlink"/>
          <w:lang w:val="fr-CH"/>
        </w:rPr>
        <w:t>www.who.int/docstore/peh</w:t>
      </w:r>
      <w:r w:rsidR="00FE058F" w:rsidRPr="00DE6DEA">
        <w:rPr>
          <w:rStyle w:val="Hyperlink"/>
          <w:lang w:val="fr-CH"/>
        </w:rPr>
        <w:noBreakHyphen/>
        <w:t>emf/publications/facts_press/EMF</w:t>
      </w:r>
      <w:r w:rsidR="00FE058F" w:rsidRPr="00DE6DEA">
        <w:rPr>
          <w:rStyle w:val="Hyperlink"/>
          <w:lang w:val="fr-CH"/>
        </w:rPr>
        <w:noBreakHyphen/>
        <w:t>Precaution.htm</w:t>
      </w:r>
      <w:r w:rsidR="004C088A">
        <w:rPr>
          <w:rStyle w:val="Hyperlink"/>
          <w:lang w:val="fr-CH"/>
        </w:rPr>
        <w:fldChar w:fldCharType="end"/>
      </w:r>
      <w:r w:rsidRPr="00FE058F">
        <w:rPr>
          <w:lang w:val="fr-CH"/>
        </w:rPr>
        <w:t>.</w:t>
      </w:r>
    </w:p>
  </w:footnote>
  <w:footnote w:id="11">
    <w:p w:rsidR="005E2207" w:rsidRPr="00B71D7F" w:rsidRDefault="005E2207" w:rsidP="005A3227">
      <w:pPr>
        <w:pStyle w:val="FootnoteText"/>
        <w:ind w:left="284" w:hanging="284"/>
        <w:rPr>
          <w:lang w:val="fr-CH"/>
        </w:rPr>
      </w:pPr>
      <w:r>
        <w:rPr>
          <w:rStyle w:val="FootnoteReference"/>
        </w:rPr>
        <w:footnoteRef/>
      </w:r>
      <w:r w:rsidRPr="00B71D7F">
        <w:rPr>
          <w:lang w:val="fr-CH"/>
        </w:rPr>
        <w:t xml:space="preserve"> </w:t>
      </w:r>
      <w:r w:rsidR="004C088A">
        <w:fldChar w:fldCharType="begin"/>
      </w:r>
      <w:r w:rsidR="004C088A" w:rsidRPr="004C088A">
        <w:rPr>
          <w:lang w:val="fr-CH"/>
        </w:rPr>
        <w:instrText xml:space="preserve"> HYPERLINK "http://www.</w:instrText>
      </w:r>
      <w:r w:rsidR="004C088A" w:rsidRPr="004C088A">
        <w:rPr>
          <w:lang w:val="fr-CH"/>
        </w:rPr>
        <w:instrText xml:space="preserve">sviva.gov.il/subjectsEnv/Radiation/Communication_Facilities/cellular/Documents/shidur_selulariim_peilim_1.xls" </w:instrText>
      </w:r>
      <w:r w:rsidR="004C088A">
        <w:fldChar w:fldCharType="separate"/>
      </w:r>
      <w:r>
        <w:rPr>
          <w:rStyle w:val="Hyperlink"/>
          <w:rFonts w:cs="Arial"/>
          <w:szCs w:val="18"/>
          <w:lang w:val="fr-FR"/>
        </w:rPr>
        <w:t>www</w:t>
      </w:r>
      <w:r w:rsidRPr="00577DBA">
        <w:rPr>
          <w:rStyle w:val="Hyperlink"/>
          <w:rFonts w:cs="Arial"/>
          <w:szCs w:val="18"/>
          <w:lang w:val="fr-FR"/>
        </w:rPr>
        <w:t>.sviva.gov.il/subjectsEnv/Radiation/Communication_Facilities/cellular/Documents/shidur_selulariim_peilim_1.xls</w:t>
      </w:r>
      <w:r w:rsidR="004C088A">
        <w:rPr>
          <w:rStyle w:val="Hyperlink"/>
          <w:rFonts w:cs="Arial"/>
          <w:szCs w:val="18"/>
          <w:lang w:val="fr-FR"/>
        </w:rPr>
        <w:fldChar w:fldCharType="end"/>
      </w:r>
    </w:p>
  </w:footnote>
  <w:footnote w:id="12">
    <w:p w:rsidR="005E2207" w:rsidRPr="0037761F" w:rsidRDefault="005E2207" w:rsidP="0037761F">
      <w:pPr>
        <w:pStyle w:val="FootnoteText"/>
        <w:spacing w:before="80"/>
        <w:ind w:left="284" w:hanging="284"/>
        <w:jc w:val="both"/>
        <w:rPr>
          <w:lang w:val="fr-CH"/>
        </w:rPr>
      </w:pPr>
      <w:r>
        <w:rPr>
          <w:rStyle w:val="FootnoteReference"/>
        </w:rPr>
        <w:footnoteRef/>
      </w:r>
      <w:r>
        <w:rPr>
          <w:lang w:val="fr-CH"/>
        </w:rPr>
        <w:tab/>
      </w:r>
      <w:r w:rsidRPr="0037761F">
        <w:rPr>
          <w:lang w:val="fr-CH"/>
        </w:rPr>
        <w:t>a)</w:t>
      </w:r>
      <w:r w:rsidRPr="0037761F">
        <w:rPr>
          <w:lang w:val="fr-CH"/>
        </w:rPr>
        <w:tab/>
        <w:t xml:space="preserve">Page web du Ministère indien des communications et des technologies de l'information sur les champs électromagnétiques: </w:t>
      </w:r>
      <w:r w:rsidR="004C088A">
        <w:fldChar w:fldCharType="begin"/>
      </w:r>
      <w:r w:rsidR="004C088A" w:rsidRPr="004C088A">
        <w:rPr>
          <w:lang w:val="fr-CH"/>
        </w:rPr>
        <w:instrText xml:space="preserve"> HYPERLINK "http://www.dot.gov.in/access-services/journey-emf" </w:instrText>
      </w:r>
      <w:r w:rsidR="004C088A">
        <w:fldChar w:fldCharType="separate"/>
      </w:r>
      <w:r w:rsidR="0037761F" w:rsidRPr="00DE6DEA">
        <w:rPr>
          <w:rStyle w:val="Hyperlink"/>
          <w:lang w:val="fr-CH"/>
        </w:rPr>
        <w:t>www.dot.gov.in/access-services/journey-emf</w:t>
      </w:r>
      <w:r w:rsidR="004C088A">
        <w:rPr>
          <w:rStyle w:val="Hyperlink"/>
          <w:lang w:val="fr-CH"/>
        </w:rPr>
        <w:fldChar w:fldCharType="end"/>
      </w:r>
      <w:r w:rsidRPr="0037761F">
        <w:rPr>
          <w:lang w:val="fr-CH"/>
        </w:rPr>
        <w:t>.</w:t>
      </w:r>
    </w:p>
    <w:p w:rsidR="005E2207" w:rsidRPr="0037761F" w:rsidRDefault="005E2207" w:rsidP="0037761F">
      <w:pPr>
        <w:pStyle w:val="FootnoteText"/>
        <w:spacing w:before="80"/>
        <w:ind w:left="284" w:hanging="284"/>
        <w:jc w:val="both"/>
        <w:rPr>
          <w:lang w:val="fr-CH"/>
        </w:rPr>
      </w:pPr>
      <w:r w:rsidRPr="0037761F">
        <w:rPr>
          <w:lang w:val="fr-CH"/>
        </w:rPr>
        <w:tab/>
        <w:t>b)</w:t>
      </w:r>
      <w:r w:rsidRPr="0037761F">
        <w:rPr>
          <w:lang w:val="fr-CH"/>
        </w:rPr>
        <w:tab/>
        <w:t xml:space="preserve">Nouvelles valeurs de DAS applicables à compter du 01.09.2012, disponible à l'adresse: </w:t>
      </w:r>
      <w:r w:rsidR="004C088A">
        <w:fldChar w:fldCharType="begin"/>
      </w:r>
      <w:r w:rsidR="004C088A" w:rsidRPr="004C088A">
        <w:rPr>
          <w:lang w:val="fr-CH"/>
        </w:rPr>
        <w:instrText xml:space="preserve"> HYPERLINK "http://www.dot.gov.in/sites/default/files/Revision%20of%20SAR%20Limit%20mobile%20handsets.pdf" </w:instrText>
      </w:r>
      <w:r w:rsidR="004C088A">
        <w:fldChar w:fldCharType="separate"/>
      </w:r>
      <w:r w:rsidR="0037761F" w:rsidRPr="00DE6DEA">
        <w:rPr>
          <w:rStyle w:val="Hyperlink"/>
          <w:lang w:val="fr-CH"/>
        </w:rPr>
        <w:t>www.dot.gov.in/sites/default/files/Revision%20of%20SAR%20Limit%20mobile%20handsets.pdf</w:t>
      </w:r>
      <w:r w:rsidR="004C088A">
        <w:rPr>
          <w:rStyle w:val="Hyperlink"/>
          <w:lang w:val="fr-CH"/>
        </w:rPr>
        <w:fldChar w:fldCharType="end"/>
      </w:r>
      <w:r w:rsidRPr="0037761F">
        <w:rPr>
          <w:lang w:val="fr-CH"/>
        </w:rPr>
        <w:t>.</w:t>
      </w:r>
    </w:p>
    <w:p w:rsidR="005A5E76" w:rsidRDefault="005E2207" w:rsidP="005A5E76">
      <w:pPr>
        <w:pStyle w:val="FootnoteText"/>
        <w:spacing w:before="80"/>
        <w:ind w:left="284" w:hanging="284"/>
        <w:jc w:val="both"/>
        <w:rPr>
          <w:lang w:val="fr-CH"/>
        </w:rPr>
      </w:pPr>
      <w:r>
        <w:rPr>
          <w:rFonts w:ascii="Verdana" w:eastAsia="Times New Roman" w:hAnsi="Verdana" w:cs="Times New Roman"/>
          <w:sz w:val="19"/>
          <w:szCs w:val="19"/>
          <w:lang w:val="fr-FR" w:eastAsia="fr-FR"/>
        </w:rPr>
        <w:tab/>
      </w:r>
      <w:r w:rsidRPr="0037761F">
        <w:rPr>
          <w:lang w:val="fr-CH"/>
        </w:rPr>
        <w:t>c)</w:t>
      </w:r>
      <w:r w:rsidRPr="0037761F">
        <w:rPr>
          <w:lang w:val="fr-CH"/>
        </w:rPr>
        <w:tab/>
        <w:t>Révision des limites d'exposition applicables à compter du 01.09.2012.</w:t>
      </w:r>
    </w:p>
    <w:p w:rsidR="005E2207" w:rsidRPr="005A5E76" w:rsidRDefault="00FA2090" w:rsidP="005A5E76">
      <w:pPr>
        <w:pStyle w:val="FootnoteText"/>
        <w:spacing w:before="80"/>
        <w:ind w:left="284" w:hanging="284"/>
        <w:jc w:val="both"/>
        <w:rPr>
          <w:lang w:val="fr-CH"/>
        </w:rPr>
      </w:pPr>
      <w:r>
        <w:rPr>
          <w:lang w:val="fr-CH"/>
        </w:rPr>
        <w:tab/>
      </w:r>
      <w:r w:rsidR="005E2207" w:rsidRPr="005A5E76">
        <w:rPr>
          <w:lang w:val="fr-CH"/>
        </w:rPr>
        <w:t>d)</w:t>
      </w:r>
      <w:r w:rsidR="005E2207" w:rsidRPr="005A5E76">
        <w:rPr>
          <w:lang w:val="fr-CH"/>
        </w:rPr>
        <w:tab/>
        <w:t xml:space="preserve">Lignes directrices indicatives révisées sur l'installation des pylônes de téléphonie mobile applicables à compter du 01.08.2013, disponible à l'adresse: </w:t>
      </w:r>
      <w:r w:rsidR="004C088A">
        <w:fldChar w:fldCharType="begin"/>
      </w:r>
      <w:r w:rsidR="004C088A" w:rsidRPr="004C088A">
        <w:rPr>
          <w:lang w:val="fr-CH"/>
        </w:rPr>
        <w:instrText xml:space="preserve"> HYPERLINK "http</w:instrText>
      </w:r>
      <w:r w:rsidR="004C088A" w:rsidRPr="004C088A">
        <w:rPr>
          <w:lang w:val="fr-CH"/>
        </w:rPr>
        <w:instrText xml:space="preserve">://www.dot.gov.in/sites/default/files/Advisory%20Guidelines%20For%20State%20Govts%20effective%20from%2001-08-13.pdf" </w:instrText>
      </w:r>
      <w:r w:rsidR="004C088A">
        <w:fldChar w:fldCharType="separate"/>
      </w:r>
      <w:r w:rsidR="00B21DC5" w:rsidRPr="00DE6DEA">
        <w:rPr>
          <w:rStyle w:val="Hyperlink"/>
          <w:spacing w:val="-4"/>
          <w:lang w:val="fr-CH"/>
        </w:rPr>
        <w:t>www.dot.gov.in/sites/default/files/Advisory%20Guidelines%20For%20State</w:t>
      </w:r>
      <w:r w:rsidR="00B21DC5" w:rsidRPr="00DE6DEA">
        <w:rPr>
          <w:rStyle w:val="Hyperlink"/>
          <w:spacing w:val="-4"/>
          <w:lang w:val="fr-CH"/>
        </w:rPr>
        <w:br/>
        <w:t>%20Govts%20effective%20from%2001-08-13.pdf</w:t>
      </w:r>
      <w:r w:rsidR="004C088A">
        <w:rPr>
          <w:rStyle w:val="Hyperlink"/>
          <w:spacing w:val="-4"/>
          <w:lang w:val="fr-CH"/>
        </w:rPr>
        <w:fldChar w:fldCharType="end"/>
      </w:r>
      <w:r w:rsidR="005E2207" w:rsidRPr="0024330F">
        <w:rPr>
          <w:spacing w:val="-4"/>
          <w:lang w:val="fr-CH"/>
        </w:rPr>
        <w:t>.</w:t>
      </w:r>
    </w:p>
    <w:p w:rsidR="005E2207" w:rsidRPr="005A5E76" w:rsidRDefault="005E2207" w:rsidP="005A5E76">
      <w:pPr>
        <w:pStyle w:val="FootnoteText"/>
        <w:spacing w:before="80"/>
        <w:ind w:left="284" w:hanging="284"/>
        <w:jc w:val="both"/>
        <w:rPr>
          <w:lang w:val="fr-CH"/>
        </w:rPr>
      </w:pPr>
      <w:r w:rsidRPr="005A5E76">
        <w:rPr>
          <w:lang w:val="fr-CH"/>
        </w:rPr>
        <w:tab/>
        <w:t>e)</w:t>
      </w:r>
      <w:r w:rsidRPr="005A5E76">
        <w:rPr>
          <w:lang w:val="fr-CH"/>
        </w:rPr>
        <w:tab/>
        <w:t xml:space="preserve">Lignes directrices sur les précautions à observer lors de l'utilisation des téléphones mobiles, disponible à l'adresse: </w:t>
      </w:r>
      <w:r w:rsidR="004C088A">
        <w:fldChar w:fldCharType="begin"/>
      </w:r>
      <w:r w:rsidR="004C088A" w:rsidRPr="004C088A">
        <w:rPr>
          <w:lang w:val="fr-CH"/>
        </w:rPr>
        <w:instrText xml:space="preserve"> HYPERLINK "http://www.dot.gov.in/sites/default/files/Precautionary%20Guidelines%20for%20mobile%20Users.pdf" </w:instrText>
      </w:r>
      <w:r w:rsidR="004C088A">
        <w:fldChar w:fldCharType="separate"/>
      </w:r>
      <w:r w:rsidR="0024330F" w:rsidRPr="00DE6DEA">
        <w:rPr>
          <w:rStyle w:val="Hyperlink"/>
          <w:lang w:val="fr-CH"/>
        </w:rPr>
        <w:t>www.dot.gov.in/sites/default/files/Precautionary%20Guidelines%20for%20mobile%20Users.pdf</w:t>
      </w:r>
      <w:r w:rsidR="004C088A">
        <w:rPr>
          <w:rStyle w:val="Hyperlink"/>
          <w:lang w:val="fr-CH"/>
        </w:rPr>
        <w:fldChar w:fldCharType="end"/>
      </w:r>
      <w:r w:rsidR="0024330F">
        <w:rPr>
          <w:lang w:val="fr-CH"/>
        </w:rPr>
        <w:t xml:space="preserve"> </w:t>
      </w:r>
      <w:r w:rsidR="0024330F" w:rsidRPr="0024330F">
        <w:rPr>
          <w:lang w:val="fr-CH"/>
        </w:rPr>
        <w:t xml:space="preserve"> </w:t>
      </w:r>
    </w:p>
    <w:p w:rsidR="005E2207" w:rsidRPr="005A5E76" w:rsidRDefault="005E2207" w:rsidP="0024330F">
      <w:pPr>
        <w:pStyle w:val="FootnoteText"/>
        <w:spacing w:before="80"/>
        <w:ind w:left="284" w:hanging="284"/>
        <w:jc w:val="both"/>
        <w:rPr>
          <w:lang w:val="fr-CH"/>
        </w:rPr>
      </w:pPr>
      <w:r w:rsidRPr="005A5E76">
        <w:rPr>
          <w:lang w:val="fr-CH"/>
        </w:rPr>
        <w:tab/>
        <w:t>f)</w:t>
      </w:r>
      <w:r w:rsidRPr="005A5E76">
        <w:rPr>
          <w:lang w:val="fr-CH"/>
        </w:rPr>
        <w:tab/>
        <w:t xml:space="preserve">Manuel sur les communications mobiles – Ondes radioélectriques et sécurité, disponible à l'adresse: </w:t>
      </w:r>
      <w:r w:rsidR="004C088A">
        <w:fldChar w:fldCharType="begin"/>
      </w:r>
      <w:r w:rsidR="004C088A" w:rsidRPr="004C088A">
        <w:rPr>
          <w:lang w:val="fr-CH"/>
        </w:rPr>
        <w:instrText xml:space="preserve"> HYPERLINK "http://www.dot.gov.in/sites/default/files/Mobile%20Communication-Radio%20Waves%20and%20Saf</w:instrText>
      </w:r>
      <w:r w:rsidR="004C088A" w:rsidRPr="004C088A">
        <w:rPr>
          <w:lang w:val="fr-CH"/>
        </w:rPr>
        <w:instrText xml:space="preserve">ety%2010th%20sept%2012%20final.pdf" </w:instrText>
      </w:r>
      <w:r w:rsidR="004C088A">
        <w:fldChar w:fldCharType="separate"/>
      </w:r>
      <w:r w:rsidR="0024330F" w:rsidRPr="00DE6DEA">
        <w:rPr>
          <w:rStyle w:val="Hyperlink"/>
          <w:lang w:val="fr-CH"/>
        </w:rPr>
        <w:t>www.dot.gov.in/sites/default/files/Mobile%20Communication-Radio%20Waves%20and%20Safety%2010th%20sept%2012%20final.pdf</w:t>
      </w:r>
      <w:r w:rsidR="004C088A">
        <w:rPr>
          <w:rStyle w:val="Hyperlink"/>
          <w:lang w:val="fr-CH"/>
        </w:rPr>
        <w:fldChar w:fldCharType="end"/>
      </w:r>
      <w:r w:rsidRPr="005A5E76">
        <w:rPr>
          <w:lang w:val="fr-CH"/>
        </w:rPr>
        <w:t>.</w:t>
      </w:r>
    </w:p>
    <w:p w:rsidR="005E2207" w:rsidRPr="005A5E76" w:rsidRDefault="005E2207" w:rsidP="0024330F">
      <w:pPr>
        <w:pStyle w:val="FootnoteText"/>
        <w:spacing w:before="80"/>
        <w:ind w:left="284" w:hanging="284"/>
        <w:jc w:val="both"/>
        <w:rPr>
          <w:lang w:val="fr-CH"/>
        </w:rPr>
      </w:pPr>
      <w:r w:rsidRPr="005A5E76">
        <w:rPr>
          <w:lang w:val="fr-CH"/>
        </w:rPr>
        <w:tab/>
        <w:t>g)</w:t>
      </w:r>
      <w:r w:rsidRPr="005A5E76">
        <w:rPr>
          <w:lang w:val="fr-CH"/>
        </w:rPr>
        <w:tab/>
        <w:t xml:space="preserve">Procédures d'essai sur les combinés mobiles du Telecom Engineering Centre (TEC), disponible à l'adresse: </w:t>
      </w:r>
      <w:r w:rsidR="004C088A">
        <w:fldChar w:fldCharType="begin"/>
      </w:r>
      <w:r w:rsidR="004C088A" w:rsidRPr="004C088A">
        <w:rPr>
          <w:lang w:val="fr-CH"/>
        </w:rPr>
        <w:instrText xml:space="preserve"> HYPERLINK "http://www.dot.gov.in/sites/default/files/SAR%20Testing.pdf" </w:instrText>
      </w:r>
      <w:r w:rsidR="004C088A">
        <w:fldChar w:fldCharType="separate"/>
      </w:r>
      <w:r w:rsidR="0024330F" w:rsidRPr="00DE6DEA">
        <w:rPr>
          <w:rStyle w:val="Hyperlink"/>
          <w:lang w:val="fr-CH"/>
        </w:rPr>
        <w:t>www.dot.gov.in/sites/default/files/SAR%20Testing.pdf</w:t>
      </w:r>
      <w:r w:rsidR="004C088A">
        <w:rPr>
          <w:rStyle w:val="Hyperlink"/>
          <w:lang w:val="fr-CH"/>
        </w:rPr>
        <w:fldChar w:fldCharType="end"/>
      </w:r>
      <w:r w:rsidRPr="005A5E76">
        <w:rPr>
          <w:lang w:val="fr-CH"/>
        </w:rPr>
        <w:t>.</w:t>
      </w:r>
    </w:p>
    <w:p w:rsidR="005E2207" w:rsidRPr="005A5E76" w:rsidRDefault="005E2207" w:rsidP="0024330F">
      <w:pPr>
        <w:pStyle w:val="FootnoteText"/>
        <w:spacing w:before="80"/>
        <w:ind w:left="284" w:hanging="284"/>
        <w:jc w:val="both"/>
        <w:rPr>
          <w:lang w:val="fr-CH"/>
        </w:rPr>
      </w:pPr>
      <w:r w:rsidRPr="005A5E76">
        <w:rPr>
          <w:lang w:val="fr-CH"/>
        </w:rPr>
        <w:tab/>
        <w:t>h)</w:t>
      </w:r>
      <w:r w:rsidRPr="005A5E76">
        <w:rPr>
          <w:lang w:val="fr-CH"/>
        </w:rPr>
        <w:tab/>
        <w:t xml:space="preserve">Mesures de l'exposition aux champs électromagnétiques provenant des antennes des stations de base, disponible à l'adresse: </w:t>
      </w:r>
      <w:r w:rsidR="004C088A">
        <w:fldChar w:fldCharType="begin"/>
      </w:r>
      <w:r w:rsidR="004C088A" w:rsidRPr="004C088A">
        <w:rPr>
          <w:lang w:val="fr-CH"/>
        </w:rPr>
        <w:instrText xml:space="preserve"> HYPERLINK "http://www.dot.gov.in/sites/default/files/TEC%20Test%20Procedure%20EMFields%20From%20BTS%20Antennae.pdf" </w:instrText>
      </w:r>
      <w:r w:rsidR="004C088A">
        <w:fldChar w:fldCharType="separate"/>
      </w:r>
      <w:r w:rsidR="0024330F" w:rsidRPr="00DE6DEA">
        <w:rPr>
          <w:rStyle w:val="Hyperlink"/>
          <w:lang w:val="fr-CH"/>
        </w:rPr>
        <w:t>www.dot.gov.in/sites/default/files/TEC%20Test%20Procedure%20EMFields%20From%20BTS%20Antennae.pdf</w:t>
      </w:r>
      <w:r w:rsidR="004C088A">
        <w:rPr>
          <w:rStyle w:val="Hyperlink"/>
          <w:lang w:val="fr-CH"/>
        </w:rPr>
        <w:fldChar w:fldCharType="end"/>
      </w:r>
      <w:r w:rsidRPr="005A5E76">
        <w:rPr>
          <w:lang w:val="fr-CH"/>
        </w:rPr>
        <w:t>.</w:t>
      </w:r>
    </w:p>
    <w:p w:rsidR="005E2207" w:rsidRPr="005A5E76" w:rsidRDefault="005E2207" w:rsidP="005A5E76">
      <w:pPr>
        <w:pStyle w:val="FootnoteText"/>
        <w:spacing w:before="80"/>
        <w:ind w:left="284" w:hanging="284"/>
        <w:jc w:val="both"/>
        <w:rPr>
          <w:lang w:val="fr-CH"/>
        </w:rPr>
      </w:pPr>
      <w:r w:rsidRPr="005A5E76">
        <w:rPr>
          <w:lang w:val="fr-CH"/>
        </w:rPr>
        <w:tab/>
        <w:t>i)</w:t>
      </w:r>
      <w:r w:rsidRPr="005A5E76">
        <w:rPr>
          <w:lang w:val="fr-CH"/>
        </w:rPr>
        <w:tab/>
        <w:t>Système de traitement des plaintes relatives aux champs électromagnétiques.</w:t>
      </w:r>
      <w:r w:rsidR="0024330F">
        <w:rPr>
          <w:lang w:val="fr-CH"/>
        </w:rPr>
        <w:t xml:space="preserve"> </w:t>
      </w:r>
    </w:p>
    <w:p w:rsidR="005E2207" w:rsidRPr="005A5E76" w:rsidRDefault="005E2207" w:rsidP="0024330F">
      <w:pPr>
        <w:pStyle w:val="FootnoteText"/>
        <w:spacing w:before="80"/>
        <w:ind w:left="284" w:hanging="284"/>
        <w:jc w:val="both"/>
        <w:rPr>
          <w:lang w:val="fr-CH"/>
        </w:rPr>
      </w:pPr>
      <w:r w:rsidRPr="005A5E76">
        <w:rPr>
          <w:lang w:val="fr-CH"/>
        </w:rPr>
        <w:tab/>
        <w:t>j)</w:t>
      </w:r>
      <w:r w:rsidRPr="005A5E76">
        <w:rPr>
          <w:lang w:val="fr-CH"/>
        </w:rPr>
        <w:tab/>
        <w:t xml:space="preserve">Circulaire invitant à proposer des projets de recherche et développement sur les champs électromagnétiques, disponible à l'adresse: </w:t>
      </w:r>
      <w:r w:rsidR="004C088A">
        <w:fldChar w:fldCharType="begin"/>
      </w:r>
      <w:r w:rsidR="004C088A" w:rsidRPr="004C088A">
        <w:rPr>
          <w:lang w:val="fr-CH"/>
        </w:rPr>
        <w:instrText xml:space="preserve"> HYPERLINK "http://www.dot.gov.in/sites/default/files/748%20circular.pdf" </w:instrText>
      </w:r>
      <w:r w:rsidR="004C088A">
        <w:fldChar w:fldCharType="separate"/>
      </w:r>
      <w:r w:rsidR="0024330F" w:rsidRPr="00DE6DEA">
        <w:rPr>
          <w:rStyle w:val="Hyperlink"/>
          <w:lang w:val="fr-CH"/>
        </w:rPr>
        <w:t>www.dot.gov.in/sites/default/files/748%20circular.pdf</w:t>
      </w:r>
      <w:r w:rsidR="004C088A">
        <w:rPr>
          <w:rStyle w:val="Hyperlink"/>
          <w:lang w:val="fr-CH"/>
        </w:rPr>
        <w:fldChar w:fldCharType="end"/>
      </w:r>
      <w:r w:rsidRPr="005A5E76">
        <w:rPr>
          <w:lang w:val="fr-CH"/>
        </w:rPr>
        <w:t>.</w:t>
      </w:r>
    </w:p>
    <w:p w:rsidR="005E2207" w:rsidRPr="0024330F" w:rsidRDefault="005E2207" w:rsidP="0024330F">
      <w:pPr>
        <w:pStyle w:val="FootnoteText"/>
        <w:spacing w:before="80"/>
        <w:ind w:left="284" w:hanging="284"/>
        <w:jc w:val="both"/>
        <w:rPr>
          <w:lang w:val="fr-CH"/>
        </w:rPr>
      </w:pPr>
      <w:r w:rsidRPr="005A5E76">
        <w:rPr>
          <w:lang w:val="fr-CH"/>
        </w:rPr>
        <w:tab/>
        <w:t>k)</w:t>
      </w:r>
      <w:r w:rsidRPr="005A5E76">
        <w:rPr>
          <w:lang w:val="fr-CH"/>
        </w:rPr>
        <w:tab/>
        <w:t xml:space="preserve">Les documents présentés par l'Inde lors de l'Atelier de l'UIT sur l'exposition des personnes aux champs électromagnétiques organisé à Turin (Italie) le 9 mai 2013 (voir références ci-après) apportent de nouveaux renseignements sur la politique du pays en ce domaine: Aperçu de la politique de l'Inde – Rayonnements des champs électromagnétiques provenant des pylônes et des combinés de téléphonie mobile, disponible à l'adresse: </w:t>
      </w:r>
      <w:r w:rsidR="004C088A">
        <w:fldChar w:fldCharType="begin"/>
      </w:r>
      <w:r w:rsidR="004C088A" w:rsidRPr="004C088A">
        <w:rPr>
          <w:lang w:val="fr-CH"/>
        </w:rPr>
        <w:instrText xml:space="preserve"> HYPERLINK "http://www.itu.int/en/ITU-T/climatechange/emf-1305/Documents/Presentations/s2part2p3-RKBhatnagar.pdf" </w:instrText>
      </w:r>
      <w:r w:rsidR="004C088A">
        <w:fldChar w:fldCharType="separate"/>
      </w:r>
      <w:r w:rsidR="0024330F" w:rsidRPr="00DE6DEA">
        <w:rPr>
          <w:rStyle w:val="Hyperlink"/>
          <w:lang w:val="fr-CH"/>
        </w:rPr>
        <w:t>www.itu.int/en/ITU-T/climatechange/emf-1305/Documents/Presentations/s2part2p3-RKBhatnagar.pdf</w:t>
      </w:r>
      <w:r w:rsidR="004C088A">
        <w:rPr>
          <w:rStyle w:val="Hyperlink"/>
          <w:lang w:val="fr-CH"/>
        </w:rPr>
        <w:fldChar w:fldCharType="end"/>
      </w:r>
      <w:r w:rsidR="0024330F">
        <w:rPr>
          <w:lang w:val="fr-CH"/>
        </w:rPr>
        <w:t>,</w:t>
      </w:r>
      <w:r w:rsidRPr="005A5E76">
        <w:rPr>
          <w:lang w:val="fr-CH"/>
        </w:rPr>
        <w:t xml:space="preserve"> Résultats de l'étude de l'Inde sur la conformité des réseaux et des dispositifs aux prescriptions concernant l'exposition aux champs électromagnétiques, disponible à l'adresse: </w:t>
      </w:r>
      <w:r w:rsidR="004C088A">
        <w:fldChar w:fldCharType="begin"/>
      </w:r>
      <w:r w:rsidR="004C088A" w:rsidRPr="004C088A">
        <w:rPr>
          <w:lang w:val="fr-CH"/>
        </w:rPr>
        <w:instrText xml:space="preserve"> HYPERLINK "http://www.itu.int/en/ITU-T</w:instrText>
      </w:r>
      <w:r w:rsidR="004C088A" w:rsidRPr="004C088A">
        <w:rPr>
          <w:lang w:val="fr-CH"/>
        </w:rPr>
        <w:instrText xml:space="preserve">/climatechange/emf-1305/Documents/Presentations/s3p5-RKBhatnagar.pdf" </w:instrText>
      </w:r>
      <w:r w:rsidR="004C088A">
        <w:fldChar w:fldCharType="separate"/>
      </w:r>
      <w:r w:rsidR="007F457D" w:rsidRPr="00DE6DEA">
        <w:rPr>
          <w:rStyle w:val="Hyperlink"/>
          <w:lang w:val="fr-CH"/>
        </w:rPr>
        <w:t>www.itu.int/en/ITU-T/climatechange/emf-1305/Documents/</w:t>
      </w:r>
      <w:r w:rsidR="007F457D" w:rsidRPr="00DE6DEA">
        <w:rPr>
          <w:rStyle w:val="Hyperlink"/>
          <w:lang w:val="fr-CH"/>
        </w:rPr>
        <w:br/>
      </w:r>
      <w:proofErr w:type="spellStart"/>
      <w:r w:rsidR="007F457D" w:rsidRPr="00DE6DEA">
        <w:rPr>
          <w:rStyle w:val="Hyperlink"/>
          <w:lang w:val="fr-CH"/>
        </w:rPr>
        <w:t>Presentations</w:t>
      </w:r>
      <w:proofErr w:type="spellEnd"/>
      <w:r w:rsidR="007F457D" w:rsidRPr="00DE6DEA">
        <w:rPr>
          <w:rStyle w:val="Hyperlink"/>
          <w:lang w:val="fr-CH"/>
        </w:rPr>
        <w:t>/s3p5-RKBhatnagar.pdf</w:t>
      </w:r>
      <w:r w:rsidR="004C088A">
        <w:rPr>
          <w:rStyle w:val="Hyperlink"/>
          <w:lang w:val="fr-CH"/>
        </w:rPr>
        <w:fldChar w:fldCharType="end"/>
      </w:r>
      <w:r w:rsidRPr="005A5E76">
        <w:rPr>
          <w:lang w:val="fr-CH"/>
        </w:rPr>
        <w:t>.</w:t>
      </w:r>
    </w:p>
  </w:footnote>
  <w:footnote w:id="13">
    <w:p w:rsidR="005E2207" w:rsidRPr="00D736F1" w:rsidRDefault="005E2207" w:rsidP="00FC228B">
      <w:pPr>
        <w:pStyle w:val="FootnoteText"/>
        <w:spacing w:before="80"/>
        <w:ind w:left="284" w:hanging="284"/>
        <w:rPr>
          <w:lang w:val="fr-CH"/>
        </w:rPr>
      </w:pPr>
      <w:r>
        <w:rPr>
          <w:rStyle w:val="FootnoteReference"/>
        </w:rPr>
        <w:footnoteRef/>
      </w:r>
      <w:r>
        <w:rPr>
          <w:lang w:val="fr-CH"/>
        </w:rPr>
        <w:tab/>
      </w:r>
      <w:r w:rsidRPr="00FC228B">
        <w:rPr>
          <w:lang w:val="fr-CH"/>
        </w:rPr>
        <w:t xml:space="preserve">Cadre de l'OMS pour l'élaboration de normes sur les champs électromagnétiques basées sur la santé (2006), disponible à l'adresse: </w:t>
      </w:r>
      <w:r w:rsidR="004C088A">
        <w:fldChar w:fldCharType="begin"/>
      </w:r>
      <w:r w:rsidR="004C088A" w:rsidRPr="004C088A">
        <w:rPr>
          <w:lang w:val="fr-CH"/>
        </w:rPr>
        <w:instrText xml:space="preserve"> HYPERLINK "http://www.who.int/peh-emf/standards/framework/en/index.html" </w:instrText>
      </w:r>
      <w:r w:rsidR="004C088A">
        <w:fldChar w:fldCharType="separate"/>
      </w:r>
      <w:r w:rsidR="00FC228B" w:rsidRPr="00DE6DEA">
        <w:rPr>
          <w:rStyle w:val="Hyperlink"/>
          <w:lang w:val="fr-CH"/>
        </w:rPr>
        <w:t>www.who.int/peh-emf/standards/framework/en/index.html</w:t>
      </w:r>
      <w:r w:rsidR="004C088A">
        <w:rPr>
          <w:rStyle w:val="Hyperlink"/>
          <w:lang w:val="fr-CH"/>
        </w:rPr>
        <w:fldChar w:fldCharType="end"/>
      </w:r>
      <w:r w:rsidRPr="00FC228B">
        <w:rPr>
          <w:lang w:val="fr-CH"/>
        </w:rPr>
        <w:t>.</w:t>
      </w:r>
    </w:p>
  </w:footnote>
  <w:footnote w:id="14">
    <w:p w:rsidR="005E2207" w:rsidRPr="006E2203" w:rsidRDefault="005E2207" w:rsidP="005A3227">
      <w:pPr>
        <w:pStyle w:val="FootnoteText"/>
        <w:spacing w:before="80"/>
        <w:ind w:left="284" w:hanging="284"/>
        <w:rPr>
          <w:lang w:val="fr-CH"/>
        </w:rPr>
      </w:pPr>
      <w:r>
        <w:rPr>
          <w:rStyle w:val="FootnoteReference"/>
        </w:rPr>
        <w:footnoteRef/>
      </w:r>
      <w:r>
        <w:rPr>
          <w:lang w:val="fr-CH"/>
        </w:rPr>
        <w:tab/>
      </w:r>
      <w:r w:rsidRPr="00FC228B">
        <w:rPr>
          <w:lang w:val="fr-CH"/>
        </w:rPr>
        <w:t>Recommandation UIT-T K.52, "Lignes directrices relatives aux valeurs limites d'exposition des personnes aux champs électromagnétiques" (2004).</w:t>
      </w:r>
    </w:p>
  </w:footnote>
  <w:footnote w:id="15">
    <w:p w:rsidR="005E2207" w:rsidRPr="00FC228B" w:rsidRDefault="005E2207" w:rsidP="005A3227">
      <w:pPr>
        <w:pStyle w:val="FootnoteText"/>
        <w:spacing w:before="80"/>
        <w:rPr>
          <w:lang w:val="fr-CH"/>
        </w:rPr>
      </w:pPr>
      <w:r w:rsidRPr="009A3C51">
        <w:rPr>
          <w:rStyle w:val="FootnoteReference"/>
          <w:rFonts w:ascii="Verdana" w:hAnsi="Verdana"/>
          <w:sz w:val="16"/>
          <w:szCs w:val="16"/>
        </w:rPr>
        <w:footnoteRef/>
      </w:r>
      <w:r w:rsidRPr="009A3C51">
        <w:rPr>
          <w:rFonts w:ascii="Verdana" w:hAnsi="Verdana"/>
          <w:lang w:val="fr-CH"/>
        </w:rPr>
        <w:t xml:space="preserve"> </w:t>
      </w:r>
      <w:r>
        <w:rPr>
          <w:lang w:val="fr-CH"/>
        </w:rPr>
        <w:tab/>
      </w:r>
      <w:r w:rsidRPr="00FC228B">
        <w:rPr>
          <w:lang w:val="fr-CH"/>
        </w:rPr>
        <w:t>Cadre de l'OMS pour l'élaboration de normes sur les champs électromagnétiques basées sur la santé.</w:t>
      </w:r>
    </w:p>
  </w:footnote>
  <w:footnote w:id="16">
    <w:p w:rsidR="005E2207" w:rsidRPr="00273E39" w:rsidRDefault="005E2207" w:rsidP="00FC228B">
      <w:pPr>
        <w:pStyle w:val="FootnoteText"/>
        <w:spacing w:before="80"/>
        <w:ind w:left="284" w:hanging="284"/>
        <w:rPr>
          <w:lang w:val="fr-CH"/>
        </w:rPr>
      </w:pPr>
      <w:r w:rsidRPr="00A6513C">
        <w:rPr>
          <w:rStyle w:val="FootnoteReference"/>
          <w:rFonts w:ascii="Verdana" w:hAnsi="Verdana"/>
          <w:sz w:val="16"/>
          <w:szCs w:val="16"/>
        </w:rPr>
        <w:footnoteRef/>
      </w:r>
      <w:r>
        <w:rPr>
          <w:lang w:val="fr-CH"/>
        </w:rPr>
        <w:tab/>
      </w:r>
      <w:r w:rsidRPr="00FC228B">
        <w:rPr>
          <w:lang w:val="fr-CH"/>
        </w:rPr>
        <w:t>Législation type de l'OMS en matière de protection contre les effets des champs électromagnétiques (2006), disponible à l'adresse</w:t>
      </w:r>
      <w:r>
        <w:rPr>
          <w:lang w:val="fr-CH"/>
        </w:rPr>
        <w:t xml:space="preserve">: </w:t>
      </w:r>
      <w:r w:rsidR="004C088A">
        <w:fldChar w:fldCharType="begin"/>
      </w:r>
      <w:r w:rsidR="004C088A" w:rsidRPr="004C088A">
        <w:rPr>
          <w:lang w:val="fr-CH"/>
        </w:rPr>
        <w:instrText xml:space="preserve"> HYPERLINK "http://www.who.int/entity/peh-emf/standards/emf_model/en/index.html" </w:instrText>
      </w:r>
      <w:r w:rsidR="004C088A">
        <w:fldChar w:fldCharType="separate"/>
      </w:r>
      <w:r w:rsidR="00FC228B" w:rsidRPr="00DE6DEA">
        <w:rPr>
          <w:rStyle w:val="Hyperlink"/>
          <w:lang w:val="fr-CH"/>
        </w:rPr>
        <w:t>www.who.int/entity/peh-emf/standards/emf_model/en/index.html</w:t>
      </w:r>
      <w:r w:rsidR="004C088A">
        <w:rPr>
          <w:rStyle w:val="Hyperlink"/>
          <w:lang w:val="fr-CH"/>
        </w:rPr>
        <w:fldChar w:fldCharType="end"/>
      </w:r>
      <w:r w:rsidRPr="00FC228B">
        <w:rPr>
          <w:lang w:val="fr-CH"/>
        </w:rPr>
        <w:t>.</w:t>
      </w:r>
    </w:p>
  </w:footnote>
  <w:footnote w:id="17">
    <w:p w:rsidR="005E2207" w:rsidRPr="00B71D7F" w:rsidRDefault="005E2207" w:rsidP="00FC228B">
      <w:pPr>
        <w:pStyle w:val="FootnoteText"/>
        <w:spacing w:before="80"/>
        <w:ind w:left="284" w:hanging="284"/>
        <w:rPr>
          <w:lang w:val="fr-CH"/>
        </w:rPr>
      </w:pPr>
      <w:r w:rsidRPr="009A3C51">
        <w:rPr>
          <w:rStyle w:val="FootnoteReference"/>
          <w:rFonts w:ascii="Verdana" w:hAnsi="Verdana"/>
          <w:sz w:val="16"/>
          <w:szCs w:val="16"/>
        </w:rPr>
        <w:footnoteRef/>
      </w:r>
      <w:r>
        <w:rPr>
          <w:lang w:val="fr-CH"/>
        </w:rPr>
        <w:tab/>
      </w:r>
      <w:r w:rsidRPr="00FC228B">
        <w:rPr>
          <w:lang w:val="fr-CH"/>
        </w:rPr>
        <w:t xml:space="preserve">Manuel de l'UIT sur le contrôle du spectre (2011), disponible à l'adresse: </w:t>
      </w:r>
      <w:r w:rsidR="004C088A">
        <w:fldChar w:fldCharType="begin"/>
      </w:r>
      <w:r w:rsidR="004C088A" w:rsidRPr="004C088A">
        <w:rPr>
          <w:lang w:val="fr-CH"/>
        </w:rPr>
        <w:instrText xml:space="preserve"> HYPERLINK "http://www.itu.int/pub/RHDB232011" </w:instrText>
      </w:r>
      <w:r w:rsidR="004C088A">
        <w:fldChar w:fldCharType="separate"/>
      </w:r>
      <w:r w:rsidR="00FC228B" w:rsidRPr="00DE6DEA">
        <w:rPr>
          <w:rStyle w:val="Hyperlink"/>
          <w:lang w:val="fr-CH"/>
        </w:rPr>
        <w:t>www.itu.int/pub/R</w:t>
      </w:r>
      <w:r w:rsidR="00FC228B" w:rsidRPr="00DE6DEA">
        <w:rPr>
          <w:rStyle w:val="Hyperlink"/>
          <w:lang w:val="fr-CH"/>
        </w:rPr>
        <w:noBreakHyphen/>
        <w:t>HDB</w:t>
      </w:r>
      <w:r w:rsidR="00FC228B" w:rsidRPr="00DE6DEA">
        <w:rPr>
          <w:rStyle w:val="Hyperlink"/>
          <w:lang w:val="fr-CH"/>
        </w:rPr>
        <w:noBreakHyphen/>
        <w:t>23</w:t>
      </w:r>
      <w:r w:rsidR="00FC228B" w:rsidRPr="00DE6DEA">
        <w:rPr>
          <w:rStyle w:val="Hyperlink"/>
          <w:lang w:val="fr-CH"/>
        </w:rPr>
        <w:noBreakHyphen/>
        <w:t>2011</w:t>
      </w:r>
      <w:r w:rsidR="004C088A">
        <w:rPr>
          <w:rStyle w:val="Hyperlink"/>
          <w:lang w:val="fr-CH"/>
        </w:rPr>
        <w:fldChar w:fldCharType="end"/>
      </w:r>
      <w:r w:rsidRPr="00FC228B">
        <w:rPr>
          <w:lang w:val="fr-CH"/>
        </w:rPr>
        <w:t>.</w:t>
      </w:r>
    </w:p>
  </w:footnote>
  <w:footnote w:id="18">
    <w:p w:rsidR="005E2207" w:rsidRPr="007870E1" w:rsidRDefault="005E2207" w:rsidP="005A3227">
      <w:pPr>
        <w:pStyle w:val="FootnoteText"/>
        <w:spacing w:before="80"/>
        <w:rPr>
          <w:lang w:val="fr-CH"/>
        </w:rPr>
      </w:pPr>
      <w:r w:rsidRPr="00F32D74">
        <w:rPr>
          <w:rStyle w:val="FootnoteReference"/>
          <w:rFonts w:ascii="Verdana" w:hAnsi="Verdana"/>
          <w:sz w:val="16"/>
          <w:szCs w:val="16"/>
        </w:rPr>
        <w:footnoteRef/>
      </w:r>
      <w:r>
        <w:rPr>
          <w:rFonts w:ascii="Verdana" w:hAnsi="Verdana" w:cs="Consolas"/>
          <w:szCs w:val="18"/>
          <w:lang w:val="fr-FR"/>
        </w:rPr>
        <w:tab/>
      </w:r>
      <w:r w:rsidRPr="007870E1">
        <w:rPr>
          <w:lang w:val="fr-CH"/>
        </w:rPr>
        <w:t>Manuel de l'UIT sur le contrôle du spectre, section 5.6.</w:t>
      </w:r>
    </w:p>
  </w:footnote>
  <w:footnote w:id="19">
    <w:p w:rsidR="005E2207" w:rsidRPr="007870E1" w:rsidRDefault="005E2207" w:rsidP="005A3227">
      <w:pPr>
        <w:pStyle w:val="FootnoteText"/>
        <w:spacing w:before="80"/>
        <w:rPr>
          <w:lang w:val="fr-CH"/>
        </w:rPr>
      </w:pPr>
      <w:r w:rsidRPr="00F32D74">
        <w:rPr>
          <w:rStyle w:val="FootnoteReference"/>
          <w:rFonts w:ascii="Verdana" w:hAnsi="Verdana"/>
          <w:sz w:val="16"/>
          <w:szCs w:val="16"/>
        </w:rPr>
        <w:footnoteRef/>
      </w:r>
      <w:r>
        <w:rPr>
          <w:rFonts w:ascii="Verdana" w:hAnsi="Verdana" w:cs="Consolas"/>
          <w:szCs w:val="18"/>
          <w:lang w:val="fr-FR"/>
        </w:rPr>
        <w:tab/>
      </w:r>
      <w:r w:rsidRPr="007870E1">
        <w:rPr>
          <w:lang w:val="fr-CH"/>
        </w:rPr>
        <w:t>Manuel de l'UIT sur le contrôle du spectre, section 5.6.</w:t>
      </w:r>
    </w:p>
  </w:footnote>
  <w:footnote w:id="20">
    <w:p w:rsidR="005E2207" w:rsidRPr="00FA2090" w:rsidRDefault="005E2207" w:rsidP="007870E1">
      <w:pPr>
        <w:pStyle w:val="FootnoteText"/>
        <w:spacing w:before="80"/>
        <w:rPr>
          <w:lang w:val="en-US"/>
        </w:rPr>
      </w:pPr>
      <w:r>
        <w:rPr>
          <w:rStyle w:val="FootnoteReference"/>
        </w:rPr>
        <w:footnoteRef/>
      </w:r>
      <w:r w:rsidRPr="00FA2090">
        <w:rPr>
          <w:rFonts w:ascii="Verdana" w:hAnsi="Verdana" w:cs="Consolas"/>
          <w:szCs w:val="18"/>
          <w:lang w:val="en-US"/>
        </w:rPr>
        <w:tab/>
      </w:r>
      <w:proofErr w:type="spellStart"/>
      <w:r w:rsidRPr="00FA2090">
        <w:rPr>
          <w:lang w:val="en-US"/>
        </w:rPr>
        <w:t>Voir</w:t>
      </w:r>
      <w:proofErr w:type="spellEnd"/>
      <w:r w:rsidRPr="00FA2090">
        <w:rPr>
          <w:lang w:val="en-US"/>
        </w:rPr>
        <w:t>:</w:t>
      </w:r>
      <w:hyperlink w:history="1">
        <w:r w:rsidR="007870E1" w:rsidRPr="00DE6DEA">
          <w:rPr>
            <w:rStyle w:val="Hyperlink"/>
          </w:rPr>
          <w:t xml:space="preserve"> www.sartick.com/</w:t>
        </w:r>
      </w:hyperlink>
      <w:r w:rsidRPr="00FA2090">
        <w:rPr>
          <w:lang w:val="en-US"/>
        </w:rPr>
        <w:t>.</w:t>
      </w:r>
    </w:p>
  </w:footnote>
  <w:footnote w:id="21">
    <w:p w:rsidR="005E2207" w:rsidRPr="00CB5D12" w:rsidRDefault="005E2207" w:rsidP="00637721">
      <w:pPr>
        <w:pStyle w:val="FootnoteText"/>
        <w:rPr>
          <w:szCs w:val="18"/>
        </w:rPr>
      </w:pPr>
      <w:r w:rsidRPr="00FA6CE1">
        <w:rPr>
          <w:rStyle w:val="FootnoteReference"/>
          <w:lang w:val="en-US"/>
        </w:rPr>
        <w:t>1</w:t>
      </w:r>
      <w:r>
        <w:t xml:space="preserve"> </w:t>
      </w:r>
      <w:r>
        <w:rPr>
          <w:szCs w:val="18"/>
        </w:rPr>
        <w:tab/>
      </w:r>
      <w:r w:rsidRPr="00CB5D12">
        <w:rPr>
          <w:szCs w:val="18"/>
        </w:rPr>
        <w:t xml:space="preserve">See </w:t>
      </w:r>
      <w:proofErr w:type="spellStart"/>
      <w:r w:rsidRPr="00CB5D12">
        <w:rPr>
          <w:szCs w:val="18"/>
        </w:rPr>
        <w:t>Mazar</w:t>
      </w:r>
      <w:proofErr w:type="spellEnd"/>
      <w:r w:rsidRPr="00CB5D12">
        <w:rPr>
          <w:szCs w:val="18"/>
        </w:rPr>
        <w:t xml:space="preserve"> H. 2009a </w:t>
      </w:r>
      <w:hyperlink r:id="rId1" w:history="1">
        <w:r w:rsidRPr="0060799F">
          <w:rPr>
            <w:rStyle w:val="Hyperlink"/>
            <w:szCs w:val="18"/>
            <w:lang w:val="en-US"/>
          </w:rPr>
          <w:t>An Analysis of Regulatory Frameworks for Wireless Communications, Societal Concerns and Risk: the Case of Radio Frequency (RF) Allocation and Licensing</w:t>
        </w:r>
      </w:hyperlink>
    </w:p>
  </w:footnote>
  <w:footnote w:id="22">
    <w:p w:rsidR="005E2207" w:rsidRPr="00CB5D12" w:rsidRDefault="005E2207" w:rsidP="00061F17">
      <w:pPr>
        <w:pStyle w:val="FootnoteText"/>
      </w:pPr>
      <w:r w:rsidRPr="001970D2">
        <w:rPr>
          <w:rStyle w:val="FootnoteReference"/>
          <w:lang w:val="en-US"/>
        </w:rPr>
        <w:t>1</w:t>
      </w:r>
      <w:r>
        <w:t xml:space="preserve"> </w:t>
      </w:r>
      <w:r>
        <w:rPr>
          <w:szCs w:val="18"/>
        </w:rPr>
        <w:tab/>
      </w:r>
      <w:r w:rsidRPr="00CB5D12">
        <w:rPr>
          <w:szCs w:val="18"/>
        </w:rPr>
        <w:t xml:space="preserve">See </w:t>
      </w:r>
      <w:proofErr w:type="spellStart"/>
      <w:r w:rsidRPr="00CB5D12">
        <w:rPr>
          <w:snapToGrid w:val="0"/>
          <w:szCs w:val="18"/>
        </w:rPr>
        <w:t>Mazar</w:t>
      </w:r>
      <w:proofErr w:type="spellEnd"/>
      <w:r w:rsidRPr="00CB5D12">
        <w:rPr>
          <w:snapToGrid w:val="0"/>
          <w:szCs w:val="18"/>
        </w:rPr>
        <w:t xml:space="preserve"> H. 2009a and a forthcoming John Wiley &amp; Sons publication, ‘Radio Spectrum Management:  Policies, Regulations, Standards and Techniques’, chapter 13 - Limitations to Radio Frequency Human Exposure.</w:t>
      </w:r>
    </w:p>
  </w:footnote>
  <w:footnote w:id="23">
    <w:p w:rsidR="005E2207" w:rsidRPr="00D25AD1" w:rsidRDefault="005E2207" w:rsidP="00061F17">
      <w:pPr>
        <w:pStyle w:val="FootnoteText"/>
        <w:rPr>
          <w:szCs w:val="18"/>
          <w:lang w:eastAsia="en-GB"/>
        </w:rPr>
      </w:pPr>
      <w:r w:rsidRPr="001970D2">
        <w:rPr>
          <w:rStyle w:val="FootnoteReference"/>
          <w:lang w:val="en-US"/>
        </w:rPr>
        <w:t>2</w:t>
      </w:r>
      <w:r>
        <w:t xml:space="preserve"> </w:t>
      </w:r>
      <w:r>
        <w:rPr>
          <w:szCs w:val="18"/>
          <w:lang w:eastAsia="en-GB"/>
        </w:rPr>
        <w:tab/>
      </w:r>
      <w:r w:rsidRPr="00D25AD1">
        <w:rPr>
          <w:szCs w:val="18"/>
          <w:lang w:eastAsia="en-GB"/>
        </w:rPr>
        <w:t xml:space="preserve">ICNIRP1998:509 table 4; EC 1999/519, Annex III, Table 1; FCC 1997:75 (and </w:t>
      </w:r>
      <w:r w:rsidRPr="00D25AD1">
        <w:rPr>
          <w:szCs w:val="18"/>
        </w:rPr>
        <w:t>FCC 2006 CFR 47 § 2.1093).</w:t>
      </w:r>
    </w:p>
  </w:footnote>
  <w:footnote w:id="24">
    <w:p w:rsidR="005E2207" w:rsidRPr="00D25AD1" w:rsidRDefault="005E2207" w:rsidP="00061F17">
      <w:pPr>
        <w:pStyle w:val="FootnoteText"/>
        <w:rPr>
          <w:szCs w:val="18"/>
          <w:lang w:eastAsia="en-GB"/>
        </w:rPr>
      </w:pPr>
      <w:r w:rsidRPr="001970D2">
        <w:rPr>
          <w:rStyle w:val="FootnoteReference"/>
          <w:lang w:val="en-US"/>
        </w:rPr>
        <w:t>3</w:t>
      </w:r>
      <w:r>
        <w:t xml:space="preserve"> </w:t>
      </w:r>
      <w:r>
        <w:rPr>
          <w:szCs w:val="18"/>
          <w:lang w:eastAsia="en-GB"/>
        </w:rPr>
        <w:tab/>
      </w:r>
      <w:r w:rsidRPr="00D25AD1">
        <w:rPr>
          <w:szCs w:val="18"/>
          <w:lang w:eastAsia="en-GB"/>
        </w:rPr>
        <w:t>Even the averaging is more stringent in the US, as the limit is averaged over one gram (FCC 2001:75), and not 10 grams as in ICNIRP 1998</w:t>
      </w:r>
      <w:r w:rsidRPr="00D25AD1">
        <w:rPr>
          <w:color w:val="00FF00"/>
          <w:szCs w:val="18"/>
          <w:lang w:eastAsia="en-GB"/>
        </w:rPr>
        <w:t>.</w:t>
      </w:r>
      <w:r w:rsidRPr="00D25AD1">
        <w:rPr>
          <w:szCs w:val="18"/>
          <w:lang w:eastAsia="en-GB"/>
        </w:rPr>
        <w:t xml:space="preserve"> Following changes in the IEEE C95.1-2005 standard, the US ANSI may adopt in the future the less stringent European level for SAR and averaging.</w:t>
      </w:r>
    </w:p>
  </w:footnote>
  <w:footnote w:id="25">
    <w:p w:rsidR="005E2207" w:rsidRPr="00C20DC1" w:rsidRDefault="005E2207">
      <w:pPr>
        <w:pStyle w:val="FootnoteText"/>
      </w:pPr>
      <w:r w:rsidRPr="00C20DC1">
        <w:rPr>
          <w:rStyle w:val="FootnoteReference"/>
          <w:lang w:val="en-GB"/>
        </w:rPr>
        <w:t>*</w:t>
      </w:r>
      <w:r>
        <w:t xml:space="preserve"> </w:t>
      </w:r>
      <w:r>
        <w:tab/>
      </w:r>
      <w:hyperlink r:id="rId2" w:history="1">
        <w:r>
          <w:rPr>
            <w:rStyle w:val="Hyperlink"/>
            <w:szCs w:val="19"/>
            <w:lang w:val="en-US"/>
          </w:rPr>
          <w:t>www</w:t>
        </w:r>
        <w:r w:rsidRPr="0060799F">
          <w:rPr>
            <w:rStyle w:val="Hyperlink"/>
            <w:szCs w:val="19"/>
            <w:lang w:val="en-US"/>
          </w:rPr>
          <w:t>.itu.int/ITU-D/study_groups/SGP_2010-2014/doc/rgq/2010/D10-RGQ23.1-en.pdf</w:t>
        </w:r>
      </w:hyperlink>
    </w:p>
  </w:footnote>
  <w:footnote w:id="26">
    <w:p w:rsidR="005E2207" w:rsidRPr="00FA6CE1" w:rsidRDefault="005E2207">
      <w:pPr>
        <w:pStyle w:val="FootnoteText"/>
      </w:pPr>
      <w:r w:rsidRPr="00FA6CE1">
        <w:rPr>
          <w:rStyle w:val="FootnoteReference"/>
          <w:lang w:val="en-US"/>
        </w:rPr>
        <w:t>*</w:t>
      </w:r>
      <w:r>
        <w:t xml:space="preserve"> </w:t>
      </w:r>
      <w:r>
        <w:tab/>
      </w:r>
      <w:hyperlink r:id="rId3" w:history="1">
        <w:r>
          <w:rPr>
            <w:rStyle w:val="Hyperlink"/>
            <w:szCs w:val="19"/>
            <w:lang w:val="en-US"/>
          </w:rPr>
          <w:t>www</w:t>
        </w:r>
        <w:r w:rsidRPr="0060799F">
          <w:rPr>
            <w:rStyle w:val="Hyperlink"/>
            <w:szCs w:val="19"/>
            <w:lang w:val="en-US"/>
          </w:rPr>
          <w:t>.itu.int/pub/T-RES-T.72-2012</w:t>
        </w:r>
      </w:hyperlink>
    </w:p>
  </w:footnote>
  <w:footnote w:id="27">
    <w:p w:rsidR="005E2207" w:rsidRPr="00916816" w:rsidRDefault="005E2207" w:rsidP="00061F17">
      <w:pPr>
        <w:pStyle w:val="FootnoteText"/>
      </w:pPr>
      <w:r w:rsidRPr="00FA6CE1">
        <w:rPr>
          <w:rStyle w:val="FootnoteReference"/>
          <w:lang w:val="en-US"/>
        </w:rPr>
        <w:t>1</w:t>
      </w:r>
      <w:r>
        <w:t xml:space="preserve"> </w:t>
      </w:r>
      <w:r>
        <w:tab/>
      </w:r>
      <w:r w:rsidRPr="00415A34">
        <w:rPr>
          <w:sz w:val="19"/>
          <w:szCs w:val="19"/>
        </w:rPr>
        <w:t xml:space="preserve">These include the least developed countries, </w:t>
      </w:r>
      <w:proofErr w:type="gramStart"/>
      <w:r w:rsidRPr="00415A34">
        <w:rPr>
          <w:sz w:val="19"/>
          <w:szCs w:val="19"/>
        </w:rPr>
        <w:t>small island</w:t>
      </w:r>
      <w:proofErr w:type="gramEnd"/>
      <w:r w:rsidRPr="00415A34">
        <w:rPr>
          <w:sz w:val="19"/>
          <w:szCs w:val="19"/>
        </w:rPr>
        <w:t xml:space="preserve"> developing states, landlocked developing countries and countries with economies in transition.</w:t>
      </w:r>
    </w:p>
  </w:footnote>
  <w:footnote w:id="28">
    <w:p w:rsidR="005E2207" w:rsidRPr="00BC0DB7" w:rsidRDefault="005E2207">
      <w:pPr>
        <w:pStyle w:val="FootnoteText"/>
        <w:rPr>
          <w:lang w:val="en-US"/>
        </w:rPr>
      </w:pPr>
      <w:r w:rsidRPr="00BC0DB7">
        <w:rPr>
          <w:rStyle w:val="FootnoteReference"/>
          <w:lang w:val="en-US"/>
        </w:rPr>
        <w:t>*</w:t>
      </w:r>
      <w:r>
        <w:t xml:space="preserve"> </w:t>
      </w:r>
      <w:r>
        <w:tab/>
      </w:r>
      <w:hyperlink r:id="rId4" w:history="1">
        <w:r>
          <w:rPr>
            <w:rStyle w:val="Hyperlink"/>
            <w:szCs w:val="19"/>
            <w:lang w:val="en-US"/>
          </w:rPr>
          <w:t>www</w:t>
        </w:r>
        <w:r w:rsidRPr="0060799F">
          <w:rPr>
            <w:rStyle w:val="Hyperlink"/>
            <w:szCs w:val="19"/>
            <w:lang w:val="en-US"/>
          </w:rPr>
          <w:t>.itu.int/ITU-D/conferences/wtdc/2010/pdf/WTDC10_DraftPreliminaryReport.pdf</w:t>
        </w:r>
      </w:hyperlink>
      <w:r>
        <w:rPr>
          <w:lang w:val="en-US"/>
        </w:rPr>
        <w:t xml:space="preserve"> </w:t>
      </w:r>
    </w:p>
  </w:footnote>
  <w:footnote w:id="29">
    <w:p w:rsidR="005E2207" w:rsidRPr="00061F17" w:rsidRDefault="005E2207" w:rsidP="00BC0DB7">
      <w:pPr>
        <w:pStyle w:val="FootnoteText"/>
      </w:pPr>
      <w:r w:rsidRPr="00FA6CE1">
        <w:rPr>
          <w:rStyle w:val="FootnoteReference"/>
          <w:lang w:val="en-US"/>
        </w:rPr>
        <w:t>1</w:t>
      </w:r>
      <w:r w:rsidRPr="00061F17">
        <w:t xml:space="preserve"> </w:t>
      </w:r>
      <w:r>
        <w:tab/>
      </w:r>
      <w:r w:rsidRPr="00061F17">
        <w:t xml:space="preserve">These include the least developed countries, </w:t>
      </w:r>
      <w:proofErr w:type="gramStart"/>
      <w:r w:rsidRPr="00061F17">
        <w:t>small island</w:t>
      </w:r>
      <w:proofErr w:type="gramEnd"/>
      <w:r w:rsidRPr="00061F17">
        <w:t xml:space="preserve"> developing states, landlocked developing countries and countries with economies in transition. </w:t>
      </w:r>
    </w:p>
  </w:footnote>
  <w:footnote w:id="30">
    <w:p w:rsidR="005E2207" w:rsidRPr="00BC0DB7" w:rsidRDefault="005E2207">
      <w:pPr>
        <w:pStyle w:val="FootnoteText"/>
        <w:rPr>
          <w:lang w:val="en-US"/>
        </w:rPr>
      </w:pPr>
      <w:r w:rsidRPr="00BC0DB7">
        <w:rPr>
          <w:rStyle w:val="FootnoteReference"/>
          <w:lang w:val="en-GB"/>
        </w:rPr>
        <w:t>*</w:t>
      </w:r>
      <w:r>
        <w:t xml:space="preserve"> </w:t>
      </w:r>
      <w:r>
        <w:rPr>
          <w:lang w:val="en-US"/>
        </w:rPr>
        <w:tab/>
      </w:r>
      <w:hyperlink r:id="rId5" w:history="1">
        <w:r>
          <w:rPr>
            <w:rStyle w:val="Hyperlink"/>
            <w:szCs w:val="19"/>
            <w:lang w:val="en-US"/>
          </w:rPr>
          <w:t>www</w:t>
        </w:r>
        <w:r w:rsidRPr="0060799F">
          <w:rPr>
            <w:rStyle w:val="Hyperlink"/>
            <w:szCs w:val="19"/>
            <w:lang w:val="en-US"/>
          </w:rPr>
          <w:t>.itu.int/pub/S-CONF-ACTF-2010/en</w:t>
        </w:r>
      </w:hyperlink>
    </w:p>
  </w:footnote>
  <w:footnote w:id="31">
    <w:p w:rsidR="005E2207" w:rsidRPr="00FA6CE1" w:rsidRDefault="005E2207" w:rsidP="00C5703E">
      <w:pPr>
        <w:pStyle w:val="FootnoteText"/>
        <w:rPr>
          <w:rStyle w:val="FootnoteTextChar"/>
        </w:rPr>
      </w:pPr>
      <w:r w:rsidRPr="00061F17">
        <w:rPr>
          <w:rStyle w:val="FootnoteReference"/>
          <w:szCs w:val="19"/>
          <w:lang w:val="en-US"/>
        </w:rPr>
        <w:t>1</w:t>
      </w:r>
      <w:r w:rsidRPr="00FA6CE1">
        <w:tab/>
      </w:r>
      <w:proofErr w:type="gramStart"/>
      <w:r w:rsidRPr="00FA6CE1">
        <w:rPr>
          <w:rStyle w:val="FootnoteTextChar"/>
        </w:rPr>
        <w:t xml:space="preserve">Guidelines for limiting exposure to time-varying electric, magnetic and electromagnetic fields (up to 300 GHz) – </w:t>
      </w:r>
      <w:hyperlink r:id="rId6" w:history="1">
        <w:r>
          <w:rPr>
            <w:rStyle w:val="Hyperlink"/>
            <w:bCs/>
            <w:szCs w:val="18"/>
          </w:rPr>
          <w:t>www</w:t>
        </w:r>
        <w:r w:rsidRPr="00667A32">
          <w:rPr>
            <w:rStyle w:val="Hyperlink"/>
            <w:bCs/>
            <w:szCs w:val="18"/>
          </w:rPr>
          <w:t>.icnirp.de/documents/emfgdl.pdf</w:t>
        </w:r>
      </w:hyperlink>
      <w:r w:rsidRPr="00FA6CE1">
        <w:rPr>
          <w:rStyle w:val="FootnoteTextChar"/>
        </w:rPr>
        <w:t>.</w:t>
      </w:r>
      <w:proofErr w:type="gramEnd"/>
      <w:r>
        <w:rPr>
          <w:rStyle w:val="FootnoteTextChar"/>
        </w:rPr>
        <w:t xml:space="preserve"> </w:t>
      </w:r>
    </w:p>
  </w:footnote>
  <w:footnote w:id="32">
    <w:p w:rsidR="005E2207" w:rsidRPr="00667A32" w:rsidRDefault="005E2207" w:rsidP="00FA6CE1">
      <w:pPr>
        <w:pStyle w:val="FootnoteText"/>
        <w:rPr>
          <w:rStyle w:val="FootnoteTextChar"/>
          <w:b/>
          <w:bCs/>
          <w:szCs w:val="18"/>
        </w:rPr>
      </w:pPr>
      <w:r w:rsidRPr="00061F17">
        <w:rPr>
          <w:rStyle w:val="FootnoteReference"/>
          <w:szCs w:val="19"/>
          <w:lang w:val="en-US"/>
        </w:rPr>
        <w:t>2</w:t>
      </w:r>
      <w:r w:rsidRPr="00FA6CE1">
        <w:tab/>
      </w:r>
      <w:proofErr w:type="gramStart"/>
      <w:r w:rsidRPr="00FA6CE1">
        <w:t xml:space="preserve">IEEE </w:t>
      </w:r>
      <w:proofErr w:type="spellStart"/>
      <w:r w:rsidRPr="00FA6CE1">
        <w:t>Std</w:t>
      </w:r>
      <w:proofErr w:type="spellEnd"/>
      <w:r w:rsidRPr="00FA6CE1">
        <w:t xml:space="preserve"> C95.1™-2005, IEEE standard for safety levels with respect to human exposure to radio frequency electromagnetic fields, 3 kHz to 300 GHz</w:t>
      </w:r>
      <w:r w:rsidRPr="00667A32">
        <w:rPr>
          <w:rStyle w:val="FootnoteTextChar"/>
          <w:b/>
          <w:szCs w:val="18"/>
        </w:rPr>
        <w:t>.</w:t>
      </w:r>
      <w:proofErr w:type="gramEnd"/>
    </w:p>
  </w:footnote>
  <w:footnote w:id="33">
    <w:p w:rsidR="005E2207" w:rsidRPr="008B2D4E" w:rsidRDefault="005E2207">
      <w:pPr>
        <w:pStyle w:val="FootnoteText"/>
      </w:pPr>
      <w:r w:rsidRPr="008B2D4E">
        <w:rPr>
          <w:rStyle w:val="FootnoteReference"/>
          <w:lang w:val="en-GB"/>
        </w:rPr>
        <w:t>*</w:t>
      </w:r>
      <w:r>
        <w:t xml:space="preserve"> </w:t>
      </w:r>
      <w:r>
        <w:tab/>
      </w:r>
      <w:hyperlink r:id="rId7" w:history="1">
        <w:r>
          <w:rPr>
            <w:rStyle w:val="Hyperlink"/>
            <w:bCs/>
            <w:szCs w:val="19"/>
            <w:lang w:val="en-US"/>
          </w:rPr>
          <w:t>www</w:t>
        </w:r>
        <w:r w:rsidRPr="0060799F">
          <w:rPr>
            <w:rStyle w:val="Hyperlink"/>
            <w:bCs/>
            <w:szCs w:val="19"/>
            <w:lang w:val="en-US"/>
          </w:rPr>
          <w:t>.itu.int/md/D10-RGQ23.1-INF-0004/</w:t>
        </w:r>
      </w:hyperlink>
    </w:p>
  </w:footnote>
  <w:footnote w:id="34">
    <w:p w:rsidR="005E2207" w:rsidRPr="008B2D4E" w:rsidRDefault="005E2207">
      <w:pPr>
        <w:pStyle w:val="FootnoteText"/>
        <w:rPr>
          <w:lang w:val="en-US"/>
        </w:rPr>
      </w:pPr>
      <w:r w:rsidRPr="008B2D4E">
        <w:rPr>
          <w:rStyle w:val="FootnoteReference"/>
          <w:lang w:val="en-GB"/>
        </w:rPr>
        <w:t>*</w:t>
      </w:r>
      <w:r>
        <w:t xml:space="preserve"> </w:t>
      </w:r>
      <w:r>
        <w:rPr>
          <w:lang w:val="en-US"/>
        </w:rPr>
        <w:tab/>
      </w:r>
      <w:hyperlink r:id="rId8" w:history="1">
        <w:r>
          <w:rPr>
            <w:rStyle w:val="Hyperlink"/>
            <w:bCs/>
            <w:szCs w:val="19"/>
            <w:lang w:val="en-US"/>
          </w:rPr>
          <w:t>www</w:t>
        </w:r>
        <w:r w:rsidRPr="0060799F">
          <w:rPr>
            <w:rStyle w:val="Hyperlink"/>
            <w:bCs/>
            <w:szCs w:val="19"/>
            <w:lang w:val="en-US"/>
          </w:rPr>
          <w:t>.itu.int/ITU-D/CDS/sg/rgqlist.asp?lg=1&amp;sp=2010&amp;rgq=D10-RGQ23.1&amp;stg=1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7" w:rsidRPr="00C5754A" w:rsidRDefault="005E2207" w:rsidP="00C5754A">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7" w:rsidRPr="00C5754A" w:rsidRDefault="005E2207" w:rsidP="00C5754A">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7" w:rsidRPr="006270FB" w:rsidRDefault="005E2207" w:rsidP="006270FB">
    <w:pPr>
      <w:pStyle w:val="Header"/>
      <w:rPr>
        <w:lang w:val="fr-CH"/>
      </w:rPr>
    </w:pPr>
    <w:r w:rsidRPr="006270FB">
      <w:rPr>
        <w:lang w:val="fr-CH"/>
      </w:rPr>
      <w:t>Q23/1:</w:t>
    </w:r>
    <w:r w:rsidRPr="006270FB">
      <w:rPr>
        <w:rFonts w:cstheme="minorBidi"/>
        <w:lang w:val="fr-CH" w:bidi="ar-EG"/>
      </w:rPr>
      <w:t xml:space="preserve"> </w:t>
    </w:r>
    <w:r w:rsidRPr="000A61C2">
      <w:rPr>
        <w:lang w:val="fr-CH"/>
      </w:rPr>
      <w:t>Stratégies et politiques concernant l'exposition des personnes aux champs électromagnétiques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7" w:rsidRPr="006270FB" w:rsidRDefault="005E2207" w:rsidP="006270FB">
    <w:pPr>
      <w:pStyle w:val="Header"/>
      <w:rPr>
        <w:lang w:val="fr-CH"/>
      </w:rPr>
    </w:pPr>
    <w:r w:rsidRPr="006270FB">
      <w:rPr>
        <w:lang w:val="fr-CH"/>
      </w:rPr>
      <w:t>Q23/1:</w:t>
    </w:r>
    <w:r w:rsidRPr="006270FB">
      <w:rPr>
        <w:rFonts w:cstheme="minorBidi"/>
        <w:lang w:val="fr-CH" w:bidi="ar-EG"/>
      </w:rPr>
      <w:t xml:space="preserve"> </w:t>
    </w:r>
    <w:r w:rsidRPr="000A61C2">
      <w:rPr>
        <w:lang w:val="fr-CH"/>
      </w:rPr>
      <w:t>Stratégies et politiques concernant l'exposition des personnes aux champs électromagnétiques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7" w:rsidRPr="008954F3" w:rsidRDefault="005E2207" w:rsidP="008954F3">
    <w:pPr>
      <w:pStyle w:val="Header"/>
      <w:rPr>
        <w:lang w:val="fr-CH"/>
      </w:rPr>
    </w:pPr>
    <w:r w:rsidRPr="006270FB">
      <w:rPr>
        <w:lang w:val="fr-CH"/>
      </w:rPr>
      <w:t>Q23/1:</w:t>
    </w:r>
    <w:r w:rsidRPr="006270FB">
      <w:rPr>
        <w:rFonts w:cstheme="minorBidi"/>
        <w:lang w:val="fr-CH" w:bidi="ar-EG"/>
      </w:rPr>
      <w:t xml:space="preserve"> </w:t>
    </w:r>
    <w:r w:rsidRPr="000A61C2">
      <w:rPr>
        <w:lang w:val="fr-CH"/>
      </w:rPr>
      <w:t>Stratégies et politiques concernant l'exposition des personnes aux champs électromagnétiques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7" w:rsidRPr="008954F3" w:rsidRDefault="005E2207" w:rsidP="008954F3">
    <w:pPr>
      <w:pStyle w:val="Header"/>
      <w:rPr>
        <w:lang w:val="fr-CH"/>
      </w:rPr>
    </w:pPr>
    <w:r w:rsidRPr="006270FB">
      <w:rPr>
        <w:lang w:val="fr-CH"/>
      </w:rPr>
      <w:t>Q23/1:</w:t>
    </w:r>
    <w:r w:rsidRPr="006270FB">
      <w:rPr>
        <w:rFonts w:cstheme="minorBidi"/>
        <w:lang w:val="fr-CH" w:bidi="ar-EG"/>
      </w:rPr>
      <w:t xml:space="preserve"> </w:t>
    </w:r>
    <w:r w:rsidRPr="000A61C2">
      <w:rPr>
        <w:lang w:val="fr-CH"/>
      </w:rPr>
      <w:t>Stratégies et politiques concernant l'exposition des personnes aux champs électromagnétiques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7" w:rsidRDefault="005E2207" w:rsidP="00002906">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7" w:rsidRDefault="005E2207" w:rsidP="00CE3378">
    <w:pPr>
      <w:pStyle w:val="Header"/>
    </w:pPr>
    <w:r w:rsidRPr="004317D7">
      <w:t>Q</w:t>
    </w:r>
    <w:r>
      <w:t>23</w:t>
    </w:r>
    <w:r w:rsidRPr="004317D7">
      <w:t>/1:</w:t>
    </w:r>
    <w:r>
      <w:rPr>
        <w:rFonts w:cstheme="minorBidi"/>
        <w:lang w:bidi="ar-EG"/>
      </w:rPr>
      <w:t xml:space="preserve"> </w:t>
    </w:r>
    <w:r w:rsidRPr="00C81BD3">
      <w:t>Strategies and policies concerning human exposure to electromagnetic fields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9pt;height:9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02743CCB"/>
    <w:multiLevelType w:val="hybridMultilevel"/>
    <w:tmpl w:val="52B09D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3F3D10"/>
    <w:multiLevelType w:val="hybridMultilevel"/>
    <w:tmpl w:val="B8CE6ABC"/>
    <w:lvl w:ilvl="0" w:tplc="E35E1910">
      <w:start w:val="30"/>
      <w:numFmt w:val="bullet"/>
      <w:lvlText w:val="-"/>
      <w:lvlJc w:val="left"/>
      <w:pPr>
        <w:ind w:left="720" w:hanging="360"/>
      </w:pPr>
      <w:rPr>
        <w:rFonts w:ascii="Trebuchet MS" w:eastAsia="SimHei" w:hAnsi="Trebuchet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862400E"/>
    <w:multiLevelType w:val="hybridMultilevel"/>
    <w:tmpl w:val="48E023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612CDC"/>
    <w:multiLevelType w:val="hybridMultilevel"/>
    <w:tmpl w:val="4A7C0624"/>
    <w:lvl w:ilvl="0" w:tplc="1C090001">
      <w:start w:val="1"/>
      <w:numFmt w:val="bullet"/>
      <w:lvlText w:val=""/>
      <w:lvlJc w:val="left"/>
      <w:pPr>
        <w:ind w:left="802" w:hanging="360"/>
      </w:pPr>
      <w:rPr>
        <w:rFonts w:ascii="Symbol" w:hAnsi="Symbol" w:hint="default"/>
      </w:rPr>
    </w:lvl>
    <w:lvl w:ilvl="1" w:tplc="D8943836">
      <w:numFmt w:val="bullet"/>
      <w:lvlText w:val="-"/>
      <w:lvlJc w:val="left"/>
      <w:pPr>
        <w:ind w:left="1522" w:hanging="360"/>
      </w:pPr>
      <w:rPr>
        <w:rFonts w:ascii="Verdana" w:eastAsia="Times New Roman" w:hAnsi="Verdana" w:cs="Arial" w:hint="default"/>
        <w:u w:val="none"/>
      </w:rPr>
    </w:lvl>
    <w:lvl w:ilvl="2" w:tplc="1C090005" w:tentative="1">
      <w:start w:val="1"/>
      <w:numFmt w:val="bullet"/>
      <w:lvlText w:val=""/>
      <w:lvlJc w:val="left"/>
      <w:pPr>
        <w:ind w:left="2242" w:hanging="360"/>
      </w:pPr>
      <w:rPr>
        <w:rFonts w:ascii="Wingdings" w:hAnsi="Wingdings" w:hint="default"/>
      </w:rPr>
    </w:lvl>
    <w:lvl w:ilvl="3" w:tplc="1C090001" w:tentative="1">
      <w:start w:val="1"/>
      <w:numFmt w:val="bullet"/>
      <w:lvlText w:val=""/>
      <w:lvlJc w:val="left"/>
      <w:pPr>
        <w:ind w:left="2962" w:hanging="360"/>
      </w:pPr>
      <w:rPr>
        <w:rFonts w:ascii="Symbol" w:hAnsi="Symbol" w:hint="default"/>
      </w:rPr>
    </w:lvl>
    <w:lvl w:ilvl="4" w:tplc="1C090003" w:tentative="1">
      <w:start w:val="1"/>
      <w:numFmt w:val="bullet"/>
      <w:lvlText w:val="o"/>
      <w:lvlJc w:val="left"/>
      <w:pPr>
        <w:ind w:left="3682" w:hanging="360"/>
      </w:pPr>
      <w:rPr>
        <w:rFonts w:ascii="Courier New" w:hAnsi="Courier New" w:cs="Courier New" w:hint="default"/>
      </w:rPr>
    </w:lvl>
    <w:lvl w:ilvl="5" w:tplc="1C090005" w:tentative="1">
      <w:start w:val="1"/>
      <w:numFmt w:val="bullet"/>
      <w:lvlText w:val=""/>
      <w:lvlJc w:val="left"/>
      <w:pPr>
        <w:ind w:left="4402" w:hanging="360"/>
      </w:pPr>
      <w:rPr>
        <w:rFonts w:ascii="Wingdings" w:hAnsi="Wingdings" w:hint="default"/>
      </w:rPr>
    </w:lvl>
    <w:lvl w:ilvl="6" w:tplc="1C090001" w:tentative="1">
      <w:start w:val="1"/>
      <w:numFmt w:val="bullet"/>
      <w:lvlText w:val=""/>
      <w:lvlJc w:val="left"/>
      <w:pPr>
        <w:ind w:left="5122" w:hanging="360"/>
      </w:pPr>
      <w:rPr>
        <w:rFonts w:ascii="Symbol" w:hAnsi="Symbol" w:hint="default"/>
      </w:rPr>
    </w:lvl>
    <w:lvl w:ilvl="7" w:tplc="1C090003" w:tentative="1">
      <w:start w:val="1"/>
      <w:numFmt w:val="bullet"/>
      <w:lvlText w:val="o"/>
      <w:lvlJc w:val="left"/>
      <w:pPr>
        <w:ind w:left="5842" w:hanging="360"/>
      </w:pPr>
      <w:rPr>
        <w:rFonts w:ascii="Courier New" w:hAnsi="Courier New" w:cs="Courier New" w:hint="default"/>
      </w:rPr>
    </w:lvl>
    <w:lvl w:ilvl="8" w:tplc="1C090005" w:tentative="1">
      <w:start w:val="1"/>
      <w:numFmt w:val="bullet"/>
      <w:lvlText w:val=""/>
      <w:lvlJc w:val="left"/>
      <w:pPr>
        <w:ind w:left="6562" w:hanging="360"/>
      </w:pPr>
      <w:rPr>
        <w:rFonts w:ascii="Wingdings" w:hAnsi="Wingdings" w:hint="default"/>
      </w:rPr>
    </w:lvl>
  </w:abstractNum>
  <w:abstractNum w:abstractNumId="8">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nsid w:val="116C12E8"/>
    <w:multiLevelType w:val="hybridMultilevel"/>
    <w:tmpl w:val="13C03064"/>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AC74A8"/>
    <w:multiLevelType w:val="hybridMultilevel"/>
    <w:tmpl w:val="62BC3634"/>
    <w:lvl w:ilvl="0" w:tplc="37A4E2F4">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CFC8B304">
      <w:start w:val="1"/>
      <w:numFmt w:val="bullet"/>
      <w:lvlText w:val=""/>
      <w:lvlJc w:val="left"/>
      <w:pPr>
        <w:tabs>
          <w:tab w:val="num" w:pos="2160"/>
        </w:tabs>
        <w:ind w:left="2160" w:hanging="360"/>
      </w:pPr>
      <w:rPr>
        <w:rFonts w:ascii="Wingdings" w:hAnsi="Wingdings" w:hint="default"/>
      </w:rPr>
    </w:lvl>
    <w:lvl w:ilvl="3" w:tplc="2BCEF680">
      <w:start w:val="1"/>
      <w:numFmt w:val="bullet"/>
      <w:lvlText w:val=""/>
      <w:lvlJc w:val="left"/>
      <w:pPr>
        <w:tabs>
          <w:tab w:val="num" w:pos="2880"/>
        </w:tabs>
        <w:ind w:left="2880" w:hanging="360"/>
      </w:pPr>
      <w:rPr>
        <w:rFonts w:ascii="Wingdings" w:hAnsi="Wingdings" w:hint="default"/>
      </w:rPr>
    </w:lvl>
    <w:lvl w:ilvl="4" w:tplc="56A0ABD0">
      <w:start w:val="1"/>
      <w:numFmt w:val="bullet"/>
      <w:lvlText w:val=""/>
      <w:lvlJc w:val="left"/>
      <w:pPr>
        <w:tabs>
          <w:tab w:val="num" w:pos="3600"/>
        </w:tabs>
        <w:ind w:left="3600" w:hanging="360"/>
      </w:pPr>
      <w:rPr>
        <w:rFonts w:ascii="Wingdings" w:hAnsi="Wingdings" w:hint="default"/>
      </w:rPr>
    </w:lvl>
    <w:lvl w:ilvl="5" w:tplc="ED92AE16">
      <w:start w:val="1"/>
      <w:numFmt w:val="bullet"/>
      <w:lvlText w:val=""/>
      <w:lvlJc w:val="left"/>
      <w:pPr>
        <w:tabs>
          <w:tab w:val="num" w:pos="4320"/>
        </w:tabs>
        <w:ind w:left="4320" w:hanging="360"/>
      </w:pPr>
      <w:rPr>
        <w:rFonts w:ascii="Wingdings" w:hAnsi="Wingdings" w:hint="default"/>
      </w:rPr>
    </w:lvl>
    <w:lvl w:ilvl="6" w:tplc="2D7660AC">
      <w:start w:val="1"/>
      <w:numFmt w:val="bullet"/>
      <w:lvlText w:val=""/>
      <w:lvlJc w:val="left"/>
      <w:pPr>
        <w:tabs>
          <w:tab w:val="num" w:pos="5040"/>
        </w:tabs>
        <w:ind w:left="5040" w:hanging="360"/>
      </w:pPr>
      <w:rPr>
        <w:rFonts w:ascii="Wingdings" w:hAnsi="Wingdings" w:hint="default"/>
      </w:rPr>
    </w:lvl>
    <w:lvl w:ilvl="7" w:tplc="25D0F6AA">
      <w:start w:val="1"/>
      <w:numFmt w:val="bullet"/>
      <w:lvlText w:val=""/>
      <w:lvlJc w:val="left"/>
      <w:pPr>
        <w:tabs>
          <w:tab w:val="num" w:pos="5760"/>
        </w:tabs>
        <w:ind w:left="5760" w:hanging="360"/>
      </w:pPr>
      <w:rPr>
        <w:rFonts w:ascii="Wingdings" w:hAnsi="Wingdings" w:hint="default"/>
      </w:rPr>
    </w:lvl>
    <w:lvl w:ilvl="8" w:tplc="84AE715C">
      <w:start w:val="1"/>
      <w:numFmt w:val="bullet"/>
      <w:lvlText w:val=""/>
      <w:lvlJc w:val="left"/>
      <w:pPr>
        <w:tabs>
          <w:tab w:val="num" w:pos="6480"/>
        </w:tabs>
        <w:ind w:left="6480" w:hanging="360"/>
      </w:pPr>
      <w:rPr>
        <w:rFonts w:ascii="Wingdings" w:hAnsi="Wingdings" w:hint="default"/>
      </w:rPr>
    </w:lvl>
  </w:abstractNum>
  <w:abstractNum w:abstractNumId="11">
    <w:nsid w:val="14C31F2A"/>
    <w:multiLevelType w:val="hybridMultilevel"/>
    <w:tmpl w:val="71F432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61264E1"/>
    <w:multiLevelType w:val="hybridMultilevel"/>
    <w:tmpl w:val="CCBE2D96"/>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ED3097"/>
    <w:multiLevelType w:val="hybridMultilevel"/>
    <w:tmpl w:val="7FA417E2"/>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71230BE"/>
    <w:multiLevelType w:val="hybridMultilevel"/>
    <w:tmpl w:val="2CBEDC0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0423543"/>
    <w:multiLevelType w:val="hybridMultilevel"/>
    <w:tmpl w:val="F2542BD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1BE1BDD"/>
    <w:multiLevelType w:val="hybridMultilevel"/>
    <w:tmpl w:val="B9A817EC"/>
    <w:lvl w:ilvl="0" w:tplc="08090001">
      <w:start w:val="1"/>
      <w:numFmt w:val="bullet"/>
      <w:lvlText w:val=""/>
      <w:lvlJc w:val="left"/>
      <w:pPr>
        <w:ind w:left="660" w:hanging="360"/>
      </w:pPr>
      <w:rPr>
        <w:rFonts w:ascii="Symbol" w:hAnsi="Symbol" w:hint="default"/>
      </w:rPr>
    </w:lvl>
    <w:lvl w:ilvl="1" w:tplc="0D0E2AEA">
      <w:numFmt w:val="bullet"/>
      <w:lvlText w:val="-"/>
      <w:lvlJc w:val="left"/>
      <w:pPr>
        <w:ind w:left="1380" w:hanging="360"/>
      </w:pPr>
      <w:rPr>
        <w:rFonts w:ascii="Verdana" w:eastAsia="Times New Roman" w:hAnsi="Verdana" w:cs="Times New Roman"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7">
    <w:nsid w:val="24307A55"/>
    <w:multiLevelType w:val="hybridMultilevel"/>
    <w:tmpl w:val="2EEEAEB4"/>
    <w:lvl w:ilvl="0" w:tplc="D7B6FE3C">
      <w:start w:val="1"/>
      <w:numFmt w:val="decimal"/>
      <w:lvlText w:val="%1."/>
      <w:lvlJc w:val="left"/>
      <w:pPr>
        <w:ind w:left="360" w:hanging="360"/>
      </w:pPr>
      <w:rPr>
        <w:sz w:val="20"/>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EB52279"/>
    <w:multiLevelType w:val="hybridMultilevel"/>
    <w:tmpl w:val="5FA0D70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F516D32"/>
    <w:multiLevelType w:val="hybridMultilevel"/>
    <w:tmpl w:val="C58282A8"/>
    <w:lvl w:ilvl="0" w:tplc="74B4BFCE">
      <w:start w:val="1"/>
      <w:numFmt w:val="lowerRoman"/>
      <w:lvlText w:val="(%1)"/>
      <w:lvlJc w:val="left"/>
      <w:pPr>
        <w:ind w:left="2145" w:hanging="720"/>
      </w:pPr>
      <w:rPr>
        <w:rFonts w:hint="default"/>
      </w:rPr>
    </w:lvl>
    <w:lvl w:ilvl="1" w:tplc="40090019" w:tentative="1">
      <w:start w:val="1"/>
      <w:numFmt w:val="lowerLetter"/>
      <w:lvlText w:val="%2."/>
      <w:lvlJc w:val="left"/>
      <w:pPr>
        <w:ind w:left="2505" w:hanging="360"/>
      </w:pPr>
    </w:lvl>
    <w:lvl w:ilvl="2" w:tplc="4009001B" w:tentative="1">
      <w:start w:val="1"/>
      <w:numFmt w:val="lowerRoman"/>
      <w:lvlText w:val="%3."/>
      <w:lvlJc w:val="right"/>
      <w:pPr>
        <w:ind w:left="3225" w:hanging="180"/>
      </w:pPr>
    </w:lvl>
    <w:lvl w:ilvl="3" w:tplc="4009000F" w:tentative="1">
      <w:start w:val="1"/>
      <w:numFmt w:val="decimal"/>
      <w:lvlText w:val="%4."/>
      <w:lvlJc w:val="left"/>
      <w:pPr>
        <w:ind w:left="3945" w:hanging="360"/>
      </w:pPr>
    </w:lvl>
    <w:lvl w:ilvl="4" w:tplc="40090019" w:tentative="1">
      <w:start w:val="1"/>
      <w:numFmt w:val="lowerLetter"/>
      <w:lvlText w:val="%5."/>
      <w:lvlJc w:val="left"/>
      <w:pPr>
        <w:ind w:left="4665" w:hanging="360"/>
      </w:pPr>
    </w:lvl>
    <w:lvl w:ilvl="5" w:tplc="4009001B" w:tentative="1">
      <w:start w:val="1"/>
      <w:numFmt w:val="lowerRoman"/>
      <w:lvlText w:val="%6."/>
      <w:lvlJc w:val="right"/>
      <w:pPr>
        <w:ind w:left="5385" w:hanging="180"/>
      </w:pPr>
    </w:lvl>
    <w:lvl w:ilvl="6" w:tplc="4009000F" w:tentative="1">
      <w:start w:val="1"/>
      <w:numFmt w:val="decimal"/>
      <w:lvlText w:val="%7."/>
      <w:lvlJc w:val="left"/>
      <w:pPr>
        <w:ind w:left="6105" w:hanging="360"/>
      </w:pPr>
    </w:lvl>
    <w:lvl w:ilvl="7" w:tplc="40090019" w:tentative="1">
      <w:start w:val="1"/>
      <w:numFmt w:val="lowerLetter"/>
      <w:lvlText w:val="%8."/>
      <w:lvlJc w:val="left"/>
      <w:pPr>
        <w:ind w:left="6825" w:hanging="360"/>
      </w:pPr>
    </w:lvl>
    <w:lvl w:ilvl="8" w:tplc="4009001B" w:tentative="1">
      <w:start w:val="1"/>
      <w:numFmt w:val="lowerRoman"/>
      <w:lvlText w:val="%9."/>
      <w:lvlJc w:val="right"/>
      <w:pPr>
        <w:ind w:left="7545" w:hanging="180"/>
      </w:pPr>
    </w:lvl>
  </w:abstractNum>
  <w:abstractNum w:abstractNumId="22">
    <w:nsid w:val="33242CB8"/>
    <w:multiLevelType w:val="hybridMultilevel"/>
    <w:tmpl w:val="D154FD64"/>
    <w:lvl w:ilvl="0" w:tplc="686680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402673"/>
    <w:multiLevelType w:val="hybridMultilevel"/>
    <w:tmpl w:val="9FE00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351D54FC"/>
    <w:multiLevelType w:val="hybridMultilevel"/>
    <w:tmpl w:val="F8989F8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8">
    <w:nsid w:val="36940C6F"/>
    <w:multiLevelType w:val="hybridMultilevel"/>
    <w:tmpl w:val="D80CC4E0"/>
    <w:lvl w:ilvl="0" w:tplc="21760540">
      <w:start w:val="1"/>
      <w:numFmt w:val="decimal"/>
      <w:lvlText w:val="%1."/>
      <w:lvlJc w:val="left"/>
      <w:pPr>
        <w:ind w:left="577" w:hanging="435"/>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36A80C8B"/>
    <w:multiLevelType w:val="hybridMultilevel"/>
    <w:tmpl w:val="B9B4D286"/>
    <w:lvl w:ilvl="0" w:tplc="2542BA02">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0">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F9972CA"/>
    <w:multiLevelType w:val="multilevel"/>
    <w:tmpl w:val="F9EEC1C4"/>
    <w:lvl w:ilvl="0">
      <w:start w:val="8"/>
      <w:numFmt w:val="decimal"/>
      <w:lvlText w:val="%1"/>
      <w:lvlJc w:val="left"/>
      <w:pPr>
        <w:ind w:left="480" w:hanging="480"/>
      </w:pPr>
      <w:rPr>
        <w:rFonts w:hint="default"/>
        <w:b/>
      </w:rPr>
    </w:lvl>
    <w:lvl w:ilvl="1">
      <w:start w:val="1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nsid w:val="50FD2ECF"/>
    <w:multiLevelType w:val="hybridMultilevel"/>
    <w:tmpl w:val="0CEE6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14E5BDA"/>
    <w:multiLevelType w:val="hybridMultilevel"/>
    <w:tmpl w:val="0F5EE810"/>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7A64616"/>
    <w:multiLevelType w:val="hybridMultilevel"/>
    <w:tmpl w:val="80FA72E2"/>
    <w:lvl w:ilvl="0" w:tplc="0CF45732">
      <w:start w:val="1"/>
      <w:numFmt w:val="decimal"/>
      <w:lvlText w:val="%1."/>
      <w:lvlJc w:val="left"/>
      <w:pPr>
        <w:ind w:left="3479" w:hanging="360"/>
      </w:pPr>
      <w:rPr>
        <w:rFonts w:hint="default"/>
      </w:rPr>
    </w:lvl>
    <w:lvl w:ilvl="1" w:tplc="1C090019">
      <w:start w:val="1"/>
      <w:numFmt w:val="lowerLetter"/>
      <w:lvlText w:val="%2."/>
      <w:lvlJc w:val="left"/>
      <w:pPr>
        <w:ind w:left="4199" w:hanging="360"/>
      </w:pPr>
    </w:lvl>
    <w:lvl w:ilvl="2" w:tplc="1C09001B" w:tentative="1">
      <w:start w:val="1"/>
      <w:numFmt w:val="lowerRoman"/>
      <w:lvlText w:val="%3."/>
      <w:lvlJc w:val="right"/>
      <w:pPr>
        <w:ind w:left="4919" w:hanging="180"/>
      </w:pPr>
    </w:lvl>
    <w:lvl w:ilvl="3" w:tplc="1C09000F" w:tentative="1">
      <w:start w:val="1"/>
      <w:numFmt w:val="decimal"/>
      <w:lvlText w:val="%4."/>
      <w:lvlJc w:val="left"/>
      <w:pPr>
        <w:ind w:left="5639" w:hanging="360"/>
      </w:pPr>
    </w:lvl>
    <w:lvl w:ilvl="4" w:tplc="1C090019" w:tentative="1">
      <w:start w:val="1"/>
      <w:numFmt w:val="lowerLetter"/>
      <w:lvlText w:val="%5."/>
      <w:lvlJc w:val="left"/>
      <w:pPr>
        <w:ind w:left="6359" w:hanging="360"/>
      </w:pPr>
    </w:lvl>
    <w:lvl w:ilvl="5" w:tplc="1C09001B" w:tentative="1">
      <w:start w:val="1"/>
      <w:numFmt w:val="lowerRoman"/>
      <w:lvlText w:val="%6."/>
      <w:lvlJc w:val="right"/>
      <w:pPr>
        <w:ind w:left="7079" w:hanging="180"/>
      </w:pPr>
    </w:lvl>
    <w:lvl w:ilvl="6" w:tplc="1C09000F" w:tentative="1">
      <w:start w:val="1"/>
      <w:numFmt w:val="decimal"/>
      <w:lvlText w:val="%7."/>
      <w:lvlJc w:val="left"/>
      <w:pPr>
        <w:ind w:left="7799" w:hanging="360"/>
      </w:pPr>
    </w:lvl>
    <w:lvl w:ilvl="7" w:tplc="1C090019" w:tentative="1">
      <w:start w:val="1"/>
      <w:numFmt w:val="lowerLetter"/>
      <w:lvlText w:val="%8."/>
      <w:lvlJc w:val="left"/>
      <w:pPr>
        <w:ind w:left="8519" w:hanging="360"/>
      </w:pPr>
    </w:lvl>
    <w:lvl w:ilvl="8" w:tplc="1C09001B" w:tentative="1">
      <w:start w:val="1"/>
      <w:numFmt w:val="lowerRoman"/>
      <w:lvlText w:val="%9."/>
      <w:lvlJc w:val="right"/>
      <w:pPr>
        <w:ind w:left="9239" w:hanging="180"/>
      </w:pPr>
    </w:lvl>
  </w:abstractNum>
  <w:abstractNum w:abstractNumId="36">
    <w:nsid w:val="595E26E7"/>
    <w:multiLevelType w:val="hybridMultilevel"/>
    <w:tmpl w:val="2F5098F4"/>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F3C40DD"/>
    <w:multiLevelType w:val="hybridMultilevel"/>
    <w:tmpl w:val="49D0463E"/>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492229"/>
    <w:multiLevelType w:val="hybridMultilevel"/>
    <w:tmpl w:val="D5D61688"/>
    <w:lvl w:ilvl="0" w:tplc="A57C0B20">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AEF29FE"/>
    <w:multiLevelType w:val="hybridMultilevel"/>
    <w:tmpl w:val="1A5209F2"/>
    <w:lvl w:ilvl="0" w:tplc="2542BA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4">
    <w:nsid w:val="6FF43B58"/>
    <w:multiLevelType w:val="hybridMultilevel"/>
    <w:tmpl w:val="D62AC5B2"/>
    <w:lvl w:ilvl="0" w:tplc="08090001">
      <w:start w:val="1"/>
      <w:numFmt w:val="bullet"/>
      <w:lvlText w:val=""/>
      <w:lvlJc w:val="left"/>
      <w:pPr>
        <w:ind w:left="802" w:hanging="360"/>
      </w:pPr>
      <w:rPr>
        <w:rFonts w:ascii="Symbol" w:hAnsi="Symbol" w:hint="default"/>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abstractNum w:abstractNumId="45">
    <w:nsid w:val="70B34D61"/>
    <w:multiLevelType w:val="hybridMultilevel"/>
    <w:tmpl w:val="89980CB4"/>
    <w:lvl w:ilvl="0" w:tplc="A058BB2E">
      <w:start w:val="1"/>
      <w:numFmt w:val="decimal"/>
      <w:lvlText w:val="%1)"/>
      <w:lvlJc w:val="left"/>
      <w:pPr>
        <w:ind w:left="360" w:hanging="360"/>
      </w:pPr>
      <w:rPr>
        <w:i w:val="0"/>
        <w:iCs w:val="0"/>
        <w:sz w:val="18"/>
        <w:szCs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nsid w:val="74E725CD"/>
    <w:multiLevelType w:val="multilevel"/>
    <w:tmpl w:val="D02A6442"/>
    <w:lvl w:ilvl="0">
      <w:start w:val="1"/>
      <w:numFmt w:val="decimal"/>
      <w:lvlText w:val="%1"/>
      <w:lvlJc w:val="left"/>
      <w:pPr>
        <w:tabs>
          <w:tab w:val="num" w:pos="432"/>
        </w:tabs>
        <w:ind w:left="432" w:hanging="432"/>
      </w:pPr>
      <w:rPr>
        <w:rFonts w:hint="default"/>
        <w:color w:val="auto"/>
      </w:rPr>
    </w:lvl>
    <w:lvl w:ilvl="1">
      <w:start w:val="1"/>
      <w:numFmt w:val="decimal"/>
      <w:lvlText w:val="%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nsid w:val="761E3B47"/>
    <w:multiLevelType w:val="hybridMultilevel"/>
    <w:tmpl w:val="A796AA3C"/>
    <w:lvl w:ilvl="0" w:tplc="2542BA02">
      <w:start w:val="1"/>
      <w:numFmt w:val="bullet"/>
      <w:lvlText w:val=""/>
      <w:lvlJc w:val="left"/>
      <w:pPr>
        <w:ind w:left="6314" w:hanging="360"/>
      </w:pPr>
      <w:rPr>
        <w:rFonts w:ascii="Symbol" w:hAnsi="Symbol" w:hint="default"/>
      </w:rPr>
    </w:lvl>
    <w:lvl w:ilvl="1" w:tplc="04090003" w:tentative="1">
      <w:start w:val="1"/>
      <w:numFmt w:val="bullet"/>
      <w:lvlText w:val="o"/>
      <w:lvlJc w:val="left"/>
      <w:pPr>
        <w:ind w:left="7034" w:hanging="360"/>
      </w:pPr>
      <w:rPr>
        <w:rFonts w:ascii="Courier New" w:hAnsi="Courier New" w:cs="Courier New" w:hint="default"/>
      </w:rPr>
    </w:lvl>
    <w:lvl w:ilvl="2" w:tplc="04090005" w:tentative="1">
      <w:start w:val="1"/>
      <w:numFmt w:val="bullet"/>
      <w:lvlText w:val=""/>
      <w:lvlJc w:val="left"/>
      <w:pPr>
        <w:ind w:left="7754" w:hanging="360"/>
      </w:pPr>
      <w:rPr>
        <w:rFonts w:ascii="Wingdings" w:hAnsi="Wingdings" w:hint="default"/>
      </w:rPr>
    </w:lvl>
    <w:lvl w:ilvl="3" w:tplc="04090001" w:tentative="1">
      <w:start w:val="1"/>
      <w:numFmt w:val="bullet"/>
      <w:lvlText w:val=""/>
      <w:lvlJc w:val="left"/>
      <w:pPr>
        <w:ind w:left="8474" w:hanging="360"/>
      </w:pPr>
      <w:rPr>
        <w:rFonts w:ascii="Symbol" w:hAnsi="Symbol" w:hint="default"/>
      </w:rPr>
    </w:lvl>
    <w:lvl w:ilvl="4" w:tplc="04090003" w:tentative="1">
      <w:start w:val="1"/>
      <w:numFmt w:val="bullet"/>
      <w:lvlText w:val="o"/>
      <w:lvlJc w:val="left"/>
      <w:pPr>
        <w:ind w:left="9194" w:hanging="360"/>
      </w:pPr>
      <w:rPr>
        <w:rFonts w:ascii="Courier New" w:hAnsi="Courier New" w:cs="Courier New" w:hint="default"/>
      </w:rPr>
    </w:lvl>
    <w:lvl w:ilvl="5" w:tplc="04090005" w:tentative="1">
      <w:start w:val="1"/>
      <w:numFmt w:val="bullet"/>
      <w:lvlText w:val=""/>
      <w:lvlJc w:val="left"/>
      <w:pPr>
        <w:ind w:left="9914" w:hanging="360"/>
      </w:pPr>
      <w:rPr>
        <w:rFonts w:ascii="Wingdings" w:hAnsi="Wingdings" w:hint="default"/>
      </w:rPr>
    </w:lvl>
    <w:lvl w:ilvl="6" w:tplc="04090001" w:tentative="1">
      <w:start w:val="1"/>
      <w:numFmt w:val="bullet"/>
      <w:lvlText w:val=""/>
      <w:lvlJc w:val="left"/>
      <w:pPr>
        <w:ind w:left="10634" w:hanging="360"/>
      </w:pPr>
      <w:rPr>
        <w:rFonts w:ascii="Symbol" w:hAnsi="Symbol" w:hint="default"/>
      </w:rPr>
    </w:lvl>
    <w:lvl w:ilvl="7" w:tplc="04090003" w:tentative="1">
      <w:start w:val="1"/>
      <w:numFmt w:val="bullet"/>
      <w:lvlText w:val="o"/>
      <w:lvlJc w:val="left"/>
      <w:pPr>
        <w:ind w:left="11354" w:hanging="360"/>
      </w:pPr>
      <w:rPr>
        <w:rFonts w:ascii="Courier New" w:hAnsi="Courier New" w:cs="Courier New" w:hint="default"/>
      </w:rPr>
    </w:lvl>
    <w:lvl w:ilvl="8" w:tplc="04090005" w:tentative="1">
      <w:start w:val="1"/>
      <w:numFmt w:val="bullet"/>
      <w:lvlText w:val=""/>
      <w:lvlJc w:val="left"/>
      <w:pPr>
        <w:ind w:left="12074" w:hanging="360"/>
      </w:pPr>
      <w:rPr>
        <w:rFonts w:ascii="Wingdings" w:hAnsi="Wingdings" w:hint="default"/>
      </w:rPr>
    </w:lvl>
  </w:abstractNum>
  <w:abstractNum w:abstractNumId="48">
    <w:nsid w:val="765D25DA"/>
    <w:multiLevelType w:val="hybridMultilevel"/>
    <w:tmpl w:val="CB701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9F1AF5"/>
    <w:multiLevelType w:val="hybridMultilevel"/>
    <w:tmpl w:val="0F742110"/>
    <w:lvl w:ilvl="0" w:tplc="2F180026">
      <w:numFmt w:val="bullet"/>
      <w:lvlText w:val="-"/>
      <w:lvlJc w:val="left"/>
      <w:pPr>
        <w:ind w:left="405" w:hanging="360"/>
      </w:pPr>
      <w:rPr>
        <w:rFonts w:ascii="Arial" w:eastAsia="SimHei" w:hAnsi="Arial" w:cs="Arial" w:hint="default"/>
        <w:b/>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50">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43"/>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51"/>
  </w:num>
  <w:num w:numId="3">
    <w:abstractNumId w:val="43"/>
  </w:num>
  <w:num w:numId="4">
    <w:abstractNumId w:val="3"/>
  </w:num>
  <w:num w:numId="5">
    <w:abstractNumId w:val="50"/>
  </w:num>
  <w:num w:numId="6">
    <w:abstractNumId w:val="38"/>
  </w:num>
  <w:num w:numId="7">
    <w:abstractNumId w:val="8"/>
  </w:num>
  <w:num w:numId="8">
    <w:abstractNumId w:val="27"/>
  </w:num>
  <w:num w:numId="9">
    <w:abstractNumId w:val="3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4"/>
  </w:num>
  <w:num w:numId="13">
    <w:abstractNumId w:val="49"/>
  </w:num>
  <w:num w:numId="14">
    <w:abstractNumId w:val="25"/>
  </w:num>
  <w:num w:numId="15">
    <w:abstractNumId w:val="21"/>
  </w:num>
  <w:num w:numId="16">
    <w:abstractNumId w:val="30"/>
  </w:num>
  <w:num w:numId="17">
    <w:abstractNumId w:val="19"/>
  </w:num>
  <w:num w:numId="18">
    <w:abstractNumId w:val="41"/>
  </w:num>
  <w:num w:numId="19">
    <w:abstractNumId w:val="37"/>
  </w:num>
  <w:num w:numId="20">
    <w:abstractNumId w:val="16"/>
  </w:num>
  <w:num w:numId="21">
    <w:abstractNumId w:val="44"/>
  </w:num>
  <w:num w:numId="22">
    <w:abstractNumId w:val="7"/>
  </w:num>
  <w:num w:numId="23">
    <w:abstractNumId w:val="10"/>
  </w:num>
  <w:num w:numId="24">
    <w:abstractNumId w:val="23"/>
  </w:num>
  <w:num w:numId="25">
    <w:abstractNumId w:val="48"/>
  </w:num>
  <w:num w:numId="26">
    <w:abstractNumId w:val="13"/>
  </w:num>
  <w:num w:numId="27">
    <w:abstractNumId w:val="33"/>
  </w:num>
  <w:num w:numId="28">
    <w:abstractNumId w:val="35"/>
  </w:num>
  <w:num w:numId="29">
    <w:abstractNumId w:val="32"/>
  </w:num>
  <w:num w:numId="30">
    <w:abstractNumId w:val="20"/>
  </w:num>
  <w:num w:numId="31">
    <w:abstractNumId w:val="46"/>
  </w:num>
  <w:num w:numId="32">
    <w:abstractNumId w:val="11"/>
  </w:num>
  <w:num w:numId="33">
    <w:abstractNumId w:val="6"/>
  </w:num>
  <w:num w:numId="34">
    <w:abstractNumId w:val="28"/>
  </w:num>
  <w:num w:numId="35">
    <w:abstractNumId w:val="1"/>
  </w:num>
  <w:num w:numId="36">
    <w:abstractNumId w:val="34"/>
  </w:num>
  <w:num w:numId="37">
    <w:abstractNumId w:val="15"/>
  </w:num>
  <w:num w:numId="38">
    <w:abstractNumId w:val="42"/>
  </w:num>
  <w:num w:numId="39">
    <w:abstractNumId w:val="14"/>
  </w:num>
  <w:num w:numId="40">
    <w:abstractNumId w:val="29"/>
  </w:num>
  <w:num w:numId="41">
    <w:abstractNumId w:val="39"/>
  </w:num>
  <w:num w:numId="42">
    <w:abstractNumId w:val="17"/>
  </w:num>
  <w:num w:numId="43">
    <w:abstractNumId w:val="45"/>
  </w:num>
  <w:num w:numId="44">
    <w:abstractNumId w:val="0"/>
  </w:num>
  <w:num w:numId="45">
    <w:abstractNumId w:val="12"/>
  </w:num>
  <w:num w:numId="46">
    <w:abstractNumId w:val="36"/>
  </w:num>
  <w:num w:numId="47">
    <w:abstractNumId w:val="47"/>
  </w:num>
  <w:num w:numId="48">
    <w:abstractNumId w:val="9"/>
  </w:num>
  <w:num w:numId="49">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5D5"/>
    <w:rsid w:val="000012C8"/>
    <w:rsid w:val="0000259F"/>
    <w:rsid w:val="00002906"/>
    <w:rsid w:val="00004160"/>
    <w:rsid w:val="000056C8"/>
    <w:rsid w:val="00010631"/>
    <w:rsid w:val="00010EEB"/>
    <w:rsid w:val="00011D10"/>
    <w:rsid w:val="000135A4"/>
    <w:rsid w:val="00013D6F"/>
    <w:rsid w:val="00013E61"/>
    <w:rsid w:val="00014A90"/>
    <w:rsid w:val="00017323"/>
    <w:rsid w:val="00017645"/>
    <w:rsid w:val="00021824"/>
    <w:rsid w:val="000233CA"/>
    <w:rsid w:val="00023A85"/>
    <w:rsid w:val="000273F7"/>
    <w:rsid w:val="00031CA2"/>
    <w:rsid w:val="00033090"/>
    <w:rsid w:val="00040A84"/>
    <w:rsid w:val="00040DF7"/>
    <w:rsid w:val="00041301"/>
    <w:rsid w:val="0004319A"/>
    <w:rsid w:val="0004551C"/>
    <w:rsid w:val="00047D3C"/>
    <w:rsid w:val="0005154A"/>
    <w:rsid w:val="00051DDE"/>
    <w:rsid w:val="000541C8"/>
    <w:rsid w:val="000560EE"/>
    <w:rsid w:val="000608E4"/>
    <w:rsid w:val="000614AD"/>
    <w:rsid w:val="00061F17"/>
    <w:rsid w:val="0006382C"/>
    <w:rsid w:val="000650DC"/>
    <w:rsid w:val="00066280"/>
    <w:rsid w:val="00070E31"/>
    <w:rsid w:val="000759D4"/>
    <w:rsid w:val="00075AFE"/>
    <w:rsid w:val="00077618"/>
    <w:rsid w:val="00077AAE"/>
    <w:rsid w:val="00077DE6"/>
    <w:rsid w:val="000806FF"/>
    <w:rsid w:val="00081922"/>
    <w:rsid w:val="00081AA2"/>
    <w:rsid w:val="00085DF4"/>
    <w:rsid w:val="00087A33"/>
    <w:rsid w:val="0009006B"/>
    <w:rsid w:val="0009019D"/>
    <w:rsid w:val="00092B20"/>
    <w:rsid w:val="00093E66"/>
    <w:rsid w:val="00093EAA"/>
    <w:rsid w:val="00096433"/>
    <w:rsid w:val="00096922"/>
    <w:rsid w:val="0009716E"/>
    <w:rsid w:val="00097207"/>
    <w:rsid w:val="00097422"/>
    <w:rsid w:val="00097540"/>
    <w:rsid w:val="000A14B5"/>
    <w:rsid w:val="000A316D"/>
    <w:rsid w:val="000A4A9E"/>
    <w:rsid w:val="000A55BE"/>
    <w:rsid w:val="000A61C2"/>
    <w:rsid w:val="000A67CB"/>
    <w:rsid w:val="000A71D3"/>
    <w:rsid w:val="000B40AB"/>
    <w:rsid w:val="000C0D53"/>
    <w:rsid w:val="000C36E9"/>
    <w:rsid w:val="000C58D2"/>
    <w:rsid w:val="000D0DCD"/>
    <w:rsid w:val="000D0F63"/>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2947"/>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4F5E"/>
    <w:rsid w:val="00185CE5"/>
    <w:rsid w:val="001878E0"/>
    <w:rsid w:val="00187E5E"/>
    <w:rsid w:val="0019104B"/>
    <w:rsid w:val="00192284"/>
    <w:rsid w:val="00193E6A"/>
    <w:rsid w:val="00197038"/>
    <w:rsid w:val="001970D2"/>
    <w:rsid w:val="001A07A9"/>
    <w:rsid w:val="001A0D32"/>
    <w:rsid w:val="001A43E1"/>
    <w:rsid w:val="001A4C73"/>
    <w:rsid w:val="001A6578"/>
    <w:rsid w:val="001A768A"/>
    <w:rsid w:val="001A7B18"/>
    <w:rsid w:val="001B0B90"/>
    <w:rsid w:val="001B150C"/>
    <w:rsid w:val="001B1836"/>
    <w:rsid w:val="001B29B0"/>
    <w:rsid w:val="001B3273"/>
    <w:rsid w:val="001C2C22"/>
    <w:rsid w:val="001C3365"/>
    <w:rsid w:val="001C33A5"/>
    <w:rsid w:val="001C39BE"/>
    <w:rsid w:val="001C476E"/>
    <w:rsid w:val="001C60C5"/>
    <w:rsid w:val="001C7095"/>
    <w:rsid w:val="001C70BF"/>
    <w:rsid w:val="001D4147"/>
    <w:rsid w:val="001D55D5"/>
    <w:rsid w:val="001D6A6E"/>
    <w:rsid w:val="001D795A"/>
    <w:rsid w:val="001D7CAF"/>
    <w:rsid w:val="001E0DF9"/>
    <w:rsid w:val="001E1D38"/>
    <w:rsid w:val="001E6535"/>
    <w:rsid w:val="001F17CE"/>
    <w:rsid w:val="001F39FB"/>
    <w:rsid w:val="001F5A63"/>
    <w:rsid w:val="00203D84"/>
    <w:rsid w:val="00205608"/>
    <w:rsid w:val="0020793F"/>
    <w:rsid w:val="00207DF0"/>
    <w:rsid w:val="00211570"/>
    <w:rsid w:val="00211EAC"/>
    <w:rsid w:val="00217FBE"/>
    <w:rsid w:val="00225A80"/>
    <w:rsid w:val="0022728A"/>
    <w:rsid w:val="002314BE"/>
    <w:rsid w:val="00234760"/>
    <w:rsid w:val="00234E6B"/>
    <w:rsid w:val="00236A97"/>
    <w:rsid w:val="002375B2"/>
    <w:rsid w:val="00243015"/>
    <w:rsid w:val="0024330F"/>
    <w:rsid w:val="002438AC"/>
    <w:rsid w:val="00246157"/>
    <w:rsid w:val="00246785"/>
    <w:rsid w:val="0025181A"/>
    <w:rsid w:val="002556EB"/>
    <w:rsid w:val="00256167"/>
    <w:rsid w:val="00256912"/>
    <w:rsid w:val="00256BEA"/>
    <w:rsid w:val="00262366"/>
    <w:rsid w:val="00262368"/>
    <w:rsid w:val="0027124D"/>
    <w:rsid w:val="00271334"/>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A0464"/>
    <w:rsid w:val="002A12C3"/>
    <w:rsid w:val="002A225A"/>
    <w:rsid w:val="002A26E2"/>
    <w:rsid w:val="002A733E"/>
    <w:rsid w:val="002B15C5"/>
    <w:rsid w:val="002B2394"/>
    <w:rsid w:val="002B44A9"/>
    <w:rsid w:val="002B493E"/>
    <w:rsid w:val="002B5674"/>
    <w:rsid w:val="002B595B"/>
    <w:rsid w:val="002B7FA8"/>
    <w:rsid w:val="002C0484"/>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CF0"/>
    <w:rsid w:val="002E4E79"/>
    <w:rsid w:val="002F4126"/>
    <w:rsid w:val="002F6FFC"/>
    <w:rsid w:val="003000B4"/>
    <w:rsid w:val="00300A43"/>
    <w:rsid w:val="003010AB"/>
    <w:rsid w:val="00302A0A"/>
    <w:rsid w:val="00304068"/>
    <w:rsid w:val="0030419C"/>
    <w:rsid w:val="00304F83"/>
    <w:rsid w:val="00305EA5"/>
    <w:rsid w:val="00310639"/>
    <w:rsid w:val="00310852"/>
    <w:rsid w:val="003132E0"/>
    <w:rsid w:val="00316A00"/>
    <w:rsid w:val="00317F8D"/>
    <w:rsid w:val="003235B9"/>
    <w:rsid w:val="00324561"/>
    <w:rsid w:val="00325DD9"/>
    <w:rsid w:val="00327B60"/>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57951"/>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7761F"/>
    <w:rsid w:val="00382B6B"/>
    <w:rsid w:val="00384D7C"/>
    <w:rsid w:val="00385DD4"/>
    <w:rsid w:val="00386439"/>
    <w:rsid w:val="00386DA4"/>
    <w:rsid w:val="003913F2"/>
    <w:rsid w:val="00395676"/>
    <w:rsid w:val="00395878"/>
    <w:rsid w:val="0039683A"/>
    <w:rsid w:val="00396A3C"/>
    <w:rsid w:val="003A02C1"/>
    <w:rsid w:val="003A39F7"/>
    <w:rsid w:val="003A4C99"/>
    <w:rsid w:val="003A52DB"/>
    <w:rsid w:val="003B0B79"/>
    <w:rsid w:val="003B1976"/>
    <w:rsid w:val="003C1287"/>
    <w:rsid w:val="003C1570"/>
    <w:rsid w:val="003C2542"/>
    <w:rsid w:val="003C4176"/>
    <w:rsid w:val="003C4261"/>
    <w:rsid w:val="003C483E"/>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16A"/>
    <w:rsid w:val="0040368C"/>
    <w:rsid w:val="00403F4F"/>
    <w:rsid w:val="0040406E"/>
    <w:rsid w:val="00404EDC"/>
    <w:rsid w:val="00406E30"/>
    <w:rsid w:val="00411536"/>
    <w:rsid w:val="0041170E"/>
    <w:rsid w:val="00411F98"/>
    <w:rsid w:val="00412B2E"/>
    <w:rsid w:val="0042073F"/>
    <w:rsid w:val="00422F4A"/>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1DA9"/>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1AD2"/>
    <w:rsid w:val="004A3217"/>
    <w:rsid w:val="004A3FC4"/>
    <w:rsid w:val="004A718F"/>
    <w:rsid w:val="004A7326"/>
    <w:rsid w:val="004B0478"/>
    <w:rsid w:val="004B080D"/>
    <w:rsid w:val="004B0A0B"/>
    <w:rsid w:val="004B47C7"/>
    <w:rsid w:val="004B5B17"/>
    <w:rsid w:val="004B6316"/>
    <w:rsid w:val="004B6BC1"/>
    <w:rsid w:val="004C02FE"/>
    <w:rsid w:val="004C03AA"/>
    <w:rsid w:val="004C088A"/>
    <w:rsid w:val="004C0A95"/>
    <w:rsid w:val="004C5178"/>
    <w:rsid w:val="004C58A8"/>
    <w:rsid w:val="004C71E0"/>
    <w:rsid w:val="004D1772"/>
    <w:rsid w:val="004D32FE"/>
    <w:rsid w:val="004D4A59"/>
    <w:rsid w:val="004D77DC"/>
    <w:rsid w:val="004E073F"/>
    <w:rsid w:val="004E0ED6"/>
    <w:rsid w:val="004E3AA9"/>
    <w:rsid w:val="004E45D5"/>
    <w:rsid w:val="004E471F"/>
    <w:rsid w:val="004E5215"/>
    <w:rsid w:val="004E532D"/>
    <w:rsid w:val="004E5B2C"/>
    <w:rsid w:val="004E65E6"/>
    <w:rsid w:val="004E6D70"/>
    <w:rsid w:val="004F0734"/>
    <w:rsid w:val="004F1216"/>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0177"/>
    <w:rsid w:val="00532595"/>
    <w:rsid w:val="00532850"/>
    <w:rsid w:val="00534837"/>
    <w:rsid w:val="00536D47"/>
    <w:rsid w:val="00537DC3"/>
    <w:rsid w:val="00541179"/>
    <w:rsid w:val="00543044"/>
    <w:rsid w:val="00543AEE"/>
    <w:rsid w:val="00544466"/>
    <w:rsid w:val="00545F0D"/>
    <w:rsid w:val="0054649D"/>
    <w:rsid w:val="00547F5F"/>
    <w:rsid w:val="0055091B"/>
    <w:rsid w:val="0055324C"/>
    <w:rsid w:val="005558B6"/>
    <w:rsid w:val="00557363"/>
    <w:rsid w:val="00560106"/>
    <w:rsid w:val="00564180"/>
    <w:rsid w:val="00567EAE"/>
    <w:rsid w:val="005702C2"/>
    <w:rsid w:val="00571155"/>
    <w:rsid w:val="00571B3E"/>
    <w:rsid w:val="00572079"/>
    <w:rsid w:val="0058130F"/>
    <w:rsid w:val="00581449"/>
    <w:rsid w:val="00581532"/>
    <w:rsid w:val="005815E2"/>
    <w:rsid w:val="005827CB"/>
    <w:rsid w:val="00584E81"/>
    <w:rsid w:val="00585FA8"/>
    <w:rsid w:val="00590CB1"/>
    <w:rsid w:val="00595E61"/>
    <w:rsid w:val="005965AD"/>
    <w:rsid w:val="00597DC2"/>
    <w:rsid w:val="005A07EF"/>
    <w:rsid w:val="005A2D39"/>
    <w:rsid w:val="005A3227"/>
    <w:rsid w:val="005A5E76"/>
    <w:rsid w:val="005B2283"/>
    <w:rsid w:val="005C1B6E"/>
    <w:rsid w:val="005C33A1"/>
    <w:rsid w:val="005C39DC"/>
    <w:rsid w:val="005C669F"/>
    <w:rsid w:val="005C6BDA"/>
    <w:rsid w:val="005E0123"/>
    <w:rsid w:val="005E151F"/>
    <w:rsid w:val="005E1D56"/>
    <w:rsid w:val="005E2207"/>
    <w:rsid w:val="005E5E28"/>
    <w:rsid w:val="005F2E51"/>
    <w:rsid w:val="005F33E1"/>
    <w:rsid w:val="005F3B9D"/>
    <w:rsid w:val="005F56C9"/>
    <w:rsid w:val="005F64AB"/>
    <w:rsid w:val="005F7A06"/>
    <w:rsid w:val="005F7AAC"/>
    <w:rsid w:val="006023F3"/>
    <w:rsid w:val="00603859"/>
    <w:rsid w:val="00603C3C"/>
    <w:rsid w:val="00604691"/>
    <w:rsid w:val="00604F4D"/>
    <w:rsid w:val="00605317"/>
    <w:rsid w:val="0060799F"/>
    <w:rsid w:val="00607F41"/>
    <w:rsid w:val="006104A4"/>
    <w:rsid w:val="00611B8A"/>
    <w:rsid w:val="006141CD"/>
    <w:rsid w:val="006171A9"/>
    <w:rsid w:val="00617637"/>
    <w:rsid w:val="0062235F"/>
    <w:rsid w:val="00622694"/>
    <w:rsid w:val="006230C3"/>
    <w:rsid w:val="00623EAD"/>
    <w:rsid w:val="006258CA"/>
    <w:rsid w:val="006270FB"/>
    <w:rsid w:val="006274F7"/>
    <w:rsid w:val="006276FC"/>
    <w:rsid w:val="00627927"/>
    <w:rsid w:val="00631A14"/>
    <w:rsid w:val="006344BB"/>
    <w:rsid w:val="00634F41"/>
    <w:rsid w:val="00635A76"/>
    <w:rsid w:val="0063644E"/>
    <w:rsid w:val="00637721"/>
    <w:rsid w:val="00641CB5"/>
    <w:rsid w:val="0064295F"/>
    <w:rsid w:val="00645569"/>
    <w:rsid w:val="00645C5A"/>
    <w:rsid w:val="00646133"/>
    <w:rsid w:val="00652762"/>
    <w:rsid w:val="00652B2B"/>
    <w:rsid w:val="00653534"/>
    <w:rsid w:val="00653771"/>
    <w:rsid w:val="0065379A"/>
    <w:rsid w:val="00653CE2"/>
    <w:rsid w:val="0065590E"/>
    <w:rsid w:val="00655CBD"/>
    <w:rsid w:val="00656D4C"/>
    <w:rsid w:val="0066107A"/>
    <w:rsid w:val="0066164F"/>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5208"/>
    <w:rsid w:val="00695FF7"/>
    <w:rsid w:val="00696AC6"/>
    <w:rsid w:val="006A03DB"/>
    <w:rsid w:val="006A30C4"/>
    <w:rsid w:val="006A365A"/>
    <w:rsid w:val="006A5E44"/>
    <w:rsid w:val="006A6170"/>
    <w:rsid w:val="006A7EBB"/>
    <w:rsid w:val="006B135F"/>
    <w:rsid w:val="006B19EA"/>
    <w:rsid w:val="006B74EE"/>
    <w:rsid w:val="006B7D4F"/>
    <w:rsid w:val="006C05EF"/>
    <w:rsid w:val="006C0A76"/>
    <w:rsid w:val="006C1356"/>
    <w:rsid w:val="006C197E"/>
    <w:rsid w:val="006C419A"/>
    <w:rsid w:val="006C5AA8"/>
    <w:rsid w:val="006C71F5"/>
    <w:rsid w:val="006D3FA2"/>
    <w:rsid w:val="006D486F"/>
    <w:rsid w:val="006D4DF3"/>
    <w:rsid w:val="006D53C3"/>
    <w:rsid w:val="006D5844"/>
    <w:rsid w:val="006D6DFB"/>
    <w:rsid w:val="006D7206"/>
    <w:rsid w:val="006E2A5C"/>
    <w:rsid w:val="006E4588"/>
    <w:rsid w:val="006E7DBC"/>
    <w:rsid w:val="006F3B2C"/>
    <w:rsid w:val="006F5E93"/>
    <w:rsid w:val="00703D56"/>
    <w:rsid w:val="0070744C"/>
    <w:rsid w:val="007116B1"/>
    <w:rsid w:val="007134EA"/>
    <w:rsid w:val="007156B7"/>
    <w:rsid w:val="007202A5"/>
    <w:rsid w:val="00721164"/>
    <w:rsid w:val="00723317"/>
    <w:rsid w:val="007241A0"/>
    <w:rsid w:val="007261B5"/>
    <w:rsid w:val="00727290"/>
    <w:rsid w:val="007304D8"/>
    <w:rsid w:val="007306B9"/>
    <w:rsid w:val="007318D7"/>
    <w:rsid w:val="00734F3C"/>
    <w:rsid w:val="00736BBA"/>
    <w:rsid w:val="00737362"/>
    <w:rsid w:val="007378DC"/>
    <w:rsid w:val="00737D26"/>
    <w:rsid w:val="00740292"/>
    <w:rsid w:val="007417CF"/>
    <w:rsid w:val="007431C5"/>
    <w:rsid w:val="00744125"/>
    <w:rsid w:val="007457D6"/>
    <w:rsid w:val="00750D05"/>
    <w:rsid w:val="00750EB0"/>
    <w:rsid w:val="00751A94"/>
    <w:rsid w:val="00751C9C"/>
    <w:rsid w:val="00752698"/>
    <w:rsid w:val="00753254"/>
    <w:rsid w:val="0075342B"/>
    <w:rsid w:val="00754328"/>
    <w:rsid w:val="00754B44"/>
    <w:rsid w:val="007628CB"/>
    <w:rsid w:val="007633E7"/>
    <w:rsid w:val="00765A3F"/>
    <w:rsid w:val="00770445"/>
    <w:rsid w:val="00780E9E"/>
    <w:rsid w:val="0078113F"/>
    <w:rsid w:val="0078387C"/>
    <w:rsid w:val="007870E1"/>
    <w:rsid w:val="007914CE"/>
    <w:rsid w:val="007962E4"/>
    <w:rsid w:val="0079799F"/>
    <w:rsid w:val="007A19CC"/>
    <w:rsid w:val="007A23B5"/>
    <w:rsid w:val="007A68CA"/>
    <w:rsid w:val="007A7578"/>
    <w:rsid w:val="007A7C0F"/>
    <w:rsid w:val="007B05C3"/>
    <w:rsid w:val="007C5600"/>
    <w:rsid w:val="007D21D5"/>
    <w:rsid w:val="007E0269"/>
    <w:rsid w:val="007E077D"/>
    <w:rsid w:val="007E2F21"/>
    <w:rsid w:val="007F1B76"/>
    <w:rsid w:val="007F1E9C"/>
    <w:rsid w:val="007F254D"/>
    <w:rsid w:val="007F2B6A"/>
    <w:rsid w:val="007F3EB4"/>
    <w:rsid w:val="007F457D"/>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46CA6"/>
    <w:rsid w:val="008520A7"/>
    <w:rsid w:val="0085320B"/>
    <w:rsid w:val="008533D1"/>
    <w:rsid w:val="008538A1"/>
    <w:rsid w:val="00854059"/>
    <w:rsid w:val="008574C0"/>
    <w:rsid w:val="008610F3"/>
    <w:rsid w:val="00863A33"/>
    <w:rsid w:val="00870C66"/>
    <w:rsid w:val="008772E4"/>
    <w:rsid w:val="00877683"/>
    <w:rsid w:val="00877D77"/>
    <w:rsid w:val="00880E9F"/>
    <w:rsid w:val="00882B75"/>
    <w:rsid w:val="00882D82"/>
    <w:rsid w:val="00883714"/>
    <w:rsid w:val="0088437E"/>
    <w:rsid w:val="008849E6"/>
    <w:rsid w:val="00887FC9"/>
    <w:rsid w:val="00894A7A"/>
    <w:rsid w:val="00894F8A"/>
    <w:rsid w:val="008954F3"/>
    <w:rsid w:val="008966E0"/>
    <w:rsid w:val="008A224D"/>
    <w:rsid w:val="008A3FEF"/>
    <w:rsid w:val="008A4A76"/>
    <w:rsid w:val="008A69F4"/>
    <w:rsid w:val="008B0C46"/>
    <w:rsid w:val="008B2896"/>
    <w:rsid w:val="008B2D4E"/>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4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2B4B"/>
    <w:rsid w:val="00914027"/>
    <w:rsid w:val="00914407"/>
    <w:rsid w:val="0091552C"/>
    <w:rsid w:val="00916FDD"/>
    <w:rsid w:val="00917300"/>
    <w:rsid w:val="00921756"/>
    <w:rsid w:val="00923593"/>
    <w:rsid w:val="009236DE"/>
    <w:rsid w:val="00924F45"/>
    <w:rsid w:val="00926D62"/>
    <w:rsid w:val="009319E4"/>
    <w:rsid w:val="009336CF"/>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83D09"/>
    <w:rsid w:val="009906F2"/>
    <w:rsid w:val="009907AA"/>
    <w:rsid w:val="0099234A"/>
    <w:rsid w:val="00993280"/>
    <w:rsid w:val="00995067"/>
    <w:rsid w:val="00995C47"/>
    <w:rsid w:val="0099699B"/>
    <w:rsid w:val="00996AAA"/>
    <w:rsid w:val="009A026D"/>
    <w:rsid w:val="009A204D"/>
    <w:rsid w:val="009A3923"/>
    <w:rsid w:val="009A3F9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40DE"/>
    <w:rsid w:val="009F6A42"/>
    <w:rsid w:val="00A01CFB"/>
    <w:rsid w:val="00A051DF"/>
    <w:rsid w:val="00A057B2"/>
    <w:rsid w:val="00A05D29"/>
    <w:rsid w:val="00A11555"/>
    <w:rsid w:val="00A117DC"/>
    <w:rsid w:val="00A11960"/>
    <w:rsid w:val="00A11AC1"/>
    <w:rsid w:val="00A13549"/>
    <w:rsid w:val="00A145D3"/>
    <w:rsid w:val="00A158DC"/>
    <w:rsid w:val="00A163AE"/>
    <w:rsid w:val="00A16E02"/>
    <w:rsid w:val="00A20B07"/>
    <w:rsid w:val="00A232F4"/>
    <w:rsid w:val="00A23985"/>
    <w:rsid w:val="00A24D4D"/>
    <w:rsid w:val="00A26624"/>
    <w:rsid w:val="00A318E5"/>
    <w:rsid w:val="00A32C68"/>
    <w:rsid w:val="00A360D2"/>
    <w:rsid w:val="00A372CC"/>
    <w:rsid w:val="00A401B5"/>
    <w:rsid w:val="00A4029D"/>
    <w:rsid w:val="00A410D1"/>
    <w:rsid w:val="00A43AB6"/>
    <w:rsid w:val="00A45700"/>
    <w:rsid w:val="00A46313"/>
    <w:rsid w:val="00A46BC9"/>
    <w:rsid w:val="00A5005B"/>
    <w:rsid w:val="00A51E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86D63"/>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6F1B"/>
    <w:rsid w:val="00AD24A5"/>
    <w:rsid w:val="00AD381A"/>
    <w:rsid w:val="00AD58E6"/>
    <w:rsid w:val="00AE0FF0"/>
    <w:rsid w:val="00AE1391"/>
    <w:rsid w:val="00AE251D"/>
    <w:rsid w:val="00AE2FCB"/>
    <w:rsid w:val="00AE4D94"/>
    <w:rsid w:val="00AE6BCF"/>
    <w:rsid w:val="00AE700F"/>
    <w:rsid w:val="00AF20C4"/>
    <w:rsid w:val="00AF3080"/>
    <w:rsid w:val="00AF31AB"/>
    <w:rsid w:val="00AF3C2C"/>
    <w:rsid w:val="00AF56F2"/>
    <w:rsid w:val="00AF7B25"/>
    <w:rsid w:val="00B002CC"/>
    <w:rsid w:val="00B01ACF"/>
    <w:rsid w:val="00B01E61"/>
    <w:rsid w:val="00B03387"/>
    <w:rsid w:val="00B03492"/>
    <w:rsid w:val="00B065CE"/>
    <w:rsid w:val="00B07DC1"/>
    <w:rsid w:val="00B12998"/>
    <w:rsid w:val="00B1349F"/>
    <w:rsid w:val="00B168B2"/>
    <w:rsid w:val="00B17C55"/>
    <w:rsid w:val="00B218E3"/>
    <w:rsid w:val="00B21DC5"/>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4AE"/>
    <w:rsid w:val="00B75F60"/>
    <w:rsid w:val="00B76AA6"/>
    <w:rsid w:val="00B76C2D"/>
    <w:rsid w:val="00B81FBF"/>
    <w:rsid w:val="00B824FE"/>
    <w:rsid w:val="00B82EE3"/>
    <w:rsid w:val="00B8353D"/>
    <w:rsid w:val="00B84FD8"/>
    <w:rsid w:val="00B860FF"/>
    <w:rsid w:val="00B9372E"/>
    <w:rsid w:val="00B95F33"/>
    <w:rsid w:val="00B967A9"/>
    <w:rsid w:val="00BA033C"/>
    <w:rsid w:val="00BA0F4A"/>
    <w:rsid w:val="00BA250C"/>
    <w:rsid w:val="00BA58D9"/>
    <w:rsid w:val="00BA6B4C"/>
    <w:rsid w:val="00BA7211"/>
    <w:rsid w:val="00BB21B8"/>
    <w:rsid w:val="00BB2AA7"/>
    <w:rsid w:val="00BB3908"/>
    <w:rsid w:val="00BB4F6E"/>
    <w:rsid w:val="00BB5150"/>
    <w:rsid w:val="00BB6720"/>
    <w:rsid w:val="00BC0628"/>
    <w:rsid w:val="00BC0DB7"/>
    <w:rsid w:val="00BC1908"/>
    <w:rsid w:val="00BC21BF"/>
    <w:rsid w:val="00BC66FE"/>
    <w:rsid w:val="00BD1723"/>
    <w:rsid w:val="00BD1D68"/>
    <w:rsid w:val="00BD25E9"/>
    <w:rsid w:val="00BD30ED"/>
    <w:rsid w:val="00BD5189"/>
    <w:rsid w:val="00BD747A"/>
    <w:rsid w:val="00BE1873"/>
    <w:rsid w:val="00BE267E"/>
    <w:rsid w:val="00BE5449"/>
    <w:rsid w:val="00BE5A67"/>
    <w:rsid w:val="00BF08DD"/>
    <w:rsid w:val="00BF3B6A"/>
    <w:rsid w:val="00BF49C7"/>
    <w:rsid w:val="00C0318D"/>
    <w:rsid w:val="00C07C4E"/>
    <w:rsid w:val="00C12B99"/>
    <w:rsid w:val="00C15624"/>
    <w:rsid w:val="00C1586C"/>
    <w:rsid w:val="00C15B34"/>
    <w:rsid w:val="00C15BC0"/>
    <w:rsid w:val="00C20AA1"/>
    <w:rsid w:val="00C20DC1"/>
    <w:rsid w:val="00C210CC"/>
    <w:rsid w:val="00C21D57"/>
    <w:rsid w:val="00C239F6"/>
    <w:rsid w:val="00C24C0A"/>
    <w:rsid w:val="00C24FE4"/>
    <w:rsid w:val="00C25608"/>
    <w:rsid w:val="00C25E36"/>
    <w:rsid w:val="00C26F81"/>
    <w:rsid w:val="00C3027A"/>
    <w:rsid w:val="00C407FD"/>
    <w:rsid w:val="00C409E7"/>
    <w:rsid w:val="00C40B7E"/>
    <w:rsid w:val="00C41D9B"/>
    <w:rsid w:val="00C43E84"/>
    <w:rsid w:val="00C45CD5"/>
    <w:rsid w:val="00C5703E"/>
    <w:rsid w:val="00C5754A"/>
    <w:rsid w:val="00C579B5"/>
    <w:rsid w:val="00C60F72"/>
    <w:rsid w:val="00C6107E"/>
    <w:rsid w:val="00C61BD9"/>
    <w:rsid w:val="00C638B2"/>
    <w:rsid w:val="00C63E54"/>
    <w:rsid w:val="00C64047"/>
    <w:rsid w:val="00C64238"/>
    <w:rsid w:val="00C653BC"/>
    <w:rsid w:val="00C66500"/>
    <w:rsid w:val="00C6698D"/>
    <w:rsid w:val="00C70B0B"/>
    <w:rsid w:val="00C7150D"/>
    <w:rsid w:val="00C71B8F"/>
    <w:rsid w:val="00C7226E"/>
    <w:rsid w:val="00C72674"/>
    <w:rsid w:val="00C729F1"/>
    <w:rsid w:val="00C73CF9"/>
    <w:rsid w:val="00C74FEF"/>
    <w:rsid w:val="00C8124F"/>
    <w:rsid w:val="00C82870"/>
    <w:rsid w:val="00C8584A"/>
    <w:rsid w:val="00C8624A"/>
    <w:rsid w:val="00C87756"/>
    <w:rsid w:val="00C91119"/>
    <w:rsid w:val="00C95278"/>
    <w:rsid w:val="00C95B2F"/>
    <w:rsid w:val="00C96963"/>
    <w:rsid w:val="00CA0E2F"/>
    <w:rsid w:val="00CA2BD7"/>
    <w:rsid w:val="00CA3738"/>
    <w:rsid w:val="00CA42F7"/>
    <w:rsid w:val="00CA4936"/>
    <w:rsid w:val="00CA5541"/>
    <w:rsid w:val="00CA6969"/>
    <w:rsid w:val="00CA71B7"/>
    <w:rsid w:val="00CB00F3"/>
    <w:rsid w:val="00CB12BA"/>
    <w:rsid w:val="00CB484E"/>
    <w:rsid w:val="00CB4B53"/>
    <w:rsid w:val="00CB7D21"/>
    <w:rsid w:val="00CB7DA1"/>
    <w:rsid w:val="00CC16B2"/>
    <w:rsid w:val="00CC6596"/>
    <w:rsid w:val="00CD0E36"/>
    <w:rsid w:val="00CD1B01"/>
    <w:rsid w:val="00CD1D5B"/>
    <w:rsid w:val="00CD1E6E"/>
    <w:rsid w:val="00CD341E"/>
    <w:rsid w:val="00CD4B2B"/>
    <w:rsid w:val="00CD5187"/>
    <w:rsid w:val="00CD7815"/>
    <w:rsid w:val="00CE01BD"/>
    <w:rsid w:val="00CE0DA2"/>
    <w:rsid w:val="00CE3378"/>
    <w:rsid w:val="00CE3E78"/>
    <w:rsid w:val="00CE40B1"/>
    <w:rsid w:val="00CE6775"/>
    <w:rsid w:val="00CE67D7"/>
    <w:rsid w:val="00CE68DB"/>
    <w:rsid w:val="00CE7256"/>
    <w:rsid w:val="00CE76FC"/>
    <w:rsid w:val="00CE77E0"/>
    <w:rsid w:val="00CE7F23"/>
    <w:rsid w:val="00CF1AFB"/>
    <w:rsid w:val="00CF22CE"/>
    <w:rsid w:val="00CF29E9"/>
    <w:rsid w:val="00CF380C"/>
    <w:rsid w:val="00CF44B9"/>
    <w:rsid w:val="00D02287"/>
    <w:rsid w:val="00D1373A"/>
    <w:rsid w:val="00D15DB8"/>
    <w:rsid w:val="00D16365"/>
    <w:rsid w:val="00D175DD"/>
    <w:rsid w:val="00D22F33"/>
    <w:rsid w:val="00D22F4F"/>
    <w:rsid w:val="00D23E78"/>
    <w:rsid w:val="00D240F2"/>
    <w:rsid w:val="00D24137"/>
    <w:rsid w:val="00D24A7B"/>
    <w:rsid w:val="00D24BFE"/>
    <w:rsid w:val="00D268C0"/>
    <w:rsid w:val="00D27162"/>
    <w:rsid w:val="00D277DC"/>
    <w:rsid w:val="00D31DC3"/>
    <w:rsid w:val="00D329CF"/>
    <w:rsid w:val="00D33EE5"/>
    <w:rsid w:val="00D347B9"/>
    <w:rsid w:val="00D429EE"/>
    <w:rsid w:val="00D42E2E"/>
    <w:rsid w:val="00D4571D"/>
    <w:rsid w:val="00D46C7B"/>
    <w:rsid w:val="00D47647"/>
    <w:rsid w:val="00D53D11"/>
    <w:rsid w:val="00D56B5F"/>
    <w:rsid w:val="00D57F4F"/>
    <w:rsid w:val="00D62251"/>
    <w:rsid w:val="00D638A6"/>
    <w:rsid w:val="00D65589"/>
    <w:rsid w:val="00D6711F"/>
    <w:rsid w:val="00D672EC"/>
    <w:rsid w:val="00D67B5C"/>
    <w:rsid w:val="00D702A7"/>
    <w:rsid w:val="00D71F9C"/>
    <w:rsid w:val="00D75B86"/>
    <w:rsid w:val="00D77BE8"/>
    <w:rsid w:val="00D8213A"/>
    <w:rsid w:val="00D866F2"/>
    <w:rsid w:val="00D91533"/>
    <w:rsid w:val="00D91F0F"/>
    <w:rsid w:val="00D932DC"/>
    <w:rsid w:val="00D94FEE"/>
    <w:rsid w:val="00D9553B"/>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3DF5"/>
    <w:rsid w:val="00DE495D"/>
    <w:rsid w:val="00DE4C4D"/>
    <w:rsid w:val="00DE4DCD"/>
    <w:rsid w:val="00DE524F"/>
    <w:rsid w:val="00DF3F29"/>
    <w:rsid w:val="00DF421A"/>
    <w:rsid w:val="00DF6F31"/>
    <w:rsid w:val="00E0321A"/>
    <w:rsid w:val="00E04179"/>
    <w:rsid w:val="00E04A9E"/>
    <w:rsid w:val="00E07081"/>
    <w:rsid w:val="00E07E02"/>
    <w:rsid w:val="00E10293"/>
    <w:rsid w:val="00E104D5"/>
    <w:rsid w:val="00E10C23"/>
    <w:rsid w:val="00E11A6C"/>
    <w:rsid w:val="00E12EBA"/>
    <w:rsid w:val="00E12F24"/>
    <w:rsid w:val="00E1439B"/>
    <w:rsid w:val="00E14F1B"/>
    <w:rsid w:val="00E164C5"/>
    <w:rsid w:val="00E219E6"/>
    <w:rsid w:val="00E23A33"/>
    <w:rsid w:val="00E24109"/>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3BAB"/>
    <w:rsid w:val="00EA5633"/>
    <w:rsid w:val="00EA6CB9"/>
    <w:rsid w:val="00EB05BA"/>
    <w:rsid w:val="00EB3DB6"/>
    <w:rsid w:val="00EB501C"/>
    <w:rsid w:val="00EB559A"/>
    <w:rsid w:val="00EB6490"/>
    <w:rsid w:val="00EC0F11"/>
    <w:rsid w:val="00EC18AD"/>
    <w:rsid w:val="00EC4D72"/>
    <w:rsid w:val="00EC56BA"/>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0BDA"/>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2C89"/>
    <w:rsid w:val="00F24083"/>
    <w:rsid w:val="00F24754"/>
    <w:rsid w:val="00F261AC"/>
    <w:rsid w:val="00F31503"/>
    <w:rsid w:val="00F31846"/>
    <w:rsid w:val="00F31D8C"/>
    <w:rsid w:val="00F33B33"/>
    <w:rsid w:val="00F34BB1"/>
    <w:rsid w:val="00F363D1"/>
    <w:rsid w:val="00F377FA"/>
    <w:rsid w:val="00F37D6C"/>
    <w:rsid w:val="00F37F8E"/>
    <w:rsid w:val="00F4197D"/>
    <w:rsid w:val="00F42DD7"/>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2090"/>
    <w:rsid w:val="00FA2397"/>
    <w:rsid w:val="00FA470B"/>
    <w:rsid w:val="00FA6CE1"/>
    <w:rsid w:val="00FB0769"/>
    <w:rsid w:val="00FB3EE3"/>
    <w:rsid w:val="00FB6739"/>
    <w:rsid w:val="00FB73EC"/>
    <w:rsid w:val="00FB75C9"/>
    <w:rsid w:val="00FB79B8"/>
    <w:rsid w:val="00FC0D2F"/>
    <w:rsid w:val="00FC1CA4"/>
    <w:rsid w:val="00FC228B"/>
    <w:rsid w:val="00FC381D"/>
    <w:rsid w:val="00FC3BB4"/>
    <w:rsid w:val="00FC5F36"/>
    <w:rsid w:val="00FC6455"/>
    <w:rsid w:val="00FC672E"/>
    <w:rsid w:val="00FD10DD"/>
    <w:rsid w:val="00FD18F9"/>
    <w:rsid w:val="00FD1C92"/>
    <w:rsid w:val="00FD3646"/>
    <w:rsid w:val="00FD369C"/>
    <w:rsid w:val="00FD6576"/>
    <w:rsid w:val="00FD6903"/>
    <w:rsid w:val="00FD7C40"/>
    <w:rsid w:val="00FE0356"/>
    <w:rsid w:val="00FE058F"/>
    <w:rsid w:val="00FE0FDE"/>
    <w:rsid w:val="00FE1089"/>
    <w:rsid w:val="00FE2943"/>
    <w:rsid w:val="00FE3CDC"/>
    <w:rsid w:val="00FE4239"/>
    <w:rsid w:val="00FE5F37"/>
    <w:rsid w:val="00FF5403"/>
    <w:rsid w:val="00FF5ECF"/>
    <w:rsid w:val="00FF79CB"/>
    <w:rsid w:val="00FF7C8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E5E"/>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D02287"/>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0560EE"/>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634F41"/>
    <w:pPr>
      <w:keepNext/>
      <w:tabs>
        <w:tab w:val="left" w:pos="993"/>
      </w:tabs>
      <w:spacing w:before="240" w:after="60"/>
      <w:outlineLvl w:val="3"/>
    </w:pPr>
    <w:rPr>
      <w:rFonts w:eastAsia="Times New Roman"/>
      <w:b/>
      <w:bCs/>
      <w:color w:val="31849B"/>
      <w:sz w:val="22"/>
      <w:lang w:val="en-GB" w:eastAsia="en-CA"/>
    </w:rPr>
  </w:style>
  <w:style w:type="paragraph" w:styleId="Heading5">
    <w:name w:val="heading 5"/>
    <w:basedOn w:val="Normal"/>
    <w:next w:val="Normal"/>
    <w:link w:val="Heading5Char"/>
    <w:qFormat/>
    <w:rsid w:val="00634F41"/>
    <w:pPr>
      <w:keepNext/>
      <w:keepLines/>
      <w:tabs>
        <w:tab w:val="left" w:pos="1134"/>
      </w:tabs>
      <w:spacing w:before="240" w:after="60"/>
      <w:ind w:left="1134" w:hanging="1134"/>
      <w:outlineLvl w:val="4"/>
    </w:pPr>
    <w:rPr>
      <w:rFonts w:eastAsia="Times New Roman"/>
      <w:b/>
      <w:bCs/>
      <w:i/>
      <w:iCs/>
      <w:color w:val="31849B"/>
      <w:sz w:val="22"/>
      <w:lang w:val="en-GB"/>
    </w:rPr>
  </w:style>
  <w:style w:type="paragraph" w:styleId="Heading6">
    <w:name w:val="heading 6"/>
    <w:basedOn w:val="Normal"/>
    <w:next w:val="Normal"/>
    <w:link w:val="Heading6Char"/>
    <w:qFormat/>
    <w:rsid w:val="00ED46A8"/>
    <w:pPr>
      <w:spacing w:before="240" w:after="60"/>
      <w:outlineLvl w:val="5"/>
    </w:pPr>
    <w:rPr>
      <w:b/>
      <w:bCs/>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basedOn w:val="DefaultParagraphFont"/>
    <w:link w:val="BalloonText"/>
    <w:rsid w:val="00075AFE"/>
    <w:rPr>
      <w:rFonts w:ascii="Tahoma" w:hAnsi="Tahoma" w:cs="Tahoma"/>
      <w:sz w:val="16"/>
      <w:szCs w:val="16"/>
      <w:lang w:val="fr-FR" w:eastAsia="fr-FR"/>
    </w:rPr>
  </w:style>
  <w:style w:type="paragraph" w:styleId="Header">
    <w:name w:val="header"/>
    <w:basedOn w:val="Normal"/>
    <w:link w:val="HeaderChar"/>
    <w:rsid w:val="008E4040"/>
    <w:pPr>
      <w:pBdr>
        <w:bottom w:val="single" w:sz="12" w:space="1" w:color="005173"/>
      </w:pBdr>
      <w:jc w:val="center"/>
    </w:pPr>
    <w:rPr>
      <w:rFonts w:eastAsia="Times New Roman" w:cs="Calibri"/>
      <w:i/>
      <w:iCs/>
      <w:szCs w:val="21"/>
      <w:lang w:val="en-US"/>
    </w:rPr>
  </w:style>
  <w:style w:type="character" w:customStyle="1" w:styleId="HeaderChar">
    <w:name w:val="Header Char"/>
    <w:basedOn w:val="DefaultParagraphFont"/>
    <w:link w:val="Header"/>
    <w:rsid w:val="008E4040"/>
    <w:rPr>
      <w:rFonts w:ascii="Calibri" w:eastAsia="Times New Roman" w:hAnsi="Calibri" w:cs="Calibri"/>
      <w:i/>
      <w:iCs/>
      <w:sz w:val="21"/>
      <w:szCs w:val="21"/>
      <w:lang w:eastAsia="fr-FR"/>
    </w:rPr>
  </w:style>
  <w:style w:type="character" w:styleId="Hyperlink">
    <w:name w:val="Hyperlink"/>
    <w:aliases w:val="CEO_Hyperlink"/>
    <w:basedOn w:val="DefaultParagraphFont"/>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C20DC1"/>
    <w:pPr>
      <w:keepNext/>
      <w:keepLines/>
      <w:tabs>
        <w:tab w:val="left" w:pos="567"/>
        <w:tab w:val="left" w:pos="1134"/>
        <w:tab w:val="right" w:leader="dot" w:pos="8505"/>
        <w:tab w:val="right" w:pos="9071"/>
      </w:tabs>
      <w:spacing w:before="200"/>
      <w:ind w:left="567" w:hanging="567"/>
      <w:jc w:val="left"/>
    </w:pPr>
    <w:rPr>
      <w:rFonts w:eastAsia="SimSun"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FE5F37"/>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7116B1"/>
    <w:pPr>
      <w:spacing w:before="240" w:after="120"/>
      <w:jc w:val="center"/>
    </w:pPr>
    <w:rPr>
      <w:b w:val="0"/>
      <w:bCs/>
    </w:rPr>
  </w:style>
  <w:style w:type="character" w:customStyle="1" w:styleId="FiguretitleChar">
    <w:name w:val="Figure title Char"/>
    <w:basedOn w:val="DefaultParagraphFont"/>
    <w:link w:val="Figuretitle"/>
    <w:rsid w:val="00FE5F37"/>
    <w:rPr>
      <w:rFonts w:ascii="Calibri" w:eastAsia="SimSun"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0560EE"/>
    <w:pPr>
      <w:jc w:val="left"/>
    </w:pPr>
    <w:rPr>
      <w:b w:val="0"/>
      <w:bCs/>
      <w:i/>
      <w:iCs/>
      <w:sz w:val="19"/>
      <w:szCs w:val="19"/>
    </w:rPr>
  </w:style>
  <w:style w:type="character" w:customStyle="1" w:styleId="FigureChar">
    <w:name w:val="Figure Char"/>
    <w:basedOn w:val="FiguretitleChar"/>
    <w:link w:val="Figure"/>
    <w:rsid w:val="007116B1"/>
    <w:rPr>
      <w:rFonts w:ascii="Calibri" w:eastAsia="SimSun" w:hAnsi="Calibri" w:cs="Arial"/>
      <w:b w:val="0"/>
      <w:bCs/>
      <w:color w:val="000000"/>
      <w:sz w:val="21"/>
      <w:szCs w:val="22"/>
      <w:shd w:val="clear" w:color="auto" w:fill="E8F8FD"/>
      <w:lang w:val="en-AU" w:eastAsia="fr-FR"/>
    </w:rPr>
  </w:style>
  <w:style w:type="character" w:customStyle="1" w:styleId="href">
    <w:name w:val="href"/>
    <w:basedOn w:val="DefaultParagraphFont"/>
    <w:rsid w:val="006104A4"/>
    <w:rPr>
      <w:rFonts w:cs="Times New Roman"/>
    </w:rPr>
  </w:style>
  <w:style w:type="character" w:customStyle="1" w:styleId="figuresourceChar">
    <w:name w:val="figure source Char"/>
    <w:basedOn w:val="FiguretitleChar"/>
    <w:link w:val="figuresource"/>
    <w:rsid w:val="000560EE"/>
    <w:rPr>
      <w:rFonts w:ascii="Calibri" w:eastAsia="SimSun" w:hAnsi="Calibri" w:cs="Arial"/>
      <w:b w:val="0"/>
      <w:bCs/>
      <w:i/>
      <w:iCs/>
      <w:color w:val="000000"/>
      <w:sz w:val="19"/>
      <w:szCs w:val="19"/>
      <w:shd w:val="clear" w:color="auto" w:fill="B9E5FB"/>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0560EE"/>
    <w:pPr>
      <w:pBdr>
        <w:top w:val="single" w:sz="4" w:space="1" w:color="005173"/>
      </w:pBdr>
      <w:tabs>
        <w:tab w:val="right" w:pos="9071"/>
      </w:tabs>
      <w:ind w:left="6804"/>
      <w:jc w:val="right"/>
    </w:pPr>
  </w:style>
  <w:style w:type="character" w:customStyle="1" w:styleId="FooterChar">
    <w:name w:val="Footer Char"/>
    <w:basedOn w:val="DefaultParagraphFont"/>
    <w:link w:val="Footer"/>
    <w:uiPriority w:val="99"/>
    <w:rsid w:val="000560EE"/>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
    <w:rsid w:val="000560EE"/>
    <w:rPr>
      <w:rFonts w:ascii="Calibri" w:eastAsia="Times New Roman" w:hAnsi="Calibri" w:cs="Helvetica"/>
      <w:b/>
      <w:bCs/>
      <w:color w:val="005173"/>
      <w:sz w:val="24"/>
      <w:szCs w:val="32"/>
      <w:lang w:eastAsia="fr-FR"/>
    </w:rPr>
  </w:style>
  <w:style w:type="character" w:customStyle="1" w:styleId="PartTitleChar">
    <w:name w:val="Part Title Char"/>
    <w:basedOn w:val="Heading2Char"/>
    <w:link w:val="PartTitle"/>
    <w:rsid w:val="0010485E"/>
    <w:rPr>
      <w:rFonts w:ascii="Calibri" w:eastAsia="Times New Roman"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uiPriority w:val="99"/>
    <w:unhideWhenUsed/>
    <w:rsid w:val="00FA6CE1"/>
    <w:pPr>
      <w:tabs>
        <w:tab w:val="left" w:pos="284"/>
      </w:tabs>
      <w:spacing w:before="60"/>
      <w:jc w:val="left"/>
    </w:pPr>
    <w:rPr>
      <w:rFonts w:asciiTheme="minorHAnsi" w:eastAsiaTheme="minorHAnsi" w:hAnsiTheme="minorHAnsi" w:cstheme="minorBidi"/>
      <w:sz w:val="18"/>
      <w:szCs w:val="20"/>
      <w:lang w:val="en-GB" w:eastAsia="en-US"/>
    </w:rPr>
  </w:style>
  <w:style w:type="character" w:customStyle="1" w:styleId="FootnoteTextChar">
    <w:name w:val="Footnote Text Char"/>
    <w:basedOn w:val="DefaultParagraphFont"/>
    <w:link w:val="FootnoteText"/>
    <w:uiPriority w:val="99"/>
    <w:rsid w:val="00FA6CE1"/>
    <w:rPr>
      <w:rFonts w:asciiTheme="minorHAnsi" w:eastAsiaTheme="minorHAnsi" w:hAnsiTheme="minorHAnsi" w:cstheme="minorBidi"/>
      <w:sz w:val="18"/>
      <w:lang w:val="en-GB" w:eastAsia="en-US"/>
    </w:rPr>
  </w:style>
  <w:style w:type="character" w:styleId="FootnoteReference">
    <w:name w:val="footnote reference"/>
    <w:aliases w:val="Appel note de bas de p"/>
    <w:basedOn w:val="DefaultParagraphFont"/>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A52DB"/>
    <w:pPr>
      <w:keepNext/>
      <w:keepLines/>
      <w:tabs>
        <w:tab w:val="left" w:pos="851"/>
      </w:tabs>
      <w:spacing w:before="240"/>
      <w:jc w:val="center"/>
      <w:outlineLvl w:val="0"/>
    </w:pPr>
    <w:rPr>
      <w:rFonts w:cs="Helvetica"/>
      <w:b/>
      <w:bCs/>
      <w:color w:val="005173"/>
      <w:sz w:val="40"/>
      <w:szCs w:val="28"/>
      <w:lang w:val="en-US"/>
    </w:rPr>
  </w:style>
  <w:style w:type="paragraph" w:customStyle="1" w:styleId="Toc0">
    <w:name w:val="Toc 0"/>
    <w:basedOn w:val="Normal"/>
    <w:link w:val="Toc0Char"/>
    <w:qFormat/>
    <w:rsid w:val="00395676"/>
    <w:pPr>
      <w:tabs>
        <w:tab w:val="right" w:pos="9071"/>
      </w:tabs>
      <w:spacing w:before="200"/>
      <w:jc w:val="right"/>
    </w:pPr>
    <w:rPr>
      <w:rFonts w:cs="Helvetica"/>
      <w:bCs/>
      <w:i/>
      <w:iCs/>
      <w:noProof/>
      <w:color w:val="1F9DD9"/>
      <w:szCs w:val="28"/>
      <w:lang w:val="en-US"/>
    </w:rPr>
  </w:style>
  <w:style w:type="character" w:customStyle="1" w:styleId="Heading1Char">
    <w:name w:val="Heading 1 Char"/>
    <w:basedOn w:val="DefaultParagraphFont"/>
    <w:link w:val="Heading1"/>
    <w:uiPriority w:val="9"/>
    <w:rsid w:val="00D02287"/>
    <w:rPr>
      <w:rFonts w:ascii="Calibri" w:eastAsia="Times New Roman" w:hAnsi="Calibri" w:cs="Helvetica"/>
      <w:b/>
      <w:bCs/>
      <w:color w:val="005173"/>
      <w:sz w:val="28"/>
      <w:szCs w:val="28"/>
      <w:lang w:eastAsia="fr-FR"/>
    </w:rPr>
  </w:style>
  <w:style w:type="character" w:customStyle="1" w:styleId="ChapttitleChar">
    <w:name w:val="Chapt title Char"/>
    <w:basedOn w:val="DefaultParagraphFont"/>
    <w:link w:val="Chapttitle"/>
    <w:rsid w:val="003A52DB"/>
    <w:rPr>
      <w:rFonts w:ascii="Calibri" w:hAnsi="Calibri" w:cs="Helvetica"/>
      <w:b/>
      <w:bCs/>
      <w:color w:val="005173"/>
      <w:sz w:val="40"/>
      <w:szCs w:val="28"/>
      <w:lang w:eastAsia="fr-FR"/>
    </w:rPr>
  </w:style>
  <w:style w:type="character" w:customStyle="1" w:styleId="Toc0Char">
    <w:name w:val="Toc 0 Char"/>
    <w:basedOn w:val="DefaultParagraphFont"/>
    <w:link w:val="Toc0"/>
    <w:rsid w:val="00395676"/>
    <w:rPr>
      <w:rFonts w:ascii="Calibri" w:hAnsi="Calibri" w:cs="Helvetica"/>
      <w:bCs/>
      <w:i/>
      <w:iCs/>
      <w:noProof/>
      <w:color w:val="1F9DD9"/>
      <w:sz w:val="21"/>
      <w:szCs w:val="28"/>
      <w:lang w:eastAsia="fr-FR"/>
    </w:rPr>
  </w:style>
  <w:style w:type="paragraph" w:customStyle="1" w:styleId="HeadingB">
    <w:name w:val="Heading B"/>
    <w:basedOn w:val="Normal"/>
    <w:link w:val="HeadingBChar"/>
    <w:qFormat/>
    <w:rsid w:val="00CE0DA2"/>
    <w:pPr>
      <w:spacing w:before="240"/>
    </w:pPr>
    <w:rPr>
      <w:rFonts w:cs="Times New Roman Bold"/>
      <w:b/>
      <w:bCs/>
      <w:lang w:val="en-AU"/>
    </w:rPr>
  </w:style>
  <w:style w:type="paragraph" w:customStyle="1" w:styleId="Enumlevel1">
    <w:name w:val="Enum level 1"/>
    <w:basedOn w:val="Normal"/>
    <w:link w:val="Enumlevel1Char"/>
    <w:qFormat/>
    <w:rsid w:val="00ED3677"/>
    <w:pPr>
      <w:ind w:left="567" w:hanging="567"/>
    </w:pPr>
    <w:rPr>
      <w:rFonts w:eastAsia="SimSun" w:cs="Calibri"/>
      <w:szCs w:val="21"/>
      <w:lang w:val="en-GB" w:eastAsia="en-GB"/>
    </w:rPr>
  </w:style>
  <w:style w:type="character" w:customStyle="1" w:styleId="HeadingBChar">
    <w:name w:val="Heading B Char"/>
    <w:basedOn w:val="DefaultParagraphFont"/>
    <w:link w:val="HeadingB"/>
    <w:rsid w:val="00CE0DA2"/>
    <w:rPr>
      <w:rFonts w:ascii="Calibri" w:hAnsi="Calibri" w:cs="Times New Roman Bold"/>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basedOn w:val="DefaultParagraphFont"/>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2A225A"/>
    <w:rPr>
      <w:i/>
      <w:iCs/>
      <w:lang w:val="en-US"/>
    </w:rPr>
  </w:style>
  <w:style w:type="character" w:customStyle="1" w:styleId="CitationChar">
    <w:name w:val="Citation Char"/>
    <w:basedOn w:val="DefaultParagraphFont"/>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color w:val="000000" w:themeColor="text1"/>
      <w:lang w:val="en-GB"/>
    </w:rPr>
  </w:style>
  <w:style w:type="character" w:customStyle="1" w:styleId="Heading3Char">
    <w:name w:val="Heading 3 Char"/>
    <w:basedOn w:val="DefaultParagraphFont"/>
    <w:link w:val="Heading3"/>
    <w:locked/>
    <w:rsid w:val="00BB5150"/>
    <w:rPr>
      <w:rFonts w:ascii="Calibri" w:eastAsia="Times New Roman" w:hAnsi="Calibri" w:cs="Helvetica"/>
      <w:b/>
      <w:bCs/>
      <w:i/>
      <w:iCs/>
      <w:color w:val="943634" w:themeColor="accent2" w:themeShade="BF"/>
      <w:sz w:val="24"/>
      <w:szCs w:val="32"/>
      <w:lang w:eastAsia="fr-FR"/>
    </w:rPr>
  </w:style>
  <w:style w:type="character" w:customStyle="1" w:styleId="Heading4Char">
    <w:name w:val="Heading 4 Char"/>
    <w:basedOn w:val="DefaultParagraphFont"/>
    <w:link w:val="Heading4"/>
    <w:locked/>
    <w:rsid w:val="00634F41"/>
    <w:rPr>
      <w:rFonts w:ascii="Calibri" w:eastAsia="Times New Roman" w:hAnsi="Calibri"/>
      <w:b/>
      <w:bCs/>
      <w:color w:val="31849B"/>
      <w:sz w:val="22"/>
      <w:szCs w:val="22"/>
      <w:lang w:val="en-GB" w:eastAsia="en-CA"/>
    </w:rPr>
  </w:style>
  <w:style w:type="character" w:customStyle="1" w:styleId="Heading5Char">
    <w:name w:val="Heading 5 Char"/>
    <w:basedOn w:val="DefaultParagraphFont"/>
    <w:link w:val="Heading5"/>
    <w:locked/>
    <w:rsid w:val="00634F41"/>
    <w:rPr>
      <w:rFonts w:ascii="Calibri" w:eastAsia="Times New Roman" w:hAnsi="Calibri"/>
      <w:b/>
      <w:bCs/>
      <w:i/>
      <w:iCs/>
      <w:color w:val="31849B"/>
      <w:sz w:val="22"/>
      <w:szCs w:val="22"/>
      <w:lang w:val="en-GB" w:eastAsia="fr-FR"/>
    </w:rPr>
  </w:style>
  <w:style w:type="character" w:customStyle="1" w:styleId="Heading6Char">
    <w:name w:val="Heading 6 Char"/>
    <w:basedOn w:val="DefaultParagraphFont"/>
    <w:link w:val="Heading6"/>
    <w:locked/>
    <w:rsid w:val="00271D36"/>
    <w:rPr>
      <w:rFonts w:ascii="Calibri" w:hAnsi="Calibri"/>
      <w:b/>
      <w:bCs/>
      <w:sz w:val="21"/>
      <w:szCs w:val="22"/>
      <w:lang w:val="fr-FR" w:eastAsia="fr-FR"/>
    </w:rPr>
  </w:style>
  <w:style w:type="character" w:customStyle="1" w:styleId="Heading7Char">
    <w:name w:val="Heading 7 Char"/>
    <w:basedOn w:val="DefaultParagraphFont"/>
    <w:link w:val="Heading7"/>
    <w:locked/>
    <w:rsid w:val="00271D36"/>
    <w:rPr>
      <w:rFonts w:ascii="Calibri" w:hAnsi="Calibri"/>
      <w:sz w:val="24"/>
      <w:szCs w:val="24"/>
      <w:lang w:val="fr-FR" w:eastAsia="fr-FR"/>
    </w:rPr>
  </w:style>
  <w:style w:type="character" w:customStyle="1" w:styleId="Heading8Char">
    <w:name w:val="Heading 8 Char"/>
    <w:basedOn w:val="DefaultParagraphFont"/>
    <w:link w:val="Heading8"/>
    <w:locked/>
    <w:rsid w:val="00271D36"/>
    <w:rPr>
      <w:rFonts w:ascii="Calibri" w:hAnsi="Calibri"/>
      <w:i/>
      <w:iCs/>
      <w:sz w:val="24"/>
      <w:szCs w:val="24"/>
      <w:lang w:val="fr-FR" w:eastAsia="fr-FR"/>
    </w:rPr>
  </w:style>
  <w:style w:type="character" w:customStyle="1" w:styleId="Heading9Char">
    <w:name w:val="Heading 9 Char"/>
    <w:basedOn w:val="DefaultParagraphFont"/>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rFonts w:eastAsia="SimSun"/>
      <w:sz w:val="24"/>
      <w:szCs w:val="24"/>
      <w:lang w:val="en-GB" w:eastAsia="en-GB"/>
    </w:rPr>
  </w:style>
  <w:style w:type="character" w:styleId="FollowedHyperlink">
    <w:name w:val="FollowedHyperlink"/>
    <w:aliases w:val="CEO_FollowedHyperlink"/>
    <w:basedOn w:val="DefaultParagraphFont"/>
    <w:rsid w:val="00271D36"/>
    <w:rPr>
      <w:rFonts w:cs="Times New Roman"/>
      <w:color w:val="800080"/>
      <w:u w:val="single"/>
    </w:rPr>
  </w:style>
  <w:style w:type="paragraph" w:customStyle="1" w:styleId="Tablehead">
    <w:name w:val="Table head"/>
    <w:basedOn w:val="Normal"/>
    <w:link w:val="TableheadChar"/>
    <w:qFormat/>
    <w:rsid w:val="00446E47"/>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446E47"/>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1B29B0"/>
    <w:pPr>
      <w:spacing w:before="40" w:after="40"/>
      <w:jc w:val="left"/>
    </w:pPr>
    <w:rPr>
      <w:rFonts w:asciiTheme="minorHAnsi" w:hAnsiTheme="minorHAnsi"/>
      <w:bCs/>
      <w:sz w:val="19"/>
      <w:szCs w:val="18"/>
    </w:rPr>
  </w:style>
  <w:style w:type="character" w:customStyle="1" w:styleId="TabletextChar">
    <w:name w:val="Table text Char"/>
    <w:basedOn w:val="DefaultParagraphFont"/>
    <w:link w:val="Tabletext"/>
    <w:rsid w:val="001B29B0"/>
    <w:rPr>
      <w:rFonts w:asciiTheme="minorHAnsi" w:hAnsiTheme="minorHAnsi"/>
      <w:bCs/>
      <w:sz w:val="19"/>
      <w:szCs w:val="18"/>
      <w:lang w:val="fr-FR" w:eastAsia="fr-FR"/>
    </w:rPr>
  </w:style>
  <w:style w:type="paragraph" w:customStyle="1" w:styleId="Tabletitle">
    <w:name w:val="Table title"/>
    <w:basedOn w:val="Normal"/>
    <w:link w:val="TabletitleChar"/>
    <w:qFormat/>
    <w:rsid w:val="008E4040"/>
    <w:pPr>
      <w:shd w:val="clear" w:color="auto" w:fill="FFFFFF" w:themeFill="background1"/>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basedOn w:val="DefaultParagraphFont"/>
    <w:link w:val="Tabletitle"/>
    <w:rsid w:val="008E4040"/>
    <w:rPr>
      <w:rFonts w:ascii="Calibri" w:hAnsi="Calibri" w:cs="Arial"/>
      <w:b/>
      <w:bCs/>
      <w:color w:val="005173"/>
      <w:sz w:val="21"/>
      <w:szCs w:val="24"/>
      <w:shd w:val="clear" w:color="auto" w:fill="FFFFFF" w:themeFill="background1"/>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basedOn w:val="DefaultParagraphFont"/>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basedOn w:val="DefaultParagraphFont"/>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basedOn w:val="DefaultParagraphFont"/>
    <w:link w:val="Enumlevel3"/>
    <w:rsid w:val="00B9372E"/>
    <w:rPr>
      <w:rFonts w:ascii="Calibri" w:hAnsi="Calibri"/>
      <w:iCs/>
      <w:sz w:val="21"/>
      <w:szCs w:val="22"/>
      <w:lang w:val="fr-FR" w:eastAsia="fr-FR"/>
    </w:rPr>
  </w:style>
  <w:style w:type="character" w:customStyle="1" w:styleId="BalloonTextChar15">
    <w:name w:val="Balloon Text Char15"/>
    <w:basedOn w:val="DefaultParagraphFont"/>
    <w:uiPriority w:val="99"/>
    <w:semiHidden/>
    <w:rsid w:val="003E2368"/>
    <w:rPr>
      <w:rFonts w:ascii="Lucida Grande" w:hAnsi="Lucida Grande" w:cs="Times New Roman"/>
      <w:sz w:val="18"/>
    </w:rPr>
  </w:style>
  <w:style w:type="character" w:customStyle="1" w:styleId="BalloonTextChar14">
    <w:name w:val="Balloon Text Char14"/>
    <w:basedOn w:val="DefaultParagraphFont"/>
    <w:uiPriority w:val="99"/>
    <w:semiHidden/>
    <w:rsid w:val="003E2368"/>
    <w:rPr>
      <w:rFonts w:ascii="Lucida Grande" w:hAnsi="Lucida Grande" w:cs="Times New Roman"/>
      <w:sz w:val="18"/>
    </w:rPr>
  </w:style>
  <w:style w:type="character" w:customStyle="1" w:styleId="BalloonTextChar13">
    <w:name w:val="Balloon Text Char13"/>
    <w:basedOn w:val="DefaultParagraphFont"/>
    <w:uiPriority w:val="99"/>
    <w:semiHidden/>
    <w:rsid w:val="003E2368"/>
    <w:rPr>
      <w:rFonts w:ascii="Lucida Grande" w:hAnsi="Lucida Grande" w:cs="Times New Roman"/>
      <w:sz w:val="18"/>
    </w:rPr>
  </w:style>
  <w:style w:type="character" w:customStyle="1" w:styleId="BalloonTextChar12">
    <w:name w:val="Balloon Text Char12"/>
    <w:basedOn w:val="DefaultParagraphFont"/>
    <w:uiPriority w:val="99"/>
    <w:semiHidden/>
    <w:rsid w:val="003E2368"/>
    <w:rPr>
      <w:rFonts w:ascii="Lucida Grande" w:hAnsi="Lucida Grande" w:cs="Times New Roman"/>
      <w:sz w:val="18"/>
    </w:rPr>
  </w:style>
  <w:style w:type="character" w:customStyle="1" w:styleId="BalloonTextChar11">
    <w:name w:val="Balloon Text Char11"/>
    <w:basedOn w:val="DefaultParagraphFont"/>
    <w:uiPriority w:val="99"/>
    <w:semiHidden/>
    <w:rsid w:val="003E2368"/>
    <w:rPr>
      <w:rFonts w:ascii="Lucida Grande" w:hAnsi="Lucida Grande" w:cs="Times New Roman"/>
      <w:sz w:val="18"/>
    </w:rPr>
  </w:style>
  <w:style w:type="character" w:customStyle="1" w:styleId="BalloonTextChar10">
    <w:name w:val="Balloon Text Char10"/>
    <w:basedOn w:val="DefaultParagraphFont"/>
    <w:uiPriority w:val="99"/>
    <w:semiHidden/>
    <w:rsid w:val="003E2368"/>
    <w:rPr>
      <w:rFonts w:ascii="Lucida Grande" w:hAnsi="Lucida Grande" w:cs="Times New Roman"/>
      <w:sz w:val="18"/>
    </w:rPr>
  </w:style>
  <w:style w:type="character" w:customStyle="1" w:styleId="BalloonTextChar9">
    <w:name w:val="Balloon Text Char9"/>
    <w:basedOn w:val="DefaultParagraphFont"/>
    <w:uiPriority w:val="99"/>
    <w:semiHidden/>
    <w:rsid w:val="003E2368"/>
    <w:rPr>
      <w:rFonts w:ascii="Lucida Grande" w:hAnsi="Lucida Grande" w:cs="Times New Roman"/>
      <w:sz w:val="18"/>
    </w:rPr>
  </w:style>
  <w:style w:type="character" w:customStyle="1" w:styleId="BalloonTextChar8">
    <w:name w:val="Balloon Text Char8"/>
    <w:basedOn w:val="DefaultParagraphFont"/>
    <w:uiPriority w:val="99"/>
    <w:semiHidden/>
    <w:rsid w:val="003E2368"/>
    <w:rPr>
      <w:rFonts w:ascii="Lucida Grande" w:hAnsi="Lucida Grande" w:cs="Times New Roman"/>
      <w:sz w:val="18"/>
    </w:rPr>
  </w:style>
  <w:style w:type="character" w:customStyle="1" w:styleId="BalloonTextChar7">
    <w:name w:val="Balloon Text Char7"/>
    <w:basedOn w:val="DefaultParagraphFont"/>
    <w:uiPriority w:val="99"/>
    <w:semiHidden/>
    <w:rsid w:val="003E2368"/>
    <w:rPr>
      <w:rFonts w:ascii="Lucida Grande" w:hAnsi="Lucida Grande" w:cs="Times New Roman"/>
      <w:sz w:val="18"/>
    </w:rPr>
  </w:style>
  <w:style w:type="character" w:customStyle="1" w:styleId="BalloonTextChar6">
    <w:name w:val="Balloon Text Char6"/>
    <w:basedOn w:val="DefaultParagraphFont"/>
    <w:uiPriority w:val="99"/>
    <w:semiHidden/>
    <w:rsid w:val="003E2368"/>
    <w:rPr>
      <w:rFonts w:ascii="Lucida Grande" w:hAnsi="Lucida Grande" w:cs="Times New Roman"/>
      <w:sz w:val="18"/>
    </w:rPr>
  </w:style>
  <w:style w:type="character" w:customStyle="1" w:styleId="BalloonTextChar5">
    <w:name w:val="Balloon Text Char5"/>
    <w:basedOn w:val="DefaultParagraphFont"/>
    <w:uiPriority w:val="99"/>
    <w:semiHidden/>
    <w:rsid w:val="003E2368"/>
    <w:rPr>
      <w:rFonts w:ascii="Lucida Grande" w:hAnsi="Lucida Grande" w:cs="Times New Roman"/>
      <w:sz w:val="18"/>
    </w:rPr>
  </w:style>
  <w:style w:type="character" w:customStyle="1" w:styleId="BalloonTextChar4">
    <w:name w:val="Balloon Text Char4"/>
    <w:basedOn w:val="DefaultParagraphFont"/>
    <w:uiPriority w:val="99"/>
    <w:semiHidden/>
    <w:rsid w:val="003E2368"/>
    <w:rPr>
      <w:rFonts w:ascii="Lucida Grande" w:hAnsi="Lucida Grande" w:cs="Times New Roman"/>
      <w:sz w:val="18"/>
    </w:rPr>
  </w:style>
  <w:style w:type="character" w:customStyle="1" w:styleId="BalloonTextChar3">
    <w:name w:val="Balloon Text Char3"/>
    <w:basedOn w:val="DefaultParagraphFont"/>
    <w:uiPriority w:val="99"/>
    <w:semiHidden/>
    <w:rsid w:val="003E2368"/>
    <w:rPr>
      <w:rFonts w:ascii="Lucida Grande" w:hAnsi="Lucida Grande" w:cs="Times New Roman"/>
      <w:sz w:val="18"/>
    </w:rPr>
  </w:style>
  <w:style w:type="character" w:customStyle="1" w:styleId="BalloonTextChar2">
    <w:name w:val="Balloon Text Char2"/>
    <w:basedOn w:val="DefaultParagraphFont"/>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theme="minorBidi"/>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themeColor="accent1" w:themeShade="BF"/>
      <w:lang w:val="es-CL" w:eastAsia="es-C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Questionno">
    <w:name w:val="Question_no"/>
    <w:basedOn w:val="Chapttitle"/>
    <w:link w:val="QuestionnoChar"/>
    <w:qFormat/>
    <w:rsid w:val="00395676"/>
    <w:pPr>
      <w:jc w:val="right"/>
    </w:pPr>
    <w:rPr>
      <w:rFonts w:eastAsia="Times New Roman" w:cs="Calibri"/>
      <w:sz w:val="52"/>
      <w:szCs w:val="52"/>
      <w:lang w:val="en-GB"/>
    </w:rPr>
  </w:style>
  <w:style w:type="character" w:styleId="PlaceholderText">
    <w:name w:val="Placeholder Text"/>
    <w:basedOn w:val="DefaultParagraphFon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basedOn w:val="FigureChar"/>
    <w:link w:val="Acknowledgements"/>
    <w:rsid w:val="006B135F"/>
    <w:rPr>
      <w:rFonts w:ascii="Calibri" w:eastAsia="SimSun" w:hAnsi="Calibri" w:cs="Arial"/>
      <w:b w:val="0"/>
      <w:bCs/>
      <w:color w:val="000000" w:themeColor="text1"/>
      <w:sz w:val="21"/>
      <w:szCs w:val="22"/>
      <w:shd w:val="clear" w:color="auto" w:fill="DAEEF3"/>
      <w:lang w:val="en-GB" w:eastAsia="fr-FR"/>
    </w:rPr>
  </w:style>
  <w:style w:type="character" w:customStyle="1" w:styleId="QuestionnoChar">
    <w:name w:val="Question_no Char"/>
    <w:basedOn w:val="ChapttitleChar"/>
    <w:link w:val="Questionno"/>
    <w:rsid w:val="00395676"/>
    <w:rPr>
      <w:rFonts w:ascii="Calibri" w:eastAsia="Times New Roman" w:hAnsi="Calibri" w:cs="Calibri"/>
      <w:b/>
      <w:bCs/>
      <w:color w:val="1F9DD9"/>
      <w:sz w:val="52"/>
      <w:szCs w:val="52"/>
      <w:lang w:val="en-GB" w:eastAsia="fr-FR"/>
    </w:rPr>
  </w:style>
  <w:style w:type="character" w:customStyle="1" w:styleId="TablesourceChar">
    <w:name w:val="Table source Char"/>
    <w:basedOn w:val="TabletextChar"/>
    <w:link w:val="Tablesource"/>
    <w:rsid w:val="002A225A"/>
    <w:rPr>
      <w:rFonts w:asciiTheme="minorHAnsi" w:hAnsiTheme="minorHAnsi"/>
      <w:bCs/>
      <w:i/>
      <w:iCs/>
      <w:sz w:val="19"/>
      <w:szCs w:val="18"/>
      <w:lang w:val="fr-FR" w:eastAsia="fr-FR"/>
    </w:rPr>
  </w:style>
  <w:style w:type="paragraph" w:customStyle="1" w:styleId="enumlev2">
    <w:name w:val="enumlev 2"/>
    <w:basedOn w:val="enumlev1"/>
    <w:qFormat/>
    <w:rsid w:val="00BE1873"/>
    <w:pPr>
      <w:ind w:left="568"/>
    </w:p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enumlev1">
    <w:name w:val="enumlev1"/>
    <w:basedOn w:val="Normal"/>
    <w:link w:val="enumlev1Char"/>
    <w:qFormat/>
    <w:rsid w:val="00A51E5B"/>
    <w:pPr>
      <w:spacing w:before="0"/>
      <w:ind w:left="284" w:hanging="284"/>
    </w:pPr>
    <w:rPr>
      <w:rFonts w:eastAsia="SimSun" w:cs="Calibri"/>
      <w:sz w:val="19"/>
      <w:lang w:val="en-GB" w:eastAsia="en-GB"/>
    </w:rPr>
  </w:style>
  <w:style w:type="character" w:customStyle="1" w:styleId="enumlev1Char">
    <w:name w:val="enumlev1 Char"/>
    <w:basedOn w:val="DefaultParagraphFont"/>
    <w:link w:val="enumlev1"/>
    <w:rsid w:val="00A51E5B"/>
    <w:rPr>
      <w:rFonts w:ascii="Calibri" w:eastAsia="SimSun" w:hAnsi="Calibri" w:cs="Calibri"/>
      <w:sz w:val="19"/>
      <w:szCs w:val="22"/>
      <w:lang w:val="en-GB" w:eastAsia="en-GB"/>
    </w:rPr>
  </w:style>
  <w:style w:type="paragraph" w:customStyle="1" w:styleId="Chaptertitle">
    <w:name w:val="Chapter_title"/>
    <w:basedOn w:val="Normal"/>
    <w:qFormat/>
    <w:rsid w:val="00585FA8"/>
    <w:pPr>
      <w:jc w:val="center"/>
    </w:pPr>
    <w:rPr>
      <w:rFonts w:cstheme="minorBidi"/>
      <w:b/>
      <w:color w:val="1F9DD9"/>
      <w:sz w:val="40"/>
      <w:lang w:val="en-US" w:eastAsia="zh-CN"/>
    </w:rPr>
  </w:style>
  <w:style w:type="paragraph" w:customStyle="1" w:styleId="HeadingbI">
    <w:name w:val="Heading b+I"/>
    <w:basedOn w:val="enumlev1"/>
    <w:qFormat/>
    <w:rsid w:val="00CE0DA2"/>
    <w:pPr>
      <w:spacing w:before="240"/>
    </w:pPr>
    <w:rPr>
      <w:rFonts w:eastAsia="Times New Roman" w:cs="Helvetica"/>
      <w:b/>
      <w:bCs/>
      <w:i/>
      <w:sz w:val="24"/>
      <w:szCs w:val="28"/>
      <w:lang w:val="en-US" w:eastAsia="fr-FR"/>
    </w:rPr>
  </w:style>
  <w:style w:type="paragraph" w:customStyle="1" w:styleId="Questiontitle">
    <w:name w:val="Question_title"/>
    <w:basedOn w:val="Questionno"/>
    <w:qFormat/>
    <w:rsid w:val="000759D4"/>
    <w:rPr>
      <w:i/>
      <w:sz w:val="48"/>
      <w:lang w:val="en-US"/>
    </w:rPr>
  </w:style>
  <w:style w:type="paragraph" w:customStyle="1" w:styleId="CEOFooterContact2-3">
    <w:name w:val="CEO_FooterContact2-3"/>
    <w:basedOn w:val="CEONormal"/>
    <w:rsid w:val="00061F17"/>
    <w:pPr>
      <w:spacing w:before="0"/>
      <w:ind w:left="3827" w:hanging="2268"/>
    </w:pPr>
    <w:rPr>
      <w:sz w:val="16"/>
      <w:szCs w:val="16"/>
    </w:rPr>
  </w:style>
  <w:style w:type="paragraph" w:customStyle="1" w:styleId="CEONormal">
    <w:name w:val="CEO_Normal"/>
    <w:link w:val="CEONormalChar"/>
    <w:autoRedefine/>
    <w:rsid w:val="00061F17"/>
    <w:pPr>
      <w:spacing w:before="120"/>
    </w:pPr>
    <w:rPr>
      <w:rFonts w:ascii="Verdana" w:eastAsia="SimSun" w:hAnsi="Verdana"/>
      <w:sz w:val="19"/>
      <w:szCs w:val="19"/>
      <w:lang w:val="en-GB" w:eastAsia="en-US"/>
    </w:rPr>
  </w:style>
  <w:style w:type="paragraph" w:customStyle="1" w:styleId="CEOFooterContact1">
    <w:name w:val="CEO_FooterContact1"/>
    <w:basedOn w:val="CEONormal"/>
    <w:next w:val="CEOFooterContact2-3"/>
    <w:rsid w:val="00061F17"/>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061F17"/>
    <w:pPr>
      <w:spacing w:after="120"/>
      <w:ind w:left="743"/>
    </w:pPr>
    <w:rPr>
      <w:b/>
      <w:bCs/>
      <w:iCs/>
    </w:rPr>
  </w:style>
  <w:style w:type="paragraph" w:customStyle="1" w:styleId="CEOSourceTitle">
    <w:name w:val="CEO_Source_Title"/>
    <w:basedOn w:val="Normal"/>
    <w:rsid w:val="00061F17"/>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061F17"/>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061F17"/>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Footer">
    <w:name w:val="CEO_Footer"/>
    <w:basedOn w:val="Normal"/>
    <w:rsid w:val="00061F17"/>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061F17"/>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061F17"/>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061F17"/>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Normal"/>
    <w:rsid w:val="00187E5E"/>
    <w:pPr>
      <w:spacing w:before="360" w:after="120"/>
      <w:jc w:val="left"/>
    </w:pPr>
    <w:rPr>
      <w:rFonts w:ascii="Verdana" w:eastAsia="SimHei" w:hAnsi="Verdana" w:cs="Simplified Arabic"/>
      <w:sz w:val="19"/>
      <w:szCs w:val="19"/>
      <w:lang w:val="en-GB" w:eastAsia="en-US"/>
    </w:rPr>
  </w:style>
  <w:style w:type="paragraph" w:customStyle="1" w:styleId="CEOParagraph111">
    <w:name w:val="CEO_Paragraph1.1.1"/>
    <w:basedOn w:val="Heading3"/>
    <w:rsid w:val="00061F17"/>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061F17"/>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061F17"/>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061F17"/>
    <w:pPr>
      <w:numPr>
        <w:numId w:val="7"/>
      </w:numPr>
    </w:pPr>
  </w:style>
  <w:style w:type="paragraph" w:customStyle="1" w:styleId="CEOMeetingDates">
    <w:name w:val="CEO_MeetingDates"/>
    <w:basedOn w:val="Normal"/>
    <w:rsid w:val="00061F17"/>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061F17"/>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061F17"/>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061F17"/>
    <w:pPr>
      <w:tabs>
        <w:tab w:val="left" w:pos="2098"/>
      </w:tabs>
      <w:ind w:left="2098" w:hanging="2098"/>
    </w:pPr>
    <w:rPr>
      <w:lang w:val="fr-CH"/>
    </w:rPr>
  </w:style>
  <w:style w:type="paragraph" w:customStyle="1" w:styleId="CEOQuestionDetails">
    <w:name w:val="CEO_QuestionDetails"/>
    <w:basedOn w:val="CEOOriginalLanguage"/>
    <w:rsid w:val="00061F17"/>
    <w:rPr>
      <w:b w:val="0"/>
      <w:bCs/>
    </w:rPr>
  </w:style>
  <w:style w:type="paragraph" w:customStyle="1" w:styleId="CEOSectorName">
    <w:name w:val="CEO_SectorName"/>
    <w:basedOn w:val="Normal"/>
    <w:rsid w:val="00061F17"/>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061F17"/>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061F17"/>
    <w:pPr>
      <w:spacing w:before="0"/>
    </w:pPr>
  </w:style>
  <w:style w:type="paragraph" w:customStyle="1" w:styleId="CEOSourceTitleDetails">
    <w:name w:val="CEO_SourceTitleDetails"/>
    <w:basedOn w:val="Normal"/>
    <w:rsid w:val="00061F17"/>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061F17"/>
    <w:pPr>
      <w:spacing w:before="120"/>
      <w:jc w:val="center"/>
    </w:pPr>
  </w:style>
  <w:style w:type="paragraph" w:customStyle="1" w:styleId="CEOindent-endash">
    <w:name w:val="CEO_indent-endash"/>
    <w:basedOn w:val="Normal"/>
    <w:rsid w:val="00187E5E"/>
    <w:pPr>
      <w:numPr>
        <w:numId w:val="8"/>
      </w:numPr>
      <w:tabs>
        <w:tab w:val="clear" w:pos="1134"/>
        <w:tab w:val="num" w:pos="284"/>
      </w:tabs>
      <w:ind w:left="284" w:hanging="284"/>
      <w:jc w:val="left"/>
    </w:pPr>
    <w:rPr>
      <w:rFonts w:ascii="Verdana" w:eastAsia="SimSun" w:hAnsi="Verdana"/>
      <w:sz w:val="19"/>
      <w:szCs w:val="19"/>
      <w:lang w:val="en-GB" w:eastAsia="en-US"/>
    </w:rPr>
  </w:style>
  <w:style w:type="paragraph" w:customStyle="1" w:styleId="CEOHeader">
    <w:name w:val="CEO_Header"/>
    <w:basedOn w:val="Normal"/>
    <w:rsid w:val="00061F17"/>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061F17"/>
    <w:pPr>
      <w:spacing w:after="120"/>
      <w:ind w:left="426"/>
    </w:pPr>
  </w:style>
  <w:style w:type="paragraph" w:customStyle="1" w:styleId="CEOLogo">
    <w:name w:val="CEO_Logo"/>
    <w:basedOn w:val="CEONormal"/>
    <w:rsid w:val="00061F17"/>
    <w:pPr>
      <w:spacing w:before="0"/>
      <w:jc w:val="right"/>
    </w:pPr>
  </w:style>
  <w:style w:type="paragraph" w:customStyle="1" w:styleId="CEOMeetingSTG">
    <w:name w:val="CEO_MeetingSTG"/>
    <w:basedOn w:val="CEOMeetingName"/>
    <w:rsid w:val="00061F17"/>
    <w:pPr>
      <w:spacing w:before="120" w:after="120"/>
    </w:pPr>
  </w:style>
  <w:style w:type="paragraph" w:customStyle="1" w:styleId="CEORevision">
    <w:name w:val="CEO_Revision"/>
    <w:basedOn w:val="CEONormal"/>
    <w:autoRedefine/>
    <w:rsid w:val="00061F17"/>
    <w:pPr>
      <w:tabs>
        <w:tab w:val="left" w:pos="1928"/>
      </w:tabs>
    </w:pPr>
    <w:rPr>
      <w:b/>
      <w:sz w:val="18"/>
      <w:szCs w:val="18"/>
    </w:rPr>
  </w:style>
  <w:style w:type="paragraph" w:customStyle="1" w:styleId="CEORevisionNote">
    <w:name w:val="CEO_RevisionNote"/>
    <w:basedOn w:val="CEORevision"/>
    <w:autoRedefine/>
    <w:rsid w:val="00061F17"/>
    <w:pPr>
      <w:spacing w:after="120"/>
    </w:pPr>
    <w:rPr>
      <w:b w:val="0"/>
      <w:i/>
      <w:iCs/>
      <w:lang w:val="en-US"/>
    </w:rPr>
  </w:style>
  <w:style w:type="paragraph" w:customStyle="1" w:styleId="CEOSummaryStartHere">
    <w:name w:val="CEO_Summary_StartHere"/>
    <w:rsid w:val="00061F17"/>
    <w:pPr>
      <w:spacing w:before="120" w:after="120"/>
      <w:jc w:val="center"/>
    </w:pPr>
    <w:rPr>
      <w:rFonts w:ascii="Verdana" w:eastAsia="SimHei" w:hAnsi="Verdana" w:cs="Simplified Arabic"/>
      <w:bCs/>
      <w:sz w:val="16"/>
      <w:szCs w:val="16"/>
      <w:lang w:val="fr-FR"/>
    </w:rPr>
  </w:style>
  <w:style w:type="paragraph" w:customStyle="1" w:styleId="enumlev3">
    <w:name w:val="enumlev3"/>
    <w:basedOn w:val="Normal"/>
    <w:uiPriority w:val="99"/>
    <w:rsid w:val="00061F17"/>
    <w:pPr>
      <w:tabs>
        <w:tab w:val="left" w:pos="2608"/>
        <w:tab w:val="left" w:pos="3345"/>
      </w:tabs>
      <w:spacing w:before="80"/>
      <w:ind w:left="2268" w:hanging="397"/>
      <w:jc w:val="left"/>
    </w:pPr>
    <w:rPr>
      <w:rFonts w:ascii="Times New Roman" w:eastAsia="SimSun" w:hAnsi="Times New Roman"/>
      <w:sz w:val="24"/>
      <w:szCs w:val="24"/>
      <w:lang w:val="en-GB" w:eastAsia="ja-JP"/>
    </w:rPr>
  </w:style>
  <w:style w:type="paragraph" w:customStyle="1" w:styleId="ceonormal0">
    <w:name w:val="ceonormal"/>
    <w:basedOn w:val="Normal"/>
    <w:rsid w:val="00061F17"/>
    <w:pPr>
      <w:spacing w:after="120"/>
      <w:jc w:val="left"/>
    </w:pPr>
    <w:rPr>
      <w:rFonts w:ascii="Verdana" w:eastAsia="Times New Roman" w:hAnsi="Verdana"/>
      <w:sz w:val="19"/>
      <w:szCs w:val="19"/>
      <w:lang w:val="en-US" w:eastAsia="en-US"/>
    </w:rPr>
  </w:style>
  <w:style w:type="paragraph" w:styleId="ListParagraph">
    <w:name w:val="List Paragraph"/>
    <w:basedOn w:val="Normal"/>
    <w:uiPriority w:val="34"/>
    <w:qFormat/>
    <w:rsid w:val="00061F17"/>
    <w:pPr>
      <w:spacing w:before="0" w:after="200" w:line="276" w:lineRule="auto"/>
      <w:ind w:left="720"/>
      <w:contextualSpacing/>
      <w:jc w:val="left"/>
    </w:pPr>
    <w:rPr>
      <w:rFonts w:asciiTheme="minorHAnsi" w:eastAsiaTheme="minorHAnsi" w:hAnsiTheme="minorHAnsi" w:cstheme="minorBidi"/>
      <w:sz w:val="22"/>
      <w:lang w:val="en-US" w:eastAsia="en-US"/>
    </w:rPr>
  </w:style>
  <w:style w:type="paragraph" w:styleId="BodyText">
    <w:name w:val="Body Text"/>
    <w:basedOn w:val="Normal"/>
    <w:link w:val="BodyTextChar"/>
    <w:rsid w:val="00061F17"/>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061F17"/>
    <w:rPr>
      <w:rFonts w:eastAsia="Calibri" w:cs="CG Times"/>
      <w:sz w:val="24"/>
      <w:lang w:val="en-GB" w:eastAsia="ar-SA"/>
    </w:rPr>
  </w:style>
  <w:style w:type="character" w:customStyle="1" w:styleId="a1">
    <w:name w:val="a1"/>
    <w:basedOn w:val="DefaultParagraphFont"/>
    <w:rsid w:val="00061F17"/>
    <w:rPr>
      <w:rFonts w:ascii="Trebuchet MS" w:hAnsi="Trebuchet MS"/>
      <w:noProof w:val="0"/>
      <w:color w:val="008000"/>
      <w:lang w:val="en-GB"/>
    </w:rPr>
  </w:style>
  <w:style w:type="paragraph" w:customStyle="1" w:styleId="Pa7">
    <w:name w:val="Pa7"/>
    <w:basedOn w:val="Normal"/>
    <w:next w:val="Normal"/>
    <w:uiPriority w:val="99"/>
    <w:rsid w:val="00061F17"/>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061F17"/>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061F17"/>
    <w:rPr>
      <w:i/>
      <w:iCs/>
    </w:rPr>
  </w:style>
  <w:style w:type="paragraph" w:styleId="EndnoteText">
    <w:name w:val="endnote text"/>
    <w:basedOn w:val="Normal"/>
    <w:link w:val="EndnoteTextChar"/>
    <w:uiPriority w:val="99"/>
    <w:unhideWhenUsed/>
    <w:rsid w:val="00061F17"/>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061F17"/>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061F17"/>
    <w:rPr>
      <w:vertAlign w:val="superscript"/>
    </w:rPr>
  </w:style>
  <w:style w:type="paragraph" w:customStyle="1" w:styleId="Heading41">
    <w:name w:val="Heading 41"/>
    <w:basedOn w:val="Normal"/>
    <w:next w:val="Normal"/>
    <w:uiPriority w:val="99"/>
    <w:rsid w:val="00061F17"/>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paragraph" w:styleId="Caption">
    <w:name w:val="caption"/>
    <w:basedOn w:val="Normal"/>
    <w:next w:val="Normal"/>
    <w:qFormat/>
    <w:rsid w:val="00061F17"/>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061F17"/>
    <w:rPr>
      <w:b/>
      <w:bCs/>
    </w:rPr>
  </w:style>
  <w:style w:type="character" w:customStyle="1" w:styleId="apple-converted-space">
    <w:name w:val="apple-converted-space"/>
    <w:basedOn w:val="DefaultParagraphFont"/>
    <w:rsid w:val="00061F17"/>
  </w:style>
  <w:style w:type="character" w:styleId="Emphasis">
    <w:name w:val="Emphasis"/>
    <w:basedOn w:val="DefaultParagraphFont"/>
    <w:uiPriority w:val="20"/>
    <w:qFormat/>
    <w:rsid w:val="00061F17"/>
    <w:rPr>
      <w:i/>
      <w:iCs/>
    </w:rPr>
  </w:style>
  <w:style w:type="character" w:styleId="CommentReference">
    <w:name w:val="annotation reference"/>
    <w:basedOn w:val="DefaultParagraphFont"/>
    <w:rsid w:val="00061F17"/>
    <w:rPr>
      <w:sz w:val="16"/>
      <w:szCs w:val="16"/>
    </w:rPr>
  </w:style>
  <w:style w:type="paragraph" w:styleId="CommentText">
    <w:name w:val="annotation text"/>
    <w:basedOn w:val="Normal"/>
    <w:link w:val="CommentTextChar"/>
    <w:rsid w:val="00061F17"/>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061F17"/>
    <w:rPr>
      <w:rFonts w:ascii="Verdana" w:eastAsia="SimHei" w:hAnsi="Verdana" w:cs="Simplified Arabic"/>
      <w:bCs/>
    </w:rPr>
  </w:style>
  <w:style w:type="character" w:customStyle="1" w:styleId="apple-style-span">
    <w:name w:val="apple-style-span"/>
    <w:basedOn w:val="DefaultParagraphFont"/>
    <w:rsid w:val="00061F17"/>
  </w:style>
  <w:style w:type="character" w:customStyle="1" w:styleId="CEONormalChar">
    <w:name w:val="CEO_Normal Char"/>
    <w:basedOn w:val="DefaultParagraphFont"/>
    <w:link w:val="CEONormal"/>
    <w:locked/>
    <w:rsid w:val="00061F17"/>
    <w:rPr>
      <w:rFonts w:ascii="Verdana" w:eastAsia="SimSun" w:hAnsi="Verdana"/>
      <w:sz w:val="19"/>
      <w:szCs w:val="19"/>
      <w:lang w:val="en-GB" w:eastAsia="en-US"/>
    </w:rPr>
  </w:style>
  <w:style w:type="paragraph" w:customStyle="1" w:styleId="FigureNotitle">
    <w:name w:val="Figure_No &amp; title"/>
    <w:basedOn w:val="Normal"/>
    <w:next w:val="Normal"/>
    <w:rsid w:val="00061F1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customStyle="1" w:styleId="Title1">
    <w:name w:val="Title 1"/>
    <w:basedOn w:val="Normal"/>
    <w:next w:val="Normal"/>
    <w:rsid w:val="00061F1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TOCHeading">
    <w:name w:val="TOC Heading"/>
    <w:basedOn w:val="Heading1"/>
    <w:next w:val="Normal"/>
    <w:uiPriority w:val="39"/>
    <w:unhideWhenUsed/>
    <w:qFormat/>
    <w:rsid w:val="00061F17"/>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ommentSubject">
    <w:name w:val="annotation subject"/>
    <w:basedOn w:val="CommentText"/>
    <w:next w:val="CommentText"/>
    <w:link w:val="CommentSubjectChar"/>
    <w:rsid w:val="00061F17"/>
    <w:rPr>
      <w:b/>
    </w:rPr>
  </w:style>
  <w:style w:type="character" w:customStyle="1" w:styleId="CommentSubjectChar">
    <w:name w:val="Comment Subject Char"/>
    <w:basedOn w:val="CommentTextChar"/>
    <w:link w:val="CommentSubject"/>
    <w:rsid w:val="00061F17"/>
    <w:rPr>
      <w:rFonts w:ascii="Verdana" w:eastAsia="SimHei" w:hAnsi="Verdana" w:cs="Simplified Arabic"/>
      <w:b/>
      <w:bCs/>
    </w:rPr>
  </w:style>
  <w:style w:type="paragraph" w:customStyle="1" w:styleId="RegParagraph">
    <w:name w:val="Reg Paragraph"/>
    <w:basedOn w:val="Normal"/>
    <w:link w:val="RegParagraphChar1"/>
    <w:autoRedefine/>
    <w:rsid w:val="00061F17"/>
    <w:pPr>
      <w:widowControl w:val="0"/>
      <w:tabs>
        <w:tab w:val="left" w:pos="851"/>
        <w:tab w:val="left" w:pos="1418"/>
        <w:tab w:val="left" w:pos="1985"/>
        <w:tab w:val="left" w:pos="2552"/>
      </w:tabs>
      <w:spacing w:after="120" w:line="360" w:lineRule="auto"/>
    </w:pPr>
    <w:rPr>
      <w:rFonts w:ascii="Times New Roman" w:eastAsia="Times New Roman" w:hAnsi="Times New Roman"/>
      <w:kern w:val="28"/>
      <w:sz w:val="24"/>
      <w:szCs w:val="24"/>
      <w:lang w:val="en-GB" w:eastAsia="en-US" w:bidi="he-IL"/>
    </w:rPr>
  </w:style>
  <w:style w:type="character" w:customStyle="1" w:styleId="RegParagraphChar1">
    <w:name w:val="Reg Paragraph Char1"/>
    <w:basedOn w:val="DefaultParagraphFont"/>
    <w:link w:val="RegParagraph"/>
    <w:rsid w:val="00061F17"/>
    <w:rPr>
      <w:rFonts w:eastAsia="Times New Roman"/>
      <w:kern w:val="28"/>
      <w:sz w:val="24"/>
      <w:szCs w:val="24"/>
      <w:lang w:val="en-GB" w:eastAsia="en-US" w:bidi="he-IL"/>
    </w:rPr>
  </w:style>
  <w:style w:type="character" w:customStyle="1" w:styleId="CharChar">
    <w:name w:val="Char Char"/>
    <w:basedOn w:val="DefaultParagraphFont"/>
    <w:rsid w:val="00061F17"/>
    <w:rPr>
      <w:sz w:val="24"/>
      <w:szCs w:val="24"/>
      <w:lang w:val="en-GB" w:eastAsia="he-IL" w:bidi="he-IL"/>
    </w:rPr>
  </w:style>
  <w:style w:type="paragraph" w:customStyle="1" w:styleId="Equation">
    <w:name w:val="Equation"/>
    <w:basedOn w:val="Normal"/>
    <w:rsid w:val="00061F17"/>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character" w:customStyle="1" w:styleId="CallChar">
    <w:name w:val="Call Char"/>
    <w:link w:val="Call"/>
    <w:uiPriority w:val="99"/>
    <w:rsid w:val="00061F17"/>
    <w:rPr>
      <w:rFonts w:ascii="Calibri" w:eastAsia="Times New Roman" w:hAnsi="Calibri" w:cs="Times New Roman italic"/>
      <w:i/>
      <w:sz w:val="21"/>
      <w:lang w:val="en-GB" w:eastAsia="en-US"/>
    </w:rPr>
  </w:style>
  <w:style w:type="paragraph" w:customStyle="1" w:styleId="ResNo">
    <w:name w:val="Res_No"/>
    <w:basedOn w:val="Normal"/>
    <w:next w:val="Restitle"/>
    <w:link w:val="ResNoChar"/>
    <w:uiPriority w:val="99"/>
    <w:rsid w:val="00FF79CB"/>
    <w:pPr>
      <w:keepNext/>
      <w:keepLines/>
      <w:overflowPunct w:val="0"/>
      <w:autoSpaceDE w:val="0"/>
      <w:autoSpaceDN w:val="0"/>
      <w:adjustRightInd w:val="0"/>
      <w:spacing w:before="0" w:line="280" w:lineRule="exact"/>
      <w:jc w:val="center"/>
      <w:textAlignment w:val="baseline"/>
    </w:pPr>
    <w:rPr>
      <w:rFonts w:asciiTheme="minorHAnsi" w:eastAsia="Times New Roman" w:hAnsiTheme="minorHAnsi"/>
      <w:caps/>
      <w:sz w:val="28"/>
      <w:szCs w:val="20"/>
      <w:lang w:eastAsia="en-US"/>
    </w:rPr>
  </w:style>
  <w:style w:type="paragraph" w:customStyle="1" w:styleId="Restitle">
    <w:name w:val="Res_title"/>
    <w:basedOn w:val="Normal"/>
    <w:next w:val="Resref"/>
    <w:link w:val="RestitleChar"/>
    <w:uiPriority w:val="99"/>
    <w:rsid w:val="00A1196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imes New Roman" w:cs="Times New Roman Bold"/>
      <w:b/>
      <w:sz w:val="28"/>
      <w:szCs w:val="20"/>
      <w:lang w:eastAsia="en-US"/>
    </w:rPr>
  </w:style>
  <w:style w:type="paragraph" w:customStyle="1" w:styleId="Resref">
    <w:name w:val="Res_ref"/>
    <w:basedOn w:val="Normal"/>
    <w:next w:val="Normal"/>
    <w:qFormat/>
    <w:rsid w:val="00FF79CB"/>
    <w:pPr>
      <w:keepNext/>
      <w:keepLines/>
      <w:overflowPunct w:val="0"/>
      <w:autoSpaceDE w:val="0"/>
      <w:autoSpaceDN w:val="0"/>
      <w:adjustRightInd w:val="0"/>
      <w:spacing w:before="160" w:line="280" w:lineRule="exact"/>
      <w:jc w:val="center"/>
      <w:textAlignment w:val="baseline"/>
    </w:pPr>
    <w:rPr>
      <w:rFonts w:eastAsia="Times New Roman" w:cs="Times New Roman italic"/>
      <w:i/>
      <w:sz w:val="22"/>
      <w:szCs w:val="20"/>
      <w:lang w:eastAsia="en-US"/>
    </w:rPr>
  </w:style>
  <w:style w:type="character" w:customStyle="1" w:styleId="RestitleChar">
    <w:name w:val="Res_title Char"/>
    <w:link w:val="Restitle"/>
    <w:uiPriority w:val="99"/>
    <w:rsid w:val="00A11960"/>
    <w:rPr>
      <w:rFonts w:ascii="Calibri" w:eastAsia="Times New Roman" w:hAnsi="Calibri" w:cs="Times New Roman Bold"/>
      <w:b/>
      <w:sz w:val="28"/>
      <w:lang w:val="fr-FR" w:eastAsia="en-US"/>
    </w:rPr>
  </w:style>
  <w:style w:type="character" w:customStyle="1" w:styleId="ResNoChar">
    <w:name w:val="Res_No Char"/>
    <w:link w:val="ResNo"/>
    <w:uiPriority w:val="99"/>
    <w:rsid w:val="00FF79CB"/>
    <w:rPr>
      <w:rFonts w:asciiTheme="minorHAnsi" w:eastAsia="Times New Roman" w:hAnsiTheme="minorHAnsi"/>
      <w:caps/>
      <w:sz w:val="28"/>
      <w:lang w:val="fr-FR" w:eastAsia="en-US"/>
    </w:rPr>
  </w:style>
  <w:style w:type="paragraph" w:customStyle="1" w:styleId="Normalaftertitle">
    <w:name w:val="Normal after title"/>
    <w:basedOn w:val="Normal"/>
    <w:next w:val="Normal"/>
    <w:link w:val="NormalaftertitleChar"/>
    <w:uiPriority w:val="99"/>
    <w:rsid w:val="00FF79CB"/>
    <w:pPr>
      <w:tabs>
        <w:tab w:val="left" w:pos="1134"/>
        <w:tab w:val="left" w:pos="1871"/>
        <w:tab w:val="left" w:pos="2268"/>
      </w:tabs>
      <w:overflowPunct w:val="0"/>
      <w:autoSpaceDE w:val="0"/>
      <w:autoSpaceDN w:val="0"/>
      <w:adjustRightInd w:val="0"/>
      <w:spacing w:before="280"/>
      <w:textAlignment w:val="baseline"/>
    </w:pPr>
    <w:rPr>
      <w:rFonts w:eastAsia="Times New Roman"/>
      <w:sz w:val="22"/>
      <w:szCs w:val="20"/>
      <w:lang w:val="en-GB" w:eastAsia="en-US"/>
    </w:rPr>
  </w:style>
  <w:style w:type="character" w:customStyle="1" w:styleId="NormalaftertitleChar">
    <w:name w:val="Normal after title Char"/>
    <w:link w:val="Normalaftertitle"/>
    <w:uiPriority w:val="99"/>
    <w:locked/>
    <w:rsid w:val="00FF79CB"/>
    <w:rPr>
      <w:rFonts w:ascii="Calibri" w:eastAsia="Times New Roman" w:hAnsi="Calibri"/>
      <w:sz w:val="22"/>
      <w:lang w:val="en-GB" w:eastAsia="en-US"/>
    </w:rPr>
  </w:style>
  <w:style w:type="paragraph" w:customStyle="1" w:styleId="FootnoteTextS2">
    <w:name w:val="Footnote Text_S2"/>
    <w:basedOn w:val="FootnoteText"/>
    <w:uiPriority w:val="99"/>
    <w:rsid w:val="00061F17"/>
    <w:pPr>
      <w:keepLines/>
      <w:tabs>
        <w:tab w:val="clear" w:pos="284"/>
        <w:tab w:val="left" w:pos="851"/>
      </w:tabs>
      <w:overflowPunct w:val="0"/>
      <w:autoSpaceDE w:val="0"/>
      <w:autoSpaceDN w:val="0"/>
      <w:adjustRightInd w:val="0"/>
      <w:spacing w:before="120"/>
      <w:textAlignment w:val="baseline"/>
    </w:pPr>
    <w:rPr>
      <w:rFonts w:ascii="Calibri" w:eastAsia="Times New Roman" w:hAnsi="Calibri" w:cs="Times New Roman"/>
      <w:b/>
      <w:sz w:val="24"/>
    </w:rPr>
  </w:style>
  <w:style w:type="paragraph" w:styleId="NoSpacing">
    <w:name w:val="No Spacing"/>
    <w:qFormat/>
    <w:rsid w:val="00061F17"/>
    <w:rPr>
      <w:rFonts w:ascii="Calibri" w:eastAsia="Calibri" w:hAnsi="Calibri"/>
      <w:sz w:val="22"/>
      <w:szCs w:val="22"/>
      <w:lang w:eastAsia="en-US"/>
    </w:rPr>
  </w:style>
  <w:style w:type="table" w:customStyle="1" w:styleId="Style1">
    <w:name w:val="Style1"/>
    <w:basedOn w:val="TableNormal"/>
    <w:uiPriority w:val="99"/>
    <w:rsid w:val="007116B1"/>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paragraph" w:customStyle="1" w:styleId="CEODocTitle2lines-Second">
    <w:name w:val="CEO_DocTitle2lines-Second"/>
    <w:basedOn w:val="CEODocTitle2lines-First"/>
    <w:rsid w:val="005A3227"/>
    <w:pPr>
      <w:spacing w:before="0" w:after="480"/>
    </w:pPr>
  </w:style>
  <w:style w:type="paragraph" w:customStyle="1" w:styleId="CEODocTitle2lines-First">
    <w:name w:val="CEO_DocTitle2lines-First"/>
    <w:basedOn w:val="CEODocTitle-1line"/>
    <w:next w:val="Normal"/>
    <w:rsid w:val="005A3227"/>
    <w:pPr>
      <w:spacing w:after="0"/>
    </w:pPr>
  </w:style>
  <w:style w:type="paragraph" w:customStyle="1" w:styleId="CEODocTitle-1line">
    <w:name w:val="CEO_DocTitle-1line"/>
    <w:basedOn w:val="Normal"/>
    <w:next w:val="Normal"/>
    <w:rsid w:val="005A3227"/>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5A3227"/>
    <w:pPr>
      <w:keepNext/>
      <w:keepLines/>
      <w:tabs>
        <w:tab w:val="clear" w:pos="720"/>
      </w:tabs>
      <w:spacing w:before="480"/>
      <w:ind w:left="0" w:firstLine="0"/>
    </w:pPr>
  </w:style>
  <w:style w:type="paragraph" w:customStyle="1" w:styleId="CEOcontribution-H123">
    <w:name w:val="CEO_contribution-H123"/>
    <w:basedOn w:val="Normal"/>
    <w:rsid w:val="005A3227"/>
    <w:pPr>
      <w:tabs>
        <w:tab w:val="num" w:pos="720"/>
      </w:tabs>
      <w:spacing w:after="120"/>
      <w:ind w:left="720" w:hanging="360"/>
      <w:jc w:val="left"/>
    </w:pPr>
    <w:rPr>
      <w:rFonts w:ascii="Verdana" w:eastAsia="SimHei" w:hAnsi="Verdana" w:cs="Simplified Arabic"/>
      <w:b/>
      <w:sz w:val="19"/>
      <w:szCs w:val="19"/>
      <w:lang w:val="en-GB" w:eastAsia="en-US"/>
    </w:rPr>
  </w:style>
  <w:style w:type="paragraph" w:customStyle="1" w:styleId="CEOAgendaItemN">
    <w:name w:val="CEO_AgendaItemN°"/>
    <w:basedOn w:val="CEOIndent1-123"/>
    <w:rsid w:val="005A3227"/>
    <w:pPr>
      <w:numPr>
        <w:numId w:val="0"/>
      </w:numPr>
      <w:ind w:right="12"/>
      <w:jc w:val="right"/>
    </w:pPr>
  </w:style>
  <w:style w:type="paragraph" w:customStyle="1" w:styleId="CEODocDates">
    <w:name w:val="CEO_DocDates"/>
    <w:basedOn w:val="Normal"/>
    <w:next w:val="Normal"/>
    <w:rsid w:val="005A3227"/>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5A3227"/>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5A3227"/>
    <w:pPr>
      <w:spacing w:before="80" w:after="80"/>
      <w:jc w:val="center"/>
    </w:pPr>
    <w:rPr>
      <w:rFonts w:ascii="Verdana" w:eastAsia="SimHei" w:hAnsi="Verdana" w:cs="Simplified Arabic"/>
      <w:bCs/>
      <w:sz w:val="19"/>
      <w:szCs w:val="19"/>
      <w:lang w:val="en-GB" w:eastAsia="en-US"/>
    </w:rPr>
  </w:style>
  <w:style w:type="paragraph" w:customStyle="1" w:styleId="CEOEmdashList">
    <w:name w:val="CEO_EmdashList"/>
    <w:basedOn w:val="CEONormal"/>
    <w:rsid w:val="005A3227"/>
    <w:pPr>
      <w:keepLines/>
      <w:ind w:left="602" w:hanging="602"/>
      <w:jc w:val="center"/>
    </w:pPr>
    <w:rPr>
      <w:b/>
      <w:bCs/>
      <w:lang w:val="fr-FR"/>
    </w:rPr>
  </w:style>
  <w:style w:type="paragraph" w:customStyle="1" w:styleId="CEOConsidering">
    <w:name w:val="CEO_Considering"/>
    <w:basedOn w:val="CEONormal"/>
    <w:rsid w:val="005A3227"/>
    <w:pPr>
      <w:keepNext/>
      <w:keepLines/>
      <w:spacing w:after="120"/>
      <w:ind w:left="851" w:hanging="602"/>
      <w:jc w:val="center"/>
    </w:pPr>
    <w:rPr>
      <w:b/>
      <w:bCs/>
      <w:i/>
      <w:iCs/>
      <w:lang w:val="fr-FR"/>
    </w:rPr>
  </w:style>
  <w:style w:type="paragraph" w:customStyle="1" w:styleId="CEOEndBar">
    <w:name w:val="CEO_EndBar"/>
    <w:basedOn w:val="CEONormal"/>
    <w:rsid w:val="005A3227"/>
    <w:pPr>
      <w:keepLines/>
      <w:spacing w:after="120"/>
      <w:ind w:left="602" w:hanging="602"/>
      <w:jc w:val="center"/>
    </w:pPr>
    <w:rPr>
      <w:b/>
      <w:bCs/>
      <w:lang w:val="fr-FR"/>
    </w:rPr>
  </w:style>
  <w:style w:type="paragraph" w:customStyle="1" w:styleId="CEOExtract">
    <w:name w:val="CEO_Extract"/>
    <w:basedOn w:val="CEONormal"/>
    <w:rsid w:val="005A3227"/>
    <w:pPr>
      <w:keepNext/>
      <w:keepLines/>
      <w:spacing w:after="120"/>
      <w:ind w:left="602" w:hanging="602"/>
      <w:jc w:val="center"/>
    </w:pPr>
    <w:rPr>
      <w:b/>
      <w:bCs/>
      <w:lang w:val="fr-FR"/>
    </w:rPr>
  </w:style>
  <w:style w:type="paragraph" w:customStyle="1" w:styleId="CEORequiredAction">
    <w:name w:val="CEO_RequiredAction"/>
    <w:basedOn w:val="CEONormal"/>
    <w:rsid w:val="005A3227"/>
    <w:pPr>
      <w:keepLines/>
      <w:tabs>
        <w:tab w:val="left" w:pos="1928"/>
      </w:tabs>
      <w:ind w:left="602" w:hanging="602"/>
      <w:jc w:val="center"/>
    </w:pPr>
    <w:rPr>
      <w:bCs/>
      <w:lang w:val="fr-FR"/>
    </w:rPr>
  </w:style>
  <w:style w:type="paragraph" w:customStyle="1" w:styleId="CEOAnnex">
    <w:name w:val="CEO_Annex"/>
    <w:basedOn w:val="CEOSignatureTitle"/>
    <w:rsid w:val="005A3227"/>
    <w:pPr>
      <w:spacing w:before="1000"/>
    </w:pPr>
  </w:style>
  <w:style w:type="paragraph" w:customStyle="1" w:styleId="CEOEndashListNoIndent">
    <w:name w:val="CEO_EndashListNoIndent"/>
    <w:basedOn w:val="CEONormal"/>
    <w:rsid w:val="005A3227"/>
    <w:pPr>
      <w:keepLines/>
      <w:numPr>
        <w:numId w:val="16"/>
      </w:numPr>
      <w:jc w:val="center"/>
    </w:pPr>
    <w:rPr>
      <w:b/>
      <w:bCs/>
      <w:lang w:val="fr-FR"/>
    </w:rPr>
  </w:style>
  <w:style w:type="paragraph" w:customStyle="1" w:styleId="CEOFootnoteText">
    <w:name w:val="CEO_Footnote Text"/>
    <w:basedOn w:val="CEONormal"/>
    <w:rsid w:val="005A3227"/>
    <w:pPr>
      <w:keepLines/>
      <w:tabs>
        <w:tab w:val="left" w:pos="357"/>
      </w:tabs>
      <w:spacing w:before="0"/>
      <w:ind w:left="602" w:hanging="602"/>
      <w:jc w:val="center"/>
    </w:pPr>
    <w:rPr>
      <w:b/>
      <w:bCs/>
      <w:lang w:val="fr-FR"/>
    </w:rPr>
  </w:style>
  <w:style w:type="paragraph" w:customStyle="1" w:styleId="CEOHeading1-Numbered">
    <w:name w:val="CEO_Heading1-Numbered"/>
    <w:basedOn w:val="CEONormal"/>
    <w:rsid w:val="005A3227"/>
    <w:pPr>
      <w:keepLines/>
      <w:numPr>
        <w:numId w:val="17"/>
      </w:numPr>
      <w:pBdr>
        <w:bottom w:val="single" w:sz="12" w:space="1" w:color="808080"/>
      </w:pBdr>
      <w:jc w:val="center"/>
    </w:pPr>
    <w:rPr>
      <w:color w:val="808080"/>
      <w:sz w:val="20"/>
      <w:lang w:val="fr-FR"/>
    </w:rPr>
  </w:style>
  <w:style w:type="paragraph" w:customStyle="1" w:styleId="CEOHeading1">
    <w:name w:val="CEO_Heading1"/>
    <w:basedOn w:val="CEOHeading1-Numbered"/>
    <w:next w:val="CEONormal"/>
    <w:rsid w:val="005A3227"/>
    <w:pPr>
      <w:numPr>
        <w:numId w:val="0"/>
      </w:numPr>
    </w:pPr>
    <w:rPr>
      <w:lang w:val="fr-CH"/>
    </w:rPr>
  </w:style>
  <w:style w:type="paragraph" w:customStyle="1" w:styleId="CEOIndent1-abc">
    <w:name w:val="CEO_Indent1-abc"/>
    <w:basedOn w:val="CEONormal"/>
    <w:rsid w:val="005A3227"/>
    <w:pPr>
      <w:keepLines/>
      <w:numPr>
        <w:numId w:val="18"/>
      </w:numPr>
      <w:ind w:right="709"/>
      <w:jc w:val="center"/>
    </w:pPr>
    <w:rPr>
      <w:b/>
      <w:bCs/>
      <w:lang w:val="fr-FR"/>
    </w:rPr>
  </w:style>
  <w:style w:type="paragraph" w:customStyle="1" w:styleId="CEOAbstract">
    <w:name w:val="CEOAbstract"/>
    <w:rsid w:val="005A3227"/>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5A3227"/>
    <w:pPr>
      <w:keepLines/>
      <w:spacing w:before="720"/>
      <w:ind w:left="602" w:hanging="602"/>
      <w:jc w:val="center"/>
    </w:pPr>
    <w:rPr>
      <w:b/>
      <w:bCs/>
      <w:lang w:val="fr-FR"/>
    </w:rPr>
  </w:style>
  <w:style w:type="paragraph" w:customStyle="1" w:styleId="CEOSmall">
    <w:name w:val="CEO_Small"/>
    <w:basedOn w:val="CEONormal"/>
    <w:rsid w:val="005A3227"/>
    <w:pPr>
      <w:keepLines/>
      <w:ind w:left="602" w:hanging="602"/>
      <w:jc w:val="center"/>
    </w:pPr>
    <w:rPr>
      <w:b/>
      <w:bCs/>
      <w:lang w:val="fr-FR"/>
    </w:rPr>
  </w:style>
  <w:style w:type="paragraph" w:customStyle="1" w:styleId="CEOStartNextPage">
    <w:name w:val="CEO_StartNextPage"/>
    <w:next w:val="CEONormal"/>
    <w:rsid w:val="005A3227"/>
    <w:pPr>
      <w:spacing w:before="120"/>
      <w:jc w:val="center"/>
    </w:pPr>
    <w:rPr>
      <w:rFonts w:ascii="Verdana" w:eastAsia="SimHei" w:hAnsi="Verdana" w:cs="Simplified Arabic"/>
      <w:sz w:val="16"/>
      <w:szCs w:val="24"/>
      <w:lang w:val="en-GB" w:eastAsia="en-US"/>
    </w:rPr>
  </w:style>
  <w:style w:type="paragraph" w:customStyle="1" w:styleId="CEOAbstract0">
    <w:name w:val="CEO_Abstract"/>
    <w:rsid w:val="005A3227"/>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5A3227"/>
    <w:pPr>
      <w:keepLines/>
      <w:tabs>
        <w:tab w:val="left" w:pos="1928"/>
      </w:tabs>
      <w:ind w:left="602" w:hanging="602"/>
      <w:jc w:val="center"/>
    </w:pPr>
    <w:rPr>
      <w:bCs/>
      <w:lang w:val="fr-FR"/>
    </w:rPr>
  </w:style>
  <w:style w:type="paragraph" w:customStyle="1" w:styleId="CEOActionRequiredDetails">
    <w:name w:val="CEO_ActionRequiredDetails"/>
    <w:rsid w:val="005A3227"/>
    <w:pPr>
      <w:spacing w:before="120"/>
    </w:pPr>
    <w:rPr>
      <w:rFonts w:ascii="Verdana" w:eastAsia="SimSun" w:hAnsi="Verdana"/>
      <w:bCs/>
      <w:sz w:val="19"/>
      <w:szCs w:val="19"/>
      <w:lang w:val="en-GB" w:eastAsia="en-US"/>
    </w:rPr>
  </w:style>
  <w:style w:type="paragraph" w:customStyle="1" w:styleId="Toc">
    <w:name w:val="Toc"/>
    <w:basedOn w:val="CEOSTG"/>
    <w:rsid w:val="005A3227"/>
    <w:pPr>
      <w:spacing w:before="360"/>
    </w:pPr>
  </w:style>
  <w:style w:type="character" w:customStyle="1" w:styleId="hps">
    <w:name w:val="hps"/>
    <w:basedOn w:val="DefaultParagraphFont"/>
    <w:uiPriority w:val="99"/>
    <w:rsid w:val="005A3227"/>
    <w:rPr>
      <w:rFonts w:ascii="Trebuchet MS" w:hAnsi="Trebuchet MS" w:cs="Times New Roman"/>
      <w:noProof w:val="0"/>
      <w:lang w:val="en-GB"/>
    </w:rPr>
  </w:style>
  <w:style w:type="paragraph" w:styleId="Date">
    <w:name w:val="Date"/>
    <w:basedOn w:val="Normal"/>
    <w:next w:val="Normal"/>
    <w:link w:val="DateChar"/>
    <w:rsid w:val="005A3227"/>
    <w:pPr>
      <w:spacing w:after="120"/>
      <w:jc w:val="left"/>
    </w:pPr>
    <w:rPr>
      <w:rFonts w:ascii="Verdana" w:eastAsia="SimHei" w:hAnsi="Verdana" w:cs="Simplified Arabic"/>
      <w:bCs/>
      <w:sz w:val="19"/>
      <w:szCs w:val="28"/>
      <w:lang w:val="en-US" w:eastAsia="zh-CN"/>
    </w:rPr>
  </w:style>
  <w:style w:type="character" w:customStyle="1" w:styleId="DateChar">
    <w:name w:val="Date Char"/>
    <w:basedOn w:val="DefaultParagraphFont"/>
    <w:link w:val="Date"/>
    <w:rsid w:val="005A3227"/>
    <w:rPr>
      <w:rFonts w:ascii="Verdana" w:eastAsia="SimHei" w:hAnsi="Verdana" w:cs="Simplified Arabic"/>
      <w:bCs/>
      <w:sz w:val="19"/>
      <w:szCs w:val="28"/>
    </w:rPr>
  </w:style>
  <w:style w:type="paragraph" w:styleId="ListNumber2">
    <w:name w:val="List Number 2"/>
    <w:basedOn w:val="Normal"/>
    <w:rsid w:val="005A3227"/>
    <w:pPr>
      <w:numPr>
        <w:numId w:val="44"/>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5A3227"/>
    <w:pPr>
      <w:spacing w:before="0"/>
      <w:jc w:val="left"/>
    </w:pPr>
    <w:rPr>
      <w:rFonts w:ascii="Times New Roman" w:eastAsia="Times New Roman" w:hAnsi="Times New Roman"/>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E5E"/>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D02287"/>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0560EE"/>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634F41"/>
    <w:pPr>
      <w:keepNext/>
      <w:tabs>
        <w:tab w:val="left" w:pos="993"/>
      </w:tabs>
      <w:spacing w:before="240" w:after="60"/>
      <w:outlineLvl w:val="3"/>
    </w:pPr>
    <w:rPr>
      <w:rFonts w:eastAsia="Times New Roman"/>
      <w:b/>
      <w:bCs/>
      <w:color w:val="31849B"/>
      <w:sz w:val="22"/>
      <w:lang w:val="en-GB" w:eastAsia="en-CA"/>
    </w:rPr>
  </w:style>
  <w:style w:type="paragraph" w:styleId="Heading5">
    <w:name w:val="heading 5"/>
    <w:basedOn w:val="Normal"/>
    <w:next w:val="Normal"/>
    <w:link w:val="Heading5Char"/>
    <w:qFormat/>
    <w:rsid w:val="00634F41"/>
    <w:pPr>
      <w:keepNext/>
      <w:keepLines/>
      <w:tabs>
        <w:tab w:val="left" w:pos="1134"/>
      </w:tabs>
      <w:spacing w:before="240" w:after="60"/>
      <w:ind w:left="1134" w:hanging="1134"/>
      <w:outlineLvl w:val="4"/>
    </w:pPr>
    <w:rPr>
      <w:rFonts w:eastAsia="Times New Roman"/>
      <w:b/>
      <w:bCs/>
      <w:i/>
      <w:iCs/>
      <w:color w:val="31849B"/>
      <w:sz w:val="22"/>
      <w:lang w:val="en-GB"/>
    </w:rPr>
  </w:style>
  <w:style w:type="paragraph" w:styleId="Heading6">
    <w:name w:val="heading 6"/>
    <w:basedOn w:val="Normal"/>
    <w:next w:val="Normal"/>
    <w:link w:val="Heading6Char"/>
    <w:qFormat/>
    <w:rsid w:val="00ED46A8"/>
    <w:pPr>
      <w:spacing w:before="240" w:after="60"/>
      <w:outlineLvl w:val="5"/>
    </w:pPr>
    <w:rPr>
      <w:b/>
      <w:bCs/>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basedOn w:val="DefaultParagraphFont"/>
    <w:link w:val="BalloonText"/>
    <w:rsid w:val="00075AFE"/>
    <w:rPr>
      <w:rFonts w:ascii="Tahoma" w:hAnsi="Tahoma" w:cs="Tahoma"/>
      <w:sz w:val="16"/>
      <w:szCs w:val="16"/>
      <w:lang w:val="fr-FR" w:eastAsia="fr-FR"/>
    </w:rPr>
  </w:style>
  <w:style w:type="paragraph" w:styleId="Header">
    <w:name w:val="header"/>
    <w:basedOn w:val="Normal"/>
    <w:link w:val="HeaderChar"/>
    <w:rsid w:val="008E4040"/>
    <w:pPr>
      <w:pBdr>
        <w:bottom w:val="single" w:sz="12" w:space="1" w:color="005173"/>
      </w:pBdr>
      <w:jc w:val="center"/>
    </w:pPr>
    <w:rPr>
      <w:rFonts w:eastAsia="Times New Roman" w:cs="Calibri"/>
      <w:i/>
      <w:iCs/>
      <w:szCs w:val="21"/>
      <w:lang w:val="en-US"/>
    </w:rPr>
  </w:style>
  <w:style w:type="character" w:customStyle="1" w:styleId="HeaderChar">
    <w:name w:val="Header Char"/>
    <w:basedOn w:val="DefaultParagraphFont"/>
    <w:link w:val="Header"/>
    <w:rsid w:val="008E4040"/>
    <w:rPr>
      <w:rFonts w:ascii="Calibri" w:eastAsia="Times New Roman" w:hAnsi="Calibri" w:cs="Calibri"/>
      <w:i/>
      <w:iCs/>
      <w:sz w:val="21"/>
      <w:szCs w:val="21"/>
      <w:lang w:eastAsia="fr-FR"/>
    </w:rPr>
  </w:style>
  <w:style w:type="character" w:styleId="Hyperlink">
    <w:name w:val="Hyperlink"/>
    <w:aliases w:val="CEO_Hyperlink"/>
    <w:basedOn w:val="DefaultParagraphFont"/>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C20DC1"/>
    <w:pPr>
      <w:keepNext/>
      <w:keepLines/>
      <w:tabs>
        <w:tab w:val="left" w:pos="567"/>
        <w:tab w:val="left" w:pos="1134"/>
        <w:tab w:val="right" w:leader="dot" w:pos="8505"/>
        <w:tab w:val="right" w:pos="9071"/>
      </w:tabs>
      <w:spacing w:before="200"/>
      <w:ind w:left="567" w:hanging="567"/>
      <w:jc w:val="left"/>
    </w:pPr>
    <w:rPr>
      <w:rFonts w:eastAsia="SimSun"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FE5F37"/>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7116B1"/>
    <w:pPr>
      <w:spacing w:before="240" w:after="120"/>
      <w:jc w:val="center"/>
    </w:pPr>
    <w:rPr>
      <w:b w:val="0"/>
      <w:bCs/>
    </w:rPr>
  </w:style>
  <w:style w:type="character" w:customStyle="1" w:styleId="FiguretitleChar">
    <w:name w:val="Figure title Char"/>
    <w:basedOn w:val="DefaultParagraphFont"/>
    <w:link w:val="Figuretitle"/>
    <w:rsid w:val="00FE5F37"/>
    <w:rPr>
      <w:rFonts w:ascii="Calibri" w:eastAsia="SimSun"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0560EE"/>
    <w:pPr>
      <w:jc w:val="left"/>
    </w:pPr>
    <w:rPr>
      <w:b w:val="0"/>
      <w:bCs/>
      <w:i/>
      <w:iCs/>
      <w:sz w:val="19"/>
      <w:szCs w:val="19"/>
    </w:rPr>
  </w:style>
  <w:style w:type="character" w:customStyle="1" w:styleId="FigureChar">
    <w:name w:val="Figure Char"/>
    <w:basedOn w:val="FiguretitleChar"/>
    <w:link w:val="Figure"/>
    <w:rsid w:val="007116B1"/>
    <w:rPr>
      <w:rFonts w:ascii="Calibri" w:eastAsia="SimSun" w:hAnsi="Calibri" w:cs="Arial"/>
      <w:b w:val="0"/>
      <w:bCs/>
      <w:color w:val="000000"/>
      <w:sz w:val="21"/>
      <w:szCs w:val="22"/>
      <w:shd w:val="clear" w:color="auto" w:fill="E8F8FD"/>
      <w:lang w:val="en-AU" w:eastAsia="fr-FR"/>
    </w:rPr>
  </w:style>
  <w:style w:type="character" w:customStyle="1" w:styleId="href">
    <w:name w:val="href"/>
    <w:basedOn w:val="DefaultParagraphFont"/>
    <w:rsid w:val="006104A4"/>
    <w:rPr>
      <w:rFonts w:cs="Times New Roman"/>
    </w:rPr>
  </w:style>
  <w:style w:type="character" w:customStyle="1" w:styleId="figuresourceChar">
    <w:name w:val="figure source Char"/>
    <w:basedOn w:val="FiguretitleChar"/>
    <w:link w:val="figuresource"/>
    <w:rsid w:val="000560EE"/>
    <w:rPr>
      <w:rFonts w:ascii="Calibri" w:eastAsia="SimSun" w:hAnsi="Calibri" w:cs="Arial"/>
      <w:b w:val="0"/>
      <w:bCs/>
      <w:i/>
      <w:iCs/>
      <w:color w:val="000000"/>
      <w:sz w:val="19"/>
      <w:szCs w:val="19"/>
      <w:shd w:val="clear" w:color="auto" w:fill="B9E5FB"/>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0560EE"/>
    <w:pPr>
      <w:pBdr>
        <w:top w:val="single" w:sz="4" w:space="1" w:color="005173"/>
      </w:pBdr>
      <w:tabs>
        <w:tab w:val="right" w:pos="9071"/>
      </w:tabs>
      <w:ind w:left="6804"/>
      <w:jc w:val="right"/>
    </w:pPr>
  </w:style>
  <w:style w:type="character" w:customStyle="1" w:styleId="FooterChar">
    <w:name w:val="Footer Char"/>
    <w:basedOn w:val="DefaultParagraphFont"/>
    <w:link w:val="Footer"/>
    <w:uiPriority w:val="99"/>
    <w:rsid w:val="000560EE"/>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
    <w:rsid w:val="000560EE"/>
    <w:rPr>
      <w:rFonts w:ascii="Calibri" w:eastAsia="Times New Roman" w:hAnsi="Calibri" w:cs="Helvetica"/>
      <w:b/>
      <w:bCs/>
      <w:color w:val="005173"/>
      <w:sz w:val="24"/>
      <w:szCs w:val="32"/>
      <w:lang w:eastAsia="fr-FR"/>
    </w:rPr>
  </w:style>
  <w:style w:type="character" w:customStyle="1" w:styleId="PartTitleChar">
    <w:name w:val="Part Title Char"/>
    <w:basedOn w:val="Heading2Char"/>
    <w:link w:val="PartTitle"/>
    <w:rsid w:val="0010485E"/>
    <w:rPr>
      <w:rFonts w:ascii="Calibri" w:eastAsia="Times New Roman"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uiPriority w:val="99"/>
    <w:unhideWhenUsed/>
    <w:rsid w:val="00FA6CE1"/>
    <w:pPr>
      <w:tabs>
        <w:tab w:val="left" w:pos="284"/>
      </w:tabs>
      <w:spacing w:before="60"/>
      <w:jc w:val="left"/>
    </w:pPr>
    <w:rPr>
      <w:rFonts w:asciiTheme="minorHAnsi" w:eastAsiaTheme="minorHAnsi" w:hAnsiTheme="minorHAnsi" w:cstheme="minorBidi"/>
      <w:sz w:val="18"/>
      <w:szCs w:val="20"/>
      <w:lang w:val="en-GB" w:eastAsia="en-US"/>
    </w:rPr>
  </w:style>
  <w:style w:type="character" w:customStyle="1" w:styleId="FootnoteTextChar">
    <w:name w:val="Footnote Text Char"/>
    <w:basedOn w:val="DefaultParagraphFont"/>
    <w:link w:val="FootnoteText"/>
    <w:uiPriority w:val="99"/>
    <w:rsid w:val="00FA6CE1"/>
    <w:rPr>
      <w:rFonts w:asciiTheme="minorHAnsi" w:eastAsiaTheme="minorHAnsi" w:hAnsiTheme="minorHAnsi" w:cstheme="minorBidi"/>
      <w:sz w:val="18"/>
      <w:lang w:val="en-GB" w:eastAsia="en-US"/>
    </w:rPr>
  </w:style>
  <w:style w:type="character" w:styleId="FootnoteReference">
    <w:name w:val="footnote reference"/>
    <w:aliases w:val="Appel note de bas de p"/>
    <w:basedOn w:val="DefaultParagraphFont"/>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A52DB"/>
    <w:pPr>
      <w:keepNext/>
      <w:keepLines/>
      <w:tabs>
        <w:tab w:val="left" w:pos="851"/>
      </w:tabs>
      <w:spacing w:before="240"/>
      <w:jc w:val="center"/>
      <w:outlineLvl w:val="0"/>
    </w:pPr>
    <w:rPr>
      <w:rFonts w:cs="Helvetica"/>
      <w:b/>
      <w:bCs/>
      <w:color w:val="005173"/>
      <w:sz w:val="40"/>
      <w:szCs w:val="28"/>
      <w:lang w:val="en-US"/>
    </w:rPr>
  </w:style>
  <w:style w:type="paragraph" w:customStyle="1" w:styleId="Toc0">
    <w:name w:val="Toc 0"/>
    <w:basedOn w:val="Normal"/>
    <w:link w:val="Toc0Char"/>
    <w:qFormat/>
    <w:rsid w:val="00395676"/>
    <w:pPr>
      <w:tabs>
        <w:tab w:val="right" w:pos="9071"/>
      </w:tabs>
      <w:spacing w:before="200"/>
      <w:jc w:val="right"/>
    </w:pPr>
    <w:rPr>
      <w:rFonts w:cs="Helvetica"/>
      <w:bCs/>
      <w:i/>
      <w:iCs/>
      <w:noProof/>
      <w:color w:val="1F9DD9"/>
      <w:szCs w:val="28"/>
      <w:lang w:val="en-US"/>
    </w:rPr>
  </w:style>
  <w:style w:type="character" w:customStyle="1" w:styleId="Heading1Char">
    <w:name w:val="Heading 1 Char"/>
    <w:basedOn w:val="DefaultParagraphFont"/>
    <w:link w:val="Heading1"/>
    <w:uiPriority w:val="9"/>
    <w:rsid w:val="00D02287"/>
    <w:rPr>
      <w:rFonts w:ascii="Calibri" w:eastAsia="Times New Roman" w:hAnsi="Calibri" w:cs="Helvetica"/>
      <w:b/>
      <w:bCs/>
      <w:color w:val="005173"/>
      <w:sz w:val="28"/>
      <w:szCs w:val="28"/>
      <w:lang w:eastAsia="fr-FR"/>
    </w:rPr>
  </w:style>
  <w:style w:type="character" w:customStyle="1" w:styleId="ChapttitleChar">
    <w:name w:val="Chapt title Char"/>
    <w:basedOn w:val="DefaultParagraphFont"/>
    <w:link w:val="Chapttitle"/>
    <w:rsid w:val="003A52DB"/>
    <w:rPr>
      <w:rFonts w:ascii="Calibri" w:hAnsi="Calibri" w:cs="Helvetica"/>
      <w:b/>
      <w:bCs/>
      <w:color w:val="005173"/>
      <w:sz w:val="40"/>
      <w:szCs w:val="28"/>
      <w:lang w:eastAsia="fr-FR"/>
    </w:rPr>
  </w:style>
  <w:style w:type="character" w:customStyle="1" w:styleId="Toc0Char">
    <w:name w:val="Toc 0 Char"/>
    <w:basedOn w:val="DefaultParagraphFont"/>
    <w:link w:val="Toc0"/>
    <w:rsid w:val="00395676"/>
    <w:rPr>
      <w:rFonts w:ascii="Calibri" w:hAnsi="Calibri" w:cs="Helvetica"/>
      <w:bCs/>
      <w:i/>
      <w:iCs/>
      <w:noProof/>
      <w:color w:val="1F9DD9"/>
      <w:sz w:val="21"/>
      <w:szCs w:val="28"/>
      <w:lang w:eastAsia="fr-FR"/>
    </w:rPr>
  </w:style>
  <w:style w:type="paragraph" w:customStyle="1" w:styleId="HeadingB">
    <w:name w:val="Heading B"/>
    <w:basedOn w:val="Normal"/>
    <w:link w:val="HeadingBChar"/>
    <w:qFormat/>
    <w:rsid w:val="00CE0DA2"/>
    <w:pPr>
      <w:spacing w:before="240"/>
    </w:pPr>
    <w:rPr>
      <w:rFonts w:cs="Times New Roman Bold"/>
      <w:b/>
      <w:bCs/>
      <w:lang w:val="en-AU"/>
    </w:rPr>
  </w:style>
  <w:style w:type="paragraph" w:customStyle="1" w:styleId="Enumlevel1">
    <w:name w:val="Enum level 1"/>
    <w:basedOn w:val="Normal"/>
    <w:link w:val="Enumlevel1Char"/>
    <w:qFormat/>
    <w:rsid w:val="00ED3677"/>
    <w:pPr>
      <w:ind w:left="567" w:hanging="567"/>
    </w:pPr>
    <w:rPr>
      <w:rFonts w:eastAsia="SimSun" w:cs="Calibri"/>
      <w:szCs w:val="21"/>
      <w:lang w:val="en-GB" w:eastAsia="en-GB"/>
    </w:rPr>
  </w:style>
  <w:style w:type="character" w:customStyle="1" w:styleId="HeadingBChar">
    <w:name w:val="Heading B Char"/>
    <w:basedOn w:val="DefaultParagraphFont"/>
    <w:link w:val="HeadingB"/>
    <w:rsid w:val="00CE0DA2"/>
    <w:rPr>
      <w:rFonts w:ascii="Calibri" w:hAnsi="Calibri" w:cs="Times New Roman Bold"/>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basedOn w:val="DefaultParagraphFont"/>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2A225A"/>
    <w:rPr>
      <w:i/>
      <w:iCs/>
      <w:lang w:val="en-US"/>
    </w:rPr>
  </w:style>
  <w:style w:type="character" w:customStyle="1" w:styleId="CitationChar">
    <w:name w:val="Citation Char"/>
    <w:basedOn w:val="DefaultParagraphFont"/>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color w:val="000000" w:themeColor="text1"/>
      <w:lang w:val="en-GB"/>
    </w:rPr>
  </w:style>
  <w:style w:type="character" w:customStyle="1" w:styleId="Heading3Char">
    <w:name w:val="Heading 3 Char"/>
    <w:basedOn w:val="DefaultParagraphFont"/>
    <w:link w:val="Heading3"/>
    <w:locked/>
    <w:rsid w:val="00BB5150"/>
    <w:rPr>
      <w:rFonts w:ascii="Calibri" w:eastAsia="Times New Roman" w:hAnsi="Calibri" w:cs="Helvetica"/>
      <w:b/>
      <w:bCs/>
      <w:i/>
      <w:iCs/>
      <w:color w:val="943634" w:themeColor="accent2" w:themeShade="BF"/>
      <w:sz w:val="24"/>
      <w:szCs w:val="32"/>
      <w:lang w:eastAsia="fr-FR"/>
    </w:rPr>
  </w:style>
  <w:style w:type="character" w:customStyle="1" w:styleId="Heading4Char">
    <w:name w:val="Heading 4 Char"/>
    <w:basedOn w:val="DefaultParagraphFont"/>
    <w:link w:val="Heading4"/>
    <w:locked/>
    <w:rsid w:val="00634F41"/>
    <w:rPr>
      <w:rFonts w:ascii="Calibri" w:eastAsia="Times New Roman" w:hAnsi="Calibri"/>
      <w:b/>
      <w:bCs/>
      <w:color w:val="31849B"/>
      <w:sz w:val="22"/>
      <w:szCs w:val="22"/>
      <w:lang w:val="en-GB" w:eastAsia="en-CA"/>
    </w:rPr>
  </w:style>
  <w:style w:type="character" w:customStyle="1" w:styleId="Heading5Char">
    <w:name w:val="Heading 5 Char"/>
    <w:basedOn w:val="DefaultParagraphFont"/>
    <w:link w:val="Heading5"/>
    <w:locked/>
    <w:rsid w:val="00634F41"/>
    <w:rPr>
      <w:rFonts w:ascii="Calibri" w:eastAsia="Times New Roman" w:hAnsi="Calibri"/>
      <w:b/>
      <w:bCs/>
      <w:i/>
      <w:iCs/>
      <w:color w:val="31849B"/>
      <w:sz w:val="22"/>
      <w:szCs w:val="22"/>
      <w:lang w:val="en-GB" w:eastAsia="fr-FR"/>
    </w:rPr>
  </w:style>
  <w:style w:type="character" w:customStyle="1" w:styleId="Heading6Char">
    <w:name w:val="Heading 6 Char"/>
    <w:basedOn w:val="DefaultParagraphFont"/>
    <w:link w:val="Heading6"/>
    <w:locked/>
    <w:rsid w:val="00271D36"/>
    <w:rPr>
      <w:rFonts w:ascii="Calibri" w:hAnsi="Calibri"/>
      <w:b/>
      <w:bCs/>
      <w:sz w:val="21"/>
      <w:szCs w:val="22"/>
      <w:lang w:val="fr-FR" w:eastAsia="fr-FR"/>
    </w:rPr>
  </w:style>
  <w:style w:type="character" w:customStyle="1" w:styleId="Heading7Char">
    <w:name w:val="Heading 7 Char"/>
    <w:basedOn w:val="DefaultParagraphFont"/>
    <w:link w:val="Heading7"/>
    <w:locked/>
    <w:rsid w:val="00271D36"/>
    <w:rPr>
      <w:rFonts w:ascii="Calibri" w:hAnsi="Calibri"/>
      <w:sz w:val="24"/>
      <w:szCs w:val="24"/>
      <w:lang w:val="fr-FR" w:eastAsia="fr-FR"/>
    </w:rPr>
  </w:style>
  <w:style w:type="character" w:customStyle="1" w:styleId="Heading8Char">
    <w:name w:val="Heading 8 Char"/>
    <w:basedOn w:val="DefaultParagraphFont"/>
    <w:link w:val="Heading8"/>
    <w:locked/>
    <w:rsid w:val="00271D36"/>
    <w:rPr>
      <w:rFonts w:ascii="Calibri" w:hAnsi="Calibri"/>
      <w:i/>
      <w:iCs/>
      <w:sz w:val="24"/>
      <w:szCs w:val="24"/>
      <w:lang w:val="fr-FR" w:eastAsia="fr-FR"/>
    </w:rPr>
  </w:style>
  <w:style w:type="character" w:customStyle="1" w:styleId="Heading9Char">
    <w:name w:val="Heading 9 Char"/>
    <w:basedOn w:val="DefaultParagraphFont"/>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rFonts w:eastAsia="SimSun"/>
      <w:sz w:val="24"/>
      <w:szCs w:val="24"/>
      <w:lang w:val="en-GB" w:eastAsia="en-GB"/>
    </w:rPr>
  </w:style>
  <w:style w:type="character" w:styleId="FollowedHyperlink">
    <w:name w:val="FollowedHyperlink"/>
    <w:aliases w:val="CEO_FollowedHyperlink"/>
    <w:basedOn w:val="DefaultParagraphFont"/>
    <w:rsid w:val="00271D36"/>
    <w:rPr>
      <w:rFonts w:cs="Times New Roman"/>
      <w:color w:val="800080"/>
      <w:u w:val="single"/>
    </w:rPr>
  </w:style>
  <w:style w:type="paragraph" w:customStyle="1" w:styleId="Tablehead">
    <w:name w:val="Table head"/>
    <w:basedOn w:val="Normal"/>
    <w:link w:val="TableheadChar"/>
    <w:qFormat/>
    <w:rsid w:val="00446E47"/>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446E47"/>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1B29B0"/>
    <w:pPr>
      <w:spacing w:before="40" w:after="40"/>
      <w:jc w:val="left"/>
    </w:pPr>
    <w:rPr>
      <w:rFonts w:asciiTheme="minorHAnsi" w:hAnsiTheme="minorHAnsi"/>
      <w:bCs/>
      <w:sz w:val="19"/>
      <w:szCs w:val="18"/>
    </w:rPr>
  </w:style>
  <w:style w:type="character" w:customStyle="1" w:styleId="TabletextChar">
    <w:name w:val="Table text Char"/>
    <w:basedOn w:val="DefaultParagraphFont"/>
    <w:link w:val="Tabletext"/>
    <w:rsid w:val="001B29B0"/>
    <w:rPr>
      <w:rFonts w:asciiTheme="minorHAnsi" w:hAnsiTheme="minorHAnsi"/>
      <w:bCs/>
      <w:sz w:val="19"/>
      <w:szCs w:val="18"/>
      <w:lang w:val="fr-FR" w:eastAsia="fr-FR"/>
    </w:rPr>
  </w:style>
  <w:style w:type="paragraph" w:customStyle="1" w:styleId="Tabletitle">
    <w:name w:val="Table title"/>
    <w:basedOn w:val="Normal"/>
    <w:link w:val="TabletitleChar"/>
    <w:qFormat/>
    <w:rsid w:val="008E4040"/>
    <w:pPr>
      <w:shd w:val="clear" w:color="auto" w:fill="FFFFFF" w:themeFill="background1"/>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basedOn w:val="DefaultParagraphFont"/>
    <w:link w:val="Tabletitle"/>
    <w:rsid w:val="008E4040"/>
    <w:rPr>
      <w:rFonts w:ascii="Calibri" w:hAnsi="Calibri" w:cs="Arial"/>
      <w:b/>
      <w:bCs/>
      <w:color w:val="005173"/>
      <w:sz w:val="21"/>
      <w:szCs w:val="24"/>
      <w:shd w:val="clear" w:color="auto" w:fill="FFFFFF" w:themeFill="background1"/>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basedOn w:val="DefaultParagraphFont"/>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basedOn w:val="DefaultParagraphFont"/>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basedOn w:val="DefaultParagraphFont"/>
    <w:link w:val="Enumlevel3"/>
    <w:rsid w:val="00B9372E"/>
    <w:rPr>
      <w:rFonts w:ascii="Calibri" w:hAnsi="Calibri"/>
      <w:iCs/>
      <w:sz w:val="21"/>
      <w:szCs w:val="22"/>
      <w:lang w:val="fr-FR" w:eastAsia="fr-FR"/>
    </w:rPr>
  </w:style>
  <w:style w:type="character" w:customStyle="1" w:styleId="BalloonTextChar15">
    <w:name w:val="Balloon Text Char15"/>
    <w:basedOn w:val="DefaultParagraphFont"/>
    <w:uiPriority w:val="99"/>
    <w:semiHidden/>
    <w:rsid w:val="003E2368"/>
    <w:rPr>
      <w:rFonts w:ascii="Lucida Grande" w:hAnsi="Lucida Grande" w:cs="Times New Roman"/>
      <w:sz w:val="18"/>
    </w:rPr>
  </w:style>
  <w:style w:type="character" w:customStyle="1" w:styleId="BalloonTextChar14">
    <w:name w:val="Balloon Text Char14"/>
    <w:basedOn w:val="DefaultParagraphFont"/>
    <w:uiPriority w:val="99"/>
    <w:semiHidden/>
    <w:rsid w:val="003E2368"/>
    <w:rPr>
      <w:rFonts w:ascii="Lucida Grande" w:hAnsi="Lucida Grande" w:cs="Times New Roman"/>
      <w:sz w:val="18"/>
    </w:rPr>
  </w:style>
  <w:style w:type="character" w:customStyle="1" w:styleId="BalloonTextChar13">
    <w:name w:val="Balloon Text Char13"/>
    <w:basedOn w:val="DefaultParagraphFont"/>
    <w:uiPriority w:val="99"/>
    <w:semiHidden/>
    <w:rsid w:val="003E2368"/>
    <w:rPr>
      <w:rFonts w:ascii="Lucida Grande" w:hAnsi="Lucida Grande" w:cs="Times New Roman"/>
      <w:sz w:val="18"/>
    </w:rPr>
  </w:style>
  <w:style w:type="character" w:customStyle="1" w:styleId="BalloonTextChar12">
    <w:name w:val="Balloon Text Char12"/>
    <w:basedOn w:val="DefaultParagraphFont"/>
    <w:uiPriority w:val="99"/>
    <w:semiHidden/>
    <w:rsid w:val="003E2368"/>
    <w:rPr>
      <w:rFonts w:ascii="Lucida Grande" w:hAnsi="Lucida Grande" w:cs="Times New Roman"/>
      <w:sz w:val="18"/>
    </w:rPr>
  </w:style>
  <w:style w:type="character" w:customStyle="1" w:styleId="BalloonTextChar11">
    <w:name w:val="Balloon Text Char11"/>
    <w:basedOn w:val="DefaultParagraphFont"/>
    <w:uiPriority w:val="99"/>
    <w:semiHidden/>
    <w:rsid w:val="003E2368"/>
    <w:rPr>
      <w:rFonts w:ascii="Lucida Grande" w:hAnsi="Lucida Grande" w:cs="Times New Roman"/>
      <w:sz w:val="18"/>
    </w:rPr>
  </w:style>
  <w:style w:type="character" w:customStyle="1" w:styleId="BalloonTextChar10">
    <w:name w:val="Balloon Text Char10"/>
    <w:basedOn w:val="DefaultParagraphFont"/>
    <w:uiPriority w:val="99"/>
    <w:semiHidden/>
    <w:rsid w:val="003E2368"/>
    <w:rPr>
      <w:rFonts w:ascii="Lucida Grande" w:hAnsi="Lucida Grande" w:cs="Times New Roman"/>
      <w:sz w:val="18"/>
    </w:rPr>
  </w:style>
  <w:style w:type="character" w:customStyle="1" w:styleId="BalloonTextChar9">
    <w:name w:val="Balloon Text Char9"/>
    <w:basedOn w:val="DefaultParagraphFont"/>
    <w:uiPriority w:val="99"/>
    <w:semiHidden/>
    <w:rsid w:val="003E2368"/>
    <w:rPr>
      <w:rFonts w:ascii="Lucida Grande" w:hAnsi="Lucida Grande" w:cs="Times New Roman"/>
      <w:sz w:val="18"/>
    </w:rPr>
  </w:style>
  <w:style w:type="character" w:customStyle="1" w:styleId="BalloonTextChar8">
    <w:name w:val="Balloon Text Char8"/>
    <w:basedOn w:val="DefaultParagraphFont"/>
    <w:uiPriority w:val="99"/>
    <w:semiHidden/>
    <w:rsid w:val="003E2368"/>
    <w:rPr>
      <w:rFonts w:ascii="Lucida Grande" w:hAnsi="Lucida Grande" w:cs="Times New Roman"/>
      <w:sz w:val="18"/>
    </w:rPr>
  </w:style>
  <w:style w:type="character" w:customStyle="1" w:styleId="BalloonTextChar7">
    <w:name w:val="Balloon Text Char7"/>
    <w:basedOn w:val="DefaultParagraphFont"/>
    <w:uiPriority w:val="99"/>
    <w:semiHidden/>
    <w:rsid w:val="003E2368"/>
    <w:rPr>
      <w:rFonts w:ascii="Lucida Grande" w:hAnsi="Lucida Grande" w:cs="Times New Roman"/>
      <w:sz w:val="18"/>
    </w:rPr>
  </w:style>
  <w:style w:type="character" w:customStyle="1" w:styleId="BalloonTextChar6">
    <w:name w:val="Balloon Text Char6"/>
    <w:basedOn w:val="DefaultParagraphFont"/>
    <w:uiPriority w:val="99"/>
    <w:semiHidden/>
    <w:rsid w:val="003E2368"/>
    <w:rPr>
      <w:rFonts w:ascii="Lucida Grande" w:hAnsi="Lucida Grande" w:cs="Times New Roman"/>
      <w:sz w:val="18"/>
    </w:rPr>
  </w:style>
  <w:style w:type="character" w:customStyle="1" w:styleId="BalloonTextChar5">
    <w:name w:val="Balloon Text Char5"/>
    <w:basedOn w:val="DefaultParagraphFont"/>
    <w:uiPriority w:val="99"/>
    <w:semiHidden/>
    <w:rsid w:val="003E2368"/>
    <w:rPr>
      <w:rFonts w:ascii="Lucida Grande" w:hAnsi="Lucida Grande" w:cs="Times New Roman"/>
      <w:sz w:val="18"/>
    </w:rPr>
  </w:style>
  <w:style w:type="character" w:customStyle="1" w:styleId="BalloonTextChar4">
    <w:name w:val="Balloon Text Char4"/>
    <w:basedOn w:val="DefaultParagraphFont"/>
    <w:uiPriority w:val="99"/>
    <w:semiHidden/>
    <w:rsid w:val="003E2368"/>
    <w:rPr>
      <w:rFonts w:ascii="Lucida Grande" w:hAnsi="Lucida Grande" w:cs="Times New Roman"/>
      <w:sz w:val="18"/>
    </w:rPr>
  </w:style>
  <w:style w:type="character" w:customStyle="1" w:styleId="BalloonTextChar3">
    <w:name w:val="Balloon Text Char3"/>
    <w:basedOn w:val="DefaultParagraphFont"/>
    <w:uiPriority w:val="99"/>
    <w:semiHidden/>
    <w:rsid w:val="003E2368"/>
    <w:rPr>
      <w:rFonts w:ascii="Lucida Grande" w:hAnsi="Lucida Grande" w:cs="Times New Roman"/>
      <w:sz w:val="18"/>
    </w:rPr>
  </w:style>
  <w:style w:type="character" w:customStyle="1" w:styleId="BalloonTextChar2">
    <w:name w:val="Balloon Text Char2"/>
    <w:basedOn w:val="DefaultParagraphFont"/>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theme="minorBidi"/>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themeColor="accent1" w:themeShade="BF"/>
      <w:lang w:val="es-CL" w:eastAsia="es-C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Questionno">
    <w:name w:val="Question_no"/>
    <w:basedOn w:val="Chapttitle"/>
    <w:link w:val="QuestionnoChar"/>
    <w:qFormat/>
    <w:rsid w:val="00395676"/>
    <w:pPr>
      <w:jc w:val="right"/>
    </w:pPr>
    <w:rPr>
      <w:rFonts w:eastAsia="Times New Roman" w:cs="Calibri"/>
      <w:sz w:val="52"/>
      <w:szCs w:val="52"/>
      <w:lang w:val="en-GB"/>
    </w:rPr>
  </w:style>
  <w:style w:type="character" w:styleId="PlaceholderText">
    <w:name w:val="Placeholder Text"/>
    <w:basedOn w:val="DefaultParagraphFon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basedOn w:val="FigureChar"/>
    <w:link w:val="Acknowledgements"/>
    <w:rsid w:val="006B135F"/>
    <w:rPr>
      <w:rFonts w:ascii="Calibri" w:eastAsia="SimSun" w:hAnsi="Calibri" w:cs="Arial"/>
      <w:b w:val="0"/>
      <w:bCs/>
      <w:color w:val="000000" w:themeColor="text1"/>
      <w:sz w:val="21"/>
      <w:szCs w:val="22"/>
      <w:shd w:val="clear" w:color="auto" w:fill="DAEEF3"/>
      <w:lang w:val="en-GB" w:eastAsia="fr-FR"/>
    </w:rPr>
  </w:style>
  <w:style w:type="character" w:customStyle="1" w:styleId="QuestionnoChar">
    <w:name w:val="Question_no Char"/>
    <w:basedOn w:val="ChapttitleChar"/>
    <w:link w:val="Questionno"/>
    <w:rsid w:val="00395676"/>
    <w:rPr>
      <w:rFonts w:ascii="Calibri" w:eastAsia="Times New Roman" w:hAnsi="Calibri" w:cs="Calibri"/>
      <w:b/>
      <w:bCs/>
      <w:color w:val="1F9DD9"/>
      <w:sz w:val="52"/>
      <w:szCs w:val="52"/>
      <w:lang w:val="en-GB" w:eastAsia="fr-FR"/>
    </w:rPr>
  </w:style>
  <w:style w:type="character" w:customStyle="1" w:styleId="TablesourceChar">
    <w:name w:val="Table source Char"/>
    <w:basedOn w:val="TabletextChar"/>
    <w:link w:val="Tablesource"/>
    <w:rsid w:val="002A225A"/>
    <w:rPr>
      <w:rFonts w:asciiTheme="minorHAnsi" w:hAnsiTheme="minorHAnsi"/>
      <w:bCs/>
      <w:i/>
      <w:iCs/>
      <w:sz w:val="19"/>
      <w:szCs w:val="18"/>
      <w:lang w:val="fr-FR" w:eastAsia="fr-FR"/>
    </w:rPr>
  </w:style>
  <w:style w:type="paragraph" w:customStyle="1" w:styleId="enumlev2">
    <w:name w:val="enumlev 2"/>
    <w:basedOn w:val="enumlev1"/>
    <w:qFormat/>
    <w:rsid w:val="00BE1873"/>
    <w:pPr>
      <w:ind w:left="568"/>
    </w:p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enumlev1">
    <w:name w:val="enumlev1"/>
    <w:basedOn w:val="Normal"/>
    <w:link w:val="enumlev1Char"/>
    <w:qFormat/>
    <w:rsid w:val="00A51E5B"/>
    <w:pPr>
      <w:spacing w:before="0"/>
      <w:ind w:left="284" w:hanging="284"/>
    </w:pPr>
    <w:rPr>
      <w:rFonts w:eastAsia="SimSun" w:cs="Calibri"/>
      <w:sz w:val="19"/>
      <w:lang w:val="en-GB" w:eastAsia="en-GB"/>
    </w:rPr>
  </w:style>
  <w:style w:type="character" w:customStyle="1" w:styleId="enumlev1Char">
    <w:name w:val="enumlev1 Char"/>
    <w:basedOn w:val="DefaultParagraphFont"/>
    <w:link w:val="enumlev1"/>
    <w:rsid w:val="00A51E5B"/>
    <w:rPr>
      <w:rFonts w:ascii="Calibri" w:eastAsia="SimSun" w:hAnsi="Calibri" w:cs="Calibri"/>
      <w:sz w:val="19"/>
      <w:szCs w:val="22"/>
      <w:lang w:val="en-GB" w:eastAsia="en-GB"/>
    </w:rPr>
  </w:style>
  <w:style w:type="paragraph" w:customStyle="1" w:styleId="Chaptertitle">
    <w:name w:val="Chapter_title"/>
    <w:basedOn w:val="Normal"/>
    <w:qFormat/>
    <w:rsid w:val="00585FA8"/>
    <w:pPr>
      <w:jc w:val="center"/>
    </w:pPr>
    <w:rPr>
      <w:rFonts w:cstheme="minorBidi"/>
      <w:b/>
      <w:color w:val="1F9DD9"/>
      <w:sz w:val="40"/>
      <w:lang w:val="en-US" w:eastAsia="zh-CN"/>
    </w:rPr>
  </w:style>
  <w:style w:type="paragraph" w:customStyle="1" w:styleId="HeadingbI">
    <w:name w:val="Heading b+I"/>
    <w:basedOn w:val="enumlev1"/>
    <w:qFormat/>
    <w:rsid w:val="00CE0DA2"/>
    <w:pPr>
      <w:spacing w:before="240"/>
    </w:pPr>
    <w:rPr>
      <w:rFonts w:eastAsia="Times New Roman" w:cs="Helvetica"/>
      <w:b/>
      <w:bCs/>
      <w:i/>
      <w:sz w:val="24"/>
      <w:szCs w:val="28"/>
      <w:lang w:val="en-US" w:eastAsia="fr-FR"/>
    </w:rPr>
  </w:style>
  <w:style w:type="paragraph" w:customStyle="1" w:styleId="Questiontitle">
    <w:name w:val="Question_title"/>
    <w:basedOn w:val="Questionno"/>
    <w:qFormat/>
    <w:rsid w:val="000759D4"/>
    <w:rPr>
      <w:i/>
      <w:sz w:val="48"/>
      <w:lang w:val="en-US"/>
    </w:rPr>
  </w:style>
  <w:style w:type="paragraph" w:customStyle="1" w:styleId="CEOFooterContact2-3">
    <w:name w:val="CEO_FooterContact2-3"/>
    <w:basedOn w:val="CEONormal"/>
    <w:rsid w:val="00061F17"/>
    <w:pPr>
      <w:spacing w:before="0"/>
      <w:ind w:left="3827" w:hanging="2268"/>
    </w:pPr>
    <w:rPr>
      <w:sz w:val="16"/>
      <w:szCs w:val="16"/>
    </w:rPr>
  </w:style>
  <w:style w:type="paragraph" w:customStyle="1" w:styleId="CEONormal">
    <w:name w:val="CEO_Normal"/>
    <w:link w:val="CEONormalChar"/>
    <w:autoRedefine/>
    <w:rsid w:val="00061F17"/>
    <w:pPr>
      <w:spacing w:before="120"/>
    </w:pPr>
    <w:rPr>
      <w:rFonts w:ascii="Verdana" w:eastAsia="SimSun" w:hAnsi="Verdana"/>
      <w:sz w:val="19"/>
      <w:szCs w:val="19"/>
      <w:lang w:val="en-GB" w:eastAsia="en-US"/>
    </w:rPr>
  </w:style>
  <w:style w:type="paragraph" w:customStyle="1" w:styleId="CEOFooterContact1">
    <w:name w:val="CEO_FooterContact1"/>
    <w:basedOn w:val="CEONormal"/>
    <w:next w:val="CEOFooterContact2-3"/>
    <w:rsid w:val="00061F17"/>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061F17"/>
    <w:pPr>
      <w:spacing w:after="120"/>
      <w:ind w:left="743"/>
    </w:pPr>
    <w:rPr>
      <w:b/>
      <w:bCs/>
      <w:iCs/>
    </w:rPr>
  </w:style>
  <w:style w:type="paragraph" w:customStyle="1" w:styleId="CEOSourceTitle">
    <w:name w:val="CEO_Source_Title"/>
    <w:basedOn w:val="Normal"/>
    <w:rsid w:val="00061F17"/>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061F17"/>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061F17"/>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Footer">
    <w:name w:val="CEO_Footer"/>
    <w:basedOn w:val="Normal"/>
    <w:rsid w:val="00061F17"/>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061F17"/>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061F17"/>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061F17"/>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Normal"/>
    <w:rsid w:val="00187E5E"/>
    <w:pPr>
      <w:spacing w:before="360" w:after="120"/>
      <w:jc w:val="left"/>
    </w:pPr>
    <w:rPr>
      <w:rFonts w:ascii="Verdana" w:eastAsia="SimHei" w:hAnsi="Verdana" w:cs="Simplified Arabic"/>
      <w:sz w:val="19"/>
      <w:szCs w:val="19"/>
      <w:lang w:val="en-GB" w:eastAsia="en-US"/>
    </w:rPr>
  </w:style>
  <w:style w:type="paragraph" w:customStyle="1" w:styleId="CEOParagraph111">
    <w:name w:val="CEO_Paragraph1.1.1"/>
    <w:basedOn w:val="Heading3"/>
    <w:rsid w:val="00061F17"/>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061F17"/>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061F17"/>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061F17"/>
    <w:pPr>
      <w:numPr>
        <w:numId w:val="7"/>
      </w:numPr>
    </w:pPr>
  </w:style>
  <w:style w:type="paragraph" w:customStyle="1" w:styleId="CEOMeetingDates">
    <w:name w:val="CEO_MeetingDates"/>
    <w:basedOn w:val="Normal"/>
    <w:rsid w:val="00061F17"/>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061F17"/>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061F17"/>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061F17"/>
    <w:pPr>
      <w:tabs>
        <w:tab w:val="left" w:pos="2098"/>
      </w:tabs>
      <w:ind w:left="2098" w:hanging="2098"/>
    </w:pPr>
    <w:rPr>
      <w:lang w:val="fr-CH"/>
    </w:rPr>
  </w:style>
  <w:style w:type="paragraph" w:customStyle="1" w:styleId="CEOQuestionDetails">
    <w:name w:val="CEO_QuestionDetails"/>
    <w:basedOn w:val="CEOOriginalLanguage"/>
    <w:rsid w:val="00061F17"/>
    <w:rPr>
      <w:b w:val="0"/>
      <w:bCs/>
    </w:rPr>
  </w:style>
  <w:style w:type="paragraph" w:customStyle="1" w:styleId="CEOSectorName">
    <w:name w:val="CEO_SectorName"/>
    <w:basedOn w:val="Normal"/>
    <w:rsid w:val="00061F17"/>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061F17"/>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061F17"/>
    <w:pPr>
      <w:spacing w:before="0"/>
    </w:pPr>
  </w:style>
  <w:style w:type="paragraph" w:customStyle="1" w:styleId="CEOSourceTitleDetails">
    <w:name w:val="CEO_SourceTitleDetails"/>
    <w:basedOn w:val="Normal"/>
    <w:rsid w:val="00061F17"/>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061F17"/>
    <w:pPr>
      <w:spacing w:before="120"/>
      <w:jc w:val="center"/>
    </w:pPr>
  </w:style>
  <w:style w:type="paragraph" w:customStyle="1" w:styleId="CEOindent-endash">
    <w:name w:val="CEO_indent-endash"/>
    <w:basedOn w:val="Normal"/>
    <w:rsid w:val="00187E5E"/>
    <w:pPr>
      <w:numPr>
        <w:numId w:val="8"/>
      </w:numPr>
      <w:tabs>
        <w:tab w:val="clear" w:pos="1134"/>
        <w:tab w:val="num" w:pos="284"/>
      </w:tabs>
      <w:ind w:left="284" w:hanging="284"/>
      <w:jc w:val="left"/>
    </w:pPr>
    <w:rPr>
      <w:rFonts w:ascii="Verdana" w:eastAsia="SimSun" w:hAnsi="Verdana"/>
      <w:sz w:val="19"/>
      <w:szCs w:val="19"/>
      <w:lang w:val="en-GB" w:eastAsia="en-US"/>
    </w:rPr>
  </w:style>
  <w:style w:type="paragraph" w:customStyle="1" w:styleId="CEOHeader">
    <w:name w:val="CEO_Header"/>
    <w:basedOn w:val="Normal"/>
    <w:rsid w:val="00061F17"/>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061F17"/>
    <w:pPr>
      <w:spacing w:after="120"/>
      <w:ind w:left="426"/>
    </w:pPr>
  </w:style>
  <w:style w:type="paragraph" w:customStyle="1" w:styleId="CEOLogo">
    <w:name w:val="CEO_Logo"/>
    <w:basedOn w:val="CEONormal"/>
    <w:rsid w:val="00061F17"/>
    <w:pPr>
      <w:spacing w:before="0"/>
      <w:jc w:val="right"/>
    </w:pPr>
  </w:style>
  <w:style w:type="paragraph" w:customStyle="1" w:styleId="CEOMeetingSTG">
    <w:name w:val="CEO_MeetingSTG"/>
    <w:basedOn w:val="CEOMeetingName"/>
    <w:rsid w:val="00061F17"/>
    <w:pPr>
      <w:spacing w:before="120" w:after="120"/>
    </w:pPr>
  </w:style>
  <w:style w:type="paragraph" w:customStyle="1" w:styleId="CEORevision">
    <w:name w:val="CEO_Revision"/>
    <w:basedOn w:val="CEONormal"/>
    <w:autoRedefine/>
    <w:rsid w:val="00061F17"/>
    <w:pPr>
      <w:tabs>
        <w:tab w:val="left" w:pos="1928"/>
      </w:tabs>
    </w:pPr>
    <w:rPr>
      <w:b/>
      <w:sz w:val="18"/>
      <w:szCs w:val="18"/>
    </w:rPr>
  </w:style>
  <w:style w:type="paragraph" w:customStyle="1" w:styleId="CEORevisionNote">
    <w:name w:val="CEO_RevisionNote"/>
    <w:basedOn w:val="CEORevision"/>
    <w:autoRedefine/>
    <w:rsid w:val="00061F17"/>
    <w:pPr>
      <w:spacing w:after="120"/>
    </w:pPr>
    <w:rPr>
      <w:b w:val="0"/>
      <w:i/>
      <w:iCs/>
      <w:lang w:val="en-US"/>
    </w:rPr>
  </w:style>
  <w:style w:type="paragraph" w:customStyle="1" w:styleId="CEOSummaryStartHere">
    <w:name w:val="CEO_Summary_StartHere"/>
    <w:rsid w:val="00061F17"/>
    <w:pPr>
      <w:spacing w:before="120" w:after="120"/>
      <w:jc w:val="center"/>
    </w:pPr>
    <w:rPr>
      <w:rFonts w:ascii="Verdana" w:eastAsia="SimHei" w:hAnsi="Verdana" w:cs="Simplified Arabic"/>
      <w:bCs/>
      <w:sz w:val="16"/>
      <w:szCs w:val="16"/>
      <w:lang w:val="fr-FR"/>
    </w:rPr>
  </w:style>
  <w:style w:type="paragraph" w:customStyle="1" w:styleId="enumlev3">
    <w:name w:val="enumlev3"/>
    <w:basedOn w:val="Normal"/>
    <w:uiPriority w:val="99"/>
    <w:rsid w:val="00061F17"/>
    <w:pPr>
      <w:tabs>
        <w:tab w:val="left" w:pos="2608"/>
        <w:tab w:val="left" w:pos="3345"/>
      </w:tabs>
      <w:spacing w:before="80"/>
      <w:ind w:left="2268" w:hanging="397"/>
      <w:jc w:val="left"/>
    </w:pPr>
    <w:rPr>
      <w:rFonts w:ascii="Times New Roman" w:eastAsia="SimSun" w:hAnsi="Times New Roman"/>
      <w:sz w:val="24"/>
      <w:szCs w:val="24"/>
      <w:lang w:val="en-GB" w:eastAsia="ja-JP"/>
    </w:rPr>
  </w:style>
  <w:style w:type="paragraph" w:customStyle="1" w:styleId="ceonormal0">
    <w:name w:val="ceonormal"/>
    <w:basedOn w:val="Normal"/>
    <w:rsid w:val="00061F17"/>
    <w:pPr>
      <w:spacing w:after="120"/>
      <w:jc w:val="left"/>
    </w:pPr>
    <w:rPr>
      <w:rFonts w:ascii="Verdana" w:eastAsia="Times New Roman" w:hAnsi="Verdana"/>
      <w:sz w:val="19"/>
      <w:szCs w:val="19"/>
      <w:lang w:val="en-US" w:eastAsia="en-US"/>
    </w:rPr>
  </w:style>
  <w:style w:type="paragraph" w:styleId="ListParagraph">
    <w:name w:val="List Paragraph"/>
    <w:basedOn w:val="Normal"/>
    <w:uiPriority w:val="34"/>
    <w:qFormat/>
    <w:rsid w:val="00061F17"/>
    <w:pPr>
      <w:spacing w:before="0" w:after="200" w:line="276" w:lineRule="auto"/>
      <w:ind w:left="720"/>
      <w:contextualSpacing/>
      <w:jc w:val="left"/>
    </w:pPr>
    <w:rPr>
      <w:rFonts w:asciiTheme="minorHAnsi" w:eastAsiaTheme="minorHAnsi" w:hAnsiTheme="minorHAnsi" w:cstheme="minorBidi"/>
      <w:sz w:val="22"/>
      <w:lang w:val="en-US" w:eastAsia="en-US"/>
    </w:rPr>
  </w:style>
  <w:style w:type="paragraph" w:styleId="BodyText">
    <w:name w:val="Body Text"/>
    <w:basedOn w:val="Normal"/>
    <w:link w:val="BodyTextChar"/>
    <w:rsid w:val="00061F17"/>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061F17"/>
    <w:rPr>
      <w:rFonts w:eastAsia="Calibri" w:cs="CG Times"/>
      <w:sz w:val="24"/>
      <w:lang w:val="en-GB" w:eastAsia="ar-SA"/>
    </w:rPr>
  </w:style>
  <w:style w:type="character" w:customStyle="1" w:styleId="a1">
    <w:name w:val="a1"/>
    <w:basedOn w:val="DefaultParagraphFont"/>
    <w:rsid w:val="00061F17"/>
    <w:rPr>
      <w:rFonts w:ascii="Trebuchet MS" w:hAnsi="Trebuchet MS"/>
      <w:noProof w:val="0"/>
      <w:color w:val="008000"/>
      <w:lang w:val="en-GB"/>
    </w:rPr>
  </w:style>
  <w:style w:type="paragraph" w:customStyle="1" w:styleId="Pa7">
    <w:name w:val="Pa7"/>
    <w:basedOn w:val="Normal"/>
    <w:next w:val="Normal"/>
    <w:uiPriority w:val="99"/>
    <w:rsid w:val="00061F17"/>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061F17"/>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061F17"/>
    <w:rPr>
      <w:i/>
      <w:iCs/>
    </w:rPr>
  </w:style>
  <w:style w:type="paragraph" w:styleId="EndnoteText">
    <w:name w:val="endnote text"/>
    <w:basedOn w:val="Normal"/>
    <w:link w:val="EndnoteTextChar"/>
    <w:uiPriority w:val="99"/>
    <w:unhideWhenUsed/>
    <w:rsid w:val="00061F17"/>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061F17"/>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061F17"/>
    <w:rPr>
      <w:vertAlign w:val="superscript"/>
    </w:rPr>
  </w:style>
  <w:style w:type="paragraph" w:customStyle="1" w:styleId="Heading41">
    <w:name w:val="Heading 41"/>
    <w:basedOn w:val="Normal"/>
    <w:next w:val="Normal"/>
    <w:uiPriority w:val="99"/>
    <w:rsid w:val="00061F17"/>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paragraph" w:styleId="Caption">
    <w:name w:val="caption"/>
    <w:basedOn w:val="Normal"/>
    <w:next w:val="Normal"/>
    <w:qFormat/>
    <w:rsid w:val="00061F17"/>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061F17"/>
    <w:rPr>
      <w:b/>
      <w:bCs/>
    </w:rPr>
  </w:style>
  <w:style w:type="character" w:customStyle="1" w:styleId="apple-converted-space">
    <w:name w:val="apple-converted-space"/>
    <w:basedOn w:val="DefaultParagraphFont"/>
    <w:rsid w:val="00061F17"/>
  </w:style>
  <w:style w:type="character" w:styleId="Emphasis">
    <w:name w:val="Emphasis"/>
    <w:basedOn w:val="DefaultParagraphFont"/>
    <w:uiPriority w:val="20"/>
    <w:qFormat/>
    <w:rsid w:val="00061F17"/>
    <w:rPr>
      <w:i/>
      <w:iCs/>
    </w:rPr>
  </w:style>
  <w:style w:type="character" w:styleId="CommentReference">
    <w:name w:val="annotation reference"/>
    <w:basedOn w:val="DefaultParagraphFont"/>
    <w:rsid w:val="00061F17"/>
    <w:rPr>
      <w:sz w:val="16"/>
      <w:szCs w:val="16"/>
    </w:rPr>
  </w:style>
  <w:style w:type="paragraph" w:styleId="CommentText">
    <w:name w:val="annotation text"/>
    <w:basedOn w:val="Normal"/>
    <w:link w:val="CommentTextChar"/>
    <w:rsid w:val="00061F17"/>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061F17"/>
    <w:rPr>
      <w:rFonts w:ascii="Verdana" w:eastAsia="SimHei" w:hAnsi="Verdana" w:cs="Simplified Arabic"/>
      <w:bCs/>
    </w:rPr>
  </w:style>
  <w:style w:type="character" w:customStyle="1" w:styleId="apple-style-span">
    <w:name w:val="apple-style-span"/>
    <w:basedOn w:val="DefaultParagraphFont"/>
    <w:rsid w:val="00061F17"/>
  </w:style>
  <w:style w:type="character" w:customStyle="1" w:styleId="CEONormalChar">
    <w:name w:val="CEO_Normal Char"/>
    <w:basedOn w:val="DefaultParagraphFont"/>
    <w:link w:val="CEONormal"/>
    <w:locked/>
    <w:rsid w:val="00061F17"/>
    <w:rPr>
      <w:rFonts w:ascii="Verdana" w:eastAsia="SimSun" w:hAnsi="Verdana"/>
      <w:sz w:val="19"/>
      <w:szCs w:val="19"/>
      <w:lang w:val="en-GB" w:eastAsia="en-US"/>
    </w:rPr>
  </w:style>
  <w:style w:type="paragraph" w:customStyle="1" w:styleId="FigureNotitle">
    <w:name w:val="Figure_No &amp; title"/>
    <w:basedOn w:val="Normal"/>
    <w:next w:val="Normal"/>
    <w:rsid w:val="00061F1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customStyle="1" w:styleId="Title1">
    <w:name w:val="Title 1"/>
    <w:basedOn w:val="Normal"/>
    <w:next w:val="Normal"/>
    <w:rsid w:val="00061F1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TOCHeading">
    <w:name w:val="TOC Heading"/>
    <w:basedOn w:val="Heading1"/>
    <w:next w:val="Normal"/>
    <w:uiPriority w:val="39"/>
    <w:unhideWhenUsed/>
    <w:qFormat/>
    <w:rsid w:val="00061F17"/>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ommentSubject">
    <w:name w:val="annotation subject"/>
    <w:basedOn w:val="CommentText"/>
    <w:next w:val="CommentText"/>
    <w:link w:val="CommentSubjectChar"/>
    <w:rsid w:val="00061F17"/>
    <w:rPr>
      <w:b/>
    </w:rPr>
  </w:style>
  <w:style w:type="character" w:customStyle="1" w:styleId="CommentSubjectChar">
    <w:name w:val="Comment Subject Char"/>
    <w:basedOn w:val="CommentTextChar"/>
    <w:link w:val="CommentSubject"/>
    <w:rsid w:val="00061F17"/>
    <w:rPr>
      <w:rFonts w:ascii="Verdana" w:eastAsia="SimHei" w:hAnsi="Verdana" w:cs="Simplified Arabic"/>
      <w:b/>
      <w:bCs/>
    </w:rPr>
  </w:style>
  <w:style w:type="paragraph" w:customStyle="1" w:styleId="RegParagraph">
    <w:name w:val="Reg Paragraph"/>
    <w:basedOn w:val="Normal"/>
    <w:link w:val="RegParagraphChar1"/>
    <w:autoRedefine/>
    <w:rsid w:val="00061F17"/>
    <w:pPr>
      <w:widowControl w:val="0"/>
      <w:tabs>
        <w:tab w:val="left" w:pos="851"/>
        <w:tab w:val="left" w:pos="1418"/>
        <w:tab w:val="left" w:pos="1985"/>
        <w:tab w:val="left" w:pos="2552"/>
      </w:tabs>
      <w:spacing w:after="120" w:line="360" w:lineRule="auto"/>
    </w:pPr>
    <w:rPr>
      <w:rFonts w:ascii="Times New Roman" w:eastAsia="Times New Roman" w:hAnsi="Times New Roman"/>
      <w:kern w:val="28"/>
      <w:sz w:val="24"/>
      <w:szCs w:val="24"/>
      <w:lang w:val="en-GB" w:eastAsia="en-US" w:bidi="he-IL"/>
    </w:rPr>
  </w:style>
  <w:style w:type="character" w:customStyle="1" w:styleId="RegParagraphChar1">
    <w:name w:val="Reg Paragraph Char1"/>
    <w:basedOn w:val="DefaultParagraphFont"/>
    <w:link w:val="RegParagraph"/>
    <w:rsid w:val="00061F17"/>
    <w:rPr>
      <w:rFonts w:eastAsia="Times New Roman"/>
      <w:kern w:val="28"/>
      <w:sz w:val="24"/>
      <w:szCs w:val="24"/>
      <w:lang w:val="en-GB" w:eastAsia="en-US" w:bidi="he-IL"/>
    </w:rPr>
  </w:style>
  <w:style w:type="character" w:customStyle="1" w:styleId="CharChar">
    <w:name w:val="Char Char"/>
    <w:basedOn w:val="DefaultParagraphFont"/>
    <w:rsid w:val="00061F17"/>
    <w:rPr>
      <w:sz w:val="24"/>
      <w:szCs w:val="24"/>
      <w:lang w:val="en-GB" w:eastAsia="he-IL" w:bidi="he-IL"/>
    </w:rPr>
  </w:style>
  <w:style w:type="paragraph" w:customStyle="1" w:styleId="Equation">
    <w:name w:val="Equation"/>
    <w:basedOn w:val="Normal"/>
    <w:rsid w:val="00061F17"/>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character" w:customStyle="1" w:styleId="CallChar">
    <w:name w:val="Call Char"/>
    <w:link w:val="Call"/>
    <w:uiPriority w:val="99"/>
    <w:rsid w:val="00061F17"/>
    <w:rPr>
      <w:rFonts w:ascii="Calibri" w:eastAsia="Times New Roman" w:hAnsi="Calibri" w:cs="Times New Roman italic"/>
      <w:i/>
      <w:sz w:val="21"/>
      <w:lang w:val="en-GB" w:eastAsia="en-US"/>
    </w:rPr>
  </w:style>
  <w:style w:type="paragraph" w:customStyle="1" w:styleId="ResNo">
    <w:name w:val="Res_No"/>
    <w:basedOn w:val="Normal"/>
    <w:next w:val="Restitle"/>
    <w:link w:val="ResNoChar"/>
    <w:uiPriority w:val="99"/>
    <w:rsid w:val="00FF79CB"/>
    <w:pPr>
      <w:keepNext/>
      <w:keepLines/>
      <w:overflowPunct w:val="0"/>
      <w:autoSpaceDE w:val="0"/>
      <w:autoSpaceDN w:val="0"/>
      <w:adjustRightInd w:val="0"/>
      <w:spacing w:before="0" w:line="280" w:lineRule="exact"/>
      <w:jc w:val="center"/>
      <w:textAlignment w:val="baseline"/>
    </w:pPr>
    <w:rPr>
      <w:rFonts w:asciiTheme="minorHAnsi" w:eastAsia="Times New Roman" w:hAnsiTheme="minorHAnsi"/>
      <w:caps/>
      <w:sz w:val="28"/>
      <w:szCs w:val="20"/>
      <w:lang w:eastAsia="en-US"/>
    </w:rPr>
  </w:style>
  <w:style w:type="paragraph" w:customStyle="1" w:styleId="Restitle">
    <w:name w:val="Res_title"/>
    <w:basedOn w:val="Normal"/>
    <w:next w:val="Resref"/>
    <w:link w:val="RestitleChar"/>
    <w:uiPriority w:val="99"/>
    <w:rsid w:val="00A1196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imes New Roman" w:cs="Times New Roman Bold"/>
      <w:b/>
      <w:sz w:val="28"/>
      <w:szCs w:val="20"/>
      <w:lang w:eastAsia="en-US"/>
    </w:rPr>
  </w:style>
  <w:style w:type="paragraph" w:customStyle="1" w:styleId="Resref">
    <w:name w:val="Res_ref"/>
    <w:basedOn w:val="Normal"/>
    <w:next w:val="Normal"/>
    <w:qFormat/>
    <w:rsid w:val="00FF79CB"/>
    <w:pPr>
      <w:keepNext/>
      <w:keepLines/>
      <w:overflowPunct w:val="0"/>
      <w:autoSpaceDE w:val="0"/>
      <w:autoSpaceDN w:val="0"/>
      <w:adjustRightInd w:val="0"/>
      <w:spacing w:before="160" w:line="280" w:lineRule="exact"/>
      <w:jc w:val="center"/>
      <w:textAlignment w:val="baseline"/>
    </w:pPr>
    <w:rPr>
      <w:rFonts w:eastAsia="Times New Roman" w:cs="Times New Roman italic"/>
      <w:i/>
      <w:sz w:val="22"/>
      <w:szCs w:val="20"/>
      <w:lang w:eastAsia="en-US"/>
    </w:rPr>
  </w:style>
  <w:style w:type="character" w:customStyle="1" w:styleId="RestitleChar">
    <w:name w:val="Res_title Char"/>
    <w:link w:val="Restitle"/>
    <w:uiPriority w:val="99"/>
    <w:rsid w:val="00A11960"/>
    <w:rPr>
      <w:rFonts w:ascii="Calibri" w:eastAsia="Times New Roman" w:hAnsi="Calibri" w:cs="Times New Roman Bold"/>
      <w:b/>
      <w:sz w:val="28"/>
      <w:lang w:val="fr-FR" w:eastAsia="en-US"/>
    </w:rPr>
  </w:style>
  <w:style w:type="character" w:customStyle="1" w:styleId="ResNoChar">
    <w:name w:val="Res_No Char"/>
    <w:link w:val="ResNo"/>
    <w:uiPriority w:val="99"/>
    <w:rsid w:val="00FF79CB"/>
    <w:rPr>
      <w:rFonts w:asciiTheme="minorHAnsi" w:eastAsia="Times New Roman" w:hAnsiTheme="minorHAnsi"/>
      <w:caps/>
      <w:sz w:val="28"/>
      <w:lang w:val="fr-FR" w:eastAsia="en-US"/>
    </w:rPr>
  </w:style>
  <w:style w:type="paragraph" w:customStyle="1" w:styleId="Normalaftertitle">
    <w:name w:val="Normal after title"/>
    <w:basedOn w:val="Normal"/>
    <w:next w:val="Normal"/>
    <w:link w:val="NormalaftertitleChar"/>
    <w:uiPriority w:val="99"/>
    <w:rsid w:val="00FF79CB"/>
    <w:pPr>
      <w:tabs>
        <w:tab w:val="left" w:pos="1134"/>
        <w:tab w:val="left" w:pos="1871"/>
        <w:tab w:val="left" w:pos="2268"/>
      </w:tabs>
      <w:overflowPunct w:val="0"/>
      <w:autoSpaceDE w:val="0"/>
      <w:autoSpaceDN w:val="0"/>
      <w:adjustRightInd w:val="0"/>
      <w:spacing w:before="280"/>
      <w:textAlignment w:val="baseline"/>
    </w:pPr>
    <w:rPr>
      <w:rFonts w:eastAsia="Times New Roman"/>
      <w:sz w:val="22"/>
      <w:szCs w:val="20"/>
      <w:lang w:val="en-GB" w:eastAsia="en-US"/>
    </w:rPr>
  </w:style>
  <w:style w:type="character" w:customStyle="1" w:styleId="NormalaftertitleChar">
    <w:name w:val="Normal after title Char"/>
    <w:link w:val="Normalaftertitle"/>
    <w:uiPriority w:val="99"/>
    <w:locked/>
    <w:rsid w:val="00FF79CB"/>
    <w:rPr>
      <w:rFonts w:ascii="Calibri" w:eastAsia="Times New Roman" w:hAnsi="Calibri"/>
      <w:sz w:val="22"/>
      <w:lang w:val="en-GB" w:eastAsia="en-US"/>
    </w:rPr>
  </w:style>
  <w:style w:type="paragraph" w:customStyle="1" w:styleId="FootnoteTextS2">
    <w:name w:val="Footnote Text_S2"/>
    <w:basedOn w:val="FootnoteText"/>
    <w:uiPriority w:val="99"/>
    <w:rsid w:val="00061F17"/>
    <w:pPr>
      <w:keepLines/>
      <w:tabs>
        <w:tab w:val="clear" w:pos="284"/>
        <w:tab w:val="left" w:pos="851"/>
      </w:tabs>
      <w:overflowPunct w:val="0"/>
      <w:autoSpaceDE w:val="0"/>
      <w:autoSpaceDN w:val="0"/>
      <w:adjustRightInd w:val="0"/>
      <w:spacing w:before="120"/>
      <w:textAlignment w:val="baseline"/>
    </w:pPr>
    <w:rPr>
      <w:rFonts w:ascii="Calibri" w:eastAsia="Times New Roman" w:hAnsi="Calibri" w:cs="Times New Roman"/>
      <w:b/>
      <w:sz w:val="24"/>
    </w:rPr>
  </w:style>
  <w:style w:type="paragraph" w:styleId="NoSpacing">
    <w:name w:val="No Spacing"/>
    <w:qFormat/>
    <w:rsid w:val="00061F17"/>
    <w:rPr>
      <w:rFonts w:ascii="Calibri" w:eastAsia="Calibri" w:hAnsi="Calibri"/>
      <w:sz w:val="22"/>
      <w:szCs w:val="22"/>
      <w:lang w:eastAsia="en-US"/>
    </w:rPr>
  </w:style>
  <w:style w:type="table" w:customStyle="1" w:styleId="Style1">
    <w:name w:val="Style1"/>
    <w:basedOn w:val="TableNormal"/>
    <w:uiPriority w:val="99"/>
    <w:rsid w:val="007116B1"/>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paragraph" w:customStyle="1" w:styleId="CEODocTitle2lines-Second">
    <w:name w:val="CEO_DocTitle2lines-Second"/>
    <w:basedOn w:val="CEODocTitle2lines-First"/>
    <w:rsid w:val="005A3227"/>
    <w:pPr>
      <w:spacing w:before="0" w:after="480"/>
    </w:pPr>
  </w:style>
  <w:style w:type="paragraph" w:customStyle="1" w:styleId="CEODocTitle2lines-First">
    <w:name w:val="CEO_DocTitle2lines-First"/>
    <w:basedOn w:val="CEODocTitle-1line"/>
    <w:next w:val="Normal"/>
    <w:rsid w:val="005A3227"/>
    <w:pPr>
      <w:spacing w:after="0"/>
    </w:pPr>
  </w:style>
  <w:style w:type="paragraph" w:customStyle="1" w:styleId="CEODocTitle-1line">
    <w:name w:val="CEO_DocTitle-1line"/>
    <w:basedOn w:val="Normal"/>
    <w:next w:val="Normal"/>
    <w:rsid w:val="005A3227"/>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5A3227"/>
    <w:pPr>
      <w:keepNext/>
      <w:keepLines/>
      <w:tabs>
        <w:tab w:val="clear" w:pos="720"/>
      </w:tabs>
      <w:spacing w:before="480"/>
      <w:ind w:left="0" w:firstLine="0"/>
    </w:pPr>
  </w:style>
  <w:style w:type="paragraph" w:customStyle="1" w:styleId="CEOcontribution-H123">
    <w:name w:val="CEO_contribution-H123"/>
    <w:basedOn w:val="Normal"/>
    <w:rsid w:val="005A3227"/>
    <w:pPr>
      <w:tabs>
        <w:tab w:val="num" w:pos="720"/>
      </w:tabs>
      <w:spacing w:after="120"/>
      <w:ind w:left="720" w:hanging="360"/>
      <w:jc w:val="left"/>
    </w:pPr>
    <w:rPr>
      <w:rFonts w:ascii="Verdana" w:eastAsia="SimHei" w:hAnsi="Verdana" w:cs="Simplified Arabic"/>
      <w:b/>
      <w:sz w:val="19"/>
      <w:szCs w:val="19"/>
      <w:lang w:val="en-GB" w:eastAsia="en-US"/>
    </w:rPr>
  </w:style>
  <w:style w:type="paragraph" w:customStyle="1" w:styleId="CEOAgendaItemN">
    <w:name w:val="CEO_AgendaItemN°"/>
    <w:basedOn w:val="CEOIndent1-123"/>
    <w:rsid w:val="005A3227"/>
    <w:pPr>
      <w:numPr>
        <w:numId w:val="0"/>
      </w:numPr>
      <w:ind w:right="12"/>
      <w:jc w:val="right"/>
    </w:pPr>
  </w:style>
  <w:style w:type="paragraph" w:customStyle="1" w:styleId="CEODocDates">
    <w:name w:val="CEO_DocDates"/>
    <w:basedOn w:val="Normal"/>
    <w:next w:val="Normal"/>
    <w:rsid w:val="005A3227"/>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5A3227"/>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5A3227"/>
    <w:pPr>
      <w:spacing w:before="80" w:after="80"/>
      <w:jc w:val="center"/>
    </w:pPr>
    <w:rPr>
      <w:rFonts w:ascii="Verdana" w:eastAsia="SimHei" w:hAnsi="Verdana" w:cs="Simplified Arabic"/>
      <w:bCs/>
      <w:sz w:val="19"/>
      <w:szCs w:val="19"/>
      <w:lang w:val="en-GB" w:eastAsia="en-US"/>
    </w:rPr>
  </w:style>
  <w:style w:type="paragraph" w:customStyle="1" w:styleId="CEOEmdashList">
    <w:name w:val="CEO_EmdashList"/>
    <w:basedOn w:val="CEONormal"/>
    <w:rsid w:val="005A3227"/>
    <w:pPr>
      <w:keepLines/>
      <w:ind w:left="602" w:hanging="602"/>
      <w:jc w:val="center"/>
    </w:pPr>
    <w:rPr>
      <w:b/>
      <w:bCs/>
      <w:lang w:val="fr-FR"/>
    </w:rPr>
  </w:style>
  <w:style w:type="paragraph" w:customStyle="1" w:styleId="CEOConsidering">
    <w:name w:val="CEO_Considering"/>
    <w:basedOn w:val="CEONormal"/>
    <w:rsid w:val="005A3227"/>
    <w:pPr>
      <w:keepNext/>
      <w:keepLines/>
      <w:spacing w:after="120"/>
      <w:ind w:left="851" w:hanging="602"/>
      <w:jc w:val="center"/>
    </w:pPr>
    <w:rPr>
      <w:b/>
      <w:bCs/>
      <w:i/>
      <w:iCs/>
      <w:lang w:val="fr-FR"/>
    </w:rPr>
  </w:style>
  <w:style w:type="paragraph" w:customStyle="1" w:styleId="CEOEndBar">
    <w:name w:val="CEO_EndBar"/>
    <w:basedOn w:val="CEONormal"/>
    <w:rsid w:val="005A3227"/>
    <w:pPr>
      <w:keepLines/>
      <w:spacing w:after="120"/>
      <w:ind w:left="602" w:hanging="602"/>
      <w:jc w:val="center"/>
    </w:pPr>
    <w:rPr>
      <w:b/>
      <w:bCs/>
      <w:lang w:val="fr-FR"/>
    </w:rPr>
  </w:style>
  <w:style w:type="paragraph" w:customStyle="1" w:styleId="CEOExtract">
    <w:name w:val="CEO_Extract"/>
    <w:basedOn w:val="CEONormal"/>
    <w:rsid w:val="005A3227"/>
    <w:pPr>
      <w:keepNext/>
      <w:keepLines/>
      <w:spacing w:after="120"/>
      <w:ind w:left="602" w:hanging="602"/>
      <w:jc w:val="center"/>
    </w:pPr>
    <w:rPr>
      <w:b/>
      <w:bCs/>
      <w:lang w:val="fr-FR"/>
    </w:rPr>
  </w:style>
  <w:style w:type="paragraph" w:customStyle="1" w:styleId="CEORequiredAction">
    <w:name w:val="CEO_RequiredAction"/>
    <w:basedOn w:val="CEONormal"/>
    <w:rsid w:val="005A3227"/>
    <w:pPr>
      <w:keepLines/>
      <w:tabs>
        <w:tab w:val="left" w:pos="1928"/>
      </w:tabs>
      <w:ind w:left="602" w:hanging="602"/>
      <w:jc w:val="center"/>
    </w:pPr>
    <w:rPr>
      <w:bCs/>
      <w:lang w:val="fr-FR"/>
    </w:rPr>
  </w:style>
  <w:style w:type="paragraph" w:customStyle="1" w:styleId="CEOAnnex">
    <w:name w:val="CEO_Annex"/>
    <w:basedOn w:val="CEOSignatureTitle"/>
    <w:rsid w:val="005A3227"/>
    <w:pPr>
      <w:spacing w:before="1000"/>
    </w:pPr>
  </w:style>
  <w:style w:type="paragraph" w:customStyle="1" w:styleId="CEOEndashListNoIndent">
    <w:name w:val="CEO_EndashListNoIndent"/>
    <w:basedOn w:val="CEONormal"/>
    <w:rsid w:val="005A3227"/>
    <w:pPr>
      <w:keepLines/>
      <w:numPr>
        <w:numId w:val="16"/>
      </w:numPr>
      <w:jc w:val="center"/>
    </w:pPr>
    <w:rPr>
      <w:b/>
      <w:bCs/>
      <w:lang w:val="fr-FR"/>
    </w:rPr>
  </w:style>
  <w:style w:type="paragraph" w:customStyle="1" w:styleId="CEOFootnoteText">
    <w:name w:val="CEO_Footnote Text"/>
    <w:basedOn w:val="CEONormal"/>
    <w:rsid w:val="005A3227"/>
    <w:pPr>
      <w:keepLines/>
      <w:tabs>
        <w:tab w:val="left" w:pos="357"/>
      </w:tabs>
      <w:spacing w:before="0"/>
      <w:ind w:left="602" w:hanging="602"/>
      <w:jc w:val="center"/>
    </w:pPr>
    <w:rPr>
      <w:b/>
      <w:bCs/>
      <w:lang w:val="fr-FR"/>
    </w:rPr>
  </w:style>
  <w:style w:type="paragraph" w:customStyle="1" w:styleId="CEOHeading1-Numbered">
    <w:name w:val="CEO_Heading1-Numbered"/>
    <w:basedOn w:val="CEONormal"/>
    <w:rsid w:val="005A3227"/>
    <w:pPr>
      <w:keepLines/>
      <w:numPr>
        <w:numId w:val="17"/>
      </w:numPr>
      <w:pBdr>
        <w:bottom w:val="single" w:sz="12" w:space="1" w:color="808080"/>
      </w:pBdr>
      <w:jc w:val="center"/>
    </w:pPr>
    <w:rPr>
      <w:color w:val="808080"/>
      <w:sz w:val="20"/>
      <w:lang w:val="fr-FR"/>
    </w:rPr>
  </w:style>
  <w:style w:type="paragraph" w:customStyle="1" w:styleId="CEOHeading1">
    <w:name w:val="CEO_Heading1"/>
    <w:basedOn w:val="CEOHeading1-Numbered"/>
    <w:next w:val="CEONormal"/>
    <w:rsid w:val="005A3227"/>
    <w:pPr>
      <w:numPr>
        <w:numId w:val="0"/>
      </w:numPr>
    </w:pPr>
    <w:rPr>
      <w:lang w:val="fr-CH"/>
    </w:rPr>
  </w:style>
  <w:style w:type="paragraph" w:customStyle="1" w:styleId="CEOIndent1-abc">
    <w:name w:val="CEO_Indent1-abc"/>
    <w:basedOn w:val="CEONormal"/>
    <w:rsid w:val="005A3227"/>
    <w:pPr>
      <w:keepLines/>
      <w:numPr>
        <w:numId w:val="18"/>
      </w:numPr>
      <w:ind w:right="709"/>
      <w:jc w:val="center"/>
    </w:pPr>
    <w:rPr>
      <w:b/>
      <w:bCs/>
      <w:lang w:val="fr-FR"/>
    </w:rPr>
  </w:style>
  <w:style w:type="paragraph" w:customStyle="1" w:styleId="CEOAbstract">
    <w:name w:val="CEOAbstract"/>
    <w:rsid w:val="005A3227"/>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5A3227"/>
    <w:pPr>
      <w:keepLines/>
      <w:spacing w:before="720"/>
      <w:ind w:left="602" w:hanging="602"/>
      <w:jc w:val="center"/>
    </w:pPr>
    <w:rPr>
      <w:b/>
      <w:bCs/>
      <w:lang w:val="fr-FR"/>
    </w:rPr>
  </w:style>
  <w:style w:type="paragraph" w:customStyle="1" w:styleId="CEOSmall">
    <w:name w:val="CEO_Small"/>
    <w:basedOn w:val="CEONormal"/>
    <w:rsid w:val="005A3227"/>
    <w:pPr>
      <w:keepLines/>
      <w:ind w:left="602" w:hanging="602"/>
      <w:jc w:val="center"/>
    </w:pPr>
    <w:rPr>
      <w:b/>
      <w:bCs/>
      <w:lang w:val="fr-FR"/>
    </w:rPr>
  </w:style>
  <w:style w:type="paragraph" w:customStyle="1" w:styleId="CEOStartNextPage">
    <w:name w:val="CEO_StartNextPage"/>
    <w:next w:val="CEONormal"/>
    <w:rsid w:val="005A3227"/>
    <w:pPr>
      <w:spacing w:before="120"/>
      <w:jc w:val="center"/>
    </w:pPr>
    <w:rPr>
      <w:rFonts w:ascii="Verdana" w:eastAsia="SimHei" w:hAnsi="Verdana" w:cs="Simplified Arabic"/>
      <w:sz w:val="16"/>
      <w:szCs w:val="24"/>
      <w:lang w:val="en-GB" w:eastAsia="en-US"/>
    </w:rPr>
  </w:style>
  <w:style w:type="paragraph" w:customStyle="1" w:styleId="CEOAbstract0">
    <w:name w:val="CEO_Abstract"/>
    <w:rsid w:val="005A3227"/>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5A3227"/>
    <w:pPr>
      <w:keepLines/>
      <w:tabs>
        <w:tab w:val="left" w:pos="1928"/>
      </w:tabs>
      <w:ind w:left="602" w:hanging="602"/>
      <w:jc w:val="center"/>
    </w:pPr>
    <w:rPr>
      <w:bCs/>
      <w:lang w:val="fr-FR"/>
    </w:rPr>
  </w:style>
  <w:style w:type="paragraph" w:customStyle="1" w:styleId="CEOActionRequiredDetails">
    <w:name w:val="CEO_ActionRequiredDetails"/>
    <w:rsid w:val="005A3227"/>
    <w:pPr>
      <w:spacing w:before="120"/>
    </w:pPr>
    <w:rPr>
      <w:rFonts w:ascii="Verdana" w:eastAsia="SimSun" w:hAnsi="Verdana"/>
      <w:bCs/>
      <w:sz w:val="19"/>
      <w:szCs w:val="19"/>
      <w:lang w:val="en-GB" w:eastAsia="en-US"/>
    </w:rPr>
  </w:style>
  <w:style w:type="paragraph" w:customStyle="1" w:styleId="Toc">
    <w:name w:val="Toc"/>
    <w:basedOn w:val="CEOSTG"/>
    <w:rsid w:val="005A3227"/>
    <w:pPr>
      <w:spacing w:before="360"/>
    </w:pPr>
  </w:style>
  <w:style w:type="character" w:customStyle="1" w:styleId="hps">
    <w:name w:val="hps"/>
    <w:basedOn w:val="DefaultParagraphFont"/>
    <w:uiPriority w:val="99"/>
    <w:rsid w:val="005A3227"/>
    <w:rPr>
      <w:rFonts w:ascii="Trebuchet MS" w:hAnsi="Trebuchet MS" w:cs="Times New Roman"/>
      <w:noProof w:val="0"/>
      <w:lang w:val="en-GB"/>
    </w:rPr>
  </w:style>
  <w:style w:type="paragraph" w:styleId="Date">
    <w:name w:val="Date"/>
    <w:basedOn w:val="Normal"/>
    <w:next w:val="Normal"/>
    <w:link w:val="DateChar"/>
    <w:rsid w:val="005A3227"/>
    <w:pPr>
      <w:spacing w:after="120"/>
      <w:jc w:val="left"/>
    </w:pPr>
    <w:rPr>
      <w:rFonts w:ascii="Verdana" w:eastAsia="SimHei" w:hAnsi="Verdana" w:cs="Simplified Arabic"/>
      <w:bCs/>
      <w:sz w:val="19"/>
      <w:szCs w:val="28"/>
      <w:lang w:val="en-US" w:eastAsia="zh-CN"/>
    </w:rPr>
  </w:style>
  <w:style w:type="character" w:customStyle="1" w:styleId="DateChar">
    <w:name w:val="Date Char"/>
    <w:basedOn w:val="DefaultParagraphFont"/>
    <w:link w:val="Date"/>
    <w:rsid w:val="005A3227"/>
    <w:rPr>
      <w:rFonts w:ascii="Verdana" w:eastAsia="SimHei" w:hAnsi="Verdana" w:cs="Simplified Arabic"/>
      <w:bCs/>
      <w:sz w:val="19"/>
      <w:szCs w:val="28"/>
    </w:rPr>
  </w:style>
  <w:style w:type="paragraph" w:styleId="ListNumber2">
    <w:name w:val="List Number 2"/>
    <w:basedOn w:val="Normal"/>
    <w:rsid w:val="005A3227"/>
    <w:pPr>
      <w:numPr>
        <w:numId w:val="44"/>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5A3227"/>
    <w:pPr>
      <w:spacing w:before="0"/>
      <w:jc w:val="left"/>
    </w:pPr>
    <w:rPr>
      <w:rFonts w:ascii="Times New Roman" w:eastAsia="Times New Roman" w:hAnsi="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8.xml"/><Relationship Id="rId21" Type="http://schemas.openxmlformats.org/officeDocument/2006/relationships/image" Target="media/image5.png"/><Relationship Id="rId42" Type="http://schemas.openxmlformats.org/officeDocument/2006/relationships/package" Target="embeddings/Microsoft_Excel_Worksheet3.xlsx"/><Relationship Id="rId47" Type="http://schemas.openxmlformats.org/officeDocument/2006/relationships/image" Target="media/image11.emf"/><Relationship Id="rId63" Type="http://schemas.openxmlformats.org/officeDocument/2006/relationships/hyperlink" Target="http://ec.europa.eu/enterprise/sectors/electrical/files/lv/rec519_en.pdf" TargetMode="External"/><Relationship Id="rId68" Type="http://schemas.openxmlformats.org/officeDocument/2006/relationships/hyperlink" Target="http://transition.fcc.gov/Bureaus/Engineering_Technology/Documents/bulletins/oet65/oet65c.pdf" TargetMode="External"/><Relationship Id="rId84" Type="http://schemas.openxmlformats.org/officeDocument/2006/relationships/hyperlink" Target="http://standards.ieee.org/getieee/C95/download/C95.1-2005.pdf" TargetMode="External"/><Relationship Id="rId89" Type="http://schemas.openxmlformats.org/officeDocument/2006/relationships/hyperlink" Target="http://www.itu.int/rec/T-REC-K.52-200412-I" TargetMode="External"/><Relationship Id="rId112" Type="http://schemas.openxmlformats.org/officeDocument/2006/relationships/hyperlink" Target="http://www.who.int/mediacentre/factsheets/fs193/en/index.html" TargetMode="External"/><Relationship Id="rId16" Type="http://schemas.openxmlformats.org/officeDocument/2006/relationships/header" Target="header4.xml"/><Relationship Id="rId107" Type="http://schemas.openxmlformats.org/officeDocument/2006/relationships/hyperlink" Target="http://old.sviva.gov.il/bin/en.jsp?enPage=e_BlankPage&amp;enDisplay=view&amp;enDispWhat=Object&amp;enDispWho=Articals%5el6805&amp;enZone=non_ionizing" TargetMode="Externa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http://www.dot.gov.in/2013/Eng_final.pdf%20dated%2015-01-2013.pdf" TargetMode="External"/><Relationship Id="rId37" Type="http://schemas.openxmlformats.org/officeDocument/2006/relationships/image" Target="media/image6.emf"/><Relationship Id="rId40" Type="http://schemas.openxmlformats.org/officeDocument/2006/relationships/package" Target="embeddings/Microsoft_Excel_Worksheet2.xlsx"/><Relationship Id="rId45" Type="http://schemas.openxmlformats.org/officeDocument/2006/relationships/image" Target="media/image10.emf"/><Relationship Id="rId53" Type="http://schemas.openxmlformats.org/officeDocument/2006/relationships/hyperlink" Target="http://www.itu.int/md/D10-SG01-C-0082" TargetMode="External"/><Relationship Id="rId58" Type="http://schemas.openxmlformats.org/officeDocument/2006/relationships/hyperlink" Target="http://grouper.ieee.org/groups/scc28" TargetMode="External"/><Relationship Id="rId66" Type="http://schemas.openxmlformats.org/officeDocument/2006/relationships/hyperlink" Target="http://transition.fcc.gov/Bureaus/Engineering_Technology/Documents/bulletins/oet65/oet65c.pdf" TargetMode="External"/><Relationship Id="rId74" Type="http://schemas.openxmlformats.org/officeDocument/2006/relationships/hyperlink" Target="http://monographs.iarc.fr/ENG/Monographs/vol102/mono102.pdf" TargetMode="External"/><Relationship Id="rId79" Type="http://schemas.openxmlformats.org/officeDocument/2006/relationships/hyperlink" Target="http://www.icnirp.de/documents/RFReview.pdf" TargetMode="External"/><Relationship Id="rId87" Type="http://schemas.openxmlformats.org/officeDocument/2006/relationships/hyperlink" Target="http://www.itu.int/pub/publications.aspx?lang=en&amp;parent=R-HDB-23-2011http://www.itu.int/pub/publications.aspx?lang=en&amp;parent=R-HDB-23-2011" TargetMode="External"/><Relationship Id="rId102" Type="http://schemas.openxmlformats.org/officeDocument/2006/relationships/hyperlink" Target="http://www.mtt-tpms.org/symposia_v6/COMCAS2009/fileuploads/292-JI4GGWYnIdKk-2.pdf" TargetMode="External"/><Relationship Id="rId110" Type="http://schemas.openxmlformats.org/officeDocument/2006/relationships/hyperlink" Target="http://oem.bmj.com/content/66/8/550.full.pdf+html" TargetMode="External"/><Relationship Id="rId115" Type="http://schemas.openxmlformats.org/officeDocument/2006/relationships/hyperlink" Target="http://www.itu.int/ITU-D/ict/facts/2011/material/ICTFactsFigures2011.pdf" TargetMode="External"/><Relationship Id="rId5" Type="http://schemas.openxmlformats.org/officeDocument/2006/relationships/settings" Target="settings.xml"/><Relationship Id="rId61" Type="http://schemas.openxmlformats.org/officeDocument/2006/relationships/hyperlink" Target="http://www.sviva.gov.il/subjectsEnv/Radiation/Communication_Facilities/cellular/Documents/shidur_selulariim_peilim_1.xls" TargetMode="External"/><Relationship Id="rId82" Type="http://schemas.openxmlformats.org/officeDocument/2006/relationships/hyperlink" Target="http://webbooks.net/freestuff/C95.1.pdf" TargetMode="External"/><Relationship Id="rId90" Type="http://schemas.openxmlformats.org/officeDocument/2006/relationships/hyperlink" Target="http://www.itu.int/ITU-T/recommendations/rec.aspx?rec=9139" TargetMode="External"/><Relationship Id="rId95" Type="http://schemas.openxmlformats.org/officeDocument/2006/relationships/hyperlink" Target="http://www.itu.int/rec/T-REC-K.70-201302-P!Amd3" TargetMode="External"/><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hyperlink" Target="mailto:hectormario.carril@ties.itu.int" TargetMode="External"/><Relationship Id="rId27" Type="http://schemas.openxmlformats.org/officeDocument/2006/relationships/footer" Target="footer7.xml"/><Relationship Id="rId30" Type="http://schemas.openxmlformats.org/officeDocument/2006/relationships/chart" Target="charts/chart1.xml"/><Relationship Id="rId35" Type="http://schemas.openxmlformats.org/officeDocument/2006/relationships/hyperlink" Target="http://www.dot.gov.in/" TargetMode="External"/><Relationship Id="rId43" Type="http://schemas.openxmlformats.org/officeDocument/2006/relationships/image" Target="media/image9.emf"/><Relationship Id="rId48" Type="http://schemas.openxmlformats.org/officeDocument/2006/relationships/package" Target="embeddings/Microsoft_Excel_Worksheet6.xlsx"/><Relationship Id="rId56" Type="http://schemas.openxmlformats.org/officeDocument/2006/relationships/hyperlink" Target="https://www.itu.int/md/D10-SG01-C-0278/" TargetMode="External"/><Relationship Id="rId64" Type="http://schemas.openxmlformats.org/officeDocument/2006/relationships/hyperlink" Target="http://eur-lex.europa.eu/LexUriServ/LexUriServ.do?uri=OJ:L:2004:184:0001:0009:EN:PDF" TargetMode="External"/><Relationship Id="rId69" Type="http://schemas.openxmlformats.org/officeDocument/2006/relationships/hyperlink" Target="http://www.gpo.gov/fdsys/pkg/CFR-2011-title47-vol1/xml/CFR-2011-title47-vol1-sec1-1310.xml" TargetMode="External"/><Relationship Id="rId77" Type="http://schemas.openxmlformats.org/officeDocument/2006/relationships/hyperlink" Target="http://www.icnirp.de/documents/emfgdl.pdf" TargetMode="External"/><Relationship Id="rId100" Type="http://schemas.openxmlformats.org/officeDocument/2006/relationships/hyperlink" Target="http://eprints.mdx.ac.uk/133/2/MazarAug08.pdf" TargetMode="External"/><Relationship Id="rId105" Type="http://schemas.openxmlformats.org/officeDocument/2006/relationships/hyperlink" Target="http://www.ituworld2011.com/published/ituworld2011/sessions/TS11/TS11_Nghinamundova-A%20Comparison%20Between%20European%20and%20North%20American%20Wireless%20Regulations-Mazar.pdf" TargetMode="External"/><Relationship Id="rId113" Type="http://schemas.openxmlformats.org/officeDocument/2006/relationships/hyperlink" Target="http://www.who.int/mediacentre/factsheets/fs193/en/index.html" TargetMode="External"/><Relationship Id="rId118"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www.itu.int/md/D10-SG01-C-0181/" TargetMode="External"/><Relationship Id="rId72" Type="http://schemas.openxmlformats.org/officeDocument/2006/relationships/hyperlink" Target="http://catedra-coitt.euitt.upm.es/web_salud_medioamb/Informes/informes_PDF/rf/HealthCanada/99ehd237.pdf" TargetMode="External"/><Relationship Id="rId80" Type="http://schemas.openxmlformats.org/officeDocument/2006/relationships/hyperlink" Target="http://webstore.iec.ch/webstore/webstore.nsf/artnum/033746" TargetMode="External"/><Relationship Id="rId85" Type="http://schemas.openxmlformats.org/officeDocument/2006/relationships/hyperlink" Target="http://www.itu.int/pub/R-HDB-23-2011" TargetMode="External"/><Relationship Id="rId93" Type="http://schemas.openxmlformats.org/officeDocument/2006/relationships/hyperlink" Target="http://www.itu.int/ITU-T/recommendations/rec.aspx?rec=9140&amp;lang=en" TargetMode="External"/><Relationship Id="rId98" Type="http://schemas.openxmlformats.org/officeDocument/2006/relationships/hyperlink" Target="http://www.tele.soumu.go.jp/resource/j/ele/body/emf_pamphlet.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yperlink" Target="http://www.dot.gov.in/2013/DOT%20Advt%20modified%201%20Dec%202012-final-hindi%20version.pdf" TargetMode="External"/><Relationship Id="rId38" Type="http://schemas.openxmlformats.org/officeDocument/2006/relationships/package" Target="embeddings/Microsoft_Excel_Worksheet1.xlsx"/><Relationship Id="rId46" Type="http://schemas.openxmlformats.org/officeDocument/2006/relationships/package" Target="embeddings/Microsoft_Excel_Worksheet5.xlsx"/><Relationship Id="rId59" Type="http://schemas.openxmlformats.org/officeDocument/2006/relationships/hyperlink" Target="http://www.iec.ch/" TargetMode="External"/><Relationship Id="rId67" Type="http://schemas.openxmlformats.org/officeDocument/2006/relationships/hyperlink" Target="http://transition.fcc.gov/Bureaus/Engineering_Technology/Documents/bulletins/oet65/oet65b.pdf" TargetMode="External"/><Relationship Id="rId103" Type="http://schemas.openxmlformats.org/officeDocument/2006/relationships/hyperlink" Target="http://www.comcas.org/" TargetMode="External"/><Relationship Id="rId108" Type="http://schemas.openxmlformats.org/officeDocument/2006/relationships/hyperlink" Target="http://www.hpa.org.uk/webc/HPAwebFile/HPAweb_C/1194947415497" TargetMode="External"/><Relationship Id="rId116" Type="http://schemas.openxmlformats.org/officeDocument/2006/relationships/hyperlink" Target="http://www.itu.int/en/ITU-D/Statistics/Documents/facts/ICTFactsFigures2013.pdf" TargetMode="External"/><Relationship Id="rId20" Type="http://schemas.openxmlformats.org/officeDocument/2006/relationships/image" Target="media/image4.png"/><Relationship Id="rId41" Type="http://schemas.openxmlformats.org/officeDocument/2006/relationships/image" Target="media/image8.emf"/><Relationship Id="rId54" Type="http://schemas.openxmlformats.org/officeDocument/2006/relationships/hyperlink" Target="http://www.itu.int/md/D10-RGQ23.1-C-0015/" TargetMode="External"/><Relationship Id="rId62" Type="http://schemas.openxmlformats.org/officeDocument/2006/relationships/hyperlink" Target="http://www.cenelec.eu/dyn/www/f?p=104:110:3556960516540125::::FSP_PROJECT:14880" TargetMode="External"/><Relationship Id="rId70" Type="http://schemas.openxmlformats.org/officeDocument/2006/relationships/hyperlink" Target="http://ecfr.gpoaccess.gov/cgi/t/text/text-idx?c=ecfr&amp;sid=e28e4f93164e296912c3ab9b5964ddde&amp;rgn=div8&amp;view=text&amp;node=47:1.0.1.1.3.9.226.62&amp;idno=47" TargetMode="External"/><Relationship Id="rId75" Type="http://schemas.openxmlformats.org/officeDocument/2006/relationships/hyperlink" Target="http://monographs.iarc.fr/ENG/Monographs/vol102/mono102.pdf" TargetMode="External"/><Relationship Id="rId83" Type="http://schemas.openxmlformats.org/officeDocument/2006/relationships/hyperlink" Target="http://standards.ieee.org/findstds/standard/1528-2003.html" TargetMode="External"/><Relationship Id="rId88" Type="http://schemas.openxmlformats.org/officeDocument/2006/relationships/hyperlink" Target="http://www.itu.int/ITU-T/studygroups/com05/" TargetMode="External"/><Relationship Id="rId91" Type="http://schemas.openxmlformats.org/officeDocument/2006/relationships/hyperlink" Target="http://www.itu.int/ITU-T/recommendations/rec.aspx?rec=9140&amp;lang=en" TargetMode="External"/><Relationship Id="rId96" Type="http://schemas.openxmlformats.org/officeDocument/2006/relationships/hyperlink" Target="http://www.itu.int/rec/T-REC-K.91-201205-I" TargetMode="External"/><Relationship Id="rId111" Type="http://schemas.openxmlformats.org/officeDocument/2006/relationships/hyperlink" Target="http://whqlibdoc.who.int/publications/2007/9789241595612_eng.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miguel.alcaine@itu.int" TargetMode="External"/><Relationship Id="rId28" Type="http://schemas.openxmlformats.org/officeDocument/2006/relationships/header" Target="header7.xml"/><Relationship Id="rId36" Type="http://schemas.openxmlformats.org/officeDocument/2006/relationships/hyperlink" Target="http://www.dot.gov.in" TargetMode="External"/><Relationship Id="rId49" Type="http://schemas.openxmlformats.org/officeDocument/2006/relationships/hyperlink" Target="http://www.itu.int/md/D10-SG01-INF-0034/" TargetMode="External"/><Relationship Id="rId57" Type="http://schemas.openxmlformats.org/officeDocument/2006/relationships/hyperlink" Target="http://www.icnirp.org" TargetMode="External"/><Relationship Id="rId106" Type="http://schemas.openxmlformats.org/officeDocument/2006/relationships/hyperlink" Target="http://www.itu.int/worl2011" TargetMode="External"/><Relationship Id="rId114" Type="http://schemas.openxmlformats.org/officeDocument/2006/relationships/hyperlink" Target="http://www.who.int/docstore/peh-emf/EMFStandards/who-0102/Worldmap5.htm" TargetMode="Externa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chart" Target="charts/chart2.xml"/><Relationship Id="rId44" Type="http://schemas.openxmlformats.org/officeDocument/2006/relationships/package" Target="embeddings/Microsoft_Excel_Worksheet4.xlsx"/><Relationship Id="rId52" Type="http://schemas.openxmlformats.org/officeDocument/2006/relationships/hyperlink" Target="http://www.itu.int/md/D10-SG01-C-0135/" TargetMode="External"/><Relationship Id="rId60" Type="http://schemas.openxmlformats.org/officeDocument/2006/relationships/hyperlink" Target="http://www.cenelec.org" TargetMode="External"/><Relationship Id="rId65" Type="http://schemas.openxmlformats.org/officeDocument/2006/relationships/hyperlink" Target="http://transition.fcc.gov/Bureaus/Engineering_Technology/Documents/bulletins/oet65/oet65.pdf" TargetMode="External"/><Relationship Id="rId73" Type="http://schemas.openxmlformats.org/officeDocument/2006/relationships/hyperlink" Target="http://www.iarc.fr/en/media-centre/pr/2011/pdfs/pr208_E.pdf" TargetMode="External"/><Relationship Id="rId78" Type="http://schemas.openxmlformats.org/officeDocument/2006/relationships/hyperlink" Target="http://www.icnirp.de/documents/StatementEMF.pdf" TargetMode="External"/><Relationship Id="rId81" Type="http://schemas.openxmlformats.org/officeDocument/2006/relationships/hyperlink" Target="http://webstore.iec.ch/webstore/webstore.nsf/artnum/045152!opendocument" TargetMode="External"/><Relationship Id="rId86" Type="http://schemas.openxmlformats.org/officeDocument/2006/relationships/hyperlink" Target="http://www.itu.int/rec/R-REC-BS/recommendation.asp?lang=en&amp;parent=R-REC-BS.1698" TargetMode="External"/><Relationship Id="rId94" Type="http://schemas.openxmlformats.org/officeDocument/2006/relationships/hyperlink" Target="http://www.itu.int/rec/T-REC-K.70-201105-I!Amd2" TargetMode="External"/><Relationship Id="rId99" Type="http://schemas.openxmlformats.org/officeDocument/2006/relationships/hyperlink" Target="http://www.jmoe.org/download.php?file=13673436230.pdf&amp;nome=Volume%2012%20-%20Number%201%20-%20Estimating%20the%20Location%20of%20Maximum%20Exposure%20to%20Electromagnetic%20Fields%20Associated%20with%20a%20Radiocommunication%20Station.pdf" TargetMode="External"/><Relationship Id="rId101" Type="http://schemas.openxmlformats.org/officeDocument/2006/relationships/hyperlink" Target="http://www.itu.int/rec/dologin_pub.asp?lang=e&amp;id=T-REC-K.52-200412-I!!PDF-E&amp;type=items"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7.emf"/><Relationship Id="rId109" Type="http://schemas.openxmlformats.org/officeDocument/2006/relationships/hyperlink" Target="http://www.google.co.il/url?sa=t&amp;rct=j&amp;q=&amp;esrc=s&amp;frm=1&amp;source=web&amp;cd=1&amp;ved=0CB4QFjAA&amp;url=http%3A%2F%2Fwww.bakom.admin.ch%2Fdokumentation%2Fzahlen%2F00545%2F00547%2F00548%2Findex.html%3Fdownload%3DNHzLpZeg7t%2Clnp6I0NTU042l2Z6ln1ad1IZn4Z2qZpnO2Yuq2Z6gpJCDdH17f2ym162epYbg2c_JjKbNoKSn6A--%26lang%3Den&amp;ei=WbE3ULXVCpHbsgbWiYGoDA&amp;usg=AFQjCNFuJG5xOzk810Klg1-bnuVDTGjpjA&amp;sig2=8YVPSTt9ddkxjJl8D-HZ4w" TargetMode="External"/><Relationship Id="rId34" Type="http://schemas.openxmlformats.org/officeDocument/2006/relationships/hyperlink" Target="http://www.dot.gov.in/2013/DOT%20Advt%20modified%201%20Dec%202012-final-hindi%20version.pdf" TargetMode="External"/><Relationship Id="rId50" Type="http://schemas.openxmlformats.org/officeDocument/2006/relationships/hyperlink" Target="http://www.itu.int/md/D10-SG01-C-0088/" TargetMode="External"/><Relationship Id="rId55" Type="http://schemas.openxmlformats.org/officeDocument/2006/relationships/hyperlink" Target="http://www.itu.int/md/D10-SG01-C-0228/" TargetMode="External"/><Relationship Id="rId76" Type="http://schemas.openxmlformats.org/officeDocument/2006/relationships/hyperlink" Target="http://monographs.iarc.fr/ENG/Monographs/vol102/index.php" TargetMode="External"/><Relationship Id="rId97" Type="http://schemas.openxmlformats.org/officeDocument/2006/relationships/hyperlink" Target="http://www.who.int/docstore/peh-emf/EMFStandards/who-0102/Asia/Japan_files/table_ja.htm" TargetMode="External"/><Relationship Id="rId104" Type="http://schemas.openxmlformats.org/officeDocument/2006/relationships/hyperlink" Target="http://www.mtt-tpms.org/symposia_v6/COMCAS2009/fileuploads/292-JI4GGWYnIdKk-2.pdf"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transition.fcc.gov/Daily_Releases/Daily_Business/2013/db0329/FCC-13-39A1.pdf" TargetMode="External"/><Relationship Id="rId92" Type="http://schemas.openxmlformats.org/officeDocument/2006/relationships/hyperlink" Target="http://www.itu.int/rec/T-REC-K.70-201105-I!Amd2" TargetMode="External"/><Relationship Id="rId2" Type="http://schemas.openxmlformats.org/officeDocument/2006/relationships/numbering" Target="numbering.xml"/><Relationship Id="rId29"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ITU-D/CDS/sg/rgqlist.asp?lg=1&amp;sp=2010&amp;rgq=D10-RGQ23.1&amp;stg=1" TargetMode="External"/><Relationship Id="rId3" Type="http://schemas.openxmlformats.org/officeDocument/2006/relationships/hyperlink" Target="http://www.itu.int/pub/T-RES-T.72-2012" TargetMode="External"/><Relationship Id="rId7" Type="http://schemas.openxmlformats.org/officeDocument/2006/relationships/hyperlink" Target="http://www.itu.int/md/D10-RGQ23.1-INF-0004/" TargetMode="External"/><Relationship Id="rId2" Type="http://schemas.openxmlformats.org/officeDocument/2006/relationships/hyperlink" Target="http://www.itu.int/ITU-D/study_groups/SGP_2010-2014/doc/rgq/2010/D10-RGQ23.1-en.pdf" TargetMode="External"/><Relationship Id="rId1" Type="http://schemas.openxmlformats.org/officeDocument/2006/relationships/hyperlink" Target="http://eprints.mdx.ac.uk/133/2/MazarAug08.pdf" TargetMode="External"/><Relationship Id="rId6" Type="http://schemas.openxmlformats.org/officeDocument/2006/relationships/hyperlink" Target="http://www.icnirp.de/documents/emfgdl.pdf" TargetMode="External"/><Relationship Id="rId5" Type="http://schemas.openxmlformats.org/officeDocument/2006/relationships/hyperlink" Target="http://www.itu.int/pub/S-CONF-ACTF-2010/en" TargetMode="External"/><Relationship Id="rId4" Type="http://schemas.openxmlformats.org/officeDocument/2006/relationships/hyperlink" Target="http://www.itu.int/ITU-D/conferences/wtdc/2010/pdf/WTDC10_DraftPreliminaryReport.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y%20Documents\BOOK\Agregate5_3Yuva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My%20Documents\BOOK\Agregate5_3Yuv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80272864664965"/>
          <c:y val="0.11209739958975694"/>
          <c:w val="0.8457798911988067"/>
          <c:h val="0.71641791044776049"/>
        </c:manualLayout>
      </c:layout>
      <c:scatterChart>
        <c:scatterStyle val="lineMarker"/>
        <c:varyColors val="0"/>
        <c:ser>
          <c:idx val="0"/>
          <c:order val="0"/>
          <c:tx>
            <c:v>occupational</c:v>
          </c:tx>
          <c:spPr>
            <a:ln w="19050">
              <a:solidFill>
                <a:srgbClr val="006600"/>
              </a:solidFill>
              <a:prstDash val="sysDash"/>
            </a:ln>
          </c:spPr>
          <c:marker>
            <c:symbol val="diamond"/>
            <c:size val="8"/>
            <c:spPr>
              <a:solidFill>
                <a:srgbClr val="000080"/>
              </a:solidFill>
              <a:ln>
                <a:solidFill>
                  <a:srgbClr val="000080"/>
                </a:solidFill>
                <a:prstDash val="solid"/>
              </a:ln>
            </c:spPr>
          </c:marker>
          <c:dPt>
            <c:idx val="5"/>
            <c:bubble3D val="0"/>
            <c:spPr>
              <a:ln w="19050">
                <a:solidFill>
                  <a:srgbClr val="006600"/>
                </a:solidFill>
                <a:prstDash val="sysDot"/>
              </a:ln>
            </c:spPr>
          </c:dPt>
          <c:dLbls>
            <c:dLbl>
              <c:idx val="2"/>
              <c:delete val="1"/>
            </c:dLbl>
            <c:dLbl>
              <c:idx val="3"/>
              <c:delete val="1"/>
            </c:dLbl>
            <c:dLbl>
              <c:idx val="7"/>
              <c:delete val="1"/>
            </c:dLbl>
            <c:spPr>
              <a:noFill/>
              <a:ln w="25400">
                <a:noFill/>
              </a:ln>
            </c:spPr>
            <c:txPr>
              <a:bodyPr/>
              <a:lstStyle/>
              <a:p>
                <a:pPr>
                  <a:defRPr lang="he-IL"/>
                </a:pPr>
                <a:endParaRPr lang="en-US"/>
              </a:p>
            </c:txPr>
            <c:dLblPos val="b"/>
            <c:showLegendKey val="0"/>
            <c:showVal val="1"/>
            <c:showCatName val="0"/>
            <c:showSerName val="0"/>
            <c:showPercent val="0"/>
            <c:showBubbleSize val="0"/>
            <c:showLeaderLines val="0"/>
          </c:dLbls>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
          <c:order val="1"/>
          <c:tx>
            <c:v>general public</c:v>
          </c:tx>
          <c:spPr>
            <a:ln w="19050"/>
          </c:spPr>
          <c:dLbls>
            <c:dLbl>
              <c:idx val="2"/>
              <c:layout>
                <c:manualLayout>
                  <c:x val="-2.4912112880336016E-2"/>
                  <c:y val="-5.331782178512158E-2"/>
                </c:manualLayout>
              </c:layout>
              <c:dLblPos val="r"/>
              <c:showLegendKey val="0"/>
              <c:showVal val="1"/>
              <c:showCatName val="0"/>
              <c:showSerName val="0"/>
              <c:showPercent val="0"/>
              <c:showBubbleSize val="0"/>
            </c:dLbl>
            <c:dLbl>
              <c:idx val="3"/>
              <c:delete val="1"/>
            </c:dLbl>
            <c:dLbl>
              <c:idx val="4"/>
              <c:delete val="1"/>
            </c:dLbl>
            <c:spPr>
              <a:noFill/>
              <a:ln w="25400">
                <a:noFill/>
              </a:ln>
            </c:spPr>
            <c:txPr>
              <a:bodyPr/>
              <a:lstStyle/>
              <a:p>
                <a:pPr>
                  <a:defRPr lang="he-IL"/>
                </a:pPr>
                <a:endParaRPr lang="en-US"/>
              </a:p>
            </c:txPr>
            <c:dLblPos val="t"/>
            <c:showLegendKey val="0"/>
            <c:showVal val="1"/>
            <c:showCatName val="0"/>
            <c:showSerName val="0"/>
            <c:showPercent val="0"/>
            <c:showBubbleSize val="0"/>
            <c:showLeaderLines val="0"/>
          </c:dLbls>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
          <c:order val="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
          <c:order val="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4"/>
          <c:order val="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5"/>
          <c:order val="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6"/>
          <c:order val="6"/>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7"/>
          <c:order val="7"/>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8"/>
          <c:order val="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9"/>
          <c:order val="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0"/>
          <c:order val="1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1"/>
          <c:order val="1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2"/>
          <c:order val="1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3"/>
          <c:order val="1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4"/>
          <c:order val="1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5"/>
          <c:order val="1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6"/>
          <c:order val="16"/>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17"/>
          <c:order val="17"/>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18"/>
          <c:order val="1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9"/>
          <c:order val="1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0"/>
          <c:order val="2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1"/>
          <c:order val="2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2"/>
          <c:order val="2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3"/>
          <c:order val="2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4"/>
          <c:order val="2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5"/>
          <c:order val="2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6"/>
          <c:order val="26"/>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7"/>
          <c:order val="27"/>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8"/>
          <c:order val="2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9"/>
          <c:order val="2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0"/>
          <c:order val="3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1"/>
          <c:order val="3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2"/>
          <c:order val="32"/>
          <c:tx>
            <c:v>occupational</c:v>
          </c:tx>
          <c:spPr>
            <a:ln w="19050">
              <a:solidFill>
                <a:srgbClr val="006600"/>
              </a:solidFill>
              <a:prstDash val="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3"/>
          <c:order val="33"/>
          <c:tx>
            <c:v>general public</c:v>
          </c:tx>
          <c:spPr>
            <a:ln w="19050">
              <a:solidFill>
                <a:srgbClr val="C00000"/>
              </a:solidFill>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4"/>
          <c:order val="34"/>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35"/>
          <c:order val="35"/>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dLbls>
          <c:showLegendKey val="0"/>
          <c:showVal val="0"/>
          <c:showCatName val="0"/>
          <c:showSerName val="0"/>
          <c:showPercent val="0"/>
          <c:showBubbleSize val="0"/>
        </c:dLbls>
        <c:axId val="115738880"/>
        <c:axId val="130340352"/>
      </c:scatterChart>
      <c:valAx>
        <c:axId val="115738880"/>
        <c:scaling>
          <c:logBase val="10"/>
          <c:orientation val="minMax"/>
        </c:scaling>
        <c:delete val="1"/>
        <c:axPos val="b"/>
        <c:majorGridlines>
          <c:spPr>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ash"/>
            </a:ln>
          </c:spPr>
        </c:majorGridlines>
        <c:title>
          <c:tx>
            <c:rich>
              <a:bodyPr/>
              <a:lstStyle/>
              <a:p>
                <a:pPr>
                  <a:defRPr lang="he-IL"/>
                </a:pPr>
                <a:r>
                  <a:rPr lang="en-US"/>
                  <a:t>Frequency</a:t>
                </a:r>
              </a:p>
            </c:rich>
          </c:tx>
          <c:layout>
            <c:manualLayout>
              <c:xMode val="edge"/>
              <c:yMode val="edge"/>
              <c:x val="0.44062682268883102"/>
              <c:y val="0.92808980192354862"/>
            </c:manualLayout>
          </c:layout>
          <c:overlay val="0"/>
          <c:spPr>
            <a:noFill/>
            <a:ln w="25400">
              <a:noFill/>
            </a:ln>
          </c:spPr>
        </c:title>
        <c:numFmt formatCode="General" sourceLinked="0"/>
        <c:majorTickMark val="in"/>
        <c:minorTickMark val="in"/>
        <c:tickLblPos val="none"/>
        <c:crossAx val="130340352"/>
        <c:crossesAt val="1"/>
        <c:crossBetween val="midCat"/>
      </c:valAx>
      <c:valAx>
        <c:axId val="130340352"/>
        <c:scaling>
          <c:logBase val="10"/>
          <c:orientation val="minMax"/>
          <c:max val="50000"/>
        </c:scaling>
        <c:delete val="0"/>
        <c:axPos val="l"/>
        <c:title>
          <c:tx>
            <c:rich>
              <a:bodyPr/>
              <a:lstStyle/>
              <a:p>
                <a:pPr>
                  <a:defRPr lang="he-IL"/>
                </a:pPr>
                <a:r>
                  <a:rPr lang="en-US"/>
                  <a:t>E(v/m)</a:t>
                </a:r>
              </a:p>
            </c:rich>
          </c:tx>
          <c:layout>
            <c:manualLayout>
              <c:xMode val="edge"/>
              <c:yMode val="edge"/>
              <c:x val="2.5974085255153406E-2"/>
              <c:y val="0.37313442503491784"/>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a:pPr>
            <a:endParaRPr lang="en-US"/>
          </a:p>
        </c:txPr>
        <c:crossAx val="115738880"/>
        <c:crosses val="autoZero"/>
        <c:crossBetween val="midCat"/>
      </c:valAx>
      <c:spPr>
        <a:noFill/>
        <a:ln w="12700">
          <a:solidFill>
            <a:srgbClr val="808080"/>
          </a:solidFill>
          <a:prstDash val="solid"/>
        </a:ln>
      </c:spPr>
    </c:plotArea>
    <c:plotVisOnly val="1"/>
    <c:dispBlanksAs val="gap"/>
    <c:showDLblsOverMax val="0"/>
  </c:chart>
  <c:spPr>
    <a:solidFill>
      <a:srgbClr val="FFFFFF"/>
    </a:solidFill>
    <a:ln w="3175">
      <a:solidFill>
        <a:srgbClr val="006600"/>
      </a:solidFill>
      <a:prstDash val="solid"/>
    </a:ln>
  </c:spPr>
  <c:txPr>
    <a:bodyPr/>
    <a:lstStyle/>
    <a:p>
      <a:pPr>
        <a:defRPr sz="975"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531787693205007E-2"/>
          <c:y val="7.9445462041989892E-2"/>
          <c:w val="0.88026372344246007"/>
          <c:h val="0.71391842420871365"/>
        </c:manualLayout>
      </c:layout>
      <c:scatterChart>
        <c:scatterStyle val="lineMarker"/>
        <c:varyColors val="0"/>
        <c:ser>
          <c:idx val="1"/>
          <c:order val="0"/>
          <c:tx>
            <c:strRef>
              <c:f>'ICNIRP levels'!$E$68</c:f>
              <c:strCache>
                <c:ptCount val="1"/>
                <c:pt idx="0">
                  <c:v>general public exposure</c:v>
                </c:pt>
              </c:strCache>
            </c:strRef>
          </c:tx>
          <c:spPr>
            <a:ln w="19050">
              <a:solidFill>
                <a:srgbClr val="006600"/>
              </a:solidFill>
              <a:prstDash val="dash"/>
            </a:ln>
          </c:spPr>
          <c:dLbls>
            <c:spPr>
              <a:noFill/>
              <a:ln w="25400">
                <a:noFill/>
              </a:ln>
            </c:spPr>
            <c:txPr>
              <a:bodyPr/>
              <a:lstStyle/>
              <a:p>
                <a:pPr>
                  <a:defRPr lang="he-IL"/>
                </a:pPr>
                <a:endParaRPr lang="en-US"/>
              </a:p>
            </c:txPr>
            <c:dLblPos val="b"/>
            <c:showLegendKey val="0"/>
            <c:showVal val="1"/>
            <c:showCatName val="1"/>
            <c:showSerName val="0"/>
            <c:showPercent val="0"/>
            <c:showBubbleSize val="0"/>
            <c:showLeaderLines val="0"/>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levels'!$C$36:$F$36</c:f>
              <c:numCache>
                <c:formatCode>_(* #,##0_);_(* \(#,##0\);_(* "-"_);_(@_)</c:formatCode>
                <c:ptCount val="4"/>
                <c:pt idx="0">
                  <c:v>2</c:v>
                </c:pt>
                <c:pt idx="1">
                  <c:v>2</c:v>
                </c:pt>
                <c:pt idx="2" formatCode="General">
                  <c:v>10</c:v>
                </c:pt>
                <c:pt idx="3" formatCode="General">
                  <c:v>10</c:v>
                </c:pt>
              </c:numCache>
            </c:numRef>
          </c:yVal>
          <c:smooth val="0"/>
        </c:ser>
        <c:ser>
          <c:idx val="0"/>
          <c:order val="1"/>
          <c:tx>
            <c:strRef>
              <c:f>'ICNIRP levels'!$E$69</c:f>
              <c:strCache>
                <c:ptCount val="1"/>
                <c:pt idx="0">
                  <c:v>occupational  exposure</c:v>
                </c:pt>
              </c:strCache>
            </c:strRef>
          </c:tx>
          <c:spPr>
            <a:ln w="19050">
              <a:solidFill>
                <a:srgbClr val="FF0000"/>
              </a:solidFill>
            </a:ln>
          </c:spPr>
          <c:dLbls>
            <c:spPr>
              <a:noFill/>
              <a:ln w="25400">
                <a:noFill/>
              </a:ln>
            </c:spPr>
            <c:txPr>
              <a:bodyPr/>
              <a:lstStyle/>
              <a:p>
                <a:pPr>
                  <a:defRPr lang="he-IL"/>
                </a:pPr>
                <a:endParaRPr lang="en-US"/>
              </a:p>
            </c:txPr>
            <c:dLblPos val="b"/>
            <c:showLegendKey val="0"/>
            <c:showVal val="1"/>
            <c:showCatName val="0"/>
            <c:showSerName val="0"/>
            <c:showPercent val="0"/>
            <c:showBubbleSize val="0"/>
            <c:separator>, </c:separator>
            <c:showLeaderLines val="0"/>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levels'!$C$37:$F$37</c:f>
              <c:numCache>
                <c:formatCode>General</c:formatCode>
                <c:ptCount val="4"/>
                <c:pt idx="0">
                  <c:v>10</c:v>
                </c:pt>
                <c:pt idx="1">
                  <c:v>10</c:v>
                </c:pt>
                <c:pt idx="2">
                  <c:v>50</c:v>
                </c:pt>
                <c:pt idx="3">
                  <c:v>50</c:v>
                </c:pt>
              </c:numCache>
            </c:numRef>
          </c:yVal>
          <c:smooth val="0"/>
        </c:ser>
        <c:dLbls>
          <c:showLegendKey val="0"/>
          <c:showVal val="0"/>
          <c:showCatName val="0"/>
          <c:showSerName val="0"/>
          <c:showPercent val="0"/>
          <c:showBubbleSize val="0"/>
        </c:dLbls>
        <c:axId val="155787264"/>
        <c:axId val="155790336"/>
      </c:scatterChart>
      <c:valAx>
        <c:axId val="155787264"/>
        <c:scaling>
          <c:logBase val="10"/>
          <c:orientation val="minMax"/>
          <c:min val="10"/>
        </c:scaling>
        <c:delete val="0"/>
        <c:axPos val="b"/>
        <c:majorGridlines>
          <c:spPr>
            <a:ln w="3175">
              <a:solidFill>
                <a:srgbClr val="000000"/>
              </a:solidFill>
              <a:prstDash val="sysDash"/>
            </a:ln>
          </c:spPr>
        </c:majorGridlines>
        <c:title>
          <c:tx>
            <c:rich>
              <a:bodyPr/>
              <a:lstStyle/>
              <a:p>
                <a:pPr>
                  <a:defRPr lang="he-IL"/>
                </a:pPr>
                <a:r>
                  <a:rPr lang="en-US"/>
                  <a:t>Frequency (MHz)</a:t>
                </a:r>
              </a:p>
            </c:rich>
          </c:tx>
          <c:layout>
            <c:manualLayout>
              <c:xMode val="edge"/>
              <c:yMode val="edge"/>
              <c:x val="0.43831205967675202"/>
              <c:y val="0.8865672125174584"/>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sz="975" b="0" i="0" u="none" strike="noStrike" baseline="0">
                <a:solidFill>
                  <a:srgbClr val="000000"/>
                </a:solidFill>
                <a:latin typeface="Arial"/>
                <a:ea typeface="Arial"/>
                <a:cs typeface="Arial"/>
              </a:defRPr>
            </a:pPr>
            <a:endParaRPr lang="en-US"/>
          </a:p>
        </c:txPr>
        <c:crossAx val="155790336"/>
        <c:crosses val="autoZero"/>
        <c:crossBetween val="midCat"/>
        <c:minorUnit val="10"/>
      </c:valAx>
      <c:valAx>
        <c:axId val="155790336"/>
        <c:scaling>
          <c:logBase val="10"/>
          <c:orientation val="minMax"/>
          <c:max val="100"/>
        </c:scaling>
        <c:delete val="0"/>
        <c:axPos val="l"/>
        <c:title>
          <c:tx>
            <c:rich>
              <a:bodyPr/>
              <a:lstStyle/>
              <a:p>
                <a:pPr>
                  <a:defRPr lang="he-IL" sz="1000"/>
                </a:pPr>
                <a:r>
                  <a:rPr lang="en-US" sz="1000"/>
                  <a:t>Power    Density (W/m</a:t>
                </a:r>
                <a:r>
                  <a:rPr lang="en-US" sz="1000" baseline="30000"/>
                  <a:t>2</a:t>
                </a:r>
                <a:r>
                  <a:rPr lang="en-US" sz="1000"/>
                  <a:t>)</a:t>
                </a:r>
              </a:p>
            </c:rich>
          </c:tx>
          <c:layout>
            <c:manualLayout>
              <c:xMode val="edge"/>
              <c:yMode val="edge"/>
              <c:x val="2.102107028288139E-3"/>
              <c:y val="0.11093714652674903"/>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sz="800"/>
            </a:pPr>
            <a:endParaRPr lang="en-US"/>
          </a:p>
        </c:txPr>
        <c:crossAx val="155787264"/>
        <c:crosses val="autoZero"/>
        <c:crossBetween val="midCat"/>
        <c:majorUnit val="1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Times New Roman" pitchFamily="18" charset="0"/>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0.81535</cdr:x>
      <cdr:y>0.67291</cdr:y>
    </cdr:from>
    <cdr:to>
      <cdr:x>0.95917</cdr:x>
      <cdr:y>0.73099</cdr:y>
    </cdr:to>
    <cdr:sp macro="" textlink="">
      <cdr:nvSpPr>
        <cdr:cNvPr id="23553" name="Text Box 1"/>
        <cdr:cNvSpPr txBox="1">
          <a:spLocks xmlns:a="http://schemas.openxmlformats.org/drawingml/2006/main" noChangeArrowheads="1"/>
        </cdr:cNvSpPr>
      </cdr:nvSpPr>
      <cdr:spPr bwMode="auto">
        <a:xfrm xmlns:a="http://schemas.openxmlformats.org/drawingml/2006/main">
          <a:off x="5906235" y="2444133"/>
          <a:ext cx="1041770" cy="21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r" rtl="0">
            <a:defRPr sz="1000"/>
          </a:pPr>
          <a:r>
            <a:rPr lang="en-GB" sz="1200">
              <a:solidFill>
                <a:srgbClr val="006600"/>
              </a:solidFill>
              <a:effectLst/>
              <a:latin typeface="+mn-lt"/>
              <a:ea typeface="+mn-ea"/>
              <a:cs typeface="+mn-cs"/>
            </a:rPr>
            <a:t>public exposure</a:t>
          </a:r>
          <a:endParaRPr lang="en-US" sz="1200">
            <a:solidFill>
              <a:srgbClr val="006600"/>
            </a:solidFill>
          </a:endParaRPr>
        </a:p>
      </cdr:txBody>
    </cdr:sp>
  </cdr:relSizeAnchor>
  <cdr:relSizeAnchor xmlns:cdr="http://schemas.openxmlformats.org/drawingml/2006/chartDrawing">
    <cdr:from>
      <cdr:x>0.76307</cdr:x>
      <cdr:y>0.2302</cdr:y>
    </cdr:from>
    <cdr:to>
      <cdr:x>0.96111</cdr:x>
      <cdr:y>0.28828</cdr:y>
    </cdr:to>
    <cdr:sp macro="" textlink="">
      <cdr:nvSpPr>
        <cdr:cNvPr id="4" name="Text Box 1"/>
        <cdr:cNvSpPr txBox="1">
          <a:spLocks xmlns:a="http://schemas.openxmlformats.org/drawingml/2006/main" noChangeArrowheads="1"/>
        </cdr:cNvSpPr>
      </cdr:nvSpPr>
      <cdr:spPr bwMode="auto">
        <a:xfrm xmlns:a="http://schemas.openxmlformats.org/drawingml/2006/main">
          <a:off x="5527523" y="836143"/>
          <a:ext cx="1434560" cy="21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0">
            <a:defRPr sz="1000"/>
          </a:pPr>
          <a:r>
            <a:rPr lang="en-GB" sz="1200">
              <a:solidFill>
                <a:srgbClr val="FF0000"/>
              </a:solidFill>
              <a:effectLst/>
              <a:latin typeface="+mn-lt"/>
              <a:ea typeface="+mn-ea"/>
              <a:cs typeface="+mn-cs"/>
            </a:rPr>
            <a:t>occupational exposure</a:t>
          </a:r>
          <a:endParaRPr lang="en-US" sz="1200">
            <a:solidFill>
              <a:srgbClr val="FF0000"/>
            </a:solidFill>
          </a:endParaRPr>
        </a:p>
      </cdr:txBody>
    </cdr:sp>
  </cdr:relSizeAnchor>
  <cdr:relSizeAnchor xmlns:cdr="http://schemas.openxmlformats.org/drawingml/2006/chartDrawing">
    <cdr:from>
      <cdr:x>0.11352</cdr:x>
      <cdr:y>0.88127</cdr:y>
    </cdr:from>
    <cdr:to>
      <cdr:x>0.16562</cdr:x>
      <cdr:y>0.94651</cdr:y>
    </cdr:to>
    <cdr:sp macro="" textlink="">
      <cdr:nvSpPr>
        <cdr:cNvPr id="6" name="Text Box 2"/>
        <cdr:cNvSpPr txBox="1">
          <a:spLocks xmlns:a="http://schemas.openxmlformats.org/drawingml/2006/main" noChangeArrowheads="1"/>
        </cdr:cNvSpPr>
      </cdr:nvSpPr>
      <cdr:spPr bwMode="auto">
        <a:xfrm xmlns:a="http://schemas.openxmlformats.org/drawingml/2006/main">
          <a:off x="622815" y="24258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0.12278</cdr:x>
      <cdr:y>0.89972</cdr:y>
    </cdr:from>
    <cdr:to>
      <cdr:x>0.17488</cdr:x>
      <cdr:y>0.96497</cdr:y>
    </cdr:to>
    <cdr:sp macro="" textlink="">
      <cdr:nvSpPr>
        <cdr:cNvPr id="7" name="Text Box 2"/>
        <cdr:cNvSpPr txBox="1">
          <a:spLocks xmlns:a="http://schemas.openxmlformats.org/drawingml/2006/main" noChangeArrowheads="1"/>
        </cdr:cNvSpPr>
      </cdr:nvSpPr>
      <cdr:spPr bwMode="auto">
        <a:xfrm xmlns:a="http://schemas.openxmlformats.org/drawingml/2006/main">
          <a:off x="673615" y="24766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0.11352</cdr:x>
      <cdr:y>0.88127</cdr:y>
    </cdr:from>
    <cdr:to>
      <cdr:x>0.16562</cdr:x>
      <cdr:y>0.94651</cdr:y>
    </cdr:to>
    <cdr:sp macro="" textlink="">
      <cdr:nvSpPr>
        <cdr:cNvPr id="8" name="Text Box 2"/>
        <cdr:cNvSpPr txBox="1">
          <a:spLocks xmlns:a="http://schemas.openxmlformats.org/drawingml/2006/main" noChangeArrowheads="1"/>
        </cdr:cNvSpPr>
      </cdr:nvSpPr>
      <cdr:spPr bwMode="auto">
        <a:xfrm xmlns:a="http://schemas.openxmlformats.org/drawingml/2006/main">
          <a:off x="622815" y="24258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xml><?xml version="1.0" encoding="utf-8"?>
<c:userShapes xmlns:c="http://schemas.openxmlformats.org/drawingml/2006/chart">
  <cdr:relSizeAnchor xmlns:cdr="http://schemas.openxmlformats.org/drawingml/2006/chartDrawing">
    <cdr:from>
      <cdr:x>0.74672</cdr:x>
      <cdr:y>0.53846</cdr:y>
    </cdr:from>
    <cdr:to>
      <cdr:x>0.94572</cdr:x>
      <cdr:y>0.69783</cdr:y>
    </cdr:to>
    <cdr:sp macro="" textlink="">
      <cdr:nvSpPr>
        <cdr:cNvPr id="2" name="Text Box 1"/>
        <cdr:cNvSpPr txBox="1"/>
      </cdr:nvSpPr>
      <cdr:spPr>
        <a:xfrm xmlns:a="http://schemas.openxmlformats.org/drawingml/2006/main">
          <a:off x="4096811" y="1475740"/>
          <a:ext cx="1091774" cy="436786"/>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solidFill>
                <a:srgbClr val="006600"/>
              </a:solidFill>
              <a:effectLst/>
              <a:latin typeface="+mn-lt"/>
              <a:ea typeface="+mn-ea"/>
              <a:cs typeface="+mn-cs"/>
            </a:rPr>
            <a:t>public</a:t>
          </a:r>
          <a:r>
            <a:rPr lang="en-US" sz="1100">
              <a:effectLst/>
              <a:latin typeface="+mn-lt"/>
              <a:ea typeface="+mn-ea"/>
              <a:cs typeface="+mn-cs"/>
            </a:rPr>
            <a:t> </a:t>
          </a:r>
          <a:r>
            <a:rPr lang="en-US" sz="1100">
              <a:solidFill>
                <a:srgbClr val="006600"/>
              </a:solidFill>
              <a:effectLst/>
              <a:latin typeface="+mn-lt"/>
              <a:ea typeface="+mn-ea"/>
              <a:cs typeface="+mn-cs"/>
            </a:rPr>
            <a:t>exposure</a:t>
          </a:r>
        </a:p>
        <a:p xmlns:a="http://schemas.openxmlformats.org/drawingml/2006/main">
          <a:endParaRPr lang="en-US" sz="1100"/>
        </a:p>
      </cdr:txBody>
    </cdr:sp>
  </cdr:relSizeAnchor>
  <cdr:relSizeAnchor xmlns:cdr="http://schemas.openxmlformats.org/drawingml/2006/chartDrawing">
    <cdr:from>
      <cdr:x>0.67033</cdr:x>
      <cdr:y>0.0797</cdr:y>
    </cdr:from>
    <cdr:to>
      <cdr:x>0.94637</cdr:x>
      <cdr:y>0.17623</cdr:y>
    </cdr:to>
    <cdr:sp macro="" textlink="">
      <cdr:nvSpPr>
        <cdr:cNvPr id="3" name="Text Box 2"/>
        <cdr:cNvSpPr txBox="1"/>
      </cdr:nvSpPr>
      <cdr:spPr>
        <a:xfrm xmlns:a="http://schemas.openxmlformats.org/drawingml/2006/main">
          <a:off x="3677707" y="218440"/>
          <a:ext cx="1514453" cy="264560"/>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algn="r"/>
          <a:r>
            <a:rPr lang="en-US" sz="1100">
              <a:solidFill>
                <a:srgbClr val="FF0000"/>
              </a:solidFill>
              <a:effectLst/>
              <a:latin typeface="+mn-lt"/>
              <a:ea typeface="+mn-ea"/>
              <a:cs typeface="+mn-cs"/>
            </a:rPr>
            <a:t>occupational  exposure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EA476-1761-4BF4-BAC5-A5EDBAF31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61</Pages>
  <Words>21148</Words>
  <Characters>120550</Characters>
  <Application>Microsoft Office Word</Application>
  <DocSecurity>0</DocSecurity>
  <Lines>1004</Lines>
  <Paragraphs>282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Title of the report</vt:lpstr>
      <vt:lpstr>HIPCAR Model Policy Guidelines and Legislative Text: Access to Public Information (Freedom of Information)</vt:lpstr>
    </vt:vector>
  </TitlesOfParts>
  <Company>ITU</Company>
  <LinksUpToDate>false</LinksUpToDate>
  <CharactersWithSpaces>141416</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report</dc:title>
  <dc:subject>ITU/EU-funded HIPCAR project</dc:subject>
  <dc:creator>Al-Yammouni, Hala</dc:creator>
  <cp:lastModifiedBy>Clausel, Magali</cp:lastModifiedBy>
  <cp:revision>78</cp:revision>
  <cp:lastPrinted>2014-01-16T13:28:00Z</cp:lastPrinted>
  <dcterms:created xsi:type="dcterms:W3CDTF">2013-12-18T16:23:00Z</dcterms:created>
  <dcterms:modified xsi:type="dcterms:W3CDTF">2014-01-17T14:53:00Z</dcterms:modified>
</cp:coreProperties>
</file>