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E77D08" w:rsidRDefault="00C729F1" w:rsidP="00AC276A">
      <w:pPr>
        <w:pStyle w:val="Tablesource"/>
        <w:rPr>
          <w:lang w:val="es-ES_tradnl"/>
        </w:rPr>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CF3C51" w:rsidRDefault="00CF3C51" w:rsidP="00013F68">
      <w:pPr>
        <w:pStyle w:val="QuestionNo"/>
        <w:rPr>
          <w:lang w:val="es-ES_tradnl"/>
        </w:rPr>
      </w:pPr>
      <w:bookmarkStart w:id="4" w:name="_Toc360171154"/>
      <w:bookmarkEnd w:id="0"/>
      <w:bookmarkEnd w:id="1"/>
      <w:r w:rsidRPr="00CF3C51">
        <w:rPr>
          <w:lang w:val="es-ES_tradnl"/>
        </w:rPr>
        <w:t xml:space="preserve">CUESTIÓN </w:t>
      </w:r>
      <w:r w:rsidR="00013F68">
        <w:rPr>
          <w:lang w:val="es-ES_tradnl"/>
        </w:rPr>
        <w:t>9-3</w:t>
      </w:r>
      <w:r w:rsidR="00C729F1" w:rsidRPr="00CF3C51">
        <w:rPr>
          <w:lang w:val="es-ES_tradnl"/>
        </w:rPr>
        <w:t>/</w:t>
      </w:r>
      <w:r w:rsidR="005916D3" w:rsidRPr="00CF3C51">
        <w:rPr>
          <w:lang w:val="es-ES_tradnl"/>
        </w:rPr>
        <w:t>2</w:t>
      </w:r>
      <w:r w:rsidR="00C729F1" w:rsidRPr="00CF3C51">
        <w:rPr>
          <w:lang w:val="es-ES_tradnl"/>
        </w:rPr>
        <w:t>:</w:t>
      </w:r>
      <w:bookmarkEnd w:id="4"/>
    </w:p>
    <w:p w:rsidR="00C729F1" w:rsidRPr="00CF3C51" w:rsidRDefault="00013F68" w:rsidP="006570A8">
      <w:pPr>
        <w:pStyle w:val="QuestionTitle"/>
        <w:rPr>
          <w:lang w:val="es-ES_tradnl"/>
        </w:rPr>
      </w:pPr>
      <w:r w:rsidRPr="00A96787">
        <w:rPr>
          <w:lang w:val="es-ES"/>
        </w:rPr>
        <w:t>Identificación de los temas que estudian las Comisiones de Estudio del UIT</w:t>
      </w:r>
      <w:r w:rsidRPr="00A96787">
        <w:rPr>
          <w:lang w:val="es-ES"/>
        </w:rPr>
        <w:noBreakHyphen/>
        <w:t xml:space="preserve">T y el UIT-R que son de particular interés para </w:t>
      </w:r>
      <w:r>
        <w:rPr>
          <w:lang w:val="es-ES"/>
        </w:rPr>
        <w:br/>
      </w:r>
      <w:r w:rsidRPr="00A96787">
        <w:rPr>
          <w:lang w:val="es-ES"/>
        </w:rPr>
        <w:t>los países en desarrollo</w:t>
      </w:r>
    </w:p>
    <w:p w:rsidR="004A3FC4" w:rsidRPr="00CF3C51" w:rsidRDefault="004A3FC4" w:rsidP="00F859AE">
      <w:pPr>
        <w:rPr>
          <w:sz w:val="28"/>
          <w:szCs w:val="18"/>
          <w:lang w:val="es-ES_tradnl"/>
        </w:rPr>
      </w:pPr>
    </w:p>
    <w:p w:rsidR="008B2896" w:rsidRPr="00CF3C51" w:rsidRDefault="008B2896" w:rsidP="008B2896">
      <w:pPr>
        <w:pStyle w:val="Chapttitle"/>
        <w:spacing w:before="240"/>
        <w:jc w:val="right"/>
        <w:rPr>
          <w:i/>
          <w:iCs/>
          <w:color w:val="auto"/>
          <w:sz w:val="24"/>
          <w:szCs w:val="18"/>
          <w:lang w:val="es-ES_tradnl"/>
        </w:rPr>
      </w:pPr>
    </w:p>
    <w:bookmarkEnd w:id="2"/>
    <w:bookmarkEnd w:id="3"/>
    <w:p w:rsidR="00B824FE" w:rsidRPr="00CF3C51"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CF3C51" w:rsidRDefault="00B824FE"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noProof/>
          <w:u w:color="E36C0A"/>
          <w:lang w:val="es-ES_tradnl" w:eastAsia="zh-CN"/>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C7150D" w:rsidRPr="00CF3C51" w:rsidRDefault="00C7150D" w:rsidP="00C7150D">
      <w:pPr>
        <w:rPr>
          <w:u w:color="E36C0A"/>
          <w:lang w:val="es-ES_tradnl"/>
        </w:rPr>
      </w:pPr>
    </w:p>
    <w:p w:rsidR="0080173C" w:rsidRPr="00CF3C51" w:rsidRDefault="0080173C" w:rsidP="00C7150D">
      <w:pPr>
        <w:rPr>
          <w:u w:color="E36C0A"/>
          <w:lang w:val="es-ES_tradnl"/>
        </w:rPr>
      </w:pPr>
    </w:p>
    <w:p w:rsidR="00B824FE" w:rsidRPr="00CF3C51" w:rsidRDefault="00B824FE" w:rsidP="00B824FE">
      <w:pPr>
        <w:rPr>
          <w:rFonts w:eastAsia="Times New Roman"/>
          <w:lang w:val="es-ES_tradnl"/>
        </w:rPr>
      </w:pPr>
    </w:p>
    <w:p w:rsidR="00B824FE" w:rsidRPr="00CF3C51"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A31E61" w:rsidTr="00E6584D">
        <w:tc>
          <w:tcPr>
            <w:tcW w:w="7763" w:type="dxa"/>
            <w:shd w:val="clear" w:color="auto" w:fill="auto"/>
          </w:tcPr>
          <w:p w:rsidR="00B824FE" w:rsidRPr="00CF3C51"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CF3C51" w:rsidRDefault="00B824FE" w:rsidP="00E6584D">
            <w:pPr>
              <w:spacing w:before="0"/>
              <w:jc w:val="right"/>
              <w:rPr>
                <w:rFonts w:eastAsia="Times New Roman"/>
                <w:shd w:val="clear" w:color="auto" w:fill="E6F3B7"/>
                <w:lang w:val="es-ES_tradnl"/>
              </w:rPr>
            </w:pPr>
          </w:p>
        </w:tc>
      </w:tr>
    </w:tbl>
    <w:p w:rsidR="008E64AB" w:rsidRPr="00CF3C51"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CF3C51" w:rsidRDefault="002208F5" w:rsidP="006570A8">
      <w:pPr>
        <w:rPr>
          <w:lang w:val="es-ES_tradnl"/>
        </w:rPr>
      </w:pPr>
      <w:r w:rsidRPr="00CF3C51">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CF3C51" w:rsidRPr="00A31E61" w:rsidTr="00972AAB">
        <w:tc>
          <w:tcPr>
            <w:tcW w:w="9287" w:type="dxa"/>
            <w:shd w:val="clear" w:color="auto" w:fill="E8F8FD"/>
          </w:tcPr>
          <w:p w:rsidR="00CF3C51" w:rsidRPr="002E3A1A" w:rsidRDefault="00CF3C51" w:rsidP="00972AAB">
            <w:pPr>
              <w:spacing w:after="120"/>
              <w:rPr>
                <w:b/>
                <w:bCs/>
                <w:lang w:val="es-ES_tradnl"/>
              </w:rPr>
            </w:pPr>
            <w:r>
              <w:rPr>
                <w:b/>
                <w:bCs/>
                <w:lang w:val="es-ES_tradnl"/>
              </w:rPr>
              <w:lastRenderedPageBreak/>
              <w:t>Comisiones de Estudio d</w:t>
            </w:r>
            <w:r w:rsidRPr="002E3A1A">
              <w:rPr>
                <w:b/>
                <w:bCs/>
                <w:lang w:val="es-ES_tradnl"/>
              </w:rPr>
              <w:t>el UIT-D</w:t>
            </w:r>
          </w:p>
          <w:p w:rsidR="00CF3C51" w:rsidRPr="002E3A1A" w:rsidRDefault="00CF3C51" w:rsidP="00972AAB">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CF3C51" w:rsidRPr="002E3A1A" w:rsidRDefault="00CF3C51" w:rsidP="00972AAB">
            <w:pPr>
              <w:spacing w:after="120"/>
              <w:rPr>
                <w:b/>
                <w:bCs/>
                <w:lang w:val="es-ES_tradnl"/>
              </w:rPr>
            </w:pPr>
            <w:r w:rsidRPr="002E3A1A">
              <w:rPr>
                <w:b/>
                <w:bCs/>
                <w:lang w:val="es-ES_tradnl"/>
              </w:rPr>
              <w:t>Plataforma de conocimientos</w:t>
            </w:r>
          </w:p>
          <w:p w:rsidR="00CF3C51" w:rsidRPr="002E3A1A" w:rsidRDefault="00CF3C51" w:rsidP="00972AAB">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w:t>
            </w:r>
            <w:r>
              <w:rPr>
                <w:lang w:val="es-ES_tradnl"/>
              </w:rPr>
              <w:t>iciativas especiales en los 193 </w:t>
            </w:r>
            <w:r w:rsidRPr="002E3A1A">
              <w:rPr>
                <w:lang w:val="es-ES_tradnl"/>
              </w:rPr>
              <w:t>Estados Miembros de la UIT. Esas actividades también permiten aumentar el acervo de conocimientos compartidos entre los Miembros.</w:t>
            </w:r>
          </w:p>
          <w:p w:rsidR="00CF3C51" w:rsidRPr="002E3A1A" w:rsidRDefault="00CF3C51" w:rsidP="00972AAB">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CF3C51" w:rsidRPr="002E3A1A" w:rsidRDefault="00CF3C51" w:rsidP="00972AAB">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CF3C51" w:rsidRPr="002E3A1A" w:rsidRDefault="00CF3C51" w:rsidP="00972AAB">
            <w:pPr>
              <w:spacing w:after="120"/>
              <w:rPr>
                <w:b/>
                <w:bCs/>
                <w:lang w:val="es-ES_tradnl"/>
              </w:rPr>
            </w:pPr>
            <w:r>
              <w:rPr>
                <w:b/>
                <w:bCs/>
                <w:lang w:val="es-ES_tradnl"/>
              </w:rPr>
              <w:t>A</w:t>
            </w:r>
            <w:r w:rsidRPr="002E3A1A">
              <w:rPr>
                <w:b/>
                <w:bCs/>
                <w:lang w:val="es-ES_tradnl"/>
              </w:rPr>
              <w:t>cervo de información</w:t>
            </w:r>
          </w:p>
          <w:p w:rsidR="00CF3C51" w:rsidRDefault="00CF3C51" w:rsidP="00972AAB">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CF3C51" w:rsidRPr="00845544" w:rsidRDefault="00CF3C51" w:rsidP="00972AAB">
            <w:pPr>
              <w:spacing w:after="120"/>
              <w:rPr>
                <w:b/>
                <w:caps/>
                <w:lang w:val="es-ES"/>
              </w:rPr>
            </w:pPr>
            <w:r w:rsidRPr="00845544">
              <w:rPr>
                <w:b/>
                <w:lang w:val="es-ES"/>
              </w:rPr>
              <w:t>Comisión de Estudio 2</w:t>
            </w:r>
          </w:p>
          <w:p w:rsidR="00CF3C51" w:rsidRPr="007B3C9D" w:rsidRDefault="00CF3C51" w:rsidP="00972AAB">
            <w:pPr>
              <w:spacing w:after="120"/>
              <w:rPr>
                <w:lang w:val="es-ES"/>
              </w:rPr>
            </w:pPr>
            <w:r w:rsidRPr="007B3C9D">
              <w:rPr>
                <w:lang w:val="es-ES"/>
              </w:rPr>
              <w:t xml:space="preserve">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w:t>
            </w:r>
            <w:proofErr w:type="spellStart"/>
            <w:r w:rsidRPr="007B3C9D">
              <w:rPr>
                <w:lang w:val="es-ES"/>
              </w:rPr>
              <w:t>ciberaplicaciones</w:t>
            </w:r>
            <w:proofErr w:type="spellEnd"/>
            <w:r w:rsidRPr="007B3C9D">
              <w:rPr>
                <w:lang w:val="es-ES"/>
              </w:rPr>
              <w:t>,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CF3C51" w:rsidRDefault="00CF3C51" w:rsidP="00972AAB">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CF3C51" w:rsidRPr="001A5FF7" w:rsidRDefault="00CF3C51" w:rsidP="00972AAB">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CF3C51" w:rsidRDefault="00CF3C51" w:rsidP="00CF3C51">
      <w:pPr>
        <w:rPr>
          <w:lang w:val="es-ES_tradnl"/>
        </w:rPr>
      </w:pPr>
    </w:p>
    <w:p w:rsidR="00CF3C51" w:rsidRPr="007B64C0" w:rsidRDefault="00CF3C51" w:rsidP="00CF3C51">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CF3C51" w:rsidRPr="001A5FF7" w:rsidRDefault="00CF3C51" w:rsidP="00CF3C51">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CF3C51" w:rsidRDefault="006570A8" w:rsidP="006570A8">
      <w:pPr>
        <w:rPr>
          <w:lang w:val="es-ES_tradnl"/>
        </w:rPr>
        <w:sectPr w:rsidR="006570A8" w:rsidRPr="00CF3C51"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FC6644" w:rsidRDefault="00CF3C51" w:rsidP="00D240F2">
      <w:pPr>
        <w:pStyle w:val="Chapttitle"/>
        <w:rPr>
          <w:lang w:val="es-ES_tradnl"/>
        </w:rPr>
      </w:pPr>
      <w:bookmarkStart w:id="5" w:name="_Toc380759599"/>
      <w:bookmarkStart w:id="6" w:name="_Toc381259696"/>
      <w:bookmarkStart w:id="7" w:name="_Toc310148800"/>
      <w:bookmarkStart w:id="8" w:name="_Toc316562496"/>
      <w:bookmarkStart w:id="9" w:name="_Toc299639153"/>
      <w:r w:rsidRPr="00FC6644">
        <w:rPr>
          <w:lang w:val="es-ES_tradnl"/>
        </w:rPr>
        <w:lastRenderedPageBreak/>
        <w:t>Índice</w:t>
      </w:r>
      <w:bookmarkEnd w:id="5"/>
      <w:bookmarkEnd w:id="6"/>
    </w:p>
    <w:p w:rsidR="00D240F2" w:rsidRPr="00FC6644" w:rsidRDefault="00D240F2" w:rsidP="00CF3C51">
      <w:pPr>
        <w:pStyle w:val="Toc0"/>
        <w:tabs>
          <w:tab w:val="clear" w:pos="9071"/>
          <w:tab w:val="right" w:pos="9214"/>
        </w:tabs>
        <w:rPr>
          <w:rFonts w:cs="Arial"/>
          <w:lang w:val="es-ES_tradnl" w:eastAsia="zh-CN"/>
        </w:rPr>
      </w:pPr>
      <w:r w:rsidRPr="00FC6644">
        <w:rPr>
          <w:lang w:val="es-ES_tradnl"/>
        </w:rPr>
        <w:tab/>
      </w:r>
      <w:r w:rsidR="00CF3C51" w:rsidRPr="00FC6644">
        <w:rPr>
          <w:lang w:val="es-ES_tradnl"/>
        </w:rPr>
        <w:t>Página</w:t>
      </w:r>
    </w:p>
    <w:p w:rsidR="009E4792" w:rsidRDefault="009E4792" w:rsidP="005110CD">
      <w:pPr>
        <w:pStyle w:val="TOC1"/>
        <w:keepNext w:val="0"/>
        <w:keepLines w:val="0"/>
        <w:spacing w:before="160"/>
        <w:rPr>
          <w:rFonts w:asciiTheme="minorHAnsi" w:eastAsiaTheme="minorEastAsia" w:hAnsiTheme="minorHAnsi" w:cstheme="minorBidi"/>
          <w:b w:val="0"/>
          <w:bCs w:val="0"/>
          <w:sz w:val="22"/>
          <w:szCs w:val="22"/>
          <w:lang w:eastAsia="zh-CN"/>
        </w:rPr>
      </w:pPr>
      <w:r>
        <w:rPr>
          <w:lang w:val="es-ES_tradnl" w:eastAsia="zh-CN"/>
        </w:rPr>
        <w:fldChar w:fldCharType="begin"/>
      </w:r>
      <w:r>
        <w:rPr>
          <w:lang w:val="es-ES_tradnl" w:eastAsia="zh-CN"/>
        </w:rPr>
        <w:instrText xml:space="preserve"> TOC \o "1-3" \h \z \u </w:instrText>
      </w:r>
      <w:r>
        <w:rPr>
          <w:lang w:val="es-ES_tradnl" w:eastAsia="zh-CN"/>
        </w:rPr>
        <w:fldChar w:fldCharType="separate"/>
      </w:r>
      <w:hyperlink w:anchor="_Toc381259699" w:history="1">
        <w:r w:rsidRPr="004F37C9">
          <w:rPr>
            <w:rStyle w:val="Hyperlink"/>
            <w:lang w:val="es-ES_tradnl"/>
          </w:rPr>
          <w:t>1</w:t>
        </w:r>
        <w:r>
          <w:rPr>
            <w:rFonts w:asciiTheme="minorHAnsi" w:eastAsiaTheme="minorEastAsia" w:hAnsiTheme="minorHAnsi" w:cstheme="minorBidi"/>
            <w:b w:val="0"/>
            <w:bCs w:val="0"/>
            <w:sz w:val="22"/>
            <w:szCs w:val="22"/>
            <w:lang w:eastAsia="zh-CN"/>
          </w:rPr>
          <w:tab/>
        </w:r>
        <w:r w:rsidRPr="004F37C9">
          <w:rPr>
            <w:rStyle w:val="Hyperlink"/>
            <w:lang w:val="es-ES_tradnl"/>
          </w:rPr>
          <w:t>Introducción</w:t>
        </w:r>
        <w:r>
          <w:rPr>
            <w:webHidden/>
          </w:rPr>
          <w:tab/>
        </w:r>
        <w:r>
          <w:rPr>
            <w:webHidden/>
          </w:rPr>
          <w:tab/>
        </w:r>
        <w:r>
          <w:rPr>
            <w:webHidden/>
          </w:rPr>
          <w:fldChar w:fldCharType="begin"/>
        </w:r>
        <w:r>
          <w:rPr>
            <w:webHidden/>
          </w:rPr>
          <w:instrText xml:space="preserve"> PAGEREF _Toc381259699 \h </w:instrText>
        </w:r>
        <w:r>
          <w:rPr>
            <w:webHidden/>
          </w:rPr>
        </w:r>
        <w:r>
          <w:rPr>
            <w:webHidden/>
          </w:rPr>
          <w:fldChar w:fldCharType="separate"/>
        </w:r>
        <w:r w:rsidR="005110CD">
          <w:rPr>
            <w:webHidden/>
          </w:rPr>
          <w:t>1</w:t>
        </w:r>
        <w:r>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0" w:history="1">
        <w:r w:rsidR="009E4792" w:rsidRPr="004F37C9">
          <w:rPr>
            <w:rStyle w:val="Hyperlink"/>
            <w:lang w:val="es-ES_tradnl"/>
          </w:rPr>
          <w:t>2</w:t>
        </w:r>
        <w:r w:rsidR="009E4792">
          <w:rPr>
            <w:rFonts w:asciiTheme="minorHAnsi" w:eastAsiaTheme="minorEastAsia" w:hAnsiTheme="minorHAnsi" w:cstheme="minorBidi"/>
            <w:b w:val="0"/>
            <w:bCs w:val="0"/>
            <w:sz w:val="22"/>
            <w:szCs w:val="22"/>
            <w:lang w:eastAsia="zh-CN"/>
          </w:rPr>
          <w:tab/>
        </w:r>
        <w:r w:rsidR="009E4792" w:rsidRPr="004F37C9">
          <w:rPr>
            <w:rStyle w:val="Hyperlink"/>
            <w:lang w:val="es-ES_tradnl"/>
          </w:rPr>
          <w:t>Directrices</w:t>
        </w:r>
        <w:r w:rsidR="009E4792">
          <w:rPr>
            <w:webHidden/>
          </w:rPr>
          <w:tab/>
        </w:r>
        <w:r w:rsidR="009E4792">
          <w:rPr>
            <w:webHidden/>
          </w:rPr>
          <w:tab/>
        </w:r>
        <w:r w:rsidR="009E4792">
          <w:rPr>
            <w:webHidden/>
          </w:rPr>
          <w:fldChar w:fldCharType="begin"/>
        </w:r>
        <w:r w:rsidR="009E4792">
          <w:rPr>
            <w:webHidden/>
          </w:rPr>
          <w:instrText xml:space="preserve"> PAGEREF _Toc381259700 \h </w:instrText>
        </w:r>
        <w:r w:rsidR="009E4792">
          <w:rPr>
            <w:webHidden/>
          </w:rPr>
        </w:r>
        <w:r w:rsidR="009E4792">
          <w:rPr>
            <w:webHidden/>
          </w:rPr>
          <w:fldChar w:fldCharType="separate"/>
        </w:r>
        <w:r w:rsidR="005110CD">
          <w:rPr>
            <w:webHidden/>
          </w:rPr>
          <w:t>1</w:t>
        </w:r>
        <w:r w:rsidR="009E4792">
          <w:rPr>
            <w:webHidden/>
          </w:rPr>
          <w:fldChar w:fldCharType="end"/>
        </w:r>
      </w:hyperlink>
    </w:p>
    <w:p w:rsidR="009E4792" w:rsidRDefault="00A31E61" w:rsidP="00A31E61">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1" w:history="1">
        <w:r w:rsidR="009E4792" w:rsidRPr="004F37C9">
          <w:rPr>
            <w:rStyle w:val="Hyperlink"/>
            <w:lang w:val="es-ES_tradnl"/>
          </w:rPr>
          <w:t xml:space="preserve">Sección 1: </w:t>
        </w:r>
        <w:r w:rsidR="005110CD">
          <w:rPr>
            <w:rStyle w:val="Hyperlink"/>
            <w:lang w:val="es-ES_tradnl"/>
          </w:rPr>
          <w:t xml:space="preserve"> </w:t>
        </w:r>
        <w:r w:rsidR="009E4792" w:rsidRPr="004F37C9">
          <w:rPr>
            <w:rStyle w:val="Hyperlink"/>
            <w:lang w:val="es-ES_tradnl"/>
          </w:rPr>
          <w:t xml:space="preserve">Cuestiones, Recomendaciones y Manuales del UIT-R de especial interés para los </w:t>
        </w:r>
        <w:r w:rsidR="009E4792">
          <w:rPr>
            <w:rStyle w:val="Hyperlink"/>
            <w:lang w:val="es-ES_tradnl"/>
          </w:rPr>
          <w:br/>
        </w:r>
        <w:r w:rsidR="009E4792" w:rsidRPr="004F37C9">
          <w:rPr>
            <w:rStyle w:val="Hyperlink"/>
            <w:lang w:val="es-ES_tradnl"/>
          </w:rPr>
          <w:t>países en desarrollo</w:t>
        </w:r>
        <w:r w:rsidR="009E4792">
          <w:rPr>
            <w:webHidden/>
          </w:rPr>
          <w:tab/>
        </w:r>
        <w:r w:rsidR="009E4792">
          <w:rPr>
            <w:webHidden/>
          </w:rPr>
          <w:tab/>
        </w:r>
        <w:r w:rsidR="009E4792">
          <w:rPr>
            <w:webHidden/>
          </w:rPr>
          <w:fldChar w:fldCharType="begin"/>
        </w:r>
        <w:r w:rsidR="009E4792">
          <w:rPr>
            <w:webHidden/>
          </w:rPr>
          <w:instrText xml:space="preserve"> PAGEREF _Toc381259701 \h </w:instrText>
        </w:r>
        <w:r w:rsidR="009E4792">
          <w:rPr>
            <w:webHidden/>
          </w:rPr>
        </w:r>
        <w:r w:rsidR="009E4792">
          <w:rPr>
            <w:webHidden/>
          </w:rPr>
          <w:fldChar w:fldCharType="separate"/>
        </w:r>
        <w:r w:rsidR="005110CD">
          <w:rPr>
            <w:webHidden/>
          </w:rPr>
          <w:t>2</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2" w:history="1">
        <w:r w:rsidR="009E4792" w:rsidRPr="004F37C9">
          <w:rPr>
            <w:rStyle w:val="Hyperlink"/>
            <w:lang w:val="es-ES_tradnl"/>
          </w:rPr>
          <w:t>Comisión de Estudio 1 del UIT-R – Gestión del espectro</w:t>
        </w:r>
        <w:r w:rsidR="009E4792">
          <w:rPr>
            <w:webHidden/>
          </w:rPr>
          <w:tab/>
        </w:r>
        <w:r w:rsidR="009E4792">
          <w:rPr>
            <w:webHidden/>
          </w:rPr>
          <w:tab/>
        </w:r>
        <w:r w:rsidR="009E4792">
          <w:rPr>
            <w:webHidden/>
          </w:rPr>
          <w:fldChar w:fldCharType="begin"/>
        </w:r>
        <w:r w:rsidR="009E4792">
          <w:rPr>
            <w:webHidden/>
          </w:rPr>
          <w:instrText xml:space="preserve"> PAGEREF _Toc381259702 \h </w:instrText>
        </w:r>
        <w:r w:rsidR="009E4792">
          <w:rPr>
            <w:webHidden/>
          </w:rPr>
        </w:r>
        <w:r w:rsidR="009E4792">
          <w:rPr>
            <w:webHidden/>
          </w:rPr>
          <w:fldChar w:fldCharType="separate"/>
        </w:r>
        <w:r w:rsidR="005110CD">
          <w:rPr>
            <w:webHidden/>
          </w:rPr>
          <w:t>7</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3" w:history="1">
        <w:r w:rsidR="009E4792" w:rsidRPr="004F37C9">
          <w:rPr>
            <w:rStyle w:val="Hyperlink"/>
            <w:lang w:val="es-ES_tradnl"/>
          </w:rPr>
          <w:t>Comisión de Estudio 3 del UIT-R – Propagación de las ondas radioeléctricas</w:t>
        </w:r>
        <w:r w:rsidR="009E4792">
          <w:rPr>
            <w:webHidden/>
          </w:rPr>
          <w:tab/>
        </w:r>
        <w:r w:rsidR="009E4792">
          <w:rPr>
            <w:webHidden/>
          </w:rPr>
          <w:tab/>
        </w:r>
        <w:r w:rsidR="009E4792">
          <w:rPr>
            <w:webHidden/>
          </w:rPr>
          <w:fldChar w:fldCharType="begin"/>
        </w:r>
        <w:r w:rsidR="009E4792">
          <w:rPr>
            <w:webHidden/>
          </w:rPr>
          <w:instrText xml:space="preserve"> PAGEREF _Toc381259703 \h </w:instrText>
        </w:r>
        <w:r w:rsidR="009E4792">
          <w:rPr>
            <w:webHidden/>
          </w:rPr>
        </w:r>
        <w:r w:rsidR="009E4792">
          <w:rPr>
            <w:webHidden/>
          </w:rPr>
          <w:fldChar w:fldCharType="separate"/>
        </w:r>
        <w:r w:rsidR="005110CD">
          <w:rPr>
            <w:webHidden/>
          </w:rPr>
          <w:t>10</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4" w:history="1">
        <w:r w:rsidR="009E4792" w:rsidRPr="004F37C9">
          <w:rPr>
            <w:rStyle w:val="Hyperlink"/>
            <w:lang w:val="es-ES_tradnl" w:eastAsia="en-GB"/>
          </w:rPr>
          <w:t>Comisión de Estudio 4 del UIT-R – Servicios por satélite</w:t>
        </w:r>
        <w:r w:rsidR="009E4792">
          <w:rPr>
            <w:webHidden/>
          </w:rPr>
          <w:tab/>
        </w:r>
        <w:r w:rsidR="009E4792">
          <w:rPr>
            <w:webHidden/>
          </w:rPr>
          <w:tab/>
        </w:r>
        <w:r w:rsidR="009E4792">
          <w:rPr>
            <w:webHidden/>
          </w:rPr>
          <w:fldChar w:fldCharType="begin"/>
        </w:r>
        <w:r w:rsidR="009E4792">
          <w:rPr>
            <w:webHidden/>
          </w:rPr>
          <w:instrText xml:space="preserve"> PAGEREF _Toc381259704 \h </w:instrText>
        </w:r>
        <w:r w:rsidR="009E4792">
          <w:rPr>
            <w:webHidden/>
          </w:rPr>
        </w:r>
        <w:r w:rsidR="009E4792">
          <w:rPr>
            <w:webHidden/>
          </w:rPr>
          <w:fldChar w:fldCharType="separate"/>
        </w:r>
        <w:r w:rsidR="005110CD">
          <w:rPr>
            <w:webHidden/>
          </w:rPr>
          <w:t>13</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5" w:history="1">
        <w:r w:rsidR="009E4792" w:rsidRPr="004F37C9">
          <w:rPr>
            <w:rStyle w:val="Hyperlink"/>
            <w:lang w:val="es-ES_tradnl" w:eastAsia="en-GB"/>
          </w:rPr>
          <w:t>Comisión de Estudio 5 del UIT-R – Servicios terrenales</w:t>
        </w:r>
        <w:r w:rsidR="009E4792">
          <w:rPr>
            <w:webHidden/>
          </w:rPr>
          <w:tab/>
        </w:r>
        <w:r w:rsidR="009E4792">
          <w:rPr>
            <w:webHidden/>
          </w:rPr>
          <w:tab/>
        </w:r>
        <w:r w:rsidR="009E4792">
          <w:rPr>
            <w:webHidden/>
          </w:rPr>
          <w:fldChar w:fldCharType="begin"/>
        </w:r>
        <w:r w:rsidR="009E4792">
          <w:rPr>
            <w:webHidden/>
          </w:rPr>
          <w:instrText xml:space="preserve"> PAGEREF _Toc381259705 \h </w:instrText>
        </w:r>
        <w:r w:rsidR="009E4792">
          <w:rPr>
            <w:webHidden/>
          </w:rPr>
        </w:r>
        <w:r w:rsidR="009E4792">
          <w:rPr>
            <w:webHidden/>
          </w:rPr>
          <w:fldChar w:fldCharType="separate"/>
        </w:r>
        <w:r w:rsidR="005110CD">
          <w:rPr>
            <w:webHidden/>
          </w:rPr>
          <w:t>15</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6" w:history="1">
        <w:r w:rsidR="009E4792" w:rsidRPr="004F37C9">
          <w:rPr>
            <w:rStyle w:val="Hyperlink"/>
            <w:lang w:val="es-ES_tradnl" w:eastAsia="en-GB"/>
          </w:rPr>
          <w:t>Comisión de Estudio 6 del UIT-R – Servicios de radiodifusión</w:t>
        </w:r>
        <w:r w:rsidR="009E4792">
          <w:rPr>
            <w:webHidden/>
          </w:rPr>
          <w:tab/>
        </w:r>
        <w:r w:rsidR="009E4792">
          <w:rPr>
            <w:webHidden/>
          </w:rPr>
          <w:tab/>
        </w:r>
        <w:r w:rsidR="009E4792">
          <w:rPr>
            <w:webHidden/>
          </w:rPr>
          <w:fldChar w:fldCharType="begin"/>
        </w:r>
        <w:r w:rsidR="009E4792">
          <w:rPr>
            <w:webHidden/>
          </w:rPr>
          <w:instrText xml:space="preserve"> PAGEREF _Toc381259706 \h </w:instrText>
        </w:r>
        <w:r w:rsidR="009E4792">
          <w:rPr>
            <w:webHidden/>
          </w:rPr>
        </w:r>
        <w:r w:rsidR="009E4792">
          <w:rPr>
            <w:webHidden/>
          </w:rPr>
          <w:fldChar w:fldCharType="separate"/>
        </w:r>
        <w:r w:rsidR="005110CD">
          <w:rPr>
            <w:webHidden/>
          </w:rPr>
          <w:t>19</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7" w:history="1">
        <w:r w:rsidR="009E4792" w:rsidRPr="004F37C9">
          <w:rPr>
            <w:rStyle w:val="Hyperlink"/>
            <w:lang w:val="es-ES_tradnl" w:eastAsia="en-GB"/>
          </w:rPr>
          <w:t>Comisión de Estudio 7 del UIT-R – Servicios científicos</w:t>
        </w:r>
        <w:r w:rsidR="009E4792">
          <w:rPr>
            <w:webHidden/>
          </w:rPr>
          <w:tab/>
        </w:r>
        <w:r w:rsidR="009E4792">
          <w:rPr>
            <w:webHidden/>
          </w:rPr>
          <w:tab/>
        </w:r>
        <w:r w:rsidR="009E4792">
          <w:rPr>
            <w:webHidden/>
          </w:rPr>
          <w:fldChar w:fldCharType="begin"/>
        </w:r>
        <w:r w:rsidR="009E4792">
          <w:rPr>
            <w:webHidden/>
          </w:rPr>
          <w:instrText xml:space="preserve"> PAGEREF _Toc381259707 \h </w:instrText>
        </w:r>
        <w:r w:rsidR="009E4792">
          <w:rPr>
            <w:webHidden/>
          </w:rPr>
        </w:r>
        <w:r w:rsidR="009E4792">
          <w:rPr>
            <w:webHidden/>
          </w:rPr>
          <w:fldChar w:fldCharType="separate"/>
        </w:r>
        <w:r w:rsidR="005110CD">
          <w:rPr>
            <w:webHidden/>
          </w:rPr>
          <w:t>21</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8" w:history="1">
        <w:r w:rsidR="009E4792" w:rsidRPr="004F37C9">
          <w:rPr>
            <w:rStyle w:val="Hyperlink"/>
            <w:lang w:val="es-ES_tradnl"/>
          </w:rPr>
          <w:t>Sección 2:</w:t>
        </w:r>
        <w:r w:rsidR="005110CD">
          <w:rPr>
            <w:rStyle w:val="Hyperlink"/>
            <w:lang w:val="es-ES_tradnl"/>
          </w:rPr>
          <w:t xml:space="preserve"> </w:t>
        </w:r>
        <w:r w:rsidR="009E4792" w:rsidRPr="004F37C9">
          <w:rPr>
            <w:rStyle w:val="Hyperlink"/>
            <w:lang w:val="es-ES_tradnl"/>
          </w:rPr>
          <w:t xml:space="preserve"> Cuestiones del UIT-T de especial interés para los países  en desarrollo</w:t>
        </w:r>
        <w:r w:rsidR="009E4792">
          <w:rPr>
            <w:webHidden/>
          </w:rPr>
          <w:tab/>
        </w:r>
        <w:r w:rsidR="009E4792">
          <w:rPr>
            <w:webHidden/>
          </w:rPr>
          <w:tab/>
        </w:r>
        <w:r w:rsidR="009E4792">
          <w:rPr>
            <w:webHidden/>
          </w:rPr>
          <w:fldChar w:fldCharType="begin"/>
        </w:r>
        <w:r w:rsidR="009E4792">
          <w:rPr>
            <w:webHidden/>
          </w:rPr>
          <w:instrText xml:space="preserve"> PAGEREF _Toc381259708 \h </w:instrText>
        </w:r>
        <w:r w:rsidR="009E4792">
          <w:rPr>
            <w:webHidden/>
          </w:rPr>
        </w:r>
        <w:r w:rsidR="009E4792">
          <w:rPr>
            <w:webHidden/>
          </w:rPr>
          <w:fldChar w:fldCharType="separate"/>
        </w:r>
        <w:r w:rsidR="005110CD">
          <w:rPr>
            <w:webHidden/>
          </w:rPr>
          <w:t>23</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09" w:history="1">
        <w:r w:rsidR="009E4792" w:rsidRPr="004F37C9">
          <w:rPr>
            <w:rStyle w:val="Hyperlink"/>
            <w:lang w:val="es-ES_tradnl"/>
          </w:rPr>
          <w:t xml:space="preserve">Comisión de Estudio 2 del UIT-T ― Aspectos operacionales del suministro de servicios y </w:t>
        </w:r>
        <w:r w:rsidR="009E4792">
          <w:rPr>
            <w:rStyle w:val="Hyperlink"/>
            <w:lang w:val="es-ES_tradnl"/>
          </w:rPr>
          <w:br/>
        </w:r>
        <w:r w:rsidR="009E4792" w:rsidRPr="004F37C9">
          <w:rPr>
            <w:rStyle w:val="Hyperlink"/>
            <w:lang w:val="es-ES_tradnl"/>
          </w:rPr>
          <w:t>la gestión de las telecomunicaciones</w:t>
        </w:r>
        <w:r w:rsidR="009E4792">
          <w:rPr>
            <w:webHidden/>
          </w:rPr>
          <w:tab/>
        </w:r>
        <w:r w:rsidR="009E4792">
          <w:rPr>
            <w:webHidden/>
          </w:rPr>
          <w:tab/>
        </w:r>
        <w:r w:rsidR="009E4792">
          <w:rPr>
            <w:webHidden/>
          </w:rPr>
          <w:fldChar w:fldCharType="begin"/>
        </w:r>
        <w:r w:rsidR="009E4792">
          <w:rPr>
            <w:webHidden/>
          </w:rPr>
          <w:instrText xml:space="preserve"> PAGEREF _Toc381259709 \h </w:instrText>
        </w:r>
        <w:r w:rsidR="009E4792">
          <w:rPr>
            <w:webHidden/>
          </w:rPr>
        </w:r>
        <w:r w:rsidR="009E4792">
          <w:rPr>
            <w:webHidden/>
          </w:rPr>
          <w:fldChar w:fldCharType="separate"/>
        </w:r>
        <w:r w:rsidR="005110CD">
          <w:rPr>
            <w:webHidden/>
          </w:rPr>
          <w:t>26</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0" w:history="1">
        <w:r w:rsidR="009E4792" w:rsidRPr="004F37C9">
          <w:rPr>
            <w:rStyle w:val="Hyperlink"/>
            <w:lang w:val="es-ES_tradnl"/>
          </w:rPr>
          <w:t xml:space="preserve">Comisión de Estudio 3 del UIT-T ― Principios de tarificación y contabilidad, con inclusión </w:t>
        </w:r>
        <w:r w:rsidR="009E4792">
          <w:rPr>
            <w:rStyle w:val="Hyperlink"/>
            <w:lang w:val="es-ES_tradnl"/>
          </w:rPr>
          <w:br/>
        </w:r>
        <w:r w:rsidR="009E4792" w:rsidRPr="004F37C9">
          <w:rPr>
            <w:rStyle w:val="Hyperlink"/>
            <w:lang w:val="es-ES_tradnl"/>
          </w:rPr>
          <w:t>de los temas relativos a economía y política de  las telecomunicaciones</w:t>
        </w:r>
        <w:r w:rsidR="009E4792">
          <w:rPr>
            <w:webHidden/>
          </w:rPr>
          <w:tab/>
        </w:r>
        <w:r w:rsidR="009E4792">
          <w:rPr>
            <w:webHidden/>
          </w:rPr>
          <w:tab/>
        </w:r>
        <w:r w:rsidR="009E4792">
          <w:rPr>
            <w:webHidden/>
          </w:rPr>
          <w:fldChar w:fldCharType="begin"/>
        </w:r>
        <w:r w:rsidR="009E4792">
          <w:rPr>
            <w:webHidden/>
          </w:rPr>
          <w:instrText xml:space="preserve"> PAGEREF _Toc381259710 \h </w:instrText>
        </w:r>
        <w:r w:rsidR="009E4792">
          <w:rPr>
            <w:webHidden/>
          </w:rPr>
        </w:r>
        <w:r w:rsidR="009E4792">
          <w:rPr>
            <w:webHidden/>
          </w:rPr>
          <w:fldChar w:fldCharType="separate"/>
        </w:r>
        <w:r w:rsidR="005110CD">
          <w:rPr>
            <w:webHidden/>
          </w:rPr>
          <w:t>31</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1" w:history="1">
        <w:r w:rsidR="009E4792" w:rsidRPr="004F37C9">
          <w:rPr>
            <w:rStyle w:val="Hyperlink"/>
            <w:lang w:val="es-ES_tradnl"/>
          </w:rPr>
          <w:t>Comisión de Estudio 11 del UIT-T ― Requisitos, protocolos y  especificaciones de pruebas de señaliza</w:t>
        </w:r>
        <w:bookmarkStart w:id="10" w:name="_GoBack"/>
        <w:bookmarkEnd w:id="10"/>
        <w:r w:rsidR="009E4792" w:rsidRPr="004F37C9">
          <w:rPr>
            <w:rStyle w:val="Hyperlink"/>
            <w:lang w:val="es-ES_tradnl"/>
          </w:rPr>
          <w:t>ción</w:t>
        </w:r>
        <w:r w:rsidR="009E4792">
          <w:rPr>
            <w:webHidden/>
          </w:rPr>
          <w:tab/>
        </w:r>
        <w:r w:rsidR="009E4792">
          <w:rPr>
            <w:webHidden/>
          </w:rPr>
          <w:tab/>
        </w:r>
        <w:r w:rsidR="009E4792">
          <w:rPr>
            <w:webHidden/>
          </w:rPr>
          <w:fldChar w:fldCharType="begin"/>
        </w:r>
        <w:r w:rsidR="009E4792">
          <w:rPr>
            <w:webHidden/>
          </w:rPr>
          <w:instrText xml:space="preserve"> PAGEREF _Toc381259711 \h </w:instrText>
        </w:r>
        <w:r w:rsidR="009E4792">
          <w:rPr>
            <w:webHidden/>
          </w:rPr>
        </w:r>
        <w:r w:rsidR="009E4792">
          <w:rPr>
            <w:webHidden/>
          </w:rPr>
          <w:fldChar w:fldCharType="separate"/>
        </w:r>
        <w:r w:rsidR="005110CD">
          <w:rPr>
            <w:webHidden/>
          </w:rPr>
          <w:t>41</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2" w:history="1">
        <w:r w:rsidR="009E4792" w:rsidRPr="004F37C9">
          <w:rPr>
            <w:rStyle w:val="Hyperlink"/>
            <w:lang w:val="es-ES_tradnl"/>
          </w:rPr>
          <w:t xml:space="preserve">Comisión de Estudio 12 del UIT-T ― Calidad de funcionamiento, calidad de servicio y </w:t>
        </w:r>
        <w:r w:rsidR="009E4792">
          <w:rPr>
            <w:rStyle w:val="Hyperlink"/>
            <w:lang w:val="es-ES_tradnl"/>
          </w:rPr>
          <w:br/>
        </w:r>
        <w:r w:rsidR="009E4792" w:rsidRPr="004F37C9">
          <w:rPr>
            <w:rStyle w:val="Hyperlink"/>
            <w:lang w:val="es-ES_tradnl"/>
          </w:rPr>
          <w:t>calidad percibida</w:t>
        </w:r>
        <w:r w:rsidR="009E4792">
          <w:rPr>
            <w:webHidden/>
          </w:rPr>
          <w:tab/>
        </w:r>
        <w:r w:rsidR="009E4792">
          <w:rPr>
            <w:webHidden/>
          </w:rPr>
          <w:tab/>
        </w:r>
        <w:r w:rsidR="009E4792">
          <w:rPr>
            <w:webHidden/>
          </w:rPr>
          <w:fldChar w:fldCharType="begin"/>
        </w:r>
        <w:r w:rsidR="009E4792">
          <w:rPr>
            <w:webHidden/>
          </w:rPr>
          <w:instrText xml:space="preserve"> PAGEREF _Toc381259712 \h </w:instrText>
        </w:r>
        <w:r w:rsidR="009E4792">
          <w:rPr>
            <w:webHidden/>
          </w:rPr>
        </w:r>
        <w:r w:rsidR="009E4792">
          <w:rPr>
            <w:webHidden/>
          </w:rPr>
          <w:fldChar w:fldCharType="separate"/>
        </w:r>
        <w:r w:rsidR="005110CD">
          <w:rPr>
            <w:webHidden/>
          </w:rPr>
          <w:t>45</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3" w:history="1">
        <w:r w:rsidR="009E4792" w:rsidRPr="004F37C9">
          <w:rPr>
            <w:rStyle w:val="Hyperlink"/>
            <w:lang w:val="es-ES_tradnl"/>
          </w:rPr>
          <w:t xml:space="preserve">Comisión de Estudio 13 del UIT-T ― Redes futuras, incluida la computación en la nube, </w:t>
        </w:r>
        <w:r w:rsidR="009E4792">
          <w:rPr>
            <w:rStyle w:val="Hyperlink"/>
            <w:lang w:val="es-ES_tradnl"/>
          </w:rPr>
          <w:br/>
        </w:r>
        <w:r w:rsidR="009E4792" w:rsidRPr="004F37C9">
          <w:rPr>
            <w:rStyle w:val="Hyperlink"/>
            <w:lang w:val="es-ES_tradnl"/>
          </w:rPr>
          <w:t>las redes móviles y las de la próxima generación</w:t>
        </w:r>
        <w:r w:rsidR="009E4792">
          <w:rPr>
            <w:webHidden/>
          </w:rPr>
          <w:tab/>
        </w:r>
        <w:r w:rsidR="009E4792">
          <w:rPr>
            <w:webHidden/>
          </w:rPr>
          <w:tab/>
        </w:r>
        <w:r w:rsidR="009E4792">
          <w:rPr>
            <w:webHidden/>
          </w:rPr>
          <w:fldChar w:fldCharType="begin"/>
        </w:r>
        <w:r w:rsidR="009E4792">
          <w:rPr>
            <w:webHidden/>
          </w:rPr>
          <w:instrText xml:space="preserve"> PAGEREF _Toc381259713 \h </w:instrText>
        </w:r>
        <w:r w:rsidR="009E4792">
          <w:rPr>
            <w:webHidden/>
          </w:rPr>
        </w:r>
        <w:r w:rsidR="009E4792">
          <w:rPr>
            <w:webHidden/>
          </w:rPr>
          <w:fldChar w:fldCharType="separate"/>
        </w:r>
        <w:r w:rsidR="005110CD">
          <w:rPr>
            <w:webHidden/>
          </w:rPr>
          <w:t>47</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4" w:history="1">
        <w:r w:rsidR="009E4792" w:rsidRPr="004F37C9">
          <w:rPr>
            <w:rStyle w:val="Hyperlink"/>
            <w:lang w:val="es-ES_tradnl"/>
          </w:rPr>
          <w:t xml:space="preserve">Comisión de Estudio 15 del UIT-T ― Redes, tecnologías e infraestructuras de las redes </w:t>
        </w:r>
        <w:r w:rsidR="009E4792">
          <w:rPr>
            <w:rStyle w:val="Hyperlink"/>
            <w:lang w:val="es-ES_tradnl"/>
          </w:rPr>
          <w:br/>
        </w:r>
        <w:r w:rsidR="009E4792" w:rsidRPr="004F37C9">
          <w:rPr>
            <w:rStyle w:val="Hyperlink"/>
            <w:lang w:val="es-ES_tradnl"/>
          </w:rPr>
          <w:t>de transporte, de acceso y domésticas</w:t>
        </w:r>
        <w:r w:rsidR="009E4792">
          <w:rPr>
            <w:webHidden/>
          </w:rPr>
          <w:tab/>
        </w:r>
        <w:r w:rsidR="009E4792">
          <w:rPr>
            <w:webHidden/>
          </w:rPr>
          <w:tab/>
        </w:r>
        <w:r w:rsidR="009E4792">
          <w:rPr>
            <w:webHidden/>
          </w:rPr>
          <w:fldChar w:fldCharType="begin"/>
        </w:r>
        <w:r w:rsidR="009E4792">
          <w:rPr>
            <w:webHidden/>
          </w:rPr>
          <w:instrText xml:space="preserve"> PAGEREF _Toc381259714 \h </w:instrText>
        </w:r>
        <w:r w:rsidR="009E4792">
          <w:rPr>
            <w:webHidden/>
          </w:rPr>
        </w:r>
        <w:r w:rsidR="009E4792">
          <w:rPr>
            <w:webHidden/>
          </w:rPr>
          <w:fldChar w:fldCharType="separate"/>
        </w:r>
        <w:r w:rsidR="005110CD">
          <w:rPr>
            <w:webHidden/>
          </w:rPr>
          <w:t>51</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5" w:history="1">
        <w:r w:rsidR="009E4792" w:rsidRPr="004F37C9">
          <w:rPr>
            <w:rStyle w:val="Hyperlink"/>
            <w:lang w:val="es-ES_tradnl"/>
          </w:rPr>
          <w:t>Comisión de Estudio 16 del UIT-T ― Codificación, sistemas y  aplicaciones multimedios</w:t>
        </w:r>
        <w:r w:rsidR="009E4792">
          <w:rPr>
            <w:webHidden/>
          </w:rPr>
          <w:tab/>
        </w:r>
        <w:r w:rsidR="009E4792">
          <w:rPr>
            <w:webHidden/>
          </w:rPr>
          <w:tab/>
        </w:r>
        <w:r w:rsidR="009E4792">
          <w:rPr>
            <w:webHidden/>
          </w:rPr>
          <w:fldChar w:fldCharType="begin"/>
        </w:r>
        <w:r w:rsidR="009E4792">
          <w:rPr>
            <w:webHidden/>
          </w:rPr>
          <w:instrText xml:space="preserve"> PAGEREF _Toc381259715 \h </w:instrText>
        </w:r>
        <w:r w:rsidR="009E4792">
          <w:rPr>
            <w:webHidden/>
          </w:rPr>
        </w:r>
        <w:r w:rsidR="009E4792">
          <w:rPr>
            <w:webHidden/>
          </w:rPr>
          <w:fldChar w:fldCharType="separate"/>
        </w:r>
        <w:r w:rsidR="005110CD">
          <w:rPr>
            <w:webHidden/>
          </w:rPr>
          <w:t>54</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6" w:history="1">
        <w:r w:rsidR="009E4792" w:rsidRPr="004F37C9">
          <w:rPr>
            <w:rStyle w:val="Hyperlink"/>
            <w:lang w:val="es-ES_tradnl" w:eastAsia="en-GB"/>
          </w:rPr>
          <w:t>Comisión de Estudio 17 del UIT-T ― Seguridad</w:t>
        </w:r>
        <w:r w:rsidR="009E4792">
          <w:rPr>
            <w:webHidden/>
          </w:rPr>
          <w:tab/>
        </w:r>
        <w:r w:rsidR="009E4792">
          <w:rPr>
            <w:webHidden/>
          </w:rPr>
          <w:tab/>
        </w:r>
        <w:r w:rsidR="009E4792">
          <w:rPr>
            <w:webHidden/>
          </w:rPr>
          <w:fldChar w:fldCharType="begin"/>
        </w:r>
        <w:r w:rsidR="009E4792">
          <w:rPr>
            <w:webHidden/>
          </w:rPr>
          <w:instrText xml:space="preserve"> PAGEREF _Toc381259716 \h </w:instrText>
        </w:r>
        <w:r w:rsidR="009E4792">
          <w:rPr>
            <w:webHidden/>
          </w:rPr>
        </w:r>
        <w:r w:rsidR="009E4792">
          <w:rPr>
            <w:webHidden/>
          </w:rPr>
          <w:fldChar w:fldCharType="separate"/>
        </w:r>
        <w:r w:rsidR="005110CD">
          <w:rPr>
            <w:webHidden/>
          </w:rPr>
          <w:t>59</w:t>
        </w:r>
        <w:r w:rsidR="009E4792">
          <w:rPr>
            <w:webHidden/>
          </w:rPr>
          <w:fldChar w:fldCharType="end"/>
        </w:r>
      </w:hyperlink>
    </w:p>
    <w:p w:rsidR="009E4792" w:rsidRDefault="00A31E61" w:rsidP="005110CD">
      <w:pPr>
        <w:pStyle w:val="TOC1"/>
        <w:keepNext w:val="0"/>
        <w:keepLines w:val="0"/>
        <w:spacing w:before="160"/>
        <w:rPr>
          <w:rFonts w:asciiTheme="minorHAnsi" w:eastAsiaTheme="minorEastAsia" w:hAnsiTheme="minorHAnsi" w:cstheme="minorBidi"/>
          <w:b w:val="0"/>
          <w:bCs w:val="0"/>
          <w:sz w:val="22"/>
          <w:szCs w:val="22"/>
          <w:lang w:eastAsia="zh-CN"/>
        </w:rPr>
      </w:pPr>
      <w:hyperlink w:anchor="_Toc381259717" w:history="1">
        <w:r w:rsidR="009E4792" w:rsidRPr="004F37C9">
          <w:rPr>
            <w:rStyle w:val="Hyperlink"/>
            <w:lang w:val="es-ES_tradnl" w:eastAsia="en-GB"/>
          </w:rPr>
          <w:t>Grupos Temáticos del UIT-T</w:t>
        </w:r>
        <w:r w:rsidR="009E4792">
          <w:rPr>
            <w:webHidden/>
          </w:rPr>
          <w:tab/>
        </w:r>
        <w:r w:rsidR="009E4792">
          <w:rPr>
            <w:webHidden/>
          </w:rPr>
          <w:tab/>
        </w:r>
        <w:r w:rsidR="009E4792">
          <w:rPr>
            <w:webHidden/>
          </w:rPr>
          <w:fldChar w:fldCharType="begin"/>
        </w:r>
        <w:r w:rsidR="009E4792">
          <w:rPr>
            <w:webHidden/>
          </w:rPr>
          <w:instrText xml:space="preserve"> PAGEREF _Toc381259717 \h </w:instrText>
        </w:r>
        <w:r w:rsidR="009E4792">
          <w:rPr>
            <w:webHidden/>
          </w:rPr>
        </w:r>
        <w:r w:rsidR="009E4792">
          <w:rPr>
            <w:webHidden/>
          </w:rPr>
          <w:fldChar w:fldCharType="separate"/>
        </w:r>
        <w:r w:rsidR="005110CD">
          <w:rPr>
            <w:webHidden/>
          </w:rPr>
          <w:t>65</w:t>
        </w:r>
        <w:r w:rsidR="009E4792">
          <w:rPr>
            <w:webHidden/>
          </w:rPr>
          <w:fldChar w:fldCharType="end"/>
        </w:r>
      </w:hyperlink>
    </w:p>
    <w:p w:rsidR="005110CD" w:rsidRPr="005110CD" w:rsidRDefault="005110CD" w:rsidP="005110CD">
      <w:pPr>
        <w:pStyle w:val="TOC1"/>
        <w:keepNext w:val="0"/>
        <w:keepLines w:val="0"/>
        <w:spacing w:before="120"/>
        <w:rPr>
          <w:rStyle w:val="Hyperlink"/>
          <w:sz w:val="16"/>
          <w:szCs w:val="16"/>
        </w:rPr>
      </w:pPr>
    </w:p>
    <w:p w:rsidR="005110CD" w:rsidRPr="005110CD" w:rsidRDefault="00A31E61" w:rsidP="005110CD">
      <w:pPr>
        <w:pStyle w:val="TOC1"/>
        <w:keepNext w:val="0"/>
        <w:keepLines w:val="0"/>
      </w:pPr>
      <w:hyperlink w:anchor="_Toc381259718" w:history="1">
        <w:r w:rsidR="009E4792" w:rsidRPr="004F37C9">
          <w:rPr>
            <w:rStyle w:val="Hyperlink"/>
          </w:rPr>
          <w:t>Anexos</w:t>
        </w:r>
      </w:hyperlink>
    </w:p>
    <w:p w:rsidR="009E4792" w:rsidRDefault="00A31E61" w:rsidP="005110CD">
      <w:pPr>
        <w:pStyle w:val="TOC1"/>
        <w:keepNext w:val="0"/>
        <w:keepLines w:val="0"/>
        <w:tabs>
          <w:tab w:val="clear" w:pos="567"/>
          <w:tab w:val="left" w:pos="1276"/>
        </w:tabs>
        <w:rPr>
          <w:rFonts w:asciiTheme="minorHAnsi" w:eastAsiaTheme="minorEastAsia" w:hAnsiTheme="minorHAnsi" w:cstheme="minorBidi"/>
          <w:b w:val="0"/>
          <w:bCs w:val="0"/>
          <w:sz w:val="22"/>
          <w:szCs w:val="22"/>
          <w:lang w:eastAsia="zh-CN"/>
        </w:rPr>
      </w:pPr>
      <w:hyperlink w:anchor="_Toc381259722" w:history="1">
        <w:r w:rsidR="009E4792" w:rsidRPr="004F37C9">
          <w:rPr>
            <w:rStyle w:val="Hyperlink"/>
            <w:lang w:val="es-ES_tradnl" w:eastAsia="en-GB"/>
          </w:rPr>
          <w:t>Anexo 1:</w:t>
        </w:r>
        <w:r w:rsidR="005110CD">
          <w:rPr>
            <w:rStyle w:val="Hyperlink"/>
            <w:lang w:val="es-ES_tradnl" w:eastAsia="en-GB"/>
          </w:rPr>
          <w:tab/>
        </w:r>
        <w:r w:rsidR="009E4792" w:rsidRPr="004F37C9">
          <w:rPr>
            <w:rStyle w:val="Hyperlink"/>
            <w:lang w:val="es-ES_tradnl" w:eastAsia="en-GB"/>
          </w:rPr>
          <w:t>Composición del Grupo de Relator para la Cuestión 9-3/2</w:t>
        </w:r>
        <w:r w:rsidR="009E4792">
          <w:rPr>
            <w:webHidden/>
          </w:rPr>
          <w:tab/>
        </w:r>
        <w:r w:rsidR="005110CD">
          <w:rPr>
            <w:webHidden/>
          </w:rPr>
          <w:tab/>
        </w:r>
        <w:r w:rsidR="009E4792">
          <w:rPr>
            <w:webHidden/>
          </w:rPr>
          <w:fldChar w:fldCharType="begin"/>
        </w:r>
        <w:r w:rsidR="009E4792">
          <w:rPr>
            <w:webHidden/>
          </w:rPr>
          <w:instrText xml:space="preserve"> PAGEREF _Toc381259722 \h </w:instrText>
        </w:r>
        <w:r w:rsidR="009E4792">
          <w:rPr>
            <w:webHidden/>
          </w:rPr>
        </w:r>
        <w:r w:rsidR="009E4792">
          <w:rPr>
            <w:webHidden/>
          </w:rPr>
          <w:fldChar w:fldCharType="separate"/>
        </w:r>
        <w:r w:rsidR="005110CD">
          <w:rPr>
            <w:webHidden/>
          </w:rPr>
          <w:t>69</w:t>
        </w:r>
        <w:r w:rsidR="009E4792">
          <w:rPr>
            <w:webHidden/>
          </w:rPr>
          <w:fldChar w:fldCharType="end"/>
        </w:r>
      </w:hyperlink>
    </w:p>
    <w:p w:rsidR="009E4792" w:rsidRDefault="00A31E61" w:rsidP="005110CD">
      <w:pPr>
        <w:pStyle w:val="TOC1"/>
        <w:keepNext w:val="0"/>
        <w:keepLines w:val="0"/>
        <w:tabs>
          <w:tab w:val="clear" w:pos="567"/>
          <w:tab w:val="left" w:pos="1276"/>
        </w:tabs>
        <w:rPr>
          <w:rFonts w:asciiTheme="minorHAnsi" w:eastAsiaTheme="minorEastAsia" w:hAnsiTheme="minorHAnsi" w:cstheme="minorBidi"/>
          <w:b w:val="0"/>
          <w:bCs w:val="0"/>
          <w:sz w:val="22"/>
          <w:szCs w:val="22"/>
          <w:lang w:eastAsia="zh-CN"/>
        </w:rPr>
      </w:pPr>
      <w:hyperlink w:anchor="_Toc381259723" w:history="1">
        <w:r w:rsidR="009E4792" w:rsidRPr="004F37C9">
          <w:rPr>
            <w:rStyle w:val="Hyperlink"/>
            <w:lang w:val="es-ES_tradnl"/>
          </w:rPr>
          <w:t xml:space="preserve">Anexo 2A: </w:t>
        </w:r>
        <w:r w:rsidR="005110CD">
          <w:rPr>
            <w:rStyle w:val="Hyperlink"/>
            <w:lang w:val="es-ES_tradnl"/>
          </w:rPr>
          <w:tab/>
        </w:r>
        <w:r w:rsidR="009E4792" w:rsidRPr="004F37C9">
          <w:rPr>
            <w:rStyle w:val="Hyperlink"/>
            <w:lang w:val="es-ES_tradnl"/>
          </w:rPr>
          <w:t xml:space="preserve">Relaciones entre las Cuestiones de la Comisión de Estudio 1 del UIT-D y las </w:t>
        </w:r>
        <w:r w:rsidR="005110CD">
          <w:rPr>
            <w:rStyle w:val="Hyperlink"/>
            <w:lang w:val="es-ES_tradnl"/>
          </w:rPr>
          <w:br/>
        </w:r>
        <w:r w:rsidR="009E4792" w:rsidRPr="004F37C9">
          <w:rPr>
            <w:rStyle w:val="Hyperlink"/>
            <w:lang w:val="es-ES_tradnl"/>
          </w:rPr>
          <w:t>Cuestiones del UIT-T y el UIT-R</w:t>
        </w:r>
        <w:r w:rsidR="009E4792">
          <w:rPr>
            <w:webHidden/>
          </w:rPr>
          <w:tab/>
        </w:r>
        <w:r w:rsidR="005110CD">
          <w:rPr>
            <w:webHidden/>
          </w:rPr>
          <w:tab/>
        </w:r>
        <w:r w:rsidR="009E4792">
          <w:rPr>
            <w:webHidden/>
          </w:rPr>
          <w:fldChar w:fldCharType="begin"/>
        </w:r>
        <w:r w:rsidR="009E4792">
          <w:rPr>
            <w:webHidden/>
          </w:rPr>
          <w:instrText xml:space="preserve"> PAGEREF _Toc381259723 \h </w:instrText>
        </w:r>
        <w:r w:rsidR="009E4792">
          <w:rPr>
            <w:webHidden/>
          </w:rPr>
        </w:r>
        <w:r w:rsidR="009E4792">
          <w:rPr>
            <w:webHidden/>
          </w:rPr>
          <w:fldChar w:fldCharType="separate"/>
        </w:r>
        <w:r w:rsidR="005110CD">
          <w:rPr>
            <w:webHidden/>
          </w:rPr>
          <w:t>71</w:t>
        </w:r>
        <w:r w:rsidR="009E4792">
          <w:rPr>
            <w:webHidden/>
          </w:rPr>
          <w:fldChar w:fldCharType="end"/>
        </w:r>
      </w:hyperlink>
    </w:p>
    <w:p w:rsidR="00D240F2" w:rsidRPr="00B725A5" w:rsidRDefault="00A31E61" w:rsidP="005110CD">
      <w:pPr>
        <w:pStyle w:val="TOC1"/>
        <w:keepNext w:val="0"/>
        <w:keepLines w:val="0"/>
        <w:tabs>
          <w:tab w:val="clear" w:pos="567"/>
          <w:tab w:val="left" w:pos="1276"/>
        </w:tabs>
        <w:rPr>
          <w:b w:val="0"/>
          <w:bCs w:val="0"/>
          <w:lang w:val="es-ES_tradnl" w:eastAsia="zh-CN"/>
        </w:rPr>
      </w:pPr>
      <w:hyperlink w:anchor="_Toc381259724" w:history="1">
        <w:r w:rsidR="009E4792" w:rsidRPr="004F37C9">
          <w:rPr>
            <w:rStyle w:val="Hyperlink"/>
            <w:lang w:val="es-ES_tradnl"/>
          </w:rPr>
          <w:t xml:space="preserve">Anexo 2B: </w:t>
        </w:r>
        <w:r w:rsidR="005110CD">
          <w:rPr>
            <w:rStyle w:val="Hyperlink"/>
            <w:lang w:val="es-ES_tradnl"/>
          </w:rPr>
          <w:tab/>
        </w:r>
        <w:r w:rsidR="009E4792" w:rsidRPr="004F37C9">
          <w:rPr>
            <w:rStyle w:val="Hyperlink"/>
            <w:lang w:val="es-ES_tradnl"/>
          </w:rPr>
          <w:t xml:space="preserve">Relaciones entre las Cuestiones de la Comisión de Estudio 2 del UIT-D y las </w:t>
        </w:r>
        <w:r w:rsidR="005110CD">
          <w:rPr>
            <w:rStyle w:val="Hyperlink"/>
            <w:lang w:val="es-ES_tradnl"/>
          </w:rPr>
          <w:br/>
        </w:r>
        <w:r w:rsidR="009E4792" w:rsidRPr="004F37C9">
          <w:rPr>
            <w:rStyle w:val="Hyperlink"/>
            <w:lang w:val="es-ES_tradnl"/>
          </w:rPr>
          <w:t>Cuestiones del UIT-T y el UIT-R</w:t>
        </w:r>
        <w:r w:rsidR="009E4792">
          <w:rPr>
            <w:webHidden/>
          </w:rPr>
          <w:tab/>
        </w:r>
        <w:r w:rsidR="005110CD">
          <w:rPr>
            <w:webHidden/>
          </w:rPr>
          <w:tab/>
        </w:r>
        <w:r w:rsidR="009E4792">
          <w:rPr>
            <w:webHidden/>
          </w:rPr>
          <w:fldChar w:fldCharType="begin"/>
        </w:r>
        <w:r w:rsidR="009E4792">
          <w:rPr>
            <w:webHidden/>
          </w:rPr>
          <w:instrText xml:space="preserve"> PAGEREF _Toc381259724 \h </w:instrText>
        </w:r>
        <w:r w:rsidR="009E4792">
          <w:rPr>
            <w:webHidden/>
          </w:rPr>
        </w:r>
        <w:r w:rsidR="009E4792">
          <w:rPr>
            <w:webHidden/>
          </w:rPr>
          <w:fldChar w:fldCharType="separate"/>
        </w:r>
        <w:r w:rsidR="005110CD">
          <w:rPr>
            <w:webHidden/>
          </w:rPr>
          <w:t>73</w:t>
        </w:r>
        <w:r w:rsidR="009E4792">
          <w:rPr>
            <w:webHidden/>
          </w:rPr>
          <w:fldChar w:fldCharType="end"/>
        </w:r>
      </w:hyperlink>
      <w:r w:rsidR="009E4792">
        <w:rPr>
          <w:lang w:val="es-ES_tradnl" w:eastAsia="zh-CN"/>
        </w:rPr>
        <w:fldChar w:fldCharType="end"/>
      </w:r>
    </w:p>
    <w:p w:rsidR="00BA2B62" w:rsidRPr="00FC6644" w:rsidRDefault="00BA2B62" w:rsidP="006570A8">
      <w:pPr>
        <w:pStyle w:val="Chapttitle"/>
        <w:rPr>
          <w:lang w:val="es-ES_tradnl"/>
        </w:rPr>
        <w:sectPr w:rsidR="00BA2B62" w:rsidRPr="00FC6644" w:rsidSect="005110CD">
          <w:headerReference w:type="even" r:id="rId16"/>
          <w:headerReference w:type="default" r:id="rId17"/>
          <w:footerReference w:type="even" r:id="rId18"/>
          <w:footerReference w:type="default" r:id="rId19"/>
          <w:endnotePr>
            <w:numFmt w:val="decimal"/>
          </w:endnotePr>
          <w:type w:val="oddPage"/>
          <w:pgSz w:w="11907" w:h="16840" w:code="9"/>
          <w:pgMar w:top="1418" w:right="1418" w:bottom="1418" w:left="1418" w:header="709" w:footer="709" w:gutter="0"/>
          <w:pgNumType w:fmt="lowerRoman" w:start="3"/>
          <w:cols w:space="708"/>
          <w:docGrid w:linePitch="360"/>
        </w:sectPr>
      </w:pPr>
      <w:bookmarkStart w:id="11" w:name="_Toc375046953"/>
      <w:bookmarkEnd w:id="7"/>
      <w:bookmarkEnd w:id="8"/>
    </w:p>
    <w:p w:rsidR="00CF3C51" w:rsidRDefault="00CF3C51" w:rsidP="00013F68">
      <w:pPr>
        <w:pStyle w:val="Chapttitle"/>
        <w:rPr>
          <w:lang w:val="es-ES_tradnl"/>
        </w:rPr>
      </w:pPr>
      <w:bookmarkStart w:id="12" w:name="_Toc380759600"/>
      <w:bookmarkStart w:id="13" w:name="_Toc381259697"/>
      <w:r>
        <w:rPr>
          <w:lang w:val="es-ES_tradnl"/>
        </w:rPr>
        <w:lastRenderedPageBreak/>
        <w:t xml:space="preserve">CUESTIÓN </w:t>
      </w:r>
      <w:bookmarkEnd w:id="11"/>
      <w:r w:rsidR="00013F68">
        <w:rPr>
          <w:lang w:val="es-ES_tradnl"/>
        </w:rPr>
        <w:t>9-3</w:t>
      </w:r>
      <w:r>
        <w:rPr>
          <w:lang w:val="es-ES_tradnl"/>
        </w:rPr>
        <w:t>/2</w:t>
      </w:r>
      <w:bookmarkEnd w:id="12"/>
      <w:bookmarkEnd w:id="13"/>
    </w:p>
    <w:p w:rsidR="00ED3677" w:rsidRPr="00CF3C51" w:rsidRDefault="00E320D9" w:rsidP="00CF3C51">
      <w:pPr>
        <w:pStyle w:val="Chapttitle"/>
        <w:spacing w:before="240"/>
        <w:rPr>
          <w:lang w:val="es-ES_tradnl"/>
        </w:rPr>
      </w:pPr>
      <w:bookmarkStart w:id="14" w:name="_Toc381259698"/>
      <w:r w:rsidRPr="00A96787">
        <w:rPr>
          <w:lang w:val="es-ES"/>
        </w:rPr>
        <w:t>Identificación de los temas que estudian las Comisiones de Estudio del UIT</w:t>
      </w:r>
      <w:r w:rsidRPr="00A96787">
        <w:rPr>
          <w:lang w:val="es-ES"/>
        </w:rPr>
        <w:noBreakHyphen/>
        <w:t>T y el UIT-R que son de particular interés para los países en desarrollo</w:t>
      </w:r>
      <w:bookmarkEnd w:id="14"/>
    </w:p>
    <w:p w:rsidR="00013F68" w:rsidRDefault="00013F68" w:rsidP="00133CDA">
      <w:pPr>
        <w:rPr>
          <w:lang w:val="es-ES_tradnl"/>
        </w:rPr>
      </w:pPr>
    </w:p>
    <w:p w:rsidR="00013F68" w:rsidRPr="00340022" w:rsidRDefault="00013F68" w:rsidP="005D26D2">
      <w:pPr>
        <w:pStyle w:val="Heading1"/>
        <w:rPr>
          <w:lang w:val="es-ES_tradnl"/>
        </w:rPr>
      </w:pPr>
      <w:bookmarkStart w:id="15" w:name="_Toc365036796"/>
      <w:bookmarkStart w:id="16" w:name="_Toc381259699"/>
      <w:bookmarkStart w:id="17" w:name="_Toc516397320"/>
      <w:bookmarkStart w:id="18" w:name="_Toc233465491"/>
      <w:r w:rsidRPr="00340022">
        <w:rPr>
          <w:lang w:val="es-ES_tradnl"/>
        </w:rPr>
        <w:t>1</w:t>
      </w:r>
      <w:r w:rsidRPr="00340022">
        <w:rPr>
          <w:lang w:val="es-ES_tradnl"/>
        </w:rPr>
        <w:tab/>
        <w:t>Introducción</w:t>
      </w:r>
      <w:bookmarkEnd w:id="15"/>
      <w:bookmarkEnd w:id="16"/>
    </w:p>
    <w:p w:rsidR="00013F68" w:rsidRPr="00A96787" w:rsidRDefault="00013F68" w:rsidP="005D26D2">
      <w:pPr>
        <w:rPr>
          <w:lang w:val="es-ES"/>
        </w:rPr>
      </w:pPr>
      <w:r w:rsidRPr="00A96787">
        <w:rPr>
          <w:rFonts w:cstheme="majorBidi"/>
          <w:bCs/>
          <w:lang w:val="es-ES"/>
        </w:rPr>
        <w:t xml:space="preserve">El mandato de la Cuestión 9-3/2, adoptado por la CMDT-10, consiste en la </w:t>
      </w:r>
      <w:r w:rsidRPr="00A96787">
        <w:rPr>
          <w:rFonts w:cstheme="majorBidi"/>
          <w:lang w:val="es-ES"/>
        </w:rPr>
        <w:t>"</w:t>
      </w:r>
      <w:r w:rsidRPr="00A96787">
        <w:rPr>
          <w:rFonts w:cstheme="majorBidi"/>
          <w:bCs/>
          <w:lang w:val="es-ES"/>
        </w:rPr>
        <w:t>i</w:t>
      </w:r>
      <w:r w:rsidRPr="00A96787">
        <w:rPr>
          <w:lang w:val="es-ES"/>
        </w:rPr>
        <w:t>dentificación de los temas que estudian las Comisiones de Estudio del UIT</w:t>
      </w:r>
      <w:r w:rsidRPr="00A96787">
        <w:rPr>
          <w:lang w:val="es-ES"/>
        </w:rPr>
        <w:noBreakHyphen/>
        <w:t>T y el UIT-R que son de particular interés para los países en desarrollo"</w:t>
      </w:r>
      <w:r w:rsidRPr="00A96787">
        <w:rPr>
          <w:rFonts w:cstheme="majorBidi"/>
          <w:bCs/>
          <w:lang w:val="es-ES"/>
        </w:rPr>
        <w:t xml:space="preserve">. Los trabajos de </w:t>
      </w:r>
      <w:r w:rsidRPr="00A96787">
        <w:rPr>
          <w:rFonts w:eastAsia="Times New Roman"/>
          <w:lang w:val="es-ES"/>
        </w:rPr>
        <w:t>esta Cuestión se efectúan en beneficio de ambas Comisiones de Estudio del UIT-D.</w:t>
      </w:r>
    </w:p>
    <w:p w:rsidR="00013F68" w:rsidRPr="00A96787" w:rsidRDefault="00013F68" w:rsidP="005D26D2">
      <w:pPr>
        <w:rPr>
          <w:lang w:val="es-ES"/>
        </w:rPr>
      </w:pPr>
      <w:r w:rsidRPr="00A96787">
        <w:rPr>
          <w:lang w:val="es-ES"/>
        </w:rPr>
        <w:t xml:space="preserve">Dicha Cuestión, creada por la CMDT-94, </w:t>
      </w:r>
      <w:r w:rsidRPr="00A96787">
        <w:rPr>
          <w:rStyle w:val="hps"/>
          <w:rFonts w:eastAsia="Times New Roman"/>
          <w:lang w:val="es-ES"/>
        </w:rPr>
        <w:t>fue renovada</w:t>
      </w:r>
      <w:r w:rsidRPr="00A96787">
        <w:rPr>
          <w:rFonts w:eastAsia="Times New Roman"/>
          <w:lang w:val="es-ES"/>
        </w:rPr>
        <w:t xml:space="preserve"> </w:t>
      </w:r>
      <w:r w:rsidRPr="00A96787">
        <w:rPr>
          <w:rStyle w:val="hps"/>
          <w:rFonts w:eastAsia="Times New Roman"/>
          <w:lang w:val="es-ES"/>
        </w:rPr>
        <w:t>por cuarta vez</w:t>
      </w:r>
      <w:r w:rsidRPr="00A96787">
        <w:rPr>
          <w:rFonts w:eastAsia="Times New Roman"/>
          <w:lang w:val="es-ES"/>
        </w:rPr>
        <w:t xml:space="preserve"> </w:t>
      </w:r>
      <w:r w:rsidRPr="00A96787">
        <w:rPr>
          <w:rStyle w:val="hps"/>
          <w:rFonts w:eastAsia="Times New Roman"/>
          <w:lang w:val="es-ES"/>
        </w:rPr>
        <w:t>en la</w:t>
      </w:r>
      <w:r w:rsidRPr="00A96787">
        <w:rPr>
          <w:rFonts w:eastAsia="Times New Roman"/>
          <w:lang w:val="es-ES"/>
        </w:rPr>
        <w:t xml:space="preserve"> </w:t>
      </w:r>
      <w:r w:rsidRPr="00A96787">
        <w:rPr>
          <w:rStyle w:val="hps"/>
          <w:rFonts w:eastAsia="Times New Roman"/>
          <w:lang w:val="es-ES"/>
        </w:rPr>
        <w:t>CMDT</w:t>
      </w:r>
      <w:r w:rsidRPr="00A96787">
        <w:rPr>
          <w:rStyle w:val="atn"/>
          <w:rFonts w:eastAsia="Times New Roman"/>
          <w:lang w:val="es-ES"/>
        </w:rPr>
        <w:t>-</w:t>
      </w:r>
      <w:r w:rsidRPr="00A96787">
        <w:rPr>
          <w:rFonts w:eastAsia="Times New Roman"/>
          <w:lang w:val="es-ES"/>
        </w:rPr>
        <w:t xml:space="preserve">10. </w:t>
      </w:r>
      <w:r w:rsidRPr="00A96787">
        <w:rPr>
          <w:rStyle w:val="hps"/>
          <w:rFonts w:eastAsia="Times New Roman"/>
          <w:lang w:val="es-ES"/>
        </w:rPr>
        <w:t>La elección de los</w:t>
      </w:r>
      <w:r w:rsidRPr="00A96787">
        <w:rPr>
          <w:rFonts w:eastAsia="Times New Roman"/>
          <w:lang w:val="es-ES"/>
        </w:rPr>
        <w:t xml:space="preserve"> </w:t>
      </w:r>
      <w:r w:rsidRPr="00A96787">
        <w:rPr>
          <w:rStyle w:val="hps"/>
          <w:rFonts w:eastAsia="Times New Roman"/>
          <w:lang w:val="es-ES"/>
        </w:rPr>
        <w:t>temas</w:t>
      </w:r>
      <w:r w:rsidRPr="00A96787">
        <w:rPr>
          <w:rFonts w:eastAsia="Times New Roman"/>
          <w:lang w:val="es-ES"/>
        </w:rPr>
        <w:t xml:space="preserve"> </w:t>
      </w:r>
      <w:r w:rsidRPr="00A96787">
        <w:rPr>
          <w:rStyle w:val="hps"/>
          <w:rFonts w:eastAsia="Times New Roman"/>
          <w:lang w:val="es-ES"/>
        </w:rPr>
        <w:t>se fundamenta en un</w:t>
      </w:r>
      <w:r w:rsidRPr="00A96787">
        <w:rPr>
          <w:rFonts w:eastAsia="Times New Roman"/>
          <w:lang w:val="es-ES"/>
        </w:rPr>
        <w:t xml:space="preserve"> </w:t>
      </w:r>
      <w:r w:rsidRPr="00A96787">
        <w:rPr>
          <w:rStyle w:val="hps"/>
          <w:rFonts w:eastAsia="Times New Roman"/>
          <w:lang w:val="es-ES"/>
        </w:rPr>
        <w:t>conjunto acordado</w:t>
      </w:r>
      <w:r w:rsidRPr="00A96787">
        <w:rPr>
          <w:rFonts w:eastAsia="Times New Roman"/>
          <w:lang w:val="es-ES"/>
        </w:rPr>
        <w:t xml:space="preserve"> </w:t>
      </w:r>
      <w:r w:rsidRPr="00A96787">
        <w:rPr>
          <w:rStyle w:val="hps"/>
          <w:rFonts w:eastAsia="Times New Roman"/>
          <w:lang w:val="es-ES"/>
        </w:rPr>
        <w:t>de Directrices que, por lo general, se adoptan en el marco de la primera reunión</w:t>
      </w:r>
      <w:r w:rsidRPr="00A96787">
        <w:rPr>
          <w:rFonts w:eastAsia="Times New Roman"/>
          <w:lang w:val="es-ES"/>
        </w:rPr>
        <w:t xml:space="preserve"> </w:t>
      </w:r>
      <w:r w:rsidRPr="00A96787">
        <w:rPr>
          <w:rStyle w:val="hps"/>
          <w:rFonts w:eastAsia="Times New Roman"/>
          <w:lang w:val="es-ES"/>
        </w:rPr>
        <w:t>de la Comisión de Estudio en base a</w:t>
      </w:r>
      <w:r w:rsidRPr="00A96787">
        <w:rPr>
          <w:rFonts w:eastAsia="Times New Roman"/>
          <w:lang w:val="es-ES"/>
        </w:rPr>
        <w:t xml:space="preserve"> </w:t>
      </w:r>
      <w:r w:rsidRPr="00A96787">
        <w:rPr>
          <w:rStyle w:val="hps"/>
          <w:rFonts w:eastAsia="Times New Roman"/>
          <w:lang w:val="es-ES"/>
        </w:rPr>
        <w:t>las propuestas formuladas por</w:t>
      </w:r>
      <w:r w:rsidRPr="00A96787">
        <w:rPr>
          <w:rFonts w:eastAsia="Times New Roman"/>
          <w:lang w:val="es-ES"/>
        </w:rPr>
        <w:t xml:space="preserve"> </w:t>
      </w:r>
      <w:r w:rsidRPr="00A96787">
        <w:rPr>
          <w:rStyle w:val="hps"/>
          <w:rFonts w:eastAsia="Times New Roman"/>
          <w:lang w:val="es-ES"/>
        </w:rPr>
        <w:t>los Relatores</w:t>
      </w:r>
      <w:r w:rsidRPr="00A96787">
        <w:rPr>
          <w:rFonts w:eastAsia="Times New Roman"/>
          <w:lang w:val="es-ES"/>
        </w:rPr>
        <w:t>.</w:t>
      </w:r>
    </w:p>
    <w:p w:rsidR="00013F68" w:rsidRPr="00A96787" w:rsidRDefault="00013F68" w:rsidP="005D26D2">
      <w:pPr>
        <w:rPr>
          <w:lang w:val="es-ES"/>
        </w:rPr>
      </w:pPr>
      <w:r w:rsidRPr="00A96787">
        <w:rPr>
          <w:rStyle w:val="hps"/>
          <w:rFonts w:eastAsia="Times New Roman"/>
          <w:lang w:val="es-ES"/>
        </w:rPr>
        <w:t>La Conferencia</w:t>
      </w:r>
      <w:r w:rsidRPr="00A96787">
        <w:rPr>
          <w:rFonts w:eastAsia="Times New Roman"/>
          <w:lang w:val="es-ES"/>
        </w:rPr>
        <w:t xml:space="preserve"> </w:t>
      </w:r>
      <w:r w:rsidRPr="00A96787">
        <w:rPr>
          <w:rStyle w:val="hps"/>
          <w:rFonts w:eastAsia="Times New Roman"/>
          <w:lang w:val="es-ES"/>
        </w:rPr>
        <w:t>Mundial de</w:t>
      </w:r>
      <w:r w:rsidRPr="00A96787">
        <w:rPr>
          <w:rFonts w:eastAsia="Times New Roman"/>
          <w:lang w:val="es-ES"/>
        </w:rPr>
        <w:t xml:space="preserve"> </w:t>
      </w:r>
      <w:r w:rsidRPr="00A96787">
        <w:rPr>
          <w:rStyle w:val="hps"/>
          <w:rFonts w:eastAsia="Times New Roman"/>
          <w:lang w:val="es-ES"/>
        </w:rPr>
        <w:t>Desarrollo de las Telecomunicaciones</w:t>
      </w:r>
      <w:r w:rsidRPr="00A96787">
        <w:rPr>
          <w:rFonts w:eastAsia="Times New Roman"/>
          <w:lang w:val="es-ES"/>
        </w:rPr>
        <w:t xml:space="preserve"> </w:t>
      </w:r>
      <w:r w:rsidRPr="00A96787">
        <w:rPr>
          <w:rStyle w:val="hps"/>
          <w:rFonts w:eastAsia="Times New Roman"/>
          <w:lang w:val="es-ES"/>
        </w:rPr>
        <w:t>(</w:t>
      </w:r>
      <w:proofErr w:type="spellStart"/>
      <w:r w:rsidRPr="00A96787">
        <w:rPr>
          <w:rStyle w:val="hps"/>
          <w:rFonts w:eastAsia="Times New Roman"/>
          <w:lang w:val="es-ES"/>
        </w:rPr>
        <w:t>Hyderabad</w:t>
      </w:r>
      <w:proofErr w:type="spellEnd"/>
      <w:r w:rsidRPr="00A96787">
        <w:rPr>
          <w:rStyle w:val="hps"/>
          <w:rFonts w:eastAsia="Times New Roman"/>
          <w:lang w:val="es-ES"/>
        </w:rPr>
        <w:t>,</w:t>
      </w:r>
      <w:r w:rsidRPr="00A96787">
        <w:rPr>
          <w:rFonts w:eastAsia="Times New Roman"/>
          <w:lang w:val="es-ES"/>
        </w:rPr>
        <w:t xml:space="preserve"> </w:t>
      </w:r>
      <w:r w:rsidRPr="00A96787">
        <w:rPr>
          <w:rStyle w:val="hps"/>
          <w:rFonts w:eastAsia="Times New Roman"/>
          <w:lang w:val="es-ES"/>
        </w:rPr>
        <w:t>2010</w:t>
      </w:r>
      <w:r w:rsidRPr="00A96787">
        <w:rPr>
          <w:rFonts w:eastAsia="Times New Roman"/>
          <w:lang w:val="es-ES"/>
        </w:rPr>
        <w:t xml:space="preserve">) adoptó </w:t>
      </w:r>
      <w:r w:rsidRPr="00A96787">
        <w:rPr>
          <w:rStyle w:val="hps"/>
          <w:rFonts w:eastAsia="Times New Roman"/>
          <w:lang w:val="es-ES"/>
        </w:rPr>
        <w:t>nuevos mandatos</w:t>
      </w:r>
      <w:r w:rsidRPr="00A96787">
        <w:rPr>
          <w:rFonts w:eastAsia="Times New Roman"/>
          <w:lang w:val="es-ES"/>
        </w:rPr>
        <w:t xml:space="preserve"> </w:t>
      </w:r>
      <w:r w:rsidRPr="00A96787">
        <w:rPr>
          <w:rStyle w:val="hps"/>
          <w:rFonts w:eastAsia="Times New Roman"/>
          <w:lang w:val="es-ES"/>
        </w:rPr>
        <w:t>para sendas Comisiones de Estudio</w:t>
      </w:r>
      <w:r w:rsidRPr="00A96787">
        <w:rPr>
          <w:rFonts w:eastAsia="Times New Roman"/>
          <w:lang w:val="es-ES"/>
        </w:rPr>
        <w:t xml:space="preserve">. </w:t>
      </w:r>
      <w:r w:rsidRPr="00A96787">
        <w:rPr>
          <w:rStyle w:val="hps"/>
          <w:rFonts w:eastAsia="Times New Roman"/>
          <w:lang w:val="es-ES"/>
        </w:rPr>
        <w:t>Su cometido ya no se basa en la separación</w:t>
      </w:r>
      <w:r w:rsidRPr="00A96787">
        <w:rPr>
          <w:rFonts w:eastAsia="Times New Roman"/>
          <w:lang w:val="es-ES"/>
        </w:rPr>
        <w:t xml:space="preserve"> </w:t>
      </w:r>
      <w:r w:rsidRPr="00A96787">
        <w:rPr>
          <w:rStyle w:val="hps"/>
          <w:rFonts w:eastAsia="Times New Roman"/>
          <w:lang w:val="es-ES"/>
        </w:rPr>
        <w:t>de las cuestiones técnicas</w:t>
      </w:r>
      <w:r w:rsidRPr="00A96787">
        <w:rPr>
          <w:rFonts w:eastAsia="Times New Roman"/>
          <w:lang w:val="es-ES"/>
        </w:rPr>
        <w:t xml:space="preserve"> </w:t>
      </w:r>
      <w:r w:rsidRPr="00A96787">
        <w:rPr>
          <w:rStyle w:val="hps"/>
          <w:rFonts w:eastAsia="Times New Roman"/>
          <w:lang w:val="es-ES"/>
        </w:rPr>
        <w:t>y de infraestructura</w:t>
      </w:r>
      <w:r w:rsidRPr="00A96787">
        <w:rPr>
          <w:rFonts w:eastAsia="Times New Roman"/>
          <w:lang w:val="es-ES"/>
        </w:rPr>
        <w:t xml:space="preserve"> por un lado, </w:t>
      </w:r>
      <w:r w:rsidRPr="00A96787">
        <w:rPr>
          <w:rStyle w:val="hps"/>
          <w:rFonts w:eastAsia="Times New Roman"/>
          <w:lang w:val="es-ES"/>
        </w:rPr>
        <w:t>y</w:t>
      </w:r>
      <w:r w:rsidRPr="00A96787">
        <w:rPr>
          <w:rFonts w:eastAsia="Times New Roman"/>
          <w:lang w:val="es-ES"/>
        </w:rPr>
        <w:t xml:space="preserve"> </w:t>
      </w:r>
      <w:r w:rsidRPr="00A96787">
        <w:rPr>
          <w:rStyle w:val="hps"/>
          <w:rFonts w:eastAsia="Times New Roman"/>
          <w:lang w:val="es-ES"/>
        </w:rPr>
        <w:t>reglamentarias, políticas</w:t>
      </w:r>
      <w:r w:rsidRPr="00A96787">
        <w:rPr>
          <w:rFonts w:eastAsia="Times New Roman"/>
          <w:lang w:val="es-ES"/>
        </w:rPr>
        <w:t xml:space="preserve"> </w:t>
      </w:r>
      <w:r w:rsidRPr="00A96787">
        <w:rPr>
          <w:rStyle w:val="hps"/>
          <w:rFonts w:eastAsia="Times New Roman"/>
          <w:lang w:val="es-ES"/>
        </w:rPr>
        <w:t>y económicas</w:t>
      </w:r>
      <w:r w:rsidRPr="00A96787">
        <w:rPr>
          <w:rFonts w:eastAsia="Times New Roman"/>
          <w:lang w:val="es-ES"/>
        </w:rPr>
        <w:t xml:space="preserve"> por otro. </w:t>
      </w:r>
      <w:r w:rsidRPr="00A96787">
        <w:rPr>
          <w:rStyle w:val="hps"/>
          <w:rFonts w:eastAsia="Times New Roman"/>
          <w:lang w:val="es-ES"/>
        </w:rPr>
        <w:t>Se ha modificado</w:t>
      </w:r>
      <w:r w:rsidRPr="00A96787">
        <w:rPr>
          <w:rFonts w:eastAsia="Times New Roman"/>
          <w:lang w:val="es-ES"/>
        </w:rPr>
        <w:t xml:space="preserve"> la </w:t>
      </w:r>
      <w:r w:rsidRPr="00A96787">
        <w:rPr>
          <w:rStyle w:val="hps"/>
          <w:rFonts w:eastAsia="Times New Roman"/>
          <w:lang w:val="es-ES"/>
        </w:rPr>
        <w:t>Resolución</w:t>
      </w:r>
      <w:r w:rsidRPr="00A96787">
        <w:rPr>
          <w:rFonts w:eastAsia="Times New Roman"/>
          <w:lang w:val="es-ES"/>
        </w:rPr>
        <w:t xml:space="preserve"> </w:t>
      </w:r>
      <w:r w:rsidRPr="00A96787">
        <w:rPr>
          <w:rStyle w:val="hps"/>
          <w:rFonts w:eastAsia="Times New Roman"/>
          <w:lang w:val="es-ES"/>
        </w:rPr>
        <w:t>2 a fin de que las Cuestiones puedan abarcar</w:t>
      </w:r>
      <w:r w:rsidRPr="00A96787">
        <w:rPr>
          <w:rFonts w:eastAsia="Times New Roman"/>
          <w:lang w:val="es-ES"/>
        </w:rPr>
        <w:t xml:space="preserve"> </w:t>
      </w:r>
      <w:r w:rsidRPr="00A96787">
        <w:rPr>
          <w:rStyle w:val="hps"/>
          <w:rFonts w:eastAsia="Times New Roman"/>
          <w:lang w:val="es-ES"/>
        </w:rPr>
        <w:t>todos los aspectos</w:t>
      </w:r>
      <w:r w:rsidRPr="00A96787">
        <w:rPr>
          <w:rFonts w:eastAsia="Times New Roman"/>
          <w:lang w:val="es-ES"/>
        </w:rPr>
        <w:t xml:space="preserve"> </w:t>
      </w:r>
      <w:r w:rsidRPr="00A96787">
        <w:rPr>
          <w:rStyle w:val="hps"/>
          <w:rFonts w:eastAsia="Times New Roman"/>
          <w:lang w:val="es-ES"/>
        </w:rPr>
        <w:t>relacionados con el tema</w:t>
      </w:r>
      <w:r w:rsidRPr="00A96787">
        <w:rPr>
          <w:rFonts w:eastAsia="Times New Roman"/>
          <w:lang w:val="es-ES"/>
        </w:rPr>
        <w:t xml:space="preserve">, los objetivos </w:t>
      </w:r>
      <w:r w:rsidRPr="00A96787">
        <w:rPr>
          <w:rStyle w:val="hps"/>
          <w:rFonts w:eastAsia="Times New Roman"/>
          <w:lang w:val="es-ES"/>
        </w:rPr>
        <w:t>y los resultados esperados, en virtud del Programa</w:t>
      </w:r>
      <w:r w:rsidRPr="00A96787">
        <w:rPr>
          <w:rFonts w:eastAsia="Times New Roman"/>
          <w:lang w:val="es-ES"/>
        </w:rPr>
        <w:t xml:space="preserve"> </w:t>
      </w:r>
      <w:r w:rsidRPr="00A96787">
        <w:rPr>
          <w:rStyle w:val="hps"/>
          <w:rFonts w:eastAsia="Times New Roman"/>
          <w:lang w:val="es-ES"/>
        </w:rPr>
        <w:t>correspondiente.</w:t>
      </w:r>
    </w:p>
    <w:p w:rsidR="00013F68" w:rsidRDefault="00013F68" w:rsidP="005D26D2">
      <w:pPr>
        <w:rPr>
          <w:lang w:val="es-ES"/>
        </w:rPr>
      </w:pPr>
      <w:r w:rsidRPr="00A96787">
        <w:rPr>
          <w:rStyle w:val="hps"/>
          <w:rFonts w:eastAsia="Times New Roman"/>
          <w:lang w:val="es-ES"/>
        </w:rPr>
        <w:t>Los</w:t>
      </w:r>
      <w:r w:rsidRPr="00A96787">
        <w:rPr>
          <w:rFonts w:eastAsia="Times New Roman"/>
          <w:lang w:val="es-ES"/>
        </w:rPr>
        <w:t xml:space="preserve"> </w:t>
      </w:r>
      <w:r w:rsidRPr="00A96787">
        <w:rPr>
          <w:rStyle w:val="hps"/>
          <w:rFonts w:eastAsia="Times New Roman"/>
          <w:lang w:val="es-ES"/>
        </w:rPr>
        <w:t>programas de trabajo de las Comisiones de Estudio del</w:t>
      </w:r>
      <w:r w:rsidRPr="00A96787">
        <w:rPr>
          <w:rFonts w:eastAsia="Times New Roman"/>
          <w:lang w:val="es-ES"/>
        </w:rPr>
        <w:t xml:space="preserve"> </w:t>
      </w:r>
      <w:r w:rsidRPr="00A96787">
        <w:rPr>
          <w:rStyle w:val="hps"/>
          <w:rFonts w:eastAsia="Times New Roman"/>
          <w:lang w:val="es-ES"/>
        </w:rPr>
        <w:t>UIT</w:t>
      </w:r>
      <w:r w:rsidRPr="00A96787">
        <w:rPr>
          <w:rFonts w:eastAsia="Times New Roman"/>
          <w:lang w:val="es-ES"/>
        </w:rPr>
        <w:t xml:space="preserve">-T </w:t>
      </w:r>
      <w:r w:rsidRPr="00A96787">
        <w:rPr>
          <w:rStyle w:val="hps"/>
          <w:rFonts w:eastAsia="Times New Roman"/>
          <w:lang w:val="es-ES"/>
        </w:rPr>
        <w:t>y el UIT</w:t>
      </w:r>
      <w:r w:rsidRPr="00A96787">
        <w:rPr>
          <w:rFonts w:eastAsia="Times New Roman"/>
          <w:lang w:val="es-ES"/>
        </w:rPr>
        <w:t xml:space="preserve">-R suman centenares de temas de estudio. Se espera que la </w:t>
      </w:r>
      <w:r w:rsidRPr="00A96787">
        <w:rPr>
          <w:rStyle w:val="hps"/>
          <w:rFonts w:eastAsia="Times New Roman"/>
          <w:lang w:val="es-ES"/>
        </w:rPr>
        <w:t>Cuestión</w:t>
      </w:r>
      <w:r w:rsidRPr="00A96787">
        <w:rPr>
          <w:rFonts w:eastAsia="Times New Roman"/>
          <w:lang w:val="es-ES"/>
        </w:rPr>
        <w:t xml:space="preserve"> </w:t>
      </w:r>
      <w:r w:rsidRPr="00A96787">
        <w:rPr>
          <w:rStyle w:val="hps"/>
          <w:rFonts w:eastAsia="Times New Roman"/>
          <w:lang w:val="es-ES"/>
        </w:rPr>
        <w:t>9-3/2</w:t>
      </w:r>
      <w:r w:rsidRPr="00A96787">
        <w:rPr>
          <w:rFonts w:eastAsia="Times New Roman"/>
          <w:lang w:val="es-ES"/>
        </w:rPr>
        <w:t xml:space="preserve"> </w:t>
      </w:r>
      <w:r w:rsidRPr="00A96787">
        <w:rPr>
          <w:rStyle w:val="hps"/>
          <w:rFonts w:eastAsia="Times New Roman"/>
          <w:lang w:val="es-ES"/>
        </w:rPr>
        <w:t>produzca los siguientes resultados</w:t>
      </w:r>
      <w:r w:rsidRPr="00A96787">
        <w:rPr>
          <w:rFonts w:eastAsia="Times New Roman"/>
          <w:lang w:val="es-ES"/>
        </w:rPr>
        <w:t>:</w:t>
      </w:r>
    </w:p>
    <w:p w:rsidR="00013F68" w:rsidRPr="005D26D2" w:rsidRDefault="00013F68" w:rsidP="005D26D2">
      <w:pPr>
        <w:pStyle w:val="Enumlevel1"/>
        <w:rPr>
          <w:rStyle w:val="hps"/>
          <w:rFonts w:asciiTheme="minorHAnsi" w:hAnsiTheme="minorHAnsi" w:cs="Simplified Arabic"/>
          <w:lang w:val="es-ES"/>
        </w:rPr>
      </w:pPr>
      <w:r w:rsidRPr="00340022">
        <w:rPr>
          <w:lang w:val="es-ES_tradnl"/>
        </w:rPr>
        <w:t>–</w:t>
      </w:r>
      <w:r w:rsidRPr="005D26D2">
        <w:rPr>
          <w:rStyle w:val="hps"/>
          <w:rFonts w:asciiTheme="minorHAnsi" w:hAnsiTheme="minorHAnsi" w:cs="Simplified Arabic"/>
          <w:lang w:val="es-ES"/>
        </w:rPr>
        <w:tab/>
        <w:t xml:space="preserve">directrices acordadas para el proceso de identificación de dichos temas; </w:t>
      </w:r>
    </w:p>
    <w:p w:rsidR="00013F68" w:rsidRPr="00340022" w:rsidRDefault="00013F68" w:rsidP="005D26D2">
      <w:pPr>
        <w:pStyle w:val="Enumlevel1"/>
        <w:rPr>
          <w:lang w:val="es-ES_tradnl"/>
        </w:rPr>
      </w:pPr>
      <w:r w:rsidRPr="00340022">
        <w:rPr>
          <w:lang w:val="es-ES_tradnl"/>
        </w:rPr>
        <w:t>–</w:t>
      </w:r>
      <w:r w:rsidRPr="00340022">
        <w:rPr>
          <w:lang w:val="es-ES_tradnl"/>
        </w:rPr>
        <w:tab/>
        <w:t>informes anuales sobre la marcha de los trabajos en los que se indique el estado de los temas seleccionados y, una vez concluido su estudio, de los resultados que puedan obtenerse.</w:t>
      </w:r>
    </w:p>
    <w:p w:rsidR="00013F68" w:rsidRPr="00340022" w:rsidRDefault="00013F68" w:rsidP="005D26D2">
      <w:pPr>
        <w:pStyle w:val="Heading1"/>
        <w:rPr>
          <w:lang w:val="es-ES_tradnl"/>
        </w:rPr>
      </w:pPr>
      <w:bookmarkStart w:id="19" w:name="_Toc365036797"/>
      <w:bookmarkStart w:id="20" w:name="_Toc381259700"/>
      <w:r w:rsidRPr="00340022">
        <w:rPr>
          <w:lang w:val="es-ES_tradnl"/>
        </w:rPr>
        <w:t>2</w:t>
      </w:r>
      <w:r w:rsidRPr="00340022">
        <w:rPr>
          <w:lang w:val="es-ES_tradnl"/>
        </w:rPr>
        <w:tab/>
        <w:t>Directrices</w:t>
      </w:r>
      <w:bookmarkEnd w:id="19"/>
      <w:bookmarkEnd w:id="20"/>
    </w:p>
    <w:p w:rsidR="00013F68" w:rsidRPr="00A96787" w:rsidRDefault="00013F68" w:rsidP="005D26D2">
      <w:pPr>
        <w:rPr>
          <w:lang w:val="es-ES"/>
        </w:rPr>
      </w:pPr>
      <w:r w:rsidRPr="00A96787">
        <w:rPr>
          <w:lang w:val="es-ES"/>
        </w:rPr>
        <w:t>Se identificaron los siguientes tipos de tema de estudio para la Cuestión 9-3/2:</w:t>
      </w:r>
    </w:p>
    <w:p w:rsidR="00013F68" w:rsidRPr="00340022" w:rsidRDefault="00013F68" w:rsidP="005D26D2">
      <w:pPr>
        <w:pStyle w:val="Enumlevel1"/>
        <w:rPr>
          <w:lang w:val="es-ES_tradnl"/>
        </w:rPr>
      </w:pPr>
      <w:r w:rsidRPr="00340022">
        <w:rPr>
          <w:lang w:val="es-ES_tradnl"/>
        </w:rPr>
        <w:t>–</w:t>
      </w:r>
      <w:r w:rsidRPr="00340022">
        <w:rPr>
          <w:lang w:val="es-ES_tradnl"/>
        </w:rPr>
        <w:tab/>
        <w:t>ámbitos generales de los estudios emprendidos en el UIT-T y el UIT-R que revisten interés para los países en desarrollo, articulados en función de las prioridades y los recursos disponibles;</w:t>
      </w:r>
    </w:p>
    <w:p w:rsidR="00013F68" w:rsidRPr="00340022" w:rsidRDefault="00013F68" w:rsidP="005D26D2">
      <w:pPr>
        <w:pStyle w:val="Enumlevel1"/>
        <w:rPr>
          <w:lang w:val="es-ES_tradnl"/>
        </w:rPr>
      </w:pPr>
      <w:r w:rsidRPr="00340022">
        <w:rPr>
          <w:lang w:val="es-ES_tradnl"/>
        </w:rPr>
        <w:t>–</w:t>
      </w:r>
      <w:r w:rsidRPr="00340022">
        <w:rPr>
          <w:lang w:val="es-ES_tradnl"/>
        </w:rPr>
        <w:tab/>
        <w:t>Cuestiones de las Comisiones de Estudio del UIT-T y el UIT-R que son pertinentes para las Cuestiones examinadas por las Comisiones de Estudio del UIT-D;</w:t>
      </w:r>
    </w:p>
    <w:p w:rsidR="00013F68" w:rsidRPr="00340022" w:rsidRDefault="00013F68" w:rsidP="005D26D2">
      <w:pPr>
        <w:pStyle w:val="Enumlevel1"/>
        <w:rPr>
          <w:lang w:val="es-ES_tradnl"/>
        </w:rPr>
      </w:pPr>
      <w:r w:rsidRPr="00340022">
        <w:rPr>
          <w:lang w:val="es-ES_tradnl"/>
        </w:rPr>
        <w:t>–</w:t>
      </w:r>
      <w:r w:rsidRPr="00340022">
        <w:rPr>
          <w:lang w:val="es-ES_tradnl"/>
        </w:rPr>
        <w:tab/>
        <w:t>otras Cuestiones pertinentes basadas en solicitudes de los miembros de la Comisión de Estudio durante el nuevo periodo de vida de esta Cuestión; y</w:t>
      </w:r>
    </w:p>
    <w:p w:rsidR="00013F68" w:rsidRPr="00340022" w:rsidRDefault="00013F68" w:rsidP="005D26D2">
      <w:pPr>
        <w:pStyle w:val="Enumlevel1"/>
        <w:rPr>
          <w:lang w:val="es-ES_tradnl"/>
        </w:rPr>
      </w:pPr>
      <w:r w:rsidRPr="00340022">
        <w:rPr>
          <w:lang w:val="es-ES_tradnl"/>
        </w:rPr>
        <w:t>–</w:t>
      </w:r>
      <w:r w:rsidRPr="00340022">
        <w:rPr>
          <w:lang w:val="es-ES_tradnl"/>
        </w:rPr>
        <w:tab/>
        <w:t xml:space="preserve">cualquier tema nuevo que no haya sido abordado por una Cuestión adoptada por la CMDT-10 para las Comisiones de Estudio 1 </w:t>
      </w:r>
      <w:proofErr w:type="spellStart"/>
      <w:r w:rsidRPr="00340022">
        <w:rPr>
          <w:lang w:val="es-ES_tradnl"/>
        </w:rPr>
        <w:t>ó</w:t>
      </w:r>
      <w:proofErr w:type="spellEnd"/>
      <w:r w:rsidRPr="00340022">
        <w:rPr>
          <w:lang w:val="es-ES_tradnl"/>
        </w:rPr>
        <w:t xml:space="preserve"> 2.</w:t>
      </w:r>
    </w:p>
    <w:p w:rsidR="00013F68" w:rsidRPr="00A96787" w:rsidRDefault="00013F68">
      <w:pPr>
        <w:spacing w:before="0"/>
        <w:rPr>
          <w:rFonts w:cstheme="majorBidi"/>
          <w:bCs/>
          <w:szCs w:val="19"/>
          <w:lang w:val="es-ES" w:eastAsia="en-US"/>
        </w:rPr>
      </w:pPr>
      <w:r w:rsidRPr="00A96787">
        <w:rPr>
          <w:rFonts w:cstheme="majorBidi"/>
          <w:lang w:val="es-ES"/>
        </w:rPr>
        <w:br w:type="page"/>
      </w:r>
    </w:p>
    <w:p w:rsidR="00013F68" w:rsidRPr="00340022" w:rsidRDefault="00013F68" w:rsidP="00080342">
      <w:pPr>
        <w:pStyle w:val="Heading1"/>
        <w:rPr>
          <w:lang w:val="es-ES_tradnl"/>
        </w:rPr>
      </w:pPr>
      <w:bookmarkStart w:id="21" w:name="_Toc365036798"/>
      <w:bookmarkStart w:id="22" w:name="_Toc381259701"/>
      <w:r w:rsidRPr="00340022">
        <w:rPr>
          <w:lang w:val="es-ES_tradnl"/>
        </w:rPr>
        <w:lastRenderedPageBreak/>
        <w:t>Sección 1: Cuestiones</w:t>
      </w:r>
      <w:r w:rsidRPr="00340022">
        <w:rPr>
          <w:vertAlign w:val="superscript"/>
          <w:lang w:val="es-ES_tradnl"/>
        </w:rPr>
        <w:footnoteReference w:customMarkFollows="1" w:id="2"/>
        <w:t>1</w:t>
      </w:r>
      <w:r w:rsidRPr="00340022">
        <w:rPr>
          <w:lang w:val="es-ES_tradnl"/>
        </w:rPr>
        <w:t>, Recomendaciones y Manuales del UIT-R de especial interés para los países en desarrollo</w:t>
      </w:r>
      <w:bookmarkEnd w:id="21"/>
      <w:bookmarkEnd w:id="22"/>
    </w:p>
    <w:p w:rsidR="00013F68" w:rsidRPr="00340022" w:rsidRDefault="00013F68" w:rsidP="00080342">
      <w:pPr>
        <w:pStyle w:val="Heading4"/>
        <w:rPr>
          <w:lang w:val="es-ES_tradnl"/>
        </w:rPr>
      </w:pPr>
      <w:bookmarkStart w:id="23" w:name="_Toc516397321"/>
      <w:bookmarkStart w:id="24" w:name="_Toc365036799"/>
      <w:bookmarkEnd w:id="17"/>
      <w:bookmarkEnd w:id="18"/>
      <w:r w:rsidRPr="00340022">
        <w:rPr>
          <w:lang w:val="es-ES_tradnl"/>
        </w:rPr>
        <w:t>UIT-R</w:t>
      </w:r>
      <w:bookmarkEnd w:id="23"/>
      <w:bookmarkEnd w:id="24"/>
    </w:p>
    <w:p w:rsidR="00013F68" w:rsidRPr="00A96787" w:rsidRDefault="00013F68" w:rsidP="00080342">
      <w:pPr>
        <w:rPr>
          <w:lang w:val="es-ES"/>
        </w:rPr>
      </w:pPr>
      <w:r w:rsidRPr="00A96787">
        <w:rPr>
          <w:lang w:val="es-ES"/>
        </w:rPr>
        <w:t>El cometido del Sector de Radiocomunicaciones es asegurar el uso racional, equitativo, eficaz y económico del espectro de radiofrecuencias por todos los servicios de comunicaciones, incluidos los servicios por satélite. Asimismo, se encarga de realizar estudios, sin límite de gama de frecuencias, que sirvan de base para la adopción de Recomendaciones.</w:t>
      </w:r>
    </w:p>
    <w:p w:rsidR="00013F68" w:rsidRPr="00A96787" w:rsidRDefault="00013F68" w:rsidP="00080342">
      <w:pPr>
        <w:rPr>
          <w:lang w:val="es-ES"/>
        </w:rPr>
      </w:pPr>
      <w:r w:rsidRPr="00A96787">
        <w:rPr>
          <w:lang w:val="es-ES"/>
        </w:rPr>
        <w:t xml:space="preserve">Las funciones reglamentarias y de política del Sector de las Radiocomunicaciones son ejecutadas por las Conferencias Mundiales y Regionales de Radiocomunicaciones, así como por las Asambleas de Radiocomunicaciones, apoyadas por las Comisiones de Estudio. </w:t>
      </w:r>
    </w:p>
    <w:p w:rsidR="00013F68" w:rsidRPr="00A96787" w:rsidRDefault="00013F68" w:rsidP="00080342">
      <w:pPr>
        <w:rPr>
          <w:rFonts w:cstheme="majorBidi"/>
          <w:lang w:val="es-ES"/>
        </w:rPr>
      </w:pPr>
      <w:r w:rsidRPr="00A96787">
        <w:rPr>
          <w:rFonts w:cstheme="majorBidi"/>
          <w:lang w:val="es-ES"/>
        </w:rPr>
        <w:t>La especialidad del Sector de Radiocomunicaciones de la UIT consiste en favorecer la colaboración internacional a fin de asegurar la utilización racional, equitativa, eficaz y económica del espectro de frecuencias radioeléctricas y de las órbitas de los satélites, mediante:</w:t>
      </w:r>
    </w:p>
    <w:p w:rsidR="00013F68" w:rsidRPr="00340022" w:rsidRDefault="00013F68" w:rsidP="00080342">
      <w:pPr>
        <w:pStyle w:val="Enumlevel1"/>
        <w:rPr>
          <w:lang w:val="es-ES_tradnl"/>
        </w:rPr>
      </w:pPr>
      <w:r w:rsidRPr="00340022">
        <w:rPr>
          <w:lang w:val="es-ES_tradnl"/>
        </w:rPr>
        <w:t>1)</w:t>
      </w:r>
      <w:r w:rsidRPr="00340022">
        <w:rPr>
          <w:lang w:val="es-ES_tradnl"/>
        </w:rPr>
        <w:tab/>
        <w:t xml:space="preserve">la celebración de Conferencias Mundiales y Regionales de Radiocomunicaciones destinadas a ampliar y adoptar el Reglamento de Radiocomunicaciones y los Acuerdos Regionales relativos a la utilización del espectro de frecuencias radioeléctricas; </w:t>
      </w:r>
    </w:p>
    <w:p w:rsidR="00013F68" w:rsidRPr="00340022" w:rsidRDefault="00013F68" w:rsidP="00080342">
      <w:pPr>
        <w:pStyle w:val="Enumlevel1"/>
        <w:rPr>
          <w:lang w:val="es-ES_tradnl"/>
        </w:rPr>
      </w:pPr>
      <w:r w:rsidRPr="00340022">
        <w:rPr>
          <w:lang w:val="es-ES_tradnl"/>
        </w:rPr>
        <w:t>2)</w:t>
      </w:r>
      <w:r w:rsidRPr="00340022">
        <w:rPr>
          <w:lang w:val="es-ES_tradnl"/>
        </w:rPr>
        <w:tab/>
        <w:t xml:space="preserve">la formulación de Recomendaciones UIT-R, elaboradas por las Comisiones de Estudio (CE) de Radiocomunicaciones en el marco establecido por las Asambleas de Radiocomunicaciones, sobre las características técnicas y los procedimientos operacionales de los servicios y sistemas de radiocomunicaciones; </w:t>
      </w:r>
    </w:p>
    <w:p w:rsidR="00013F68" w:rsidRPr="00340022" w:rsidRDefault="00013F68" w:rsidP="00080342">
      <w:pPr>
        <w:pStyle w:val="Enumlevel1"/>
        <w:rPr>
          <w:lang w:val="es-ES_tradnl"/>
        </w:rPr>
      </w:pPr>
      <w:r w:rsidRPr="00340022">
        <w:rPr>
          <w:lang w:val="es-ES_tradnl"/>
        </w:rPr>
        <w:t>3)</w:t>
      </w:r>
      <w:r w:rsidRPr="00340022">
        <w:rPr>
          <w:lang w:val="es-ES_tradnl"/>
        </w:rPr>
        <w:tab/>
        <w:t xml:space="preserve">la coordinación de la labor encaminada a suprimir las interferencias perjudiciales entre estaciones radioeléctricas de diferentes países; </w:t>
      </w:r>
    </w:p>
    <w:p w:rsidR="00013F68" w:rsidRPr="00340022" w:rsidRDefault="00013F68" w:rsidP="00080342">
      <w:pPr>
        <w:pStyle w:val="Enumlevel1"/>
        <w:rPr>
          <w:lang w:val="es-ES_tradnl"/>
        </w:rPr>
      </w:pPr>
      <w:r w:rsidRPr="00340022">
        <w:rPr>
          <w:lang w:val="es-ES_tradnl"/>
        </w:rPr>
        <w:t>4)</w:t>
      </w:r>
      <w:r w:rsidRPr="00340022">
        <w:rPr>
          <w:lang w:val="es-ES_tradnl"/>
        </w:rPr>
        <w:tab/>
        <w:t xml:space="preserve">la actualización del Registro Internacional de Frecuencias; y </w:t>
      </w:r>
    </w:p>
    <w:p w:rsidR="00013F68" w:rsidRPr="00340022" w:rsidRDefault="00013F68" w:rsidP="00080342">
      <w:pPr>
        <w:pStyle w:val="Enumlevel1"/>
        <w:rPr>
          <w:lang w:val="es-ES_tradnl"/>
        </w:rPr>
      </w:pPr>
      <w:r w:rsidRPr="00340022">
        <w:rPr>
          <w:lang w:val="es-ES_tradnl"/>
        </w:rPr>
        <w:t>5)</w:t>
      </w:r>
      <w:r w:rsidRPr="00340022">
        <w:rPr>
          <w:lang w:val="es-ES_tradnl"/>
        </w:rPr>
        <w:tab/>
        <w:t xml:space="preserve">el establecimiento de mecanismos, el suministro de información y la organización de seminarios para contribuir a la gestión del espectro de frecuencias radioeléctricas a escala nacional. </w:t>
      </w:r>
    </w:p>
    <w:p w:rsidR="00013F68" w:rsidRPr="00340022" w:rsidRDefault="00013F68" w:rsidP="00C97A96">
      <w:pPr>
        <w:pStyle w:val="Heading4"/>
        <w:rPr>
          <w:lang w:val="es-ES_tradnl"/>
        </w:rPr>
      </w:pPr>
      <w:bookmarkStart w:id="25" w:name="_Toc365036800"/>
      <w:r w:rsidRPr="00340022">
        <w:rPr>
          <w:lang w:val="es-ES_tradnl"/>
        </w:rPr>
        <w:t>Conferencias Mundiales de Radiocomunicaciones</w:t>
      </w:r>
      <w:bookmarkEnd w:id="25"/>
    </w:p>
    <w:p w:rsidR="00013F68" w:rsidRPr="00A96787" w:rsidRDefault="00013F68" w:rsidP="005A4281">
      <w:pPr>
        <w:spacing w:line="240" w:lineRule="atLeast"/>
        <w:rPr>
          <w:rFonts w:cstheme="majorBidi"/>
          <w:szCs w:val="19"/>
          <w:lang w:val="es-ES"/>
        </w:rPr>
      </w:pPr>
      <w:r w:rsidRPr="00A96787">
        <w:rPr>
          <w:rFonts w:cstheme="majorBidi"/>
          <w:szCs w:val="19"/>
          <w:lang w:val="es-ES"/>
        </w:rPr>
        <w:t xml:space="preserve">Las </w:t>
      </w:r>
      <w:r w:rsidRPr="00A96787">
        <w:rPr>
          <w:rFonts w:eastAsia="Times New Roman"/>
          <w:lang w:val="es-ES"/>
        </w:rPr>
        <w:t>Conferencias Mundiales de Radiocomunicaciones</w:t>
      </w:r>
      <w:r w:rsidRPr="00A96787">
        <w:rPr>
          <w:rFonts w:cstheme="majorBidi"/>
          <w:szCs w:val="19"/>
          <w:lang w:val="es-ES"/>
        </w:rPr>
        <w:t xml:space="preserve"> (CMR) se celebran cada tres o cuatro años. La labor de las CMR consiste en examinar y, en caso necesario, modificar el Reglamento de Radiocomunicaciones, que es el tratado internacional por el cual se rige la utilización del espectro de frecuencias radioeléctricas, de la órbita de los satélites geoestacionarios y de las otras órbitas. Las modificaciones se realizan sobre la base de un orden del día determinado por el Consejo de la UIT, que tiene en cuenta las recomendaciones formuladas por las anteriores conferencias mundiales de radiocomunicaciones.</w:t>
      </w:r>
    </w:p>
    <w:p w:rsidR="00013F68" w:rsidRPr="00A96787" w:rsidRDefault="00013F68" w:rsidP="00C97A96">
      <w:pPr>
        <w:rPr>
          <w:lang w:val="es-ES"/>
        </w:rPr>
      </w:pPr>
      <w:r w:rsidRPr="00A96787">
        <w:rPr>
          <w:lang w:val="es-ES"/>
        </w:rPr>
        <w:t>El ámbito general del orden del día de las conferencias mundiales de radiocomunicaciones ha de establecerse con entre cuatro y seis años de antelación, y el orden del día definitivo deberá definirlo el Consejo dos años antes de la Conferencia con el acuerdo de la mayoría de los Estados Miembros.</w:t>
      </w:r>
    </w:p>
    <w:p w:rsidR="00013F68" w:rsidRPr="00A96787" w:rsidRDefault="00013F68" w:rsidP="00C97A96">
      <w:pPr>
        <w:rPr>
          <w:lang w:val="es-ES"/>
        </w:rPr>
      </w:pPr>
      <w:r w:rsidRPr="00A96787">
        <w:rPr>
          <w:lang w:val="es-ES"/>
        </w:rPr>
        <w:t>De conformidad con la Constitución de la UIT, las CMR están facultadas para:</w:t>
      </w:r>
    </w:p>
    <w:p w:rsidR="00013F68" w:rsidRPr="00340022" w:rsidRDefault="00013F68" w:rsidP="004D2F38">
      <w:pPr>
        <w:pStyle w:val="Enumlevel1"/>
        <w:numPr>
          <w:ilvl w:val="0"/>
          <w:numId w:val="31"/>
        </w:numPr>
        <w:ind w:left="567" w:hanging="567"/>
        <w:rPr>
          <w:lang w:val="es-ES_tradnl"/>
        </w:rPr>
      </w:pPr>
      <w:r w:rsidRPr="00340022">
        <w:rPr>
          <w:lang w:val="es-ES_tradnl"/>
        </w:rPr>
        <w:t>revisar el Reglamento de Radiocomunicaciones y cualesquiera planes de asignación y adjudicación de frecuencias asociados;</w:t>
      </w:r>
    </w:p>
    <w:p w:rsidR="00013F68" w:rsidRPr="00340022" w:rsidRDefault="00013F68" w:rsidP="004D2F38">
      <w:pPr>
        <w:pStyle w:val="Enumlevel1"/>
        <w:numPr>
          <w:ilvl w:val="0"/>
          <w:numId w:val="31"/>
        </w:numPr>
        <w:ind w:left="567" w:hanging="567"/>
        <w:rPr>
          <w:lang w:val="es-ES_tradnl"/>
        </w:rPr>
      </w:pPr>
      <w:r w:rsidRPr="00340022">
        <w:rPr>
          <w:lang w:val="es-ES_tradnl"/>
        </w:rPr>
        <w:t>tratar cualquier cuestión de carácter mundial relacionada con las radiocomunicaciones;</w:t>
      </w:r>
    </w:p>
    <w:p w:rsidR="00013F68" w:rsidRPr="00340022" w:rsidRDefault="00013F68" w:rsidP="004D2F38">
      <w:pPr>
        <w:pStyle w:val="Enumlevel1"/>
        <w:numPr>
          <w:ilvl w:val="0"/>
          <w:numId w:val="31"/>
        </w:numPr>
        <w:ind w:left="567" w:hanging="567"/>
        <w:rPr>
          <w:lang w:val="es-ES_tradnl"/>
        </w:rPr>
      </w:pPr>
      <w:r w:rsidRPr="00340022">
        <w:rPr>
          <w:lang w:val="es-ES_tradnl"/>
        </w:rPr>
        <w:lastRenderedPageBreak/>
        <w:t>dar instrucciones a la Junta del Reglamento de Radiocomunicaciones y a la Oficina de Radiocomunicaciones, y examinar sus actividades; y</w:t>
      </w:r>
    </w:p>
    <w:p w:rsidR="00013F68" w:rsidRPr="00340022" w:rsidRDefault="00013F68" w:rsidP="004D2F38">
      <w:pPr>
        <w:pStyle w:val="Enumlevel1"/>
        <w:numPr>
          <w:ilvl w:val="0"/>
          <w:numId w:val="31"/>
        </w:numPr>
        <w:ind w:left="567" w:hanging="567"/>
        <w:rPr>
          <w:lang w:val="es-ES_tradnl"/>
        </w:rPr>
      </w:pPr>
      <w:r w:rsidRPr="00340022">
        <w:rPr>
          <w:lang w:val="es-ES_tradnl"/>
        </w:rPr>
        <w:t>determinar los temas que hayan de estudiar la Asamblea de Radiocomunicaciones y las Comisiones de Estudio de Radiocomunicaciones, así como los asuntos que la Asamblea deba examinar en relación con futuras Conferencias de Radiocomunicaciones.</w:t>
      </w:r>
    </w:p>
    <w:p w:rsidR="00013F68" w:rsidRPr="00A96787" w:rsidRDefault="00013F68" w:rsidP="005A4281">
      <w:pPr>
        <w:spacing w:line="240" w:lineRule="atLeast"/>
        <w:rPr>
          <w:rFonts w:cstheme="majorBidi"/>
          <w:szCs w:val="19"/>
          <w:lang w:val="es-ES"/>
        </w:rPr>
      </w:pPr>
      <w:r w:rsidRPr="00A96787">
        <w:rPr>
          <w:rFonts w:eastAsia="Times New Roman"/>
          <w:lang w:val="es-ES"/>
        </w:rPr>
        <w:t xml:space="preserve">La Reunión Preparatoria de la Conferencia (RPC) elabora un informe refundido que se utiliza como base para el trabajo de las </w:t>
      </w:r>
      <w:r w:rsidRPr="00A96787">
        <w:rPr>
          <w:szCs w:val="19"/>
          <w:lang w:val="es-ES"/>
        </w:rPr>
        <w:t>Conferencias Mundiales y Regionales de Radiocomunicaciones, fundamentándose</w:t>
      </w:r>
      <w:r w:rsidRPr="00A96787">
        <w:rPr>
          <w:rFonts w:cstheme="majorBidi"/>
          <w:szCs w:val="19"/>
          <w:lang w:val="es-ES"/>
        </w:rPr>
        <w:t xml:space="preserve"> en </w:t>
      </w:r>
      <w:r w:rsidRPr="00A96787">
        <w:rPr>
          <w:rFonts w:eastAsia="Times New Roman"/>
          <w:lang w:val="es-ES"/>
        </w:rPr>
        <w:t>las contribuciones presentadas por las administraciones, la Comisión Especial, las Comisiones de Estudio de Radiocomunicaciones y otras fuentes relacionadas con los temas reglamentarios, técnicos, de explotación y de procedimiento que habrán de examinar tales conferencias.</w:t>
      </w:r>
    </w:p>
    <w:p w:rsidR="00013F68" w:rsidRPr="00A96787" w:rsidRDefault="00013F68" w:rsidP="005A4281">
      <w:pPr>
        <w:spacing w:line="240" w:lineRule="atLeast"/>
        <w:rPr>
          <w:rFonts w:cstheme="majorBidi"/>
          <w:szCs w:val="19"/>
          <w:lang w:val="es-ES"/>
        </w:rPr>
      </w:pPr>
      <w:r w:rsidRPr="00A96787">
        <w:rPr>
          <w:rFonts w:cstheme="majorBidi"/>
          <w:szCs w:val="19"/>
          <w:lang w:val="es-ES"/>
        </w:rPr>
        <w:t>La última CMR se celebró en Ginebra del 23 de enero al 17 de febrero de 2012.</w:t>
      </w:r>
    </w:p>
    <w:p w:rsidR="00013F68" w:rsidRPr="00340022" w:rsidRDefault="00013F68" w:rsidP="00C97A96">
      <w:pPr>
        <w:pStyle w:val="Heading4"/>
        <w:rPr>
          <w:lang w:val="es-ES_tradnl"/>
        </w:rPr>
      </w:pPr>
      <w:bookmarkStart w:id="26" w:name="_Toc365036801"/>
      <w:r w:rsidRPr="00340022">
        <w:rPr>
          <w:lang w:val="es-ES_tradnl"/>
        </w:rPr>
        <w:t>Asambleas de Radiocomunicaciones</w:t>
      </w:r>
      <w:bookmarkEnd w:id="26"/>
    </w:p>
    <w:p w:rsidR="00013F68" w:rsidRPr="00A96787" w:rsidRDefault="00013F68" w:rsidP="005A4281">
      <w:pPr>
        <w:rPr>
          <w:rFonts w:cstheme="majorBidi"/>
          <w:szCs w:val="19"/>
          <w:lang w:val="es-ES"/>
        </w:rPr>
      </w:pPr>
      <w:r w:rsidRPr="00A96787">
        <w:rPr>
          <w:rFonts w:cstheme="majorBidi"/>
          <w:szCs w:val="19"/>
          <w:lang w:val="es-ES"/>
        </w:rPr>
        <w:t>Las Asambleas de Radiocomunicaciones (AR) son responsables de la estructura, el programa y la aprobación de los estudios sobre radiocomunicaciones. Dichas Asambleas se celebran normalmente cada tres o cuatro años y pueden coincidir en tiempo y lugar con las Conferencias de Radiocomunicaciones.</w:t>
      </w:r>
    </w:p>
    <w:p w:rsidR="00013F68" w:rsidRPr="00A96787" w:rsidRDefault="00013F68" w:rsidP="00C97A96">
      <w:pPr>
        <w:rPr>
          <w:lang w:val="es-ES"/>
        </w:rPr>
      </w:pPr>
      <w:r w:rsidRPr="00A96787">
        <w:rPr>
          <w:lang w:val="es-ES"/>
        </w:rPr>
        <w:t>Las Asambleas:</w:t>
      </w:r>
    </w:p>
    <w:p w:rsidR="00013F68" w:rsidRPr="00340022" w:rsidRDefault="00013F68" w:rsidP="004D2F38">
      <w:pPr>
        <w:pStyle w:val="Enumlevel1"/>
        <w:numPr>
          <w:ilvl w:val="0"/>
          <w:numId w:val="31"/>
        </w:numPr>
        <w:ind w:left="567" w:hanging="567"/>
        <w:rPr>
          <w:lang w:val="es-ES_tradnl"/>
        </w:rPr>
      </w:pPr>
      <w:r w:rsidRPr="00340022">
        <w:rPr>
          <w:lang w:val="es-ES_tradnl"/>
        </w:rPr>
        <w:t>asignan los trabajos preparatorios de las conferencias y otras cuestiones a las Comisiones de Estudio;</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responden a otras peticiones de las conferencias de la UIT; </w:t>
      </w:r>
    </w:p>
    <w:p w:rsidR="00013F68" w:rsidRPr="00340022" w:rsidRDefault="00013F68" w:rsidP="004D2F38">
      <w:pPr>
        <w:pStyle w:val="Enumlevel1"/>
        <w:numPr>
          <w:ilvl w:val="0"/>
          <w:numId w:val="31"/>
        </w:numPr>
        <w:ind w:left="567" w:hanging="567"/>
        <w:rPr>
          <w:lang w:val="es-ES_tradnl"/>
        </w:rPr>
      </w:pPr>
      <w:r w:rsidRPr="00340022">
        <w:rPr>
          <w:lang w:val="es-ES_tradnl"/>
        </w:rPr>
        <w:t>sugieren temas adecuados para los órdenes del día de futuras CMR;</w:t>
      </w:r>
    </w:p>
    <w:p w:rsidR="00013F68" w:rsidRPr="00340022" w:rsidRDefault="00013F68" w:rsidP="004D2F38">
      <w:pPr>
        <w:pStyle w:val="Enumlevel1"/>
        <w:numPr>
          <w:ilvl w:val="0"/>
          <w:numId w:val="31"/>
        </w:numPr>
        <w:ind w:left="567" w:hanging="567"/>
        <w:rPr>
          <w:lang w:val="es-ES_tradnl"/>
        </w:rPr>
      </w:pPr>
      <w:r w:rsidRPr="00340022">
        <w:rPr>
          <w:lang w:val="es-ES_tradnl"/>
        </w:rPr>
        <w:t>aprueban y publican Recomendaciones UIT-R y Cuestiones UIT-R elaboradas por las Comisiones de Estudio; y</w:t>
      </w:r>
    </w:p>
    <w:p w:rsidR="00013F68" w:rsidRPr="00340022" w:rsidRDefault="00013F68" w:rsidP="004D2F38">
      <w:pPr>
        <w:pStyle w:val="Enumlevel1"/>
        <w:numPr>
          <w:ilvl w:val="0"/>
          <w:numId w:val="31"/>
        </w:numPr>
        <w:ind w:left="567" w:hanging="567"/>
        <w:rPr>
          <w:lang w:val="es-ES_tradnl"/>
        </w:rPr>
      </w:pPr>
      <w:r w:rsidRPr="00340022">
        <w:rPr>
          <w:lang w:val="es-ES_tradnl"/>
        </w:rPr>
        <w:t>definen el programa de trabajo de las Comisiones de Estudio y disuelven o establecen Comisiones de Estudio de acuerdo con las necesidades.</w:t>
      </w:r>
    </w:p>
    <w:p w:rsidR="00013F68" w:rsidRPr="00A96787" w:rsidRDefault="00013F68" w:rsidP="005A4281">
      <w:pPr>
        <w:rPr>
          <w:rFonts w:cstheme="majorBidi"/>
          <w:szCs w:val="19"/>
          <w:lang w:val="es-ES"/>
        </w:rPr>
      </w:pPr>
      <w:r w:rsidRPr="00A96787">
        <w:rPr>
          <w:rStyle w:val="hps"/>
          <w:rFonts w:eastAsia="Times New Roman"/>
          <w:lang w:val="es-ES"/>
        </w:rPr>
        <w:t>La última Asamblea</w:t>
      </w:r>
      <w:r w:rsidRPr="00A96787">
        <w:rPr>
          <w:rFonts w:eastAsia="Times New Roman"/>
          <w:lang w:val="es-ES"/>
        </w:rPr>
        <w:t xml:space="preserve"> </w:t>
      </w:r>
      <w:r w:rsidRPr="00A96787">
        <w:rPr>
          <w:rStyle w:val="hps"/>
          <w:rFonts w:eastAsia="Times New Roman"/>
          <w:lang w:val="es-ES"/>
        </w:rPr>
        <w:t>de Radiocomunicaciones se celebró</w:t>
      </w:r>
      <w:r w:rsidRPr="00A96787">
        <w:rPr>
          <w:rFonts w:eastAsia="Times New Roman"/>
          <w:lang w:val="es-ES"/>
        </w:rPr>
        <w:t xml:space="preserve"> </w:t>
      </w:r>
      <w:r w:rsidRPr="00A96787">
        <w:rPr>
          <w:rStyle w:val="hps"/>
          <w:rFonts w:eastAsia="Times New Roman"/>
          <w:lang w:val="es-ES"/>
        </w:rPr>
        <w:t>en Ginebra del</w:t>
      </w:r>
      <w:r w:rsidRPr="00A96787">
        <w:rPr>
          <w:rFonts w:eastAsia="Times New Roman"/>
          <w:lang w:val="es-ES"/>
        </w:rPr>
        <w:t xml:space="preserve"> </w:t>
      </w:r>
      <w:r w:rsidRPr="00A96787">
        <w:rPr>
          <w:rStyle w:val="hps"/>
          <w:rFonts w:eastAsia="Times New Roman"/>
          <w:lang w:val="es-ES"/>
        </w:rPr>
        <w:t>16 al 20 de enero 2012</w:t>
      </w:r>
      <w:r w:rsidRPr="00A96787">
        <w:rPr>
          <w:rFonts w:eastAsia="Times New Roman"/>
          <w:lang w:val="es-ES"/>
        </w:rPr>
        <w:t xml:space="preserve">. </w:t>
      </w:r>
      <w:r w:rsidRPr="00A96787">
        <w:rPr>
          <w:rStyle w:val="hps"/>
          <w:rFonts w:eastAsia="Times New Roman"/>
          <w:lang w:val="es-ES"/>
        </w:rPr>
        <w:t>Esta Asamblea</w:t>
      </w:r>
      <w:r w:rsidRPr="00A96787">
        <w:rPr>
          <w:rFonts w:eastAsia="Times New Roman"/>
          <w:lang w:val="es-ES"/>
        </w:rPr>
        <w:t xml:space="preserve"> </w:t>
      </w:r>
      <w:r w:rsidRPr="00A96787">
        <w:rPr>
          <w:rStyle w:val="hps"/>
          <w:rFonts w:eastAsia="Times New Roman"/>
          <w:lang w:val="es-ES"/>
        </w:rPr>
        <w:t>mantuvo la estructura</w:t>
      </w:r>
      <w:r w:rsidRPr="00A96787">
        <w:rPr>
          <w:rFonts w:eastAsia="Times New Roman"/>
          <w:lang w:val="es-ES"/>
        </w:rPr>
        <w:t xml:space="preserve"> </w:t>
      </w:r>
      <w:r w:rsidRPr="00A96787">
        <w:rPr>
          <w:rStyle w:val="hps"/>
          <w:rFonts w:eastAsia="Times New Roman"/>
          <w:lang w:val="es-ES"/>
        </w:rPr>
        <w:t>de</w:t>
      </w:r>
      <w:r w:rsidRPr="00A96787">
        <w:rPr>
          <w:rFonts w:eastAsia="Times New Roman"/>
          <w:lang w:val="es-ES"/>
        </w:rPr>
        <w:t xml:space="preserve"> </w:t>
      </w:r>
      <w:r w:rsidRPr="00A96787">
        <w:rPr>
          <w:rStyle w:val="hps"/>
          <w:rFonts w:eastAsia="Times New Roman"/>
          <w:lang w:val="es-ES"/>
        </w:rPr>
        <w:t>las Comisiones de Estudio</w:t>
      </w:r>
      <w:r w:rsidRPr="00A96787">
        <w:rPr>
          <w:rFonts w:eastAsia="Times New Roman"/>
          <w:lang w:val="es-ES"/>
        </w:rPr>
        <w:t xml:space="preserve"> </w:t>
      </w:r>
      <w:r w:rsidRPr="00A96787">
        <w:rPr>
          <w:rStyle w:val="hps"/>
          <w:rFonts w:eastAsia="Times New Roman"/>
          <w:lang w:val="es-ES"/>
        </w:rPr>
        <w:t>del UIT-R</w:t>
      </w:r>
      <w:r w:rsidRPr="00A96787">
        <w:rPr>
          <w:rFonts w:eastAsia="Times New Roman"/>
          <w:lang w:val="es-ES"/>
        </w:rPr>
        <w:t xml:space="preserve"> </w:t>
      </w:r>
      <w:r w:rsidRPr="00A96787">
        <w:rPr>
          <w:rStyle w:val="hps"/>
          <w:rFonts w:eastAsia="Times New Roman"/>
          <w:lang w:val="es-ES"/>
        </w:rPr>
        <w:t>sin</w:t>
      </w:r>
      <w:r w:rsidRPr="00A96787">
        <w:rPr>
          <w:rFonts w:eastAsia="Times New Roman"/>
          <w:lang w:val="es-ES"/>
        </w:rPr>
        <w:t xml:space="preserve"> </w:t>
      </w:r>
      <w:r w:rsidRPr="00A96787">
        <w:rPr>
          <w:rStyle w:val="hps"/>
          <w:rFonts w:eastAsia="Times New Roman"/>
          <w:lang w:val="es-ES"/>
        </w:rPr>
        <w:t>modificaciones.</w:t>
      </w:r>
    </w:p>
    <w:p w:rsidR="00013F68" w:rsidRPr="00340022" w:rsidRDefault="00013F68" w:rsidP="00C97A96">
      <w:pPr>
        <w:pStyle w:val="Heading4"/>
        <w:rPr>
          <w:lang w:val="es-ES_tradnl"/>
        </w:rPr>
      </w:pPr>
      <w:bookmarkStart w:id="27" w:name="_Toc365036802"/>
      <w:r w:rsidRPr="00340022">
        <w:rPr>
          <w:lang w:val="es-ES_tradnl"/>
        </w:rPr>
        <w:t>Estructura del UIT-R</w:t>
      </w:r>
      <w:bookmarkEnd w:id="27"/>
    </w:p>
    <w:p w:rsidR="00013F68" w:rsidRDefault="00013F68" w:rsidP="005A4281">
      <w:pPr>
        <w:rPr>
          <w:rFonts w:cstheme="majorBidi"/>
          <w:szCs w:val="19"/>
          <w:lang w:val="es-ES"/>
        </w:rPr>
      </w:pPr>
      <w:r w:rsidRPr="00A96787">
        <w:rPr>
          <w:rFonts w:cstheme="majorBidi"/>
          <w:szCs w:val="19"/>
          <w:lang w:val="es-ES"/>
        </w:rPr>
        <w:t xml:space="preserve">La </w:t>
      </w:r>
      <w:r w:rsidRPr="00A96787">
        <w:rPr>
          <w:rStyle w:val="hps"/>
          <w:rFonts w:eastAsia="Times New Roman"/>
          <w:lang w:val="es-ES"/>
        </w:rPr>
        <w:t>Asamblea</w:t>
      </w:r>
      <w:r w:rsidRPr="00A96787">
        <w:rPr>
          <w:rFonts w:eastAsia="Times New Roman"/>
          <w:lang w:val="es-ES"/>
        </w:rPr>
        <w:t xml:space="preserve"> </w:t>
      </w:r>
      <w:r w:rsidRPr="00A96787">
        <w:rPr>
          <w:rStyle w:val="hps"/>
          <w:rFonts w:eastAsia="Times New Roman"/>
          <w:lang w:val="es-ES"/>
        </w:rPr>
        <w:t>de Radiocomunicaciones</w:t>
      </w:r>
      <w:r w:rsidRPr="00A96787">
        <w:rPr>
          <w:rFonts w:cstheme="majorBidi"/>
          <w:szCs w:val="19"/>
          <w:lang w:val="es-ES"/>
        </w:rPr>
        <w:t xml:space="preserve"> (Ginebra, 2012) </w:t>
      </w:r>
      <w:r w:rsidRPr="00A96787">
        <w:rPr>
          <w:rStyle w:val="hps"/>
          <w:rFonts w:eastAsia="Times New Roman"/>
          <w:lang w:val="es-ES"/>
        </w:rPr>
        <w:t>mantuvo la estructura</w:t>
      </w:r>
      <w:r w:rsidRPr="00A96787">
        <w:rPr>
          <w:rFonts w:eastAsia="Times New Roman"/>
          <w:lang w:val="es-ES"/>
        </w:rPr>
        <w:t xml:space="preserve"> </w:t>
      </w:r>
      <w:r w:rsidRPr="00A96787">
        <w:rPr>
          <w:rStyle w:val="hps"/>
          <w:rFonts w:eastAsia="Times New Roman"/>
          <w:lang w:val="es-ES"/>
        </w:rPr>
        <w:t>de</w:t>
      </w:r>
      <w:r w:rsidRPr="00A96787">
        <w:rPr>
          <w:rFonts w:eastAsia="Times New Roman"/>
          <w:lang w:val="es-ES"/>
        </w:rPr>
        <w:t xml:space="preserve"> </w:t>
      </w:r>
      <w:r w:rsidRPr="00A96787">
        <w:rPr>
          <w:rStyle w:val="hps"/>
          <w:rFonts w:eastAsia="Times New Roman"/>
          <w:lang w:val="es-ES"/>
        </w:rPr>
        <w:t>las Comisiones de Estudio</w:t>
      </w:r>
      <w:r w:rsidRPr="00A96787">
        <w:rPr>
          <w:rFonts w:eastAsia="Times New Roman"/>
          <w:lang w:val="es-ES"/>
        </w:rPr>
        <w:t xml:space="preserve"> </w:t>
      </w:r>
      <w:r w:rsidRPr="00A96787">
        <w:rPr>
          <w:rStyle w:val="hps"/>
          <w:rFonts w:eastAsia="Times New Roman"/>
          <w:lang w:val="es-ES"/>
        </w:rPr>
        <w:t>del UIT-R como sigue</w:t>
      </w:r>
      <w:r w:rsidRPr="00A96787">
        <w:rPr>
          <w:rFonts w:cstheme="majorBidi"/>
          <w:szCs w:val="19"/>
          <w:lang w:val="es-ES"/>
        </w:rPr>
        <w:t>:</w:t>
      </w:r>
    </w:p>
    <w:p w:rsidR="00C97A96" w:rsidRPr="00340022" w:rsidRDefault="00C97A96" w:rsidP="00C97A96">
      <w:pPr>
        <w:pStyle w:val="Figure"/>
        <w:spacing w:before="0" w:after="0"/>
        <w:rPr>
          <w:lang w:val="es-ES_tradnl"/>
        </w:rPr>
      </w:pPr>
    </w:p>
    <w:p w:rsidR="00C97A96" w:rsidRDefault="00C97A96" w:rsidP="00C97A96">
      <w:pPr>
        <w:pStyle w:val="Figure"/>
        <w:spacing w:before="120" w:after="0"/>
      </w:pPr>
      <w:r w:rsidRPr="00CA783C">
        <w:rPr>
          <w:rFonts w:cs="Calibri"/>
          <w:b/>
          <w:noProof/>
          <w:szCs w:val="21"/>
          <w:lang w:val="en-US" w:eastAsia="zh-CN"/>
        </w:rPr>
        <w:drawing>
          <wp:inline distT="0" distB="0" distL="0" distR="0" wp14:anchorId="70D3ACB9" wp14:editId="0396345D">
            <wp:extent cx="3326400" cy="3186000"/>
            <wp:effectExtent l="0" t="0" r="762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6400" cy="3186000"/>
                    </a:xfrm>
                    <a:prstGeom prst="rect">
                      <a:avLst/>
                    </a:prstGeom>
                    <a:noFill/>
                    <a:ln w="9525">
                      <a:noFill/>
                      <a:miter lim="800000"/>
                      <a:headEnd/>
                      <a:tailEnd/>
                    </a:ln>
                  </pic:spPr>
                </pic:pic>
              </a:graphicData>
            </a:graphic>
          </wp:inline>
        </w:drawing>
      </w:r>
    </w:p>
    <w:p w:rsidR="00C97A96" w:rsidRDefault="00C97A96" w:rsidP="00C97A96">
      <w:pPr>
        <w:pStyle w:val="Figure"/>
        <w:spacing w:before="0" w:after="0"/>
      </w:pPr>
    </w:p>
    <w:p w:rsidR="00013F68" w:rsidRPr="00340022" w:rsidRDefault="00013F68" w:rsidP="00C97A96">
      <w:pPr>
        <w:pStyle w:val="Heading4"/>
        <w:rPr>
          <w:lang w:val="es-ES_tradnl"/>
        </w:rPr>
      </w:pPr>
      <w:bookmarkStart w:id="28" w:name="_Toc365036803"/>
      <w:bookmarkStart w:id="29" w:name="_Toc233465492"/>
      <w:bookmarkStart w:id="30" w:name="_Toc516397322"/>
      <w:r w:rsidRPr="00340022">
        <w:rPr>
          <w:lang w:val="es-ES_tradnl"/>
        </w:rPr>
        <w:t>Talleres del UIT-R</w:t>
      </w:r>
      <w:bookmarkEnd w:id="28"/>
    </w:p>
    <w:p w:rsidR="00013F68" w:rsidRPr="00A02067" w:rsidRDefault="00013F68" w:rsidP="00A02067">
      <w:pPr>
        <w:tabs>
          <w:tab w:val="left" w:pos="794"/>
          <w:tab w:val="left" w:pos="1191"/>
          <w:tab w:val="left" w:pos="1588"/>
          <w:tab w:val="left" w:pos="1985"/>
        </w:tabs>
        <w:overflowPunct w:val="0"/>
        <w:autoSpaceDE w:val="0"/>
        <w:autoSpaceDN w:val="0"/>
        <w:adjustRightInd w:val="0"/>
        <w:textAlignment w:val="baseline"/>
        <w:rPr>
          <w:rFonts w:eastAsia="Times New Roman"/>
          <w:szCs w:val="19"/>
          <w:lang w:val="es-ES" w:eastAsia="en-US"/>
        </w:rPr>
      </w:pPr>
      <w:r w:rsidRPr="00A02067">
        <w:rPr>
          <w:rFonts w:eastAsia="Times New Roman"/>
          <w:szCs w:val="19"/>
          <w:lang w:val="es-ES" w:eastAsia="en-US"/>
        </w:rPr>
        <w:t>La Oficina de Radiocomunicaciones (BR) organiza, en Ginebra, seminarios mundiales sobre gestión del espectro cada dos años, orientados en particular a las necesidades de los países en desarrollo. Los objetivos principales de los seminarios y talleres de la BR son: asistir a los Estados Miembros en las actividades de gestión del espectro, por ejemplo, mediante cursos de formación, reuniones informativas, seminarios, elaboración de manuales y entrega de instrumentos de gestión automatizada del espectro; y ampliar la asistencia que se ofrece a los Estados Miembros para coordinar y registrar las asignaciones de frecuencia, así como para aplicar el Reglamento de Radiocomunicaciones, prestando especial atención a los países en desarrollo y a los Estados Miembros que se hayan incorporado recientemente a la Unión.</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Fonts w:eastAsia="Times New Roman"/>
          <w:szCs w:val="19"/>
          <w:lang w:val="es-ES" w:eastAsia="en-US"/>
        </w:rPr>
        <w:t>La BR organiza asimismo</w:t>
      </w:r>
      <w:r w:rsidRPr="00A96787">
        <w:rPr>
          <w:rFonts w:eastAsia="Times New Roman"/>
          <w:lang w:val="es-ES"/>
        </w:rPr>
        <w:t>, a petición, sesiones individuales de formación en Ginebra. Dichas sesiones suelen impartirse en paralelo con importantes reuniones del UIT-R, y la BR procura agruparlas en periodos de una semana.</w:t>
      </w:r>
    </w:p>
    <w:p w:rsidR="00013F68" w:rsidRPr="00A96787" w:rsidRDefault="00013F68" w:rsidP="00A02067">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Para obtener información más detallada,</w:t>
      </w:r>
      <w:r w:rsidRPr="00A96787">
        <w:rPr>
          <w:lang w:val="es-ES"/>
        </w:rPr>
        <w:t xml:space="preserve"> </w:t>
      </w:r>
      <w:r w:rsidRPr="00A96787">
        <w:rPr>
          <w:rStyle w:val="hps"/>
          <w:lang w:val="es-ES"/>
        </w:rPr>
        <w:t xml:space="preserve">sírvase consultar </w:t>
      </w:r>
      <w:r w:rsidRPr="00A96787">
        <w:rPr>
          <w:rFonts w:eastAsia="Times New Roman"/>
          <w:lang w:val="es-ES"/>
        </w:rPr>
        <w:t>el siguiente sitio web</w:t>
      </w:r>
      <w:r w:rsidRPr="00A96787">
        <w:rPr>
          <w:rFonts w:eastAsia="Times New Roman"/>
          <w:szCs w:val="19"/>
          <w:lang w:val="es-ES" w:eastAsia="en-US"/>
        </w:rPr>
        <w:t xml:space="preserve">: </w:t>
      </w:r>
      <w:hyperlink r:id="rId21" w:history="1">
        <w:r w:rsidR="00A02067" w:rsidRPr="00E80B01">
          <w:rPr>
            <w:rStyle w:val="Hyperlink"/>
            <w:lang w:val="es-ES"/>
          </w:rPr>
          <w:t>http://itu.int/ITU-R/index.asp?category=conferences&amp;rlink=seminars</w:t>
        </w:r>
      </w:hyperlink>
    </w:p>
    <w:p w:rsidR="00013F68" w:rsidRPr="00340022" w:rsidRDefault="00013F68" w:rsidP="005256C4">
      <w:pPr>
        <w:pStyle w:val="Heading4"/>
        <w:rPr>
          <w:lang w:val="es-ES_tradnl"/>
        </w:rPr>
      </w:pPr>
      <w:bookmarkStart w:id="31" w:name="_Toc365036804"/>
      <w:r w:rsidRPr="00340022">
        <w:rPr>
          <w:lang w:val="es-ES_tradnl"/>
        </w:rPr>
        <w:t>Recomendaciones UIT-R</w:t>
      </w:r>
      <w:bookmarkEnd w:id="31"/>
    </w:p>
    <w:p w:rsidR="00013F68" w:rsidRPr="00A96787" w:rsidRDefault="00013F68" w:rsidP="005A4281">
      <w:pPr>
        <w:rPr>
          <w:rFonts w:cstheme="majorBidi"/>
          <w:color w:val="000000"/>
          <w:szCs w:val="19"/>
          <w:lang w:val="es-ES"/>
        </w:rPr>
      </w:pPr>
      <w:r w:rsidRPr="00A96787">
        <w:rPr>
          <w:rFonts w:cstheme="majorBidi"/>
          <w:color w:val="000000"/>
          <w:szCs w:val="19"/>
          <w:lang w:val="es-ES"/>
        </w:rPr>
        <w:t>Las Recomendaciones UIT-R constituyen un conjunto de normas técnicas internacionales desarrolladas por el Sector de Radiocomunicaciones. Del mismo modo, son el resultado de los trabajos efectuados por las Comisiones de Estudio de Radiocomunicaciones en materia de:</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utilización de una amplia gama de servicios inalámbricos, incluidas las nuevas tecnologías de comunicación móvil; </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gestión del espectro de radiofrecuencia y las órbitas de satélite; </w:t>
      </w:r>
    </w:p>
    <w:p w:rsidR="00013F68" w:rsidRPr="00340022" w:rsidRDefault="00013F68" w:rsidP="004D2F38">
      <w:pPr>
        <w:pStyle w:val="Enumlevel1"/>
        <w:numPr>
          <w:ilvl w:val="0"/>
          <w:numId w:val="31"/>
        </w:numPr>
        <w:ind w:left="567" w:hanging="567"/>
        <w:rPr>
          <w:lang w:val="es-ES_tradnl"/>
        </w:rPr>
      </w:pPr>
      <w:r w:rsidRPr="00340022">
        <w:rPr>
          <w:lang w:val="es-ES_tradnl"/>
        </w:rPr>
        <w:t>uso eficaz del espectro de radiofrecuencia por todos los servicios de radiocomunicaciones;</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radiodifusión terrenal y radiocomunicaciones por satélite; </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propagación de las ondas radioeléctricas; </w:t>
      </w:r>
    </w:p>
    <w:p w:rsidR="00013F68" w:rsidRPr="00340022" w:rsidRDefault="00013F68" w:rsidP="004D2F38">
      <w:pPr>
        <w:pStyle w:val="Enumlevel1"/>
        <w:numPr>
          <w:ilvl w:val="0"/>
          <w:numId w:val="31"/>
        </w:numPr>
        <w:ind w:left="567" w:hanging="567"/>
        <w:rPr>
          <w:lang w:val="es-ES_tradnl"/>
        </w:rPr>
      </w:pPr>
      <w:r w:rsidRPr="00340022">
        <w:rPr>
          <w:lang w:val="es-ES_tradnl"/>
        </w:rPr>
        <w:lastRenderedPageBreak/>
        <w:t>sistemas y redes terrenales y por satélite; y</w:t>
      </w:r>
    </w:p>
    <w:p w:rsidR="00013F68" w:rsidRPr="00340022" w:rsidRDefault="00013F68" w:rsidP="004D2F38">
      <w:pPr>
        <w:pStyle w:val="Enumlevel1"/>
        <w:numPr>
          <w:ilvl w:val="0"/>
          <w:numId w:val="31"/>
        </w:numPr>
        <w:ind w:left="567" w:hanging="567"/>
        <w:rPr>
          <w:lang w:val="es-ES_tradnl"/>
        </w:rPr>
      </w:pPr>
      <w:r w:rsidRPr="00340022">
        <w:rPr>
          <w:lang w:val="es-ES_tradnl"/>
        </w:rPr>
        <w:t>operaciones espaciales, servicio de exploración de la Tierra por satélite, servicio de meteorología por satélite y servicio de radioastronomía.</w:t>
      </w:r>
    </w:p>
    <w:p w:rsidR="00013F68" w:rsidRDefault="00013F68" w:rsidP="005A4281">
      <w:pPr>
        <w:spacing w:before="100" w:after="100" w:line="240" w:lineRule="atLeast"/>
        <w:rPr>
          <w:rFonts w:eastAsia="Times New Roman" w:cstheme="majorBidi"/>
          <w:bCs/>
          <w:color w:val="000000"/>
          <w:szCs w:val="19"/>
          <w:lang w:val="es-ES" w:eastAsia="en-US"/>
        </w:rPr>
      </w:pPr>
      <w:r w:rsidRPr="00A96787">
        <w:rPr>
          <w:rFonts w:eastAsia="Times New Roman"/>
          <w:lang w:val="es-ES"/>
        </w:rPr>
        <w:t>Las Recomendaciones UIT-R se aprueban por consenso entre los Estados Miembros de la UIT. Su aplicación no es obligatoria, salvo las incorporadas por referencia en el Reglamento de Radiocomunicaciones</w:t>
      </w:r>
      <w:r w:rsidRPr="00A96787">
        <w:rPr>
          <w:rFonts w:eastAsia="Times New Roman" w:cstheme="majorBidi"/>
          <w:color w:val="000000"/>
          <w:szCs w:val="19"/>
          <w:lang w:val="es-ES" w:eastAsia="en-US"/>
        </w:rPr>
        <w:t>.</w:t>
      </w:r>
    </w:p>
    <w:p w:rsidR="00013F68" w:rsidRPr="00A96787" w:rsidRDefault="00013F68" w:rsidP="00EF6847">
      <w:pPr>
        <w:rPr>
          <w:lang w:val="es-ES" w:eastAsia="en-US"/>
        </w:rPr>
      </w:pPr>
      <w:r w:rsidRPr="00CD16D5">
        <w:rPr>
          <w:rFonts w:eastAsia="Times New Roman" w:cstheme="majorBidi"/>
          <w:color w:val="000000"/>
          <w:szCs w:val="19"/>
          <w:lang w:val="es-ES" w:eastAsia="en-US"/>
        </w:rPr>
        <w:t>Las versiones más recientes de las Recomendaciones vigentes están publicadas y disponibles en</w:t>
      </w:r>
      <w:r>
        <w:rPr>
          <w:rFonts w:eastAsia="Times New Roman" w:cstheme="majorBidi"/>
          <w:color w:val="000000"/>
          <w:szCs w:val="19"/>
          <w:lang w:val="es-ES" w:eastAsia="en-US"/>
        </w:rPr>
        <w:t xml:space="preserve">: </w:t>
      </w:r>
      <w:hyperlink r:id="rId22" w:history="1">
        <w:r w:rsidR="00EF6847">
          <w:rPr>
            <w:rStyle w:val="Hyperlink"/>
            <w:rFonts w:eastAsia="Times New Roman" w:cstheme="majorBidi"/>
            <w:szCs w:val="19"/>
            <w:lang w:val="es-ES_tradnl" w:eastAsia="en-US"/>
          </w:rPr>
          <w:t>www</w:t>
        </w:r>
        <w:r w:rsidRPr="00CD16D5">
          <w:rPr>
            <w:rStyle w:val="Hyperlink"/>
            <w:rFonts w:eastAsia="Times New Roman" w:cstheme="majorBidi"/>
            <w:szCs w:val="19"/>
            <w:lang w:val="es-ES_tradnl" w:eastAsia="en-US"/>
          </w:rPr>
          <w:t>.itu.int/pub/R-REC</w:t>
        </w:r>
      </w:hyperlink>
      <w:r>
        <w:rPr>
          <w:rFonts w:eastAsia="Times New Roman" w:cstheme="majorBidi"/>
          <w:color w:val="000000"/>
          <w:szCs w:val="19"/>
          <w:lang w:val="es-ES" w:eastAsia="en-US"/>
        </w:rPr>
        <w:t>.</w:t>
      </w:r>
    </w:p>
    <w:p w:rsidR="00013F68" w:rsidRPr="00340022" w:rsidRDefault="00013F68" w:rsidP="00A806FE">
      <w:pPr>
        <w:pStyle w:val="Heading4"/>
        <w:rPr>
          <w:lang w:val="es-ES_tradnl"/>
        </w:rPr>
      </w:pPr>
      <w:bookmarkStart w:id="32" w:name="_Toc365036805"/>
      <w:r w:rsidRPr="00340022">
        <w:rPr>
          <w:lang w:val="es-ES_tradnl"/>
        </w:rPr>
        <w:t>Informes UIT-R</w:t>
      </w:r>
    </w:p>
    <w:p w:rsidR="00013F68" w:rsidRPr="00A96787" w:rsidRDefault="00013F68" w:rsidP="00EF6847">
      <w:pPr>
        <w:rPr>
          <w:lang w:val="es-ES" w:eastAsia="en-US"/>
        </w:rPr>
      </w:pPr>
      <w:r w:rsidRPr="00A96787">
        <w:rPr>
          <w:rFonts w:eastAsia="Times New Roman" w:cstheme="majorBidi"/>
          <w:color w:val="000000"/>
          <w:szCs w:val="19"/>
          <w:lang w:val="es-ES" w:eastAsia="en-US"/>
        </w:rPr>
        <w:t xml:space="preserve">Los Informes UIT-R son una declaración técnica, operativa o de procedimiento </w:t>
      </w:r>
      <w:proofErr w:type="gramStart"/>
      <w:r w:rsidRPr="00A96787">
        <w:rPr>
          <w:rFonts w:eastAsia="Times New Roman" w:cstheme="majorBidi"/>
          <w:color w:val="000000"/>
          <w:szCs w:val="19"/>
          <w:lang w:val="es-ES" w:eastAsia="en-US"/>
        </w:rPr>
        <w:t>preparada</w:t>
      </w:r>
      <w:proofErr w:type="gramEnd"/>
      <w:r w:rsidRPr="00A96787">
        <w:rPr>
          <w:rFonts w:eastAsia="Times New Roman" w:cstheme="majorBidi"/>
          <w:color w:val="000000"/>
          <w:szCs w:val="19"/>
          <w:lang w:val="es-ES" w:eastAsia="en-US"/>
        </w:rPr>
        <w:t xml:space="preserve"> por una Comisión de Estudio del UIT-R sobre un determinado tema relacionado con una Cuestión vigente del UIT</w:t>
      </w:r>
      <w:r>
        <w:rPr>
          <w:rFonts w:eastAsia="Times New Roman" w:cstheme="majorBidi"/>
          <w:color w:val="000000"/>
          <w:szCs w:val="19"/>
          <w:lang w:val="es-ES" w:eastAsia="en-US"/>
        </w:rPr>
        <w:noBreakHyphen/>
      </w:r>
      <w:r w:rsidRPr="00A96787">
        <w:rPr>
          <w:rFonts w:eastAsia="Times New Roman" w:cstheme="majorBidi"/>
          <w:color w:val="000000"/>
          <w:szCs w:val="19"/>
          <w:lang w:val="es-ES" w:eastAsia="en-US"/>
        </w:rPr>
        <w:t xml:space="preserve">R o con los resultados de estudios del UIT-R. Los Informes UIT-R se publican y están disponibles en: </w:t>
      </w:r>
      <w:hyperlink r:id="rId23" w:history="1">
        <w:r w:rsidR="00EF6847">
          <w:rPr>
            <w:rStyle w:val="Hyperlink"/>
            <w:rFonts w:eastAsia="Times New Roman" w:cstheme="majorBidi"/>
            <w:szCs w:val="19"/>
            <w:lang w:val="es-ES_tradnl" w:eastAsia="en-US"/>
          </w:rPr>
          <w:t>www</w:t>
        </w:r>
        <w:r w:rsidRPr="00DE7B11">
          <w:rPr>
            <w:rStyle w:val="Hyperlink"/>
            <w:rFonts w:eastAsia="Times New Roman" w:cstheme="majorBidi"/>
            <w:szCs w:val="19"/>
            <w:lang w:val="es-ES_tradnl" w:eastAsia="en-US"/>
          </w:rPr>
          <w:t>.itu.int/pub/R-REP</w:t>
        </w:r>
      </w:hyperlink>
      <w:r w:rsidRPr="00A96787">
        <w:rPr>
          <w:rFonts w:eastAsia="Times New Roman"/>
          <w:lang w:val="es-ES"/>
        </w:rPr>
        <w:t>.</w:t>
      </w:r>
    </w:p>
    <w:p w:rsidR="00013F68" w:rsidRPr="00340022" w:rsidRDefault="00013F68" w:rsidP="00A806FE">
      <w:pPr>
        <w:pStyle w:val="Heading4"/>
        <w:rPr>
          <w:lang w:val="es-ES_tradnl"/>
        </w:rPr>
      </w:pPr>
      <w:r w:rsidRPr="00340022">
        <w:rPr>
          <w:lang w:val="es-ES_tradnl"/>
        </w:rPr>
        <w:t>Manuales UIT-R</w:t>
      </w:r>
      <w:bookmarkEnd w:id="32"/>
    </w:p>
    <w:p w:rsidR="00013F68" w:rsidRPr="00A96787" w:rsidRDefault="00013F68" w:rsidP="00EF6847">
      <w:pPr>
        <w:rPr>
          <w:lang w:val="es-ES" w:eastAsia="en-US"/>
        </w:rPr>
      </w:pPr>
      <w:r w:rsidRPr="00A96787">
        <w:rPr>
          <w:rFonts w:eastAsia="Times New Roman" w:cstheme="majorBidi"/>
          <w:color w:val="000000"/>
          <w:szCs w:val="19"/>
          <w:lang w:val="es-ES" w:eastAsia="en-US"/>
        </w:rPr>
        <w:t xml:space="preserve">Un </w:t>
      </w:r>
      <w:r w:rsidRPr="00A96787">
        <w:rPr>
          <w:rFonts w:eastAsia="Times New Roman"/>
          <w:lang w:val="es-ES"/>
        </w:rPr>
        <w:t>Manual UIT-R es un texto que aporta una descripción de los conocimientos existentes, la situación actual de los estudios o las técnicas o prácticas de explotación idóneas, en relación con ciertos aspectos de las radiocomunicaciones. Este tipo de texto va dirigido a ingenieros de radiocomunicaciones y a especialistas en planificación de sistemas o encargados de la explotación que planifiquen, diseñen o utilicen servicios o sistemas radioeléctricos, y hace especial hincapié en las necesidades de los países en desarrollo.</w:t>
      </w:r>
      <w:r w:rsidRPr="00A96787">
        <w:rPr>
          <w:rFonts w:eastAsia="Times New Roman" w:cstheme="majorBidi"/>
          <w:color w:val="000000"/>
          <w:szCs w:val="19"/>
          <w:lang w:val="es-ES" w:eastAsia="en-US"/>
        </w:rPr>
        <w:t xml:space="preserve"> Los Manuales UIT-R se publican y están disponibles en: </w:t>
      </w:r>
      <w:hyperlink r:id="rId24" w:history="1">
        <w:r w:rsidR="00EF6847">
          <w:rPr>
            <w:rStyle w:val="Hyperlink"/>
            <w:rFonts w:eastAsia="Times New Roman" w:cstheme="majorBidi"/>
            <w:szCs w:val="19"/>
            <w:lang w:val="es-ES_tradnl" w:eastAsia="en-US"/>
          </w:rPr>
          <w:t>www</w:t>
        </w:r>
        <w:r w:rsidRPr="00DE7B11">
          <w:rPr>
            <w:rStyle w:val="Hyperlink"/>
            <w:rFonts w:eastAsia="Times New Roman" w:cstheme="majorBidi"/>
            <w:szCs w:val="19"/>
            <w:lang w:val="es-ES_tradnl" w:eastAsia="en-US"/>
          </w:rPr>
          <w:t>.itu.int/pub/R-HDB</w:t>
        </w:r>
      </w:hyperlink>
      <w:r>
        <w:rPr>
          <w:rFonts w:eastAsia="Times New Roman" w:cstheme="majorBidi"/>
          <w:color w:val="000000"/>
          <w:szCs w:val="19"/>
          <w:lang w:val="es-ES" w:eastAsia="en-US"/>
        </w:rPr>
        <w:t>.</w:t>
      </w:r>
    </w:p>
    <w:p w:rsidR="00013F68" w:rsidRPr="00340022" w:rsidRDefault="00013F68" w:rsidP="00F72855">
      <w:pPr>
        <w:pStyle w:val="Heading4"/>
        <w:rPr>
          <w:lang w:val="es-ES_tradnl"/>
        </w:rPr>
      </w:pPr>
      <w:bookmarkStart w:id="33" w:name="_Toc365036806"/>
      <w:r w:rsidRPr="00340022">
        <w:rPr>
          <w:lang w:val="es-ES_tradnl"/>
        </w:rPr>
        <w:t>Grupo Asesor de Radiocomunicaciones (GAR)</w:t>
      </w:r>
      <w:bookmarkEnd w:id="33"/>
    </w:p>
    <w:p w:rsidR="00013F68" w:rsidRPr="00A96787" w:rsidRDefault="00013F68" w:rsidP="005A4281">
      <w:pPr>
        <w:rPr>
          <w:rFonts w:eastAsia="Times New Roman" w:cstheme="majorBidi"/>
          <w:bCs/>
          <w:color w:val="000000"/>
          <w:szCs w:val="19"/>
          <w:lang w:val="es-ES" w:eastAsia="en-US"/>
        </w:rPr>
      </w:pPr>
      <w:r w:rsidRPr="00A96787">
        <w:rPr>
          <w:rFonts w:eastAsia="Times New Roman" w:cstheme="majorBidi"/>
          <w:color w:val="000000"/>
          <w:szCs w:val="19"/>
          <w:lang w:val="es-ES" w:eastAsia="en-US"/>
        </w:rPr>
        <w:t>El Grupo Asesor de Radiocomunicaciones (GAR) tiene las siguientes funciones:</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analiza las prioridades y estrategias adoptadas en el Sector; </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supervisa la evolución de los trabajos de las Comisiones de Estudio; </w:t>
      </w:r>
    </w:p>
    <w:p w:rsidR="00013F68" w:rsidRPr="00340022" w:rsidRDefault="00013F68" w:rsidP="004D2F38">
      <w:pPr>
        <w:pStyle w:val="Enumlevel1"/>
        <w:numPr>
          <w:ilvl w:val="0"/>
          <w:numId w:val="31"/>
        </w:numPr>
        <w:ind w:left="567" w:hanging="567"/>
        <w:rPr>
          <w:lang w:val="es-ES_tradnl"/>
        </w:rPr>
      </w:pPr>
      <w:r w:rsidRPr="00340022">
        <w:rPr>
          <w:lang w:val="es-ES_tradnl"/>
        </w:rPr>
        <w:t>formula orientaciones para los trabajos de las Comisiones de Estudio; y</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recomienda medidas destinadas a favorecer la cooperación y coordinación con otras organizaciones y otros Sectores de la UIT. </w:t>
      </w:r>
    </w:p>
    <w:p w:rsidR="00013F68" w:rsidRPr="00A96787" w:rsidRDefault="00013F68" w:rsidP="00F72855">
      <w:pPr>
        <w:rPr>
          <w:lang w:val="es-ES"/>
        </w:rPr>
      </w:pPr>
      <w:r w:rsidRPr="00A96787">
        <w:rPr>
          <w:lang w:val="es-ES"/>
        </w:rPr>
        <w:t>El GAR asesora sobre estos asuntos al Director de la Oficina de Radiocomunicaciones. La Asamblea de Radiocomunicaciones puede encomendar al GAR asuntos específicos dentro de su competencia. El GAR puede ser autorizado a actuar en nombre de la AR durante el período comprendido entre dos Asambleas.</w:t>
      </w:r>
    </w:p>
    <w:p w:rsidR="00013F68" w:rsidRPr="00340022" w:rsidRDefault="00013F68" w:rsidP="00F72855">
      <w:pPr>
        <w:pStyle w:val="Heading4"/>
        <w:rPr>
          <w:lang w:val="es-ES_tradnl"/>
        </w:rPr>
      </w:pPr>
      <w:bookmarkStart w:id="34" w:name="_Toc369083932"/>
      <w:bookmarkStart w:id="35" w:name="_Toc365036807"/>
      <w:r w:rsidRPr="00340022">
        <w:rPr>
          <w:lang w:val="es-ES_tradnl"/>
        </w:rPr>
        <w:t>Comité de Coordinación de Vocabulario (CCV)</w:t>
      </w:r>
      <w:bookmarkEnd w:id="34"/>
    </w:p>
    <w:p w:rsidR="00013F68" w:rsidRPr="00A96787" w:rsidRDefault="00013F68" w:rsidP="005A4281">
      <w:pPr>
        <w:keepNext/>
        <w:rPr>
          <w:lang w:val="es-ES" w:eastAsia="en-US"/>
        </w:rPr>
      </w:pPr>
      <w:r w:rsidRPr="00A96787">
        <w:rPr>
          <w:lang w:val="es-ES" w:eastAsia="en-US"/>
        </w:rPr>
        <w:t xml:space="preserve">El CCV se encarga de la coordinación y aprobación, en estrecha colaboración con las Comisiones de Estudio de Radiocomunicaciones, la Secretaría General (Departamento de Conferencias y Publicaciones) y otras organizaciones interesadas (principalmente la Comisión Electrotécnica Internacional (CEI)), </w:t>
      </w:r>
      <w:r>
        <w:rPr>
          <w:lang w:val="es-ES" w:eastAsia="en-US"/>
        </w:rPr>
        <w:t xml:space="preserve">de lo </w:t>
      </w:r>
      <w:r w:rsidRPr="00A96787">
        <w:rPr>
          <w:lang w:val="es-ES" w:eastAsia="en-US"/>
        </w:rPr>
        <w:t>siguiente:</w:t>
      </w:r>
    </w:p>
    <w:p w:rsidR="00013F68" w:rsidRPr="00340022" w:rsidRDefault="00013F68" w:rsidP="004D2F38">
      <w:pPr>
        <w:pStyle w:val="Enumlevel1"/>
        <w:numPr>
          <w:ilvl w:val="0"/>
          <w:numId w:val="31"/>
        </w:numPr>
        <w:ind w:left="567" w:hanging="567"/>
        <w:rPr>
          <w:lang w:val="es-ES_tradnl"/>
        </w:rPr>
      </w:pPr>
      <w:r w:rsidRPr="00340022">
        <w:rPr>
          <w:lang w:val="es-ES_tradnl"/>
        </w:rPr>
        <w:t>vocabulario, incluidas siglas y acrónimos;</w:t>
      </w:r>
    </w:p>
    <w:p w:rsidR="00013F68" w:rsidRPr="00340022" w:rsidRDefault="00013F68" w:rsidP="004D2F38">
      <w:pPr>
        <w:pStyle w:val="Enumlevel1"/>
        <w:numPr>
          <w:ilvl w:val="0"/>
          <w:numId w:val="31"/>
        </w:numPr>
        <w:ind w:left="567" w:hanging="567"/>
        <w:rPr>
          <w:lang w:val="es-ES_tradnl"/>
        </w:rPr>
      </w:pPr>
      <w:r w:rsidRPr="00340022">
        <w:rPr>
          <w:lang w:val="es-ES_tradnl"/>
        </w:rPr>
        <w:t>temas afines (magnitudes y unidades, símbolos gráficos y literales).</w:t>
      </w:r>
    </w:p>
    <w:p w:rsidR="00013F68" w:rsidRPr="00340022" w:rsidRDefault="00013F68" w:rsidP="00F72855">
      <w:pPr>
        <w:pStyle w:val="Heading4"/>
        <w:rPr>
          <w:lang w:val="es-ES_tradnl"/>
        </w:rPr>
      </w:pPr>
      <w:r w:rsidRPr="00340022">
        <w:rPr>
          <w:lang w:val="es-ES_tradnl"/>
        </w:rPr>
        <w:t>Reunión Preparatoria de la Conferencia (RPC)</w:t>
      </w:r>
      <w:bookmarkEnd w:id="35"/>
      <w:r w:rsidRPr="00340022">
        <w:rPr>
          <w:lang w:val="es-ES_tradnl"/>
        </w:rPr>
        <w:t xml:space="preserve"> </w:t>
      </w:r>
    </w:p>
    <w:p w:rsidR="00013F68" w:rsidRPr="00A96787" w:rsidRDefault="00013F68" w:rsidP="005A4281">
      <w:pPr>
        <w:autoSpaceDE w:val="0"/>
        <w:autoSpaceDN w:val="0"/>
        <w:adjustRightInd w:val="0"/>
        <w:spacing w:before="0"/>
        <w:rPr>
          <w:rFonts w:cstheme="majorBidi"/>
          <w:color w:val="000000"/>
          <w:szCs w:val="19"/>
          <w:lang w:val="es-ES"/>
        </w:rPr>
      </w:pPr>
      <w:r w:rsidRPr="00A96787">
        <w:rPr>
          <w:rFonts w:cstheme="majorBidi"/>
          <w:color w:val="000000"/>
          <w:szCs w:val="19"/>
          <w:lang w:val="es-ES"/>
        </w:rPr>
        <w:t xml:space="preserve">La RPC celebra normalmente dos sesiones durante el intervalo comprendido entre dos CMR. La primera sesión tiene como objetivo coordinar los programas de trabajo de las Comisiones de Estudio pertinentes </w:t>
      </w:r>
      <w:proofErr w:type="gramStart"/>
      <w:r w:rsidRPr="00A96787">
        <w:rPr>
          <w:rFonts w:cstheme="majorBidi"/>
          <w:color w:val="000000"/>
          <w:szCs w:val="19"/>
          <w:lang w:val="es-ES"/>
        </w:rPr>
        <w:t>del</w:t>
      </w:r>
      <w:proofErr w:type="gramEnd"/>
      <w:r w:rsidRPr="00A96787">
        <w:rPr>
          <w:rFonts w:cstheme="majorBidi"/>
          <w:color w:val="000000"/>
          <w:szCs w:val="19"/>
          <w:lang w:val="es-ES"/>
        </w:rPr>
        <w:t xml:space="preserve"> UIT-R y preparar un proyecto de estructura para el Informe de la RPC, basándose en el orden del día </w:t>
      </w:r>
      <w:r w:rsidRPr="00A96787">
        <w:rPr>
          <w:rFonts w:cstheme="majorBidi"/>
          <w:color w:val="000000"/>
          <w:szCs w:val="19"/>
          <w:lang w:val="es-ES"/>
        </w:rPr>
        <w:lastRenderedPageBreak/>
        <w:t>de las dos CMR siguientes y tomando en consideración cuantas directrices se hayan formulado en anteriores CMR.</w:t>
      </w:r>
    </w:p>
    <w:p w:rsidR="00013F68" w:rsidRPr="00A96787" w:rsidRDefault="00013F68" w:rsidP="00F72855">
      <w:pPr>
        <w:rPr>
          <w:rFonts w:cstheme="majorBidi"/>
          <w:color w:val="000000"/>
          <w:lang w:val="es-ES"/>
        </w:rPr>
      </w:pPr>
      <w:r w:rsidRPr="00A96787">
        <w:rPr>
          <w:lang w:val="es-ES"/>
        </w:rPr>
        <w:t>Durante la segunda sesión, se prepara un informe refundido para los trabajos de las Conferencias Mundiales de Radiocomunicaciones, a partir de:</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las contribuciones de las administraciones, la Comisión Especial, las Comisiones de Estudio de Radiocomunicaciones y otras fuentes relacionadas con los temas reglamentarios, técnicos, de explotación y de procedimiento que examinarán estas Conferencias; </w:t>
      </w:r>
    </w:p>
    <w:p w:rsidR="00013F68" w:rsidRPr="00340022" w:rsidRDefault="00013F68" w:rsidP="004D2F38">
      <w:pPr>
        <w:pStyle w:val="Enumlevel1"/>
        <w:numPr>
          <w:ilvl w:val="0"/>
          <w:numId w:val="31"/>
        </w:numPr>
        <w:ind w:left="567" w:hanging="567"/>
        <w:rPr>
          <w:lang w:val="es-ES_tradnl"/>
        </w:rPr>
      </w:pPr>
      <w:r w:rsidRPr="00340022">
        <w:rPr>
          <w:lang w:val="es-ES_tradnl"/>
        </w:rPr>
        <w:t xml:space="preserve">la inclusión, siempre que sea posible, de enfoques que concilien los distintos puntos de vista que figuran en el material de origen o, en caso de falta de acuerdo para conciliar dichos enfoques, la inclusión de las distintas opiniones y la justificación de las mismas. </w:t>
      </w:r>
    </w:p>
    <w:p w:rsidR="00013F68" w:rsidRPr="00340022" w:rsidRDefault="00013F68" w:rsidP="00F72855">
      <w:pPr>
        <w:pStyle w:val="Heading4"/>
        <w:rPr>
          <w:lang w:val="es-ES_tradnl"/>
        </w:rPr>
      </w:pPr>
      <w:bookmarkStart w:id="36" w:name="_Toc365036808"/>
      <w:r w:rsidRPr="00340022">
        <w:rPr>
          <w:lang w:val="es-ES_tradnl"/>
        </w:rPr>
        <w:t>Comisión Especial para Asuntos Reglamentarios y de Procedimiento (SCRPM)</w:t>
      </w:r>
      <w:bookmarkEnd w:id="36"/>
    </w:p>
    <w:p w:rsidR="008F012D" w:rsidRDefault="00013F68" w:rsidP="005A4281">
      <w:pPr>
        <w:autoSpaceDE w:val="0"/>
        <w:autoSpaceDN w:val="0"/>
        <w:adjustRightInd w:val="0"/>
        <w:spacing w:before="0"/>
        <w:rPr>
          <w:rFonts w:cstheme="majorBidi"/>
          <w:szCs w:val="19"/>
          <w:lang w:val="es-ES"/>
        </w:rPr>
      </w:pPr>
      <w:r w:rsidRPr="00A96787">
        <w:rPr>
          <w:rFonts w:cstheme="majorBidi"/>
          <w:szCs w:val="19"/>
          <w:lang w:val="es-ES"/>
        </w:rPr>
        <w:t xml:space="preserve">Las actividades de la </w:t>
      </w:r>
      <w:r w:rsidRPr="00A96787">
        <w:rPr>
          <w:lang w:val="es-ES"/>
        </w:rPr>
        <w:t>C</w:t>
      </w:r>
      <w:r w:rsidRPr="00A96787">
        <w:rPr>
          <w:rFonts w:eastAsia="Times New Roman"/>
          <w:lang w:val="es-ES"/>
        </w:rPr>
        <w:t xml:space="preserve">omisión Especial </w:t>
      </w:r>
      <w:r w:rsidRPr="00A96787">
        <w:rPr>
          <w:rFonts w:cstheme="majorBidi"/>
          <w:szCs w:val="19"/>
          <w:lang w:val="es-ES"/>
        </w:rPr>
        <w:t xml:space="preserve">se dividen en dos categorías: </w:t>
      </w:r>
    </w:p>
    <w:p w:rsidR="008F012D" w:rsidRPr="008F012D" w:rsidRDefault="00013F68" w:rsidP="008F012D">
      <w:pPr>
        <w:pStyle w:val="Enumlevel1"/>
        <w:rPr>
          <w:lang w:val="es-ES_tradnl"/>
        </w:rPr>
      </w:pPr>
      <w:r w:rsidRPr="008F012D">
        <w:rPr>
          <w:lang w:val="es-ES_tradnl"/>
        </w:rPr>
        <w:t xml:space="preserve">(i) </w:t>
      </w:r>
      <w:r w:rsidR="008F012D" w:rsidRPr="008F012D">
        <w:rPr>
          <w:lang w:val="es-ES_tradnl"/>
        </w:rPr>
        <w:tab/>
      </w:r>
      <w:r w:rsidRPr="008F012D">
        <w:rPr>
          <w:lang w:val="es-ES_tradnl"/>
        </w:rPr>
        <w:t xml:space="preserve">trabajos directamente asignados por la RPC en el marco de su primera sesión; y </w:t>
      </w:r>
    </w:p>
    <w:p w:rsidR="00013F68" w:rsidRPr="00340022" w:rsidRDefault="00013F68" w:rsidP="008F012D">
      <w:pPr>
        <w:pStyle w:val="Enumlevel1"/>
        <w:rPr>
          <w:lang w:val="es-ES_tradnl"/>
        </w:rPr>
      </w:pPr>
      <w:r w:rsidRPr="008F012D">
        <w:rPr>
          <w:lang w:val="es-ES_tradnl"/>
        </w:rPr>
        <w:t xml:space="preserve">(ii) </w:t>
      </w:r>
      <w:r w:rsidR="008F012D" w:rsidRPr="008F012D">
        <w:rPr>
          <w:lang w:val="es-ES_tradnl"/>
        </w:rPr>
        <w:tab/>
      </w:r>
      <w:r w:rsidRPr="008F012D">
        <w:rPr>
          <w:lang w:val="es-ES_tradnl"/>
        </w:rPr>
        <w:t xml:space="preserve">tareas relacionadas con los aspectos reglamentarios de los trabajos adjudicados por la RPC en su primera sesión a las Comisiones de Estudio y sus Grupos de Trabajo. </w:t>
      </w:r>
      <w:r w:rsidRPr="00340022">
        <w:rPr>
          <w:lang w:val="es-ES_tradnl"/>
        </w:rPr>
        <w:t>Con la colaboración de su Grupo de Trabajo, el SCRPM prepara un informe que será tomado en consideración por la RPC en el marco de su segunda sesión.</w:t>
      </w:r>
    </w:p>
    <w:p w:rsidR="00013F68" w:rsidRDefault="00013F68" w:rsidP="000002C3">
      <w:pPr>
        <w:rPr>
          <w:lang w:val="es-ES" w:eastAsia="en-US"/>
        </w:rPr>
      </w:pPr>
    </w:p>
    <w:p w:rsidR="000002C3" w:rsidRDefault="000002C3" w:rsidP="000002C3">
      <w:pPr>
        <w:rPr>
          <w:lang w:val="es-ES" w:eastAsia="en-US"/>
        </w:rPr>
      </w:pPr>
      <w:r>
        <w:rPr>
          <w:lang w:val="es-ES" w:eastAsia="en-US"/>
        </w:rPr>
        <w:br w:type="page"/>
      </w:r>
    </w:p>
    <w:p w:rsidR="00013F68" w:rsidRPr="00340022" w:rsidRDefault="00013F68" w:rsidP="000002C3">
      <w:pPr>
        <w:pStyle w:val="Heading1"/>
        <w:jc w:val="center"/>
        <w:rPr>
          <w:lang w:val="es-ES_tradnl"/>
        </w:rPr>
      </w:pPr>
      <w:bookmarkStart w:id="37" w:name="_Toc233465493"/>
      <w:bookmarkStart w:id="38" w:name="_Toc365036809"/>
      <w:bookmarkStart w:id="39" w:name="_Toc381259702"/>
      <w:bookmarkEnd w:id="29"/>
      <w:r w:rsidRPr="00340022">
        <w:rPr>
          <w:lang w:val="es-ES_tradnl"/>
        </w:rPr>
        <w:lastRenderedPageBreak/>
        <w:t>Comisión de Estudio 1 del UIT-R – Gestión del espectro</w:t>
      </w:r>
      <w:bookmarkEnd w:id="30"/>
      <w:bookmarkEnd w:id="37"/>
      <w:bookmarkEnd w:id="38"/>
      <w:bookmarkEnd w:id="39"/>
    </w:p>
    <w:p w:rsidR="00013F68" w:rsidRPr="00340022" w:rsidRDefault="00013F68" w:rsidP="000002C3">
      <w:pPr>
        <w:pStyle w:val="Heading4"/>
        <w:rPr>
          <w:lang w:val="es-ES_tradnl"/>
        </w:rPr>
      </w:pPr>
      <w:bookmarkStart w:id="40" w:name="_Toc516397324"/>
      <w:r w:rsidRPr="00340022">
        <w:rPr>
          <w:lang w:val="es-ES_tradnl"/>
        </w:rPr>
        <w:t>Alcance</w:t>
      </w:r>
    </w:p>
    <w:p w:rsidR="00013F68" w:rsidRPr="00A96787" w:rsidRDefault="00013F68" w:rsidP="005A4281">
      <w:pPr>
        <w:rPr>
          <w:rFonts w:cstheme="majorBidi"/>
          <w:szCs w:val="19"/>
          <w:lang w:val="es-ES"/>
        </w:rPr>
      </w:pPr>
      <w:r w:rsidRPr="00A96787">
        <w:rPr>
          <w:rFonts w:cstheme="majorBidi"/>
          <w:szCs w:val="19"/>
          <w:lang w:val="es-ES"/>
        </w:rPr>
        <w:t>Principios y técnicas de gestión del espectro, principios generales de compartición, comprobación técnica del espectro, estrategias de utilización del espectro a largo plazo, planteamientos económicos de la gestión nacional del espectro, técnicas automatizadas y asistencia a los países en desarrollo en cooperación con el Sector de Desarrollo de las Telecomunicaciones.</w:t>
      </w:r>
    </w:p>
    <w:p w:rsidR="00013F68" w:rsidRPr="00A96787" w:rsidRDefault="00013F68" w:rsidP="005A4281">
      <w:pPr>
        <w:rPr>
          <w:rFonts w:cstheme="majorBidi"/>
          <w:szCs w:val="19"/>
          <w:lang w:val="es-ES"/>
        </w:rPr>
      </w:pPr>
      <w:r w:rsidRPr="00A96787">
        <w:rPr>
          <w:rFonts w:cstheme="majorBidi"/>
          <w:szCs w:val="19"/>
          <w:lang w:val="es-ES"/>
        </w:rPr>
        <w:t>Además, abarca la compartición y la compatibilidad entre servicios (que requieren estudios urgentes), incluyendo el desarrollo de Recomendaciones o Informes para la Reunión Preparatoria de la Conferencia, en respuesta a las Cuestiones urgentes sobre compartición y compatibilidad entre servicios que requieren atención especial.</w:t>
      </w:r>
    </w:p>
    <w:p w:rsidR="00013F68" w:rsidRPr="00340022" w:rsidRDefault="00013F68" w:rsidP="000002C3">
      <w:pPr>
        <w:pStyle w:val="Heading4"/>
        <w:rPr>
          <w:lang w:val="es-ES_tradnl"/>
        </w:rPr>
      </w:pPr>
      <w:r w:rsidRPr="00340022">
        <w:rPr>
          <w:lang w:val="es-ES_tradnl"/>
        </w:rPr>
        <w:t>Estructura</w:t>
      </w:r>
    </w:p>
    <w:p w:rsidR="00013F68" w:rsidRPr="00DE7B11" w:rsidRDefault="00013F68" w:rsidP="000002C3">
      <w:pPr>
        <w:rPr>
          <w:bCs/>
          <w:lang w:val="es-ES"/>
        </w:rPr>
      </w:pPr>
      <w:r w:rsidRPr="00DE7B11">
        <w:rPr>
          <w:lang w:val="es-ES"/>
        </w:rPr>
        <w:t>Tres Grupos de Trabajo (GT) llevan a cabo los estudios sobre las Cuestiones asignadas a la Comisión de Estudio 1, a saber:</w:t>
      </w:r>
    </w:p>
    <w:p w:rsidR="00013F68" w:rsidRPr="000002C3" w:rsidRDefault="00013F68" w:rsidP="004D2F38">
      <w:pPr>
        <w:pStyle w:val="Enumlevel1"/>
        <w:numPr>
          <w:ilvl w:val="0"/>
          <w:numId w:val="31"/>
        </w:numPr>
        <w:ind w:left="567" w:hanging="567"/>
        <w:rPr>
          <w:lang w:val="es-ES_tradnl"/>
        </w:rPr>
      </w:pPr>
      <w:r w:rsidRPr="000002C3">
        <w:rPr>
          <w:lang w:val="es-ES_tradnl"/>
        </w:rPr>
        <w:t>GT 1A – Técnicas de ingeniería del espectro;</w:t>
      </w:r>
    </w:p>
    <w:p w:rsidR="00013F68" w:rsidRPr="000002C3" w:rsidRDefault="00013F68" w:rsidP="004D2F38">
      <w:pPr>
        <w:pStyle w:val="Enumlevel1"/>
        <w:numPr>
          <w:ilvl w:val="0"/>
          <w:numId w:val="31"/>
        </w:numPr>
        <w:ind w:left="567" w:hanging="567"/>
        <w:rPr>
          <w:lang w:val="es-ES_tradnl"/>
        </w:rPr>
      </w:pPr>
      <w:r w:rsidRPr="000002C3">
        <w:rPr>
          <w:lang w:val="es-ES_tradnl"/>
        </w:rPr>
        <w:t>GT 1B – Metodologías para la gestión del espectro y estrategias económicas; y</w:t>
      </w:r>
    </w:p>
    <w:p w:rsidR="00013F68" w:rsidRPr="000002C3" w:rsidRDefault="00013F68" w:rsidP="004D2F38">
      <w:pPr>
        <w:pStyle w:val="Enumlevel1"/>
        <w:numPr>
          <w:ilvl w:val="0"/>
          <w:numId w:val="31"/>
        </w:numPr>
        <w:ind w:left="567" w:hanging="567"/>
        <w:rPr>
          <w:lang w:val="es-ES_tradnl"/>
        </w:rPr>
      </w:pPr>
      <w:r w:rsidRPr="000002C3">
        <w:rPr>
          <w:lang w:val="es-ES_tradnl"/>
        </w:rPr>
        <w:t>GT 1C – Comprobación técnica del espectro.</w:t>
      </w:r>
    </w:p>
    <w:p w:rsidR="00013F68" w:rsidRPr="00A96787" w:rsidRDefault="00013F68" w:rsidP="000002C3">
      <w:pPr>
        <w:rPr>
          <w:sz w:val="24"/>
          <w:szCs w:val="24"/>
          <w:lang w:val="es-ES"/>
        </w:rPr>
      </w:pPr>
      <w:r w:rsidRPr="00A96787">
        <w:rPr>
          <w:lang w:val="es-ES"/>
        </w:rPr>
        <w:t>Los objetivos de las actividades de los Grupos de Trabajo 1A, 1B y 1C son desarrollar y mantener las Recomendaciones, Informes y Manuales UIT-R sobre técnicas de ingeniería del espectro, fundamentos de la gestión del espectro y comprobación técnica del espectro, respectivamente.</w:t>
      </w:r>
    </w:p>
    <w:p w:rsidR="00013F68" w:rsidRPr="000002C3" w:rsidRDefault="00013F68" w:rsidP="000002C3">
      <w:pPr>
        <w:pStyle w:val="Heading4"/>
      </w:pPr>
      <w:proofErr w:type="spellStart"/>
      <w:r w:rsidRPr="000002C3">
        <w:t>Cuestiones</w:t>
      </w:r>
      <w:proofErr w:type="spellEnd"/>
    </w:p>
    <w:p w:rsidR="00013F68" w:rsidRPr="000002C3" w:rsidRDefault="00013F68" w:rsidP="004D2F38">
      <w:pPr>
        <w:pStyle w:val="Enumlevel1"/>
        <w:numPr>
          <w:ilvl w:val="0"/>
          <w:numId w:val="31"/>
        </w:numPr>
        <w:ind w:left="567" w:hanging="567"/>
        <w:rPr>
          <w:lang w:val="es-ES_tradnl"/>
        </w:rPr>
      </w:pPr>
      <w:r w:rsidRPr="000002C3">
        <w:rPr>
          <w:lang w:val="es-ES_tradnl"/>
        </w:rPr>
        <w:t>C205-1/1:</w:t>
      </w:r>
      <w:r w:rsidRPr="000002C3">
        <w:rPr>
          <w:lang w:val="es-ES_tradnl"/>
        </w:rPr>
        <w:tab/>
        <w:t>Estrategias a largo plazo para la utilización del espectro;</w:t>
      </w:r>
    </w:p>
    <w:p w:rsidR="00013F68" w:rsidRPr="000002C3" w:rsidRDefault="00013F68" w:rsidP="004D2F38">
      <w:pPr>
        <w:pStyle w:val="Enumlevel1"/>
        <w:numPr>
          <w:ilvl w:val="0"/>
          <w:numId w:val="31"/>
        </w:numPr>
        <w:ind w:left="567" w:hanging="567"/>
        <w:rPr>
          <w:lang w:val="es-ES_tradnl"/>
        </w:rPr>
      </w:pPr>
      <w:r w:rsidRPr="000002C3">
        <w:rPr>
          <w:lang w:val="es-ES_tradnl"/>
        </w:rPr>
        <w:t>C208/1:</w:t>
      </w:r>
      <w:r w:rsidRPr="000002C3">
        <w:rPr>
          <w:lang w:val="es-ES_tradnl"/>
        </w:rPr>
        <w:tab/>
        <w:t>Métodos alternativos de gestión nacional del espectro;</w:t>
      </w:r>
    </w:p>
    <w:p w:rsidR="00013F68" w:rsidRPr="000002C3" w:rsidRDefault="00013F68" w:rsidP="004D2F38">
      <w:pPr>
        <w:pStyle w:val="Enumlevel1"/>
        <w:numPr>
          <w:ilvl w:val="0"/>
          <w:numId w:val="31"/>
        </w:numPr>
        <w:ind w:left="567" w:hanging="567"/>
        <w:rPr>
          <w:lang w:val="es-ES_tradnl"/>
        </w:rPr>
      </w:pPr>
      <w:r w:rsidRPr="000002C3">
        <w:rPr>
          <w:lang w:val="es-ES_tradnl"/>
        </w:rPr>
        <w:t>C216/1:</w:t>
      </w:r>
      <w:r w:rsidRPr="000002C3">
        <w:rPr>
          <w:lang w:val="es-ES_tradnl"/>
        </w:rPr>
        <w:tab/>
        <w:t>Reorganización del espectro como método de gestión nacional del espectro;</w:t>
      </w:r>
    </w:p>
    <w:p w:rsidR="00013F68" w:rsidRPr="00A96787" w:rsidRDefault="00013F68" w:rsidP="004D2F38">
      <w:pPr>
        <w:pStyle w:val="Enumlevel1"/>
        <w:numPr>
          <w:ilvl w:val="0"/>
          <w:numId w:val="31"/>
        </w:numPr>
        <w:ind w:left="567" w:hanging="567"/>
        <w:rPr>
          <w:lang w:val="es-ES"/>
        </w:rPr>
      </w:pPr>
      <w:r w:rsidRPr="000002C3">
        <w:rPr>
          <w:lang w:val="es-ES_tradnl"/>
        </w:rPr>
        <w:t>C232/1:</w:t>
      </w:r>
      <w:r w:rsidRPr="000002C3">
        <w:rPr>
          <w:lang w:val="es-ES_tradnl"/>
        </w:rPr>
        <w:tab/>
        <w:t>Métodos y técnicas de medición para determinar el ruido de fondo en</w:t>
      </w:r>
      <w:r w:rsidRPr="00A96787">
        <w:rPr>
          <w:lang w:val="es-ES"/>
        </w:rPr>
        <w:t xml:space="preserve"> aplicaciones de </w:t>
      </w:r>
      <w:r>
        <w:rPr>
          <w:lang w:val="es-ES"/>
        </w:rPr>
        <w:br/>
      </w:r>
      <w:r>
        <w:rPr>
          <w:lang w:val="es-ES"/>
        </w:rPr>
        <w:tab/>
      </w:r>
      <w:r>
        <w:rPr>
          <w:lang w:val="es-ES"/>
        </w:rPr>
        <w:tab/>
      </w:r>
      <w:r w:rsidRPr="00A96787">
        <w:rPr>
          <w:lang w:val="es-ES"/>
        </w:rPr>
        <w:t>radiocomunicaciones</w:t>
      </w:r>
      <w:r>
        <w:rPr>
          <w:lang w:val="es-ES"/>
        </w:rPr>
        <w:t>.</w:t>
      </w:r>
    </w:p>
    <w:p w:rsidR="00013F68" w:rsidRPr="000002C3" w:rsidRDefault="00013F68" w:rsidP="000002C3">
      <w:pPr>
        <w:pStyle w:val="enumlev2"/>
        <w:tabs>
          <w:tab w:val="clear" w:pos="794"/>
        </w:tabs>
        <w:ind w:hanging="624"/>
        <w:rPr>
          <w:rFonts w:asciiTheme="minorHAnsi" w:eastAsia="SimHei" w:hAnsiTheme="minorHAnsi"/>
          <w:sz w:val="21"/>
          <w:szCs w:val="21"/>
        </w:rPr>
      </w:pPr>
      <w:r w:rsidRPr="000002C3">
        <w:rPr>
          <w:rFonts w:asciiTheme="minorHAnsi" w:eastAsia="SimHei" w:hAnsiTheme="minorHAnsi"/>
          <w:sz w:val="21"/>
          <w:szCs w:val="21"/>
        </w:rPr>
        <w:t>–</w:t>
      </w:r>
      <w:r w:rsidRPr="000002C3">
        <w:rPr>
          <w:rFonts w:asciiTheme="minorHAnsi" w:eastAsia="SimHei" w:hAnsiTheme="minorHAnsi"/>
          <w:sz w:val="21"/>
          <w:szCs w:val="21"/>
        </w:rPr>
        <w:tab/>
        <w:t>Se aprobó la supresión de las Cuestiones 206/1, 214/1, 215/1 y 225/1.</w:t>
      </w:r>
    </w:p>
    <w:p w:rsidR="00013F68" w:rsidRPr="00A31E61" w:rsidRDefault="00013F68" w:rsidP="00EF6847">
      <w:pPr>
        <w:rPr>
          <w:lang w:val="es-ES"/>
        </w:rPr>
      </w:pPr>
      <w:r w:rsidRPr="00A96787">
        <w:rPr>
          <w:lang w:val="es-ES"/>
        </w:rPr>
        <w:t>Todas las Cuestiones</w:t>
      </w:r>
      <w:r w:rsidRPr="00A31E61">
        <w:rPr>
          <w:rFonts w:cs="Simplified Arabic"/>
          <w:lang w:val="es-ES"/>
        </w:rPr>
        <w:t xml:space="preserve"> </w:t>
      </w:r>
      <w:r w:rsidRPr="00A96787">
        <w:rPr>
          <w:lang w:val="es-ES"/>
        </w:rPr>
        <w:t>U</w:t>
      </w:r>
      <w:r w:rsidRPr="00A31E61">
        <w:rPr>
          <w:rFonts w:cs="Simplified Arabic"/>
          <w:lang w:val="es-ES"/>
        </w:rPr>
        <w:t xml:space="preserve">IT-R </w:t>
      </w:r>
      <w:r w:rsidRPr="00A96787">
        <w:rPr>
          <w:lang w:val="es-ES"/>
        </w:rPr>
        <w:t xml:space="preserve">asignadas a la Comisión de Estudio </w:t>
      </w:r>
      <w:r w:rsidRPr="00A31E61">
        <w:rPr>
          <w:rFonts w:cs="Simplified Arabic"/>
          <w:lang w:val="es-ES"/>
        </w:rPr>
        <w:t xml:space="preserve">1 </w:t>
      </w:r>
      <w:r w:rsidRPr="00A96787">
        <w:rPr>
          <w:lang w:val="es-ES"/>
        </w:rPr>
        <w:t>se publican y están disponibles en</w:t>
      </w:r>
      <w:r w:rsidRPr="00A31E61">
        <w:rPr>
          <w:rFonts w:cs="Simplified Arabic"/>
          <w:lang w:val="es-ES"/>
        </w:rPr>
        <w:t>:</w:t>
      </w:r>
      <w:r w:rsidRPr="00A96787">
        <w:rPr>
          <w:lang w:val="es-ES"/>
        </w:rPr>
        <w:br/>
      </w:r>
      <w:hyperlink r:id="rId25" w:history="1">
        <w:r w:rsidR="00EF6847">
          <w:rPr>
            <w:rStyle w:val="Hyperlink"/>
            <w:rFonts w:cstheme="majorBidi"/>
            <w:lang w:val="es-ES_tradnl"/>
          </w:rPr>
          <w:t>www</w:t>
        </w:r>
        <w:r w:rsidRPr="00625379">
          <w:rPr>
            <w:rStyle w:val="Hyperlink"/>
            <w:rFonts w:cstheme="majorBidi"/>
            <w:lang w:val="es-ES_tradnl"/>
          </w:rPr>
          <w:t>.itu.int/pub/R-QUE-SG01/en</w:t>
        </w:r>
      </w:hyperlink>
      <w:r>
        <w:rPr>
          <w:lang w:val="es-ES"/>
        </w:rPr>
        <w:t>.</w:t>
      </w:r>
    </w:p>
    <w:p w:rsidR="00013F68" w:rsidRPr="00340022" w:rsidRDefault="00013F68" w:rsidP="00465E92">
      <w:pPr>
        <w:pStyle w:val="Heading4"/>
        <w:rPr>
          <w:lang w:val="es-ES_tradnl"/>
        </w:rPr>
      </w:pPr>
      <w:r w:rsidRPr="00340022">
        <w:rPr>
          <w:lang w:val="es-ES_tradnl"/>
        </w:rPr>
        <w:t>Recomendaciones pertinentes</w:t>
      </w:r>
    </w:p>
    <w:p w:rsidR="00013F68" w:rsidRPr="00340022" w:rsidRDefault="00013F68" w:rsidP="000B6144">
      <w:pPr>
        <w:pStyle w:val="headingb1"/>
        <w:rPr>
          <w:rFonts w:asciiTheme="minorHAnsi" w:hAnsiTheme="minorHAnsi"/>
          <w:sz w:val="21"/>
          <w:szCs w:val="21"/>
          <w:lang w:val="es-ES_tradnl"/>
        </w:rPr>
      </w:pPr>
      <w:r w:rsidRPr="00340022">
        <w:rPr>
          <w:rFonts w:asciiTheme="minorHAnsi" w:hAnsiTheme="minorHAnsi"/>
          <w:sz w:val="21"/>
          <w:szCs w:val="21"/>
          <w:lang w:val="es-ES_tradnl"/>
        </w:rPr>
        <w:t>Serie SM: Gestión del espectro</w:t>
      </w:r>
    </w:p>
    <w:p w:rsidR="00013F68" w:rsidRPr="00465E92" w:rsidRDefault="00013F68" w:rsidP="004D2F38">
      <w:pPr>
        <w:pStyle w:val="Enumlevel1"/>
        <w:numPr>
          <w:ilvl w:val="0"/>
          <w:numId w:val="31"/>
        </w:numPr>
        <w:ind w:left="567" w:hanging="567"/>
        <w:rPr>
          <w:lang w:val="es-ES_tradnl"/>
        </w:rPr>
      </w:pPr>
      <w:r w:rsidRPr="00465E92">
        <w:rPr>
          <w:lang w:val="es-ES_tradnl"/>
        </w:rPr>
        <w:t>SM.1131:</w:t>
      </w:r>
      <w:r w:rsidRPr="00465E92">
        <w:rPr>
          <w:lang w:val="es-ES_tradnl"/>
        </w:rPr>
        <w:tab/>
        <w:t xml:space="preserve">Factores que intervienen en la atribución de espectro a escala mundial </w:t>
      </w:r>
    </w:p>
    <w:p w:rsidR="00013F68" w:rsidRPr="00465E92" w:rsidRDefault="00013F68" w:rsidP="004D2F38">
      <w:pPr>
        <w:pStyle w:val="Enumlevel1"/>
        <w:numPr>
          <w:ilvl w:val="0"/>
          <w:numId w:val="31"/>
        </w:numPr>
        <w:ind w:left="567" w:hanging="567"/>
        <w:rPr>
          <w:lang w:val="es-ES_tradnl"/>
        </w:rPr>
      </w:pPr>
      <w:r w:rsidRPr="00465E92">
        <w:rPr>
          <w:lang w:val="es-ES_tradnl"/>
        </w:rPr>
        <w:t>SM.1133:</w:t>
      </w:r>
      <w:r w:rsidRPr="00465E92">
        <w:rPr>
          <w:lang w:val="es-ES_tradnl"/>
        </w:rPr>
        <w:tab/>
        <w:t>Utilización del espectro por servicios definidos en acepción amplia</w:t>
      </w:r>
    </w:p>
    <w:p w:rsidR="00013F68" w:rsidRPr="00465E92" w:rsidRDefault="00013F68" w:rsidP="004D2F38">
      <w:pPr>
        <w:pStyle w:val="Enumlevel1"/>
        <w:numPr>
          <w:ilvl w:val="0"/>
          <w:numId w:val="31"/>
        </w:numPr>
        <w:ind w:left="567" w:hanging="567"/>
        <w:rPr>
          <w:lang w:val="es-ES_tradnl"/>
        </w:rPr>
      </w:pPr>
      <w:r w:rsidRPr="00465E92">
        <w:rPr>
          <w:lang w:val="es-ES_tradnl"/>
        </w:rPr>
        <w:t>SM.1265:</w:t>
      </w:r>
      <w:r w:rsidRPr="00465E92">
        <w:rPr>
          <w:lang w:val="es-ES_tradnl"/>
        </w:rPr>
        <w:tab/>
        <w:t>Métodos nacionales de atribución alternativos</w:t>
      </w:r>
    </w:p>
    <w:p w:rsidR="00013F68" w:rsidRPr="00465E92" w:rsidRDefault="00013F68" w:rsidP="004D2F38">
      <w:pPr>
        <w:pStyle w:val="Enumlevel1"/>
        <w:numPr>
          <w:ilvl w:val="0"/>
          <w:numId w:val="31"/>
        </w:numPr>
        <w:tabs>
          <w:tab w:val="left" w:pos="1701"/>
        </w:tabs>
        <w:ind w:left="567" w:hanging="567"/>
        <w:rPr>
          <w:lang w:val="es-ES_tradnl"/>
        </w:rPr>
      </w:pPr>
      <w:r w:rsidRPr="00465E92">
        <w:rPr>
          <w:lang w:val="es-ES_tradnl"/>
        </w:rPr>
        <w:t>SM.1447:</w:t>
      </w:r>
      <w:r w:rsidRPr="00465E92">
        <w:rPr>
          <w:lang w:val="es-ES_tradnl"/>
        </w:rPr>
        <w:tab/>
        <w:t xml:space="preserve">Comprobación técnica de la cobertura radioeléctrica de las redes móviles terrestres </w:t>
      </w:r>
      <w:r w:rsidR="00465E92">
        <w:rPr>
          <w:lang w:val="es-ES_tradnl"/>
        </w:rPr>
        <w:tab/>
      </w:r>
      <w:r w:rsidRPr="00465E92">
        <w:rPr>
          <w:lang w:val="es-ES_tradnl"/>
        </w:rPr>
        <w:t>para verificar su conformidad con una concesión de licencia</w:t>
      </w:r>
    </w:p>
    <w:p w:rsidR="00013F68" w:rsidRPr="00465E92" w:rsidRDefault="00013F68" w:rsidP="004D2F38">
      <w:pPr>
        <w:pStyle w:val="Enumlevel1"/>
        <w:numPr>
          <w:ilvl w:val="0"/>
          <w:numId w:val="31"/>
        </w:numPr>
        <w:ind w:left="567" w:hanging="567"/>
        <w:rPr>
          <w:lang w:val="es-ES_tradnl"/>
        </w:rPr>
      </w:pPr>
      <w:r w:rsidRPr="00465E92">
        <w:rPr>
          <w:lang w:val="es-ES_tradnl"/>
        </w:rPr>
        <w:t>SM.1682:</w:t>
      </w:r>
      <w:r w:rsidRPr="00465E92">
        <w:rPr>
          <w:lang w:val="es-ES_tradnl"/>
        </w:rPr>
        <w:tab/>
        <w:t>Métodos para efectuar mediciones en señales de radiodifusión digital</w:t>
      </w:r>
    </w:p>
    <w:p w:rsidR="00013F68" w:rsidRPr="00465E92" w:rsidRDefault="00013F68" w:rsidP="004D2F38">
      <w:pPr>
        <w:pStyle w:val="Enumlevel1"/>
        <w:numPr>
          <w:ilvl w:val="0"/>
          <w:numId w:val="31"/>
        </w:numPr>
        <w:tabs>
          <w:tab w:val="left" w:pos="1701"/>
        </w:tabs>
        <w:ind w:left="567" w:hanging="567"/>
        <w:rPr>
          <w:lang w:val="es-ES_tradnl"/>
        </w:rPr>
      </w:pPr>
      <w:r w:rsidRPr="00465E92">
        <w:rPr>
          <w:lang w:val="es-ES_tradnl"/>
        </w:rPr>
        <w:t>SM.1708:</w:t>
      </w:r>
      <w:r w:rsidRPr="00465E92">
        <w:rPr>
          <w:lang w:val="es-ES_tradnl"/>
        </w:rPr>
        <w:tab/>
        <w:t xml:space="preserve">Mediciones de intensidad de campo a lo largo de una ruta con registros de las </w:t>
      </w:r>
      <w:proofErr w:type="spellStart"/>
      <w:r w:rsidRPr="00465E92">
        <w:rPr>
          <w:lang w:val="es-ES_tradnl"/>
        </w:rPr>
        <w:t>coorde</w:t>
      </w:r>
      <w:proofErr w:type="spellEnd"/>
      <w:r w:rsidR="00465E92">
        <w:rPr>
          <w:lang w:val="es-ES_tradnl"/>
        </w:rPr>
        <w:tab/>
      </w:r>
      <w:r w:rsidRPr="00465E92">
        <w:rPr>
          <w:lang w:val="es-ES_tradnl"/>
        </w:rPr>
        <w:t>nadas geográficas</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lastRenderedPageBreak/>
        <w:t>SM.1792:</w:t>
      </w:r>
      <w:r w:rsidRPr="004D4517">
        <w:rPr>
          <w:lang w:val="es-ES_tradnl"/>
        </w:rPr>
        <w:tab/>
        <w:t xml:space="preserve">Medición de emisiones en banda lateral de los transmisores de radiodifusión de vídeo </w:t>
      </w:r>
      <w:r w:rsidR="004D4517">
        <w:rPr>
          <w:lang w:val="es-ES_tradnl"/>
        </w:rPr>
        <w:tab/>
      </w:r>
      <w:r w:rsidRPr="004D4517">
        <w:rPr>
          <w:lang w:val="es-ES_tradnl"/>
        </w:rPr>
        <w:t>digital terrenal y de radiodifusión de audio digital terrenal para fines de comprobación</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SM.1047:</w:t>
      </w:r>
      <w:r w:rsidRPr="004D4517">
        <w:rPr>
          <w:lang w:val="es-ES_tradnl"/>
        </w:rPr>
        <w:tab/>
        <w:t>Gestión nacional del espectro</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SM.1049:</w:t>
      </w:r>
      <w:r w:rsidRPr="004D4517">
        <w:rPr>
          <w:lang w:val="es-ES_tradnl"/>
        </w:rPr>
        <w:tab/>
        <w:t xml:space="preserve">Método de gestión del espectro destinado a facilitar el proceso de asignación de </w:t>
      </w:r>
      <w:r w:rsidR="004D4517" w:rsidRPr="004D4517">
        <w:rPr>
          <w:lang w:val="es-ES_tradnl"/>
        </w:rPr>
        <w:tab/>
      </w:r>
      <w:r w:rsidRPr="004D4517">
        <w:rPr>
          <w:lang w:val="es-ES_tradnl"/>
        </w:rPr>
        <w:t>frecuencias a estaciones de servicio terrenales en zonas fronterizas</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SM.1370:</w:t>
      </w:r>
      <w:r w:rsidRPr="004D4517">
        <w:rPr>
          <w:lang w:val="es-ES_tradnl"/>
        </w:rPr>
        <w:tab/>
        <w:t xml:space="preserve">Directrices de diseño para la elaboración de sistemas de gestión automática del </w:t>
      </w:r>
      <w:r w:rsidR="004D4517">
        <w:rPr>
          <w:lang w:val="es-ES_tradnl"/>
        </w:rPr>
        <w:tab/>
      </w:r>
      <w:r w:rsidRPr="004D4517">
        <w:rPr>
          <w:lang w:val="es-ES_tradnl"/>
        </w:rPr>
        <w:t>espectro</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SM.1392:</w:t>
      </w:r>
      <w:r w:rsidRPr="004D4517">
        <w:rPr>
          <w:lang w:val="es-ES_tradnl"/>
        </w:rPr>
        <w:tab/>
        <w:t xml:space="preserve">Requisitos esenciales para una estación de comprobación técnica del espectro para </w:t>
      </w:r>
      <w:r w:rsidR="004D4517">
        <w:rPr>
          <w:lang w:val="es-ES_tradnl"/>
        </w:rPr>
        <w:tab/>
      </w:r>
      <w:r w:rsidRPr="004D4517">
        <w:rPr>
          <w:lang w:val="es-ES_tradnl"/>
        </w:rPr>
        <w:t>países en desarrollo</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SM.1413:</w:t>
      </w:r>
      <w:r w:rsidRPr="004D4517">
        <w:rPr>
          <w:lang w:val="es-ES_tradnl"/>
        </w:rPr>
        <w:tab/>
        <w:t>Diccionario de Datos de Radiocomunicaciones para notificación y coordinación</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SM.1447:</w:t>
      </w:r>
      <w:r w:rsidRPr="004D4517">
        <w:rPr>
          <w:lang w:val="es-ES_tradnl"/>
        </w:rPr>
        <w:tab/>
        <w:t xml:space="preserve">Comprobación técnica de la cobertura radioeléctrica de las redes móviles terrestres </w:t>
      </w:r>
      <w:r w:rsidR="004D4517">
        <w:rPr>
          <w:lang w:val="es-ES_tradnl"/>
        </w:rPr>
        <w:tab/>
      </w:r>
      <w:r w:rsidRPr="004D4517">
        <w:rPr>
          <w:lang w:val="es-ES_tradnl"/>
        </w:rPr>
        <w:t>para verificar su conformidad con una concesión de licencias</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SM.1603:</w:t>
      </w:r>
      <w:r w:rsidRPr="004D4517">
        <w:rPr>
          <w:lang w:val="es-ES_tradnl"/>
        </w:rPr>
        <w:tab/>
        <w:t>Reorganización del espectro como un método de gestión nacional del espectro</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SM.1880:</w:t>
      </w:r>
      <w:r w:rsidRPr="004D4517">
        <w:rPr>
          <w:lang w:val="es-ES_tradnl"/>
        </w:rPr>
        <w:tab/>
        <w:t>Medición de la ocupación del espectro</w:t>
      </w:r>
    </w:p>
    <w:p w:rsidR="00013F68" w:rsidRPr="004D4517" w:rsidRDefault="00013F68" w:rsidP="004D2F38">
      <w:pPr>
        <w:pStyle w:val="Enumlevel1"/>
        <w:numPr>
          <w:ilvl w:val="0"/>
          <w:numId w:val="31"/>
        </w:numPr>
        <w:tabs>
          <w:tab w:val="left" w:pos="1701"/>
        </w:tabs>
        <w:ind w:left="567" w:hanging="567"/>
        <w:rPr>
          <w:lang w:val="es-ES_tradnl"/>
        </w:rPr>
      </w:pPr>
      <w:r w:rsidRPr="004D4517">
        <w:rPr>
          <w:lang w:val="es-ES_tradnl"/>
        </w:rPr>
        <w:t>SM.1896:</w:t>
      </w:r>
      <w:r w:rsidRPr="004D4517">
        <w:rPr>
          <w:lang w:val="es-ES_tradnl"/>
        </w:rPr>
        <w:tab/>
        <w:t xml:space="preserve">Gamas de frecuencia para la armonización mundial o regional de los dispositivos de </w:t>
      </w:r>
      <w:r w:rsidR="004D4517">
        <w:rPr>
          <w:lang w:val="es-ES_tradnl"/>
        </w:rPr>
        <w:tab/>
      </w:r>
      <w:r w:rsidRPr="004D4517">
        <w:rPr>
          <w:lang w:val="es-ES_tradnl"/>
        </w:rPr>
        <w:t>corto alcance (DCA)</w:t>
      </w:r>
    </w:p>
    <w:p w:rsidR="00013F68" w:rsidRPr="00500F29" w:rsidRDefault="00013F68" w:rsidP="00500F29">
      <w:pPr>
        <w:pStyle w:val="Heading4"/>
      </w:pPr>
      <w:proofErr w:type="spellStart"/>
      <w:r w:rsidRPr="00500F29">
        <w:t>Informes</w:t>
      </w:r>
      <w:proofErr w:type="spellEnd"/>
      <w:r w:rsidRPr="00500F29">
        <w:t xml:space="preserve"> </w:t>
      </w:r>
      <w:proofErr w:type="spellStart"/>
      <w:r w:rsidRPr="00500F29">
        <w:t>pertinentes</w:t>
      </w:r>
      <w:proofErr w:type="spellEnd"/>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SM.2012:</w:t>
      </w:r>
      <w:r w:rsidRPr="00500F29">
        <w:rPr>
          <w:lang w:val="es-ES_tradnl"/>
        </w:rPr>
        <w:tab/>
        <w:t>Aspectos económicos de la gestión del espectro</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SM.2015:</w:t>
      </w:r>
      <w:r w:rsidRPr="00500F29">
        <w:rPr>
          <w:lang w:val="es-ES_tradnl"/>
        </w:rPr>
        <w:tab/>
        <w:t xml:space="preserve">Métodos para la determinación de estrategias nacionales a largo plazo para la </w:t>
      </w:r>
      <w:r w:rsidR="00500F29">
        <w:rPr>
          <w:lang w:val="es-ES_tradnl"/>
        </w:rPr>
        <w:tab/>
      </w:r>
      <w:r w:rsidRPr="00500F29">
        <w:rPr>
          <w:lang w:val="es-ES_tradnl"/>
        </w:rPr>
        <w:t>utilización del espectro radioeléctrico</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SM.2093:</w:t>
      </w:r>
      <w:r w:rsidRPr="00500F29">
        <w:rPr>
          <w:lang w:val="es-ES_tradnl"/>
        </w:rPr>
        <w:tab/>
        <w:t>Orientaciones sobre el marco reglamentario para la gestión nacional del espectro</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SM.2130:</w:t>
      </w:r>
      <w:r w:rsidRPr="00500F29">
        <w:rPr>
          <w:lang w:val="es-ES_tradnl"/>
        </w:rPr>
        <w:tab/>
        <w:t>Inspección de estaciones radioeléctricas</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SM.2255:</w:t>
      </w:r>
      <w:r w:rsidRPr="00500F29">
        <w:rPr>
          <w:lang w:val="es-ES_tradnl"/>
        </w:rPr>
        <w:tab/>
        <w:t xml:space="preserve">Características técnicas, normas y bandas de frecuencia de funcionamiento de los </w:t>
      </w:r>
      <w:r w:rsidR="00500F29">
        <w:rPr>
          <w:lang w:val="es-ES_tradnl"/>
        </w:rPr>
        <w:tab/>
      </w:r>
      <w:r w:rsidRPr="00500F29">
        <w:rPr>
          <w:lang w:val="es-ES_tradnl"/>
        </w:rPr>
        <w:t xml:space="preserve">dispositivos de identificación por radiofrecuencia (RFID) y posibilidades de </w:t>
      </w:r>
      <w:r w:rsidR="00500F29">
        <w:rPr>
          <w:lang w:val="es-ES_tradnl"/>
        </w:rPr>
        <w:tab/>
      </w:r>
      <w:r w:rsidRPr="00500F29">
        <w:rPr>
          <w:lang w:val="es-ES_tradnl"/>
        </w:rPr>
        <w:t>armonización</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SM.2256:</w:t>
      </w:r>
      <w:r w:rsidRPr="00500F29">
        <w:rPr>
          <w:lang w:val="es-ES_tradnl"/>
        </w:rPr>
        <w:tab/>
        <w:t>Medición y evaluación de la ocupación del espectro</w:t>
      </w:r>
    </w:p>
    <w:p w:rsidR="00013F68" w:rsidRPr="00500F29" w:rsidRDefault="00013F68" w:rsidP="004D2F38">
      <w:pPr>
        <w:pStyle w:val="Enumlevel1"/>
        <w:numPr>
          <w:ilvl w:val="0"/>
          <w:numId w:val="31"/>
        </w:numPr>
        <w:tabs>
          <w:tab w:val="left" w:pos="1701"/>
        </w:tabs>
        <w:ind w:left="567" w:hanging="567"/>
        <w:rPr>
          <w:lang w:val="es-ES_tradnl"/>
        </w:rPr>
      </w:pPr>
      <w:r w:rsidRPr="00500F29">
        <w:rPr>
          <w:lang w:val="es-ES_tradnl"/>
        </w:rPr>
        <w:t>SM.2257:</w:t>
      </w:r>
      <w:r w:rsidRPr="00500F29">
        <w:rPr>
          <w:lang w:val="es-ES_tradnl"/>
        </w:rPr>
        <w:tab/>
        <w:t>Gestión y comprobación técnica del espectro durante grandes eventos</w:t>
      </w:r>
    </w:p>
    <w:p w:rsidR="00013F68" w:rsidRPr="00340022" w:rsidRDefault="00013F68" w:rsidP="00F16307">
      <w:pPr>
        <w:pStyle w:val="Heading4"/>
        <w:rPr>
          <w:lang w:val="es-ES_tradnl"/>
        </w:rPr>
      </w:pPr>
      <w:r w:rsidRPr="00340022">
        <w:rPr>
          <w:lang w:val="es-ES_tradnl"/>
        </w:rPr>
        <w:t>Manuales</w:t>
      </w:r>
    </w:p>
    <w:p w:rsidR="00013F68" w:rsidRPr="00340022" w:rsidRDefault="00013F68" w:rsidP="00F93096">
      <w:pPr>
        <w:pStyle w:val="Enumlevel1"/>
        <w:rPr>
          <w:lang w:val="es-ES_tradnl"/>
        </w:rPr>
      </w:pPr>
      <w:r w:rsidRPr="00340022">
        <w:rPr>
          <w:lang w:val="es-ES_tradnl"/>
        </w:rPr>
        <w:t>•</w:t>
      </w:r>
      <w:r w:rsidRPr="00340022">
        <w:rPr>
          <w:lang w:val="es-ES_tradnl"/>
        </w:rPr>
        <w:tab/>
      </w:r>
      <w:r w:rsidRPr="00340022">
        <w:rPr>
          <w:u w:val="single"/>
          <w:lang w:val="es-ES_tradnl"/>
        </w:rPr>
        <w:t>Manual sobre gestión nacional del espectro</w:t>
      </w:r>
      <w:r w:rsidRPr="00340022">
        <w:rPr>
          <w:lang w:val="es-ES_tradnl"/>
        </w:rPr>
        <w:t>. Este Manual cubre los fundamentos sobre la gestión del espectro, la planificación del espectro, la ingeniería del espectro, la autorización para el uso de las frecuencias, el empleo del espectro, el control del espectro y la automatización de las tareas de gestión del espectro. El Manual describe los elementos fundamentales de la gestión del espectro y está destinado a su utilización por las administraciones tanto de los países en desarrollo como de los países desarrollados.</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Manual sobre comprobación técnica del espectro</w:t>
      </w:r>
      <w:r w:rsidRPr="00340022">
        <w:rPr>
          <w:rFonts w:ascii="Calibri" w:eastAsia="SimSun" w:hAnsi="Calibri" w:cs="Calibri"/>
          <w:bCs w:val="0"/>
          <w:sz w:val="21"/>
          <w:szCs w:val="21"/>
          <w:lang w:val="es-ES_tradnl" w:eastAsia="en-GB"/>
        </w:rPr>
        <w:t>. Este Manual abarca todas las características esenciales de las técnicas y actividades de comprobación técnica del espectro, incluido el establecimiento de las instalaciones de comprobación técnica. La hipótesis que se desprende de este Manual es que la comprobación técnica del espectro requiere la utilización de equipos, personal y procedimientos. El Manual es un accesorio fundamental para todas las administraciones y organismos de comprobación técnica del espectro de todo el mundo, tanto de los países en desarrollo como desarrollados.</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lastRenderedPageBreak/>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Manual sobre técnicas informatizadas para la gestión del espectro</w:t>
      </w:r>
      <w:r w:rsidRPr="00340022">
        <w:rPr>
          <w:rFonts w:ascii="Calibri" w:eastAsia="SimSun" w:hAnsi="Calibri" w:cs="Calibri"/>
          <w:bCs w:val="0"/>
          <w:sz w:val="21"/>
          <w:szCs w:val="21"/>
          <w:lang w:val="es-ES_tradnl" w:eastAsia="en-GB"/>
        </w:rPr>
        <w:t>. Este Manual contiene material básico y numerosos modelos para desarrollar proyectos eficaces que ayudarán a implantar una gestión automatizada del espectro con la mayor brevedad posible.</w:t>
      </w:r>
    </w:p>
    <w:p w:rsidR="00013F68" w:rsidRPr="00340022" w:rsidRDefault="00013F68" w:rsidP="00AA228C">
      <w:pPr>
        <w:pStyle w:val="Heading4"/>
        <w:rPr>
          <w:lang w:val="es-ES_tradnl"/>
        </w:rPr>
      </w:pPr>
      <w:r w:rsidRPr="00340022">
        <w:rPr>
          <w:lang w:val="es-ES_tradnl"/>
        </w:rPr>
        <w:t>Observaciones</w:t>
      </w:r>
    </w:p>
    <w:bookmarkEnd w:id="40"/>
    <w:p w:rsidR="00013F68" w:rsidRPr="00A96787" w:rsidRDefault="00013F68" w:rsidP="00AA228C">
      <w:pPr>
        <w:rPr>
          <w:bCs/>
          <w:lang w:val="es-ES" w:eastAsia="en-US"/>
        </w:rPr>
      </w:pPr>
      <w:r w:rsidRPr="00A96787">
        <w:rPr>
          <w:lang w:val="es-ES" w:eastAsia="en-US"/>
        </w:rPr>
        <w:t xml:space="preserve">En respuesta a la Resolución 9 (Rev. </w:t>
      </w:r>
      <w:proofErr w:type="spellStart"/>
      <w:r w:rsidRPr="00A96787">
        <w:rPr>
          <w:lang w:val="es-ES" w:eastAsia="en-US"/>
        </w:rPr>
        <w:t>Hyderabad</w:t>
      </w:r>
      <w:proofErr w:type="spellEnd"/>
      <w:r w:rsidRPr="00A96787">
        <w:rPr>
          <w:lang w:val="es-ES" w:eastAsia="en-US"/>
        </w:rPr>
        <w:t>, 2010), el "Grupo Mixto para la Resolución 9", creado tras la CMDT-98 como un Grupo Mixto UIT-R/UIT-D, continúa asistiendo a los países en desarrollo a cumplir sus funciones de gestión nacional del espectro. Para ello, el Grupo ha elaborado y distribuido cuestionarios sobre gestión nacional del espectro entre los Estados Miembros y Miembros de Sector, con el objetivo fundamental de identificar los problemas concretos a los que se enfrentan los países en desarrollo a la hora de llevar a cabo la gestión nacional del espectro.</w:t>
      </w:r>
    </w:p>
    <w:p w:rsidR="00013F68" w:rsidRPr="00A96787" w:rsidRDefault="00013F68" w:rsidP="005A4281">
      <w:pPr>
        <w:rPr>
          <w:rFonts w:eastAsia="Times New Roman"/>
          <w:bCs/>
          <w:szCs w:val="19"/>
          <w:lang w:val="es-ES" w:eastAsia="en-US"/>
        </w:rPr>
      </w:pPr>
    </w:p>
    <w:p w:rsidR="00013F68" w:rsidRPr="00A96787" w:rsidRDefault="00013F68">
      <w:pPr>
        <w:spacing w:before="0"/>
        <w:rPr>
          <w:rFonts w:eastAsia="Times New Roman"/>
          <w:b/>
          <w:bCs/>
          <w:caps/>
          <w:szCs w:val="19"/>
          <w:lang w:val="es-ES" w:eastAsia="en-US"/>
        </w:rPr>
      </w:pPr>
      <w:bookmarkStart w:id="41" w:name="_Toc233465494"/>
      <w:bookmarkStart w:id="42" w:name="_Toc516397328"/>
      <w:r w:rsidRPr="00A96787">
        <w:rPr>
          <w:szCs w:val="19"/>
          <w:lang w:val="es-ES"/>
        </w:rPr>
        <w:br w:type="page"/>
      </w:r>
    </w:p>
    <w:p w:rsidR="00013F68" w:rsidRPr="00340022" w:rsidRDefault="00013F68" w:rsidP="009B6AE9">
      <w:pPr>
        <w:pStyle w:val="Heading1"/>
        <w:jc w:val="center"/>
        <w:rPr>
          <w:lang w:val="es-ES_tradnl"/>
        </w:rPr>
      </w:pPr>
      <w:bookmarkStart w:id="43" w:name="_Toc365036810"/>
      <w:bookmarkStart w:id="44" w:name="_Toc381259703"/>
      <w:bookmarkEnd w:id="41"/>
      <w:bookmarkEnd w:id="42"/>
      <w:r w:rsidRPr="00340022">
        <w:rPr>
          <w:lang w:val="es-ES_tradnl"/>
        </w:rPr>
        <w:lastRenderedPageBreak/>
        <w:t xml:space="preserve">Comisión de Estudio 3 del UIT-R – </w:t>
      </w:r>
      <w:hyperlink r:id="rId26" w:history="1">
        <w:r w:rsidRPr="00340022">
          <w:rPr>
            <w:lang w:val="es-ES_tradnl"/>
          </w:rPr>
          <w:t>Propagación de las ondas radioeléctricas</w:t>
        </w:r>
        <w:bookmarkEnd w:id="43"/>
        <w:bookmarkEnd w:id="44"/>
      </w:hyperlink>
    </w:p>
    <w:p w:rsidR="00013F68" w:rsidRPr="00901848" w:rsidRDefault="00013F68" w:rsidP="009B6AE9">
      <w:pPr>
        <w:pStyle w:val="Heading4"/>
        <w:rPr>
          <w:lang w:val="es-ES_tradnl"/>
        </w:rPr>
      </w:pPr>
      <w:r w:rsidRPr="00901848">
        <w:rPr>
          <w:lang w:val="es-ES_tradnl"/>
        </w:rPr>
        <w:t>Alcance</w:t>
      </w:r>
    </w:p>
    <w:p w:rsidR="00013F68" w:rsidRPr="00A96787" w:rsidRDefault="00013F68" w:rsidP="005A4281">
      <w:pPr>
        <w:rPr>
          <w:rFonts w:cstheme="majorBidi"/>
          <w:szCs w:val="19"/>
          <w:lang w:val="es-ES"/>
        </w:rPr>
      </w:pPr>
      <w:r w:rsidRPr="00A96787">
        <w:rPr>
          <w:rFonts w:cstheme="majorBidi"/>
          <w:szCs w:val="19"/>
          <w:lang w:val="es-ES"/>
        </w:rPr>
        <w:t>Propagación de las ondas radioeléctricas en medios ionizados y no ionizados y características del ruido radioeléctrico para mejorar los sistemas de radiocomunicaciones.</w:t>
      </w:r>
    </w:p>
    <w:p w:rsidR="009B6AE9" w:rsidRDefault="00013F68" w:rsidP="005A4281">
      <w:pPr>
        <w:rPr>
          <w:rFonts w:cstheme="majorBidi"/>
          <w:szCs w:val="19"/>
          <w:lang w:val="es-ES"/>
        </w:rPr>
      </w:pPr>
      <w:r w:rsidRPr="00A96787">
        <w:rPr>
          <w:rFonts w:cstheme="majorBidi"/>
          <w:szCs w:val="19"/>
          <w:lang w:val="es-ES"/>
        </w:rPr>
        <w:t>Esta Comisión de Estudio elabora Recomendaciones (en el marco de la serie P del UIT-R) que contienen:</w:t>
      </w:r>
    </w:p>
    <w:p w:rsidR="009B6AE9" w:rsidRPr="009B6AE9" w:rsidRDefault="00013F68" w:rsidP="009B6AE9">
      <w:pPr>
        <w:pStyle w:val="Enumlevel1"/>
        <w:rPr>
          <w:lang w:val="es-ES_tradnl"/>
        </w:rPr>
      </w:pPr>
      <w:r w:rsidRPr="009B6AE9">
        <w:rPr>
          <w:lang w:val="es-ES_tradnl"/>
        </w:rPr>
        <w:t>i)</w:t>
      </w:r>
      <w:r w:rsidR="009B6AE9" w:rsidRPr="009B6AE9">
        <w:rPr>
          <w:lang w:val="es-ES_tradnl"/>
        </w:rPr>
        <w:tab/>
      </w:r>
      <w:r w:rsidRPr="009B6AE9">
        <w:rPr>
          <w:lang w:val="es-ES_tradnl"/>
        </w:rPr>
        <w:t xml:space="preserve">información sobre las características básicas de propagación de la troposfera y la ionosfera que afectan la propagación de las ondas radioeléctricas, y </w:t>
      </w:r>
    </w:p>
    <w:p w:rsidR="00013F68" w:rsidRPr="009B6AE9" w:rsidRDefault="009B6AE9" w:rsidP="009B6AE9">
      <w:pPr>
        <w:pStyle w:val="Enumlevel1"/>
        <w:rPr>
          <w:lang w:val="es-ES_tradnl"/>
        </w:rPr>
      </w:pPr>
      <w:r w:rsidRPr="009B6AE9">
        <w:rPr>
          <w:lang w:val="es-ES_tradnl"/>
        </w:rPr>
        <w:t>ii)</w:t>
      </w:r>
      <w:r w:rsidRPr="009B6AE9">
        <w:rPr>
          <w:lang w:val="es-ES_tradnl"/>
        </w:rPr>
        <w:tab/>
      </w:r>
      <w:r w:rsidR="00013F68" w:rsidRPr="009B6AE9">
        <w:rPr>
          <w:lang w:val="es-ES_tradnl"/>
        </w:rPr>
        <w:t>métodos de predicción de propagación para su utilización por los diversos servicios de radiocomunicaciones.</w:t>
      </w:r>
    </w:p>
    <w:p w:rsidR="00013F68" w:rsidRPr="00340022" w:rsidRDefault="00013F68" w:rsidP="009B6AE9">
      <w:pPr>
        <w:pStyle w:val="Heading4"/>
        <w:rPr>
          <w:lang w:val="es-ES_tradnl"/>
        </w:rPr>
      </w:pPr>
      <w:bookmarkStart w:id="45" w:name="_Toc516397330"/>
      <w:bookmarkStart w:id="46" w:name="_Toc233020252"/>
      <w:bookmarkStart w:id="47" w:name="_Toc233465496"/>
      <w:r w:rsidRPr="00340022">
        <w:rPr>
          <w:lang w:val="es-ES_tradnl"/>
        </w:rPr>
        <w:t>Estructura</w:t>
      </w:r>
    </w:p>
    <w:p w:rsidR="00013F68" w:rsidRPr="00A96787" w:rsidRDefault="00013F68" w:rsidP="005A4281">
      <w:pPr>
        <w:rPr>
          <w:rFonts w:cstheme="majorBidi"/>
          <w:szCs w:val="19"/>
          <w:lang w:val="es-ES"/>
        </w:rPr>
      </w:pPr>
      <w:r w:rsidRPr="00A96787">
        <w:rPr>
          <w:rFonts w:cstheme="majorBidi"/>
          <w:szCs w:val="19"/>
          <w:lang w:val="es-ES"/>
        </w:rPr>
        <w:t>Cuatro Grupos de Trabajo (GT) realizan estudios sobre las Cuestiones asignadas a la Comisión de Estudio</w:t>
      </w:r>
      <w:r>
        <w:rPr>
          <w:rFonts w:cstheme="majorBidi"/>
          <w:szCs w:val="19"/>
          <w:lang w:val="es-ES"/>
        </w:rPr>
        <w:t> </w:t>
      </w:r>
      <w:r w:rsidRPr="00A96787">
        <w:rPr>
          <w:rFonts w:cstheme="majorBidi"/>
          <w:szCs w:val="19"/>
          <w:lang w:val="es-ES"/>
        </w:rPr>
        <w:t>3, a saber:</w:t>
      </w:r>
    </w:p>
    <w:p w:rsidR="00013F68" w:rsidRPr="00340022" w:rsidRDefault="00013F68" w:rsidP="00340022">
      <w:pPr>
        <w:pStyle w:val="Enumlevel1"/>
        <w:rPr>
          <w:lang w:val="es-ES_tradnl"/>
        </w:rPr>
      </w:pPr>
      <w:r w:rsidRPr="00340022">
        <w:rPr>
          <w:lang w:val="es-ES_tradnl"/>
        </w:rPr>
        <w:t>•</w:t>
      </w:r>
      <w:r w:rsidRPr="00340022">
        <w:rPr>
          <w:lang w:val="es-ES_tradnl"/>
        </w:rPr>
        <w:tab/>
        <w:t xml:space="preserve">GT 3J </w:t>
      </w:r>
      <w:r w:rsidR="00340022" w:rsidRPr="00340022">
        <w:rPr>
          <w:lang w:val="es-ES_tradnl"/>
        </w:rPr>
        <w:t>–</w:t>
      </w:r>
      <w:r w:rsidRPr="00340022">
        <w:rPr>
          <w:lang w:val="es-ES_tradnl"/>
        </w:rPr>
        <w:t xml:space="preserve"> Fundamentos de la propagación;</w:t>
      </w:r>
    </w:p>
    <w:p w:rsidR="00013F68" w:rsidRPr="00340022" w:rsidRDefault="00013F68" w:rsidP="00340022">
      <w:pPr>
        <w:pStyle w:val="Enumlevel1"/>
        <w:rPr>
          <w:lang w:val="es-ES_tradnl"/>
        </w:rPr>
      </w:pPr>
      <w:r w:rsidRPr="00340022">
        <w:rPr>
          <w:lang w:val="es-ES_tradnl"/>
        </w:rPr>
        <w:t>•</w:t>
      </w:r>
      <w:r w:rsidRPr="00340022">
        <w:rPr>
          <w:lang w:val="es-ES_tradnl"/>
        </w:rPr>
        <w:tab/>
        <w:t xml:space="preserve">GT 3K </w:t>
      </w:r>
      <w:r w:rsidR="00340022" w:rsidRPr="00340022">
        <w:rPr>
          <w:lang w:val="es-ES_tradnl"/>
        </w:rPr>
        <w:t>–</w:t>
      </w:r>
      <w:r w:rsidRPr="00340022">
        <w:rPr>
          <w:lang w:val="es-ES_tradnl"/>
        </w:rPr>
        <w:t xml:space="preserve"> Propagación de punto a zona;</w:t>
      </w:r>
    </w:p>
    <w:p w:rsidR="00013F68" w:rsidRPr="00340022" w:rsidRDefault="00013F68" w:rsidP="00340022">
      <w:pPr>
        <w:pStyle w:val="Enumlevel1"/>
        <w:rPr>
          <w:lang w:val="es-ES_tradnl"/>
        </w:rPr>
      </w:pPr>
      <w:r w:rsidRPr="00340022">
        <w:rPr>
          <w:lang w:val="es-ES_tradnl"/>
        </w:rPr>
        <w:t>•</w:t>
      </w:r>
      <w:r w:rsidRPr="00340022">
        <w:rPr>
          <w:lang w:val="es-ES_tradnl"/>
        </w:rPr>
        <w:tab/>
        <w:t xml:space="preserve">GT 3L </w:t>
      </w:r>
      <w:r w:rsidR="00340022" w:rsidRPr="00340022">
        <w:rPr>
          <w:lang w:val="es-ES_tradnl"/>
        </w:rPr>
        <w:t>–</w:t>
      </w:r>
      <w:r w:rsidRPr="00340022">
        <w:rPr>
          <w:lang w:val="es-ES_tradnl"/>
        </w:rPr>
        <w:t xml:space="preserve"> Propagación </w:t>
      </w:r>
      <w:proofErr w:type="spellStart"/>
      <w:r w:rsidRPr="00340022">
        <w:rPr>
          <w:lang w:val="es-ES_tradnl"/>
        </w:rPr>
        <w:t>ionosférica</w:t>
      </w:r>
      <w:proofErr w:type="spellEnd"/>
      <w:r w:rsidRPr="00340022">
        <w:rPr>
          <w:lang w:val="es-ES_tradnl"/>
        </w:rPr>
        <w:t xml:space="preserve"> y ruido radioeléctrico; y</w:t>
      </w:r>
    </w:p>
    <w:p w:rsidR="00013F68" w:rsidRPr="00340022" w:rsidRDefault="00013F68" w:rsidP="009B6AE9">
      <w:pPr>
        <w:pStyle w:val="Enumlevel1"/>
        <w:rPr>
          <w:lang w:val="es-ES_tradnl"/>
        </w:rPr>
      </w:pPr>
      <w:r w:rsidRPr="00340022">
        <w:rPr>
          <w:lang w:val="es-ES_tradnl"/>
        </w:rPr>
        <w:t>•</w:t>
      </w:r>
      <w:r w:rsidRPr="00340022">
        <w:rPr>
          <w:lang w:val="es-ES_tradnl"/>
        </w:rPr>
        <w:tab/>
        <w:t>GT 3M – Propagación punto a punto y Tierra-espacio.</w:t>
      </w:r>
    </w:p>
    <w:p w:rsidR="00013F68" w:rsidRPr="00A96787" w:rsidRDefault="00013F68" w:rsidP="00556C96">
      <w:pPr>
        <w:rPr>
          <w:sz w:val="24"/>
          <w:szCs w:val="24"/>
          <w:lang w:val="es-ES"/>
        </w:rPr>
      </w:pPr>
      <w:r w:rsidRPr="00A96787">
        <w:rPr>
          <w:lang w:val="es-ES"/>
        </w:rPr>
        <w:t>El principal objetivo de los Grupos de Trabajo es elaborar Recomendaciones de la Serie P del UIT-R, para su posterior adopción por la Comisión de Estudio 3 y aprobación por los Estados Miembros. Los Grupos de Trabajo también elaboran Manuales que proporcionan textos descriptivos y didácticos, de especial utilidad para los países en desarrollo.</w:t>
      </w:r>
    </w:p>
    <w:bookmarkEnd w:id="45"/>
    <w:bookmarkEnd w:id="46"/>
    <w:bookmarkEnd w:id="47"/>
    <w:p w:rsidR="00013F68" w:rsidRPr="00340022" w:rsidRDefault="00013F68" w:rsidP="00556C96">
      <w:pPr>
        <w:pStyle w:val="Heading4"/>
        <w:rPr>
          <w:lang w:val="es-ES_tradnl"/>
        </w:rPr>
      </w:pPr>
      <w:r w:rsidRPr="00340022">
        <w:rPr>
          <w:lang w:val="es-ES_tradnl"/>
        </w:rPr>
        <w:t>Cuestiones</w:t>
      </w:r>
    </w:p>
    <w:p w:rsidR="00013F68" w:rsidRPr="00556C96" w:rsidRDefault="00013F68" w:rsidP="00556C96">
      <w:pPr>
        <w:pStyle w:val="Enumlevel1"/>
        <w:tabs>
          <w:tab w:val="left" w:pos="1701"/>
        </w:tabs>
        <w:rPr>
          <w:lang w:val="es-ES_tradnl"/>
        </w:rPr>
      </w:pPr>
      <w:r w:rsidRPr="00556C96">
        <w:rPr>
          <w:lang w:val="es-ES_tradnl"/>
        </w:rPr>
        <w:t>•</w:t>
      </w:r>
      <w:r w:rsidRPr="00556C96">
        <w:rPr>
          <w:lang w:val="es-ES_tradnl"/>
        </w:rPr>
        <w:tab/>
        <w:t>C201-4/3:</w:t>
      </w:r>
      <w:r w:rsidRPr="00556C96">
        <w:rPr>
          <w:lang w:val="es-ES_tradnl"/>
        </w:rPr>
        <w:tab/>
        <w:t xml:space="preserve">Datos </w:t>
      </w:r>
      <w:proofErr w:type="spellStart"/>
      <w:r w:rsidRPr="00556C96">
        <w:rPr>
          <w:lang w:val="es-ES_tradnl"/>
        </w:rPr>
        <w:t>radiometeorológicos</w:t>
      </w:r>
      <w:proofErr w:type="spellEnd"/>
      <w:r w:rsidRPr="00556C96">
        <w:rPr>
          <w:lang w:val="es-ES_tradnl"/>
        </w:rPr>
        <w:t xml:space="preserve"> requeridos para planificar sistemas de telecomunicaciones </w:t>
      </w:r>
      <w:r w:rsidR="00556C96" w:rsidRPr="00556C96">
        <w:rPr>
          <w:lang w:val="es-ES_tradnl"/>
        </w:rPr>
        <w:tab/>
      </w:r>
      <w:r w:rsidRPr="00556C96">
        <w:rPr>
          <w:lang w:val="es-ES_tradnl"/>
        </w:rPr>
        <w:t>terrenales y espaciales y aplicaciones de investigación espacial</w:t>
      </w:r>
    </w:p>
    <w:p w:rsidR="00013F68" w:rsidRPr="00556C96" w:rsidRDefault="00013F68" w:rsidP="00556C96">
      <w:pPr>
        <w:pStyle w:val="Enumlevel1"/>
        <w:tabs>
          <w:tab w:val="left" w:pos="1701"/>
        </w:tabs>
        <w:rPr>
          <w:lang w:val="es-ES_tradnl"/>
        </w:rPr>
      </w:pPr>
      <w:r w:rsidRPr="00556C96">
        <w:rPr>
          <w:lang w:val="es-ES_tradnl"/>
        </w:rPr>
        <w:t>•</w:t>
      </w:r>
      <w:r w:rsidRPr="00556C96">
        <w:rPr>
          <w:lang w:val="es-ES_tradnl"/>
        </w:rPr>
        <w:tab/>
        <w:t>C203-5/3:</w:t>
      </w:r>
      <w:r w:rsidRPr="00556C96">
        <w:rPr>
          <w:lang w:val="es-ES_tradnl"/>
        </w:rPr>
        <w:tab/>
        <w:t xml:space="preserve">Datos de propagación y métodos de predicción para los servicios fijos (acceso de </w:t>
      </w:r>
      <w:r w:rsidR="00556C96">
        <w:rPr>
          <w:lang w:val="es-ES_tradnl"/>
        </w:rPr>
        <w:tab/>
      </w:r>
      <w:r w:rsidRPr="00556C96">
        <w:rPr>
          <w:lang w:val="es-ES_tradnl"/>
        </w:rPr>
        <w:t>banda ancha), móviles y de radiodifusión terrenales por encima de 30 MHz</w:t>
      </w:r>
    </w:p>
    <w:p w:rsidR="00013F68" w:rsidRPr="00556C96" w:rsidRDefault="00013F68" w:rsidP="00556C96">
      <w:pPr>
        <w:pStyle w:val="Enumlevel1"/>
        <w:tabs>
          <w:tab w:val="left" w:pos="1701"/>
        </w:tabs>
        <w:rPr>
          <w:lang w:val="es-ES_tradnl"/>
        </w:rPr>
      </w:pPr>
      <w:r w:rsidRPr="00556C96">
        <w:rPr>
          <w:lang w:val="es-ES_tradnl"/>
        </w:rPr>
        <w:t>•</w:t>
      </w:r>
      <w:r w:rsidRPr="00556C96">
        <w:rPr>
          <w:lang w:val="es-ES_tradnl"/>
        </w:rPr>
        <w:tab/>
        <w:t>C206-3/3:</w:t>
      </w:r>
      <w:r w:rsidRPr="00556C96">
        <w:rPr>
          <w:lang w:val="es-ES_tradnl"/>
        </w:rPr>
        <w:tab/>
        <w:t xml:space="preserve">Datos de propagación y métodos de predicción para los servicios fijo por satélite y de </w:t>
      </w:r>
      <w:r w:rsidR="00556C96">
        <w:rPr>
          <w:lang w:val="es-ES_tradnl"/>
        </w:rPr>
        <w:tab/>
      </w:r>
      <w:r w:rsidRPr="00556C96">
        <w:rPr>
          <w:lang w:val="es-ES_tradnl"/>
        </w:rPr>
        <w:t>radiodifusión por satélite</w:t>
      </w:r>
    </w:p>
    <w:p w:rsidR="00013F68" w:rsidRPr="00556C96" w:rsidRDefault="00013F68" w:rsidP="00556C96">
      <w:pPr>
        <w:pStyle w:val="Enumlevel1"/>
        <w:tabs>
          <w:tab w:val="left" w:pos="1701"/>
        </w:tabs>
        <w:rPr>
          <w:lang w:val="es-ES_tradnl"/>
        </w:rPr>
      </w:pPr>
      <w:r w:rsidRPr="00556C96">
        <w:rPr>
          <w:lang w:val="es-ES_tradnl"/>
        </w:rPr>
        <w:t>•</w:t>
      </w:r>
      <w:r w:rsidRPr="00556C96">
        <w:rPr>
          <w:lang w:val="es-ES_tradnl"/>
        </w:rPr>
        <w:tab/>
        <w:t>C208-3/3:</w:t>
      </w:r>
      <w:r w:rsidRPr="00556C96">
        <w:rPr>
          <w:lang w:val="es-ES_tradnl"/>
        </w:rPr>
        <w:tab/>
        <w:t xml:space="preserve">Factores de propagación en asuntos relativos a la compartición de frecuencias que </w:t>
      </w:r>
      <w:r w:rsidR="00556C96">
        <w:rPr>
          <w:lang w:val="es-ES_tradnl"/>
        </w:rPr>
        <w:tab/>
      </w:r>
      <w:r w:rsidRPr="00556C96">
        <w:rPr>
          <w:lang w:val="es-ES_tradnl"/>
        </w:rPr>
        <w:t>afectan al servicio fijo por satélite y a los servicios terrenales</w:t>
      </w:r>
    </w:p>
    <w:p w:rsidR="00013F68" w:rsidRPr="00556C96" w:rsidRDefault="00013F68" w:rsidP="00556C96">
      <w:pPr>
        <w:pStyle w:val="Enumlevel1"/>
        <w:tabs>
          <w:tab w:val="left" w:pos="1701"/>
        </w:tabs>
        <w:rPr>
          <w:lang w:val="es-ES_tradnl"/>
        </w:rPr>
      </w:pPr>
      <w:r w:rsidRPr="00556C96">
        <w:rPr>
          <w:lang w:val="es-ES_tradnl"/>
        </w:rPr>
        <w:t>•</w:t>
      </w:r>
      <w:r w:rsidRPr="00556C96">
        <w:rPr>
          <w:lang w:val="es-ES_tradnl"/>
        </w:rPr>
        <w:tab/>
        <w:t>C211-5/3:</w:t>
      </w:r>
      <w:r w:rsidRPr="00556C96">
        <w:rPr>
          <w:lang w:val="es-ES_tradnl"/>
        </w:rPr>
        <w:tab/>
        <w:t>Datos de propagación y modelos de propagación e</w:t>
      </w:r>
      <w:r w:rsidR="00556C96">
        <w:rPr>
          <w:lang w:val="es-ES_tradnl"/>
        </w:rPr>
        <w:t xml:space="preserve">n la gama de frecuencias de </w:t>
      </w:r>
      <w:r w:rsidR="00556C96">
        <w:rPr>
          <w:lang w:val="es-ES_tradnl"/>
        </w:rPr>
        <w:tab/>
        <w:t>300 </w:t>
      </w:r>
      <w:r w:rsidRPr="00556C96">
        <w:rPr>
          <w:lang w:val="es-ES_tradnl"/>
        </w:rPr>
        <w:t xml:space="preserve">MHz a 100 GHz para el diseño de sistemas de radiocomunicaciones inalámbricas </w:t>
      </w:r>
      <w:r w:rsidR="00556C96">
        <w:rPr>
          <w:lang w:val="es-ES_tradnl"/>
        </w:rPr>
        <w:tab/>
      </w:r>
      <w:r w:rsidRPr="00556C96">
        <w:rPr>
          <w:lang w:val="es-ES_tradnl"/>
        </w:rPr>
        <w:t>de cierto alcance y redes de área local inalámbricas (WLAN)</w:t>
      </w:r>
    </w:p>
    <w:p w:rsidR="00013F68" w:rsidRPr="00A96787" w:rsidRDefault="00013F68" w:rsidP="00EF6847">
      <w:pPr>
        <w:rPr>
          <w:lang w:val="es-ES"/>
        </w:rPr>
      </w:pPr>
      <w:bookmarkStart w:id="48" w:name="_Toc516397331"/>
      <w:bookmarkStart w:id="49" w:name="_Toc233020253"/>
      <w:bookmarkStart w:id="50" w:name="_Toc233465497"/>
      <w:r w:rsidRPr="00A96787">
        <w:rPr>
          <w:lang w:val="es-ES"/>
        </w:rPr>
        <w:t>Todas las Cuestiones UIT-R asignadas a la Comisión de Estudio 3 se publican y están disponibles en:</w:t>
      </w:r>
      <w:r w:rsidRPr="00A96787">
        <w:rPr>
          <w:lang w:val="es-ES"/>
        </w:rPr>
        <w:br/>
      </w:r>
      <w:hyperlink r:id="rId27" w:history="1">
        <w:r w:rsidR="00EF6847">
          <w:rPr>
            <w:rStyle w:val="Hyperlink"/>
            <w:lang w:val="es-ES"/>
          </w:rPr>
          <w:t>www</w:t>
        </w:r>
        <w:r w:rsidRPr="00A96787">
          <w:rPr>
            <w:rStyle w:val="Hyperlink"/>
            <w:lang w:val="es-ES"/>
          </w:rPr>
          <w:t>.itu.int/pub/R-QUE-SG03/</w:t>
        </w:r>
      </w:hyperlink>
      <w:r w:rsidRPr="00A96787">
        <w:rPr>
          <w:lang w:val="es-ES"/>
        </w:rPr>
        <w:t xml:space="preserve"> </w:t>
      </w:r>
    </w:p>
    <w:p w:rsidR="00013F68" w:rsidRPr="00340022" w:rsidRDefault="00013F68" w:rsidP="000B6144">
      <w:pPr>
        <w:pStyle w:val="Heading4"/>
        <w:rPr>
          <w:lang w:val="es-ES_tradnl"/>
        </w:rPr>
      </w:pPr>
      <w:r w:rsidRPr="00340022">
        <w:rPr>
          <w:lang w:val="es-ES_tradnl"/>
        </w:rPr>
        <w:t>Informes pertinentes</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P.227:</w:t>
      </w:r>
      <w:r w:rsidRPr="000B6144">
        <w:rPr>
          <w:lang w:val="es-ES_tradnl"/>
        </w:rPr>
        <w:tab/>
        <w:t xml:space="preserve">Métodos generales de medida de la intensidad de campo y de otras magnitudes </w:t>
      </w:r>
      <w:r w:rsidR="000B6144">
        <w:rPr>
          <w:lang w:val="es-ES_tradnl"/>
        </w:rPr>
        <w:tab/>
      </w:r>
      <w:r w:rsidRPr="000B6144">
        <w:rPr>
          <w:lang w:val="es-ES_tradnl"/>
        </w:rPr>
        <w:t>conexas</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P.228:</w:t>
      </w:r>
      <w:r w:rsidRPr="000B6144">
        <w:rPr>
          <w:lang w:val="es-ES_tradnl"/>
        </w:rPr>
        <w:tab/>
        <w:t xml:space="preserve">Medición de la intensidad de campo para los servicios de radiodifusión en ondas </w:t>
      </w:r>
      <w:r w:rsidR="000B6144">
        <w:rPr>
          <w:lang w:val="es-ES_tradnl"/>
        </w:rPr>
        <w:tab/>
      </w:r>
      <w:r w:rsidRPr="000B6144">
        <w:rPr>
          <w:lang w:val="es-ES_tradnl"/>
        </w:rPr>
        <w:t xml:space="preserve">métricas y </w:t>
      </w:r>
      <w:proofErr w:type="spellStart"/>
      <w:r w:rsidRPr="000B6144">
        <w:rPr>
          <w:lang w:val="es-ES_tradnl"/>
        </w:rPr>
        <w:t>decimétricas</w:t>
      </w:r>
      <w:proofErr w:type="spellEnd"/>
      <w:r w:rsidRPr="000B6144">
        <w:rPr>
          <w:lang w:val="es-ES_tradnl"/>
        </w:rPr>
        <w:t>, televisión inclusive</w:t>
      </w:r>
    </w:p>
    <w:p w:rsidR="00013F68" w:rsidRPr="00340022" w:rsidRDefault="00013F68" w:rsidP="000B6144">
      <w:pPr>
        <w:pStyle w:val="Heading4"/>
        <w:rPr>
          <w:lang w:val="es-ES_tradnl"/>
        </w:rPr>
      </w:pPr>
      <w:r w:rsidRPr="00340022">
        <w:rPr>
          <w:lang w:val="es-ES_tradnl"/>
        </w:rPr>
        <w:lastRenderedPageBreak/>
        <w:t>Recomendaciones pertinentes</w:t>
      </w:r>
    </w:p>
    <w:p w:rsidR="00013F68" w:rsidRPr="000B6144" w:rsidRDefault="00013F68" w:rsidP="000B6144">
      <w:pPr>
        <w:pStyle w:val="Headingb0"/>
        <w:rPr>
          <w:sz w:val="21"/>
          <w:szCs w:val="21"/>
          <w:lang w:val="es-ES_tradnl"/>
        </w:rPr>
      </w:pPr>
      <w:r w:rsidRPr="000B6144">
        <w:rPr>
          <w:sz w:val="21"/>
          <w:szCs w:val="21"/>
          <w:lang w:val="es-ES_tradnl"/>
        </w:rPr>
        <w:t>Serie P</w:t>
      </w:r>
      <w:bookmarkEnd w:id="48"/>
      <w:bookmarkEnd w:id="49"/>
      <w:bookmarkEnd w:id="50"/>
      <w:r w:rsidRPr="000B6144">
        <w:rPr>
          <w:sz w:val="21"/>
          <w:szCs w:val="21"/>
          <w:lang w:val="es-ES_tradnl"/>
        </w:rPr>
        <w:t>: Propagación de las ondas radioeléctricas</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P.1144:</w:t>
      </w:r>
      <w:r w:rsidRPr="000B6144">
        <w:rPr>
          <w:lang w:val="es-ES_tradnl"/>
        </w:rPr>
        <w:tab/>
        <w:t xml:space="preserve">Guía para la aplicación de los métodos de propagación de la Comisión de Estudio 3 de </w:t>
      </w:r>
      <w:r w:rsidR="000B6144">
        <w:rPr>
          <w:lang w:val="es-ES_tradnl"/>
        </w:rPr>
        <w:tab/>
      </w:r>
      <w:r w:rsidRPr="000B6144">
        <w:rPr>
          <w:lang w:val="es-ES_tradnl"/>
        </w:rPr>
        <w:t>Radiocomunicaciones</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P.453:</w:t>
      </w:r>
      <w:r w:rsidRPr="000B6144">
        <w:rPr>
          <w:lang w:val="es-ES_tradnl"/>
        </w:rPr>
        <w:tab/>
        <w:t xml:space="preserve">Índice de refracción radioeléctrica: su fórmula y datos sobre la </w:t>
      </w:r>
      <w:proofErr w:type="spellStart"/>
      <w:r w:rsidRPr="000B6144">
        <w:rPr>
          <w:lang w:val="es-ES_tradnl"/>
        </w:rPr>
        <w:t>refractividad</w:t>
      </w:r>
      <w:proofErr w:type="spellEnd"/>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P.837:</w:t>
      </w:r>
      <w:r w:rsidRPr="000B6144">
        <w:rPr>
          <w:lang w:val="es-ES_tradnl"/>
        </w:rPr>
        <w:tab/>
        <w:t>Características de las precipitaciones para establecer modelos de propagación</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P.1406:</w:t>
      </w:r>
      <w:r w:rsidRPr="000B6144">
        <w:rPr>
          <w:lang w:val="es-ES_tradnl"/>
        </w:rPr>
        <w:tab/>
        <w:t xml:space="preserve">Aspectos de la propagación relativos al servicio móvil terrestre terrenal y a la </w:t>
      </w:r>
      <w:r w:rsidR="000B6144">
        <w:rPr>
          <w:lang w:val="es-ES_tradnl"/>
        </w:rPr>
        <w:tab/>
      </w:r>
      <w:r w:rsidRPr="000B6144">
        <w:rPr>
          <w:lang w:val="es-ES_tradnl"/>
        </w:rPr>
        <w:t xml:space="preserve">radiodifusión en las bandas de ondas métricas y </w:t>
      </w:r>
      <w:proofErr w:type="spellStart"/>
      <w:r w:rsidRPr="000B6144">
        <w:rPr>
          <w:lang w:val="es-ES_tradnl"/>
        </w:rPr>
        <w:t>decimétricas</w:t>
      </w:r>
      <w:proofErr w:type="spellEnd"/>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P.1410:</w:t>
      </w:r>
      <w:r w:rsidRPr="000B6144">
        <w:rPr>
          <w:lang w:val="es-ES_tradnl"/>
        </w:rPr>
        <w:tab/>
        <w:t xml:space="preserve">Datos de propagación y métodos de predicción necesarios para el diseño de sistemas </w:t>
      </w:r>
      <w:r w:rsidR="000B6144">
        <w:rPr>
          <w:lang w:val="es-ES_tradnl"/>
        </w:rPr>
        <w:tab/>
      </w:r>
      <w:r w:rsidRPr="000B6144">
        <w:rPr>
          <w:lang w:val="es-ES_tradnl"/>
        </w:rPr>
        <w:t xml:space="preserve">terrenales de acceso radioeléctrico de banda ancha que funcionan en una gama de </w:t>
      </w:r>
      <w:r w:rsidR="000B6144">
        <w:rPr>
          <w:lang w:val="es-ES_tradnl"/>
        </w:rPr>
        <w:tab/>
      </w:r>
      <w:r w:rsidRPr="000B6144">
        <w:rPr>
          <w:lang w:val="es-ES_tradnl"/>
        </w:rPr>
        <w:t>frecuencias de 3 a 60 GHz aproximadamente</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P.1546:</w:t>
      </w:r>
      <w:r w:rsidRPr="000B6144">
        <w:rPr>
          <w:lang w:val="es-ES_tradnl"/>
        </w:rPr>
        <w:tab/>
        <w:t xml:space="preserve">Métodos de predicción de punto a zona para servicios terrenales en las gamas de </w:t>
      </w:r>
      <w:r w:rsidR="000B6144">
        <w:rPr>
          <w:lang w:val="es-ES_tradnl"/>
        </w:rPr>
        <w:tab/>
      </w:r>
      <w:r w:rsidRPr="000B6144">
        <w:rPr>
          <w:lang w:val="es-ES_tradnl"/>
        </w:rPr>
        <w:t>frecuencias de 30 a 3 000 MHz</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P.452:</w:t>
      </w:r>
      <w:r w:rsidRPr="000B6144">
        <w:rPr>
          <w:lang w:val="es-ES_tradnl"/>
        </w:rPr>
        <w:tab/>
        <w:t xml:space="preserve">Procedimiento de predicción para evaluar la interferencia entre estaciones situadas </w:t>
      </w:r>
      <w:r w:rsidR="000B6144">
        <w:rPr>
          <w:lang w:val="es-ES_tradnl"/>
        </w:rPr>
        <w:tab/>
      </w:r>
      <w:r w:rsidRPr="000B6144">
        <w:rPr>
          <w:lang w:val="es-ES_tradnl"/>
        </w:rPr>
        <w:t>en la superficie de la Tierra a frecuencias superiores a unos 0,1 GHz</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P.1812:</w:t>
      </w:r>
      <w:r w:rsidRPr="000B6144">
        <w:rPr>
          <w:lang w:val="es-ES_tradnl"/>
        </w:rPr>
        <w:tab/>
        <w:t xml:space="preserve">Método de predicción de la propagación específico del trayecto para servicios </w:t>
      </w:r>
      <w:r w:rsidR="000B6144">
        <w:rPr>
          <w:lang w:val="es-ES_tradnl"/>
        </w:rPr>
        <w:tab/>
      </w:r>
      <w:r w:rsidRPr="000B6144">
        <w:rPr>
          <w:lang w:val="es-ES_tradnl"/>
        </w:rPr>
        <w:t xml:space="preserve">terrenales punto a zona en las bandas de ondas métricas y </w:t>
      </w:r>
      <w:proofErr w:type="spellStart"/>
      <w:r w:rsidRPr="000B6144">
        <w:rPr>
          <w:lang w:val="es-ES_tradnl"/>
        </w:rPr>
        <w:t>decimétricas</w:t>
      </w:r>
      <w:proofErr w:type="spellEnd"/>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P.618:</w:t>
      </w:r>
      <w:r w:rsidRPr="000B6144">
        <w:rPr>
          <w:lang w:val="es-ES_tradnl"/>
        </w:rPr>
        <w:tab/>
        <w:t xml:space="preserve">Datos de propagación y métodos de predicción necesarios para el diseño de sistemas </w:t>
      </w:r>
      <w:r w:rsidR="000B6144">
        <w:rPr>
          <w:lang w:val="es-ES_tradnl"/>
        </w:rPr>
        <w:tab/>
      </w:r>
      <w:r w:rsidRPr="000B6144">
        <w:rPr>
          <w:lang w:val="es-ES_tradnl"/>
        </w:rPr>
        <w:t>de telecomunicación Tierra-espacio</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P.620:</w:t>
      </w:r>
      <w:r w:rsidRPr="000B6144">
        <w:rPr>
          <w:lang w:val="es-ES_tradnl"/>
        </w:rPr>
        <w:tab/>
        <w:t xml:space="preserve">Datos de propagación necesarios para evaluar las distancias de coordinación en la </w:t>
      </w:r>
      <w:r w:rsidR="000B6144">
        <w:rPr>
          <w:lang w:val="es-ES_tradnl"/>
        </w:rPr>
        <w:tab/>
      </w:r>
      <w:r w:rsidRPr="000B6144">
        <w:rPr>
          <w:lang w:val="es-ES_tradnl"/>
        </w:rPr>
        <w:t>banda de frecuencias 100 MHz-105 GHz</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P.1411:</w:t>
      </w:r>
      <w:r w:rsidRPr="000B6144">
        <w:rPr>
          <w:lang w:val="es-ES_tradnl"/>
        </w:rPr>
        <w:tab/>
        <w:t xml:space="preserve">Datos de propagación y métodos de predicción para la planificación de los sistemas de </w:t>
      </w:r>
      <w:r w:rsidR="000B6144">
        <w:rPr>
          <w:lang w:val="es-ES_tradnl"/>
        </w:rPr>
        <w:tab/>
      </w:r>
      <w:r w:rsidRPr="000B6144">
        <w:rPr>
          <w:lang w:val="es-ES_tradnl"/>
        </w:rPr>
        <w:t xml:space="preserve">radiocomunicaciones de exteriores de corto alcance y redes de radiocomunicaciones </w:t>
      </w:r>
      <w:r w:rsidR="000B6144">
        <w:rPr>
          <w:lang w:val="es-ES_tradnl"/>
        </w:rPr>
        <w:tab/>
      </w:r>
      <w:r w:rsidRPr="000B6144">
        <w:rPr>
          <w:lang w:val="es-ES_tradnl"/>
        </w:rPr>
        <w:t>de área local en la gama de frecuencias de 300 MHz a 100 GHz</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P.679:</w:t>
      </w:r>
      <w:r w:rsidRPr="000B6144">
        <w:rPr>
          <w:lang w:val="es-ES_tradnl"/>
        </w:rPr>
        <w:tab/>
        <w:t xml:space="preserve">Datos de propagación necesarios para el diseño de sistemas de radiodifusión por </w:t>
      </w:r>
      <w:r w:rsidR="000B6144">
        <w:rPr>
          <w:lang w:val="es-ES_tradnl"/>
        </w:rPr>
        <w:tab/>
      </w:r>
      <w:r w:rsidRPr="000B6144">
        <w:rPr>
          <w:lang w:val="es-ES_tradnl"/>
        </w:rPr>
        <w:t>satélite</w:t>
      </w:r>
    </w:p>
    <w:p w:rsidR="00013F68" w:rsidRPr="000B6144" w:rsidRDefault="00013F68" w:rsidP="000B6144">
      <w:pPr>
        <w:pStyle w:val="Enumlevel1"/>
        <w:tabs>
          <w:tab w:val="left" w:pos="1701"/>
        </w:tabs>
        <w:rPr>
          <w:lang w:val="es-ES_tradnl"/>
        </w:rPr>
      </w:pPr>
      <w:r w:rsidRPr="000B6144">
        <w:rPr>
          <w:lang w:val="es-ES_tradnl"/>
        </w:rPr>
        <w:t>•</w:t>
      </w:r>
      <w:r w:rsidRPr="000B6144">
        <w:rPr>
          <w:lang w:val="es-ES_tradnl"/>
        </w:rPr>
        <w:tab/>
        <w:t>P.2001:</w:t>
      </w:r>
      <w:r w:rsidRPr="000B6144">
        <w:rPr>
          <w:lang w:val="es-ES_tradnl"/>
        </w:rPr>
        <w:tab/>
        <w:t xml:space="preserve">Modelo de propagación terrenal de gran alcance polivalente en la gama de </w:t>
      </w:r>
      <w:r w:rsidR="000B6144">
        <w:rPr>
          <w:lang w:val="es-ES_tradnl"/>
        </w:rPr>
        <w:tab/>
      </w:r>
      <w:r w:rsidRPr="000B6144">
        <w:rPr>
          <w:lang w:val="es-ES_tradnl"/>
        </w:rPr>
        <w:t>frecuencias de 30 MHz a 50 GHz</w:t>
      </w:r>
      <w:r w:rsidRPr="000B6144">
        <w:rPr>
          <w:lang w:val="es-ES_tradnl"/>
        </w:rPr>
        <w:tab/>
      </w:r>
    </w:p>
    <w:p w:rsidR="00013F68" w:rsidRPr="00340022" w:rsidRDefault="00013F68" w:rsidP="000B6144">
      <w:pPr>
        <w:pStyle w:val="Heading4"/>
        <w:rPr>
          <w:lang w:val="es-ES_tradnl"/>
        </w:rPr>
      </w:pPr>
      <w:bookmarkStart w:id="51" w:name="_Toc516397332"/>
      <w:bookmarkStart w:id="52" w:name="_Toc233020254"/>
      <w:bookmarkStart w:id="53" w:name="_Toc233465498"/>
      <w:r w:rsidRPr="00340022">
        <w:rPr>
          <w:lang w:val="es-ES_tradnl"/>
        </w:rPr>
        <w:t>Manuales</w:t>
      </w:r>
      <w:bookmarkEnd w:id="51"/>
      <w:bookmarkEnd w:id="52"/>
      <w:bookmarkEnd w:id="53"/>
    </w:p>
    <w:p w:rsidR="00013F68" w:rsidRPr="00A96787" w:rsidRDefault="00013F68" w:rsidP="000B6144">
      <w:pPr>
        <w:rPr>
          <w:lang w:val="es-ES"/>
        </w:rPr>
      </w:pPr>
      <w:r w:rsidRPr="00A96787">
        <w:rPr>
          <w:lang w:val="es-ES"/>
        </w:rPr>
        <w:t xml:space="preserve">Curvas de propagación de las ondas radioeléctricas sobre la superficie de la Tierra. </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proofErr w:type="spellStart"/>
      <w:r w:rsidRPr="00340022">
        <w:rPr>
          <w:rFonts w:ascii="Calibri" w:eastAsia="SimSun" w:hAnsi="Calibri" w:cs="Calibri"/>
          <w:bCs w:val="0"/>
          <w:sz w:val="21"/>
          <w:szCs w:val="21"/>
          <w:u w:val="single"/>
          <w:lang w:val="es-ES_tradnl" w:eastAsia="en-GB"/>
        </w:rPr>
        <w:t>Radiometeorología</w:t>
      </w:r>
      <w:proofErr w:type="spellEnd"/>
      <w:r w:rsidRPr="00340022">
        <w:rPr>
          <w:rFonts w:ascii="Calibri" w:eastAsia="SimSun" w:hAnsi="Calibri" w:cs="Calibri"/>
          <w:bCs w:val="0"/>
          <w:sz w:val="21"/>
          <w:szCs w:val="21"/>
          <w:lang w:val="es-ES_tradnl" w:eastAsia="en-GB"/>
        </w:rPr>
        <w:t xml:space="preserve">. Este Manual presenta información general sobre la </w:t>
      </w:r>
      <w:proofErr w:type="spellStart"/>
      <w:r w:rsidRPr="00340022">
        <w:rPr>
          <w:rFonts w:ascii="Calibri" w:eastAsia="SimSun" w:hAnsi="Calibri" w:cs="Calibri"/>
          <w:bCs w:val="0"/>
          <w:sz w:val="21"/>
          <w:szCs w:val="21"/>
          <w:lang w:val="es-ES_tradnl" w:eastAsia="en-GB"/>
        </w:rPr>
        <w:t>radiometeorología</w:t>
      </w:r>
      <w:proofErr w:type="spellEnd"/>
      <w:r w:rsidRPr="00340022">
        <w:rPr>
          <w:rFonts w:ascii="Calibri" w:eastAsia="SimSun" w:hAnsi="Calibri" w:cs="Calibri"/>
          <w:bCs w:val="0"/>
          <w:sz w:val="21"/>
          <w:szCs w:val="21"/>
          <w:lang w:val="es-ES_tradnl" w:eastAsia="en-GB"/>
        </w:rPr>
        <w:t xml:space="preserve"> y trata los siguientes temas: características físicas de la atmósfera, refracción atmosférica, dispersión por partículas, atenuación y dispersión por gases atmosféricos, atenuación por hidrometeoros, </w:t>
      </w:r>
      <w:proofErr w:type="spellStart"/>
      <w:r w:rsidRPr="00340022">
        <w:rPr>
          <w:rFonts w:ascii="Calibri" w:eastAsia="SimSun" w:hAnsi="Calibri" w:cs="Calibri"/>
          <w:bCs w:val="0"/>
          <w:sz w:val="21"/>
          <w:szCs w:val="21"/>
          <w:lang w:val="es-ES_tradnl" w:eastAsia="en-GB"/>
        </w:rPr>
        <w:t>emisividad</w:t>
      </w:r>
      <w:proofErr w:type="spellEnd"/>
      <w:r w:rsidRPr="00340022">
        <w:rPr>
          <w:rFonts w:ascii="Calibri" w:eastAsia="SimSun" w:hAnsi="Calibri" w:cs="Calibri"/>
          <w:bCs w:val="0"/>
          <w:sz w:val="21"/>
          <w:szCs w:val="21"/>
          <w:lang w:val="es-ES_tradnl" w:eastAsia="en-GB"/>
        </w:rPr>
        <w:t xml:space="preserve"> radioeléctrica, polarización cruzada y anisotropía, y aspectos estadísticos de los procesos atmosféricos.</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Información sobre propagación de las ondas radioeléctricas para la predicción de las comunicaciones en sentido Tierra-espacio</w:t>
      </w:r>
      <w:r w:rsidRPr="00340022">
        <w:rPr>
          <w:rFonts w:ascii="Calibri" w:eastAsia="SimSun" w:hAnsi="Calibri" w:cs="Calibri"/>
          <w:bCs w:val="0"/>
          <w:sz w:val="21"/>
          <w:szCs w:val="21"/>
          <w:lang w:val="es-ES_tradnl" w:eastAsia="en-GB"/>
        </w:rPr>
        <w:t xml:space="preserve">. Este Manual proporciona los antecedentes e información suplementaria sobre los efectos de propagación Tierra-espacio con objeto de ayudar en el diseño de los distintos sistemas de comunicaciones Tierra-espacio. </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La ionosfera y sus efectos sobre la propagación de las ondas radioeléctricas</w:t>
      </w:r>
      <w:r w:rsidRPr="00340022">
        <w:rPr>
          <w:rFonts w:ascii="Calibri" w:eastAsia="SimSun" w:hAnsi="Calibri" w:cs="Calibri"/>
          <w:bCs w:val="0"/>
          <w:sz w:val="21"/>
          <w:szCs w:val="21"/>
          <w:lang w:val="es-ES_tradnl" w:eastAsia="en-GB"/>
        </w:rPr>
        <w:t xml:space="preserve">. Este Manual facilita a los planificadores y usuarios de las radiocomunicaciones una guía sobre las propiedades </w:t>
      </w:r>
      <w:proofErr w:type="spellStart"/>
      <w:r w:rsidRPr="00340022">
        <w:rPr>
          <w:rFonts w:ascii="Calibri" w:eastAsia="SimSun" w:hAnsi="Calibri" w:cs="Calibri"/>
          <w:bCs w:val="0"/>
          <w:sz w:val="21"/>
          <w:szCs w:val="21"/>
          <w:lang w:val="es-ES_tradnl" w:eastAsia="en-GB"/>
        </w:rPr>
        <w:t>ionosféricas</w:t>
      </w:r>
      <w:proofErr w:type="spellEnd"/>
      <w:r w:rsidRPr="00340022">
        <w:rPr>
          <w:rFonts w:ascii="Calibri" w:eastAsia="SimSun" w:hAnsi="Calibri" w:cs="Calibri"/>
          <w:bCs w:val="0"/>
          <w:sz w:val="21"/>
          <w:szCs w:val="21"/>
          <w:lang w:val="es-ES_tradnl" w:eastAsia="en-GB"/>
        </w:rPr>
        <w:t xml:space="preserve"> y los efectos de propagación, a fin de ayudarles a diseñar los sistemas de radiocomunicaciones.</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lastRenderedPageBreak/>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Propagación de las ondas radioeléctricas en sistemas terrenales móviles terrestres en las bandas de ondas métricas/</w:t>
      </w:r>
      <w:proofErr w:type="spellStart"/>
      <w:r w:rsidRPr="00340022">
        <w:rPr>
          <w:rFonts w:ascii="Calibri" w:eastAsia="SimSun" w:hAnsi="Calibri" w:cs="Calibri"/>
          <w:bCs w:val="0"/>
          <w:sz w:val="21"/>
          <w:szCs w:val="21"/>
          <w:u w:val="single"/>
          <w:lang w:val="es-ES_tradnl" w:eastAsia="en-GB"/>
        </w:rPr>
        <w:t>decimétricas</w:t>
      </w:r>
      <w:proofErr w:type="spellEnd"/>
      <w:r w:rsidRPr="00340022">
        <w:rPr>
          <w:rFonts w:ascii="Calibri" w:eastAsia="SimSun" w:hAnsi="Calibri" w:cs="Calibri"/>
          <w:bCs w:val="0"/>
          <w:sz w:val="21"/>
          <w:szCs w:val="21"/>
          <w:lang w:val="es-ES_tradnl" w:eastAsia="en-GB"/>
        </w:rPr>
        <w:t xml:space="preserve">. Este Manual suministra las bases técnicas para predecir la propagación de las ondas radioeléctricas en las redes móviles punto a punto, punto a zona y punto a multipunto. </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Información sobre la propagación de las ondas radioeléctricas para el diseño de enlaces terrenales punto a punto</w:t>
      </w:r>
      <w:r w:rsidRPr="00340022">
        <w:rPr>
          <w:rFonts w:ascii="Calibri" w:eastAsia="SimSun" w:hAnsi="Calibri" w:cs="Calibri"/>
          <w:bCs w:val="0"/>
          <w:sz w:val="21"/>
          <w:szCs w:val="21"/>
          <w:lang w:val="es-ES_tradnl" w:eastAsia="en-GB"/>
        </w:rPr>
        <w:t xml:space="preserve">. Este Manual aporta información sobre los antecedentes e información complementaria acerca de los efectos de la propagación de las ondas radioeléctricas, y sirve como tomo complementario y guía de las Recomendaciones UIT-R elaboradas por la Comisión de Estudio 3 de Radiocomunicaciones, con el objetivo de ayudar en el diseño de sistemas terrenales de comunicación. </w:t>
      </w:r>
    </w:p>
    <w:p w:rsidR="00013F68" w:rsidRPr="00340022" w:rsidRDefault="00013F68" w:rsidP="005A4281">
      <w:pPr>
        <w:pStyle w:val="CEOIndent-bulletsblackdot"/>
        <w:ind w:left="567" w:hanging="567"/>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r>
      <w:r w:rsidRPr="00340022">
        <w:rPr>
          <w:rFonts w:ascii="Calibri" w:eastAsia="SimSun" w:hAnsi="Calibri" w:cs="Calibri"/>
          <w:bCs w:val="0"/>
          <w:sz w:val="21"/>
          <w:szCs w:val="21"/>
          <w:u w:val="single"/>
          <w:lang w:val="es-ES_tradnl" w:eastAsia="en-GB"/>
        </w:rPr>
        <w:t>Métodos de predicción de la propagación del UIT-R para estudios de interferencia y compartición</w:t>
      </w:r>
      <w:r w:rsidRPr="00340022">
        <w:rPr>
          <w:rFonts w:ascii="Calibri" w:eastAsia="SimSun" w:hAnsi="Calibri" w:cs="Calibri"/>
          <w:bCs w:val="0"/>
          <w:sz w:val="21"/>
          <w:szCs w:val="21"/>
          <w:lang w:val="es-ES_tradnl" w:eastAsia="en-GB"/>
        </w:rPr>
        <w:t>. Este Manual ofrece la información técnica y las directrices necesarias para los estudios de compartición y las evaluaciones de la interferencia utilizando los métodos de predicción y los modelos de propagación de RF de las Recomendaciones UIT-R de la serie P seleccionadas. Este Manual debe utilizarse conjuntamente con las Recomendaciones UIT-R de la serie P para llevar a cabo los análisis de interferencia y estudiar los métodos de predicción en los sistemas de servicios de radiocomunicaciones</w:t>
      </w:r>
    </w:p>
    <w:p w:rsidR="00013F68" w:rsidRPr="00340022" w:rsidRDefault="00013F68" w:rsidP="00540502">
      <w:pPr>
        <w:pStyle w:val="Heading1"/>
        <w:spacing w:before="120"/>
        <w:jc w:val="center"/>
        <w:rPr>
          <w:lang w:val="es-ES_tradnl" w:eastAsia="en-GB"/>
        </w:rPr>
      </w:pPr>
      <w:bookmarkStart w:id="54" w:name="_Toc516397333"/>
      <w:r w:rsidRPr="00A96787">
        <w:rPr>
          <w:lang w:val="es-ES"/>
        </w:rPr>
        <w:br w:type="page"/>
      </w:r>
      <w:bookmarkStart w:id="55" w:name="_Toc365036811"/>
      <w:bookmarkStart w:id="56" w:name="_Toc381259704"/>
      <w:bookmarkEnd w:id="54"/>
      <w:r w:rsidRPr="00340022">
        <w:rPr>
          <w:lang w:val="es-ES_tradnl" w:eastAsia="en-GB"/>
        </w:rPr>
        <w:lastRenderedPageBreak/>
        <w:t xml:space="preserve">Comisión de Estudio 4 del UIT-R – </w:t>
      </w:r>
      <w:hyperlink r:id="rId28" w:history="1">
        <w:r w:rsidRPr="00340022">
          <w:rPr>
            <w:lang w:val="es-ES_tradnl" w:eastAsia="en-GB"/>
          </w:rPr>
          <w:t>Servicios por satélite</w:t>
        </w:r>
        <w:bookmarkEnd w:id="55"/>
        <w:bookmarkEnd w:id="56"/>
      </w:hyperlink>
    </w:p>
    <w:p w:rsidR="00013F68" w:rsidRPr="00340022" w:rsidRDefault="00013F68" w:rsidP="00540502">
      <w:pPr>
        <w:pStyle w:val="Heading4"/>
        <w:rPr>
          <w:lang w:val="es-ES_tradnl"/>
        </w:rPr>
      </w:pPr>
      <w:bookmarkStart w:id="57" w:name="_Toc516397334"/>
      <w:r w:rsidRPr="00340022">
        <w:rPr>
          <w:lang w:val="es-ES_tradnl"/>
        </w:rPr>
        <w:t>Alcance</w:t>
      </w:r>
      <w:bookmarkEnd w:id="57"/>
    </w:p>
    <w:p w:rsidR="00013F68" w:rsidRPr="00A96787" w:rsidRDefault="00013F68" w:rsidP="005A4281">
      <w:pPr>
        <w:spacing w:after="60"/>
        <w:rPr>
          <w:rFonts w:cstheme="majorBidi"/>
          <w:szCs w:val="19"/>
          <w:lang w:val="es-ES"/>
        </w:rPr>
      </w:pPr>
      <w:r w:rsidRPr="00A96787">
        <w:rPr>
          <w:rFonts w:cstheme="majorBidi"/>
          <w:szCs w:val="19"/>
          <w:lang w:val="es-ES"/>
        </w:rPr>
        <w:t xml:space="preserve">Sistemas y redes de los servicios fijo por satélite, móvil por satélite, de radiodifusión por satélite y de </w:t>
      </w:r>
      <w:proofErr w:type="spellStart"/>
      <w:r w:rsidRPr="00A96787">
        <w:rPr>
          <w:rFonts w:cstheme="majorBidi"/>
          <w:szCs w:val="19"/>
          <w:lang w:val="es-ES"/>
        </w:rPr>
        <w:t>radiodeterminación</w:t>
      </w:r>
      <w:proofErr w:type="spellEnd"/>
      <w:r w:rsidRPr="00A96787">
        <w:rPr>
          <w:rFonts w:cstheme="majorBidi"/>
          <w:szCs w:val="19"/>
          <w:lang w:val="es-ES"/>
        </w:rPr>
        <w:t xml:space="preserve"> por satélite.</w:t>
      </w:r>
    </w:p>
    <w:p w:rsidR="00013F68" w:rsidRPr="00340022" w:rsidRDefault="00013F68" w:rsidP="00540502">
      <w:pPr>
        <w:pStyle w:val="Heading4"/>
        <w:rPr>
          <w:lang w:val="es-ES_tradnl"/>
        </w:rPr>
      </w:pPr>
      <w:bookmarkStart w:id="58" w:name="_Toc516397335"/>
      <w:r w:rsidRPr="00340022">
        <w:rPr>
          <w:lang w:val="es-ES_tradnl"/>
        </w:rPr>
        <w:t>Estructura</w:t>
      </w:r>
    </w:p>
    <w:p w:rsidR="00013F68" w:rsidRPr="00A96787" w:rsidRDefault="00013F68" w:rsidP="005A4281">
      <w:pPr>
        <w:spacing w:after="60"/>
        <w:rPr>
          <w:rFonts w:cstheme="majorBidi"/>
          <w:szCs w:val="19"/>
          <w:lang w:val="es-ES"/>
        </w:rPr>
      </w:pPr>
      <w:r w:rsidRPr="00A96787">
        <w:rPr>
          <w:rFonts w:cstheme="majorBidi"/>
          <w:szCs w:val="19"/>
          <w:lang w:val="es-ES"/>
        </w:rPr>
        <w:t xml:space="preserve">Tres Grupos de Trabajo (GT) realizan estudios sobre las Cuestiones asignadas a la Comisión de Estudio 4, y un </w:t>
      </w:r>
      <w:r w:rsidRPr="00A96787">
        <w:rPr>
          <w:rFonts w:eastAsia="Times New Roman"/>
          <w:lang w:val="es-ES"/>
        </w:rPr>
        <w:t>Grupo Mixto de Tareas Especiales (GMTE) realiza estudios sobre los puntos 1.1 y 1.2 del orden del día de la CMR-15, a saber:</w:t>
      </w:r>
    </w:p>
    <w:p w:rsidR="00013F68" w:rsidRPr="00340022" w:rsidRDefault="00013F68" w:rsidP="00540502">
      <w:pPr>
        <w:pStyle w:val="Enumlevel1"/>
        <w:rPr>
          <w:lang w:val="es-ES_tradnl"/>
        </w:rPr>
      </w:pPr>
      <w:r w:rsidRPr="00340022">
        <w:rPr>
          <w:lang w:val="es-ES_tradnl"/>
        </w:rPr>
        <w:t>•</w:t>
      </w:r>
      <w:r w:rsidRPr="00340022">
        <w:rPr>
          <w:lang w:val="es-ES_tradnl"/>
        </w:rPr>
        <w:tab/>
        <w:t>GT 4A - Utilización eficaz de la órbita y del espectro para el SFS y el SRS;</w:t>
      </w:r>
    </w:p>
    <w:p w:rsidR="00013F68" w:rsidRPr="00340022" w:rsidRDefault="00013F68" w:rsidP="00540502">
      <w:pPr>
        <w:pStyle w:val="Enumlevel1"/>
        <w:rPr>
          <w:lang w:val="es-ES_tradnl"/>
        </w:rPr>
      </w:pPr>
      <w:r w:rsidRPr="00340022">
        <w:rPr>
          <w:lang w:val="es-ES_tradnl"/>
        </w:rPr>
        <w:t>•</w:t>
      </w:r>
      <w:r w:rsidRPr="00340022">
        <w:rPr>
          <w:lang w:val="es-ES_tradnl"/>
        </w:rPr>
        <w:tab/>
        <w:t>GT 4B - Sistemas, interfaces radioeléctricas, objetivos de calidad de funcionamiento y de disponibilidad para el SFS, el SRS y el SMS, con inclusión de aplicaciones basadas en el IP y el periodismo electrónico por satélite;</w:t>
      </w:r>
    </w:p>
    <w:p w:rsidR="00013F68" w:rsidRPr="00340022" w:rsidRDefault="00013F68" w:rsidP="00540502">
      <w:pPr>
        <w:pStyle w:val="Enumlevel1"/>
        <w:rPr>
          <w:lang w:val="es-ES_tradnl"/>
        </w:rPr>
      </w:pPr>
      <w:r w:rsidRPr="00340022">
        <w:rPr>
          <w:lang w:val="es-ES_tradnl"/>
        </w:rPr>
        <w:t>•</w:t>
      </w:r>
      <w:r w:rsidRPr="00340022">
        <w:rPr>
          <w:lang w:val="es-ES_tradnl"/>
        </w:rPr>
        <w:tab/>
        <w:t>GT 4C - Utilización eficaz de la órbita y del espectro para el SMS y el SRDS (el GT4C también se ocupa de las cuestiones de calidad relacionadas con el SRDS); y</w:t>
      </w:r>
    </w:p>
    <w:p w:rsidR="00013F68" w:rsidRPr="00340022" w:rsidRDefault="00013F68" w:rsidP="00540502">
      <w:pPr>
        <w:pStyle w:val="Enumlevel1"/>
        <w:rPr>
          <w:lang w:val="es-ES_tradnl"/>
        </w:rPr>
      </w:pPr>
      <w:r w:rsidRPr="00340022">
        <w:rPr>
          <w:lang w:val="es-ES_tradnl"/>
        </w:rPr>
        <w:t>•</w:t>
      </w:r>
      <w:r w:rsidRPr="00340022">
        <w:rPr>
          <w:lang w:val="es-ES_tradnl"/>
        </w:rPr>
        <w:tab/>
        <w:t>GMTE 4-5-6-7 sobre los puntos 1.1 y 1.2 del orden del día de la CMR-15, relativos a las nuevas atribuciones posibles al servicio móvil y la identificación de espectro para los sistemas de Telecomunicaciones Móviles Internacionales (IMT).</w:t>
      </w:r>
    </w:p>
    <w:p w:rsidR="00013F68" w:rsidRPr="00340022" w:rsidRDefault="00013F68" w:rsidP="00540502">
      <w:pPr>
        <w:pStyle w:val="Heading4"/>
        <w:rPr>
          <w:lang w:val="es-ES_tradnl"/>
        </w:rPr>
      </w:pPr>
      <w:r w:rsidRPr="00340022">
        <w:rPr>
          <w:lang w:val="es-ES_tradnl"/>
        </w:rPr>
        <w:t>Cuestiones</w:t>
      </w:r>
      <w:bookmarkEnd w:id="58"/>
    </w:p>
    <w:p w:rsidR="00013F68" w:rsidRPr="00540502" w:rsidRDefault="00013F68" w:rsidP="00540502">
      <w:pPr>
        <w:pStyle w:val="Enumlevel1"/>
        <w:tabs>
          <w:tab w:val="left" w:pos="1701"/>
        </w:tabs>
        <w:rPr>
          <w:lang w:val="es-ES_tradnl"/>
        </w:rPr>
      </w:pPr>
      <w:r w:rsidRPr="00540502">
        <w:rPr>
          <w:lang w:val="es-ES_tradnl"/>
        </w:rPr>
        <w:t>•</w:t>
      </w:r>
      <w:r w:rsidRPr="00540502">
        <w:rPr>
          <w:lang w:val="es-ES_tradnl"/>
        </w:rPr>
        <w:tab/>
        <w:t>C227/4:</w:t>
      </w:r>
      <w:r w:rsidRPr="00540502">
        <w:rPr>
          <w:lang w:val="es-ES_tradnl"/>
        </w:rPr>
        <w:tab/>
        <w:t xml:space="preserve">Características técnicas y de explotación de las comunicaciones de emergencia en el </w:t>
      </w:r>
      <w:r w:rsidR="00540502" w:rsidRPr="00540502">
        <w:rPr>
          <w:lang w:val="es-ES_tradnl"/>
        </w:rPr>
        <w:tab/>
      </w:r>
      <w:r w:rsidRPr="00540502">
        <w:rPr>
          <w:lang w:val="es-ES_tradnl"/>
        </w:rPr>
        <w:t>servicio móvil por satélite</w:t>
      </w:r>
    </w:p>
    <w:p w:rsidR="00013F68" w:rsidRPr="00540502" w:rsidRDefault="00013F68" w:rsidP="00540502">
      <w:pPr>
        <w:pStyle w:val="Enumlevel1"/>
        <w:tabs>
          <w:tab w:val="left" w:pos="1701"/>
        </w:tabs>
        <w:rPr>
          <w:lang w:val="es-ES_tradnl"/>
        </w:rPr>
      </w:pPr>
      <w:r w:rsidRPr="00540502">
        <w:rPr>
          <w:lang w:val="es-ES_tradnl"/>
        </w:rPr>
        <w:t>•</w:t>
      </w:r>
      <w:r w:rsidRPr="00540502">
        <w:rPr>
          <w:lang w:val="es-ES_tradnl"/>
        </w:rPr>
        <w:tab/>
        <w:t>C290/4:</w:t>
      </w:r>
      <w:r w:rsidRPr="00540502">
        <w:rPr>
          <w:lang w:val="es-ES_tradnl"/>
        </w:rPr>
        <w:tab/>
        <w:t xml:space="preserve">Mecanismos de radiodifusión por satélite para alerta pública, mitigación de los </w:t>
      </w:r>
      <w:r w:rsidR="00540502" w:rsidRPr="00540502">
        <w:rPr>
          <w:lang w:val="es-ES_tradnl"/>
        </w:rPr>
        <w:tab/>
      </w:r>
      <w:r w:rsidRPr="00540502">
        <w:rPr>
          <w:lang w:val="es-ES_tradnl"/>
        </w:rPr>
        <w:t>efectos de las catástrofes y operaciones de socorro</w:t>
      </w:r>
    </w:p>
    <w:p w:rsidR="00013F68" w:rsidRPr="00540502" w:rsidRDefault="00013F68" w:rsidP="00540502">
      <w:pPr>
        <w:pStyle w:val="Enumlevel1"/>
        <w:tabs>
          <w:tab w:val="left" w:pos="1701"/>
        </w:tabs>
        <w:rPr>
          <w:lang w:val="es-ES_tradnl"/>
        </w:rPr>
      </w:pPr>
      <w:r w:rsidRPr="00540502">
        <w:rPr>
          <w:lang w:val="es-ES_tradnl"/>
        </w:rPr>
        <w:t>•</w:t>
      </w:r>
      <w:r w:rsidRPr="00540502">
        <w:rPr>
          <w:lang w:val="es-ES_tradnl"/>
        </w:rPr>
        <w:tab/>
        <w:t>C286/4:</w:t>
      </w:r>
      <w:r w:rsidRPr="00540502">
        <w:rPr>
          <w:lang w:val="es-ES_tradnl"/>
        </w:rPr>
        <w:tab/>
        <w:t xml:space="preserve">Contribución de los servicios móviles y de aficionados y de los servicios </w:t>
      </w:r>
      <w:r w:rsidR="00540502" w:rsidRPr="00540502">
        <w:rPr>
          <w:lang w:val="es-ES_tradnl"/>
        </w:rPr>
        <w:tab/>
      </w:r>
      <w:r w:rsidRPr="00540502">
        <w:rPr>
          <w:lang w:val="es-ES_tradnl"/>
        </w:rPr>
        <w:t xml:space="preserve">correspondientes por satélite a la mejora de las comunicaciones en casos de </w:t>
      </w:r>
      <w:r w:rsidR="00540502">
        <w:rPr>
          <w:lang w:val="es-ES_tradnl"/>
        </w:rPr>
        <w:tab/>
      </w:r>
      <w:r w:rsidRPr="00540502">
        <w:rPr>
          <w:lang w:val="es-ES_tradnl"/>
        </w:rPr>
        <w:t>catástrofe</w:t>
      </w:r>
    </w:p>
    <w:p w:rsidR="00013F68" w:rsidRPr="00A96787" w:rsidRDefault="00013F68" w:rsidP="00EF6847">
      <w:pPr>
        <w:rPr>
          <w:lang w:val="es-ES"/>
        </w:rPr>
      </w:pPr>
      <w:bookmarkStart w:id="59" w:name="_Toc516397336"/>
      <w:r w:rsidRPr="00A96787">
        <w:rPr>
          <w:lang w:val="es-ES"/>
        </w:rPr>
        <w:t>Todas las Cuestiones UIT-R asignadas a la Comisión de Estudio 4 se publican y están disponibles en:</w:t>
      </w:r>
      <w:r w:rsidRPr="00A96787">
        <w:rPr>
          <w:lang w:val="es-ES"/>
        </w:rPr>
        <w:br/>
      </w:r>
      <w:hyperlink r:id="rId29" w:history="1">
        <w:r w:rsidR="00EF6847">
          <w:rPr>
            <w:rStyle w:val="Hyperlink"/>
            <w:lang w:val="es-ES"/>
          </w:rPr>
          <w:t>www</w:t>
        </w:r>
        <w:r w:rsidRPr="00A96787">
          <w:rPr>
            <w:rStyle w:val="Hyperlink"/>
            <w:lang w:val="es-ES"/>
          </w:rPr>
          <w:t>.itu.int/pub/R-QUE-SG04/</w:t>
        </w:r>
      </w:hyperlink>
      <w:r w:rsidRPr="00A96787">
        <w:rPr>
          <w:lang w:val="es-ES"/>
        </w:rPr>
        <w:t xml:space="preserve"> </w:t>
      </w:r>
    </w:p>
    <w:p w:rsidR="00013F68" w:rsidRPr="00340022" w:rsidRDefault="00013F68" w:rsidP="007C5CE0">
      <w:pPr>
        <w:pStyle w:val="Heading4"/>
        <w:rPr>
          <w:lang w:val="es-ES_tradnl"/>
        </w:rPr>
      </w:pPr>
      <w:r w:rsidRPr="00340022">
        <w:rPr>
          <w:lang w:val="es-ES_tradnl"/>
        </w:rPr>
        <w:t>Recomendaciones</w:t>
      </w:r>
    </w:p>
    <w:p w:rsidR="00013F68" w:rsidRPr="007C5CE0" w:rsidRDefault="00013F68" w:rsidP="007C5CE0">
      <w:pPr>
        <w:pStyle w:val="Headingb0"/>
        <w:rPr>
          <w:sz w:val="21"/>
          <w:szCs w:val="21"/>
          <w:lang w:val="es-ES_tradnl"/>
        </w:rPr>
      </w:pPr>
      <w:r w:rsidRPr="007C5CE0">
        <w:rPr>
          <w:sz w:val="21"/>
          <w:szCs w:val="21"/>
          <w:lang w:val="es-ES_tradnl"/>
        </w:rPr>
        <w:t>Serie S</w:t>
      </w:r>
      <w:bookmarkEnd w:id="59"/>
      <w:r w:rsidRPr="007C5CE0">
        <w:rPr>
          <w:sz w:val="21"/>
          <w:szCs w:val="21"/>
          <w:lang w:val="es-ES_tradnl"/>
        </w:rPr>
        <w:t>: Servicio fijo por satélite</w:t>
      </w:r>
    </w:p>
    <w:p w:rsidR="00013F68" w:rsidRPr="007C5CE0" w:rsidRDefault="00013F68" w:rsidP="007C5CE0">
      <w:pPr>
        <w:pStyle w:val="Enumlevel1"/>
        <w:tabs>
          <w:tab w:val="left" w:pos="1701"/>
        </w:tabs>
        <w:rPr>
          <w:lang w:val="es-ES_tradnl"/>
        </w:rPr>
      </w:pPr>
      <w:r w:rsidRPr="007C5CE0">
        <w:rPr>
          <w:lang w:val="es-ES_tradnl"/>
        </w:rPr>
        <w:t>•</w:t>
      </w:r>
      <w:r w:rsidRPr="007C5CE0">
        <w:rPr>
          <w:lang w:val="es-ES_tradnl"/>
        </w:rPr>
        <w:tab/>
        <w:t>S.1001-2:</w:t>
      </w:r>
      <w:r w:rsidRPr="007C5CE0">
        <w:rPr>
          <w:lang w:val="es-ES_tradnl"/>
        </w:rPr>
        <w:tab/>
        <w:t xml:space="preserve">Utilización de sistemas en el servicio fijo por satélite en los casos de desastres </w:t>
      </w:r>
      <w:r w:rsidR="007C5CE0" w:rsidRPr="007C5CE0">
        <w:rPr>
          <w:lang w:val="es-ES_tradnl"/>
        </w:rPr>
        <w:tab/>
      </w:r>
      <w:r w:rsidRPr="007C5CE0">
        <w:rPr>
          <w:lang w:val="es-ES_tradnl"/>
        </w:rPr>
        <w:t>naturales y otras emergencias similares para avisos y operaciones de socorro</w:t>
      </w:r>
    </w:p>
    <w:p w:rsidR="00013F68" w:rsidRPr="00340022" w:rsidRDefault="00013F68" w:rsidP="007C5CE0">
      <w:pPr>
        <w:pStyle w:val="Enumlevel1"/>
        <w:tabs>
          <w:tab w:val="left" w:pos="1701"/>
        </w:tabs>
        <w:rPr>
          <w:lang w:val="es-ES_tradnl"/>
        </w:rPr>
      </w:pPr>
      <w:r w:rsidRPr="00340022">
        <w:rPr>
          <w:lang w:val="es-ES_tradnl"/>
        </w:rPr>
        <w:t>•</w:t>
      </w:r>
      <w:r w:rsidRPr="00340022">
        <w:rPr>
          <w:lang w:val="es-ES_tradnl"/>
        </w:rPr>
        <w:tab/>
        <w:t>S.1782-1:</w:t>
      </w:r>
      <w:r w:rsidRPr="00340022">
        <w:rPr>
          <w:lang w:val="es-ES_tradnl"/>
        </w:rPr>
        <w:tab/>
        <w:t>Opciones de acceso mundial a Internet en banda ancha con sistemas del SFS</w:t>
      </w:r>
    </w:p>
    <w:p w:rsidR="00013F68" w:rsidRPr="007C5CE0" w:rsidRDefault="00013F68" w:rsidP="007C5CE0">
      <w:pPr>
        <w:pStyle w:val="Enumlevel1"/>
        <w:tabs>
          <w:tab w:val="left" w:pos="1701"/>
        </w:tabs>
        <w:rPr>
          <w:lang w:val="es-ES_tradnl"/>
        </w:rPr>
      </w:pPr>
      <w:r w:rsidRPr="007C5CE0">
        <w:rPr>
          <w:lang w:val="es-ES_tradnl"/>
        </w:rPr>
        <w:t>•</w:t>
      </w:r>
      <w:r w:rsidRPr="007C5CE0">
        <w:rPr>
          <w:lang w:val="es-ES_tradnl"/>
        </w:rPr>
        <w:tab/>
        <w:t>S.1783:</w:t>
      </w:r>
      <w:r w:rsidRPr="007C5CE0">
        <w:rPr>
          <w:lang w:val="es-ES_tradnl"/>
        </w:rPr>
        <w:tab/>
        <w:t xml:space="preserve">Características técnicas y operacionales de las aplicaciones de alta densidad del </w:t>
      </w:r>
      <w:r w:rsidR="007C5CE0" w:rsidRPr="007C5CE0">
        <w:rPr>
          <w:lang w:val="es-ES_tradnl"/>
        </w:rPr>
        <w:tab/>
      </w:r>
      <w:r w:rsidRPr="007C5CE0">
        <w:rPr>
          <w:lang w:val="es-ES_tradnl"/>
        </w:rPr>
        <w:t>servicio fijo por satélite</w:t>
      </w:r>
    </w:p>
    <w:p w:rsidR="00013F68" w:rsidRPr="00A21216" w:rsidRDefault="00013F68" w:rsidP="00A21216">
      <w:pPr>
        <w:pStyle w:val="Headingb0"/>
        <w:rPr>
          <w:sz w:val="21"/>
          <w:szCs w:val="21"/>
          <w:lang w:val="es-ES_tradnl"/>
        </w:rPr>
      </w:pPr>
      <w:r w:rsidRPr="00A21216">
        <w:rPr>
          <w:sz w:val="21"/>
          <w:szCs w:val="21"/>
          <w:lang w:val="es-ES_tradnl"/>
        </w:rPr>
        <w:t>Serie BO: Distribución por satélite</w:t>
      </w:r>
    </w:p>
    <w:p w:rsidR="00013F68" w:rsidRPr="007C5CE0" w:rsidRDefault="00013F68" w:rsidP="007C5CE0">
      <w:pPr>
        <w:pStyle w:val="Enumlevel1"/>
        <w:tabs>
          <w:tab w:val="left" w:pos="1701"/>
        </w:tabs>
        <w:rPr>
          <w:lang w:val="es-ES_tradnl"/>
        </w:rPr>
      </w:pPr>
      <w:r w:rsidRPr="007C5CE0">
        <w:rPr>
          <w:lang w:val="es-ES_tradnl"/>
        </w:rPr>
        <w:t>•</w:t>
      </w:r>
      <w:r w:rsidRPr="007C5CE0">
        <w:rPr>
          <w:lang w:val="es-ES_tradnl"/>
        </w:rPr>
        <w:tab/>
        <w:t>BO.1774-1:</w:t>
      </w:r>
      <w:r w:rsidRPr="007C5CE0">
        <w:rPr>
          <w:lang w:val="es-ES_tradnl"/>
        </w:rPr>
        <w:tab/>
        <w:t xml:space="preserve">Utilización de las infraestructuras de radiodifusión por satélite y terrenal para alertar </w:t>
      </w:r>
      <w:r w:rsidR="007C5CE0">
        <w:rPr>
          <w:lang w:val="es-ES_tradnl"/>
        </w:rPr>
        <w:tab/>
      </w:r>
      <w:r w:rsidRPr="007C5CE0">
        <w:rPr>
          <w:lang w:val="es-ES_tradnl"/>
        </w:rPr>
        <w:t xml:space="preserve">a la población, mitigar los efectos de las catástrofes y facilitar las operaciones de </w:t>
      </w:r>
      <w:r w:rsidR="007C5CE0">
        <w:rPr>
          <w:lang w:val="es-ES_tradnl"/>
        </w:rPr>
        <w:tab/>
      </w:r>
      <w:r w:rsidRPr="007C5CE0">
        <w:rPr>
          <w:lang w:val="es-ES_tradnl"/>
        </w:rPr>
        <w:t>socorro (idéntica a la Recomendación BT.1774)</w:t>
      </w:r>
    </w:p>
    <w:p w:rsidR="00013F68" w:rsidRPr="00A21216" w:rsidRDefault="00013F68" w:rsidP="00A21216">
      <w:pPr>
        <w:pStyle w:val="Headingb0"/>
        <w:rPr>
          <w:sz w:val="21"/>
          <w:szCs w:val="21"/>
          <w:lang w:val="es-ES_tradnl"/>
        </w:rPr>
      </w:pPr>
      <w:r w:rsidRPr="00A21216">
        <w:rPr>
          <w:sz w:val="21"/>
          <w:szCs w:val="21"/>
          <w:lang w:val="es-ES_tradnl"/>
        </w:rPr>
        <w:lastRenderedPageBreak/>
        <w:t xml:space="preserve">Serie M: Servicios móviles, de </w:t>
      </w:r>
      <w:proofErr w:type="spellStart"/>
      <w:r w:rsidRPr="00A21216">
        <w:rPr>
          <w:sz w:val="21"/>
          <w:szCs w:val="21"/>
          <w:lang w:val="es-ES_tradnl"/>
        </w:rPr>
        <w:t>radiodeterminación</w:t>
      </w:r>
      <w:proofErr w:type="spellEnd"/>
      <w:r w:rsidRPr="00A21216">
        <w:rPr>
          <w:sz w:val="21"/>
          <w:szCs w:val="21"/>
          <w:lang w:val="es-ES_tradnl"/>
        </w:rPr>
        <w:t>, de aficionados y otros servicios por satélite conexos</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M.1850-1:</w:t>
      </w:r>
      <w:r w:rsidRPr="00A21216">
        <w:rPr>
          <w:lang w:val="es-ES_tradnl"/>
        </w:rPr>
        <w:tab/>
        <w:t xml:space="preserve">Especificaciones detalladas de las interfaces radioeléctricas de la componente de </w:t>
      </w:r>
      <w:r w:rsidR="00A21216">
        <w:rPr>
          <w:lang w:val="es-ES_tradnl"/>
        </w:rPr>
        <w:tab/>
      </w:r>
      <w:r w:rsidRPr="00A21216">
        <w:rPr>
          <w:lang w:val="es-ES_tradnl"/>
        </w:rPr>
        <w:t>satélite de las telecomunicaciones móviles internacionales-2000 (IMT-2000)</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M.1854-1:</w:t>
      </w:r>
      <w:r w:rsidRPr="00A21216">
        <w:rPr>
          <w:lang w:val="es-ES_tradnl"/>
        </w:rPr>
        <w:tab/>
        <w:t xml:space="preserve">Utilización del servicio móvil por satélite para respuesta y socorro en caso de </w:t>
      </w:r>
      <w:r w:rsidR="00A21216">
        <w:rPr>
          <w:lang w:val="es-ES_tradnl"/>
        </w:rPr>
        <w:tab/>
      </w:r>
      <w:r w:rsidRPr="00A21216">
        <w:rPr>
          <w:lang w:val="es-ES_tradnl"/>
        </w:rPr>
        <w:t>catástrofe</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M.2014:</w:t>
      </w:r>
      <w:r w:rsidRPr="00A21216">
        <w:rPr>
          <w:lang w:val="es-ES_tradnl"/>
        </w:rPr>
        <w:tab/>
        <w:t>Circulación mundial de terminales de satélite IMT-2000</w:t>
      </w:r>
    </w:p>
    <w:p w:rsidR="00013F68" w:rsidRPr="00340022" w:rsidRDefault="00013F68" w:rsidP="00A21216">
      <w:pPr>
        <w:pStyle w:val="Heading4"/>
        <w:rPr>
          <w:lang w:val="es-ES_tradnl"/>
        </w:rPr>
      </w:pPr>
      <w:r w:rsidRPr="00340022">
        <w:rPr>
          <w:lang w:val="es-ES_tradnl"/>
        </w:rPr>
        <w:t>Informes</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S.2151-1:</w:t>
      </w:r>
      <w:r w:rsidRPr="00A21216">
        <w:rPr>
          <w:lang w:val="es-ES_tradnl"/>
        </w:rPr>
        <w:tab/>
        <w:t xml:space="preserve">Utilización y ejemplos de sistemas del servicio fijo por satélite en caso de catástrofes </w:t>
      </w:r>
      <w:r w:rsidR="00A21216">
        <w:rPr>
          <w:lang w:val="es-ES_tradnl"/>
        </w:rPr>
        <w:tab/>
      </w:r>
      <w:r w:rsidRPr="00A21216">
        <w:rPr>
          <w:lang w:val="es-ES_tradnl"/>
        </w:rPr>
        <w:t>naturales y emergencias similares para las operaciones de aviso y socorro</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M.2149-1:</w:t>
      </w:r>
      <w:r w:rsidRPr="00A21216">
        <w:rPr>
          <w:lang w:val="es-ES_tradnl"/>
        </w:rPr>
        <w:tab/>
        <w:t xml:space="preserve">Utilización y ejemplos de sistemas del servicio móvil por satélite para operaciones de </w:t>
      </w:r>
      <w:r w:rsidR="00A21216">
        <w:rPr>
          <w:lang w:val="es-ES_tradnl"/>
        </w:rPr>
        <w:tab/>
      </w:r>
      <w:r w:rsidRPr="00A21216">
        <w:rPr>
          <w:lang w:val="es-ES_tradnl"/>
        </w:rPr>
        <w:t>socorro en caso de catástrofes naturales y emergencias similares</w:t>
      </w:r>
    </w:p>
    <w:p w:rsidR="00013F68" w:rsidRPr="00A21216" w:rsidRDefault="00013F68" w:rsidP="00A21216">
      <w:pPr>
        <w:pStyle w:val="Enumlevel1"/>
        <w:tabs>
          <w:tab w:val="left" w:pos="1701"/>
        </w:tabs>
        <w:rPr>
          <w:lang w:val="es-ES_tradnl"/>
        </w:rPr>
      </w:pPr>
      <w:r w:rsidRPr="00A21216">
        <w:rPr>
          <w:lang w:val="es-ES_tradnl"/>
        </w:rPr>
        <w:t>•</w:t>
      </w:r>
      <w:r w:rsidRPr="00A21216">
        <w:rPr>
          <w:lang w:val="es-ES_tradnl"/>
        </w:rPr>
        <w:tab/>
        <w:t>M.2176-1:</w:t>
      </w:r>
      <w:r w:rsidRPr="00A21216">
        <w:rPr>
          <w:lang w:val="es-ES_tradnl"/>
        </w:rPr>
        <w:tab/>
        <w:t>Visión y requisitos de las interfaces radioeléctricas de los satélites de las IMT-</w:t>
      </w:r>
      <w:r w:rsidR="00A21216">
        <w:rPr>
          <w:lang w:val="es-ES_tradnl"/>
        </w:rPr>
        <w:tab/>
      </w:r>
      <w:r w:rsidRPr="00A21216">
        <w:rPr>
          <w:lang w:val="es-ES_tradnl"/>
        </w:rPr>
        <w:t>Avanzadas</w:t>
      </w:r>
    </w:p>
    <w:p w:rsidR="00013F68" w:rsidRPr="00340022" w:rsidRDefault="00013F68" w:rsidP="00A21216">
      <w:pPr>
        <w:pStyle w:val="Heading4"/>
        <w:rPr>
          <w:lang w:val="es-ES_tradnl"/>
        </w:rPr>
      </w:pPr>
      <w:r w:rsidRPr="00340022">
        <w:rPr>
          <w:lang w:val="es-ES_tradnl"/>
        </w:rPr>
        <w:t>Manuales</w:t>
      </w:r>
    </w:p>
    <w:p w:rsidR="00013F68" w:rsidRPr="00340022" w:rsidRDefault="00013F68" w:rsidP="00B14DCD">
      <w:pPr>
        <w:pStyle w:val="Enumlevel1"/>
        <w:rPr>
          <w:lang w:val="es-ES_tradnl"/>
        </w:rPr>
      </w:pPr>
      <w:r w:rsidRPr="00340022">
        <w:rPr>
          <w:lang w:val="es-ES_tradnl"/>
        </w:rPr>
        <w:t>•</w:t>
      </w:r>
      <w:r w:rsidRPr="00340022">
        <w:rPr>
          <w:lang w:val="es-ES_tradnl"/>
        </w:rPr>
        <w:tab/>
      </w:r>
      <w:r w:rsidRPr="00340022">
        <w:rPr>
          <w:u w:val="single"/>
          <w:lang w:val="es-ES_tradnl"/>
        </w:rPr>
        <w:t>Comunicaciones por satélite</w:t>
      </w:r>
      <w:r w:rsidRPr="00340022">
        <w:rPr>
          <w:lang w:val="es-ES_tradnl"/>
        </w:rPr>
        <w:t>. Este Manual proporciona una descripción completa de todos los temas relativos a los sistemas de comunicaciones por satélite del servicio fijo por satélite (SFS).</w:t>
      </w:r>
    </w:p>
    <w:p w:rsidR="00013F68" w:rsidRPr="00340022" w:rsidRDefault="00013F68" w:rsidP="00B14DCD">
      <w:pPr>
        <w:pStyle w:val="Enumlevel1"/>
        <w:rPr>
          <w:lang w:val="es-ES_tradnl"/>
        </w:rPr>
      </w:pPr>
      <w:r w:rsidRPr="00340022">
        <w:rPr>
          <w:lang w:val="es-ES_tradnl"/>
        </w:rPr>
        <w:t>•</w:t>
      </w:r>
      <w:r w:rsidRPr="00340022">
        <w:rPr>
          <w:lang w:val="es-ES_tradnl"/>
        </w:rPr>
        <w:tab/>
        <w:t>Especificaciones de los sistemas de transmisión para el servicio de radiodifusión por satélite.</w:t>
      </w:r>
    </w:p>
    <w:p w:rsidR="00013F68" w:rsidRPr="00340022" w:rsidRDefault="00013F68" w:rsidP="00B14DCD">
      <w:pPr>
        <w:pStyle w:val="Enumlevel1"/>
        <w:rPr>
          <w:lang w:val="es-ES_tradnl"/>
        </w:rPr>
      </w:pPr>
      <w:r w:rsidRPr="00340022">
        <w:rPr>
          <w:lang w:val="es-ES_tradnl"/>
        </w:rPr>
        <w:t>•</w:t>
      </w:r>
      <w:r w:rsidRPr="00340022">
        <w:rPr>
          <w:lang w:val="es-ES_tradnl"/>
        </w:rPr>
        <w:tab/>
      </w:r>
      <w:r w:rsidRPr="00340022">
        <w:rPr>
          <w:u w:val="single"/>
          <w:lang w:val="es-ES_tradnl"/>
        </w:rPr>
        <w:t>Radiodifusión sonora digital terrenal y por satélite destinada a receptores de vehículo, portátiles y fijos en las bandas de ondas métricas/</w:t>
      </w:r>
      <w:proofErr w:type="spellStart"/>
      <w:r w:rsidRPr="00340022">
        <w:rPr>
          <w:u w:val="single"/>
          <w:lang w:val="es-ES_tradnl"/>
        </w:rPr>
        <w:t>decimétricas</w:t>
      </w:r>
      <w:proofErr w:type="spellEnd"/>
      <w:r w:rsidRPr="00340022">
        <w:rPr>
          <w:lang w:val="es-ES_tradnl"/>
        </w:rPr>
        <w:t>. Este Manual describe el sistema y los requisitos de servicio de la radiodifusión sonora digital (DSB) dirigida a receptores de vehículo, portátiles y fijos, los factores correspondientes de la propagación y las técnicas empleadas en la radiodifusión sonora digital. Asimismo, examina los parámetros de planificación y las condiciones de compartición pertinentes.</w:t>
      </w:r>
    </w:p>
    <w:p w:rsidR="00013F68" w:rsidRPr="00340022" w:rsidRDefault="00013F68" w:rsidP="00B14DCD">
      <w:pPr>
        <w:pStyle w:val="Enumlevel1"/>
        <w:rPr>
          <w:lang w:val="es-ES_tradnl"/>
        </w:rPr>
      </w:pPr>
      <w:r w:rsidRPr="00340022">
        <w:rPr>
          <w:lang w:val="es-ES_tradnl"/>
        </w:rPr>
        <w:t>•</w:t>
      </w:r>
      <w:r w:rsidRPr="00340022">
        <w:rPr>
          <w:lang w:val="es-ES_tradnl"/>
        </w:rPr>
        <w:tab/>
      </w:r>
      <w:r w:rsidRPr="00340022">
        <w:rPr>
          <w:u w:val="single"/>
          <w:lang w:val="es-ES_tradnl"/>
        </w:rPr>
        <w:t>Servicio móvil por satélite (SMS)</w:t>
      </w:r>
      <w:r w:rsidRPr="00340022">
        <w:rPr>
          <w:lang w:val="es-ES_tradnl"/>
        </w:rPr>
        <w:t>. Este Manual facilita una breve ilustración y una introducción al tema del SMS.</w:t>
      </w:r>
    </w:p>
    <w:p w:rsidR="00013F68" w:rsidRPr="00340022" w:rsidRDefault="00013F68" w:rsidP="00B14DCD">
      <w:pPr>
        <w:pStyle w:val="Enumlevel1"/>
        <w:rPr>
          <w:lang w:val="es-ES_tradnl"/>
        </w:rPr>
      </w:pPr>
      <w:r w:rsidRPr="00340022">
        <w:rPr>
          <w:lang w:val="es-ES_tradnl"/>
        </w:rPr>
        <w:t>•</w:t>
      </w:r>
      <w:r w:rsidRPr="00340022">
        <w:rPr>
          <w:lang w:val="es-ES_tradnl"/>
        </w:rPr>
        <w:tab/>
        <w:t>Suplementos números 1, 2, 3 y 4 al Manual sobre el Servicio móvil por satélite:</w:t>
      </w:r>
    </w:p>
    <w:p w:rsidR="00013F68" w:rsidRPr="000B1922" w:rsidRDefault="000B1922" w:rsidP="000B1922">
      <w:pPr>
        <w:pStyle w:val="Enumlevel2"/>
        <w:tabs>
          <w:tab w:val="left" w:pos="2552"/>
        </w:tabs>
        <w:rPr>
          <w:lang w:val="es-ES_tradnl"/>
        </w:rPr>
      </w:pPr>
      <w:r w:rsidRPr="000B1922">
        <w:rPr>
          <w:lang w:val="es-ES_tradnl"/>
        </w:rPr>
        <w:t>–</w:t>
      </w:r>
      <w:r w:rsidR="00013F68" w:rsidRPr="000B1922">
        <w:rPr>
          <w:lang w:val="es-ES_tradnl"/>
        </w:rPr>
        <w:tab/>
        <w:t>Suplemento 1:</w:t>
      </w:r>
      <w:r w:rsidR="00013F68" w:rsidRPr="000B1922">
        <w:rPr>
          <w:lang w:val="es-ES_tradnl"/>
        </w:rPr>
        <w:tab/>
        <w:t>Aspectos de los sistemas de estaciones terrenas móviles digitales;</w:t>
      </w:r>
    </w:p>
    <w:p w:rsidR="00013F68" w:rsidRPr="000B1922" w:rsidRDefault="000B1922" w:rsidP="000B1922">
      <w:pPr>
        <w:pStyle w:val="Enumlevel2"/>
        <w:tabs>
          <w:tab w:val="left" w:pos="2552"/>
        </w:tabs>
        <w:rPr>
          <w:lang w:val="es-ES_tradnl"/>
        </w:rPr>
      </w:pPr>
      <w:r w:rsidRPr="000B1922">
        <w:rPr>
          <w:lang w:val="es-ES_tradnl"/>
        </w:rPr>
        <w:t>–</w:t>
      </w:r>
      <w:r w:rsidR="00013F68" w:rsidRPr="000B1922">
        <w:rPr>
          <w:lang w:val="es-ES_tradnl"/>
        </w:rPr>
        <w:tab/>
        <w:t>Suplemento 2:</w:t>
      </w:r>
      <w:r w:rsidR="00013F68" w:rsidRPr="000B1922">
        <w:rPr>
          <w:lang w:val="es-ES_tradnl"/>
        </w:rPr>
        <w:tab/>
        <w:t>Metodología para obtener los criterios de interferencia y compartición en los servicios móviles por satélite;</w:t>
      </w:r>
    </w:p>
    <w:p w:rsidR="00013F68" w:rsidRPr="000B1922" w:rsidRDefault="000B1922" w:rsidP="000B1922">
      <w:pPr>
        <w:pStyle w:val="Enumlevel2"/>
        <w:tabs>
          <w:tab w:val="left" w:pos="2552"/>
        </w:tabs>
        <w:rPr>
          <w:lang w:val="es-ES_tradnl"/>
        </w:rPr>
      </w:pPr>
      <w:r w:rsidRPr="000B1922">
        <w:rPr>
          <w:lang w:val="es-ES_tradnl"/>
        </w:rPr>
        <w:t>–</w:t>
      </w:r>
      <w:r w:rsidR="00013F68" w:rsidRPr="000B1922">
        <w:rPr>
          <w:lang w:val="es-ES_tradnl"/>
        </w:rPr>
        <w:tab/>
        <w:t>Suplemento 3:</w:t>
      </w:r>
      <w:r w:rsidR="00013F68" w:rsidRPr="000B1922">
        <w:rPr>
          <w:lang w:val="es-ES_tradnl"/>
        </w:rPr>
        <w:tab/>
        <w:t>Problemas de interferencia y ruido en los sistemas del servicio móvil marítimo por satélite que utilizan frecuencias en torno a 1,5 GHz y a 1,6 GHz; y</w:t>
      </w:r>
    </w:p>
    <w:p w:rsidR="00013F68" w:rsidRDefault="000B1922" w:rsidP="000B1922">
      <w:pPr>
        <w:pStyle w:val="Enumlevel2"/>
        <w:tabs>
          <w:tab w:val="left" w:pos="2552"/>
        </w:tabs>
        <w:rPr>
          <w:lang w:val="es-ES_tradnl"/>
        </w:rPr>
      </w:pPr>
      <w:r w:rsidRPr="000B1922">
        <w:rPr>
          <w:lang w:val="es-ES_tradnl"/>
        </w:rPr>
        <w:t>–</w:t>
      </w:r>
      <w:r w:rsidR="00013F68" w:rsidRPr="000B1922">
        <w:rPr>
          <w:lang w:val="es-ES_tradnl"/>
        </w:rPr>
        <w:tab/>
        <w:t>Suplemento 4:</w:t>
      </w:r>
      <w:r w:rsidR="00013F68" w:rsidRPr="000B1922">
        <w:rPr>
          <w:lang w:val="es-ES_tradnl"/>
        </w:rPr>
        <w:tab/>
        <w:t>Aspectos técnicos de la coordinación entre sistemas del servicio móvil por satélite que utilizan la órbita de los satélites geoestacionarios.</w:t>
      </w:r>
      <w:r w:rsidR="00E40E60">
        <w:rPr>
          <w:lang w:val="es-ES_tradnl"/>
        </w:rPr>
        <w:t xml:space="preserve"> </w:t>
      </w:r>
    </w:p>
    <w:p w:rsidR="0023387B" w:rsidRPr="000B1922" w:rsidRDefault="0023387B" w:rsidP="000B1922">
      <w:pPr>
        <w:pStyle w:val="Enumlevel2"/>
        <w:tabs>
          <w:tab w:val="left" w:pos="2552"/>
        </w:tabs>
        <w:rPr>
          <w:lang w:val="es-ES_tradnl"/>
        </w:rPr>
      </w:pPr>
    </w:p>
    <w:p w:rsidR="00013F68" w:rsidRPr="00340022" w:rsidRDefault="00013F68" w:rsidP="002E43D2">
      <w:pPr>
        <w:pStyle w:val="Heading1"/>
        <w:spacing w:before="120"/>
        <w:jc w:val="center"/>
        <w:rPr>
          <w:lang w:val="es-ES_tradnl" w:eastAsia="en-GB"/>
        </w:rPr>
      </w:pPr>
      <w:r w:rsidRPr="00A96787">
        <w:rPr>
          <w:lang w:val="es-ES"/>
        </w:rPr>
        <w:br w:type="page"/>
      </w:r>
      <w:bookmarkStart w:id="60" w:name="_Toc233465502"/>
      <w:bookmarkStart w:id="61" w:name="_Toc365036812"/>
      <w:bookmarkStart w:id="62" w:name="_Toc381259705"/>
      <w:bookmarkEnd w:id="60"/>
      <w:r w:rsidRPr="00340022">
        <w:rPr>
          <w:lang w:val="es-ES_tradnl" w:eastAsia="en-GB"/>
        </w:rPr>
        <w:lastRenderedPageBreak/>
        <w:t xml:space="preserve">Comisión de Estudio 5 del UIT-R – </w:t>
      </w:r>
      <w:hyperlink r:id="rId30" w:history="1">
        <w:r w:rsidRPr="00340022">
          <w:rPr>
            <w:lang w:val="es-ES_tradnl" w:eastAsia="en-GB"/>
          </w:rPr>
          <w:t>Servicios terrenales</w:t>
        </w:r>
        <w:bookmarkEnd w:id="61"/>
        <w:bookmarkEnd w:id="62"/>
      </w:hyperlink>
    </w:p>
    <w:p w:rsidR="00013F68" w:rsidRPr="00340022" w:rsidRDefault="00013F68" w:rsidP="002E43D2">
      <w:pPr>
        <w:pStyle w:val="Heading4"/>
        <w:rPr>
          <w:lang w:val="es-ES_tradnl"/>
        </w:rPr>
      </w:pPr>
      <w:r w:rsidRPr="00340022">
        <w:rPr>
          <w:lang w:val="es-ES_tradnl"/>
        </w:rPr>
        <w:t>Alcance</w:t>
      </w:r>
    </w:p>
    <w:p w:rsidR="00013F68" w:rsidRPr="00A96787" w:rsidRDefault="00013F68" w:rsidP="005A4281">
      <w:pPr>
        <w:rPr>
          <w:rFonts w:cstheme="majorBidi"/>
          <w:szCs w:val="19"/>
          <w:lang w:val="es-ES"/>
        </w:rPr>
      </w:pPr>
      <w:r w:rsidRPr="00A96787">
        <w:rPr>
          <w:rFonts w:cstheme="majorBidi"/>
          <w:szCs w:val="19"/>
          <w:lang w:val="es-ES"/>
        </w:rPr>
        <w:t xml:space="preserve">Sistemas y redes de los servicios fijo, móvil, de </w:t>
      </w:r>
      <w:proofErr w:type="spellStart"/>
      <w:r w:rsidRPr="00A96787">
        <w:rPr>
          <w:rFonts w:cstheme="majorBidi"/>
          <w:szCs w:val="19"/>
          <w:lang w:val="es-ES"/>
        </w:rPr>
        <w:t>radiodeterminación</w:t>
      </w:r>
      <w:proofErr w:type="spellEnd"/>
      <w:r w:rsidRPr="00A96787">
        <w:rPr>
          <w:rFonts w:cstheme="majorBidi"/>
          <w:szCs w:val="19"/>
          <w:lang w:val="es-ES"/>
        </w:rPr>
        <w:t>, de aficionados y de aficionados por satélite.</w:t>
      </w:r>
    </w:p>
    <w:p w:rsidR="00013F68" w:rsidRPr="00340022" w:rsidRDefault="00013F68" w:rsidP="002E43D2">
      <w:pPr>
        <w:pStyle w:val="Heading4"/>
        <w:rPr>
          <w:lang w:val="es-ES_tradnl"/>
        </w:rPr>
      </w:pPr>
      <w:r w:rsidRPr="00340022">
        <w:rPr>
          <w:lang w:val="es-ES_tradnl"/>
        </w:rPr>
        <w:t>Estructura</w:t>
      </w:r>
    </w:p>
    <w:p w:rsidR="00013F68" w:rsidRPr="00A96787" w:rsidRDefault="00013F68" w:rsidP="005A4281">
      <w:pPr>
        <w:rPr>
          <w:rFonts w:cstheme="majorBidi"/>
          <w:szCs w:val="19"/>
          <w:lang w:val="es-ES"/>
        </w:rPr>
      </w:pPr>
      <w:r w:rsidRPr="00A96787">
        <w:rPr>
          <w:rFonts w:eastAsia="Times New Roman"/>
          <w:lang w:val="es-ES"/>
        </w:rPr>
        <w:t xml:space="preserve">Esta Comisión de Estudio fue creada en virtud de la decisión de la AR-07 de agrupar todo el trabajo sobre servicios terrenales (salvo el de radiodifusión) en una misma Comisión de Estudio, en sustitución de la antigua Comisión de Estudio 8 (servicios móvil, de </w:t>
      </w:r>
      <w:proofErr w:type="spellStart"/>
      <w:r w:rsidRPr="00A96787">
        <w:rPr>
          <w:rFonts w:eastAsia="Times New Roman"/>
          <w:lang w:val="es-ES"/>
        </w:rPr>
        <w:t>radiodeterminación</w:t>
      </w:r>
      <w:proofErr w:type="spellEnd"/>
      <w:r w:rsidRPr="00A96787">
        <w:rPr>
          <w:rFonts w:eastAsia="Times New Roman"/>
          <w:lang w:val="es-ES"/>
        </w:rPr>
        <w:t>, de radioaficionados y servicios por satélite conexos) y la antigua Comisión de Estudio 9 (servicios fijos).</w:t>
      </w:r>
    </w:p>
    <w:p w:rsidR="00013F68" w:rsidRPr="00A96787" w:rsidRDefault="00013F68" w:rsidP="005A4281">
      <w:pPr>
        <w:autoSpaceDE w:val="0"/>
        <w:autoSpaceDN w:val="0"/>
        <w:adjustRightInd w:val="0"/>
        <w:rPr>
          <w:rFonts w:cstheme="majorBidi"/>
          <w:szCs w:val="19"/>
          <w:lang w:val="es-ES"/>
        </w:rPr>
      </w:pPr>
      <w:r w:rsidRPr="00A96787">
        <w:rPr>
          <w:rFonts w:cstheme="majorBidi"/>
          <w:szCs w:val="19"/>
          <w:lang w:val="es-ES"/>
        </w:rPr>
        <w:t xml:space="preserve">Cuatro Grupos de Trabajo (GT) llevan a cabo los estudios sobre las Cuestiones asignadas a la Comisión de Estudio (CE) 5 y un Grupo Mixto de Tareas Especiales (GTME) </w:t>
      </w:r>
      <w:r w:rsidRPr="00A96787">
        <w:rPr>
          <w:rFonts w:eastAsia="Times New Roman"/>
          <w:lang w:val="es-ES"/>
        </w:rPr>
        <w:t>realiza estudios sobre los puntos 1.1 y 1.2 del orden del día de la CMR-15, a saber:</w:t>
      </w:r>
    </w:p>
    <w:p w:rsidR="00013F68" w:rsidRPr="00340022" w:rsidRDefault="00013F68" w:rsidP="00CE0398">
      <w:pPr>
        <w:pStyle w:val="Enumlevel1"/>
        <w:tabs>
          <w:tab w:val="left" w:pos="567"/>
          <w:tab w:val="left" w:pos="1985"/>
        </w:tabs>
        <w:ind w:left="1985" w:hanging="1985"/>
        <w:rPr>
          <w:lang w:val="es-ES_tradnl"/>
        </w:rPr>
      </w:pPr>
      <w:r w:rsidRPr="00340022">
        <w:rPr>
          <w:lang w:val="es-ES_tradnl"/>
        </w:rPr>
        <w:t>•</w:t>
      </w:r>
      <w:r w:rsidRPr="00340022">
        <w:rPr>
          <w:lang w:val="es-ES_tradnl"/>
        </w:rPr>
        <w:tab/>
        <w:t>GT 5A:</w:t>
      </w:r>
      <w:r w:rsidRPr="00340022">
        <w:rPr>
          <w:lang w:val="es-ES_tradnl"/>
        </w:rPr>
        <w:tab/>
        <w:t>Servicio móvil terrestre por encima de 30 MHz3 (excluidas las IMT); acceso inalámbrico en el servicio fijo; servicio de aficionados y servicio de aficionados por satélite</w:t>
      </w:r>
    </w:p>
    <w:p w:rsidR="00013F68" w:rsidRPr="002E43D2" w:rsidRDefault="00013F68" w:rsidP="00CE0398">
      <w:pPr>
        <w:pStyle w:val="Enumlevel1"/>
        <w:tabs>
          <w:tab w:val="left" w:pos="567"/>
          <w:tab w:val="left" w:pos="1985"/>
        </w:tabs>
        <w:ind w:left="1985" w:hanging="1985"/>
        <w:rPr>
          <w:lang w:val="es-ES_tradnl"/>
        </w:rPr>
      </w:pPr>
      <w:r w:rsidRPr="002E43D2">
        <w:rPr>
          <w:lang w:val="es-ES_tradnl"/>
        </w:rPr>
        <w:t>•</w:t>
      </w:r>
      <w:r w:rsidRPr="002E43D2">
        <w:rPr>
          <w:lang w:val="es-ES_tradnl"/>
        </w:rPr>
        <w:tab/>
        <w:t>GT 5B:</w:t>
      </w:r>
      <w:r w:rsidRPr="002E43D2">
        <w:rPr>
          <w:lang w:val="es-ES_tradnl"/>
        </w:rPr>
        <w:tab/>
        <w:t xml:space="preserve">Servicio móvil marítimo, incluidos el sistema mundial de socorro y seguridad marítimos (SMSSM), el servicio móvil aeronáutico y el servicio de </w:t>
      </w:r>
      <w:proofErr w:type="spellStart"/>
      <w:r w:rsidRPr="002E43D2">
        <w:rPr>
          <w:lang w:val="es-ES_tradnl"/>
        </w:rPr>
        <w:t>radiodeterminación</w:t>
      </w:r>
      <w:proofErr w:type="spellEnd"/>
    </w:p>
    <w:p w:rsidR="00013F68" w:rsidRPr="002E43D2" w:rsidRDefault="00013F68" w:rsidP="00CE0398">
      <w:pPr>
        <w:pStyle w:val="Enumlevel1"/>
        <w:tabs>
          <w:tab w:val="left" w:pos="567"/>
          <w:tab w:val="left" w:pos="1985"/>
        </w:tabs>
        <w:ind w:left="1985" w:hanging="1985"/>
        <w:rPr>
          <w:lang w:val="es-ES_tradnl"/>
        </w:rPr>
      </w:pPr>
      <w:r w:rsidRPr="002E43D2">
        <w:rPr>
          <w:lang w:val="es-ES_tradnl"/>
        </w:rPr>
        <w:t>•</w:t>
      </w:r>
      <w:r w:rsidRPr="002E43D2">
        <w:rPr>
          <w:lang w:val="es-ES_tradnl"/>
        </w:rPr>
        <w:tab/>
        <w:t>GT 5C:</w:t>
      </w:r>
      <w:r w:rsidRPr="002E43D2">
        <w:rPr>
          <w:lang w:val="es-ES_tradnl"/>
        </w:rPr>
        <w:tab/>
        <w:t xml:space="preserve">Sistemas fijos inalámbricos, sistemas por ondas </w:t>
      </w:r>
      <w:proofErr w:type="spellStart"/>
      <w:r w:rsidRPr="002E43D2">
        <w:rPr>
          <w:lang w:val="es-ES_tradnl"/>
        </w:rPr>
        <w:t>decamétricas</w:t>
      </w:r>
      <w:proofErr w:type="spellEnd"/>
      <w:r w:rsidRPr="002E43D2">
        <w:rPr>
          <w:lang w:val="es-ES_tradnl"/>
        </w:rPr>
        <w:t xml:space="preserve"> y otros sistemas por debajo de 30 MHz en los servicios fijo y móvil terrestre</w:t>
      </w:r>
    </w:p>
    <w:p w:rsidR="00013F68" w:rsidRPr="002E43D2" w:rsidRDefault="00013F68" w:rsidP="00CE0398">
      <w:pPr>
        <w:pStyle w:val="Enumlevel1"/>
        <w:tabs>
          <w:tab w:val="left" w:pos="567"/>
          <w:tab w:val="left" w:pos="1985"/>
        </w:tabs>
        <w:ind w:left="1985" w:hanging="1985"/>
        <w:rPr>
          <w:lang w:val="es-ES_tradnl"/>
        </w:rPr>
      </w:pPr>
      <w:r w:rsidRPr="002E43D2">
        <w:rPr>
          <w:lang w:val="es-ES_tradnl"/>
        </w:rPr>
        <w:t>•</w:t>
      </w:r>
      <w:r w:rsidRPr="002E43D2">
        <w:rPr>
          <w:lang w:val="es-ES_tradnl"/>
        </w:rPr>
        <w:tab/>
        <w:t>GT 5D:</w:t>
      </w:r>
      <w:r w:rsidRPr="002E43D2">
        <w:rPr>
          <w:lang w:val="es-ES_tradnl"/>
        </w:rPr>
        <w:tab/>
        <w:t>Sistemas IMT; y</w:t>
      </w:r>
    </w:p>
    <w:p w:rsidR="00013F68" w:rsidRPr="002E43D2" w:rsidRDefault="00013F68" w:rsidP="00CE0398">
      <w:pPr>
        <w:pStyle w:val="Enumlevel1"/>
        <w:tabs>
          <w:tab w:val="left" w:pos="567"/>
          <w:tab w:val="left" w:pos="1985"/>
        </w:tabs>
        <w:ind w:left="1985" w:hanging="1985"/>
        <w:rPr>
          <w:lang w:val="es-ES_tradnl"/>
        </w:rPr>
      </w:pPr>
      <w:r w:rsidRPr="002E43D2">
        <w:rPr>
          <w:lang w:val="es-ES_tradnl"/>
        </w:rPr>
        <w:t>•</w:t>
      </w:r>
      <w:r w:rsidRPr="002E43D2">
        <w:rPr>
          <w:lang w:val="es-ES_tradnl"/>
        </w:rPr>
        <w:tab/>
        <w:t>GMTE 4-5-6-7:</w:t>
      </w:r>
      <w:r w:rsidR="00CE0398">
        <w:rPr>
          <w:lang w:val="es-ES_tradnl"/>
        </w:rPr>
        <w:tab/>
      </w:r>
      <w:r w:rsidRPr="002E43D2">
        <w:rPr>
          <w:lang w:val="es-ES_tradnl"/>
        </w:rPr>
        <w:t>Puntos 1.1 y 1.2 del orden del día de la CMR-15.</w:t>
      </w:r>
    </w:p>
    <w:p w:rsidR="00013F68" w:rsidRPr="00340022" w:rsidRDefault="00013F68" w:rsidP="002E43D2">
      <w:pPr>
        <w:pStyle w:val="Heading4"/>
        <w:rPr>
          <w:lang w:val="es-ES_tradnl"/>
        </w:rPr>
      </w:pPr>
      <w:r w:rsidRPr="00340022">
        <w:rPr>
          <w:lang w:val="es-ES_tradnl"/>
        </w:rPr>
        <w:t>Cuestiones</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C7-7/5:</w:t>
      </w:r>
      <w:r w:rsidRPr="002E43D2">
        <w:rPr>
          <w:lang w:val="es-ES_tradnl"/>
        </w:rPr>
        <w:tab/>
        <w:t>Características de los equipos del servicio móvil terrestre entre 30 y 6 000 MHz</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C48-6/5:</w:t>
      </w:r>
      <w:r w:rsidRPr="002E43D2">
        <w:rPr>
          <w:lang w:val="es-ES_tradnl"/>
        </w:rPr>
        <w:tab/>
        <w:t>Técnicas y utilización de frecuencias en los servicios de aficionados y aficionados por satélite</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C77-7/5:</w:t>
      </w:r>
      <w:r w:rsidRPr="002E43D2">
        <w:rPr>
          <w:lang w:val="es-ES_tradnl"/>
        </w:rPr>
        <w:tab/>
        <w:t>Examen de las necesidades de los países en desarrollo en lo relativo a la promoción y aplicación de las IMT</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C209-4/5:</w:t>
      </w:r>
      <w:r w:rsidRPr="002E43D2">
        <w:rPr>
          <w:lang w:val="es-ES_tradnl"/>
        </w:rPr>
        <w:tab/>
        <w:t>Utilización de los servicios móviles, de aficionados y de aficionados por satélite para facilitar las radiocomunicaciones en casos de catástrofe</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C212-4/5:</w:t>
      </w:r>
      <w:r w:rsidRPr="002E43D2">
        <w:rPr>
          <w:lang w:val="es-ES_tradnl"/>
        </w:rPr>
        <w:tab/>
        <w:t>Sistemas de acceso inalámbrico nómada incluyendo las redes radioeléctricas de área local</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 xml:space="preserve">C215 4/5: </w:t>
      </w:r>
      <w:r w:rsidRPr="002E43D2">
        <w:rPr>
          <w:lang w:val="es-ES_tradnl"/>
        </w:rPr>
        <w:tab/>
        <w:t>Bandas de frecuencias, características técnicas y requisitos operacionales de los sistemas de acceso inalámbrico fijo en el servicio móvil terrestre</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 xml:space="preserve">C229 3/5: </w:t>
      </w:r>
      <w:r w:rsidRPr="002E43D2">
        <w:rPr>
          <w:lang w:val="es-ES_tradnl"/>
        </w:rPr>
        <w:tab/>
        <w:t>Futuros desarrollos del componente terrenal de las IMT</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 xml:space="preserve">C230 3/5: </w:t>
      </w:r>
      <w:r w:rsidRPr="002E43D2">
        <w:rPr>
          <w:lang w:val="es-ES_tradnl"/>
        </w:rPr>
        <w:tab/>
        <w:t>Equipo radioeléctrico especificado por soporte lógico</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C235/5:</w:t>
      </w:r>
      <w:r w:rsidRPr="002E43D2">
        <w:rPr>
          <w:lang w:val="es-ES_tradnl"/>
        </w:rPr>
        <w:tab/>
        <w:t>Criterios de protección para sistemas aeronáuticos y marítimos</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C238-2/5:</w:t>
      </w:r>
      <w:r w:rsidRPr="002E43D2">
        <w:rPr>
          <w:lang w:val="es-ES_tradnl"/>
        </w:rPr>
        <w:tab/>
        <w:t>Sistemas móviles de acceso inalámbrico de banda ancha</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 xml:space="preserve">C241 2/5: </w:t>
      </w:r>
      <w:r w:rsidRPr="002E43D2">
        <w:rPr>
          <w:lang w:val="es-ES_tradnl"/>
        </w:rPr>
        <w:tab/>
        <w:t>Sistemas de radiocomunicaciones cognoscitivos en el servicio móvil</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t>•</w:t>
      </w:r>
      <w:r w:rsidRPr="002E43D2">
        <w:rPr>
          <w:lang w:val="es-ES_tradnl"/>
        </w:rPr>
        <w:tab/>
        <w:t>C247-1/5:</w:t>
      </w:r>
      <w:r w:rsidRPr="002E43D2">
        <w:rPr>
          <w:lang w:val="es-ES_tradnl"/>
        </w:rPr>
        <w:tab/>
        <w:t>Configuración de radiofrecuencias para los sistemas fijos inalámbricos</w:t>
      </w:r>
    </w:p>
    <w:p w:rsidR="00013F68" w:rsidRPr="002E43D2" w:rsidRDefault="00013F68" w:rsidP="002E43D2">
      <w:pPr>
        <w:pStyle w:val="Enumlevel1"/>
        <w:tabs>
          <w:tab w:val="left" w:pos="567"/>
          <w:tab w:val="left" w:pos="1843"/>
        </w:tabs>
        <w:ind w:left="1843" w:hanging="1843"/>
        <w:rPr>
          <w:lang w:val="es-ES_tradnl"/>
        </w:rPr>
      </w:pPr>
      <w:r w:rsidRPr="002E43D2">
        <w:rPr>
          <w:lang w:val="es-ES_tradnl"/>
        </w:rPr>
        <w:lastRenderedPageBreak/>
        <w:t>•</w:t>
      </w:r>
      <w:r w:rsidRPr="002E43D2">
        <w:rPr>
          <w:lang w:val="es-ES_tradnl"/>
        </w:rPr>
        <w:tab/>
        <w:t>C248/5:</w:t>
      </w:r>
      <w:r w:rsidRPr="002E43D2">
        <w:rPr>
          <w:lang w:val="es-ES_tradnl"/>
        </w:rPr>
        <w:tab/>
        <w:t>Características técnicas y operativas de los sistemas del servicio fijo que se utilizan para la mitigación de los efectos de las catástrofes y las operaciones de socorro</w:t>
      </w:r>
    </w:p>
    <w:p w:rsidR="00013F68" w:rsidRPr="00A9662D" w:rsidRDefault="00013F68" w:rsidP="00A9662D">
      <w:pPr>
        <w:pStyle w:val="Enumlevel1"/>
        <w:tabs>
          <w:tab w:val="left" w:pos="567"/>
          <w:tab w:val="left" w:pos="1843"/>
        </w:tabs>
        <w:ind w:left="1843" w:hanging="1843"/>
        <w:rPr>
          <w:lang w:val="es-ES_tradnl"/>
        </w:rPr>
      </w:pPr>
      <w:r w:rsidRPr="00A9662D">
        <w:rPr>
          <w:lang w:val="es-ES_tradnl"/>
        </w:rPr>
        <w:t>•</w:t>
      </w:r>
      <w:r w:rsidRPr="00A9662D">
        <w:rPr>
          <w:lang w:val="es-ES_tradnl"/>
        </w:rPr>
        <w:tab/>
        <w:t>C250-1/5:</w:t>
      </w:r>
      <w:r w:rsidRPr="00A9662D">
        <w:rPr>
          <w:lang w:val="es-ES_tradnl"/>
        </w:rPr>
        <w:tab/>
        <w:t>Sistemas de acceso inalámbrico móvil que proporcionan telecomunicaciones a un gran número de sensores ubicuos y/o activadores dispersos sobre amplias zonas en el servicio móvil terrestre</w:t>
      </w:r>
    </w:p>
    <w:p w:rsidR="00013F68" w:rsidRPr="00A9662D" w:rsidRDefault="00013F68" w:rsidP="00A9662D">
      <w:pPr>
        <w:pStyle w:val="Enumlevel1"/>
        <w:tabs>
          <w:tab w:val="left" w:pos="567"/>
          <w:tab w:val="left" w:pos="1843"/>
        </w:tabs>
        <w:ind w:left="1843" w:hanging="1843"/>
        <w:rPr>
          <w:lang w:val="es-ES_tradnl"/>
        </w:rPr>
      </w:pPr>
      <w:r w:rsidRPr="00A9662D">
        <w:rPr>
          <w:lang w:val="es-ES_tradnl"/>
        </w:rPr>
        <w:t>•</w:t>
      </w:r>
      <w:r w:rsidRPr="00A9662D">
        <w:rPr>
          <w:lang w:val="es-ES_tradnl"/>
        </w:rPr>
        <w:tab/>
        <w:t>C251/5:</w:t>
      </w:r>
      <w:r w:rsidRPr="00A9662D">
        <w:rPr>
          <w:lang w:val="es-ES_tradnl"/>
        </w:rPr>
        <w:tab/>
        <w:t>Aspectos técnicos y operacionales de las antenas de estación de base pasivas y activas para sistemas IMT</w:t>
      </w:r>
    </w:p>
    <w:p w:rsidR="00013F68" w:rsidRPr="00A9662D" w:rsidRDefault="00013F68" w:rsidP="00A9662D">
      <w:pPr>
        <w:pStyle w:val="Enumlevel1"/>
        <w:tabs>
          <w:tab w:val="left" w:pos="567"/>
          <w:tab w:val="left" w:pos="1843"/>
        </w:tabs>
        <w:ind w:left="1843" w:hanging="1843"/>
        <w:rPr>
          <w:lang w:val="es-ES_tradnl"/>
        </w:rPr>
      </w:pPr>
      <w:r w:rsidRPr="00A9662D">
        <w:rPr>
          <w:lang w:val="es-ES_tradnl"/>
        </w:rPr>
        <w:t>•</w:t>
      </w:r>
      <w:r w:rsidRPr="00A9662D">
        <w:rPr>
          <w:lang w:val="es-ES_tradnl"/>
        </w:rPr>
        <w:tab/>
        <w:t>C253/5:</w:t>
      </w:r>
      <w:r w:rsidRPr="00A9662D">
        <w:rPr>
          <w:lang w:val="es-ES_tradnl"/>
        </w:rPr>
        <w:tab/>
        <w:t>Utilización del servicio fijo y futuras tendencias</w:t>
      </w:r>
    </w:p>
    <w:p w:rsidR="00013F68" w:rsidRPr="00A96787" w:rsidRDefault="00013F68" w:rsidP="00EF6847">
      <w:pPr>
        <w:rPr>
          <w:lang w:val="es-ES"/>
        </w:rPr>
      </w:pPr>
      <w:bookmarkStart w:id="63" w:name="_Toc233020255"/>
      <w:bookmarkStart w:id="64" w:name="_Toc233465503"/>
      <w:r w:rsidRPr="00A96787">
        <w:rPr>
          <w:lang w:val="es-ES"/>
        </w:rPr>
        <w:t>Todas las Cuestiones UIT-R asignadas a la Comisión de Estudio 5 se publican y están disponibles en:</w:t>
      </w:r>
      <w:r w:rsidRPr="00A96787">
        <w:rPr>
          <w:lang w:val="es-ES"/>
        </w:rPr>
        <w:br/>
      </w:r>
      <w:hyperlink r:id="rId31" w:history="1">
        <w:r w:rsidR="00EF6847">
          <w:rPr>
            <w:rStyle w:val="Hyperlink"/>
            <w:lang w:val="es-ES"/>
          </w:rPr>
          <w:t>www</w:t>
        </w:r>
        <w:r w:rsidRPr="00A96787">
          <w:rPr>
            <w:rStyle w:val="Hyperlink"/>
            <w:lang w:val="es-ES"/>
          </w:rPr>
          <w:t>.itu.int/pub/R-QUE-SG05/</w:t>
        </w:r>
      </w:hyperlink>
      <w:r w:rsidRPr="00A96787">
        <w:rPr>
          <w:lang w:val="es-ES"/>
        </w:rPr>
        <w:t xml:space="preserve"> </w:t>
      </w:r>
    </w:p>
    <w:p w:rsidR="00013F68" w:rsidRPr="00340022" w:rsidRDefault="00013F68" w:rsidP="00A9662D">
      <w:pPr>
        <w:pStyle w:val="Heading4"/>
        <w:rPr>
          <w:lang w:val="es-ES_tradnl"/>
        </w:rPr>
      </w:pPr>
      <w:r w:rsidRPr="00340022">
        <w:rPr>
          <w:lang w:val="es-ES_tradnl"/>
        </w:rPr>
        <w:t>Recomendaciones</w:t>
      </w:r>
    </w:p>
    <w:p w:rsidR="00013F68" w:rsidRPr="00A9662D" w:rsidRDefault="00013F68" w:rsidP="00A9662D">
      <w:pPr>
        <w:pStyle w:val="Headingb0"/>
        <w:rPr>
          <w:sz w:val="21"/>
          <w:szCs w:val="21"/>
          <w:lang w:val="es-ES_tradnl"/>
        </w:rPr>
      </w:pPr>
      <w:r w:rsidRPr="00A9662D">
        <w:rPr>
          <w:sz w:val="21"/>
          <w:szCs w:val="21"/>
          <w:lang w:val="es-ES_tradnl"/>
        </w:rPr>
        <w:t>Serie M</w:t>
      </w:r>
      <w:bookmarkEnd w:id="63"/>
      <w:bookmarkEnd w:id="64"/>
      <w:r w:rsidRPr="00A9662D">
        <w:rPr>
          <w:sz w:val="21"/>
          <w:szCs w:val="21"/>
          <w:lang w:val="es-ES_tradnl"/>
        </w:rPr>
        <w:t xml:space="preserve">: Servicios móviles, de </w:t>
      </w:r>
      <w:proofErr w:type="spellStart"/>
      <w:r w:rsidRPr="00A9662D">
        <w:rPr>
          <w:sz w:val="21"/>
          <w:szCs w:val="21"/>
          <w:lang w:val="es-ES_tradnl"/>
        </w:rPr>
        <w:t>radiodeterminación</w:t>
      </w:r>
      <w:proofErr w:type="spellEnd"/>
      <w:r w:rsidRPr="00A9662D">
        <w:rPr>
          <w:sz w:val="21"/>
          <w:szCs w:val="21"/>
          <w:lang w:val="es-ES_tradnl"/>
        </w:rPr>
        <w:t>, de aficionados y otros servicios por satélite conexos</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M.819:</w:t>
      </w:r>
      <w:r w:rsidRPr="003062F8">
        <w:rPr>
          <w:lang w:val="es-ES_tradnl"/>
        </w:rPr>
        <w:tab/>
        <w:t xml:space="preserve">Telecomunicaciones móviles internacionales-2000 (IMT-2000) para los países en desarrollo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M.1041:</w:t>
      </w:r>
      <w:r w:rsidRPr="003062F8">
        <w:rPr>
          <w:lang w:val="es-ES_tradnl"/>
        </w:rPr>
        <w:tab/>
        <w:t>Futuros sistemas de radiocomunicaciones de aficionados</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M.1042-3:</w:t>
      </w:r>
      <w:r w:rsidRPr="003062F8">
        <w:rPr>
          <w:lang w:val="es-ES_tradnl"/>
        </w:rPr>
        <w:tab/>
        <w:t>Comunicaciones de los servicios de aficionados y aficionados por satélite en situaciones de catástrofe</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M.1043-2:</w:t>
      </w:r>
      <w:r w:rsidRPr="003062F8">
        <w:rPr>
          <w:lang w:val="es-ES_tradnl"/>
        </w:rPr>
        <w:tab/>
        <w:t>Utilización de los servicios de aficionados y de aficionados por satélite en los países en desarrollo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M.1044-2:</w:t>
      </w:r>
      <w:r w:rsidRPr="003062F8">
        <w:rPr>
          <w:lang w:val="es-ES_tradnl"/>
        </w:rPr>
        <w:tab/>
      </w:r>
      <w:bookmarkStart w:id="65" w:name="_Toc233020256"/>
      <w:bookmarkStart w:id="66" w:name="_Toc233465504"/>
      <w:r w:rsidRPr="003062F8">
        <w:rPr>
          <w:lang w:val="es-ES_tradnl"/>
        </w:rPr>
        <w:t>Criterios de compartición de frecuencias en los servicios de aficionados y de aficionados por satélite</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M.1224: </w:t>
      </w:r>
      <w:r w:rsidRPr="003062F8">
        <w:rPr>
          <w:lang w:val="es-ES_tradnl"/>
        </w:rPr>
        <w:tab/>
        <w:t>Vocabulario de términos de las telecomunicaciones móviles internacionales (IMT)</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M.1637: </w:t>
      </w:r>
      <w:r w:rsidRPr="003062F8">
        <w:rPr>
          <w:lang w:val="es-ES_tradnl"/>
        </w:rPr>
        <w:tab/>
        <w:t>Circulación transfronteriza mundial de los equipos de radiocomunicaciones utilizados en situaciones de emergencia y operaciones de socorro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M.1826: </w:t>
      </w:r>
      <w:r w:rsidRPr="003062F8">
        <w:rPr>
          <w:lang w:val="es-ES_tradnl"/>
        </w:rPr>
        <w:tab/>
        <w:t>Disposición de frecuencias armonizados para protección civil en banda ancha y operaciones de socorro a 4 940-4 990 MHz en las Regiones 2 y 3</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M.2009: </w:t>
      </w:r>
      <w:r w:rsidRPr="003062F8">
        <w:rPr>
          <w:lang w:val="es-ES_tradnl"/>
        </w:rPr>
        <w:tab/>
        <w:t xml:space="preserve">Normas de interfaz radioeléctrica para las actividades de protección pública y socorro en caso de catástrofe en algunas partes de la banda de ondas </w:t>
      </w:r>
      <w:proofErr w:type="spellStart"/>
      <w:r w:rsidRPr="003062F8">
        <w:rPr>
          <w:lang w:val="es-ES_tradnl"/>
        </w:rPr>
        <w:t>decimétricas</w:t>
      </w:r>
      <w:proofErr w:type="spellEnd"/>
      <w:r w:rsidRPr="003062F8">
        <w:rPr>
          <w:lang w:val="es-ES_tradnl"/>
        </w:rPr>
        <w:t xml:space="preserve">, de conformidad con la Resolución 646 (CMR-03)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M.2015:</w:t>
      </w:r>
      <w:r w:rsidRPr="003062F8">
        <w:rPr>
          <w:lang w:val="es-ES_tradnl"/>
        </w:rPr>
        <w:tab/>
        <w:t xml:space="preserve">Disposición de frecuencias para sistemas de radiocomunicaciones de protección pública y operaciones de socorro en caso de catástrofe en las bandas de ondas </w:t>
      </w:r>
      <w:proofErr w:type="spellStart"/>
      <w:r w:rsidRPr="003062F8">
        <w:rPr>
          <w:lang w:val="es-ES_tradnl"/>
        </w:rPr>
        <w:t>decimétricas</w:t>
      </w:r>
      <w:proofErr w:type="spellEnd"/>
      <w:r w:rsidRPr="003062F8">
        <w:rPr>
          <w:lang w:val="es-ES_tradnl"/>
        </w:rPr>
        <w:t xml:space="preserve"> con arreglo a la Resolución 646 (CMR-03)</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M.1457: </w:t>
      </w:r>
      <w:r w:rsidRPr="003062F8">
        <w:rPr>
          <w:lang w:val="es-ES_tradnl"/>
        </w:rPr>
        <w:tab/>
        <w:t>Especificaciones detalladas de las interfaces radioeléctricas de las telecomunicaciones móviles internacionales-2000 (IMT-2000)</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M.1579: </w:t>
      </w:r>
      <w:r w:rsidRPr="003062F8">
        <w:rPr>
          <w:lang w:val="es-ES_tradnl"/>
        </w:rPr>
        <w:tab/>
        <w:t>Circulación a nivel mundial de los terminales IMT-2000</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 xml:space="preserve">M.2012: </w:t>
      </w:r>
      <w:r w:rsidRPr="003062F8">
        <w:rPr>
          <w:lang w:val="es-ES_tradnl"/>
        </w:rPr>
        <w:tab/>
        <w:t>Especificaciones detalladas de las interfaces radioeléctricas terrenales de las telecomunicaciones móviles internacionales-avanzadas (IMT-Avanzadas).</w:t>
      </w:r>
    </w:p>
    <w:p w:rsidR="00013F68" w:rsidRPr="003062F8" w:rsidRDefault="00013F68" w:rsidP="003062F8">
      <w:pPr>
        <w:pStyle w:val="Headingb0"/>
        <w:rPr>
          <w:sz w:val="21"/>
          <w:szCs w:val="21"/>
          <w:lang w:val="es-ES_tradnl"/>
        </w:rPr>
      </w:pPr>
      <w:r w:rsidRPr="003062F8">
        <w:rPr>
          <w:sz w:val="21"/>
          <w:szCs w:val="21"/>
          <w:lang w:val="es-ES_tradnl"/>
        </w:rPr>
        <w:t>Serie F</w:t>
      </w:r>
      <w:bookmarkEnd w:id="65"/>
      <w:bookmarkEnd w:id="66"/>
      <w:r w:rsidRPr="003062F8">
        <w:rPr>
          <w:sz w:val="21"/>
          <w:szCs w:val="21"/>
          <w:lang w:val="es-ES_tradnl"/>
        </w:rPr>
        <w:t>: Servicios fijos</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F.701:</w:t>
      </w:r>
      <w:r w:rsidRPr="003062F8">
        <w:rPr>
          <w:lang w:val="es-ES_tradnl"/>
        </w:rPr>
        <w:tab/>
        <w:t>Disposiciones de radiocanales para sistemas radioeléctricos digitales punto a multipunto que funcionan en bandas de frecuencias en la gama 1 350</w:t>
      </w:r>
      <w:r w:rsidRPr="003062F8">
        <w:rPr>
          <w:lang w:val="es-ES_tradnl"/>
        </w:rPr>
        <w:noBreakHyphen/>
        <w:t>2 690 GHz (1,5; 1,8; 2,0; 2,2; 2,4 y 2,6 GHz)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lastRenderedPageBreak/>
        <w:t>•</w:t>
      </w:r>
      <w:r w:rsidRPr="003062F8">
        <w:rPr>
          <w:lang w:val="es-ES_tradnl"/>
        </w:rPr>
        <w:tab/>
        <w:t>F.1098:</w:t>
      </w:r>
      <w:r w:rsidRPr="003062F8">
        <w:rPr>
          <w:lang w:val="es-ES_tradnl"/>
        </w:rPr>
        <w:tab/>
        <w:t>Disposiciones de radiocanales para sistemas inalámbricos fijos en la banda 1 900-2 300 MHz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F.1105:</w:t>
      </w:r>
      <w:r w:rsidRPr="003062F8">
        <w:rPr>
          <w:lang w:val="es-ES_tradnl"/>
        </w:rPr>
        <w:tab/>
        <w:t>Equipo transportable de radiocomunicaciones fijas para operaciones de socorro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F.1242:</w:t>
      </w:r>
      <w:r w:rsidRPr="003062F8">
        <w:rPr>
          <w:lang w:val="es-ES_tradnl"/>
        </w:rPr>
        <w:tab/>
        <w:t>Disposición de radiocanales para los sistemas radioeléctricos digitales que funcionan en la gama 1 350-1 530 MHz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F.1243:</w:t>
      </w:r>
      <w:r w:rsidRPr="003062F8">
        <w:rPr>
          <w:lang w:val="es-ES_tradnl"/>
        </w:rPr>
        <w:tab/>
        <w:t>Disposiciones de radiocanales para los sistemas radioeléctricos digitales que funcionan en la gama 2 290-2 670 MHz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F.755:</w:t>
      </w:r>
      <w:r w:rsidRPr="003062F8">
        <w:rPr>
          <w:lang w:val="es-ES_tradnl"/>
        </w:rPr>
        <w:tab/>
        <w:t>Sistemas punto a multipunto utilizados en el servicio fijo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F.1488:</w:t>
      </w:r>
      <w:r w:rsidRPr="003062F8">
        <w:rPr>
          <w:lang w:val="es-ES_tradnl"/>
        </w:rPr>
        <w:tab/>
        <w:t>Disposiciones de frecuencias de bloques para sistemas de acceso inalámbrico fijo en la gama 3 400</w:t>
      </w:r>
      <w:r w:rsidRPr="003062F8">
        <w:rPr>
          <w:lang w:val="es-ES_tradnl"/>
        </w:rPr>
        <w:noBreakHyphen/>
        <w:t>3 800 MHz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F.757:</w:t>
      </w:r>
      <w:r w:rsidRPr="003062F8">
        <w:rPr>
          <w:lang w:val="es-ES_tradnl"/>
        </w:rPr>
        <w:tab/>
        <w:t xml:space="preserve">Requisitos básicos y objetivos de calidad de funcionamiento para sistemas de acceso inalámbrico fijo que utilizan tecnologías derivadas de las tecnologías móviles que ofrecen servicios de telefonía y de comunicaciones de datos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F.1399:</w:t>
      </w:r>
      <w:r w:rsidRPr="003062F8">
        <w:rPr>
          <w:lang w:val="es-ES_tradnl"/>
        </w:rPr>
        <w:tab/>
        <w:t>Terminología del acceso inalámbrico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F.1400:</w:t>
      </w:r>
      <w:r w:rsidRPr="003062F8">
        <w:rPr>
          <w:lang w:val="es-ES_tradnl"/>
        </w:rPr>
        <w:tab/>
        <w:t xml:space="preserve">Requisitos y objetivos de calidad de funcionamiento y de disponibilidad para sistemas de acceso inalámbrico fijo a la red telefónica pública con conmutación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F.1401:</w:t>
      </w:r>
      <w:r w:rsidRPr="003062F8">
        <w:rPr>
          <w:lang w:val="es-ES_tradnl"/>
        </w:rPr>
        <w:tab/>
        <w:t xml:space="preserve">Consideraciones sobre la identificación de posibles bandas de frecuencias para el acceso inalámbrico fijo y estudios de compartición relacionados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F.1402:</w:t>
      </w:r>
      <w:r w:rsidRPr="003062F8">
        <w:rPr>
          <w:lang w:val="es-ES_tradnl"/>
        </w:rPr>
        <w:tab/>
        <w:t>Criterios de compartición de frecuencias entre un sistema de acceso inalámbrico móvil terrestre y un sistema de acceso inalámbrico fijo que utiliza el mismo tipo de equipo que el sistema de acceso inalámbrico móvil</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F.1490:</w:t>
      </w:r>
      <w:r w:rsidRPr="003062F8">
        <w:rPr>
          <w:lang w:val="es-ES_tradnl"/>
        </w:rPr>
        <w:tab/>
        <w:t>Requisitos genéricos para los sistemas de acceso inalámbrico fijo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F.1500:</w:t>
      </w:r>
      <w:r w:rsidRPr="003062F8">
        <w:rPr>
          <w:lang w:val="es-ES_tradnl"/>
        </w:rPr>
        <w:tab/>
        <w:t>Características preferidas de los sistemas del servicio fijo que utilizan plataformas de gran altitud en las bandas 47,2</w:t>
      </w:r>
      <w:r w:rsidRPr="003062F8">
        <w:rPr>
          <w:lang w:val="es-ES_tradnl"/>
        </w:rPr>
        <w:noBreakHyphen/>
        <w:t>47,5 GHz y 47,9</w:t>
      </w:r>
      <w:r w:rsidRPr="003062F8">
        <w:rPr>
          <w:lang w:val="es-ES_tradnl"/>
        </w:rPr>
        <w:noBreakHyphen/>
        <w:t>48,2 GHz</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F.1501:</w:t>
      </w:r>
      <w:r w:rsidRPr="003062F8">
        <w:rPr>
          <w:lang w:val="es-ES_tradnl"/>
        </w:rPr>
        <w:tab/>
        <w:t xml:space="preserve">Distancia de coordinación en los sistemas del servicio fijo cuando intervienen estaciones situadas en plataformas a gran altitud (HAPS) que comparten las bandas de frecuencias 47,2-47,5 GHz y 47,9-48,2 GHz con otros sistemas del servicio fijo </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F.1111:</w:t>
      </w:r>
      <w:r w:rsidRPr="003062F8">
        <w:rPr>
          <w:lang w:val="es-ES_tradnl"/>
        </w:rPr>
        <w:tab/>
        <w:t xml:space="preserve">Sistema </w:t>
      </w:r>
      <w:proofErr w:type="spellStart"/>
      <w:r w:rsidRPr="003062F8">
        <w:rPr>
          <w:lang w:val="es-ES_tradnl"/>
        </w:rPr>
        <w:t>Lincompex</w:t>
      </w:r>
      <w:proofErr w:type="spellEnd"/>
      <w:r w:rsidRPr="003062F8">
        <w:rPr>
          <w:lang w:val="es-ES_tradnl"/>
        </w:rPr>
        <w:t xml:space="preserve"> perfeccionado para circuitos radiotelefónicos en ondas </w:t>
      </w:r>
      <w:proofErr w:type="spellStart"/>
      <w:r w:rsidRPr="003062F8">
        <w:rPr>
          <w:lang w:val="es-ES_tradnl"/>
        </w:rPr>
        <w:t>decamétricas</w:t>
      </w:r>
      <w:proofErr w:type="spellEnd"/>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F.1335:</w:t>
      </w:r>
      <w:r w:rsidRPr="003062F8">
        <w:rPr>
          <w:lang w:val="es-ES_tradnl"/>
        </w:rPr>
        <w:tab/>
        <w:t>Consideraciones técnicas y operacionales relativas a la transición gradual de las bandas compartidas entre el servicio móvil por satélite y el servicio fijo en 2 GHz</w:t>
      </w:r>
    </w:p>
    <w:p w:rsidR="00013F68" w:rsidRPr="00340022" w:rsidRDefault="00013F68" w:rsidP="003062F8">
      <w:pPr>
        <w:pStyle w:val="Heading4"/>
        <w:rPr>
          <w:lang w:val="es-ES_tradnl"/>
        </w:rPr>
      </w:pPr>
      <w:r w:rsidRPr="00340022">
        <w:rPr>
          <w:lang w:val="es-ES_tradnl"/>
        </w:rPr>
        <w:t>Informes</w:t>
      </w:r>
    </w:p>
    <w:p w:rsidR="00013F68" w:rsidRPr="003062F8" w:rsidRDefault="00013F68" w:rsidP="003062F8">
      <w:pPr>
        <w:pStyle w:val="Enumlevel1"/>
        <w:tabs>
          <w:tab w:val="left" w:pos="567"/>
          <w:tab w:val="left" w:pos="1843"/>
        </w:tabs>
        <w:ind w:left="1843" w:hanging="1843"/>
        <w:rPr>
          <w:lang w:val="es-ES_tradnl"/>
        </w:rPr>
      </w:pPr>
      <w:bookmarkStart w:id="67" w:name="_Toc233020257"/>
      <w:bookmarkStart w:id="68" w:name="_Toc233465505"/>
      <w:r w:rsidRPr="003062F8">
        <w:rPr>
          <w:lang w:val="es-ES_tradnl"/>
        </w:rPr>
        <w:t>•</w:t>
      </w:r>
      <w:r w:rsidRPr="003062F8">
        <w:rPr>
          <w:lang w:val="es-ES_tradnl"/>
        </w:rPr>
        <w:tab/>
        <w:t>M.1155:</w:t>
      </w:r>
      <w:r w:rsidRPr="003062F8">
        <w:rPr>
          <w:lang w:val="es-ES_tradnl"/>
        </w:rPr>
        <w:tab/>
        <w:t>Adaptación de la tecnología de radiocomunicaciones móviles a las necesidades de los países en desarrollo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M.2033:</w:t>
      </w:r>
      <w:r w:rsidRPr="003062F8">
        <w:rPr>
          <w:lang w:val="es-ES_tradnl"/>
        </w:rPr>
        <w:tab/>
        <w:t>Objetivos y requisitos de las radiocomunicaciones de protección pública y operaciones de socorro</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M.2085:</w:t>
      </w:r>
      <w:r w:rsidRPr="003062F8">
        <w:rPr>
          <w:lang w:val="es-ES_tradnl"/>
        </w:rPr>
        <w:tab/>
        <w:t>Cometido de los servicios de aficionados y de aficionados por satélite en la reducción de los efectos de las catástrofes y las operaciones de socorro en caso de catástrofe</w:t>
      </w:r>
    </w:p>
    <w:p w:rsidR="00013F68" w:rsidRPr="003062F8" w:rsidRDefault="00013F68" w:rsidP="003062F8">
      <w:pPr>
        <w:pStyle w:val="Enumlevel1"/>
        <w:tabs>
          <w:tab w:val="left" w:pos="567"/>
          <w:tab w:val="left" w:pos="1843"/>
        </w:tabs>
        <w:ind w:left="1843" w:hanging="1843"/>
        <w:rPr>
          <w:lang w:val="es-ES_tradnl"/>
        </w:rPr>
      </w:pPr>
      <w:r w:rsidRPr="003062F8">
        <w:rPr>
          <w:lang w:val="es-ES_tradnl"/>
        </w:rPr>
        <w:t>•</w:t>
      </w:r>
      <w:r w:rsidRPr="003062F8">
        <w:rPr>
          <w:lang w:val="es-ES_tradnl"/>
        </w:rPr>
        <w:tab/>
        <w:t>M.2117:</w:t>
      </w:r>
      <w:r w:rsidRPr="003062F8">
        <w:rPr>
          <w:lang w:val="es-ES_tradnl"/>
        </w:rPr>
        <w:tab/>
        <w:t>Equipo radioeléctrico especificado por software en los servicios móvil terrestre, de radioaficionados y de radioaficionados por satélite</w:t>
      </w:r>
    </w:p>
    <w:p w:rsidR="00013F68" w:rsidRPr="00340022" w:rsidRDefault="00013F68" w:rsidP="003062F8">
      <w:pPr>
        <w:pStyle w:val="Enumlevel1"/>
        <w:tabs>
          <w:tab w:val="left" w:pos="567"/>
          <w:tab w:val="left" w:pos="1843"/>
        </w:tabs>
        <w:ind w:left="1843" w:hanging="1843"/>
        <w:rPr>
          <w:lang w:val="en-US"/>
        </w:rPr>
      </w:pPr>
      <w:r w:rsidRPr="00340022">
        <w:rPr>
          <w:lang w:val="en-US"/>
        </w:rPr>
        <w:t>•</w:t>
      </w:r>
      <w:r w:rsidRPr="00340022">
        <w:rPr>
          <w:lang w:val="en-US"/>
        </w:rPr>
        <w:tab/>
        <w:t xml:space="preserve">M.2242: </w:t>
      </w:r>
      <w:r w:rsidRPr="00340022">
        <w:rPr>
          <w:lang w:val="en-US"/>
        </w:rPr>
        <w:tab/>
        <w:t xml:space="preserve">Cognitive radio systems specific for IMT systems </w:t>
      </w:r>
    </w:p>
    <w:p w:rsidR="00013F68" w:rsidRPr="00340022" w:rsidRDefault="00013F68" w:rsidP="003062F8">
      <w:pPr>
        <w:pStyle w:val="Enumlevel1"/>
        <w:tabs>
          <w:tab w:val="left" w:pos="567"/>
          <w:tab w:val="left" w:pos="1843"/>
        </w:tabs>
        <w:ind w:left="1843" w:hanging="1843"/>
        <w:rPr>
          <w:lang w:val="en-US"/>
        </w:rPr>
      </w:pPr>
      <w:r w:rsidRPr="00340022">
        <w:rPr>
          <w:lang w:val="en-US"/>
        </w:rPr>
        <w:lastRenderedPageBreak/>
        <w:t>•</w:t>
      </w:r>
      <w:r w:rsidRPr="00340022">
        <w:rPr>
          <w:lang w:val="en-US"/>
        </w:rPr>
        <w:tab/>
        <w:t xml:space="preserve">M.2243: </w:t>
      </w:r>
      <w:r w:rsidRPr="00340022">
        <w:rPr>
          <w:lang w:val="en-US"/>
        </w:rPr>
        <w:tab/>
        <w:t xml:space="preserve">Assessment of the global mobile broadband deployments and forecasts for International Mobile Telecommunications </w:t>
      </w:r>
    </w:p>
    <w:p w:rsidR="00013F68" w:rsidRPr="00340022" w:rsidRDefault="00013F68" w:rsidP="003062F8">
      <w:pPr>
        <w:pStyle w:val="Heading4"/>
        <w:rPr>
          <w:lang w:val="es-ES_tradnl"/>
        </w:rPr>
      </w:pPr>
      <w:r w:rsidRPr="00340022">
        <w:rPr>
          <w:lang w:val="es-ES_tradnl"/>
        </w:rPr>
        <w:t>Manuales</w:t>
      </w:r>
      <w:bookmarkEnd w:id="67"/>
      <w:bookmarkEnd w:id="68"/>
    </w:p>
    <w:p w:rsidR="00013F68" w:rsidRPr="00340022" w:rsidRDefault="00013F68" w:rsidP="003062F8">
      <w:pPr>
        <w:pStyle w:val="Enumlevel1"/>
        <w:rPr>
          <w:lang w:val="es-ES_tradnl"/>
        </w:rPr>
      </w:pPr>
      <w:r w:rsidRPr="00340022">
        <w:rPr>
          <w:lang w:val="es-ES_tradnl"/>
        </w:rPr>
        <w:t>•</w:t>
      </w:r>
      <w:r w:rsidRPr="00340022">
        <w:rPr>
          <w:lang w:val="es-ES_tradnl"/>
        </w:rPr>
        <w:tab/>
      </w:r>
      <w:r w:rsidRPr="00340022">
        <w:rPr>
          <w:u w:val="single"/>
          <w:lang w:val="es-ES_tradnl"/>
        </w:rPr>
        <w:t>Sistemas de relevadores radioeléctricos digitales</w:t>
      </w:r>
      <w:r w:rsidRPr="00340022">
        <w:rPr>
          <w:lang w:val="es-ES_tradnl"/>
        </w:rPr>
        <w:t>. Este Manual constituye un resumen general de los principios básicos, los parámetros de diseño y las prácticas actuales de diseño e ingeniería de sistemas de relevadores radioeléctricos digitales.</w:t>
      </w:r>
    </w:p>
    <w:p w:rsidR="00013F68" w:rsidRPr="00340022" w:rsidRDefault="00013F68" w:rsidP="003062F8">
      <w:pPr>
        <w:pStyle w:val="Enumlevel1"/>
        <w:rPr>
          <w:lang w:val="es-ES_tradnl"/>
        </w:rPr>
      </w:pPr>
      <w:r w:rsidRPr="00340022">
        <w:rPr>
          <w:lang w:val="es-ES_tradnl"/>
        </w:rPr>
        <w:t>•</w:t>
      </w:r>
      <w:r w:rsidRPr="00340022">
        <w:rPr>
          <w:lang w:val="es-ES_tradnl"/>
        </w:rPr>
        <w:tab/>
      </w:r>
      <w:r w:rsidRPr="00340022">
        <w:rPr>
          <w:u w:val="single"/>
          <w:lang w:val="es-ES_tradnl"/>
        </w:rPr>
        <w:t>Servicio móvil terrestre</w:t>
      </w:r>
      <w:r w:rsidRPr="00340022">
        <w:rPr>
          <w:lang w:val="es-ES_tradnl"/>
        </w:rPr>
        <w:t xml:space="preserve"> (incluso acceso inalámbrico). Este Manual presenta una descripción general de los principios y enfoques que han de considerarse en materia de evolución de los sistemas existentes e incipientes hacia las IMT-2000.</w:t>
      </w:r>
      <w:r w:rsidRPr="00340022">
        <w:rPr>
          <w:lang w:val="es-ES_tradnl"/>
        </w:rPr>
        <w:tab/>
      </w:r>
    </w:p>
    <w:p w:rsidR="00013F68" w:rsidRPr="003062F8" w:rsidRDefault="003062F8" w:rsidP="003062F8">
      <w:pPr>
        <w:pStyle w:val="Enumlevel2"/>
        <w:rPr>
          <w:lang w:val="es-ES_tradnl"/>
        </w:rPr>
      </w:pPr>
      <w:r w:rsidRPr="003062F8">
        <w:rPr>
          <w:lang w:val="es-ES_tradnl"/>
        </w:rPr>
        <w:t>–</w:t>
      </w:r>
      <w:r w:rsidRPr="003062F8">
        <w:rPr>
          <w:lang w:val="es-ES_tradnl"/>
        </w:rPr>
        <w:tab/>
      </w:r>
      <w:r w:rsidR="00013F68" w:rsidRPr="003062F8">
        <w:rPr>
          <w:lang w:val="es-ES_tradnl"/>
        </w:rPr>
        <w:t>Volumen 1: Acceso inalámbrico fijo.</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2: Principios y enfoques de la evolución hacia las IMT-2000/FSPTMT.</w:t>
      </w:r>
    </w:p>
    <w:p w:rsidR="00013F68" w:rsidRPr="00340022" w:rsidRDefault="00013F68" w:rsidP="003062F8">
      <w:pPr>
        <w:pStyle w:val="Enumlevel1"/>
        <w:rPr>
          <w:lang w:val="es-ES_tradnl"/>
        </w:rPr>
      </w:pPr>
      <w:r w:rsidRPr="00340022">
        <w:rPr>
          <w:lang w:val="es-ES_tradnl"/>
        </w:rPr>
        <w:t>•</w:t>
      </w:r>
      <w:r w:rsidRPr="00340022">
        <w:rPr>
          <w:lang w:val="es-ES_tradnl"/>
        </w:rPr>
        <w:tab/>
        <w:t>Implantación de los sistemas IMT-2000.</w:t>
      </w:r>
    </w:p>
    <w:p w:rsidR="00013F68" w:rsidRPr="00340022" w:rsidRDefault="00013F68" w:rsidP="003062F8">
      <w:pPr>
        <w:pStyle w:val="Enumlevel1"/>
        <w:rPr>
          <w:lang w:val="es-ES_tradnl"/>
        </w:rPr>
      </w:pPr>
      <w:r w:rsidRPr="00340022">
        <w:rPr>
          <w:lang w:val="es-ES_tradnl"/>
        </w:rPr>
        <w:t>•</w:t>
      </w:r>
      <w:r w:rsidRPr="00340022">
        <w:rPr>
          <w:lang w:val="es-ES_tradnl"/>
        </w:rPr>
        <w:tab/>
      </w:r>
      <w:r w:rsidRPr="00340022">
        <w:rPr>
          <w:u w:val="single"/>
          <w:lang w:val="es-ES_tradnl"/>
        </w:rPr>
        <w:t>Servicio móvil terrestre</w:t>
      </w:r>
      <w:r w:rsidRPr="00340022">
        <w:rPr>
          <w:lang w:val="es-ES_tradnl"/>
        </w:rPr>
        <w:t xml:space="preserve"> (incluso acceso inalámbrico). El objetivo del presente Manual es ayudar en el proceso de toma de decisiones relativo a la planificación, ingeniería y despliegue de sistemas móviles terrestres basados en el acceso inalámbrico, especialmente en los países en desarrollo.</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1: Acceso inalámbrico fijo.</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2: Principios y enfoques de la evolución hacia las IMT-2000/FSPTMT.</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3: Sistemas de despacho y de mensajería avanzados.</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4: Sistemas de transporte inteligentes.</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Volumen 5: Despliegue de sistemas de acceso inalámbrico en banda ancha.</w:t>
      </w:r>
    </w:p>
    <w:p w:rsidR="00013F68" w:rsidRPr="00340022" w:rsidRDefault="00013F68" w:rsidP="003062F8">
      <w:pPr>
        <w:pStyle w:val="Enumlevel1"/>
        <w:rPr>
          <w:lang w:val="es-ES_tradnl"/>
        </w:rPr>
      </w:pPr>
      <w:r w:rsidRPr="00340022">
        <w:rPr>
          <w:lang w:val="es-ES_tradnl"/>
        </w:rPr>
        <w:t>•</w:t>
      </w:r>
      <w:r w:rsidRPr="00340022">
        <w:rPr>
          <w:lang w:val="es-ES_tradnl"/>
        </w:rPr>
        <w:tab/>
      </w:r>
      <w:r w:rsidRPr="00340022">
        <w:rPr>
          <w:u w:val="single"/>
          <w:lang w:val="es-ES_tradnl"/>
        </w:rPr>
        <w:t>Servicios de aficionados y de aficionados por satélite</w:t>
      </w:r>
      <w:r w:rsidRPr="00340022">
        <w:rPr>
          <w:lang w:val="es-ES_tradnl"/>
        </w:rPr>
        <w:t>. Este Manual contiene información general sobre los servicios de aficionados y de aficionados por satélite. Incluye asimismo un compendio de los textos actuales de la UIT que revisten interés para dichos servicios.</w:t>
      </w:r>
    </w:p>
    <w:p w:rsidR="00013F68" w:rsidRPr="00340022" w:rsidRDefault="00013F68" w:rsidP="003062F8">
      <w:pPr>
        <w:pStyle w:val="Enumlevel1"/>
        <w:rPr>
          <w:lang w:val="es-ES_tradnl"/>
        </w:rPr>
      </w:pPr>
      <w:r w:rsidRPr="00340022">
        <w:rPr>
          <w:lang w:val="es-ES_tradnl"/>
        </w:rPr>
        <w:t>•</w:t>
      </w:r>
      <w:r w:rsidRPr="00340022">
        <w:rPr>
          <w:lang w:val="es-ES_tradnl"/>
        </w:rPr>
        <w:tab/>
      </w:r>
      <w:r w:rsidRPr="00340022">
        <w:rPr>
          <w:u w:val="single"/>
          <w:lang w:val="es-ES_tradnl"/>
        </w:rPr>
        <w:t xml:space="preserve">Sistemas y redes de comunicación adaptativos en frecuencia en las bandas de ondas </w:t>
      </w:r>
      <w:proofErr w:type="spellStart"/>
      <w:r w:rsidRPr="00340022">
        <w:rPr>
          <w:u w:val="single"/>
          <w:lang w:val="es-ES_tradnl"/>
        </w:rPr>
        <w:t>hectométricas</w:t>
      </w:r>
      <w:proofErr w:type="spellEnd"/>
      <w:r w:rsidRPr="00340022">
        <w:rPr>
          <w:u w:val="single"/>
          <w:lang w:val="es-ES_tradnl"/>
        </w:rPr>
        <w:t xml:space="preserve"> y </w:t>
      </w:r>
      <w:proofErr w:type="spellStart"/>
      <w:r w:rsidRPr="00340022">
        <w:rPr>
          <w:u w:val="single"/>
          <w:lang w:val="es-ES_tradnl"/>
        </w:rPr>
        <w:t>decamétricas</w:t>
      </w:r>
      <w:proofErr w:type="spellEnd"/>
      <w:r w:rsidRPr="00340022">
        <w:rPr>
          <w:lang w:val="es-ES_tradnl"/>
        </w:rPr>
        <w:t xml:space="preserve">. El presente Manual se publica con la finalidad de ayudar a los planificadores y a los responsables de las políticas a utilizar sistemas adaptativos en las bandas de ondas </w:t>
      </w:r>
      <w:proofErr w:type="spellStart"/>
      <w:r w:rsidRPr="00340022">
        <w:rPr>
          <w:lang w:val="es-ES_tradnl"/>
        </w:rPr>
        <w:t>hectométricas</w:t>
      </w:r>
      <w:proofErr w:type="spellEnd"/>
      <w:r w:rsidRPr="00340022">
        <w:rPr>
          <w:lang w:val="es-ES_tradnl"/>
        </w:rPr>
        <w:t xml:space="preserve"> y </w:t>
      </w:r>
      <w:proofErr w:type="spellStart"/>
      <w:r w:rsidRPr="00340022">
        <w:rPr>
          <w:lang w:val="es-ES_tradnl"/>
        </w:rPr>
        <w:t>decamétricas</w:t>
      </w:r>
      <w:proofErr w:type="spellEnd"/>
      <w:r w:rsidRPr="00340022">
        <w:rPr>
          <w:lang w:val="es-ES_tradnl"/>
        </w:rPr>
        <w:t xml:space="preserve"> en el servicio fijo, tanto para los usuarios del sector privado como del sector público, de los países desarrollados y, en particular, de los países en desarrollo.</w:t>
      </w:r>
    </w:p>
    <w:p w:rsidR="00013F68" w:rsidRPr="00340022" w:rsidRDefault="00013F68" w:rsidP="003062F8">
      <w:pPr>
        <w:pStyle w:val="Enumlevel1"/>
        <w:rPr>
          <w:lang w:val="es-ES_tradnl"/>
        </w:rPr>
      </w:pPr>
      <w:bookmarkStart w:id="69" w:name="_Toc233465506"/>
      <w:bookmarkStart w:id="70" w:name="_Toc516397339"/>
      <w:r w:rsidRPr="00340022">
        <w:rPr>
          <w:lang w:val="es-ES_tradnl"/>
        </w:rPr>
        <w:t>•</w:t>
      </w:r>
      <w:r w:rsidRPr="00340022">
        <w:rPr>
          <w:lang w:val="es-ES_tradnl"/>
        </w:rPr>
        <w:tab/>
        <w:t>Migración a los sistemas IMT-2000.</w:t>
      </w:r>
    </w:p>
    <w:p w:rsidR="00013F68" w:rsidRPr="003062F8" w:rsidRDefault="003062F8" w:rsidP="003062F8">
      <w:pPr>
        <w:pStyle w:val="Enumlevel2"/>
        <w:rPr>
          <w:lang w:val="es-ES_tradnl"/>
        </w:rPr>
      </w:pPr>
      <w:r w:rsidRPr="003062F8">
        <w:rPr>
          <w:lang w:val="es-ES_tradnl"/>
        </w:rPr>
        <w:t>–</w:t>
      </w:r>
      <w:r>
        <w:rPr>
          <w:lang w:val="es-ES_tradnl"/>
        </w:rPr>
        <w:tab/>
      </w:r>
      <w:r w:rsidR="00013F68" w:rsidRPr="003062F8">
        <w:rPr>
          <w:lang w:val="es-ES_tradnl"/>
        </w:rPr>
        <w:t>Suplemento 1: Manual - Implantación de los sistemas IMT-2000.</w:t>
      </w:r>
    </w:p>
    <w:p w:rsidR="00502F28" w:rsidRDefault="00502F28" w:rsidP="00472652">
      <w:pPr>
        <w:pStyle w:val="Heading1"/>
        <w:jc w:val="center"/>
        <w:rPr>
          <w:lang w:val="es-ES_tradnl" w:eastAsia="en-GB"/>
        </w:rPr>
      </w:pPr>
      <w:bookmarkStart w:id="71" w:name="_Toc365036813"/>
      <w:bookmarkStart w:id="72" w:name="_Toc381259706"/>
      <w:bookmarkEnd w:id="69"/>
      <w:bookmarkEnd w:id="70"/>
      <w:r>
        <w:rPr>
          <w:lang w:val="es-ES_tradnl" w:eastAsia="en-GB"/>
        </w:rPr>
        <w:br w:type="page"/>
      </w:r>
    </w:p>
    <w:p w:rsidR="00013F68" w:rsidRPr="00340022" w:rsidRDefault="00013F68" w:rsidP="00472652">
      <w:pPr>
        <w:pStyle w:val="Heading1"/>
        <w:jc w:val="center"/>
        <w:rPr>
          <w:lang w:val="es-ES_tradnl" w:eastAsia="en-GB"/>
        </w:rPr>
      </w:pPr>
      <w:r w:rsidRPr="00340022">
        <w:rPr>
          <w:lang w:val="es-ES_tradnl" w:eastAsia="en-GB"/>
        </w:rPr>
        <w:lastRenderedPageBreak/>
        <w:t xml:space="preserve">Comisión de Estudio 6 del UIT-R – </w:t>
      </w:r>
      <w:hyperlink r:id="rId32" w:history="1">
        <w:r w:rsidRPr="00340022">
          <w:rPr>
            <w:lang w:val="es-ES_tradnl" w:eastAsia="en-GB"/>
          </w:rPr>
          <w:t>Servicios de radiodifusión</w:t>
        </w:r>
        <w:bookmarkEnd w:id="71"/>
        <w:bookmarkEnd w:id="72"/>
      </w:hyperlink>
    </w:p>
    <w:p w:rsidR="00013F68" w:rsidRPr="00340022" w:rsidRDefault="00013F68" w:rsidP="00472652">
      <w:pPr>
        <w:pStyle w:val="Heading4"/>
        <w:rPr>
          <w:lang w:val="es-ES_tradnl"/>
        </w:rPr>
      </w:pPr>
      <w:bookmarkStart w:id="73" w:name="_Toc516397340"/>
      <w:r w:rsidRPr="00340022">
        <w:rPr>
          <w:lang w:val="es-ES_tradnl"/>
        </w:rPr>
        <w:t>Alcance</w:t>
      </w:r>
      <w:bookmarkEnd w:id="73"/>
    </w:p>
    <w:p w:rsidR="00013F68" w:rsidRPr="00A96787" w:rsidRDefault="00013F68" w:rsidP="00472652">
      <w:pPr>
        <w:rPr>
          <w:lang w:val="es-ES"/>
        </w:rPr>
      </w:pPr>
      <w:r w:rsidRPr="00A96787">
        <w:rPr>
          <w:lang w:val="es-ES"/>
        </w:rPr>
        <w:t>La radiodifusión de radiocomunicaciones, incluidos los servicios de imagen, de sonido, multimedios y de datos destinados principalmente a la distribución de información al público en general.</w:t>
      </w:r>
    </w:p>
    <w:p w:rsidR="00013F68" w:rsidRPr="00A96787" w:rsidRDefault="00013F68" w:rsidP="00472652">
      <w:pPr>
        <w:rPr>
          <w:lang w:val="es-ES"/>
        </w:rPr>
      </w:pPr>
      <w:r w:rsidRPr="00A96787">
        <w:rPr>
          <w:lang w:val="es-ES"/>
        </w:rPr>
        <w:t>La radiodifusión utiliza la distribución de información en modo difusión destinada a receptores de disponibilidad general para los consumidores. Cuando se requiere capacidad de canal de retorno (por ejemplo, para el control de acceso, la disponibilidad, etc.), la radiodifusión suele emplear una infraestructura de distribución asimétrica que permite una gran capacidad de distribución al público con un enlace de retorno de menos capacidad hacia el proveedor del servicio. Esto incluye la producción y distribución de programas (imagen, sonido, multimedios, datos, etc.) así como circuitos de contribución entre estudios, circuitos de recogida de información (ENG, etc.), de distribución primaria a nodos de entrega y de distribución secundaria a los consumidores.</w:t>
      </w:r>
    </w:p>
    <w:p w:rsidR="00013F68" w:rsidRPr="00A96787" w:rsidRDefault="00013F68" w:rsidP="00472652">
      <w:pPr>
        <w:rPr>
          <w:lang w:val="es-ES"/>
        </w:rPr>
      </w:pPr>
      <w:r w:rsidRPr="00A96787">
        <w:rPr>
          <w:bCs/>
          <w:lang w:val="es-ES"/>
        </w:rPr>
        <w:t>La Comisión de Estudio, reconociendo que la radiodifusión de radiocomunicaciones abarca desde la producción de programas hasta su entrega al público en general, como se indica anteriormente, estudia los aspectos relacionados con la producción y la radiocomunicación, incluidos el intercambio internacional de programas y la calidad de servicio global.</w:t>
      </w:r>
      <w:bookmarkStart w:id="74" w:name="_Toc516397346"/>
      <w:bookmarkStart w:id="75" w:name="_Toc233020259"/>
      <w:bookmarkStart w:id="76" w:name="_Toc233465508"/>
    </w:p>
    <w:p w:rsidR="00013F68" w:rsidRPr="00340022" w:rsidRDefault="00013F68" w:rsidP="00472652">
      <w:pPr>
        <w:pStyle w:val="Heading4"/>
        <w:rPr>
          <w:lang w:val="es-ES_tradnl"/>
        </w:rPr>
      </w:pPr>
      <w:r w:rsidRPr="00340022">
        <w:rPr>
          <w:lang w:val="es-ES_tradnl"/>
        </w:rPr>
        <w:t>Estructura</w:t>
      </w:r>
    </w:p>
    <w:p w:rsidR="00013F68" w:rsidRPr="00A96787" w:rsidRDefault="00013F68" w:rsidP="00472652">
      <w:pPr>
        <w:rPr>
          <w:lang w:val="es-ES"/>
        </w:rPr>
      </w:pPr>
      <w:r w:rsidRPr="00A96787">
        <w:rPr>
          <w:lang w:val="es-ES"/>
        </w:rPr>
        <w:t>Esta Comisión de Estudio se creó por decisión de la Asamblea de Radiocomunicaciones de 2000, con objeto de fusionar las anteriores Comisión de Estudio 10 (Radiodifusión sonora) y Comisión de Estudio 11 (Radiodifusión de televisión) en una sola. La Asamblea de Radiocomunicaciones de 2007 decidió transferir los aspectos relativos a los sistemas y el espectro de RF del servicio de radiodifusión por satélite a la Comisión de Estudio 4.</w:t>
      </w:r>
    </w:p>
    <w:p w:rsidR="00013F68" w:rsidRPr="00A96787" w:rsidRDefault="00013F68" w:rsidP="00472652">
      <w:pPr>
        <w:rPr>
          <w:rFonts w:eastAsia="Times New Roman"/>
          <w:lang w:val="es-ES" w:eastAsia="en-US"/>
        </w:rPr>
      </w:pPr>
      <w:r w:rsidRPr="00A96787">
        <w:rPr>
          <w:rFonts w:eastAsia="Times New Roman"/>
          <w:lang w:val="es-ES" w:eastAsia="en-US"/>
        </w:rPr>
        <w:t>Tres Grupos de Trabajo (GT) llevan a cabo los estudios sobre las Cuestiones asignadas a la Comisión de Estudio 6 y un Grupo Mixto de Tareas Especiales (GMTE) realiza estudios sobre</w:t>
      </w:r>
      <w:r w:rsidRPr="00A96787">
        <w:rPr>
          <w:rFonts w:eastAsia="Times New Roman"/>
          <w:lang w:val="es-ES"/>
        </w:rPr>
        <w:t xml:space="preserve"> los puntos 1.1 y 1.2 del orden del día de la CMR-15, a saber:</w:t>
      </w:r>
    </w:p>
    <w:p w:rsidR="00013F68" w:rsidRPr="00340022" w:rsidRDefault="00013F68" w:rsidP="00472652">
      <w:pPr>
        <w:pStyle w:val="Enumlevel1"/>
        <w:tabs>
          <w:tab w:val="left" w:pos="567"/>
          <w:tab w:val="left" w:pos="1843"/>
        </w:tabs>
        <w:ind w:left="1843" w:hanging="1843"/>
        <w:rPr>
          <w:lang w:val="es-ES_tradnl"/>
        </w:rPr>
      </w:pPr>
      <w:r w:rsidRPr="00340022">
        <w:rPr>
          <w:lang w:val="es-ES_tradnl"/>
        </w:rPr>
        <w:t>•</w:t>
      </w:r>
      <w:r w:rsidRPr="00340022">
        <w:rPr>
          <w:lang w:val="es-ES_tradnl"/>
        </w:rPr>
        <w:tab/>
        <w:t>GT 6A:</w:t>
      </w:r>
      <w:r w:rsidRPr="00340022">
        <w:rPr>
          <w:lang w:val="es-ES_tradnl"/>
        </w:rPr>
        <w:tab/>
        <w:t>Prestación de servicios de radiodifusión terrenal;</w:t>
      </w:r>
    </w:p>
    <w:p w:rsidR="00013F68" w:rsidRPr="00340022" w:rsidRDefault="00013F68" w:rsidP="00472652">
      <w:pPr>
        <w:pStyle w:val="Enumlevel1"/>
        <w:tabs>
          <w:tab w:val="left" w:pos="567"/>
          <w:tab w:val="left" w:pos="1843"/>
        </w:tabs>
        <w:ind w:left="1843" w:hanging="1843"/>
        <w:rPr>
          <w:lang w:val="es-ES_tradnl"/>
        </w:rPr>
      </w:pPr>
      <w:r w:rsidRPr="00340022">
        <w:rPr>
          <w:lang w:val="es-ES_tradnl"/>
        </w:rPr>
        <w:t>•</w:t>
      </w:r>
      <w:r w:rsidRPr="00340022">
        <w:rPr>
          <w:lang w:val="es-ES_tradnl"/>
        </w:rPr>
        <w:tab/>
        <w:t>GT 6B:</w:t>
      </w:r>
      <w:r w:rsidRPr="00340022">
        <w:rPr>
          <w:lang w:val="es-ES_tradnl"/>
        </w:rPr>
        <w:tab/>
        <w:t>Ensamblado y acceso al servicio de radiodifusión;</w:t>
      </w:r>
    </w:p>
    <w:p w:rsidR="00013F68" w:rsidRPr="00340022" w:rsidRDefault="00013F68" w:rsidP="00472652">
      <w:pPr>
        <w:pStyle w:val="Enumlevel1"/>
        <w:tabs>
          <w:tab w:val="left" w:pos="567"/>
          <w:tab w:val="left" w:pos="1843"/>
        </w:tabs>
        <w:ind w:left="1843" w:hanging="1843"/>
        <w:rPr>
          <w:lang w:val="es-ES_tradnl"/>
        </w:rPr>
      </w:pPr>
      <w:r w:rsidRPr="00340022">
        <w:rPr>
          <w:lang w:val="es-ES_tradnl"/>
        </w:rPr>
        <w:t>•</w:t>
      </w:r>
      <w:r w:rsidRPr="00340022">
        <w:rPr>
          <w:lang w:val="es-ES_tradnl"/>
        </w:rPr>
        <w:tab/>
        <w:t>GT 6C:</w:t>
      </w:r>
      <w:r w:rsidRPr="00340022">
        <w:rPr>
          <w:lang w:val="es-ES_tradnl"/>
        </w:rPr>
        <w:tab/>
        <w:t>Producción y evaluación de la calidad de los programas; y</w:t>
      </w:r>
    </w:p>
    <w:p w:rsidR="00013F68" w:rsidRPr="00340022" w:rsidRDefault="00013F68" w:rsidP="00472652">
      <w:pPr>
        <w:pStyle w:val="Enumlevel1"/>
        <w:tabs>
          <w:tab w:val="left" w:pos="567"/>
          <w:tab w:val="left" w:pos="1843"/>
        </w:tabs>
        <w:ind w:left="1843" w:hanging="1843"/>
        <w:rPr>
          <w:lang w:val="es-ES_tradnl"/>
        </w:rPr>
      </w:pPr>
      <w:r w:rsidRPr="00340022">
        <w:rPr>
          <w:lang w:val="es-ES_tradnl"/>
        </w:rPr>
        <w:t>•</w:t>
      </w:r>
      <w:r w:rsidRPr="00340022">
        <w:rPr>
          <w:lang w:val="es-ES_tradnl"/>
        </w:rPr>
        <w:tab/>
        <w:t>GMTE 4-5-6-7:</w:t>
      </w:r>
      <w:r w:rsidRPr="00340022">
        <w:rPr>
          <w:lang w:val="es-ES_tradnl"/>
        </w:rPr>
        <w:tab/>
        <w:t>Puntos 1.1 y 1.2 del orden del día de la CMR-15.</w:t>
      </w:r>
    </w:p>
    <w:p w:rsidR="00013F68" w:rsidRPr="00340022" w:rsidRDefault="00013F68" w:rsidP="00472652">
      <w:pPr>
        <w:pStyle w:val="Heading4"/>
        <w:rPr>
          <w:lang w:val="es-ES_tradnl"/>
        </w:rPr>
      </w:pPr>
      <w:r w:rsidRPr="00340022">
        <w:rPr>
          <w:lang w:val="es-ES_tradnl"/>
        </w:rPr>
        <w:t>Cuestiones</w:t>
      </w:r>
    </w:p>
    <w:p w:rsidR="00013F68" w:rsidRPr="00A96787" w:rsidRDefault="00013F68" w:rsidP="00472652">
      <w:pPr>
        <w:rPr>
          <w:lang w:val="es-ES"/>
        </w:rPr>
      </w:pPr>
      <w:r w:rsidRPr="00A96787">
        <w:rPr>
          <w:lang w:val="es-ES"/>
        </w:rPr>
        <w:t>La Cuestión 11 de la CE 2 del UIT-D abarcará todas las Cuestiones de particular interés para el Sector de Desarrollo.</w:t>
      </w:r>
    </w:p>
    <w:p w:rsidR="00013F68" w:rsidRPr="00A96787" w:rsidRDefault="00013F68" w:rsidP="00EF6847">
      <w:pPr>
        <w:rPr>
          <w:lang w:val="es-ES"/>
        </w:rPr>
      </w:pPr>
      <w:r w:rsidRPr="00A96787">
        <w:rPr>
          <w:lang w:val="es-ES"/>
        </w:rPr>
        <w:t>Todas las Cuestiones UIT-R asignadas a la Comisión de Estudio 6 se publican y están disponibles en:</w:t>
      </w:r>
      <w:r w:rsidRPr="00A96787">
        <w:rPr>
          <w:lang w:val="es-ES"/>
        </w:rPr>
        <w:br/>
      </w:r>
      <w:hyperlink r:id="rId33" w:history="1">
        <w:r w:rsidR="00EF6847">
          <w:rPr>
            <w:rStyle w:val="Hyperlink"/>
            <w:rFonts w:cstheme="majorBidi"/>
            <w:lang w:val="es-ES_tradnl"/>
          </w:rPr>
          <w:t>www</w:t>
        </w:r>
        <w:r w:rsidRPr="00B41384">
          <w:rPr>
            <w:rStyle w:val="Hyperlink"/>
            <w:rFonts w:cstheme="majorBidi"/>
            <w:lang w:val="es-ES_tradnl"/>
          </w:rPr>
          <w:t>.itu.int/pub/R-QUE-SG06/en</w:t>
        </w:r>
      </w:hyperlink>
    </w:p>
    <w:p w:rsidR="00013F68" w:rsidRPr="00340022" w:rsidRDefault="00013F68" w:rsidP="00472652">
      <w:pPr>
        <w:pStyle w:val="Heading4"/>
        <w:rPr>
          <w:lang w:val="es-ES_tradnl"/>
        </w:rPr>
      </w:pPr>
      <w:r w:rsidRPr="00340022">
        <w:rPr>
          <w:lang w:val="es-ES_tradnl"/>
        </w:rPr>
        <w:t>Recomendaciones</w:t>
      </w:r>
    </w:p>
    <w:p w:rsidR="00013F68" w:rsidRPr="00A96787" w:rsidRDefault="00013F68" w:rsidP="00472652">
      <w:pPr>
        <w:rPr>
          <w:lang w:val="es-ES"/>
        </w:rPr>
      </w:pPr>
      <w:r w:rsidRPr="00A96787">
        <w:rPr>
          <w:lang w:val="es-ES"/>
        </w:rPr>
        <w:t>La Cuestión 11 de la CE 2 del UIT-D abarcará todas las Recomendaciones de particular interés para el Sector de Desarrollo.</w:t>
      </w:r>
    </w:p>
    <w:p w:rsidR="00013F68" w:rsidRPr="00340022" w:rsidRDefault="00013F68" w:rsidP="00472652">
      <w:pPr>
        <w:pStyle w:val="Enumlevel1"/>
        <w:tabs>
          <w:tab w:val="left" w:pos="567"/>
          <w:tab w:val="left" w:pos="1701"/>
        </w:tabs>
        <w:ind w:left="1701" w:hanging="1701"/>
        <w:rPr>
          <w:lang w:val="es-ES_tradnl"/>
        </w:rPr>
      </w:pPr>
      <w:r w:rsidRPr="00340022">
        <w:rPr>
          <w:lang w:val="es-ES_tradnl"/>
        </w:rPr>
        <w:t>•</w:t>
      </w:r>
      <w:r w:rsidRPr="00340022">
        <w:rPr>
          <w:lang w:val="es-ES_tradnl"/>
        </w:rPr>
        <w:tab/>
        <w:t>BT.1774-1:</w:t>
      </w:r>
      <w:r w:rsidRPr="00340022">
        <w:rPr>
          <w:lang w:val="es-ES_tradnl"/>
        </w:rPr>
        <w:tab/>
        <w:t>Utilización de las infraestructuras de radiodifusión por satélite y terrenal para alertar a la población, reducir los efectos de las catástrofes y facilitar las operaciones de socorro.</w:t>
      </w:r>
    </w:p>
    <w:p w:rsidR="00013F68" w:rsidRPr="00340022" w:rsidRDefault="00013F68" w:rsidP="00F352EB">
      <w:pPr>
        <w:pStyle w:val="Heading4"/>
        <w:rPr>
          <w:lang w:val="es-ES_tradnl"/>
        </w:rPr>
      </w:pPr>
      <w:r w:rsidRPr="00340022">
        <w:rPr>
          <w:lang w:val="es-ES_tradnl"/>
        </w:rPr>
        <w:lastRenderedPageBreak/>
        <w:t>Informes</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BT.2140:</w:t>
      </w:r>
      <w:r w:rsidRPr="00340022">
        <w:rPr>
          <w:lang w:val="es-ES_tradnl"/>
        </w:rPr>
        <w:tab/>
        <w:t>Transición de la radiodifusión analógica a la digital.</w:t>
      </w:r>
    </w:p>
    <w:p w:rsidR="00013F68" w:rsidRPr="00340022" w:rsidRDefault="00013F68" w:rsidP="00F352EB">
      <w:pPr>
        <w:pStyle w:val="Heading4"/>
        <w:rPr>
          <w:lang w:val="es-ES_tradnl"/>
        </w:rPr>
      </w:pPr>
      <w:r w:rsidRPr="00340022">
        <w:rPr>
          <w:lang w:val="es-ES_tradnl"/>
        </w:rPr>
        <w:t>Manuales</w:t>
      </w:r>
      <w:bookmarkEnd w:id="74"/>
      <w:bookmarkEnd w:id="75"/>
      <w:bookmarkEnd w:id="76"/>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Sistemas de televisión utilizados en el mundo entero.</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Libro de diagramas de antena.</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Señales de televisión digital: codificación e interfaz en los estudios.</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 xml:space="preserve">Metodología de evaluación subjetiva de señales de televisión. </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Especificaciones técnicas de los sistemas de teletexto del UIT</w:t>
      </w:r>
      <w:r w:rsidRPr="00340022">
        <w:rPr>
          <w:lang w:val="es-ES_tradnl"/>
        </w:rPr>
        <w:noBreakHyphen/>
        <w:t xml:space="preserve">R. </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 xml:space="preserve">Diseños de sistemas de radiodifusión en ondas </w:t>
      </w:r>
      <w:proofErr w:type="spellStart"/>
      <w:r w:rsidRPr="00340022">
        <w:rPr>
          <w:lang w:val="es-ES_tradnl"/>
        </w:rPr>
        <w:t>decamétricas</w:t>
      </w:r>
      <w:proofErr w:type="spellEnd"/>
      <w:r w:rsidRPr="00340022">
        <w:rPr>
          <w:lang w:val="es-ES_tradnl"/>
        </w:rPr>
        <w:t>.</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Diseños de sistemas de radiodifusión en ondas kilométricas/</w:t>
      </w:r>
      <w:proofErr w:type="spellStart"/>
      <w:r w:rsidRPr="00340022">
        <w:rPr>
          <w:lang w:val="es-ES_tradnl"/>
        </w:rPr>
        <w:t>hectométricas</w:t>
      </w:r>
      <w:proofErr w:type="spellEnd"/>
      <w:r w:rsidRPr="00340022">
        <w:rPr>
          <w:lang w:val="es-ES_tradnl"/>
        </w:rPr>
        <w:t xml:space="preserve">. </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Radiodifusión de televisión terrenal digital en las bandas de ondas métricas/</w:t>
      </w:r>
      <w:proofErr w:type="spellStart"/>
      <w:r w:rsidRPr="00340022">
        <w:rPr>
          <w:lang w:val="es-ES_tradnl"/>
        </w:rPr>
        <w:t>decimétricas</w:t>
      </w:r>
      <w:proofErr w:type="spellEnd"/>
      <w:r w:rsidRPr="00340022">
        <w:rPr>
          <w:lang w:val="es-ES_tradnl"/>
        </w:rPr>
        <w:t>.</w:t>
      </w:r>
    </w:p>
    <w:p w:rsidR="00013F68" w:rsidRPr="00340022" w:rsidRDefault="00013F68" w:rsidP="00F352EB">
      <w:pPr>
        <w:pStyle w:val="Enumlevel1"/>
        <w:tabs>
          <w:tab w:val="left" w:pos="567"/>
          <w:tab w:val="left" w:pos="1701"/>
        </w:tabs>
        <w:ind w:left="1701" w:hanging="1701"/>
        <w:rPr>
          <w:lang w:val="es-ES_tradnl"/>
        </w:rPr>
      </w:pPr>
      <w:r w:rsidRPr="00340022">
        <w:rPr>
          <w:lang w:val="es-ES_tradnl"/>
        </w:rPr>
        <w:t>•</w:t>
      </w:r>
      <w:r w:rsidRPr="00340022">
        <w:rPr>
          <w:lang w:val="es-ES_tradnl"/>
        </w:rPr>
        <w:tab/>
        <w:t>Conclusiones de la reunión extraordinaria de la Comisión de Estudio 11 sobre Televisión de Alta Definición.</w:t>
      </w:r>
    </w:p>
    <w:p w:rsidR="00013F68" w:rsidRPr="00340022" w:rsidRDefault="00013F68" w:rsidP="00F352EB">
      <w:pPr>
        <w:pStyle w:val="Heading1"/>
        <w:spacing w:before="120"/>
        <w:jc w:val="center"/>
        <w:rPr>
          <w:lang w:val="es-ES_tradnl" w:eastAsia="en-GB"/>
        </w:rPr>
      </w:pPr>
      <w:r w:rsidRPr="00A96787">
        <w:rPr>
          <w:lang w:val="es-ES"/>
        </w:rPr>
        <w:br w:type="page"/>
      </w:r>
      <w:bookmarkStart w:id="77" w:name="_Toc365036814"/>
      <w:bookmarkStart w:id="78" w:name="_Toc381259707"/>
      <w:bookmarkStart w:id="79" w:name="_Toc516397347"/>
      <w:bookmarkStart w:id="80" w:name="_Toc233465510"/>
      <w:r w:rsidRPr="00340022">
        <w:rPr>
          <w:lang w:val="es-ES_tradnl" w:eastAsia="en-GB"/>
        </w:rPr>
        <w:lastRenderedPageBreak/>
        <w:t xml:space="preserve">Comisión de Estudio 7 del UIT-R – </w:t>
      </w:r>
      <w:hyperlink r:id="rId34" w:history="1">
        <w:r w:rsidRPr="00340022">
          <w:rPr>
            <w:lang w:val="es-ES_tradnl" w:eastAsia="en-GB"/>
          </w:rPr>
          <w:t>Servicios científicos</w:t>
        </w:r>
        <w:bookmarkEnd w:id="77"/>
        <w:bookmarkEnd w:id="78"/>
      </w:hyperlink>
      <w:bookmarkEnd w:id="79"/>
      <w:bookmarkEnd w:id="80"/>
    </w:p>
    <w:p w:rsidR="00013F68" w:rsidRPr="00340022" w:rsidRDefault="00013F68" w:rsidP="00F352EB">
      <w:pPr>
        <w:pStyle w:val="Heading4"/>
        <w:rPr>
          <w:lang w:val="es-ES_tradnl"/>
        </w:rPr>
      </w:pPr>
      <w:bookmarkStart w:id="81" w:name="_Toc516397348"/>
      <w:r w:rsidRPr="00340022">
        <w:rPr>
          <w:lang w:val="es-ES_tradnl"/>
        </w:rPr>
        <w:t>Alcance</w:t>
      </w:r>
      <w:bookmarkEnd w:id="81"/>
    </w:p>
    <w:p w:rsidR="00013F68" w:rsidRPr="00A96787" w:rsidRDefault="00013F68" w:rsidP="005A4281">
      <w:pPr>
        <w:autoSpaceDE w:val="0"/>
        <w:autoSpaceDN w:val="0"/>
        <w:adjustRightInd w:val="0"/>
        <w:rPr>
          <w:rFonts w:cstheme="majorBidi"/>
          <w:bCs/>
          <w:color w:val="000000"/>
          <w:szCs w:val="19"/>
          <w:lang w:val="es-ES"/>
        </w:rPr>
      </w:pPr>
      <w:bookmarkStart w:id="82" w:name="_Toc516397349"/>
      <w:bookmarkStart w:id="83" w:name="_Toc233020260"/>
      <w:bookmarkStart w:id="84" w:name="_Toc233465511"/>
      <w:r w:rsidRPr="00A96787">
        <w:rPr>
          <w:rFonts w:cstheme="majorBidi"/>
          <w:color w:val="000000"/>
          <w:szCs w:val="19"/>
          <w:lang w:val="es-ES"/>
        </w:rPr>
        <w:t xml:space="preserve">Los "servicios </w:t>
      </w:r>
      <w:proofErr w:type="spellStart"/>
      <w:r w:rsidRPr="00A96787">
        <w:rPr>
          <w:rFonts w:cstheme="majorBidi"/>
          <w:color w:val="000000"/>
          <w:szCs w:val="19"/>
          <w:lang w:val="es-ES"/>
        </w:rPr>
        <w:t>científicos</w:t>
      </w:r>
      <w:proofErr w:type="spellEnd"/>
      <w:r w:rsidRPr="00A96787">
        <w:rPr>
          <w:rFonts w:cstheme="majorBidi"/>
          <w:color w:val="000000"/>
          <w:szCs w:val="19"/>
          <w:lang w:val="es-ES"/>
        </w:rPr>
        <w:t xml:space="preserve">" hacen referencia en conjunto a los servicios de frecuencias </w:t>
      </w:r>
      <w:proofErr w:type="spellStart"/>
      <w:r w:rsidRPr="00A96787">
        <w:rPr>
          <w:rFonts w:cstheme="majorBidi"/>
          <w:color w:val="000000"/>
          <w:szCs w:val="19"/>
          <w:lang w:val="es-ES"/>
        </w:rPr>
        <w:t>patrón</w:t>
      </w:r>
      <w:proofErr w:type="spellEnd"/>
      <w:r w:rsidRPr="00A96787">
        <w:rPr>
          <w:rFonts w:cstheme="majorBidi"/>
          <w:color w:val="000000"/>
          <w:szCs w:val="19"/>
          <w:lang w:val="es-ES"/>
        </w:rPr>
        <w:t xml:space="preserve"> y </w:t>
      </w:r>
      <w:proofErr w:type="spellStart"/>
      <w:r w:rsidRPr="00A96787">
        <w:rPr>
          <w:rFonts w:cstheme="majorBidi"/>
          <w:color w:val="000000"/>
          <w:szCs w:val="19"/>
          <w:lang w:val="es-ES"/>
        </w:rPr>
        <w:t>señales</w:t>
      </w:r>
      <w:proofErr w:type="spellEnd"/>
      <w:r w:rsidRPr="00A96787">
        <w:rPr>
          <w:rFonts w:cstheme="majorBidi"/>
          <w:color w:val="000000"/>
          <w:szCs w:val="19"/>
          <w:lang w:val="es-ES"/>
        </w:rPr>
        <w:t xml:space="preserve"> horarias, el servicio de </w:t>
      </w:r>
      <w:proofErr w:type="spellStart"/>
      <w:r w:rsidRPr="00A96787">
        <w:rPr>
          <w:rFonts w:cstheme="majorBidi"/>
          <w:color w:val="000000"/>
          <w:szCs w:val="19"/>
          <w:lang w:val="es-ES"/>
        </w:rPr>
        <w:t>investigación</w:t>
      </w:r>
      <w:proofErr w:type="spellEnd"/>
      <w:r w:rsidRPr="00A96787">
        <w:rPr>
          <w:rFonts w:cstheme="majorBidi"/>
          <w:color w:val="000000"/>
          <w:szCs w:val="19"/>
          <w:lang w:val="es-ES"/>
        </w:rPr>
        <w:t xml:space="preserve"> espacial (SIE), el servicio de operaciones espaciales, el servicio de </w:t>
      </w:r>
      <w:proofErr w:type="spellStart"/>
      <w:r w:rsidRPr="00A96787">
        <w:rPr>
          <w:rFonts w:cstheme="majorBidi"/>
          <w:color w:val="000000"/>
          <w:szCs w:val="19"/>
          <w:lang w:val="es-ES"/>
        </w:rPr>
        <w:t>exploración</w:t>
      </w:r>
      <w:proofErr w:type="spellEnd"/>
      <w:r w:rsidRPr="00A96787">
        <w:rPr>
          <w:rFonts w:cstheme="majorBidi"/>
          <w:color w:val="000000"/>
          <w:szCs w:val="19"/>
          <w:lang w:val="es-ES"/>
        </w:rPr>
        <w:t xml:space="preserve"> de la Tierra por satélite (SETS), el servicio de meteorología por satélite (</w:t>
      </w:r>
      <w:proofErr w:type="spellStart"/>
      <w:r w:rsidRPr="00A96787">
        <w:rPr>
          <w:rFonts w:cstheme="majorBidi"/>
          <w:color w:val="000000"/>
          <w:szCs w:val="19"/>
          <w:lang w:val="es-ES"/>
        </w:rPr>
        <w:t>MetSat</w:t>
      </w:r>
      <w:proofErr w:type="spellEnd"/>
      <w:r w:rsidRPr="00A96787">
        <w:rPr>
          <w:rFonts w:cstheme="majorBidi"/>
          <w:color w:val="000000"/>
          <w:szCs w:val="19"/>
          <w:lang w:val="es-ES"/>
        </w:rPr>
        <w:t>), el servicio de ayudas a la meteorología (</w:t>
      </w:r>
      <w:proofErr w:type="spellStart"/>
      <w:r w:rsidRPr="00A96787">
        <w:rPr>
          <w:rFonts w:cstheme="majorBidi"/>
          <w:color w:val="000000"/>
          <w:szCs w:val="19"/>
          <w:lang w:val="es-ES"/>
        </w:rPr>
        <w:t>MetAids</w:t>
      </w:r>
      <w:proofErr w:type="spellEnd"/>
      <w:r w:rsidRPr="00A96787">
        <w:rPr>
          <w:rFonts w:cstheme="majorBidi"/>
          <w:color w:val="000000"/>
          <w:szCs w:val="19"/>
          <w:lang w:val="es-ES"/>
        </w:rPr>
        <w:t>) y los servicios de radioastronomía (SRA).</w:t>
      </w:r>
    </w:p>
    <w:p w:rsidR="00013F68" w:rsidRPr="00012834" w:rsidRDefault="00013F68" w:rsidP="005A4281">
      <w:pPr>
        <w:autoSpaceDE w:val="0"/>
        <w:autoSpaceDN w:val="0"/>
        <w:adjustRightInd w:val="0"/>
        <w:rPr>
          <w:rFonts w:cstheme="majorBidi"/>
          <w:bCs/>
          <w:color w:val="000000"/>
          <w:szCs w:val="19"/>
          <w:lang w:val="es-ES"/>
        </w:rPr>
      </w:pPr>
      <w:r w:rsidRPr="00012834">
        <w:rPr>
          <w:rFonts w:cstheme="majorBidi"/>
          <w:color w:val="000000"/>
          <w:szCs w:val="19"/>
          <w:lang w:val="es-ES"/>
        </w:rPr>
        <w:t>Los sistemas vinculados con la Comisión de Estudio 7 se emplean en actividades que constituyen una parte crítica en nuestra vida cotidiana, tales como:</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la</w:t>
      </w:r>
      <w:proofErr w:type="gramEnd"/>
      <w:r w:rsidRPr="00340022">
        <w:rPr>
          <w:lang w:val="es-ES_tradnl"/>
        </w:rPr>
        <w:t xml:space="preserve"> supervisión de medio ambiente a nivel mundial — la atmosfera (incluida la emisión de gases de efecto invernadero), los océanos, la superficie terrestre, la biomasa, etc.; </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las</w:t>
      </w:r>
      <w:proofErr w:type="gramEnd"/>
      <w:r w:rsidRPr="00340022">
        <w:rPr>
          <w:lang w:val="es-ES_tradnl"/>
        </w:rPr>
        <w:t xml:space="preserve"> previsiones meteorológicas y la supervisión y predicción del cambio climático; </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la</w:t>
      </w:r>
      <w:proofErr w:type="gramEnd"/>
      <w:r w:rsidRPr="00340022">
        <w:rPr>
          <w:lang w:val="es-ES_tradnl"/>
        </w:rPr>
        <w:t xml:space="preserve"> detección y seguimiento de diversas catástrofes naturales y artificiales (terremotos, maremotos, huracanes, incendios forestales, derrames de crudo, etc.); </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información</w:t>
      </w:r>
      <w:proofErr w:type="gramEnd"/>
      <w:r w:rsidRPr="00340022">
        <w:rPr>
          <w:lang w:val="es-ES_tradnl"/>
        </w:rPr>
        <w:t xml:space="preserve"> de alerta/avisos; y</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evaluación</w:t>
      </w:r>
      <w:proofErr w:type="gramEnd"/>
      <w:r w:rsidRPr="00340022">
        <w:rPr>
          <w:lang w:val="es-ES_tradnl"/>
        </w:rPr>
        <w:t xml:space="preserve"> de daños y planificación de las operaciones de socorro. </w:t>
      </w:r>
    </w:p>
    <w:p w:rsidR="00013F68" w:rsidRPr="00A96787" w:rsidRDefault="00013F68" w:rsidP="005A4281">
      <w:pPr>
        <w:autoSpaceDE w:val="0"/>
        <w:autoSpaceDN w:val="0"/>
        <w:adjustRightInd w:val="0"/>
        <w:rPr>
          <w:rFonts w:cstheme="majorBidi"/>
          <w:bCs/>
          <w:color w:val="000000"/>
          <w:szCs w:val="19"/>
          <w:lang w:val="es-ES"/>
        </w:rPr>
      </w:pPr>
      <w:r w:rsidRPr="00A96787">
        <w:rPr>
          <w:rFonts w:cstheme="majorBidi"/>
          <w:color w:val="000000"/>
          <w:szCs w:val="19"/>
          <w:lang w:val="es-ES"/>
        </w:rPr>
        <w:t>La CE 7 también se ocupa de sistemas para el estudio del espacio lejano como:</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satélites</w:t>
      </w:r>
      <w:proofErr w:type="gramEnd"/>
      <w:r w:rsidRPr="00340022">
        <w:rPr>
          <w:lang w:val="es-ES_tradnl"/>
        </w:rPr>
        <w:t xml:space="preserve"> para el estudio del Sol, la magnetosfera y todos los elementos de nuestro sistema solar; y</w:t>
      </w:r>
    </w:p>
    <w:p w:rsidR="00013F68" w:rsidRPr="00340022" w:rsidRDefault="00013F68" w:rsidP="00F352EB">
      <w:pPr>
        <w:pStyle w:val="Enumlevel1"/>
        <w:tabs>
          <w:tab w:val="left" w:pos="567"/>
          <w:tab w:val="left" w:pos="1701"/>
        </w:tabs>
        <w:rPr>
          <w:lang w:val="es-ES_tradnl"/>
        </w:rPr>
      </w:pPr>
      <w:r w:rsidRPr="00340022">
        <w:rPr>
          <w:lang w:val="es-ES_tradnl"/>
        </w:rPr>
        <w:t>•</w:t>
      </w:r>
      <w:r w:rsidRPr="00340022">
        <w:rPr>
          <w:lang w:val="es-ES_tradnl"/>
        </w:rPr>
        <w:tab/>
      </w:r>
      <w:proofErr w:type="gramStart"/>
      <w:r w:rsidRPr="00340022">
        <w:rPr>
          <w:lang w:val="es-ES_tradnl"/>
        </w:rPr>
        <w:t>la</w:t>
      </w:r>
      <w:proofErr w:type="gramEnd"/>
      <w:r w:rsidRPr="00340022">
        <w:rPr>
          <w:lang w:val="es-ES_tradnl"/>
        </w:rPr>
        <w:t xml:space="preserve"> radioastronomía desde tierra y desde satélites para estudiar el universo y sus fenómenos. </w:t>
      </w:r>
    </w:p>
    <w:p w:rsidR="00013F68" w:rsidRPr="00A96787" w:rsidRDefault="00013F68" w:rsidP="005A4281">
      <w:pPr>
        <w:rPr>
          <w:lang w:val="es-ES"/>
        </w:rPr>
      </w:pPr>
      <w:r w:rsidRPr="00A96787">
        <w:rPr>
          <w:lang w:val="es-ES"/>
        </w:rPr>
        <w:t>La Comisión de Estudio 7 elabora Recomendaciones, Informes y Manuales del UIT-R utilizados para desarrollar y garantizar el funcionamiento sin interferencias de los sistemas para las operaciones espaciales, la investigación espacial, la exploración de la Tierra y la meteorología (incluida la utilización conexa de enlaces en el servicio entre satélites), la radioastronomía y la astronomía por radar, la difusión, recepción y la coordinación de los servicios de frecuencias patrón y señales horarias (incluida la aplicación de técnicas de satélite) a escala mundial.</w:t>
      </w:r>
    </w:p>
    <w:p w:rsidR="00013F68" w:rsidRPr="00340022" w:rsidRDefault="00013F68" w:rsidP="00F352EB">
      <w:pPr>
        <w:pStyle w:val="Heading4"/>
        <w:rPr>
          <w:lang w:val="es-ES_tradnl"/>
        </w:rPr>
      </w:pPr>
      <w:r w:rsidRPr="00340022">
        <w:rPr>
          <w:lang w:val="es-ES_tradnl"/>
        </w:rPr>
        <w:t>Estructura</w:t>
      </w:r>
    </w:p>
    <w:p w:rsidR="00013F68" w:rsidRPr="00A96787" w:rsidRDefault="00013F68" w:rsidP="005A4281">
      <w:pPr>
        <w:autoSpaceDE w:val="0"/>
        <w:autoSpaceDN w:val="0"/>
        <w:adjustRightInd w:val="0"/>
        <w:rPr>
          <w:rFonts w:eastAsia="Times New Roman"/>
          <w:bCs/>
          <w:szCs w:val="19"/>
          <w:lang w:val="es-ES" w:eastAsia="en-US"/>
        </w:rPr>
      </w:pPr>
      <w:r w:rsidRPr="00A96787">
        <w:rPr>
          <w:rFonts w:eastAsia="Times New Roman"/>
          <w:szCs w:val="19"/>
          <w:lang w:val="es-ES" w:eastAsia="en-US"/>
        </w:rPr>
        <w:t>Cuatro Grupos de Trabajo (GT) llevan a cabo los estudios sobre las Cuestiones asignadas a la Comisión de Estudio 7 y un Grupo Mixto de Tareas Especiales (GMTE) realiza estudios sobre</w:t>
      </w:r>
      <w:r w:rsidRPr="00A96787">
        <w:rPr>
          <w:rFonts w:eastAsia="Times New Roman"/>
          <w:lang w:val="es-ES"/>
        </w:rPr>
        <w:t xml:space="preserve"> los puntos 1.1 y 1.2 del orden del día de la CMR-15, a saber:</w:t>
      </w:r>
    </w:p>
    <w:p w:rsidR="00013F68" w:rsidRPr="00F352EB" w:rsidRDefault="00013F68" w:rsidP="00F352EB">
      <w:pPr>
        <w:pStyle w:val="Enumlevel1"/>
        <w:tabs>
          <w:tab w:val="left" w:pos="567"/>
          <w:tab w:val="left" w:pos="1985"/>
        </w:tabs>
        <w:ind w:left="1985" w:hanging="1985"/>
        <w:rPr>
          <w:lang w:val="es-ES_tradnl"/>
        </w:rPr>
      </w:pPr>
      <w:r w:rsidRPr="00F352EB">
        <w:rPr>
          <w:lang w:val="es-ES_tradnl"/>
        </w:rPr>
        <w:t>•</w:t>
      </w:r>
      <w:r w:rsidRPr="00F352EB">
        <w:rPr>
          <w:lang w:val="es-ES_tradnl"/>
        </w:rPr>
        <w:tab/>
        <w:t>GT 7A:</w:t>
      </w:r>
      <w:r w:rsidRPr="00F352EB">
        <w:rPr>
          <w:lang w:val="es-ES_tradnl"/>
        </w:rPr>
        <w:tab/>
        <w:t>Emisiones de frecuencias patrón y de señales horarias: Sistemas y aplicaciones (terrenales y por satélite) para la difusión de las frecuencias patrón y de señales horarias;</w:t>
      </w:r>
    </w:p>
    <w:p w:rsidR="00013F68" w:rsidRPr="00F352EB" w:rsidRDefault="00013F68" w:rsidP="00F352EB">
      <w:pPr>
        <w:pStyle w:val="Enumlevel1"/>
        <w:tabs>
          <w:tab w:val="left" w:pos="567"/>
          <w:tab w:val="left" w:pos="1985"/>
        </w:tabs>
        <w:ind w:left="1985" w:hanging="1985"/>
        <w:rPr>
          <w:lang w:val="es-ES_tradnl"/>
        </w:rPr>
      </w:pPr>
      <w:r w:rsidRPr="00F352EB">
        <w:rPr>
          <w:lang w:val="es-ES_tradnl"/>
        </w:rPr>
        <w:t>•</w:t>
      </w:r>
      <w:r w:rsidRPr="00F352EB">
        <w:rPr>
          <w:lang w:val="es-ES_tradnl"/>
        </w:rPr>
        <w:tab/>
        <w:t>GT 7B:</w:t>
      </w:r>
      <w:r w:rsidRPr="00F352EB">
        <w:rPr>
          <w:lang w:val="es-ES_tradnl"/>
        </w:rPr>
        <w:tab/>
        <w:t xml:space="preserve">Aplicaciones de radiocomunicaciones espaciales: Sistemas para la transmisión, recepción de datos de telemando y </w:t>
      </w:r>
      <w:proofErr w:type="spellStart"/>
      <w:r w:rsidRPr="00F352EB">
        <w:rPr>
          <w:lang w:val="es-ES_tradnl"/>
        </w:rPr>
        <w:t>telemedida</w:t>
      </w:r>
      <w:proofErr w:type="spellEnd"/>
      <w:r w:rsidRPr="00F352EB">
        <w:rPr>
          <w:lang w:val="es-ES_tradnl"/>
        </w:rPr>
        <w:t>;</w:t>
      </w:r>
    </w:p>
    <w:p w:rsidR="00013F68" w:rsidRPr="00F352EB" w:rsidRDefault="00013F68" w:rsidP="00F352EB">
      <w:pPr>
        <w:pStyle w:val="Enumlevel1"/>
        <w:tabs>
          <w:tab w:val="left" w:pos="567"/>
          <w:tab w:val="left" w:pos="1985"/>
        </w:tabs>
        <w:ind w:left="1985" w:hanging="1985"/>
        <w:rPr>
          <w:lang w:val="es-ES_tradnl"/>
        </w:rPr>
      </w:pPr>
      <w:r w:rsidRPr="00F352EB">
        <w:rPr>
          <w:lang w:val="es-ES_tradnl"/>
        </w:rPr>
        <w:t>•</w:t>
      </w:r>
      <w:r w:rsidRPr="00F352EB">
        <w:rPr>
          <w:lang w:val="es-ES_tradnl"/>
        </w:rPr>
        <w:tab/>
        <w:t>GT 7C:</w:t>
      </w:r>
      <w:r w:rsidRPr="00F352EB">
        <w:rPr>
          <w:lang w:val="es-ES_tradnl"/>
        </w:rPr>
        <w:tab/>
        <w:t>Sistemas de detección a distancia para operaciones espaciales e investigación espacial;</w:t>
      </w:r>
    </w:p>
    <w:p w:rsidR="00013F68" w:rsidRPr="00F352EB" w:rsidRDefault="00013F68" w:rsidP="00F352EB">
      <w:pPr>
        <w:pStyle w:val="Enumlevel1"/>
        <w:tabs>
          <w:tab w:val="left" w:pos="567"/>
          <w:tab w:val="left" w:pos="1985"/>
        </w:tabs>
        <w:ind w:left="1985" w:hanging="1985"/>
        <w:rPr>
          <w:lang w:val="es-ES_tradnl"/>
        </w:rPr>
      </w:pPr>
      <w:r w:rsidRPr="00F352EB">
        <w:rPr>
          <w:lang w:val="es-ES_tradnl"/>
        </w:rPr>
        <w:t>•</w:t>
      </w:r>
      <w:r w:rsidRPr="00F352EB">
        <w:rPr>
          <w:lang w:val="es-ES_tradnl"/>
        </w:rPr>
        <w:tab/>
        <w:t>GT 7D:</w:t>
      </w:r>
      <w:r w:rsidRPr="00F352EB">
        <w:rPr>
          <w:lang w:val="es-ES_tradnl"/>
        </w:rPr>
        <w:tab/>
        <w:t>Radioastronomía: Sistemas y aplicaciones de teledetección para la exploración de la Tierra, la meteorología y la detección de planetas; y</w:t>
      </w:r>
    </w:p>
    <w:p w:rsidR="00013F68" w:rsidRPr="00340022" w:rsidRDefault="00013F68" w:rsidP="00F352EB">
      <w:pPr>
        <w:pStyle w:val="Enumlevel1"/>
        <w:tabs>
          <w:tab w:val="left" w:pos="567"/>
          <w:tab w:val="left" w:pos="1985"/>
        </w:tabs>
        <w:ind w:left="1985" w:hanging="1985"/>
        <w:rPr>
          <w:lang w:val="es-ES_tradnl"/>
        </w:rPr>
      </w:pPr>
      <w:r w:rsidRPr="00340022">
        <w:rPr>
          <w:lang w:val="es-ES_tradnl"/>
        </w:rPr>
        <w:t>•</w:t>
      </w:r>
      <w:r w:rsidRPr="00340022">
        <w:rPr>
          <w:lang w:val="es-ES_tradnl"/>
        </w:rPr>
        <w:tab/>
        <w:t>GMTE 4-5-6-7:</w:t>
      </w:r>
      <w:r w:rsidRPr="00340022">
        <w:rPr>
          <w:lang w:val="es-ES_tradnl"/>
        </w:rPr>
        <w:tab/>
        <w:t>Puntos 1.1 y 1.2 del orden del día de la CMR-15.</w:t>
      </w:r>
    </w:p>
    <w:p w:rsidR="00013F68" w:rsidRPr="00340022" w:rsidRDefault="00013F68" w:rsidP="00F352EB">
      <w:pPr>
        <w:pStyle w:val="Heading4"/>
        <w:rPr>
          <w:lang w:val="es-ES_tradnl"/>
        </w:rPr>
      </w:pPr>
      <w:r w:rsidRPr="00340022">
        <w:rPr>
          <w:lang w:val="es-ES_tradnl"/>
        </w:rPr>
        <w:t>Cuestiones</w:t>
      </w:r>
      <w:bookmarkEnd w:id="82"/>
      <w:bookmarkEnd w:id="83"/>
      <w:bookmarkEnd w:id="84"/>
    </w:p>
    <w:p w:rsidR="00013F68" w:rsidRPr="00A96787" w:rsidRDefault="00013F68" w:rsidP="005A4281">
      <w:pPr>
        <w:rPr>
          <w:rFonts w:cstheme="majorBidi"/>
          <w:szCs w:val="19"/>
          <w:lang w:val="es-ES"/>
        </w:rPr>
      </w:pPr>
      <w:r w:rsidRPr="00A96787">
        <w:rPr>
          <w:szCs w:val="19"/>
          <w:lang w:val="es-ES"/>
        </w:rPr>
        <w:t>No se seleccionó ninguna debido a la particularidad del ámbito de esta Comisión de Estudio</w:t>
      </w:r>
      <w:r w:rsidRPr="00A96787">
        <w:rPr>
          <w:rFonts w:cstheme="majorBidi"/>
          <w:szCs w:val="19"/>
          <w:lang w:val="es-ES"/>
        </w:rPr>
        <w:t>.</w:t>
      </w:r>
      <w:bookmarkStart w:id="85" w:name="_Toc516397350"/>
      <w:bookmarkStart w:id="86" w:name="_Toc233020261"/>
      <w:bookmarkStart w:id="87" w:name="_Toc233465512"/>
    </w:p>
    <w:p w:rsidR="00013F68" w:rsidRPr="00A96787" w:rsidRDefault="00013F68" w:rsidP="00EF6847">
      <w:pPr>
        <w:rPr>
          <w:lang w:val="es-ES"/>
        </w:rPr>
      </w:pPr>
      <w:r w:rsidRPr="00A96787">
        <w:rPr>
          <w:lang w:val="es-ES"/>
        </w:rPr>
        <w:lastRenderedPageBreak/>
        <w:t>Todas las Cuestiones UIT-R asignadas a la Comisión de Estudio 7 se publican y están disponibles en:</w:t>
      </w:r>
      <w:r w:rsidRPr="00A96787">
        <w:rPr>
          <w:lang w:val="es-ES"/>
        </w:rPr>
        <w:br/>
      </w:r>
      <w:hyperlink r:id="rId35" w:history="1">
        <w:r w:rsidR="00EF6847">
          <w:rPr>
            <w:rStyle w:val="Hyperlink"/>
            <w:rFonts w:cstheme="majorBidi"/>
            <w:lang w:val="es-ES_tradnl"/>
          </w:rPr>
          <w:t>www</w:t>
        </w:r>
        <w:r w:rsidRPr="00012834">
          <w:rPr>
            <w:rStyle w:val="Hyperlink"/>
            <w:rFonts w:cstheme="majorBidi"/>
            <w:lang w:val="es-ES_tradnl"/>
          </w:rPr>
          <w:t>.itu.int/pub/R-QUE-SG07/en</w:t>
        </w:r>
      </w:hyperlink>
    </w:p>
    <w:p w:rsidR="00013F68" w:rsidRPr="00340022" w:rsidRDefault="00013F68" w:rsidP="000627F7">
      <w:pPr>
        <w:pStyle w:val="Heading4"/>
        <w:rPr>
          <w:lang w:val="es-ES_tradnl"/>
        </w:rPr>
      </w:pPr>
      <w:r w:rsidRPr="00340022">
        <w:rPr>
          <w:lang w:val="es-ES_tradnl"/>
        </w:rPr>
        <w:t>Recomendaciones</w:t>
      </w:r>
      <w:bookmarkEnd w:id="85"/>
      <w:bookmarkEnd w:id="86"/>
      <w:bookmarkEnd w:id="87"/>
    </w:p>
    <w:p w:rsidR="00013F68" w:rsidRPr="000627F7" w:rsidRDefault="00013F68" w:rsidP="005A4281">
      <w:pPr>
        <w:rPr>
          <w:rFonts w:eastAsia="Times New Roman" w:cs="Times New Roman Bold"/>
          <w:b/>
          <w:bCs/>
          <w:szCs w:val="21"/>
          <w:lang w:val="es-ES_tradnl" w:eastAsia="en-US"/>
        </w:rPr>
      </w:pPr>
      <w:r w:rsidRPr="000627F7">
        <w:rPr>
          <w:rFonts w:eastAsia="Times New Roman" w:cs="Times New Roman Bold"/>
          <w:b/>
          <w:bCs/>
          <w:szCs w:val="21"/>
          <w:lang w:val="es-ES_tradnl" w:eastAsia="en-US"/>
        </w:rPr>
        <w:t>Serie RS: Sistemas de detección a distancia</w:t>
      </w:r>
    </w:p>
    <w:p w:rsidR="00013F68" w:rsidRPr="00340022" w:rsidRDefault="00013F68" w:rsidP="000627F7">
      <w:pPr>
        <w:pStyle w:val="Enumlevel1"/>
        <w:tabs>
          <w:tab w:val="left" w:pos="567"/>
          <w:tab w:val="left" w:pos="1985"/>
        </w:tabs>
        <w:ind w:left="1985" w:hanging="1985"/>
        <w:rPr>
          <w:lang w:val="es-ES_tradnl"/>
        </w:rPr>
      </w:pPr>
      <w:r w:rsidRPr="00340022">
        <w:rPr>
          <w:lang w:val="es-ES_tradnl"/>
        </w:rPr>
        <w:t>•</w:t>
      </w:r>
      <w:r w:rsidRPr="00340022">
        <w:rPr>
          <w:lang w:val="es-ES_tradnl"/>
        </w:rPr>
        <w:tab/>
        <w:t>RS.1859:</w:t>
      </w:r>
      <w:r w:rsidRPr="00340022">
        <w:rPr>
          <w:lang w:val="es-ES_tradnl"/>
        </w:rPr>
        <w:tab/>
        <w:t>Utilización de sistemas de teledetección para la recopilación de datos en caso de catástrofe natural y emergencias similares</w:t>
      </w:r>
    </w:p>
    <w:p w:rsidR="00013F68" w:rsidRPr="00340022" w:rsidRDefault="00013F68" w:rsidP="000627F7">
      <w:pPr>
        <w:pStyle w:val="Heading4"/>
        <w:rPr>
          <w:lang w:val="es-ES_tradnl"/>
        </w:rPr>
      </w:pPr>
      <w:bookmarkStart w:id="88" w:name="_Toc516397351"/>
      <w:bookmarkStart w:id="89" w:name="_Toc233020262"/>
      <w:bookmarkStart w:id="90" w:name="_Toc233465513"/>
      <w:r w:rsidRPr="00340022">
        <w:rPr>
          <w:lang w:val="es-ES_tradnl"/>
        </w:rPr>
        <w:t>Manuales</w:t>
      </w:r>
      <w:bookmarkEnd w:id="88"/>
      <w:bookmarkEnd w:id="89"/>
      <w:bookmarkEnd w:id="90"/>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Radioastronomía</w:t>
      </w:r>
      <w:r w:rsidRPr="00340022">
        <w:rPr>
          <w:lang w:val="es-ES_tradnl"/>
        </w:rPr>
        <w:t>. Este Manual se ocupa principalmente de los aspectos de la radioastronomía que atañen a la coordinación de frecuencias, es decir, a la gestión de la utilización del espectro radioeléctrico, a fin de minimizar la interferencia entre servicios de radiocomunicación. Abarca diversas cuestiones, tales como las características de la radioastronomía, las bandas de frecuencia preferidas para las observaciones, las aplicaciones especiales de la radioastronomía, la vulnerabilidad a la interferencia procedente de otros servicios y otros temas relativos a la compartición del espectro radioeléctrico con otros servicios.</w:t>
      </w:r>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Selección y utilización de sistemas de frecuencia y de tiempo de precisión</w:t>
      </w:r>
      <w:r w:rsidRPr="00340022">
        <w:rPr>
          <w:lang w:val="es-ES_tradnl"/>
        </w:rPr>
        <w:t>. En este Manual se describen los conceptos básicos, las fuentes de frecuencias y tiempo, las técnicas de medición, las características de diversas frecuencias patrón, la experiencia operacional, los problemas y las perspectivas futuras.</w:t>
      </w:r>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Comunicaciones para la investigación espacial</w:t>
      </w:r>
      <w:r w:rsidRPr="00340022">
        <w:rPr>
          <w:lang w:val="es-ES_tradnl"/>
        </w:rPr>
        <w:t>. En este Manual se presentan los requisitos básicos técnicos y de espectro para múltiples programas, misiones y actividades. Asimismo, examina las funciones de investigación espacial y las realizaciones técnicas, es decir, los factores que rigen la selección de frecuencias para las misiones de investigación espacial y las consideraciones sobre protección y compartición de la investigación espacial.</w:t>
      </w:r>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Utilización del espectro radioeléctrico en la meteorología: Supervisión y predicción de las condiciones meteorológicas, hidrológicas y climáticas</w:t>
      </w:r>
      <w:r w:rsidRPr="00340022">
        <w:rPr>
          <w:lang w:val="es-ES_tradnl"/>
        </w:rPr>
        <w:t>. Este Manual ha sido elaborado en colaboración con el Grupo de Dirección sobre Coordinación de Frecuencias Radioeléctricas de la Organización Meteorológica Mundial (OMM) y proporciona información técnica completa acerca del empleo de sistemas y dispositivos radioeléctricos, incluidos los satélites de exploración de la Tierra y de meteorología, las radiosondas, los radares meteorológicos, los radares de perfil del viento y los sistemas de teledetección a bordo de vehículos espaciales para la supervisión y predicción del clima y los fenómenos meteorológicos.</w:t>
      </w:r>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Transferencia y difusión de frecuencias y señales horarias por satélite</w:t>
      </w:r>
      <w:r w:rsidRPr="00340022">
        <w:rPr>
          <w:lang w:val="es-ES_tradnl"/>
        </w:rPr>
        <w:t>. Este manual proporciona información detallada sobre métodos aplicados, tecnologías, algoritmos, estructura de datos y utilización práctica de frecuencias y señales horarias proporcionadas por sistemas de satélites.</w:t>
      </w:r>
    </w:p>
    <w:p w:rsidR="00013F68" w:rsidRPr="00340022" w:rsidRDefault="00013F68" w:rsidP="000627F7">
      <w:pPr>
        <w:pStyle w:val="Enumlevel1"/>
        <w:rPr>
          <w:lang w:val="es-ES_tradnl"/>
        </w:rPr>
      </w:pPr>
      <w:r w:rsidRPr="00340022">
        <w:rPr>
          <w:lang w:val="es-ES_tradnl"/>
        </w:rPr>
        <w:t>•</w:t>
      </w:r>
      <w:r w:rsidRPr="00340022">
        <w:rPr>
          <w:lang w:val="es-ES_tradnl"/>
        </w:rPr>
        <w:tab/>
      </w:r>
      <w:r w:rsidRPr="00340022">
        <w:rPr>
          <w:u w:val="single"/>
          <w:lang w:val="es-ES_tradnl"/>
        </w:rPr>
        <w:t>Servicio de exploración de la Tierra por satélite</w:t>
      </w:r>
      <w:r w:rsidRPr="00340022">
        <w:rPr>
          <w:lang w:val="es-ES_tradnl"/>
        </w:rPr>
        <w:t>. En este Manual se describe el servicio de exploración de la Tierra por satélite (SETS), sus características técnicas, sus aplicaciones, sus necesidades de espectro y sus beneficios, y se ofrece información completa y detallada sobre el desarrollo de sus sistemas. En particular, facilita definiciones básicas, arroja luz sobre los principios técnicos que subyacen en el funcionamiento de los sistemas y presenta sus principales aplicaciones, a fin de ayudar a las administraciones a llevar a cabo la planificación del espectro, la ingeniería y los aspectos relacionados con el despliegue de estos sistemas.</w:t>
      </w:r>
    </w:p>
    <w:p w:rsidR="00013F68" w:rsidRPr="00A96787" w:rsidRDefault="00013F68" w:rsidP="005A4281">
      <w:pPr>
        <w:rPr>
          <w:rFonts w:eastAsia="Times New Roman"/>
          <w:b/>
          <w:bCs/>
          <w:szCs w:val="19"/>
          <w:lang w:val="es-ES" w:eastAsia="en-US"/>
        </w:rPr>
      </w:pPr>
      <w:r w:rsidRPr="00A96787">
        <w:rPr>
          <w:szCs w:val="19"/>
          <w:lang w:val="es-ES"/>
        </w:rPr>
        <w:br w:type="page"/>
      </w:r>
    </w:p>
    <w:p w:rsidR="00013F68" w:rsidRPr="000627F7" w:rsidRDefault="00013F68" w:rsidP="000627F7">
      <w:pPr>
        <w:pStyle w:val="Heading1"/>
        <w:jc w:val="center"/>
        <w:rPr>
          <w:lang w:val="es-ES_tradnl"/>
        </w:rPr>
      </w:pPr>
      <w:bookmarkStart w:id="91" w:name="_Toc365036815"/>
      <w:bookmarkStart w:id="92" w:name="_Toc381259708"/>
      <w:r w:rsidRPr="000627F7">
        <w:rPr>
          <w:lang w:val="es-ES_tradnl"/>
        </w:rPr>
        <w:lastRenderedPageBreak/>
        <w:t xml:space="preserve">Sección 2: Cuestiones del UIT-T de especial interés para los países </w:t>
      </w:r>
      <w:r w:rsidR="000627F7" w:rsidRPr="000627F7">
        <w:rPr>
          <w:lang w:val="es-ES_tradnl"/>
        </w:rPr>
        <w:br/>
      </w:r>
      <w:r w:rsidRPr="000627F7">
        <w:rPr>
          <w:lang w:val="es-ES_tradnl"/>
        </w:rPr>
        <w:t>en desarrollo</w:t>
      </w:r>
      <w:r w:rsidRPr="00A96787">
        <w:rPr>
          <w:rStyle w:val="FootnoteReference"/>
          <w:rFonts w:ascii="Verdana Bold" w:hAnsi="Verdana Bold"/>
          <w:sz w:val="19"/>
          <w:lang w:val="es-ES"/>
        </w:rPr>
        <w:footnoteReference w:customMarkFollows="1" w:id="3"/>
        <w:t>2</w:t>
      </w:r>
      <w:bookmarkEnd w:id="91"/>
      <w:bookmarkEnd w:id="92"/>
    </w:p>
    <w:p w:rsidR="00013F68" w:rsidRPr="00340022" w:rsidRDefault="00013F68" w:rsidP="000627F7">
      <w:pPr>
        <w:pStyle w:val="Heading4"/>
        <w:rPr>
          <w:lang w:val="es-ES_tradnl"/>
        </w:rPr>
      </w:pPr>
      <w:bookmarkStart w:id="93" w:name="_Toc365034441"/>
      <w:bookmarkStart w:id="94" w:name="_Toc365036816"/>
      <w:r w:rsidRPr="00340022">
        <w:rPr>
          <w:lang w:val="es-ES_tradnl"/>
        </w:rPr>
        <w:t>Misión del UIT-T</w:t>
      </w:r>
      <w:bookmarkEnd w:id="93"/>
      <w:bookmarkEnd w:id="94"/>
    </w:p>
    <w:p w:rsidR="00013F68" w:rsidRPr="00A96787" w:rsidRDefault="00013F68" w:rsidP="005A4281">
      <w:pPr>
        <w:rPr>
          <w:szCs w:val="19"/>
          <w:lang w:val="es-ES"/>
        </w:rPr>
      </w:pPr>
      <w:r w:rsidRPr="00A96787">
        <w:rPr>
          <w:szCs w:val="19"/>
          <w:lang w:val="es-ES"/>
        </w:rPr>
        <w:t xml:space="preserve">El Sector de Normalización de la UIT es el más antiguo de los tres sectores principales de la Unión. El UIT-T realiza los fines de la UIT relacionados con la normalización de las telecomunicaciones a través del estudio de Cuestiones técnicas, de explotación y de tarificación, y la adopción de las Recomendaciones pertinentes con miras a la normalización mundial de las telecomunicaciones. </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lang w:val="es-ES"/>
        </w:rPr>
      </w:pPr>
      <w:r w:rsidRPr="00A96787">
        <w:rPr>
          <w:rStyle w:val="hps"/>
          <w:lang w:val="es-ES"/>
        </w:rPr>
        <w:t>Actualmente, entre sus áreas</w:t>
      </w:r>
      <w:r w:rsidRPr="00A96787">
        <w:rPr>
          <w:lang w:val="es-ES"/>
        </w:rPr>
        <w:t xml:space="preserve"> </w:t>
      </w:r>
      <w:r w:rsidRPr="00A96787">
        <w:rPr>
          <w:rStyle w:val="hps"/>
          <w:lang w:val="es-ES"/>
        </w:rPr>
        <w:t>de trabajo</w:t>
      </w:r>
      <w:r w:rsidRPr="00A96787">
        <w:rPr>
          <w:lang w:val="es-ES"/>
        </w:rPr>
        <w:t xml:space="preserve"> </w:t>
      </w:r>
      <w:r w:rsidRPr="00A96787">
        <w:rPr>
          <w:rStyle w:val="hps"/>
          <w:lang w:val="es-ES"/>
        </w:rPr>
        <w:t>prioritarias figuran:</w:t>
      </w:r>
      <w:r w:rsidRPr="00A96787">
        <w:rPr>
          <w:lang w:val="es-ES"/>
        </w:rPr>
        <w:t xml:space="preserve"> la garantía de que </w:t>
      </w:r>
      <w:r w:rsidRPr="00A96787">
        <w:rPr>
          <w:rStyle w:val="hps"/>
          <w:lang w:val="es-ES"/>
        </w:rPr>
        <w:t>las</w:t>
      </w:r>
      <w:r w:rsidRPr="00A96787">
        <w:rPr>
          <w:lang w:val="es-ES"/>
        </w:rPr>
        <w:t xml:space="preserve"> </w:t>
      </w:r>
      <w:r w:rsidRPr="00A96787">
        <w:rPr>
          <w:rStyle w:val="hps"/>
          <w:lang w:val="es-ES"/>
        </w:rPr>
        <w:t>necesidades de los países</w:t>
      </w:r>
      <w:r w:rsidRPr="00A96787">
        <w:rPr>
          <w:lang w:val="es-ES"/>
        </w:rPr>
        <w:t xml:space="preserve"> </w:t>
      </w:r>
      <w:r w:rsidRPr="00A96787">
        <w:rPr>
          <w:rStyle w:val="hps"/>
          <w:lang w:val="es-ES"/>
        </w:rPr>
        <w:t>en desarrollo</w:t>
      </w:r>
      <w:r w:rsidRPr="00A96787">
        <w:rPr>
          <w:lang w:val="es-ES"/>
        </w:rPr>
        <w:t xml:space="preserve"> </w:t>
      </w:r>
      <w:r w:rsidRPr="00A96787">
        <w:rPr>
          <w:rStyle w:val="hps"/>
          <w:lang w:val="es-ES"/>
        </w:rPr>
        <w:t>se tengan debidamente en cuenta</w:t>
      </w:r>
      <w:r w:rsidRPr="00A96787">
        <w:rPr>
          <w:lang w:val="es-ES"/>
        </w:rPr>
        <w:t xml:space="preserve"> </w:t>
      </w:r>
      <w:r w:rsidRPr="00A96787">
        <w:rPr>
          <w:rStyle w:val="hps"/>
          <w:lang w:val="es-ES"/>
        </w:rPr>
        <w:t>en los trabajos del</w:t>
      </w:r>
      <w:r w:rsidRPr="00A96787">
        <w:rPr>
          <w:lang w:val="es-ES"/>
        </w:rPr>
        <w:t xml:space="preserve"> </w:t>
      </w:r>
      <w:r w:rsidRPr="00A96787">
        <w:rPr>
          <w:rStyle w:val="hps"/>
          <w:lang w:val="es-ES"/>
        </w:rPr>
        <w:t>Sector de Normalización</w:t>
      </w:r>
      <w:r w:rsidRPr="00A96787">
        <w:rPr>
          <w:lang w:val="es-ES"/>
        </w:rPr>
        <w:t xml:space="preserve">; </w:t>
      </w:r>
      <w:r w:rsidRPr="00A96787">
        <w:rPr>
          <w:rStyle w:val="hps"/>
          <w:lang w:val="es-ES"/>
        </w:rPr>
        <w:t>la accesibilidad</w:t>
      </w:r>
      <w:r w:rsidRPr="00A96787">
        <w:rPr>
          <w:lang w:val="es-ES"/>
        </w:rPr>
        <w:t xml:space="preserve">; la adopción de </w:t>
      </w:r>
      <w:r w:rsidRPr="00A96787">
        <w:rPr>
          <w:rStyle w:val="hps"/>
          <w:lang w:val="es-ES"/>
        </w:rPr>
        <w:t>normas</w:t>
      </w:r>
      <w:r w:rsidRPr="00A96787">
        <w:rPr>
          <w:lang w:val="es-ES"/>
        </w:rPr>
        <w:t xml:space="preserve"> </w:t>
      </w:r>
      <w:r w:rsidRPr="00A96787">
        <w:rPr>
          <w:rStyle w:val="hps"/>
          <w:lang w:val="es-ES"/>
        </w:rPr>
        <w:t>internacionales destinadas a asegurar que el funcionamiento de las</w:t>
      </w:r>
      <w:r w:rsidRPr="00A96787">
        <w:rPr>
          <w:lang w:val="es-ES"/>
        </w:rPr>
        <w:t xml:space="preserve"> comunicaciones mundiales y la interoperabilidad de las redes de próxima generación sea impecable; la creación de confianza y seguridad en la utilización de las </w:t>
      </w:r>
      <w:r w:rsidRPr="00A96787">
        <w:rPr>
          <w:rStyle w:val="hps"/>
          <w:lang w:val="es-ES"/>
        </w:rPr>
        <w:t>TIC</w:t>
      </w:r>
      <w:r w:rsidRPr="00A96787">
        <w:rPr>
          <w:lang w:val="es-ES"/>
        </w:rPr>
        <w:t xml:space="preserve">; </w:t>
      </w:r>
      <w:r w:rsidRPr="00A96787">
        <w:rPr>
          <w:rStyle w:val="hps"/>
          <w:lang w:val="es-ES"/>
        </w:rPr>
        <w:t>las comunicaciones de emergencia</w:t>
      </w:r>
      <w:r w:rsidRPr="00A96787">
        <w:rPr>
          <w:lang w:val="es-ES"/>
        </w:rPr>
        <w:t xml:space="preserve"> </w:t>
      </w:r>
      <w:r w:rsidRPr="00A96787">
        <w:rPr>
          <w:rStyle w:val="hps"/>
          <w:lang w:val="es-ES"/>
        </w:rPr>
        <w:t xml:space="preserve">para </w:t>
      </w:r>
      <w:r w:rsidRPr="00A96787">
        <w:rPr>
          <w:lang w:val="es-ES"/>
        </w:rPr>
        <w:t xml:space="preserve">desarrollar sistemas de alerta pronta y proporcionar acceso a las comunicaciones </w:t>
      </w:r>
      <w:r w:rsidRPr="00A96787">
        <w:rPr>
          <w:rStyle w:val="hps"/>
          <w:lang w:val="es-ES"/>
        </w:rPr>
        <w:t>durante situaciones de catástrofe y</w:t>
      </w:r>
      <w:r w:rsidRPr="00A96787">
        <w:rPr>
          <w:lang w:val="es-ES"/>
        </w:rPr>
        <w:t xml:space="preserve"> </w:t>
      </w:r>
      <w:r w:rsidRPr="00A96787">
        <w:rPr>
          <w:rStyle w:val="hps"/>
          <w:lang w:val="es-ES"/>
        </w:rPr>
        <w:t>después de las mismas; y la reducción</w:t>
      </w:r>
      <w:r w:rsidRPr="00A96787">
        <w:rPr>
          <w:lang w:val="es-ES"/>
        </w:rPr>
        <w:t xml:space="preserve"> </w:t>
      </w:r>
      <w:r w:rsidRPr="00A96787">
        <w:rPr>
          <w:rStyle w:val="hps"/>
          <w:lang w:val="es-ES"/>
        </w:rPr>
        <w:t>del impacto</w:t>
      </w:r>
      <w:r w:rsidRPr="00A96787">
        <w:rPr>
          <w:lang w:val="es-ES"/>
        </w:rPr>
        <w:t xml:space="preserve"> </w:t>
      </w:r>
      <w:r w:rsidRPr="00A96787">
        <w:rPr>
          <w:rStyle w:val="hps"/>
          <w:lang w:val="es-ES"/>
        </w:rPr>
        <w:t>de las TIC</w:t>
      </w:r>
      <w:r w:rsidRPr="00A96787">
        <w:rPr>
          <w:lang w:val="es-ES"/>
        </w:rPr>
        <w:t xml:space="preserve"> </w:t>
      </w:r>
      <w:r w:rsidRPr="00A96787">
        <w:rPr>
          <w:rStyle w:val="hps"/>
          <w:lang w:val="es-ES"/>
        </w:rPr>
        <w:t>sobre el cambio</w:t>
      </w:r>
      <w:r w:rsidRPr="00A96787">
        <w:rPr>
          <w:lang w:val="es-ES"/>
        </w:rPr>
        <w:t xml:space="preserve"> </w:t>
      </w:r>
      <w:r w:rsidRPr="00A96787">
        <w:rPr>
          <w:rStyle w:val="hps"/>
          <w:lang w:val="es-ES"/>
        </w:rPr>
        <w:t>climático</w:t>
      </w:r>
      <w:r w:rsidRPr="00A96787">
        <w:rPr>
          <w:lang w:val="es-ES"/>
        </w:rPr>
        <w:t xml:space="preserve">, así como la difusión de información sobre la forma en que </w:t>
      </w:r>
      <w:r w:rsidRPr="00A96787">
        <w:rPr>
          <w:rStyle w:val="hps"/>
          <w:lang w:val="es-ES"/>
        </w:rPr>
        <w:t>estas tecnologías</w:t>
      </w:r>
      <w:r w:rsidRPr="00A96787">
        <w:rPr>
          <w:lang w:val="es-ES"/>
        </w:rPr>
        <w:t xml:space="preserve"> </w:t>
      </w:r>
      <w:r w:rsidRPr="00A96787">
        <w:rPr>
          <w:rStyle w:val="hps"/>
          <w:lang w:val="es-ES"/>
        </w:rPr>
        <w:t>pueden mitigar</w:t>
      </w:r>
      <w:r w:rsidRPr="00A96787">
        <w:rPr>
          <w:lang w:val="es-ES"/>
        </w:rPr>
        <w:t xml:space="preserve"> </w:t>
      </w:r>
      <w:r w:rsidRPr="00A96787">
        <w:rPr>
          <w:rStyle w:val="hps"/>
          <w:lang w:val="es-ES"/>
        </w:rPr>
        <w:t>sus efectos.</w:t>
      </w:r>
    </w:p>
    <w:p w:rsidR="00013F68" w:rsidRPr="00A96787" w:rsidRDefault="00013F68" w:rsidP="000627F7">
      <w:pPr>
        <w:pStyle w:val="Heading4"/>
      </w:pPr>
      <w:bookmarkStart w:id="95" w:name="_Toc365034442"/>
      <w:bookmarkStart w:id="96" w:name="_Toc365036817"/>
      <w:proofErr w:type="spellStart"/>
      <w:r w:rsidRPr="00A96787">
        <w:t>Estructura</w:t>
      </w:r>
      <w:proofErr w:type="spellEnd"/>
      <w:r w:rsidRPr="00A96787">
        <w:t xml:space="preserve"> </w:t>
      </w:r>
      <w:proofErr w:type="gramStart"/>
      <w:r w:rsidRPr="00A96787">
        <w:t>del</w:t>
      </w:r>
      <w:proofErr w:type="gramEnd"/>
      <w:r w:rsidRPr="00A96787">
        <w:t xml:space="preserve"> UIT-T</w:t>
      </w:r>
      <w:bookmarkEnd w:id="95"/>
      <w:bookmarkEnd w:id="96"/>
    </w:p>
    <w:p w:rsidR="000627F7" w:rsidRDefault="00013F68" w:rsidP="000627F7">
      <w:pPr>
        <w:pStyle w:val="Figure"/>
        <w:spacing w:before="0" w:after="0"/>
      </w:pPr>
      <w:r w:rsidRPr="00A96787">
        <w:rPr>
          <w:noProof/>
          <w:szCs w:val="19"/>
          <w:lang w:val="en-US" w:eastAsia="zh-CN"/>
        </w:rPr>
        <mc:AlternateContent>
          <mc:Choice Requires="wps">
            <w:drawing>
              <wp:anchor distT="0" distB="0" distL="114300" distR="114300" simplePos="0" relativeHeight="251659776" behindDoc="0" locked="0" layoutInCell="1" allowOverlap="1" wp14:anchorId="18BE777E" wp14:editId="5DFAD7E4">
                <wp:simplePos x="0" y="0"/>
                <wp:positionH relativeFrom="column">
                  <wp:posOffset>2126615</wp:posOffset>
                </wp:positionH>
                <wp:positionV relativeFrom="paragraph">
                  <wp:posOffset>926465</wp:posOffset>
                </wp:positionV>
                <wp:extent cx="527685" cy="219075"/>
                <wp:effectExtent l="0" t="0" r="24765" b="2857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19075"/>
                        </a:xfrm>
                        <a:prstGeom prst="rect">
                          <a:avLst/>
                        </a:prstGeom>
                        <a:solidFill>
                          <a:srgbClr val="FFFFFF"/>
                        </a:solidFill>
                        <a:ln w="9525">
                          <a:solidFill>
                            <a:srgbClr val="000000"/>
                          </a:solidFill>
                          <a:miter lim="800000"/>
                          <a:headEnd/>
                          <a:tailEnd/>
                        </a:ln>
                      </wps:spPr>
                      <wps:txbx>
                        <w:txbxContent>
                          <w:p w:rsidR="005C445C" w:rsidRPr="003E6FCC" w:rsidRDefault="005C445C" w:rsidP="005A4281">
                            <w:pPr>
                              <w:spacing w:before="0"/>
                              <w:ind w:left="-113" w:right="-113"/>
                              <w:jc w:val="center"/>
                              <w:rPr>
                                <w:rFonts w:ascii="Times New Roman" w:hAnsi="Times New Roman"/>
                                <w:sz w:val="18"/>
                                <w:szCs w:val="18"/>
                              </w:rPr>
                            </w:pPr>
                            <w:proofErr w:type="spellStart"/>
                            <w:r w:rsidRPr="003E6FCC">
                              <w:rPr>
                                <w:rFonts w:ascii="Times New Roman" w:hAnsi="Times New Roman"/>
                                <w:sz w:val="18"/>
                                <w:szCs w:val="18"/>
                              </w:rPr>
                              <w:t>RevCom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67.45pt;margin-top:72.95pt;width:41.5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">
                <v:textbox>
                  <w:txbxContent>
                    <w:p w:rsidR="005C445C" w:rsidRPr="003E6FCC" w:rsidRDefault="005C445C" w:rsidP="005A4281">
                      <w:pPr>
                        <w:spacing w:before="0"/>
                        <w:ind w:left="-113" w:right="-113"/>
                        <w:jc w:val="center"/>
                        <w:rPr>
                          <w:rFonts w:ascii="Times New Roman" w:hAnsi="Times New Roman"/>
                          <w:sz w:val="18"/>
                          <w:szCs w:val="18"/>
                        </w:rPr>
                      </w:pPr>
                      <w:r w:rsidRPr="003E6FCC">
                        <w:rPr>
                          <w:rFonts w:ascii="Times New Roman" w:hAnsi="Times New Roman"/>
                          <w:sz w:val="18"/>
                          <w:szCs w:val="18"/>
                        </w:rPr>
                        <w:t>RevCom</w:t>
                      </w:r>
                    </w:p>
                  </w:txbxContent>
                </v:textbox>
              </v:shape>
            </w:pict>
          </mc:Fallback>
        </mc:AlternateContent>
      </w:r>
      <w:r w:rsidRPr="00A96787">
        <w:rPr>
          <w:noProof/>
          <w:szCs w:val="19"/>
          <w:lang w:val="en-US" w:eastAsia="zh-CN"/>
        </w:rPr>
        <mc:AlternateContent>
          <mc:Choice Requires="wps">
            <w:drawing>
              <wp:anchor distT="0" distB="0" distL="114299" distR="114299" simplePos="0" relativeHeight="251660800" behindDoc="0" locked="0" layoutInCell="1" allowOverlap="1" wp14:anchorId="7B392BBA" wp14:editId="5B4F7FF8">
                <wp:simplePos x="0" y="0"/>
                <wp:positionH relativeFrom="column">
                  <wp:posOffset>2421889</wp:posOffset>
                </wp:positionH>
                <wp:positionV relativeFrom="paragraph">
                  <wp:posOffset>840740</wp:posOffset>
                </wp:positionV>
                <wp:extent cx="0" cy="85725"/>
                <wp:effectExtent l="0" t="0" r="19050" b="9525"/>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90.7pt;margin-top:66.2pt;width:0;height:6.7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"/>
            </w:pict>
          </mc:Fallback>
        </mc:AlternateContent>
      </w:r>
    </w:p>
    <w:p w:rsidR="000627F7" w:rsidRDefault="000627F7" w:rsidP="000627F7">
      <w:pPr>
        <w:pStyle w:val="Figure"/>
      </w:pPr>
      <w:r w:rsidRPr="00CA783C">
        <w:rPr>
          <w:noProof/>
          <w:lang w:val="en-US" w:eastAsia="zh-CN"/>
        </w:rPr>
        <mc:AlternateContent>
          <mc:Choice Requires="wps">
            <w:drawing>
              <wp:anchor distT="0" distB="0" distL="114300" distR="114300" simplePos="0" relativeHeight="251662848" behindDoc="0" locked="0" layoutInCell="1" allowOverlap="1" wp14:anchorId="13ED419C" wp14:editId="0FFAC276">
                <wp:simplePos x="0" y="0"/>
                <wp:positionH relativeFrom="column">
                  <wp:posOffset>1643478</wp:posOffset>
                </wp:positionH>
                <wp:positionV relativeFrom="paragraph">
                  <wp:posOffset>1059864</wp:posOffset>
                </wp:positionV>
                <wp:extent cx="527685" cy="219075"/>
                <wp:effectExtent l="0" t="0" r="24765" b="2857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19075"/>
                        </a:xfrm>
                        <a:prstGeom prst="rect">
                          <a:avLst/>
                        </a:prstGeom>
                        <a:solidFill>
                          <a:srgbClr val="FFFFFF"/>
                        </a:solidFill>
                        <a:ln w="9525">
                          <a:solidFill>
                            <a:srgbClr val="000000"/>
                          </a:solidFill>
                          <a:miter lim="800000"/>
                          <a:headEnd/>
                          <a:tailEnd/>
                        </a:ln>
                      </wps:spPr>
                      <wps:txbx>
                        <w:txbxContent>
                          <w:p w:rsidR="005C445C" w:rsidRPr="003E6FCC" w:rsidRDefault="005C445C" w:rsidP="000627F7">
                            <w:pPr>
                              <w:spacing w:before="0"/>
                              <w:ind w:left="-113" w:right="-113"/>
                              <w:jc w:val="center"/>
                              <w:rPr>
                                <w:rFonts w:ascii="Times New Roman" w:hAnsi="Times New Roman"/>
                                <w:sz w:val="18"/>
                                <w:szCs w:val="18"/>
                              </w:rPr>
                            </w:pPr>
                            <w:proofErr w:type="spellStart"/>
                            <w:r w:rsidRPr="003E6FCC">
                              <w:rPr>
                                <w:rFonts w:ascii="Times New Roman" w:hAnsi="Times New Roman"/>
                                <w:sz w:val="18"/>
                                <w:szCs w:val="18"/>
                              </w:rPr>
                              <w:t>RevCom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9.4pt;margin-top:83.45pt;width:41.5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">
                <v:textbox>
                  <w:txbxContent>
                    <w:p w:rsidR="005C445C" w:rsidRPr="003E6FCC" w:rsidRDefault="005C445C" w:rsidP="000627F7">
                      <w:pPr>
                        <w:spacing w:before="0"/>
                        <w:ind w:left="-113" w:right="-113"/>
                        <w:jc w:val="center"/>
                        <w:rPr>
                          <w:rFonts w:ascii="Times New Roman" w:hAnsi="Times New Roman"/>
                          <w:sz w:val="18"/>
                          <w:szCs w:val="18"/>
                        </w:rPr>
                      </w:pPr>
                      <w:r w:rsidRPr="003E6FCC">
                        <w:rPr>
                          <w:rFonts w:ascii="Times New Roman" w:hAnsi="Times New Roman"/>
                          <w:sz w:val="18"/>
                          <w:szCs w:val="18"/>
                        </w:rPr>
                        <w:t>RevCom</w:t>
                      </w:r>
                    </w:p>
                  </w:txbxContent>
                </v:textbox>
              </v:shape>
            </w:pict>
          </mc:Fallback>
        </mc:AlternateContent>
      </w:r>
      <w:r w:rsidRPr="00CA783C">
        <w:rPr>
          <w:noProof/>
          <w:lang w:val="en-US" w:eastAsia="zh-CN"/>
        </w:rPr>
        <mc:AlternateContent>
          <mc:Choice Requires="wps">
            <w:drawing>
              <wp:anchor distT="0" distB="0" distL="114298" distR="114298" simplePos="0" relativeHeight="251663872" behindDoc="0" locked="0" layoutInCell="1" allowOverlap="1" wp14:anchorId="2202D29B" wp14:editId="61563E74">
                <wp:simplePos x="0" y="0"/>
                <wp:positionH relativeFrom="column">
                  <wp:posOffset>1899285</wp:posOffset>
                </wp:positionH>
                <wp:positionV relativeFrom="paragraph">
                  <wp:posOffset>971550</wp:posOffset>
                </wp:positionV>
                <wp:extent cx="0" cy="85725"/>
                <wp:effectExtent l="0" t="0" r="19050" b="9525"/>
                <wp:wrapNone/>
                <wp:docPr id="44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49.55pt;margin-top:76.5pt;width:0;height:6.75pt;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slHA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"/>
            </w:pict>
          </mc:Fallback>
        </mc:AlternateContent>
      </w:r>
      <w:r w:rsidRPr="00CA783C">
        <w:rPr>
          <w:rFonts w:cs="Calibri"/>
          <w:bCs w:val="0"/>
          <w:noProof/>
          <w:szCs w:val="21"/>
          <w:lang w:val="en-US" w:eastAsia="zh-CN"/>
        </w:rPr>
        <w:drawing>
          <wp:inline distT="0" distB="0" distL="0" distR="0" wp14:anchorId="44A6C02E" wp14:editId="4C278EF5">
            <wp:extent cx="3474000" cy="3603600"/>
            <wp:effectExtent l="0" t="0" r="0" b="0"/>
            <wp:docPr id="449" name="Picture 3" descr="Description: ITU-T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TU-T Structure.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4000" cy="3603600"/>
                    </a:xfrm>
                    <a:prstGeom prst="rect">
                      <a:avLst/>
                    </a:prstGeom>
                    <a:noFill/>
                    <a:ln>
                      <a:noFill/>
                    </a:ln>
                  </pic:spPr>
                </pic:pic>
              </a:graphicData>
            </a:graphic>
          </wp:inline>
        </w:drawing>
      </w:r>
    </w:p>
    <w:p w:rsidR="0083285D" w:rsidRDefault="0083285D" w:rsidP="000627F7">
      <w:pPr>
        <w:pStyle w:val="Figure"/>
      </w:pPr>
    </w:p>
    <w:p w:rsidR="000627F7" w:rsidRDefault="000627F7" w:rsidP="000627F7">
      <w:pPr>
        <w:pStyle w:val="Heading4"/>
      </w:pPr>
      <w:r>
        <w:br w:type="page"/>
      </w:r>
    </w:p>
    <w:p w:rsidR="00013F68" w:rsidRPr="00340022" w:rsidRDefault="00013F68" w:rsidP="000627F7">
      <w:pPr>
        <w:pStyle w:val="Heading4"/>
        <w:rPr>
          <w:lang w:val="es-ES_tradnl"/>
        </w:rPr>
      </w:pPr>
      <w:bookmarkStart w:id="97" w:name="_Toc365034443"/>
      <w:bookmarkStart w:id="98" w:name="_Toc365036818"/>
      <w:r w:rsidRPr="00340022">
        <w:rPr>
          <w:lang w:val="es-ES_tradnl"/>
        </w:rPr>
        <w:lastRenderedPageBreak/>
        <w:t>Publicaciones del UIT-T</w:t>
      </w:r>
    </w:p>
    <w:p w:rsidR="00013F68" w:rsidRPr="00A96787" w:rsidRDefault="00013F68" w:rsidP="00A31E61">
      <w:pPr>
        <w:rPr>
          <w:lang w:val="es-ES"/>
        </w:rPr>
      </w:pPr>
      <w:r w:rsidRPr="00A96787">
        <w:rPr>
          <w:lang w:val="es-ES" w:eastAsia="en-US"/>
        </w:rPr>
        <w:t xml:space="preserve">La lista de todas las publicaciones del UIT-T figura en: </w:t>
      </w:r>
      <w:hyperlink r:id="rId37" w:history="1">
        <w:r w:rsidRPr="00A96787">
          <w:rPr>
            <w:rStyle w:val="Hyperlink"/>
            <w:lang w:val="es-ES" w:eastAsia="en-US"/>
          </w:rPr>
          <w:t>http://itu.int/en/ITU-T/publications</w:t>
        </w:r>
      </w:hyperlink>
      <w:r w:rsidRPr="00A96787">
        <w:rPr>
          <w:lang w:val="es-ES" w:eastAsia="en-US"/>
        </w:rPr>
        <w:t>.</w:t>
      </w:r>
    </w:p>
    <w:p w:rsidR="00013F68" w:rsidRPr="00A96787" w:rsidRDefault="00013F68" w:rsidP="00A31E61">
      <w:pPr>
        <w:rPr>
          <w:lang w:val="es-ES"/>
        </w:rPr>
      </w:pPr>
      <w:r w:rsidRPr="00A96787">
        <w:rPr>
          <w:b/>
          <w:lang w:val="es-ES" w:eastAsia="en-US"/>
        </w:rPr>
        <w:t>Recomendación U</w:t>
      </w:r>
      <w:r w:rsidRPr="00A31E61">
        <w:rPr>
          <w:rFonts w:eastAsia="SimHei" w:cs="Simplified Arabic"/>
          <w:b/>
          <w:szCs w:val="28"/>
          <w:lang w:val="es-ES" w:eastAsia="en-US"/>
        </w:rPr>
        <w:t>IT-T</w:t>
      </w:r>
      <w:r w:rsidRPr="00AA714C">
        <w:rPr>
          <w:lang w:val="es-ES" w:eastAsia="en-US"/>
        </w:rPr>
        <w:t xml:space="preserve"> </w:t>
      </w:r>
      <w:r w:rsidRPr="00A31E61">
        <w:rPr>
          <w:rFonts w:eastAsia="SimHei" w:cs="Simplified Arabic"/>
          <w:szCs w:val="28"/>
          <w:lang w:val="es-ES" w:eastAsia="en-US"/>
        </w:rPr>
        <w:t>–</w:t>
      </w:r>
      <w:r w:rsidRPr="00A96787">
        <w:rPr>
          <w:lang w:val="es-ES" w:eastAsia="en-US"/>
        </w:rPr>
        <w:t xml:space="preserve"> Texto normativo aprobado con arreglo al proceso de aprobación tradicional (TAP) de la Res.1 (Rev. </w:t>
      </w:r>
      <w:proofErr w:type="spellStart"/>
      <w:r w:rsidRPr="00A96787">
        <w:rPr>
          <w:lang w:val="es-ES" w:eastAsia="en-US"/>
        </w:rPr>
        <w:t>Dubai</w:t>
      </w:r>
      <w:proofErr w:type="spellEnd"/>
      <w:r w:rsidRPr="00A96787">
        <w:rPr>
          <w:lang w:val="es-ES" w:eastAsia="en-US"/>
        </w:rPr>
        <w:t>, 2012) de la AMNT o el proceso de aprobación alternativo (AAP) de la Rec</w:t>
      </w:r>
      <w:r>
        <w:rPr>
          <w:lang w:val="es-ES" w:eastAsia="en-US"/>
        </w:rPr>
        <w:t>omendación</w:t>
      </w:r>
      <w:r w:rsidRPr="00A96787">
        <w:rPr>
          <w:lang w:val="es-ES" w:eastAsia="en-US"/>
        </w:rPr>
        <w:t xml:space="preserve"> UIT-T A.8.</w:t>
      </w:r>
    </w:p>
    <w:p w:rsidR="00013F68" w:rsidRPr="00A96787" w:rsidRDefault="00013F68" w:rsidP="00A31E61">
      <w:pPr>
        <w:rPr>
          <w:lang w:val="es-ES"/>
        </w:rPr>
      </w:pPr>
      <w:r w:rsidRPr="00A96787">
        <w:rPr>
          <w:b/>
          <w:lang w:val="es-ES" w:eastAsia="en-US"/>
        </w:rPr>
        <w:t>Suplemento U</w:t>
      </w:r>
      <w:r w:rsidRPr="00A31E61">
        <w:rPr>
          <w:rFonts w:eastAsia="SimHei" w:cs="Simplified Arabic"/>
          <w:b/>
          <w:szCs w:val="28"/>
          <w:lang w:val="es-ES" w:eastAsia="en-US"/>
        </w:rPr>
        <w:t>IT-T</w:t>
      </w:r>
      <w:r w:rsidRPr="00AA714C">
        <w:rPr>
          <w:lang w:val="es-ES" w:eastAsia="en-US"/>
        </w:rPr>
        <w:t xml:space="preserve"> </w:t>
      </w:r>
      <w:r w:rsidRPr="00A31E61">
        <w:rPr>
          <w:rFonts w:eastAsia="SimHei" w:cs="Simplified Arabic"/>
          <w:szCs w:val="28"/>
          <w:lang w:val="es-ES" w:eastAsia="en-US"/>
        </w:rPr>
        <w:t>–</w:t>
      </w:r>
      <w:r w:rsidRPr="00A96787">
        <w:rPr>
          <w:lang w:val="es-ES" w:eastAsia="en-US"/>
        </w:rPr>
        <w:t xml:space="preserve"> Texto no normativo </w:t>
      </w:r>
      <w:r w:rsidRPr="00A96787">
        <w:rPr>
          <w:lang w:val="es-ES"/>
        </w:rPr>
        <w:t>que contiene material complementario y relacionado con un tema de una o varias Recomendaciones pero que no es esencial para su integridad o comprensión y aplicación.</w:t>
      </w:r>
    </w:p>
    <w:p w:rsidR="00013F68" w:rsidRPr="00A96787" w:rsidRDefault="00013F68" w:rsidP="00A31E61">
      <w:pPr>
        <w:rPr>
          <w:lang w:val="es-ES"/>
        </w:rPr>
      </w:pPr>
      <w:r w:rsidRPr="00A96787">
        <w:rPr>
          <w:b/>
          <w:lang w:val="es-ES"/>
        </w:rPr>
        <w:t>Manual U</w:t>
      </w:r>
      <w:r w:rsidRPr="00A31E61">
        <w:rPr>
          <w:rFonts w:eastAsia="SimHei" w:cs="Simplified Arabic"/>
          <w:b/>
          <w:szCs w:val="28"/>
          <w:lang w:val="es-ES" w:eastAsia="zh-CN"/>
        </w:rPr>
        <w:t>IT-T</w:t>
      </w:r>
      <w:r w:rsidRPr="00AA714C">
        <w:rPr>
          <w:lang w:val="es-ES"/>
        </w:rPr>
        <w:t xml:space="preserve"> </w:t>
      </w:r>
      <w:r w:rsidRPr="00A31E61">
        <w:rPr>
          <w:rFonts w:eastAsia="SimHei" w:cs="Simplified Arabic"/>
          <w:szCs w:val="28"/>
          <w:lang w:val="es-ES" w:eastAsia="zh-CN"/>
        </w:rPr>
        <w:t>–</w:t>
      </w:r>
      <w:r w:rsidRPr="00A96787">
        <w:rPr>
          <w:lang w:val="es-ES"/>
        </w:rPr>
        <w:t xml:space="preserve"> Publicación del UIT-T que ofrece orientación práctica sobre la aplicación de una o varias Recomendaciones UIT-T sobre temas afines.</w:t>
      </w:r>
    </w:p>
    <w:p w:rsidR="00013F68" w:rsidRPr="00A96787" w:rsidRDefault="00013F68" w:rsidP="00A31E61">
      <w:pPr>
        <w:rPr>
          <w:lang w:val="es-ES"/>
        </w:rPr>
      </w:pPr>
      <w:r w:rsidRPr="00A96787">
        <w:rPr>
          <w:b/>
          <w:lang w:val="es-ES"/>
        </w:rPr>
        <w:t>Artículo técnico del U</w:t>
      </w:r>
      <w:r w:rsidRPr="00A31E61">
        <w:rPr>
          <w:rFonts w:eastAsia="SimHei" w:cs="Simplified Arabic"/>
          <w:b/>
          <w:bCs/>
          <w:szCs w:val="28"/>
          <w:lang w:val="es-ES" w:eastAsia="zh-CN"/>
        </w:rPr>
        <w:t>IT-T</w:t>
      </w:r>
      <w:r w:rsidRPr="00AA714C">
        <w:rPr>
          <w:lang w:val="es-ES"/>
        </w:rPr>
        <w:t xml:space="preserve"> </w:t>
      </w:r>
      <w:r w:rsidRPr="00A31E61">
        <w:rPr>
          <w:rFonts w:eastAsia="SimHei" w:cs="Simplified Arabic"/>
          <w:b/>
          <w:szCs w:val="28"/>
          <w:lang w:val="es-ES" w:eastAsia="zh-CN"/>
        </w:rPr>
        <w:t>–</w:t>
      </w:r>
      <w:r w:rsidRPr="00A31E61">
        <w:rPr>
          <w:rFonts w:eastAsia="SimHei" w:cs="Simplified Arabic"/>
          <w:szCs w:val="28"/>
          <w:lang w:val="es-ES" w:eastAsia="zh-CN"/>
        </w:rPr>
        <w:t xml:space="preserve"> </w:t>
      </w:r>
      <w:r w:rsidRPr="00A96787">
        <w:rPr>
          <w:lang w:val="es-ES"/>
        </w:rPr>
        <w:t>Publicación no normativa, acordada por las Comisiones de Estudio, que ofrece acceso público a información técnica sobre los estudios en curso de las Comisiones de Estudio</w:t>
      </w:r>
      <w:r w:rsidRPr="00A31E61">
        <w:rPr>
          <w:rFonts w:eastAsia="SimHei" w:cs="Simplified Arabic"/>
          <w:szCs w:val="28"/>
          <w:lang w:val="es-ES" w:eastAsia="zh-CN"/>
        </w:rPr>
        <w:t>, o</w:t>
      </w:r>
      <w:r w:rsidRPr="00A96787">
        <w:rPr>
          <w:lang w:val="es-ES"/>
        </w:rPr>
        <w:t xml:space="preserve"> que complementan las Recomendaciones UIT-T existentes para mejorar su comprensión</w:t>
      </w:r>
      <w:r w:rsidRPr="00A31E61">
        <w:rPr>
          <w:rFonts w:eastAsia="SimHei" w:cs="Simplified Arabic"/>
          <w:szCs w:val="28"/>
          <w:lang w:val="es-ES" w:eastAsia="zh-CN"/>
        </w:rPr>
        <w:t>.</w:t>
      </w:r>
    </w:p>
    <w:p w:rsidR="00013F68" w:rsidRPr="00340022" w:rsidRDefault="00013F68" w:rsidP="000627F7">
      <w:pPr>
        <w:pStyle w:val="Heading4"/>
        <w:rPr>
          <w:lang w:val="es-ES_tradnl"/>
        </w:rPr>
      </w:pPr>
      <w:r w:rsidRPr="00340022">
        <w:rPr>
          <w:lang w:val="es-ES_tradnl"/>
        </w:rPr>
        <w:t>Asamblea Mundial de Normalización de las Telecomunicaciones</w:t>
      </w:r>
      <w:bookmarkEnd w:id="97"/>
      <w:bookmarkEnd w:id="98"/>
    </w:p>
    <w:p w:rsidR="00013F68" w:rsidRPr="00A96787" w:rsidRDefault="00013F68" w:rsidP="000627F7">
      <w:pPr>
        <w:rPr>
          <w:rFonts w:eastAsia="Times New Roman"/>
          <w:bCs/>
          <w:szCs w:val="19"/>
          <w:lang w:val="es-ES" w:eastAsia="en-US"/>
        </w:rPr>
      </w:pPr>
      <w:r w:rsidRPr="00A96787">
        <w:rPr>
          <w:lang w:val="es-ES"/>
        </w:rPr>
        <w:t>La Asamblea Mundial de Normalización de las Telecomunicaciones se celebra cada cuatro años y define el nuevo periodo de estudios para el UIT-T. El mandato de la AMNT viene estipulado en el Artículo 18 de la Constitución de la Unión. En virtud del Artículo 13 del Convenio de la UIT, la AMNT se convocará a fin de "examinar materias relacionadas con la normalización de las telecomunicaciones".</w:t>
      </w:r>
    </w:p>
    <w:p w:rsidR="00013F68" w:rsidRPr="00A96787" w:rsidRDefault="00013F68" w:rsidP="000627F7">
      <w:pPr>
        <w:rPr>
          <w:rFonts w:eastAsia="Times New Roman"/>
          <w:bCs/>
          <w:szCs w:val="19"/>
          <w:lang w:val="es-ES" w:eastAsia="en-US"/>
        </w:rPr>
      </w:pPr>
      <w:r w:rsidRPr="00A96787">
        <w:rPr>
          <w:lang w:val="es-ES"/>
        </w:rPr>
        <w:t>La Asamblea analiza asimismo los métodos de trabajo (incluidos los procedimientos de aprobación), el programa de trabajo y la estructura de las Comisiones de Estudio</w:t>
      </w:r>
      <w:r>
        <w:rPr>
          <w:lang w:val="es-ES"/>
        </w:rPr>
        <w:t>.</w:t>
      </w:r>
    </w:p>
    <w:p w:rsidR="00013F68" w:rsidRPr="00CF573A" w:rsidRDefault="00013F68" w:rsidP="000627F7">
      <w:pPr>
        <w:rPr>
          <w:rFonts w:eastAsia="SimHei" w:cs="Simplified Arabic"/>
          <w:bCs/>
          <w:sz w:val="19"/>
          <w:szCs w:val="28"/>
          <w:lang w:val="es-ES"/>
        </w:rPr>
      </w:pPr>
      <w:r w:rsidRPr="00CF573A">
        <w:rPr>
          <w:rFonts w:eastAsia="SimHei" w:cs="Simplified Arabic"/>
          <w:bCs/>
          <w:sz w:val="19"/>
          <w:szCs w:val="28"/>
          <w:lang w:val="es-ES"/>
        </w:rPr>
        <w:t xml:space="preserve">En el marco de su reunión de 2011 (del 11 al 21 de octubre de 2011), el Consejo de la UIT adoptó la </w:t>
      </w:r>
      <w:hyperlink r:id="rId38" w:tgtFrame="_blank" w:history="1">
        <w:r w:rsidR="000627F7" w:rsidRPr="00F77CC7">
          <w:rPr>
            <w:rStyle w:val="Hyperlink"/>
            <w:rFonts w:cs="Calibri"/>
            <w:szCs w:val="21"/>
            <w:lang w:val="es-ES_tradnl" w:eastAsia="en-GB"/>
          </w:rPr>
          <w:t>Resolución 1335</w:t>
        </w:r>
      </w:hyperlink>
      <w:r w:rsidRPr="00CF573A">
        <w:rPr>
          <w:rFonts w:eastAsia="SimHei" w:cs="Simplified Arabic"/>
          <w:bCs/>
          <w:sz w:val="19"/>
          <w:szCs w:val="28"/>
          <w:lang w:val="es-ES"/>
        </w:rPr>
        <w:t xml:space="preserve">, por la que resolvió que la Asamblea Mundial de Normalización de las Telecomunicaciones se celebrara, con el acuerdo de la mayoría de los Estados Miembros, en </w:t>
      </w:r>
      <w:proofErr w:type="spellStart"/>
      <w:r w:rsidRPr="00CF573A">
        <w:rPr>
          <w:rFonts w:eastAsia="SimHei" w:cs="Simplified Arabic"/>
          <w:bCs/>
          <w:sz w:val="19"/>
          <w:szCs w:val="28"/>
          <w:lang w:val="es-ES"/>
        </w:rPr>
        <w:t>Dubai</w:t>
      </w:r>
      <w:proofErr w:type="spellEnd"/>
      <w:r w:rsidRPr="00CF573A">
        <w:rPr>
          <w:rFonts w:eastAsia="SimHei" w:cs="Simplified Arabic"/>
          <w:bCs/>
          <w:sz w:val="19"/>
          <w:szCs w:val="28"/>
          <w:lang w:val="es-ES"/>
        </w:rPr>
        <w:t xml:space="preserve"> (Emiratos Árabes Unidos) el pasado año 2012. Las actividades de preparación para la AMNT-12 tuvieron lugar durante todo ese mismo año, especialmente en reuniones preparatorias regionales. Dicha Asamblea </w:t>
      </w:r>
      <w:r w:rsidRPr="0008118A">
        <w:rPr>
          <w:rFonts w:eastAsia="SimHei" w:cs="Simplified Arabic"/>
          <w:bCs/>
          <w:sz w:val="19"/>
          <w:szCs w:val="28"/>
          <w:lang w:val="es-ES_tradnl"/>
        </w:rPr>
        <w:t>mantuvo</w:t>
      </w:r>
      <w:r w:rsidRPr="00CF573A">
        <w:rPr>
          <w:rFonts w:eastAsia="SimHei" w:cs="Simplified Arabic"/>
          <w:bCs/>
          <w:sz w:val="19"/>
          <w:szCs w:val="28"/>
          <w:lang w:val="es-ES"/>
        </w:rPr>
        <w:t xml:space="preserve"> </w:t>
      </w:r>
      <w:r w:rsidRPr="0008118A">
        <w:rPr>
          <w:rFonts w:eastAsia="SimHei" w:cs="Simplified Arabic"/>
          <w:bCs/>
          <w:sz w:val="19"/>
          <w:szCs w:val="28"/>
          <w:lang w:val="es-ES_tradnl"/>
        </w:rPr>
        <w:t>las diez Comisiones</w:t>
      </w:r>
      <w:r w:rsidRPr="00CF573A">
        <w:rPr>
          <w:rFonts w:eastAsia="SimHei" w:cs="Simplified Arabic"/>
          <w:bCs/>
          <w:sz w:val="19"/>
          <w:szCs w:val="28"/>
          <w:lang w:val="es-ES"/>
        </w:rPr>
        <w:t xml:space="preserve"> </w:t>
      </w:r>
      <w:r w:rsidRPr="0008118A">
        <w:rPr>
          <w:rFonts w:eastAsia="SimHei" w:cs="Simplified Arabic"/>
          <w:bCs/>
          <w:sz w:val="19"/>
          <w:szCs w:val="28"/>
          <w:lang w:val="es-ES_tradnl"/>
        </w:rPr>
        <w:t>de Estudio del UIT-</w:t>
      </w:r>
      <w:r w:rsidRPr="00CF573A">
        <w:rPr>
          <w:rFonts w:eastAsia="SimHei" w:cs="Simplified Arabic"/>
          <w:bCs/>
          <w:sz w:val="19"/>
          <w:szCs w:val="28"/>
          <w:lang w:val="es-ES"/>
        </w:rPr>
        <w:t xml:space="preserve">T y </w:t>
      </w:r>
      <w:r w:rsidRPr="0008118A">
        <w:rPr>
          <w:rFonts w:eastAsia="SimHei" w:cs="Simplified Arabic"/>
          <w:bCs/>
          <w:sz w:val="19"/>
          <w:szCs w:val="28"/>
          <w:lang w:val="es-ES_tradnl"/>
        </w:rPr>
        <w:t>aprobó</w:t>
      </w:r>
      <w:r w:rsidRPr="00CF573A">
        <w:rPr>
          <w:rFonts w:eastAsia="SimHei" w:cs="Simplified Arabic"/>
          <w:bCs/>
          <w:sz w:val="19"/>
          <w:szCs w:val="28"/>
          <w:lang w:val="es-ES"/>
        </w:rPr>
        <w:t xml:space="preserve"> </w:t>
      </w:r>
      <w:r w:rsidRPr="0008118A">
        <w:rPr>
          <w:rFonts w:eastAsia="SimHei" w:cs="Simplified Arabic"/>
          <w:bCs/>
          <w:sz w:val="19"/>
          <w:szCs w:val="28"/>
          <w:lang w:val="es-ES_tradnl"/>
        </w:rPr>
        <w:t>sus mandatos.</w:t>
      </w:r>
    </w:p>
    <w:p w:rsidR="00013F68" w:rsidRPr="00340022" w:rsidRDefault="00013F68" w:rsidP="000627F7">
      <w:pPr>
        <w:pStyle w:val="Heading4"/>
        <w:rPr>
          <w:lang w:val="fr-FR"/>
        </w:rPr>
      </w:pPr>
      <w:bookmarkStart w:id="99" w:name="_Toc365034444"/>
      <w:bookmarkStart w:id="100" w:name="_Toc365036819"/>
      <w:r w:rsidRPr="00340022">
        <w:rPr>
          <w:lang w:val="fr-FR"/>
        </w:rPr>
        <w:t xml:space="preserve">Comité de Examen </w:t>
      </w:r>
      <w:proofErr w:type="spellStart"/>
      <w:r w:rsidRPr="00340022">
        <w:rPr>
          <w:lang w:val="fr-FR"/>
        </w:rPr>
        <w:t>del</w:t>
      </w:r>
      <w:proofErr w:type="spellEnd"/>
      <w:r w:rsidRPr="00340022">
        <w:rPr>
          <w:lang w:val="fr-FR"/>
        </w:rPr>
        <w:t xml:space="preserve"> UIT-T (</w:t>
      </w:r>
      <w:proofErr w:type="spellStart"/>
      <w:r w:rsidRPr="00340022">
        <w:rPr>
          <w:lang w:val="fr-FR"/>
        </w:rPr>
        <w:t>RevCom</w:t>
      </w:r>
      <w:proofErr w:type="spellEnd"/>
      <w:r w:rsidRPr="00340022">
        <w:rPr>
          <w:lang w:val="fr-FR"/>
        </w:rPr>
        <w:t>)</w:t>
      </w:r>
      <w:bookmarkEnd w:id="99"/>
      <w:bookmarkEnd w:id="100"/>
    </w:p>
    <w:p w:rsidR="00013F68" w:rsidRPr="00A96787" w:rsidRDefault="00013F68" w:rsidP="005A4281">
      <w:pPr>
        <w:rPr>
          <w:lang w:val="es-ES"/>
        </w:rPr>
      </w:pPr>
      <w:r w:rsidRPr="00A96787">
        <w:rPr>
          <w:rStyle w:val="hps"/>
          <w:lang w:val="es-ES"/>
        </w:rPr>
        <w:t>La AMNT</w:t>
      </w:r>
      <w:r w:rsidRPr="00A96787">
        <w:rPr>
          <w:rStyle w:val="atn"/>
          <w:lang w:val="es-ES"/>
        </w:rPr>
        <w:t>-</w:t>
      </w:r>
      <w:r w:rsidRPr="00A96787">
        <w:rPr>
          <w:lang w:val="es-ES"/>
        </w:rPr>
        <w:t xml:space="preserve">12 </w:t>
      </w:r>
      <w:r w:rsidRPr="00A96787">
        <w:rPr>
          <w:rStyle w:val="hps"/>
          <w:lang w:val="es-ES"/>
        </w:rPr>
        <w:t>estableció el</w:t>
      </w:r>
      <w:r w:rsidRPr="00A96787">
        <w:rPr>
          <w:lang w:val="es-ES"/>
        </w:rPr>
        <w:t xml:space="preserve"> </w:t>
      </w:r>
      <w:r w:rsidRPr="00A96787">
        <w:rPr>
          <w:rStyle w:val="hps"/>
          <w:lang w:val="es-ES"/>
        </w:rPr>
        <w:t>Comité de Examen</w:t>
      </w:r>
      <w:r w:rsidRPr="00A96787">
        <w:rPr>
          <w:lang w:val="es-ES"/>
        </w:rPr>
        <w:t xml:space="preserve"> </w:t>
      </w:r>
      <w:r w:rsidRPr="00A96787">
        <w:rPr>
          <w:rStyle w:val="hps"/>
          <w:lang w:val="es-ES"/>
        </w:rPr>
        <w:t xml:space="preserve">a través de su </w:t>
      </w:r>
      <w:hyperlink r:id="rId39" w:history="1">
        <w:r w:rsidRPr="00AA714C">
          <w:rPr>
            <w:rStyle w:val="Hyperlink"/>
            <w:lang w:val="es-ES_tradnl"/>
          </w:rPr>
          <w:t>Resolu</w:t>
        </w:r>
        <w:r>
          <w:rPr>
            <w:rStyle w:val="Hyperlink"/>
            <w:lang w:val="es-ES_tradnl"/>
          </w:rPr>
          <w:t>c</w:t>
        </w:r>
        <w:r w:rsidRPr="00AA714C">
          <w:rPr>
            <w:rStyle w:val="Hyperlink"/>
            <w:lang w:val="es-ES_tradnl"/>
          </w:rPr>
          <w:t>i</w:t>
        </w:r>
        <w:r>
          <w:rPr>
            <w:rStyle w:val="Hyperlink"/>
            <w:lang w:val="es-ES_tradnl"/>
          </w:rPr>
          <w:t>ó</w:t>
        </w:r>
        <w:r w:rsidRPr="00AA714C">
          <w:rPr>
            <w:rStyle w:val="Hyperlink"/>
            <w:lang w:val="es-ES_tradnl"/>
          </w:rPr>
          <w:t>n 82</w:t>
        </w:r>
      </w:hyperlink>
      <w:r w:rsidRPr="00A96787">
        <w:rPr>
          <w:rStyle w:val="hps"/>
          <w:lang w:val="es-ES"/>
        </w:rPr>
        <w:t>, con</w:t>
      </w:r>
      <w:r w:rsidRPr="00A96787">
        <w:rPr>
          <w:lang w:val="es-ES"/>
        </w:rPr>
        <w:t xml:space="preserve"> </w:t>
      </w:r>
      <w:r w:rsidRPr="00A96787">
        <w:rPr>
          <w:rStyle w:val="hps"/>
          <w:lang w:val="es-ES"/>
        </w:rPr>
        <w:t>el objetivo principal de revisar la</w:t>
      </w:r>
      <w:r w:rsidRPr="00A96787">
        <w:rPr>
          <w:lang w:val="es-ES"/>
        </w:rPr>
        <w:t xml:space="preserve"> </w:t>
      </w:r>
      <w:r w:rsidRPr="00A96787">
        <w:rPr>
          <w:rStyle w:val="hps"/>
          <w:lang w:val="es-ES"/>
        </w:rPr>
        <w:t>estructura y los métodos</w:t>
      </w:r>
      <w:r w:rsidRPr="00A96787">
        <w:rPr>
          <w:lang w:val="es-ES"/>
        </w:rPr>
        <w:t xml:space="preserve"> </w:t>
      </w:r>
      <w:r w:rsidRPr="00A96787">
        <w:rPr>
          <w:rStyle w:val="hps"/>
          <w:lang w:val="es-ES"/>
        </w:rPr>
        <w:t>de trabajo del</w:t>
      </w:r>
      <w:r w:rsidRPr="00A96787">
        <w:rPr>
          <w:lang w:val="es-ES"/>
        </w:rPr>
        <w:t xml:space="preserve"> </w:t>
      </w:r>
      <w:r w:rsidRPr="00A96787">
        <w:rPr>
          <w:rStyle w:val="hps"/>
          <w:lang w:val="es-ES"/>
        </w:rPr>
        <w:t>Sector de Normalización de</w:t>
      </w:r>
      <w:r w:rsidRPr="00A96787">
        <w:rPr>
          <w:lang w:val="es-ES"/>
        </w:rPr>
        <w:t xml:space="preserve"> </w:t>
      </w:r>
      <w:r w:rsidRPr="00A96787">
        <w:rPr>
          <w:rStyle w:val="hps"/>
          <w:lang w:val="es-ES"/>
        </w:rPr>
        <w:t>las Telecomunicaciones</w:t>
      </w:r>
      <w:r w:rsidRPr="00A96787">
        <w:rPr>
          <w:lang w:val="es-ES"/>
        </w:rPr>
        <w:t xml:space="preserve"> </w:t>
      </w:r>
      <w:r w:rsidRPr="00A96787">
        <w:rPr>
          <w:rStyle w:val="hps"/>
          <w:lang w:val="es-ES"/>
        </w:rPr>
        <w:t>de la UIT (</w:t>
      </w:r>
      <w:r w:rsidRPr="00A96787">
        <w:rPr>
          <w:lang w:val="es-ES"/>
        </w:rPr>
        <w:t>UIT-T), a fin de</w:t>
      </w:r>
      <w:r w:rsidRPr="00A96787">
        <w:rPr>
          <w:rStyle w:val="hps"/>
          <w:lang w:val="es-ES"/>
        </w:rPr>
        <w:t xml:space="preserve"> garantizar</w:t>
      </w:r>
      <w:r w:rsidRPr="00A96787">
        <w:rPr>
          <w:lang w:val="es-ES"/>
        </w:rPr>
        <w:t xml:space="preserve"> </w:t>
      </w:r>
      <w:r w:rsidRPr="00A96787">
        <w:rPr>
          <w:rStyle w:val="hps"/>
          <w:lang w:val="es-ES"/>
        </w:rPr>
        <w:t>que dicho sector</w:t>
      </w:r>
      <w:r w:rsidRPr="00A96787">
        <w:rPr>
          <w:lang w:val="es-ES"/>
        </w:rPr>
        <w:t xml:space="preserve"> </w:t>
      </w:r>
      <w:r w:rsidRPr="00A96787">
        <w:rPr>
          <w:rStyle w:val="hps"/>
          <w:lang w:val="es-ES"/>
        </w:rPr>
        <w:t>siga</w:t>
      </w:r>
      <w:r w:rsidRPr="00A96787">
        <w:rPr>
          <w:lang w:val="es-ES"/>
        </w:rPr>
        <w:t xml:space="preserve"> </w:t>
      </w:r>
      <w:r w:rsidRPr="00A96787">
        <w:rPr>
          <w:rStyle w:val="hps"/>
          <w:lang w:val="es-ES"/>
        </w:rPr>
        <w:t>satisfaciendo las</w:t>
      </w:r>
      <w:r w:rsidRPr="00A96787">
        <w:rPr>
          <w:lang w:val="es-ES"/>
        </w:rPr>
        <w:t xml:space="preserve"> </w:t>
      </w:r>
      <w:r w:rsidRPr="00A96787">
        <w:rPr>
          <w:rStyle w:val="hps"/>
          <w:lang w:val="es-ES"/>
        </w:rPr>
        <w:t>necesidades en materia de normalización</w:t>
      </w:r>
      <w:r w:rsidRPr="00A96787">
        <w:rPr>
          <w:lang w:val="es-ES"/>
        </w:rPr>
        <w:t xml:space="preserve"> </w:t>
      </w:r>
      <w:r w:rsidRPr="00A96787">
        <w:rPr>
          <w:rStyle w:val="hps"/>
          <w:lang w:val="es-ES"/>
        </w:rPr>
        <w:t>de un</w:t>
      </w:r>
      <w:r w:rsidRPr="00A96787">
        <w:rPr>
          <w:lang w:val="es-ES"/>
        </w:rPr>
        <w:t xml:space="preserve"> </w:t>
      </w:r>
      <w:r w:rsidRPr="00A96787">
        <w:rPr>
          <w:rStyle w:val="hps"/>
          <w:lang w:val="es-ES"/>
        </w:rPr>
        <w:t>entorno empresarial</w:t>
      </w:r>
      <w:r w:rsidRPr="00A96787">
        <w:rPr>
          <w:lang w:val="es-ES"/>
        </w:rPr>
        <w:t xml:space="preserve"> </w:t>
      </w:r>
      <w:r w:rsidRPr="00A96787">
        <w:rPr>
          <w:rStyle w:val="hps"/>
          <w:lang w:val="es-ES"/>
        </w:rPr>
        <w:t>en constante evolución.</w:t>
      </w:r>
    </w:p>
    <w:p w:rsidR="00013F68" w:rsidRPr="00A96787" w:rsidRDefault="00013F68" w:rsidP="005A4281">
      <w:pPr>
        <w:rPr>
          <w:lang w:val="es-ES"/>
        </w:rPr>
      </w:pPr>
      <w:r w:rsidRPr="00A96787">
        <w:rPr>
          <w:rStyle w:val="hps"/>
          <w:lang w:val="es-ES"/>
        </w:rPr>
        <w:t>El Comité de Examen</w:t>
      </w:r>
      <w:r w:rsidRPr="00A96787">
        <w:rPr>
          <w:lang w:val="es-ES"/>
        </w:rPr>
        <w:t xml:space="preserve"> </w:t>
      </w:r>
      <w:r w:rsidRPr="00A96787">
        <w:rPr>
          <w:rStyle w:val="hps"/>
          <w:lang w:val="es-ES"/>
        </w:rPr>
        <w:t>determinará la</w:t>
      </w:r>
      <w:r w:rsidRPr="00A96787">
        <w:rPr>
          <w:lang w:val="es-ES"/>
        </w:rPr>
        <w:t xml:space="preserve"> mejor estrategia para que el </w:t>
      </w:r>
      <w:r w:rsidRPr="00A96787">
        <w:rPr>
          <w:rStyle w:val="hps"/>
          <w:lang w:val="es-ES"/>
        </w:rPr>
        <w:t>UIT</w:t>
      </w:r>
      <w:r w:rsidRPr="00A96787">
        <w:rPr>
          <w:lang w:val="es-ES"/>
        </w:rPr>
        <w:t xml:space="preserve">-T </w:t>
      </w:r>
      <w:r w:rsidRPr="00A96787">
        <w:rPr>
          <w:rStyle w:val="hps"/>
          <w:lang w:val="es-ES"/>
        </w:rPr>
        <w:t>pueda satisfacer la creciente</w:t>
      </w:r>
      <w:r w:rsidRPr="00A96787">
        <w:rPr>
          <w:lang w:val="es-ES"/>
        </w:rPr>
        <w:t xml:space="preserve"> </w:t>
      </w:r>
      <w:r w:rsidRPr="00A96787">
        <w:rPr>
          <w:rStyle w:val="hps"/>
          <w:lang w:val="es-ES"/>
        </w:rPr>
        <w:t>demanda de normas</w:t>
      </w:r>
      <w:r w:rsidRPr="00A96787">
        <w:rPr>
          <w:lang w:val="es-ES"/>
        </w:rPr>
        <w:t xml:space="preserve"> </w:t>
      </w:r>
      <w:r w:rsidRPr="00A96787">
        <w:rPr>
          <w:rStyle w:val="hps"/>
          <w:lang w:val="es-ES"/>
        </w:rPr>
        <w:t>TIC</w:t>
      </w:r>
      <w:r w:rsidRPr="00A96787">
        <w:rPr>
          <w:lang w:val="es-ES"/>
        </w:rPr>
        <w:t xml:space="preserve"> </w:t>
      </w:r>
      <w:r w:rsidRPr="00A96787">
        <w:rPr>
          <w:rStyle w:val="hps"/>
          <w:lang w:val="es-ES"/>
        </w:rPr>
        <w:t>adaptadas a las necesidades</w:t>
      </w:r>
      <w:r w:rsidRPr="00A96787">
        <w:rPr>
          <w:lang w:val="es-ES"/>
        </w:rPr>
        <w:t xml:space="preserve"> </w:t>
      </w:r>
      <w:r w:rsidRPr="00A96787">
        <w:rPr>
          <w:rStyle w:val="hps"/>
          <w:lang w:val="es-ES"/>
        </w:rPr>
        <w:t>de un amplio abanico</w:t>
      </w:r>
      <w:r w:rsidRPr="00A96787">
        <w:rPr>
          <w:lang w:val="es-ES"/>
        </w:rPr>
        <w:t xml:space="preserve"> </w:t>
      </w:r>
      <w:r w:rsidRPr="00A96787">
        <w:rPr>
          <w:rStyle w:val="hps"/>
          <w:lang w:val="es-ES"/>
        </w:rPr>
        <w:t>de sectores industriales y</w:t>
      </w:r>
      <w:r w:rsidRPr="00A96787">
        <w:rPr>
          <w:lang w:val="es-ES"/>
        </w:rPr>
        <w:t xml:space="preserve">, en particular, de los </w:t>
      </w:r>
      <w:r w:rsidRPr="00A96787">
        <w:rPr>
          <w:rStyle w:val="hps"/>
          <w:lang w:val="es-ES"/>
        </w:rPr>
        <w:t>servicios de abastecimiento energético</w:t>
      </w:r>
      <w:r w:rsidRPr="00A96787">
        <w:rPr>
          <w:lang w:val="es-ES"/>
        </w:rPr>
        <w:t xml:space="preserve">, el </w:t>
      </w:r>
      <w:r w:rsidRPr="00A96787">
        <w:rPr>
          <w:rStyle w:val="hps"/>
          <w:lang w:val="es-ES"/>
        </w:rPr>
        <w:t>transporte, los servicios financieros</w:t>
      </w:r>
      <w:r w:rsidRPr="00A96787">
        <w:rPr>
          <w:lang w:val="es-ES"/>
        </w:rPr>
        <w:t xml:space="preserve">, la </w:t>
      </w:r>
      <w:r w:rsidRPr="00A96787">
        <w:rPr>
          <w:rStyle w:val="hps"/>
          <w:lang w:val="es-ES"/>
        </w:rPr>
        <w:t>salud</w:t>
      </w:r>
      <w:r w:rsidRPr="00A96787">
        <w:rPr>
          <w:lang w:val="es-ES"/>
        </w:rPr>
        <w:t xml:space="preserve"> </w:t>
      </w:r>
      <w:r w:rsidRPr="00A96787">
        <w:rPr>
          <w:rStyle w:val="hps"/>
          <w:lang w:val="es-ES"/>
        </w:rPr>
        <w:t>y la educación.</w:t>
      </w:r>
    </w:p>
    <w:p w:rsidR="00013F68" w:rsidRPr="00A96787" w:rsidRDefault="00013F68" w:rsidP="005A4281">
      <w:pPr>
        <w:rPr>
          <w:lang w:val="es-ES"/>
        </w:rPr>
      </w:pPr>
      <w:r w:rsidRPr="00A96787">
        <w:rPr>
          <w:rStyle w:val="hps"/>
          <w:lang w:val="es-ES"/>
        </w:rPr>
        <w:t>En respuesta a la</w:t>
      </w:r>
      <w:r w:rsidRPr="00A96787">
        <w:rPr>
          <w:lang w:val="es-ES"/>
        </w:rPr>
        <w:t xml:space="preserve"> </w:t>
      </w:r>
      <w:r w:rsidRPr="00A96787">
        <w:rPr>
          <w:rStyle w:val="hps"/>
          <w:lang w:val="es-ES"/>
        </w:rPr>
        <w:t>frenética evolución del</w:t>
      </w:r>
      <w:r w:rsidRPr="00A96787">
        <w:rPr>
          <w:lang w:val="es-ES"/>
        </w:rPr>
        <w:t xml:space="preserve"> </w:t>
      </w:r>
      <w:r w:rsidRPr="00A96787">
        <w:rPr>
          <w:rStyle w:val="hps"/>
          <w:lang w:val="es-ES"/>
        </w:rPr>
        <w:t>panorama de normalización</w:t>
      </w:r>
      <w:r w:rsidRPr="00A96787">
        <w:rPr>
          <w:lang w:val="es-ES"/>
        </w:rPr>
        <w:t xml:space="preserve"> </w:t>
      </w:r>
      <w:r w:rsidRPr="00A96787">
        <w:rPr>
          <w:rStyle w:val="hps"/>
          <w:lang w:val="es-ES"/>
        </w:rPr>
        <w:t>internacional y</w:t>
      </w:r>
      <w:r w:rsidRPr="00A96787">
        <w:rPr>
          <w:lang w:val="es-ES"/>
        </w:rPr>
        <w:t xml:space="preserve"> a </w:t>
      </w:r>
      <w:r w:rsidRPr="00A96787">
        <w:rPr>
          <w:rStyle w:val="hps"/>
          <w:lang w:val="es-ES"/>
        </w:rPr>
        <w:t>la proliferación</w:t>
      </w:r>
      <w:r w:rsidRPr="00A96787">
        <w:rPr>
          <w:lang w:val="es-ES"/>
        </w:rPr>
        <w:t xml:space="preserve"> </w:t>
      </w:r>
      <w:r w:rsidRPr="00A96787">
        <w:rPr>
          <w:rStyle w:val="hps"/>
          <w:lang w:val="es-ES"/>
        </w:rPr>
        <w:t xml:space="preserve">de </w:t>
      </w:r>
      <w:r w:rsidRPr="00A96787">
        <w:rPr>
          <w:lang w:val="es-ES"/>
        </w:rPr>
        <w:t xml:space="preserve">organizaciones, foros </w:t>
      </w:r>
      <w:r w:rsidRPr="00A96787">
        <w:rPr>
          <w:rStyle w:val="hps"/>
          <w:lang w:val="es-ES"/>
        </w:rPr>
        <w:t>y consorcios</w:t>
      </w:r>
      <w:r w:rsidRPr="00A96787">
        <w:rPr>
          <w:lang w:val="es-ES"/>
        </w:rPr>
        <w:t xml:space="preserve"> de normalización, </w:t>
      </w:r>
      <w:r w:rsidRPr="00A96787">
        <w:rPr>
          <w:rStyle w:val="hps"/>
          <w:lang w:val="es-ES"/>
        </w:rPr>
        <w:t>la evaluación</w:t>
      </w:r>
      <w:r w:rsidRPr="00A96787">
        <w:rPr>
          <w:lang w:val="es-ES"/>
        </w:rPr>
        <w:t xml:space="preserve"> </w:t>
      </w:r>
      <w:r w:rsidRPr="00A96787">
        <w:rPr>
          <w:rStyle w:val="hps"/>
          <w:lang w:val="es-ES"/>
        </w:rPr>
        <w:t>de los</w:t>
      </w:r>
      <w:r w:rsidRPr="00A96787">
        <w:rPr>
          <w:lang w:val="es-ES"/>
        </w:rPr>
        <w:t xml:space="preserve"> </w:t>
      </w:r>
      <w:r w:rsidRPr="00A96787">
        <w:rPr>
          <w:rStyle w:val="hps"/>
          <w:lang w:val="es-ES"/>
        </w:rPr>
        <w:t>mecanismos de coordinación</w:t>
      </w:r>
      <w:r w:rsidRPr="00A96787">
        <w:rPr>
          <w:lang w:val="es-ES"/>
        </w:rPr>
        <w:t xml:space="preserve"> </w:t>
      </w:r>
      <w:r w:rsidRPr="00A96787">
        <w:rPr>
          <w:rStyle w:val="hps"/>
          <w:lang w:val="es-ES"/>
        </w:rPr>
        <w:t>y colaboración</w:t>
      </w:r>
      <w:r w:rsidRPr="00A96787">
        <w:rPr>
          <w:lang w:val="es-ES"/>
        </w:rPr>
        <w:t xml:space="preserve"> </w:t>
      </w:r>
      <w:r w:rsidRPr="00A96787">
        <w:rPr>
          <w:rStyle w:val="hps"/>
          <w:lang w:val="es-ES"/>
        </w:rPr>
        <w:t>entre el UIT-</w:t>
      </w:r>
      <w:r w:rsidRPr="00A96787">
        <w:rPr>
          <w:lang w:val="es-ES"/>
        </w:rPr>
        <w:t xml:space="preserve">T y los </w:t>
      </w:r>
      <w:r w:rsidRPr="00A96787">
        <w:rPr>
          <w:rStyle w:val="hps"/>
          <w:lang w:val="es-ES"/>
        </w:rPr>
        <w:t>organismos de normalización</w:t>
      </w:r>
      <w:r w:rsidRPr="00A96787">
        <w:rPr>
          <w:lang w:val="es-ES"/>
        </w:rPr>
        <w:t xml:space="preserve"> figurará entre las prioridades d</w:t>
      </w:r>
      <w:r w:rsidRPr="00A96787">
        <w:rPr>
          <w:rStyle w:val="hps"/>
          <w:lang w:val="es-ES"/>
        </w:rPr>
        <w:t>el Comité de Examen.</w:t>
      </w:r>
    </w:p>
    <w:p w:rsidR="00013F68" w:rsidRPr="00A96787" w:rsidRDefault="00013F68" w:rsidP="005A4281">
      <w:pPr>
        <w:rPr>
          <w:lang w:val="es-ES"/>
        </w:rPr>
      </w:pPr>
      <w:r w:rsidRPr="00A96787">
        <w:rPr>
          <w:rStyle w:val="hps"/>
          <w:lang w:val="es-ES"/>
        </w:rPr>
        <w:t>El Comité</w:t>
      </w:r>
      <w:r w:rsidRPr="00A96787">
        <w:rPr>
          <w:lang w:val="es-ES"/>
        </w:rPr>
        <w:t xml:space="preserve"> </w:t>
      </w:r>
      <w:r w:rsidRPr="00A96787">
        <w:rPr>
          <w:rStyle w:val="hps"/>
          <w:lang w:val="es-ES"/>
        </w:rPr>
        <w:t>informará periódicamente</w:t>
      </w:r>
      <w:r w:rsidRPr="00A96787">
        <w:rPr>
          <w:lang w:val="es-ES"/>
        </w:rPr>
        <w:t xml:space="preserve"> </w:t>
      </w:r>
      <w:r w:rsidRPr="00A96787">
        <w:rPr>
          <w:rStyle w:val="hps"/>
          <w:lang w:val="es-ES"/>
        </w:rPr>
        <w:t>al GANT</w:t>
      </w:r>
      <w:r w:rsidRPr="00A96787">
        <w:rPr>
          <w:lang w:val="es-ES"/>
        </w:rPr>
        <w:t xml:space="preserve"> </w:t>
      </w:r>
      <w:r w:rsidRPr="00A96787">
        <w:rPr>
          <w:rStyle w:val="hps"/>
          <w:lang w:val="es-ES"/>
        </w:rPr>
        <w:t>sobre sus progresos y participará en la preparación del</w:t>
      </w:r>
      <w:r w:rsidRPr="00A96787">
        <w:rPr>
          <w:lang w:val="es-ES"/>
        </w:rPr>
        <w:t xml:space="preserve"> </w:t>
      </w:r>
      <w:r w:rsidRPr="00A96787">
        <w:rPr>
          <w:rStyle w:val="hps"/>
          <w:lang w:val="es-ES"/>
        </w:rPr>
        <w:t>nuevo Plan Estratégico</w:t>
      </w:r>
      <w:r w:rsidRPr="00A96787">
        <w:rPr>
          <w:lang w:val="es-ES"/>
        </w:rPr>
        <w:t xml:space="preserve"> </w:t>
      </w:r>
      <w:r w:rsidRPr="00A96787">
        <w:rPr>
          <w:rStyle w:val="hps"/>
          <w:lang w:val="es-ES"/>
        </w:rPr>
        <w:t>del UIT</w:t>
      </w:r>
      <w:r w:rsidRPr="00A96787">
        <w:rPr>
          <w:lang w:val="es-ES"/>
        </w:rPr>
        <w:t xml:space="preserve">-T. </w:t>
      </w:r>
      <w:r w:rsidRPr="00A96787">
        <w:rPr>
          <w:rStyle w:val="hps"/>
          <w:lang w:val="es-ES"/>
        </w:rPr>
        <w:t>Las recomendaciones contenidas en</w:t>
      </w:r>
      <w:r w:rsidRPr="00A96787">
        <w:rPr>
          <w:lang w:val="es-ES"/>
        </w:rPr>
        <w:t xml:space="preserve"> </w:t>
      </w:r>
      <w:r w:rsidRPr="00A96787">
        <w:rPr>
          <w:rStyle w:val="hps"/>
          <w:lang w:val="es-ES"/>
        </w:rPr>
        <w:t>el informe final del</w:t>
      </w:r>
      <w:r w:rsidRPr="00A96787">
        <w:rPr>
          <w:lang w:val="es-ES"/>
        </w:rPr>
        <w:t xml:space="preserve"> </w:t>
      </w:r>
      <w:r w:rsidRPr="00A96787">
        <w:rPr>
          <w:rStyle w:val="hps"/>
          <w:lang w:val="es-ES"/>
        </w:rPr>
        <w:t>Comité de Examen</w:t>
      </w:r>
      <w:r w:rsidRPr="00A96787">
        <w:rPr>
          <w:lang w:val="es-ES"/>
        </w:rPr>
        <w:t xml:space="preserve"> </w:t>
      </w:r>
      <w:r w:rsidRPr="00A96787">
        <w:rPr>
          <w:rStyle w:val="hps"/>
          <w:lang w:val="es-ES"/>
        </w:rPr>
        <w:t>serán debatidas</w:t>
      </w:r>
      <w:r w:rsidRPr="00A96787">
        <w:rPr>
          <w:lang w:val="es-ES"/>
        </w:rPr>
        <w:t xml:space="preserve"> </w:t>
      </w:r>
      <w:r w:rsidRPr="00A96787">
        <w:rPr>
          <w:rStyle w:val="hps"/>
          <w:lang w:val="es-ES"/>
        </w:rPr>
        <w:t>y aplicadas</w:t>
      </w:r>
      <w:r w:rsidRPr="00A96787">
        <w:rPr>
          <w:lang w:val="es-ES"/>
        </w:rPr>
        <w:t xml:space="preserve"> </w:t>
      </w:r>
      <w:r w:rsidRPr="00A96787">
        <w:rPr>
          <w:rStyle w:val="hps"/>
          <w:lang w:val="es-ES"/>
        </w:rPr>
        <w:t>por la AMNT</w:t>
      </w:r>
      <w:r w:rsidRPr="00A96787">
        <w:rPr>
          <w:rStyle w:val="atn"/>
          <w:lang w:val="es-ES"/>
        </w:rPr>
        <w:t>-</w:t>
      </w:r>
      <w:r w:rsidRPr="00A96787">
        <w:rPr>
          <w:lang w:val="es-ES"/>
        </w:rPr>
        <w:t>16.</w:t>
      </w:r>
    </w:p>
    <w:p w:rsidR="00013F68" w:rsidRPr="00A96787" w:rsidRDefault="00013F68" w:rsidP="005A4281">
      <w:pPr>
        <w:rPr>
          <w:lang w:val="es-ES"/>
        </w:rPr>
      </w:pPr>
      <w:r w:rsidRPr="00A96787">
        <w:rPr>
          <w:rStyle w:val="hps"/>
          <w:lang w:val="es-ES"/>
        </w:rPr>
        <w:t>El informe final del</w:t>
      </w:r>
      <w:r w:rsidRPr="00A96787">
        <w:rPr>
          <w:lang w:val="es-ES"/>
        </w:rPr>
        <w:t xml:space="preserve"> </w:t>
      </w:r>
      <w:r w:rsidRPr="00A96787">
        <w:rPr>
          <w:rStyle w:val="hps"/>
          <w:lang w:val="es-ES"/>
        </w:rPr>
        <w:t>Comité de Examen a la AMNT-16 será transmitido asimismo</w:t>
      </w:r>
      <w:r w:rsidRPr="00A96787">
        <w:rPr>
          <w:lang w:val="es-ES"/>
        </w:rPr>
        <w:t xml:space="preserve"> </w:t>
      </w:r>
      <w:r w:rsidRPr="00A96787">
        <w:rPr>
          <w:rStyle w:val="hps"/>
          <w:lang w:val="es-ES"/>
        </w:rPr>
        <w:t>al GANT,</w:t>
      </w:r>
      <w:r w:rsidRPr="00A96787">
        <w:rPr>
          <w:lang w:val="es-ES"/>
        </w:rPr>
        <w:t xml:space="preserve"> a fin de contribuir a </w:t>
      </w:r>
      <w:r w:rsidRPr="00A96787">
        <w:rPr>
          <w:rStyle w:val="hps"/>
          <w:lang w:val="es-ES"/>
        </w:rPr>
        <w:t>sus preparativos para</w:t>
      </w:r>
      <w:r w:rsidRPr="00A96787">
        <w:rPr>
          <w:lang w:val="es-ES"/>
        </w:rPr>
        <w:t xml:space="preserve"> </w:t>
      </w:r>
      <w:r w:rsidRPr="00A96787">
        <w:rPr>
          <w:rStyle w:val="hps"/>
          <w:lang w:val="es-ES"/>
        </w:rPr>
        <w:t>la Asamblea.</w:t>
      </w:r>
      <w:r w:rsidRPr="00A96787">
        <w:rPr>
          <w:lang w:val="es-ES"/>
        </w:rPr>
        <w:t xml:space="preserve"> </w:t>
      </w:r>
      <w:r w:rsidRPr="00A96787">
        <w:rPr>
          <w:rStyle w:val="hps"/>
          <w:lang w:val="es-ES"/>
        </w:rPr>
        <w:t>Cuando informe sobre los resultados de sus</w:t>
      </w:r>
      <w:r w:rsidRPr="00A96787">
        <w:rPr>
          <w:lang w:val="es-ES"/>
        </w:rPr>
        <w:t xml:space="preserve"> </w:t>
      </w:r>
      <w:r w:rsidRPr="00A96787">
        <w:rPr>
          <w:rStyle w:val="hps"/>
          <w:lang w:val="es-ES"/>
        </w:rPr>
        <w:t>estudios, el</w:t>
      </w:r>
      <w:r w:rsidRPr="00A96787">
        <w:rPr>
          <w:lang w:val="es-ES"/>
        </w:rPr>
        <w:t xml:space="preserve"> </w:t>
      </w:r>
      <w:r w:rsidRPr="00A96787">
        <w:rPr>
          <w:rStyle w:val="hps"/>
          <w:lang w:val="es-ES"/>
        </w:rPr>
        <w:lastRenderedPageBreak/>
        <w:t>Comité</w:t>
      </w:r>
      <w:r w:rsidRPr="00A96787">
        <w:rPr>
          <w:lang w:val="es-ES"/>
        </w:rPr>
        <w:t xml:space="preserve"> </w:t>
      </w:r>
      <w:r w:rsidRPr="00A96787">
        <w:rPr>
          <w:rStyle w:val="hps"/>
          <w:lang w:val="es-ES"/>
        </w:rPr>
        <w:t>identificará</w:t>
      </w:r>
      <w:r w:rsidRPr="00A96787">
        <w:rPr>
          <w:lang w:val="es-ES"/>
        </w:rPr>
        <w:t xml:space="preserve"> </w:t>
      </w:r>
      <w:r w:rsidRPr="00A96787">
        <w:rPr>
          <w:rStyle w:val="hps"/>
          <w:lang w:val="es-ES"/>
        </w:rPr>
        <w:t>las acciones</w:t>
      </w:r>
      <w:r w:rsidRPr="00A96787">
        <w:rPr>
          <w:lang w:val="es-ES"/>
        </w:rPr>
        <w:t xml:space="preserve"> </w:t>
      </w:r>
      <w:r w:rsidRPr="00A96787">
        <w:rPr>
          <w:rStyle w:val="hps"/>
          <w:lang w:val="es-ES"/>
        </w:rPr>
        <w:t>adecuadas</w:t>
      </w:r>
      <w:r w:rsidRPr="00A96787">
        <w:rPr>
          <w:lang w:val="es-ES"/>
        </w:rPr>
        <w:t xml:space="preserve"> </w:t>
      </w:r>
      <w:r w:rsidRPr="00A96787">
        <w:rPr>
          <w:rStyle w:val="hps"/>
          <w:lang w:val="es-ES"/>
        </w:rPr>
        <w:t>para su ejecución a corto plazo</w:t>
      </w:r>
      <w:r w:rsidRPr="00A96787">
        <w:rPr>
          <w:lang w:val="es-ES"/>
        </w:rPr>
        <w:t xml:space="preserve">, así como </w:t>
      </w:r>
      <w:r w:rsidRPr="00A96787">
        <w:rPr>
          <w:rStyle w:val="hps"/>
          <w:lang w:val="es-ES"/>
        </w:rPr>
        <w:t>las posibles medidas</w:t>
      </w:r>
      <w:r w:rsidRPr="00A96787">
        <w:rPr>
          <w:lang w:val="es-ES"/>
        </w:rPr>
        <w:t xml:space="preserve"> </w:t>
      </w:r>
      <w:r w:rsidRPr="00A96787">
        <w:rPr>
          <w:rStyle w:val="hps"/>
          <w:lang w:val="es-ES"/>
        </w:rPr>
        <w:t>que ha de someter</w:t>
      </w:r>
      <w:r w:rsidRPr="00A96787">
        <w:rPr>
          <w:lang w:val="es-ES"/>
        </w:rPr>
        <w:t xml:space="preserve"> </w:t>
      </w:r>
      <w:r w:rsidRPr="00A96787">
        <w:rPr>
          <w:rStyle w:val="hps"/>
          <w:lang w:val="es-ES"/>
        </w:rPr>
        <w:t>a la consideración de</w:t>
      </w:r>
      <w:r w:rsidRPr="00A96787">
        <w:rPr>
          <w:lang w:val="es-ES"/>
        </w:rPr>
        <w:t xml:space="preserve"> </w:t>
      </w:r>
      <w:r w:rsidRPr="00A96787">
        <w:rPr>
          <w:rStyle w:val="hps"/>
          <w:lang w:val="es-ES"/>
        </w:rPr>
        <w:t>la Conferencia de</w:t>
      </w:r>
      <w:r w:rsidRPr="00A96787">
        <w:rPr>
          <w:lang w:val="es-ES"/>
        </w:rPr>
        <w:t xml:space="preserve"> </w:t>
      </w:r>
      <w:r w:rsidRPr="00A96787">
        <w:rPr>
          <w:rStyle w:val="hps"/>
          <w:lang w:val="es-ES"/>
        </w:rPr>
        <w:t>Plenipotenciarios de la UIT</w:t>
      </w:r>
      <w:r w:rsidRPr="00A96787">
        <w:rPr>
          <w:lang w:val="es-ES"/>
        </w:rPr>
        <w:t>.</w:t>
      </w:r>
    </w:p>
    <w:p w:rsidR="00013F68" w:rsidRPr="00A96787" w:rsidRDefault="00013F68" w:rsidP="005A4281">
      <w:pPr>
        <w:rPr>
          <w:lang w:val="es-ES"/>
        </w:rPr>
      </w:pPr>
      <w:r w:rsidRPr="00A96787">
        <w:rPr>
          <w:rStyle w:val="hps"/>
          <w:lang w:val="es-ES"/>
        </w:rPr>
        <w:t>En aras de garantizar la participación</w:t>
      </w:r>
      <w:r w:rsidRPr="00A96787">
        <w:rPr>
          <w:lang w:val="es-ES"/>
        </w:rPr>
        <w:t xml:space="preserve"> </w:t>
      </w:r>
      <w:r w:rsidRPr="00A96787">
        <w:rPr>
          <w:rStyle w:val="hps"/>
          <w:lang w:val="es-ES"/>
        </w:rPr>
        <w:t>mundial,</w:t>
      </w:r>
      <w:r w:rsidRPr="00A96787">
        <w:rPr>
          <w:lang w:val="es-ES"/>
        </w:rPr>
        <w:t xml:space="preserve"> </w:t>
      </w:r>
      <w:r w:rsidRPr="00A96787">
        <w:rPr>
          <w:rStyle w:val="hps"/>
          <w:lang w:val="es-ES"/>
        </w:rPr>
        <w:t>el Comité de Examen</w:t>
      </w:r>
      <w:r w:rsidRPr="00A96787">
        <w:rPr>
          <w:lang w:val="es-ES"/>
        </w:rPr>
        <w:t xml:space="preserve"> </w:t>
      </w:r>
      <w:r w:rsidRPr="00A96787">
        <w:rPr>
          <w:rStyle w:val="hps"/>
          <w:lang w:val="es-ES"/>
        </w:rPr>
        <w:t>trabaja no sólo</w:t>
      </w:r>
      <w:r w:rsidRPr="00A96787">
        <w:rPr>
          <w:lang w:val="es-ES"/>
        </w:rPr>
        <w:t xml:space="preserve"> </w:t>
      </w:r>
      <w:r w:rsidRPr="00A96787">
        <w:rPr>
          <w:rStyle w:val="hps"/>
          <w:lang w:val="es-ES"/>
        </w:rPr>
        <w:t>con las Comisiones de Estudio del UIT</w:t>
      </w:r>
      <w:r w:rsidRPr="00A96787">
        <w:rPr>
          <w:lang w:val="es-ES"/>
        </w:rPr>
        <w:t xml:space="preserve">-T, sino también con </w:t>
      </w:r>
      <w:r w:rsidRPr="00A96787">
        <w:rPr>
          <w:rStyle w:val="hps"/>
          <w:lang w:val="es-ES"/>
        </w:rPr>
        <w:t>varios organismos de normalización</w:t>
      </w:r>
      <w:r w:rsidRPr="00A96787">
        <w:rPr>
          <w:lang w:val="es-ES"/>
        </w:rPr>
        <w:t xml:space="preserve"> </w:t>
      </w:r>
      <w:r w:rsidRPr="00A96787">
        <w:rPr>
          <w:rStyle w:val="hps"/>
          <w:lang w:val="es-ES"/>
        </w:rPr>
        <w:t>nacionales</w:t>
      </w:r>
      <w:r w:rsidRPr="00A96787">
        <w:rPr>
          <w:lang w:val="es-ES"/>
        </w:rPr>
        <w:t xml:space="preserve"> </w:t>
      </w:r>
      <w:r w:rsidRPr="00A96787">
        <w:rPr>
          <w:rStyle w:val="hps"/>
          <w:lang w:val="es-ES"/>
        </w:rPr>
        <w:t>y regionales</w:t>
      </w:r>
      <w:r w:rsidRPr="00A96787">
        <w:rPr>
          <w:lang w:val="es-ES"/>
        </w:rPr>
        <w:t>.</w:t>
      </w:r>
    </w:p>
    <w:p w:rsidR="00013F68" w:rsidRPr="00340022" w:rsidRDefault="00013F68" w:rsidP="000627F7">
      <w:pPr>
        <w:pStyle w:val="Heading4"/>
        <w:rPr>
          <w:lang w:val="es-ES_tradnl"/>
        </w:rPr>
      </w:pPr>
      <w:bookmarkStart w:id="101" w:name="_Toc365034445"/>
      <w:bookmarkStart w:id="102" w:name="_Toc365036820"/>
      <w:r w:rsidRPr="00340022">
        <w:rPr>
          <w:lang w:val="es-ES_tradnl"/>
        </w:rPr>
        <w:t>Talleres del UIT-T</w:t>
      </w:r>
      <w:bookmarkEnd w:id="101"/>
      <w:bookmarkEnd w:id="102"/>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Desde 2001,</w:t>
      </w:r>
      <w:r w:rsidRPr="00A96787">
        <w:rPr>
          <w:lang w:val="es-ES"/>
        </w:rPr>
        <w:t xml:space="preserve"> </w:t>
      </w:r>
      <w:r w:rsidRPr="00A96787">
        <w:rPr>
          <w:rStyle w:val="hps"/>
          <w:lang w:val="es-ES"/>
        </w:rPr>
        <w:t>el UIT</w:t>
      </w:r>
      <w:r w:rsidRPr="00A96787">
        <w:rPr>
          <w:lang w:val="es-ES"/>
        </w:rPr>
        <w:t xml:space="preserve">-T ha </w:t>
      </w:r>
      <w:r w:rsidRPr="00A96787">
        <w:rPr>
          <w:rStyle w:val="hps"/>
          <w:lang w:val="es-ES"/>
        </w:rPr>
        <w:t>organizado</w:t>
      </w:r>
      <w:r w:rsidRPr="00A96787">
        <w:rPr>
          <w:lang w:val="es-ES"/>
        </w:rPr>
        <w:t xml:space="preserve"> </w:t>
      </w:r>
      <w:r w:rsidRPr="00A96787">
        <w:rPr>
          <w:rStyle w:val="hps"/>
          <w:lang w:val="es-ES"/>
        </w:rPr>
        <w:t>una serie de talleres</w:t>
      </w:r>
      <w:r w:rsidRPr="00A96787">
        <w:rPr>
          <w:lang w:val="es-ES"/>
        </w:rPr>
        <w:t xml:space="preserve"> </w:t>
      </w:r>
      <w:r w:rsidRPr="00A96787">
        <w:rPr>
          <w:rStyle w:val="hps"/>
          <w:lang w:val="es-ES"/>
        </w:rPr>
        <w:t>y seminarios</w:t>
      </w:r>
      <w:r w:rsidRPr="00A96787">
        <w:rPr>
          <w:lang w:val="es-ES"/>
        </w:rPr>
        <w:t xml:space="preserve"> que revisten una importancia especial </w:t>
      </w:r>
      <w:r w:rsidRPr="00A96787">
        <w:rPr>
          <w:rStyle w:val="hps"/>
          <w:lang w:val="es-ES"/>
        </w:rPr>
        <w:t>para</w:t>
      </w:r>
      <w:r w:rsidRPr="00A96787">
        <w:rPr>
          <w:lang w:val="es-ES"/>
        </w:rPr>
        <w:t xml:space="preserve"> </w:t>
      </w:r>
      <w:r w:rsidRPr="00A96787">
        <w:rPr>
          <w:rStyle w:val="hps"/>
          <w:lang w:val="es-ES"/>
        </w:rPr>
        <w:t>los países en desarrollo</w:t>
      </w:r>
      <w:r w:rsidRPr="00A96787">
        <w:rPr>
          <w:lang w:val="es-ES"/>
        </w:rPr>
        <w:t xml:space="preserve">. </w:t>
      </w:r>
      <w:r w:rsidRPr="00A96787">
        <w:rPr>
          <w:rStyle w:val="hps"/>
          <w:lang w:val="es-ES"/>
        </w:rPr>
        <w:t>Estos eventos</w:t>
      </w:r>
      <w:r w:rsidRPr="00A96787">
        <w:rPr>
          <w:lang w:val="es-ES"/>
        </w:rPr>
        <w:t xml:space="preserve"> </w:t>
      </w:r>
      <w:r w:rsidRPr="00A96787">
        <w:rPr>
          <w:rStyle w:val="hps"/>
          <w:lang w:val="es-ES"/>
        </w:rPr>
        <w:t>abarcan una</w:t>
      </w:r>
      <w:r w:rsidRPr="00A96787">
        <w:rPr>
          <w:lang w:val="es-ES"/>
        </w:rPr>
        <w:t xml:space="preserve"> </w:t>
      </w:r>
      <w:r w:rsidRPr="00A96787">
        <w:rPr>
          <w:rStyle w:val="hps"/>
          <w:lang w:val="es-ES"/>
        </w:rPr>
        <w:t>amplia gama de temas</w:t>
      </w:r>
      <w:r w:rsidRPr="00A96787">
        <w:rPr>
          <w:lang w:val="es-ES"/>
        </w:rPr>
        <w:t xml:space="preserve"> </w:t>
      </w:r>
      <w:r w:rsidRPr="00A96787">
        <w:rPr>
          <w:rStyle w:val="hps"/>
          <w:lang w:val="es-ES"/>
        </w:rPr>
        <w:t>relacionados con las tecnologías de</w:t>
      </w:r>
      <w:r w:rsidRPr="00A96787">
        <w:rPr>
          <w:lang w:val="es-ES"/>
        </w:rPr>
        <w:t xml:space="preserve"> </w:t>
      </w:r>
      <w:r w:rsidRPr="00A96787">
        <w:rPr>
          <w:rStyle w:val="hps"/>
          <w:lang w:val="es-ES"/>
        </w:rPr>
        <w:t>la información y</w:t>
      </w:r>
      <w:r w:rsidRPr="00A96787">
        <w:rPr>
          <w:lang w:val="es-ES"/>
        </w:rPr>
        <w:t xml:space="preserve"> </w:t>
      </w:r>
      <w:r w:rsidRPr="00A96787">
        <w:rPr>
          <w:rStyle w:val="hps"/>
          <w:lang w:val="es-ES"/>
        </w:rPr>
        <w:t>la comunicación</w:t>
      </w:r>
      <w:r w:rsidRPr="00A96787">
        <w:rPr>
          <w:lang w:val="es-ES"/>
        </w:rPr>
        <w:t xml:space="preserve"> </w:t>
      </w:r>
      <w:r w:rsidRPr="00A96787">
        <w:rPr>
          <w:rStyle w:val="hps"/>
          <w:lang w:val="es-ES"/>
        </w:rPr>
        <w:t>(</w:t>
      </w:r>
      <w:r w:rsidRPr="00A96787">
        <w:rPr>
          <w:lang w:val="es-ES"/>
        </w:rPr>
        <w:t>TIC),</w:t>
      </w:r>
      <w:r w:rsidRPr="00A96787">
        <w:rPr>
          <w:rStyle w:val="hps"/>
          <w:lang w:val="es-ES"/>
        </w:rPr>
        <w:t xml:space="preserve"> cuentan con la participación de</w:t>
      </w:r>
      <w:r w:rsidRPr="00A96787">
        <w:rPr>
          <w:lang w:val="es-ES"/>
        </w:rPr>
        <w:t xml:space="preserve"> </w:t>
      </w:r>
      <w:r w:rsidRPr="00A96787">
        <w:rPr>
          <w:rStyle w:val="hps"/>
          <w:lang w:val="es-ES"/>
        </w:rPr>
        <w:t>expertos de alto nivel</w:t>
      </w:r>
      <w:r w:rsidRPr="00A96787">
        <w:rPr>
          <w:lang w:val="es-ES"/>
        </w:rPr>
        <w:t xml:space="preserve"> </w:t>
      </w:r>
      <w:r w:rsidRPr="00A96787">
        <w:rPr>
          <w:rStyle w:val="hps"/>
          <w:lang w:val="es-ES"/>
        </w:rPr>
        <w:t xml:space="preserve">en calidad de oradores y </w:t>
      </w:r>
      <w:r w:rsidRPr="00A96787">
        <w:rPr>
          <w:lang w:val="es-ES"/>
        </w:rPr>
        <w:t>reúnen a un gran número de representantes de todos los sectores industriales, desde ingenieros hasta dirigentes.</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lang w:val="es-ES"/>
        </w:rPr>
      </w:pPr>
      <w:r w:rsidRPr="00A96787">
        <w:rPr>
          <w:rStyle w:val="hps"/>
          <w:lang w:val="es-ES"/>
        </w:rPr>
        <w:t>Además</w:t>
      </w:r>
      <w:r w:rsidRPr="00A96787">
        <w:rPr>
          <w:rStyle w:val="atn"/>
          <w:lang w:val="es-ES"/>
        </w:rPr>
        <w:t>, el UIT-</w:t>
      </w:r>
      <w:r w:rsidRPr="00A96787">
        <w:rPr>
          <w:lang w:val="es-ES"/>
        </w:rPr>
        <w:t xml:space="preserve">T </w:t>
      </w:r>
      <w:r w:rsidRPr="00A96787">
        <w:rPr>
          <w:rStyle w:val="hps"/>
          <w:lang w:val="es-ES"/>
        </w:rPr>
        <w:t>organiza</w:t>
      </w:r>
      <w:r w:rsidRPr="00A96787">
        <w:rPr>
          <w:lang w:val="es-ES"/>
        </w:rPr>
        <w:t xml:space="preserve"> </w:t>
      </w:r>
      <w:r w:rsidRPr="00A96787">
        <w:rPr>
          <w:rStyle w:val="hps"/>
          <w:lang w:val="es-ES"/>
        </w:rPr>
        <w:t>seminarios</w:t>
      </w:r>
      <w:r w:rsidRPr="00A96787">
        <w:rPr>
          <w:lang w:val="es-ES"/>
        </w:rPr>
        <w:t xml:space="preserve"> virtuales </w:t>
      </w:r>
      <w:r w:rsidRPr="00A96787">
        <w:rPr>
          <w:rStyle w:val="hps"/>
          <w:lang w:val="es-ES"/>
        </w:rPr>
        <w:t>independientes y</w:t>
      </w:r>
      <w:r w:rsidRPr="00A96787">
        <w:rPr>
          <w:lang w:val="es-ES"/>
        </w:rPr>
        <w:t xml:space="preserve"> </w:t>
      </w:r>
      <w:r w:rsidRPr="00A96787">
        <w:rPr>
          <w:rStyle w:val="hps"/>
          <w:lang w:val="es-ES"/>
        </w:rPr>
        <w:t>ofrece mecanismos de</w:t>
      </w:r>
      <w:r w:rsidRPr="00A96787">
        <w:rPr>
          <w:lang w:val="es-ES"/>
        </w:rPr>
        <w:t xml:space="preserve"> </w:t>
      </w:r>
      <w:r w:rsidRPr="00A96787">
        <w:rPr>
          <w:rStyle w:val="hps"/>
          <w:lang w:val="es-ES"/>
        </w:rPr>
        <w:t>participación a distancia</w:t>
      </w:r>
      <w:r w:rsidRPr="00A96787">
        <w:rPr>
          <w:lang w:val="es-ES"/>
        </w:rPr>
        <w:t xml:space="preserve"> </w:t>
      </w:r>
      <w:r w:rsidRPr="00A96787">
        <w:rPr>
          <w:rStyle w:val="hps"/>
          <w:lang w:val="es-ES"/>
        </w:rPr>
        <w:t>para muchos de</w:t>
      </w:r>
      <w:r w:rsidRPr="00A96787">
        <w:rPr>
          <w:lang w:val="es-ES"/>
        </w:rPr>
        <w:t xml:space="preserve"> </w:t>
      </w:r>
      <w:r w:rsidRPr="00A96787">
        <w:rPr>
          <w:rStyle w:val="hps"/>
          <w:lang w:val="es-ES"/>
        </w:rPr>
        <w:t>sus talleres</w:t>
      </w:r>
      <w:r w:rsidRPr="00A96787">
        <w:rPr>
          <w:lang w:val="es-ES"/>
        </w:rPr>
        <w:t xml:space="preserve">. </w:t>
      </w:r>
      <w:r w:rsidRPr="00A96787">
        <w:rPr>
          <w:rStyle w:val="hps"/>
          <w:lang w:val="es-ES"/>
        </w:rPr>
        <w:t>De esta manera</w:t>
      </w:r>
      <w:r w:rsidRPr="00A96787">
        <w:rPr>
          <w:lang w:val="es-ES"/>
        </w:rPr>
        <w:t xml:space="preserve">, los participantes </w:t>
      </w:r>
      <w:r w:rsidRPr="00A96787">
        <w:rPr>
          <w:rStyle w:val="hps"/>
          <w:lang w:val="es-ES"/>
        </w:rPr>
        <w:t>a distancia</w:t>
      </w:r>
      <w:r w:rsidRPr="00A96787">
        <w:rPr>
          <w:lang w:val="es-ES"/>
        </w:rPr>
        <w:t xml:space="preserve"> </w:t>
      </w:r>
      <w:r w:rsidRPr="00A96787">
        <w:rPr>
          <w:rStyle w:val="hps"/>
          <w:lang w:val="es-ES"/>
        </w:rPr>
        <w:t>pueden beneficiarse del contenido de</w:t>
      </w:r>
      <w:r w:rsidRPr="00A96787">
        <w:rPr>
          <w:lang w:val="es-ES"/>
        </w:rPr>
        <w:t xml:space="preserve"> </w:t>
      </w:r>
      <w:r w:rsidRPr="00A96787">
        <w:rPr>
          <w:rStyle w:val="hps"/>
          <w:lang w:val="es-ES"/>
        </w:rPr>
        <w:t>audio y</w:t>
      </w:r>
      <w:r w:rsidRPr="00A96787">
        <w:rPr>
          <w:lang w:val="es-ES"/>
        </w:rPr>
        <w:t xml:space="preserve"> </w:t>
      </w:r>
      <w:r w:rsidRPr="00A96787">
        <w:rPr>
          <w:rStyle w:val="hps"/>
          <w:lang w:val="es-ES"/>
        </w:rPr>
        <w:t xml:space="preserve">vídeo, las presentaciones en </w:t>
      </w:r>
      <w:proofErr w:type="spellStart"/>
      <w:r w:rsidRPr="00A96787">
        <w:rPr>
          <w:rStyle w:val="hps"/>
          <w:lang w:val="es-ES"/>
        </w:rPr>
        <w:t>Power</w:t>
      </w:r>
      <w:proofErr w:type="spellEnd"/>
      <w:r w:rsidRPr="00A96787">
        <w:rPr>
          <w:rStyle w:val="hps"/>
          <w:lang w:val="es-ES"/>
        </w:rPr>
        <w:t xml:space="preserve"> Point y la posibilidad de</w:t>
      </w:r>
      <w:r w:rsidRPr="00A96787">
        <w:rPr>
          <w:lang w:val="es-ES"/>
        </w:rPr>
        <w:t xml:space="preserve"> </w:t>
      </w:r>
      <w:r w:rsidRPr="00A96787">
        <w:rPr>
          <w:rStyle w:val="hps"/>
          <w:lang w:val="es-ES"/>
        </w:rPr>
        <w:t>formular preguntas a los oradores.</w:t>
      </w:r>
      <w:r w:rsidRPr="00A96787">
        <w:rPr>
          <w:lang w:val="es-ES"/>
        </w:rPr>
        <w:t xml:space="preserve"> Asimismo, </w:t>
      </w:r>
      <w:r w:rsidRPr="00A96787">
        <w:rPr>
          <w:rStyle w:val="hps"/>
          <w:lang w:val="es-ES"/>
        </w:rPr>
        <w:t>se ponen a su disposición diversos archivos</w:t>
      </w:r>
      <w:r w:rsidRPr="00A96787">
        <w:rPr>
          <w:lang w:val="es-ES"/>
        </w:rPr>
        <w:t>.</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lang w:val="es-ES"/>
        </w:rPr>
      </w:pPr>
      <w:r w:rsidRPr="00A96787">
        <w:rPr>
          <w:rStyle w:val="hps"/>
          <w:lang w:val="es-ES"/>
        </w:rPr>
        <w:t>Para obtener información más detallada,</w:t>
      </w:r>
      <w:r w:rsidRPr="00A96787">
        <w:rPr>
          <w:lang w:val="es-ES"/>
        </w:rPr>
        <w:t xml:space="preserve"> </w:t>
      </w:r>
      <w:r w:rsidRPr="00A96787">
        <w:rPr>
          <w:rStyle w:val="hps"/>
          <w:lang w:val="es-ES"/>
        </w:rPr>
        <w:t>sírvase consultar las siguientes páginas</w:t>
      </w:r>
      <w:r w:rsidRPr="00A96787">
        <w:rPr>
          <w:lang w:val="es-ES"/>
        </w:rPr>
        <w:t xml:space="preserve"> </w:t>
      </w:r>
      <w:r w:rsidRPr="00A96787">
        <w:rPr>
          <w:rStyle w:val="hps"/>
          <w:lang w:val="es-ES"/>
        </w:rPr>
        <w:t>web</w:t>
      </w:r>
      <w:r w:rsidRPr="00A96787">
        <w:rPr>
          <w:lang w:val="es-ES"/>
        </w:rPr>
        <w:t>:</w:t>
      </w:r>
    </w:p>
    <w:p w:rsidR="00013F68" w:rsidRPr="00A96787" w:rsidRDefault="00A31E61" w:rsidP="004D2F38">
      <w:pPr>
        <w:pStyle w:val="Enumlevel1"/>
        <w:numPr>
          <w:ilvl w:val="0"/>
          <w:numId w:val="17"/>
        </w:numPr>
        <w:tabs>
          <w:tab w:val="clear" w:pos="360"/>
        </w:tabs>
        <w:ind w:left="567" w:hanging="567"/>
        <w:rPr>
          <w:rFonts w:eastAsia="Times New Roman"/>
          <w:bCs/>
          <w:szCs w:val="19"/>
          <w:lang w:val="es-ES" w:eastAsia="en-US"/>
        </w:rPr>
      </w:pPr>
      <w:hyperlink r:id="rId40" w:history="1">
        <w:r w:rsidR="00013F68" w:rsidRPr="00A96787">
          <w:rPr>
            <w:rStyle w:val="Hyperlink"/>
            <w:rFonts w:eastAsia="Times New Roman"/>
            <w:szCs w:val="19"/>
            <w:lang w:val="es-ES" w:eastAsia="en-US"/>
          </w:rPr>
          <w:t>http://itu.int/en/ITU-T/Workshops-and-Seminars</w:t>
        </w:r>
      </w:hyperlink>
    </w:p>
    <w:p w:rsidR="00013F68" w:rsidRPr="00A96787" w:rsidRDefault="00A31E61" w:rsidP="004D2F38">
      <w:pPr>
        <w:pStyle w:val="Enumlevel1"/>
        <w:numPr>
          <w:ilvl w:val="0"/>
          <w:numId w:val="17"/>
        </w:numPr>
        <w:tabs>
          <w:tab w:val="clear" w:pos="360"/>
        </w:tabs>
        <w:ind w:left="567" w:hanging="567"/>
        <w:rPr>
          <w:rFonts w:eastAsia="Times New Roman"/>
          <w:bCs/>
          <w:szCs w:val="19"/>
          <w:lang w:val="es-ES" w:eastAsia="en-US"/>
        </w:rPr>
      </w:pPr>
      <w:hyperlink r:id="rId41" w:history="1">
        <w:r w:rsidR="00013F68" w:rsidRPr="00A96787">
          <w:rPr>
            <w:rStyle w:val="Hyperlink"/>
            <w:rFonts w:eastAsia="Times New Roman"/>
            <w:szCs w:val="19"/>
            <w:lang w:val="es-ES" w:eastAsia="en-US"/>
          </w:rPr>
          <w:t>http://itu.int/en/ITU-T/techwatch</w:t>
        </w:r>
      </w:hyperlink>
    </w:p>
    <w:p w:rsidR="00013F68" w:rsidRPr="00340022" w:rsidRDefault="00013F68" w:rsidP="000627F7">
      <w:pPr>
        <w:pStyle w:val="Heading4"/>
        <w:rPr>
          <w:lang w:val="es-ES_tradnl"/>
        </w:rPr>
      </w:pPr>
      <w:bookmarkStart w:id="103" w:name="_Toc365034446"/>
      <w:bookmarkStart w:id="104" w:name="_Toc365036821"/>
      <w:r w:rsidRPr="00340022">
        <w:rPr>
          <w:lang w:val="es-ES_tradnl"/>
        </w:rPr>
        <w:t>Grupo Asesor de Normalización de las Telecomunicaciones</w:t>
      </w:r>
      <w:bookmarkEnd w:id="103"/>
      <w:bookmarkEnd w:id="104"/>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El</w:t>
      </w:r>
      <w:r w:rsidRPr="00A96787">
        <w:rPr>
          <w:lang w:val="es-ES"/>
        </w:rPr>
        <w:t xml:space="preserve"> mandato del </w:t>
      </w:r>
      <w:r w:rsidRPr="00A96787">
        <w:rPr>
          <w:rStyle w:val="hps"/>
          <w:lang w:val="es-ES"/>
        </w:rPr>
        <w:t>GANT</w:t>
      </w:r>
      <w:r w:rsidRPr="00A96787">
        <w:rPr>
          <w:lang w:val="es-ES"/>
        </w:rPr>
        <w:t xml:space="preserve"> </w:t>
      </w:r>
      <w:r w:rsidRPr="00A96787">
        <w:rPr>
          <w:rStyle w:val="hps"/>
          <w:lang w:val="es-ES"/>
        </w:rPr>
        <w:t>consiste en ejercer de</w:t>
      </w:r>
      <w:r w:rsidRPr="00A96787">
        <w:rPr>
          <w:lang w:val="es-ES"/>
        </w:rPr>
        <w:t xml:space="preserve"> </w:t>
      </w:r>
      <w:r w:rsidRPr="00A96787">
        <w:rPr>
          <w:rStyle w:val="hps"/>
          <w:lang w:val="es-ES"/>
        </w:rPr>
        <w:t>órgano consultivo para</w:t>
      </w:r>
      <w:r w:rsidRPr="00A96787">
        <w:rPr>
          <w:lang w:val="es-ES"/>
        </w:rPr>
        <w:t xml:space="preserve"> </w:t>
      </w:r>
      <w:r w:rsidRPr="00A96787">
        <w:rPr>
          <w:rStyle w:val="hps"/>
          <w:lang w:val="es-ES"/>
        </w:rPr>
        <w:t>las</w:t>
      </w:r>
      <w:r w:rsidRPr="00A96787">
        <w:rPr>
          <w:lang w:val="es-ES"/>
        </w:rPr>
        <w:t xml:space="preserve"> </w:t>
      </w:r>
      <w:r w:rsidRPr="00A96787">
        <w:rPr>
          <w:rStyle w:val="hps"/>
          <w:lang w:val="es-ES"/>
        </w:rPr>
        <w:t>Comisiones de Estudio,</w:t>
      </w:r>
      <w:r w:rsidRPr="00A96787">
        <w:rPr>
          <w:lang w:val="es-ES"/>
        </w:rPr>
        <w:t xml:space="preserve"> </w:t>
      </w:r>
      <w:r w:rsidRPr="00A96787">
        <w:rPr>
          <w:rStyle w:val="hps"/>
          <w:lang w:val="es-ES"/>
        </w:rPr>
        <w:t>los Miembros</w:t>
      </w:r>
      <w:r w:rsidRPr="00A96787">
        <w:rPr>
          <w:lang w:val="es-ES"/>
        </w:rPr>
        <w:t xml:space="preserve"> </w:t>
      </w:r>
      <w:r w:rsidRPr="00A96787">
        <w:rPr>
          <w:rStyle w:val="hps"/>
          <w:lang w:val="es-ES"/>
        </w:rPr>
        <w:t>y el personal</w:t>
      </w:r>
      <w:r w:rsidRPr="00A96787">
        <w:rPr>
          <w:lang w:val="es-ES"/>
        </w:rPr>
        <w:t xml:space="preserve"> </w:t>
      </w:r>
      <w:r w:rsidRPr="00A96787">
        <w:rPr>
          <w:rStyle w:val="hps"/>
          <w:lang w:val="es-ES"/>
        </w:rPr>
        <w:t>del UIT</w:t>
      </w:r>
      <w:r w:rsidRPr="00A96787">
        <w:rPr>
          <w:lang w:val="es-ES"/>
        </w:rPr>
        <w:t xml:space="preserve">-T, teniendo siempre en cuenta </w:t>
      </w:r>
      <w:r w:rsidRPr="00A96787">
        <w:rPr>
          <w:rStyle w:val="hps"/>
          <w:lang w:val="es-ES"/>
        </w:rPr>
        <w:t>las necesidades de</w:t>
      </w:r>
      <w:r w:rsidRPr="00A96787">
        <w:rPr>
          <w:lang w:val="es-ES"/>
        </w:rPr>
        <w:t xml:space="preserve"> </w:t>
      </w:r>
      <w:r w:rsidRPr="00A96787">
        <w:rPr>
          <w:rStyle w:val="hps"/>
          <w:lang w:val="es-ES"/>
        </w:rPr>
        <w:t>todos</w:t>
      </w:r>
      <w:r w:rsidRPr="00A96787">
        <w:rPr>
          <w:lang w:val="es-ES"/>
        </w:rPr>
        <w:t xml:space="preserve">, </w:t>
      </w:r>
      <w:r w:rsidRPr="00A96787">
        <w:rPr>
          <w:rStyle w:val="hps"/>
          <w:lang w:val="es-ES"/>
        </w:rPr>
        <w:t>desde los países desarrollados y</w:t>
      </w:r>
      <w:r w:rsidRPr="00A96787">
        <w:rPr>
          <w:lang w:val="es-ES"/>
        </w:rPr>
        <w:t xml:space="preserve"> </w:t>
      </w:r>
      <w:r w:rsidRPr="00A96787">
        <w:rPr>
          <w:rStyle w:val="hps"/>
          <w:lang w:val="es-ES"/>
        </w:rPr>
        <w:t>en desarrollo,</w:t>
      </w:r>
      <w:r w:rsidRPr="00A96787">
        <w:rPr>
          <w:lang w:val="es-ES"/>
        </w:rPr>
        <w:t xml:space="preserve"> </w:t>
      </w:r>
      <w:r w:rsidRPr="00A96787">
        <w:rPr>
          <w:rStyle w:val="hps"/>
          <w:lang w:val="es-ES"/>
        </w:rPr>
        <w:t>hasta el sector industrial</w:t>
      </w:r>
      <w:r w:rsidRPr="00A96787">
        <w:rPr>
          <w:lang w:val="es-ES"/>
        </w:rPr>
        <w:t xml:space="preserve"> </w:t>
      </w:r>
      <w:r w:rsidRPr="00A96787">
        <w:rPr>
          <w:rStyle w:val="hps"/>
          <w:lang w:val="es-ES"/>
        </w:rPr>
        <w:t>y los gobiernos.</w:t>
      </w:r>
      <w:r w:rsidRPr="00A96787">
        <w:rPr>
          <w:lang w:val="es-ES"/>
        </w:rPr>
        <w:t xml:space="preserve"> Del mismo modo, </w:t>
      </w:r>
      <w:r w:rsidRPr="00A96787">
        <w:rPr>
          <w:rStyle w:val="hps"/>
          <w:lang w:val="es-ES"/>
        </w:rPr>
        <w:t>es responsable de</w:t>
      </w:r>
      <w:r w:rsidRPr="00A96787">
        <w:rPr>
          <w:lang w:val="es-ES"/>
        </w:rPr>
        <w:t xml:space="preserve"> </w:t>
      </w:r>
      <w:r w:rsidRPr="00A96787">
        <w:rPr>
          <w:rStyle w:val="hps"/>
          <w:lang w:val="es-ES"/>
        </w:rPr>
        <w:t>los procedimientos de trabajo</w:t>
      </w:r>
      <w:r w:rsidRPr="00A96787">
        <w:rPr>
          <w:lang w:val="es-ES"/>
        </w:rPr>
        <w:t xml:space="preserve"> </w:t>
      </w:r>
      <w:r w:rsidRPr="00A96787">
        <w:rPr>
          <w:rStyle w:val="hps"/>
          <w:lang w:val="es-ES"/>
        </w:rPr>
        <w:t>definidos</w:t>
      </w:r>
      <w:r w:rsidRPr="00A96787">
        <w:rPr>
          <w:lang w:val="es-ES"/>
        </w:rPr>
        <w:t xml:space="preserve"> </w:t>
      </w:r>
      <w:r w:rsidRPr="00A96787">
        <w:rPr>
          <w:rStyle w:val="hps"/>
          <w:lang w:val="es-ES"/>
        </w:rPr>
        <w:t>en las Recomendaciones</w:t>
      </w:r>
      <w:r w:rsidRPr="00A96787">
        <w:rPr>
          <w:lang w:val="es-ES"/>
        </w:rPr>
        <w:t xml:space="preserve"> </w:t>
      </w:r>
      <w:r w:rsidRPr="00A96787">
        <w:rPr>
          <w:rStyle w:val="hps"/>
          <w:lang w:val="es-ES"/>
        </w:rPr>
        <w:t>de la serie A</w:t>
      </w:r>
      <w:r w:rsidRPr="00A96787">
        <w:rPr>
          <w:lang w:val="es-ES"/>
        </w:rPr>
        <w:t xml:space="preserve"> </w:t>
      </w:r>
      <w:r w:rsidRPr="00A96787">
        <w:rPr>
          <w:rStyle w:val="hps"/>
          <w:lang w:val="es-ES"/>
        </w:rPr>
        <w:t>y de la organización</w:t>
      </w:r>
      <w:r w:rsidRPr="00A96787">
        <w:rPr>
          <w:lang w:val="es-ES"/>
        </w:rPr>
        <w:t xml:space="preserve"> </w:t>
      </w:r>
      <w:r w:rsidRPr="00A96787">
        <w:rPr>
          <w:rStyle w:val="hps"/>
          <w:lang w:val="es-ES"/>
        </w:rPr>
        <w:t>del programa de trabajo</w:t>
      </w:r>
      <w:r w:rsidRPr="00A96787">
        <w:rPr>
          <w:lang w:val="es-ES"/>
        </w:rPr>
        <w:t xml:space="preserve"> </w:t>
      </w:r>
      <w:r w:rsidRPr="00A96787">
        <w:rPr>
          <w:rStyle w:val="hps"/>
          <w:lang w:val="es-ES"/>
        </w:rPr>
        <w:t>del UIT-</w:t>
      </w:r>
      <w:r w:rsidRPr="00A96787">
        <w:rPr>
          <w:lang w:val="es-ES"/>
        </w:rPr>
        <w:t xml:space="preserve">T. Por último, </w:t>
      </w:r>
      <w:r w:rsidRPr="00A96787">
        <w:rPr>
          <w:rStyle w:val="hps"/>
          <w:lang w:val="es-ES"/>
        </w:rPr>
        <w:t>desempeña</w:t>
      </w:r>
      <w:r w:rsidRPr="00A96787">
        <w:rPr>
          <w:lang w:val="es-ES"/>
        </w:rPr>
        <w:t xml:space="preserve"> </w:t>
      </w:r>
      <w:r w:rsidRPr="00A96787">
        <w:rPr>
          <w:rStyle w:val="hps"/>
          <w:lang w:val="es-ES"/>
        </w:rPr>
        <w:t>dos funciones</w:t>
      </w:r>
      <w:r w:rsidRPr="00A96787">
        <w:rPr>
          <w:lang w:val="es-ES"/>
        </w:rPr>
        <w:t xml:space="preserve"> </w:t>
      </w:r>
      <w:r w:rsidRPr="00A96787">
        <w:rPr>
          <w:rStyle w:val="hps"/>
          <w:lang w:val="es-ES"/>
        </w:rPr>
        <w:t>extremadamente importantes</w:t>
      </w:r>
      <w:r w:rsidRPr="00A96787">
        <w:rPr>
          <w:lang w:val="es-ES"/>
        </w:rPr>
        <w:t xml:space="preserve"> </w:t>
      </w:r>
      <w:r w:rsidRPr="00A96787">
        <w:rPr>
          <w:rStyle w:val="hps"/>
          <w:lang w:val="es-ES"/>
        </w:rPr>
        <w:t>en el marco del UIT</w:t>
      </w:r>
      <w:r w:rsidRPr="00A96787">
        <w:rPr>
          <w:lang w:val="es-ES"/>
        </w:rPr>
        <w:t xml:space="preserve">-T, a saber, </w:t>
      </w:r>
      <w:r w:rsidRPr="00A96787">
        <w:rPr>
          <w:rStyle w:val="hps"/>
          <w:lang w:val="es-ES"/>
        </w:rPr>
        <w:t>el seguimiento de</w:t>
      </w:r>
      <w:r w:rsidRPr="00A96787">
        <w:rPr>
          <w:lang w:val="es-ES"/>
        </w:rPr>
        <w:t xml:space="preserve"> </w:t>
      </w:r>
      <w:r w:rsidRPr="00A96787">
        <w:rPr>
          <w:rStyle w:val="hps"/>
          <w:lang w:val="es-ES"/>
        </w:rPr>
        <w:t>la ejecución del</w:t>
      </w:r>
      <w:r w:rsidRPr="00A96787">
        <w:rPr>
          <w:lang w:val="es-ES"/>
        </w:rPr>
        <w:t xml:space="preserve"> </w:t>
      </w:r>
      <w:r w:rsidRPr="00A96787">
        <w:rPr>
          <w:rStyle w:val="hps"/>
          <w:lang w:val="es-ES"/>
        </w:rPr>
        <w:t>programa de trabajo y</w:t>
      </w:r>
      <w:r w:rsidRPr="00A96787">
        <w:rPr>
          <w:lang w:val="es-ES"/>
        </w:rPr>
        <w:t xml:space="preserve"> </w:t>
      </w:r>
      <w:r w:rsidRPr="00A96787">
        <w:rPr>
          <w:rStyle w:val="hps"/>
          <w:lang w:val="es-ES"/>
        </w:rPr>
        <w:t>el asesoramiento al Director</w:t>
      </w:r>
      <w:r w:rsidRPr="00A96787">
        <w:rPr>
          <w:lang w:val="es-ES"/>
        </w:rPr>
        <w:t xml:space="preserve"> </w:t>
      </w:r>
      <w:r w:rsidRPr="00A96787">
        <w:rPr>
          <w:rStyle w:val="hps"/>
          <w:lang w:val="es-ES"/>
        </w:rPr>
        <w:t>de la Secretaría</w:t>
      </w:r>
      <w:r w:rsidRPr="00A96787">
        <w:rPr>
          <w:lang w:val="es-ES"/>
        </w:rPr>
        <w:t xml:space="preserve"> </w:t>
      </w:r>
      <w:r w:rsidRPr="00A96787">
        <w:rPr>
          <w:rStyle w:val="hps"/>
          <w:lang w:val="es-ES"/>
        </w:rPr>
        <w:t>del UIT</w:t>
      </w:r>
      <w:r w:rsidRPr="00A96787">
        <w:rPr>
          <w:lang w:val="es-ES"/>
        </w:rPr>
        <w:t>-T.</w:t>
      </w:r>
    </w:p>
    <w:p w:rsidR="00013F68" w:rsidRPr="00340022" w:rsidRDefault="00013F68" w:rsidP="000627F7">
      <w:pPr>
        <w:pStyle w:val="Heading4"/>
        <w:rPr>
          <w:lang w:val="es-ES_tradnl"/>
        </w:rPr>
      </w:pPr>
      <w:bookmarkStart w:id="105" w:name="_Toc365034447"/>
      <w:bookmarkStart w:id="106" w:name="_Toc365036822"/>
      <w:r w:rsidRPr="00340022">
        <w:rPr>
          <w:lang w:val="es-ES_tradnl"/>
        </w:rPr>
        <w:t>Comisiones de Estudio del UIT-T</w:t>
      </w:r>
      <w:bookmarkEnd w:id="105"/>
      <w:bookmarkEnd w:id="106"/>
      <w:r w:rsidRPr="00340022">
        <w:rPr>
          <w:lang w:val="es-ES_tradnl"/>
        </w:rPr>
        <w:t xml:space="preserve"> </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Los trabajos en materia de normalización</w:t>
      </w:r>
      <w:r w:rsidRPr="00A96787">
        <w:rPr>
          <w:lang w:val="es-ES"/>
        </w:rPr>
        <w:t xml:space="preserve"> </w:t>
      </w:r>
      <w:r w:rsidRPr="00A96787">
        <w:rPr>
          <w:rStyle w:val="hps"/>
          <w:lang w:val="es-ES"/>
        </w:rPr>
        <w:t>se efectúan en Comisiones de Estudio (CE)</w:t>
      </w:r>
      <w:r w:rsidRPr="00A96787">
        <w:rPr>
          <w:lang w:val="es-ES"/>
        </w:rPr>
        <w:t xml:space="preserve"> </w:t>
      </w:r>
      <w:r w:rsidRPr="00A96787">
        <w:rPr>
          <w:rStyle w:val="hps"/>
          <w:lang w:val="es-ES"/>
        </w:rPr>
        <w:t>técnicas,</w:t>
      </w:r>
      <w:r w:rsidRPr="00A96787">
        <w:rPr>
          <w:lang w:val="es-ES"/>
        </w:rPr>
        <w:t xml:space="preserve"> </w:t>
      </w:r>
      <w:r w:rsidRPr="00A96787">
        <w:rPr>
          <w:rStyle w:val="hps"/>
          <w:lang w:val="es-ES"/>
        </w:rPr>
        <w:t>en las que</w:t>
      </w:r>
      <w:r w:rsidRPr="00A96787">
        <w:rPr>
          <w:lang w:val="es-ES"/>
        </w:rPr>
        <w:t xml:space="preserve"> </w:t>
      </w:r>
      <w:r w:rsidRPr="00A96787">
        <w:rPr>
          <w:rStyle w:val="hps"/>
          <w:lang w:val="es-ES"/>
        </w:rPr>
        <w:t>representantes de</w:t>
      </w:r>
      <w:r w:rsidRPr="00A96787">
        <w:rPr>
          <w:lang w:val="es-ES"/>
        </w:rPr>
        <w:t xml:space="preserve"> </w:t>
      </w:r>
      <w:r w:rsidRPr="00A96787">
        <w:rPr>
          <w:rStyle w:val="hps"/>
          <w:lang w:val="es-ES"/>
        </w:rPr>
        <w:t>los Miembros de</w:t>
      </w:r>
      <w:r w:rsidRPr="00A96787">
        <w:rPr>
          <w:lang w:val="es-ES"/>
        </w:rPr>
        <w:t>l</w:t>
      </w:r>
      <w:r w:rsidRPr="00A96787">
        <w:rPr>
          <w:rStyle w:val="hps"/>
          <w:lang w:val="es-ES"/>
        </w:rPr>
        <w:t xml:space="preserve"> UIT</w:t>
      </w:r>
      <w:r w:rsidRPr="00A96787">
        <w:rPr>
          <w:lang w:val="es-ES"/>
        </w:rPr>
        <w:t xml:space="preserve">-T </w:t>
      </w:r>
      <w:r w:rsidRPr="00A96787">
        <w:rPr>
          <w:rStyle w:val="hps"/>
          <w:lang w:val="es-ES"/>
        </w:rPr>
        <w:t>desarrollan</w:t>
      </w:r>
      <w:r w:rsidRPr="00A96787">
        <w:rPr>
          <w:lang w:val="es-ES"/>
        </w:rPr>
        <w:t xml:space="preserve"> </w:t>
      </w:r>
      <w:r w:rsidRPr="00A96787">
        <w:rPr>
          <w:rStyle w:val="hps"/>
          <w:lang w:val="es-ES"/>
        </w:rPr>
        <w:t>Recomendaciones (</w:t>
      </w:r>
      <w:r w:rsidRPr="00A96787">
        <w:rPr>
          <w:lang w:val="es-ES"/>
        </w:rPr>
        <w:t xml:space="preserve">normas) aplicables a los diversos </w:t>
      </w:r>
      <w:r w:rsidRPr="00A96787">
        <w:rPr>
          <w:rStyle w:val="hps"/>
          <w:lang w:val="es-ES"/>
        </w:rPr>
        <w:t>ámbitos de las telecomunicaciones</w:t>
      </w:r>
      <w:r w:rsidRPr="00A96787">
        <w:rPr>
          <w:lang w:val="es-ES"/>
        </w:rPr>
        <w:t xml:space="preserve"> </w:t>
      </w:r>
      <w:r w:rsidRPr="00A96787">
        <w:rPr>
          <w:rStyle w:val="hps"/>
          <w:lang w:val="es-ES"/>
        </w:rPr>
        <w:t>internacionales</w:t>
      </w:r>
      <w:r w:rsidRPr="00A96787">
        <w:rPr>
          <w:lang w:val="es-ES"/>
        </w:rPr>
        <w:t>.</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lang w:val="es-ES"/>
        </w:rPr>
        <w:t xml:space="preserve">El trabajo de las CE se organiza principalmente en Cuestiones de estudio, que realizan análisis técnicos </w:t>
      </w:r>
      <w:r w:rsidRPr="00A96787">
        <w:rPr>
          <w:rStyle w:val="hps"/>
          <w:lang w:val="es-ES"/>
        </w:rPr>
        <w:t>de áreas concretas de la</w:t>
      </w:r>
      <w:r w:rsidRPr="00A96787">
        <w:rPr>
          <w:lang w:val="es-ES"/>
        </w:rPr>
        <w:t xml:space="preserve"> </w:t>
      </w:r>
      <w:r w:rsidRPr="00A96787">
        <w:rPr>
          <w:rStyle w:val="hps"/>
          <w:lang w:val="es-ES"/>
        </w:rPr>
        <w:t>normalización de las telecomunicaciones</w:t>
      </w:r>
      <w:r w:rsidRPr="00A96787">
        <w:rPr>
          <w:lang w:val="es-ES"/>
        </w:rPr>
        <w:t xml:space="preserve">. </w:t>
      </w:r>
      <w:r w:rsidRPr="00A96787">
        <w:rPr>
          <w:rStyle w:val="hps"/>
          <w:lang w:val="es-ES"/>
        </w:rPr>
        <w:t>Todas las CE están encabezadas por un Presidente de la CE</w:t>
      </w:r>
      <w:r w:rsidRPr="00A96787">
        <w:rPr>
          <w:lang w:val="es-ES"/>
        </w:rPr>
        <w:t xml:space="preserve"> </w:t>
      </w:r>
      <w:r w:rsidRPr="00A96787">
        <w:rPr>
          <w:rStyle w:val="hps"/>
          <w:lang w:val="es-ES"/>
        </w:rPr>
        <w:t>y un número variable de</w:t>
      </w:r>
      <w:r w:rsidRPr="00A96787">
        <w:rPr>
          <w:lang w:val="es-ES"/>
        </w:rPr>
        <w:t xml:space="preserve"> </w:t>
      </w:r>
      <w:r w:rsidRPr="00A96787">
        <w:rPr>
          <w:rStyle w:val="hps"/>
          <w:lang w:val="es-ES"/>
        </w:rPr>
        <w:t>Vicepresidentes, todos ellos</w:t>
      </w:r>
      <w:r w:rsidRPr="00A96787">
        <w:rPr>
          <w:lang w:val="es-ES"/>
        </w:rPr>
        <w:t xml:space="preserve"> </w:t>
      </w:r>
      <w:r w:rsidRPr="00A96787">
        <w:rPr>
          <w:rStyle w:val="hps"/>
          <w:lang w:val="es-ES"/>
        </w:rPr>
        <w:t>designados por la</w:t>
      </w:r>
      <w:r w:rsidRPr="00A96787">
        <w:rPr>
          <w:lang w:val="es-ES"/>
        </w:rPr>
        <w:t xml:space="preserve"> </w:t>
      </w:r>
      <w:r w:rsidRPr="00A96787">
        <w:rPr>
          <w:rStyle w:val="hps"/>
          <w:lang w:val="es-ES"/>
        </w:rPr>
        <w:t>Asamblea Mundial de Normalización</w:t>
      </w:r>
      <w:r w:rsidRPr="00A96787">
        <w:rPr>
          <w:lang w:val="es-ES"/>
        </w:rPr>
        <w:t xml:space="preserve"> </w:t>
      </w:r>
      <w:r w:rsidRPr="00A96787">
        <w:rPr>
          <w:rStyle w:val="hps"/>
          <w:lang w:val="es-ES"/>
        </w:rPr>
        <w:t>de las Telecomunicaciones (</w:t>
      </w:r>
      <w:r w:rsidRPr="00A96787">
        <w:rPr>
          <w:lang w:val="es-ES"/>
        </w:rPr>
        <w:t>AMNT).</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lang w:val="es-ES"/>
        </w:rPr>
      </w:pPr>
      <w:r w:rsidRPr="00A96787">
        <w:rPr>
          <w:rStyle w:val="hps"/>
          <w:lang w:val="es-ES"/>
        </w:rPr>
        <w:t>En el marco de</w:t>
      </w:r>
      <w:r w:rsidRPr="00A96787">
        <w:rPr>
          <w:lang w:val="es-ES"/>
        </w:rPr>
        <w:t xml:space="preserve"> </w:t>
      </w:r>
      <w:r w:rsidRPr="00A96787">
        <w:rPr>
          <w:rStyle w:val="hps"/>
          <w:lang w:val="es-ES"/>
        </w:rPr>
        <w:t>la última</w:t>
      </w:r>
      <w:r w:rsidRPr="00A96787">
        <w:rPr>
          <w:lang w:val="es-ES"/>
        </w:rPr>
        <w:t xml:space="preserve"> </w:t>
      </w:r>
      <w:r w:rsidRPr="00A96787">
        <w:rPr>
          <w:rStyle w:val="hps"/>
          <w:lang w:val="es-ES"/>
        </w:rPr>
        <w:t>Asamblea Mundial de</w:t>
      </w:r>
      <w:r w:rsidRPr="00A96787">
        <w:rPr>
          <w:lang w:val="es-ES"/>
        </w:rPr>
        <w:t xml:space="preserve"> </w:t>
      </w:r>
      <w:r w:rsidRPr="00A96787">
        <w:rPr>
          <w:rStyle w:val="hps"/>
          <w:lang w:val="es-ES"/>
        </w:rPr>
        <w:t>Normalización de las Telecomunicaciones</w:t>
      </w:r>
      <w:r w:rsidRPr="00A96787">
        <w:rPr>
          <w:lang w:val="es-ES"/>
        </w:rPr>
        <w:t xml:space="preserve"> </w:t>
      </w:r>
      <w:r w:rsidRPr="00A96787">
        <w:rPr>
          <w:rStyle w:val="hps"/>
          <w:lang w:val="es-ES"/>
        </w:rPr>
        <w:t>(</w:t>
      </w:r>
      <w:proofErr w:type="spellStart"/>
      <w:r w:rsidRPr="00A96787">
        <w:rPr>
          <w:rStyle w:val="hps"/>
          <w:lang w:val="es-ES"/>
        </w:rPr>
        <w:t>Dubai</w:t>
      </w:r>
      <w:proofErr w:type="spellEnd"/>
      <w:r w:rsidRPr="00A96787">
        <w:rPr>
          <w:rStyle w:val="hps"/>
          <w:lang w:val="es-ES"/>
        </w:rPr>
        <w:t>,</w:t>
      </w:r>
      <w:r w:rsidRPr="00A96787">
        <w:rPr>
          <w:lang w:val="es-ES"/>
        </w:rPr>
        <w:t xml:space="preserve"> </w:t>
      </w:r>
      <w:r w:rsidRPr="00A96787">
        <w:rPr>
          <w:rStyle w:val="hps"/>
          <w:lang w:val="es-ES"/>
        </w:rPr>
        <w:t>2012</w:t>
      </w:r>
      <w:r w:rsidRPr="00A96787">
        <w:rPr>
          <w:lang w:val="es-ES"/>
        </w:rPr>
        <w:t xml:space="preserve">), </w:t>
      </w:r>
      <w:r w:rsidRPr="00A96787">
        <w:rPr>
          <w:rStyle w:val="hps"/>
          <w:lang w:val="es-ES"/>
        </w:rPr>
        <w:t>se decidió mantener las</w:t>
      </w:r>
      <w:r w:rsidRPr="00A96787">
        <w:rPr>
          <w:lang w:val="es-ES"/>
        </w:rPr>
        <w:t xml:space="preserve"> </w:t>
      </w:r>
      <w:r w:rsidRPr="00A96787">
        <w:rPr>
          <w:rStyle w:val="hps"/>
          <w:lang w:val="es-ES"/>
        </w:rPr>
        <w:t>diez</w:t>
      </w:r>
      <w:r w:rsidRPr="00A96787">
        <w:rPr>
          <w:lang w:val="es-ES"/>
        </w:rPr>
        <w:t xml:space="preserve"> </w:t>
      </w:r>
      <w:r w:rsidRPr="00A96787">
        <w:rPr>
          <w:rStyle w:val="hps"/>
          <w:lang w:val="es-ES"/>
        </w:rPr>
        <w:t>Comisiones de Estudio de UIT</w:t>
      </w:r>
      <w:r w:rsidRPr="00A96787">
        <w:rPr>
          <w:lang w:val="es-ES"/>
        </w:rPr>
        <w:t>-T</w:t>
      </w:r>
      <w:r w:rsidRPr="00A96787">
        <w:rPr>
          <w:rFonts w:eastAsia="Times New Roman"/>
          <w:szCs w:val="19"/>
          <w:lang w:val="es-ES" w:eastAsia="en-US"/>
        </w:rPr>
        <w:t>.</w:t>
      </w:r>
    </w:p>
    <w:p w:rsidR="00013F68" w:rsidRPr="00A96787" w:rsidRDefault="00013F68" w:rsidP="005A4281">
      <w:pPr>
        <w:rPr>
          <w:rFonts w:eastAsia="Times New Roman"/>
          <w:b/>
          <w:bCs/>
          <w:caps/>
          <w:szCs w:val="19"/>
          <w:lang w:val="es-ES" w:eastAsia="en-US"/>
        </w:rPr>
      </w:pPr>
      <w:r w:rsidRPr="00A96787">
        <w:rPr>
          <w:rFonts w:eastAsia="Times New Roman"/>
          <w:b/>
          <w:caps/>
          <w:szCs w:val="19"/>
          <w:lang w:val="es-ES" w:eastAsia="en-US"/>
        </w:rPr>
        <w:br w:type="page"/>
      </w:r>
    </w:p>
    <w:p w:rsidR="00013F68" w:rsidRPr="000627F7" w:rsidRDefault="00013F68" w:rsidP="000627F7">
      <w:pPr>
        <w:pStyle w:val="Heading1"/>
        <w:jc w:val="center"/>
        <w:rPr>
          <w:lang w:val="es-ES_tradnl"/>
        </w:rPr>
      </w:pPr>
      <w:bookmarkStart w:id="107" w:name="_Toc365034448"/>
      <w:bookmarkStart w:id="108" w:name="_Toc365036823"/>
      <w:bookmarkStart w:id="109" w:name="_Toc381259709"/>
      <w:r w:rsidRPr="000627F7">
        <w:rPr>
          <w:lang w:val="es-ES_tradnl"/>
        </w:rPr>
        <w:lastRenderedPageBreak/>
        <w:t>Comisión de Estudio 2 del UIT-T ― Aspectos operacionales del suministro de servicios y la gestión de las telecomunicaciones</w:t>
      </w:r>
      <w:bookmarkEnd w:id="107"/>
      <w:bookmarkEnd w:id="108"/>
      <w:bookmarkEnd w:id="109"/>
    </w:p>
    <w:p w:rsidR="00013F68" w:rsidRPr="00340022" w:rsidRDefault="00013F68" w:rsidP="000627F7">
      <w:pPr>
        <w:pStyle w:val="Heading4"/>
        <w:rPr>
          <w:lang w:val="es-ES_tradnl"/>
        </w:rPr>
      </w:pPr>
      <w:r w:rsidRPr="00340022">
        <w:rPr>
          <w:lang w:val="es-ES_tradnl"/>
        </w:rPr>
        <w:t>Alcance</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lang w:val="es-ES"/>
        </w:rPr>
      </w:pPr>
      <w:r w:rsidRPr="00A96787">
        <w:rPr>
          <w:lang w:val="es-ES"/>
        </w:rPr>
        <w:t>La Comisión de Estudio 2 del UIT-T es la Comisión Rectora para la definición de servicios (incluidos todos los tipos de servicios móviles), así como para la numeración y el encaminamiento. Es responsable de crear los principios de servicio y los requisitos operativos, incluidos los de facturación y calidad de servicio/calidad de funcionamiento de la red. Asimismo, elabora principios de servicio y requisitos operativos para las tecnologías actuales y en evolución. La Comisión de Estudio 2 es también la Comisión Rectora sobre telecomunicaciones para operaciones de socorro/alerta temprana, resistencia y recuperación de redes.</w:t>
      </w:r>
    </w:p>
    <w:p w:rsidR="00013F68" w:rsidRPr="00340022" w:rsidRDefault="00013F68" w:rsidP="000627F7">
      <w:pPr>
        <w:pStyle w:val="Heading4"/>
        <w:rPr>
          <w:lang w:val="es-ES_tradnl"/>
        </w:rPr>
      </w:pPr>
      <w:r w:rsidRPr="00340022">
        <w:rPr>
          <w:lang w:val="es-ES_tradnl"/>
        </w:rPr>
        <w:t>Se encarga de efectuar los estudios sobre:</w:t>
      </w:r>
    </w:p>
    <w:p w:rsidR="00013F68" w:rsidRPr="000627F7" w:rsidRDefault="00013F68" w:rsidP="000627F7">
      <w:pPr>
        <w:pStyle w:val="enumlev1"/>
        <w:spacing w:before="120"/>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principios</w:t>
      </w:r>
      <w:proofErr w:type="gramEnd"/>
      <w:r w:rsidRPr="000627F7">
        <w:rPr>
          <w:rFonts w:asciiTheme="minorHAnsi" w:eastAsia="SimHei" w:hAnsiTheme="minorHAnsi"/>
          <w:sz w:val="21"/>
          <w:szCs w:val="21"/>
        </w:rPr>
        <w:t xml:space="preserve"> de la prestación de servicios, definición y requisitos de explotación de la emulación de servicios;</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requisitos</w:t>
      </w:r>
      <w:proofErr w:type="gramEnd"/>
      <w:r w:rsidRPr="000627F7">
        <w:rPr>
          <w:rFonts w:asciiTheme="minorHAnsi" w:eastAsia="SimHei" w:hAnsiTheme="minorHAnsi"/>
          <w:sz w:val="21"/>
          <w:szCs w:val="21"/>
        </w:rPr>
        <w:t xml:space="preserve"> de numeración, denominación, direccionamiento e identificación, y asignación de recursos, incluidos los criterios y procedimientos para reservas, asignaciones y reclamaciones;</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requisitos</w:t>
      </w:r>
      <w:proofErr w:type="gramEnd"/>
      <w:r w:rsidRPr="000627F7">
        <w:rPr>
          <w:rFonts w:asciiTheme="minorHAnsi" w:eastAsia="SimHei" w:hAnsiTheme="minorHAnsi"/>
          <w:sz w:val="21"/>
          <w:szCs w:val="21"/>
        </w:rPr>
        <w:t xml:space="preserve"> de encaminamiento e </w:t>
      </w:r>
      <w:proofErr w:type="spellStart"/>
      <w:r w:rsidRPr="000627F7">
        <w:rPr>
          <w:rFonts w:asciiTheme="minorHAnsi" w:eastAsia="SimHei" w:hAnsiTheme="minorHAnsi"/>
          <w:sz w:val="21"/>
          <w:szCs w:val="21"/>
        </w:rPr>
        <w:t>interfuncionamiento</w:t>
      </w:r>
      <w:proofErr w:type="spellEnd"/>
      <w:r w:rsidRPr="000627F7">
        <w:rPr>
          <w:rFonts w:asciiTheme="minorHAnsi" w:eastAsia="SimHei" w:hAnsiTheme="minorHAnsi"/>
          <w:sz w:val="21"/>
          <w:szCs w:val="21"/>
        </w:rPr>
        <w:t>;</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factores</w:t>
      </w:r>
      <w:proofErr w:type="gramEnd"/>
      <w:r w:rsidRPr="000627F7">
        <w:rPr>
          <w:rFonts w:asciiTheme="minorHAnsi" w:eastAsia="SimHei" w:hAnsiTheme="minorHAnsi"/>
          <w:sz w:val="21"/>
          <w:szCs w:val="21"/>
        </w:rPr>
        <w:t xml:space="preserve"> humanos;</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aspectos</w:t>
      </w:r>
      <w:proofErr w:type="gramEnd"/>
      <w:r w:rsidRPr="000627F7">
        <w:rPr>
          <w:rFonts w:asciiTheme="minorHAnsi" w:eastAsia="SimHei" w:hAnsiTheme="minorHAnsi"/>
          <w:sz w:val="21"/>
          <w:szCs w:val="21"/>
        </w:rPr>
        <w:t xml:space="preserve"> operativos y de gestión de las redes, incluidos la gestión del tráfico de red, las designaciones y los procedimientos operativos relacionados con el transporte;</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aspectos</w:t>
      </w:r>
      <w:proofErr w:type="gramEnd"/>
      <w:r w:rsidRPr="000627F7">
        <w:rPr>
          <w:rFonts w:asciiTheme="minorHAnsi" w:eastAsia="SimHei" w:hAnsiTheme="minorHAnsi"/>
          <w:sz w:val="21"/>
          <w:szCs w:val="21"/>
        </w:rPr>
        <w:t xml:space="preserve"> de explotación del </w:t>
      </w:r>
      <w:proofErr w:type="spellStart"/>
      <w:r w:rsidRPr="000627F7">
        <w:rPr>
          <w:rFonts w:asciiTheme="minorHAnsi" w:eastAsia="SimHei" w:hAnsiTheme="minorHAnsi"/>
          <w:sz w:val="21"/>
          <w:szCs w:val="21"/>
        </w:rPr>
        <w:t>interfuncionamiento</w:t>
      </w:r>
      <w:proofErr w:type="spellEnd"/>
      <w:r w:rsidRPr="000627F7">
        <w:rPr>
          <w:rFonts w:asciiTheme="minorHAnsi" w:eastAsia="SimHei" w:hAnsiTheme="minorHAnsi"/>
          <w:sz w:val="21"/>
          <w:szCs w:val="21"/>
        </w:rPr>
        <w:t xml:space="preserve"> entre redes de telecomunicaciones tradicionales y en evolución;</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evaluación</w:t>
      </w:r>
      <w:proofErr w:type="gramEnd"/>
      <w:r w:rsidRPr="000627F7">
        <w:rPr>
          <w:rFonts w:asciiTheme="minorHAnsi" w:eastAsia="SimHei" w:hAnsiTheme="minorHAnsi"/>
          <w:sz w:val="21"/>
          <w:szCs w:val="21"/>
        </w:rPr>
        <w:t xml:space="preserve"> de las experiencias notificadas por operadores, fabricantes y usuarios sobre diversos aspectos de la explotación de redes;</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gestión</w:t>
      </w:r>
      <w:proofErr w:type="gramEnd"/>
      <w:r w:rsidRPr="000627F7">
        <w:rPr>
          <w:rFonts w:asciiTheme="minorHAnsi" w:eastAsia="SimHei" w:hAnsiTheme="minorHAnsi"/>
          <w:sz w:val="21"/>
          <w:szCs w:val="21"/>
        </w:rPr>
        <w:t xml:space="preserve"> de servicios, redes y equipos de telecomunicaciones a través de sistemas de gestión, incluidos el soporte de las redes de la próxima generación (NGN) y la aplicación y evolución del marco de la red de gestión de telecomunicaciones (RGT);</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garantía</w:t>
      </w:r>
      <w:proofErr w:type="gramEnd"/>
      <w:r w:rsidRPr="000627F7">
        <w:rPr>
          <w:rFonts w:asciiTheme="minorHAnsi" w:eastAsia="SimHei" w:hAnsiTheme="minorHAnsi"/>
          <w:sz w:val="21"/>
          <w:szCs w:val="21"/>
        </w:rPr>
        <w:t xml:space="preserve"> de la coherencia del formato y la estructura de los identificadores </w:t>
      </w:r>
      <w:proofErr w:type="spellStart"/>
      <w:r w:rsidRPr="000627F7">
        <w:rPr>
          <w:rFonts w:asciiTheme="minorHAnsi" w:eastAsia="SimHei" w:hAnsiTheme="minorHAnsi"/>
          <w:sz w:val="21"/>
          <w:szCs w:val="21"/>
        </w:rPr>
        <w:t>IdM</w:t>
      </w:r>
      <w:proofErr w:type="spellEnd"/>
      <w:r w:rsidRPr="000627F7">
        <w:rPr>
          <w:rFonts w:asciiTheme="minorHAnsi" w:eastAsia="SimHei" w:hAnsiTheme="minorHAnsi"/>
          <w:sz w:val="21"/>
          <w:szCs w:val="21"/>
        </w:rPr>
        <w:t>; y</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especificación</w:t>
      </w:r>
      <w:proofErr w:type="gramEnd"/>
      <w:r w:rsidRPr="000627F7">
        <w:rPr>
          <w:rFonts w:asciiTheme="minorHAnsi" w:eastAsia="SimHei" w:hAnsiTheme="minorHAnsi"/>
          <w:sz w:val="21"/>
          <w:szCs w:val="21"/>
        </w:rPr>
        <w:t xml:space="preserve"> de interfaces con los sistemas de gestión para el soporte de la comunicación de información de identidad dentro de dominios administrativos o entre ellos.</w:t>
      </w:r>
    </w:p>
    <w:p w:rsidR="00013F68" w:rsidRPr="00340022" w:rsidRDefault="00013F68" w:rsidP="000627F7">
      <w:pPr>
        <w:pStyle w:val="Heading4"/>
        <w:rPr>
          <w:lang w:val="es-ES_tradnl"/>
        </w:rPr>
      </w:pPr>
      <w:r w:rsidRPr="00340022">
        <w:rPr>
          <w:lang w:val="es-ES_tradnl"/>
        </w:rPr>
        <w:t xml:space="preserve">Temas de </w:t>
      </w:r>
      <w:proofErr w:type="gramStart"/>
      <w:r w:rsidRPr="00340022">
        <w:rPr>
          <w:lang w:val="es-ES_tradnl"/>
        </w:rPr>
        <w:t>estudio específicos</w:t>
      </w:r>
      <w:proofErr w:type="gramEnd"/>
      <w:r w:rsidRPr="00340022">
        <w:rPr>
          <w:lang w:val="es-ES_tradnl"/>
        </w:rPr>
        <w:t>:</w:t>
      </w:r>
    </w:p>
    <w:p w:rsidR="00013F68" w:rsidRPr="000627F7" w:rsidRDefault="00013F68" w:rsidP="000627F7">
      <w:pPr>
        <w:pStyle w:val="enumlev1"/>
        <w:spacing w:before="120"/>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t>Comisión de Estudio Rectora para la definición de servicios, la numeración y el encaminamiento;</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t xml:space="preserve">Comisión de Estudio Rectora sobre telecomunicaciones para operaciones de socorro/alerta temprana, resistencia y recuperación de redes; y </w:t>
      </w:r>
    </w:p>
    <w:p w:rsidR="00013F68" w:rsidRPr="000627F7" w:rsidRDefault="00013F68" w:rsidP="000627F7">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t>Comisión de Estudio Rectora sobre gestión de las telecomunicaciones.</w:t>
      </w:r>
    </w:p>
    <w:p w:rsidR="00013F68" w:rsidRPr="00340022" w:rsidRDefault="00013F68" w:rsidP="000627F7">
      <w:pPr>
        <w:pStyle w:val="Heading4"/>
        <w:rPr>
          <w:lang w:val="es-ES_tradnl"/>
        </w:rPr>
      </w:pPr>
      <w:r w:rsidRPr="00340022">
        <w:rPr>
          <w:lang w:val="es-ES_tradnl"/>
        </w:rPr>
        <w:t>Aspectos de particular interés para los países en desarrollo</w:t>
      </w:r>
    </w:p>
    <w:p w:rsidR="00013F68" w:rsidRPr="009C6C14" w:rsidRDefault="00013F68" w:rsidP="005A4281">
      <w:pPr>
        <w:rPr>
          <w:szCs w:val="19"/>
          <w:lang w:val="es-ES" w:eastAsia="en-US"/>
        </w:rPr>
      </w:pPr>
      <w:r w:rsidRPr="009C6C14">
        <w:rPr>
          <w:szCs w:val="19"/>
          <w:lang w:val="es-ES" w:eastAsia="en-US"/>
        </w:rPr>
        <w:t>Los siguientes temas revisten un interés especial para los países en desarrollo:</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comunicación</w:t>
      </w:r>
      <w:proofErr w:type="gramEnd"/>
      <w:r w:rsidRPr="000627F7">
        <w:rPr>
          <w:rFonts w:asciiTheme="minorHAnsi" w:eastAsia="SimHei" w:hAnsiTheme="minorHAnsi"/>
          <w:sz w:val="21"/>
          <w:szCs w:val="21"/>
        </w:rPr>
        <w:t xml:space="preserve"> del número de la parte llamante (CPND), identificación de la línea llamante e identificación del origen (OI);</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indicativos</w:t>
      </w:r>
      <w:proofErr w:type="gramEnd"/>
      <w:r w:rsidRPr="000627F7">
        <w:rPr>
          <w:rFonts w:asciiTheme="minorHAnsi" w:eastAsia="SimHei" w:hAnsiTheme="minorHAnsi"/>
          <w:sz w:val="21"/>
          <w:szCs w:val="21"/>
        </w:rPr>
        <w:t xml:space="preserve"> de país compartidos E.164 (recursos no geográficos);</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números</w:t>
      </w:r>
      <w:proofErr w:type="gramEnd"/>
      <w:r w:rsidRPr="000627F7">
        <w:rPr>
          <w:rFonts w:asciiTheme="minorHAnsi" w:eastAsia="SimHei" w:hAnsiTheme="minorHAnsi"/>
          <w:sz w:val="21"/>
          <w:szCs w:val="21"/>
        </w:rPr>
        <w:t xml:space="preserve"> armonizados a escala mundial;</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utilización</w:t>
      </w:r>
      <w:proofErr w:type="gramEnd"/>
      <w:r w:rsidRPr="000627F7">
        <w:rPr>
          <w:rFonts w:asciiTheme="minorHAnsi" w:eastAsia="SimHei" w:hAnsiTheme="minorHAnsi"/>
          <w:sz w:val="21"/>
          <w:szCs w:val="21"/>
        </w:rPr>
        <w:t xml:space="preserve"> indebida de los recursos de numeración;</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lastRenderedPageBreak/>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disponibilidad</w:t>
      </w:r>
      <w:proofErr w:type="gramEnd"/>
      <w:r w:rsidRPr="000627F7">
        <w:rPr>
          <w:rFonts w:asciiTheme="minorHAnsi" w:eastAsia="SimHei" w:hAnsiTheme="minorHAnsi"/>
          <w:sz w:val="21"/>
          <w:szCs w:val="21"/>
        </w:rPr>
        <w:t xml:space="preserve"> de la información de encaminamiento;</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t>ENUM (correspondencia de números de teléfono);</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servicio</w:t>
      </w:r>
      <w:proofErr w:type="gramEnd"/>
      <w:r w:rsidRPr="000627F7">
        <w:rPr>
          <w:rFonts w:asciiTheme="minorHAnsi" w:eastAsia="SimHei" w:hAnsiTheme="minorHAnsi"/>
          <w:sz w:val="21"/>
          <w:szCs w:val="21"/>
        </w:rPr>
        <w:t xml:space="preserve"> de telecomunicaciones de emergencia y difusión de células;</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telecomunicaciones</w:t>
      </w:r>
      <w:proofErr w:type="gramEnd"/>
      <w:r w:rsidRPr="000627F7">
        <w:rPr>
          <w:rFonts w:asciiTheme="minorHAnsi" w:eastAsia="SimHei" w:hAnsiTheme="minorHAnsi"/>
          <w:sz w:val="21"/>
          <w:szCs w:val="21"/>
        </w:rPr>
        <w:t xml:space="preserve"> para operaciones de socorro, resistencia y recuperación de redes;</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asignación</w:t>
      </w:r>
      <w:proofErr w:type="gramEnd"/>
      <w:r w:rsidRPr="000627F7">
        <w:rPr>
          <w:rFonts w:asciiTheme="minorHAnsi" w:eastAsia="SimHei" w:hAnsiTheme="minorHAnsi"/>
          <w:sz w:val="21"/>
          <w:szCs w:val="21"/>
        </w:rPr>
        <w:t xml:space="preserve"> de direcciones IP y medidas encaminadas a facilitar la transición a la IPv6, conforme a la resolución 64 de la AMNT; y</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finanzas</w:t>
      </w:r>
      <w:proofErr w:type="gramEnd"/>
      <w:r w:rsidRPr="000627F7">
        <w:rPr>
          <w:rFonts w:asciiTheme="minorHAnsi" w:eastAsia="SimHei" w:hAnsiTheme="minorHAnsi"/>
          <w:sz w:val="21"/>
          <w:szCs w:val="21"/>
        </w:rPr>
        <w:t xml:space="preserve"> de las telecomunicaciones;</w:t>
      </w:r>
    </w:p>
    <w:p w:rsidR="00013F68" w:rsidRPr="000627F7" w:rsidRDefault="00013F68" w:rsidP="005A4281">
      <w:pPr>
        <w:pStyle w:val="enumlev1"/>
        <w:rPr>
          <w:rFonts w:asciiTheme="minorHAnsi" w:eastAsia="SimHei" w:hAnsiTheme="minorHAnsi"/>
          <w:sz w:val="21"/>
          <w:szCs w:val="21"/>
        </w:rPr>
      </w:pPr>
      <w:r w:rsidRPr="000627F7">
        <w:rPr>
          <w:rFonts w:asciiTheme="minorHAnsi" w:eastAsia="SimHei" w:hAnsiTheme="minorHAnsi"/>
          <w:sz w:val="21"/>
          <w:szCs w:val="21"/>
        </w:rPr>
        <w:t>•</w:t>
      </w:r>
      <w:r w:rsidRPr="000627F7">
        <w:rPr>
          <w:rFonts w:asciiTheme="minorHAnsi" w:eastAsia="SimHei" w:hAnsiTheme="minorHAnsi"/>
          <w:sz w:val="21"/>
          <w:szCs w:val="21"/>
        </w:rPr>
        <w:tab/>
      </w:r>
      <w:proofErr w:type="gramStart"/>
      <w:r w:rsidRPr="000627F7">
        <w:rPr>
          <w:rFonts w:asciiTheme="minorHAnsi" w:eastAsia="SimHei" w:hAnsiTheme="minorHAnsi"/>
          <w:sz w:val="21"/>
          <w:szCs w:val="21"/>
        </w:rPr>
        <w:t>accesibilidad</w:t>
      </w:r>
      <w:proofErr w:type="gramEnd"/>
      <w:r w:rsidRPr="000627F7">
        <w:rPr>
          <w:rFonts w:asciiTheme="minorHAnsi" w:eastAsia="SimHei" w:hAnsiTheme="minorHAnsi"/>
          <w:sz w:val="21"/>
          <w:szCs w:val="21"/>
        </w:rPr>
        <w:t xml:space="preserve"> y factores humanos.</w:t>
      </w:r>
    </w:p>
    <w:p w:rsidR="00013F68" w:rsidRPr="00340022" w:rsidRDefault="00013F68" w:rsidP="000627F7">
      <w:pPr>
        <w:pStyle w:val="Heading4"/>
        <w:rPr>
          <w:lang w:val="es-ES_tradnl"/>
        </w:rPr>
      </w:pPr>
      <w:r w:rsidRPr="00340022">
        <w:rPr>
          <w:lang w:val="es-ES_tradnl"/>
        </w:rPr>
        <w:t>Estructura de la Comisión de Estudio 2</w:t>
      </w:r>
    </w:p>
    <w:p w:rsidR="000627F7" w:rsidRPr="00340022" w:rsidRDefault="000627F7" w:rsidP="000627F7">
      <w:pPr>
        <w:pStyle w:val="Figuretitle"/>
        <w:rPr>
          <w:lang w:val="es-ES_tradnl"/>
        </w:rPr>
      </w:pPr>
    </w:p>
    <w:p w:rsidR="000627F7" w:rsidRDefault="000627F7" w:rsidP="000627F7">
      <w:pPr>
        <w:pStyle w:val="Figure"/>
      </w:pPr>
      <w:r w:rsidRPr="00CA783C">
        <w:rPr>
          <w:rFonts w:cs="Calibri"/>
          <w:noProof/>
          <w:szCs w:val="21"/>
          <w:lang w:val="en-US" w:eastAsia="zh-CN"/>
        </w:rPr>
        <w:drawing>
          <wp:inline distT="0" distB="0" distL="0" distR="0" wp14:anchorId="1CCBE980" wp14:editId="55C9852D">
            <wp:extent cx="2703600" cy="2185200"/>
            <wp:effectExtent l="0" t="0" r="1905" b="5715"/>
            <wp:docPr id="450" name="Picture 5" descr="S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3600" cy="2185200"/>
                    </a:xfrm>
                    <a:prstGeom prst="rect">
                      <a:avLst/>
                    </a:prstGeom>
                  </pic:spPr>
                </pic:pic>
              </a:graphicData>
            </a:graphic>
          </wp:inline>
        </w:drawing>
      </w:r>
    </w:p>
    <w:p w:rsidR="000627F7" w:rsidRPr="00837668" w:rsidRDefault="000627F7" w:rsidP="000627F7">
      <w:pPr>
        <w:pStyle w:val="figuresource"/>
        <w:rPr>
          <w:lang w:val="en-US"/>
        </w:rPr>
      </w:pPr>
    </w:p>
    <w:p w:rsidR="00013F68" w:rsidRPr="00340022" w:rsidRDefault="00013F68" w:rsidP="000627F7">
      <w:pPr>
        <w:pStyle w:val="Heading4"/>
        <w:rPr>
          <w:lang w:val="es-ES_tradnl"/>
        </w:rPr>
      </w:pPr>
      <w:r w:rsidRPr="00340022">
        <w:rPr>
          <w:lang w:val="es-ES_tradnl"/>
        </w:rPr>
        <w:t>Cuestiones</w:t>
      </w:r>
    </w:p>
    <w:p w:rsidR="00013F68" w:rsidRDefault="00013F68" w:rsidP="005A4281">
      <w:pPr>
        <w:tabs>
          <w:tab w:val="left" w:pos="0"/>
        </w:tabs>
        <w:spacing w:line="240" w:lineRule="atLeast"/>
        <w:rPr>
          <w:lang w:val="es-ES"/>
        </w:rPr>
      </w:pPr>
      <w:r w:rsidRPr="00A96787">
        <w:rPr>
          <w:rStyle w:val="hps"/>
          <w:lang w:val="es-ES"/>
        </w:rPr>
        <w:t>Se modificaron las Cuestiones de la CE</w:t>
      </w:r>
      <w:r>
        <w:rPr>
          <w:rStyle w:val="hps"/>
          <w:lang w:val="es-ES"/>
        </w:rPr>
        <w:t> </w:t>
      </w:r>
      <w:r w:rsidRPr="00A96787">
        <w:rPr>
          <w:rStyle w:val="hps"/>
          <w:lang w:val="es-ES"/>
        </w:rPr>
        <w:t>2</w:t>
      </w:r>
      <w:r w:rsidRPr="00A96787">
        <w:rPr>
          <w:lang w:val="es-ES"/>
        </w:rPr>
        <w:t xml:space="preserve"> </w:t>
      </w:r>
      <w:r w:rsidRPr="00A96787">
        <w:rPr>
          <w:rStyle w:val="hps"/>
          <w:lang w:val="es-ES"/>
        </w:rPr>
        <w:t>de acuerdo con</w:t>
      </w:r>
      <w:r w:rsidRPr="00A96787">
        <w:rPr>
          <w:lang w:val="es-ES"/>
        </w:rPr>
        <w:t xml:space="preserve"> </w:t>
      </w:r>
      <w:r w:rsidRPr="00A96787">
        <w:rPr>
          <w:rStyle w:val="hps"/>
          <w:lang w:val="es-ES"/>
        </w:rPr>
        <w:t>los resultados de</w:t>
      </w:r>
      <w:r w:rsidRPr="00A96787">
        <w:rPr>
          <w:lang w:val="es-ES"/>
        </w:rPr>
        <w:t xml:space="preserve"> </w:t>
      </w:r>
      <w:r w:rsidRPr="00A96787">
        <w:rPr>
          <w:rStyle w:val="hps"/>
          <w:lang w:val="es-ES"/>
        </w:rPr>
        <w:t>la AMNT</w:t>
      </w:r>
      <w:r w:rsidRPr="00A96787">
        <w:rPr>
          <w:lang w:val="es-ES"/>
        </w:rPr>
        <w:t xml:space="preserve"> </w:t>
      </w:r>
      <w:r w:rsidRPr="00A96787">
        <w:rPr>
          <w:rStyle w:val="hps"/>
          <w:lang w:val="es-ES"/>
        </w:rPr>
        <w:t>(</w:t>
      </w:r>
      <w:proofErr w:type="spellStart"/>
      <w:r w:rsidRPr="00A96787">
        <w:rPr>
          <w:rStyle w:val="hps"/>
          <w:lang w:val="es-ES"/>
        </w:rPr>
        <w:t>Dubai</w:t>
      </w:r>
      <w:proofErr w:type="spellEnd"/>
      <w:r w:rsidRPr="00A96787">
        <w:rPr>
          <w:rStyle w:val="hps"/>
          <w:lang w:val="es-ES"/>
        </w:rPr>
        <w:t>,</w:t>
      </w:r>
      <w:r w:rsidRPr="00A96787">
        <w:rPr>
          <w:lang w:val="es-ES"/>
        </w:rPr>
        <w:t xml:space="preserve"> </w:t>
      </w:r>
      <w:r w:rsidRPr="00A96787">
        <w:rPr>
          <w:rStyle w:val="hps"/>
          <w:lang w:val="es-ES"/>
        </w:rPr>
        <w:t>2012</w:t>
      </w:r>
      <w:r w:rsidRPr="00A96787">
        <w:rPr>
          <w:lang w:val="es-ES"/>
        </w:rPr>
        <w:t xml:space="preserve">), </w:t>
      </w:r>
      <w:r w:rsidRPr="00A96787">
        <w:rPr>
          <w:rStyle w:val="hps"/>
          <w:lang w:val="es-ES"/>
        </w:rPr>
        <w:t>y</w:t>
      </w:r>
      <w:r w:rsidRPr="00A96787">
        <w:rPr>
          <w:lang w:val="es-ES"/>
        </w:rPr>
        <w:t xml:space="preserve"> </w:t>
      </w:r>
      <w:r w:rsidRPr="00A96787">
        <w:rPr>
          <w:rStyle w:val="hps"/>
          <w:lang w:val="es-ES"/>
        </w:rPr>
        <w:t>su número se redujo de</w:t>
      </w:r>
      <w:r w:rsidRPr="00A96787">
        <w:rPr>
          <w:lang w:val="es-ES"/>
        </w:rPr>
        <w:t xml:space="preserve"> </w:t>
      </w:r>
      <w:r w:rsidRPr="00A96787">
        <w:rPr>
          <w:rStyle w:val="hps"/>
          <w:lang w:val="es-ES"/>
        </w:rPr>
        <w:t>14</w:t>
      </w:r>
      <w:r w:rsidRPr="00A96787">
        <w:rPr>
          <w:lang w:val="es-ES"/>
        </w:rPr>
        <w:t xml:space="preserve"> </w:t>
      </w:r>
      <w:r w:rsidRPr="00A96787">
        <w:rPr>
          <w:rStyle w:val="hps"/>
          <w:lang w:val="es-ES"/>
        </w:rPr>
        <w:t>a</w:t>
      </w:r>
      <w:r w:rsidRPr="00A96787">
        <w:rPr>
          <w:lang w:val="es-ES"/>
        </w:rPr>
        <w:t xml:space="preserve"> </w:t>
      </w:r>
      <w:r w:rsidRPr="00A96787">
        <w:rPr>
          <w:rStyle w:val="hps"/>
          <w:lang w:val="es-ES"/>
        </w:rPr>
        <w:t>7 Cuestiones</w:t>
      </w:r>
      <w:r w:rsidRPr="00A96787">
        <w:rPr>
          <w:lang w:val="es-ES"/>
        </w:rPr>
        <w:t>, a saber:</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C1/2:</w:t>
      </w:r>
      <w:r w:rsidRPr="00340022">
        <w:rPr>
          <w:lang w:val="es-ES_tradnl"/>
        </w:rPr>
        <w:tab/>
        <w:t>Aplicación de los planes de numeración, denominación, direccionamiento e identificación para los servicios de telecomunicaciones fijo y móvil (continuación del trabajo de la C1/2 y parte del de la C6/2);</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C2/2:</w:t>
      </w:r>
      <w:r w:rsidRPr="00340022">
        <w:rPr>
          <w:lang w:val="es-ES_tradnl"/>
        </w:rPr>
        <w:tab/>
        <w:t xml:space="preserve">Planes de encaminamiento e </w:t>
      </w:r>
      <w:proofErr w:type="spellStart"/>
      <w:r w:rsidRPr="00340022">
        <w:rPr>
          <w:lang w:val="es-ES_tradnl"/>
        </w:rPr>
        <w:t>interfuncionamiento</w:t>
      </w:r>
      <w:proofErr w:type="spellEnd"/>
      <w:r w:rsidRPr="00340022">
        <w:rPr>
          <w:lang w:val="es-ES_tradnl"/>
        </w:rPr>
        <w:t xml:space="preserve"> para redes fijas y móviles (continuación del trabajo de la C2/2);</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C3/2:</w:t>
      </w:r>
      <w:r w:rsidRPr="00340022">
        <w:rPr>
          <w:lang w:val="es-ES_tradnl"/>
        </w:rPr>
        <w:tab/>
        <w:t>Aspectos operativos y de servicio de las telecomunicaciones, incluida la definición de servicio (continuación del trabajo de la C3/2);</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C4/2:</w:t>
      </w:r>
      <w:r w:rsidRPr="00340022">
        <w:rPr>
          <w:lang w:val="es-ES_tradnl"/>
        </w:rPr>
        <w:tab/>
        <w:t>Factores humanos para mejorar la calidad de vida a través de las telecomunicaciones internacionales (continuación del trabajo de la C4/2);</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C5/2:</w:t>
      </w:r>
      <w:r w:rsidRPr="00340022">
        <w:rPr>
          <w:lang w:val="es-ES_tradnl"/>
        </w:rPr>
        <w:tab/>
        <w:t>Requisitos, prioridades y planificación para las Recomendaciones sobre gestión de las telecomunicaciones y OAM (continuación del trabajo de la C5/2, la C12/2 y la C13/2);</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C6/2:</w:t>
      </w:r>
      <w:r w:rsidRPr="00340022">
        <w:rPr>
          <w:lang w:val="es-ES_tradnl"/>
        </w:rPr>
        <w:tab/>
        <w:t>Arquitectura de gestión y seguridad (continuación del trabajo de la C8/2 y parte del de la C6/2 y la C11/2); y</w:t>
      </w:r>
    </w:p>
    <w:p w:rsidR="00013F68" w:rsidRPr="00340022" w:rsidRDefault="00013F68" w:rsidP="000627F7">
      <w:pPr>
        <w:pStyle w:val="Enumlevel1"/>
        <w:tabs>
          <w:tab w:val="left" w:pos="567"/>
          <w:tab w:val="left" w:pos="1701"/>
        </w:tabs>
        <w:ind w:left="1701" w:hanging="1701"/>
        <w:rPr>
          <w:lang w:val="es-ES_tradnl"/>
        </w:rPr>
      </w:pPr>
      <w:r w:rsidRPr="00340022">
        <w:rPr>
          <w:lang w:val="es-ES_tradnl"/>
        </w:rPr>
        <w:t>•</w:t>
      </w:r>
      <w:r w:rsidRPr="00340022">
        <w:rPr>
          <w:lang w:val="es-ES_tradnl"/>
        </w:rPr>
        <w:tab/>
        <w:t>C7/2:</w:t>
      </w:r>
      <w:r w:rsidRPr="00340022">
        <w:rPr>
          <w:lang w:val="es-ES_tradnl"/>
        </w:rPr>
        <w:tab/>
        <w:t>Especificaciones de interfaz y metodología de especificación (continuación del trabajo de la C7/2, la C9/2, la C10/2 y parte del de la C11/2).</w:t>
      </w:r>
    </w:p>
    <w:p w:rsidR="00013F68" w:rsidRPr="00A96787" w:rsidRDefault="00013F68" w:rsidP="004333D3">
      <w:pPr>
        <w:pStyle w:val="Heading4"/>
      </w:pPr>
      <w:proofErr w:type="spellStart"/>
      <w:r w:rsidRPr="00A96787">
        <w:lastRenderedPageBreak/>
        <w:t>Observaciones</w:t>
      </w:r>
      <w:proofErr w:type="spellEnd"/>
      <w:r w:rsidRPr="00A96787">
        <w:t xml:space="preserve"> </w:t>
      </w:r>
      <w:proofErr w:type="spellStart"/>
      <w:r w:rsidRPr="00A96787">
        <w:t>generales</w:t>
      </w:r>
      <w:proofErr w:type="spellEnd"/>
    </w:p>
    <w:p w:rsidR="00013F68" w:rsidRPr="00340022" w:rsidRDefault="00013F68" w:rsidP="004D2F38">
      <w:pPr>
        <w:pStyle w:val="Enumlevel1"/>
        <w:numPr>
          <w:ilvl w:val="0"/>
          <w:numId w:val="18"/>
        </w:numPr>
        <w:ind w:left="567" w:hanging="567"/>
        <w:rPr>
          <w:lang w:val="es-ES_tradnl"/>
        </w:rPr>
      </w:pPr>
      <w:r w:rsidRPr="00340022">
        <w:rPr>
          <w:lang w:val="es-ES_tradnl"/>
        </w:rPr>
        <w:t xml:space="preserve">En virtud de la Resolución 182 (Guadalajara, 2010) sobre cambio climático y protección del medio ambiente, se acordó que las reuniones de la CE 2 se celebraran sin documentos impresos. </w:t>
      </w:r>
    </w:p>
    <w:p w:rsidR="00013F68" w:rsidRPr="00340022" w:rsidRDefault="00013F68" w:rsidP="004D2F38">
      <w:pPr>
        <w:pStyle w:val="Enumlevel1"/>
        <w:numPr>
          <w:ilvl w:val="0"/>
          <w:numId w:val="18"/>
        </w:numPr>
        <w:ind w:left="567" w:hanging="567"/>
        <w:rPr>
          <w:lang w:val="es-ES_tradnl"/>
        </w:rPr>
      </w:pPr>
      <w:r w:rsidRPr="00340022">
        <w:rPr>
          <w:lang w:val="es-ES_tradnl"/>
        </w:rPr>
        <w:t>De conformidad con la Resolución 2 (</w:t>
      </w:r>
      <w:proofErr w:type="spellStart"/>
      <w:r w:rsidRPr="00340022">
        <w:rPr>
          <w:lang w:val="es-ES_tradnl"/>
        </w:rPr>
        <w:t>Dubai</w:t>
      </w:r>
      <w:proofErr w:type="spellEnd"/>
      <w:r w:rsidRPr="00340022">
        <w:rPr>
          <w:lang w:val="es-ES_tradnl"/>
        </w:rPr>
        <w:t>, 2012), que recomienda que las reuniones de la Comisión de Estudio 2 y la Comisión de Estudio 3 se celebren de manera consecutiva, la Comisión de Estudio 2 convino en organizar sus reuniones inmediatamente antes o después de las de la Comisión de Estudio 3.</w:t>
      </w:r>
    </w:p>
    <w:p w:rsidR="00013F68" w:rsidRPr="00340022" w:rsidRDefault="00013F68" w:rsidP="004D2F38">
      <w:pPr>
        <w:pStyle w:val="Enumlevel1"/>
        <w:numPr>
          <w:ilvl w:val="0"/>
          <w:numId w:val="18"/>
        </w:numPr>
        <w:ind w:left="567" w:hanging="567"/>
        <w:rPr>
          <w:lang w:val="es-ES_tradnl"/>
        </w:rPr>
      </w:pPr>
      <w:r w:rsidRPr="00340022">
        <w:rPr>
          <w:lang w:val="es-ES_tradnl"/>
        </w:rPr>
        <w:t>La CE 2 del UIT-T acordó la creación de un grupo ad hoc sobre cuestiones relacionadas con los países en desarrollo.</w:t>
      </w:r>
    </w:p>
    <w:p w:rsidR="00013F68" w:rsidRPr="00340022" w:rsidRDefault="00013F68" w:rsidP="004D2F38">
      <w:pPr>
        <w:pStyle w:val="Enumlevel1"/>
        <w:numPr>
          <w:ilvl w:val="0"/>
          <w:numId w:val="18"/>
        </w:numPr>
        <w:ind w:left="567" w:hanging="567"/>
        <w:rPr>
          <w:lang w:val="es-ES_tradnl"/>
        </w:rPr>
      </w:pPr>
      <w:r w:rsidRPr="00340022">
        <w:rPr>
          <w:lang w:val="es-ES_tradnl"/>
        </w:rPr>
        <w:t>La CE 2 del UIT-T convino en continuar con las Operaciones de Servicios y Redes (SNO) en el marco de la C5/2.</w:t>
      </w:r>
    </w:p>
    <w:p w:rsidR="00013F68" w:rsidRPr="00340022" w:rsidRDefault="00013F68" w:rsidP="004D2F38">
      <w:pPr>
        <w:pStyle w:val="Enumlevel1"/>
        <w:numPr>
          <w:ilvl w:val="0"/>
          <w:numId w:val="18"/>
        </w:numPr>
        <w:ind w:left="567" w:hanging="567"/>
        <w:rPr>
          <w:lang w:val="es-ES_tradnl"/>
        </w:rPr>
      </w:pPr>
      <w:r w:rsidRPr="00340022">
        <w:rPr>
          <w:lang w:val="es-ES_tradnl"/>
        </w:rPr>
        <w:t>La CE 2 del UIT-T acordó la creación de un grupo ad hoc y su correspondiente grupo por correspondencia para realizar un seguimiento de los estudios y la ejecución de las partes de la Resolución 64 de la AMNT pertinentes para la CE 2.</w:t>
      </w:r>
    </w:p>
    <w:p w:rsidR="00013F68" w:rsidRPr="00340022" w:rsidRDefault="00013F68" w:rsidP="004333D3">
      <w:pPr>
        <w:pStyle w:val="Heading4"/>
        <w:rPr>
          <w:lang w:val="es-ES_tradnl"/>
        </w:rPr>
      </w:pPr>
      <w:r w:rsidRPr="00340022">
        <w:rPr>
          <w:lang w:val="es-ES_tradnl"/>
        </w:rPr>
        <w:t>Recomendaciones</w:t>
      </w:r>
    </w:p>
    <w:p w:rsidR="00013F68" w:rsidRPr="00340022" w:rsidRDefault="00013F68" w:rsidP="004333D3">
      <w:pPr>
        <w:pStyle w:val="Headingb0"/>
        <w:rPr>
          <w:sz w:val="21"/>
          <w:szCs w:val="21"/>
          <w:lang w:val="es-ES_tradnl"/>
        </w:rPr>
      </w:pPr>
      <w:r w:rsidRPr="00340022">
        <w:rPr>
          <w:sz w:val="21"/>
          <w:szCs w:val="21"/>
          <w:lang w:val="es-ES_tradnl"/>
        </w:rPr>
        <w:t>Serie E: Explotación general de la red, servicio telefónico, explotación del servicio y factores humanos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E.101:</w:t>
      </w:r>
      <w:r w:rsidRPr="00340022">
        <w:rPr>
          <w:lang w:val="es-ES_tradnl"/>
        </w:rPr>
        <w:tab/>
        <w:t xml:space="preserve">Definición de los términos utilizados para los identificadores (nombres, números, direcciones y otros identificadores) para los servicios y redes públicos de telecomunicación en las Recomendaciones de la serie E </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E.106:</w:t>
      </w:r>
      <w:r w:rsidRPr="00340022">
        <w:rPr>
          <w:lang w:val="es-ES_tradnl"/>
        </w:rPr>
        <w:tab/>
        <w:t xml:space="preserve">Plan internacional de preferencias en situaciones de emergencia para actuaciones frente a desastres </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E.107:</w:t>
      </w:r>
      <w:r w:rsidRPr="00340022">
        <w:rPr>
          <w:lang w:val="es-ES_tradnl"/>
        </w:rPr>
        <w:tab/>
        <w:t>Servicio de Telecomunicaciones en caso de Emergencia (STE) y marco de interconexión para la implantación nacional de STE </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E.117:</w:t>
      </w:r>
      <w:r w:rsidRPr="00340022">
        <w:rPr>
          <w:lang w:val="es-ES_tradnl"/>
        </w:rPr>
        <w:tab/>
        <w:t>Dispositivos terminales utilizados en relación con el servicio telefónico público (distintos de los aparatos telefónicos)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E.118</w:t>
      </w:r>
      <w:r w:rsidRPr="00340022">
        <w:rPr>
          <w:lang w:val="es-ES_tradnl"/>
        </w:rPr>
        <w:tab/>
        <w:t>Tarjeta con cargo a cuenta para telecomunicaciones internacionales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E.121:</w:t>
      </w:r>
      <w:r w:rsidRPr="00340022">
        <w:rPr>
          <w:lang w:val="es-ES_tradnl"/>
        </w:rPr>
        <w:tab/>
        <w:t>Pictogramas, símbolos e iconos para ayudar a los usuarios de los servicios telefónico y telefax</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E.123:</w:t>
      </w:r>
      <w:r w:rsidRPr="00340022">
        <w:rPr>
          <w:lang w:val="es-ES_tradnl"/>
        </w:rPr>
        <w:tab/>
        <w:t>Notación de los números telefónicos nacionales e internacionales, direcciones de correo electrónico y direcciones web</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E.129:</w:t>
      </w:r>
      <w:r w:rsidRPr="00340022">
        <w:rPr>
          <w:lang w:val="es-ES_tradnl"/>
        </w:rPr>
        <w:tab/>
        <w:t>Presentación de planes de numeración nacional</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E.135:</w:t>
      </w:r>
      <w:r w:rsidRPr="00340022">
        <w:rPr>
          <w:lang w:val="es-ES_tradnl"/>
        </w:rPr>
        <w:tab/>
        <w:t>Factores humanos en la utilización de los terminales de telecomunicación públicos por personas con discapacidades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E.152:</w:t>
      </w:r>
      <w:r w:rsidRPr="00340022">
        <w:rPr>
          <w:lang w:val="es-ES_tradnl"/>
        </w:rPr>
        <w:tab/>
        <w:t>Servicio internacional de cobro revertido automático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E.153:</w:t>
      </w:r>
      <w:r w:rsidRPr="00340022">
        <w:rPr>
          <w:lang w:val="es-ES_tradnl"/>
        </w:rPr>
        <w:tab/>
        <w:t>Servicio directo al propio país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E.154:</w:t>
      </w:r>
      <w:r w:rsidRPr="00340022">
        <w:rPr>
          <w:lang w:val="es-ES_tradnl"/>
        </w:rPr>
        <w:tab/>
        <w:t>Servicio internacional con pago compartido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E.155:</w:t>
      </w:r>
      <w:r w:rsidRPr="00340022">
        <w:rPr>
          <w:lang w:val="es-ES_tradnl"/>
        </w:rPr>
        <w:tab/>
        <w:t>Servicio internacional con recargo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E.156:</w:t>
      </w:r>
      <w:r w:rsidRPr="00340022">
        <w:rPr>
          <w:lang w:val="es-ES_tradnl"/>
        </w:rPr>
        <w:tab/>
        <w:t>Directrices para la actuación del UIT-T cuando se le notifique una utilización indebida de recursos de numeración E.164</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E.156 Supl1:</w:t>
      </w:r>
      <w:r w:rsidRPr="00340022">
        <w:rPr>
          <w:lang w:val="es-ES_tradnl"/>
        </w:rPr>
        <w:tab/>
        <w:t>Guía sobre prácticas idóneas para contrarrestar la utilización indebida de recursos de numeración E.164 (aprobado en 2007)</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lastRenderedPageBreak/>
        <w:t>•</w:t>
      </w:r>
      <w:r w:rsidRPr="00340022">
        <w:rPr>
          <w:lang w:val="es-ES_tradnl"/>
        </w:rPr>
        <w:tab/>
        <w:t>E.156 Supl2:</w:t>
      </w:r>
      <w:r w:rsidRPr="00340022">
        <w:rPr>
          <w:lang w:val="es-ES_tradnl"/>
        </w:rPr>
        <w:tab/>
        <w:t>Posibles medidas contra la utilización indebida (aprobado en 2011)</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E.157:</w:t>
      </w:r>
      <w:r w:rsidRPr="00340022">
        <w:rPr>
          <w:lang w:val="es-ES_tradnl"/>
        </w:rPr>
        <w:tab/>
        <w:t>Comunicación internacional del número de la parte llamante</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E.161:</w:t>
      </w:r>
      <w:r w:rsidRPr="00340022">
        <w:rPr>
          <w:lang w:val="es-ES_tradnl"/>
        </w:rPr>
        <w:tab/>
        <w:t>Disposición de las cifras, letras y símbolos en los aparatos telefónicos y en otros dispositivos que pueden utilizarse para tener acceso a una red telefónica</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E.161.1:</w:t>
      </w:r>
      <w:r w:rsidRPr="00340022">
        <w:rPr>
          <w:lang w:val="es-ES_tradnl"/>
        </w:rPr>
        <w:tab/>
        <w:t>Directrices para seleccionar un número de emergencia en redes de telecomunicaciones públicas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E.162:</w:t>
      </w:r>
      <w:r w:rsidRPr="00340022">
        <w:rPr>
          <w:lang w:val="es-ES_tradnl"/>
        </w:rPr>
        <w:tab/>
        <w:t>Capacidad para el análisis de las siete cifras de los números internacionales conformes a la Recomendación E.164 en la fecha T</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E.164:</w:t>
      </w:r>
      <w:r w:rsidRPr="00340022">
        <w:rPr>
          <w:lang w:val="es-ES_tradnl"/>
        </w:rPr>
        <w:tab/>
        <w:t>Plan internacional de numeración de telecomunicaciones públicas (y sus Suplementos 1</w:t>
      </w:r>
      <w:proofErr w:type="gramStart"/>
      <w:r w:rsidRPr="00340022">
        <w:rPr>
          <w:lang w:val="es-ES_tradnl"/>
        </w:rPr>
        <w:t>,2,3,4,5,6</w:t>
      </w:r>
      <w:proofErr w:type="gramEnd"/>
      <w:r w:rsidRPr="00340022">
        <w:rPr>
          <w:lang w:val="es-ES_tradnl"/>
        </w:rPr>
        <w:t>; enmendada y aprobada en 2010)</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E.164.1:</w:t>
      </w:r>
      <w:r w:rsidRPr="00340022">
        <w:rPr>
          <w:lang w:val="es-ES_tradnl"/>
        </w:rPr>
        <w:tab/>
        <w:t>Criterios y procedimientos para la reserva, asignación y reclamaciones para indicativos de país E.164 y para códigos de identificación (IC) asociados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E.164.2:</w:t>
      </w:r>
      <w:r w:rsidRPr="00340022">
        <w:rPr>
          <w:lang w:val="es-ES_tradnl"/>
        </w:rPr>
        <w:tab/>
        <w:t>Recursos de numeración de la Recomendación E.164 para ensayos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E.164.3</w:t>
      </w:r>
      <w:r w:rsidRPr="00340022">
        <w:rPr>
          <w:lang w:val="es-ES_tradnl"/>
        </w:rPr>
        <w:tab/>
        <w:t>Principios, criterios y procedimientos para la asignación y recuperación de indicativos de país E.164 y códigos de identificación asociados para grupos de países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E.165.1:</w:t>
      </w:r>
      <w:r w:rsidRPr="00340022">
        <w:rPr>
          <w:lang w:val="es-ES_tradnl"/>
        </w:rPr>
        <w:tab/>
        <w:t>Utilización del código de escape "0" en el plan de numeración de la Recomendación E.164 durante el periodo de transición para la aplicación del mecanismo del identificador de plan de numeración</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 xml:space="preserve">E.166/X.122: </w:t>
      </w:r>
      <w:proofErr w:type="spellStart"/>
      <w:r w:rsidRPr="00340022">
        <w:rPr>
          <w:lang w:val="es-ES_tradnl"/>
        </w:rPr>
        <w:t>Interfuncionamiento</w:t>
      </w:r>
      <w:proofErr w:type="spellEnd"/>
      <w:r w:rsidRPr="00340022">
        <w:rPr>
          <w:lang w:val="es-ES_tradnl"/>
        </w:rPr>
        <w:t xml:space="preserve"> de los planes de numeración de las Recomendaciones E.164 y X.121</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E.168:</w:t>
      </w:r>
      <w:r w:rsidRPr="00340022">
        <w:rPr>
          <w:lang w:val="es-ES_tradnl"/>
        </w:rPr>
        <w:tab/>
        <w:t>Aplicación del plan de numeración de la Recomendación E.164 para las telecomunicaciones personales universales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E.168.1:</w:t>
      </w:r>
      <w:r w:rsidRPr="00340022">
        <w:rPr>
          <w:lang w:val="es-ES_tradnl"/>
        </w:rPr>
        <w:tab/>
        <w:t>Procedimientos de asignación de números de telecomunicaciones personales universales para la prestación del servicio internacional de telecomunicaciones personales universales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 xml:space="preserve">E.169: </w:t>
      </w:r>
      <w:r w:rsidRPr="00340022">
        <w:rPr>
          <w:lang w:val="es-ES_tradnl"/>
        </w:rPr>
        <w:tab/>
        <w:t>Aplicación del plan de numeración de la Recomendación E.164 a los números universales del servicio internacional que utilizan indicativos de país para servicios mundiales</w:t>
      </w:r>
      <w:r w:rsidRPr="00340022">
        <w:rPr>
          <w:lang w:val="es-ES_tradnl"/>
        </w:rPr>
        <w:tab/>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E.169.1:</w:t>
      </w:r>
      <w:r w:rsidRPr="00340022">
        <w:rPr>
          <w:lang w:val="es-ES_tradnl"/>
        </w:rPr>
        <w:tab/>
        <w:t>Aplicación del plan de numeración de la Recomendación E.164 a los números universales del servicio internacional de cobro revertido automático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E.169.2:</w:t>
      </w:r>
      <w:r w:rsidRPr="00340022">
        <w:rPr>
          <w:lang w:val="es-ES_tradnl"/>
        </w:rPr>
        <w:tab/>
        <w:t>Aplicación del plan de numeración de la Recomendación E.164 a los números universales del servicio internacional con recargo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E.169.3:</w:t>
      </w:r>
      <w:r w:rsidRPr="00340022">
        <w:rPr>
          <w:lang w:val="es-ES_tradnl"/>
        </w:rPr>
        <w:tab/>
        <w:t>Aplicación del plan de numeración de la Recomendación E.164 a los números universales del servicio internacional con pago compartido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E.190:</w:t>
      </w:r>
      <w:r w:rsidRPr="00340022">
        <w:rPr>
          <w:lang w:val="es-ES_tradnl"/>
        </w:rPr>
        <w:tab/>
        <w:t>Principios y responsabilidades para la gestión, asignación y recuperación de recursos de numeración internacional de las Recomendaciones de la serie E</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E.191:</w:t>
      </w:r>
      <w:r w:rsidRPr="00340022">
        <w:rPr>
          <w:lang w:val="es-ES_tradnl"/>
        </w:rPr>
        <w:tab/>
        <w:t>Direccionamiento en la RDSI de banda ancha</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E.191.1:</w:t>
      </w:r>
      <w:r w:rsidRPr="00340022">
        <w:rPr>
          <w:lang w:val="es-ES_tradnl"/>
        </w:rPr>
        <w:tab/>
        <w:t xml:space="preserve">Criterios y procedimientos para la atribución de direcciones de </w:t>
      </w:r>
      <w:proofErr w:type="spellStart"/>
      <w:r w:rsidRPr="00340022">
        <w:rPr>
          <w:lang w:val="es-ES_tradnl"/>
        </w:rPr>
        <w:t>designador</w:t>
      </w:r>
      <w:proofErr w:type="spellEnd"/>
      <w:r w:rsidRPr="00340022">
        <w:rPr>
          <w:lang w:val="es-ES_tradnl"/>
        </w:rPr>
        <w:t xml:space="preserve"> de red internacional UIT-T</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E.193:</w:t>
      </w:r>
      <w:r w:rsidRPr="00340022">
        <w:rPr>
          <w:lang w:val="es-ES_tradnl"/>
        </w:rPr>
        <w:tab/>
        <w:t>Ampliación de los indicativos de país de la Recomendación E.164</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E.195:</w:t>
      </w:r>
      <w:r w:rsidRPr="00340022">
        <w:rPr>
          <w:lang w:val="es-ES_tradnl"/>
        </w:rPr>
        <w:tab/>
        <w:t>Administración de los recursos de numeración internacionales del UIT</w:t>
      </w:r>
      <w:r w:rsidRPr="00340022">
        <w:rPr>
          <w:lang w:val="es-ES_tradnl"/>
        </w:rPr>
        <w:noBreakHyphen/>
        <w:t>T</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E.212:</w:t>
      </w:r>
      <w:r w:rsidRPr="00340022">
        <w:rPr>
          <w:lang w:val="es-ES_tradnl"/>
        </w:rPr>
        <w:tab/>
        <w:t>Principios de explotación de red para los futuros sistemas y servicios móviles públicos</w:t>
      </w:r>
    </w:p>
    <w:p w:rsidR="00013F68" w:rsidRPr="00340022" w:rsidRDefault="00013F68" w:rsidP="004333D3">
      <w:pPr>
        <w:pStyle w:val="Headingb0"/>
        <w:rPr>
          <w:sz w:val="21"/>
          <w:szCs w:val="21"/>
          <w:lang w:val="es-ES_tradnl"/>
        </w:rPr>
      </w:pPr>
      <w:r w:rsidRPr="00340022">
        <w:rPr>
          <w:sz w:val="21"/>
          <w:szCs w:val="21"/>
          <w:lang w:val="es-ES_tradnl"/>
        </w:rPr>
        <w:lastRenderedPageBreak/>
        <w:t>Serie F: Servicios de telecomunicación no telefónicos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F.16:</w:t>
      </w:r>
      <w:r w:rsidRPr="00340022">
        <w:rPr>
          <w:lang w:val="es-ES_tradnl"/>
        </w:rPr>
        <w:tab/>
        <w:t>Servicios de red virtual global</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F.902:</w:t>
      </w:r>
      <w:r w:rsidRPr="00340022">
        <w:rPr>
          <w:lang w:val="es-ES_tradnl"/>
        </w:rPr>
        <w:tab/>
        <w:t>Directivas de diseño de los servicios interactivos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F.910:</w:t>
      </w:r>
      <w:r w:rsidRPr="00340022">
        <w:rPr>
          <w:lang w:val="es-ES_tradnl"/>
        </w:rPr>
        <w:tab/>
        <w:t>Procedimientos para diseñar, evaluar y seleccionar símbolos, pictogramas e iconos</w:t>
      </w:r>
    </w:p>
    <w:p w:rsidR="00013F68" w:rsidRPr="00340022" w:rsidRDefault="00013F68" w:rsidP="004333D3">
      <w:pPr>
        <w:pStyle w:val="Headingb0"/>
        <w:rPr>
          <w:sz w:val="21"/>
          <w:szCs w:val="21"/>
          <w:lang w:val="es-ES_tradnl"/>
        </w:rPr>
      </w:pPr>
      <w:r w:rsidRPr="00340022">
        <w:rPr>
          <w:sz w:val="21"/>
          <w:szCs w:val="21"/>
          <w:lang w:val="es-ES_tradnl"/>
        </w:rPr>
        <w:t>Serie M: Gestión de las telecomunicaciones, incluida la RGT y el mantenimiento de redes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M.60:</w:t>
      </w:r>
      <w:r w:rsidRPr="00340022">
        <w:rPr>
          <w:lang w:val="es-ES_tradnl"/>
        </w:rPr>
        <w:tab/>
        <w:t>Terminología y definiciones relativas al mantenimiento</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M.2100:</w:t>
      </w:r>
      <w:r w:rsidRPr="00340022">
        <w:rPr>
          <w:lang w:val="es-ES_tradnl"/>
        </w:rPr>
        <w:tab/>
        <w:t xml:space="preserve">Límites de calidad de funcionamiento para la puesta en servicio y el mantenimiento de trayectos y conexiones internacionales de operadores múltiples de la jerarquía digital </w:t>
      </w:r>
      <w:proofErr w:type="spellStart"/>
      <w:r w:rsidRPr="00340022">
        <w:rPr>
          <w:lang w:val="es-ES_tradnl"/>
        </w:rPr>
        <w:t>plesiócrona</w:t>
      </w:r>
      <w:proofErr w:type="spellEnd"/>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M.2101.1:</w:t>
      </w:r>
      <w:r w:rsidRPr="00340022">
        <w:rPr>
          <w:lang w:val="es-ES_tradnl"/>
        </w:rPr>
        <w:tab/>
        <w:t>Límites de calidad de funcionamiento para la puesta en servicio y el mantenimiento de trayectos y secciones múltiplex internacionales de la jerarquía digital síncrona</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M.2110:</w:t>
      </w:r>
      <w:r w:rsidRPr="00340022">
        <w:rPr>
          <w:lang w:val="es-ES_tradnl"/>
        </w:rPr>
        <w:tab/>
        <w:t>Puesta en servicio de secciones, sistemas de transmisión y trayectos internacionales de operadores múltiples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M.3000:</w:t>
      </w:r>
      <w:r w:rsidRPr="00340022">
        <w:rPr>
          <w:lang w:val="es-ES_tradnl"/>
        </w:rPr>
        <w:tab/>
        <w:t>Visión de conjunto de las Recomendaciones relativas a la RGT</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M.3010:</w:t>
      </w:r>
      <w:r w:rsidRPr="00340022">
        <w:rPr>
          <w:lang w:val="es-ES_tradnl"/>
        </w:rPr>
        <w:tab/>
        <w:t>Principios para una red de gestión de las telecomunicaciones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M.3013:</w:t>
      </w:r>
      <w:r w:rsidRPr="00340022">
        <w:rPr>
          <w:lang w:val="es-ES_tradnl"/>
        </w:rPr>
        <w:tab/>
        <w:t>Consideraciones sobre una red de gestión de las telecomunicaciones</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M.3600:</w:t>
      </w:r>
      <w:r w:rsidRPr="00340022">
        <w:rPr>
          <w:lang w:val="es-ES_tradnl"/>
        </w:rPr>
        <w:tab/>
        <w:t>Principios de gestión de las RDSI</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M.3610:</w:t>
      </w:r>
      <w:r w:rsidRPr="00340022">
        <w:rPr>
          <w:lang w:val="es-ES_tradnl"/>
        </w:rPr>
        <w:tab/>
        <w:t>Principios de aplicación del concepto de red de gestión de las telecomunicaciones a la gestión de la red digital de servicios integrados de banda ancha</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t>•</w:t>
      </w:r>
      <w:r w:rsidRPr="00340022">
        <w:rPr>
          <w:lang w:val="es-ES_tradnl"/>
        </w:rPr>
        <w:tab/>
        <w:t xml:space="preserve">M.3020: </w:t>
      </w:r>
      <w:r w:rsidRPr="00340022">
        <w:rPr>
          <w:lang w:val="es-ES_tradnl"/>
        </w:rPr>
        <w:tab/>
        <w:t>Metodología para la especificación de interfaces de gestión</w:t>
      </w:r>
    </w:p>
    <w:p w:rsidR="00013F68" w:rsidRPr="00A96787" w:rsidRDefault="00013F68" w:rsidP="004333D3">
      <w:pPr>
        <w:pStyle w:val="Heading4"/>
      </w:pPr>
      <w:proofErr w:type="spellStart"/>
      <w:r w:rsidRPr="00A96787">
        <w:t>Grupos</w:t>
      </w:r>
      <w:proofErr w:type="spellEnd"/>
      <w:r w:rsidRPr="00A96787">
        <w:t xml:space="preserve"> </w:t>
      </w:r>
      <w:proofErr w:type="spellStart"/>
      <w:r w:rsidRPr="00A96787">
        <w:t>Relacionados</w:t>
      </w:r>
      <w:proofErr w:type="spellEnd"/>
    </w:p>
    <w:p w:rsidR="00013F68" w:rsidRPr="00340022" w:rsidRDefault="00013F68" w:rsidP="004D2F38">
      <w:pPr>
        <w:pStyle w:val="Enumlevel1"/>
        <w:numPr>
          <w:ilvl w:val="0"/>
          <w:numId w:val="19"/>
        </w:numPr>
        <w:ind w:left="567" w:hanging="567"/>
        <w:rPr>
          <w:lang w:val="es-ES_tradnl"/>
        </w:rPr>
      </w:pPr>
      <w:r w:rsidRPr="00340022">
        <w:rPr>
          <w:lang w:val="es-ES_tradnl"/>
        </w:rPr>
        <w:t>Grupo Regional de la CE 2 del UIT-T para la Región Árabe (SG2-RG-ARB).</w:t>
      </w:r>
    </w:p>
    <w:p w:rsidR="00013F68" w:rsidRPr="00340022" w:rsidRDefault="00013F68" w:rsidP="004D2F38">
      <w:pPr>
        <w:pStyle w:val="Enumlevel1"/>
        <w:numPr>
          <w:ilvl w:val="0"/>
          <w:numId w:val="19"/>
        </w:numPr>
        <w:ind w:left="567" w:hanging="567"/>
        <w:rPr>
          <w:lang w:val="es-ES_tradnl"/>
        </w:rPr>
      </w:pPr>
      <w:r w:rsidRPr="00340022">
        <w:rPr>
          <w:lang w:val="es-ES_tradnl"/>
        </w:rPr>
        <w:t>Grupo Regional de la CE 2 del UIT-T para África Oriental (SG2RG-EA).</w:t>
      </w:r>
    </w:p>
    <w:p w:rsidR="00013F68" w:rsidRPr="00340022" w:rsidRDefault="00013F68" w:rsidP="004D2F38">
      <w:pPr>
        <w:pStyle w:val="Enumlevel1"/>
        <w:numPr>
          <w:ilvl w:val="0"/>
          <w:numId w:val="19"/>
        </w:numPr>
        <w:ind w:left="567" w:hanging="567"/>
        <w:rPr>
          <w:lang w:val="es-ES_tradnl"/>
        </w:rPr>
      </w:pPr>
      <w:r w:rsidRPr="00340022">
        <w:rPr>
          <w:lang w:val="es-ES_tradnl"/>
        </w:rPr>
        <w:t>Grupo Regional de la CE 2 del UIT-T para las Américas (SG2RG-AMR).</w:t>
      </w:r>
    </w:p>
    <w:p w:rsidR="00013F68" w:rsidRPr="00340022" w:rsidRDefault="00A31E61" w:rsidP="004D2F38">
      <w:pPr>
        <w:pStyle w:val="Enumlevel1"/>
        <w:numPr>
          <w:ilvl w:val="0"/>
          <w:numId w:val="19"/>
        </w:numPr>
        <w:ind w:left="567" w:hanging="567"/>
        <w:rPr>
          <w:lang w:val="es-ES_tradnl"/>
        </w:rPr>
      </w:pPr>
      <w:hyperlink r:id="rId43" w:history="1">
        <w:r w:rsidR="0092614B">
          <w:rPr>
            <w:rStyle w:val="Hyperlink"/>
            <w:lang w:val="es-ES_tradnl"/>
          </w:rPr>
          <w:t xml:space="preserve">Actividad conjunta de coordinación sobre </w:t>
        </w:r>
        <w:proofErr w:type="spellStart"/>
        <w:r w:rsidR="0092614B">
          <w:rPr>
            <w:rStyle w:val="Hyperlink"/>
            <w:lang w:val="es-ES_tradnl"/>
          </w:rPr>
          <w:t>accesibilidada</w:t>
        </w:r>
        <w:proofErr w:type="spellEnd"/>
        <w:r w:rsidR="0092614B">
          <w:rPr>
            <w:rStyle w:val="Hyperlink"/>
            <w:lang w:val="es-ES_tradnl"/>
          </w:rPr>
          <w:t xml:space="preserve"> y factores humanos</w:t>
        </w:r>
        <w:r w:rsidR="0092614B" w:rsidRPr="0092614B">
          <w:rPr>
            <w:rStyle w:val="Hyperlink"/>
            <w:u w:val="none"/>
            <w:lang w:val="es-ES_tradnl"/>
          </w:rPr>
          <w:t xml:space="preserve"> </w:t>
        </w:r>
      </w:hyperlink>
      <w:r w:rsidR="00013F68" w:rsidRPr="00340022">
        <w:rPr>
          <w:lang w:val="es-ES_tradnl"/>
        </w:rPr>
        <w:t>(JCA-AHF).</w:t>
      </w:r>
    </w:p>
    <w:p w:rsidR="00013F68" w:rsidRPr="00AE7EDF" w:rsidRDefault="00013F68" w:rsidP="004D2F38">
      <w:pPr>
        <w:pStyle w:val="Enumlevel1"/>
        <w:numPr>
          <w:ilvl w:val="0"/>
          <w:numId w:val="19"/>
        </w:numPr>
        <w:ind w:left="567" w:hanging="567"/>
        <w:rPr>
          <w:lang w:val="es-ES_tradnl"/>
        </w:rPr>
      </w:pPr>
      <w:r w:rsidRPr="00AE7EDF">
        <w:rPr>
          <w:lang w:val="es-ES_tradnl"/>
        </w:rPr>
        <w:t>Grupo Temático sobre sistemas de socorro en caso de catástrofe, resistencia y recuperación de las redes (FG-DR&amp;NRR)</w:t>
      </w:r>
      <w:r w:rsidR="00AE7EDF" w:rsidRPr="00AE7EDF">
        <w:rPr>
          <w:lang w:val="es-ES_tradnl"/>
        </w:rPr>
        <w:t>.</w:t>
      </w:r>
    </w:p>
    <w:p w:rsidR="00013F68" w:rsidRPr="00A96787" w:rsidRDefault="00013F68" w:rsidP="004333D3">
      <w:pPr>
        <w:pStyle w:val="Heading4"/>
      </w:pPr>
      <w:proofErr w:type="spellStart"/>
      <w:r w:rsidRPr="00A96787">
        <w:t>Manuales</w:t>
      </w:r>
      <w:proofErr w:type="spellEnd"/>
    </w:p>
    <w:p w:rsidR="00013F68" w:rsidRPr="00340022" w:rsidRDefault="00013F68" w:rsidP="004D2F38">
      <w:pPr>
        <w:pStyle w:val="Enumlevel1"/>
        <w:numPr>
          <w:ilvl w:val="0"/>
          <w:numId w:val="19"/>
        </w:numPr>
        <w:ind w:left="567" w:hanging="567"/>
        <w:rPr>
          <w:lang w:val="es-ES_tradnl"/>
        </w:rPr>
      </w:pPr>
      <w:r w:rsidRPr="00340022">
        <w:rPr>
          <w:lang w:val="es-ES_tradnl"/>
        </w:rPr>
        <w:t>Instrucciones para el servicio telefónico internacional.</w:t>
      </w:r>
    </w:p>
    <w:p w:rsidR="00013F68" w:rsidRPr="00340022" w:rsidRDefault="00013F68" w:rsidP="004D2F38">
      <w:pPr>
        <w:pStyle w:val="Enumlevel1"/>
        <w:numPr>
          <w:ilvl w:val="0"/>
          <w:numId w:val="19"/>
        </w:numPr>
        <w:ind w:left="567" w:hanging="567"/>
        <w:rPr>
          <w:lang w:val="es-ES_tradnl"/>
        </w:rPr>
      </w:pPr>
      <w:r w:rsidRPr="00340022">
        <w:rPr>
          <w:lang w:val="es-ES_tradnl"/>
        </w:rPr>
        <w:t>Calidad de servicio y calidad de funcionamiento de la red.</w:t>
      </w:r>
    </w:p>
    <w:p w:rsidR="004333D3" w:rsidRPr="00340022" w:rsidRDefault="004333D3" w:rsidP="004333D3">
      <w:pPr>
        <w:rPr>
          <w:lang w:val="es-ES_tradnl"/>
        </w:rPr>
      </w:pPr>
      <w:r w:rsidRPr="00340022">
        <w:rPr>
          <w:lang w:val="es-ES_tradnl"/>
        </w:rPr>
        <w:br w:type="page"/>
      </w:r>
    </w:p>
    <w:p w:rsidR="00013F68" w:rsidRPr="004333D3" w:rsidRDefault="00013F68" w:rsidP="004333D3">
      <w:pPr>
        <w:pStyle w:val="Heading1"/>
        <w:jc w:val="center"/>
        <w:rPr>
          <w:lang w:val="es-ES_tradnl"/>
        </w:rPr>
      </w:pPr>
      <w:bookmarkStart w:id="110" w:name="_Toc365036824"/>
      <w:bookmarkStart w:id="111" w:name="_Toc381259710"/>
      <w:r w:rsidRPr="004333D3">
        <w:rPr>
          <w:lang w:val="es-ES_tradnl"/>
        </w:rPr>
        <w:lastRenderedPageBreak/>
        <w:t xml:space="preserve">Comisión de Estudio 3 del UIT-T ― Principios de tarificación y contabilidad, con inclusión de los temas relativos a economía y política de </w:t>
      </w:r>
      <w:r w:rsidR="004333D3" w:rsidRPr="004333D3">
        <w:rPr>
          <w:lang w:val="es-ES_tradnl"/>
        </w:rPr>
        <w:br/>
      </w:r>
      <w:r w:rsidRPr="004333D3">
        <w:rPr>
          <w:lang w:val="es-ES_tradnl"/>
        </w:rPr>
        <w:t>las telecomunicaciones</w:t>
      </w:r>
      <w:bookmarkEnd w:id="110"/>
      <w:bookmarkEnd w:id="111"/>
    </w:p>
    <w:p w:rsidR="00013F68" w:rsidRPr="00340022" w:rsidRDefault="00013F68" w:rsidP="004333D3">
      <w:pPr>
        <w:pStyle w:val="Heading4"/>
        <w:rPr>
          <w:lang w:val="es-ES_tradnl"/>
        </w:rPr>
      </w:pPr>
      <w:r w:rsidRPr="00340022">
        <w:rPr>
          <w:lang w:val="es-ES_tradnl"/>
        </w:rPr>
        <w:t>Alcance</w:t>
      </w:r>
    </w:p>
    <w:p w:rsidR="00013F68" w:rsidRPr="00A96787" w:rsidRDefault="00013F68" w:rsidP="004333D3">
      <w:pPr>
        <w:rPr>
          <w:lang w:val="es-ES"/>
        </w:rPr>
      </w:pPr>
      <w:r w:rsidRPr="00A96787">
        <w:rPr>
          <w:lang w:val="es-ES"/>
        </w:rPr>
        <w:t>La Comisión de Estudio 3 constituye un foro mundial único para la mejora de la comprensión relativa a los aspectos financieros y económicos asociados con el crecimiento de las TIC y, en particular, con la transición a las redes basadas en IP y a las redes de la próxima generación (NGN)/futuras (FN), así como con el aumento exponencial de las comunicaciones inalámbricas móviles. Entre los mandatos tradicionales esenciales de la CE 3, que se remontan a los inicios de la Unión, figuran la interconexión, la mejora de las operaciones diarias y la liquidación de cuentas.</w:t>
      </w:r>
    </w:p>
    <w:p w:rsidR="00013F68" w:rsidRPr="00340022" w:rsidRDefault="00013F68" w:rsidP="004333D3">
      <w:pPr>
        <w:pStyle w:val="Heading4"/>
        <w:rPr>
          <w:lang w:val="es-ES_tradnl"/>
        </w:rPr>
      </w:pPr>
      <w:r w:rsidRPr="00340022">
        <w:rPr>
          <w:lang w:val="es-ES_tradnl"/>
        </w:rPr>
        <w:t>Temas de estudio</w:t>
      </w:r>
    </w:p>
    <w:p w:rsidR="00013F68" w:rsidRPr="00A96787" w:rsidRDefault="00013F68" w:rsidP="004333D3">
      <w:pPr>
        <w:rPr>
          <w:lang w:val="es-ES"/>
        </w:rPr>
      </w:pPr>
      <w:r w:rsidRPr="00A96787">
        <w:rPr>
          <w:lang w:val="es-ES"/>
        </w:rPr>
        <w:t>La Comisión de Estudio 3 es responsable de los estudios relacionados con los principios de tarificación y contabilidad para los servicios de telecomunicaciones internacionales, y del análisis de los temas relativos a la economía y política de las telecomunicaciones. Con tal fin, la Comisión de Estudio 3 debería impulsar en particular la colaboración entre sus miembros con vistas a establecer unas tasas lo más reducidas posible, en consonancia con un servicio eficiente y teniendo en cuenta la necesidad de mantener una administración financiera de las telecomunicaciones independiente sobre bases idóneas.</w:t>
      </w:r>
    </w:p>
    <w:p w:rsidR="00013F68" w:rsidRPr="00A96787" w:rsidRDefault="00013F68" w:rsidP="004333D3">
      <w:pPr>
        <w:rPr>
          <w:rFonts w:eastAsia="Times New Roman"/>
          <w:bCs/>
          <w:lang w:val="es-ES" w:eastAsia="en-US"/>
        </w:rPr>
      </w:pPr>
      <w:r w:rsidRPr="00A96787">
        <w:rPr>
          <w:rFonts w:eastAsia="Times New Roman"/>
          <w:lang w:val="es-ES" w:eastAsia="en-US"/>
        </w:rPr>
        <w:t xml:space="preserve">Las necesidades de los países en desarrollo son fundamentales para esta Comisión. De hecho, el </w:t>
      </w:r>
      <w:r w:rsidRPr="00A96787">
        <w:rPr>
          <w:lang w:val="es-ES"/>
        </w:rPr>
        <w:t xml:space="preserve">Grupo ad hoc sobre cuestiones relacionadas con los países en desarrollo está presente en todas las reuniones de la CE 3. Además, los grupos regionales desempeñan un papel esencial a nivel mundial para el desarrollo de las políticas tarifarias regionales y los modelos de costos. La CE 3 consta de 4 grupos regionales, a saber: </w:t>
      </w:r>
      <w:r w:rsidRPr="00A96787">
        <w:rPr>
          <w:rFonts w:eastAsia="Times New Roman"/>
          <w:lang w:val="es-ES" w:eastAsia="en-US"/>
        </w:rPr>
        <w:t>SG3RG-AFR (África), SG3RG-AO (Asia y Oceanía), SG3RG-ARB (Región Árabe) y SG3RG-LAC (Latinoamérica y el Caribe). </w:t>
      </w:r>
      <w:r w:rsidRPr="00A96787">
        <w:rPr>
          <w:rStyle w:val="hps"/>
          <w:lang w:val="es-ES"/>
        </w:rPr>
        <w:t>Estos grupos</w:t>
      </w:r>
      <w:r w:rsidRPr="00A96787">
        <w:rPr>
          <w:lang w:val="es-ES"/>
        </w:rPr>
        <w:t xml:space="preserve"> </w:t>
      </w:r>
      <w:r w:rsidRPr="00A96787">
        <w:rPr>
          <w:rStyle w:val="hps"/>
          <w:lang w:val="es-ES"/>
        </w:rPr>
        <w:t>regionales</w:t>
      </w:r>
      <w:r w:rsidRPr="00A96787">
        <w:rPr>
          <w:lang w:val="es-ES"/>
        </w:rPr>
        <w:t xml:space="preserve"> </w:t>
      </w:r>
      <w:r w:rsidRPr="00A96787">
        <w:rPr>
          <w:rStyle w:val="hps"/>
          <w:lang w:val="es-ES"/>
        </w:rPr>
        <w:t>se reúnen al menos</w:t>
      </w:r>
      <w:r w:rsidRPr="00A96787">
        <w:rPr>
          <w:lang w:val="es-ES"/>
        </w:rPr>
        <w:t xml:space="preserve"> </w:t>
      </w:r>
      <w:r w:rsidRPr="00A96787">
        <w:rPr>
          <w:rStyle w:val="hps"/>
          <w:lang w:val="es-ES"/>
        </w:rPr>
        <w:t>una vez al</w:t>
      </w:r>
      <w:r w:rsidRPr="00A96787">
        <w:rPr>
          <w:lang w:val="es-ES"/>
        </w:rPr>
        <w:t xml:space="preserve"> </w:t>
      </w:r>
      <w:r w:rsidRPr="00A96787">
        <w:rPr>
          <w:rStyle w:val="hps"/>
          <w:lang w:val="es-ES"/>
        </w:rPr>
        <w:t>año y</w:t>
      </w:r>
      <w:r w:rsidRPr="00A96787">
        <w:rPr>
          <w:lang w:val="es-ES"/>
        </w:rPr>
        <w:t xml:space="preserve"> </w:t>
      </w:r>
      <w:r w:rsidRPr="00A96787">
        <w:rPr>
          <w:rStyle w:val="hps"/>
          <w:lang w:val="es-ES"/>
        </w:rPr>
        <w:t>son precedidos por</w:t>
      </w:r>
      <w:r w:rsidRPr="00A96787">
        <w:rPr>
          <w:lang w:val="es-ES"/>
        </w:rPr>
        <w:t xml:space="preserve"> </w:t>
      </w:r>
      <w:r w:rsidRPr="00A96787">
        <w:rPr>
          <w:rStyle w:val="hps"/>
          <w:lang w:val="es-ES"/>
        </w:rPr>
        <w:t>tutorías</w:t>
      </w:r>
      <w:r w:rsidRPr="00A96787">
        <w:rPr>
          <w:lang w:val="es-ES"/>
        </w:rPr>
        <w:t xml:space="preserve"> </w:t>
      </w:r>
      <w:r w:rsidRPr="00A96787">
        <w:rPr>
          <w:rStyle w:val="hps"/>
          <w:lang w:val="es-ES"/>
        </w:rPr>
        <w:t>y seminarios sobre</w:t>
      </w:r>
      <w:r w:rsidRPr="00A96787">
        <w:rPr>
          <w:lang w:val="es-ES"/>
        </w:rPr>
        <w:t xml:space="preserve"> </w:t>
      </w:r>
      <w:r w:rsidRPr="00A96787">
        <w:rPr>
          <w:rStyle w:val="hps"/>
          <w:lang w:val="es-ES"/>
        </w:rPr>
        <w:t>costos y tarifas</w:t>
      </w:r>
      <w:r w:rsidRPr="00A96787">
        <w:rPr>
          <w:lang w:val="es-ES"/>
        </w:rPr>
        <w:t xml:space="preserve">, organizados </w:t>
      </w:r>
      <w:r w:rsidRPr="00A96787">
        <w:rPr>
          <w:rStyle w:val="hps"/>
          <w:lang w:val="es-ES"/>
        </w:rPr>
        <w:t>en colaboración con el</w:t>
      </w:r>
      <w:r w:rsidRPr="00A96787">
        <w:rPr>
          <w:lang w:val="es-ES"/>
        </w:rPr>
        <w:t xml:space="preserve"> </w:t>
      </w:r>
      <w:r w:rsidRPr="00A96787">
        <w:rPr>
          <w:rStyle w:val="hps"/>
          <w:lang w:val="es-ES"/>
        </w:rPr>
        <w:t>UIT</w:t>
      </w:r>
      <w:r w:rsidRPr="00A96787">
        <w:rPr>
          <w:lang w:val="es-ES"/>
        </w:rPr>
        <w:t>-D.</w:t>
      </w:r>
    </w:p>
    <w:p w:rsidR="00013F68" w:rsidRPr="00340022" w:rsidRDefault="00013F68" w:rsidP="004333D3">
      <w:pPr>
        <w:pStyle w:val="Heading4"/>
        <w:rPr>
          <w:lang w:val="es-ES_tradnl"/>
        </w:rPr>
      </w:pPr>
      <w:r w:rsidRPr="00340022">
        <w:rPr>
          <w:lang w:val="es-ES_tradnl"/>
        </w:rPr>
        <w:t>Estructura de la Comisión de Estudio 3</w:t>
      </w:r>
    </w:p>
    <w:p w:rsidR="004333D3" w:rsidRPr="00340022" w:rsidRDefault="004333D3" w:rsidP="004333D3">
      <w:pPr>
        <w:pStyle w:val="Figuretitle"/>
        <w:rPr>
          <w:lang w:val="es-ES_tradnl"/>
        </w:rPr>
      </w:pPr>
    </w:p>
    <w:p w:rsidR="004333D3" w:rsidRDefault="004333D3" w:rsidP="004333D3">
      <w:pPr>
        <w:pStyle w:val="Figure"/>
      </w:pPr>
      <w:r w:rsidRPr="00CA783C">
        <w:rPr>
          <w:rFonts w:cs="Calibri"/>
          <w:b/>
          <w:noProof/>
          <w:szCs w:val="21"/>
          <w:lang w:val="en-US" w:eastAsia="zh-CN"/>
        </w:rPr>
        <w:drawing>
          <wp:inline distT="0" distB="0" distL="0" distR="0" wp14:anchorId="2F06F999" wp14:editId="39A22BCA">
            <wp:extent cx="4701600" cy="849600"/>
            <wp:effectExtent l="0" t="0" r="3810" b="8255"/>
            <wp:docPr id="451" name="Picture 18" descr="S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01600" cy="849600"/>
                    </a:xfrm>
                    <a:prstGeom prst="rect">
                      <a:avLst/>
                    </a:prstGeom>
                  </pic:spPr>
                </pic:pic>
              </a:graphicData>
            </a:graphic>
          </wp:inline>
        </w:drawing>
      </w:r>
    </w:p>
    <w:p w:rsidR="004333D3" w:rsidRPr="00837668" w:rsidRDefault="004333D3" w:rsidP="004333D3">
      <w:pPr>
        <w:pStyle w:val="figuresource"/>
        <w:rPr>
          <w:lang w:val="en-US"/>
        </w:rPr>
      </w:pPr>
    </w:p>
    <w:p w:rsidR="00013F68" w:rsidRPr="00AE7EDF" w:rsidRDefault="00013F68" w:rsidP="004333D3">
      <w:pPr>
        <w:pStyle w:val="Heading4"/>
        <w:rPr>
          <w:lang w:val="es-ES_tradnl"/>
        </w:rPr>
      </w:pPr>
      <w:r w:rsidRPr="00AE7EDF">
        <w:rPr>
          <w:lang w:val="es-ES_tradnl"/>
        </w:rPr>
        <w:t>Cuestiones</w:t>
      </w:r>
    </w:p>
    <w:p w:rsidR="00013F68" w:rsidRPr="00AE7EDF" w:rsidRDefault="00013F68" w:rsidP="004333D3">
      <w:pPr>
        <w:pStyle w:val="Enumlevel1"/>
        <w:tabs>
          <w:tab w:val="left" w:pos="567"/>
          <w:tab w:val="left" w:pos="1701"/>
        </w:tabs>
        <w:ind w:left="1701" w:hanging="1701"/>
        <w:rPr>
          <w:lang w:val="es-ES_tradnl"/>
        </w:rPr>
      </w:pPr>
      <w:r w:rsidRPr="00AE7EDF">
        <w:rPr>
          <w:lang w:val="es-ES_tradnl"/>
        </w:rPr>
        <w:t>•</w:t>
      </w:r>
      <w:r w:rsidRPr="00AE7EDF">
        <w:rPr>
          <w:lang w:val="es-ES_tradnl"/>
        </w:rPr>
        <w:tab/>
        <w:t>C1/3:</w:t>
      </w:r>
      <w:r w:rsidRPr="00AE7EDF">
        <w:rPr>
          <w:lang w:val="es-ES_tradnl"/>
        </w:rPr>
        <w:tab/>
        <w:t>Establecimiento de mecanismos de tasación y contabilidad/liquidación de cuentas para los servicios de telecomunicaciones internacionales que utilizan las redes de la próxima generación (NGN) y cualesquiera de sus posibles desarrollos, incluida la adaptación de las Recomendaciones existentes de la Serie D a la continua evolución de las necesidades del usuario</w:t>
      </w:r>
      <w:r w:rsidR="00AE7EDF" w:rsidRPr="00AE7EDF">
        <w:rPr>
          <w:lang w:val="es-ES_tradnl"/>
        </w:rPr>
        <w:t>.</w:t>
      </w:r>
    </w:p>
    <w:p w:rsidR="00013F68" w:rsidRPr="00AE7EDF" w:rsidRDefault="00013F68" w:rsidP="004333D3">
      <w:pPr>
        <w:pStyle w:val="Enumlevel1"/>
        <w:tabs>
          <w:tab w:val="left" w:pos="567"/>
          <w:tab w:val="left" w:pos="1701"/>
        </w:tabs>
        <w:ind w:left="1701" w:hanging="1701"/>
        <w:rPr>
          <w:lang w:val="es-ES_tradnl"/>
        </w:rPr>
      </w:pPr>
      <w:r w:rsidRPr="00AE7EDF">
        <w:rPr>
          <w:lang w:val="es-ES_tradnl"/>
        </w:rPr>
        <w:t>•</w:t>
      </w:r>
      <w:r w:rsidRPr="00AE7EDF">
        <w:rPr>
          <w:lang w:val="es-ES_tradnl"/>
        </w:rPr>
        <w:tab/>
        <w:t>C2/3:</w:t>
      </w:r>
      <w:r w:rsidRPr="00AE7EDF">
        <w:rPr>
          <w:lang w:val="es-ES_tradnl"/>
        </w:rPr>
        <w:tab/>
        <w:t>Establecimiento de mecanismos de tasación y contabilidad/liquidación para los servicios de telecomunicaciones internacionales distintos de los examinados en la Cuestión 1/3, incluida la adaptación de las Recomendaciones existentes de la serie D a la continua evolución de las necesidades del usuario</w:t>
      </w:r>
      <w:r w:rsidR="00AE7EDF" w:rsidRPr="00AE7EDF">
        <w:rPr>
          <w:lang w:val="es-ES_tradnl"/>
        </w:rPr>
        <w:t>.</w:t>
      </w:r>
    </w:p>
    <w:p w:rsidR="00013F68" w:rsidRPr="00340022" w:rsidRDefault="00013F68" w:rsidP="004333D3">
      <w:pPr>
        <w:pStyle w:val="Enumlevel1"/>
        <w:tabs>
          <w:tab w:val="left" w:pos="567"/>
          <w:tab w:val="left" w:pos="1701"/>
        </w:tabs>
        <w:ind w:left="1701" w:hanging="1701"/>
        <w:rPr>
          <w:lang w:val="es-ES_tradnl"/>
        </w:rPr>
      </w:pPr>
      <w:r w:rsidRPr="00340022">
        <w:rPr>
          <w:lang w:val="es-ES_tradnl"/>
        </w:rPr>
        <w:lastRenderedPageBreak/>
        <w:t>•</w:t>
      </w:r>
      <w:r w:rsidRPr="00340022">
        <w:rPr>
          <w:lang w:val="es-ES_tradnl"/>
        </w:rPr>
        <w:tab/>
        <w:t>C3/3:</w:t>
      </w:r>
      <w:r w:rsidRPr="00340022">
        <w:rPr>
          <w:lang w:val="es-ES_tradnl"/>
        </w:rPr>
        <w:tab/>
        <w:t>Estudio de los factores económicos y en materia de política de interés para un suministro eficaz de servicios de telecomunicaciones internacionales.</w:t>
      </w:r>
    </w:p>
    <w:p w:rsidR="00013F68" w:rsidRPr="00AE7EDF" w:rsidRDefault="00013F68" w:rsidP="004333D3">
      <w:pPr>
        <w:pStyle w:val="Enumlevel1"/>
        <w:tabs>
          <w:tab w:val="left" w:pos="567"/>
          <w:tab w:val="left" w:pos="1701"/>
        </w:tabs>
        <w:ind w:left="1701" w:hanging="1701"/>
        <w:rPr>
          <w:lang w:val="es-ES_tradnl"/>
        </w:rPr>
      </w:pPr>
      <w:r w:rsidRPr="00AE7EDF">
        <w:rPr>
          <w:lang w:val="es-ES_tradnl"/>
        </w:rPr>
        <w:t>•</w:t>
      </w:r>
      <w:r w:rsidRPr="00AE7EDF">
        <w:rPr>
          <w:lang w:val="es-ES_tradnl"/>
        </w:rPr>
        <w:tab/>
        <w:t>C4/3:</w:t>
      </w:r>
      <w:r w:rsidRPr="00AE7EDF">
        <w:rPr>
          <w:lang w:val="es-ES_tradnl"/>
        </w:rPr>
        <w:tab/>
        <w:t>Estudios regionales para el establecimiento de modelos de costes junto con los aspectos conexos de orden económico y político</w:t>
      </w:r>
      <w:r w:rsidR="00AE7EDF" w:rsidRPr="00AE7EDF">
        <w:rPr>
          <w:lang w:val="es-ES_tradnl"/>
        </w:rPr>
        <w:t>.</w:t>
      </w:r>
    </w:p>
    <w:p w:rsidR="00013F68" w:rsidRPr="00AE7EDF" w:rsidRDefault="00013F68" w:rsidP="004333D3">
      <w:pPr>
        <w:pStyle w:val="Enumlevel1"/>
        <w:tabs>
          <w:tab w:val="left" w:pos="567"/>
          <w:tab w:val="left" w:pos="1701"/>
        </w:tabs>
        <w:ind w:left="1701" w:hanging="1701"/>
        <w:rPr>
          <w:lang w:val="es-ES_tradnl"/>
        </w:rPr>
      </w:pPr>
      <w:r w:rsidRPr="00AE7EDF">
        <w:rPr>
          <w:lang w:val="es-ES_tradnl"/>
        </w:rPr>
        <w:t>•</w:t>
      </w:r>
      <w:r w:rsidRPr="00AE7EDF">
        <w:rPr>
          <w:lang w:val="es-ES_tradnl"/>
        </w:rPr>
        <w:tab/>
        <w:t>C5/3:</w:t>
      </w:r>
      <w:r w:rsidRPr="00AE7EDF">
        <w:rPr>
          <w:lang w:val="es-ES_tradnl"/>
        </w:rPr>
        <w:tab/>
        <w:t>Términos y definiciones para las Recomendaciones que tratan de principios de tarificación y contabilidad</w:t>
      </w:r>
      <w:r w:rsidR="00AE7EDF" w:rsidRPr="00AE7EDF">
        <w:rPr>
          <w:lang w:val="es-ES_tradnl"/>
        </w:rPr>
        <w:t>.</w:t>
      </w:r>
    </w:p>
    <w:p w:rsidR="00013F68" w:rsidRPr="00340022" w:rsidRDefault="00013F68" w:rsidP="008327EE">
      <w:pPr>
        <w:pStyle w:val="Heading4"/>
        <w:rPr>
          <w:lang w:val="es-ES_tradnl"/>
        </w:rPr>
      </w:pPr>
      <w:r w:rsidRPr="00340022">
        <w:rPr>
          <w:lang w:val="es-ES_tradnl"/>
        </w:rPr>
        <w:t>Recomendaciones</w:t>
      </w:r>
    </w:p>
    <w:p w:rsidR="00013F68" w:rsidRPr="00340022" w:rsidRDefault="00013F68" w:rsidP="008327EE">
      <w:pPr>
        <w:pStyle w:val="Headingb0"/>
        <w:rPr>
          <w:sz w:val="21"/>
          <w:szCs w:val="21"/>
          <w:lang w:val="es-ES_tradnl"/>
        </w:rPr>
      </w:pPr>
      <w:r w:rsidRPr="00340022">
        <w:rPr>
          <w:sz w:val="21"/>
          <w:szCs w:val="21"/>
          <w:lang w:val="es-ES_tradnl"/>
        </w:rPr>
        <w:t>Serie D: Principios generales de tarificación</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D.000:</w:t>
      </w:r>
      <w:r w:rsidRPr="00340022">
        <w:rPr>
          <w:lang w:val="es-ES_tradnl"/>
        </w:rPr>
        <w:tab/>
        <w:t>Términos y definiciones para las Recomendaciones de la serie D (aprobada en 2010)</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D.50:</w:t>
      </w:r>
      <w:r w:rsidRPr="00340022">
        <w:rPr>
          <w:lang w:val="es-ES_tradnl"/>
        </w:rPr>
        <w:tab/>
        <w:t>Conectividad Internet internacional (enmendada y aprobada en 2011)</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D.50 Supl1:</w:t>
      </w:r>
      <w:r w:rsidRPr="00340022">
        <w:rPr>
          <w:lang w:val="es-ES_tradnl"/>
        </w:rPr>
        <w:tab/>
        <w:t>Consideraciones generales sobre la medición del tráfico y opciones de conectividad Internet internacional (aprobado en 2011).</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D.50 Supl2:</w:t>
      </w:r>
      <w:r w:rsidRPr="00340022">
        <w:rPr>
          <w:lang w:val="es-ES_tradnl"/>
        </w:rPr>
        <w:tab/>
        <w:t>Directrices para la rebaja del coste de la conectividad internacional a Internet (aprobado en 2013)</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D.98:</w:t>
      </w:r>
      <w:r w:rsidRPr="00340022">
        <w:rPr>
          <w:lang w:val="es-ES_tradnl"/>
        </w:rPr>
        <w:tab/>
        <w:t xml:space="preserve">Tarificación del servicio de </w:t>
      </w:r>
      <w:proofErr w:type="spellStart"/>
      <w:r w:rsidRPr="00340022">
        <w:rPr>
          <w:lang w:val="es-ES_tradnl"/>
        </w:rPr>
        <w:t>itinerancia</w:t>
      </w:r>
      <w:proofErr w:type="spellEnd"/>
      <w:r w:rsidRPr="00340022">
        <w:rPr>
          <w:lang w:val="es-ES_tradnl"/>
        </w:rPr>
        <w:t xml:space="preserve"> móvil internacional (aprobada en 2012)</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D.120:</w:t>
      </w:r>
      <w:r w:rsidRPr="00340022">
        <w:rPr>
          <w:lang w:val="es-ES_tradnl"/>
        </w:rPr>
        <w:tab/>
        <w:t>Principios de tasación y contabilidad aplicables al servicio de tarjeta con cargo a cuenta para telecomunicaciones internacionales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D.140:</w:t>
      </w:r>
      <w:r w:rsidRPr="00340022">
        <w:rPr>
          <w:lang w:val="es-ES_tradnl"/>
        </w:rPr>
        <w:tab/>
        <w:t>Principios aplicables a las tasas de distribución de los servicios telefónicos internacionales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D.155:</w:t>
      </w:r>
      <w:r w:rsidRPr="00340022">
        <w:rPr>
          <w:lang w:val="es-ES_tradnl"/>
        </w:rPr>
        <w:tab/>
        <w:t>Principios rectores de la repartición de las tasas de distribución en las relaciones telefónicas intercontinentales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D.170:</w:t>
      </w:r>
      <w:r w:rsidRPr="00340022">
        <w:rPr>
          <w:lang w:val="es-ES_tradnl"/>
        </w:rPr>
        <w:tab/>
        <w:t>Cuentas telefónicas y télex mensuales (y sus Suplementos 1, 2, 3 y 4; aprobada en 2010)</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D.170 Supl5:</w:t>
      </w:r>
      <w:r w:rsidRPr="00340022">
        <w:rPr>
          <w:lang w:val="es-ES_tradnl"/>
        </w:rPr>
        <w:tab/>
        <w:t>Directrices para mitigar el fraude (aprobado en 2013)</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D.190:</w:t>
      </w:r>
      <w:r w:rsidRPr="00340022">
        <w:rPr>
          <w:lang w:val="es-ES_tradnl"/>
        </w:rPr>
        <w:tab/>
        <w:t>Intercambio de información sobre la contabilidad de tráfico internacional entre Administraciones mediante intercambio electrónico de datos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D.195:</w:t>
      </w:r>
      <w:r w:rsidRPr="00340022">
        <w:rPr>
          <w:lang w:val="es-ES_tradnl"/>
        </w:rPr>
        <w:tab/>
        <w:t>Plazo para la liquidación de cuentas de los servicios de telecomunicación internacionales (aprobada en 2012)</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D.195 Supl1:</w:t>
      </w:r>
      <w:r w:rsidRPr="00340022">
        <w:rPr>
          <w:lang w:val="es-ES_tradnl"/>
        </w:rPr>
        <w:tab/>
        <w:t>Directrices para la gestión crediticia (aprobado en 2013)</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D.195 Supl2:</w:t>
      </w:r>
      <w:r w:rsidRPr="00340022">
        <w:rPr>
          <w:lang w:val="es-ES_tradnl"/>
        </w:rPr>
        <w:tab/>
        <w:t>Directrices para la gestión de DSO (aprobado en 2013)</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D.195 Supl3:</w:t>
      </w:r>
      <w:r w:rsidRPr="00340022">
        <w:rPr>
          <w:lang w:val="es-ES_tradnl"/>
        </w:rPr>
        <w:tab/>
        <w:t>Directrices sobre pago previo (aprobado en 2013)</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D.201:</w:t>
      </w:r>
      <w:r w:rsidRPr="00340022">
        <w:rPr>
          <w:lang w:val="es-ES_tradnl"/>
        </w:rPr>
        <w:tab/>
        <w:t>Principios generales relativos a las prácticas de comunicación por intermediario (</w:t>
      </w:r>
      <w:proofErr w:type="spellStart"/>
      <w:r w:rsidRPr="00340022">
        <w:rPr>
          <w:lang w:val="es-ES_tradnl"/>
        </w:rPr>
        <w:t>call</w:t>
      </w:r>
      <w:proofErr w:type="spellEnd"/>
      <w:r w:rsidRPr="00340022">
        <w:rPr>
          <w:lang w:val="es-ES_tradnl"/>
        </w:rPr>
        <w:noBreakHyphen/>
        <w:t>back)</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D.300R:</w:t>
      </w:r>
      <w:r w:rsidRPr="00340022">
        <w:rPr>
          <w:lang w:val="es-ES_tradnl"/>
        </w:rPr>
        <w:tab/>
        <w:t>Fijación de las partes alícuotas de distribución en las relaciones telefónicas entre países de Europa y de la Cuenca Mediterránea</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D.301R:</w:t>
      </w:r>
      <w:r w:rsidRPr="00340022">
        <w:rPr>
          <w:lang w:val="es-ES_tradnl"/>
        </w:rPr>
        <w:tab/>
        <w:t>Igual que la Recomendación 300R, pero para el servicio télex</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D.302R:</w:t>
      </w:r>
      <w:r w:rsidRPr="00340022">
        <w:rPr>
          <w:lang w:val="es-ES_tradnl"/>
        </w:rPr>
        <w:tab/>
        <w:t>Igual que la Recomendación 300R, pero para el servicio de telegramas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D.303R:</w:t>
      </w:r>
      <w:r w:rsidRPr="00340022">
        <w:rPr>
          <w:lang w:val="es-ES_tradnl"/>
        </w:rPr>
        <w:tab/>
        <w:t>Igual que la Recomendación 300R, pero para circuitos de transmisión de programas radiofónicos y de televisión</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D.306R:</w:t>
      </w:r>
      <w:r w:rsidRPr="00340022">
        <w:rPr>
          <w:lang w:val="es-ES_tradnl"/>
        </w:rPr>
        <w:tab/>
        <w:t>Igual que la Recomendación 300R, pero para redes públicas de datos conmutadas</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lastRenderedPageBreak/>
        <w:t>•</w:t>
      </w:r>
      <w:r w:rsidRPr="00340022">
        <w:rPr>
          <w:lang w:val="es-ES_tradnl"/>
        </w:rPr>
        <w:tab/>
        <w:t>D.307R:</w:t>
      </w:r>
      <w:r w:rsidRPr="00340022">
        <w:rPr>
          <w:lang w:val="es-ES_tradnl"/>
        </w:rPr>
        <w:tab/>
        <w:t>Remuneración de los sistemas y canales digitales utilizados en las relaciones de telecomunicación entre los países de Europa y de la Cuenca Mediterránea</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D.310R:</w:t>
      </w:r>
      <w:r w:rsidRPr="00340022">
        <w:rPr>
          <w:lang w:val="es-ES_tradnl"/>
        </w:rPr>
        <w:tab/>
        <w:t>Determinación de las tarifas de arriendo de circuitos internacionales radiofónicos y de televisión y de los circuitos de control asociados para uso privado en las relaciones entre países de Europa y de la Cuenca Mediterránea</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D.400R:</w:t>
      </w:r>
      <w:r w:rsidRPr="00340022">
        <w:rPr>
          <w:lang w:val="es-ES_tradnl"/>
        </w:rPr>
        <w:tab/>
        <w:t>Tasas de distribución aplicables a las relaciones directas de tráfico de telefonía vocal entre los países de América Latina y el Caribe</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D.500R:</w:t>
      </w:r>
      <w:r w:rsidRPr="00340022">
        <w:rPr>
          <w:lang w:val="es-ES_tradnl"/>
        </w:rPr>
        <w:tab/>
        <w:t>Tasas de distribución que han de aplicarse en las relaciones telefónicas entre los países de Asia y de Oceanía</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D.501R:</w:t>
      </w:r>
      <w:r w:rsidRPr="00340022">
        <w:rPr>
          <w:lang w:val="es-ES_tradnl"/>
        </w:rPr>
        <w:tab/>
        <w:t>Igual que la Recomendación D.500R, pero para el servicio télex</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D.600R:</w:t>
      </w:r>
      <w:r w:rsidRPr="00340022">
        <w:rPr>
          <w:lang w:val="es-ES_tradnl"/>
        </w:rPr>
        <w:tab/>
        <w:t>Fijación de las partes alícuotas de distribución y de las tasas de percepción en las relaciones telefónicas entre países de África (revisión)</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D.601R:</w:t>
      </w:r>
      <w:r w:rsidRPr="00340022">
        <w:rPr>
          <w:lang w:val="es-ES_tradnl"/>
        </w:rPr>
        <w:tab/>
        <w:t>Igual que la Recomendación D.600R, pero para las relaciones télex</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D.602R:</w:t>
      </w:r>
      <w:r w:rsidRPr="00340022">
        <w:rPr>
          <w:lang w:val="es-ES_tradnl"/>
        </w:rPr>
        <w:tab/>
        <w:t>Igual que la Recomendación D.600R, pero para aplicación del principio "el emisor paga la tasa de tránsito" en las relaciones de tránsito</w:t>
      </w:r>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D.603R:</w:t>
      </w:r>
      <w:r w:rsidRPr="00340022">
        <w:rPr>
          <w:lang w:val="es-ES_tradnl"/>
        </w:rPr>
        <w:tab/>
        <w:t xml:space="preserve">Reducción al mínimo de las tasas de percepción para las comunicaciones </w:t>
      </w:r>
      <w:proofErr w:type="spellStart"/>
      <w:r w:rsidRPr="00340022">
        <w:rPr>
          <w:lang w:val="es-ES_tradnl"/>
        </w:rPr>
        <w:t>interafricanas</w:t>
      </w:r>
      <w:proofErr w:type="spellEnd"/>
    </w:p>
    <w:p w:rsidR="00013F68" w:rsidRPr="00340022" w:rsidRDefault="00013F68" w:rsidP="008327EE">
      <w:pPr>
        <w:pStyle w:val="Enumlevel1"/>
        <w:tabs>
          <w:tab w:val="left" w:pos="567"/>
          <w:tab w:val="left" w:pos="1701"/>
        </w:tabs>
        <w:ind w:left="1701" w:hanging="1701"/>
        <w:rPr>
          <w:lang w:val="es-ES_tradnl"/>
        </w:rPr>
      </w:pPr>
      <w:r w:rsidRPr="00340022">
        <w:rPr>
          <w:lang w:val="es-ES_tradnl"/>
        </w:rPr>
        <w:t>•</w:t>
      </w:r>
      <w:r w:rsidRPr="00340022">
        <w:rPr>
          <w:lang w:val="es-ES_tradnl"/>
        </w:rPr>
        <w:tab/>
        <w:t>D.604R:</w:t>
      </w:r>
      <w:r w:rsidRPr="00340022">
        <w:rPr>
          <w:lang w:val="es-ES_tradnl"/>
        </w:rPr>
        <w:tab/>
        <w:t>Tarifas preferenciales en las relaciones de telecomunicaciones entre países de África</w:t>
      </w:r>
    </w:p>
    <w:p w:rsidR="00013F68" w:rsidRPr="00340022" w:rsidRDefault="00013F68" w:rsidP="008A0D0F">
      <w:pPr>
        <w:pStyle w:val="Headingb0"/>
        <w:spacing w:before="240"/>
        <w:rPr>
          <w:sz w:val="21"/>
          <w:szCs w:val="21"/>
          <w:lang w:val="es-ES_tradnl"/>
        </w:rPr>
      </w:pPr>
      <w:r w:rsidRPr="00340022">
        <w:rPr>
          <w:sz w:val="21"/>
          <w:szCs w:val="21"/>
          <w:lang w:val="es-ES_tradnl"/>
        </w:rPr>
        <w:t>Serie E: Explotación general de la red, servicio telefónico, explotación del servicio y factores humanos</w:t>
      </w:r>
    </w:p>
    <w:p w:rsidR="00013F68" w:rsidRPr="00340022" w:rsidRDefault="00013F68" w:rsidP="00AB400F">
      <w:pPr>
        <w:pStyle w:val="Enumlevel1"/>
        <w:tabs>
          <w:tab w:val="left" w:pos="567"/>
          <w:tab w:val="left" w:pos="1701"/>
        </w:tabs>
        <w:ind w:left="1701" w:hanging="1701"/>
        <w:rPr>
          <w:lang w:val="es-ES_tradnl"/>
        </w:rPr>
      </w:pPr>
      <w:r w:rsidRPr="00340022">
        <w:rPr>
          <w:lang w:val="es-ES_tradnl"/>
        </w:rPr>
        <w:t>•</w:t>
      </w:r>
      <w:r w:rsidRPr="00340022">
        <w:rPr>
          <w:lang w:val="es-ES_tradnl"/>
        </w:rPr>
        <w:tab/>
        <w:t>E.231/D.103:</w:t>
      </w:r>
      <w:r w:rsidRPr="00340022">
        <w:rPr>
          <w:lang w:val="es-ES_tradnl"/>
        </w:rPr>
        <w:tab/>
        <w:t>Tasación en servicio automático para las llamadas en las que un anuncio grabado indica la causa por la que no se completa la llamada</w:t>
      </w:r>
    </w:p>
    <w:p w:rsidR="00013F68" w:rsidRPr="00340022" w:rsidRDefault="00013F68" w:rsidP="00AB400F">
      <w:pPr>
        <w:pStyle w:val="Enumlevel1"/>
        <w:tabs>
          <w:tab w:val="left" w:pos="567"/>
          <w:tab w:val="left" w:pos="1701"/>
        </w:tabs>
        <w:ind w:left="1701" w:hanging="1701"/>
        <w:rPr>
          <w:lang w:val="es-ES_tradnl"/>
        </w:rPr>
      </w:pPr>
      <w:r w:rsidRPr="00340022">
        <w:rPr>
          <w:lang w:val="es-ES_tradnl"/>
        </w:rPr>
        <w:t>•</w:t>
      </w:r>
      <w:r w:rsidRPr="00340022">
        <w:rPr>
          <w:lang w:val="es-ES_tradnl"/>
        </w:rPr>
        <w:tab/>
        <w:t>E.232/D.104:</w:t>
      </w:r>
      <w:r w:rsidRPr="00340022">
        <w:rPr>
          <w:lang w:val="es-ES_tradnl"/>
        </w:rPr>
        <w:tab/>
        <w:t>Tasación de las comunicaciones de un teléfono conectado al servicio de abonados ausentes o a un aparato que responda en lugar del abonado durante su ausencia</w:t>
      </w:r>
    </w:p>
    <w:p w:rsidR="00013F68" w:rsidRPr="00A96787" w:rsidRDefault="00013F68" w:rsidP="00AB400F">
      <w:pPr>
        <w:pStyle w:val="Heading4"/>
      </w:pPr>
      <w:proofErr w:type="spellStart"/>
      <w:r w:rsidRPr="00A96787">
        <w:t>Grupos</w:t>
      </w:r>
      <w:proofErr w:type="spellEnd"/>
      <w:r w:rsidRPr="00A96787">
        <w:t xml:space="preserve"> </w:t>
      </w:r>
      <w:proofErr w:type="spellStart"/>
      <w:r w:rsidRPr="00A96787">
        <w:t>relacionados</w:t>
      </w:r>
      <w:proofErr w:type="spellEnd"/>
    </w:p>
    <w:p w:rsidR="00013F68" w:rsidRPr="00AB400F" w:rsidRDefault="00A31E61" w:rsidP="004D2F38">
      <w:pPr>
        <w:pStyle w:val="Enumlevel1"/>
        <w:numPr>
          <w:ilvl w:val="0"/>
          <w:numId w:val="19"/>
        </w:numPr>
        <w:ind w:left="567" w:hanging="567"/>
        <w:rPr>
          <w:lang w:val="es-ES_tradnl"/>
        </w:rPr>
      </w:pPr>
      <w:hyperlink r:id="rId45" w:history="1">
        <w:r w:rsidR="00AB400F" w:rsidRPr="00AB400F">
          <w:rPr>
            <w:rStyle w:val="Hyperlink"/>
            <w:lang w:val="es-ES_tradnl"/>
          </w:rPr>
          <w:t>Grupo Regional para Asia y</w:t>
        </w:r>
        <w:r w:rsidR="00AB400F">
          <w:rPr>
            <w:rStyle w:val="Hyperlink"/>
            <w:lang w:val="es-ES_tradnl"/>
          </w:rPr>
          <w:t xml:space="preserve"> </w:t>
        </w:r>
        <w:proofErr w:type="spellStart"/>
        <w:r w:rsidR="00AB400F">
          <w:rPr>
            <w:rStyle w:val="Hyperlink"/>
            <w:lang w:val="es-ES_tradnl"/>
          </w:rPr>
          <w:t>Ocianía</w:t>
        </w:r>
        <w:proofErr w:type="spellEnd"/>
      </w:hyperlink>
    </w:p>
    <w:p w:rsidR="00013F68" w:rsidRPr="00AB400F" w:rsidRDefault="00A31E61" w:rsidP="004D2F38">
      <w:pPr>
        <w:pStyle w:val="Enumlevel1"/>
        <w:numPr>
          <w:ilvl w:val="0"/>
          <w:numId w:val="19"/>
        </w:numPr>
        <w:ind w:left="567" w:hanging="567"/>
      </w:pPr>
      <w:hyperlink r:id="rId46" w:history="1">
        <w:proofErr w:type="spellStart"/>
        <w:r w:rsidR="00013F68" w:rsidRPr="00AB400F">
          <w:rPr>
            <w:rStyle w:val="Hyperlink"/>
          </w:rPr>
          <w:t>Grupo</w:t>
        </w:r>
        <w:proofErr w:type="spellEnd"/>
        <w:r w:rsidR="00013F68" w:rsidRPr="00AB400F">
          <w:rPr>
            <w:rStyle w:val="Hyperlink"/>
          </w:rPr>
          <w:t xml:space="preserve"> Regional para </w:t>
        </w:r>
        <w:proofErr w:type="spellStart"/>
        <w:r w:rsidR="00013F68" w:rsidRPr="00AB400F">
          <w:rPr>
            <w:rStyle w:val="Hyperlink"/>
          </w:rPr>
          <w:t>África</w:t>
        </w:r>
        <w:proofErr w:type="spellEnd"/>
      </w:hyperlink>
    </w:p>
    <w:p w:rsidR="00013F68" w:rsidRPr="00AB400F" w:rsidRDefault="00A31E61" w:rsidP="004D2F38">
      <w:pPr>
        <w:pStyle w:val="Enumlevel1"/>
        <w:numPr>
          <w:ilvl w:val="0"/>
          <w:numId w:val="19"/>
        </w:numPr>
        <w:ind w:left="567" w:hanging="567"/>
        <w:rPr>
          <w:lang w:val="es-ES_tradnl"/>
        </w:rPr>
      </w:pPr>
      <w:hyperlink r:id="rId47" w:history="1">
        <w:r w:rsidR="00AB400F" w:rsidRPr="00AB400F">
          <w:rPr>
            <w:rStyle w:val="Hyperlink"/>
            <w:lang w:val="es-ES_tradnl"/>
          </w:rPr>
          <w:t xml:space="preserve">Grupo Regional para la Región </w:t>
        </w:r>
        <w:proofErr w:type="spellStart"/>
        <w:r w:rsidR="00AB400F" w:rsidRPr="00AB400F">
          <w:rPr>
            <w:rStyle w:val="Hyperlink"/>
            <w:lang w:val="es-ES_tradnl"/>
          </w:rPr>
          <w:t>the</w:t>
        </w:r>
        <w:proofErr w:type="spellEnd"/>
      </w:hyperlink>
      <w:r w:rsidR="00013F68" w:rsidRPr="00AB400F">
        <w:rPr>
          <w:rStyle w:val="Hyperlink"/>
          <w:lang w:val="es-ES_tradnl"/>
        </w:rPr>
        <w:t xml:space="preserve"> Árabe</w:t>
      </w:r>
    </w:p>
    <w:p w:rsidR="00013F68" w:rsidRPr="00B366B3" w:rsidRDefault="00013F68" w:rsidP="004D2F38">
      <w:pPr>
        <w:pStyle w:val="Enumlevel1"/>
        <w:numPr>
          <w:ilvl w:val="0"/>
          <w:numId w:val="19"/>
        </w:numPr>
        <w:ind w:left="567" w:hanging="567"/>
        <w:rPr>
          <w:rStyle w:val="Hyperlink"/>
          <w:lang w:val="es-ES_tradnl"/>
        </w:rPr>
      </w:pPr>
      <w:r w:rsidRPr="00B366B3">
        <w:rPr>
          <w:rStyle w:val="Hyperlink"/>
          <w:lang w:val="es-ES_tradnl"/>
        </w:rPr>
        <w:t>Grupo Regional para Latinoamérica y el Caribe</w:t>
      </w:r>
    </w:p>
    <w:p w:rsidR="00013F68" w:rsidRPr="00A96787" w:rsidRDefault="00013F68" w:rsidP="00AB400F">
      <w:pPr>
        <w:pStyle w:val="Heading4"/>
      </w:pPr>
      <w:proofErr w:type="spellStart"/>
      <w:r w:rsidRPr="00A96787">
        <w:t>Manuales</w:t>
      </w:r>
      <w:proofErr w:type="spellEnd"/>
    </w:p>
    <w:p w:rsidR="00013F68" w:rsidRPr="00340022" w:rsidRDefault="00013F68" w:rsidP="004D2F38">
      <w:pPr>
        <w:pStyle w:val="Enumlevel1"/>
        <w:numPr>
          <w:ilvl w:val="0"/>
          <w:numId w:val="19"/>
        </w:numPr>
        <w:ind w:left="567" w:hanging="567"/>
        <w:rPr>
          <w:lang w:val="es-ES_tradnl"/>
        </w:rPr>
      </w:pPr>
      <w:r w:rsidRPr="00340022">
        <w:rPr>
          <w:lang w:val="es-ES_tradnl"/>
        </w:rPr>
        <w:t>Manual sobre metodología para la determinación de costos.</w:t>
      </w:r>
    </w:p>
    <w:p w:rsidR="00013F68" w:rsidRPr="00A96787" w:rsidRDefault="00013F68" w:rsidP="005A4281">
      <w:pPr>
        <w:rPr>
          <w:rFonts w:eastAsia="Times New Roman"/>
          <w:b/>
          <w:bCs/>
          <w:caps/>
          <w:szCs w:val="19"/>
          <w:lang w:val="es-ES" w:eastAsia="en-US"/>
        </w:rPr>
      </w:pPr>
      <w:r w:rsidRPr="00A96787">
        <w:rPr>
          <w:rFonts w:eastAsia="Times New Roman"/>
          <w:b/>
          <w:caps/>
          <w:szCs w:val="19"/>
          <w:lang w:val="es-ES" w:eastAsia="en-US"/>
        </w:rPr>
        <w:br w:type="page"/>
      </w:r>
    </w:p>
    <w:p w:rsidR="00013F68" w:rsidRPr="00340022" w:rsidRDefault="00013F68" w:rsidP="005A4281">
      <w:pPr>
        <w:pStyle w:val="Headingb0"/>
        <w:jc w:val="center"/>
        <w:rPr>
          <w:rFonts w:cs="Helvetica"/>
          <w:color w:val="005173"/>
          <w:sz w:val="28"/>
          <w:szCs w:val="28"/>
          <w:lang w:val="es-ES_tradnl" w:eastAsia="en-GB"/>
        </w:rPr>
      </w:pPr>
      <w:bookmarkStart w:id="112" w:name="_Toc365036825"/>
      <w:bookmarkStart w:id="113" w:name="_Toc233465526"/>
      <w:r w:rsidRPr="00340022">
        <w:rPr>
          <w:rFonts w:cs="Helvetica"/>
          <w:color w:val="005173"/>
          <w:sz w:val="28"/>
          <w:szCs w:val="28"/>
          <w:lang w:val="es-ES_tradnl" w:eastAsia="en-GB"/>
        </w:rPr>
        <w:lastRenderedPageBreak/>
        <w:t>Comisión de Estudio 5 del UIT-T ― Medio ambiente y cambio climático</w:t>
      </w:r>
      <w:bookmarkEnd w:id="112"/>
    </w:p>
    <w:p w:rsidR="00013F68" w:rsidRPr="00340022" w:rsidRDefault="00013F68" w:rsidP="008C0A4F">
      <w:pPr>
        <w:pStyle w:val="Heading4"/>
        <w:rPr>
          <w:lang w:val="es-ES_tradnl"/>
        </w:rPr>
      </w:pPr>
      <w:r w:rsidRPr="00340022">
        <w:rPr>
          <w:lang w:val="es-ES_tradnl"/>
        </w:rPr>
        <w:t>Alcance</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Fonts w:eastAsia="Times New Roman"/>
          <w:szCs w:val="19"/>
          <w:lang w:val="es-ES" w:eastAsia="en-US"/>
        </w:rPr>
        <w:t>El nombre y el mandato de la Comisión de Estudio 5 fueron modificados por el Grupo Asesor de Normalización de las Telecomunicaciones (GANT) en abril de 2009, pasando de "</w:t>
      </w:r>
      <w:r w:rsidRPr="00A96787">
        <w:rPr>
          <w:lang w:val="es-ES"/>
        </w:rPr>
        <w:t>Protección contra los efectos electromagnéticos del entorno"</w:t>
      </w:r>
      <w:r w:rsidRPr="00A96787">
        <w:rPr>
          <w:rFonts w:eastAsia="Times New Roman"/>
          <w:szCs w:val="19"/>
          <w:lang w:val="es-ES" w:eastAsia="en-US"/>
        </w:rPr>
        <w:t xml:space="preserve"> a "Medio ambiente y cambio climático". La pasada AMNT (</w:t>
      </w:r>
      <w:proofErr w:type="spellStart"/>
      <w:r w:rsidRPr="00A96787">
        <w:rPr>
          <w:rFonts w:eastAsia="Times New Roman"/>
          <w:szCs w:val="19"/>
          <w:lang w:val="es-ES" w:eastAsia="en-US"/>
        </w:rPr>
        <w:t>Dubai</w:t>
      </w:r>
      <w:proofErr w:type="spellEnd"/>
      <w:r w:rsidRPr="00A96787">
        <w:rPr>
          <w:rFonts w:eastAsia="Times New Roman"/>
          <w:szCs w:val="19"/>
          <w:lang w:val="es-ES" w:eastAsia="en-US"/>
        </w:rPr>
        <w:t>,</w:t>
      </w:r>
      <w:r>
        <w:rPr>
          <w:rFonts w:eastAsia="Times New Roman"/>
          <w:szCs w:val="19"/>
          <w:lang w:val="es-ES" w:eastAsia="en-US"/>
        </w:rPr>
        <w:t> </w:t>
      </w:r>
      <w:r w:rsidRPr="00A96787">
        <w:rPr>
          <w:rFonts w:eastAsia="Times New Roman"/>
          <w:szCs w:val="19"/>
          <w:lang w:val="es-ES" w:eastAsia="en-US"/>
        </w:rPr>
        <w:t>2012) aprobó el título y el mandato nuevos de la CE 5.</w:t>
      </w:r>
    </w:p>
    <w:p w:rsidR="00013F68" w:rsidRPr="00A96787" w:rsidRDefault="00013F68" w:rsidP="005A4281">
      <w:pPr>
        <w:rPr>
          <w:lang w:val="es-ES"/>
        </w:rPr>
      </w:pPr>
      <w:r w:rsidRPr="00A96787">
        <w:rPr>
          <w:lang w:val="es-ES"/>
        </w:rPr>
        <w:t>La Comisión de Estudio 5 es responsable de los estudios sobre los métodos de evaluación de los efectos de las TIC sobre el cambio climático, y de la publicación de directrices sobre la utilización de las TIC de manera inocua para el medio ambiente. En virtud de su mandato medioambiental, la CE 5 se ocupa asimismo de estudiar el diseño de métodos para reducir el impacto medioambiental, tales como el reciclaje de instalaciones y equipos de TIC.</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Fonts w:eastAsia="Times New Roman"/>
          <w:szCs w:val="19"/>
          <w:lang w:val="es-ES" w:eastAsia="en-US"/>
        </w:rPr>
        <w:t xml:space="preserve">Del mismo modo, la CE 5 tiene cuatro objetivos principales. </w:t>
      </w:r>
      <w:r w:rsidRPr="00A96787">
        <w:rPr>
          <w:lang w:val="es-ES"/>
        </w:rPr>
        <w:t>El primero es proteger los equipos y las instalaciones de telecomunicaciones contra los daños y el mal funcionamiento debido a las perturbaciones electromagnéticas; el segundo consiste en garantizar la seguridad del personal y los usuarios de las redes contra las corrientes y los voltajes utilizados en las redes de telecomunicaciones; el tercero es evitar los riesgos para la salud que entrañan los campos electromagnéticos (CEM) producidos por los dispositivos e instalaciones de telecomunicaciones; y el cuarto consiste en garantizar una buena calidad del servicio (</w:t>
      </w:r>
      <w:proofErr w:type="spellStart"/>
      <w:r w:rsidRPr="00A96787">
        <w:rPr>
          <w:lang w:val="es-ES"/>
        </w:rPr>
        <w:t>QoS</w:t>
      </w:r>
      <w:proofErr w:type="spellEnd"/>
      <w:r w:rsidRPr="00A96787">
        <w:rPr>
          <w:lang w:val="es-ES"/>
        </w:rPr>
        <w:t xml:space="preserve">) de los servicios de datos de alta velocidad, para lo cual define los requisitos aplicables a las características de los cables de cobre y a la prestación simultánea de servicios por diferentes proveedores. </w:t>
      </w:r>
    </w:p>
    <w:p w:rsidR="00013F68" w:rsidRPr="00A96787" w:rsidRDefault="00013F68" w:rsidP="008C0A4F">
      <w:pPr>
        <w:pStyle w:val="Heading4"/>
      </w:pPr>
      <w:proofErr w:type="spellStart"/>
      <w:r w:rsidRPr="00A96787">
        <w:t>Temas</w:t>
      </w:r>
      <w:proofErr w:type="spellEnd"/>
      <w:r w:rsidRPr="00A96787">
        <w:t xml:space="preserve"> de </w:t>
      </w:r>
      <w:proofErr w:type="spellStart"/>
      <w:r w:rsidRPr="00A96787">
        <w:t>estudio</w:t>
      </w:r>
      <w:proofErr w:type="spellEnd"/>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rFonts w:eastAsia="Times New Roman" w:cs="Times New Roman"/>
          <w:bCs/>
          <w:szCs w:val="19"/>
          <w:lang w:val="es-ES_tradnl" w:eastAsia="en-US"/>
        </w:rPr>
        <w:t xml:space="preserve">la Comisión de Estudio 5 es responsable de elaborar los estudios sobre </w:t>
      </w:r>
      <w:r w:rsidRPr="00340022">
        <w:rPr>
          <w:lang w:val="es-ES_tradnl"/>
        </w:rPr>
        <w:t>los aspectos medioambientales de las TIC, los fenómenos electromagnéticos y el cambio climático;</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szCs w:val="19"/>
          <w:lang w:val="es-ES_tradnl"/>
        </w:rPr>
        <w:t>se ocupa del estudio relacionado con la protección de redes y equipos de telecomunicaciones contra interferencias y descargas eléctricas</w:t>
      </w:r>
      <w:r w:rsidRPr="00340022">
        <w:rPr>
          <w:rFonts w:eastAsia="Times New Roman" w:cs="Times New Roman"/>
          <w:bCs/>
          <w:szCs w:val="19"/>
          <w:lang w:val="es-ES_tradnl" w:eastAsia="en-US"/>
        </w:rPr>
        <w:t>;</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szCs w:val="19"/>
          <w:lang w:val="es-ES_tradnl"/>
        </w:rPr>
        <w:t>se encarga asimismo de efectuar estudios sobre compatibilidad electromagnética (EMC), seguridad y efectos sobre la salud de los campos electromagnéticos producidos por las instalaciones y dispositivos de telecomunicación, incluidos los teléfonos celulares;</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lang w:val="es-ES_tradnl"/>
        </w:rPr>
        <w:t>es responsable de los estudios sobre plantas exteriores de redes de cobre existentes y las instalaciones en interiores correspondientes</w:t>
      </w:r>
      <w:r w:rsidRPr="00340022">
        <w:rPr>
          <w:szCs w:val="19"/>
          <w:lang w:val="es-ES_tradnl"/>
        </w:rPr>
        <w:t>;</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lang w:val="es-ES_tradnl"/>
        </w:rPr>
        <w:t>se ocupa de realizar estudios sobre métodos para evaluar el impacto medioambiental de las TIC, publicación de directrices para utilizar las TIC de manera ecológica, problemas relacionados con los desechos electrónicos y la eficiencia energética de los sistemas de alimentación eléctrica;</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lang w:val="es-ES_tradnl"/>
        </w:rPr>
        <w:t>es responsable de elaborar estudios sobre cómo utilizar las TIC para ayudar a los países y al sector de las TIC a adaptarse a los efectos de los problemas medioambientales, incluido el cambio climático;</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rFonts w:eastAsia="Times New Roman" w:cs="Times New Roman"/>
          <w:bCs/>
          <w:szCs w:val="19"/>
          <w:lang w:val="es-ES_tradnl" w:eastAsia="en-US"/>
        </w:rPr>
        <w:t xml:space="preserve">y, por último, es la encargada de </w:t>
      </w:r>
      <w:r w:rsidRPr="00340022">
        <w:rPr>
          <w:lang w:val="es-ES_tradnl"/>
        </w:rPr>
        <w:t>identificar las prácticas ecológicas más coherentes y normalizadas que necesita el sector de las TIC (por ejemplo, etiquetado, modalidades de adquisición, categorización ecológica de los teléfonos móviles)</w:t>
      </w:r>
      <w:r w:rsidRPr="00340022">
        <w:rPr>
          <w:rFonts w:eastAsia="Times New Roman" w:cs="Times New Roman"/>
          <w:bCs/>
          <w:szCs w:val="19"/>
          <w:lang w:val="es-ES_tradnl" w:eastAsia="en-US"/>
        </w:rPr>
        <w:t>.</w:t>
      </w:r>
    </w:p>
    <w:p w:rsidR="00013F68" w:rsidRPr="00A96787" w:rsidRDefault="00013F68" w:rsidP="008C0A4F">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rFonts w:eastAsia="Times New Roman" w:cs="Times New Roman"/>
          <w:bCs/>
          <w:szCs w:val="19"/>
          <w:lang w:val="es-ES_tradnl" w:eastAsia="en-US"/>
        </w:rPr>
        <w:t>Comisión de Estudio Rectora sobre compatibilidad electromagnética y efectos electromagnéticos.</w:t>
      </w:r>
    </w:p>
    <w:p w:rsidR="00013F68" w:rsidRPr="00340022" w:rsidRDefault="00013F68" w:rsidP="004D2F38">
      <w:pPr>
        <w:pStyle w:val="Enumlevel1"/>
        <w:numPr>
          <w:ilvl w:val="0"/>
          <w:numId w:val="32"/>
        </w:numPr>
        <w:ind w:left="567" w:hanging="567"/>
        <w:rPr>
          <w:rFonts w:eastAsia="Times New Roman" w:cs="Times New Roman"/>
          <w:bCs/>
          <w:szCs w:val="19"/>
          <w:lang w:val="es-ES_tradnl" w:eastAsia="en-US"/>
        </w:rPr>
      </w:pPr>
      <w:r w:rsidRPr="00340022">
        <w:rPr>
          <w:rFonts w:eastAsia="Times New Roman" w:cs="Times New Roman"/>
          <w:bCs/>
          <w:szCs w:val="19"/>
          <w:lang w:val="es-ES_tradnl" w:eastAsia="en-US"/>
        </w:rPr>
        <w:t>Comisión de Estudio Rectora sobre las TIC y el cambio climático.</w:t>
      </w:r>
    </w:p>
    <w:p w:rsidR="00013F68" w:rsidRPr="00340022" w:rsidRDefault="00013F68" w:rsidP="00AE245F">
      <w:pPr>
        <w:pStyle w:val="Heading4"/>
        <w:rPr>
          <w:lang w:val="es-ES_tradnl"/>
        </w:rPr>
      </w:pPr>
      <w:r w:rsidRPr="00340022">
        <w:rPr>
          <w:lang w:val="es-ES_tradnl"/>
        </w:rPr>
        <w:lastRenderedPageBreak/>
        <w:t>Estructura de la Comisión de Estudio 5</w:t>
      </w:r>
    </w:p>
    <w:p w:rsidR="00AE245F" w:rsidRPr="00340022" w:rsidRDefault="00AE245F" w:rsidP="00AE245F">
      <w:pPr>
        <w:pStyle w:val="Figuretitle"/>
        <w:rPr>
          <w:lang w:val="es-ES_tradnl"/>
        </w:rPr>
      </w:pPr>
    </w:p>
    <w:p w:rsidR="00AE245F" w:rsidRDefault="00AE245F" w:rsidP="00AE245F">
      <w:pPr>
        <w:pStyle w:val="Figure"/>
      </w:pPr>
      <w:r w:rsidRPr="00CA783C">
        <w:rPr>
          <w:rFonts w:cs="Calibri"/>
          <w:noProof/>
          <w:szCs w:val="21"/>
          <w:lang w:val="en-US" w:eastAsia="zh-CN"/>
        </w:rPr>
        <w:drawing>
          <wp:inline distT="0" distB="0" distL="0" distR="0" wp14:anchorId="1D76A99E" wp14:editId="6C55E5F1">
            <wp:extent cx="3614400" cy="2844000"/>
            <wp:effectExtent l="0" t="0" r="5715" b="0"/>
            <wp:docPr id="452" name="Picture 20" descr="SG5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 structure.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14400" cy="2844000"/>
                    </a:xfrm>
                    <a:prstGeom prst="rect">
                      <a:avLst/>
                    </a:prstGeom>
                  </pic:spPr>
                </pic:pic>
              </a:graphicData>
            </a:graphic>
          </wp:inline>
        </w:drawing>
      </w:r>
    </w:p>
    <w:p w:rsidR="00AE245F" w:rsidRPr="00837668" w:rsidRDefault="00AE245F" w:rsidP="00AE245F">
      <w:pPr>
        <w:pStyle w:val="figuresource"/>
        <w:rPr>
          <w:lang w:val="en-US"/>
        </w:rPr>
      </w:pPr>
    </w:p>
    <w:p w:rsidR="00013F68" w:rsidRPr="00340022" w:rsidRDefault="00013F68" w:rsidP="00AE245F">
      <w:pPr>
        <w:pStyle w:val="Heading4"/>
        <w:rPr>
          <w:lang w:val="es-ES_tradnl"/>
        </w:rPr>
      </w:pPr>
      <w:r w:rsidRPr="00340022">
        <w:rPr>
          <w:lang w:val="es-ES_tradnl"/>
        </w:rPr>
        <w:t>Cuestiones</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C1/5:</w:t>
      </w:r>
      <w:r w:rsidRPr="00340022">
        <w:rPr>
          <w:rFonts w:ascii="Calibri" w:eastAsia="SimSun" w:hAnsi="Calibri" w:cs="Calibri"/>
          <w:bCs w:val="0"/>
          <w:sz w:val="21"/>
          <w:szCs w:val="21"/>
          <w:lang w:val="es-ES_tradnl" w:eastAsia="en-GB"/>
        </w:rPr>
        <w:tab/>
        <w:t>Equipos de conexión de cables de cobre, redes y fibra óptica para el acceso en banda ancha</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C2/5:</w:t>
      </w:r>
      <w:r w:rsidRPr="00340022">
        <w:rPr>
          <w:rFonts w:ascii="Calibri" w:eastAsia="SimSun" w:hAnsi="Calibri" w:cs="Calibri"/>
          <w:bCs w:val="0"/>
          <w:sz w:val="21"/>
          <w:szCs w:val="21"/>
          <w:lang w:val="es-ES_tradnl" w:eastAsia="en-GB"/>
        </w:rPr>
        <w:tab/>
        <w:t xml:space="preserve">Componentes y unidades de protección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C3/5:</w:t>
      </w:r>
      <w:r w:rsidRPr="00340022">
        <w:rPr>
          <w:rFonts w:ascii="Calibri" w:eastAsia="SimSun" w:hAnsi="Calibri" w:cs="Calibri"/>
          <w:bCs w:val="0"/>
          <w:sz w:val="21"/>
          <w:szCs w:val="21"/>
          <w:lang w:val="es-ES_tradnl" w:eastAsia="en-GB"/>
        </w:rPr>
        <w:tab/>
        <w:t xml:space="preserve">Interferencia en las redes de telecomunicaciones debida a las líneas de distribución de energía eléctrica y líneas férreas electrificadas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C4/5:</w:t>
      </w:r>
      <w:r w:rsidRPr="00340022">
        <w:rPr>
          <w:rFonts w:ascii="Calibri" w:eastAsia="SimSun" w:hAnsi="Calibri" w:cs="Calibri"/>
          <w:bCs w:val="0"/>
          <w:sz w:val="21"/>
          <w:szCs w:val="21"/>
          <w:lang w:val="es-ES_tradnl" w:eastAsia="en-GB"/>
        </w:rPr>
        <w:tab/>
        <w:t xml:space="preserve">Tolerancia y seguridad de las telecomunicaciones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C5/5:</w:t>
      </w:r>
      <w:r w:rsidRPr="00340022">
        <w:rPr>
          <w:rFonts w:ascii="Calibri" w:eastAsia="SimSun" w:hAnsi="Calibri" w:cs="Calibri"/>
          <w:bCs w:val="0"/>
          <w:sz w:val="21"/>
          <w:szCs w:val="21"/>
          <w:lang w:val="es-ES_tradnl" w:eastAsia="en-GB"/>
        </w:rPr>
        <w:tab/>
        <w:t xml:space="preserve">Puesta a tierra de los sistemas de telecomunicación y protección contra la descarga del rayo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C6/5:</w:t>
      </w:r>
      <w:r w:rsidRPr="00340022">
        <w:rPr>
          <w:rFonts w:ascii="Calibri" w:eastAsia="SimSun" w:hAnsi="Calibri" w:cs="Calibri"/>
          <w:bCs w:val="0"/>
          <w:sz w:val="21"/>
          <w:szCs w:val="21"/>
          <w:lang w:val="es-ES_tradnl" w:eastAsia="en-GB"/>
        </w:rPr>
        <w:tab/>
        <w:t>Problemas de compatibilidad electromagnética causados por la convergencia de las TI y los equipos de comunicaciones</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C7/5:</w:t>
      </w:r>
      <w:r w:rsidRPr="00340022">
        <w:rPr>
          <w:rFonts w:ascii="Calibri" w:eastAsia="SimSun" w:hAnsi="Calibri" w:cs="Calibri"/>
          <w:bCs w:val="0"/>
          <w:sz w:val="21"/>
          <w:szCs w:val="21"/>
          <w:lang w:val="es-ES_tradnl" w:eastAsia="en-GB"/>
        </w:rPr>
        <w:tab/>
        <w:t xml:space="preserve">Exposición humana a los campos electromagnéticos causados por sistemas de radiocomunicaciones y equipos móviles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C8/5:</w:t>
      </w:r>
      <w:r w:rsidRPr="00340022">
        <w:rPr>
          <w:rFonts w:ascii="Calibri" w:eastAsia="SimSun" w:hAnsi="Calibri" w:cs="Calibri"/>
          <w:bCs w:val="0"/>
          <w:sz w:val="21"/>
          <w:szCs w:val="21"/>
          <w:lang w:val="es-ES_tradnl" w:eastAsia="en-GB"/>
        </w:rPr>
        <w:tab/>
        <w:t>Cuestiones de compatibilidad electromagnética en las redes residenciales</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 xml:space="preserve">C9/5: </w:t>
      </w:r>
      <w:r w:rsidRPr="00340022">
        <w:rPr>
          <w:rFonts w:ascii="Calibri" w:eastAsia="SimSun" w:hAnsi="Calibri" w:cs="Calibri"/>
          <w:bCs w:val="0"/>
          <w:sz w:val="21"/>
          <w:szCs w:val="21"/>
          <w:lang w:val="es-ES_tradnl" w:eastAsia="en-GB"/>
        </w:rPr>
        <w:tab/>
        <w:t>Serie de Recomendaciones genéricas y específicas relativas a la compatibilidad electromagnética de los equipos de telecomunicaciones</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C10/5:</w:t>
      </w:r>
      <w:r w:rsidRPr="00340022">
        <w:rPr>
          <w:rFonts w:ascii="Calibri" w:eastAsia="SimSun" w:hAnsi="Calibri" w:cs="Calibri"/>
          <w:bCs w:val="0"/>
          <w:sz w:val="21"/>
          <w:szCs w:val="21"/>
          <w:lang w:val="es-ES_tradnl" w:eastAsia="en-GB"/>
        </w:rPr>
        <w:tab/>
        <w:t xml:space="preserve">Seguridad de los sistemas de telecomunicación e información relativa al entorno electromagnético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C11/5:</w:t>
      </w:r>
      <w:r w:rsidRPr="00340022">
        <w:rPr>
          <w:rFonts w:ascii="Calibri" w:eastAsia="SimSun" w:hAnsi="Calibri" w:cs="Calibri"/>
          <w:bCs w:val="0"/>
          <w:sz w:val="21"/>
          <w:szCs w:val="21"/>
          <w:lang w:val="es-ES_tradnl" w:eastAsia="en-GB"/>
        </w:rPr>
        <w:tab/>
        <w:t xml:space="preserve">Requisitos en materia de compatibilidad electromagnética para la sociedad de la información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C12/5:</w:t>
      </w:r>
      <w:r w:rsidRPr="00340022">
        <w:rPr>
          <w:rFonts w:ascii="Calibri" w:eastAsia="SimSun" w:hAnsi="Calibri" w:cs="Calibri"/>
          <w:bCs w:val="0"/>
          <w:sz w:val="21"/>
          <w:szCs w:val="21"/>
          <w:lang w:val="es-ES_tradnl" w:eastAsia="en-GB"/>
        </w:rPr>
        <w:tab/>
        <w:t xml:space="preserve">Guías y terminología sobre el medio ambiente y el cambio climático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C13/5:</w:t>
      </w:r>
      <w:r w:rsidRPr="00340022">
        <w:rPr>
          <w:rFonts w:ascii="Calibri" w:eastAsia="SimSun" w:hAnsi="Calibri" w:cs="Calibri"/>
          <w:bCs w:val="0"/>
          <w:sz w:val="21"/>
          <w:szCs w:val="21"/>
          <w:lang w:val="es-ES_tradnl" w:eastAsia="en-GB"/>
        </w:rPr>
        <w:tab/>
        <w:t xml:space="preserve">Reducción del impacto ambiental, incluidos los residuos electrónicos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lastRenderedPageBreak/>
        <w:t>•</w:t>
      </w:r>
      <w:r w:rsidRPr="00340022">
        <w:rPr>
          <w:rFonts w:ascii="Calibri" w:eastAsia="SimSun" w:hAnsi="Calibri" w:cs="Calibri"/>
          <w:bCs w:val="0"/>
          <w:sz w:val="21"/>
          <w:szCs w:val="21"/>
          <w:lang w:val="es-ES_tradnl" w:eastAsia="en-GB"/>
        </w:rPr>
        <w:tab/>
        <w:t>C14/5:</w:t>
      </w:r>
      <w:r w:rsidRPr="00340022">
        <w:rPr>
          <w:rFonts w:ascii="Calibri" w:eastAsia="SimSun" w:hAnsi="Calibri" w:cs="Calibri"/>
          <w:bCs w:val="0"/>
          <w:sz w:val="21"/>
          <w:szCs w:val="21"/>
          <w:lang w:val="es-ES_tradnl" w:eastAsia="en-GB"/>
        </w:rPr>
        <w:tab/>
        <w:t xml:space="preserve">Establecimiento de una infraestructura de telecomunicaciones sostenible de bajo coste para comunicaciones rurales en países en desarrollo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C15/5:</w:t>
      </w:r>
      <w:r w:rsidRPr="00340022">
        <w:rPr>
          <w:rFonts w:ascii="Calibri" w:eastAsia="SimSun" w:hAnsi="Calibri" w:cs="Calibri"/>
          <w:bCs w:val="0"/>
          <w:sz w:val="21"/>
          <w:szCs w:val="21"/>
          <w:lang w:val="es-ES_tradnl" w:eastAsia="en-GB"/>
        </w:rPr>
        <w:tab/>
        <w:t xml:space="preserve">Utilización de la TIC para ayudar a los países a adaptarse al cambio climático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C16/5:</w:t>
      </w:r>
      <w:r w:rsidRPr="00340022">
        <w:rPr>
          <w:rFonts w:ascii="Calibri" w:eastAsia="SimSun" w:hAnsi="Calibri" w:cs="Calibri"/>
          <w:bCs w:val="0"/>
          <w:sz w:val="21"/>
          <w:szCs w:val="21"/>
          <w:lang w:val="es-ES_tradnl" w:eastAsia="en-GB"/>
        </w:rPr>
        <w:tab/>
        <w:t xml:space="preserve">Potenciar y mejorar la sostenibilidad ambiental de las TIC </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C17/5:</w:t>
      </w:r>
      <w:r w:rsidRPr="00340022">
        <w:rPr>
          <w:rFonts w:ascii="Calibri" w:eastAsia="SimSun" w:hAnsi="Calibri" w:cs="Calibri"/>
          <w:bCs w:val="0"/>
          <w:sz w:val="21"/>
          <w:szCs w:val="21"/>
          <w:lang w:val="es-ES_tradnl" w:eastAsia="en-GB"/>
        </w:rPr>
        <w:tab/>
        <w:t>Eficacia energética de los equipos TIC y armonización de normas sobre el cambio climático</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C18/5:</w:t>
      </w:r>
      <w:r w:rsidRPr="00340022">
        <w:rPr>
          <w:rFonts w:ascii="Calibri" w:eastAsia="SimSun" w:hAnsi="Calibri" w:cs="Calibri"/>
          <w:bCs w:val="0"/>
          <w:sz w:val="21"/>
          <w:szCs w:val="21"/>
          <w:lang w:val="es-ES_tradnl" w:eastAsia="en-GB"/>
        </w:rPr>
        <w:tab/>
        <w:t>Metodología para evaluar el impacto medioambiental de las TIC</w:t>
      </w:r>
    </w:p>
    <w:p w:rsidR="00013F68" w:rsidRPr="00340022" w:rsidRDefault="00013F68" w:rsidP="00892359">
      <w:pPr>
        <w:pStyle w:val="CEOIndent-bulletsblackdot"/>
        <w:tabs>
          <w:tab w:val="num" w:pos="568"/>
        </w:tabs>
        <w:spacing w:before="120"/>
        <w:ind w:left="1656" w:hanging="1656"/>
        <w:rPr>
          <w:rFonts w:ascii="Calibri" w:eastAsia="SimSun" w:hAnsi="Calibri" w:cs="Calibri"/>
          <w:bCs w:val="0"/>
          <w:sz w:val="21"/>
          <w:szCs w:val="21"/>
          <w:lang w:val="es-ES_tradnl" w:eastAsia="en-GB"/>
        </w:rPr>
      </w:pPr>
      <w:r w:rsidRPr="00340022">
        <w:rPr>
          <w:rFonts w:ascii="Calibri" w:eastAsia="SimSun" w:hAnsi="Calibri" w:cs="Calibri"/>
          <w:bCs w:val="0"/>
          <w:sz w:val="21"/>
          <w:szCs w:val="21"/>
          <w:lang w:val="es-ES_tradnl" w:eastAsia="en-GB"/>
        </w:rPr>
        <w:t>•</w:t>
      </w:r>
      <w:r w:rsidRPr="00340022">
        <w:rPr>
          <w:rFonts w:ascii="Calibri" w:eastAsia="SimSun" w:hAnsi="Calibri" w:cs="Calibri"/>
          <w:bCs w:val="0"/>
          <w:sz w:val="21"/>
          <w:szCs w:val="21"/>
          <w:lang w:val="es-ES_tradnl" w:eastAsia="en-GB"/>
        </w:rPr>
        <w:tab/>
        <w:t>C19/5:</w:t>
      </w:r>
      <w:r w:rsidRPr="00340022">
        <w:rPr>
          <w:rFonts w:ascii="Calibri" w:eastAsia="SimSun" w:hAnsi="Calibri" w:cs="Calibri"/>
          <w:bCs w:val="0"/>
          <w:sz w:val="21"/>
          <w:szCs w:val="21"/>
          <w:lang w:val="es-ES_tradnl" w:eastAsia="en-GB"/>
        </w:rPr>
        <w:tab/>
        <w:t>Sistemas de alimentación eléctrica</w:t>
      </w:r>
    </w:p>
    <w:p w:rsidR="00013F68" w:rsidRPr="00340022" w:rsidRDefault="00013F68" w:rsidP="00AE245F">
      <w:pPr>
        <w:pStyle w:val="Heading4"/>
        <w:rPr>
          <w:lang w:val="es-ES_tradnl"/>
        </w:rPr>
      </w:pPr>
      <w:r w:rsidRPr="00340022">
        <w:rPr>
          <w:lang w:val="es-ES_tradnl"/>
        </w:rPr>
        <w:t>Recomendaciones</w:t>
      </w:r>
    </w:p>
    <w:p w:rsidR="00013F68" w:rsidRPr="00340022" w:rsidRDefault="00013F68" w:rsidP="00FF7C61">
      <w:pPr>
        <w:pStyle w:val="Headingb0"/>
        <w:spacing w:before="240"/>
        <w:rPr>
          <w:sz w:val="21"/>
          <w:szCs w:val="21"/>
          <w:lang w:val="es-ES_tradnl"/>
        </w:rPr>
      </w:pPr>
      <w:r w:rsidRPr="00340022">
        <w:rPr>
          <w:sz w:val="21"/>
          <w:szCs w:val="21"/>
          <w:lang w:val="es-ES_tradnl"/>
        </w:rPr>
        <w:t>Serie K: Protección contra las interferencias</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K.25:</w:t>
      </w:r>
      <w:r w:rsidRPr="00340022">
        <w:rPr>
          <w:lang w:val="es-ES_tradnl"/>
        </w:rPr>
        <w:tab/>
        <w:t>Protección de los cables de fibra óptica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K.39:</w:t>
      </w:r>
      <w:r w:rsidRPr="00340022">
        <w:rPr>
          <w:lang w:val="es-ES_tradnl"/>
        </w:rPr>
        <w:tab/>
        <w:t>Evaluación del riesgo de daños en los emplazamientos de telecomunicaciones debido a las descargas del rayo</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K.40:</w:t>
      </w:r>
      <w:r w:rsidRPr="00340022">
        <w:rPr>
          <w:lang w:val="es-ES_tradnl"/>
        </w:rPr>
        <w:tab/>
        <w:t>Protección contra los impulsos electromagnéticos ocasionados por el rayo en los centros de telecomunicaciones</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K.46:</w:t>
      </w:r>
      <w:r w:rsidRPr="00340022">
        <w:rPr>
          <w:lang w:val="es-ES_tradnl"/>
        </w:rPr>
        <w:tab/>
        <w:t>Protección de las líneas de telecomunicación que utilizan conductores simétricos metálicos contra las sobrecargas inducidas por el rayo (enmendada y aprobada en 2012)</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K.47:</w:t>
      </w:r>
      <w:r w:rsidRPr="00340022">
        <w:rPr>
          <w:lang w:val="es-ES_tradnl"/>
        </w:rPr>
        <w:tab/>
        <w:t>Protección de las líneas de telecomunicación que utilizan conductores metálicos contra las descargas directas de rayos (enmendada y aprobada en 2012)</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K.56:</w:t>
      </w:r>
      <w:r w:rsidRPr="00340022">
        <w:rPr>
          <w:lang w:val="es-ES_tradnl"/>
        </w:rPr>
        <w:tab/>
        <w:t>Protección de las estaciones de base radioeléctricas contra las descargas del rayo (enmendada y aprobada en 2010)</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K.54:</w:t>
      </w:r>
      <w:r w:rsidRPr="00340022">
        <w:rPr>
          <w:lang w:val="es-ES_tradnl"/>
        </w:rPr>
        <w:tab/>
        <w:t>Método y nivel de prueba de la inmunidad a las perturbaciones conducidas a las frecuencias fundamentales de las líneas de energía eléctrica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K.57:</w:t>
      </w:r>
      <w:r w:rsidRPr="00340022">
        <w:rPr>
          <w:lang w:val="es-ES_tradnl"/>
        </w:rPr>
        <w:tab/>
        <w:t>Medidas de protección para las estaciones de base radioeléctricas situadas en torres de líneas de alimentación de energía (aprobada)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K.50:</w:t>
      </w:r>
      <w:r w:rsidRPr="00340022">
        <w:rPr>
          <w:lang w:val="es-ES_tradnl"/>
        </w:rPr>
        <w:tab/>
        <w:t>Límites de seguridad para tensiones y corrientes de explotación en sistemas de telecomunicación alimentados por la red (aprobada)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K.51:</w:t>
      </w:r>
      <w:r w:rsidRPr="00340022">
        <w:rPr>
          <w:lang w:val="es-ES_tradnl"/>
        </w:rPr>
        <w:tab/>
        <w:t>Criterios de seguridad para equipos de telecomunicación (aprobada)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 64:</w:t>
      </w:r>
      <w:r w:rsidRPr="00340022">
        <w:rPr>
          <w:lang w:val="es-ES_tradnl"/>
        </w:rPr>
        <w:tab/>
        <w:t>Métodos seguros de trabajo en equipos exteriores instalados en entornos especiales (aprobada)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K.11:</w:t>
      </w:r>
      <w:r w:rsidRPr="00340022">
        <w:rPr>
          <w:lang w:val="es-ES_tradnl"/>
        </w:rPr>
        <w:tab/>
        <w:t xml:space="preserve">Principios de protección contra las sobretensiones y </w:t>
      </w:r>
      <w:proofErr w:type="spellStart"/>
      <w:r w:rsidRPr="00340022">
        <w:rPr>
          <w:lang w:val="es-ES_tradnl"/>
        </w:rPr>
        <w:t>sobrecorrientes</w:t>
      </w:r>
      <w:proofErr w:type="spellEnd"/>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K.36:</w:t>
      </w:r>
      <w:r w:rsidRPr="00340022">
        <w:rPr>
          <w:lang w:val="es-ES_tradnl"/>
        </w:rPr>
        <w:tab/>
        <w:t>Selección de los dispositivos de protección</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K.71:</w:t>
      </w:r>
      <w:r w:rsidRPr="00340022">
        <w:rPr>
          <w:lang w:val="es-ES_tradnl"/>
        </w:rPr>
        <w:tab/>
        <w:t>Protección de las instalaciones de antenas de los clientes (aprobada en 2011)</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K83:</w:t>
      </w:r>
      <w:r w:rsidRPr="00340022">
        <w:rPr>
          <w:lang w:val="es-ES_tradnl"/>
        </w:rPr>
        <w:tab/>
        <w:t>Supervisión de los niveles de intensidad del campo electromagnético (aprobada)</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K.87:</w:t>
      </w:r>
      <w:r w:rsidRPr="00340022">
        <w:rPr>
          <w:lang w:val="es-ES_tradnl"/>
        </w:rPr>
        <w:tab/>
        <w:t>Guía para la aplicación de los requisitos de seguridad electromagnética (aprobada en 2011)</w:t>
      </w:r>
    </w:p>
    <w:p w:rsidR="00013F68" w:rsidRPr="00340022" w:rsidRDefault="00013F68" w:rsidP="00892359">
      <w:pPr>
        <w:pStyle w:val="Enumlevel1"/>
        <w:tabs>
          <w:tab w:val="left" w:pos="567"/>
          <w:tab w:val="left" w:pos="1701"/>
        </w:tabs>
        <w:spacing w:after="60"/>
        <w:ind w:left="1656" w:hanging="1656"/>
        <w:jc w:val="left"/>
        <w:rPr>
          <w:lang w:val="es-ES_tradnl"/>
        </w:rPr>
      </w:pPr>
      <w:r w:rsidRPr="00340022">
        <w:rPr>
          <w:lang w:val="es-ES_tradnl"/>
        </w:rPr>
        <w:t>•</w:t>
      </w:r>
      <w:r w:rsidRPr="00340022">
        <w:rPr>
          <w:lang w:val="es-ES_tradnl"/>
        </w:rPr>
        <w:tab/>
        <w:t xml:space="preserve">K.70: </w:t>
      </w:r>
      <w:r w:rsidRPr="00340022">
        <w:rPr>
          <w:lang w:val="es-ES_tradnl"/>
        </w:rPr>
        <w:tab/>
        <w:t>Técnicas para limitar la exposición humana a los campos electromagnéticos en cercanías a estaciones de radiocomunicaciones (aprobada)</w:t>
      </w:r>
    </w:p>
    <w:p w:rsidR="00013F68" w:rsidRPr="00E85F64" w:rsidRDefault="00013F68" w:rsidP="00892359">
      <w:pPr>
        <w:pStyle w:val="Enumlevel1"/>
        <w:tabs>
          <w:tab w:val="left" w:pos="567"/>
          <w:tab w:val="left" w:pos="1701"/>
        </w:tabs>
        <w:spacing w:after="60"/>
        <w:ind w:left="1656" w:hanging="1656"/>
        <w:jc w:val="left"/>
      </w:pPr>
      <w:r w:rsidRPr="00E85F64">
        <w:lastRenderedPageBreak/>
        <w:t>•</w:t>
      </w:r>
      <w:r w:rsidRPr="00E85F64">
        <w:tab/>
      </w:r>
      <w:proofErr w:type="spellStart"/>
      <w:r w:rsidRPr="00E85F64">
        <w:t>K.ntt</w:t>
      </w:r>
      <w:proofErr w:type="spellEnd"/>
      <w:r w:rsidRPr="00E85F64">
        <w:t>:</w:t>
      </w:r>
      <w:r w:rsidRPr="00E85F64">
        <w:tab/>
        <w:t xml:space="preserve">Protection of </w:t>
      </w:r>
      <w:proofErr w:type="spellStart"/>
      <w:r w:rsidRPr="00E85F64">
        <w:t>neighborhood</w:t>
      </w:r>
      <w:proofErr w:type="spellEnd"/>
      <w:r w:rsidRPr="00E85F64">
        <w:t xml:space="preserve"> of telecommunication towers against lightning (en </w:t>
      </w:r>
      <w:proofErr w:type="spellStart"/>
      <w:r w:rsidRPr="00E85F64">
        <w:t>estudio</w:t>
      </w:r>
      <w:proofErr w:type="spellEnd"/>
      <w:r w:rsidRPr="00E85F64">
        <w:t>)</w:t>
      </w:r>
    </w:p>
    <w:p w:rsidR="00013F68" w:rsidRPr="00E85F64" w:rsidRDefault="00013F68" w:rsidP="00892359">
      <w:pPr>
        <w:pStyle w:val="Enumlevel1"/>
        <w:tabs>
          <w:tab w:val="left" w:pos="567"/>
          <w:tab w:val="left" w:pos="1701"/>
        </w:tabs>
        <w:spacing w:after="60"/>
        <w:ind w:left="1656" w:hanging="1656"/>
        <w:jc w:val="left"/>
      </w:pPr>
      <w:r w:rsidRPr="00E85F64">
        <w:t>•</w:t>
      </w:r>
      <w:r w:rsidRPr="00E85F64">
        <w:tab/>
      </w:r>
      <w:proofErr w:type="spellStart"/>
      <w:r w:rsidRPr="00E85F64">
        <w:t>K.tot</w:t>
      </w:r>
      <w:proofErr w:type="spellEnd"/>
      <w:r w:rsidRPr="00E85F64">
        <w:t>:</w:t>
      </w:r>
      <w:r w:rsidRPr="00E85F64">
        <w:tab/>
        <w:t xml:space="preserve">Lightning protection and </w:t>
      </w:r>
      <w:proofErr w:type="spellStart"/>
      <w:r w:rsidRPr="00E85F64">
        <w:t>earthing</w:t>
      </w:r>
      <w:proofErr w:type="spellEnd"/>
      <w:r w:rsidRPr="00E85F64">
        <w:t xml:space="preserve"> total solution for Radio Base station site (en </w:t>
      </w:r>
      <w:proofErr w:type="spellStart"/>
      <w:r w:rsidRPr="00E85F64">
        <w:t>estudio</w:t>
      </w:r>
      <w:proofErr w:type="spellEnd"/>
      <w:r w:rsidRPr="00E85F64">
        <w:t>)</w:t>
      </w:r>
    </w:p>
    <w:p w:rsidR="00013F68" w:rsidRPr="00340022" w:rsidRDefault="00013F68" w:rsidP="00E85F64">
      <w:pPr>
        <w:pStyle w:val="Headingb0"/>
        <w:rPr>
          <w:sz w:val="21"/>
          <w:szCs w:val="21"/>
          <w:lang w:val="es-ES_tradnl"/>
        </w:rPr>
      </w:pPr>
      <w:r w:rsidRPr="00340022">
        <w:rPr>
          <w:sz w:val="21"/>
          <w:szCs w:val="21"/>
          <w:lang w:val="es-ES_tradnl"/>
        </w:rPr>
        <w:t>Serie L: Construcción, instalación y protección de los cables y otros elementos de planta exterior</w:t>
      </w:r>
    </w:p>
    <w:p w:rsidR="00013F68" w:rsidRPr="00E85F64" w:rsidRDefault="00013F68" w:rsidP="00E85F64">
      <w:pPr>
        <w:pStyle w:val="Enumlevel1"/>
        <w:tabs>
          <w:tab w:val="left" w:pos="567"/>
          <w:tab w:val="left" w:pos="2268"/>
        </w:tabs>
        <w:ind w:left="2268" w:hanging="2268"/>
        <w:rPr>
          <w:lang w:val="es-ES_tradnl"/>
        </w:rPr>
      </w:pPr>
      <w:r w:rsidRPr="00E85F64">
        <w:rPr>
          <w:lang w:val="es-ES_tradnl"/>
        </w:rPr>
        <w:t>•</w:t>
      </w:r>
      <w:r w:rsidRPr="00E85F64">
        <w:rPr>
          <w:lang w:val="es-ES_tradnl"/>
        </w:rPr>
        <w:tab/>
        <w:t xml:space="preserve">L.1000: </w:t>
      </w:r>
      <w:r w:rsidRPr="00E85F64">
        <w:rPr>
          <w:lang w:val="es-ES_tradnl"/>
        </w:rPr>
        <w:tab/>
        <w:t>Solución universal de adaptador y cargador de energía para terminales móviles y otros dispositivos de las TIC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L.1001: </w:t>
      </w:r>
      <w:r w:rsidRPr="00340022">
        <w:rPr>
          <w:lang w:val="es-ES_tradnl"/>
        </w:rPr>
        <w:tab/>
        <w:t>Soluciones del adaptador de potencia universal externo para dispositivos fijos de tecnologías de la información y la comunicación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L.1100: </w:t>
      </w:r>
      <w:r w:rsidRPr="00340022">
        <w:rPr>
          <w:lang w:val="es-ES_tradnl"/>
        </w:rPr>
        <w:tab/>
        <w:t>Procedimiento para reciclar los metales raros de los bienes de las tecnologías de la información y la comunicación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L.1200: </w:t>
      </w:r>
      <w:r w:rsidRPr="00340022">
        <w:rPr>
          <w:lang w:val="es-ES_tradnl"/>
        </w:rPr>
        <w:tab/>
        <w:t>Especificación de la interfaz de alimentación eléctrica en CC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L.1300: </w:t>
      </w:r>
      <w:r w:rsidRPr="00340022">
        <w:rPr>
          <w:lang w:val="es-ES_tradnl"/>
        </w:rPr>
        <w:tab/>
        <w:t>Prácticas óptimas para centros de datos ecológicos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L.1310: </w:t>
      </w:r>
      <w:r w:rsidRPr="00340022">
        <w:rPr>
          <w:lang w:val="es-ES_tradnl"/>
        </w:rPr>
        <w:tab/>
        <w:t>Métrica y métodos de medición de la eficiencia energética para los equipos de telecomunicaciones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L.1400: </w:t>
      </w:r>
      <w:r w:rsidRPr="00340022">
        <w:rPr>
          <w:lang w:val="es-ES_tradnl"/>
        </w:rPr>
        <w:tab/>
        <w:t>Visión y principios generales de las metodologías para la evaluación del impacto ambiental de las TIC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 xml:space="preserve">L.1410: </w:t>
      </w:r>
      <w:r w:rsidRPr="00340022">
        <w:rPr>
          <w:lang w:val="es-ES_tradnl"/>
        </w:rPr>
        <w:tab/>
        <w:t>Metodología para la evaluación de los efectos medioambientales de los bienes, redes y servicios de tecnologías de la información y la comunicación (aprobada)</w:t>
      </w:r>
    </w:p>
    <w:p w:rsidR="00013F68" w:rsidRPr="00340022" w:rsidRDefault="00013F68" w:rsidP="00E85F64">
      <w:pPr>
        <w:pStyle w:val="Enumlevel1"/>
        <w:tabs>
          <w:tab w:val="left" w:pos="567"/>
          <w:tab w:val="left" w:pos="2268"/>
        </w:tabs>
        <w:ind w:left="2268" w:hanging="2268"/>
        <w:rPr>
          <w:lang w:val="es-ES_tradnl"/>
        </w:rPr>
      </w:pPr>
      <w:r w:rsidRPr="00340022">
        <w:rPr>
          <w:lang w:val="es-ES_tradnl"/>
        </w:rPr>
        <w:t>•</w:t>
      </w:r>
      <w:r w:rsidRPr="00340022">
        <w:rPr>
          <w:lang w:val="es-ES_tradnl"/>
        </w:rPr>
        <w:tab/>
        <w:t>L.1420:</w:t>
      </w:r>
      <w:r w:rsidRPr="00340022">
        <w:rPr>
          <w:lang w:val="es-ES_tradnl"/>
        </w:rPr>
        <w:tab/>
        <w:t>Metodología para la evaluación de los efectos del consumo de energía y las emisiones de gases de efecto invernadero de las tecnologías de la información y la comunicación en las organizaciones (aprobada)</w:t>
      </w:r>
    </w:p>
    <w:p w:rsidR="00013F68" w:rsidRPr="00E85F64" w:rsidRDefault="00013F68" w:rsidP="00E85F64">
      <w:pPr>
        <w:pStyle w:val="Enumlevel1"/>
        <w:tabs>
          <w:tab w:val="left" w:pos="567"/>
          <w:tab w:val="left" w:pos="2268"/>
        </w:tabs>
        <w:ind w:left="2268" w:hanging="2268"/>
      </w:pPr>
      <w:r w:rsidRPr="00E85F64">
        <w:t>•</w:t>
      </w:r>
      <w:r w:rsidRPr="00E85F64">
        <w:tab/>
        <w:t xml:space="preserve">L.1430: </w:t>
      </w:r>
      <w:r w:rsidRPr="00E85F64">
        <w:tab/>
        <w:t>Methodology for assessment of the environmental impact of information and communication technology greenhouse gas and energy projects (</w:t>
      </w:r>
      <w:proofErr w:type="spellStart"/>
      <w:r w:rsidRPr="00E85F64">
        <w:t>aprobada</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r>
      <w:proofErr w:type="spellStart"/>
      <w:r w:rsidRPr="00E85F64">
        <w:t>L.recBat</w:t>
      </w:r>
      <w:proofErr w:type="spellEnd"/>
      <w:r w:rsidRPr="00E85F64">
        <w:t>:</w:t>
      </w:r>
      <w:r w:rsidRPr="00E85F64">
        <w:tab/>
        <w:t xml:space="preserve">Recycling of discarded batteries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t>L.UPA portable:</w:t>
      </w:r>
      <w:r w:rsidR="00E85F64">
        <w:t xml:space="preserve"> </w:t>
      </w:r>
      <w:r w:rsidR="00E85F64">
        <w:tab/>
      </w:r>
      <w:r w:rsidRPr="00E85F64">
        <w:t xml:space="preserve">Universal Power Adapter for portable ICT equipment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t xml:space="preserve">L. Infrastructure and adaptation: Recommendations to support adaptation to climate change and the ICT infrastructure to the impacts of climate change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r>
      <w:proofErr w:type="spellStart"/>
      <w:r w:rsidRPr="00E85F64">
        <w:t>L.Green</w:t>
      </w:r>
      <w:proofErr w:type="spellEnd"/>
      <w:r w:rsidRPr="00E85F64">
        <w:t>-batteries:</w:t>
      </w:r>
      <w:r w:rsidRPr="00E85F64">
        <w:tab/>
        <w:t xml:space="preserve">Green batteries solution for mobile phone and other ICT devices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r>
      <w:proofErr w:type="spellStart"/>
      <w:r w:rsidRPr="00E85F64">
        <w:t>L.Eco_rating</w:t>
      </w:r>
      <w:proofErr w:type="spellEnd"/>
      <w:r w:rsidRPr="00E85F64">
        <w:t>:</w:t>
      </w:r>
      <w:r w:rsidRPr="00E85F64">
        <w:tab/>
        <w:t xml:space="preserve">Development of a Recommendation for eco-specifications and rating criteria for mobile phones eco-rating programs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r>
      <w:proofErr w:type="spellStart"/>
      <w:r w:rsidRPr="00E85F64">
        <w:t>L.AssDC</w:t>
      </w:r>
      <w:proofErr w:type="spellEnd"/>
      <w:r w:rsidRPr="00E85F64">
        <w:t>:</w:t>
      </w:r>
      <w:r w:rsidRPr="00E85F64">
        <w:tab/>
        <w:t xml:space="preserve">Data </w:t>
      </w:r>
      <w:proofErr w:type="spellStart"/>
      <w:r w:rsidRPr="00E85F64">
        <w:t>center</w:t>
      </w:r>
      <w:proofErr w:type="spellEnd"/>
      <w:r w:rsidRPr="00E85F64">
        <w:t xml:space="preserve"> infrastructure energy efficiency assessment methodology concerning environmental and working conditions (en </w:t>
      </w:r>
      <w:proofErr w:type="spellStart"/>
      <w:r w:rsidRPr="00E85F64">
        <w:t>estudio</w:t>
      </w:r>
      <w:proofErr w:type="spellEnd"/>
      <w:r w:rsidRPr="00E85F64">
        <w:t>)</w:t>
      </w:r>
    </w:p>
    <w:p w:rsidR="00013F68" w:rsidRPr="00E85F64" w:rsidRDefault="00013F68" w:rsidP="00E85F64">
      <w:pPr>
        <w:pStyle w:val="Enumlevel1"/>
        <w:tabs>
          <w:tab w:val="left" w:pos="567"/>
          <w:tab w:val="left" w:pos="2268"/>
        </w:tabs>
        <w:ind w:left="2268" w:hanging="2268"/>
      </w:pPr>
      <w:r w:rsidRPr="00E85F64">
        <w:t>•</w:t>
      </w:r>
      <w:r w:rsidRPr="00E85F64">
        <w:tab/>
      </w:r>
      <w:proofErr w:type="spellStart"/>
      <w:r w:rsidRPr="00E85F64">
        <w:t>L.broad_impact</w:t>
      </w:r>
      <w:proofErr w:type="spellEnd"/>
      <w:r w:rsidRPr="00E85F64">
        <w:t>:</w:t>
      </w:r>
      <w:r w:rsidRPr="00E85F64">
        <w:tab/>
        <w:t xml:space="preserve">Environmental impact assessment of broadcasting services (en </w:t>
      </w:r>
      <w:proofErr w:type="spellStart"/>
      <w:r w:rsidRPr="00E85F64">
        <w:t>estudio</w:t>
      </w:r>
      <w:proofErr w:type="spellEnd"/>
      <w:r w:rsidRPr="00E85F64">
        <w:t>)</w:t>
      </w:r>
    </w:p>
    <w:p w:rsidR="00013F68" w:rsidRPr="00340022" w:rsidRDefault="00013F68" w:rsidP="00464C62">
      <w:pPr>
        <w:pStyle w:val="Heading4"/>
        <w:rPr>
          <w:lang w:val="es-ES_tradnl"/>
        </w:rPr>
      </w:pPr>
      <w:r w:rsidRPr="00340022">
        <w:rPr>
          <w:lang w:val="es-ES_tradnl"/>
        </w:rPr>
        <w:t>Grupos relacionados</w:t>
      </w:r>
    </w:p>
    <w:p w:rsidR="00464C62" w:rsidRPr="00464C62" w:rsidRDefault="00464C62" w:rsidP="00464C62">
      <w:pPr>
        <w:pStyle w:val="Enumlevel1"/>
        <w:rPr>
          <w:bCs/>
          <w:lang w:val="es-ES_tradnl"/>
        </w:rPr>
      </w:pPr>
      <w:r>
        <w:sym w:font="Symbol" w:char="F0B7"/>
      </w:r>
      <w:r w:rsidRPr="00464C62">
        <w:rPr>
          <w:lang w:val="es-ES_tradnl"/>
        </w:rPr>
        <w:tab/>
      </w:r>
      <w:hyperlink r:id="rId49" w:history="1">
        <w:r w:rsidRPr="00464C62">
          <w:rPr>
            <w:rStyle w:val="Hyperlink"/>
            <w:bCs/>
            <w:lang w:val="es-ES_tradnl"/>
          </w:rPr>
          <w:t xml:space="preserve">Grupo Regional de la CE 5 para África (SG5 RG-AFR) </w:t>
        </w:r>
      </w:hyperlink>
    </w:p>
    <w:p w:rsidR="00464C62" w:rsidRPr="00464C62" w:rsidRDefault="00464C62" w:rsidP="00464C62">
      <w:pPr>
        <w:pStyle w:val="Enumlevel1"/>
        <w:rPr>
          <w:rStyle w:val="Hyperlink"/>
          <w:lang w:val="es-ES_tradnl"/>
        </w:rPr>
      </w:pPr>
      <w:r>
        <w:sym w:font="Symbol" w:char="F0B7"/>
      </w:r>
      <w:r w:rsidRPr="00464C62">
        <w:rPr>
          <w:lang w:val="es-ES_tradnl"/>
        </w:rPr>
        <w:tab/>
      </w:r>
      <w:hyperlink r:id="rId50" w:history="1">
        <w:r w:rsidRPr="00464C62">
          <w:rPr>
            <w:rStyle w:val="Hyperlink"/>
            <w:bCs/>
            <w:lang w:val="es-ES_tradnl"/>
          </w:rPr>
          <w:t xml:space="preserve">Grupo Regional de la CE 5 para la Región Árabe </w:t>
        </w:r>
        <w:r w:rsidRPr="00464C62">
          <w:rPr>
            <w:rStyle w:val="Hyperlink"/>
            <w:lang w:val="es-ES_tradnl"/>
          </w:rPr>
          <w:t>(SG5 RG-ARB)</w:t>
        </w:r>
      </w:hyperlink>
      <w:r w:rsidRPr="00464C62">
        <w:rPr>
          <w:rStyle w:val="Hyperlink"/>
          <w:lang w:val="es-ES_tradnl"/>
        </w:rPr>
        <w:t xml:space="preserve"> </w:t>
      </w:r>
    </w:p>
    <w:p w:rsidR="00464C62" w:rsidRPr="00464C62" w:rsidRDefault="00464C62" w:rsidP="00464C62">
      <w:pPr>
        <w:pStyle w:val="Enumlevel1"/>
        <w:rPr>
          <w:bCs/>
          <w:lang w:val="es-ES_tradnl"/>
        </w:rPr>
      </w:pPr>
      <w:r>
        <w:sym w:font="Symbol" w:char="F0B7"/>
      </w:r>
      <w:r w:rsidRPr="00464C62">
        <w:rPr>
          <w:lang w:val="es-ES_tradnl"/>
        </w:rPr>
        <w:tab/>
      </w:r>
      <w:hyperlink r:id="rId51" w:history="1">
        <w:r w:rsidRPr="00464C62">
          <w:rPr>
            <w:rStyle w:val="Hyperlink"/>
            <w:bCs/>
            <w:lang w:val="es-ES_tradnl"/>
          </w:rPr>
          <w:t>Grupo Regional de la CE 5 para las Américas</w:t>
        </w:r>
        <w:r w:rsidRPr="00464C62">
          <w:rPr>
            <w:rStyle w:val="Hyperlink"/>
            <w:lang w:val="es-ES_tradnl"/>
          </w:rPr>
          <w:t xml:space="preserve"> (SG5 RG-AMR)</w:t>
        </w:r>
      </w:hyperlink>
    </w:p>
    <w:p w:rsidR="00464C62" w:rsidRPr="00464C62" w:rsidRDefault="00464C62" w:rsidP="00464C62">
      <w:pPr>
        <w:pStyle w:val="Enumlevel1"/>
        <w:rPr>
          <w:bCs/>
          <w:lang w:val="es-ES_tradnl"/>
        </w:rPr>
      </w:pPr>
      <w:r>
        <w:sym w:font="Symbol" w:char="F0B7"/>
      </w:r>
      <w:r w:rsidRPr="00464C62">
        <w:rPr>
          <w:lang w:val="es-ES_tradnl"/>
        </w:rPr>
        <w:tab/>
      </w:r>
      <w:hyperlink r:id="rId52" w:history="1">
        <w:r w:rsidRPr="00464C62">
          <w:rPr>
            <w:rStyle w:val="Hyperlink"/>
            <w:bCs/>
            <w:lang w:val="es-ES_tradnl"/>
          </w:rPr>
          <w:t>Grupo Regional de la CE 5 para Asia y el Pacífico (SG5 RG-AP)</w:t>
        </w:r>
      </w:hyperlink>
    </w:p>
    <w:p w:rsidR="00464C62" w:rsidRPr="00464C62" w:rsidRDefault="00464C62" w:rsidP="00464C62">
      <w:pPr>
        <w:pStyle w:val="Enumlevel1"/>
        <w:rPr>
          <w:rStyle w:val="Hyperlink"/>
          <w:lang w:val="es-ES_tradnl"/>
        </w:rPr>
      </w:pPr>
      <w:r>
        <w:sym w:font="Symbol" w:char="F0B7"/>
      </w:r>
      <w:r w:rsidRPr="00464C62">
        <w:rPr>
          <w:lang w:val="es-ES_tradnl"/>
        </w:rPr>
        <w:tab/>
      </w:r>
      <w:hyperlink r:id="rId53" w:history="1">
        <w:r w:rsidRPr="00464C62">
          <w:rPr>
            <w:rStyle w:val="Hyperlink"/>
            <w:lang w:val="es-ES_tradnl"/>
          </w:rPr>
          <w:t>Grupo Temático sobre ciudades sostenibles e inteligentes (FG-SSC)</w:t>
        </w:r>
      </w:hyperlink>
    </w:p>
    <w:p w:rsidR="00464C62" w:rsidRPr="00464C62" w:rsidRDefault="00464C62" w:rsidP="00464C62">
      <w:pPr>
        <w:pStyle w:val="Enumlevel1"/>
        <w:rPr>
          <w:rStyle w:val="Hyperlink"/>
          <w:lang w:val="es-ES_tradnl"/>
        </w:rPr>
      </w:pPr>
      <w:r>
        <w:sym w:font="Symbol" w:char="F0B7"/>
      </w:r>
      <w:r w:rsidRPr="00464C62">
        <w:rPr>
          <w:lang w:val="es-ES_tradnl"/>
        </w:rPr>
        <w:tab/>
      </w:r>
      <w:hyperlink r:id="rId54" w:history="1">
        <w:r w:rsidRPr="00464C62">
          <w:rPr>
            <w:rStyle w:val="Hyperlink"/>
            <w:lang w:val="es-ES_tradnl"/>
          </w:rPr>
          <w:t xml:space="preserve">Grupo Temático sobre </w:t>
        </w:r>
        <w:r w:rsidRPr="00464C62">
          <w:rPr>
            <w:rStyle w:val="Hyperlink"/>
            <w:bCs/>
            <w:lang w:val="es-ES_tradnl"/>
          </w:rPr>
          <w:t>gestión inteligente del agua (FG-SWM)</w:t>
        </w:r>
      </w:hyperlink>
      <w:r w:rsidRPr="00464C62">
        <w:rPr>
          <w:rStyle w:val="Hyperlink"/>
          <w:lang w:val="es-ES_tradnl"/>
        </w:rPr>
        <w:t xml:space="preserve"> </w:t>
      </w:r>
    </w:p>
    <w:p w:rsidR="00464C62" w:rsidRPr="00464C62" w:rsidRDefault="00464C62" w:rsidP="00464C62">
      <w:pPr>
        <w:pStyle w:val="Enumlevel1"/>
        <w:rPr>
          <w:bCs/>
          <w:lang w:val="es-ES_tradnl"/>
        </w:rPr>
      </w:pPr>
      <w:r>
        <w:lastRenderedPageBreak/>
        <w:sym w:font="Symbol" w:char="F0B7"/>
      </w:r>
      <w:r w:rsidRPr="00464C62">
        <w:rPr>
          <w:lang w:val="es-ES_tradnl"/>
        </w:rPr>
        <w:tab/>
      </w:r>
      <w:hyperlink r:id="rId55" w:history="1">
        <w:r w:rsidRPr="00464C62">
          <w:rPr>
            <w:rStyle w:val="Hyperlink"/>
            <w:bCs/>
            <w:lang w:val="es-ES_tradnl"/>
          </w:rPr>
          <w:t>Actividad Conjunta de Coordinación sobre las TIC y el cambio climático (JCA-ICT&amp;CC)</w:t>
        </w:r>
      </w:hyperlink>
      <w:r w:rsidRPr="00464C62">
        <w:rPr>
          <w:bCs/>
          <w:lang w:val="es-ES_tradnl"/>
        </w:rPr>
        <w:t xml:space="preserve"> </w:t>
      </w:r>
    </w:p>
    <w:p w:rsidR="00013F68" w:rsidRPr="00A96787" w:rsidRDefault="00013F68" w:rsidP="00464C62">
      <w:pPr>
        <w:pStyle w:val="Heading4"/>
      </w:pPr>
      <w:proofErr w:type="spellStart"/>
      <w:r w:rsidRPr="00A96787">
        <w:t>Manuales</w:t>
      </w:r>
      <w:proofErr w:type="spellEnd"/>
    </w:p>
    <w:p w:rsidR="00013F68" w:rsidRPr="00340022" w:rsidRDefault="00013F68" w:rsidP="004D2F38">
      <w:pPr>
        <w:pStyle w:val="Enumlevel1"/>
        <w:numPr>
          <w:ilvl w:val="0"/>
          <w:numId w:val="20"/>
        </w:numPr>
        <w:ind w:left="567" w:hanging="567"/>
        <w:rPr>
          <w:lang w:val="es-ES_tradnl"/>
        </w:rPr>
      </w:pPr>
      <w:r w:rsidRPr="00340022">
        <w:rPr>
          <w:lang w:val="es-ES_tradnl"/>
        </w:rPr>
        <w:t>Directrices del CCITT sobre la protección de las líneas de telecomunicación contra los efectos perjudiciales de las líneas de energía y de las líneas ferroviarias electrificadas (y sus volúmenes).</w:t>
      </w:r>
    </w:p>
    <w:p w:rsidR="00013F68" w:rsidRPr="00340022" w:rsidRDefault="00013F68" w:rsidP="004D2F38">
      <w:pPr>
        <w:pStyle w:val="Enumlevel1"/>
        <w:numPr>
          <w:ilvl w:val="0"/>
          <w:numId w:val="20"/>
        </w:numPr>
        <w:ind w:left="567" w:hanging="567"/>
        <w:rPr>
          <w:lang w:val="es-ES_tradnl"/>
        </w:rPr>
      </w:pPr>
      <w:r w:rsidRPr="00340022">
        <w:rPr>
          <w:lang w:val="es-ES_tradnl"/>
        </w:rPr>
        <w:t xml:space="preserve">Manual sobre medidas de mitigación en las instalaciones de telecomunicaciones. </w:t>
      </w:r>
    </w:p>
    <w:p w:rsidR="00013F68" w:rsidRPr="00340022" w:rsidRDefault="00013F68" w:rsidP="004D2F38">
      <w:pPr>
        <w:pStyle w:val="Enumlevel1"/>
        <w:numPr>
          <w:ilvl w:val="0"/>
          <w:numId w:val="20"/>
        </w:numPr>
        <w:ind w:left="567" w:hanging="567"/>
        <w:rPr>
          <w:lang w:val="es-ES_tradnl"/>
        </w:rPr>
      </w:pPr>
      <w:r w:rsidRPr="00340022">
        <w:rPr>
          <w:lang w:val="es-ES_tradnl"/>
        </w:rPr>
        <w:t>Manual sobre puesta a tierra y puesta a tierra equipotencial.</w:t>
      </w:r>
    </w:p>
    <w:p w:rsidR="00013F68" w:rsidRPr="00340022" w:rsidRDefault="00013F68" w:rsidP="004D2F38">
      <w:pPr>
        <w:pStyle w:val="Enumlevel1"/>
        <w:numPr>
          <w:ilvl w:val="0"/>
          <w:numId w:val="20"/>
        </w:numPr>
        <w:ind w:left="567" w:hanging="567"/>
        <w:rPr>
          <w:lang w:val="es-ES_tradnl"/>
        </w:rPr>
      </w:pPr>
      <w:r w:rsidRPr="00340022">
        <w:rPr>
          <w:lang w:val="es-ES_tradnl"/>
        </w:rPr>
        <w:t>Manual sobre la aplicación de dispositivos de protección contra las crestas.</w:t>
      </w:r>
    </w:p>
    <w:p w:rsidR="00013F68" w:rsidRPr="00340022" w:rsidRDefault="00013F68" w:rsidP="004D2F38">
      <w:pPr>
        <w:pStyle w:val="Enumlevel1"/>
        <w:numPr>
          <w:ilvl w:val="0"/>
          <w:numId w:val="20"/>
        </w:numPr>
        <w:ind w:left="567" w:hanging="567"/>
        <w:rPr>
          <w:lang w:val="es-ES_tradnl"/>
        </w:rPr>
      </w:pPr>
      <w:r w:rsidRPr="00340022">
        <w:rPr>
          <w:lang w:val="es-ES_tradnl"/>
        </w:rPr>
        <w:t>Guía de uso de las publicaciones del UIT-T producidas por la Comisión de Estudio 5 para satisfacer los objetivos de compatibilidad electromagnética y seguridad.</w:t>
      </w:r>
    </w:p>
    <w:p w:rsidR="00013F68" w:rsidRPr="00340022" w:rsidRDefault="00013F68" w:rsidP="004D2F38">
      <w:pPr>
        <w:pStyle w:val="Enumlevel1"/>
        <w:numPr>
          <w:ilvl w:val="0"/>
          <w:numId w:val="20"/>
        </w:numPr>
        <w:ind w:left="567" w:hanging="567"/>
        <w:rPr>
          <w:lang w:val="es-ES_tradnl"/>
        </w:rPr>
      </w:pPr>
      <w:r w:rsidRPr="00340022">
        <w:rPr>
          <w:lang w:val="es-ES_tradnl"/>
        </w:rPr>
        <w:t>Técnicas de medición de interferencias.</w:t>
      </w:r>
    </w:p>
    <w:p w:rsidR="00013F68" w:rsidRPr="00FB6776" w:rsidRDefault="00013F68" w:rsidP="004D2F38">
      <w:pPr>
        <w:pStyle w:val="Enumlevel1"/>
        <w:numPr>
          <w:ilvl w:val="0"/>
          <w:numId w:val="20"/>
        </w:numPr>
        <w:ind w:left="567" w:hanging="567"/>
      </w:pPr>
      <w:r w:rsidRPr="00FB6776">
        <w:t xml:space="preserve">Manual de </w:t>
      </w:r>
      <w:proofErr w:type="spellStart"/>
      <w:r w:rsidRPr="00FB6776">
        <w:t>terminología</w:t>
      </w:r>
      <w:proofErr w:type="spellEnd"/>
      <w:r w:rsidRPr="00FB6776">
        <w:t>.</w:t>
      </w:r>
    </w:p>
    <w:p w:rsidR="00013F68" w:rsidRPr="00340022" w:rsidRDefault="00013F68" w:rsidP="004D2F38">
      <w:pPr>
        <w:pStyle w:val="Enumlevel1"/>
        <w:numPr>
          <w:ilvl w:val="0"/>
          <w:numId w:val="20"/>
        </w:numPr>
        <w:ind w:left="567" w:hanging="567"/>
        <w:rPr>
          <w:lang w:val="es-ES_tradnl"/>
        </w:rPr>
      </w:pPr>
      <w:r w:rsidRPr="00340022">
        <w:rPr>
          <w:lang w:val="es-ES_tradnl"/>
        </w:rPr>
        <w:t>Exposición de las personas a los CEM.</w:t>
      </w:r>
    </w:p>
    <w:p w:rsidR="00013F68" w:rsidRPr="00340022" w:rsidRDefault="00013F68" w:rsidP="004D2F38">
      <w:pPr>
        <w:pStyle w:val="Enumlevel1"/>
        <w:numPr>
          <w:ilvl w:val="0"/>
          <w:numId w:val="20"/>
        </w:numPr>
        <w:ind w:left="567" w:hanging="567"/>
        <w:rPr>
          <w:lang w:val="es-ES_tradnl"/>
        </w:rPr>
      </w:pPr>
      <w:r w:rsidRPr="00340022">
        <w:rPr>
          <w:lang w:val="es-ES_tradnl"/>
        </w:rPr>
        <w:t>Guía de protección contra sobretensiones.</w:t>
      </w:r>
    </w:p>
    <w:p w:rsidR="00013F68" w:rsidRPr="00A96787" w:rsidRDefault="00013F68" w:rsidP="000E01C2">
      <w:pPr>
        <w:pStyle w:val="Heading4"/>
      </w:pPr>
      <w:proofErr w:type="spellStart"/>
      <w:r w:rsidRPr="00A96787">
        <w:t>Documentos</w:t>
      </w:r>
      <w:proofErr w:type="spellEnd"/>
      <w:r w:rsidRPr="00A96787">
        <w:t xml:space="preserve"> </w:t>
      </w:r>
      <w:proofErr w:type="spellStart"/>
      <w:r w:rsidRPr="00A96787">
        <w:t>técnicos</w:t>
      </w:r>
      <w:proofErr w:type="spellEnd"/>
    </w:p>
    <w:bookmarkEnd w:id="113"/>
    <w:p w:rsidR="00013F68" w:rsidRPr="000E01C2" w:rsidRDefault="00013F68" w:rsidP="004D2F38">
      <w:pPr>
        <w:pStyle w:val="Enumlevel1"/>
        <w:numPr>
          <w:ilvl w:val="0"/>
          <w:numId w:val="20"/>
        </w:numPr>
        <w:ind w:left="567" w:hanging="567"/>
      </w:pPr>
      <w:r w:rsidRPr="000E01C2">
        <w:t>Environmental sustainability in outside plant and ICT equipment – facilities.</w:t>
      </w:r>
    </w:p>
    <w:p w:rsidR="00013F68" w:rsidRPr="000E01C2" w:rsidRDefault="00013F68" w:rsidP="004D2F38">
      <w:pPr>
        <w:pStyle w:val="Enumlevel1"/>
        <w:numPr>
          <w:ilvl w:val="0"/>
          <w:numId w:val="20"/>
        </w:numPr>
        <w:ind w:left="567" w:hanging="567"/>
      </w:pPr>
      <w:r w:rsidRPr="000E01C2">
        <w:t>Life-cycle management of ICT equipment.</w:t>
      </w:r>
    </w:p>
    <w:p w:rsidR="00013F68" w:rsidRPr="000E01C2" w:rsidRDefault="00013F68" w:rsidP="004D2F38">
      <w:pPr>
        <w:pStyle w:val="Enumlevel1"/>
        <w:numPr>
          <w:ilvl w:val="0"/>
          <w:numId w:val="20"/>
        </w:numPr>
        <w:ind w:left="567" w:hanging="567"/>
      </w:pPr>
      <w:r w:rsidRPr="000E01C2">
        <w:t>Setting up a low cost sustainable telecommunications infrastructure for rural communications for developing nations.</w:t>
      </w:r>
    </w:p>
    <w:p w:rsidR="00013F68" w:rsidRPr="000E01C2" w:rsidRDefault="00013F68" w:rsidP="004D2F38">
      <w:pPr>
        <w:pStyle w:val="Enumlevel1"/>
        <w:numPr>
          <w:ilvl w:val="0"/>
          <w:numId w:val="20"/>
        </w:numPr>
        <w:ind w:left="567" w:hanging="567"/>
      </w:pPr>
      <w:r w:rsidRPr="000E01C2">
        <w:t>L</w:t>
      </w:r>
      <w:r w:rsidRPr="00A31E61">
        <w:t>ife-cycle management of ICT equipment</w:t>
      </w:r>
      <w:r w:rsidRPr="000E01C2">
        <w:t xml:space="preserve"> (en </w:t>
      </w:r>
      <w:proofErr w:type="spellStart"/>
      <w:r w:rsidRPr="000E01C2">
        <w:t>estudio</w:t>
      </w:r>
      <w:proofErr w:type="spellEnd"/>
      <w:r w:rsidRPr="000E01C2">
        <w:t>)</w:t>
      </w:r>
    </w:p>
    <w:p w:rsidR="00013F68" w:rsidRPr="00A96787" w:rsidRDefault="00013F68" w:rsidP="000E01C2">
      <w:pPr>
        <w:pStyle w:val="Heading4"/>
      </w:pPr>
      <w:proofErr w:type="spellStart"/>
      <w:r w:rsidRPr="00A96787">
        <w:t>Supplementos</w:t>
      </w:r>
      <w:proofErr w:type="spellEnd"/>
    </w:p>
    <w:p w:rsidR="00013F68" w:rsidRPr="000E01C2" w:rsidRDefault="00013F68" w:rsidP="004D2F38">
      <w:pPr>
        <w:pStyle w:val="Enumlevel1"/>
        <w:numPr>
          <w:ilvl w:val="0"/>
          <w:numId w:val="20"/>
        </w:numPr>
        <w:ind w:left="567" w:hanging="567"/>
      </w:pPr>
      <w:r w:rsidRPr="000E01C2">
        <w:t>L Suppl.1  ITU-T L.1310 – Supplement on energy efficiency for telecommunication equipment</w:t>
      </w:r>
    </w:p>
    <w:p w:rsidR="00013F68" w:rsidRPr="000E01C2" w:rsidRDefault="00013F68" w:rsidP="004D2F38">
      <w:pPr>
        <w:pStyle w:val="Enumlevel1"/>
        <w:numPr>
          <w:ilvl w:val="0"/>
          <w:numId w:val="20"/>
        </w:numPr>
        <w:ind w:left="567" w:hanging="567"/>
      </w:pPr>
      <w:r w:rsidRPr="00F9094A">
        <w:t>Assessment case studies using L.1410  (under study)</w:t>
      </w:r>
    </w:p>
    <w:p w:rsidR="00013F68" w:rsidRPr="000E01C2" w:rsidRDefault="00013F68" w:rsidP="004D2F38">
      <w:pPr>
        <w:pStyle w:val="Enumlevel1"/>
        <w:numPr>
          <w:ilvl w:val="0"/>
          <w:numId w:val="20"/>
        </w:numPr>
        <w:ind w:left="567" w:hanging="567"/>
      </w:pPr>
      <w:r w:rsidRPr="00F9094A">
        <w:t>Supplement to L.ICT projects for RNS projects (under study)</w:t>
      </w:r>
    </w:p>
    <w:p w:rsidR="00013F68" w:rsidRPr="00F9094A" w:rsidRDefault="00013F68" w:rsidP="004D2F38">
      <w:pPr>
        <w:pStyle w:val="ListParagraph"/>
        <w:numPr>
          <w:ilvl w:val="0"/>
          <w:numId w:val="21"/>
        </w:numPr>
        <w:rPr>
          <w:rFonts w:eastAsia="Times New Roman" w:cs="Times New Roman"/>
          <w:b/>
          <w:bCs w:val="0"/>
          <w:iCs/>
          <w:szCs w:val="19"/>
          <w:lang w:eastAsia="en-US"/>
        </w:rPr>
      </w:pPr>
      <w:r w:rsidRPr="00F9094A">
        <w:rPr>
          <w:rFonts w:eastAsia="Times New Roman" w:cs="Times New Roman"/>
          <w:b/>
          <w:bCs w:val="0"/>
          <w:iCs/>
          <w:szCs w:val="19"/>
          <w:lang w:eastAsia="en-US"/>
        </w:rPr>
        <w:br w:type="page"/>
      </w:r>
    </w:p>
    <w:p w:rsidR="00013F68" w:rsidRPr="00340022" w:rsidRDefault="00013F68" w:rsidP="005A4281">
      <w:pPr>
        <w:pStyle w:val="Headingb0"/>
        <w:jc w:val="center"/>
        <w:rPr>
          <w:rFonts w:cs="Helvetica"/>
          <w:color w:val="005173"/>
          <w:sz w:val="28"/>
          <w:szCs w:val="28"/>
          <w:lang w:val="es-ES_tradnl" w:eastAsia="en-GB"/>
        </w:rPr>
      </w:pPr>
      <w:bookmarkStart w:id="114" w:name="_Toc365036826"/>
      <w:r w:rsidRPr="00340022">
        <w:rPr>
          <w:rFonts w:cs="Helvetica"/>
          <w:color w:val="005173"/>
          <w:sz w:val="28"/>
          <w:szCs w:val="28"/>
          <w:lang w:val="es-ES_tradnl" w:eastAsia="en-GB"/>
        </w:rPr>
        <w:lastRenderedPageBreak/>
        <w:t>Comisión de Estudio 9 del UIT-T ― Redes de cable de banda ancha integradas y transmisión sonora y de televisión</w:t>
      </w:r>
      <w:bookmarkEnd w:id="114"/>
    </w:p>
    <w:p w:rsidR="00013F68" w:rsidRPr="00340022" w:rsidRDefault="00013F68" w:rsidP="000E01C2">
      <w:pPr>
        <w:pStyle w:val="Heading4"/>
        <w:rPr>
          <w:lang w:val="es-ES_tradnl"/>
        </w:rPr>
      </w:pPr>
      <w:r w:rsidRPr="00340022">
        <w:rPr>
          <w:lang w:val="es-ES_tradnl"/>
        </w:rPr>
        <w:t>Alcance</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La Comisión de Estudio</w:t>
      </w:r>
      <w:r w:rsidRPr="00A96787">
        <w:rPr>
          <w:lang w:val="es-ES"/>
        </w:rPr>
        <w:t xml:space="preserve"> </w:t>
      </w:r>
      <w:r w:rsidRPr="00A96787">
        <w:rPr>
          <w:rStyle w:val="hps"/>
          <w:lang w:val="es-ES"/>
        </w:rPr>
        <w:t>9 del UIT-T</w:t>
      </w:r>
      <w:r w:rsidRPr="00A96787">
        <w:rPr>
          <w:lang w:val="es-ES"/>
        </w:rPr>
        <w:t xml:space="preserve"> </w:t>
      </w:r>
      <w:r w:rsidRPr="00A96787">
        <w:rPr>
          <w:rStyle w:val="hps"/>
          <w:lang w:val="es-ES"/>
        </w:rPr>
        <w:t>lleva a cabo estudios</w:t>
      </w:r>
      <w:r w:rsidRPr="00A96787">
        <w:rPr>
          <w:lang w:val="es-ES"/>
        </w:rPr>
        <w:t xml:space="preserve"> </w:t>
      </w:r>
      <w:r w:rsidRPr="00A96787">
        <w:rPr>
          <w:rStyle w:val="hps"/>
          <w:lang w:val="es-ES"/>
        </w:rPr>
        <w:t>sobre el uso de</w:t>
      </w:r>
      <w:r w:rsidRPr="00A96787">
        <w:rPr>
          <w:lang w:val="es-ES"/>
        </w:rPr>
        <w:t xml:space="preserve"> </w:t>
      </w:r>
      <w:r w:rsidRPr="00A96787">
        <w:rPr>
          <w:rStyle w:val="hps"/>
          <w:lang w:val="es-ES"/>
        </w:rPr>
        <w:t>los sistemas de telecomunicaciones</w:t>
      </w:r>
      <w:r w:rsidRPr="00A96787">
        <w:rPr>
          <w:lang w:val="es-ES"/>
        </w:rPr>
        <w:t xml:space="preserve"> </w:t>
      </w:r>
      <w:r w:rsidRPr="00A96787">
        <w:rPr>
          <w:rStyle w:val="hps"/>
          <w:lang w:val="es-ES"/>
        </w:rPr>
        <w:t>para la radiodifusión de programas radiofónicos</w:t>
      </w:r>
      <w:r w:rsidRPr="00A96787">
        <w:rPr>
          <w:lang w:val="es-ES"/>
        </w:rPr>
        <w:t xml:space="preserve"> </w:t>
      </w:r>
      <w:r w:rsidRPr="00A96787">
        <w:rPr>
          <w:rStyle w:val="hps"/>
          <w:lang w:val="es-ES"/>
        </w:rPr>
        <w:t>y de</w:t>
      </w:r>
      <w:r w:rsidRPr="00A96787">
        <w:rPr>
          <w:lang w:val="es-ES"/>
        </w:rPr>
        <w:t xml:space="preserve"> </w:t>
      </w:r>
      <w:r w:rsidRPr="00A96787">
        <w:rPr>
          <w:rStyle w:val="hps"/>
          <w:lang w:val="es-ES"/>
        </w:rPr>
        <w:t>televisión, así como sobre</w:t>
      </w:r>
      <w:r w:rsidRPr="00A96787">
        <w:rPr>
          <w:lang w:val="es-ES"/>
        </w:rPr>
        <w:t xml:space="preserve"> </w:t>
      </w:r>
      <w:r w:rsidRPr="00A96787">
        <w:rPr>
          <w:rStyle w:val="hps"/>
          <w:lang w:val="es-ES"/>
        </w:rPr>
        <w:t>la utilización</w:t>
      </w:r>
      <w:r w:rsidRPr="00A96787">
        <w:rPr>
          <w:lang w:val="es-ES"/>
        </w:rPr>
        <w:t xml:space="preserve"> </w:t>
      </w:r>
      <w:r w:rsidRPr="00A96787">
        <w:rPr>
          <w:rStyle w:val="hps"/>
          <w:lang w:val="es-ES"/>
        </w:rPr>
        <w:t>de redes</w:t>
      </w:r>
      <w:r w:rsidRPr="00A96787">
        <w:rPr>
          <w:lang w:val="es-ES"/>
        </w:rPr>
        <w:t xml:space="preserve"> </w:t>
      </w:r>
      <w:r w:rsidRPr="00A96787">
        <w:rPr>
          <w:rStyle w:val="hps"/>
          <w:lang w:val="es-ES"/>
        </w:rPr>
        <w:t>de televisión por cable (CATV) a fin de ofrecer</w:t>
      </w:r>
      <w:r w:rsidRPr="00A96787">
        <w:rPr>
          <w:lang w:val="es-ES"/>
        </w:rPr>
        <w:t xml:space="preserve"> </w:t>
      </w:r>
      <w:r w:rsidRPr="00A96787">
        <w:rPr>
          <w:rStyle w:val="hps"/>
          <w:lang w:val="es-ES"/>
        </w:rPr>
        <w:t>servicios de vídeo</w:t>
      </w:r>
      <w:r w:rsidRPr="00A96787">
        <w:rPr>
          <w:lang w:val="es-ES"/>
        </w:rPr>
        <w:t xml:space="preserve"> </w:t>
      </w:r>
      <w:r w:rsidRPr="00A96787">
        <w:rPr>
          <w:rStyle w:val="hps"/>
          <w:lang w:val="es-ES"/>
        </w:rPr>
        <w:t>interactivo</w:t>
      </w:r>
      <w:r w:rsidRPr="00A96787">
        <w:rPr>
          <w:lang w:val="es-ES"/>
        </w:rPr>
        <w:t xml:space="preserve">, de telefonía </w:t>
      </w:r>
      <w:r w:rsidRPr="00A96787">
        <w:rPr>
          <w:rStyle w:val="hps"/>
          <w:lang w:val="es-ES"/>
        </w:rPr>
        <w:t>y de datos,</w:t>
      </w:r>
      <w:r w:rsidRPr="00A96787">
        <w:rPr>
          <w:lang w:val="es-ES"/>
        </w:rPr>
        <w:t xml:space="preserve"> </w:t>
      </w:r>
      <w:r w:rsidRPr="00A96787">
        <w:rPr>
          <w:rStyle w:val="hps"/>
          <w:lang w:val="es-ES"/>
        </w:rPr>
        <w:t>incluido el acceso</w:t>
      </w:r>
      <w:r w:rsidRPr="00A96787">
        <w:rPr>
          <w:lang w:val="es-ES"/>
        </w:rPr>
        <w:t xml:space="preserve"> </w:t>
      </w:r>
      <w:r w:rsidRPr="00A96787">
        <w:rPr>
          <w:rStyle w:val="hps"/>
          <w:lang w:val="es-ES"/>
        </w:rPr>
        <w:t>a Internet</w:t>
      </w:r>
      <w:r w:rsidRPr="00A96787">
        <w:rPr>
          <w:lang w:val="es-ES"/>
        </w:rPr>
        <w:t xml:space="preserve">. </w:t>
      </w:r>
      <w:r w:rsidRPr="00A96787">
        <w:rPr>
          <w:rStyle w:val="hps"/>
          <w:lang w:val="es-ES"/>
        </w:rPr>
        <w:t>Sus estudios más recientes</w:t>
      </w:r>
      <w:r w:rsidRPr="00A96787">
        <w:rPr>
          <w:lang w:val="es-ES"/>
        </w:rPr>
        <w:t xml:space="preserve"> </w:t>
      </w:r>
      <w:r w:rsidRPr="00A96787">
        <w:rPr>
          <w:rStyle w:val="hps"/>
          <w:lang w:val="es-ES"/>
        </w:rPr>
        <w:t>se centran en</w:t>
      </w:r>
      <w:r w:rsidRPr="00A96787">
        <w:rPr>
          <w:lang w:val="es-ES"/>
        </w:rPr>
        <w:t xml:space="preserve"> </w:t>
      </w:r>
      <w:r w:rsidRPr="00A96787">
        <w:rPr>
          <w:rStyle w:val="hps"/>
          <w:lang w:val="es-ES"/>
        </w:rPr>
        <w:t>el futuro de</w:t>
      </w:r>
      <w:r w:rsidRPr="00A96787">
        <w:rPr>
          <w:lang w:val="es-ES"/>
        </w:rPr>
        <w:t xml:space="preserve"> </w:t>
      </w:r>
      <w:r w:rsidRPr="00A96787">
        <w:rPr>
          <w:rStyle w:val="hps"/>
          <w:lang w:val="es-ES"/>
        </w:rPr>
        <w:t>los sistemas por cable, cuyos análisis están siendo elaborados por</w:t>
      </w:r>
      <w:r w:rsidRPr="00A96787">
        <w:rPr>
          <w:lang w:val="es-ES"/>
        </w:rPr>
        <w:t xml:space="preserve"> </w:t>
      </w:r>
      <w:r w:rsidRPr="00A96787">
        <w:rPr>
          <w:rStyle w:val="hps"/>
          <w:lang w:val="es-ES"/>
        </w:rPr>
        <w:t>el</w:t>
      </w:r>
      <w:r w:rsidRPr="00A96787">
        <w:rPr>
          <w:lang w:val="es-ES"/>
        </w:rPr>
        <w:t xml:space="preserve"> </w:t>
      </w:r>
      <w:r w:rsidRPr="00A96787">
        <w:rPr>
          <w:rStyle w:val="hps"/>
          <w:lang w:val="es-ES"/>
        </w:rPr>
        <w:t>Grupo Temático sobre</w:t>
      </w:r>
      <w:r w:rsidRPr="00A96787">
        <w:rPr>
          <w:lang w:val="es-ES"/>
        </w:rPr>
        <w:t xml:space="preserve"> </w:t>
      </w:r>
      <w:r w:rsidRPr="00A96787">
        <w:rPr>
          <w:rStyle w:val="hps"/>
          <w:lang w:val="es-ES"/>
        </w:rPr>
        <w:t>televisión</w:t>
      </w:r>
      <w:r w:rsidRPr="00A96787">
        <w:rPr>
          <w:lang w:val="es-ES"/>
        </w:rPr>
        <w:t xml:space="preserve"> </w:t>
      </w:r>
      <w:r w:rsidRPr="00A96787">
        <w:rPr>
          <w:rStyle w:val="hps"/>
          <w:lang w:val="es-ES"/>
        </w:rPr>
        <w:t>por cable inteligente</w:t>
      </w:r>
      <w:r w:rsidRPr="00A96787">
        <w:rPr>
          <w:lang w:val="es-ES"/>
        </w:rPr>
        <w:t xml:space="preserve"> </w:t>
      </w:r>
      <w:r w:rsidRPr="00A96787">
        <w:rPr>
          <w:rStyle w:val="hps"/>
          <w:lang w:val="es-ES"/>
        </w:rPr>
        <w:t>(</w:t>
      </w:r>
      <w:r w:rsidRPr="00A96787">
        <w:rPr>
          <w:lang w:val="es-ES"/>
        </w:rPr>
        <w:t xml:space="preserve">FG </w:t>
      </w:r>
      <w:proofErr w:type="spellStart"/>
      <w:r w:rsidRPr="00A96787">
        <w:rPr>
          <w:rStyle w:val="hps"/>
          <w:lang w:val="es-ES"/>
        </w:rPr>
        <w:t>SmartCable</w:t>
      </w:r>
      <w:proofErr w:type="spellEnd"/>
      <w:r w:rsidRPr="00A96787">
        <w:rPr>
          <w:lang w:val="es-ES"/>
        </w:rPr>
        <w:t xml:space="preserve">). </w:t>
      </w:r>
      <w:r w:rsidRPr="00A96787">
        <w:rPr>
          <w:rStyle w:val="hps"/>
          <w:lang w:val="es-ES"/>
        </w:rPr>
        <w:t>Los países en desarrollo</w:t>
      </w:r>
      <w:r w:rsidRPr="00A96787">
        <w:rPr>
          <w:lang w:val="es-ES"/>
        </w:rPr>
        <w:t xml:space="preserve"> </w:t>
      </w:r>
      <w:r w:rsidRPr="00A96787">
        <w:rPr>
          <w:rStyle w:val="hps"/>
          <w:lang w:val="es-ES"/>
        </w:rPr>
        <w:t>podrán beneficiarse de</w:t>
      </w:r>
      <w:r w:rsidRPr="00A96787">
        <w:rPr>
          <w:lang w:val="es-ES"/>
        </w:rPr>
        <w:t xml:space="preserve"> </w:t>
      </w:r>
      <w:r w:rsidRPr="00A96787">
        <w:rPr>
          <w:rStyle w:val="hps"/>
          <w:lang w:val="es-ES"/>
        </w:rPr>
        <w:t>las</w:t>
      </w:r>
      <w:r w:rsidRPr="00A96787">
        <w:rPr>
          <w:lang w:val="es-ES"/>
        </w:rPr>
        <w:t xml:space="preserve"> </w:t>
      </w:r>
      <w:r w:rsidRPr="00A96787">
        <w:rPr>
          <w:rStyle w:val="hps"/>
          <w:lang w:val="es-ES"/>
        </w:rPr>
        <w:t>Recomendaciones</w:t>
      </w:r>
      <w:r w:rsidRPr="00A96787">
        <w:rPr>
          <w:lang w:val="es-ES"/>
        </w:rPr>
        <w:t xml:space="preserve"> de la CE 9 para el despliegue de</w:t>
      </w:r>
      <w:r w:rsidRPr="00A96787">
        <w:rPr>
          <w:rStyle w:val="hps"/>
          <w:lang w:val="es-ES"/>
        </w:rPr>
        <w:t xml:space="preserve"> sus</w:t>
      </w:r>
      <w:r w:rsidRPr="00A96787">
        <w:rPr>
          <w:lang w:val="es-ES"/>
        </w:rPr>
        <w:t xml:space="preserve"> </w:t>
      </w:r>
      <w:r w:rsidRPr="00A96787">
        <w:rPr>
          <w:rStyle w:val="hps"/>
          <w:lang w:val="es-ES"/>
        </w:rPr>
        <w:t>redes por cable.</w:t>
      </w:r>
    </w:p>
    <w:p w:rsidR="00013F68" w:rsidRPr="00340022" w:rsidRDefault="00013F68" w:rsidP="000E01C2">
      <w:pPr>
        <w:pStyle w:val="Heading4"/>
        <w:rPr>
          <w:lang w:val="es-ES_tradnl"/>
        </w:rPr>
      </w:pPr>
      <w:r w:rsidRPr="00340022">
        <w:rPr>
          <w:lang w:val="es-ES_tradnl"/>
        </w:rPr>
        <w:t>Es responsable de efectuar estudios sobre:</w:t>
      </w:r>
    </w:p>
    <w:p w:rsidR="00013F68" w:rsidRPr="00340022" w:rsidRDefault="00013F68" w:rsidP="004D2F38">
      <w:pPr>
        <w:pStyle w:val="Enumlevel1"/>
        <w:numPr>
          <w:ilvl w:val="0"/>
          <w:numId w:val="33"/>
        </w:numPr>
        <w:ind w:left="567" w:hanging="567"/>
        <w:rPr>
          <w:rFonts w:eastAsia="Times New Roman" w:cs="Times New Roman"/>
          <w:bCs/>
          <w:lang w:val="es-ES_tradnl" w:eastAsia="en-US"/>
        </w:rPr>
      </w:pPr>
      <w:r w:rsidRPr="00340022">
        <w:rPr>
          <w:lang w:val="es-ES_tradnl"/>
        </w:rPr>
        <w:t xml:space="preserve">la utilización de sistemas de telecomunicaciones para la contribución, la distribución primaria y la distribución secundaria de programas radiofónicos y de televisión, así como de servicios de datos conexos, incluidos servicios interactivos y aplicaciones que pueden utilizar capacidades avanzadas como la televisión de ultra alta definición, la televisión 3D, etc.; y </w:t>
      </w:r>
    </w:p>
    <w:p w:rsidR="00013F68" w:rsidRPr="00340022" w:rsidRDefault="00013F68" w:rsidP="004D2F38">
      <w:pPr>
        <w:pStyle w:val="Enumlevel1"/>
        <w:numPr>
          <w:ilvl w:val="0"/>
          <w:numId w:val="33"/>
        </w:numPr>
        <w:ind w:left="567" w:hanging="567"/>
        <w:rPr>
          <w:rFonts w:eastAsia="Times New Roman" w:cs="Times New Roman"/>
          <w:bCs/>
          <w:lang w:val="es-ES_tradnl" w:eastAsia="en-US"/>
        </w:rPr>
      </w:pPr>
      <w:r w:rsidRPr="00340022">
        <w:rPr>
          <w:lang w:val="es-ES_tradnl"/>
        </w:rPr>
        <w:t>el empleo de redes de cable y redes híbridas, principalmente diseñadas para la distribución de programas radiofónicos y de televisión a los hogares, como redes integradas de banda ancha que también puedan transportar servicios vocales u otros servicios que dependen de la secuencia temporal, vídeo a la carta, servicios interactivos, etc., destinados a equipos situados en las instalaciones de los clientes (CPE), ya sean hogares o empresas.</w:t>
      </w:r>
    </w:p>
    <w:p w:rsidR="00013F68" w:rsidRPr="00A96787" w:rsidRDefault="00013F68" w:rsidP="00282D21">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340022" w:rsidRDefault="00013F68" w:rsidP="004D2F38">
      <w:pPr>
        <w:pStyle w:val="Enumlevel1"/>
        <w:numPr>
          <w:ilvl w:val="0"/>
          <w:numId w:val="33"/>
        </w:numPr>
        <w:ind w:left="567" w:hanging="567"/>
        <w:rPr>
          <w:lang w:val="es-ES_tradnl"/>
        </w:rPr>
      </w:pPr>
      <w:r w:rsidRPr="00340022">
        <w:rPr>
          <w:lang w:val="es-ES_tradnl"/>
        </w:rPr>
        <w:t>Comisión de Estudio Rectora sobre redes de cable de banda ancha integradas y de televisión.</w:t>
      </w:r>
    </w:p>
    <w:p w:rsidR="00013F68" w:rsidRPr="00340022" w:rsidRDefault="00013F68" w:rsidP="00687AE3">
      <w:pPr>
        <w:pStyle w:val="Heading4"/>
        <w:rPr>
          <w:lang w:val="es-ES_tradnl"/>
        </w:rPr>
      </w:pPr>
      <w:r w:rsidRPr="00340022">
        <w:rPr>
          <w:lang w:val="es-ES_tradnl"/>
        </w:rPr>
        <w:t>Estructura de la Comisión de Estudio 9</w:t>
      </w:r>
    </w:p>
    <w:p w:rsidR="00282D21" w:rsidRPr="00340022" w:rsidRDefault="00282D21" w:rsidP="00282D21">
      <w:pPr>
        <w:pStyle w:val="Figuretitle"/>
        <w:keepNext w:val="0"/>
        <w:rPr>
          <w:lang w:val="es-ES_tradnl"/>
        </w:rPr>
      </w:pPr>
    </w:p>
    <w:p w:rsidR="00282D21" w:rsidRDefault="00282D21" w:rsidP="00282D21">
      <w:pPr>
        <w:pStyle w:val="Figure"/>
        <w:keepNext w:val="0"/>
      </w:pPr>
      <w:r>
        <w:rPr>
          <w:noProof/>
          <w:lang w:val="en-US" w:eastAsia="zh-CN"/>
        </w:rPr>
        <w:drawing>
          <wp:inline distT="0" distB="0" distL="0" distR="0" wp14:anchorId="5B46F810" wp14:editId="4CA7546E">
            <wp:extent cx="3469005" cy="2932430"/>
            <wp:effectExtent l="0" t="0" r="0"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9005" cy="2932430"/>
                    </a:xfrm>
                    <a:prstGeom prst="rect">
                      <a:avLst/>
                    </a:prstGeom>
                    <a:noFill/>
                  </pic:spPr>
                </pic:pic>
              </a:graphicData>
            </a:graphic>
          </wp:inline>
        </w:drawing>
      </w:r>
    </w:p>
    <w:p w:rsidR="00282D21" w:rsidRPr="00282D21" w:rsidRDefault="00282D21" w:rsidP="00282D21">
      <w:pPr>
        <w:pStyle w:val="Figure"/>
        <w:keepNext w:val="0"/>
      </w:pPr>
    </w:p>
    <w:p w:rsidR="00013F68" w:rsidRPr="00687AE3" w:rsidRDefault="00013F68" w:rsidP="00687AE3">
      <w:pPr>
        <w:pStyle w:val="Heading4"/>
        <w:rPr>
          <w:lang w:val="es-ES_tradnl"/>
        </w:rPr>
      </w:pPr>
      <w:r w:rsidRPr="00687AE3">
        <w:rPr>
          <w:lang w:val="es-ES_tradnl"/>
        </w:rPr>
        <w:lastRenderedPageBreak/>
        <w:t>Cuestiones</w:t>
      </w:r>
    </w:p>
    <w:p w:rsidR="00013F68" w:rsidRPr="00687AE3" w:rsidRDefault="00013F68" w:rsidP="00C24743">
      <w:pPr>
        <w:pStyle w:val="CEOIndent-bulletsblackdot"/>
        <w:tabs>
          <w:tab w:val="left" w:pos="567"/>
          <w:tab w:val="left" w:pos="1418"/>
        </w:tabs>
        <w:spacing w:before="80"/>
        <w:rPr>
          <w:rFonts w:asciiTheme="minorHAnsi" w:eastAsia="Times New Roman" w:hAnsiTheme="minorHAnsi" w:cstheme="majorBid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57" w:history="1">
        <w:r w:rsidRPr="00687AE3">
          <w:rPr>
            <w:rStyle w:val="Hyperlink"/>
            <w:rFonts w:asciiTheme="minorHAnsi" w:eastAsia="Times New Roman" w:hAnsiTheme="minorHAnsi" w:cstheme="majorBidi"/>
            <w:sz w:val="21"/>
            <w:szCs w:val="21"/>
            <w:lang w:val="es-ES"/>
          </w:rPr>
          <w:t>C13/9</w:t>
        </w:r>
      </w:hyperlink>
      <w:r w:rsidRPr="00687AE3">
        <w:rPr>
          <w:rFonts w:asciiTheme="minorHAnsi" w:eastAsia="Times New Roman" w:hAnsiTheme="minorHAnsi" w:cstheme="majorBidi"/>
          <w:sz w:val="21"/>
          <w:szCs w:val="21"/>
          <w:lang w:val="es-ES"/>
        </w:rPr>
        <w:tab/>
        <w:t>Programa de trabajo, coordinación y planificación (continuación de la C 14/9)</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58" w:history="1">
        <w:r w:rsidRPr="00687AE3">
          <w:rPr>
            <w:rStyle w:val="Hyperlink"/>
            <w:rFonts w:asciiTheme="minorHAnsi" w:eastAsia="Times New Roman" w:hAnsiTheme="minorHAnsi" w:cstheme="majorBidi"/>
            <w:sz w:val="21"/>
            <w:szCs w:val="21"/>
            <w:lang w:val="es-ES"/>
          </w:rPr>
          <w:t>C2/9</w:t>
        </w:r>
      </w:hyperlink>
      <w:r w:rsidRPr="00687AE3">
        <w:rPr>
          <w:rFonts w:asciiTheme="minorHAnsi" w:hAnsiTheme="minorHAnsi"/>
          <w:sz w:val="21"/>
          <w:szCs w:val="21"/>
          <w:lang w:val="es-ES"/>
        </w:rPr>
        <w:tab/>
        <w:t>Medición y control de calidad de servicio (</w:t>
      </w:r>
      <w:proofErr w:type="spellStart"/>
      <w:r w:rsidRPr="00687AE3">
        <w:rPr>
          <w:rFonts w:asciiTheme="minorHAnsi" w:hAnsiTheme="minorHAnsi"/>
          <w:sz w:val="21"/>
          <w:szCs w:val="21"/>
          <w:lang w:val="es-ES"/>
        </w:rPr>
        <w:t>QoS</w:t>
      </w:r>
      <w:proofErr w:type="spellEnd"/>
      <w:r w:rsidRPr="00687AE3">
        <w:rPr>
          <w:rFonts w:asciiTheme="minorHAnsi" w:hAnsiTheme="minorHAnsi"/>
          <w:sz w:val="21"/>
          <w:szCs w:val="21"/>
          <w:lang w:val="es-ES"/>
        </w:rPr>
        <w:t>) de extremo a extremo para tecnología de televisión avanzadas, desde la adquisición a la reproducción de imagen en redes de contribución, distribución primaria y distribución secundaria</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59" w:history="1">
        <w:r w:rsidRPr="00687AE3">
          <w:rPr>
            <w:rStyle w:val="Hyperlink"/>
            <w:rFonts w:asciiTheme="minorHAnsi" w:eastAsia="Times New Roman" w:hAnsiTheme="minorHAnsi" w:cstheme="majorBidi"/>
            <w:sz w:val="21"/>
            <w:szCs w:val="21"/>
            <w:lang w:val="es-ES"/>
          </w:rPr>
          <w:t>C3/9</w:t>
        </w:r>
      </w:hyperlink>
      <w:r w:rsidRPr="00687AE3">
        <w:rPr>
          <w:rFonts w:asciiTheme="minorHAnsi" w:hAnsiTheme="minorHAnsi"/>
          <w:sz w:val="21"/>
          <w:szCs w:val="21"/>
          <w:lang w:val="es-ES"/>
        </w:rPr>
        <w:tab/>
        <w:t>Métodos y prácticas para el acceso condicional, la protección contra la copia no autorizada y la redistribución no autorizada ("control de redistribución" para la distribución de televisión digital por cable a los hogares)</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0" w:history="1">
        <w:r w:rsidRPr="00687AE3">
          <w:rPr>
            <w:rStyle w:val="Hyperlink"/>
            <w:rFonts w:asciiTheme="minorHAnsi" w:eastAsia="Times New Roman" w:hAnsiTheme="minorHAnsi" w:cstheme="majorBidi"/>
            <w:sz w:val="21"/>
            <w:szCs w:val="21"/>
            <w:lang w:val="es-ES"/>
          </w:rPr>
          <w:t>C4/9</w:t>
        </w:r>
      </w:hyperlink>
      <w:r w:rsidRPr="00687AE3">
        <w:rPr>
          <w:rFonts w:asciiTheme="minorHAnsi" w:hAnsiTheme="minorHAnsi"/>
          <w:sz w:val="21"/>
          <w:szCs w:val="21"/>
          <w:lang w:val="es-ES"/>
        </w:rPr>
        <w:tab/>
        <w:t>Componentes de software de interfaces de programación de aplicación (API), marcos y arquitectura de software general para los servicios avanzados de distribución de contenido en el marco de la Comisión de Estudio 9</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1" w:history="1">
        <w:r w:rsidRPr="00687AE3">
          <w:rPr>
            <w:rStyle w:val="Hyperlink"/>
            <w:rFonts w:asciiTheme="minorHAnsi" w:eastAsia="Times New Roman" w:hAnsiTheme="minorHAnsi" w:cstheme="majorBidi"/>
            <w:sz w:val="21"/>
            <w:szCs w:val="21"/>
            <w:lang w:val="es-ES"/>
          </w:rPr>
          <w:t>C5/9</w:t>
        </w:r>
      </w:hyperlink>
      <w:r w:rsidRPr="00687AE3">
        <w:rPr>
          <w:rFonts w:asciiTheme="minorHAnsi" w:hAnsiTheme="minorHAnsi"/>
          <w:sz w:val="21"/>
          <w:szCs w:val="21"/>
          <w:lang w:val="es-ES"/>
        </w:rPr>
        <w:tab/>
        <w:t>Requisitos funcionales para pasarelas y adaptadores multimedios residenciales para la recepción de servicios de distribución de contenido avanzados</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2" w:history="1">
        <w:r w:rsidRPr="00687AE3">
          <w:rPr>
            <w:rStyle w:val="Hyperlink"/>
            <w:rFonts w:asciiTheme="minorHAnsi" w:eastAsia="Times New Roman" w:hAnsiTheme="minorHAnsi" w:cstheme="majorBidi"/>
            <w:sz w:val="21"/>
            <w:szCs w:val="21"/>
            <w:lang w:val="es-ES"/>
          </w:rPr>
          <w:t>C6/9</w:t>
        </w:r>
      </w:hyperlink>
      <w:r w:rsidRPr="00687AE3">
        <w:rPr>
          <w:rFonts w:asciiTheme="minorHAnsi" w:hAnsiTheme="minorHAnsi"/>
          <w:sz w:val="21"/>
          <w:szCs w:val="21"/>
          <w:lang w:val="es-ES"/>
        </w:rPr>
        <w:tab/>
        <w:t xml:space="preserve">Control de entrega de programas digitales para la </w:t>
      </w:r>
      <w:proofErr w:type="spellStart"/>
      <w:r w:rsidRPr="00687AE3">
        <w:rPr>
          <w:rFonts w:asciiTheme="minorHAnsi" w:hAnsiTheme="minorHAnsi"/>
          <w:sz w:val="21"/>
          <w:szCs w:val="21"/>
          <w:lang w:val="es-ES"/>
        </w:rPr>
        <w:t>multiplexación</w:t>
      </w:r>
      <w:proofErr w:type="spellEnd"/>
      <w:r w:rsidRPr="00687AE3">
        <w:rPr>
          <w:rFonts w:asciiTheme="minorHAnsi" w:hAnsiTheme="minorHAnsi"/>
          <w:sz w:val="21"/>
          <w:szCs w:val="21"/>
          <w:lang w:val="es-ES"/>
        </w:rPr>
        <w:t>, la conmutación y la inserción en el dominio de trenes de bits comprimidos</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3" w:history="1">
        <w:r w:rsidRPr="00687AE3">
          <w:rPr>
            <w:rStyle w:val="Hyperlink"/>
            <w:rFonts w:asciiTheme="minorHAnsi" w:eastAsia="Times New Roman" w:hAnsiTheme="minorHAnsi" w:cstheme="majorBidi"/>
            <w:sz w:val="21"/>
            <w:szCs w:val="21"/>
            <w:lang w:val="es-ES"/>
          </w:rPr>
          <w:t>C7/9</w:t>
        </w:r>
      </w:hyperlink>
      <w:r w:rsidRPr="00687AE3">
        <w:rPr>
          <w:rFonts w:asciiTheme="minorHAnsi" w:hAnsiTheme="minorHAnsi"/>
          <w:sz w:val="21"/>
          <w:szCs w:val="21"/>
          <w:lang w:val="es-ES"/>
        </w:rPr>
        <w:tab/>
        <w:t>Suministro de servicios digitales y aplicaciones a través de televisión por cable que utilizan protocolos Internet (IP) y/o datos basados en paquetes</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4" w:history="1">
        <w:r w:rsidRPr="00687AE3">
          <w:rPr>
            <w:rStyle w:val="Hyperlink"/>
            <w:rFonts w:asciiTheme="minorHAnsi" w:eastAsia="Times New Roman" w:hAnsiTheme="minorHAnsi" w:cstheme="majorBidi"/>
            <w:sz w:val="21"/>
            <w:szCs w:val="21"/>
            <w:lang w:val="es-ES"/>
          </w:rPr>
          <w:t>C8/9</w:t>
        </w:r>
      </w:hyperlink>
      <w:r w:rsidRPr="00687AE3">
        <w:rPr>
          <w:rFonts w:asciiTheme="minorHAnsi" w:hAnsiTheme="minorHAnsi"/>
          <w:sz w:val="21"/>
          <w:szCs w:val="21"/>
          <w:lang w:val="es-ES"/>
        </w:rPr>
        <w:tab/>
        <w:t>Aplicaciones y servicios multimedios IP a través de redes de televisión por cable en plataformas convergentes</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5" w:history="1">
        <w:r w:rsidRPr="00687AE3">
          <w:rPr>
            <w:rStyle w:val="Hyperlink"/>
            <w:rFonts w:asciiTheme="minorHAnsi" w:eastAsia="Times New Roman" w:hAnsiTheme="minorHAnsi" w:cstheme="majorBidi"/>
            <w:sz w:val="21"/>
            <w:szCs w:val="21"/>
            <w:lang w:val="es-ES"/>
          </w:rPr>
          <w:t>C9/9</w:t>
        </w:r>
      </w:hyperlink>
      <w:r w:rsidRPr="00687AE3">
        <w:rPr>
          <w:rFonts w:asciiTheme="minorHAnsi" w:hAnsiTheme="minorHAnsi"/>
          <w:sz w:val="21"/>
          <w:szCs w:val="21"/>
          <w:lang w:val="es-ES"/>
        </w:rPr>
        <w:tab/>
        <w:t>Requisitos de las capacidades de servicio avanzadas para redes residenciales por cable de banda ancha</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6" w:history="1">
        <w:r w:rsidRPr="00687AE3">
          <w:rPr>
            <w:rStyle w:val="Hyperlink"/>
            <w:rFonts w:asciiTheme="minorHAnsi" w:eastAsia="Times New Roman" w:hAnsiTheme="minorHAnsi" w:cstheme="majorBidi"/>
            <w:sz w:val="21"/>
            <w:szCs w:val="21"/>
            <w:lang w:val="es-ES"/>
          </w:rPr>
          <w:t>C10/9</w:t>
        </w:r>
      </w:hyperlink>
      <w:r w:rsidRPr="00687AE3">
        <w:rPr>
          <w:rFonts w:asciiTheme="minorHAnsi" w:hAnsiTheme="minorHAnsi"/>
          <w:sz w:val="21"/>
          <w:szCs w:val="21"/>
          <w:lang w:val="es-ES"/>
        </w:rPr>
        <w:tab/>
        <w:t>Requisitos, métodos e interfaces de las plataformas avanzadas de servicios para mejorar la transferencia de programas radiofónicos y de televisión y de otros servicios multimedios interactivos a través de redes de televisión por cable</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7" w:history="1">
        <w:r w:rsidRPr="00687AE3">
          <w:rPr>
            <w:rStyle w:val="Hyperlink"/>
            <w:rFonts w:asciiTheme="minorHAnsi" w:eastAsia="Times New Roman" w:hAnsiTheme="minorHAnsi" w:cstheme="majorBidi"/>
            <w:sz w:val="21"/>
            <w:szCs w:val="21"/>
            <w:lang w:val="es-ES"/>
          </w:rPr>
          <w:t>C11/9</w:t>
        </w:r>
      </w:hyperlink>
      <w:r w:rsidRPr="00687AE3">
        <w:rPr>
          <w:rFonts w:asciiTheme="minorHAnsi" w:hAnsiTheme="minorHAnsi"/>
          <w:sz w:val="21"/>
          <w:szCs w:val="21"/>
          <w:lang w:val="es-ES"/>
        </w:rPr>
        <w:tab/>
        <w:t>Transmisión de señales de televisión analógicas y/o digitales multicanal a través de redes de acceso óptico</w:t>
      </w:r>
    </w:p>
    <w:p w:rsidR="00013F68" w:rsidRPr="00687AE3" w:rsidRDefault="00013F68" w:rsidP="00C24743">
      <w:pPr>
        <w:pStyle w:val="CEOIndent-bulletsblackdot"/>
        <w:tabs>
          <w:tab w:val="left" w:pos="567"/>
          <w:tab w:val="left" w:pos="1418"/>
        </w:tabs>
        <w:spacing w:before="80"/>
        <w:ind w:left="1418" w:hanging="1418"/>
        <w:rPr>
          <w:rFonts w:asciiTheme="minorHAnsi" w:hAnsiTheme="minorHAnsi"/>
          <w:sz w:val="21"/>
          <w:szCs w:val="21"/>
          <w:lang w:val="es-ES"/>
        </w:rPr>
      </w:pPr>
      <w:r w:rsidRPr="00687AE3">
        <w:rPr>
          <w:rFonts w:asciiTheme="minorHAnsi" w:hAnsiTheme="minorHAnsi"/>
          <w:sz w:val="21"/>
          <w:szCs w:val="21"/>
          <w:lang w:val="es-ES_tradnl"/>
        </w:rPr>
        <w:t>•</w:t>
      </w:r>
      <w:r w:rsidRPr="00687AE3">
        <w:rPr>
          <w:rFonts w:asciiTheme="minorHAnsi" w:hAnsiTheme="minorHAnsi"/>
          <w:sz w:val="21"/>
          <w:szCs w:val="21"/>
          <w:lang w:val="es-ES_tradnl"/>
        </w:rPr>
        <w:tab/>
      </w:r>
      <w:hyperlink r:id="rId68" w:history="1">
        <w:r w:rsidRPr="00687AE3">
          <w:rPr>
            <w:rStyle w:val="Hyperlink"/>
            <w:rFonts w:asciiTheme="minorHAnsi" w:eastAsia="Times New Roman" w:hAnsiTheme="minorHAnsi" w:cstheme="majorBidi"/>
            <w:sz w:val="21"/>
            <w:szCs w:val="21"/>
            <w:lang w:val="es-ES"/>
          </w:rPr>
          <w:t>C12/9</w:t>
        </w:r>
      </w:hyperlink>
      <w:r w:rsidRPr="00687AE3">
        <w:rPr>
          <w:rFonts w:asciiTheme="minorHAnsi" w:hAnsiTheme="minorHAnsi"/>
          <w:sz w:val="21"/>
          <w:szCs w:val="21"/>
          <w:lang w:val="es-ES"/>
        </w:rPr>
        <w:tab/>
        <w:t>Métodos objetivos y subjetivos de evaluación de la calidad audiovisual perceptiva en servicios multimedios con arreglo al mandato de la Comisión de Estudio 9</w:t>
      </w:r>
    </w:p>
    <w:p w:rsidR="00013F68" w:rsidRPr="00A96787" w:rsidRDefault="00013F68" w:rsidP="00764313">
      <w:pPr>
        <w:rPr>
          <w:rFonts w:cstheme="majorBidi"/>
          <w:color w:val="000000"/>
          <w:lang w:val="es-ES"/>
        </w:rPr>
      </w:pPr>
      <w:r w:rsidRPr="00A96787">
        <w:rPr>
          <w:rStyle w:val="hps"/>
          <w:lang w:val="es-ES"/>
        </w:rPr>
        <w:t>La Cuestión</w:t>
      </w:r>
      <w:r w:rsidRPr="00A96787">
        <w:rPr>
          <w:lang w:val="es-ES"/>
        </w:rPr>
        <w:t xml:space="preserve"> </w:t>
      </w:r>
      <w:r w:rsidRPr="00A96787">
        <w:rPr>
          <w:rStyle w:val="hps"/>
          <w:lang w:val="es-ES"/>
        </w:rPr>
        <w:t>11-3/2</w:t>
      </w:r>
      <w:r w:rsidRPr="00A96787">
        <w:rPr>
          <w:lang w:val="es-ES"/>
        </w:rPr>
        <w:t xml:space="preserve"> </w:t>
      </w:r>
      <w:r w:rsidRPr="00A96787">
        <w:rPr>
          <w:rStyle w:val="hps"/>
          <w:lang w:val="es-ES"/>
        </w:rPr>
        <w:t>abarcará</w:t>
      </w:r>
      <w:r w:rsidRPr="00A96787">
        <w:rPr>
          <w:lang w:val="es-ES"/>
        </w:rPr>
        <w:t xml:space="preserve"> </w:t>
      </w:r>
      <w:r w:rsidRPr="00A96787">
        <w:rPr>
          <w:rStyle w:val="hps"/>
          <w:lang w:val="es-ES"/>
        </w:rPr>
        <w:t>todas las Cuestiones de la CE 9 del UIT-T que sean</w:t>
      </w:r>
      <w:r w:rsidRPr="00A96787">
        <w:rPr>
          <w:lang w:val="es-ES"/>
        </w:rPr>
        <w:t xml:space="preserve"> </w:t>
      </w:r>
      <w:r w:rsidRPr="00A96787">
        <w:rPr>
          <w:rStyle w:val="hps"/>
          <w:lang w:val="es-ES"/>
        </w:rPr>
        <w:t>de especial</w:t>
      </w:r>
      <w:r w:rsidRPr="00A96787">
        <w:rPr>
          <w:lang w:val="es-ES"/>
        </w:rPr>
        <w:t xml:space="preserve"> </w:t>
      </w:r>
      <w:r w:rsidRPr="00A96787">
        <w:rPr>
          <w:rStyle w:val="hps"/>
          <w:lang w:val="es-ES"/>
        </w:rPr>
        <w:t>interés para el sector</w:t>
      </w:r>
      <w:r w:rsidRPr="00A96787">
        <w:rPr>
          <w:lang w:val="es-ES"/>
        </w:rPr>
        <w:t xml:space="preserve"> </w:t>
      </w:r>
      <w:r w:rsidRPr="00A96787">
        <w:rPr>
          <w:rStyle w:val="hps"/>
          <w:lang w:val="es-ES"/>
        </w:rPr>
        <w:t>de Desarrollo</w:t>
      </w:r>
    </w:p>
    <w:p w:rsidR="00013F68" w:rsidRPr="00A62627" w:rsidRDefault="00013F68" w:rsidP="00764313">
      <w:pPr>
        <w:pStyle w:val="Heading4"/>
        <w:rPr>
          <w:lang w:val="es-ES_tradnl"/>
        </w:rPr>
      </w:pPr>
      <w:r w:rsidRPr="00A62627">
        <w:rPr>
          <w:lang w:val="es-ES_tradnl"/>
        </w:rPr>
        <w:t>Recomendaciones</w:t>
      </w:r>
    </w:p>
    <w:p w:rsidR="00013F68" w:rsidRPr="00A96787" w:rsidRDefault="00013F68" w:rsidP="00EF6847">
      <w:pPr>
        <w:rPr>
          <w:lang w:val="es-ES"/>
        </w:rPr>
      </w:pPr>
      <w:r w:rsidRPr="00A96787">
        <w:rPr>
          <w:lang w:val="es-ES"/>
        </w:rPr>
        <w:t>Todas las Recomendaciones fruto de esta Comisión de Estudio van dirigidas a los fabricantes de la Industria y están disponibles en:</w:t>
      </w:r>
      <w:r w:rsidRPr="00A96787">
        <w:rPr>
          <w:rFonts w:cstheme="majorBidi"/>
          <w:color w:val="000000"/>
          <w:lang w:val="es-ES"/>
        </w:rPr>
        <w:t xml:space="preserve"> </w:t>
      </w:r>
      <w:hyperlink r:id="rId69" w:history="1">
        <w:r w:rsidR="00EF6847">
          <w:rPr>
            <w:rStyle w:val="Hyperlink"/>
            <w:rFonts w:cstheme="majorBidi"/>
            <w:lang w:val="es-ES"/>
          </w:rPr>
          <w:t>www</w:t>
        </w:r>
        <w:r w:rsidRPr="00A96787">
          <w:rPr>
            <w:rStyle w:val="Hyperlink"/>
            <w:rFonts w:cstheme="majorBidi"/>
            <w:lang w:val="es-ES"/>
          </w:rPr>
          <w:t>.itu.int/ITU-T/recommendations/index_sg.aspx?sg=9</w:t>
        </w:r>
      </w:hyperlink>
      <w:r w:rsidRPr="00A96787">
        <w:rPr>
          <w:rFonts w:cstheme="majorBidi"/>
          <w:color w:val="000000"/>
          <w:lang w:val="es-ES"/>
        </w:rPr>
        <w:t>.</w:t>
      </w:r>
    </w:p>
    <w:p w:rsidR="00013F68" w:rsidRPr="00764313" w:rsidRDefault="00013F68" w:rsidP="00764313">
      <w:pPr>
        <w:pStyle w:val="Heading4"/>
        <w:rPr>
          <w:lang w:val="es-ES_tradnl"/>
        </w:rPr>
      </w:pPr>
      <w:r w:rsidRPr="00764313">
        <w:rPr>
          <w:lang w:val="es-ES_tradnl"/>
        </w:rPr>
        <w:t>Grupos relacionados</w:t>
      </w:r>
    </w:p>
    <w:p w:rsidR="00013F68" w:rsidRPr="00A96787" w:rsidRDefault="00A31E61" w:rsidP="004D2F38">
      <w:pPr>
        <w:numPr>
          <w:ilvl w:val="0"/>
          <w:numId w:val="14"/>
        </w:numPr>
        <w:spacing w:before="60"/>
        <w:ind w:left="567" w:hanging="567"/>
        <w:jc w:val="left"/>
        <w:rPr>
          <w:lang w:val="es-ES"/>
        </w:rPr>
      </w:pPr>
      <w:hyperlink r:id="rId70" w:history="1">
        <w:r w:rsidR="00764313" w:rsidRPr="00764313">
          <w:rPr>
            <w:rStyle w:val="Hyperlink"/>
            <w:bCs/>
            <w:lang w:val="es-ES_tradnl"/>
          </w:rPr>
          <w:t>Grupo Temático sobre televisión por cable inteligente</w:t>
        </w:r>
      </w:hyperlink>
      <w:r w:rsidR="00C17A31">
        <w:rPr>
          <w:lang w:val="es-ES"/>
        </w:rPr>
        <w:t xml:space="preserve"> (FG </w:t>
      </w:r>
      <w:proofErr w:type="spellStart"/>
      <w:r w:rsidR="00C17A31">
        <w:rPr>
          <w:lang w:val="es-ES"/>
        </w:rPr>
        <w:t>SmartCable</w:t>
      </w:r>
      <w:proofErr w:type="spellEnd"/>
      <w:r w:rsidR="00C17A31">
        <w:rPr>
          <w:lang w:val="es-ES"/>
        </w:rPr>
        <w:t>)</w:t>
      </w:r>
    </w:p>
    <w:p w:rsidR="00013F68" w:rsidRPr="00A96787" w:rsidRDefault="00A31E61" w:rsidP="004D2F38">
      <w:pPr>
        <w:numPr>
          <w:ilvl w:val="0"/>
          <w:numId w:val="14"/>
        </w:numPr>
        <w:spacing w:before="60"/>
        <w:ind w:left="567" w:hanging="567"/>
        <w:jc w:val="left"/>
        <w:rPr>
          <w:lang w:val="es-ES"/>
        </w:rPr>
      </w:pPr>
      <w:hyperlink r:id="rId71" w:history="1">
        <w:proofErr w:type="spellStart"/>
        <w:r w:rsidR="00764313">
          <w:rPr>
            <w:rStyle w:val="Hyperlink"/>
            <w:bCs/>
            <w:lang w:val="es-ES_tradnl"/>
          </w:rPr>
          <w:t>Gr</w:t>
        </w:r>
        <w:r w:rsidR="00764313" w:rsidRPr="00764313">
          <w:rPr>
            <w:rStyle w:val="Hyperlink"/>
            <w:bCs/>
            <w:lang w:val="es-ES_tradnl"/>
          </w:rPr>
          <w:t>up</w:t>
        </w:r>
        <w:r w:rsidR="00764313">
          <w:rPr>
            <w:rStyle w:val="Hyperlink"/>
            <w:bCs/>
            <w:lang w:val="es-ES_tradnl"/>
          </w:rPr>
          <w:t>oTemático</w:t>
        </w:r>
        <w:proofErr w:type="spellEnd"/>
        <w:r w:rsidR="00764313">
          <w:rPr>
            <w:rStyle w:val="Hyperlink"/>
            <w:bCs/>
            <w:lang w:val="es-ES_tradnl"/>
          </w:rPr>
          <w:t xml:space="preserve"> sobre la capa de servicio máquina a máquina</w:t>
        </w:r>
      </w:hyperlink>
      <w:r w:rsidR="00764313" w:rsidRPr="00764313">
        <w:rPr>
          <w:lang w:val="es-ES"/>
        </w:rPr>
        <w:t xml:space="preserve"> </w:t>
      </w:r>
      <w:r w:rsidR="00013F68" w:rsidRPr="00A96787">
        <w:rPr>
          <w:lang w:val="es-ES"/>
        </w:rPr>
        <w:t>(FG M2M)</w:t>
      </w:r>
    </w:p>
    <w:p w:rsidR="00013F68" w:rsidRPr="00A96787" w:rsidRDefault="00A31E61" w:rsidP="004D2F38">
      <w:pPr>
        <w:numPr>
          <w:ilvl w:val="0"/>
          <w:numId w:val="14"/>
        </w:numPr>
        <w:spacing w:before="60"/>
        <w:ind w:left="567" w:hanging="567"/>
        <w:jc w:val="left"/>
        <w:rPr>
          <w:lang w:val="es-ES"/>
        </w:rPr>
      </w:pPr>
      <w:hyperlink r:id="rId72" w:history="1">
        <w:r w:rsidR="00143213">
          <w:rPr>
            <w:rStyle w:val="Hyperlink"/>
            <w:bCs/>
            <w:lang w:val="es-ES"/>
          </w:rPr>
          <w:t xml:space="preserve">Actividad de coordinación conjunta sobre redes inteligentes y redes </w:t>
        </w:r>
        <w:proofErr w:type="spellStart"/>
        <w:r w:rsidR="00143213">
          <w:rPr>
            <w:rStyle w:val="Hyperlink"/>
            <w:bCs/>
            <w:lang w:val="es-ES"/>
          </w:rPr>
          <w:t>dométicas</w:t>
        </w:r>
        <w:proofErr w:type="spellEnd"/>
        <w:r w:rsidR="00143213" w:rsidRPr="00143213">
          <w:rPr>
            <w:rStyle w:val="Hyperlink"/>
            <w:bCs/>
            <w:u w:val="none"/>
            <w:lang w:val="es-ES"/>
          </w:rPr>
          <w:t xml:space="preserve"> </w:t>
        </w:r>
      </w:hyperlink>
      <w:r w:rsidR="00013F68" w:rsidRPr="00A96787">
        <w:rPr>
          <w:lang w:val="es-ES"/>
        </w:rPr>
        <w:t xml:space="preserve"> (JCA-SG&amp;HN)</w:t>
      </w:r>
    </w:p>
    <w:p w:rsidR="00013F68" w:rsidRPr="00A96787" w:rsidRDefault="00A31E61" w:rsidP="004D2F38">
      <w:pPr>
        <w:numPr>
          <w:ilvl w:val="0"/>
          <w:numId w:val="14"/>
        </w:numPr>
        <w:spacing w:before="60"/>
        <w:ind w:left="567" w:hanging="567"/>
        <w:jc w:val="left"/>
        <w:rPr>
          <w:lang w:val="es-ES"/>
        </w:rPr>
      </w:pPr>
      <w:hyperlink r:id="rId73" w:history="1">
        <w:r w:rsidR="008348F9" w:rsidRPr="008348F9">
          <w:rPr>
            <w:rStyle w:val="Hyperlink"/>
            <w:bCs/>
            <w:lang w:val="es-ES_tradnl"/>
          </w:rPr>
          <w:t>Actividad de coordinaci</w:t>
        </w:r>
        <w:r w:rsidR="008348F9">
          <w:rPr>
            <w:rStyle w:val="Hyperlink"/>
            <w:bCs/>
            <w:lang w:val="es-ES_tradnl"/>
          </w:rPr>
          <w:t>ón conjunta sobre Internet de las Cosas</w:t>
        </w:r>
        <w:r w:rsidR="008348F9" w:rsidRPr="008348F9">
          <w:rPr>
            <w:rStyle w:val="Hyperlink"/>
            <w:bCs/>
            <w:u w:val="none"/>
            <w:lang w:val="es-ES_tradnl"/>
          </w:rPr>
          <w:t xml:space="preserve"> </w:t>
        </w:r>
      </w:hyperlink>
      <w:r w:rsidR="00C17A31">
        <w:rPr>
          <w:lang w:val="es-ES"/>
        </w:rPr>
        <w:t>(JCA-</w:t>
      </w:r>
      <w:proofErr w:type="spellStart"/>
      <w:r w:rsidR="00C17A31">
        <w:rPr>
          <w:lang w:val="es-ES"/>
        </w:rPr>
        <w:t>IoT</w:t>
      </w:r>
      <w:proofErr w:type="spellEnd"/>
      <w:r w:rsidR="00C17A31">
        <w:rPr>
          <w:lang w:val="es-ES"/>
        </w:rPr>
        <w:t>)</w:t>
      </w:r>
    </w:p>
    <w:p w:rsidR="00013F68" w:rsidRPr="00A96787" w:rsidRDefault="00A31E61" w:rsidP="004D2F38">
      <w:pPr>
        <w:numPr>
          <w:ilvl w:val="0"/>
          <w:numId w:val="14"/>
        </w:numPr>
        <w:spacing w:before="60"/>
        <w:ind w:left="567" w:hanging="567"/>
        <w:jc w:val="left"/>
        <w:rPr>
          <w:lang w:val="es-ES"/>
        </w:rPr>
      </w:pPr>
      <w:hyperlink r:id="rId74" w:history="1">
        <w:r w:rsidR="0055018D">
          <w:rPr>
            <w:rStyle w:val="Hyperlink"/>
            <w:bCs/>
            <w:lang w:val="es-ES_tradnl"/>
          </w:rPr>
          <w:t xml:space="preserve">Iniciativa de normalización mundial </w:t>
        </w:r>
        <w:r w:rsidR="0055018D" w:rsidRPr="0055018D">
          <w:rPr>
            <w:rStyle w:val="Hyperlink"/>
            <w:bCs/>
            <w:lang w:val="es-ES_tradnl"/>
          </w:rPr>
          <w:t>–</w:t>
        </w:r>
        <w:r w:rsidR="0055018D">
          <w:rPr>
            <w:rStyle w:val="Hyperlink"/>
            <w:bCs/>
            <w:lang w:val="es-ES_tradnl"/>
          </w:rPr>
          <w:t xml:space="preserve"> Internet de los objetos</w:t>
        </w:r>
        <w:r w:rsidR="0055018D" w:rsidRPr="0055018D">
          <w:rPr>
            <w:rStyle w:val="Hyperlink"/>
            <w:bCs/>
            <w:u w:val="none"/>
            <w:lang w:val="es-ES_tradnl"/>
          </w:rPr>
          <w:t xml:space="preserve"> </w:t>
        </w:r>
      </w:hyperlink>
      <w:r w:rsidR="00C17A31">
        <w:rPr>
          <w:lang w:val="es-ES"/>
        </w:rPr>
        <w:t>(</w:t>
      </w:r>
      <w:proofErr w:type="spellStart"/>
      <w:r w:rsidR="00C17A31">
        <w:rPr>
          <w:lang w:val="es-ES"/>
        </w:rPr>
        <w:t>IoT</w:t>
      </w:r>
      <w:proofErr w:type="spellEnd"/>
      <w:r w:rsidR="00C17A31">
        <w:rPr>
          <w:lang w:val="es-ES"/>
        </w:rPr>
        <w:t>-GSI)</w:t>
      </w:r>
    </w:p>
    <w:p w:rsidR="00013F68" w:rsidRPr="00A96787" w:rsidRDefault="00A31E61" w:rsidP="004D2F38">
      <w:pPr>
        <w:numPr>
          <w:ilvl w:val="0"/>
          <w:numId w:val="14"/>
        </w:numPr>
        <w:spacing w:before="60"/>
        <w:ind w:left="567" w:hanging="567"/>
        <w:jc w:val="left"/>
        <w:rPr>
          <w:lang w:val="es-ES"/>
        </w:rPr>
      </w:pPr>
      <w:hyperlink r:id="rId75" w:history="1">
        <w:r w:rsidR="00A00E5B">
          <w:rPr>
            <w:rStyle w:val="Hyperlink"/>
            <w:bCs/>
            <w:lang w:val="es-ES_tradnl"/>
          </w:rPr>
          <w:t>Iniciativa Mundial de Normalización sobre TVIP</w:t>
        </w:r>
      </w:hyperlink>
      <w:r w:rsidR="00A00E5B" w:rsidRPr="00A00E5B">
        <w:rPr>
          <w:rStyle w:val="Hyperlink"/>
          <w:bCs/>
          <w:u w:val="none"/>
          <w:lang w:val="es-ES_tradnl"/>
        </w:rPr>
        <w:t xml:space="preserve"> </w:t>
      </w:r>
      <w:r w:rsidR="00C17A31">
        <w:rPr>
          <w:lang w:val="es-ES"/>
        </w:rPr>
        <w:t>(IPTV-GSI)</w:t>
      </w:r>
    </w:p>
    <w:p w:rsidR="00013F68" w:rsidRPr="00A96787" w:rsidRDefault="00A31E61" w:rsidP="004D2F38">
      <w:pPr>
        <w:numPr>
          <w:ilvl w:val="0"/>
          <w:numId w:val="14"/>
        </w:numPr>
        <w:spacing w:before="60"/>
        <w:ind w:left="567" w:hanging="567"/>
        <w:jc w:val="left"/>
        <w:rPr>
          <w:lang w:val="es-ES"/>
        </w:rPr>
      </w:pPr>
      <w:hyperlink r:id="rId76" w:history="1">
        <w:r w:rsidR="00A63682" w:rsidRPr="00A63682">
          <w:rPr>
            <w:rStyle w:val="Hyperlink"/>
            <w:bCs/>
            <w:lang w:val="es-ES_tradnl"/>
          </w:rPr>
          <w:t>IPTV Actividad de coordinaci</w:t>
        </w:r>
        <w:r w:rsidR="00A63682">
          <w:rPr>
            <w:rStyle w:val="Hyperlink"/>
            <w:bCs/>
            <w:lang w:val="es-ES_tradnl"/>
          </w:rPr>
          <w:t>ón conjunta sobre TVIP</w:t>
        </w:r>
        <w:r w:rsidR="00A63682" w:rsidRPr="00A63682">
          <w:rPr>
            <w:rStyle w:val="Hyperlink"/>
            <w:bCs/>
            <w:u w:val="none"/>
            <w:lang w:val="es-ES_tradnl"/>
          </w:rPr>
          <w:t xml:space="preserve"> </w:t>
        </w:r>
      </w:hyperlink>
      <w:r w:rsidR="00013F68" w:rsidRPr="00A96787">
        <w:rPr>
          <w:lang w:val="es-ES"/>
        </w:rPr>
        <w:t>(IPTV-JCA)</w:t>
      </w:r>
    </w:p>
    <w:p w:rsidR="00013F68" w:rsidRPr="00A96787" w:rsidRDefault="00A31E61" w:rsidP="004D2F38">
      <w:pPr>
        <w:numPr>
          <w:ilvl w:val="0"/>
          <w:numId w:val="14"/>
        </w:numPr>
        <w:spacing w:before="60"/>
        <w:ind w:left="567" w:hanging="567"/>
        <w:jc w:val="left"/>
        <w:rPr>
          <w:rStyle w:val="Hyperlink"/>
          <w:lang w:val="es-ES"/>
        </w:rPr>
      </w:pPr>
      <w:hyperlink r:id="rId77" w:tgtFrame="_blank" w:history="1">
        <w:r w:rsidR="00C17A31">
          <w:rPr>
            <w:rStyle w:val="Hyperlink"/>
            <w:bCs/>
            <w:lang w:val="es-ES_tradnl"/>
          </w:rPr>
          <w:t xml:space="preserve">Grupo de Expertos en Calidad Vídeo </w:t>
        </w:r>
        <w:r w:rsidR="00C17A31" w:rsidRPr="00C17A31">
          <w:rPr>
            <w:rStyle w:val="Hyperlink"/>
            <w:bCs/>
            <w:lang w:val="es-ES_tradnl"/>
          </w:rPr>
          <w:t>(VQEG)</w:t>
        </w:r>
      </w:hyperlink>
      <w:r w:rsidR="00C17A31" w:rsidRPr="00C17A31">
        <w:rPr>
          <w:rStyle w:val="Hyperlink"/>
          <w:bCs/>
          <w:u w:val="none"/>
          <w:lang w:val="es-ES_tradnl"/>
        </w:rPr>
        <w:t xml:space="preserve"> </w:t>
      </w:r>
    </w:p>
    <w:p w:rsidR="00013F68" w:rsidRPr="00C17A31" w:rsidRDefault="00013F68" w:rsidP="004D2F38">
      <w:pPr>
        <w:numPr>
          <w:ilvl w:val="0"/>
          <w:numId w:val="14"/>
        </w:numPr>
        <w:spacing w:before="60"/>
        <w:ind w:left="567" w:hanging="567"/>
        <w:jc w:val="left"/>
        <w:rPr>
          <w:color w:val="0000FF"/>
          <w:u w:val="single"/>
          <w:lang w:val="es-ES"/>
        </w:rPr>
      </w:pPr>
      <w:r w:rsidRPr="00C17A31">
        <w:rPr>
          <w:u w:val="single"/>
          <w:lang w:val="es-ES"/>
        </w:rPr>
        <w:t>Grupo de Relator Intersectorial (GRI) sobre evaluación de la calidad audiovisual</w:t>
      </w:r>
      <w:r w:rsidRPr="00A96787">
        <w:rPr>
          <w:lang w:val="es-ES"/>
        </w:rPr>
        <w:t xml:space="preserve"> (IRG-AVQA) [en proceso de establecimiento].</w:t>
      </w:r>
      <w:r w:rsidRPr="00C17A31">
        <w:rPr>
          <w:rFonts w:eastAsia="Times New Roman"/>
          <w:b/>
          <w:szCs w:val="19"/>
          <w:lang w:val="es-ES" w:eastAsia="en-US"/>
        </w:rPr>
        <w:br w:type="page"/>
      </w:r>
    </w:p>
    <w:p w:rsidR="00013F68" w:rsidRPr="00705BD6" w:rsidRDefault="00013F68" w:rsidP="00FC16E3">
      <w:pPr>
        <w:pStyle w:val="Heading1"/>
        <w:jc w:val="center"/>
        <w:rPr>
          <w:lang w:val="es-ES_tradnl"/>
        </w:rPr>
      </w:pPr>
      <w:bookmarkStart w:id="115" w:name="_Toc365036827"/>
      <w:bookmarkStart w:id="116" w:name="_Toc381259711"/>
      <w:r w:rsidRPr="00705BD6">
        <w:rPr>
          <w:lang w:val="es-ES_tradnl"/>
        </w:rPr>
        <w:lastRenderedPageBreak/>
        <w:t xml:space="preserve">Comisión de Estudio 11 del UIT-T ― Requisitos, protocolos y </w:t>
      </w:r>
      <w:r w:rsidR="00705BD6" w:rsidRPr="00705BD6">
        <w:rPr>
          <w:lang w:val="es-ES_tradnl"/>
        </w:rPr>
        <w:br/>
      </w:r>
      <w:r w:rsidRPr="00705BD6">
        <w:rPr>
          <w:lang w:val="es-ES_tradnl"/>
        </w:rPr>
        <w:t>especificaciones de pruebas de señalización</w:t>
      </w:r>
      <w:bookmarkEnd w:id="115"/>
      <w:bookmarkEnd w:id="116"/>
    </w:p>
    <w:p w:rsidR="00013F68" w:rsidRPr="00340022" w:rsidRDefault="00013F68" w:rsidP="00FC16E3">
      <w:pPr>
        <w:pStyle w:val="Heading4"/>
        <w:rPr>
          <w:lang w:val="es-ES_tradnl"/>
        </w:rPr>
      </w:pPr>
      <w:r w:rsidRPr="00340022">
        <w:rPr>
          <w:lang w:val="es-ES_tradnl"/>
        </w:rPr>
        <w:t>Alcance</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Fonts w:eastAsia="Times New Roman"/>
          <w:szCs w:val="19"/>
          <w:lang w:val="es-ES" w:eastAsia="en-US"/>
        </w:rPr>
        <w:t xml:space="preserve">La Comisión de Estudio 11 es el grupo de "señalización y protocolo" del UIT-T y se encarga de elaborar las Recomendaciones UIT-T en las que se define cómo se gestionan las llamadas telefónicas y otras llamadas como las de datos en la red. La Comisión de Estudio 11 es la responsable del </w:t>
      </w:r>
      <w:r w:rsidRPr="00A96787">
        <w:rPr>
          <w:lang w:val="es-ES"/>
        </w:rPr>
        <w:t xml:space="preserve">sistema de señalización Nº7 </w:t>
      </w:r>
      <w:r w:rsidRPr="00A96787">
        <w:rPr>
          <w:rFonts w:eastAsia="Times New Roman"/>
          <w:szCs w:val="19"/>
          <w:lang w:val="es-ES" w:eastAsia="en-US"/>
        </w:rPr>
        <w:t xml:space="preserve">(SS7), el cual allanó el camino para el funcionamiento eficiente de las redes de telecomunicaciones internacionales, y actualmente realiza estudios sobre la normalización de </w:t>
      </w:r>
      <w:r w:rsidRPr="00A96787">
        <w:rPr>
          <w:lang w:val="es-ES"/>
        </w:rPr>
        <w:t>las redes definidas por software (SDN)</w:t>
      </w:r>
      <w:r w:rsidRPr="00A96787">
        <w:rPr>
          <w:rFonts w:eastAsia="Times New Roman"/>
          <w:szCs w:val="19"/>
          <w:lang w:val="es-ES" w:eastAsia="en-US"/>
        </w:rPr>
        <w:t xml:space="preserve">, así como sobre las </w:t>
      </w:r>
      <w:r w:rsidRPr="00A96787">
        <w:rPr>
          <w:lang w:val="es-ES"/>
        </w:rPr>
        <w:t>comunicaciones de máquina a máquina (M2M).</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Los estudios</w:t>
      </w:r>
      <w:r w:rsidRPr="00A96787">
        <w:rPr>
          <w:lang w:val="es-ES"/>
        </w:rPr>
        <w:t xml:space="preserve"> </w:t>
      </w:r>
      <w:r w:rsidRPr="00A96787">
        <w:rPr>
          <w:rStyle w:val="hps"/>
          <w:lang w:val="es-ES"/>
        </w:rPr>
        <w:t>sobre conformidad y compatibilidad</w:t>
      </w:r>
      <w:r w:rsidRPr="00A96787">
        <w:rPr>
          <w:lang w:val="es-ES"/>
        </w:rPr>
        <w:t xml:space="preserve"> </w:t>
      </w:r>
      <w:r w:rsidRPr="00A96787">
        <w:rPr>
          <w:rStyle w:val="hps"/>
          <w:lang w:val="es-ES"/>
        </w:rPr>
        <w:t>(</w:t>
      </w:r>
      <w:r w:rsidRPr="00A96787">
        <w:rPr>
          <w:lang w:val="es-ES"/>
        </w:rPr>
        <w:t>C&amp;</w:t>
      </w:r>
      <w:r w:rsidRPr="00A96787">
        <w:rPr>
          <w:rStyle w:val="hps"/>
          <w:lang w:val="es-ES"/>
        </w:rPr>
        <w:t>I) desempeñan un papel fundamental en la CE 11</w:t>
      </w:r>
      <w:r w:rsidRPr="00A96787">
        <w:rPr>
          <w:lang w:val="es-ES"/>
        </w:rPr>
        <w:t xml:space="preserve">. </w:t>
      </w:r>
      <w:r w:rsidRPr="00A96787">
        <w:rPr>
          <w:rStyle w:val="hps"/>
          <w:lang w:val="es-ES"/>
        </w:rPr>
        <w:t>La investigación</w:t>
      </w:r>
      <w:r w:rsidRPr="00A96787">
        <w:rPr>
          <w:lang w:val="es-ES"/>
        </w:rPr>
        <w:t xml:space="preserve"> </w:t>
      </w:r>
      <w:r w:rsidRPr="00A96787">
        <w:rPr>
          <w:rStyle w:val="hps"/>
          <w:lang w:val="es-ES"/>
        </w:rPr>
        <w:t>de dicha Comisión</w:t>
      </w:r>
      <w:r w:rsidRPr="00A96787">
        <w:rPr>
          <w:lang w:val="es-ES"/>
        </w:rPr>
        <w:t xml:space="preserve"> </w:t>
      </w:r>
      <w:r w:rsidRPr="00A96787">
        <w:rPr>
          <w:rStyle w:val="hps"/>
          <w:lang w:val="es-ES"/>
        </w:rPr>
        <w:t>en el sector de</w:t>
      </w:r>
      <w:r w:rsidRPr="00A96787">
        <w:rPr>
          <w:lang w:val="es-ES"/>
        </w:rPr>
        <w:t xml:space="preserve"> </w:t>
      </w:r>
      <w:r w:rsidRPr="00A96787">
        <w:rPr>
          <w:rStyle w:val="hps"/>
          <w:lang w:val="es-ES"/>
        </w:rPr>
        <w:t>C&amp;I</w:t>
      </w:r>
      <w:r w:rsidRPr="00A96787">
        <w:rPr>
          <w:lang w:val="es-ES"/>
        </w:rPr>
        <w:t xml:space="preserve"> </w:t>
      </w:r>
      <w:r w:rsidRPr="00A96787">
        <w:rPr>
          <w:rStyle w:val="hps"/>
          <w:lang w:val="es-ES"/>
        </w:rPr>
        <w:t>abarca el desarrollo</w:t>
      </w:r>
      <w:r w:rsidRPr="00A96787">
        <w:rPr>
          <w:lang w:val="es-ES"/>
        </w:rPr>
        <w:t xml:space="preserve"> </w:t>
      </w:r>
      <w:r w:rsidRPr="00A96787">
        <w:rPr>
          <w:rStyle w:val="hps"/>
          <w:lang w:val="es-ES"/>
        </w:rPr>
        <w:t>de requisitos y</w:t>
      </w:r>
      <w:r w:rsidRPr="00A96787">
        <w:rPr>
          <w:lang w:val="es-ES"/>
        </w:rPr>
        <w:t xml:space="preserve"> las series de pruebas pertinentes </w:t>
      </w:r>
      <w:r w:rsidRPr="00A96787">
        <w:rPr>
          <w:rStyle w:val="hps"/>
          <w:lang w:val="es-ES"/>
        </w:rPr>
        <w:t>para distintas áreas</w:t>
      </w:r>
      <w:r w:rsidRPr="00A96787">
        <w:rPr>
          <w:lang w:val="es-ES"/>
        </w:rPr>
        <w:t xml:space="preserve"> </w:t>
      </w:r>
      <w:r w:rsidRPr="00A96787">
        <w:rPr>
          <w:rStyle w:val="hps"/>
          <w:lang w:val="es-ES"/>
        </w:rPr>
        <w:t>esenciales, tales como</w:t>
      </w:r>
      <w:r w:rsidRPr="00A96787">
        <w:rPr>
          <w:lang w:val="es-ES"/>
        </w:rPr>
        <w:t xml:space="preserve">: las </w:t>
      </w:r>
      <w:r w:rsidRPr="00A96787">
        <w:rPr>
          <w:rStyle w:val="hps"/>
          <w:lang w:val="es-ES"/>
        </w:rPr>
        <w:t>NGN</w:t>
      </w:r>
      <w:r w:rsidRPr="00A96787">
        <w:rPr>
          <w:lang w:val="es-ES"/>
        </w:rPr>
        <w:t xml:space="preserve">, las </w:t>
      </w:r>
      <w:r w:rsidRPr="00A96787">
        <w:rPr>
          <w:rStyle w:val="hps"/>
          <w:lang w:val="es-ES"/>
        </w:rPr>
        <w:t>USN</w:t>
      </w:r>
      <w:r w:rsidRPr="00A96787">
        <w:rPr>
          <w:lang w:val="es-ES"/>
        </w:rPr>
        <w:t xml:space="preserve">, la </w:t>
      </w:r>
      <w:proofErr w:type="spellStart"/>
      <w:r w:rsidRPr="00A96787">
        <w:rPr>
          <w:rStyle w:val="hps"/>
          <w:lang w:val="es-ES"/>
        </w:rPr>
        <w:t>IoT</w:t>
      </w:r>
      <w:proofErr w:type="spellEnd"/>
      <w:r w:rsidRPr="00A96787">
        <w:rPr>
          <w:lang w:val="es-ES"/>
        </w:rPr>
        <w:t xml:space="preserve">, las </w:t>
      </w:r>
      <w:proofErr w:type="spellStart"/>
      <w:r w:rsidRPr="00A96787">
        <w:rPr>
          <w:lang w:val="es-ES"/>
        </w:rPr>
        <w:t>QoS</w:t>
      </w:r>
      <w:proofErr w:type="spellEnd"/>
      <w:r w:rsidRPr="00A96787">
        <w:rPr>
          <w:lang w:val="es-ES"/>
        </w:rPr>
        <w:t xml:space="preserve"> </w:t>
      </w:r>
      <w:r w:rsidRPr="00A96787">
        <w:rPr>
          <w:rStyle w:val="hps"/>
          <w:lang w:val="es-ES"/>
        </w:rPr>
        <w:t>/</w:t>
      </w:r>
      <w:proofErr w:type="spellStart"/>
      <w:r w:rsidRPr="00A96787">
        <w:rPr>
          <w:rStyle w:val="hps"/>
          <w:lang w:val="es-ES"/>
        </w:rPr>
        <w:t>QoE</w:t>
      </w:r>
      <w:proofErr w:type="spellEnd"/>
      <w:r w:rsidRPr="00A96787">
        <w:rPr>
          <w:rStyle w:val="hps"/>
          <w:lang w:val="es-ES"/>
        </w:rPr>
        <w:t>/NP</w:t>
      </w:r>
      <w:r w:rsidRPr="00A96787">
        <w:rPr>
          <w:lang w:val="es-ES"/>
        </w:rPr>
        <w:t>, los parámetros de referencia, los servicios</w:t>
      </w:r>
      <w:r w:rsidRPr="00A96787">
        <w:rPr>
          <w:rStyle w:val="hps"/>
          <w:lang w:val="es-ES"/>
        </w:rPr>
        <w:t xml:space="preserve"> TIC</w:t>
      </w:r>
      <w:r w:rsidRPr="00A96787">
        <w:rPr>
          <w:lang w:val="es-ES"/>
        </w:rPr>
        <w:t xml:space="preserve">, </w:t>
      </w:r>
      <w:r w:rsidRPr="00A96787">
        <w:rPr>
          <w:rStyle w:val="hps"/>
          <w:lang w:val="es-ES"/>
        </w:rPr>
        <w:t>etc.</w:t>
      </w:r>
      <w:r w:rsidRPr="00A96787">
        <w:rPr>
          <w:lang w:val="es-ES"/>
        </w:rPr>
        <w:t xml:space="preserve"> </w:t>
      </w:r>
      <w:r w:rsidRPr="00A96787">
        <w:rPr>
          <w:rStyle w:val="hps"/>
          <w:lang w:val="es-ES"/>
        </w:rPr>
        <w:t>En virtud de los</w:t>
      </w:r>
      <w:r w:rsidRPr="00A96787">
        <w:rPr>
          <w:lang w:val="es-ES"/>
        </w:rPr>
        <w:t xml:space="preserve"> </w:t>
      </w:r>
      <w:r w:rsidRPr="00A96787">
        <w:rPr>
          <w:rStyle w:val="hps"/>
          <w:lang w:val="es-ES"/>
        </w:rPr>
        <w:t>últimos resultados</w:t>
      </w:r>
      <w:r w:rsidRPr="00A96787">
        <w:rPr>
          <w:lang w:val="es-ES"/>
        </w:rPr>
        <w:t xml:space="preserve"> </w:t>
      </w:r>
      <w:r w:rsidRPr="00A96787">
        <w:rPr>
          <w:rStyle w:val="hps"/>
          <w:lang w:val="es-ES"/>
        </w:rPr>
        <w:t>y actividades de la</w:t>
      </w:r>
      <w:r w:rsidRPr="00A96787">
        <w:rPr>
          <w:lang w:val="es-ES"/>
        </w:rPr>
        <w:t xml:space="preserve"> </w:t>
      </w:r>
      <w:r w:rsidRPr="00A96787">
        <w:rPr>
          <w:rStyle w:val="hps"/>
          <w:lang w:val="es-ES"/>
        </w:rPr>
        <w:t>CE 11</w:t>
      </w:r>
      <w:r w:rsidRPr="00A96787">
        <w:rPr>
          <w:lang w:val="es-ES"/>
        </w:rPr>
        <w:t xml:space="preserve"> </w:t>
      </w:r>
      <w:r w:rsidRPr="00A96787">
        <w:rPr>
          <w:rStyle w:val="hps"/>
          <w:lang w:val="es-ES"/>
        </w:rPr>
        <w:t>en materia de</w:t>
      </w:r>
      <w:r w:rsidRPr="00A96787">
        <w:rPr>
          <w:lang w:val="es-ES"/>
        </w:rPr>
        <w:t xml:space="preserve"> </w:t>
      </w:r>
      <w:r w:rsidRPr="00A96787">
        <w:rPr>
          <w:rStyle w:val="hps"/>
          <w:lang w:val="es-ES"/>
        </w:rPr>
        <w:t>pruebas</w:t>
      </w:r>
      <w:r w:rsidRPr="00A96787">
        <w:rPr>
          <w:lang w:val="es-ES"/>
        </w:rPr>
        <w:t xml:space="preserve">, </w:t>
      </w:r>
      <w:r w:rsidRPr="00A96787">
        <w:rPr>
          <w:rStyle w:val="hps"/>
          <w:lang w:val="es-ES"/>
        </w:rPr>
        <w:t>la AMNT</w:t>
      </w:r>
      <w:r w:rsidRPr="00A96787">
        <w:rPr>
          <w:rStyle w:val="atn"/>
          <w:lang w:val="es-ES"/>
        </w:rPr>
        <w:t>-</w:t>
      </w:r>
      <w:r w:rsidRPr="00A96787">
        <w:rPr>
          <w:lang w:val="es-ES"/>
        </w:rPr>
        <w:t xml:space="preserve">12 la nombró Comisión de Estudio Rectora sobre especificaciones de prueba y pruebas de conformidad y compatibilidad, responsable de la </w:t>
      </w:r>
      <w:r w:rsidRPr="00A96787">
        <w:rPr>
          <w:rStyle w:val="hps"/>
          <w:lang w:val="es-ES"/>
        </w:rPr>
        <w:t xml:space="preserve">ejecución del </w:t>
      </w:r>
      <w:r w:rsidRPr="00A96787">
        <w:rPr>
          <w:lang w:val="es-ES"/>
        </w:rPr>
        <w:t xml:space="preserve">Programa C&amp;I de la UIT. </w:t>
      </w:r>
      <w:r w:rsidRPr="00A96787">
        <w:rPr>
          <w:rStyle w:val="hps"/>
          <w:lang w:val="es-ES"/>
        </w:rPr>
        <w:t>Además</w:t>
      </w:r>
      <w:r w:rsidRPr="00A96787">
        <w:rPr>
          <w:lang w:val="es-ES"/>
        </w:rPr>
        <w:t xml:space="preserve">, </w:t>
      </w:r>
      <w:r w:rsidRPr="00A96787">
        <w:rPr>
          <w:rStyle w:val="hps"/>
          <w:lang w:val="es-ES"/>
        </w:rPr>
        <w:t>se convino en que la CE 11</w:t>
      </w:r>
      <w:r w:rsidRPr="00A96787">
        <w:rPr>
          <w:lang w:val="es-ES"/>
        </w:rPr>
        <w:t xml:space="preserve"> fuera el grupo rector para la Actividad conjunta de coordinación sobre realización de pruebas de conformidad e interoperabilidad</w:t>
      </w:r>
      <w:r w:rsidRPr="00A96787">
        <w:rPr>
          <w:rStyle w:val="hps"/>
          <w:lang w:val="es-ES"/>
        </w:rPr>
        <w:t xml:space="preserve"> (</w:t>
      </w:r>
      <w:r w:rsidRPr="00A96787">
        <w:rPr>
          <w:lang w:val="es-ES"/>
        </w:rPr>
        <w:t>JCA-CIT).</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Fonts w:eastAsia="Times New Roman"/>
          <w:szCs w:val="19"/>
          <w:lang w:val="es-ES" w:eastAsia="en-US"/>
        </w:rPr>
        <w:t>L</w:t>
      </w:r>
      <w:r w:rsidRPr="00A96787">
        <w:rPr>
          <w:rStyle w:val="hps"/>
          <w:lang w:val="es-ES"/>
        </w:rPr>
        <w:t>os</w:t>
      </w:r>
      <w:r w:rsidRPr="00A96787">
        <w:rPr>
          <w:lang w:val="es-ES"/>
        </w:rPr>
        <w:t xml:space="preserve"> </w:t>
      </w:r>
      <w:r w:rsidRPr="00A96787">
        <w:rPr>
          <w:rStyle w:val="hps"/>
          <w:lang w:val="es-ES"/>
        </w:rPr>
        <w:t>resultados obtenidos por la CE 11</w:t>
      </w:r>
      <w:r w:rsidRPr="00A96787">
        <w:rPr>
          <w:lang w:val="es-ES"/>
        </w:rPr>
        <w:t xml:space="preserve"> en el ámbito de la </w:t>
      </w:r>
      <w:r w:rsidRPr="00A96787">
        <w:rPr>
          <w:rStyle w:val="hps"/>
          <w:lang w:val="es-ES"/>
        </w:rPr>
        <w:t>C&amp;I</w:t>
      </w:r>
      <w:r w:rsidRPr="00A96787">
        <w:rPr>
          <w:lang w:val="es-ES"/>
        </w:rPr>
        <w:t xml:space="preserve"> están destinados a </w:t>
      </w:r>
      <w:r w:rsidRPr="00A96787">
        <w:rPr>
          <w:rStyle w:val="hps"/>
          <w:lang w:val="es-ES"/>
        </w:rPr>
        <w:t>ayudar a los países</w:t>
      </w:r>
      <w:r w:rsidRPr="00A96787">
        <w:rPr>
          <w:lang w:val="es-ES"/>
        </w:rPr>
        <w:t xml:space="preserve"> </w:t>
      </w:r>
      <w:r w:rsidRPr="00A96787">
        <w:rPr>
          <w:rStyle w:val="hps"/>
          <w:lang w:val="es-ES"/>
        </w:rPr>
        <w:t>en desarrollo</w:t>
      </w:r>
      <w:r w:rsidRPr="00A96787">
        <w:rPr>
          <w:lang w:val="es-ES"/>
        </w:rPr>
        <w:t xml:space="preserve"> </w:t>
      </w:r>
      <w:r w:rsidRPr="00A96787">
        <w:rPr>
          <w:rStyle w:val="hps"/>
          <w:lang w:val="es-ES"/>
        </w:rPr>
        <w:t>en el despliegue de los</w:t>
      </w:r>
      <w:r w:rsidRPr="00A96787">
        <w:rPr>
          <w:lang w:val="es-ES"/>
        </w:rPr>
        <w:t xml:space="preserve"> </w:t>
      </w:r>
      <w:r w:rsidRPr="00A96787">
        <w:rPr>
          <w:rStyle w:val="hps"/>
          <w:lang w:val="es-ES"/>
        </w:rPr>
        <w:t>equipos TIC,</w:t>
      </w:r>
      <w:r w:rsidRPr="00A96787">
        <w:rPr>
          <w:lang w:val="es-ES"/>
        </w:rPr>
        <w:t xml:space="preserve"> </w:t>
      </w:r>
      <w:r w:rsidRPr="00A96787">
        <w:rPr>
          <w:rStyle w:val="hps"/>
          <w:lang w:val="es-ES"/>
        </w:rPr>
        <w:t>a nivel nacional</w:t>
      </w:r>
      <w:r w:rsidRPr="00A96787">
        <w:rPr>
          <w:lang w:val="es-ES"/>
        </w:rPr>
        <w:t xml:space="preserve"> </w:t>
      </w:r>
      <w:r w:rsidRPr="00A96787">
        <w:rPr>
          <w:rStyle w:val="hps"/>
          <w:lang w:val="es-ES"/>
        </w:rPr>
        <w:t>e internacional</w:t>
      </w:r>
      <w:r w:rsidRPr="00A96787">
        <w:rPr>
          <w:lang w:val="es-ES"/>
        </w:rPr>
        <w:t xml:space="preserve">, de manera </w:t>
      </w:r>
      <w:r w:rsidRPr="00A96787">
        <w:rPr>
          <w:rStyle w:val="hps"/>
          <w:lang w:val="es-ES"/>
        </w:rPr>
        <w:t>compatible con</w:t>
      </w:r>
      <w:r w:rsidRPr="00A96787">
        <w:rPr>
          <w:lang w:val="es-ES"/>
        </w:rPr>
        <w:t xml:space="preserve"> </w:t>
      </w:r>
      <w:r w:rsidRPr="00A96787">
        <w:rPr>
          <w:rStyle w:val="hps"/>
          <w:lang w:val="es-ES"/>
        </w:rPr>
        <w:t>la infraestructura del operador</w:t>
      </w:r>
      <w:r w:rsidRPr="00A96787">
        <w:rPr>
          <w:lang w:val="es-ES"/>
        </w:rPr>
        <w:t xml:space="preserve"> </w:t>
      </w:r>
      <w:r w:rsidRPr="00A96787">
        <w:rPr>
          <w:rStyle w:val="hps"/>
          <w:lang w:val="es-ES"/>
        </w:rPr>
        <w:t>existente y</w:t>
      </w:r>
      <w:r w:rsidRPr="00A96787">
        <w:rPr>
          <w:lang w:val="es-ES"/>
        </w:rPr>
        <w:t xml:space="preserve"> con arreglo a</w:t>
      </w:r>
      <w:r w:rsidRPr="00A96787">
        <w:rPr>
          <w:rStyle w:val="hps"/>
          <w:lang w:val="es-ES"/>
        </w:rPr>
        <w:t xml:space="preserve"> las Recomendaciones</w:t>
      </w:r>
      <w:r w:rsidRPr="00A96787">
        <w:rPr>
          <w:lang w:val="es-ES"/>
        </w:rPr>
        <w:t xml:space="preserve"> </w:t>
      </w:r>
      <w:r w:rsidRPr="00A96787">
        <w:rPr>
          <w:rStyle w:val="hps"/>
          <w:lang w:val="es-ES"/>
        </w:rPr>
        <w:t>UIT</w:t>
      </w:r>
      <w:r w:rsidRPr="00A96787">
        <w:rPr>
          <w:lang w:val="es-ES"/>
        </w:rPr>
        <w:t xml:space="preserve">-T. En ese sentido, la CE 11 elaboró una lista evolutiva de tecnologías clave aptas para ser sometidas a pruebas de conformidad y compatibilidad, y está investigando </w:t>
      </w:r>
      <w:r w:rsidRPr="00A96787">
        <w:rPr>
          <w:rStyle w:val="hps"/>
          <w:lang w:val="es-ES"/>
        </w:rPr>
        <w:t>varios proyectos</w:t>
      </w:r>
      <w:r w:rsidRPr="00A96787">
        <w:rPr>
          <w:lang w:val="es-ES"/>
        </w:rPr>
        <w:t xml:space="preserve"> </w:t>
      </w:r>
      <w:r w:rsidRPr="00A96787">
        <w:rPr>
          <w:rStyle w:val="hps"/>
          <w:lang w:val="es-ES"/>
        </w:rPr>
        <w:t>sobre conformidad</w:t>
      </w:r>
      <w:r w:rsidRPr="00A96787">
        <w:rPr>
          <w:lang w:val="es-ES"/>
        </w:rPr>
        <w:t xml:space="preserve"> </w:t>
      </w:r>
      <w:r w:rsidRPr="00A96787">
        <w:rPr>
          <w:rStyle w:val="hps"/>
          <w:lang w:val="es-ES"/>
        </w:rPr>
        <w:t>contrarios a</w:t>
      </w:r>
      <w:r w:rsidRPr="00A96787">
        <w:rPr>
          <w:lang w:val="es-ES"/>
        </w:rPr>
        <w:t xml:space="preserve"> </w:t>
      </w:r>
      <w:r w:rsidRPr="00A96787">
        <w:rPr>
          <w:rStyle w:val="hps"/>
          <w:lang w:val="es-ES"/>
        </w:rPr>
        <w:t>las Recomendaciones UIT</w:t>
      </w:r>
      <w:r w:rsidRPr="00A96787">
        <w:rPr>
          <w:lang w:val="es-ES"/>
        </w:rPr>
        <w:t>-T.</w:t>
      </w:r>
    </w:p>
    <w:p w:rsidR="00013F68" w:rsidRPr="00A96787" w:rsidRDefault="00013F68" w:rsidP="005A4281">
      <w:pPr>
        <w:tabs>
          <w:tab w:val="left" w:pos="794"/>
          <w:tab w:val="left" w:pos="1191"/>
          <w:tab w:val="left" w:pos="1588"/>
          <w:tab w:val="left" w:pos="1985"/>
        </w:tabs>
        <w:overflowPunct w:val="0"/>
        <w:autoSpaceDE w:val="0"/>
        <w:autoSpaceDN w:val="0"/>
        <w:adjustRightInd w:val="0"/>
        <w:textAlignment w:val="baseline"/>
        <w:rPr>
          <w:rFonts w:eastAsia="Times New Roman"/>
          <w:bCs/>
          <w:szCs w:val="19"/>
          <w:lang w:val="es-ES" w:eastAsia="en-US"/>
        </w:rPr>
      </w:pPr>
      <w:r w:rsidRPr="00A96787">
        <w:rPr>
          <w:rStyle w:val="hps"/>
          <w:lang w:val="es-ES"/>
        </w:rPr>
        <w:t>Toda la información</w:t>
      </w:r>
      <w:r w:rsidRPr="00A96787">
        <w:rPr>
          <w:lang w:val="es-ES"/>
        </w:rPr>
        <w:t xml:space="preserve"> </w:t>
      </w:r>
      <w:r w:rsidRPr="00A96787">
        <w:rPr>
          <w:rStyle w:val="hps"/>
          <w:lang w:val="es-ES"/>
        </w:rPr>
        <w:t>relacionada</w:t>
      </w:r>
      <w:r w:rsidRPr="00A96787">
        <w:rPr>
          <w:lang w:val="es-ES"/>
        </w:rPr>
        <w:t xml:space="preserve"> </w:t>
      </w:r>
      <w:r w:rsidRPr="00A96787">
        <w:rPr>
          <w:rStyle w:val="hps"/>
          <w:lang w:val="es-ES"/>
        </w:rPr>
        <w:t>se pondrá a disposición de las partes interesadas</w:t>
      </w:r>
      <w:r w:rsidRPr="00A96787">
        <w:rPr>
          <w:lang w:val="es-ES"/>
        </w:rPr>
        <w:t xml:space="preserve"> </w:t>
      </w:r>
      <w:r w:rsidRPr="00A96787">
        <w:rPr>
          <w:rStyle w:val="hps"/>
          <w:lang w:val="es-ES"/>
        </w:rPr>
        <w:t>en el portal</w:t>
      </w:r>
      <w:r w:rsidRPr="00A96787">
        <w:rPr>
          <w:lang w:val="es-ES"/>
        </w:rPr>
        <w:t xml:space="preserve"> </w:t>
      </w:r>
      <w:r w:rsidRPr="00A96787">
        <w:rPr>
          <w:rStyle w:val="hps"/>
          <w:lang w:val="es-ES"/>
        </w:rPr>
        <w:t>C&amp;I</w:t>
      </w:r>
      <w:r w:rsidRPr="00A96787">
        <w:rPr>
          <w:lang w:val="es-ES"/>
        </w:rPr>
        <w:t xml:space="preserve">, incluidas </w:t>
      </w:r>
      <w:r w:rsidRPr="00A96787">
        <w:rPr>
          <w:rStyle w:val="hps"/>
          <w:lang w:val="es-ES"/>
        </w:rPr>
        <w:t>las bases de datos</w:t>
      </w:r>
      <w:r w:rsidRPr="00A96787">
        <w:rPr>
          <w:lang w:val="es-ES"/>
        </w:rPr>
        <w:t xml:space="preserve"> </w:t>
      </w:r>
      <w:r w:rsidRPr="00A96787">
        <w:rPr>
          <w:rStyle w:val="hps"/>
          <w:lang w:val="es-ES"/>
        </w:rPr>
        <w:t>pertinentes de la UIT</w:t>
      </w:r>
      <w:r w:rsidRPr="00A96787">
        <w:rPr>
          <w:lang w:val="es-ES"/>
        </w:rPr>
        <w:t xml:space="preserve"> </w:t>
      </w:r>
      <w:r w:rsidRPr="00A96787">
        <w:rPr>
          <w:rStyle w:val="hps"/>
          <w:lang w:val="es-ES"/>
        </w:rPr>
        <w:t>(a saber, la base de datos sobre TLS y</w:t>
      </w:r>
      <w:r w:rsidRPr="00A96787">
        <w:rPr>
          <w:lang w:val="es-ES"/>
        </w:rPr>
        <w:t xml:space="preserve"> </w:t>
      </w:r>
      <w:r w:rsidRPr="00A96787">
        <w:rPr>
          <w:rStyle w:val="hps"/>
          <w:lang w:val="es-ES"/>
        </w:rPr>
        <w:t>la base de datos sobre conformidad de productos TIC</w:t>
      </w:r>
      <w:r w:rsidRPr="00A96787">
        <w:rPr>
          <w:lang w:val="es-ES"/>
        </w:rPr>
        <w:t>).</w:t>
      </w:r>
    </w:p>
    <w:p w:rsidR="00013F68" w:rsidRPr="00340022" w:rsidRDefault="00013F68" w:rsidP="00721F7A">
      <w:pPr>
        <w:pStyle w:val="Heading4"/>
        <w:rPr>
          <w:lang w:val="es-ES_tradnl"/>
        </w:rPr>
      </w:pPr>
      <w:r w:rsidRPr="00340022">
        <w:rPr>
          <w:lang w:val="es-ES_tradnl"/>
        </w:rPr>
        <w:t>Temas de estudio</w:t>
      </w:r>
    </w:p>
    <w:p w:rsidR="00013F68" w:rsidRPr="00A96787" w:rsidRDefault="00013F68" w:rsidP="005A4281">
      <w:pPr>
        <w:rPr>
          <w:lang w:val="es-ES"/>
        </w:rPr>
      </w:pPr>
      <w:r w:rsidRPr="00A96787">
        <w:rPr>
          <w:lang w:val="es-ES"/>
        </w:rPr>
        <w:t>La CE 11 se encarga de los estudios relativos a los requisitos y protocolos de señalización, incluidos los de las tecnologías de red del protocolo Internet (IP), las redes de la próxima generación (NGN), la comunicación máquina a máquina (M2M), la Internet de las cosas (</w:t>
      </w:r>
      <w:proofErr w:type="spellStart"/>
      <w:r w:rsidRPr="00A96787">
        <w:rPr>
          <w:lang w:val="es-ES"/>
        </w:rPr>
        <w:t>IoT</w:t>
      </w:r>
      <w:proofErr w:type="spellEnd"/>
      <w:r w:rsidRPr="00A96787">
        <w:rPr>
          <w:lang w:val="es-ES"/>
        </w:rPr>
        <w:t xml:space="preserve">), las redes futuras (FN), la computación en la nube, la movilidad, algunos aspectos de señalización propios de los multimedios, las redes ad hoc (redes de sensores, identificación por radiofrecuencia (RFID), etc.), la calidad de servicio y la señalización para la compatibilidad de las redes heredadas (por ejemplo, el ATM, la RDSI-BE y la RTPC). Asimismo, es responsable de los estudios relativos a las arquitecturas de señalización de referencia y las especificaciones de pruebas para las NGN y las nuevas tecnologías de red (por ejemplo, </w:t>
      </w:r>
      <w:proofErr w:type="spellStart"/>
      <w:r w:rsidRPr="00A96787">
        <w:rPr>
          <w:lang w:val="es-ES"/>
        </w:rPr>
        <w:t>IoT</w:t>
      </w:r>
      <w:proofErr w:type="spellEnd"/>
      <w:r w:rsidRPr="00A96787">
        <w:rPr>
          <w:lang w:val="es-ES"/>
        </w:rPr>
        <w:t>, etc.).</w:t>
      </w:r>
    </w:p>
    <w:p w:rsidR="00013F68" w:rsidRPr="00A96787" w:rsidRDefault="00013F68" w:rsidP="00721F7A">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340022" w:rsidRDefault="00013F68" w:rsidP="004D2F38">
      <w:pPr>
        <w:pStyle w:val="Enumlevel1"/>
        <w:numPr>
          <w:ilvl w:val="0"/>
          <w:numId w:val="33"/>
        </w:numPr>
        <w:ind w:left="567" w:hanging="567"/>
        <w:rPr>
          <w:lang w:val="es-ES_tradnl"/>
        </w:rPr>
      </w:pPr>
      <w:r w:rsidRPr="00340022">
        <w:rPr>
          <w:lang w:val="es-ES_tradnl"/>
        </w:rPr>
        <w:t>Comisión de Estudio Rectora sobre señalización y protocolos.</w:t>
      </w:r>
    </w:p>
    <w:p w:rsidR="00013F68" w:rsidRPr="00340022" w:rsidRDefault="00013F68" w:rsidP="004D2F38">
      <w:pPr>
        <w:pStyle w:val="Enumlevel1"/>
        <w:numPr>
          <w:ilvl w:val="0"/>
          <w:numId w:val="33"/>
        </w:numPr>
        <w:ind w:left="567" w:hanging="567"/>
        <w:rPr>
          <w:lang w:val="es-ES_tradnl"/>
        </w:rPr>
      </w:pPr>
      <w:r w:rsidRPr="00340022">
        <w:rPr>
          <w:lang w:val="es-ES_tradnl"/>
        </w:rPr>
        <w:t>Comisión de Estudio Rectora sobre señalización y protocolos de máquina a máquina (M2M).</w:t>
      </w:r>
    </w:p>
    <w:p w:rsidR="00013F68" w:rsidRPr="00340022" w:rsidRDefault="00013F68" w:rsidP="004D2F38">
      <w:pPr>
        <w:pStyle w:val="Enumlevel1"/>
        <w:numPr>
          <w:ilvl w:val="0"/>
          <w:numId w:val="33"/>
        </w:numPr>
        <w:ind w:left="567" w:hanging="567"/>
        <w:rPr>
          <w:lang w:val="es-ES_tradnl"/>
        </w:rPr>
      </w:pPr>
      <w:r w:rsidRPr="00340022">
        <w:rPr>
          <w:lang w:val="es-ES_tradnl"/>
        </w:rPr>
        <w:t>Comisión de Estudio Rectora sobre especificaciones de prueba y pruebas de conformidad y compatibilidad.</w:t>
      </w:r>
    </w:p>
    <w:p w:rsidR="00013F68" w:rsidRPr="00340022" w:rsidRDefault="00013F68" w:rsidP="00721F7A">
      <w:pPr>
        <w:pStyle w:val="Heading4"/>
        <w:rPr>
          <w:lang w:val="es-ES_tradnl"/>
        </w:rPr>
      </w:pPr>
      <w:r w:rsidRPr="00340022">
        <w:rPr>
          <w:lang w:val="es-ES_tradnl"/>
        </w:rPr>
        <w:lastRenderedPageBreak/>
        <w:t>Estructura de la Comisión de Estudio 11</w:t>
      </w:r>
    </w:p>
    <w:p w:rsidR="00721F7A" w:rsidRPr="00340022" w:rsidRDefault="00721F7A" w:rsidP="00721F7A">
      <w:pPr>
        <w:pStyle w:val="Figuretitle"/>
        <w:rPr>
          <w:lang w:val="es-ES_tradnl"/>
        </w:rPr>
      </w:pPr>
    </w:p>
    <w:p w:rsidR="00721F7A" w:rsidRDefault="00721F7A" w:rsidP="00721F7A">
      <w:pPr>
        <w:pStyle w:val="Figure"/>
      </w:pPr>
      <w:r>
        <w:rPr>
          <w:noProof/>
          <w:lang w:val="en-US" w:eastAsia="zh-CN"/>
        </w:rPr>
        <w:drawing>
          <wp:inline distT="0" distB="0" distL="0" distR="0" wp14:anchorId="4A5ED8E7" wp14:editId="33B3E0B3">
            <wp:extent cx="5480685" cy="2859405"/>
            <wp:effectExtent l="0" t="0" r="571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0685" cy="2859405"/>
                    </a:xfrm>
                    <a:prstGeom prst="rect">
                      <a:avLst/>
                    </a:prstGeom>
                    <a:noFill/>
                  </pic:spPr>
                </pic:pic>
              </a:graphicData>
            </a:graphic>
          </wp:inline>
        </w:drawing>
      </w:r>
    </w:p>
    <w:p w:rsidR="00721F7A" w:rsidRPr="00837668" w:rsidRDefault="00721F7A" w:rsidP="00721F7A">
      <w:pPr>
        <w:pStyle w:val="figuresource"/>
        <w:rPr>
          <w:lang w:val="en-US"/>
        </w:rPr>
      </w:pPr>
    </w:p>
    <w:p w:rsidR="00013F68" w:rsidRPr="00340022" w:rsidRDefault="00013F68" w:rsidP="00721F7A">
      <w:pPr>
        <w:pStyle w:val="Heading4"/>
        <w:rPr>
          <w:lang w:val="es-ES_tradnl"/>
        </w:rPr>
      </w:pPr>
      <w:r w:rsidRPr="00340022">
        <w:rPr>
          <w:lang w:val="es-ES_tradnl"/>
        </w:rPr>
        <w:t>Cuestiones</w:t>
      </w:r>
    </w:p>
    <w:p w:rsidR="00013F68" w:rsidRPr="00A96787" w:rsidRDefault="00013F68" w:rsidP="005A4281">
      <w:pPr>
        <w:rPr>
          <w:rFonts w:cstheme="majorBidi"/>
          <w:szCs w:val="19"/>
          <w:lang w:val="es-ES"/>
        </w:rPr>
      </w:pPr>
      <w:r w:rsidRPr="00A96787">
        <w:rPr>
          <w:rFonts w:cstheme="majorBidi"/>
          <w:szCs w:val="19"/>
          <w:lang w:val="es-ES"/>
        </w:rPr>
        <w:t xml:space="preserve">La mayor parte de las </w:t>
      </w:r>
      <w:r w:rsidRPr="00A96787">
        <w:rPr>
          <w:lang w:val="es-ES"/>
        </w:rPr>
        <w:t>Cuestiones aborda principalmente los requisitos y protocolos de señalización y, en particular, el soporte del control de la llamada independiente del portador (BICC). Las Recomendaciones fruto del estudio de estas Cuestiones revisten una importancia particular para el sector industrial.</w:t>
      </w:r>
    </w:p>
    <w:p w:rsidR="00013F68" w:rsidRPr="00A96787" w:rsidRDefault="00013F68" w:rsidP="005A4281">
      <w:pPr>
        <w:spacing w:line="240" w:lineRule="atLeast"/>
        <w:rPr>
          <w:rFonts w:cstheme="majorBidi"/>
          <w:szCs w:val="19"/>
          <w:lang w:val="es-ES"/>
        </w:rPr>
      </w:pPr>
      <w:r w:rsidRPr="00A96787">
        <w:rPr>
          <w:lang w:val="es-ES"/>
        </w:rPr>
        <w:t>La Cuestión 8/11 está especialmente dirigida a los países en desarrollo. Las redes y los protocolos de las redes basadas en paquetes están evolucionando. En ese sentido, los progresos realizados por varios organismos internacionales de normalización han conllevado la aparición de diversas soluciones para lograr la convergencia y la compatibilidad. Del mismo modo, numerosos países en desarrollo han manifestado la necesidad de recibir asistencia en aras de comprender cómo utilizar la distintas Recomendaciones UIT-T. Se necesitan directrices destinadas a ayudar a los Miembros de la UIT a escoger sus estrategias de implantación de nuevas redes y servicios, y la C8/11 es la responsable del estudio de estas necesidades.</w:t>
      </w:r>
    </w:p>
    <w:p w:rsidR="00013F68" w:rsidRPr="00A96787" w:rsidRDefault="00013F68" w:rsidP="005A4281">
      <w:pPr>
        <w:spacing w:line="240" w:lineRule="atLeast"/>
        <w:rPr>
          <w:rFonts w:eastAsia="Times New Roman"/>
          <w:bCs/>
          <w:color w:val="000000"/>
          <w:sz w:val="18"/>
          <w:szCs w:val="18"/>
          <w:lang w:val="es-ES"/>
        </w:rPr>
      </w:pPr>
      <w:r w:rsidRPr="00A96787">
        <w:rPr>
          <w:rStyle w:val="hps"/>
          <w:lang w:val="es-ES"/>
        </w:rPr>
        <w:t>Las Cuestiones</w:t>
      </w:r>
      <w:r w:rsidRPr="00A96787">
        <w:rPr>
          <w:lang w:val="es-ES"/>
        </w:rPr>
        <w:t xml:space="preserve"> </w:t>
      </w:r>
      <w:r w:rsidRPr="00A96787">
        <w:rPr>
          <w:rStyle w:val="hps"/>
          <w:lang w:val="es-ES"/>
        </w:rPr>
        <w:t>10/11</w:t>
      </w:r>
      <w:r w:rsidRPr="00A96787">
        <w:rPr>
          <w:lang w:val="es-ES"/>
        </w:rPr>
        <w:t xml:space="preserve"> </w:t>
      </w:r>
      <w:r w:rsidRPr="00A96787">
        <w:rPr>
          <w:rStyle w:val="hps"/>
          <w:lang w:val="es-ES"/>
        </w:rPr>
        <w:t>a 15/</w:t>
      </w:r>
      <w:r w:rsidRPr="00A96787">
        <w:rPr>
          <w:lang w:val="es-ES"/>
        </w:rPr>
        <w:t xml:space="preserve">11 se </w:t>
      </w:r>
      <w:r w:rsidRPr="00A96787">
        <w:rPr>
          <w:rStyle w:val="hps"/>
          <w:lang w:val="es-ES"/>
        </w:rPr>
        <w:t xml:space="preserve">centran en las </w:t>
      </w:r>
      <w:r w:rsidRPr="00A96787">
        <w:rPr>
          <w:lang w:val="es-ES"/>
        </w:rPr>
        <w:t xml:space="preserve">pruebas de conformidad y compatibilidad </w:t>
      </w:r>
      <w:r w:rsidRPr="00A96787">
        <w:rPr>
          <w:rStyle w:val="hps"/>
          <w:lang w:val="es-ES"/>
        </w:rPr>
        <w:t>(C&amp;I), llevadas a cabo por el GT 4/11</w:t>
      </w:r>
      <w:r w:rsidRPr="00A96787">
        <w:rPr>
          <w:lang w:val="es-ES"/>
        </w:rPr>
        <w:t xml:space="preserve">. La </w:t>
      </w:r>
      <w:r w:rsidRPr="00A96787">
        <w:rPr>
          <w:rStyle w:val="hps"/>
          <w:lang w:val="es-ES"/>
        </w:rPr>
        <w:t>Cuestión 11/</w:t>
      </w:r>
      <w:r w:rsidRPr="00A96787">
        <w:rPr>
          <w:lang w:val="es-ES"/>
        </w:rPr>
        <w:t>11 desempeña un papel</w:t>
      </w:r>
      <w:r w:rsidRPr="00A96787">
        <w:rPr>
          <w:rStyle w:val="hps"/>
          <w:lang w:val="es-ES"/>
        </w:rPr>
        <w:t xml:space="preserve"> de coordinación</w:t>
      </w:r>
      <w:r w:rsidRPr="00A96787">
        <w:rPr>
          <w:lang w:val="es-ES"/>
        </w:rPr>
        <w:t xml:space="preserve"> </w:t>
      </w:r>
      <w:r w:rsidRPr="00A96787">
        <w:rPr>
          <w:rStyle w:val="hps"/>
          <w:lang w:val="es-ES"/>
        </w:rPr>
        <w:t>y puede ser de</w:t>
      </w:r>
      <w:r w:rsidRPr="00A96787">
        <w:rPr>
          <w:lang w:val="es-ES"/>
        </w:rPr>
        <w:t xml:space="preserve"> </w:t>
      </w:r>
      <w:r w:rsidRPr="00A96787">
        <w:rPr>
          <w:rStyle w:val="hps"/>
          <w:lang w:val="es-ES"/>
        </w:rPr>
        <w:t>especial interés para</w:t>
      </w:r>
      <w:r w:rsidRPr="00A96787">
        <w:rPr>
          <w:lang w:val="es-ES"/>
        </w:rPr>
        <w:t xml:space="preserve"> </w:t>
      </w:r>
      <w:r w:rsidRPr="00A96787">
        <w:rPr>
          <w:rStyle w:val="hps"/>
          <w:lang w:val="es-ES"/>
        </w:rPr>
        <w:t>los países en desarrollo</w:t>
      </w:r>
      <w:r w:rsidRPr="00A96787">
        <w:rPr>
          <w:lang w:val="es-ES"/>
        </w:rPr>
        <w:t>. La estructura de las Cuestiones es la siguiente:</w:t>
      </w:r>
    </w:p>
    <w:p w:rsidR="00013F68" w:rsidRPr="004458F8" w:rsidRDefault="00013F68" w:rsidP="00892359">
      <w:pPr>
        <w:pStyle w:val="CEOIndent-bulletsblackdot"/>
        <w:tabs>
          <w:tab w:val="left" w:pos="426"/>
          <w:tab w:val="left" w:pos="1418"/>
        </w:tabs>
        <w:spacing w:before="120"/>
        <w:ind w:left="1418" w:hanging="1418"/>
        <w:rPr>
          <w:rFonts w:asciiTheme="minorHAnsi" w:hAnsiTheme="minorHAns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79" w:history="1">
        <w:r w:rsidRPr="004458F8">
          <w:rPr>
            <w:rStyle w:val="Hyperlink"/>
            <w:rFonts w:asciiTheme="minorHAnsi" w:hAnsiTheme="minorHAnsi" w:cstheme="majorBidi"/>
            <w:sz w:val="21"/>
            <w:szCs w:val="21"/>
            <w:lang w:val="es-ES"/>
          </w:rPr>
          <w:t>C1/11</w:t>
        </w:r>
      </w:hyperlink>
      <w:r w:rsidRPr="004458F8">
        <w:rPr>
          <w:rFonts w:asciiTheme="minorHAnsi" w:hAnsiTheme="minorHAnsi"/>
          <w:sz w:val="21"/>
          <w:szCs w:val="21"/>
          <w:lang w:val="es-ES"/>
        </w:rPr>
        <w:tab/>
        <w:t>Arquitecturas de señalización y protocolo en entornos de telecomunicaciones emergentes;</w:t>
      </w:r>
    </w:p>
    <w:p w:rsidR="00013F68" w:rsidRPr="004458F8" w:rsidRDefault="00013F68" w:rsidP="00892359">
      <w:pPr>
        <w:pStyle w:val="CEOIndent-bulletsblackdot"/>
        <w:tabs>
          <w:tab w:val="left" w:pos="426"/>
          <w:tab w:val="left" w:pos="1418"/>
        </w:tabs>
        <w:spacing w:before="120"/>
        <w:ind w:left="1418" w:hanging="1418"/>
        <w:rPr>
          <w:rFonts w:asciiTheme="minorHAnsi" w:hAnsiTheme="minorHAns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0" w:history="1">
        <w:r w:rsidRPr="004458F8">
          <w:rPr>
            <w:rStyle w:val="Hyperlink"/>
            <w:rFonts w:asciiTheme="minorHAnsi" w:hAnsiTheme="minorHAnsi" w:cstheme="majorBidi"/>
            <w:sz w:val="21"/>
            <w:szCs w:val="21"/>
            <w:lang w:val="es-ES"/>
          </w:rPr>
          <w:t>C2/11</w:t>
        </w:r>
      </w:hyperlink>
      <w:r w:rsidRPr="004458F8">
        <w:rPr>
          <w:rFonts w:asciiTheme="minorHAnsi" w:hAnsiTheme="minorHAnsi"/>
          <w:sz w:val="21"/>
          <w:szCs w:val="21"/>
          <w:lang w:val="es-ES"/>
        </w:rPr>
        <w:tab/>
        <w:t>Requisitos de señalización y protocolos de servicio y aplicación en entornos de telecomunicaciones emergentes;</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1" w:history="1">
        <w:r w:rsidRPr="004458F8">
          <w:rPr>
            <w:rStyle w:val="Hyperlink"/>
            <w:rFonts w:asciiTheme="minorHAnsi" w:hAnsiTheme="minorHAnsi" w:cstheme="majorBidi"/>
            <w:sz w:val="21"/>
            <w:szCs w:val="21"/>
            <w:lang w:val="es-ES"/>
          </w:rPr>
          <w:t>C3/11</w:t>
        </w:r>
      </w:hyperlink>
      <w:r w:rsidRPr="004458F8">
        <w:rPr>
          <w:rFonts w:asciiTheme="minorHAnsi" w:hAnsiTheme="minorHAnsi" w:cstheme="majorBidi"/>
          <w:sz w:val="21"/>
          <w:szCs w:val="21"/>
          <w:lang w:val="es-ES"/>
        </w:rPr>
        <w:tab/>
        <w:t>Requisitos de señalización y protocolos de las telecomunicaciones de emergencia</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2" w:history="1">
        <w:r w:rsidRPr="004458F8">
          <w:rPr>
            <w:rStyle w:val="Hyperlink"/>
            <w:rFonts w:asciiTheme="minorHAnsi" w:hAnsiTheme="minorHAnsi" w:cstheme="majorBidi"/>
            <w:sz w:val="21"/>
            <w:szCs w:val="21"/>
            <w:lang w:val="es-ES"/>
          </w:rPr>
          <w:t>C4/11</w:t>
        </w:r>
      </w:hyperlink>
      <w:r w:rsidRPr="004458F8">
        <w:rPr>
          <w:rFonts w:asciiTheme="minorHAnsi" w:hAnsiTheme="minorHAnsi"/>
          <w:sz w:val="21"/>
          <w:szCs w:val="21"/>
          <w:lang w:val="es-ES"/>
        </w:rPr>
        <w:tab/>
        <w:t xml:space="preserve">Requisitos de señalización y protocolos de control de portadora y recursos en entornos </w:t>
      </w:r>
      <w:r w:rsidR="00892359">
        <w:rPr>
          <w:rFonts w:asciiTheme="minorHAnsi" w:hAnsiTheme="minorHAnsi"/>
          <w:sz w:val="21"/>
          <w:szCs w:val="21"/>
          <w:lang w:val="es-ES"/>
        </w:rPr>
        <w:tab/>
      </w:r>
      <w:r w:rsidR="004458F8">
        <w:rPr>
          <w:rFonts w:asciiTheme="minorHAnsi" w:hAnsiTheme="minorHAnsi"/>
          <w:sz w:val="21"/>
          <w:szCs w:val="21"/>
          <w:lang w:val="es-ES"/>
        </w:rPr>
        <w:tab/>
      </w:r>
      <w:r w:rsidRPr="004458F8">
        <w:rPr>
          <w:rFonts w:asciiTheme="minorHAnsi" w:hAnsiTheme="minorHAnsi"/>
          <w:sz w:val="21"/>
          <w:szCs w:val="21"/>
          <w:lang w:val="es-ES"/>
        </w:rPr>
        <w:t>de telecomunicaciones emergentes;</w:t>
      </w:r>
    </w:p>
    <w:p w:rsidR="00013F68" w:rsidRPr="004458F8" w:rsidRDefault="00013F68" w:rsidP="00892359">
      <w:pPr>
        <w:pStyle w:val="CEOIndent-bulletsblackdot"/>
        <w:tabs>
          <w:tab w:val="left" w:pos="426"/>
          <w:tab w:val="left" w:pos="1418"/>
        </w:tabs>
        <w:spacing w:before="120"/>
        <w:ind w:left="1418" w:hanging="1418"/>
        <w:rPr>
          <w:rFonts w:asciiTheme="minorHAnsi" w:hAnsiTheme="minorHAnsi"/>
          <w:sz w:val="21"/>
          <w:szCs w:val="21"/>
          <w:lang w:val="es-ES"/>
        </w:rPr>
      </w:pPr>
      <w:r w:rsidRPr="004458F8">
        <w:rPr>
          <w:rFonts w:asciiTheme="minorHAnsi" w:hAnsiTheme="minorHAnsi"/>
          <w:sz w:val="21"/>
          <w:szCs w:val="21"/>
          <w:lang w:val="es-ES"/>
        </w:rPr>
        <w:t>•</w:t>
      </w:r>
      <w:r w:rsidRPr="004458F8">
        <w:rPr>
          <w:rFonts w:asciiTheme="minorHAnsi" w:hAnsiTheme="minorHAnsi"/>
          <w:sz w:val="21"/>
          <w:szCs w:val="21"/>
          <w:lang w:val="es-ES"/>
        </w:rPr>
        <w:tab/>
      </w:r>
      <w:hyperlink r:id="rId83" w:history="1">
        <w:r w:rsidRPr="004458F8">
          <w:rPr>
            <w:rStyle w:val="Hyperlink"/>
            <w:rFonts w:asciiTheme="minorHAnsi" w:hAnsiTheme="minorHAnsi" w:cstheme="majorBidi"/>
            <w:sz w:val="21"/>
            <w:szCs w:val="21"/>
            <w:lang w:val="es-ES"/>
          </w:rPr>
          <w:t>C5/11</w:t>
        </w:r>
      </w:hyperlink>
      <w:r w:rsidRPr="004458F8">
        <w:rPr>
          <w:rFonts w:asciiTheme="minorHAnsi" w:hAnsiTheme="minorHAnsi"/>
          <w:sz w:val="21"/>
          <w:szCs w:val="21"/>
          <w:lang w:val="es-ES"/>
        </w:rPr>
        <w:tab/>
        <w:t>Procedimientos de protocolo relativos a servicios prestados por pasarelas de red de banda ancha;</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lastRenderedPageBreak/>
        <w:t>•</w:t>
      </w:r>
      <w:r w:rsidRPr="004458F8">
        <w:rPr>
          <w:rFonts w:asciiTheme="minorHAnsi" w:hAnsiTheme="minorHAnsi"/>
          <w:sz w:val="21"/>
          <w:szCs w:val="21"/>
          <w:lang w:val="es-ES_tradnl"/>
        </w:rPr>
        <w:tab/>
      </w:r>
      <w:hyperlink r:id="rId84" w:history="1">
        <w:r w:rsidRPr="004458F8">
          <w:rPr>
            <w:rStyle w:val="Hyperlink"/>
            <w:rFonts w:asciiTheme="minorHAnsi" w:hAnsiTheme="minorHAnsi" w:cstheme="majorBidi"/>
            <w:sz w:val="21"/>
            <w:szCs w:val="21"/>
            <w:lang w:val="es-ES"/>
          </w:rPr>
          <w:t>C6/11</w:t>
        </w:r>
      </w:hyperlink>
      <w:r w:rsidRPr="004458F8">
        <w:rPr>
          <w:rFonts w:asciiTheme="minorHAnsi" w:hAnsiTheme="minorHAnsi" w:cstheme="majorBidi"/>
          <w:sz w:val="21"/>
          <w:szCs w:val="21"/>
          <w:lang w:val="es-ES"/>
        </w:rPr>
        <w:tab/>
        <w:t>Procedimientos de protocolo relativos a servicios específicos que utilizan IPv6</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1418" w:hanging="1418"/>
        <w:rPr>
          <w:rFonts w:asciiTheme="minorHAnsi" w:hAnsiTheme="minorHAnsi"/>
          <w:sz w:val="21"/>
          <w:szCs w:val="21"/>
          <w:lang w:val="es-ES"/>
        </w:rPr>
      </w:pPr>
      <w:r w:rsidRPr="004458F8">
        <w:rPr>
          <w:rFonts w:asciiTheme="minorHAnsi" w:hAnsiTheme="minorHAnsi"/>
          <w:sz w:val="21"/>
          <w:szCs w:val="21"/>
          <w:lang w:val="es-ES_tradnl"/>
        </w:rPr>
        <w:t>•</w:t>
      </w:r>
      <w:r w:rsidR="004458F8">
        <w:rPr>
          <w:rFonts w:asciiTheme="minorHAnsi" w:hAnsiTheme="minorHAnsi"/>
          <w:sz w:val="21"/>
          <w:szCs w:val="21"/>
          <w:lang w:val="es-ES_tradnl"/>
        </w:rPr>
        <w:tab/>
      </w:r>
      <w:hyperlink r:id="rId85" w:history="1">
        <w:r w:rsidRPr="004458F8">
          <w:rPr>
            <w:rStyle w:val="Hyperlink"/>
            <w:rFonts w:asciiTheme="minorHAnsi" w:hAnsiTheme="minorHAnsi" w:cstheme="majorBidi"/>
            <w:sz w:val="21"/>
            <w:szCs w:val="21"/>
            <w:lang w:val="es-ES"/>
          </w:rPr>
          <w:t>C7/11</w:t>
        </w:r>
      </w:hyperlink>
      <w:r w:rsidRPr="004458F8">
        <w:rPr>
          <w:rFonts w:asciiTheme="minorHAnsi" w:hAnsiTheme="minorHAnsi"/>
          <w:sz w:val="21"/>
          <w:szCs w:val="21"/>
          <w:lang w:val="es-ES"/>
        </w:rPr>
        <w:tab/>
        <w:t xml:space="preserve">Requisitos de señalización y control y protocolos de anexión a la red con soporte del servicio </w:t>
      </w:r>
      <w:proofErr w:type="spellStart"/>
      <w:r w:rsidRPr="004458F8">
        <w:rPr>
          <w:rFonts w:asciiTheme="minorHAnsi" w:hAnsiTheme="minorHAnsi"/>
          <w:sz w:val="21"/>
          <w:szCs w:val="21"/>
          <w:lang w:val="es-ES"/>
        </w:rPr>
        <w:t>multipantalla</w:t>
      </w:r>
      <w:proofErr w:type="spellEnd"/>
      <w:r w:rsidRPr="004458F8">
        <w:rPr>
          <w:rFonts w:asciiTheme="minorHAnsi" w:hAnsiTheme="minorHAnsi"/>
          <w:sz w:val="21"/>
          <w:szCs w:val="21"/>
          <w:lang w:val="es-ES"/>
        </w:rPr>
        <w:t>, de redes futuras y de comunicación M2M;</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
        </w:rPr>
        <w:t>•</w:t>
      </w:r>
      <w:r w:rsidRPr="004458F8">
        <w:rPr>
          <w:rFonts w:asciiTheme="minorHAnsi" w:hAnsiTheme="minorHAnsi"/>
          <w:sz w:val="21"/>
          <w:szCs w:val="21"/>
          <w:lang w:val="es-ES"/>
        </w:rPr>
        <w:tab/>
      </w:r>
      <w:hyperlink r:id="rId86" w:history="1">
        <w:r w:rsidRPr="004458F8">
          <w:rPr>
            <w:rStyle w:val="Hyperlink"/>
            <w:rFonts w:asciiTheme="minorHAnsi" w:hAnsiTheme="minorHAnsi" w:cstheme="majorBidi"/>
            <w:sz w:val="21"/>
            <w:szCs w:val="21"/>
            <w:lang w:val="es-ES"/>
          </w:rPr>
          <w:t>C8/11</w:t>
        </w:r>
      </w:hyperlink>
      <w:r w:rsidRPr="004458F8">
        <w:rPr>
          <w:rFonts w:asciiTheme="minorHAnsi" w:hAnsiTheme="minorHAnsi" w:cstheme="majorBidi"/>
          <w:sz w:val="21"/>
          <w:szCs w:val="21"/>
          <w:lang w:val="es-ES"/>
        </w:rPr>
        <w:tab/>
        <w:t>Directrices de aplicación de los requisitos de señalización y los protocolos</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1418" w:hanging="1418"/>
        <w:rPr>
          <w:rFonts w:asciiTheme="minorHAnsi" w:hAnsiTheme="minorHAns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7" w:history="1">
        <w:r w:rsidRPr="004458F8">
          <w:rPr>
            <w:rStyle w:val="Hyperlink"/>
            <w:rFonts w:asciiTheme="minorHAnsi" w:hAnsiTheme="minorHAnsi" w:cstheme="majorBidi"/>
            <w:sz w:val="21"/>
            <w:szCs w:val="21"/>
            <w:lang w:val="es-ES"/>
          </w:rPr>
          <w:t>C9/11</w:t>
        </w:r>
      </w:hyperlink>
      <w:r w:rsidRPr="004458F8">
        <w:rPr>
          <w:rFonts w:asciiTheme="minorHAnsi" w:hAnsiTheme="minorHAnsi"/>
          <w:sz w:val="21"/>
          <w:szCs w:val="21"/>
          <w:lang w:val="es-ES"/>
        </w:rPr>
        <w:tab/>
        <w:t>Protocolos que soportan la interconexión de servicios inteligentes distribuidos y la multidifusión de extremo a extremo;</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8" w:history="1">
        <w:r w:rsidRPr="004458F8">
          <w:rPr>
            <w:rStyle w:val="Hyperlink"/>
            <w:rFonts w:asciiTheme="minorHAnsi" w:hAnsiTheme="minorHAnsi" w:cstheme="majorBidi"/>
            <w:sz w:val="21"/>
            <w:szCs w:val="21"/>
            <w:lang w:val="es-ES"/>
          </w:rPr>
          <w:t>C10/11</w:t>
        </w:r>
      </w:hyperlink>
      <w:r w:rsidRPr="004458F8">
        <w:rPr>
          <w:rFonts w:asciiTheme="minorHAnsi" w:hAnsiTheme="minorHAnsi" w:cstheme="majorBidi"/>
          <w:sz w:val="21"/>
          <w:szCs w:val="21"/>
          <w:lang w:val="es-ES"/>
        </w:rPr>
        <w:tab/>
        <w:t>Medición de los valores de referencia de servicio y de red</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89" w:history="1">
        <w:r w:rsidRPr="004458F8">
          <w:rPr>
            <w:rStyle w:val="Hyperlink"/>
            <w:rFonts w:asciiTheme="minorHAnsi" w:hAnsiTheme="minorHAnsi" w:cstheme="majorBidi"/>
            <w:sz w:val="21"/>
            <w:szCs w:val="21"/>
            <w:lang w:val="es-ES"/>
          </w:rPr>
          <w:t>C11/11</w:t>
        </w:r>
      </w:hyperlink>
      <w:r w:rsidRPr="004458F8">
        <w:rPr>
          <w:rFonts w:asciiTheme="minorHAnsi" w:hAnsiTheme="minorHAnsi" w:cstheme="majorBidi"/>
          <w:sz w:val="21"/>
          <w:szCs w:val="21"/>
          <w:lang w:val="es-ES"/>
        </w:rPr>
        <w:tab/>
        <w:t>Especificaciones de pruebas de red y de protocolo</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
        </w:rPr>
        <w:t>•</w:t>
      </w:r>
      <w:r w:rsidRPr="004458F8">
        <w:rPr>
          <w:rFonts w:asciiTheme="minorHAnsi" w:hAnsiTheme="minorHAnsi"/>
          <w:sz w:val="21"/>
          <w:szCs w:val="21"/>
          <w:lang w:val="es-ES"/>
        </w:rPr>
        <w:tab/>
      </w:r>
      <w:hyperlink r:id="rId90" w:history="1">
        <w:r w:rsidRPr="004458F8">
          <w:rPr>
            <w:rStyle w:val="Hyperlink"/>
            <w:rFonts w:asciiTheme="minorHAnsi" w:hAnsiTheme="minorHAnsi" w:cstheme="majorBidi"/>
            <w:sz w:val="21"/>
            <w:szCs w:val="21"/>
            <w:lang w:val="es-ES"/>
          </w:rPr>
          <w:t>C12/11</w:t>
        </w:r>
      </w:hyperlink>
      <w:r w:rsidRPr="004458F8">
        <w:rPr>
          <w:rFonts w:asciiTheme="minorHAnsi" w:hAnsiTheme="minorHAnsi" w:cstheme="majorBidi"/>
          <w:sz w:val="21"/>
          <w:szCs w:val="21"/>
          <w:lang w:val="es-ES"/>
        </w:rPr>
        <w:tab/>
        <w:t>Especificaciones de pruebas para Internet de las cosas</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91" w:history="1">
        <w:r w:rsidRPr="004458F8">
          <w:rPr>
            <w:rStyle w:val="Hyperlink"/>
            <w:rFonts w:asciiTheme="minorHAnsi" w:hAnsiTheme="minorHAnsi" w:cstheme="majorBidi"/>
            <w:sz w:val="21"/>
            <w:szCs w:val="21"/>
            <w:lang w:val="es-ES"/>
          </w:rPr>
          <w:t>C13/11</w:t>
        </w:r>
      </w:hyperlink>
      <w:r w:rsidRPr="004458F8">
        <w:rPr>
          <w:rFonts w:asciiTheme="minorHAnsi" w:hAnsiTheme="minorHAnsi" w:cstheme="majorBidi"/>
          <w:sz w:val="21"/>
          <w:szCs w:val="21"/>
          <w:lang w:val="es-ES"/>
        </w:rPr>
        <w:tab/>
        <w:t>Parámetros de supervisión para protocolos y redes emergentes</w:t>
      </w:r>
      <w:r w:rsidRPr="004458F8">
        <w:rPr>
          <w:rFonts w:asciiTheme="minorHAnsi" w:hAnsiTheme="minorHAnsi"/>
          <w:sz w:val="21"/>
          <w:szCs w:val="21"/>
          <w:lang w:val="es-ES"/>
        </w:rPr>
        <w:t>;</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92" w:history="1">
        <w:r w:rsidRPr="004458F8">
          <w:rPr>
            <w:rStyle w:val="Hyperlink"/>
            <w:rFonts w:asciiTheme="minorHAnsi" w:hAnsiTheme="minorHAnsi" w:cstheme="majorBidi"/>
            <w:sz w:val="21"/>
            <w:szCs w:val="21"/>
            <w:lang w:val="es-ES"/>
          </w:rPr>
          <w:t>C14/11</w:t>
        </w:r>
      </w:hyperlink>
      <w:r w:rsidRPr="004458F8">
        <w:rPr>
          <w:rFonts w:asciiTheme="minorHAnsi" w:hAnsiTheme="minorHAnsi" w:cstheme="majorBidi"/>
          <w:sz w:val="21"/>
          <w:szCs w:val="21"/>
          <w:lang w:val="es-ES"/>
        </w:rPr>
        <w:tab/>
        <w:t>Pruebas de compatibilidad en la nube</w:t>
      </w:r>
      <w:r w:rsidRPr="004458F8">
        <w:rPr>
          <w:rFonts w:asciiTheme="minorHAnsi" w:hAnsiTheme="minorHAnsi"/>
          <w:sz w:val="21"/>
          <w:szCs w:val="21"/>
          <w:lang w:val="es-ES"/>
        </w:rPr>
        <w:t>; y</w:t>
      </w:r>
    </w:p>
    <w:p w:rsidR="00013F68" w:rsidRPr="004458F8" w:rsidRDefault="00013F68" w:rsidP="00892359">
      <w:pPr>
        <w:pStyle w:val="CEOIndent-bulletsblackdot"/>
        <w:tabs>
          <w:tab w:val="left" w:pos="426"/>
          <w:tab w:val="left" w:pos="1418"/>
        </w:tabs>
        <w:spacing w:before="120"/>
        <w:ind w:left="425" w:hanging="425"/>
        <w:rPr>
          <w:rFonts w:asciiTheme="minorHAnsi" w:hAnsiTheme="minorHAnsi" w:cstheme="majorBidi"/>
          <w:sz w:val="21"/>
          <w:szCs w:val="21"/>
          <w:lang w:val="es-ES"/>
        </w:rPr>
      </w:pPr>
      <w:r w:rsidRPr="004458F8">
        <w:rPr>
          <w:rFonts w:asciiTheme="minorHAnsi" w:hAnsiTheme="minorHAnsi"/>
          <w:sz w:val="21"/>
          <w:szCs w:val="21"/>
          <w:lang w:val="es-ES_tradnl"/>
        </w:rPr>
        <w:t>•</w:t>
      </w:r>
      <w:r w:rsidRPr="004458F8">
        <w:rPr>
          <w:rFonts w:asciiTheme="minorHAnsi" w:hAnsiTheme="minorHAnsi"/>
          <w:sz w:val="21"/>
          <w:szCs w:val="21"/>
          <w:lang w:val="es-ES_tradnl"/>
        </w:rPr>
        <w:tab/>
      </w:r>
      <w:hyperlink r:id="rId93" w:history="1">
        <w:r w:rsidRPr="004458F8">
          <w:rPr>
            <w:rStyle w:val="Hyperlink"/>
            <w:rFonts w:asciiTheme="minorHAnsi" w:hAnsiTheme="minorHAnsi" w:cstheme="majorBidi"/>
            <w:sz w:val="21"/>
            <w:szCs w:val="21"/>
            <w:lang w:val="es-ES"/>
          </w:rPr>
          <w:t>C15/11</w:t>
        </w:r>
      </w:hyperlink>
      <w:r w:rsidRPr="004458F8">
        <w:rPr>
          <w:rFonts w:asciiTheme="minorHAnsi" w:hAnsiTheme="minorHAnsi" w:cstheme="majorBidi"/>
          <w:sz w:val="21"/>
          <w:szCs w:val="21"/>
          <w:lang w:val="es-ES"/>
        </w:rPr>
        <w:tab/>
        <w:t>Pruebas como servicio (TAAS).</w:t>
      </w:r>
    </w:p>
    <w:p w:rsidR="00013F68" w:rsidRPr="00340022" w:rsidRDefault="00013F68" w:rsidP="000E6514">
      <w:pPr>
        <w:pStyle w:val="Heading4"/>
        <w:rPr>
          <w:lang w:val="es-ES_tradnl"/>
        </w:rPr>
      </w:pPr>
      <w:r w:rsidRPr="00340022">
        <w:rPr>
          <w:lang w:val="es-ES_tradnl"/>
        </w:rPr>
        <w:t>Recomendaciones</w:t>
      </w:r>
    </w:p>
    <w:p w:rsidR="00013F68" w:rsidRPr="00340022" w:rsidRDefault="00013F68" w:rsidP="000E6514">
      <w:pPr>
        <w:pStyle w:val="Headingb0"/>
        <w:rPr>
          <w:sz w:val="21"/>
          <w:szCs w:val="21"/>
          <w:lang w:val="es-ES_tradnl"/>
        </w:rPr>
      </w:pPr>
      <w:r w:rsidRPr="00340022">
        <w:rPr>
          <w:sz w:val="21"/>
          <w:szCs w:val="21"/>
          <w:lang w:val="es-ES_tradnl"/>
        </w:rPr>
        <w:t>Serie Q: Conmutación y señalización</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Q.9:</w:t>
      </w:r>
      <w:r w:rsidRPr="00340022">
        <w:rPr>
          <w:lang w:val="es-ES_tradnl"/>
        </w:rPr>
        <w:tab/>
        <w:t>Vocabulario de términos relativos a la conmutación y la señalización</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Q.13:</w:t>
      </w:r>
      <w:r w:rsidRPr="00340022">
        <w:rPr>
          <w:lang w:val="es-ES_tradnl"/>
        </w:rPr>
        <w:tab/>
        <w:t>Plan de encaminamiento telefónico internacional</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Q.500:</w:t>
      </w:r>
      <w:r w:rsidRPr="00340022">
        <w:rPr>
          <w:lang w:val="es-ES_tradnl"/>
        </w:rPr>
        <w:tab/>
        <w:t>Centrales digitales locales, de tránsito, combinadas e internacionales - Introducción y campo de aplicación</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Q.55:</w:t>
      </w:r>
      <w:r w:rsidRPr="00340022">
        <w:rPr>
          <w:lang w:val="es-ES_tradnl"/>
        </w:rPr>
        <w:tab/>
        <w:t>Señalización entre equipos de procesamiento de señales y centros de conmutación internacional</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Q.601:</w:t>
      </w:r>
      <w:r w:rsidRPr="00340022">
        <w:rPr>
          <w:lang w:val="es-ES_tradnl"/>
        </w:rPr>
        <w:tab/>
      </w:r>
      <w:proofErr w:type="spellStart"/>
      <w:r w:rsidRPr="00340022">
        <w:rPr>
          <w:lang w:val="es-ES_tradnl"/>
        </w:rPr>
        <w:t>Interfuncionamiento</w:t>
      </w:r>
      <w:proofErr w:type="spellEnd"/>
      <w:r w:rsidRPr="00340022">
        <w:rPr>
          <w:lang w:val="es-ES_tradnl"/>
        </w:rPr>
        <w:t xml:space="preserve"> de los sistemas de señalización - Consideraciones generales.</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Q.700:</w:t>
      </w:r>
      <w:r w:rsidRPr="00340022">
        <w:rPr>
          <w:lang w:val="es-ES_tradnl"/>
        </w:rPr>
        <w:tab/>
        <w:t>Introducción al sistema de señalización del CCITT</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Q.933:</w:t>
      </w:r>
      <w:r w:rsidRPr="00340022">
        <w:rPr>
          <w:lang w:val="es-ES_tradnl"/>
        </w:rPr>
        <w:tab/>
        <w:t>Sistema de señalización digital de abonado</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Q.1000:</w:t>
      </w:r>
      <w:r w:rsidRPr="00340022">
        <w:rPr>
          <w:lang w:val="es-ES_tradnl"/>
        </w:rPr>
        <w:tab/>
        <w:t>Estructura de las Recomendaciones de la serie Q.1000 sobre las redes móviles terrestres públicas</w:t>
      </w:r>
    </w:p>
    <w:p w:rsidR="00013F68" w:rsidRPr="000E6514" w:rsidRDefault="00013F68" w:rsidP="000E6514">
      <w:pPr>
        <w:pStyle w:val="Enumlevel1"/>
        <w:tabs>
          <w:tab w:val="left" w:pos="567"/>
        </w:tabs>
        <w:ind w:left="1843" w:hanging="1843"/>
        <w:rPr>
          <w:lang w:val="es-ES_tradnl"/>
        </w:rPr>
      </w:pPr>
      <w:r w:rsidRPr="000E6514">
        <w:rPr>
          <w:lang w:val="es-ES_tradnl"/>
        </w:rPr>
        <w:t>•</w:t>
      </w:r>
      <w:r w:rsidRPr="000E6514">
        <w:rPr>
          <w:lang w:val="es-ES_tradnl"/>
        </w:rPr>
        <w:tab/>
        <w:t>Serie Q.1200:</w:t>
      </w:r>
      <w:r w:rsidR="000E6514" w:rsidRPr="000E6514">
        <w:rPr>
          <w:lang w:val="es-ES_tradnl"/>
        </w:rPr>
        <w:t xml:space="preserve"> </w:t>
      </w:r>
      <w:r w:rsidR="000E6514" w:rsidRPr="000E6514">
        <w:rPr>
          <w:lang w:val="es-ES_tradnl"/>
        </w:rPr>
        <w:tab/>
      </w:r>
      <w:r w:rsidRPr="000E6514">
        <w:rPr>
          <w:lang w:val="es-ES_tradnl"/>
        </w:rPr>
        <w:t>Red inteligente</w:t>
      </w:r>
    </w:p>
    <w:p w:rsidR="00013F68" w:rsidRPr="000E6514" w:rsidRDefault="00013F68" w:rsidP="000E6514">
      <w:pPr>
        <w:pStyle w:val="Enumlevel1"/>
        <w:tabs>
          <w:tab w:val="left" w:pos="567"/>
        </w:tabs>
        <w:ind w:left="1843" w:hanging="1843"/>
        <w:rPr>
          <w:lang w:val="es-ES_tradnl"/>
        </w:rPr>
      </w:pPr>
      <w:r w:rsidRPr="000E6514">
        <w:rPr>
          <w:lang w:val="es-ES_tradnl"/>
        </w:rPr>
        <w:t>•</w:t>
      </w:r>
      <w:r w:rsidRPr="000E6514">
        <w:rPr>
          <w:lang w:val="es-ES_tradnl"/>
        </w:rPr>
        <w:tab/>
        <w:t xml:space="preserve">Serie Q.1900-: </w:t>
      </w:r>
      <w:r w:rsidR="000E6514">
        <w:rPr>
          <w:lang w:val="es-ES_tradnl"/>
        </w:rPr>
        <w:tab/>
      </w:r>
      <w:r w:rsidRPr="000E6514">
        <w:rPr>
          <w:lang w:val="es-ES_tradnl"/>
        </w:rPr>
        <w:t>Protocolo de control de llamada independiente del portador</w:t>
      </w:r>
    </w:p>
    <w:p w:rsidR="00013F68" w:rsidRPr="00340022" w:rsidRDefault="00013F68" w:rsidP="000E6514">
      <w:pPr>
        <w:pStyle w:val="Enumlevel1"/>
        <w:tabs>
          <w:tab w:val="left" w:pos="567"/>
        </w:tabs>
        <w:ind w:left="1843" w:hanging="1843"/>
        <w:rPr>
          <w:lang w:val="es-ES_tradnl"/>
        </w:rPr>
      </w:pPr>
      <w:r w:rsidRPr="000E6514">
        <w:rPr>
          <w:lang w:val="es-ES_tradnl"/>
        </w:rPr>
        <w:t>•</w:t>
      </w:r>
      <w:r w:rsidRPr="000E6514">
        <w:rPr>
          <w:lang w:val="es-ES_tradnl"/>
        </w:rPr>
        <w:tab/>
        <w:t>Q.2931:</w:t>
      </w:r>
      <w:r w:rsidRPr="000E6514">
        <w:rPr>
          <w:lang w:val="es-ES_tradnl"/>
        </w:rPr>
        <w:tab/>
        <w:t>Sistema de señalización digital de abonad</w:t>
      </w:r>
      <w:r w:rsidRPr="00340022">
        <w:rPr>
          <w:lang w:val="es-ES_tradnl"/>
        </w:rPr>
        <w:t>o</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Q.3900:</w:t>
      </w:r>
      <w:r w:rsidRPr="00340022">
        <w:rPr>
          <w:lang w:val="es-ES_tradnl"/>
        </w:rPr>
        <w:tab/>
        <w:t>Métodos de prueba y arquitectura de red modelo para realizar pruebas de medios técnicos NGN en redes de telecomunicaciones públicas</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Q.3901:</w:t>
      </w:r>
      <w:r w:rsidRPr="00340022">
        <w:rPr>
          <w:lang w:val="es-ES_tradnl"/>
        </w:rPr>
        <w:tab/>
        <w:t>Topología de prueba para las redes y los servicios basados en los medios técnicos de la red de próxima generación</w:t>
      </w:r>
    </w:p>
    <w:p w:rsidR="00013F68" w:rsidRPr="00340022" w:rsidRDefault="00013F68" w:rsidP="000E6514">
      <w:pPr>
        <w:pStyle w:val="Enumlevel1"/>
        <w:tabs>
          <w:tab w:val="left" w:pos="567"/>
        </w:tabs>
        <w:ind w:left="1843" w:hanging="1843"/>
        <w:rPr>
          <w:lang w:val="es-ES_tradnl"/>
        </w:rPr>
      </w:pPr>
      <w:r w:rsidRPr="00340022">
        <w:rPr>
          <w:lang w:val="es-ES_tradnl"/>
        </w:rPr>
        <w:t>•</w:t>
      </w:r>
      <w:r w:rsidRPr="00340022">
        <w:rPr>
          <w:lang w:val="es-ES_tradnl"/>
        </w:rPr>
        <w:tab/>
        <w:t>Q.3903:</w:t>
      </w:r>
      <w:r w:rsidRPr="00340022">
        <w:rPr>
          <w:lang w:val="es-ES_tradnl"/>
        </w:rPr>
        <w:tab/>
        <w:t>Presentación formalizada de los resultados de pruebas</w:t>
      </w:r>
    </w:p>
    <w:p w:rsidR="00013F68" w:rsidRPr="00340022" w:rsidRDefault="00013F68" w:rsidP="00C44F30">
      <w:pPr>
        <w:pStyle w:val="Heading4"/>
        <w:rPr>
          <w:lang w:val="es-ES_tradnl"/>
        </w:rPr>
      </w:pPr>
      <w:r w:rsidRPr="00340022">
        <w:rPr>
          <w:lang w:val="es-ES_tradnl"/>
        </w:rPr>
        <w:t>Documentos técnicos</w:t>
      </w:r>
    </w:p>
    <w:p w:rsidR="00C425D7" w:rsidRPr="00340022" w:rsidRDefault="00C425D7" w:rsidP="00C425D7">
      <w:pPr>
        <w:pStyle w:val="Enumlevel1"/>
        <w:rPr>
          <w:bCs/>
          <w:lang w:val="es-ES_tradnl"/>
        </w:rPr>
      </w:pPr>
      <w:r>
        <w:sym w:font="Symbol" w:char="F0B7"/>
      </w:r>
      <w:r w:rsidRPr="00340022">
        <w:rPr>
          <w:lang w:val="es-ES_tradnl"/>
        </w:rPr>
        <w:tab/>
      </w:r>
      <w:hyperlink r:id="rId94" w:history="1">
        <w:proofErr w:type="spellStart"/>
        <w:r w:rsidRPr="00340022">
          <w:rPr>
            <w:rStyle w:val="Hyperlink"/>
            <w:bCs/>
            <w:lang w:val="es-ES_tradnl"/>
          </w:rPr>
          <w:t>Impacts</w:t>
        </w:r>
        <w:proofErr w:type="spellEnd"/>
        <w:r w:rsidRPr="00340022">
          <w:rPr>
            <w:rStyle w:val="Hyperlink"/>
            <w:bCs/>
            <w:lang w:val="es-ES_tradnl"/>
          </w:rPr>
          <w:t xml:space="preserve"> of M2M </w:t>
        </w:r>
        <w:proofErr w:type="spellStart"/>
        <w:r w:rsidRPr="00340022">
          <w:rPr>
            <w:rStyle w:val="Hyperlink"/>
            <w:bCs/>
            <w:lang w:val="es-ES_tradnl"/>
          </w:rPr>
          <w:t>communications</w:t>
        </w:r>
        <w:proofErr w:type="spellEnd"/>
        <w:r w:rsidRPr="00340022">
          <w:rPr>
            <w:rStyle w:val="Hyperlink"/>
            <w:bCs/>
            <w:lang w:val="es-ES_tradnl"/>
          </w:rPr>
          <w:t xml:space="preserve"> and non-M2M </w:t>
        </w:r>
        <w:proofErr w:type="spellStart"/>
        <w:r w:rsidRPr="00340022">
          <w:rPr>
            <w:rStyle w:val="Hyperlink"/>
            <w:bCs/>
            <w:lang w:val="es-ES_tradnl"/>
          </w:rPr>
          <w:t>mobile</w:t>
        </w:r>
        <w:proofErr w:type="spellEnd"/>
        <w:r w:rsidRPr="00340022">
          <w:rPr>
            <w:rStyle w:val="Hyperlink"/>
            <w:bCs/>
            <w:lang w:val="es-ES_tradnl"/>
          </w:rPr>
          <w:t xml:space="preserve"> data </w:t>
        </w:r>
        <w:proofErr w:type="spellStart"/>
        <w:r w:rsidRPr="00340022">
          <w:rPr>
            <w:rStyle w:val="Hyperlink"/>
            <w:bCs/>
            <w:lang w:val="es-ES_tradnl"/>
          </w:rPr>
          <w:t>applications</w:t>
        </w:r>
        <w:proofErr w:type="spellEnd"/>
        <w:r w:rsidRPr="00340022">
          <w:rPr>
            <w:rStyle w:val="Hyperlink"/>
            <w:bCs/>
            <w:lang w:val="es-ES_tradnl"/>
          </w:rPr>
          <w:t xml:space="preserve"> </w:t>
        </w:r>
        <w:proofErr w:type="spellStart"/>
        <w:r w:rsidRPr="00340022">
          <w:rPr>
            <w:rStyle w:val="Hyperlink"/>
            <w:bCs/>
            <w:lang w:val="es-ES_tradnl"/>
          </w:rPr>
          <w:t>on</w:t>
        </w:r>
        <w:proofErr w:type="spellEnd"/>
        <w:r w:rsidRPr="00340022">
          <w:rPr>
            <w:rStyle w:val="Hyperlink"/>
            <w:bCs/>
            <w:lang w:val="es-ES_tradnl"/>
          </w:rPr>
          <w:t xml:space="preserve"> </w:t>
        </w:r>
        <w:proofErr w:type="spellStart"/>
        <w:r w:rsidRPr="00340022">
          <w:rPr>
            <w:rStyle w:val="Hyperlink"/>
            <w:bCs/>
            <w:lang w:val="es-ES_tradnl"/>
          </w:rPr>
          <w:t>mobile</w:t>
        </w:r>
        <w:proofErr w:type="spellEnd"/>
        <w:r w:rsidRPr="00340022">
          <w:rPr>
            <w:rStyle w:val="Hyperlink"/>
            <w:bCs/>
            <w:lang w:val="es-ES_tradnl"/>
          </w:rPr>
          <w:t xml:space="preserve"> </w:t>
        </w:r>
        <w:proofErr w:type="spellStart"/>
        <w:r w:rsidRPr="00340022">
          <w:rPr>
            <w:rStyle w:val="Hyperlink"/>
            <w:bCs/>
            <w:lang w:val="es-ES_tradnl"/>
          </w:rPr>
          <w:t>networks</w:t>
        </w:r>
        <w:proofErr w:type="spellEnd"/>
      </w:hyperlink>
    </w:p>
    <w:p w:rsidR="00013F68" w:rsidRPr="00340022" w:rsidRDefault="00013F68" w:rsidP="00C425D7">
      <w:pPr>
        <w:pStyle w:val="Heading4"/>
        <w:rPr>
          <w:lang w:val="es-ES_tradnl"/>
        </w:rPr>
      </w:pPr>
      <w:r w:rsidRPr="00340022">
        <w:rPr>
          <w:lang w:val="es-ES_tradnl"/>
        </w:rPr>
        <w:t>Grupos relacionados</w:t>
      </w:r>
    </w:p>
    <w:p w:rsidR="007410D7" w:rsidRPr="007410D7" w:rsidRDefault="007410D7" w:rsidP="00892359">
      <w:pPr>
        <w:pStyle w:val="Enumlevel1"/>
        <w:rPr>
          <w:lang w:val="es-ES_tradnl"/>
        </w:rPr>
      </w:pPr>
      <w:r>
        <w:sym w:font="Symbol" w:char="F0B7"/>
      </w:r>
      <w:r w:rsidRPr="007410D7">
        <w:rPr>
          <w:lang w:val="es-ES_tradnl"/>
        </w:rPr>
        <w:tab/>
      </w:r>
      <w:hyperlink r:id="rId95" w:history="1">
        <w:proofErr w:type="spellStart"/>
        <w:r w:rsidRPr="007410D7">
          <w:rPr>
            <w:rStyle w:val="Hyperlink"/>
            <w:lang w:val="es-ES_tradnl"/>
          </w:rPr>
          <w:t>Focus</w:t>
        </w:r>
        <w:proofErr w:type="spellEnd"/>
        <w:r w:rsidRPr="007410D7">
          <w:rPr>
            <w:rStyle w:val="Hyperlink"/>
            <w:lang w:val="es-ES_tradnl"/>
          </w:rPr>
          <w:t xml:space="preserve"> Grupo Temático sobre la capa de servicio de m</w:t>
        </w:r>
        <w:r>
          <w:rPr>
            <w:rStyle w:val="Hyperlink"/>
            <w:lang w:val="es-ES_tradnl"/>
          </w:rPr>
          <w:t>áquina a máquina</w:t>
        </w:r>
      </w:hyperlink>
      <w:r w:rsidRPr="007410D7">
        <w:rPr>
          <w:lang w:val="es-ES_tradnl"/>
        </w:rPr>
        <w:t xml:space="preserve"> (FG M2M)</w:t>
      </w:r>
    </w:p>
    <w:p w:rsidR="00013F68" w:rsidRPr="00A96787" w:rsidRDefault="00A31E61" w:rsidP="004D2F38">
      <w:pPr>
        <w:numPr>
          <w:ilvl w:val="0"/>
          <w:numId w:val="22"/>
        </w:numPr>
        <w:ind w:left="567" w:hanging="567"/>
        <w:jc w:val="left"/>
        <w:rPr>
          <w:lang w:val="es-ES"/>
        </w:rPr>
      </w:pPr>
      <w:hyperlink r:id="rId96" w:history="1">
        <w:r w:rsidR="00013F68" w:rsidRPr="007410D7">
          <w:rPr>
            <w:rStyle w:val="Hyperlink"/>
            <w:lang w:val="es-ES"/>
          </w:rPr>
          <w:t>Iniciativa de normalización mundial – Internet de las cosas</w:t>
        </w:r>
      </w:hyperlink>
      <w:r w:rsidR="00F76C95">
        <w:rPr>
          <w:lang w:val="es-ES"/>
        </w:rPr>
        <w:t xml:space="preserve"> (</w:t>
      </w:r>
      <w:proofErr w:type="spellStart"/>
      <w:r w:rsidR="00F76C95">
        <w:rPr>
          <w:lang w:val="es-ES"/>
        </w:rPr>
        <w:t>IoT</w:t>
      </w:r>
      <w:proofErr w:type="spellEnd"/>
      <w:r w:rsidR="00F76C95">
        <w:rPr>
          <w:lang w:val="es-ES"/>
        </w:rPr>
        <w:t>-GSI)</w:t>
      </w:r>
    </w:p>
    <w:p w:rsidR="00013F68" w:rsidRPr="00A96787" w:rsidRDefault="00A31E61" w:rsidP="004D2F38">
      <w:pPr>
        <w:numPr>
          <w:ilvl w:val="0"/>
          <w:numId w:val="22"/>
        </w:numPr>
        <w:ind w:left="567" w:hanging="567"/>
        <w:jc w:val="left"/>
        <w:rPr>
          <w:lang w:val="es-ES"/>
        </w:rPr>
      </w:pPr>
      <w:hyperlink r:id="rId97" w:history="1">
        <w:r w:rsidR="00013F68" w:rsidRPr="007410D7">
          <w:rPr>
            <w:rStyle w:val="Hyperlink"/>
            <w:lang w:val="es-ES"/>
          </w:rPr>
          <w:t>Iniciativa Mundial de Normalización sobre TVIP (IPTV-GSI)</w:t>
        </w:r>
      </w:hyperlink>
    </w:p>
    <w:p w:rsidR="00013F68" w:rsidRPr="00A96787" w:rsidRDefault="00A31E61" w:rsidP="004D2F38">
      <w:pPr>
        <w:numPr>
          <w:ilvl w:val="0"/>
          <w:numId w:val="22"/>
        </w:numPr>
        <w:ind w:left="567" w:hanging="567"/>
        <w:jc w:val="left"/>
        <w:rPr>
          <w:lang w:val="es-ES"/>
        </w:rPr>
      </w:pPr>
      <w:hyperlink r:id="rId98" w:history="1">
        <w:r w:rsidR="00013F68" w:rsidRPr="007410D7">
          <w:rPr>
            <w:rStyle w:val="Hyperlink"/>
            <w:lang w:val="es-ES"/>
          </w:rPr>
          <w:t>Iniciativa Mundial de Normalización sobre NGN (NGN-GSI)</w:t>
        </w:r>
      </w:hyperlink>
    </w:p>
    <w:p w:rsidR="00013F68" w:rsidRPr="00A96787" w:rsidRDefault="00A31E61" w:rsidP="004D2F38">
      <w:pPr>
        <w:numPr>
          <w:ilvl w:val="0"/>
          <w:numId w:val="22"/>
        </w:numPr>
        <w:ind w:left="567" w:hanging="567"/>
        <w:jc w:val="left"/>
        <w:rPr>
          <w:lang w:val="es-ES"/>
        </w:rPr>
      </w:pPr>
      <w:hyperlink r:id="rId99" w:history="1">
        <w:r w:rsidR="00013F68" w:rsidRPr="007410D7">
          <w:rPr>
            <w:rStyle w:val="Hyperlink"/>
            <w:lang w:val="es-ES"/>
          </w:rPr>
          <w:t>Actividad de coordinación conjunta sobre Internet de las cosas</w:t>
        </w:r>
      </w:hyperlink>
      <w:r w:rsidR="00013F68" w:rsidRPr="00A96787">
        <w:rPr>
          <w:lang w:val="es-ES"/>
        </w:rPr>
        <w:t xml:space="preserve"> </w:t>
      </w:r>
      <w:r w:rsidR="00013F68" w:rsidRPr="00A96787">
        <w:rPr>
          <w:rFonts w:eastAsia="Times New Roman"/>
          <w:szCs w:val="19"/>
          <w:lang w:val="es-ES" w:eastAsia="en-US"/>
        </w:rPr>
        <w:t>(JCA-</w:t>
      </w:r>
      <w:proofErr w:type="spellStart"/>
      <w:r w:rsidR="00013F68" w:rsidRPr="00A96787">
        <w:rPr>
          <w:rFonts w:eastAsia="Times New Roman"/>
          <w:szCs w:val="19"/>
          <w:lang w:val="es-ES" w:eastAsia="en-US"/>
        </w:rPr>
        <w:t>IoT</w:t>
      </w:r>
      <w:proofErr w:type="spellEnd"/>
      <w:r w:rsidR="00013F68" w:rsidRPr="00A96787">
        <w:rPr>
          <w:rFonts w:eastAsia="Times New Roman"/>
          <w:szCs w:val="19"/>
          <w:lang w:val="es-ES" w:eastAsia="en-US"/>
        </w:rPr>
        <w:t>)</w:t>
      </w:r>
    </w:p>
    <w:p w:rsidR="00013F68" w:rsidRPr="00A96787" w:rsidRDefault="00A31E61" w:rsidP="004D2F38">
      <w:pPr>
        <w:numPr>
          <w:ilvl w:val="0"/>
          <w:numId w:val="22"/>
        </w:numPr>
        <w:ind w:left="567" w:hanging="567"/>
        <w:jc w:val="left"/>
        <w:rPr>
          <w:lang w:val="es-ES"/>
        </w:rPr>
      </w:pPr>
      <w:hyperlink r:id="rId100" w:history="1">
        <w:r w:rsidR="00013F68" w:rsidRPr="004F3D24">
          <w:rPr>
            <w:rStyle w:val="Hyperlink"/>
            <w:lang w:val="es-ES"/>
          </w:rPr>
          <w:t xml:space="preserve">Actividad de coordinación conjunta sobre NGN </w:t>
        </w:r>
        <w:r w:rsidR="00013F68" w:rsidRPr="004F3D24">
          <w:rPr>
            <w:rStyle w:val="Hyperlink"/>
            <w:rFonts w:eastAsia="Times New Roman"/>
            <w:szCs w:val="19"/>
            <w:lang w:val="es-ES" w:eastAsia="en-US"/>
          </w:rPr>
          <w:t>(JCA-NGN)</w:t>
        </w:r>
      </w:hyperlink>
    </w:p>
    <w:p w:rsidR="00013F68" w:rsidRPr="00A96787" w:rsidRDefault="00A31E61" w:rsidP="004D2F38">
      <w:pPr>
        <w:numPr>
          <w:ilvl w:val="0"/>
          <w:numId w:val="22"/>
        </w:numPr>
        <w:ind w:left="567" w:hanging="567"/>
        <w:jc w:val="left"/>
        <w:rPr>
          <w:lang w:val="es-ES"/>
        </w:rPr>
      </w:pPr>
      <w:hyperlink r:id="rId101" w:history="1">
        <w:r w:rsidR="00013F68" w:rsidRPr="00F76C95">
          <w:rPr>
            <w:rStyle w:val="Hyperlink"/>
            <w:rFonts w:cs="Calibri"/>
            <w:szCs w:val="21"/>
            <w:lang w:val="es-ES_tradnl" w:eastAsia="en-GB"/>
          </w:rPr>
          <w:t>Actividad de coordinación</w:t>
        </w:r>
        <w:r w:rsidR="00F76C95" w:rsidRPr="00F76C95">
          <w:rPr>
            <w:rStyle w:val="Hyperlink"/>
            <w:rFonts w:cs="Calibri"/>
            <w:szCs w:val="21"/>
            <w:lang w:val="es-ES_tradnl" w:eastAsia="en-GB"/>
          </w:rPr>
          <w:t xml:space="preserve"> conjunta sobre TVIP</w:t>
        </w:r>
      </w:hyperlink>
      <w:r w:rsidR="00F76C95">
        <w:rPr>
          <w:lang w:val="es-ES"/>
        </w:rPr>
        <w:t xml:space="preserve"> (JCA-IPTV)</w:t>
      </w:r>
    </w:p>
    <w:p w:rsidR="00013F68" w:rsidRPr="00A96787" w:rsidRDefault="00A31E61" w:rsidP="004D2F38">
      <w:pPr>
        <w:numPr>
          <w:ilvl w:val="0"/>
          <w:numId w:val="22"/>
        </w:numPr>
        <w:ind w:left="567" w:hanging="567"/>
        <w:jc w:val="left"/>
        <w:rPr>
          <w:lang w:val="es-ES"/>
        </w:rPr>
      </w:pPr>
      <w:hyperlink r:id="rId102" w:history="1">
        <w:r w:rsidR="00013F68" w:rsidRPr="00F76C95">
          <w:rPr>
            <w:rStyle w:val="Hyperlink"/>
            <w:rFonts w:cs="Calibri"/>
            <w:szCs w:val="21"/>
            <w:lang w:val="es-ES_tradnl" w:eastAsia="en-GB"/>
          </w:rPr>
          <w:t>Actividad conjunta de coordinación sobre realización de pruebas de conformidad e interoperabilidad</w:t>
        </w:r>
      </w:hyperlink>
      <w:r w:rsidR="00013F68" w:rsidRPr="00A96787">
        <w:rPr>
          <w:rStyle w:val="hps"/>
          <w:lang w:val="es-ES"/>
        </w:rPr>
        <w:t xml:space="preserve"> (</w:t>
      </w:r>
      <w:r w:rsidR="00013F68" w:rsidRPr="00A96787">
        <w:rPr>
          <w:lang w:val="es-ES"/>
        </w:rPr>
        <w:t>JCA-CIT).</w:t>
      </w:r>
    </w:p>
    <w:p w:rsidR="00013F68" w:rsidRPr="00A96787" w:rsidRDefault="00A31E61" w:rsidP="004D2F38">
      <w:pPr>
        <w:numPr>
          <w:ilvl w:val="0"/>
          <w:numId w:val="22"/>
        </w:numPr>
        <w:ind w:left="567" w:hanging="567"/>
        <w:jc w:val="left"/>
        <w:rPr>
          <w:lang w:val="es-ES"/>
        </w:rPr>
      </w:pPr>
      <w:hyperlink r:id="rId103" w:history="1">
        <w:r w:rsidR="00013F68" w:rsidRPr="00F76C95">
          <w:rPr>
            <w:rStyle w:val="Hyperlink"/>
            <w:rFonts w:cs="Calibri"/>
            <w:szCs w:val="21"/>
            <w:lang w:val="es-ES_tradnl" w:eastAsia="en-GB"/>
          </w:rPr>
          <w:t>Actividad conjunta de coordinación sobre computación en nube</w:t>
        </w:r>
      </w:hyperlink>
      <w:r w:rsidR="00013F68" w:rsidRPr="00A96787">
        <w:rPr>
          <w:lang w:val="es-ES"/>
        </w:rPr>
        <w:t xml:space="preserve"> </w:t>
      </w:r>
      <w:r w:rsidR="00013F68" w:rsidRPr="00A96787">
        <w:rPr>
          <w:rFonts w:eastAsia="Times New Roman"/>
          <w:szCs w:val="19"/>
          <w:lang w:val="es-ES" w:eastAsia="en-US"/>
        </w:rPr>
        <w:t>(JCA-Cloud).</w:t>
      </w:r>
      <w:r w:rsidR="00DC5B8C">
        <w:rPr>
          <w:rFonts w:eastAsia="Times New Roman"/>
          <w:szCs w:val="19"/>
          <w:lang w:val="es-ES" w:eastAsia="en-US"/>
        </w:rPr>
        <w:t xml:space="preserve"> </w:t>
      </w:r>
    </w:p>
    <w:p w:rsidR="00013F68" w:rsidRPr="00A96787" w:rsidRDefault="00A31E61" w:rsidP="004D2F38">
      <w:pPr>
        <w:numPr>
          <w:ilvl w:val="0"/>
          <w:numId w:val="22"/>
        </w:numPr>
        <w:ind w:left="567" w:hanging="567"/>
        <w:jc w:val="left"/>
        <w:rPr>
          <w:lang w:val="es-ES"/>
        </w:rPr>
      </w:pPr>
      <w:hyperlink r:id="rId104" w:history="1">
        <w:r w:rsidR="00013F68" w:rsidRPr="00F76C95">
          <w:rPr>
            <w:rStyle w:val="Hyperlink"/>
            <w:rFonts w:cs="Calibri"/>
            <w:szCs w:val="21"/>
            <w:lang w:val="es-ES_tradnl" w:eastAsia="en-GB"/>
          </w:rPr>
          <w:t>Actividad conjunta de coordinación sobre gestión de identidad</w:t>
        </w:r>
      </w:hyperlink>
      <w:r w:rsidR="00013F68" w:rsidRPr="00A96787">
        <w:rPr>
          <w:lang w:val="es-ES"/>
        </w:rPr>
        <w:t xml:space="preserve"> (JCA-</w:t>
      </w:r>
      <w:proofErr w:type="spellStart"/>
      <w:r w:rsidR="00013F68" w:rsidRPr="00A96787">
        <w:rPr>
          <w:lang w:val="es-ES"/>
        </w:rPr>
        <w:t>IdM</w:t>
      </w:r>
      <w:proofErr w:type="spellEnd"/>
      <w:r w:rsidR="00013F68" w:rsidRPr="00A96787">
        <w:rPr>
          <w:lang w:val="es-ES"/>
        </w:rPr>
        <w:t>).</w:t>
      </w:r>
    </w:p>
    <w:p w:rsidR="00013F68" w:rsidRPr="000E2AC9" w:rsidRDefault="00A31E61" w:rsidP="004D2F38">
      <w:pPr>
        <w:numPr>
          <w:ilvl w:val="0"/>
          <w:numId w:val="22"/>
        </w:numPr>
        <w:ind w:left="567" w:hanging="567"/>
        <w:jc w:val="left"/>
        <w:rPr>
          <w:rFonts w:asciiTheme="minorHAnsi" w:eastAsia="Times New Roman" w:hAnsiTheme="minorHAnsi"/>
          <w:bCs/>
          <w:szCs w:val="19"/>
          <w:lang w:val="es-ES" w:eastAsia="en-US"/>
        </w:rPr>
      </w:pPr>
      <w:hyperlink r:id="rId105" w:history="1">
        <w:r w:rsidR="00013F68" w:rsidRPr="000E2AC9">
          <w:rPr>
            <w:rStyle w:val="Hyperlink"/>
            <w:rFonts w:cs="Calibri"/>
            <w:szCs w:val="21"/>
            <w:lang w:val="es-ES_tradnl" w:eastAsia="en-GB"/>
          </w:rPr>
          <w:t>Actividad conjunta de coordinación sobre redes domésticas</w:t>
        </w:r>
      </w:hyperlink>
      <w:r w:rsidR="00013F68" w:rsidRPr="000E2AC9">
        <w:rPr>
          <w:rFonts w:asciiTheme="minorHAnsi" w:hAnsiTheme="minorHAnsi"/>
          <w:lang w:val="es-ES"/>
        </w:rPr>
        <w:t xml:space="preserve"> </w:t>
      </w:r>
      <w:r w:rsidR="00013F68" w:rsidRPr="000E2AC9">
        <w:rPr>
          <w:rFonts w:asciiTheme="minorHAnsi" w:eastAsia="Times New Roman" w:hAnsiTheme="minorHAnsi"/>
          <w:szCs w:val="19"/>
          <w:lang w:val="es-ES" w:eastAsia="en-US"/>
        </w:rPr>
        <w:t>(JCA-HN).</w:t>
      </w:r>
    </w:p>
    <w:p w:rsidR="00013F68" w:rsidRPr="000E2AC9" w:rsidRDefault="00013F68" w:rsidP="004D2F38">
      <w:pPr>
        <w:numPr>
          <w:ilvl w:val="0"/>
          <w:numId w:val="22"/>
        </w:numPr>
        <w:ind w:left="567" w:hanging="567"/>
        <w:jc w:val="left"/>
        <w:rPr>
          <w:rFonts w:asciiTheme="minorHAnsi" w:eastAsia="Times New Roman" w:hAnsiTheme="minorHAnsi"/>
          <w:bCs/>
          <w:szCs w:val="19"/>
          <w:lang w:val="es-ES" w:eastAsia="en-US"/>
        </w:rPr>
      </w:pPr>
      <w:r w:rsidRPr="000E2AC9">
        <w:rPr>
          <w:rFonts w:asciiTheme="minorHAnsi" w:hAnsiTheme="minorHAnsi"/>
          <w:lang w:val="es-ES"/>
        </w:rPr>
        <w:t>Actividad conjunta de coordinación sobre redes definidas por software (JCA-SDN)</w:t>
      </w:r>
    </w:p>
    <w:p w:rsidR="00013F68" w:rsidRPr="008577C2" w:rsidRDefault="00013F68" w:rsidP="008577C2">
      <w:pPr>
        <w:pStyle w:val="Heading4"/>
        <w:rPr>
          <w:lang w:val="es-ES_tradnl"/>
        </w:rPr>
      </w:pPr>
      <w:r w:rsidRPr="008577C2">
        <w:rPr>
          <w:lang w:val="es-ES_tradnl"/>
        </w:rPr>
        <w:t>Manuales</w:t>
      </w:r>
    </w:p>
    <w:p w:rsidR="00013F68" w:rsidRPr="00901848" w:rsidRDefault="00013F68" w:rsidP="004D2F38">
      <w:pPr>
        <w:pStyle w:val="Enumlevel1"/>
        <w:numPr>
          <w:ilvl w:val="0"/>
          <w:numId w:val="34"/>
        </w:numPr>
        <w:ind w:left="567" w:hanging="567"/>
        <w:rPr>
          <w:rFonts w:eastAsia="Times New Roman" w:cs="Times New Roman"/>
          <w:bCs/>
          <w:lang w:val="es-ES_tradnl" w:eastAsia="en-US"/>
        </w:rPr>
      </w:pPr>
      <w:r w:rsidRPr="00901848">
        <w:rPr>
          <w:lang w:val="es-ES_tradnl"/>
        </w:rPr>
        <w:t>Instalación de redes por paquetes</w:t>
      </w:r>
      <w:r w:rsidRPr="00901848">
        <w:rPr>
          <w:rFonts w:eastAsia="Times New Roman" w:cs="Times New Roman"/>
          <w:lang w:val="es-ES_tradnl" w:eastAsia="en-US"/>
        </w:rPr>
        <w:t>.</w:t>
      </w:r>
    </w:p>
    <w:p w:rsidR="00013F68" w:rsidRPr="000E2AC9" w:rsidRDefault="00013F68" w:rsidP="004D2F38">
      <w:pPr>
        <w:pStyle w:val="Enumlevel1"/>
        <w:numPr>
          <w:ilvl w:val="0"/>
          <w:numId w:val="34"/>
        </w:numPr>
        <w:ind w:left="567" w:hanging="567"/>
        <w:rPr>
          <w:rFonts w:eastAsia="Times New Roman" w:cs="Times New Roman"/>
          <w:bCs/>
          <w:lang w:eastAsia="en-US"/>
        </w:rPr>
      </w:pPr>
      <w:r w:rsidRPr="000E2AC9">
        <w:t xml:space="preserve">Manual </w:t>
      </w:r>
      <w:proofErr w:type="spellStart"/>
      <w:r w:rsidRPr="000E2AC9">
        <w:t>sobre</w:t>
      </w:r>
      <w:proofErr w:type="spellEnd"/>
      <w:r w:rsidRPr="000E2AC9">
        <w:t xml:space="preserve"> </w:t>
      </w:r>
      <w:proofErr w:type="spellStart"/>
      <w:r w:rsidRPr="000E2AC9">
        <w:t>pruebas</w:t>
      </w:r>
      <w:proofErr w:type="spellEnd"/>
      <w:r w:rsidRPr="000E2AC9">
        <w:t>.</w:t>
      </w:r>
    </w:p>
    <w:p w:rsidR="00013F68" w:rsidRPr="00901848" w:rsidRDefault="00013F68" w:rsidP="004D2F38">
      <w:pPr>
        <w:pStyle w:val="Enumlevel1"/>
        <w:numPr>
          <w:ilvl w:val="0"/>
          <w:numId w:val="34"/>
        </w:numPr>
        <w:ind w:left="567" w:hanging="567"/>
        <w:rPr>
          <w:rFonts w:eastAsia="Times New Roman" w:cs="Times New Roman"/>
          <w:bCs/>
          <w:lang w:val="es-ES_tradnl" w:eastAsia="en-US"/>
        </w:rPr>
      </w:pPr>
      <w:r w:rsidRPr="00901848">
        <w:rPr>
          <w:lang w:val="es-ES_tradnl"/>
        </w:rPr>
        <w:t>Directrices para preparar y realizar ensayos prácticos de equipos digitales de conmutación.</w:t>
      </w:r>
    </w:p>
    <w:p w:rsidR="00013F68" w:rsidRPr="00901848" w:rsidRDefault="00013F68" w:rsidP="004D2F38">
      <w:pPr>
        <w:pStyle w:val="Enumlevel1"/>
        <w:numPr>
          <w:ilvl w:val="0"/>
          <w:numId w:val="34"/>
        </w:numPr>
        <w:ind w:left="567" w:hanging="567"/>
        <w:rPr>
          <w:rFonts w:eastAsia="Times New Roman" w:cs="Times New Roman"/>
          <w:bCs/>
          <w:lang w:val="es-ES_tradnl" w:eastAsia="en-US"/>
        </w:rPr>
      </w:pPr>
      <w:r w:rsidRPr="00901848">
        <w:rPr>
          <w:lang w:val="es-ES_tradnl"/>
        </w:rPr>
        <w:t>Directrices para las pruebas de la RDSI</w:t>
      </w:r>
      <w:r w:rsidRPr="00901848">
        <w:rPr>
          <w:rFonts w:eastAsia="Times New Roman" w:cs="Times New Roman"/>
          <w:b/>
          <w:lang w:val="es-ES_tradnl" w:eastAsia="en-US"/>
        </w:rPr>
        <w:t>.</w:t>
      </w:r>
      <w:r w:rsidRPr="00901848">
        <w:rPr>
          <w:rFonts w:eastAsia="Times New Roman" w:cs="Times New Roman"/>
          <w:b/>
          <w:lang w:val="es-ES_tradnl" w:eastAsia="en-US"/>
        </w:rPr>
        <w:br w:type="page"/>
      </w:r>
    </w:p>
    <w:p w:rsidR="00013F68" w:rsidRPr="00F307DD" w:rsidRDefault="00013F68" w:rsidP="00F307DD">
      <w:pPr>
        <w:pStyle w:val="Heading1"/>
        <w:jc w:val="center"/>
        <w:rPr>
          <w:lang w:val="es-ES_tradnl"/>
        </w:rPr>
      </w:pPr>
      <w:bookmarkStart w:id="117" w:name="_Toc365036828"/>
      <w:bookmarkStart w:id="118" w:name="_Toc381259712"/>
      <w:r w:rsidRPr="00F307DD">
        <w:rPr>
          <w:lang w:val="es-ES_tradnl"/>
        </w:rPr>
        <w:lastRenderedPageBreak/>
        <w:t>Comisión de Estudio 12 del UIT-T ― Calidad de funcionamiento, calidad de servicio y calidad percibida</w:t>
      </w:r>
      <w:bookmarkEnd w:id="117"/>
      <w:bookmarkEnd w:id="118"/>
    </w:p>
    <w:p w:rsidR="00013F68" w:rsidRPr="00901848" w:rsidRDefault="00013F68" w:rsidP="00F307DD">
      <w:pPr>
        <w:pStyle w:val="Heading4"/>
        <w:rPr>
          <w:lang w:val="es-ES_tradnl"/>
        </w:rPr>
      </w:pPr>
      <w:r w:rsidRPr="00901848">
        <w:rPr>
          <w:lang w:val="es-ES_tradnl"/>
        </w:rPr>
        <w:t>Alcance</w:t>
      </w:r>
    </w:p>
    <w:p w:rsidR="00013F68" w:rsidRPr="00A96787" w:rsidRDefault="00013F68" w:rsidP="005A4281">
      <w:pPr>
        <w:rPr>
          <w:lang w:val="es-ES"/>
        </w:rPr>
      </w:pPr>
      <w:r w:rsidRPr="00A96787">
        <w:rPr>
          <w:rStyle w:val="hps"/>
          <w:lang w:val="es-ES"/>
        </w:rPr>
        <w:t>La Comisión de Estudio</w:t>
      </w:r>
      <w:r w:rsidRPr="00A96787">
        <w:rPr>
          <w:lang w:val="es-ES"/>
        </w:rPr>
        <w:t xml:space="preserve"> </w:t>
      </w:r>
      <w:r w:rsidRPr="00A96787">
        <w:rPr>
          <w:rStyle w:val="hps"/>
          <w:lang w:val="es-ES"/>
        </w:rPr>
        <w:t>12</w:t>
      </w:r>
      <w:r w:rsidRPr="00A96787">
        <w:rPr>
          <w:lang w:val="es-ES"/>
        </w:rPr>
        <w:t xml:space="preserve"> d</w:t>
      </w:r>
      <w:r w:rsidRPr="00A96787">
        <w:rPr>
          <w:rStyle w:val="hps"/>
          <w:lang w:val="es-ES"/>
        </w:rPr>
        <w:t>el</w:t>
      </w:r>
      <w:r w:rsidRPr="00A96787">
        <w:rPr>
          <w:lang w:val="es-ES"/>
        </w:rPr>
        <w:t xml:space="preserve"> </w:t>
      </w:r>
      <w:r w:rsidRPr="00A96787">
        <w:rPr>
          <w:rStyle w:val="hps"/>
          <w:lang w:val="es-ES"/>
        </w:rPr>
        <w:t>UIT</w:t>
      </w:r>
      <w:r w:rsidRPr="00A96787">
        <w:rPr>
          <w:lang w:val="es-ES"/>
        </w:rPr>
        <w:t xml:space="preserve">-T </w:t>
      </w:r>
      <w:r w:rsidRPr="00A96787">
        <w:rPr>
          <w:rStyle w:val="hps"/>
          <w:lang w:val="es-ES"/>
        </w:rPr>
        <w:t xml:space="preserve">es la Comisión Rectora </w:t>
      </w:r>
      <w:r w:rsidRPr="00A96787">
        <w:rPr>
          <w:lang w:val="es-ES"/>
        </w:rPr>
        <w:t xml:space="preserve">sobre calidad de servicio y calidad percibida, así como sobre distracción del conductor y aspectos vocales de las comunicaciones en el automóvil, una función </w:t>
      </w:r>
      <w:r w:rsidRPr="00A96787">
        <w:rPr>
          <w:rStyle w:val="hps"/>
          <w:lang w:val="es-ES"/>
        </w:rPr>
        <w:t>cada vez más importante</w:t>
      </w:r>
      <w:r w:rsidRPr="00A96787">
        <w:rPr>
          <w:lang w:val="es-ES"/>
        </w:rPr>
        <w:t xml:space="preserve"> a causa d</w:t>
      </w:r>
      <w:r w:rsidRPr="00A96787">
        <w:rPr>
          <w:rStyle w:val="hps"/>
          <w:lang w:val="es-ES"/>
        </w:rPr>
        <w:t>el advenimiento del</w:t>
      </w:r>
      <w:r w:rsidRPr="00A96787">
        <w:rPr>
          <w:lang w:val="es-ES"/>
        </w:rPr>
        <w:t xml:space="preserve"> </w:t>
      </w:r>
      <w:proofErr w:type="spellStart"/>
      <w:r w:rsidRPr="00A96787">
        <w:rPr>
          <w:rStyle w:val="hps"/>
          <w:lang w:val="es-ES"/>
        </w:rPr>
        <w:t>VoIP</w:t>
      </w:r>
      <w:proofErr w:type="spellEnd"/>
      <w:r w:rsidRPr="00A96787">
        <w:rPr>
          <w:lang w:val="es-ES"/>
        </w:rPr>
        <w:t xml:space="preserve"> </w:t>
      </w:r>
      <w:r w:rsidRPr="00A96787">
        <w:rPr>
          <w:rStyle w:val="hps"/>
          <w:lang w:val="es-ES"/>
        </w:rPr>
        <w:t>comercial</w:t>
      </w:r>
      <w:r w:rsidRPr="00A96787">
        <w:rPr>
          <w:lang w:val="es-ES"/>
        </w:rPr>
        <w:t xml:space="preserve"> y las redes y terminales de próxima generación basados en paquetes. </w:t>
      </w:r>
      <w:r w:rsidRPr="00A96787">
        <w:rPr>
          <w:rStyle w:val="hps"/>
          <w:lang w:val="es-ES"/>
        </w:rPr>
        <w:t>Entre los recientes</w:t>
      </w:r>
      <w:r w:rsidRPr="00A96787">
        <w:rPr>
          <w:lang w:val="es-ES"/>
        </w:rPr>
        <w:t xml:space="preserve"> </w:t>
      </w:r>
      <w:r w:rsidRPr="00A96787">
        <w:rPr>
          <w:rStyle w:val="hps"/>
          <w:lang w:val="es-ES"/>
        </w:rPr>
        <w:t>logros de la CE 12 figuran</w:t>
      </w:r>
      <w:r w:rsidRPr="00A96787">
        <w:rPr>
          <w:lang w:val="es-ES"/>
        </w:rPr>
        <w:t xml:space="preserve"> </w:t>
      </w:r>
      <w:r w:rsidRPr="00A96787">
        <w:rPr>
          <w:rStyle w:val="hps"/>
          <w:lang w:val="es-ES"/>
        </w:rPr>
        <w:t>diversas normas</w:t>
      </w:r>
      <w:r w:rsidRPr="00A96787">
        <w:rPr>
          <w:lang w:val="es-ES"/>
        </w:rPr>
        <w:t xml:space="preserve"> </w:t>
      </w:r>
      <w:r w:rsidRPr="00A96787">
        <w:rPr>
          <w:rStyle w:val="hps"/>
          <w:lang w:val="es-ES"/>
        </w:rPr>
        <w:t>nuevas y revisadas</w:t>
      </w:r>
      <w:r w:rsidRPr="00A96787">
        <w:rPr>
          <w:lang w:val="es-ES"/>
        </w:rPr>
        <w:t xml:space="preserve"> </w:t>
      </w:r>
      <w:r w:rsidRPr="00A96787">
        <w:rPr>
          <w:rStyle w:val="hps"/>
          <w:lang w:val="es-ES"/>
        </w:rPr>
        <w:t>sobre</w:t>
      </w:r>
      <w:r w:rsidRPr="00A96787">
        <w:rPr>
          <w:lang w:val="es-ES"/>
        </w:rPr>
        <w:t xml:space="preserve"> </w:t>
      </w:r>
      <w:r w:rsidRPr="00A96787">
        <w:rPr>
          <w:rStyle w:val="hps"/>
          <w:lang w:val="es-ES"/>
        </w:rPr>
        <w:t>planificación</w:t>
      </w:r>
      <w:r w:rsidRPr="00A96787">
        <w:rPr>
          <w:lang w:val="es-ES"/>
        </w:rPr>
        <w:t xml:space="preserve"> </w:t>
      </w:r>
      <w:r w:rsidRPr="00A96787">
        <w:rPr>
          <w:rStyle w:val="hps"/>
          <w:lang w:val="es-ES"/>
        </w:rPr>
        <w:t>y despliegue de</w:t>
      </w:r>
      <w:r w:rsidRPr="00A96787">
        <w:rPr>
          <w:lang w:val="es-ES"/>
        </w:rPr>
        <w:t xml:space="preserve"> </w:t>
      </w:r>
      <w:r w:rsidRPr="00A96787">
        <w:rPr>
          <w:rStyle w:val="hps"/>
          <w:lang w:val="es-ES"/>
        </w:rPr>
        <w:t>redes basadas en el</w:t>
      </w:r>
      <w:r w:rsidRPr="00A96787">
        <w:rPr>
          <w:lang w:val="es-ES"/>
        </w:rPr>
        <w:t xml:space="preserve"> </w:t>
      </w:r>
      <w:r w:rsidRPr="00A96787">
        <w:rPr>
          <w:rStyle w:val="hps"/>
          <w:lang w:val="es-ES"/>
        </w:rPr>
        <w:t>IP</w:t>
      </w:r>
      <w:r w:rsidRPr="00A96787">
        <w:rPr>
          <w:lang w:val="es-ES"/>
        </w:rPr>
        <w:t>.</w:t>
      </w:r>
    </w:p>
    <w:p w:rsidR="00013F68" w:rsidRPr="00901848" w:rsidRDefault="00013F68" w:rsidP="00F307DD">
      <w:pPr>
        <w:pStyle w:val="Heading4"/>
        <w:rPr>
          <w:lang w:val="es-ES_tradnl"/>
        </w:rPr>
      </w:pPr>
      <w:r w:rsidRPr="00901848">
        <w:rPr>
          <w:lang w:val="es-ES_tradnl"/>
        </w:rPr>
        <w:t>Temas de estudio</w:t>
      </w:r>
    </w:p>
    <w:p w:rsidR="00013F68" w:rsidRPr="00A96787" w:rsidRDefault="00013F68" w:rsidP="005A4281">
      <w:pPr>
        <w:rPr>
          <w:lang w:val="es-ES"/>
        </w:rPr>
      </w:pPr>
      <w:r w:rsidRPr="00A96787">
        <w:rPr>
          <w:lang w:val="es-ES"/>
        </w:rPr>
        <w:t>La CE 12 se encarga de elaborar las Recomendaciones sobre calidad de funcionamiento, calidad de servicio (</w:t>
      </w:r>
      <w:proofErr w:type="spellStart"/>
      <w:r w:rsidRPr="00A96787">
        <w:rPr>
          <w:lang w:val="es-ES"/>
        </w:rPr>
        <w:t>QoS</w:t>
      </w:r>
      <w:proofErr w:type="spellEnd"/>
      <w:r w:rsidRPr="00A96787">
        <w:rPr>
          <w:lang w:val="es-ES"/>
        </w:rPr>
        <w:t>) y calidad percibida (</w:t>
      </w:r>
      <w:proofErr w:type="spellStart"/>
      <w:r w:rsidRPr="00A96787">
        <w:rPr>
          <w:lang w:val="es-ES"/>
        </w:rPr>
        <w:t>QoE</w:t>
      </w:r>
      <w:proofErr w:type="spellEnd"/>
      <w:r w:rsidRPr="00A96787">
        <w:rPr>
          <w:lang w:val="es-ES"/>
        </w:rPr>
        <w:t>) de todos los terminales, redes y servicios, los cuales abarcan desde los servicios vocales por redes de circuitos fijas hasta las aplicaciones multimedios por redes móviles y de paquetes. En su mandato se incluyen los aspectos operacionales de la calidad de funcionamiento, la calidad de servicio y la calidad percibida; los aspectos relativos a la calidad de extremo a extremo de la compatibilidad; y el establecimiento de metodologías para evaluar la calidad subjetiva y objetiva de los multimedios.</w:t>
      </w:r>
    </w:p>
    <w:p w:rsidR="00013F68" w:rsidRPr="00A96787" w:rsidRDefault="00013F68" w:rsidP="00F307DD">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901848" w:rsidRDefault="00013F68" w:rsidP="004D2F38">
      <w:pPr>
        <w:pStyle w:val="Enumlevel1"/>
        <w:numPr>
          <w:ilvl w:val="0"/>
          <w:numId w:val="34"/>
        </w:numPr>
        <w:ind w:left="567" w:hanging="567"/>
        <w:rPr>
          <w:lang w:val="es-ES_tradnl"/>
        </w:rPr>
      </w:pPr>
      <w:r w:rsidRPr="00901848">
        <w:rPr>
          <w:lang w:val="es-ES_tradnl"/>
        </w:rPr>
        <w:t>Comisión de Estudio Rectora sobre calidad de servicio y calidad percibida.</w:t>
      </w:r>
    </w:p>
    <w:p w:rsidR="00013F68" w:rsidRPr="00901848" w:rsidRDefault="00013F68" w:rsidP="004D2F38">
      <w:pPr>
        <w:pStyle w:val="Enumlevel1"/>
        <w:numPr>
          <w:ilvl w:val="0"/>
          <w:numId w:val="34"/>
        </w:numPr>
        <w:ind w:left="567" w:hanging="567"/>
        <w:rPr>
          <w:lang w:val="es-ES_tradnl"/>
        </w:rPr>
      </w:pPr>
      <w:r w:rsidRPr="00901848">
        <w:rPr>
          <w:lang w:val="es-ES_tradnl"/>
        </w:rPr>
        <w:t>Comisión de Estudio rectora sobre distracción del conductor y aspectos vocales de las comunicaciones en el automóvil.</w:t>
      </w:r>
    </w:p>
    <w:p w:rsidR="00013F68" w:rsidRPr="00901848" w:rsidRDefault="00013F68" w:rsidP="00F307DD">
      <w:pPr>
        <w:pStyle w:val="Heading4"/>
        <w:rPr>
          <w:lang w:val="es-ES_tradnl"/>
        </w:rPr>
      </w:pPr>
      <w:r w:rsidRPr="00901848">
        <w:rPr>
          <w:lang w:val="es-ES_tradnl"/>
        </w:rPr>
        <w:t>Estructura de la Comisión de Estudio 12</w:t>
      </w:r>
    </w:p>
    <w:p w:rsidR="00F307DD" w:rsidRPr="00901848" w:rsidRDefault="00F307DD" w:rsidP="00F307DD">
      <w:pPr>
        <w:pStyle w:val="Figuretitle"/>
        <w:rPr>
          <w:lang w:val="es-ES_tradnl"/>
        </w:rPr>
      </w:pPr>
    </w:p>
    <w:p w:rsidR="00F307DD" w:rsidRDefault="00F307DD" w:rsidP="00F307DD">
      <w:pPr>
        <w:pStyle w:val="Figure"/>
      </w:pPr>
      <w:r>
        <w:rPr>
          <w:noProof/>
          <w:lang w:val="en-US" w:eastAsia="zh-CN"/>
        </w:rPr>
        <w:drawing>
          <wp:inline distT="0" distB="0" distL="0" distR="0" wp14:anchorId="16BFF125" wp14:editId="5C92E22B">
            <wp:extent cx="3987165" cy="3096895"/>
            <wp:effectExtent l="0" t="0" r="0"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7165" cy="3096895"/>
                    </a:xfrm>
                    <a:prstGeom prst="rect">
                      <a:avLst/>
                    </a:prstGeom>
                    <a:noFill/>
                  </pic:spPr>
                </pic:pic>
              </a:graphicData>
            </a:graphic>
          </wp:inline>
        </w:drawing>
      </w:r>
    </w:p>
    <w:p w:rsidR="00F307DD" w:rsidRPr="00837668" w:rsidRDefault="00F307DD" w:rsidP="00F307DD">
      <w:pPr>
        <w:pStyle w:val="figuresource"/>
        <w:rPr>
          <w:lang w:val="en-US"/>
        </w:rPr>
      </w:pPr>
    </w:p>
    <w:p w:rsidR="00013F68" w:rsidRPr="00A96787" w:rsidRDefault="00013F68" w:rsidP="005A4281">
      <w:pPr>
        <w:tabs>
          <w:tab w:val="left" w:pos="0"/>
        </w:tabs>
        <w:spacing w:line="240" w:lineRule="atLeast"/>
        <w:jc w:val="center"/>
        <w:rPr>
          <w:rFonts w:eastAsia="Times New Roman"/>
          <w:bCs/>
          <w:szCs w:val="19"/>
          <w:lang w:val="es-ES" w:eastAsia="en-US"/>
        </w:rPr>
      </w:pPr>
    </w:p>
    <w:p w:rsidR="00013F68" w:rsidRPr="00901848" w:rsidRDefault="00013F68" w:rsidP="00BE2A6D">
      <w:pPr>
        <w:pStyle w:val="Heading4"/>
        <w:rPr>
          <w:lang w:val="es-ES_tradnl"/>
        </w:rPr>
      </w:pPr>
      <w:r w:rsidRPr="00901848">
        <w:rPr>
          <w:lang w:val="es-ES_tradnl"/>
        </w:rPr>
        <w:lastRenderedPageBreak/>
        <w:t>Cuestiones</w:t>
      </w:r>
    </w:p>
    <w:p w:rsidR="00013F68" w:rsidRPr="00901848" w:rsidRDefault="00013F68" w:rsidP="00BE2A6D">
      <w:pPr>
        <w:pStyle w:val="Enumlevel1"/>
        <w:tabs>
          <w:tab w:val="left" w:pos="567"/>
        </w:tabs>
        <w:ind w:left="1701" w:hanging="1701"/>
        <w:rPr>
          <w:lang w:val="es-ES_tradnl"/>
        </w:rPr>
      </w:pPr>
      <w:r w:rsidRPr="00901848">
        <w:rPr>
          <w:lang w:val="es-ES_tradnl"/>
        </w:rPr>
        <w:t>•</w:t>
      </w:r>
      <w:r w:rsidRPr="00901848">
        <w:rPr>
          <w:lang w:val="es-ES_tradnl"/>
        </w:rPr>
        <w:tab/>
        <w:t>C1/12:</w:t>
      </w:r>
      <w:r w:rsidRPr="00901848">
        <w:rPr>
          <w:lang w:val="es-ES_tradnl"/>
        </w:rPr>
        <w:tab/>
        <w:t xml:space="preserve">Programa de trabajo de la CE 12 y coordinación de la </w:t>
      </w:r>
      <w:proofErr w:type="spellStart"/>
      <w:r w:rsidRPr="00901848">
        <w:rPr>
          <w:lang w:val="es-ES_tradnl"/>
        </w:rPr>
        <w:t>QoS</w:t>
      </w:r>
      <w:proofErr w:type="spellEnd"/>
      <w:r w:rsidRPr="00901848">
        <w:rPr>
          <w:lang w:val="es-ES_tradnl"/>
        </w:rPr>
        <w:t>/</w:t>
      </w:r>
      <w:proofErr w:type="spellStart"/>
      <w:r w:rsidRPr="00901848">
        <w:rPr>
          <w:lang w:val="es-ES_tradnl"/>
        </w:rPr>
        <w:t>QoE</w:t>
      </w:r>
      <w:proofErr w:type="spellEnd"/>
      <w:r w:rsidRPr="00901848">
        <w:rPr>
          <w:lang w:val="es-ES_tradnl"/>
        </w:rPr>
        <w:t xml:space="preserve"> en el UIT-T (continuación parcial del trabajo de la Cuestión 1/12)</w:t>
      </w:r>
    </w:p>
    <w:p w:rsidR="00013F68" w:rsidRPr="00901848" w:rsidRDefault="00013F68" w:rsidP="00BE2A6D">
      <w:pPr>
        <w:pStyle w:val="Enumlevel1"/>
        <w:tabs>
          <w:tab w:val="left" w:pos="567"/>
        </w:tabs>
        <w:ind w:left="1701" w:hanging="1701"/>
        <w:rPr>
          <w:lang w:val="es-ES_tradnl"/>
        </w:rPr>
      </w:pPr>
      <w:r w:rsidRPr="00901848">
        <w:rPr>
          <w:lang w:val="es-ES_tradnl"/>
        </w:rPr>
        <w:t>•</w:t>
      </w:r>
      <w:r w:rsidRPr="00901848">
        <w:rPr>
          <w:lang w:val="es-ES_tradnl"/>
        </w:rPr>
        <w:tab/>
        <w:t>C2/12:</w:t>
      </w:r>
      <w:r w:rsidRPr="00901848">
        <w:rPr>
          <w:lang w:val="es-ES_tradnl"/>
        </w:rPr>
        <w:tab/>
        <w:t xml:space="preserve">Definiciones, guías y marcos relativos a la </w:t>
      </w:r>
      <w:proofErr w:type="spellStart"/>
      <w:r w:rsidRPr="00901848">
        <w:rPr>
          <w:lang w:val="es-ES_tradnl"/>
        </w:rPr>
        <w:t>QoS</w:t>
      </w:r>
      <w:proofErr w:type="spellEnd"/>
      <w:r w:rsidRPr="00901848">
        <w:rPr>
          <w:lang w:val="es-ES_tradnl"/>
        </w:rPr>
        <w:t>/</w:t>
      </w:r>
      <w:proofErr w:type="spellStart"/>
      <w:r w:rsidRPr="00901848">
        <w:rPr>
          <w:lang w:val="es-ES_tradnl"/>
        </w:rPr>
        <w:t>QoE</w:t>
      </w:r>
      <w:proofErr w:type="spellEnd"/>
      <w:r w:rsidRPr="00901848">
        <w:rPr>
          <w:lang w:val="es-ES_tradnl"/>
        </w:rPr>
        <w:t xml:space="preserve"> (continuación parcial del trabajo de la Cuestión 1/12)</w:t>
      </w:r>
    </w:p>
    <w:p w:rsidR="00013F68" w:rsidRPr="00901848" w:rsidRDefault="00013F68" w:rsidP="00BE2A6D">
      <w:pPr>
        <w:pStyle w:val="Enumlevel1"/>
        <w:tabs>
          <w:tab w:val="left" w:pos="567"/>
        </w:tabs>
        <w:ind w:left="1701" w:hanging="1701"/>
        <w:rPr>
          <w:lang w:val="es-ES_tradnl"/>
        </w:rPr>
      </w:pPr>
      <w:r w:rsidRPr="00901848">
        <w:rPr>
          <w:lang w:val="es-ES_tradnl"/>
        </w:rPr>
        <w:t>•</w:t>
      </w:r>
      <w:r w:rsidRPr="00901848">
        <w:rPr>
          <w:lang w:val="es-ES_tradnl"/>
        </w:rPr>
        <w:tab/>
        <w:t>C12/12:</w:t>
      </w:r>
      <w:r w:rsidRPr="00901848">
        <w:rPr>
          <w:lang w:val="es-ES_tradnl"/>
        </w:rPr>
        <w:tab/>
        <w:t>Aspectos operativos de la calidad de servicio de las redes de telecomunicaciones (continuación del trabajo de la Cuestión 12/12)</w:t>
      </w:r>
    </w:p>
    <w:p w:rsidR="00013F68" w:rsidRPr="00901848" w:rsidRDefault="00013F68" w:rsidP="00BE2A6D">
      <w:pPr>
        <w:pStyle w:val="Heading4"/>
        <w:rPr>
          <w:lang w:val="es-ES_tradnl"/>
        </w:rPr>
      </w:pPr>
      <w:r w:rsidRPr="00901848">
        <w:rPr>
          <w:lang w:val="es-ES_tradnl"/>
        </w:rPr>
        <w:t>Recomendaciones</w:t>
      </w:r>
    </w:p>
    <w:p w:rsidR="00013F68" w:rsidRPr="00215BF2" w:rsidRDefault="00013F68" w:rsidP="00215BF2">
      <w:pPr>
        <w:pStyle w:val="Headingb0"/>
        <w:rPr>
          <w:sz w:val="21"/>
          <w:szCs w:val="21"/>
          <w:lang w:val="es-ES_tradnl"/>
        </w:rPr>
      </w:pPr>
      <w:r w:rsidRPr="00215BF2">
        <w:rPr>
          <w:sz w:val="21"/>
          <w:szCs w:val="21"/>
          <w:lang w:val="es-ES_tradnl"/>
        </w:rPr>
        <w:t>Serie G: Sistemas y medios de transmisión, sistemas y redes digitales</w:t>
      </w:r>
    </w:p>
    <w:p w:rsidR="00013F68" w:rsidRPr="00901848" w:rsidRDefault="00013F68" w:rsidP="00215BF2">
      <w:pPr>
        <w:pStyle w:val="Enumlevel1"/>
        <w:tabs>
          <w:tab w:val="left" w:pos="567"/>
        </w:tabs>
        <w:ind w:left="1701" w:hanging="1701"/>
        <w:rPr>
          <w:lang w:val="es-ES_tradnl"/>
        </w:rPr>
      </w:pPr>
      <w:r w:rsidRPr="00901848">
        <w:rPr>
          <w:lang w:val="es-ES_tradnl"/>
        </w:rPr>
        <w:t>•</w:t>
      </w:r>
      <w:r w:rsidRPr="00901848">
        <w:rPr>
          <w:lang w:val="es-ES_tradnl"/>
        </w:rPr>
        <w:tab/>
        <w:t>G.113:</w:t>
      </w:r>
      <w:r w:rsidRPr="00901848">
        <w:rPr>
          <w:lang w:val="es-ES_tradnl"/>
        </w:rPr>
        <w:tab/>
        <w:t>Degradaciones de la transmisión debido al tratamiento de las señales vocales</w:t>
      </w:r>
    </w:p>
    <w:p w:rsidR="00013F68" w:rsidRPr="00901848" w:rsidRDefault="00013F68" w:rsidP="00215BF2">
      <w:pPr>
        <w:pStyle w:val="Enumlevel1"/>
        <w:tabs>
          <w:tab w:val="left" w:pos="567"/>
        </w:tabs>
        <w:ind w:left="1701" w:hanging="1701"/>
        <w:rPr>
          <w:lang w:val="es-ES_tradnl"/>
        </w:rPr>
      </w:pPr>
      <w:r w:rsidRPr="00901848">
        <w:rPr>
          <w:lang w:val="es-ES_tradnl"/>
        </w:rPr>
        <w:t>•</w:t>
      </w:r>
      <w:r w:rsidRPr="00901848">
        <w:rPr>
          <w:lang w:val="es-ES_tradnl"/>
        </w:rPr>
        <w:tab/>
        <w:t>G.175:</w:t>
      </w:r>
      <w:r w:rsidRPr="00901848">
        <w:rPr>
          <w:lang w:val="es-ES_tradnl"/>
        </w:rPr>
        <w:tab/>
        <w:t>Planificación de la transmisión de tráfico vocal para la interconexión de redes privadas con redes públicas</w:t>
      </w:r>
    </w:p>
    <w:p w:rsidR="00013F68" w:rsidRPr="00901848" w:rsidRDefault="00013F68" w:rsidP="00215BF2">
      <w:pPr>
        <w:pStyle w:val="Enumlevel1"/>
        <w:tabs>
          <w:tab w:val="left" w:pos="567"/>
        </w:tabs>
        <w:ind w:left="1701" w:hanging="1701"/>
        <w:rPr>
          <w:lang w:val="es-ES_tradnl"/>
        </w:rPr>
      </w:pPr>
      <w:r w:rsidRPr="00901848">
        <w:rPr>
          <w:lang w:val="es-ES_tradnl"/>
        </w:rPr>
        <w:t>•</w:t>
      </w:r>
      <w:r w:rsidRPr="00901848">
        <w:rPr>
          <w:lang w:val="es-ES_tradnl"/>
        </w:rPr>
        <w:tab/>
        <w:t>G.177:</w:t>
      </w:r>
      <w:r w:rsidRPr="00901848">
        <w:rPr>
          <w:lang w:val="es-ES_tradnl"/>
        </w:rPr>
        <w:tab/>
        <w:t>Planificación de la transmisión para servicios en banda vocal sobre conexiones híbridas Internet/RTPC</w:t>
      </w:r>
    </w:p>
    <w:p w:rsidR="00013F68" w:rsidRPr="00215BF2" w:rsidRDefault="00013F68" w:rsidP="00215BF2">
      <w:pPr>
        <w:pStyle w:val="Headingb0"/>
        <w:rPr>
          <w:sz w:val="21"/>
          <w:szCs w:val="21"/>
          <w:lang w:val="es-ES_tradnl"/>
        </w:rPr>
      </w:pPr>
      <w:r w:rsidRPr="00215BF2">
        <w:rPr>
          <w:sz w:val="21"/>
          <w:szCs w:val="21"/>
          <w:lang w:val="es-ES_tradnl"/>
        </w:rPr>
        <w:t>Serie Y: Infraestructura mundial de la información, aspectos del protocolo Internet y Redes de la próxima generación</w:t>
      </w:r>
    </w:p>
    <w:p w:rsidR="00013F68" w:rsidRPr="00215BF2" w:rsidRDefault="00013F68" w:rsidP="00215BF2">
      <w:pPr>
        <w:pStyle w:val="Enumlevel1"/>
        <w:tabs>
          <w:tab w:val="left" w:pos="567"/>
        </w:tabs>
        <w:ind w:left="1701" w:hanging="1701"/>
      </w:pPr>
      <w:r w:rsidRPr="00215BF2">
        <w:t>•</w:t>
      </w:r>
      <w:r w:rsidRPr="00215BF2">
        <w:tab/>
        <w:t>Y.1545:</w:t>
      </w:r>
      <w:r w:rsidRPr="00215BF2">
        <w:tab/>
        <w:t>Roadmap of Quality of Service of Interconnected Networks using Internet Protocol</w:t>
      </w:r>
    </w:p>
    <w:p w:rsidR="00013F68" w:rsidRPr="00215BF2" w:rsidRDefault="00013F68" w:rsidP="00215BF2">
      <w:pPr>
        <w:pStyle w:val="Headingb0"/>
        <w:rPr>
          <w:sz w:val="21"/>
          <w:szCs w:val="21"/>
          <w:lang w:val="es-ES_tradnl"/>
        </w:rPr>
      </w:pPr>
      <w:r w:rsidRPr="00215BF2">
        <w:rPr>
          <w:sz w:val="21"/>
          <w:szCs w:val="21"/>
          <w:lang w:val="es-ES_tradnl"/>
        </w:rPr>
        <w:t>Documentos técnicos</w:t>
      </w:r>
    </w:p>
    <w:p w:rsidR="00013F68" w:rsidRPr="00215BF2" w:rsidRDefault="00013F68" w:rsidP="004D2F38">
      <w:pPr>
        <w:pStyle w:val="Enumlevel1"/>
        <w:numPr>
          <w:ilvl w:val="0"/>
          <w:numId w:val="14"/>
        </w:numPr>
        <w:ind w:left="567" w:hanging="567"/>
      </w:pPr>
      <w:r w:rsidRPr="00215BF2">
        <w:t xml:space="preserve">GSTP-CSS - The composite source signal as a measuring signal and a summary of various investigations on speech echo cancellers. </w:t>
      </w:r>
    </w:p>
    <w:p w:rsidR="00013F68" w:rsidRPr="00013F68" w:rsidRDefault="00A31E61" w:rsidP="004D2F38">
      <w:pPr>
        <w:pStyle w:val="Enumlevel1"/>
        <w:numPr>
          <w:ilvl w:val="0"/>
          <w:numId w:val="14"/>
        </w:numPr>
        <w:ind w:left="567" w:hanging="567"/>
        <w:rPr>
          <w:iCs/>
          <w:lang w:val="en-US"/>
        </w:rPr>
      </w:pPr>
      <w:hyperlink r:id="rId107" w:history="1">
        <w:r w:rsidR="00013F68" w:rsidRPr="00F9094A">
          <w:rPr>
            <w:rStyle w:val="Hyperlink"/>
            <w:iCs/>
            <w:lang w:val="en-US"/>
          </w:rPr>
          <w:t xml:space="preserve">Objective Perceptual Assessment of Video Quality: Full Reference Television </w:t>
        </w:r>
      </w:hyperlink>
    </w:p>
    <w:p w:rsidR="00013F68" w:rsidRPr="00013F68" w:rsidRDefault="00A31E61" w:rsidP="004D2F38">
      <w:pPr>
        <w:pStyle w:val="Enumlevel1"/>
        <w:numPr>
          <w:ilvl w:val="0"/>
          <w:numId w:val="14"/>
        </w:numPr>
        <w:ind w:left="567" w:hanging="567"/>
        <w:rPr>
          <w:iCs/>
          <w:lang w:val="en-US"/>
        </w:rPr>
      </w:pPr>
      <w:hyperlink r:id="rId108" w:history="1">
        <w:r w:rsidR="00013F68" w:rsidRPr="00F9094A">
          <w:rPr>
            <w:rStyle w:val="Hyperlink"/>
            <w:iCs/>
            <w:lang w:val="en-US"/>
          </w:rPr>
          <w:t xml:space="preserve">How to increase </w:t>
        </w:r>
        <w:proofErr w:type="spellStart"/>
        <w:r w:rsidR="00013F68" w:rsidRPr="00F9094A">
          <w:rPr>
            <w:rStyle w:val="Hyperlink"/>
            <w:iCs/>
            <w:lang w:val="en-US"/>
          </w:rPr>
          <w:t>QoS</w:t>
        </w:r>
        <w:proofErr w:type="spellEnd"/>
        <w:r w:rsidR="00013F68" w:rsidRPr="00F9094A">
          <w:rPr>
            <w:rStyle w:val="Hyperlink"/>
            <w:iCs/>
            <w:lang w:val="en-US"/>
          </w:rPr>
          <w:t>/</w:t>
        </w:r>
        <w:proofErr w:type="spellStart"/>
        <w:r w:rsidR="00013F68" w:rsidRPr="00F9094A">
          <w:rPr>
            <w:rStyle w:val="Hyperlink"/>
            <w:iCs/>
            <w:lang w:val="en-US"/>
          </w:rPr>
          <w:t>QoE</w:t>
        </w:r>
        <w:proofErr w:type="spellEnd"/>
        <w:r w:rsidR="00013F68" w:rsidRPr="00F9094A">
          <w:rPr>
            <w:rStyle w:val="Hyperlink"/>
            <w:iCs/>
            <w:lang w:val="en-US"/>
          </w:rPr>
          <w:t xml:space="preserve"> of IP-based platform(s) to regionally agreed standards</w:t>
        </w:r>
      </w:hyperlink>
    </w:p>
    <w:p w:rsidR="00013F68" w:rsidRPr="00901848" w:rsidRDefault="00013F68" w:rsidP="00215BF2">
      <w:pPr>
        <w:pStyle w:val="Heading4"/>
        <w:rPr>
          <w:lang w:val="es-ES_tradnl"/>
        </w:rPr>
      </w:pPr>
      <w:r w:rsidRPr="00901848">
        <w:rPr>
          <w:lang w:val="es-ES_tradnl"/>
        </w:rPr>
        <w:t>Grupos relacionados</w:t>
      </w:r>
    </w:p>
    <w:p w:rsidR="00013F68" w:rsidRPr="00901848" w:rsidRDefault="00013F68" w:rsidP="00215BF2">
      <w:pPr>
        <w:pStyle w:val="CEOIndent-bulletsblackdot"/>
        <w:rPr>
          <w:rFonts w:asciiTheme="minorHAnsi" w:hAnsiTheme="minorHAnsi"/>
          <w:sz w:val="21"/>
          <w:szCs w:val="21"/>
          <w:lang w:val="es-ES_tradnl"/>
        </w:rPr>
      </w:pPr>
      <w:r w:rsidRPr="005A3913">
        <w:rPr>
          <w:lang w:val="es-ES"/>
        </w:rPr>
        <w:t>•</w:t>
      </w:r>
      <w:r>
        <w:rPr>
          <w:lang w:val="es-ES"/>
        </w:rPr>
        <w:tab/>
      </w:r>
      <w:hyperlink r:id="rId109" w:history="1">
        <w:r w:rsidRPr="00215BF2">
          <w:rPr>
            <w:rStyle w:val="Hyperlink"/>
            <w:rFonts w:ascii="Calibri" w:eastAsia="SimSun" w:hAnsi="Calibri" w:cs="Calibri"/>
            <w:sz w:val="21"/>
            <w:szCs w:val="21"/>
            <w:lang w:val="es-ES_tradnl" w:eastAsia="en-GB"/>
          </w:rPr>
          <w:t>Grupo sobre desarrollo de la calidad de servicio</w:t>
        </w:r>
      </w:hyperlink>
      <w:r w:rsidR="00215BF2" w:rsidRPr="00215BF2">
        <w:rPr>
          <w:rStyle w:val="Hyperlink"/>
          <w:rFonts w:ascii="Calibri" w:eastAsia="SimSun" w:hAnsi="Calibri" w:cs="Calibri"/>
          <w:sz w:val="21"/>
          <w:szCs w:val="21"/>
          <w:u w:val="none"/>
          <w:lang w:val="es-ES_tradnl" w:eastAsia="en-GB"/>
        </w:rPr>
        <w:t xml:space="preserve"> </w:t>
      </w:r>
      <w:r w:rsidR="00215BF2" w:rsidRPr="00901848">
        <w:rPr>
          <w:rFonts w:asciiTheme="minorHAnsi" w:hAnsiTheme="minorHAnsi"/>
          <w:sz w:val="21"/>
          <w:szCs w:val="21"/>
          <w:lang w:val="es-ES_tradnl"/>
        </w:rPr>
        <w:t>(QSDG)</w:t>
      </w:r>
    </w:p>
    <w:p w:rsidR="00013F68" w:rsidRPr="00A96787" w:rsidRDefault="00013F68" w:rsidP="00215BF2">
      <w:pPr>
        <w:pStyle w:val="CEOIndent-bulletsblackdot"/>
        <w:rPr>
          <w:rFonts w:eastAsia="Times New Roman" w:cstheme="majorBidi"/>
          <w:lang w:val="es-ES"/>
        </w:rPr>
      </w:pPr>
      <w:r w:rsidRPr="005A3913">
        <w:rPr>
          <w:lang w:val="es-ES"/>
        </w:rPr>
        <w:t>•</w:t>
      </w:r>
      <w:r>
        <w:rPr>
          <w:lang w:val="es-ES"/>
        </w:rPr>
        <w:tab/>
      </w:r>
      <w:hyperlink r:id="rId110" w:history="1">
        <w:r w:rsidRPr="00215BF2">
          <w:rPr>
            <w:rStyle w:val="Hyperlink"/>
            <w:rFonts w:ascii="Calibri" w:eastAsia="SimSun" w:hAnsi="Calibri" w:cs="Calibri"/>
            <w:sz w:val="21"/>
            <w:szCs w:val="21"/>
            <w:lang w:val="es-ES_tradnl" w:eastAsia="en-GB"/>
          </w:rPr>
          <w:t xml:space="preserve">Grupo Regional de la CE 12 sobre </w:t>
        </w:r>
        <w:proofErr w:type="spellStart"/>
        <w:r w:rsidRPr="00215BF2">
          <w:rPr>
            <w:rStyle w:val="Hyperlink"/>
            <w:rFonts w:ascii="Calibri" w:eastAsia="SimSun" w:hAnsi="Calibri" w:cs="Calibri"/>
            <w:sz w:val="21"/>
            <w:szCs w:val="21"/>
            <w:lang w:val="es-ES_tradnl" w:eastAsia="en-GB"/>
          </w:rPr>
          <w:t>QoS</w:t>
        </w:r>
        <w:proofErr w:type="spellEnd"/>
        <w:r w:rsidRPr="00215BF2">
          <w:rPr>
            <w:rStyle w:val="Hyperlink"/>
            <w:rFonts w:ascii="Calibri" w:eastAsia="SimSun" w:hAnsi="Calibri" w:cs="Calibri"/>
            <w:sz w:val="21"/>
            <w:szCs w:val="21"/>
            <w:lang w:val="es-ES_tradnl" w:eastAsia="en-GB"/>
          </w:rPr>
          <w:t xml:space="preserve"> para la Región de África</w:t>
        </w:r>
      </w:hyperlink>
    </w:p>
    <w:p w:rsidR="00013F68" w:rsidRPr="00901848" w:rsidRDefault="00013F68" w:rsidP="00215BF2">
      <w:pPr>
        <w:pStyle w:val="CEOIndent-bulletsblackdot"/>
        <w:rPr>
          <w:rFonts w:asciiTheme="minorHAnsi" w:hAnsiTheme="minorHAnsi"/>
          <w:sz w:val="21"/>
          <w:szCs w:val="21"/>
          <w:lang w:val="es-ES_tradnl"/>
        </w:rPr>
      </w:pPr>
      <w:r w:rsidRPr="005A3913">
        <w:rPr>
          <w:lang w:val="es-ES"/>
        </w:rPr>
        <w:t>•</w:t>
      </w:r>
      <w:r>
        <w:rPr>
          <w:lang w:val="es-ES"/>
        </w:rPr>
        <w:tab/>
      </w:r>
      <w:hyperlink r:id="rId111" w:history="1">
        <w:r w:rsidRPr="00215BF2">
          <w:rPr>
            <w:rStyle w:val="Hyperlink"/>
            <w:rFonts w:ascii="Calibri" w:eastAsia="SimSun" w:hAnsi="Calibri" w:cs="Calibri"/>
            <w:sz w:val="21"/>
            <w:szCs w:val="21"/>
            <w:lang w:val="es-ES_tradnl" w:eastAsia="en-GB"/>
          </w:rPr>
          <w:t>Iniciativa Mundial de Normalización sobre televisión por IP</w:t>
        </w:r>
      </w:hyperlink>
      <w:r w:rsidRPr="00A96787">
        <w:rPr>
          <w:lang w:val="es-ES"/>
        </w:rPr>
        <w:t xml:space="preserve"> </w:t>
      </w:r>
      <w:r w:rsidRPr="00901848">
        <w:rPr>
          <w:rFonts w:asciiTheme="minorHAnsi" w:hAnsiTheme="minorHAnsi"/>
          <w:sz w:val="21"/>
          <w:szCs w:val="21"/>
          <w:lang w:val="es-ES_tradnl"/>
        </w:rPr>
        <w:t>(IPTV-GSI)</w:t>
      </w:r>
    </w:p>
    <w:p w:rsidR="00013F68" w:rsidRPr="00215BF2" w:rsidRDefault="00013F68" w:rsidP="00215BF2">
      <w:pPr>
        <w:rPr>
          <w:lang w:val="es-ES_tradnl"/>
        </w:rPr>
      </w:pPr>
      <w:r w:rsidRPr="00215BF2">
        <w:rPr>
          <w:lang w:val="es-ES_tradnl"/>
        </w:rPr>
        <w:t>Nota: los siguientes grupos han concluido recientemente sus actividades:</w:t>
      </w:r>
    </w:p>
    <w:p w:rsidR="00013F68" w:rsidRPr="00215BF2" w:rsidRDefault="00013F68" w:rsidP="004D2F38">
      <w:pPr>
        <w:pStyle w:val="Enumlevel1"/>
        <w:numPr>
          <w:ilvl w:val="0"/>
          <w:numId w:val="14"/>
        </w:numPr>
        <w:ind w:left="567" w:hanging="567"/>
        <w:rPr>
          <w:lang w:val="es-ES_tradnl"/>
        </w:rPr>
      </w:pPr>
      <w:r w:rsidRPr="00215BF2">
        <w:rPr>
          <w:lang w:val="es-ES_tradnl"/>
        </w:rPr>
        <w:t xml:space="preserve">FG </w:t>
      </w:r>
      <w:proofErr w:type="spellStart"/>
      <w:r w:rsidRPr="00215BF2">
        <w:rPr>
          <w:lang w:val="es-ES_tradnl"/>
        </w:rPr>
        <w:t>CarCOM</w:t>
      </w:r>
      <w:proofErr w:type="spellEnd"/>
      <w:r w:rsidRPr="00215BF2">
        <w:rPr>
          <w:lang w:val="es-ES_tradnl"/>
        </w:rPr>
        <w:t xml:space="preserve">: </w:t>
      </w:r>
      <w:hyperlink r:id="rId112" w:history="1">
        <w:r w:rsidRPr="00215BF2">
          <w:rPr>
            <w:rStyle w:val="Hyperlink"/>
            <w:bCs/>
            <w:lang w:val="es-ES_tradnl"/>
          </w:rPr>
          <w:t>Grupo Temático sobre comunicaciones en automóviles</w:t>
        </w:r>
      </w:hyperlink>
      <w:r w:rsidR="00215BF2">
        <w:rPr>
          <w:lang w:val="es-ES_tradnl"/>
        </w:rPr>
        <w:t xml:space="preserve"> (concluido en marzo de 2013)</w:t>
      </w:r>
    </w:p>
    <w:p w:rsidR="00013F68" w:rsidRPr="00215BF2" w:rsidRDefault="00013F68" w:rsidP="004D2F38">
      <w:pPr>
        <w:pStyle w:val="Enumlevel1"/>
        <w:numPr>
          <w:ilvl w:val="0"/>
          <w:numId w:val="14"/>
        </w:numPr>
        <w:ind w:left="567" w:hanging="567"/>
        <w:rPr>
          <w:lang w:val="es-ES_tradnl"/>
        </w:rPr>
      </w:pPr>
      <w:r w:rsidRPr="00215BF2">
        <w:rPr>
          <w:lang w:val="es-ES_tradnl"/>
        </w:rPr>
        <w:t xml:space="preserve">FG </w:t>
      </w:r>
      <w:proofErr w:type="spellStart"/>
      <w:r w:rsidRPr="00215BF2">
        <w:rPr>
          <w:lang w:val="es-ES_tradnl"/>
        </w:rPr>
        <w:t>Distraction</w:t>
      </w:r>
      <w:proofErr w:type="spellEnd"/>
      <w:r w:rsidRPr="00215BF2">
        <w:rPr>
          <w:lang w:val="es-ES_tradnl"/>
        </w:rPr>
        <w:t xml:space="preserve">: </w:t>
      </w:r>
      <w:hyperlink r:id="rId113" w:history="1">
        <w:r w:rsidRPr="00215BF2">
          <w:rPr>
            <w:rStyle w:val="Hyperlink"/>
            <w:bCs/>
            <w:lang w:val="es-ES_tradnl"/>
          </w:rPr>
          <w:t>Grupo Temático sobre distracción del conductor</w:t>
        </w:r>
      </w:hyperlink>
      <w:r w:rsidR="00215BF2">
        <w:rPr>
          <w:lang w:val="es-ES_tradnl"/>
        </w:rPr>
        <w:t xml:space="preserve"> (concluido en marzo de 2013)</w:t>
      </w:r>
    </w:p>
    <w:p w:rsidR="00013F68" w:rsidRPr="00215BF2" w:rsidRDefault="00013F68" w:rsidP="004D2F38">
      <w:pPr>
        <w:pStyle w:val="Enumlevel1"/>
        <w:numPr>
          <w:ilvl w:val="0"/>
          <w:numId w:val="14"/>
        </w:numPr>
        <w:ind w:left="567" w:hanging="567"/>
        <w:rPr>
          <w:lang w:val="es-ES_tradnl"/>
        </w:rPr>
      </w:pPr>
      <w:r w:rsidRPr="00215BF2">
        <w:rPr>
          <w:lang w:val="es-ES_tradnl"/>
        </w:rPr>
        <w:t>Iniciativa Mundial de No</w:t>
      </w:r>
      <w:r w:rsidR="00215BF2">
        <w:rPr>
          <w:lang w:val="es-ES_tradnl"/>
        </w:rPr>
        <w:t>rmalización sobre NGN (NGN-GSI)</w:t>
      </w:r>
    </w:p>
    <w:p w:rsidR="00013F68" w:rsidRPr="00A96787" w:rsidRDefault="00013F68" w:rsidP="00215BF2">
      <w:pPr>
        <w:pStyle w:val="Heading4"/>
      </w:pPr>
      <w:proofErr w:type="spellStart"/>
      <w:r w:rsidRPr="00A96787">
        <w:t>Manuales</w:t>
      </w:r>
      <w:proofErr w:type="spellEnd"/>
    </w:p>
    <w:p w:rsidR="00013F68" w:rsidRPr="00901848" w:rsidRDefault="00013F68" w:rsidP="004D2F38">
      <w:pPr>
        <w:pStyle w:val="Enumlevel1"/>
        <w:numPr>
          <w:ilvl w:val="0"/>
          <w:numId w:val="23"/>
        </w:numPr>
        <w:ind w:left="567" w:hanging="567"/>
        <w:rPr>
          <w:lang w:val="es-ES_tradnl"/>
        </w:rPr>
      </w:pPr>
      <w:r w:rsidRPr="00901848">
        <w:rPr>
          <w:lang w:val="es-ES_tradnl"/>
        </w:rPr>
        <w:t>Calidad de servicio y calidad de funcionamiento de la red.</w:t>
      </w:r>
    </w:p>
    <w:p w:rsidR="00013F68" w:rsidRPr="00F9094A" w:rsidRDefault="00A31E61" w:rsidP="004D2F38">
      <w:pPr>
        <w:pStyle w:val="Enumlevel1"/>
        <w:numPr>
          <w:ilvl w:val="0"/>
          <w:numId w:val="23"/>
        </w:numPr>
        <w:ind w:left="567" w:hanging="567"/>
        <w:rPr>
          <w:rFonts w:eastAsia="Times New Roman" w:cs="Times New Roman"/>
          <w:bCs/>
          <w:szCs w:val="19"/>
          <w:lang w:eastAsia="en-US"/>
        </w:rPr>
      </w:pPr>
      <w:hyperlink r:id="rId114" w:history="1">
        <w:r w:rsidR="00013F68" w:rsidRPr="00F9094A">
          <w:rPr>
            <w:rStyle w:val="Hyperlink"/>
          </w:rPr>
          <w:t xml:space="preserve">Practical procedures for subjective </w:t>
        </w:r>
        <w:r w:rsidR="00013F68" w:rsidRPr="00F9094A">
          <w:rPr>
            <w:rStyle w:val="Hyperlink"/>
            <w:i/>
          </w:rPr>
          <w:t>testing</w:t>
        </w:r>
      </w:hyperlink>
      <w:r w:rsidR="00013F68" w:rsidRPr="00F9094A">
        <w:rPr>
          <w:i/>
        </w:rPr>
        <w:t>.</w:t>
      </w:r>
    </w:p>
    <w:p w:rsidR="00013F68" w:rsidRPr="00B86416" w:rsidRDefault="00013F68" w:rsidP="004D2F38">
      <w:pPr>
        <w:pStyle w:val="Enumlevel1"/>
        <w:numPr>
          <w:ilvl w:val="0"/>
          <w:numId w:val="23"/>
        </w:numPr>
        <w:ind w:left="567" w:hanging="567"/>
      </w:pPr>
      <w:r w:rsidRPr="00B86416">
        <w:t xml:space="preserve">Manual </w:t>
      </w:r>
      <w:proofErr w:type="spellStart"/>
      <w:r w:rsidRPr="00B86416">
        <w:t>sobre</w:t>
      </w:r>
      <w:proofErr w:type="spellEnd"/>
      <w:r w:rsidRPr="00B86416">
        <w:t xml:space="preserve"> </w:t>
      </w:r>
      <w:proofErr w:type="spellStart"/>
      <w:r w:rsidRPr="00B86416">
        <w:t>telefonometría</w:t>
      </w:r>
      <w:proofErr w:type="spellEnd"/>
      <w:r w:rsidRPr="00B86416">
        <w:t>.</w:t>
      </w:r>
      <w:r w:rsidRPr="00B86416">
        <w:br w:type="page"/>
      </w:r>
    </w:p>
    <w:p w:rsidR="00013F68" w:rsidRPr="00901848" w:rsidRDefault="00013F68" w:rsidP="004921DB">
      <w:pPr>
        <w:pStyle w:val="Heading1"/>
        <w:rPr>
          <w:lang w:val="es-ES_tradnl"/>
        </w:rPr>
      </w:pPr>
      <w:bookmarkStart w:id="119" w:name="_Toc365036829"/>
      <w:bookmarkStart w:id="120" w:name="_Toc381259713"/>
      <w:r w:rsidRPr="00901848">
        <w:rPr>
          <w:lang w:val="es-ES_tradnl"/>
        </w:rPr>
        <w:lastRenderedPageBreak/>
        <w:t>Comisión de Estudio 13 del UIT-T ― Redes futuras, incluida la computación en la nube, las redes móviles y las de la próxima generación</w:t>
      </w:r>
      <w:bookmarkEnd w:id="119"/>
      <w:bookmarkEnd w:id="120"/>
    </w:p>
    <w:p w:rsidR="00013F68" w:rsidRPr="00901848" w:rsidRDefault="00013F68" w:rsidP="004921DB">
      <w:pPr>
        <w:pStyle w:val="Heading4"/>
        <w:rPr>
          <w:lang w:val="es-ES_tradnl"/>
        </w:rPr>
      </w:pPr>
      <w:r w:rsidRPr="00901848">
        <w:rPr>
          <w:lang w:val="es-ES_tradnl"/>
        </w:rPr>
        <w:t>Alcance</w:t>
      </w:r>
    </w:p>
    <w:p w:rsidR="00013F68" w:rsidRPr="00A96787" w:rsidRDefault="00013F68" w:rsidP="005A4281">
      <w:pPr>
        <w:rPr>
          <w:lang w:val="es-ES"/>
        </w:rPr>
      </w:pPr>
      <w:r w:rsidRPr="00A96787">
        <w:rPr>
          <w:lang w:val="es-ES"/>
        </w:rPr>
        <w:t>La Comisión de Estudio 13 lidera los trabajos de la UIT en material de normalización de redes de próxima generación (NGN), gestión de la movilidad, redes futuras y redes definidas por software.</w:t>
      </w:r>
    </w:p>
    <w:p w:rsidR="00013F68" w:rsidRPr="00A96787" w:rsidRDefault="00013F68" w:rsidP="005A4281">
      <w:pPr>
        <w:rPr>
          <w:lang w:val="es-ES"/>
        </w:rPr>
      </w:pPr>
      <w:r w:rsidRPr="00A96787">
        <w:rPr>
          <w:rStyle w:val="hps"/>
          <w:lang w:val="es-ES"/>
        </w:rPr>
        <w:t>De particular interés para</w:t>
      </w:r>
      <w:r w:rsidRPr="00A96787">
        <w:rPr>
          <w:rStyle w:val="longtext"/>
          <w:lang w:val="es-ES"/>
        </w:rPr>
        <w:t xml:space="preserve"> </w:t>
      </w:r>
      <w:r w:rsidRPr="00A96787">
        <w:rPr>
          <w:rStyle w:val="hps"/>
          <w:lang w:val="es-ES"/>
        </w:rPr>
        <w:t>los</w:t>
      </w:r>
      <w:r w:rsidRPr="00A96787">
        <w:rPr>
          <w:rStyle w:val="longtext"/>
          <w:lang w:val="es-ES"/>
        </w:rPr>
        <w:t xml:space="preserve"> </w:t>
      </w:r>
      <w:r w:rsidRPr="00A96787">
        <w:rPr>
          <w:rStyle w:val="hps"/>
          <w:lang w:val="es-ES"/>
        </w:rPr>
        <w:t>países en desarrollo podría</w:t>
      </w:r>
      <w:r w:rsidRPr="00A96787">
        <w:rPr>
          <w:rStyle w:val="longtext"/>
          <w:lang w:val="es-ES"/>
        </w:rPr>
        <w:t xml:space="preserve"> </w:t>
      </w:r>
      <w:r w:rsidRPr="00A96787">
        <w:rPr>
          <w:rStyle w:val="hps"/>
          <w:lang w:val="es-ES"/>
        </w:rPr>
        <w:t>su labor en materia de escenarios de transición</w:t>
      </w:r>
      <w:r w:rsidRPr="00A96787">
        <w:rPr>
          <w:rStyle w:val="longtext"/>
          <w:lang w:val="es-ES"/>
        </w:rPr>
        <w:t xml:space="preserve"> </w:t>
      </w:r>
      <w:r w:rsidRPr="00A96787">
        <w:rPr>
          <w:rStyle w:val="hps"/>
          <w:lang w:val="es-ES"/>
        </w:rPr>
        <w:t>a las</w:t>
      </w:r>
      <w:r w:rsidRPr="00A96787">
        <w:rPr>
          <w:rStyle w:val="longtext"/>
          <w:lang w:val="es-ES"/>
        </w:rPr>
        <w:t xml:space="preserve"> </w:t>
      </w:r>
      <w:r w:rsidRPr="00A96787">
        <w:rPr>
          <w:rStyle w:val="hps"/>
          <w:lang w:val="es-ES"/>
        </w:rPr>
        <w:t>NGN</w:t>
      </w:r>
      <w:r w:rsidRPr="00A96787">
        <w:rPr>
          <w:rStyle w:val="longtext"/>
          <w:lang w:val="es-ES"/>
        </w:rPr>
        <w:t xml:space="preserve"> (</w:t>
      </w:r>
      <w:r w:rsidRPr="00A96787">
        <w:rPr>
          <w:rStyle w:val="hps"/>
          <w:lang w:val="es-ES"/>
        </w:rPr>
        <w:t>y</w:t>
      </w:r>
      <w:r w:rsidRPr="00A96787">
        <w:rPr>
          <w:rStyle w:val="longtext"/>
          <w:lang w:val="es-ES"/>
        </w:rPr>
        <w:t xml:space="preserve"> </w:t>
      </w:r>
      <w:r w:rsidRPr="00A96787">
        <w:rPr>
          <w:rStyle w:val="hps"/>
          <w:lang w:val="es-ES"/>
        </w:rPr>
        <w:t>sus</w:t>
      </w:r>
      <w:r w:rsidRPr="00A96787">
        <w:rPr>
          <w:rStyle w:val="longtext"/>
          <w:lang w:val="es-ES"/>
        </w:rPr>
        <w:t xml:space="preserve"> </w:t>
      </w:r>
      <w:r w:rsidRPr="00A96787">
        <w:rPr>
          <w:rStyle w:val="hps"/>
          <w:lang w:val="es-ES"/>
        </w:rPr>
        <w:t>mejoras)</w:t>
      </w:r>
      <w:r w:rsidRPr="00A96787">
        <w:rPr>
          <w:rStyle w:val="longtext"/>
          <w:lang w:val="es-ES"/>
        </w:rPr>
        <w:t xml:space="preserve">, implantación de las IMT </w:t>
      </w:r>
      <w:r w:rsidRPr="00A96787">
        <w:rPr>
          <w:rStyle w:val="hps"/>
          <w:lang w:val="es-ES"/>
        </w:rPr>
        <w:t>y el</w:t>
      </w:r>
      <w:r w:rsidRPr="00A96787">
        <w:rPr>
          <w:rStyle w:val="longtext"/>
          <w:lang w:val="es-ES"/>
        </w:rPr>
        <w:t xml:space="preserve"> </w:t>
      </w:r>
      <w:r w:rsidRPr="00A96787">
        <w:rPr>
          <w:rStyle w:val="hps"/>
          <w:lang w:val="es-ES"/>
        </w:rPr>
        <w:t>IMS</w:t>
      </w:r>
      <w:r w:rsidRPr="00A96787">
        <w:rPr>
          <w:rStyle w:val="longtext"/>
          <w:lang w:val="es-ES"/>
        </w:rPr>
        <w:t xml:space="preserve">, cibercomercio, </w:t>
      </w:r>
      <w:proofErr w:type="spellStart"/>
      <w:r w:rsidRPr="00A96787">
        <w:rPr>
          <w:rStyle w:val="hps"/>
          <w:lang w:val="es-ES"/>
        </w:rPr>
        <w:t>ciber</w:t>
      </w:r>
      <w:r w:rsidRPr="00A96787">
        <w:rPr>
          <w:rStyle w:val="longtext"/>
          <w:lang w:val="es-ES"/>
        </w:rPr>
        <w:t>salud</w:t>
      </w:r>
      <w:proofErr w:type="spellEnd"/>
      <w:r w:rsidRPr="00A96787">
        <w:rPr>
          <w:rStyle w:val="longtext"/>
          <w:lang w:val="es-ES"/>
        </w:rPr>
        <w:t xml:space="preserve">, </w:t>
      </w:r>
      <w:proofErr w:type="spellStart"/>
      <w:r w:rsidRPr="00A96787">
        <w:rPr>
          <w:rStyle w:val="longtext"/>
          <w:lang w:val="es-ES"/>
        </w:rPr>
        <w:t>ciberagricultura</w:t>
      </w:r>
      <w:proofErr w:type="spellEnd"/>
      <w:r w:rsidRPr="00A96787">
        <w:rPr>
          <w:rStyle w:val="longtext"/>
          <w:lang w:val="es-ES"/>
        </w:rPr>
        <w:t xml:space="preserve">, eficiencia energética de las redes </w:t>
      </w:r>
      <w:r w:rsidRPr="00A96787">
        <w:rPr>
          <w:rStyle w:val="hps"/>
          <w:lang w:val="es-ES"/>
        </w:rPr>
        <w:t>y comunicaciones</w:t>
      </w:r>
      <w:r w:rsidRPr="00A96787">
        <w:rPr>
          <w:rStyle w:val="longtext"/>
          <w:lang w:val="es-ES"/>
        </w:rPr>
        <w:t xml:space="preserve"> </w:t>
      </w:r>
      <w:r w:rsidRPr="00A96787">
        <w:rPr>
          <w:rStyle w:val="hps"/>
          <w:lang w:val="es-ES"/>
        </w:rPr>
        <w:t>de emergencia.</w:t>
      </w:r>
    </w:p>
    <w:p w:rsidR="00013F68" w:rsidRPr="00901848" w:rsidRDefault="00013F68" w:rsidP="004921DB">
      <w:pPr>
        <w:pStyle w:val="Heading4"/>
        <w:rPr>
          <w:lang w:val="es-ES_tradnl"/>
        </w:rPr>
      </w:pPr>
      <w:r w:rsidRPr="00901848">
        <w:rPr>
          <w:lang w:val="es-ES_tradnl"/>
        </w:rPr>
        <w:t>Temas de estudio</w:t>
      </w:r>
    </w:p>
    <w:p w:rsidR="00013F68" w:rsidRPr="00A96787" w:rsidRDefault="00013F68" w:rsidP="005A4281">
      <w:pPr>
        <w:rPr>
          <w:lang w:val="es-ES"/>
        </w:rPr>
      </w:pPr>
      <w:r w:rsidRPr="00A96787">
        <w:rPr>
          <w:lang w:val="es-ES"/>
        </w:rPr>
        <w:t xml:space="preserve">La Comisión de Estudio 13 es responsable de los estudios relativos a los requisitos, la arquitectura, las capacidades y los mecanismos de futuras redes, incluidos los estudios referentes a objetivos de servicio, objetivos de datos, objetivos medioambientales y objetivos socioeconómicos de las futuras redes. También se encarga de los estudios referentes a las tecnologías de computación en la nube, tales como la virtualización, la gestión de recursos, la fiabilidad y la seguridad. Es responsable de los estudios asociados al </w:t>
      </w:r>
      <w:proofErr w:type="spellStart"/>
      <w:r w:rsidRPr="00A96787">
        <w:rPr>
          <w:lang w:val="es-ES"/>
        </w:rPr>
        <w:t>IoT</w:t>
      </w:r>
      <w:proofErr w:type="spellEnd"/>
      <w:r w:rsidRPr="00A96787">
        <w:rPr>
          <w:lang w:val="es-ES"/>
        </w:rPr>
        <w:t xml:space="preserve"> y a los aspectos de red de las redes de telecomunicaciones móviles, incluidas las telecomunicaciones móviles internacionales (IMT) y las IMT Avanzadas, la Internet inalámbrica, la gestión de la movilidad, la interconexión en red, las funciones de redes multimedios móviles y las mejoras a las Recomendaciones UIT</w:t>
      </w:r>
      <w:r w:rsidRPr="00A96787">
        <w:rPr>
          <w:lang w:val="es-ES"/>
        </w:rPr>
        <w:noBreakHyphen/>
        <w:t>T sobre las IMT existentes. Asimismo es responsable de estudios referentes a mejoras de NGN/TVIP, incluidos requisitos, capacidades, arquitecturas e hipótesis de implementación, modelos de instalación y coordinación entre Comisiones de Estudio.</w:t>
      </w:r>
    </w:p>
    <w:p w:rsidR="00013F68" w:rsidRPr="00A96787" w:rsidRDefault="00013F68" w:rsidP="004921DB">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901848" w:rsidRDefault="00013F68" w:rsidP="004D2F38">
      <w:pPr>
        <w:pStyle w:val="Enumlevel1"/>
        <w:numPr>
          <w:ilvl w:val="0"/>
          <w:numId w:val="35"/>
        </w:numPr>
        <w:ind w:left="567" w:hanging="567"/>
        <w:rPr>
          <w:lang w:val="es-ES_tradnl"/>
        </w:rPr>
      </w:pPr>
      <w:r w:rsidRPr="00901848">
        <w:rPr>
          <w:lang w:val="es-ES_tradnl"/>
        </w:rPr>
        <w:t>Comisión de Estudio Rectora sobre redes futuras.</w:t>
      </w:r>
    </w:p>
    <w:p w:rsidR="00013F68" w:rsidRPr="00901848" w:rsidRDefault="00013F68" w:rsidP="004D2F38">
      <w:pPr>
        <w:pStyle w:val="Enumlevel1"/>
        <w:numPr>
          <w:ilvl w:val="0"/>
          <w:numId w:val="35"/>
        </w:numPr>
        <w:ind w:left="567" w:hanging="567"/>
        <w:rPr>
          <w:lang w:val="es-ES_tradnl"/>
        </w:rPr>
      </w:pPr>
      <w:r w:rsidRPr="00901848">
        <w:rPr>
          <w:lang w:val="es-ES_tradnl"/>
        </w:rPr>
        <w:t>Comisión de Estudio Rectora sobre gestión de la movilidad y NGN.</w:t>
      </w:r>
    </w:p>
    <w:p w:rsidR="00013F68" w:rsidRPr="00901848" w:rsidRDefault="00013F68" w:rsidP="004D2F38">
      <w:pPr>
        <w:pStyle w:val="Enumlevel1"/>
        <w:numPr>
          <w:ilvl w:val="0"/>
          <w:numId w:val="35"/>
        </w:numPr>
        <w:ind w:left="567" w:hanging="567"/>
        <w:rPr>
          <w:lang w:val="es-ES_tradnl"/>
        </w:rPr>
      </w:pPr>
      <w:r w:rsidRPr="00901848">
        <w:rPr>
          <w:lang w:val="es-ES_tradnl"/>
        </w:rPr>
        <w:t>Comisión de Estudio Rectora sobre computación en la nube.</w:t>
      </w:r>
    </w:p>
    <w:p w:rsidR="00013F68" w:rsidRPr="00901848" w:rsidRDefault="00013F68" w:rsidP="004D2F38">
      <w:pPr>
        <w:pStyle w:val="Enumlevel1"/>
        <w:numPr>
          <w:ilvl w:val="0"/>
          <w:numId w:val="35"/>
        </w:numPr>
        <w:ind w:left="567" w:hanging="567"/>
        <w:rPr>
          <w:lang w:val="es-ES_tradnl"/>
        </w:rPr>
      </w:pPr>
      <w:r w:rsidRPr="00901848">
        <w:rPr>
          <w:lang w:val="es-ES_tradnl"/>
        </w:rPr>
        <w:t>Comisión de Estudio Rectora sobre redes definidas por software.</w:t>
      </w:r>
    </w:p>
    <w:p w:rsidR="00013F68" w:rsidRPr="00901848" w:rsidRDefault="00013F68" w:rsidP="004921DB">
      <w:pPr>
        <w:pStyle w:val="Heading4"/>
        <w:rPr>
          <w:lang w:val="es-ES_tradnl"/>
        </w:rPr>
      </w:pPr>
      <w:r w:rsidRPr="00901848">
        <w:rPr>
          <w:lang w:val="es-ES_tradnl"/>
        </w:rPr>
        <w:lastRenderedPageBreak/>
        <w:t>Estructura de la Comisión de Estudio 13</w:t>
      </w:r>
    </w:p>
    <w:p w:rsidR="004921DB" w:rsidRPr="00901848" w:rsidRDefault="004921DB" w:rsidP="004921DB">
      <w:pPr>
        <w:pStyle w:val="Figuretitle"/>
        <w:rPr>
          <w:lang w:val="es-ES_tradnl"/>
        </w:rPr>
      </w:pPr>
    </w:p>
    <w:p w:rsidR="004921DB" w:rsidRDefault="004921DB" w:rsidP="004921DB">
      <w:pPr>
        <w:pStyle w:val="Figure"/>
      </w:pPr>
      <w:r>
        <w:rPr>
          <w:noProof/>
          <w:lang w:val="en-US" w:eastAsia="zh-CN"/>
        </w:rPr>
        <w:drawing>
          <wp:inline distT="0" distB="0" distL="0" distR="0" wp14:anchorId="09FB81A3" wp14:editId="10A900EA">
            <wp:extent cx="3535680" cy="3139440"/>
            <wp:effectExtent l="0" t="0" r="762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35680" cy="3139440"/>
                    </a:xfrm>
                    <a:prstGeom prst="rect">
                      <a:avLst/>
                    </a:prstGeom>
                    <a:noFill/>
                  </pic:spPr>
                </pic:pic>
              </a:graphicData>
            </a:graphic>
          </wp:inline>
        </w:drawing>
      </w:r>
    </w:p>
    <w:p w:rsidR="004921DB" w:rsidRPr="00837668" w:rsidRDefault="004921DB" w:rsidP="004921DB">
      <w:pPr>
        <w:pStyle w:val="figuresource"/>
        <w:rPr>
          <w:lang w:val="en-US"/>
        </w:rPr>
      </w:pPr>
    </w:p>
    <w:p w:rsidR="00013F68" w:rsidRPr="00901848" w:rsidRDefault="00013F68" w:rsidP="00C17DD7">
      <w:pPr>
        <w:pStyle w:val="Heading4"/>
        <w:rPr>
          <w:lang w:val="es-ES_tradnl"/>
        </w:rPr>
      </w:pPr>
      <w:r w:rsidRPr="00901848">
        <w:rPr>
          <w:lang w:val="es-ES_tradnl"/>
        </w:rPr>
        <w:t>Cuestiones</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C1/13:</w:t>
      </w:r>
      <w:r w:rsidRPr="00901848">
        <w:rPr>
          <w:lang w:val="es-ES_tradnl"/>
        </w:rPr>
        <w:tab/>
        <w:t>Hipótesis de servicio, modelos de implantación y problemas ligados a la migración de servicios convergentes (continuación del trabajo de la Cuestión 24/13)</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C2/13:</w:t>
      </w:r>
      <w:r w:rsidRPr="00901848">
        <w:rPr>
          <w:lang w:val="es-ES_tradnl"/>
        </w:rPr>
        <w:tab/>
        <w:t xml:space="preserve">Requisitos para la evolución de las NGN (NGN-e) y sus capacidades, incluido el soporte de Internet de cosas y la utilización de redes definidas por software (continuación del trabajo de la Cuestión 3/13) - la C 2/13 realiza estudios sobre </w:t>
      </w:r>
      <w:proofErr w:type="spellStart"/>
      <w:r w:rsidRPr="00901848">
        <w:rPr>
          <w:lang w:val="es-ES_tradnl"/>
        </w:rPr>
        <w:t>cibersalud</w:t>
      </w:r>
      <w:proofErr w:type="spellEnd"/>
      <w:r w:rsidRPr="00901848">
        <w:rPr>
          <w:lang w:val="es-ES_tradnl"/>
        </w:rPr>
        <w:t xml:space="preserve">. </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C5/13:</w:t>
      </w:r>
      <w:r w:rsidRPr="00901848">
        <w:rPr>
          <w:lang w:val="es-ES_tradnl"/>
        </w:rPr>
        <w:tab/>
        <w:t>Introducción del IMS y las IMT en las redes de telecomunicaciones móviles de los países en desarrollo (continuación de la cuestión 15/13)</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C8/13:</w:t>
      </w:r>
      <w:r w:rsidRPr="00901848">
        <w:rPr>
          <w:lang w:val="es-ES_tradnl"/>
        </w:rPr>
        <w:tab/>
        <w:t>Seguridad y gestión de identidad en las redes gestionadas en evolución (incluidas las redes definidas por software)</w:t>
      </w:r>
      <w:r w:rsidRPr="00901848" w:rsidDel="00AA74BA">
        <w:rPr>
          <w:lang w:val="es-ES_tradnl"/>
        </w:rPr>
        <w:t xml:space="preserve"> </w:t>
      </w:r>
      <w:r w:rsidRPr="00901848">
        <w:rPr>
          <w:lang w:val="es-ES_tradnl"/>
        </w:rPr>
        <w:t>(continuación de la cuestión 16/13)</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C11/13:</w:t>
      </w:r>
      <w:r w:rsidRPr="00901848">
        <w:rPr>
          <w:lang w:val="es-ES_tradnl"/>
        </w:rPr>
        <w:tab/>
        <w:t xml:space="preserve">Evolución de redes y servicios centrados en el usuario, así como el </w:t>
      </w:r>
      <w:proofErr w:type="spellStart"/>
      <w:r w:rsidRPr="00901848">
        <w:rPr>
          <w:lang w:val="es-ES_tradnl"/>
        </w:rPr>
        <w:t>interfuncionamiento</w:t>
      </w:r>
      <w:proofErr w:type="spellEnd"/>
      <w:r w:rsidRPr="00901848">
        <w:rPr>
          <w:lang w:val="es-ES_tradnl"/>
        </w:rPr>
        <w:t xml:space="preserve"> con las redes del futuro, incluida la conexión en red definida por software</w:t>
      </w:r>
    </w:p>
    <w:p w:rsidR="00013F68" w:rsidRPr="00901848" w:rsidRDefault="00013F68" w:rsidP="00FB7C57">
      <w:pPr>
        <w:pStyle w:val="Enumlevel1"/>
        <w:tabs>
          <w:tab w:val="left" w:pos="567"/>
        </w:tabs>
        <w:ind w:left="1701" w:hanging="1701"/>
        <w:rPr>
          <w:lang w:val="es-ES_tradnl"/>
        </w:rPr>
      </w:pPr>
      <w:r w:rsidRPr="00901848">
        <w:rPr>
          <w:lang w:val="es-ES_tradnl"/>
        </w:rPr>
        <w:t>•</w:t>
      </w:r>
      <w:r w:rsidRPr="00901848">
        <w:rPr>
          <w:lang w:val="es-ES_tradnl"/>
        </w:rPr>
        <w:tab/>
        <w:t xml:space="preserve">C16/13: </w:t>
      </w:r>
      <w:r w:rsidRPr="00901848">
        <w:rPr>
          <w:lang w:val="es-ES_tradnl"/>
        </w:rPr>
        <w:tab/>
        <w:t>Sostenibilidad medioambiental y socioeconómica en las redes futuras e implantación temprana de FN (continuación parcial del trabajo de la Cuestión 21/13 y del de la Cuestión 12/13)</w:t>
      </w:r>
    </w:p>
    <w:p w:rsidR="00013F68" w:rsidRPr="00A96787" w:rsidRDefault="00013F68" w:rsidP="005A4281">
      <w:pPr>
        <w:rPr>
          <w:color w:val="000000"/>
          <w:lang w:val="es-ES"/>
        </w:rPr>
      </w:pPr>
      <w:r w:rsidRPr="00A96787">
        <w:rPr>
          <w:lang w:val="es-ES" w:eastAsia="en-US"/>
        </w:rPr>
        <w:t>NOTAS:</w:t>
      </w:r>
    </w:p>
    <w:p w:rsidR="00013F68" w:rsidRPr="00901848" w:rsidRDefault="00013F68" w:rsidP="004D2F38">
      <w:pPr>
        <w:pStyle w:val="Enumlevel1"/>
        <w:numPr>
          <w:ilvl w:val="0"/>
          <w:numId w:val="36"/>
        </w:numPr>
        <w:ind w:left="567" w:hanging="567"/>
        <w:rPr>
          <w:lang w:val="es-ES_tradnl"/>
        </w:rPr>
      </w:pPr>
      <w:r w:rsidRPr="00901848">
        <w:rPr>
          <w:lang w:val="es-ES_tradnl"/>
        </w:rPr>
        <w:t>La mayoría de las Cuestiones de la CE 13 son relevantes para las NGN y las FN.</w:t>
      </w:r>
    </w:p>
    <w:p w:rsidR="00013F68" w:rsidRPr="00901848" w:rsidRDefault="00013F68" w:rsidP="004D2F38">
      <w:pPr>
        <w:pStyle w:val="Enumlevel1"/>
        <w:numPr>
          <w:ilvl w:val="0"/>
          <w:numId w:val="36"/>
        </w:numPr>
        <w:ind w:left="567" w:hanging="567"/>
        <w:rPr>
          <w:lang w:val="es-ES_tradnl"/>
        </w:rPr>
      </w:pPr>
      <w:r w:rsidRPr="00A96787">
        <w:rPr>
          <w:rStyle w:val="hps"/>
          <w:lang w:val="es-ES"/>
        </w:rPr>
        <w:t>La CE 13, de conformidad con el mandato</w:t>
      </w:r>
      <w:r w:rsidRPr="00A96787">
        <w:rPr>
          <w:rStyle w:val="longtext"/>
          <w:lang w:val="es-ES"/>
        </w:rPr>
        <w:t xml:space="preserve"> establecido por la</w:t>
      </w:r>
      <w:r w:rsidRPr="00A96787">
        <w:rPr>
          <w:rStyle w:val="hps"/>
          <w:lang w:val="es-ES"/>
        </w:rPr>
        <w:t xml:space="preserve"> AMNT</w:t>
      </w:r>
      <w:r w:rsidRPr="00A96787">
        <w:rPr>
          <w:rStyle w:val="atn"/>
          <w:lang w:val="es-ES"/>
        </w:rPr>
        <w:t>-</w:t>
      </w:r>
      <w:r w:rsidRPr="00A96787">
        <w:rPr>
          <w:rStyle w:val="longtext"/>
          <w:lang w:val="es-ES"/>
        </w:rPr>
        <w:t xml:space="preserve">12, </w:t>
      </w:r>
      <w:r w:rsidRPr="00A96787">
        <w:rPr>
          <w:rStyle w:val="hps"/>
          <w:lang w:val="es-ES"/>
        </w:rPr>
        <w:t>también elabora</w:t>
      </w:r>
      <w:r w:rsidRPr="00A96787">
        <w:rPr>
          <w:rStyle w:val="longtext"/>
          <w:lang w:val="es-ES"/>
        </w:rPr>
        <w:t xml:space="preserve"> </w:t>
      </w:r>
      <w:r w:rsidRPr="00A96787">
        <w:rPr>
          <w:rStyle w:val="hps"/>
          <w:lang w:val="es-ES"/>
        </w:rPr>
        <w:t>estudios relacionados con</w:t>
      </w:r>
      <w:r w:rsidRPr="00A96787">
        <w:rPr>
          <w:rStyle w:val="longtext"/>
          <w:lang w:val="es-ES"/>
        </w:rPr>
        <w:t xml:space="preserve"> </w:t>
      </w:r>
      <w:r w:rsidRPr="00A96787">
        <w:rPr>
          <w:rStyle w:val="hps"/>
          <w:lang w:val="es-ES"/>
        </w:rPr>
        <w:t>la computación en nube</w:t>
      </w:r>
      <w:r w:rsidRPr="00A96787">
        <w:rPr>
          <w:rStyle w:val="longtext"/>
          <w:lang w:val="es-ES"/>
        </w:rPr>
        <w:t xml:space="preserve"> </w:t>
      </w:r>
      <w:r w:rsidRPr="00A96787">
        <w:rPr>
          <w:rStyle w:val="hps"/>
          <w:lang w:val="es-ES"/>
        </w:rPr>
        <w:t>y las</w:t>
      </w:r>
      <w:r w:rsidRPr="00A96787">
        <w:rPr>
          <w:rStyle w:val="longtext"/>
          <w:lang w:val="es-ES"/>
        </w:rPr>
        <w:t xml:space="preserve"> </w:t>
      </w:r>
      <w:r w:rsidRPr="00A96787">
        <w:rPr>
          <w:rStyle w:val="hps"/>
          <w:lang w:val="es-ES"/>
        </w:rPr>
        <w:t>SDN</w:t>
      </w:r>
      <w:r w:rsidRPr="00A96787">
        <w:rPr>
          <w:rStyle w:val="longtext"/>
          <w:lang w:val="es-ES"/>
        </w:rPr>
        <w:t>.</w:t>
      </w:r>
    </w:p>
    <w:p w:rsidR="00013F68" w:rsidRPr="00901848" w:rsidRDefault="00013F68" w:rsidP="00B42323">
      <w:pPr>
        <w:pStyle w:val="Heading4"/>
        <w:rPr>
          <w:lang w:val="es-ES_tradnl"/>
        </w:rPr>
      </w:pPr>
      <w:r w:rsidRPr="00901848">
        <w:rPr>
          <w:lang w:val="es-ES_tradnl"/>
        </w:rPr>
        <w:lastRenderedPageBreak/>
        <w:t xml:space="preserve">Recomendaciones </w:t>
      </w:r>
    </w:p>
    <w:p w:rsidR="00013F68" w:rsidRPr="00B42323" w:rsidRDefault="00013F68" w:rsidP="00B42323">
      <w:pPr>
        <w:pStyle w:val="Headingb0"/>
        <w:rPr>
          <w:sz w:val="21"/>
          <w:szCs w:val="21"/>
          <w:lang w:val="es-ES_tradnl"/>
        </w:rPr>
      </w:pPr>
      <w:r w:rsidRPr="00B42323">
        <w:rPr>
          <w:sz w:val="21"/>
          <w:szCs w:val="21"/>
          <w:lang w:val="es-ES_tradnl"/>
        </w:rPr>
        <w:t>Serie Y: Infraestructura mundial de la información, aspectos del protocolo Internet y Redes de la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Y.2001:</w:t>
      </w:r>
      <w:r w:rsidRPr="00901848">
        <w:rPr>
          <w:lang w:val="es-ES_tradnl"/>
        </w:rPr>
        <w:tab/>
        <w:t>Visión general de las redes de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Y.2011:</w:t>
      </w:r>
      <w:r w:rsidRPr="00901848">
        <w:rPr>
          <w:lang w:val="es-ES_tradnl"/>
        </w:rPr>
        <w:tab/>
        <w:t>Principios generales y modelo de referencia general de las redes de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Y.2262:</w:t>
      </w:r>
      <w:r w:rsidRPr="00901848">
        <w:rPr>
          <w:lang w:val="es-ES_tradnl"/>
        </w:rPr>
        <w:tab/>
        <w:t>Emulación y simulación RTPC/RDSI</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Y.2060:</w:t>
      </w:r>
      <w:r w:rsidRPr="00901848">
        <w:rPr>
          <w:lang w:val="es-ES_tradnl"/>
        </w:rPr>
        <w:tab/>
        <w:t>Visión general de la Internet de las cosas</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Y.2205:</w:t>
      </w:r>
      <w:r w:rsidRPr="00901848">
        <w:rPr>
          <w:lang w:val="es-ES_tradnl"/>
        </w:rPr>
        <w:tab/>
        <w:t xml:space="preserve">Redes de próxima generación: </w:t>
      </w:r>
      <w:proofErr w:type="spellStart"/>
      <w:r w:rsidRPr="00901848">
        <w:rPr>
          <w:lang w:val="es-ES_tradnl"/>
        </w:rPr>
        <w:t>Telecomunicacinoes</w:t>
      </w:r>
      <w:proofErr w:type="spellEnd"/>
      <w:r w:rsidRPr="00901848">
        <w:rPr>
          <w:lang w:val="es-ES_tradnl"/>
        </w:rPr>
        <w:t xml:space="preserve"> de emergencia – Consideraciones técnicas</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Y.2111:</w:t>
      </w:r>
      <w:r w:rsidRPr="00901848">
        <w:rPr>
          <w:lang w:val="es-ES_tradnl"/>
        </w:rPr>
        <w:tab/>
        <w:t>Funciones de control de recursos y admisión en las redes de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 xml:space="preserve">Y.2112: </w:t>
      </w:r>
      <w:r w:rsidRPr="00901848">
        <w:rPr>
          <w:lang w:val="es-ES_tradnl"/>
        </w:rPr>
        <w:tab/>
        <w:t xml:space="preserve">Arquitectura de control de la </w:t>
      </w:r>
      <w:proofErr w:type="spellStart"/>
      <w:r w:rsidRPr="00901848">
        <w:rPr>
          <w:lang w:val="es-ES_tradnl"/>
        </w:rPr>
        <w:t>QoS</w:t>
      </w:r>
      <w:proofErr w:type="spellEnd"/>
      <w:r w:rsidRPr="00901848">
        <w:rPr>
          <w:lang w:val="es-ES_tradnl"/>
        </w:rPr>
        <w:t xml:space="preserve"> para redes de acceso IP basadas en Ethernet  </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 xml:space="preserve">Y.2171: </w:t>
      </w:r>
      <w:r w:rsidRPr="00901848">
        <w:rPr>
          <w:lang w:val="es-ES_tradnl"/>
        </w:rPr>
        <w:tab/>
        <w:t>Niveles de prioridad del control de admisión en redes de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 xml:space="preserve">Y.2172: </w:t>
      </w:r>
      <w:r w:rsidRPr="00901848">
        <w:rPr>
          <w:lang w:val="es-ES_tradnl"/>
        </w:rPr>
        <w:tab/>
        <w:t>Niveles de prioridad de restablecimiento del servicio en las redes de próxima generación</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 xml:space="preserve">Y.2174: </w:t>
      </w:r>
      <w:r w:rsidRPr="00901848">
        <w:rPr>
          <w:lang w:val="es-ES_tradnl"/>
        </w:rPr>
        <w:tab/>
        <w:t>Arquitectura RACF distribuida para redes MPLS</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 xml:space="preserve">Y.2175: </w:t>
      </w:r>
      <w:r w:rsidRPr="00901848">
        <w:rPr>
          <w:lang w:val="es-ES_tradnl"/>
        </w:rPr>
        <w:tab/>
        <w:t xml:space="preserve">Arquitectura centralizada de la función de control de acceso radioeléctrico para redes medulares MPLS </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Y.3001:</w:t>
      </w:r>
      <w:r w:rsidRPr="00901848">
        <w:rPr>
          <w:lang w:val="es-ES_tradnl"/>
        </w:rPr>
        <w:tab/>
        <w:t>Redes futuras: Redes futuras: Objetivos y parámetros de diseño</w:t>
      </w:r>
    </w:p>
    <w:p w:rsidR="00013F68" w:rsidRPr="00901848" w:rsidRDefault="00013F68" w:rsidP="00ED6AF8">
      <w:pPr>
        <w:pStyle w:val="Enumlevel1"/>
        <w:tabs>
          <w:tab w:val="left" w:pos="567"/>
        </w:tabs>
        <w:ind w:left="1701" w:hanging="1701"/>
        <w:rPr>
          <w:lang w:val="es-ES_tradnl"/>
        </w:rPr>
      </w:pPr>
      <w:r w:rsidRPr="00901848">
        <w:rPr>
          <w:lang w:val="es-ES_tradnl"/>
        </w:rPr>
        <w:t>•</w:t>
      </w:r>
      <w:r w:rsidRPr="00901848">
        <w:rPr>
          <w:lang w:val="es-ES_tradnl"/>
        </w:rPr>
        <w:tab/>
        <w:t>Familia de Recomendaciones Y.3000</w:t>
      </w:r>
    </w:p>
    <w:p w:rsidR="00013F68" w:rsidRPr="004D2F38" w:rsidRDefault="00013F68" w:rsidP="004D2F38">
      <w:pPr>
        <w:pStyle w:val="Headingb0"/>
        <w:rPr>
          <w:sz w:val="21"/>
          <w:szCs w:val="21"/>
          <w:lang w:val="es-ES_tradnl"/>
        </w:rPr>
      </w:pPr>
      <w:r w:rsidRPr="004D2F38">
        <w:rPr>
          <w:sz w:val="21"/>
          <w:szCs w:val="21"/>
          <w:lang w:val="es-ES_tradnl"/>
        </w:rPr>
        <w:t>Documentos técnicos</w:t>
      </w:r>
    </w:p>
    <w:p w:rsidR="00013F68" w:rsidRPr="004D2F38" w:rsidRDefault="00A31E61" w:rsidP="004D2F38">
      <w:pPr>
        <w:pStyle w:val="Enumlevel1"/>
        <w:numPr>
          <w:ilvl w:val="0"/>
          <w:numId w:val="14"/>
        </w:numPr>
        <w:ind w:left="567" w:hanging="567"/>
        <w:rPr>
          <w:color w:val="000000"/>
          <w:lang w:val="en-US"/>
        </w:rPr>
      </w:pPr>
      <w:hyperlink r:id="rId116" w:history="1">
        <w:r w:rsidR="00013F68" w:rsidRPr="004D2F38">
          <w:rPr>
            <w:rStyle w:val="Hyperlink"/>
            <w:bCs/>
          </w:rPr>
          <w:t>Migration scenarios from legacy networks to NGN in developing countries</w:t>
        </w:r>
      </w:hyperlink>
      <w:r w:rsidR="00013F68" w:rsidRPr="004D2F38">
        <w:rPr>
          <w:lang w:val="en-US"/>
        </w:rPr>
        <w:t xml:space="preserve"> (2013).</w:t>
      </w:r>
    </w:p>
    <w:p w:rsidR="00013F68" w:rsidRPr="004D2F38" w:rsidRDefault="00013F68" w:rsidP="004D2F38">
      <w:pPr>
        <w:pStyle w:val="Enumlevel1"/>
        <w:numPr>
          <w:ilvl w:val="0"/>
          <w:numId w:val="37"/>
        </w:numPr>
        <w:tabs>
          <w:tab w:val="left" w:pos="567"/>
        </w:tabs>
        <w:ind w:left="567" w:hanging="567"/>
      </w:pPr>
      <w:r w:rsidRPr="004D2F38">
        <w:t xml:space="preserve">How to increase </w:t>
      </w:r>
      <w:proofErr w:type="spellStart"/>
      <w:r w:rsidRPr="004D2F38">
        <w:t>QoS</w:t>
      </w:r>
      <w:proofErr w:type="spellEnd"/>
      <w:r w:rsidRPr="004D2F38">
        <w:t>/</w:t>
      </w:r>
      <w:proofErr w:type="spellStart"/>
      <w:r w:rsidRPr="004D2F38">
        <w:t>QoE</w:t>
      </w:r>
      <w:proofErr w:type="spellEnd"/>
      <w:r w:rsidRPr="004D2F38">
        <w:t xml:space="preserve"> of IP based Platform (2013)</w:t>
      </w:r>
    </w:p>
    <w:p w:rsidR="00013F68" w:rsidRPr="004D2F38" w:rsidRDefault="00013F68" w:rsidP="004D2F38">
      <w:pPr>
        <w:pStyle w:val="Enumlevel1"/>
        <w:numPr>
          <w:ilvl w:val="0"/>
          <w:numId w:val="37"/>
        </w:numPr>
        <w:tabs>
          <w:tab w:val="left" w:pos="567"/>
        </w:tabs>
        <w:ind w:left="567" w:hanging="567"/>
      </w:pPr>
      <w:r w:rsidRPr="004D2F38">
        <w:t>Mobility Management in ITU-T: Its Current development and Next Steps Heading Towards Future Networks (2013)</w:t>
      </w:r>
    </w:p>
    <w:p w:rsidR="00013F68" w:rsidRPr="004D2F38" w:rsidRDefault="00013F68" w:rsidP="004D2F38">
      <w:pPr>
        <w:pStyle w:val="Enumlevel1"/>
        <w:numPr>
          <w:ilvl w:val="0"/>
          <w:numId w:val="37"/>
        </w:numPr>
        <w:tabs>
          <w:tab w:val="left" w:pos="567"/>
        </w:tabs>
        <w:ind w:left="567" w:hanging="567"/>
      </w:pPr>
      <w:proofErr w:type="spellStart"/>
      <w:r w:rsidRPr="004D2F38">
        <w:t>Multiconexión</w:t>
      </w:r>
      <w:proofErr w:type="spellEnd"/>
      <w:r w:rsidRPr="004D2F38">
        <w:t xml:space="preserve"> (2012)</w:t>
      </w:r>
    </w:p>
    <w:p w:rsidR="00013F68" w:rsidRPr="00A96787" w:rsidRDefault="00013F68" w:rsidP="003B5BC8">
      <w:pPr>
        <w:pStyle w:val="Heading4"/>
      </w:pPr>
      <w:proofErr w:type="spellStart"/>
      <w:r w:rsidRPr="00A96787">
        <w:t>Grupos</w:t>
      </w:r>
      <w:proofErr w:type="spellEnd"/>
      <w:r w:rsidRPr="00A96787">
        <w:t xml:space="preserve"> </w:t>
      </w:r>
      <w:proofErr w:type="spellStart"/>
      <w:r w:rsidRPr="00A96787">
        <w:t>relacionados</w:t>
      </w:r>
      <w:proofErr w:type="spellEnd"/>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17" w:history="1">
        <w:r w:rsidR="00013F68" w:rsidRPr="00903AEA">
          <w:rPr>
            <w:rStyle w:val="Hyperlink"/>
            <w:lang w:val="es-ES_tradnl"/>
          </w:rPr>
          <w:t>Grupo Regional de la Comisión de Estudio 13 del UIT-T para África</w:t>
        </w:r>
      </w:hyperlink>
      <w:r w:rsidR="00013F68" w:rsidRPr="00903AEA">
        <w:rPr>
          <w:rFonts w:eastAsia="Times New Roman" w:cs="Times New Roman"/>
          <w:szCs w:val="19"/>
          <w:lang w:val="es-ES_tradnl" w:eastAsia="en-US"/>
        </w:rPr>
        <w:t xml:space="preserve"> (SG13RG-AFR), establecido por la AMNT-12 (</w:t>
      </w:r>
      <w:proofErr w:type="spellStart"/>
      <w:r w:rsidR="00013F68" w:rsidRPr="00903AEA">
        <w:rPr>
          <w:rFonts w:eastAsia="Times New Roman" w:cs="Times New Roman"/>
          <w:szCs w:val="19"/>
          <w:lang w:val="es-ES_tradnl" w:eastAsia="en-US"/>
        </w:rPr>
        <w:t>Dubai</w:t>
      </w:r>
      <w:proofErr w:type="spellEnd"/>
      <w:r w:rsidR="00013F68" w:rsidRPr="00903AEA">
        <w:rPr>
          <w:rFonts w:eastAsia="Times New Roman" w:cs="Times New Roman"/>
          <w:szCs w:val="19"/>
          <w:lang w:val="es-ES_tradnl" w:eastAsia="en-US"/>
        </w:rPr>
        <w:t>)</w:t>
      </w:r>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18" w:history="1">
        <w:r w:rsidR="00013F68" w:rsidRPr="00903AEA">
          <w:rPr>
            <w:rStyle w:val="Hyperlink"/>
            <w:lang w:val="es-ES_tradnl"/>
          </w:rPr>
          <w:t>Grupo Temático sobre redes eléctricas inteligentes</w:t>
        </w:r>
      </w:hyperlink>
      <w:r w:rsidR="00013F68" w:rsidRPr="00903AEA">
        <w:rPr>
          <w:rFonts w:eastAsia="Times New Roman" w:cs="Times New Roman"/>
          <w:szCs w:val="19"/>
          <w:lang w:val="es-ES_tradnl" w:eastAsia="en-US"/>
        </w:rPr>
        <w:t> (FG Smart)</w:t>
      </w:r>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19" w:history="1">
        <w:r w:rsidR="00013F68" w:rsidRPr="00903AEA">
          <w:rPr>
            <w:rStyle w:val="Hyperlink"/>
            <w:lang w:val="es-ES_tradnl"/>
          </w:rPr>
          <w:t>Grupo temático sobre televisión por cable inteligente</w:t>
        </w:r>
      </w:hyperlink>
      <w:r w:rsidR="00013F68" w:rsidRPr="00903AEA">
        <w:rPr>
          <w:rFonts w:eastAsia="Times New Roman" w:cs="Times New Roman"/>
          <w:szCs w:val="19"/>
          <w:lang w:val="es-ES_tradnl" w:eastAsia="en-US"/>
        </w:rPr>
        <w:t xml:space="preserve"> (FG </w:t>
      </w:r>
      <w:proofErr w:type="spellStart"/>
      <w:r w:rsidR="00013F68" w:rsidRPr="00903AEA">
        <w:rPr>
          <w:rFonts w:eastAsia="Times New Roman" w:cs="Times New Roman"/>
          <w:szCs w:val="19"/>
          <w:lang w:val="es-ES_tradnl" w:eastAsia="en-US"/>
        </w:rPr>
        <w:t>SmartCable</w:t>
      </w:r>
      <w:proofErr w:type="spellEnd"/>
      <w:r w:rsidR="00013F68" w:rsidRPr="00903AEA">
        <w:rPr>
          <w:rFonts w:eastAsia="Times New Roman" w:cs="Times New Roman"/>
          <w:szCs w:val="19"/>
          <w:lang w:val="es-ES_tradnl" w:eastAsia="en-US"/>
        </w:rPr>
        <w:t>)</w:t>
      </w:r>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20" w:history="1">
        <w:r w:rsidR="00013F68" w:rsidRPr="00903AEA">
          <w:rPr>
            <w:rStyle w:val="Hyperlink"/>
            <w:lang w:val="es-ES_tradnl"/>
          </w:rPr>
          <w:t>Grupo Temático sobre reducción de la brecha: de la innovación a la normalización</w:t>
        </w:r>
      </w:hyperlink>
      <w:r w:rsidR="00013F68" w:rsidRPr="00903AEA">
        <w:rPr>
          <w:rFonts w:eastAsia="Times New Roman" w:cs="Times New Roman"/>
          <w:szCs w:val="19"/>
          <w:lang w:val="es-ES_tradnl" w:eastAsia="en-US"/>
        </w:rPr>
        <w:t xml:space="preserve"> (FG </w:t>
      </w:r>
      <w:proofErr w:type="spellStart"/>
      <w:r w:rsidR="00013F68" w:rsidRPr="00903AEA">
        <w:rPr>
          <w:rFonts w:eastAsia="Times New Roman" w:cs="Times New Roman"/>
          <w:szCs w:val="19"/>
          <w:lang w:val="es-ES_tradnl" w:eastAsia="en-US"/>
        </w:rPr>
        <w:t>Innovation</w:t>
      </w:r>
      <w:proofErr w:type="spellEnd"/>
      <w:r w:rsidR="00013F68" w:rsidRPr="00903AEA">
        <w:rPr>
          <w:rFonts w:eastAsia="Times New Roman" w:cs="Times New Roman"/>
          <w:szCs w:val="19"/>
          <w:lang w:val="es-ES_tradnl" w:eastAsia="en-US"/>
        </w:rPr>
        <w:t>).</w:t>
      </w:r>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21" w:history="1">
        <w:r w:rsidR="00013F68" w:rsidRPr="00903AEA">
          <w:rPr>
            <w:rStyle w:val="Hyperlink"/>
            <w:lang w:val="es-ES_tradnl"/>
          </w:rPr>
          <w:t>Grupo Temático sobre sistemas de socorro en casos de catástrofe, resistencia y recuperación de la red</w:t>
        </w:r>
      </w:hyperlink>
      <w:r w:rsidR="00013F68" w:rsidRPr="00903AEA">
        <w:rPr>
          <w:rFonts w:eastAsia="Times New Roman" w:cs="Times New Roman"/>
          <w:szCs w:val="19"/>
          <w:lang w:val="es-ES_tradnl" w:eastAsia="en-US"/>
        </w:rPr>
        <w:t> (FG-DR&amp;NRR)</w:t>
      </w:r>
    </w:p>
    <w:p w:rsidR="00013F68" w:rsidRPr="00903AEA" w:rsidRDefault="00A31E61" w:rsidP="003B5BC8">
      <w:pPr>
        <w:pStyle w:val="Enumlevel1"/>
        <w:numPr>
          <w:ilvl w:val="0"/>
          <w:numId w:val="38"/>
        </w:numPr>
        <w:ind w:left="567" w:hanging="567"/>
        <w:rPr>
          <w:rFonts w:eastAsia="Times New Roman" w:cs="Times New Roman"/>
          <w:bCs/>
          <w:szCs w:val="19"/>
          <w:lang w:val="es-ES_tradnl" w:eastAsia="en-US"/>
        </w:rPr>
      </w:pPr>
      <w:hyperlink r:id="rId122" w:history="1">
        <w:r w:rsidR="00013F68" w:rsidRPr="00903AEA">
          <w:rPr>
            <w:rStyle w:val="Hyperlink"/>
            <w:lang w:val="es-ES_tradnl"/>
          </w:rPr>
          <w:t>Grupo Temático sobre la capa de servicio M2M</w:t>
        </w:r>
      </w:hyperlink>
      <w:r w:rsidR="00013F68" w:rsidRPr="00903AEA">
        <w:rPr>
          <w:rFonts w:eastAsia="Times New Roman" w:cs="Times New Roman"/>
          <w:szCs w:val="19"/>
          <w:lang w:val="es-ES_tradnl" w:eastAsia="en-US"/>
        </w:rPr>
        <w:t xml:space="preserve"> (FG M2M)</w:t>
      </w:r>
    </w:p>
    <w:p w:rsidR="00013F68" w:rsidRPr="004E5B26" w:rsidRDefault="00A31E61" w:rsidP="003B5BC8">
      <w:pPr>
        <w:pStyle w:val="Enumlevel1"/>
        <w:numPr>
          <w:ilvl w:val="0"/>
          <w:numId w:val="38"/>
        </w:numPr>
        <w:ind w:left="567" w:hanging="567"/>
        <w:rPr>
          <w:rFonts w:eastAsia="Times New Roman" w:cs="Times New Roman"/>
          <w:bCs/>
          <w:szCs w:val="19"/>
          <w:lang w:val="es-ES_tradnl" w:eastAsia="en-US"/>
        </w:rPr>
      </w:pPr>
      <w:hyperlink r:id="rId123" w:history="1">
        <w:r w:rsidR="00013F68" w:rsidRPr="004E5B26">
          <w:rPr>
            <w:rStyle w:val="Hyperlink"/>
            <w:lang w:val="es-ES_tradnl"/>
          </w:rPr>
          <w:t>Actividad conjunta de coordinación sobre computación en nube</w:t>
        </w:r>
      </w:hyperlink>
      <w:r w:rsidR="00013F68" w:rsidRPr="004E5B26">
        <w:rPr>
          <w:lang w:val="es-ES_tradnl"/>
        </w:rPr>
        <w:t xml:space="preserve"> </w:t>
      </w:r>
      <w:r w:rsidR="00013F68" w:rsidRPr="004E5B26">
        <w:rPr>
          <w:rFonts w:eastAsia="Times New Roman" w:cs="Times New Roman"/>
          <w:szCs w:val="19"/>
          <w:lang w:val="es-ES_tradnl" w:eastAsia="en-US"/>
        </w:rPr>
        <w:t>(JCA-Cloud)</w:t>
      </w:r>
    </w:p>
    <w:p w:rsidR="00013F68" w:rsidRPr="00D70E3A" w:rsidRDefault="00A31E61" w:rsidP="003B5BC8">
      <w:pPr>
        <w:pStyle w:val="Enumlevel1"/>
        <w:numPr>
          <w:ilvl w:val="0"/>
          <w:numId w:val="38"/>
        </w:numPr>
        <w:ind w:left="567" w:hanging="567"/>
        <w:rPr>
          <w:rFonts w:eastAsia="Times New Roman" w:cs="Times New Roman"/>
          <w:bCs/>
          <w:szCs w:val="19"/>
          <w:lang w:val="es-ES_tradnl" w:eastAsia="en-US"/>
        </w:rPr>
      </w:pPr>
      <w:hyperlink r:id="rId124" w:history="1">
        <w:r w:rsidR="00013F68" w:rsidRPr="00D70E3A">
          <w:rPr>
            <w:rStyle w:val="Hyperlink"/>
            <w:lang w:val="es-ES_tradnl"/>
          </w:rPr>
          <w:t>Actividad de coordinación conjunta sobre TVIP</w:t>
        </w:r>
      </w:hyperlink>
      <w:r w:rsidR="003D35BE">
        <w:rPr>
          <w:lang w:val="es-ES_tradnl"/>
        </w:rPr>
        <w:t xml:space="preserve"> (JCA-IPTV)</w:t>
      </w:r>
    </w:p>
    <w:p w:rsidR="00013F68" w:rsidRPr="00CB1F2A" w:rsidRDefault="00A31E61" w:rsidP="003B5BC8">
      <w:pPr>
        <w:pStyle w:val="Enumlevel1"/>
        <w:numPr>
          <w:ilvl w:val="0"/>
          <w:numId w:val="38"/>
        </w:numPr>
        <w:ind w:left="567" w:hanging="567"/>
        <w:rPr>
          <w:rFonts w:eastAsia="Times New Roman" w:cs="Times New Roman"/>
          <w:bCs/>
          <w:szCs w:val="19"/>
          <w:lang w:val="es-ES_tradnl" w:eastAsia="en-US"/>
        </w:rPr>
      </w:pPr>
      <w:hyperlink r:id="rId125" w:history="1">
        <w:r w:rsidR="00013F68" w:rsidRPr="00CB1F2A">
          <w:rPr>
            <w:rStyle w:val="Hyperlink"/>
            <w:lang w:val="es-ES_tradnl"/>
          </w:rPr>
          <w:t>Actividad conjunta de coordinación sobre gestión de identidad</w:t>
        </w:r>
      </w:hyperlink>
      <w:r w:rsidR="003D35BE">
        <w:rPr>
          <w:lang w:val="es-ES_tradnl"/>
        </w:rPr>
        <w:t xml:space="preserve"> (JCA-</w:t>
      </w:r>
      <w:proofErr w:type="spellStart"/>
      <w:r w:rsidR="003D35BE">
        <w:rPr>
          <w:lang w:val="es-ES_tradnl"/>
        </w:rPr>
        <w:t>IdM</w:t>
      </w:r>
      <w:proofErr w:type="spellEnd"/>
      <w:r w:rsidR="003D35BE">
        <w:rPr>
          <w:lang w:val="es-ES_tradnl"/>
        </w:rPr>
        <w:t>)</w:t>
      </w:r>
    </w:p>
    <w:p w:rsidR="00013F68" w:rsidRPr="00735324" w:rsidRDefault="00A31E61" w:rsidP="003B5BC8">
      <w:pPr>
        <w:pStyle w:val="Enumlevel1"/>
        <w:numPr>
          <w:ilvl w:val="0"/>
          <w:numId w:val="38"/>
        </w:numPr>
        <w:ind w:left="567" w:hanging="567"/>
        <w:rPr>
          <w:rFonts w:eastAsia="Times New Roman" w:cs="Times New Roman"/>
          <w:bCs/>
          <w:szCs w:val="19"/>
          <w:lang w:val="es-ES_tradnl" w:eastAsia="en-US"/>
        </w:rPr>
      </w:pPr>
      <w:hyperlink r:id="rId126" w:history="1">
        <w:r w:rsidR="00013F68" w:rsidRPr="00735324">
          <w:rPr>
            <w:rStyle w:val="Hyperlink"/>
            <w:lang w:val="es-ES_tradnl"/>
          </w:rPr>
          <w:t>Iniciativa de normalización mundial – Televisión por IP</w:t>
        </w:r>
      </w:hyperlink>
      <w:r w:rsidR="003D35BE">
        <w:rPr>
          <w:lang w:val="es-ES_tradnl"/>
        </w:rPr>
        <w:t xml:space="preserve"> (IPTV-GSI)</w:t>
      </w:r>
    </w:p>
    <w:p w:rsidR="00013F68" w:rsidRPr="003D35BE" w:rsidRDefault="00A31E61" w:rsidP="003B5BC8">
      <w:pPr>
        <w:pStyle w:val="Enumlevel1"/>
        <w:numPr>
          <w:ilvl w:val="0"/>
          <w:numId w:val="38"/>
        </w:numPr>
        <w:ind w:left="567" w:hanging="567"/>
        <w:rPr>
          <w:rFonts w:eastAsia="Times New Roman" w:cs="Times New Roman"/>
          <w:bCs/>
          <w:szCs w:val="19"/>
          <w:lang w:val="es-ES_tradnl" w:eastAsia="en-US"/>
        </w:rPr>
      </w:pPr>
      <w:hyperlink r:id="rId127" w:history="1">
        <w:r w:rsidR="00013F68" w:rsidRPr="003D35BE">
          <w:rPr>
            <w:rStyle w:val="Hyperlink"/>
            <w:lang w:val="es-ES_tradnl"/>
          </w:rPr>
          <w:t xml:space="preserve">Iniciativa de normalización mundial – </w:t>
        </w:r>
        <w:r w:rsidR="003D35BE" w:rsidRPr="003D35BE">
          <w:rPr>
            <w:rStyle w:val="Hyperlink"/>
            <w:lang w:val="es-ES_tradnl"/>
          </w:rPr>
          <w:t>Internet de las cosas</w:t>
        </w:r>
      </w:hyperlink>
      <w:r w:rsidR="003D35BE">
        <w:rPr>
          <w:lang w:val="es-ES_tradnl"/>
        </w:rPr>
        <w:t xml:space="preserve"> (</w:t>
      </w:r>
      <w:proofErr w:type="spellStart"/>
      <w:r w:rsidR="003D35BE">
        <w:rPr>
          <w:lang w:val="es-ES_tradnl"/>
        </w:rPr>
        <w:t>IoT</w:t>
      </w:r>
      <w:proofErr w:type="spellEnd"/>
      <w:r w:rsidR="003D35BE">
        <w:rPr>
          <w:lang w:val="es-ES_tradnl"/>
        </w:rPr>
        <w:t>-GSI)</w:t>
      </w:r>
    </w:p>
    <w:p w:rsidR="00013F68" w:rsidRPr="003D35BE" w:rsidRDefault="00013F68" w:rsidP="003B5BC8">
      <w:pPr>
        <w:pStyle w:val="Enumlevel1"/>
        <w:numPr>
          <w:ilvl w:val="0"/>
          <w:numId w:val="38"/>
        </w:numPr>
        <w:ind w:left="567" w:hanging="567"/>
        <w:rPr>
          <w:rFonts w:eastAsia="Times New Roman" w:cs="Times New Roman"/>
          <w:bCs/>
          <w:szCs w:val="19"/>
          <w:lang w:val="es-ES_tradnl" w:eastAsia="en-US"/>
        </w:rPr>
      </w:pPr>
      <w:r w:rsidRPr="003D35BE">
        <w:rPr>
          <w:lang w:val="es-ES_tradnl"/>
        </w:rPr>
        <w:t>Actividad conjunta de coordinación sobre redes definidas por software (JCA-SDN</w:t>
      </w:r>
      <w:r w:rsidR="003D35BE">
        <w:rPr>
          <w:lang w:val="es-ES_tradnl"/>
        </w:rPr>
        <w:t>)</w:t>
      </w:r>
    </w:p>
    <w:p w:rsidR="00013F68" w:rsidRPr="00A96787" w:rsidRDefault="00013F68" w:rsidP="004B0037">
      <w:pPr>
        <w:pStyle w:val="Heading4"/>
      </w:pPr>
      <w:proofErr w:type="spellStart"/>
      <w:r w:rsidRPr="00A96787">
        <w:t>Manuales</w:t>
      </w:r>
      <w:proofErr w:type="spellEnd"/>
    </w:p>
    <w:p w:rsidR="00013F68" w:rsidRPr="004B0037" w:rsidRDefault="00013F68" w:rsidP="004B0037">
      <w:pPr>
        <w:pStyle w:val="Enumlevel1"/>
        <w:numPr>
          <w:ilvl w:val="0"/>
          <w:numId w:val="25"/>
        </w:numPr>
        <w:ind w:left="567" w:hanging="567"/>
      </w:pPr>
      <w:proofErr w:type="spellStart"/>
      <w:r w:rsidRPr="004B0037">
        <w:t>Redes</w:t>
      </w:r>
      <w:proofErr w:type="spellEnd"/>
      <w:r w:rsidR="004B0037">
        <w:t xml:space="preserve"> </w:t>
      </w:r>
      <w:proofErr w:type="spellStart"/>
      <w:r w:rsidR="004B0037">
        <w:t>futuras</w:t>
      </w:r>
      <w:proofErr w:type="spellEnd"/>
      <w:r w:rsidR="004B0037">
        <w:t xml:space="preserve"> (2012)</w:t>
      </w:r>
    </w:p>
    <w:p w:rsidR="00013F68" w:rsidRPr="004B0037" w:rsidRDefault="00013F68" w:rsidP="004B0037">
      <w:pPr>
        <w:pStyle w:val="Enumlevel1"/>
        <w:numPr>
          <w:ilvl w:val="0"/>
          <w:numId w:val="25"/>
        </w:numPr>
        <w:ind w:left="567" w:hanging="567"/>
        <w:rPr>
          <w:lang w:val="es-ES_tradnl"/>
        </w:rPr>
      </w:pPr>
      <w:r w:rsidRPr="004B0037">
        <w:rPr>
          <w:lang w:val="es-ES_tradnl"/>
        </w:rPr>
        <w:t>Despliegue de sistemas IMT-2000 (2003; segunda edición en examen</w:t>
      </w:r>
      <w:r w:rsidR="004B0037">
        <w:rPr>
          <w:lang w:val="es-ES_tradnl"/>
        </w:rPr>
        <w:t>)</w:t>
      </w:r>
    </w:p>
    <w:p w:rsidR="004B0037" w:rsidRDefault="00013F68" w:rsidP="004B0037">
      <w:pPr>
        <w:pStyle w:val="Enumlevel1"/>
        <w:numPr>
          <w:ilvl w:val="0"/>
          <w:numId w:val="25"/>
        </w:numPr>
        <w:ind w:left="567" w:hanging="567"/>
      </w:pPr>
      <w:proofErr w:type="spellStart"/>
      <w:r w:rsidRPr="004B0037">
        <w:t>Redes</w:t>
      </w:r>
      <w:proofErr w:type="spellEnd"/>
      <w:r w:rsidRPr="004B0037">
        <w:t xml:space="preserve"> </w:t>
      </w:r>
      <w:proofErr w:type="spellStart"/>
      <w:r w:rsidRPr="004B0037">
        <w:t>convergentes</w:t>
      </w:r>
      <w:proofErr w:type="spellEnd"/>
      <w:r w:rsidRPr="004B0037">
        <w:t xml:space="preserve"> </w:t>
      </w:r>
      <w:r w:rsidR="004B0037">
        <w:t>(2010)</w:t>
      </w:r>
    </w:p>
    <w:p w:rsidR="004B0037" w:rsidRPr="004B0037" w:rsidRDefault="004B0037" w:rsidP="004B0037"/>
    <w:p w:rsidR="00013F68" w:rsidRPr="00A96787" w:rsidRDefault="00013F68" w:rsidP="005A4281">
      <w:pPr>
        <w:rPr>
          <w:rFonts w:eastAsia="Times New Roman" w:cstheme="majorBidi"/>
          <w:bCs/>
          <w:szCs w:val="19"/>
          <w:lang w:val="es-ES" w:eastAsia="en-US"/>
        </w:rPr>
      </w:pPr>
      <w:r w:rsidRPr="00A96787">
        <w:rPr>
          <w:rFonts w:eastAsia="Times New Roman" w:cstheme="majorBidi"/>
          <w:szCs w:val="19"/>
          <w:lang w:val="es-ES" w:eastAsia="en-US"/>
        </w:rPr>
        <w:br w:type="page"/>
      </w:r>
    </w:p>
    <w:p w:rsidR="00013F68" w:rsidRPr="00901848" w:rsidRDefault="00013F68" w:rsidP="00810C2A">
      <w:pPr>
        <w:pStyle w:val="Heading1"/>
        <w:jc w:val="center"/>
        <w:rPr>
          <w:lang w:val="es-ES_tradnl"/>
        </w:rPr>
      </w:pPr>
      <w:bookmarkStart w:id="121" w:name="_Toc365036830"/>
      <w:bookmarkStart w:id="122" w:name="_Toc381259714"/>
      <w:r w:rsidRPr="00901848">
        <w:rPr>
          <w:lang w:val="es-ES_tradnl"/>
        </w:rPr>
        <w:lastRenderedPageBreak/>
        <w:t>Comisión de Estudio 15 del UIT-T ― Redes, tecnologías e infraestructuras de las redes de transporte, de acceso y domésticas</w:t>
      </w:r>
      <w:bookmarkEnd w:id="121"/>
      <w:bookmarkEnd w:id="122"/>
    </w:p>
    <w:p w:rsidR="00013F68" w:rsidRPr="00901848" w:rsidRDefault="00013F68" w:rsidP="00810C2A">
      <w:pPr>
        <w:pStyle w:val="Heading4"/>
        <w:rPr>
          <w:lang w:val="es-ES_tradnl"/>
        </w:rPr>
      </w:pPr>
      <w:r w:rsidRPr="00901848">
        <w:rPr>
          <w:lang w:val="es-ES_tradnl"/>
        </w:rPr>
        <w:t>Alcance</w:t>
      </w:r>
    </w:p>
    <w:p w:rsidR="00013F68" w:rsidRPr="00A96787" w:rsidRDefault="00013F68" w:rsidP="005A4281">
      <w:pPr>
        <w:rPr>
          <w:lang w:val="es-ES"/>
        </w:rPr>
      </w:pPr>
      <w:r w:rsidRPr="00A96787">
        <w:rPr>
          <w:rStyle w:val="hps"/>
          <w:lang w:val="es-ES"/>
        </w:rPr>
        <w:t>Las normas</w:t>
      </w:r>
      <w:r w:rsidRPr="00A96787">
        <w:rPr>
          <w:rStyle w:val="longtext"/>
          <w:lang w:val="es-ES"/>
        </w:rPr>
        <w:t xml:space="preserve"> </w:t>
      </w:r>
      <w:r w:rsidRPr="00A96787">
        <w:rPr>
          <w:rStyle w:val="hps"/>
          <w:lang w:val="es-ES"/>
        </w:rPr>
        <w:t>internacionales</w:t>
      </w:r>
      <w:r w:rsidRPr="00A96787">
        <w:rPr>
          <w:rStyle w:val="longtext"/>
          <w:lang w:val="es-ES"/>
        </w:rPr>
        <w:t xml:space="preserve"> </w:t>
      </w:r>
      <w:r w:rsidRPr="00A96787">
        <w:rPr>
          <w:rStyle w:val="hps"/>
          <w:lang w:val="es-ES"/>
        </w:rPr>
        <w:t>(Recomendaciones</w:t>
      </w:r>
      <w:r w:rsidRPr="00A96787">
        <w:rPr>
          <w:rStyle w:val="longtext"/>
          <w:lang w:val="es-ES"/>
        </w:rPr>
        <w:t xml:space="preserve"> </w:t>
      </w:r>
      <w:r w:rsidRPr="00A96787">
        <w:rPr>
          <w:rStyle w:val="hps"/>
          <w:lang w:val="es-ES"/>
        </w:rPr>
        <w:t>UIT</w:t>
      </w:r>
      <w:r w:rsidRPr="00A96787">
        <w:rPr>
          <w:rStyle w:val="longtext"/>
          <w:lang w:val="es-ES"/>
        </w:rPr>
        <w:t xml:space="preserve">-T) </w:t>
      </w:r>
      <w:r w:rsidRPr="00A96787">
        <w:rPr>
          <w:rStyle w:val="hps"/>
          <w:lang w:val="es-ES"/>
        </w:rPr>
        <w:t>elaboradas por</w:t>
      </w:r>
      <w:r w:rsidRPr="00A96787">
        <w:rPr>
          <w:rStyle w:val="longtext"/>
          <w:lang w:val="es-ES"/>
        </w:rPr>
        <w:t xml:space="preserve"> </w:t>
      </w:r>
      <w:r w:rsidRPr="00A96787">
        <w:rPr>
          <w:rStyle w:val="hps"/>
          <w:lang w:val="es-ES"/>
        </w:rPr>
        <w:t>la Comisión de Estudio</w:t>
      </w:r>
      <w:r w:rsidRPr="00A96787">
        <w:rPr>
          <w:rStyle w:val="longtext"/>
          <w:lang w:val="es-ES"/>
        </w:rPr>
        <w:t xml:space="preserve"> </w:t>
      </w:r>
      <w:r w:rsidRPr="00A96787">
        <w:rPr>
          <w:rStyle w:val="hps"/>
          <w:lang w:val="es-ES"/>
        </w:rPr>
        <w:t>15</w:t>
      </w:r>
      <w:r w:rsidRPr="00A96787">
        <w:rPr>
          <w:rStyle w:val="longtext"/>
          <w:lang w:val="es-ES"/>
        </w:rPr>
        <w:t xml:space="preserve"> </w:t>
      </w:r>
      <w:r w:rsidRPr="00A96787">
        <w:rPr>
          <w:rStyle w:val="hps"/>
          <w:lang w:val="es-ES"/>
        </w:rPr>
        <w:t>detallan</w:t>
      </w:r>
      <w:r w:rsidRPr="00A96787">
        <w:rPr>
          <w:rStyle w:val="longtext"/>
          <w:lang w:val="es-ES"/>
        </w:rPr>
        <w:t xml:space="preserve"> </w:t>
      </w:r>
      <w:r w:rsidRPr="00A96787">
        <w:rPr>
          <w:rStyle w:val="hps"/>
          <w:lang w:val="es-ES"/>
        </w:rPr>
        <w:t>las especificaciones técnicas</w:t>
      </w:r>
      <w:r w:rsidRPr="00A96787">
        <w:rPr>
          <w:rStyle w:val="longtext"/>
          <w:lang w:val="es-ES"/>
        </w:rPr>
        <w:t xml:space="preserve"> </w:t>
      </w:r>
      <w:r w:rsidRPr="00A96787">
        <w:rPr>
          <w:rStyle w:val="hps"/>
          <w:lang w:val="es-ES"/>
        </w:rPr>
        <w:t>que dan</w:t>
      </w:r>
      <w:r w:rsidRPr="00A96787">
        <w:rPr>
          <w:rStyle w:val="longtext"/>
          <w:lang w:val="es-ES"/>
        </w:rPr>
        <w:t xml:space="preserve"> </w:t>
      </w:r>
      <w:r w:rsidRPr="00A96787">
        <w:rPr>
          <w:rStyle w:val="hps"/>
          <w:lang w:val="es-ES"/>
        </w:rPr>
        <w:t>forma a la</w:t>
      </w:r>
      <w:r w:rsidRPr="00A96787">
        <w:rPr>
          <w:rStyle w:val="longtext"/>
          <w:lang w:val="es-ES"/>
        </w:rPr>
        <w:t xml:space="preserve"> </w:t>
      </w:r>
      <w:r w:rsidRPr="00A96787">
        <w:rPr>
          <w:rStyle w:val="hps"/>
          <w:lang w:val="es-ES"/>
        </w:rPr>
        <w:t>infraestructura de comunicación</w:t>
      </w:r>
      <w:r w:rsidRPr="00A96787">
        <w:rPr>
          <w:rStyle w:val="longtext"/>
          <w:lang w:val="es-ES"/>
        </w:rPr>
        <w:t xml:space="preserve"> </w:t>
      </w:r>
      <w:r w:rsidRPr="00A96787">
        <w:rPr>
          <w:rStyle w:val="hps"/>
          <w:lang w:val="es-ES"/>
        </w:rPr>
        <w:t>global.</w:t>
      </w:r>
      <w:r w:rsidRPr="00A96787">
        <w:rPr>
          <w:rStyle w:val="longtext"/>
          <w:lang w:val="es-ES"/>
        </w:rPr>
        <w:t xml:space="preserve"> </w:t>
      </w:r>
      <w:r w:rsidRPr="00A96787">
        <w:rPr>
          <w:rStyle w:val="hps"/>
          <w:lang w:val="es-ES"/>
        </w:rPr>
        <w:t>Las normas del</w:t>
      </w:r>
      <w:r w:rsidRPr="00A96787">
        <w:rPr>
          <w:rStyle w:val="longtext"/>
          <w:lang w:val="es-ES"/>
        </w:rPr>
        <w:t xml:space="preserve"> </w:t>
      </w:r>
      <w:r w:rsidRPr="00A96787">
        <w:rPr>
          <w:rStyle w:val="hps"/>
          <w:lang w:val="es-ES"/>
        </w:rPr>
        <w:t>grupo</w:t>
      </w:r>
      <w:r w:rsidRPr="00A96787">
        <w:rPr>
          <w:rStyle w:val="longtext"/>
          <w:lang w:val="es-ES"/>
        </w:rPr>
        <w:t xml:space="preserve"> </w:t>
      </w:r>
      <w:r w:rsidRPr="00A96787">
        <w:rPr>
          <w:rStyle w:val="hps"/>
          <w:lang w:val="es-ES"/>
        </w:rPr>
        <w:t>definen</w:t>
      </w:r>
      <w:r w:rsidRPr="00A96787">
        <w:rPr>
          <w:rStyle w:val="longtext"/>
          <w:lang w:val="es-ES"/>
        </w:rPr>
        <w:t xml:space="preserve"> </w:t>
      </w:r>
      <w:r w:rsidRPr="00A96787">
        <w:rPr>
          <w:rStyle w:val="hps"/>
          <w:lang w:val="es-ES"/>
        </w:rPr>
        <w:t>las tecnologías</w:t>
      </w:r>
      <w:r w:rsidRPr="00A96787">
        <w:rPr>
          <w:rStyle w:val="longtext"/>
          <w:lang w:val="es-ES"/>
        </w:rPr>
        <w:t xml:space="preserve"> </w:t>
      </w:r>
      <w:r w:rsidRPr="00A96787">
        <w:rPr>
          <w:rStyle w:val="hps"/>
          <w:lang w:val="es-ES"/>
        </w:rPr>
        <w:t>y arquitecturas</w:t>
      </w:r>
      <w:r w:rsidRPr="00A96787">
        <w:rPr>
          <w:rStyle w:val="longtext"/>
          <w:lang w:val="es-ES"/>
        </w:rPr>
        <w:t xml:space="preserve"> </w:t>
      </w:r>
      <w:r w:rsidRPr="00A96787">
        <w:rPr>
          <w:rStyle w:val="hps"/>
          <w:lang w:val="es-ES"/>
        </w:rPr>
        <w:t>de</w:t>
      </w:r>
      <w:r w:rsidRPr="00A96787">
        <w:rPr>
          <w:rStyle w:val="longtext"/>
          <w:lang w:val="es-ES"/>
        </w:rPr>
        <w:t xml:space="preserve"> las </w:t>
      </w:r>
      <w:r w:rsidRPr="00A96787">
        <w:rPr>
          <w:rStyle w:val="hps"/>
          <w:lang w:val="es-ES"/>
        </w:rPr>
        <w:t>redes de transporte de fibra</w:t>
      </w:r>
      <w:r w:rsidRPr="00A96787">
        <w:rPr>
          <w:rStyle w:val="longtext"/>
          <w:lang w:val="es-ES"/>
        </w:rPr>
        <w:t xml:space="preserve"> </w:t>
      </w:r>
      <w:r w:rsidRPr="00A96787">
        <w:rPr>
          <w:rStyle w:val="hps"/>
          <w:lang w:val="es-ES"/>
        </w:rPr>
        <w:t>óptica</w:t>
      </w:r>
      <w:r w:rsidRPr="00A96787">
        <w:rPr>
          <w:rStyle w:val="longtext"/>
          <w:lang w:val="es-ES"/>
        </w:rPr>
        <w:t xml:space="preserve"> </w:t>
      </w:r>
      <w:r w:rsidRPr="00A96787">
        <w:rPr>
          <w:rStyle w:val="hps"/>
          <w:lang w:val="es-ES"/>
        </w:rPr>
        <w:t>que permiten</w:t>
      </w:r>
      <w:r w:rsidRPr="00A96787">
        <w:rPr>
          <w:rStyle w:val="longtext"/>
          <w:lang w:val="es-ES"/>
        </w:rPr>
        <w:t xml:space="preserve"> </w:t>
      </w:r>
      <w:r w:rsidRPr="00A96787">
        <w:rPr>
          <w:rStyle w:val="hps"/>
          <w:lang w:val="es-ES"/>
        </w:rPr>
        <w:t>el intercambio de información</w:t>
      </w:r>
      <w:r w:rsidRPr="00A96787">
        <w:rPr>
          <w:rStyle w:val="longtext"/>
          <w:lang w:val="es-ES"/>
        </w:rPr>
        <w:t xml:space="preserve"> </w:t>
      </w:r>
      <w:r w:rsidRPr="00A96787">
        <w:rPr>
          <w:rStyle w:val="hps"/>
          <w:lang w:val="es-ES"/>
        </w:rPr>
        <w:t>mundial</w:t>
      </w:r>
      <w:r w:rsidRPr="00A96787">
        <w:rPr>
          <w:rStyle w:val="longtext"/>
          <w:lang w:val="es-ES"/>
        </w:rPr>
        <w:t xml:space="preserve"> </w:t>
      </w:r>
      <w:r w:rsidRPr="00A96787">
        <w:rPr>
          <w:rStyle w:val="hps"/>
          <w:lang w:val="es-ES"/>
        </w:rPr>
        <w:t>a larga distancia</w:t>
      </w:r>
      <w:r w:rsidRPr="00A96787">
        <w:rPr>
          <w:rStyle w:val="longtext"/>
          <w:lang w:val="es-ES"/>
        </w:rPr>
        <w:t xml:space="preserve">, y el establecimiento de las </w:t>
      </w:r>
      <w:r w:rsidRPr="00A96787">
        <w:rPr>
          <w:lang w:val="es-ES"/>
        </w:rPr>
        <w:t>redes de acceso de hilo</w:t>
      </w:r>
      <w:r w:rsidRPr="00A96787">
        <w:rPr>
          <w:rStyle w:val="longtext"/>
          <w:lang w:val="es-ES"/>
        </w:rPr>
        <w:t xml:space="preserve"> </w:t>
      </w:r>
      <w:r w:rsidRPr="00A96787">
        <w:rPr>
          <w:rStyle w:val="hps"/>
          <w:lang w:val="es-ES"/>
        </w:rPr>
        <w:t>de cobre o fibra óptica</w:t>
      </w:r>
      <w:r w:rsidRPr="00A96787">
        <w:rPr>
          <w:rStyle w:val="longtext"/>
          <w:lang w:val="es-ES"/>
        </w:rPr>
        <w:t xml:space="preserve"> </w:t>
      </w:r>
      <w:r w:rsidRPr="00A96787">
        <w:rPr>
          <w:rStyle w:val="hps"/>
          <w:lang w:val="es-ES"/>
        </w:rPr>
        <w:t>a través de las cuales</w:t>
      </w:r>
      <w:r w:rsidRPr="00A96787">
        <w:rPr>
          <w:rStyle w:val="longtext"/>
          <w:lang w:val="es-ES"/>
        </w:rPr>
        <w:t xml:space="preserve"> </w:t>
      </w:r>
      <w:r w:rsidRPr="00A96787">
        <w:rPr>
          <w:rStyle w:val="hps"/>
          <w:lang w:val="es-ES"/>
        </w:rPr>
        <w:t>se conectan los abonados</w:t>
      </w:r>
      <w:r w:rsidRPr="00A96787">
        <w:rPr>
          <w:rStyle w:val="longtext"/>
          <w:lang w:val="es-ES"/>
        </w:rPr>
        <w:t xml:space="preserve">, así como de </w:t>
      </w:r>
      <w:r w:rsidRPr="00A96787">
        <w:rPr>
          <w:rStyle w:val="hps"/>
          <w:lang w:val="es-ES"/>
        </w:rPr>
        <w:t>las redes domésticas</w:t>
      </w:r>
      <w:r w:rsidRPr="00A96787">
        <w:rPr>
          <w:rStyle w:val="longtext"/>
          <w:lang w:val="es-ES"/>
        </w:rPr>
        <w:t xml:space="preserve"> </w:t>
      </w:r>
      <w:r w:rsidRPr="00A96787">
        <w:rPr>
          <w:rStyle w:val="hps"/>
          <w:lang w:val="es-ES"/>
        </w:rPr>
        <w:t>para la conexión</w:t>
      </w:r>
      <w:r w:rsidRPr="00A96787">
        <w:rPr>
          <w:rStyle w:val="longtext"/>
          <w:lang w:val="es-ES"/>
        </w:rPr>
        <w:t xml:space="preserve"> </w:t>
      </w:r>
      <w:r w:rsidRPr="00A96787">
        <w:rPr>
          <w:rStyle w:val="hps"/>
          <w:lang w:val="es-ES"/>
        </w:rPr>
        <w:t>de</w:t>
      </w:r>
      <w:r w:rsidRPr="00A96787">
        <w:rPr>
          <w:rStyle w:val="longtext"/>
          <w:lang w:val="es-ES"/>
        </w:rPr>
        <w:t xml:space="preserve"> </w:t>
      </w:r>
      <w:r w:rsidRPr="00A96787">
        <w:rPr>
          <w:rStyle w:val="hps"/>
          <w:lang w:val="es-ES"/>
        </w:rPr>
        <w:t>dispositivos en los</w:t>
      </w:r>
      <w:r w:rsidRPr="00A96787">
        <w:rPr>
          <w:rStyle w:val="longtext"/>
          <w:lang w:val="es-ES"/>
        </w:rPr>
        <w:t xml:space="preserve"> </w:t>
      </w:r>
      <w:r w:rsidRPr="00A96787">
        <w:rPr>
          <w:rStyle w:val="hps"/>
          <w:lang w:val="es-ES"/>
        </w:rPr>
        <w:t>locales del cliente</w:t>
      </w:r>
      <w:r w:rsidRPr="00A96787">
        <w:rPr>
          <w:rStyle w:val="longtext"/>
          <w:lang w:val="es-ES"/>
        </w:rPr>
        <w:t xml:space="preserve"> y la comunicación </w:t>
      </w:r>
      <w:r w:rsidRPr="00A96787">
        <w:rPr>
          <w:rStyle w:val="hps"/>
          <w:lang w:val="es-ES"/>
        </w:rPr>
        <w:t>con el mundo exterior</w:t>
      </w:r>
      <w:r w:rsidRPr="00A96787">
        <w:rPr>
          <w:rStyle w:val="longtext"/>
          <w:lang w:val="es-ES"/>
        </w:rPr>
        <w:t>.</w:t>
      </w:r>
    </w:p>
    <w:p w:rsidR="00013F68" w:rsidRPr="00A96787" w:rsidRDefault="00013F68" w:rsidP="005A4281">
      <w:pPr>
        <w:rPr>
          <w:lang w:val="es-ES"/>
        </w:rPr>
      </w:pPr>
      <w:r>
        <w:rPr>
          <w:lang w:val="es-ES"/>
        </w:rPr>
        <w:t xml:space="preserve">La </w:t>
      </w:r>
      <w:r w:rsidRPr="00A96787">
        <w:rPr>
          <w:lang w:val="es-ES"/>
        </w:rPr>
        <w:t>Comisión de Estudio 15</w:t>
      </w:r>
      <w:r>
        <w:rPr>
          <w:lang w:val="es-ES"/>
        </w:rPr>
        <w:t xml:space="preserve"> del UIT-T</w:t>
      </w:r>
      <w:r w:rsidRPr="00A96787">
        <w:rPr>
          <w:lang w:val="es-ES"/>
        </w:rPr>
        <w:t xml:space="preserve"> es la responsable de la elaboración de normas sobre infraestructuras de redes ópticas de transporte, de acceso, domésticas y de suministro de energía eléctrica; sistemas, equipos, fibras ópticas y cables; e instalación, mantenimiento, gestión, pruebas y técnicas de instrumentación y medición correspondientes. Del mismo modo, genera normas aplicables a las tecnologías del plano de control que facilitan la evolución hacia las redes de transporte inteligentes, incluido el soporte de aplicaciones de redes eléctricas inteligentes. Entre sus funciones se incluye asimismo el desarrollo de las normas pertinentes relativas a las instalaciones de abonado, el acceso, las secciones metropolitanas y las de larga distancia de las redes de comunicación, así como a las redes de suministro de energía eléctrica y las infraestructuras desde las de transmisión a las de carga.</w:t>
      </w:r>
    </w:p>
    <w:p w:rsidR="00013F68" w:rsidRPr="00A96787" w:rsidRDefault="00013F68" w:rsidP="00810C2A">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901848" w:rsidRDefault="00013F68" w:rsidP="00810C2A">
      <w:pPr>
        <w:pStyle w:val="Enumlevel1"/>
        <w:numPr>
          <w:ilvl w:val="0"/>
          <w:numId w:val="26"/>
        </w:numPr>
        <w:ind w:left="567" w:hanging="567"/>
        <w:rPr>
          <w:lang w:val="es-ES_tradnl"/>
        </w:rPr>
      </w:pPr>
      <w:r w:rsidRPr="00901848">
        <w:rPr>
          <w:lang w:val="es-ES_tradnl"/>
        </w:rPr>
        <w:t>Comisión de Estudio Rectora sobre transporte en redes de acceso.</w:t>
      </w:r>
    </w:p>
    <w:p w:rsidR="00013F68" w:rsidRPr="00901848" w:rsidRDefault="00013F68" w:rsidP="00810C2A">
      <w:pPr>
        <w:pStyle w:val="Enumlevel1"/>
        <w:numPr>
          <w:ilvl w:val="0"/>
          <w:numId w:val="26"/>
        </w:numPr>
        <w:ind w:left="567" w:hanging="567"/>
        <w:rPr>
          <w:lang w:val="es-ES_tradnl"/>
        </w:rPr>
      </w:pPr>
      <w:r w:rsidRPr="00901848">
        <w:rPr>
          <w:lang w:val="es-ES_tradnl"/>
        </w:rPr>
        <w:t>Comisión de Estudio Rectora sobre tecnología óptica.</w:t>
      </w:r>
    </w:p>
    <w:p w:rsidR="00013F68" w:rsidRPr="00901848" w:rsidRDefault="00013F68" w:rsidP="00810C2A">
      <w:pPr>
        <w:pStyle w:val="Enumlevel1"/>
        <w:numPr>
          <w:ilvl w:val="0"/>
          <w:numId w:val="26"/>
        </w:numPr>
        <w:ind w:left="567" w:hanging="567"/>
        <w:rPr>
          <w:lang w:val="es-ES_tradnl"/>
        </w:rPr>
      </w:pPr>
      <w:r w:rsidRPr="00901848">
        <w:rPr>
          <w:lang w:val="es-ES_tradnl"/>
        </w:rPr>
        <w:t>Comisión de Estudio Rectora sobre redes de transporte ópticas.</w:t>
      </w:r>
    </w:p>
    <w:p w:rsidR="00013F68" w:rsidRPr="00901848" w:rsidRDefault="00013F68" w:rsidP="00810C2A">
      <w:pPr>
        <w:pStyle w:val="Enumlevel1"/>
        <w:numPr>
          <w:ilvl w:val="0"/>
          <w:numId w:val="26"/>
        </w:numPr>
        <w:ind w:left="567" w:hanging="567"/>
        <w:rPr>
          <w:lang w:val="es-ES_tradnl"/>
        </w:rPr>
      </w:pPr>
      <w:r w:rsidRPr="00901848">
        <w:rPr>
          <w:lang w:val="es-ES_tradnl"/>
        </w:rPr>
        <w:t>Comisión de Estudio rectora sobre redes eléctricas inteligentes</w:t>
      </w:r>
    </w:p>
    <w:p w:rsidR="00013F68" w:rsidRPr="00901848" w:rsidRDefault="00013F68" w:rsidP="00810C2A">
      <w:pPr>
        <w:pStyle w:val="Heading4"/>
        <w:keepNext w:val="0"/>
        <w:rPr>
          <w:lang w:val="es-ES_tradnl"/>
        </w:rPr>
      </w:pPr>
      <w:r w:rsidRPr="00901848">
        <w:rPr>
          <w:lang w:val="es-ES_tradnl"/>
        </w:rPr>
        <w:t>Estructura de la Comisión de Estudio 15</w:t>
      </w:r>
    </w:p>
    <w:p w:rsidR="00810C2A" w:rsidRPr="00901848" w:rsidRDefault="00810C2A" w:rsidP="00810C2A">
      <w:pPr>
        <w:pStyle w:val="Figuretitle"/>
        <w:keepNext w:val="0"/>
        <w:rPr>
          <w:lang w:val="es-ES_tradnl"/>
        </w:rPr>
      </w:pPr>
    </w:p>
    <w:p w:rsidR="00810C2A" w:rsidRDefault="00810C2A" w:rsidP="00810C2A">
      <w:pPr>
        <w:pStyle w:val="Figure"/>
        <w:keepNext w:val="0"/>
      </w:pPr>
      <w:r>
        <w:rPr>
          <w:noProof/>
          <w:lang w:val="en-US" w:eastAsia="zh-CN"/>
        </w:rPr>
        <w:drawing>
          <wp:inline distT="0" distB="0" distL="0" distR="0" wp14:anchorId="3E94DB69" wp14:editId="6FB23324">
            <wp:extent cx="3487420" cy="284099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87420" cy="2840990"/>
                    </a:xfrm>
                    <a:prstGeom prst="rect">
                      <a:avLst/>
                    </a:prstGeom>
                    <a:noFill/>
                  </pic:spPr>
                </pic:pic>
              </a:graphicData>
            </a:graphic>
          </wp:inline>
        </w:drawing>
      </w:r>
    </w:p>
    <w:p w:rsidR="00810C2A" w:rsidRPr="00837668" w:rsidRDefault="00810C2A" w:rsidP="00810C2A">
      <w:pPr>
        <w:pStyle w:val="figuresource"/>
        <w:keepNext w:val="0"/>
        <w:rPr>
          <w:lang w:val="en-US"/>
        </w:rPr>
      </w:pPr>
    </w:p>
    <w:p w:rsidR="00013F68" w:rsidRPr="00901848" w:rsidRDefault="00013F68" w:rsidP="001E719E">
      <w:pPr>
        <w:pStyle w:val="Heading4"/>
        <w:rPr>
          <w:lang w:val="es-ES_tradnl"/>
        </w:rPr>
      </w:pPr>
      <w:r w:rsidRPr="00901848">
        <w:rPr>
          <w:lang w:val="es-ES_tradnl"/>
        </w:rPr>
        <w:lastRenderedPageBreak/>
        <w:t>Cuestiones</w:t>
      </w:r>
    </w:p>
    <w:p w:rsidR="00013F68" w:rsidRPr="00901848" w:rsidRDefault="00013F68" w:rsidP="001E719E">
      <w:pPr>
        <w:pStyle w:val="Enumlevel1"/>
        <w:tabs>
          <w:tab w:val="left" w:pos="567"/>
        </w:tabs>
        <w:ind w:left="1701" w:hanging="1701"/>
        <w:rPr>
          <w:lang w:val="es-ES_tradnl"/>
        </w:rPr>
      </w:pPr>
      <w:r w:rsidRPr="00901848">
        <w:rPr>
          <w:lang w:val="es-ES_tradnl"/>
        </w:rPr>
        <w:t>•</w:t>
      </w:r>
      <w:r w:rsidRPr="00901848">
        <w:rPr>
          <w:lang w:val="es-ES_tradnl"/>
        </w:rPr>
        <w:tab/>
        <w:t>C1/15:</w:t>
      </w:r>
      <w:r w:rsidRPr="00901848">
        <w:rPr>
          <w:lang w:val="es-ES_tradnl"/>
        </w:rPr>
        <w:tab/>
        <w:t>Coordinación de las normas sobre el transporte en la red doméstica y en la red de acceso (continuación del trabajo de la C1/15)</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C2/15:</w:t>
      </w:r>
      <w:r w:rsidRPr="00901848">
        <w:rPr>
          <w:lang w:val="es-ES_tradnl"/>
        </w:rPr>
        <w:tab/>
        <w:t>Sistemas ópticos para redes de acceso por fibra óptica (continuación del trabajo de la C2/15)</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C5/15:</w:t>
      </w:r>
      <w:r w:rsidRPr="00901848">
        <w:rPr>
          <w:lang w:val="es-ES_tradnl"/>
        </w:rPr>
        <w:tab/>
        <w:t>Características y métodos de prueba de los cables y fibras ópticas (continuación del trabajo de la C5/15)</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C6/15:</w:t>
      </w:r>
      <w:r w:rsidRPr="00901848">
        <w:rPr>
          <w:lang w:val="es-ES_tradnl"/>
        </w:rPr>
        <w:tab/>
        <w:t>Características de los sistemas ópticos en las redes de transporte terrenales (continuación del trabajo de la C6/15)</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C7/15:</w:t>
      </w:r>
      <w:r w:rsidRPr="00901848">
        <w:rPr>
          <w:lang w:val="es-ES_tradnl"/>
        </w:rPr>
        <w:tab/>
        <w:t>Características de los componentes y subsistemas ópticos (continuación parcial del trabajo de la C7/15)</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C8/15:</w:t>
      </w:r>
      <w:r w:rsidRPr="00901848">
        <w:rPr>
          <w:lang w:val="es-ES_tradnl"/>
        </w:rPr>
        <w:tab/>
        <w:t>Características de los sistemas de cables submarinos de fibra óptica (continuación del trabajo de la C8/15)</w:t>
      </w:r>
    </w:p>
    <w:p w:rsidR="00013F68" w:rsidRPr="001E719E" w:rsidRDefault="00013F68" w:rsidP="00185667">
      <w:pPr>
        <w:pStyle w:val="Enumlevel1"/>
        <w:tabs>
          <w:tab w:val="left" w:pos="567"/>
        </w:tabs>
        <w:spacing w:before="80"/>
        <w:ind w:left="1701" w:hanging="1701"/>
        <w:rPr>
          <w:lang w:val="es-ES_tradnl"/>
        </w:rPr>
      </w:pPr>
      <w:r w:rsidRPr="001E719E">
        <w:rPr>
          <w:lang w:val="es-ES_tradnl"/>
        </w:rPr>
        <w:t>•</w:t>
      </w:r>
      <w:r w:rsidRPr="001E719E">
        <w:rPr>
          <w:lang w:val="es-ES_tradnl"/>
        </w:rPr>
        <w:tab/>
        <w:t xml:space="preserve">C13/15: </w:t>
      </w:r>
      <w:r w:rsidR="001E719E" w:rsidRPr="001E719E">
        <w:rPr>
          <w:lang w:val="es-ES_tradnl"/>
        </w:rPr>
        <w:tab/>
      </w:r>
      <w:r w:rsidRPr="001E719E">
        <w:rPr>
          <w:lang w:val="es-ES_tradnl"/>
        </w:rPr>
        <w:t>Sincronización de redes y calidad de funcionamiento de la distribución de señales horarias (continuación del trabajo de la C13/15 y la C15/15)</w:t>
      </w:r>
    </w:p>
    <w:p w:rsidR="00013F68" w:rsidRPr="001E719E" w:rsidRDefault="00013F68" w:rsidP="00185667">
      <w:pPr>
        <w:pStyle w:val="Enumlevel1"/>
        <w:tabs>
          <w:tab w:val="left" w:pos="567"/>
        </w:tabs>
        <w:spacing w:before="80"/>
        <w:ind w:left="1701" w:hanging="1701"/>
        <w:rPr>
          <w:lang w:val="es-ES_tradnl"/>
        </w:rPr>
      </w:pPr>
      <w:r w:rsidRPr="001E719E">
        <w:rPr>
          <w:lang w:val="es-ES_tradnl"/>
        </w:rPr>
        <w:t>•</w:t>
      </w:r>
      <w:r w:rsidRPr="001E719E">
        <w:rPr>
          <w:lang w:val="es-ES_tradnl"/>
        </w:rPr>
        <w:tab/>
        <w:t xml:space="preserve">C15/15: </w:t>
      </w:r>
      <w:r w:rsidR="001E719E" w:rsidRPr="001E719E">
        <w:rPr>
          <w:lang w:val="es-ES_tradnl"/>
        </w:rPr>
        <w:tab/>
      </w:r>
      <w:r w:rsidRPr="001E719E">
        <w:rPr>
          <w:lang w:val="es-ES_tradnl"/>
        </w:rPr>
        <w:t>Comunicaciones para redes eléctricas inteligentes (continuación del trabajo de la C4c/15)</w:t>
      </w:r>
    </w:p>
    <w:p w:rsidR="00013F68" w:rsidRPr="001E719E" w:rsidRDefault="00013F68" w:rsidP="00185667">
      <w:pPr>
        <w:pStyle w:val="Enumlevel1"/>
        <w:tabs>
          <w:tab w:val="left" w:pos="567"/>
        </w:tabs>
        <w:spacing w:before="80"/>
        <w:ind w:left="1701" w:hanging="1701"/>
        <w:rPr>
          <w:lang w:val="es-ES_tradnl"/>
        </w:rPr>
      </w:pPr>
      <w:r w:rsidRPr="001E719E">
        <w:rPr>
          <w:lang w:val="es-ES_tradnl"/>
        </w:rPr>
        <w:t>•</w:t>
      </w:r>
      <w:r w:rsidRPr="001E719E">
        <w:rPr>
          <w:lang w:val="es-ES_tradnl"/>
        </w:rPr>
        <w:tab/>
        <w:t xml:space="preserve">C17/15: </w:t>
      </w:r>
      <w:r w:rsidR="001E719E" w:rsidRPr="001E719E">
        <w:rPr>
          <w:lang w:val="es-ES_tradnl"/>
        </w:rPr>
        <w:tab/>
      </w:r>
      <w:r w:rsidRPr="001E719E">
        <w:rPr>
          <w:lang w:val="es-ES_tradnl"/>
        </w:rPr>
        <w:t>Mantenimiento y funcionamiento de redes de cable de fibra óptica (continuación del trabajo de la C17/15)</w:t>
      </w:r>
    </w:p>
    <w:p w:rsidR="00013F68" w:rsidRPr="00901848" w:rsidRDefault="00013F68" w:rsidP="001E719E">
      <w:pPr>
        <w:pStyle w:val="Heading4"/>
        <w:rPr>
          <w:lang w:val="es-ES_tradnl"/>
        </w:rPr>
      </w:pPr>
      <w:r w:rsidRPr="00901848">
        <w:rPr>
          <w:lang w:val="es-ES_tradnl"/>
        </w:rPr>
        <w:t>Recomendaciones</w:t>
      </w:r>
    </w:p>
    <w:p w:rsidR="00013F68" w:rsidRPr="001240DD" w:rsidRDefault="00013F68" w:rsidP="001240DD">
      <w:pPr>
        <w:pStyle w:val="Headingb0"/>
        <w:rPr>
          <w:sz w:val="21"/>
          <w:szCs w:val="21"/>
          <w:lang w:val="es-ES_tradnl"/>
        </w:rPr>
      </w:pPr>
      <w:r w:rsidRPr="001240DD">
        <w:rPr>
          <w:sz w:val="21"/>
          <w:szCs w:val="21"/>
          <w:lang w:val="es-ES_tradnl"/>
        </w:rPr>
        <w:t>Serie G: Sistemas y medios de transmisión, sistemas y redes digitales</w:t>
      </w:r>
    </w:p>
    <w:p w:rsidR="00013F68" w:rsidRPr="00901848" w:rsidRDefault="00013F68" w:rsidP="001240DD">
      <w:pPr>
        <w:pStyle w:val="Enumlevel1"/>
        <w:tabs>
          <w:tab w:val="left" w:pos="567"/>
        </w:tabs>
        <w:ind w:left="1701" w:hanging="1701"/>
        <w:rPr>
          <w:lang w:val="es-ES_tradnl"/>
        </w:rPr>
      </w:pPr>
      <w:r w:rsidRPr="00901848">
        <w:rPr>
          <w:lang w:val="es-ES_tradnl"/>
        </w:rPr>
        <w:t>•</w:t>
      </w:r>
      <w:r w:rsidRPr="00901848">
        <w:rPr>
          <w:lang w:val="es-ES_tradnl"/>
        </w:rPr>
        <w:tab/>
        <w:t>G. 981:</w:t>
      </w:r>
      <w:r w:rsidRPr="00901848">
        <w:rPr>
          <w:lang w:val="es-ES_tradnl"/>
        </w:rPr>
        <w:tab/>
        <w:t xml:space="preserve">Sistemas de línea óptica de la jerarquía digital </w:t>
      </w:r>
      <w:proofErr w:type="spellStart"/>
      <w:r w:rsidRPr="00901848">
        <w:rPr>
          <w:lang w:val="es-ES_tradnl"/>
        </w:rPr>
        <w:t>plesiócrona</w:t>
      </w:r>
      <w:proofErr w:type="spellEnd"/>
      <w:r w:rsidRPr="00901848">
        <w:rPr>
          <w:lang w:val="es-ES_tradnl"/>
        </w:rPr>
        <w:t xml:space="preserve"> para la red local</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G.983.1:</w:t>
      </w:r>
      <w:r w:rsidRPr="00901848">
        <w:rPr>
          <w:lang w:val="es-ES_tradnl"/>
        </w:rPr>
        <w:tab/>
        <w:t>Sistemas de acceso óptico de banda ancha basados en redes ópticas pasivas</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G.983.2:</w:t>
      </w:r>
      <w:r w:rsidRPr="00901848">
        <w:rPr>
          <w:lang w:val="es-ES_tradnl"/>
        </w:rPr>
        <w:tab/>
        <w:t>Especificación de la interfaz de control y gestión de terminales de red óptica para redes ópticas pasivas de banda ancha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G.650.1:</w:t>
      </w:r>
      <w:r w:rsidRPr="00901848">
        <w:rPr>
          <w:lang w:val="es-ES_tradnl"/>
        </w:rPr>
        <w:tab/>
        <w:t xml:space="preserve">Definiciones y métodos de prueba de los atributos lineales y determinísticos de fibras y cables </w:t>
      </w:r>
      <w:proofErr w:type="spellStart"/>
      <w:r w:rsidRPr="00901848">
        <w:rPr>
          <w:lang w:val="es-ES_tradnl"/>
        </w:rPr>
        <w:t>monomodo</w:t>
      </w:r>
      <w:proofErr w:type="spellEnd"/>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G.650.2:</w:t>
      </w:r>
      <w:r w:rsidRPr="00901848">
        <w:rPr>
          <w:lang w:val="es-ES_tradnl"/>
        </w:rPr>
        <w:tab/>
        <w:t xml:space="preserve">Definiciones y métodos de prueba de los atributos conexos de las características estadísticas y no lineales de fibras y cables </w:t>
      </w:r>
      <w:proofErr w:type="spellStart"/>
      <w:r w:rsidRPr="00901848">
        <w:rPr>
          <w:lang w:val="es-ES_tradnl"/>
        </w:rPr>
        <w:t>monomodo</w:t>
      </w:r>
      <w:proofErr w:type="spellEnd"/>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G.653:</w:t>
      </w:r>
      <w:r w:rsidRPr="00901848">
        <w:rPr>
          <w:lang w:val="es-ES_tradnl"/>
        </w:rPr>
        <w:tab/>
        <w:t xml:space="preserve">Características de los cables y fibras ópticas </w:t>
      </w:r>
      <w:proofErr w:type="spellStart"/>
      <w:r w:rsidRPr="00901848">
        <w:rPr>
          <w:lang w:val="es-ES_tradnl"/>
        </w:rPr>
        <w:t>monomodo</w:t>
      </w:r>
      <w:proofErr w:type="spellEnd"/>
      <w:r w:rsidRPr="00901848">
        <w:rPr>
          <w:lang w:val="es-ES_tradnl"/>
        </w:rPr>
        <w:t xml:space="preserve"> con dispersión desplazada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G.654:</w:t>
      </w:r>
      <w:r w:rsidRPr="00901848">
        <w:rPr>
          <w:lang w:val="es-ES_tradnl"/>
        </w:rPr>
        <w:tab/>
        <w:t xml:space="preserve">Características de los cables de fibra óptica </w:t>
      </w:r>
      <w:proofErr w:type="spellStart"/>
      <w:r w:rsidRPr="00901848">
        <w:rPr>
          <w:lang w:val="es-ES_tradnl"/>
        </w:rPr>
        <w:t>monomodo</w:t>
      </w:r>
      <w:proofErr w:type="spellEnd"/>
      <w:r w:rsidRPr="00901848">
        <w:rPr>
          <w:lang w:val="es-ES_tradnl"/>
        </w:rPr>
        <w:t xml:space="preserve"> con corte desplazado</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G.655:</w:t>
      </w:r>
      <w:r w:rsidRPr="00901848">
        <w:rPr>
          <w:lang w:val="es-ES_tradnl"/>
        </w:rPr>
        <w:tab/>
        <w:t xml:space="preserve">Características de fibras y cables ópticos </w:t>
      </w:r>
      <w:proofErr w:type="spellStart"/>
      <w:r w:rsidRPr="00901848">
        <w:rPr>
          <w:lang w:val="es-ES_tradnl"/>
        </w:rPr>
        <w:t>monomodo</w:t>
      </w:r>
      <w:proofErr w:type="spellEnd"/>
      <w:r w:rsidRPr="00901848">
        <w:rPr>
          <w:lang w:val="es-ES_tradnl"/>
        </w:rPr>
        <w:t xml:space="preserve"> con dispersión desplazada no nula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 982:</w:t>
      </w:r>
      <w:r w:rsidRPr="00901848">
        <w:rPr>
          <w:lang w:val="es-ES_tradnl"/>
        </w:rPr>
        <w:tab/>
        <w:t>Redes de acceso óptico para el soporte de servicios que funcionan con velocidades binarias de hasta la velocidad primaria de la red digital de servicios integrados (RDSI) o velocidades binarias equivalentes</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G.692:</w:t>
      </w:r>
      <w:r w:rsidRPr="00901848">
        <w:rPr>
          <w:lang w:val="es-ES_tradnl"/>
        </w:rPr>
        <w:tab/>
        <w:t>Interfaces ópticas para sistemas multicanales con amplificadores ópticos</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G.958:</w:t>
      </w:r>
      <w:r w:rsidRPr="00901848">
        <w:rPr>
          <w:lang w:val="es-ES_tradnl"/>
        </w:rPr>
        <w:tab/>
        <w:t>Sistemas de línea digitales basados en la jerarquía digital síncrona para utilización en cables de fibra óptica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G.957:</w:t>
      </w:r>
      <w:r w:rsidRPr="00901848">
        <w:rPr>
          <w:lang w:val="es-ES_tradnl"/>
        </w:rPr>
        <w:tab/>
        <w:t>Interfaces ópticas para equipos y sistemas relacionados con la jerarquía digital síncrona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G.971:</w:t>
      </w:r>
      <w:r w:rsidRPr="00901848">
        <w:rPr>
          <w:lang w:val="es-ES_tradnl"/>
        </w:rPr>
        <w:tab/>
        <w:t>Características generales de los sistemas de cable submarino de fibra óptica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G.972:</w:t>
      </w:r>
      <w:r w:rsidRPr="00901848">
        <w:rPr>
          <w:lang w:val="es-ES_tradnl"/>
        </w:rPr>
        <w:tab/>
        <w:t>Definición de términos pertinentes a los sistemas de cable submarino de fibra óptica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lastRenderedPageBreak/>
        <w:t>•</w:t>
      </w:r>
      <w:r w:rsidRPr="00901848">
        <w:rPr>
          <w:lang w:val="es-ES_tradnl"/>
        </w:rPr>
        <w:tab/>
        <w:t>G. 783:</w:t>
      </w:r>
      <w:r w:rsidRPr="00901848">
        <w:rPr>
          <w:lang w:val="es-ES_tradnl"/>
        </w:rPr>
        <w:tab/>
        <w:t>Características de los bloques funcionales del equipo de la jerarquía digital síncrona</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G. 841:</w:t>
      </w:r>
      <w:r w:rsidRPr="00901848">
        <w:rPr>
          <w:lang w:val="es-ES_tradnl"/>
        </w:rPr>
        <w:tab/>
        <w:t>Tipos y características de las arquitecturas de protección para redes de la jerarquía digital síncrona</w:t>
      </w:r>
    </w:p>
    <w:p w:rsidR="00013F68" w:rsidRPr="001240DD" w:rsidRDefault="00013F68" w:rsidP="001240DD">
      <w:pPr>
        <w:pStyle w:val="Headingb0"/>
        <w:rPr>
          <w:sz w:val="21"/>
          <w:szCs w:val="21"/>
          <w:lang w:val="es-ES_tradnl"/>
        </w:rPr>
      </w:pPr>
      <w:r w:rsidRPr="001240DD">
        <w:rPr>
          <w:sz w:val="21"/>
          <w:szCs w:val="21"/>
          <w:lang w:val="es-ES_tradnl"/>
        </w:rPr>
        <w:t>Serie O: Especificaciones de los aparatos de medida</w:t>
      </w:r>
    </w:p>
    <w:p w:rsidR="00013F68" w:rsidRPr="00901848" w:rsidRDefault="00013F68" w:rsidP="001240DD">
      <w:pPr>
        <w:pStyle w:val="Enumlevel1"/>
        <w:tabs>
          <w:tab w:val="left" w:pos="567"/>
        </w:tabs>
        <w:ind w:left="1701" w:hanging="1701"/>
        <w:rPr>
          <w:lang w:val="es-ES_tradnl"/>
        </w:rPr>
      </w:pPr>
      <w:r w:rsidRPr="00901848">
        <w:rPr>
          <w:lang w:val="es-ES_tradnl"/>
        </w:rPr>
        <w:t>•</w:t>
      </w:r>
      <w:r w:rsidRPr="00901848">
        <w:rPr>
          <w:lang w:val="es-ES_tradnl"/>
        </w:rPr>
        <w:tab/>
        <w:t>O.1:</w:t>
      </w:r>
      <w:r w:rsidRPr="00901848">
        <w:rPr>
          <w:lang w:val="es-ES_tradnl"/>
        </w:rPr>
        <w:tab/>
        <w:t>Alcance y aplicación de las especificaciones de aparatos de medida tratadas en las Recomendaciones de la serie O</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O.33:</w:t>
      </w:r>
      <w:r w:rsidRPr="00901848">
        <w:rPr>
          <w:lang w:val="es-ES_tradnl"/>
        </w:rPr>
        <w:tab/>
        <w:t>Aparato automático para medir rápidamente conexiones, enlaces y circuitos radiofónicos, monofónicos y de pares estereofónicos</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O.41:</w:t>
      </w:r>
      <w:r w:rsidRPr="00901848">
        <w:rPr>
          <w:lang w:val="es-ES_tradnl"/>
        </w:rPr>
        <w:tab/>
        <w:t>Sofómetro para uso en circuitos de tipo telefónico</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O.133:</w:t>
      </w:r>
      <w:r w:rsidRPr="00901848">
        <w:rPr>
          <w:lang w:val="es-ES_tradnl"/>
        </w:rPr>
        <w:tab/>
        <w:t>Aparato de medida de la calidad de funcionamiento de los codificadores y decodificadores de modulación por impulsos codificados</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O.150:</w:t>
      </w:r>
      <w:r w:rsidRPr="00901848">
        <w:rPr>
          <w:lang w:val="es-ES_tradnl"/>
        </w:rPr>
        <w:tab/>
        <w:t>Requisitos generales para la instrumentación de mediciones de la calidad de funcionamiento de equipos de transmisión digital</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O.181:</w:t>
      </w:r>
      <w:r w:rsidRPr="00901848">
        <w:rPr>
          <w:lang w:val="es-ES_tradnl"/>
        </w:rPr>
        <w:tab/>
        <w:t>Equipo de medición para determinar la característica de error en las interfaces de módulo de transporte síncrono de nivel N</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O.191:</w:t>
      </w:r>
      <w:r w:rsidRPr="00901848">
        <w:rPr>
          <w:lang w:val="es-ES_tradnl"/>
        </w:rPr>
        <w:tab/>
        <w:t>Equipo para medir la calidad de transferencia de células de conexiones en modo de transferencia asíncrono</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Q.201:</w:t>
      </w:r>
      <w:r w:rsidRPr="00901848">
        <w:rPr>
          <w:lang w:val="es-ES_tradnl"/>
        </w:rPr>
        <w:tab/>
        <w:t>Equipo de prueba del factor Q para evaluar la calidad de transmisión de los canales ópticos</w:t>
      </w:r>
    </w:p>
    <w:p w:rsidR="00013F68" w:rsidRPr="001240DD" w:rsidRDefault="00013F68" w:rsidP="001240DD">
      <w:pPr>
        <w:pStyle w:val="Headingb0"/>
        <w:rPr>
          <w:sz w:val="21"/>
          <w:szCs w:val="21"/>
          <w:lang w:val="es-ES_tradnl"/>
        </w:rPr>
      </w:pPr>
      <w:r w:rsidRPr="001240DD">
        <w:rPr>
          <w:sz w:val="21"/>
          <w:szCs w:val="21"/>
          <w:lang w:val="es-ES_tradnl"/>
        </w:rPr>
        <w:t>Serie L: Construcción, instalación y protección de los cables y otros elementos de planta exterior</w:t>
      </w:r>
    </w:p>
    <w:p w:rsidR="00013F68" w:rsidRPr="00901848" w:rsidRDefault="00013F68" w:rsidP="001240DD">
      <w:pPr>
        <w:pStyle w:val="Enumlevel1"/>
        <w:tabs>
          <w:tab w:val="left" w:pos="567"/>
        </w:tabs>
        <w:ind w:left="1701" w:hanging="1701"/>
        <w:rPr>
          <w:lang w:val="es-ES_tradnl"/>
        </w:rPr>
      </w:pPr>
      <w:r w:rsidRPr="00901848">
        <w:rPr>
          <w:lang w:val="es-ES_tradnl"/>
        </w:rPr>
        <w:t>•</w:t>
      </w:r>
      <w:r w:rsidRPr="00901848">
        <w:rPr>
          <w:lang w:val="es-ES_tradnl"/>
        </w:rPr>
        <w:tab/>
        <w:t>L.38:</w:t>
      </w:r>
      <w:r w:rsidRPr="00901848">
        <w:rPr>
          <w:lang w:val="es-ES_tradnl"/>
        </w:rPr>
        <w:tab/>
        <w:t>Utilización de las técnicas de tendido sin zanja en la construcción de infraestructuras subterráneas para la instalación de cables de telecomunicación</w:t>
      </w:r>
    </w:p>
    <w:p w:rsidR="00013F68" w:rsidRPr="00901848" w:rsidRDefault="00013F68" w:rsidP="00185667">
      <w:pPr>
        <w:pStyle w:val="Enumlevel1"/>
        <w:tabs>
          <w:tab w:val="left" w:pos="567"/>
        </w:tabs>
        <w:spacing w:before="80"/>
        <w:ind w:left="1701" w:hanging="1701"/>
        <w:rPr>
          <w:lang w:val="es-ES_tradnl"/>
        </w:rPr>
      </w:pPr>
      <w:r w:rsidRPr="00901848">
        <w:rPr>
          <w:lang w:val="es-ES_tradnl"/>
        </w:rPr>
        <w:t>•</w:t>
      </w:r>
      <w:r w:rsidRPr="00901848">
        <w:rPr>
          <w:lang w:val="es-ES_tradnl"/>
        </w:rPr>
        <w:tab/>
        <w:t>L.51:</w:t>
      </w:r>
      <w:r w:rsidRPr="00901848">
        <w:rPr>
          <w:lang w:val="es-ES_tradnl"/>
        </w:rPr>
        <w:tab/>
        <w:t>Elementos de nodo pasivo para redes de fibra óptica - Definiciones y principios generales para la caracterización y la evaluación de la calidad de servicio</w:t>
      </w:r>
    </w:p>
    <w:p w:rsidR="00013F68" w:rsidRPr="001240DD" w:rsidRDefault="00013F68" w:rsidP="00185667">
      <w:pPr>
        <w:pStyle w:val="Enumlevel1"/>
        <w:tabs>
          <w:tab w:val="left" w:pos="567"/>
        </w:tabs>
        <w:spacing w:before="80"/>
        <w:ind w:left="1701" w:hanging="1701"/>
      </w:pPr>
      <w:r w:rsidRPr="001240DD">
        <w:t>•</w:t>
      </w:r>
      <w:r w:rsidRPr="001240DD">
        <w:tab/>
        <w:t>L.92:</w:t>
      </w:r>
      <w:r w:rsidRPr="001240DD">
        <w:tab/>
      </w:r>
      <w:r w:rsidRPr="00A31E61">
        <w:t>Disaster Management for outside plant facilities</w:t>
      </w:r>
    </w:p>
    <w:p w:rsidR="00013F68" w:rsidRPr="001240DD" w:rsidRDefault="00013F68" w:rsidP="001240DD">
      <w:pPr>
        <w:pStyle w:val="Headingb0"/>
        <w:rPr>
          <w:sz w:val="21"/>
          <w:szCs w:val="21"/>
          <w:lang w:val="es-ES_tradnl"/>
        </w:rPr>
      </w:pPr>
      <w:r w:rsidRPr="001240DD">
        <w:rPr>
          <w:sz w:val="21"/>
          <w:szCs w:val="21"/>
          <w:lang w:val="es-ES_tradnl"/>
        </w:rPr>
        <w:t>Documentos técnicos</w:t>
      </w:r>
    </w:p>
    <w:p w:rsidR="00013F68" w:rsidRPr="001240DD" w:rsidRDefault="00A31E61" w:rsidP="001240DD">
      <w:pPr>
        <w:numPr>
          <w:ilvl w:val="0"/>
          <w:numId w:val="14"/>
        </w:numPr>
        <w:spacing w:after="120"/>
        <w:ind w:left="567" w:hanging="567"/>
        <w:jc w:val="left"/>
        <w:rPr>
          <w:lang w:val="en-US"/>
        </w:rPr>
      </w:pPr>
      <w:hyperlink r:id="rId129" w:history="1">
        <w:r w:rsidR="00013F68" w:rsidRPr="001240DD">
          <w:rPr>
            <w:rStyle w:val="Hyperlink"/>
            <w:lang w:val="en-US"/>
          </w:rPr>
          <w:t>Applications of ITU-T G.9960, ITU-T G.9961 transceivers for Smart Grid applications: Advanced metering infrastructure, energy management in the home and electric vehicles</w:t>
        </w:r>
      </w:hyperlink>
    </w:p>
    <w:p w:rsidR="00013F68" w:rsidRPr="001240DD" w:rsidRDefault="00A31E61" w:rsidP="001240DD">
      <w:pPr>
        <w:numPr>
          <w:ilvl w:val="0"/>
          <w:numId w:val="14"/>
        </w:numPr>
        <w:spacing w:after="120"/>
        <w:ind w:left="567" w:hanging="567"/>
        <w:jc w:val="left"/>
        <w:rPr>
          <w:lang w:val="en-US"/>
        </w:rPr>
      </w:pPr>
      <w:hyperlink r:id="rId130" w:history="1">
        <w:r w:rsidR="00013F68" w:rsidRPr="001240DD">
          <w:rPr>
            <w:rStyle w:val="Hyperlink"/>
            <w:lang w:val="en-US"/>
          </w:rPr>
          <w:t>Wireline broadband access networks and home networking</w:t>
        </w:r>
      </w:hyperlink>
    </w:p>
    <w:p w:rsidR="00013F68" w:rsidRPr="001240DD" w:rsidRDefault="00A31E61" w:rsidP="001240DD">
      <w:pPr>
        <w:numPr>
          <w:ilvl w:val="0"/>
          <w:numId w:val="14"/>
        </w:numPr>
        <w:spacing w:after="120"/>
        <w:ind w:left="567" w:hanging="567"/>
        <w:jc w:val="left"/>
        <w:rPr>
          <w:lang w:val="en-US"/>
        </w:rPr>
      </w:pPr>
      <w:hyperlink r:id="rId131" w:history="1">
        <w:r w:rsidR="00013F68" w:rsidRPr="001240DD">
          <w:rPr>
            <w:rStyle w:val="Hyperlink"/>
            <w:lang w:val="en-US"/>
          </w:rPr>
          <w:t>Guide on the use of ITU-T L-series Recommendations</w:t>
        </w:r>
      </w:hyperlink>
    </w:p>
    <w:p w:rsidR="00013F68" w:rsidRPr="00901848" w:rsidRDefault="00013F68" w:rsidP="008A7564">
      <w:pPr>
        <w:pStyle w:val="Heading4"/>
        <w:rPr>
          <w:lang w:val="es-ES_tradnl"/>
        </w:rPr>
      </w:pPr>
      <w:r w:rsidRPr="00901848">
        <w:rPr>
          <w:lang w:val="es-ES_tradnl"/>
        </w:rPr>
        <w:t>Grupos relacionados</w:t>
      </w:r>
    </w:p>
    <w:p w:rsidR="00013F68" w:rsidRPr="00A96787" w:rsidRDefault="00013F68" w:rsidP="008A7564">
      <w:pPr>
        <w:rPr>
          <w:lang w:val="es-ES" w:eastAsia="en-US"/>
        </w:rPr>
      </w:pPr>
      <w:r w:rsidRPr="00A96787">
        <w:rPr>
          <w:lang w:val="es-ES" w:eastAsia="en-US"/>
        </w:rPr>
        <w:t>No consta.</w:t>
      </w:r>
    </w:p>
    <w:p w:rsidR="00013F68" w:rsidRPr="00901848" w:rsidRDefault="00013F68" w:rsidP="008A7564">
      <w:pPr>
        <w:pStyle w:val="Heading4"/>
        <w:rPr>
          <w:lang w:val="es-ES_tradnl"/>
        </w:rPr>
      </w:pPr>
      <w:r w:rsidRPr="00901848">
        <w:rPr>
          <w:lang w:val="es-ES_tradnl"/>
        </w:rPr>
        <w:t>Manuales</w:t>
      </w:r>
    </w:p>
    <w:p w:rsidR="00013F68" w:rsidRPr="00901848" w:rsidRDefault="00013F68" w:rsidP="008A7564">
      <w:pPr>
        <w:pStyle w:val="Enumlevel1"/>
        <w:rPr>
          <w:lang w:val="es-ES_tradnl"/>
        </w:rPr>
      </w:pPr>
      <w:r w:rsidRPr="00901848">
        <w:rPr>
          <w:lang w:val="es-ES_tradnl"/>
        </w:rPr>
        <w:t>•</w:t>
      </w:r>
      <w:r w:rsidRPr="00901848">
        <w:rPr>
          <w:lang w:val="es-ES_tradnl"/>
        </w:rPr>
        <w:tab/>
        <w:t>Calidad de servicio y calidad de funcionamiento de la red.</w:t>
      </w:r>
    </w:p>
    <w:p w:rsidR="00013F68" w:rsidRPr="00901848" w:rsidRDefault="00013F68" w:rsidP="008A7564">
      <w:pPr>
        <w:pStyle w:val="Enumlevel1"/>
        <w:rPr>
          <w:lang w:val="es-ES_tradnl"/>
        </w:rPr>
      </w:pPr>
      <w:r w:rsidRPr="00901848">
        <w:rPr>
          <w:lang w:val="es-ES_tradnl"/>
        </w:rPr>
        <w:t>•</w:t>
      </w:r>
      <w:r w:rsidRPr="00901848">
        <w:rPr>
          <w:lang w:val="es-ES_tradnl"/>
        </w:rPr>
        <w:tab/>
        <w:t>Manual de planificación de la transmisión.</w:t>
      </w:r>
    </w:p>
    <w:p w:rsidR="00013F68" w:rsidRPr="00901848" w:rsidRDefault="00013F68" w:rsidP="008A7564">
      <w:pPr>
        <w:pStyle w:val="Enumlevel1"/>
        <w:rPr>
          <w:lang w:val="es-ES_tradnl"/>
        </w:rPr>
      </w:pPr>
      <w:r w:rsidRPr="00901848">
        <w:rPr>
          <w:lang w:val="es-ES_tradnl"/>
        </w:rPr>
        <w:t>•</w:t>
      </w:r>
      <w:r w:rsidRPr="00901848">
        <w:rPr>
          <w:lang w:val="es-ES_tradnl"/>
        </w:rPr>
        <w:tab/>
        <w:t>Tecnologías de planta exterior para redes públicas.</w:t>
      </w:r>
    </w:p>
    <w:p w:rsidR="00013F68" w:rsidRPr="00901848" w:rsidRDefault="00013F68" w:rsidP="008A7564">
      <w:pPr>
        <w:pStyle w:val="Enumlevel1"/>
        <w:rPr>
          <w:lang w:val="es-ES_tradnl"/>
        </w:rPr>
      </w:pPr>
      <w:r w:rsidRPr="00901848">
        <w:rPr>
          <w:lang w:val="es-ES_tradnl"/>
        </w:rPr>
        <w:t>•</w:t>
      </w:r>
      <w:r w:rsidRPr="00901848">
        <w:rPr>
          <w:lang w:val="es-ES_tradnl"/>
        </w:rPr>
        <w:tab/>
        <w:t>Protección de edificios de telecomunicaciones contra incendios.</w:t>
      </w:r>
    </w:p>
    <w:p w:rsidR="00013F68" w:rsidRPr="00901848" w:rsidRDefault="00013F68" w:rsidP="008A7564">
      <w:pPr>
        <w:pStyle w:val="Enumlevel1"/>
        <w:rPr>
          <w:lang w:val="es-ES_tradnl"/>
        </w:rPr>
      </w:pPr>
      <w:r w:rsidRPr="00901848">
        <w:rPr>
          <w:lang w:val="es-ES_tradnl"/>
        </w:rPr>
        <w:t>•</w:t>
      </w:r>
      <w:r w:rsidRPr="00901848">
        <w:rPr>
          <w:lang w:val="es-ES_tradnl"/>
        </w:rPr>
        <w:tab/>
        <w:t>Guía para la planificación de sistemas de fibra óptica.</w:t>
      </w:r>
    </w:p>
    <w:p w:rsidR="00013F68" w:rsidRPr="00901848" w:rsidRDefault="00013F68" w:rsidP="008A7564">
      <w:pPr>
        <w:pStyle w:val="Enumlevel1"/>
        <w:rPr>
          <w:lang w:val="es-ES_tradnl"/>
        </w:rPr>
      </w:pPr>
      <w:r w:rsidRPr="00901848">
        <w:rPr>
          <w:lang w:val="es-ES_tradnl"/>
        </w:rPr>
        <w:t>•</w:t>
      </w:r>
      <w:r w:rsidRPr="00901848">
        <w:rPr>
          <w:lang w:val="es-ES_tradnl"/>
        </w:rPr>
        <w:tab/>
        <w:t>Fibras ópticas para telecomunicación.</w:t>
      </w:r>
      <w:r w:rsidRPr="00901848">
        <w:rPr>
          <w:lang w:val="es-ES_tradnl"/>
        </w:rPr>
        <w:br w:type="page"/>
      </w:r>
    </w:p>
    <w:p w:rsidR="00013F68" w:rsidRPr="002362FC" w:rsidRDefault="00013F68" w:rsidP="002362FC">
      <w:pPr>
        <w:pStyle w:val="Heading1"/>
        <w:jc w:val="center"/>
        <w:rPr>
          <w:lang w:val="es-ES_tradnl"/>
        </w:rPr>
      </w:pPr>
      <w:bookmarkStart w:id="123" w:name="_Toc365036831"/>
      <w:bookmarkStart w:id="124" w:name="_Toc381259715"/>
      <w:r w:rsidRPr="002362FC">
        <w:rPr>
          <w:lang w:val="es-ES_tradnl"/>
        </w:rPr>
        <w:lastRenderedPageBreak/>
        <w:t xml:space="preserve">Comisión de Estudio 16 del UIT-T ― Codificación, sistemas y </w:t>
      </w:r>
      <w:r w:rsidR="002362FC" w:rsidRPr="002362FC">
        <w:rPr>
          <w:lang w:val="es-ES_tradnl"/>
        </w:rPr>
        <w:br/>
      </w:r>
      <w:r w:rsidRPr="002362FC">
        <w:rPr>
          <w:lang w:val="es-ES_tradnl"/>
        </w:rPr>
        <w:t>aplicaciones multimedios</w:t>
      </w:r>
      <w:bookmarkEnd w:id="123"/>
      <w:bookmarkEnd w:id="124"/>
    </w:p>
    <w:p w:rsidR="00013F68" w:rsidRPr="00901848" w:rsidRDefault="00013F68" w:rsidP="002362FC">
      <w:pPr>
        <w:pStyle w:val="Heading4"/>
        <w:rPr>
          <w:lang w:val="es-ES_tradnl"/>
        </w:rPr>
      </w:pPr>
      <w:r w:rsidRPr="00901848">
        <w:rPr>
          <w:lang w:val="es-ES_tradnl"/>
        </w:rPr>
        <w:t>Alcance</w:t>
      </w:r>
    </w:p>
    <w:p w:rsidR="00013F68" w:rsidRDefault="00013F68" w:rsidP="005A4281">
      <w:pPr>
        <w:rPr>
          <w:lang w:val="es-ES"/>
        </w:rPr>
      </w:pPr>
      <w:r w:rsidRPr="00A96787">
        <w:rPr>
          <w:lang w:val="es-ES"/>
        </w:rPr>
        <w:t xml:space="preserve">La Comisión de 16 está al frente de los trabajos del UIT-T relativos a los terminales, sistemas y aplicaciones multimedios (MM), y se encarga de la coordinación de los estudios entre las diversas Comisiones de Estudio del UIT-T. Además, es la Comisión de Estudio rectora para aplicaciones ubicuas ("todo electrónico", por ejemplo, la </w:t>
      </w:r>
      <w:proofErr w:type="spellStart"/>
      <w:r w:rsidRPr="00A96787">
        <w:rPr>
          <w:lang w:val="es-ES"/>
        </w:rPr>
        <w:t>cibersalud</w:t>
      </w:r>
      <w:proofErr w:type="spellEnd"/>
      <w:r w:rsidRPr="00A96787">
        <w:rPr>
          <w:lang w:val="es-ES"/>
        </w:rPr>
        <w:t xml:space="preserve"> y el negocio electrónico), así como para la accesibilidad de las personas con discapacidad a las telecomunicaciones/TIC. </w:t>
      </w:r>
    </w:p>
    <w:p w:rsidR="00013F68" w:rsidRPr="00A96787" w:rsidRDefault="00013F68" w:rsidP="005A4281">
      <w:pPr>
        <w:rPr>
          <w:lang w:val="es-ES"/>
        </w:rPr>
      </w:pPr>
      <w:r w:rsidRPr="00A96787">
        <w:rPr>
          <w:lang w:val="es-ES"/>
        </w:rPr>
        <w:t xml:space="preserve">La esfera de actividad de la CE 16 comprende todos los aspectos de la normalización de multimedios, desde los terminales, la arquitectura, los protocolos, la seguridad, la movilidad y el </w:t>
      </w:r>
      <w:proofErr w:type="spellStart"/>
      <w:r w:rsidRPr="00A96787">
        <w:rPr>
          <w:lang w:val="es-ES"/>
        </w:rPr>
        <w:t>interfuncionamiento</w:t>
      </w:r>
      <w:proofErr w:type="spellEnd"/>
      <w:r w:rsidRPr="00A96787">
        <w:rPr>
          <w:lang w:val="es-ES"/>
        </w:rPr>
        <w:t xml:space="preserve">, hasta la calidad del servicio. Sus estudios giran en torno a la </w:t>
      </w:r>
      <w:proofErr w:type="spellStart"/>
      <w:r w:rsidRPr="00A96787">
        <w:rPr>
          <w:lang w:val="es-ES"/>
        </w:rPr>
        <w:t>telepresencia</w:t>
      </w:r>
      <w:proofErr w:type="spellEnd"/>
      <w:r w:rsidRPr="00A96787">
        <w:rPr>
          <w:lang w:val="es-ES"/>
        </w:rPr>
        <w:t xml:space="preserve"> y los sistemas de conferencia; la TVIP; los servicios de directorio; la codificación de voz, audio y vídeo; los módems y las interfaces RTPC; los terminales facsímil; y la accesibilidad de las TIC, entre otros. </w:t>
      </w:r>
    </w:p>
    <w:p w:rsidR="00013F68" w:rsidRPr="00A96787" w:rsidRDefault="00013F68" w:rsidP="005A4281">
      <w:pPr>
        <w:rPr>
          <w:rStyle w:val="longtext"/>
          <w:rFonts w:cstheme="majorBidi"/>
          <w:lang w:val="es-ES"/>
        </w:rPr>
      </w:pPr>
      <w:r w:rsidRPr="00A96787">
        <w:rPr>
          <w:rStyle w:val="hps"/>
          <w:lang w:val="es-ES"/>
        </w:rPr>
        <w:t>A medida que más</w:t>
      </w:r>
      <w:r w:rsidRPr="00A96787">
        <w:rPr>
          <w:rStyle w:val="longtext"/>
          <w:lang w:val="es-ES"/>
        </w:rPr>
        <w:t xml:space="preserve"> </w:t>
      </w:r>
      <w:r w:rsidRPr="00A96787">
        <w:rPr>
          <w:rStyle w:val="hps"/>
          <w:lang w:val="es-ES"/>
        </w:rPr>
        <w:t>servicios y sistemas se desarrollan de manera independiente al</w:t>
      </w:r>
      <w:r w:rsidRPr="00A96787">
        <w:rPr>
          <w:rStyle w:val="longtext"/>
          <w:lang w:val="es-ES"/>
        </w:rPr>
        <w:t xml:space="preserve"> </w:t>
      </w:r>
      <w:r w:rsidRPr="00A96787">
        <w:rPr>
          <w:rStyle w:val="hps"/>
          <w:lang w:val="es-ES"/>
        </w:rPr>
        <w:t>transporte</w:t>
      </w:r>
      <w:r w:rsidRPr="00A96787">
        <w:rPr>
          <w:rStyle w:val="longtext"/>
          <w:lang w:val="es-ES"/>
        </w:rPr>
        <w:t xml:space="preserve">, </w:t>
      </w:r>
      <w:r w:rsidRPr="00A96787">
        <w:rPr>
          <w:rStyle w:val="hps"/>
          <w:lang w:val="es-ES"/>
        </w:rPr>
        <w:t>un número creciente</w:t>
      </w:r>
      <w:r w:rsidRPr="00A96787">
        <w:rPr>
          <w:rStyle w:val="longtext"/>
          <w:lang w:val="es-ES"/>
        </w:rPr>
        <w:t xml:space="preserve"> </w:t>
      </w:r>
      <w:r w:rsidRPr="00A96787">
        <w:rPr>
          <w:rStyle w:val="hps"/>
          <w:lang w:val="es-ES"/>
        </w:rPr>
        <w:t>de ellos</w:t>
      </w:r>
      <w:r w:rsidRPr="00A96787">
        <w:rPr>
          <w:rStyle w:val="longtext"/>
          <w:lang w:val="es-ES"/>
        </w:rPr>
        <w:t xml:space="preserve"> </w:t>
      </w:r>
      <w:r w:rsidRPr="00A96787">
        <w:rPr>
          <w:rStyle w:val="hps"/>
          <w:lang w:val="es-ES"/>
        </w:rPr>
        <w:t>se define en las capas de red superiores</w:t>
      </w:r>
      <w:r w:rsidRPr="00A96787">
        <w:rPr>
          <w:rStyle w:val="longtext"/>
          <w:lang w:val="es-ES"/>
        </w:rPr>
        <w:t xml:space="preserve">, lo cual constituye el ámbito </w:t>
      </w:r>
      <w:r w:rsidRPr="00A96787">
        <w:rPr>
          <w:rStyle w:val="hps"/>
          <w:lang w:val="es-ES"/>
        </w:rPr>
        <w:t>de normalización de la CE 16 del UIT</w:t>
      </w:r>
      <w:r w:rsidRPr="00A96787">
        <w:rPr>
          <w:rStyle w:val="longtext"/>
          <w:lang w:val="es-ES"/>
        </w:rPr>
        <w:t xml:space="preserve">-T. </w:t>
      </w:r>
      <w:r w:rsidRPr="00A96787">
        <w:rPr>
          <w:rStyle w:val="hps"/>
          <w:lang w:val="es-ES"/>
        </w:rPr>
        <w:t>Esta consideración</w:t>
      </w:r>
      <w:r w:rsidRPr="00A96787">
        <w:rPr>
          <w:rStyle w:val="longtext"/>
          <w:lang w:val="es-ES"/>
        </w:rPr>
        <w:t xml:space="preserve"> </w:t>
      </w:r>
      <w:r w:rsidRPr="00A96787">
        <w:rPr>
          <w:rStyle w:val="hps"/>
          <w:lang w:val="es-ES"/>
        </w:rPr>
        <w:t>comporta un interés especial para</w:t>
      </w:r>
      <w:r w:rsidRPr="00A96787">
        <w:rPr>
          <w:rStyle w:val="longtext"/>
          <w:lang w:val="es-ES"/>
        </w:rPr>
        <w:t xml:space="preserve"> </w:t>
      </w:r>
      <w:r w:rsidRPr="00A96787">
        <w:rPr>
          <w:rStyle w:val="hps"/>
          <w:lang w:val="es-ES"/>
        </w:rPr>
        <w:t>cuestiones</w:t>
      </w:r>
      <w:r w:rsidRPr="00A96787">
        <w:rPr>
          <w:rStyle w:val="longtext"/>
          <w:lang w:val="es-ES"/>
        </w:rPr>
        <w:t xml:space="preserve"> </w:t>
      </w:r>
      <w:r w:rsidRPr="00A96787">
        <w:rPr>
          <w:rStyle w:val="hps"/>
          <w:lang w:val="es-ES"/>
        </w:rPr>
        <w:t>de normalización transversales</w:t>
      </w:r>
      <w:r w:rsidRPr="00A96787">
        <w:rPr>
          <w:rStyle w:val="longtext"/>
          <w:lang w:val="es-ES"/>
        </w:rPr>
        <w:t xml:space="preserve">, tales como la Internet de las cosas, la </w:t>
      </w:r>
      <w:proofErr w:type="spellStart"/>
      <w:r w:rsidRPr="00A96787">
        <w:rPr>
          <w:rStyle w:val="longtext"/>
          <w:lang w:val="es-ES"/>
        </w:rPr>
        <w:t>cibersalud</w:t>
      </w:r>
      <w:proofErr w:type="spellEnd"/>
      <w:r w:rsidRPr="00A96787">
        <w:rPr>
          <w:rStyle w:val="longtext"/>
          <w:lang w:val="es-ES"/>
        </w:rPr>
        <w:t xml:space="preserve"> y el </w:t>
      </w:r>
      <w:proofErr w:type="spellStart"/>
      <w:r w:rsidRPr="00A96787">
        <w:rPr>
          <w:rStyle w:val="longtext"/>
          <w:lang w:val="es-ES"/>
        </w:rPr>
        <w:t>cibergobierno</w:t>
      </w:r>
      <w:proofErr w:type="spellEnd"/>
      <w:r w:rsidRPr="00A96787">
        <w:rPr>
          <w:rStyle w:val="longtext"/>
          <w:lang w:val="es-ES"/>
        </w:rPr>
        <w:t>.</w:t>
      </w:r>
    </w:p>
    <w:p w:rsidR="00013F68" w:rsidRPr="00901848" w:rsidRDefault="00013F68" w:rsidP="002362FC">
      <w:pPr>
        <w:pStyle w:val="Heading4"/>
        <w:rPr>
          <w:lang w:val="es-ES_tradnl"/>
        </w:rPr>
      </w:pPr>
      <w:r w:rsidRPr="00901848">
        <w:rPr>
          <w:lang w:val="es-ES_tradnl"/>
        </w:rPr>
        <w:t>Temas de estudio</w:t>
      </w:r>
    </w:p>
    <w:p w:rsidR="00013F68" w:rsidRPr="00A96787" w:rsidRDefault="00013F68" w:rsidP="005A4281">
      <w:pPr>
        <w:rPr>
          <w:lang w:val="es-ES"/>
        </w:rPr>
      </w:pPr>
      <w:r w:rsidRPr="00A96787">
        <w:rPr>
          <w:lang w:val="es-ES"/>
        </w:rPr>
        <w:t>La CE 16 se encarga de los estudios relativos a las aplicaciones ubicuas y las capacidades multimedios para servicios y aplicaciones de las redes futuras y existentes (incluidas las NGN y las redes posteriores). Su ámbito de competencia comprende la accesibilidad, las arquitecturas, los terminales, los protocolos, el procesamiento de la señal, la codificación y los sistemas multimedios (por ejemplo, el equipo de procesamiento de señales de red, las unidades de conferencia multipunto, las pasarelas y los controladores de acceso).</w:t>
      </w:r>
    </w:p>
    <w:p w:rsidR="00013F68" w:rsidRPr="00901848" w:rsidRDefault="00013F68" w:rsidP="002362FC">
      <w:pPr>
        <w:pStyle w:val="Heading4"/>
        <w:rPr>
          <w:lang w:val="es-ES_tradnl"/>
        </w:rPr>
      </w:pPr>
      <w:r w:rsidRPr="00901848">
        <w:rPr>
          <w:lang w:val="es-ES_tradnl"/>
        </w:rPr>
        <w:t>Temas de estudio específicos</w:t>
      </w:r>
    </w:p>
    <w:p w:rsidR="00013F68" w:rsidRPr="00901848" w:rsidRDefault="00013F68" w:rsidP="002362FC">
      <w:pPr>
        <w:pStyle w:val="Enumlevel1"/>
        <w:rPr>
          <w:lang w:val="es-ES_tradnl"/>
        </w:rPr>
      </w:pPr>
      <w:r w:rsidRPr="00901848">
        <w:rPr>
          <w:lang w:val="es-ES_tradnl"/>
        </w:rPr>
        <w:t>•</w:t>
      </w:r>
      <w:r w:rsidRPr="00901848">
        <w:rPr>
          <w:lang w:val="es-ES_tradnl"/>
        </w:rPr>
        <w:tab/>
        <w:t>Comisión de Estudio Rectora sobre codificación, sistemas y aplicaciones multimedios.</w:t>
      </w:r>
    </w:p>
    <w:p w:rsidR="00013F68" w:rsidRPr="00901848" w:rsidRDefault="00013F68" w:rsidP="002362FC">
      <w:pPr>
        <w:pStyle w:val="Enumlevel1"/>
        <w:rPr>
          <w:lang w:val="es-ES_tradnl"/>
        </w:rPr>
      </w:pPr>
      <w:r w:rsidRPr="00901848">
        <w:rPr>
          <w:lang w:val="es-ES_tradnl"/>
        </w:rPr>
        <w:t>•</w:t>
      </w:r>
      <w:r w:rsidRPr="00901848">
        <w:rPr>
          <w:lang w:val="es-ES_tradnl"/>
        </w:rPr>
        <w:tab/>
        <w:t>Comisión de Estudio Rectora sobre aplicaciones ubicuas e Internet de las cosas.</w:t>
      </w:r>
    </w:p>
    <w:p w:rsidR="00013F68" w:rsidRPr="00901848" w:rsidRDefault="00013F68" w:rsidP="002362FC">
      <w:pPr>
        <w:pStyle w:val="Enumlevel1"/>
        <w:rPr>
          <w:lang w:val="es-ES_tradnl"/>
        </w:rPr>
      </w:pPr>
      <w:r w:rsidRPr="00901848">
        <w:rPr>
          <w:lang w:val="es-ES_tradnl"/>
        </w:rPr>
        <w:t>•</w:t>
      </w:r>
      <w:r w:rsidRPr="00901848">
        <w:rPr>
          <w:lang w:val="es-ES_tradnl"/>
        </w:rPr>
        <w:tab/>
        <w:t>Comisión de Estudio Rectora sobre accesibilidad a las telecomunicaciones/TIC para las personas con discapacidades.</w:t>
      </w:r>
    </w:p>
    <w:p w:rsidR="00013F68" w:rsidRPr="00901848" w:rsidRDefault="00013F68" w:rsidP="002362FC">
      <w:pPr>
        <w:pStyle w:val="Enumlevel1"/>
        <w:rPr>
          <w:lang w:val="es-ES_tradnl"/>
        </w:rPr>
      </w:pPr>
      <w:r w:rsidRPr="00901848">
        <w:rPr>
          <w:lang w:val="es-ES_tradnl"/>
        </w:rPr>
        <w:t>•</w:t>
      </w:r>
      <w:r w:rsidRPr="00901848">
        <w:rPr>
          <w:lang w:val="es-ES_tradnl"/>
        </w:rPr>
        <w:tab/>
        <w:t>Comisión de Estudio Rectora sobre comunicaciones de sistemas de transporte inteligentes (ITS).</w:t>
      </w:r>
    </w:p>
    <w:p w:rsidR="00013F68" w:rsidRPr="00901848" w:rsidRDefault="00013F68" w:rsidP="002362FC">
      <w:pPr>
        <w:pStyle w:val="Enumlevel1"/>
        <w:rPr>
          <w:lang w:val="es-ES_tradnl"/>
        </w:rPr>
      </w:pPr>
      <w:r w:rsidRPr="00901848">
        <w:rPr>
          <w:lang w:val="es-ES_tradnl"/>
        </w:rPr>
        <w:t>•</w:t>
      </w:r>
      <w:r w:rsidRPr="00901848">
        <w:rPr>
          <w:lang w:val="es-ES_tradnl"/>
        </w:rPr>
        <w:tab/>
        <w:t>Comisión de Estudio Rectora sobre televisión por IP.</w:t>
      </w:r>
    </w:p>
    <w:p w:rsidR="00013F68" w:rsidRPr="00901848" w:rsidRDefault="00013F68" w:rsidP="002362FC">
      <w:pPr>
        <w:pStyle w:val="Heading4"/>
        <w:rPr>
          <w:lang w:val="es-ES_tradnl"/>
        </w:rPr>
      </w:pPr>
      <w:r w:rsidRPr="00901848">
        <w:rPr>
          <w:lang w:val="es-ES_tradnl"/>
        </w:rPr>
        <w:lastRenderedPageBreak/>
        <w:t>Estructura de la Comisión de Estudio 16</w:t>
      </w:r>
    </w:p>
    <w:p w:rsidR="002362FC" w:rsidRPr="00901848" w:rsidRDefault="002362FC" w:rsidP="002362FC">
      <w:pPr>
        <w:pStyle w:val="Figuretitle"/>
        <w:rPr>
          <w:lang w:val="es-ES_tradnl"/>
        </w:rPr>
      </w:pPr>
    </w:p>
    <w:p w:rsidR="002362FC" w:rsidRDefault="002362FC" w:rsidP="002362FC">
      <w:pPr>
        <w:pStyle w:val="Figure"/>
      </w:pPr>
      <w:r>
        <w:rPr>
          <w:noProof/>
          <w:lang w:val="en-US" w:eastAsia="zh-CN"/>
        </w:rPr>
        <w:drawing>
          <wp:inline distT="0" distB="0" distL="0" distR="0" wp14:anchorId="7076B4DC" wp14:editId="15054E0A">
            <wp:extent cx="3797935" cy="2755900"/>
            <wp:effectExtent l="0" t="0" r="0" b="635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97935" cy="2755900"/>
                    </a:xfrm>
                    <a:prstGeom prst="rect">
                      <a:avLst/>
                    </a:prstGeom>
                    <a:noFill/>
                  </pic:spPr>
                </pic:pic>
              </a:graphicData>
            </a:graphic>
          </wp:inline>
        </w:drawing>
      </w:r>
    </w:p>
    <w:p w:rsidR="002362FC" w:rsidRPr="00837668" w:rsidRDefault="002362FC" w:rsidP="002362FC">
      <w:pPr>
        <w:pStyle w:val="figuresource"/>
        <w:rPr>
          <w:lang w:val="en-US"/>
        </w:rPr>
      </w:pPr>
    </w:p>
    <w:p w:rsidR="00013F68" w:rsidRPr="00901848" w:rsidRDefault="00013F68" w:rsidP="002362FC">
      <w:pPr>
        <w:pStyle w:val="Heading4"/>
        <w:rPr>
          <w:lang w:val="es-ES_tradnl"/>
        </w:rPr>
      </w:pPr>
      <w:r w:rsidRPr="00901848">
        <w:rPr>
          <w:lang w:val="es-ES_tradnl"/>
        </w:rPr>
        <w:t>Cuestiones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C1/16:</w:t>
      </w:r>
      <w:r w:rsidRPr="00901848">
        <w:rPr>
          <w:lang w:val="es-ES_tradnl"/>
        </w:rPr>
        <w:tab/>
        <w:t>Sistemas, terminales y conferencia de datos multimedios (continuación del trabajo de la C1/16)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C2/16:</w:t>
      </w:r>
      <w:r w:rsidRPr="00901848">
        <w:rPr>
          <w:lang w:val="es-ES_tradnl"/>
        </w:rPr>
        <w:tab/>
        <w:t>Sistemas y funciones multimedios de conversación por paquetes (continuación del trabajo de la C2/16, la C4/16 y la C12/16)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C5/16:</w:t>
      </w:r>
      <w:r w:rsidRPr="00901848">
        <w:rPr>
          <w:lang w:val="es-ES_tradnl"/>
        </w:rPr>
        <w:tab/>
        <w:t xml:space="preserve">Sistemas de </w:t>
      </w:r>
      <w:proofErr w:type="spellStart"/>
      <w:r w:rsidRPr="00901848">
        <w:rPr>
          <w:lang w:val="es-ES_tradnl"/>
        </w:rPr>
        <w:t>telepresencia</w:t>
      </w:r>
      <w:proofErr w:type="spellEnd"/>
      <w:r w:rsidRPr="00901848">
        <w:rPr>
          <w:lang w:val="es-ES_tradnl"/>
        </w:rPr>
        <w:t xml:space="preserve"> (continuación del trabajo de la C5/16)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C7/16:</w:t>
      </w:r>
      <w:r w:rsidRPr="00901848">
        <w:rPr>
          <w:lang w:val="es-ES_tradnl"/>
        </w:rPr>
        <w:tab/>
        <w:t>Codificación de medios (continuación del trabajo de la C7/16)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C20/16:</w:t>
      </w:r>
      <w:r w:rsidRPr="00901848">
        <w:rPr>
          <w:lang w:val="es-ES_tradnl"/>
        </w:rPr>
        <w:tab/>
        <w:t>Coordinación de multimedios (continuación del trabajo de la C20/16)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C21/16:</w:t>
      </w:r>
      <w:r w:rsidRPr="00901848">
        <w:rPr>
          <w:lang w:val="es-ES_tradnl"/>
        </w:rPr>
        <w:tab/>
        <w:t>Marco, aplicaciones y servicios multimedios (continuación del trabajo de la C21/16, la C22/16 y la C24/16)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C25/16:</w:t>
      </w:r>
      <w:r w:rsidRPr="00901848">
        <w:rPr>
          <w:lang w:val="es-ES_tradnl"/>
        </w:rPr>
        <w:tab/>
        <w:t xml:space="preserve">Servicios y aplicaciones de </w:t>
      </w:r>
      <w:proofErr w:type="spellStart"/>
      <w:r w:rsidRPr="00901848">
        <w:rPr>
          <w:lang w:val="es-ES_tradnl"/>
        </w:rPr>
        <w:t>IoT</w:t>
      </w:r>
      <w:proofErr w:type="spellEnd"/>
      <w:r w:rsidRPr="00901848">
        <w:rPr>
          <w:lang w:val="es-ES_tradnl"/>
        </w:rPr>
        <w:t xml:space="preserve"> (continuación del trabajo de la C25/16)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C26/16:</w:t>
      </w:r>
      <w:r w:rsidRPr="00901848">
        <w:rPr>
          <w:lang w:val="es-ES_tradnl"/>
        </w:rPr>
        <w:tab/>
        <w:t>Accesibilidad a los sistemas y servicios multimedios (continuación del trabajo de la C26/16)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C27/16:</w:t>
      </w:r>
      <w:r w:rsidRPr="00901848">
        <w:rPr>
          <w:lang w:val="es-ES_tradnl"/>
        </w:rPr>
        <w:tab/>
        <w:t>Plataforma de pasarela en vehículos para servicios y aplicaciones de telecomunicaciones y sistemas de transporte inteligentes (continuación de la C27/16)</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C28/16:</w:t>
      </w:r>
      <w:r w:rsidRPr="00901848">
        <w:rPr>
          <w:lang w:val="es-ES_tradnl"/>
        </w:rPr>
        <w:tab/>
        <w:t xml:space="preserve">Marco multimedios para aplicaciones de </w:t>
      </w:r>
      <w:proofErr w:type="spellStart"/>
      <w:r w:rsidRPr="00901848">
        <w:rPr>
          <w:lang w:val="es-ES_tradnl"/>
        </w:rPr>
        <w:t>cibersalud</w:t>
      </w:r>
      <w:proofErr w:type="spellEnd"/>
      <w:r w:rsidRPr="00901848">
        <w:rPr>
          <w:lang w:val="es-ES_tradnl"/>
        </w:rPr>
        <w:t xml:space="preserve"> (continuación del trabajo de la C28/16)</w:t>
      </w:r>
    </w:p>
    <w:p w:rsidR="00013F68" w:rsidRPr="00692B7D" w:rsidRDefault="00013F68" w:rsidP="002362FC">
      <w:pPr>
        <w:pStyle w:val="Heading4"/>
        <w:rPr>
          <w:lang w:val="es-ES_tradnl"/>
        </w:rPr>
      </w:pPr>
      <w:r w:rsidRPr="00692B7D">
        <w:rPr>
          <w:lang w:val="es-ES_tradnl"/>
        </w:rPr>
        <w:t>Recomendaciones</w:t>
      </w:r>
    </w:p>
    <w:p w:rsidR="00013F68" w:rsidRPr="002362FC" w:rsidRDefault="00A31E61" w:rsidP="002362FC">
      <w:pPr>
        <w:pStyle w:val="Headingb0"/>
        <w:rPr>
          <w:sz w:val="21"/>
          <w:szCs w:val="21"/>
          <w:lang w:val="es-ES_tradnl"/>
        </w:rPr>
      </w:pPr>
      <w:hyperlink r:id="rId133" w:history="1">
        <w:r w:rsidR="00013F68" w:rsidRPr="00692B7D">
          <w:rPr>
            <w:rStyle w:val="Hyperlink"/>
            <w:b w:val="0"/>
            <w:bCs w:val="0"/>
            <w:sz w:val="21"/>
            <w:szCs w:val="21"/>
            <w:lang w:val="es-ES_tradnl"/>
          </w:rPr>
          <w:t>Serie F</w:t>
        </w:r>
      </w:hyperlink>
      <w:r w:rsidR="00013F68" w:rsidRPr="002362FC">
        <w:rPr>
          <w:sz w:val="21"/>
          <w:szCs w:val="21"/>
          <w:lang w:val="es-ES_tradnl"/>
        </w:rPr>
        <w:t>: Servicios de telecomunicación no telefónicos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 xml:space="preserve">F.700: </w:t>
      </w:r>
      <w:r w:rsidRPr="00901848">
        <w:rPr>
          <w:lang w:val="es-ES_tradnl"/>
        </w:rPr>
        <w:tab/>
        <w:t>Recomendación marco para los servicios multimedios</w:t>
      </w:r>
      <w:r w:rsidRPr="00901848">
        <w:rPr>
          <w:lang w:val="es-ES_tradnl"/>
        </w:rPr>
        <w:tab/>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F.721:</w:t>
      </w:r>
      <w:r w:rsidRPr="00901848">
        <w:rPr>
          <w:lang w:val="es-ES_tradnl"/>
        </w:rPr>
        <w:tab/>
      </w:r>
      <w:proofErr w:type="spellStart"/>
      <w:r w:rsidRPr="00901848">
        <w:rPr>
          <w:lang w:val="es-ES_tradnl"/>
        </w:rPr>
        <w:t>Teleservicio</w:t>
      </w:r>
      <w:proofErr w:type="spellEnd"/>
      <w:r w:rsidRPr="00901848">
        <w:rPr>
          <w:lang w:val="es-ES_tradnl"/>
        </w:rPr>
        <w:t xml:space="preserve"> de videotelefonía para la RDSI</w:t>
      </w:r>
    </w:p>
    <w:p w:rsidR="00013F68" w:rsidRPr="00901848" w:rsidRDefault="00013F68" w:rsidP="002362FC">
      <w:pPr>
        <w:pStyle w:val="Enumlevel1"/>
        <w:tabs>
          <w:tab w:val="left" w:pos="567"/>
        </w:tabs>
        <w:ind w:left="1701" w:hanging="1701"/>
        <w:rPr>
          <w:lang w:val="es-ES_tradnl"/>
        </w:rPr>
      </w:pPr>
      <w:r w:rsidRPr="00901848">
        <w:rPr>
          <w:lang w:val="es-ES_tradnl"/>
        </w:rPr>
        <w:lastRenderedPageBreak/>
        <w:t>•</w:t>
      </w:r>
      <w:r w:rsidRPr="00901848">
        <w:rPr>
          <w:lang w:val="es-ES_tradnl"/>
        </w:rPr>
        <w:tab/>
        <w:t>F.723:</w:t>
      </w:r>
      <w:r w:rsidRPr="00901848">
        <w:rPr>
          <w:lang w:val="es-ES_tradnl"/>
        </w:rPr>
        <w:tab/>
        <w:t>Servicio de videotelefonía en la red telefónica pública conmutada (RTPC)</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F.742:</w:t>
      </w:r>
      <w:r w:rsidRPr="00901848">
        <w:rPr>
          <w:lang w:val="es-ES_tradnl"/>
        </w:rPr>
        <w:tab/>
        <w:t>Descripción de servicio y requisitos para servicios de aprendizaje a distancia</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F.743:</w:t>
      </w:r>
      <w:r w:rsidRPr="00901848">
        <w:rPr>
          <w:lang w:val="es-ES_tradnl"/>
        </w:rPr>
        <w:tab/>
        <w:t xml:space="preserve">Requisitos y descripción del servicio de </w:t>
      </w:r>
      <w:proofErr w:type="spellStart"/>
      <w:r w:rsidRPr="00901848">
        <w:rPr>
          <w:lang w:val="es-ES_tradnl"/>
        </w:rPr>
        <w:t>videovigilancia</w:t>
      </w:r>
      <w:proofErr w:type="spellEnd"/>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F.744:</w:t>
      </w:r>
      <w:r w:rsidRPr="00901848">
        <w:rPr>
          <w:lang w:val="es-ES_tradnl"/>
        </w:rPr>
        <w:tab/>
        <w:t>Requisitos y descripción del servicio para soportes intermedios (middleware) de redes de sensores ubicuas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F.745:</w:t>
      </w:r>
      <w:r w:rsidRPr="00901848">
        <w:rPr>
          <w:lang w:val="es-ES_tradnl"/>
        </w:rPr>
        <w:tab/>
        <w:t>Requisitos de funcionamiento para los servicios de traducción voz a voz basados en la red</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F.746:</w:t>
      </w:r>
      <w:r w:rsidRPr="00901848">
        <w:rPr>
          <w:lang w:val="es-ES_tradnl"/>
        </w:rPr>
        <w:tab/>
        <w:t>Requisitos de los componentes de control de optimización multimedios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F.747.1:</w:t>
      </w:r>
      <w:r w:rsidRPr="00901848">
        <w:rPr>
          <w:lang w:val="es-ES_tradnl"/>
        </w:rPr>
        <w:tab/>
        <w:t>Capacidades de las redes de sensores ubicuos para el apoyo a los requisitos de los servicios de medición inteligentes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F.747.2:</w:t>
      </w:r>
      <w:r w:rsidRPr="00901848">
        <w:rPr>
          <w:lang w:val="es-ES_tradnl"/>
        </w:rPr>
        <w:tab/>
        <w:t>Directrices para la implantación de aplicaciones y servicios de red de sensores ubicuos (USN) para la mitigación del cambio climático</w:t>
      </w:r>
    </w:p>
    <w:p w:rsidR="00013F68" w:rsidRPr="002362FC" w:rsidRDefault="00013F68" w:rsidP="002362FC">
      <w:pPr>
        <w:pStyle w:val="Enumlevel1"/>
        <w:tabs>
          <w:tab w:val="left" w:pos="567"/>
        </w:tabs>
        <w:ind w:left="1701" w:hanging="1701"/>
      </w:pPr>
      <w:r w:rsidRPr="002362FC">
        <w:t>•</w:t>
      </w:r>
      <w:r w:rsidRPr="002362FC">
        <w:tab/>
        <w:t>F.747.3:</w:t>
      </w:r>
      <w:r w:rsidRPr="002362FC">
        <w:tab/>
        <w:t>Requirements and functional model for ubiquitous network robot platform to support USN applications and services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F.790:</w:t>
      </w:r>
      <w:r w:rsidRPr="00901848">
        <w:rPr>
          <w:lang w:val="es-ES_tradnl"/>
        </w:rPr>
        <w:tab/>
        <w:t>Directrices sobre accesibilidad para ancianos y personas con discapacidad</w:t>
      </w:r>
    </w:p>
    <w:p w:rsidR="00013F68" w:rsidRPr="002362FC" w:rsidRDefault="00A31E61" w:rsidP="002362FC">
      <w:pPr>
        <w:pStyle w:val="Headingb0"/>
        <w:rPr>
          <w:sz w:val="21"/>
          <w:szCs w:val="21"/>
          <w:lang w:val="es-ES_tradnl"/>
        </w:rPr>
      </w:pPr>
      <w:hyperlink r:id="rId134" w:history="1">
        <w:r w:rsidR="00013F68" w:rsidRPr="005F0C41">
          <w:rPr>
            <w:rStyle w:val="Hyperlink"/>
            <w:b w:val="0"/>
            <w:bCs w:val="0"/>
            <w:sz w:val="21"/>
            <w:szCs w:val="21"/>
            <w:lang w:val="es-ES_tradnl"/>
          </w:rPr>
          <w:t>Serie H</w:t>
        </w:r>
      </w:hyperlink>
      <w:r w:rsidR="00013F68" w:rsidRPr="005F0C41">
        <w:rPr>
          <w:b w:val="0"/>
          <w:bCs w:val="0"/>
          <w:sz w:val="21"/>
          <w:szCs w:val="21"/>
          <w:lang w:val="es-ES_tradnl"/>
        </w:rPr>
        <w:t>:</w:t>
      </w:r>
      <w:r w:rsidR="00013F68" w:rsidRPr="002362FC">
        <w:rPr>
          <w:sz w:val="21"/>
          <w:szCs w:val="21"/>
          <w:lang w:val="es-ES_tradnl"/>
        </w:rPr>
        <w:t xml:space="preserve"> Sistemas audiovisuales y multimedios</w:t>
      </w:r>
    </w:p>
    <w:p w:rsidR="00013F68" w:rsidRPr="002362FC" w:rsidRDefault="00013F68" w:rsidP="002362FC">
      <w:pPr>
        <w:pStyle w:val="Enumlevel1"/>
        <w:tabs>
          <w:tab w:val="left" w:pos="567"/>
        </w:tabs>
        <w:ind w:left="1701" w:hanging="1701"/>
        <w:rPr>
          <w:lang w:val="es-ES_tradnl"/>
        </w:rPr>
      </w:pPr>
      <w:r w:rsidRPr="002362FC">
        <w:rPr>
          <w:lang w:val="es-ES_tradnl"/>
        </w:rPr>
        <w:t>•</w:t>
      </w:r>
      <w:r w:rsidRPr="002362FC">
        <w:rPr>
          <w:lang w:val="es-ES_tradnl"/>
        </w:rPr>
        <w:tab/>
        <w:t>H.222.0:</w:t>
      </w:r>
      <w:r w:rsidRPr="002362FC">
        <w:rPr>
          <w:lang w:val="es-ES_tradnl"/>
        </w:rPr>
        <w:tab/>
        <w:t>Tecnología de la información - Codificación genérica de imágenes en movimiento e información de audio asociada: Sistemas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H.310:</w:t>
      </w:r>
      <w:r w:rsidRPr="00901848">
        <w:rPr>
          <w:lang w:val="es-ES_tradnl"/>
        </w:rPr>
        <w:tab/>
        <w:t>Sistemas y terminales para comunicaciones audiovisuales de banda ancha</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H.320:</w:t>
      </w:r>
      <w:r w:rsidRPr="00901848">
        <w:rPr>
          <w:lang w:val="es-ES_tradnl"/>
        </w:rPr>
        <w:tab/>
        <w:t xml:space="preserve">Sistemas y equipos terminales </w:t>
      </w:r>
      <w:proofErr w:type="spellStart"/>
      <w:r w:rsidRPr="00901848">
        <w:rPr>
          <w:lang w:val="es-ES_tradnl"/>
        </w:rPr>
        <w:t>videotelefónicos</w:t>
      </w:r>
      <w:proofErr w:type="spellEnd"/>
      <w:r w:rsidRPr="00901848">
        <w:rPr>
          <w:lang w:val="es-ES_tradnl"/>
        </w:rPr>
        <w:t xml:space="preserve"> de banda estrecha</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H.321:</w:t>
      </w:r>
      <w:r w:rsidRPr="00901848">
        <w:rPr>
          <w:lang w:val="es-ES_tradnl"/>
        </w:rPr>
        <w:tab/>
        <w:t xml:space="preserve">Adaptación de los terminales </w:t>
      </w:r>
      <w:proofErr w:type="spellStart"/>
      <w:r w:rsidRPr="00901848">
        <w:rPr>
          <w:lang w:val="es-ES_tradnl"/>
        </w:rPr>
        <w:t>videotelefónicos</w:t>
      </w:r>
      <w:proofErr w:type="spellEnd"/>
      <w:r w:rsidRPr="00901848">
        <w:rPr>
          <w:lang w:val="es-ES_tradnl"/>
        </w:rPr>
        <w:t xml:space="preserve"> H.320 a entornos de la red digital de servicios integrados de banda ancha (RDSI-BA)</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H.323:</w:t>
      </w:r>
      <w:r w:rsidRPr="00901848">
        <w:rPr>
          <w:lang w:val="es-ES_tradnl"/>
        </w:rPr>
        <w:tab/>
        <w:t>Sistemas de comunicación multimedia basados en paquetes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Serie H.248:</w:t>
      </w:r>
      <w:r w:rsidRPr="00901848">
        <w:rPr>
          <w:lang w:val="es-ES_tradnl"/>
        </w:rPr>
        <w:tab/>
        <w:t>Protocolo de control de pasarela (80 + Recomendaciones)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H.262:</w:t>
      </w:r>
      <w:r w:rsidRPr="00901848">
        <w:rPr>
          <w:lang w:val="es-ES_tradnl"/>
        </w:rPr>
        <w:tab/>
        <w:t>Tecnología de la información - Codificación genérica de imágenes en movimiento e información de audio asociada: Vídeo</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H.264:</w:t>
      </w:r>
      <w:r w:rsidRPr="00901848">
        <w:rPr>
          <w:lang w:val="es-ES_tradnl"/>
        </w:rPr>
        <w:tab/>
        <w:t>Codificación de vídeo avanzada para los servicios audiovisuales genéricos</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H.265:</w:t>
      </w:r>
      <w:r w:rsidRPr="00901848">
        <w:rPr>
          <w:lang w:val="es-ES_tradnl"/>
        </w:rPr>
        <w:tab/>
      </w:r>
      <w:r w:rsidRPr="00901848">
        <w:rPr>
          <w:i/>
          <w:iCs/>
          <w:lang w:val="es-ES_tradnl"/>
        </w:rPr>
        <w:t>High-</w:t>
      </w:r>
      <w:proofErr w:type="spellStart"/>
      <w:r w:rsidRPr="00901848">
        <w:rPr>
          <w:i/>
          <w:iCs/>
          <w:lang w:val="es-ES_tradnl"/>
        </w:rPr>
        <w:t>efficiency</w:t>
      </w:r>
      <w:proofErr w:type="spellEnd"/>
      <w:r w:rsidRPr="00901848">
        <w:rPr>
          <w:i/>
          <w:iCs/>
          <w:lang w:val="es-ES_tradnl"/>
        </w:rPr>
        <w:t xml:space="preserve"> video </w:t>
      </w:r>
      <w:proofErr w:type="spellStart"/>
      <w:r w:rsidRPr="00901848">
        <w:rPr>
          <w:i/>
          <w:iCs/>
          <w:lang w:val="es-ES_tradnl"/>
        </w:rPr>
        <w:t>coding</w:t>
      </w:r>
      <w:proofErr w:type="spellEnd"/>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Serie H.700 para televisión por IP</w:t>
      </w:r>
    </w:p>
    <w:p w:rsidR="00013F68" w:rsidRPr="00901848" w:rsidRDefault="00013F68" w:rsidP="002362FC">
      <w:pPr>
        <w:pStyle w:val="Enumlevel1"/>
        <w:tabs>
          <w:tab w:val="left" w:pos="567"/>
        </w:tabs>
        <w:ind w:left="1701" w:hanging="1701"/>
        <w:rPr>
          <w:lang w:val="es-ES_tradnl"/>
        </w:rPr>
      </w:pPr>
      <w:r w:rsidRPr="00901848">
        <w:rPr>
          <w:lang w:val="es-ES_tradnl"/>
        </w:rPr>
        <w:t>•</w:t>
      </w:r>
      <w:r w:rsidRPr="00901848">
        <w:rPr>
          <w:lang w:val="es-ES_tradnl"/>
        </w:rPr>
        <w:tab/>
        <w:t>Suplemento 1 a las Recomendaciones de la serie H sobre la comunicación de vídeo para el lenguaje de signos y la lectura labial</w:t>
      </w:r>
    </w:p>
    <w:p w:rsidR="00013F68" w:rsidRPr="004B51EA" w:rsidRDefault="00A31E61" w:rsidP="004B51EA">
      <w:pPr>
        <w:pStyle w:val="Headingb0"/>
        <w:rPr>
          <w:sz w:val="21"/>
          <w:szCs w:val="21"/>
          <w:lang w:val="es-ES_tradnl"/>
        </w:rPr>
      </w:pPr>
      <w:hyperlink r:id="rId135" w:history="1">
        <w:r w:rsidR="00013F68" w:rsidRPr="005F0C41">
          <w:rPr>
            <w:rStyle w:val="Hyperlink"/>
            <w:b w:val="0"/>
            <w:bCs w:val="0"/>
            <w:sz w:val="21"/>
            <w:szCs w:val="21"/>
            <w:lang w:val="es-ES_tradnl"/>
          </w:rPr>
          <w:t>Serie T</w:t>
        </w:r>
      </w:hyperlink>
      <w:r w:rsidR="00013F68" w:rsidRPr="005F0C41">
        <w:rPr>
          <w:b w:val="0"/>
          <w:bCs w:val="0"/>
          <w:sz w:val="21"/>
          <w:szCs w:val="21"/>
          <w:lang w:val="es-ES_tradnl"/>
        </w:rPr>
        <w:t>:</w:t>
      </w:r>
      <w:r w:rsidR="00013F68" w:rsidRPr="004B51EA">
        <w:rPr>
          <w:sz w:val="21"/>
          <w:szCs w:val="21"/>
          <w:lang w:val="es-ES_tradnl"/>
        </w:rPr>
        <w:t xml:space="preserve"> Terminales para servicios de telemática</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Serie T.30 para protocolos de fax (RTPC e IP)</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Serie T.80 sobre codificación de imágenes JPEG y JBIG</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T.140:</w:t>
      </w:r>
      <w:r w:rsidRPr="00901848">
        <w:rPr>
          <w:lang w:val="es-ES_tradnl"/>
        </w:rPr>
        <w:tab/>
        <w:t>Protocolo de conversación mediante texto para aplicaciones multimedios</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T.135:</w:t>
      </w:r>
      <w:r w:rsidRPr="00901848">
        <w:rPr>
          <w:lang w:val="es-ES_tradnl"/>
        </w:rPr>
        <w:tab/>
        <w:t>Transacciones de usuario a sistema de reservas en conferencias T.120</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Serie T.800 sobre codificación de imágenes JPEG 2000</w:t>
      </w:r>
    </w:p>
    <w:p w:rsidR="00013F68" w:rsidRPr="00901848" w:rsidRDefault="00013F68" w:rsidP="004B51EA">
      <w:pPr>
        <w:pStyle w:val="Enumlevel1"/>
        <w:tabs>
          <w:tab w:val="left" w:pos="567"/>
        </w:tabs>
        <w:ind w:left="1701" w:hanging="1701"/>
        <w:rPr>
          <w:lang w:val="es-ES_tradnl"/>
        </w:rPr>
      </w:pPr>
      <w:r w:rsidRPr="00901848">
        <w:rPr>
          <w:lang w:val="es-ES_tradnl"/>
        </w:rPr>
        <w:t>•</w:t>
      </w:r>
      <w:r w:rsidRPr="00901848">
        <w:rPr>
          <w:lang w:val="es-ES_tradnl"/>
        </w:rPr>
        <w:tab/>
        <w:t>Serie T.830 sobre codificación de imágenes JPEG XR</w:t>
      </w:r>
    </w:p>
    <w:p w:rsidR="00013F68" w:rsidRPr="004B51EA" w:rsidRDefault="00A31E61" w:rsidP="004B51EA">
      <w:pPr>
        <w:pStyle w:val="Headingb0"/>
        <w:rPr>
          <w:sz w:val="21"/>
          <w:szCs w:val="21"/>
          <w:lang w:val="es-ES_tradnl"/>
        </w:rPr>
      </w:pPr>
      <w:hyperlink r:id="rId136" w:history="1">
        <w:r w:rsidR="00013F68" w:rsidRPr="005F0C41">
          <w:rPr>
            <w:rStyle w:val="Hyperlink"/>
            <w:b w:val="0"/>
            <w:bCs w:val="0"/>
            <w:sz w:val="21"/>
            <w:szCs w:val="21"/>
            <w:lang w:val="es-ES_tradnl"/>
          </w:rPr>
          <w:t>Serie V</w:t>
        </w:r>
      </w:hyperlink>
      <w:r w:rsidR="00013F68" w:rsidRPr="004B51EA">
        <w:rPr>
          <w:sz w:val="21"/>
          <w:szCs w:val="21"/>
          <w:lang w:val="es-ES_tradnl"/>
        </w:rPr>
        <w:t>: Comunicación de datos por la red telefónica</w:t>
      </w:r>
    </w:p>
    <w:p w:rsidR="00013F68" w:rsidRPr="00901848" w:rsidRDefault="00013F68" w:rsidP="00B255EC">
      <w:pPr>
        <w:pStyle w:val="Enumlevel1"/>
        <w:tabs>
          <w:tab w:val="left" w:pos="567"/>
        </w:tabs>
        <w:ind w:left="1701" w:hanging="1701"/>
        <w:rPr>
          <w:lang w:val="es-ES_tradnl"/>
        </w:rPr>
      </w:pPr>
      <w:r w:rsidRPr="00901848">
        <w:rPr>
          <w:lang w:val="es-ES_tradnl"/>
        </w:rPr>
        <w:t>•</w:t>
      </w:r>
      <w:r w:rsidRPr="00901848">
        <w:rPr>
          <w:lang w:val="es-ES_tradnl"/>
        </w:rPr>
        <w:tab/>
        <w:t>V.18:</w:t>
      </w:r>
      <w:r w:rsidRPr="00901848">
        <w:rPr>
          <w:lang w:val="es-ES_tradnl"/>
        </w:rPr>
        <w:tab/>
        <w:t xml:space="preserve">Requisitos operacionales y de </w:t>
      </w:r>
      <w:proofErr w:type="spellStart"/>
      <w:r w:rsidRPr="00901848">
        <w:rPr>
          <w:lang w:val="es-ES_tradnl"/>
        </w:rPr>
        <w:t>interfuncionamiento</w:t>
      </w:r>
      <w:proofErr w:type="spellEnd"/>
      <w:r w:rsidRPr="00901848">
        <w:rPr>
          <w:lang w:val="es-ES_tradnl"/>
        </w:rPr>
        <w:t xml:space="preserve"> de los equipos de terminación del circuito de datos que funcionan en el modo teléfono con texto</w:t>
      </w:r>
    </w:p>
    <w:p w:rsidR="00013F68" w:rsidRPr="00901848" w:rsidRDefault="00013F68" w:rsidP="00B255EC">
      <w:pPr>
        <w:pStyle w:val="Enumlevel1"/>
        <w:tabs>
          <w:tab w:val="left" w:pos="567"/>
        </w:tabs>
        <w:ind w:left="1701" w:hanging="1701"/>
        <w:rPr>
          <w:lang w:val="es-ES_tradnl"/>
        </w:rPr>
      </w:pPr>
      <w:r w:rsidRPr="00901848">
        <w:rPr>
          <w:lang w:val="es-ES_tradnl"/>
        </w:rPr>
        <w:t>•</w:t>
      </w:r>
      <w:r w:rsidRPr="00901848">
        <w:rPr>
          <w:lang w:val="es-ES_tradnl"/>
        </w:rPr>
        <w:tab/>
        <w:t>V.151:</w:t>
      </w:r>
      <w:r w:rsidRPr="00901848">
        <w:rPr>
          <w:lang w:val="es-ES_tradnl"/>
        </w:rPr>
        <w:tab/>
        <w:t>Procedimientos para la conexión de extremo a extremo de teléfonos con texto analógicos de la RTPC a través de una red IP, utilizando la retransmisión de texto</w:t>
      </w:r>
    </w:p>
    <w:p w:rsidR="00013F68" w:rsidRPr="00901848" w:rsidRDefault="00013F68" w:rsidP="00B255EC">
      <w:pPr>
        <w:pStyle w:val="Enumlevel1"/>
        <w:tabs>
          <w:tab w:val="left" w:pos="567"/>
        </w:tabs>
        <w:ind w:left="1701" w:hanging="1701"/>
        <w:rPr>
          <w:lang w:val="es-ES_tradnl"/>
        </w:rPr>
      </w:pPr>
      <w:r w:rsidRPr="00901848">
        <w:rPr>
          <w:lang w:val="es-ES_tradnl"/>
        </w:rPr>
        <w:t>•</w:t>
      </w:r>
      <w:r w:rsidRPr="00901848">
        <w:rPr>
          <w:lang w:val="es-ES_tradnl"/>
        </w:rPr>
        <w:tab/>
        <w:t>V.152:</w:t>
      </w:r>
      <w:r w:rsidRPr="00901848">
        <w:rPr>
          <w:lang w:val="es-ES_tradnl"/>
        </w:rPr>
        <w:tab/>
        <w:t>Procedimientos para el soporte de datos en banda vocal en redes IP</w:t>
      </w:r>
    </w:p>
    <w:p w:rsidR="00013F68" w:rsidRPr="00901848" w:rsidRDefault="00013F68" w:rsidP="00C77EC3">
      <w:pPr>
        <w:rPr>
          <w:lang w:val="es-ES_tradnl"/>
        </w:rPr>
      </w:pPr>
      <w:r w:rsidRPr="00901848">
        <w:rPr>
          <w:lang w:val="es-ES_tradnl"/>
        </w:rPr>
        <w:t xml:space="preserve">En el marco de la Cuestión 14 del UIT-D se seguirán tratando todas las actividades pertinentes, en especial, las relativas a las aplicaciones de </w:t>
      </w:r>
      <w:proofErr w:type="spellStart"/>
      <w:r w:rsidRPr="00901848">
        <w:rPr>
          <w:lang w:val="es-ES_tradnl"/>
        </w:rPr>
        <w:t>cibersalud</w:t>
      </w:r>
      <w:proofErr w:type="spellEnd"/>
      <w:r w:rsidRPr="00901848">
        <w:rPr>
          <w:lang w:val="es-ES_tradnl"/>
        </w:rPr>
        <w:t>.</w:t>
      </w:r>
    </w:p>
    <w:p w:rsidR="00013F68" w:rsidRPr="00A96787" w:rsidRDefault="00013F68" w:rsidP="005F0C41">
      <w:pPr>
        <w:pStyle w:val="Heading4"/>
      </w:pPr>
      <w:proofErr w:type="spellStart"/>
      <w:r w:rsidRPr="00A96787">
        <w:t>Documentos</w:t>
      </w:r>
      <w:proofErr w:type="spellEnd"/>
      <w:r w:rsidRPr="00A96787">
        <w:t xml:space="preserve"> </w:t>
      </w:r>
      <w:proofErr w:type="spellStart"/>
      <w:r w:rsidRPr="00A96787">
        <w:t>técnicos</w:t>
      </w:r>
      <w:proofErr w:type="spellEnd"/>
      <w:r w:rsidRPr="00A96787">
        <w:t xml:space="preserve"> </w:t>
      </w:r>
    </w:p>
    <w:p w:rsidR="00013F68" w:rsidRPr="005F0C41" w:rsidRDefault="00013F68" w:rsidP="005F0C41">
      <w:pPr>
        <w:pStyle w:val="Enumlevel1"/>
        <w:numPr>
          <w:ilvl w:val="0"/>
          <w:numId w:val="15"/>
        </w:numPr>
        <w:ind w:left="567" w:hanging="567"/>
      </w:pPr>
      <w:proofErr w:type="spellStart"/>
      <w:r w:rsidRPr="005F0C41">
        <w:t>Sistemas</w:t>
      </w:r>
      <w:proofErr w:type="spellEnd"/>
      <w:r w:rsidRPr="005F0C41">
        <w:t xml:space="preserve"> </w:t>
      </w:r>
      <w:proofErr w:type="spellStart"/>
      <w:r w:rsidRPr="005F0C41">
        <w:t>multimedios</w:t>
      </w:r>
      <w:proofErr w:type="spellEnd"/>
      <w:r w:rsidRPr="005F0C41">
        <w:t xml:space="preserve"> </w:t>
      </w:r>
      <w:proofErr w:type="spellStart"/>
      <w:r w:rsidRPr="005F0C41">
        <w:t>avanzados</w:t>
      </w:r>
      <w:proofErr w:type="spellEnd"/>
      <w:r w:rsidRPr="005F0C41">
        <w:t xml:space="preserve"> (AMS)</w:t>
      </w:r>
    </w:p>
    <w:p w:rsidR="00013F68" w:rsidRPr="005F0C41" w:rsidRDefault="00013F68" w:rsidP="00C77EC3">
      <w:pPr>
        <w:pStyle w:val="Enumlevel2"/>
      </w:pPr>
      <w:r w:rsidRPr="005F0C41">
        <w:t>•</w:t>
      </w:r>
      <w:r w:rsidRPr="005F0C41">
        <w:tab/>
      </w:r>
      <w:hyperlink r:id="rId137" w:history="1">
        <w:r w:rsidR="00C77EC3" w:rsidRPr="00CA783C">
          <w:rPr>
            <w:rStyle w:val="Hyperlink"/>
            <w:bCs/>
            <w:lang w:val="en-GB"/>
          </w:rPr>
          <w:t>HSTP-AMSR - AMS Requirements</w:t>
        </w:r>
      </w:hyperlink>
      <w:r w:rsidR="00C77EC3" w:rsidRPr="00C77EC3">
        <w:rPr>
          <w:rStyle w:val="Hyperlink"/>
          <w:bCs/>
          <w:u w:val="none"/>
          <w:lang w:val="en-GB"/>
        </w:rPr>
        <w:t xml:space="preserve"> </w:t>
      </w:r>
    </w:p>
    <w:p w:rsidR="00013F68" w:rsidRPr="00C77EC3" w:rsidRDefault="00013F68" w:rsidP="00C77EC3">
      <w:pPr>
        <w:pStyle w:val="Enumlevel1"/>
        <w:numPr>
          <w:ilvl w:val="0"/>
          <w:numId w:val="15"/>
        </w:numPr>
        <w:ind w:left="567" w:hanging="567"/>
      </w:pPr>
      <w:proofErr w:type="spellStart"/>
      <w:r w:rsidRPr="00C77EC3">
        <w:t>Codificación</w:t>
      </w:r>
      <w:proofErr w:type="spellEnd"/>
      <w:r w:rsidRPr="00C77EC3">
        <w:t xml:space="preserve"> de audio y </w:t>
      </w:r>
      <w:proofErr w:type="spellStart"/>
      <w:r w:rsidRPr="00C77EC3">
        <w:t>voz</w:t>
      </w:r>
      <w:proofErr w:type="spellEnd"/>
    </w:p>
    <w:p w:rsidR="00013F68" w:rsidRPr="001B1989" w:rsidRDefault="00013F68" w:rsidP="000E14F1">
      <w:pPr>
        <w:pStyle w:val="Enumlevel2"/>
      </w:pPr>
      <w:r>
        <w:t>•</w:t>
      </w:r>
      <w:r>
        <w:tab/>
      </w:r>
      <w:hyperlink r:id="rId138" w:history="1">
        <w:r w:rsidR="000E14F1" w:rsidRPr="00CA783C">
          <w:rPr>
            <w:rStyle w:val="Hyperlink"/>
            <w:bCs/>
            <w:lang w:val="en-GB"/>
          </w:rPr>
          <w:t xml:space="preserve">GSTP-ACP1 </w:t>
        </w:r>
        <w:r w:rsidR="000E14F1">
          <w:rPr>
            <w:rStyle w:val="Hyperlink"/>
            <w:bCs/>
            <w:lang w:val="en-GB"/>
          </w:rPr>
          <w:t>–</w:t>
        </w:r>
        <w:r w:rsidR="000E14F1" w:rsidRPr="00CA783C">
          <w:rPr>
            <w:rStyle w:val="Hyperlink"/>
            <w:bCs/>
            <w:lang w:val="en-GB"/>
          </w:rPr>
          <w:t xml:space="preserve"> Selection Test Results for G.718 Baseline and Qualification Phase Test Results for G.729.1</w:t>
        </w:r>
      </w:hyperlink>
    </w:p>
    <w:p w:rsidR="00013F68" w:rsidRPr="001B1989" w:rsidRDefault="00013F68" w:rsidP="001B1989">
      <w:pPr>
        <w:pStyle w:val="Enumlevel2"/>
      </w:pPr>
      <w:r>
        <w:t>•</w:t>
      </w:r>
      <w:r>
        <w:tab/>
      </w:r>
      <w:hyperlink r:id="rId139" w:history="1">
        <w:r w:rsidRPr="000E14F1">
          <w:rPr>
            <w:rStyle w:val="Hyperlink"/>
            <w:bCs/>
            <w:lang w:val="en-GB"/>
          </w:rPr>
          <w:t>GSTP-G7291 - Performance of ITU-T G.729.1</w:t>
        </w:r>
      </w:hyperlink>
    </w:p>
    <w:p w:rsidR="00013F68" w:rsidRPr="001B1989" w:rsidRDefault="00013F68" w:rsidP="00156132">
      <w:pPr>
        <w:pStyle w:val="Enumlevel2"/>
      </w:pPr>
      <w:r>
        <w:t>•</w:t>
      </w:r>
      <w:r>
        <w:tab/>
      </w:r>
      <w:hyperlink r:id="rId140" w:history="1">
        <w:r w:rsidR="00156132">
          <w:rPr>
            <w:rStyle w:val="Hyperlink"/>
            <w:bCs/>
            <w:lang w:val="en-GB"/>
          </w:rPr>
          <w:t>GSTP-GSAD –</w:t>
        </w:r>
        <w:r w:rsidR="00156132" w:rsidRPr="00CA783C">
          <w:rPr>
            <w:rStyle w:val="Hyperlink"/>
            <w:bCs/>
            <w:lang w:val="en-GB"/>
          </w:rPr>
          <w:t xml:space="preserve"> Generic Sound Activity Detector</w:t>
        </w:r>
      </w:hyperlink>
    </w:p>
    <w:p w:rsidR="00013F68" w:rsidRPr="001B1989" w:rsidRDefault="00013F68" w:rsidP="00156132">
      <w:pPr>
        <w:pStyle w:val="Enumlevel2"/>
      </w:pPr>
      <w:r>
        <w:t>•</w:t>
      </w:r>
      <w:r>
        <w:tab/>
      </w:r>
      <w:hyperlink r:id="rId141" w:history="1">
        <w:r w:rsidR="00156132" w:rsidRPr="00CA783C">
          <w:rPr>
            <w:rStyle w:val="Hyperlink"/>
            <w:bCs/>
            <w:lang w:val="en-GB"/>
          </w:rPr>
          <w:t xml:space="preserve">GSTP-GVBR </w:t>
        </w:r>
        <w:r w:rsidR="00156132">
          <w:rPr>
            <w:rStyle w:val="Hyperlink"/>
            <w:bCs/>
            <w:lang w:val="en-GB"/>
          </w:rPr>
          <w:t>–</w:t>
        </w:r>
        <w:r w:rsidR="00156132" w:rsidRPr="00CA783C">
          <w:rPr>
            <w:rStyle w:val="Hyperlink"/>
            <w:bCs/>
            <w:lang w:val="en-GB"/>
          </w:rPr>
          <w:t xml:space="preserve"> Performance of ITU-T G.718</w:t>
        </w:r>
      </w:hyperlink>
    </w:p>
    <w:p w:rsidR="00013F68" w:rsidRPr="00A96787" w:rsidRDefault="00013F68" w:rsidP="00156132">
      <w:pPr>
        <w:pStyle w:val="Enumlevel2"/>
        <w:rPr>
          <w:rFonts w:eastAsia="Times New Roman" w:cstheme="majorBidi"/>
          <w:lang w:val="es-ES"/>
        </w:rPr>
      </w:pPr>
      <w:r>
        <w:t>•</w:t>
      </w:r>
      <w:r>
        <w:tab/>
      </w:r>
      <w:hyperlink r:id="rId142" w:history="1">
        <w:r w:rsidR="00156132" w:rsidRPr="00156132">
          <w:rPr>
            <w:rStyle w:val="Hyperlink"/>
            <w:bCs/>
            <w:lang w:val="en-GB"/>
          </w:rPr>
          <w:t>GSTP-G.711AppIII – Performance of ITU-T G.711 Appendix III (Audio quality enhancement toolbox)</w:t>
        </w:r>
        <w:r w:rsidRPr="00A96787">
          <w:rPr>
            <w:rFonts w:eastAsia="Times New Roman" w:cstheme="majorBidi"/>
            <w:lang w:val="es-ES"/>
          </w:rPr>
          <w:t xml:space="preserve"> </w:t>
        </w:r>
      </w:hyperlink>
    </w:p>
    <w:p w:rsidR="00013F68" w:rsidRPr="00C77EC3" w:rsidRDefault="00013F68" w:rsidP="00C77EC3">
      <w:pPr>
        <w:pStyle w:val="Enumlevel1"/>
        <w:numPr>
          <w:ilvl w:val="0"/>
          <w:numId w:val="15"/>
        </w:numPr>
        <w:ind w:left="567" w:hanging="567"/>
      </w:pPr>
      <w:proofErr w:type="spellStart"/>
      <w:r w:rsidRPr="00C77EC3">
        <w:t>Cibersalud</w:t>
      </w:r>
      <w:proofErr w:type="spellEnd"/>
      <w:r w:rsidRPr="00C77EC3">
        <w:t xml:space="preserve"> y </w:t>
      </w:r>
      <w:proofErr w:type="spellStart"/>
      <w:r w:rsidRPr="00C77EC3">
        <w:t>telemedicina</w:t>
      </w:r>
      <w:proofErr w:type="spellEnd"/>
    </w:p>
    <w:p w:rsidR="00013F68" w:rsidRPr="00156132" w:rsidRDefault="00013F68" w:rsidP="00D5213C">
      <w:pPr>
        <w:pStyle w:val="Enumlevel2"/>
        <w:rPr>
          <w:rFonts w:eastAsia="Times New Roman" w:cstheme="majorBidi"/>
          <w:lang w:val="en-US"/>
        </w:rPr>
      </w:pPr>
      <w:r w:rsidRPr="00156132">
        <w:rPr>
          <w:lang w:val="en-US"/>
        </w:rPr>
        <w:t>•</w:t>
      </w:r>
      <w:r w:rsidRPr="00156132">
        <w:rPr>
          <w:lang w:val="en-US"/>
        </w:rPr>
        <w:tab/>
      </w:r>
      <w:hyperlink r:id="rId143" w:history="1">
        <w:r w:rsidR="00D5213C" w:rsidRPr="00D5213C">
          <w:rPr>
            <w:rStyle w:val="Hyperlink"/>
            <w:bCs/>
            <w:lang w:val="en-GB"/>
          </w:rPr>
          <w:t>FSTP-RTM – Roadmap for Telemedicine</w:t>
        </w:r>
      </w:hyperlink>
    </w:p>
    <w:p w:rsidR="00013F68" w:rsidRPr="00901848" w:rsidRDefault="00013F68" w:rsidP="00C77EC3">
      <w:pPr>
        <w:pStyle w:val="Enumlevel1"/>
        <w:numPr>
          <w:ilvl w:val="0"/>
          <w:numId w:val="15"/>
        </w:numPr>
        <w:ind w:left="567" w:hanging="567"/>
        <w:rPr>
          <w:lang w:val="es-ES_tradnl"/>
        </w:rPr>
      </w:pPr>
      <w:r w:rsidRPr="00901848">
        <w:rPr>
          <w:lang w:val="es-ES_tradnl"/>
        </w:rPr>
        <w:t>Problemas transversales relacionados con los cortafuegos y las NAT en los sistemas H.323</w:t>
      </w:r>
    </w:p>
    <w:p w:rsidR="00013F68" w:rsidRPr="00F9094A" w:rsidRDefault="00013F68" w:rsidP="00D5213C">
      <w:pPr>
        <w:pStyle w:val="Enumlevel2"/>
        <w:rPr>
          <w:rFonts w:eastAsia="Times New Roman" w:cstheme="majorBidi"/>
          <w:lang w:val="en-US"/>
        </w:rPr>
      </w:pPr>
      <w:r>
        <w:t>•</w:t>
      </w:r>
      <w:r>
        <w:tab/>
      </w:r>
      <w:hyperlink r:id="rId144" w:history="1">
        <w:r w:rsidR="00D5213C" w:rsidRPr="00CA783C">
          <w:rPr>
            <w:rStyle w:val="Hyperlink"/>
            <w:bCs/>
            <w:lang w:val="en-GB"/>
          </w:rPr>
          <w:t xml:space="preserve">HSTP-FNTP </w:t>
        </w:r>
        <w:r w:rsidR="00D5213C">
          <w:rPr>
            <w:rStyle w:val="Hyperlink"/>
            <w:bCs/>
            <w:lang w:val="en-GB"/>
          </w:rPr>
          <w:t>–</w:t>
        </w:r>
        <w:r w:rsidR="00D5213C" w:rsidRPr="00CA783C">
          <w:rPr>
            <w:rStyle w:val="Hyperlink"/>
            <w:bCs/>
            <w:lang w:val="en-GB"/>
          </w:rPr>
          <w:t xml:space="preserve"> Firewall and NAT Traversal Problems in H.323 Systems</w:t>
        </w:r>
      </w:hyperlink>
    </w:p>
    <w:p w:rsidR="00D5213C" w:rsidRDefault="00013F68" w:rsidP="00D5213C">
      <w:pPr>
        <w:pStyle w:val="Enumlevel2"/>
        <w:rPr>
          <w:rStyle w:val="Hyperlink"/>
          <w:bCs/>
          <w:lang w:val="en-GB"/>
        </w:rPr>
      </w:pPr>
      <w:r>
        <w:t>•</w:t>
      </w:r>
      <w:r>
        <w:tab/>
      </w:r>
      <w:hyperlink r:id="rId145" w:history="1">
        <w:r w:rsidR="00D5213C" w:rsidRPr="00CA783C">
          <w:rPr>
            <w:rStyle w:val="Hyperlink"/>
            <w:bCs/>
            <w:lang w:val="en-GB"/>
          </w:rPr>
          <w:t xml:space="preserve">HSTP-NFWT </w:t>
        </w:r>
        <w:r w:rsidR="00D5213C">
          <w:rPr>
            <w:rStyle w:val="Hyperlink"/>
            <w:bCs/>
            <w:lang w:val="en-GB"/>
          </w:rPr>
          <w:t>–</w:t>
        </w:r>
        <w:r w:rsidR="00D5213C" w:rsidRPr="00CA783C">
          <w:rPr>
            <w:rStyle w:val="Hyperlink"/>
            <w:bCs/>
            <w:lang w:val="en-GB"/>
          </w:rPr>
          <w:t xml:space="preserve"> Requirements for Network Address Translator and Firewall Traversal of H.323 Multimedia Systems </w:t>
        </w:r>
      </w:hyperlink>
    </w:p>
    <w:p w:rsidR="00013F68" w:rsidRPr="00D5213C" w:rsidRDefault="00013F68" w:rsidP="00D5213C">
      <w:pPr>
        <w:pStyle w:val="Enumlevel1"/>
        <w:numPr>
          <w:ilvl w:val="0"/>
          <w:numId w:val="15"/>
        </w:numPr>
        <w:ind w:left="567" w:hanging="567"/>
      </w:pPr>
      <w:proofErr w:type="spellStart"/>
      <w:r w:rsidRPr="00D5213C">
        <w:t>Movilidad</w:t>
      </w:r>
      <w:proofErr w:type="spellEnd"/>
      <w:r w:rsidRPr="00D5213C">
        <w:t xml:space="preserve"> </w:t>
      </w:r>
      <w:proofErr w:type="spellStart"/>
      <w:r w:rsidRPr="00D5213C">
        <w:t>multimedios</w:t>
      </w:r>
      <w:proofErr w:type="spellEnd"/>
      <w:r w:rsidRPr="00D5213C">
        <w:t xml:space="preserve"> H.323</w:t>
      </w:r>
    </w:p>
    <w:p w:rsidR="00D5213C" w:rsidRDefault="00013F68" w:rsidP="00D5213C">
      <w:pPr>
        <w:pStyle w:val="Enumlevel2"/>
        <w:rPr>
          <w:rStyle w:val="Hyperlink"/>
          <w:bCs/>
          <w:lang w:val="en-GB"/>
        </w:rPr>
      </w:pPr>
      <w:r>
        <w:t>•</w:t>
      </w:r>
      <w:r>
        <w:tab/>
      </w:r>
      <w:hyperlink r:id="rId146" w:history="1">
        <w:r w:rsidR="00D5213C" w:rsidRPr="00CA783C">
          <w:rPr>
            <w:rStyle w:val="Hyperlink"/>
            <w:bCs/>
            <w:lang w:val="en-GB"/>
          </w:rPr>
          <w:t xml:space="preserve">HSTP-H.510M </w:t>
        </w:r>
        <w:r w:rsidR="00D5213C">
          <w:rPr>
            <w:rStyle w:val="Hyperlink"/>
            <w:bCs/>
            <w:lang w:val="en-GB"/>
          </w:rPr>
          <w:t>–</w:t>
        </w:r>
        <w:r w:rsidR="00D5213C" w:rsidRPr="00CA783C">
          <w:rPr>
            <w:rStyle w:val="Hyperlink"/>
            <w:bCs/>
            <w:lang w:val="en-GB"/>
          </w:rPr>
          <w:t xml:space="preserve"> Usage of the H.510 protocol for the support of H.323 based Multimedia Services within GPRS/IMT2000 networks</w:t>
        </w:r>
      </w:hyperlink>
    </w:p>
    <w:p w:rsidR="00D5213C" w:rsidRDefault="00013F68" w:rsidP="00D5213C">
      <w:pPr>
        <w:pStyle w:val="Enumlevel2"/>
      </w:pPr>
      <w:r>
        <w:t>•</w:t>
      </w:r>
      <w:r>
        <w:tab/>
      </w:r>
      <w:hyperlink r:id="rId147" w:history="1">
        <w:r w:rsidR="00D5213C" w:rsidRPr="00D5213C">
          <w:rPr>
            <w:rStyle w:val="Hyperlink"/>
          </w:rPr>
          <w:t>HSTP-MMSM–- Technical Paper on Service Mobility for new Multimedia Service Architecture</w:t>
        </w:r>
      </w:hyperlink>
      <w:r w:rsidR="00D5213C" w:rsidRPr="00D5213C">
        <w:t xml:space="preserve"> </w:t>
      </w:r>
    </w:p>
    <w:p w:rsidR="00013F68" w:rsidRPr="00D5213C" w:rsidRDefault="00013F68" w:rsidP="00D5213C">
      <w:pPr>
        <w:pStyle w:val="Enumlevel1"/>
        <w:numPr>
          <w:ilvl w:val="0"/>
          <w:numId w:val="15"/>
        </w:numPr>
        <w:ind w:left="567" w:hanging="567"/>
      </w:pPr>
      <w:proofErr w:type="spellStart"/>
      <w:r w:rsidRPr="00D5213C">
        <w:t>Televisión</w:t>
      </w:r>
      <w:proofErr w:type="spellEnd"/>
      <w:r w:rsidRPr="00D5213C">
        <w:t xml:space="preserve"> </w:t>
      </w:r>
      <w:proofErr w:type="spellStart"/>
      <w:r w:rsidRPr="00D5213C">
        <w:t>por</w:t>
      </w:r>
      <w:proofErr w:type="spellEnd"/>
      <w:r w:rsidRPr="00D5213C">
        <w:t xml:space="preserve"> IP</w:t>
      </w:r>
    </w:p>
    <w:p w:rsidR="00013F68" w:rsidRPr="00D5213C" w:rsidRDefault="00013F68" w:rsidP="00D5213C">
      <w:pPr>
        <w:pStyle w:val="Enumlevel2"/>
        <w:rPr>
          <w:rStyle w:val="Hyperlink"/>
          <w:lang w:val="en-GB"/>
        </w:rPr>
      </w:pPr>
      <w:r>
        <w:t>•</w:t>
      </w:r>
      <w:r>
        <w:tab/>
      </w:r>
      <w:hyperlink r:id="rId148" w:history="1">
        <w:r w:rsidRPr="00D5213C">
          <w:rPr>
            <w:rStyle w:val="Hyperlink"/>
            <w:lang w:val="en-GB"/>
          </w:rPr>
          <w:t>HSTP-MCTB - Media coding toolbox for IPTV: Audio and video codecs</w:t>
        </w:r>
      </w:hyperlink>
    </w:p>
    <w:p w:rsidR="00013F68" w:rsidRPr="00F9094A" w:rsidRDefault="00013F68" w:rsidP="00D5213C">
      <w:pPr>
        <w:pStyle w:val="Enumlevel2"/>
        <w:rPr>
          <w:rFonts w:eastAsia="Times New Roman" w:cstheme="majorBidi"/>
          <w:lang w:val="en-US"/>
        </w:rPr>
      </w:pPr>
      <w:r>
        <w:t>•</w:t>
      </w:r>
      <w:r>
        <w:tab/>
      </w:r>
      <w:hyperlink r:id="rId149" w:history="1">
        <w:r w:rsidRPr="00D5213C">
          <w:rPr>
            <w:rStyle w:val="Hyperlink"/>
            <w:bCs/>
            <w:lang w:val="en-GB"/>
          </w:rPr>
          <w:t>HSTP-CONF-H.701 - Conformance testing specification for H.701</w:t>
        </w:r>
      </w:hyperlink>
    </w:p>
    <w:p w:rsidR="00013F68" w:rsidRPr="00F9094A" w:rsidRDefault="00013F68" w:rsidP="00D5213C">
      <w:pPr>
        <w:pStyle w:val="Enumlevel2"/>
        <w:rPr>
          <w:rFonts w:eastAsia="Times New Roman" w:cstheme="majorBidi"/>
          <w:lang w:val="en-US"/>
        </w:rPr>
      </w:pPr>
      <w:r>
        <w:t>•</w:t>
      </w:r>
      <w:r>
        <w:tab/>
      </w:r>
      <w:hyperlink r:id="rId150" w:history="1">
        <w:r w:rsidRPr="00D5213C">
          <w:rPr>
            <w:rStyle w:val="Hyperlink"/>
            <w:bCs/>
            <w:lang w:val="en-GB"/>
          </w:rPr>
          <w:t>HSTP-CONF-H721 - Conformance testing specification for H.721</w:t>
        </w:r>
      </w:hyperlink>
    </w:p>
    <w:p w:rsidR="00013F68" w:rsidRPr="00F9094A" w:rsidRDefault="00013F68" w:rsidP="00D5213C">
      <w:pPr>
        <w:pStyle w:val="Enumlevel2"/>
        <w:rPr>
          <w:rFonts w:eastAsia="Times New Roman" w:cstheme="majorBidi"/>
          <w:lang w:val="en-US"/>
        </w:rPr>
      </w:pPr>
      <w:r>
        <w:t>•</w:t>
      </w:r>
      <w:r>
        <w:tab/>
      </w:r>
      <w:hyperlink r:id="rId151" w:history="1">
        <w:r w:rsidRPr="00D5213C">
          <w:rPr>
            <w:rStyle w:val="Hyperlink"/>
            <w:bCs/>
            <w:lang w:val="en-GB"/>
          </w:rPr>
          <w:t>HSTP-CONF-H.761 - Conformance testing specification for H.761</w:t>
        </w:r>
      </w:hyperlink>
    </w:p>
    <w:p w:rsidR="00013F68" w:rsidRPr="00F9094A" w:rsidRDefault="00013F68" w:rsidP="00D5213C">
      <w:pPr>
        <w:pStyle w:val="Enumlevel2"/>
        <w:rPr>
          <w:rFonts w:eastAsia="Times New Roman" w:cstheme="majorBidi"/>
          <w:lang w:val="en-US"/>
        </w:rPr>
      </w:pPr>
      <w:r>
        <w:t>•</w:t>
      </w:r>
      <w:r>
        <w:tab/>
      </w:r>
      <w:hyperlink r:id="rId152" w:history="1">
        <w:r w:rsidRPr="00D5213C">
          <w:rPr>
            <w:rStyle w:val="Hyperlink"/>
            <w:bCs/>
            <w:lang w:val="en-GB"/>
          </w:rPr>
          <w:t>HSTP-CONF-H762 - Conformance testing specification for H.762</w:t>
        </w:r>
      </w:hyperlink>
    </w:p>
    <w:p w:rsidR="00013F68" w:rsidRPr="00F9094A" w:rsidRDefault="00013F68" w:rsidP="00D5213C">
      <w:pPr>
        <w:pStyle w:val="Enumlevel2"/>
        <w:rPr>
          <w:rFonts w:eastAsia="Times New Roman" w:cstheme="majorBidi"/>
          <w:lang w:val="en-US"/>
        </w:rPr>
      </w:pPr>
      <w:r>
        <w:t>•</w:t>
      </w:r>
      <w:r>
        <w:tab/>
      </w:r>
      <w:hyperlink r:id="rId153" w:history="1">
        <w:r w:rsidRPr="00D5213C">
          <w:rPr>
            <w:rStyle w:val="Hyperlink"/>
            <w:bCs/>
            <w:lang w:val="en-GB"/>
          </w:rPr>
          <w:t>HSTP-CONF-H770 - Conformance testing specification for H.770</w:t>
        </w:r>
      </w:hyperlink>
    </w:p>
    <w:p w:rsidR="00013F68" w:rsidRPr="00D5213C" w:rsidRDefault="00013F68" w:rsidP="00D5213C">
      <w:pPr>
        <w:pStyle w:val="Enumlevel2"/>
        <w:rPr>
          <w:rStyle w:val="Hyperlink"/>
          <w:bCs/>
          <w:lang w:val="en-GB"/>
        </w:rPr>
      </w:pPr>
      <w:r w:rsidRPr="00247DF1">
        <w:rPr>
          <w:lang w:val="en-US"/>
        </w:rPr>
        <w:t>•</w:t>
      </w:r>
      <w:r>
        <w:rPr>
          <w:lang w:val="en-US"/>
        </w:rPr>
        <w:tab/>
      </w:r>
      <w:hyperlink r:id="rId154" w:history="1">
        <w:r w:rsidRPr="00D5213C">
          <w:rPr>
            <w:rStyle w:val="Hyperlink"/>
            <w:bCs/>
            <w:lang w:val="en-GB"/>
          </w:rPr>
          <w:t>HSTP-IPTV-AISC - Access to Internet-sourced contents</w:t>
        </w:r>
      </w:hyperlink>
    </w:p>
    <w:p w:rsidR="00013F68" w:rsidRPr="00F9094A" w:rsidRDefault="00013F68" w:rsidP="00D5213C">
      <w:pPr>
        <w:pStyle w:val="Enumlevel2"/>
        <w:rPr>
          <w:rFonts w:eastAsia="Times New Roman" w:cstheme="majorBidi"/>
          <w:lang w:val="en-US"/>
        </w:rPr>
      </w:pPr>
      <w:r>
        <w:t>•</w:t>
      </w:r>
      <w:r>
        <w:tab/>
      </w:r>
      <w:hyperlink r:id="rId155" w:history="1">
        <w:r w:rsidRPr="00D5213C">
          <w:rPr>
            <w:rStyle w:val="Hyperlink"/>
            <w:bCs/>
            <w:lang w:val="en-GB"/>
          </w:rPr>
          <w:t>HSTP-IPTV-ISPF - IPTV retail service provider model</w:t>
        </w:r>
      </w:hyperlink>
    </w:p>
    <w:p w:rsidR="00013F68" w:rsidRPr="00F9094A" w:rsidRDefault="00013F68" w:rsidP="00D5213C">
      <w:pPr>
        <w:pStyle w:val="Enumlevel2"/>
        <w:rPr>
          <w:rFonts w:eastAsia="Times New Roman" w:cstheme="majorBidi"/>
          <w:lang w:val="en-US"/>
        </w:rPr>
      </w:pPr>
      <w:r w:rsidRPr="00247DF1">
        <w:rPr>
          <w:rFonts w:eastAsia="Times New Roman" w:cstheme="majorBidi"/>
          <w:lang w:val="en-US"/>
        </w:rPr>
        <w:lastRenderedPageBreak/>
        <w:t>•</w:t>
      </w:r>
      <w:r>
        <w:rPr>
          <w:rFonts w:eastAsia="Times New Roman" w:cstheme="majorBidi"/>
          <w:lang w:val="en-US"/>
        </w:rPr>
        <w:tab/>
      </w:r>
      <w:r w:rsidRPr="00F9094A">
        <w:rPr>
          <w:rFonts w:eastAsia="Times New Roman" w:cstheme="majorBidi"/>
          <w:lang w:val="en-US"/>
        </w:rPr>
        <w:t>HSTP-IPTV-PITD - Delivery and control protocols handled by IPTV terminal devices</w:t>
      </w:r>
    </w:p>
    <w:p w:rsidR="00013F68" w:rsidRPr="00980F89" w:rsidRDefault="00013F68" w:rsidP="00980F89">
      <w:pPr>
        <w:pStyle w:val="Enumlevel1"/>
        <w:numPr>
          <w:ilvl w:val="0"/>
          <w:numId w:val="15"/>
        </w:numPr>
        <w:ind w:left="567" w:hanging="567"/>
      </w:pPr>
      <w:proofErr w:type="spellStart"/>
      <w:r w:rsidRPr="00980F89">
        <w:t>Accesibilidad</w:t>
      </w:r>
      <w:proofErr w:type="spellEnd"/>
      <w:r w:rsidRPr="00980F89">
        <w:t xml:space="preserve"> de </w:t>
      </w:r>
      <w:proofErr w:type="spellStart"/>
      <w:r w:rsidRPr="00980F89">
        <w:t>las</w:t>
      </w:r>
      <w:proofErr w:type="spellEnd"/>
      <w:r w:rsidRPr="00980F89">
        <w:t xml:space="preserve"> </w:t>
      </w:r>
      <w:proofErr w:type="spellStart"/>
      <w:r w:rsidRPr="00980F89">
        <w:t>telecomunicaciones</w:t>
      </w:r>
      <w:proofErr w:type="spellEnd"/>
    </w:p>
    <w:p w:rsidR="00013F68" w:rsidRPr="00980F89" w:rsidRDefault="00A31E61" w:rsidP="00980F89">
      <w:pPr>
        <w:pStyle w:val="Enumlevel2"/>
        <w:numPr>
          <w:ilvl w:val="0"/>
          <w:numId w:val="40"/>
        </w:numPr>
        <w:ind w:left="1134" w:hanging="567"/>
        <w:rPr>
          <w:lang w:val="en-US"/>
        </w:rPr>
      </w:pPr>
      <w:hyperlink r:id="rId156" w:history="1">
        <w:r w:rsidR="00013F68" w:rsidRPr="00980F89">
          <w:rPr>
            <w:rStyle w:val="Hyperlink"/>
            <w:lang w:val="en-US"/>
          </w:rPr>
          <w:t>FSTP-TACL - Telecommunications Accessibility Checklist</w:t>
        </w:r>
      </w:hyperlink>
    </w:p>
    <w:p w:rsidR="00013F68" w:rsidRPr="00A96787" w:rsidRDefault="00013F68" w:rsidP="00980F89">
      <w:pPr>
        <w:pStyle w:val="Heading4"/>
      </w:pPr>
      <w:proofErr w:type="spellStart"/>
      <w:r w:rsidRPr="00A96787">
        <w:t>Grupos</w:t>
      </w:r>
      <w:proofErr w:type="spellEnd"/>
      <w:r w:rsidRPr="00A96787">
        <w:t xml:space="preserve"> </w:t>
      </w:r>
      <w:proofErr w:type="spellStart"/>
      <w:r w:rsidRPr="00A96787">
        <w:t>relevantes</w:t>
      </w:r>
      <w:proofErr w:type="spellEnd"/>
    </w:p>
    <w:p w:rsidR="00013F68" w:rsidRPr="00A96787" w:rsidRDefault="00A31E61" w:rsidP="00980F89">
      <w:pPr>
        <w:pStyle w:val="Enumlevel1"/>
        <w:numPr>
          <w:ilvl w:val="0"/>
          <w:numId w:val="27"/>
        </w:numPr>
        <w:ind w:left="567" w:hanging="567"/>
        <w:rPr>
          <w:rFonts w:eastAsia="Times New Roman" w:cs="Times New Roman"/>
          <w:bCs/>
          <w:szCs w:val="19"/>
          <w:lang w:val="es-ES" w:eastAsia="en-US"/>
        </w:rPr>
      </w:pPr>
      <w:hyperlink r:id="rId157" w:history="1">
        <w:r w:rsidR="00013F68" w:rsidRPr="00980F89">
          <w:rPr>
            <w:rStyle w:val="Hyperlink"/>
            <w:lang w:val="es-ES_tradnl"/>
          </w:rPr>
          <w:t>Grupo Temático sobre accesibilidad a los medios audiovisuales</w:t>
        </w:r>
      </w:hyperlink>
      <w:r w:rsidR="00013F68" w:rsidRPr="00A96787">
        <w:rPr>
          <w:lang w:val="es-ES"/>
        </w:rPr>
        <w:t xml:space="preserve"> </w:t>
      </w:r>
      <w:r w:rsidR="00980F89">
        <w:rPr>
          <w:rFonts w:eastAsia="Times New Roman" w:cs="Times New Roman"/>
          <w:bCs/>
          <w:szCs w:val="19"/>
          <w:lang w:val="es-ES" w:eastAsia="en-US"/>
        </w:rPr>
        <w:t>(FG AVA)</w:t>
      </w:r>
    </w:p>
    <w:p w:rsidR="00013F68" w:rsidRPr="00980F89" w:rsidRDefault="00A31E61" w:rsidP="00980F89">
      <w:pPr>
        <w:pStyle w:val="Enumlevel1"/>
        <w:numPr>
          <w:ilvl w:val="0"/>
          <w:numId w:val="27"/>
        </w:numPr>
        <w:ind w:left="567" w:hanging="567"/>
        <w:rPr>
          <w:lang w:val="es-ES"/>
        </w:rPr>
      </w:pPr>
      <w:hyperlink r:id="rId158" w:history="1">
        <w:r w:rsidR="00013F68" w:rsidRPr="00980F89">
          <w:rPr>
            <w:rStyle w:val="Hyperlink"/>
            <w:lang w:val="es-ES"/>
          </w:rPr>
          <w:t>Grupo Temático sobre sistemas de socorro en casos de catástrofe, resistencia y recuperación de la red</w:t>
        </w:r>
      </w:hyperlink>
      <w:r w:rsidR="00013F68" w:rsidRPr="00A96787">
        <w:rPr>
          <w:lang w:val="es-ES"/>
        </w:rPr>
        <w:t xml:space="preserve"> </w:t>
      </w:r>
      <w:r w:rsidR="00980F89">
        <w:rPr>
          <w:lang w:val="es-ES"/>
        </w:rPr>
        <w:t>(FG-DR&amp;NRR)</w:t>
      </w:r>
    </w:p>
    <w:p w:rsidR="00013F68" w:rsidRPr="00980F89" w:rsidRDefault="00A31E61" w:rsidP="00980F89">
      <w:pPr>
        <w:pStyle w:val="Enumlevel1"/>
        <w:numPr>
          <w:ilvl w:val="0"/>
          <w:numId w:val="27"/>
        </w:numPr>
        <w:ind w:left="567" w:hanging="567"/>
        <w:rPr>
          <w:lang w:val="es-ES"/>
        </w:rPr>
      </w:pPr>
      <w:hyperlink r:id="rId159" w:history="1">
        <w:r w:rsidR="00013F68" w:rsidRPr="00980F89">
          <w:rPr>
            <w:rStyle w:val="Hyperlink"/>
            <w:lang w:val="es-ES"/>
          </w:rPr>
          <w:t>Grupo Temático sobre la capa de servicio máquina a máquina</w:t>
        </w:r>
      </w:hyperlink>
      <w:r w:rsidR="00013F68" w:rsidRPr="00A96787">
        <w:rPr>
          <w:lang w:val="es-ES"/>
        </w:rPr>
        <w:t xml:space="preserve"> </w:t>
      </w:r>
      <w:r w:rsidR="00980F89">
        <w:rPr>
          <w:lang w:val="es-ES"/>
        </w:rPr>
        <w:t>(FG M2M)</w:t>
      </w:r>
    </w:p>
    <w:p w:rsidR="00013F68" w:rsidRPr="00980F89" w:rsidRDefault="00A31E61" w:rsidP="00980F89">
      <w:pPr>
        <w:pStyle w:val="Enumlevel1"/>
        <w:numPr>
          <w:ilvl w:val="0"/>
          <w:numId w:val="27"/>
        </w:numPr>
        <w:ind w:left="567" w:hanging="567"/>
        <w:rPr>
          <w:lang w:val="es-ES"/>
        </w:rPr>
      </w:pPr>
      <w:hyperlink r:id="rId160" w:history="1">
        <w:r w:rsidR="00013F68" w:rsidRPr="00980F89">
          <w:rPr>
            <w:rStyle w:val="Hyperlink"/>
            <w:lang w:val="es-ES"/>
          </w:rPr>
          <w:t>Iniciativa de normalización mundial – Internet de los objetos</w:t>
        </w:r>
      </w:hyperlink>
      <w:r w:rsidR="00980F89">
        <w:rPr>
          <w:lang w:val="es-ES"/>
        </w:rPr>
        <w:t xml:space="preserve"> (</w:t>
      </w:r>
      <w:proofErr w:type="spellStart"/>
      <w:r w:rsidR="00980F89">
        <w:rPr>
          <w:lang w:val="es-ES"/>
        </w:rPr>
        <w:t>IoT</w:t>
      </w:r>
      <w:proofErr w:type="spellEnd"/>
      <w:r w:rsidR="00980F89">
        <w:rPr>
          <w:lang w:val="es-ES"/>
        </w:rPr>
        <w:t>-GSI)</w:t>
      </w:r>
    </w:p>
    <w:p w:rsidR="00013F68" w:rsidRPr="00980F89" w:rsidRDefault="00A31E61" w:rsidP="00980F89">
      <w:pPr>
        <w:pStyle w:val="Enumlevel1"/>
        <w:numPr>
          <w:ilvl w:val="0"/>
          <w:numId w:val="27"/>
        </w:numPr>
        <w:ind w:left="567" w:hanging="567"/>
        <w:rPr>
          <w:lang w:val="es-ES"/>
        </w:rPr>
      </w:pPr>
      <w:hyperlink r:id="rId161" w:history="1">
        <w:r w:rsidR="00013F68" w:rsidRPr="00980F89">
          <w:rPr>
            <w:rStyle w:val="Hyperlink"/>
            <w:lang w:val="es-ES"/>
          </w:rPr>
          <w:t>Iniciativa Mundial de Normalización sobre TVIP (IPTV-GSI)</w:t>
        </w:r>
      </w:hyperlink>
    </w:p>
    <w:p w:rsidR="00013F68" w:rsidRPr="00980F89" w:rsidRDefault="00A31E61" w:rsidP="00980F89">
      <w:pPr>
        <w:pStyle w:val="Enumlevel1"/>
        <w:numPr>
          <w:ilvl w:val="0"/>
          <w:numId w:val="27"/>
        </w:numPr>
        <w:ind w:left="567" w:hanging="567"/>
        <w:rPr>
          <w:lang w:val="es-ES"/>
        </w:rPr>
      </w:pPr>
      <w:hyperlink r:id="rId162" w:history="1">
        <w:r w:rsidR="00013F68" w:rsidRPr="00980F89">
          <w:rPr>
            <w:rStyle w:val="Hyperlink"/>
            <w:lang w:val="es-ES"/>
          </w:rPr>
          <w:t>Actividad de coordinación conjunta sobre computación en nube</w:t>
        </w:r>
      </w:hyperlink>
      <w:r w:rsidR="00013F68" w:rsidRPr="00A96787">
        <w:rPr>
          <w:lang w:val="es-ES"/>
        </w:rPr>
        <w:t xml:space="preserve"> </w:t>
      </w:r>
      <w:r w:rsidR="00980F89">
        <w:rPr>
          <w:lang w:val="es-ES"/>
        </w:rPr>
        <w:t>(JCA-Cloud)</w:t>
      </w:r>
    </w:p>
    <w:p w:rsidR="00013F68" w:rsidRPr="00980F89" w:rsidRDefault="00A31E61" w:rsidP="00980F89">
      <w:pPr>
        <w:pStyle w:val="Enumlevel1"/>
        <w:numPr>
          <w:ilvl w:val="0"/>
          <w:numId w:val="27"/>
        </w:numPr>
        <w:ind w:left="567" w:hanging="567"/>
        <w:rPr>
          <w:lang w:val="es-ES"/>
        </w:rPr>
      </w:pPr>
      <w:hyperlink r:id="rId163" w:history="1">
        <w:r w:rsidR="00013F68" w:rsidRPr="00980F89">
          <w:rPr>
            <w:rStyle w:val="Hyperlink"/>
            <w:lang w:val="es-ES"/>
          </w:rPr>
          <w:t xml:space="preserve">Actividad de coordinación conjunta sobre </w:t>
        </w:r>
        <w:r w:rsidR="00980F89" w:rsidRPr="00980F89">
          <w:rPr>
            <w:rStyle w:val="Hyperlink"/>
            <w:lang w:val="es-ES"/>
          </w:rPr>
          <w:t>Internet de las Cosas</w:t>
        </w:r>
      </w:hyperlink>
      <w:r w:rsidR="00980F89">
        <w:rPr>
          <w:lang w:val="es-ES"/>
        </w:rPr>
        <w:t xml:space="preserve"> (JCA-</w:t>
      </w:r>
      <w:proofErr w:type="spellStart"/>
      <w:r w:rsidR="00980F89">
        <w:rPr>
          <w:lang w:val="es-ES"/>
        </w:rPr>
        <w:t>IoT</w:t>
      </w:r>
      <w:proofErr w:type="spellEnd"/>
      <w:r w:rsidR="00980F89">
        <w:rPr>
          <w:lang w:val="es-ES"/>
        </w:rPr>
        <w:t>)</w:t>
      </w:r>
    </w:p>
    <w:p w:rsidR="00013F68" w:rsidRPr="00A96787" w:rsidRDefault="00013F68" w:rsidP="00980F89">
      <w:pPr>
        <w:pStyle w:val="Heading4"/>
      </w:pPr>
      <w:proofErr w:type="spellStart"/>
      <w:r w:rsidRPr="00A96787">
        <w:t>Manuales</w:t>
      </w:r>
      <w:proofErr w:type="spellEnd"/>
    </w:p>
    <w:p w:rsidR="00013F68" w:rsidRPr="00980F89" w:rsidRDefault="00013F68" w:rsidP="00980F89">
      <w:pPr>
        <w:pStyle w:val="Enumlevel1"/>
        <w:numPr>
          <w:ilvl w:val="0"/>
          <w:numId w:val="27"/>
        </w:numPr>
        <w:ind w:left="567" w:hanging="567"/>
        <w:rPr>
          <w:rFonts w:eastAsia="Times New Roman" w:cs="Times New Roman"/>
          <w:b/>
          <w:bCs/>
          <w:iCs/>
          <w:szCs w:val="19"/>
          <w:lang w:val="es-ES" w:eastAsia="en-US"/>
        </w:rPr>
      </w:pPr>
      <w:r w:rsidRPr="00980F89">
        <w:rPr>
          <w:rFonts w:eastAsia="Times New Roman" w:cs="Times New Roman"/>
          <w:bCs/>
          <w:iCs/>
          <w:szCs w:val="19"/>
          <w:lang w:val="es-ES" w:eastAsia="en-US"/>
        </w:rPr>
        <w:t xml:space="preserve">GSAD test </w:t>
      </w:r>
      <w:proofErr w:type="spellStart"/>
      <w:r w:rsidRPr="00980F89">
        <w:rPr>
          <w:rFonts w:eastAsia="Times New Roman" w:cs="Times New Roman"/>
          <w:bCs/>
          <w:iCs/>
          <w:szCs w:val="19"/>
          <w:lang w:val="es-ES" w:eastAsia="en-US"/>
        </w:rPr>
        <w:t>methodology</w:t>
      </w:r>
      <w:proofErr w:type="spellEnd"/>
      <w:r w:rsidRPr="00980F89">
        <w:rPr>
          <w:rFonts w:eastAsia="Times New Roman" w:cs="Times New Roman"/>
          <w:bCs/>
          <w:iCs/>
          <w:szCs w:val="19"/>
          <w:lang w:val="es-ES" w:eastAsia="en-US"/>
        </w:rPr>
        <w:t xml:space="preserve"> </w:t>
      </w:r>
      <w:proofErr w:type="spellStart"/>
      <w:r w:rsidRPr="00980F89">
        <w:rPr>
          <w:rFonts w:eastAsia="Times New Roman" w:cs="Times New Roman"/>
          <w:bCs/>
          <w:iCs/>
          <w:szCs w:val="19"/>
          <w:lang w:val="es-ES" w:eastAsia="en-US"/>
        </w:rPr>
        <w:t>Handbook</w:t>
      </w:r>
      <w:proofErr w:type="spellEnd"/>
      <w:r w:rsidRPr="00980F89">
        <w:rPr>
          <w:rFonts w:eastAsia="Times New Roman" w:cs="Times New Roman"/>
          <w:bCs/>
          <w:iCs/>
          <w:szCs w:val="19"/>
          <w:lang w:val="es-ES" w:eastAsia="en-US"/>
        </w:rPr>
        <w:t>.</w:t>
      </w:r>
      <w:r w:rsidRPr="00980F89">
        <w:rPr>
          <w:rFonts w:eastAsia="Times New Roman" w:cs="Times New Roman"/>
          <w:b/>
          <w:bCs/>
          <w:iCs/>
          <w:szCs w:val="19"/>
          <w:lang w:val="es-ES" w:eastAsia="en-US"/>
        </w:rPr>
        <w:br w:type="page"/>
      </w:r>
    </w:p>
    <w:p w:rsidR="00013F68" w:rsidRPr="00901848" w:rsidRDefault="00013F68" w:rsidP="00CC4B81">
      <w:pPr>
        <w:pStyle w:val="Heading1"/>
        <w:jc w:val="center"/>
        <w:rPr>
          <w:lang w:val="es-ES_tradnl" w:eastAsia="en-GB"/>
        </w:rPr>
      </w:pPr>
      <w:bookmarkStart w:id="125" w:name="_Toc365036832"/>
      <w:bookmarkStart w:id="126" w:name="_Toc381259716"/>
      <w:r w:rsidRPr="00901848">
        <w:rPr>
          <w:lang w:val="es-ES_tradnl" w:eastAsia="en-GB"/>
        </w:rPr>
        <w:lastRenderedPageBreak/>
        <w:t>Comisión de Estudio 17 del UIT-T ― Seguridad</w:t>
      </w:r>
      <w:bookmarkEnd w:id="125"/>
      <w:bookmarkEnd w:id="126"/>
    </w:p>
    <w:p w:rsidR="00013F68" w:rsidRPr="00901848" w:rsidRDefault="00013F68" w:rsidP="00CC4B81">
      <w:pPr>
        <w:pStyle w:val="Heading4"/>
        <w:rPr>
          <w:lang w:val="es-ES_tradnl"/>
        </w:rPr>
      </w:pPr>
      <w:r w:rsidRPr="00901848">
        <w:rPr>
          <w:lang w:val="es-ES_tradnl"/>
        </w:rPr>
        <w:t>Alcance</w:t>
      </w:r>
    </w:p>
    <w:p w:rsidR="00013F68" w:rsidRPr="00A96787" w:rsidRDefault="00013F68" w:rsidP="005A4281">
      <w:pPr>
        <w:spacing w:line="240" w:lineRule="atLeast"/>
        <w:rPr>
          <w:rFonts w:cstheme="majorBidi"/>
          <w:bCs/>
          <w:szCs w:val="19"/>
          <w:lang w:val="es-ES"/>
        </w:rPr>
      </w:pPr>
      <w:r w:rsidRPr="00A96787">
        <w:rPr>
          <w:rFonts w:cstheme="majorBidi"/>
          <w:szCs w:val="19"/>
          <w:lang w:val="es-ES"/>
        </w:rPr>
        <w:t xml:space="preserve">En el marco del UIT-T, </w:t>
      </w:r>
      <w:r w:rsidRPr="00A96787">
        <w:rPr>
          <w:lang w:val="es-ES"/>
        </w:rPr>
        <w:t>la Comisión de Estudio 17 es la encargada de coordinar los trabajos relativos a la seguridad de todas las Comisiones de Estudio. Asimismo, es la Comisión de Estudio rectora sobre seguridad, gestión de identidad y lenguajes y técnicas de descripción.</w:t>
      </w:r>
    </w:p>
    <w:p w:rsidR="00013F68" w:rsidRPr="00901848" w:rsidRDefault="00013F68" w:rsidP="00CC4B81">
      <w:pPr>
        <w:pStyle w:val="Heading4"/>
        <w:rPr>
          <w:lang w:val="es-ES_tradnl"/>
        </w:rPr>
      </w:pPr>
      <w:r w:rsidRPr="00901848">
        <w:rPr>
          <w:lang w:val="es-ES_tradnl"/>
        </w:rPr>
        <w:t>Temas de estudio</w:t>
      </w:r>
    </w:p>
    <w:p w:rsidR="00013F68" w:rsidRPr="00A96787" w:rsidRDefault="00013F68" w:rsidP="005A4281">
      <w:pPr>
        <w:rPr>
          <w:lang w:val="es-ES" w:eastAsia="ja-JP"/>
        </w:rPr>
      </w:pPr>
      <w:r w:rsidRPr="00A96787">
        <w:rPr>
          <w:lang w:val="es-ES"/>
        </w:rPr>
        <w:t xml:space="preserve">La CE 17 es responsable de la creación de confianza y seguridad en el uso de las tecnologías de la información y la comunicación (TIC). En su mandato se incluyen los estudios relativos a la </w:t>
      </w:r>
      <w:proofErr w:type="spellStart"/>
      <w:r w:rsidRPr="00A96787">
        <w:rPr>
          <w:lang w:val="es-ES"/>
        </w:rPr>
        <w:t>ciberseguridad</w:t>
      </w:r>
      <w:proofErr w:type="spellEnd"/>
      <w:r w:rsidRPr="00A96787">
        <w:rPr>
          <w:lang w:val="es-ES"/>
        </w:rPr>
        <w:t xml:space="preserve">, la gestión de la seguridad, la lucha contra el correo basura y la gestión de identidades. Del mismo modo, abarca la arquitectura y el marco de la seguridad, la protección de la información de identificación personal y la seguridad de las aplicaciones y servicios para Internet de las Cosas, la red eléctrica inteligente, los teléfonos inteligentes, la TVIP, los servicios web, las redes sociales, la computación en la nube, los sistemas financieros móviles y la </w:t>
      </w:r>
      <w:proofErr w:type="spellStart"/>
      <w:r w:rsidRPr="00A96787">
        <w:rPr>
          <w:lang w:val="es-ES"/>
        </w:rPr>
        <w:t>telebiometría</w:t>
      </w:r>
      <w:proofErr w:type="spellEnd"/>
      <w:r w:rsidRPr="00A96787">
        <w:rPr>
          <w:lang w:val="es-ES"/>
        </w:rPr>
        <w:t xml:space="preserve">. Asimismo, es la encargada de la aplicación de comunicaciones de sistemas abiertos, incluidos el directorio y los identificadores de objetos; así como de los lenguajes técnicos, el método de utilización de estos y otros temas relacionados con los aspectos del software de los sistemas de </w:t>
      </w:r>
      <w:r w:rsidRPr="00A96787">
        <w:rPr>
          <w:lang w:val="es-ES" w:eastAsia="ja-JP"/>
        </w:rPr>
        <w:t>telecomunicación, y las pruebas de conformidad para mejorar la calidad de las Recomendaciones.</w:t>
      </w:r>
    </w:p>
    <w:p w:rsidR="00013F68" w:rsidRPr="00A96787" w:rsidRDefault="00013F68" w:rsidP="00CC4B81">
      <w:pPr>
        <w:pStyle w:val="Heading4"/>
      </w:pPr>
      <w:proofErr w:type="spellStart"/>
      <w:r w:rsidRPr="00A96787">
        <w:t>Temas</w:t>
      </w:r>
      <w:proofErr w:type="spellEnd"/>
      <w:r w:rsidRPr="00A96787">
        <w:t xml:space="preserve"> de </w:t>
      </w:r>
      <w:proofErr w:type="spellStart"/>
      <w:r w:rsidRPr="00A96787">
        <w:t>estudio</w:t>
      </w:r>
      <w:proofErr w:type="spellEnd"/>
      <w:r w:rsidRPr="00A96787">
        <w:t xml:space="preserve"> </w:t>
      </w:r>
      <w:proofErr w:type="spellStart"/>
      <w:r w:rsidRPr="00A96787">
        <w:t>específicos</w:t>
      </w:r>
      <w:proofErr w:type="spellEnd"/>
    </w:p>
    <w:p w:rsidR="00013F68" w:rsidRPr="00901848" w:rsidRDefault="00013F68" w:rsidP="00CC4B81">
      <w:pPr>
        <w:pStyle w:val="Enumlevel1"/>
        <w:numPr>
          <w:ilvl w:val="0"/>
          <w:numId w:val="28"/>
        </w:numPr>
        <w:ind w:left="567" w:hanging="567"/>
        <w:rPr>
          <w:lang w:val="es-ES_tradnl"/>
        </w:rPr>
      </w:pPr>
      <w:r w:rsidRPr="00901848">
        <w:rPr>
          <w:lang w:val="es-ES_tradnl"/>
        </w:rPr>
        <w:t xml:space="preserve">Comisión de Estudio Rectora sobre seguridad. </w:t>
      </w:r>
    </w:p>
    <w:p w:rsidR="00013F68" w:rsidRPr="00901848" w:rsidRDefault="00013F68" w:rsidP="00CC4B81">
      <w:pPr>
        <w:pStyle w:val="Enumlevel1"/>
        <w:numPr>
          <w:ilvl w:val="0"/>
          <w:numId w:val="28"/>
        </w:numPr>
        <w:ind w:left="567" w:hanging="567"/>
        <w:rPr>
          <w:lang w:val="es-ES_tradnl"/>
        </w:rPr>
      </w:pPr>
      <w:r w:rsidRPr="00901848">
        <w:rPr>
          <w:lang w:val="es-ES_tradnl"/>
        </w:rPr>
        <w:t>Comisión de Estudio Rectora sobre gestión de identidad (</w:t>
      </w:r>
      <w:proofErr w:type="spellStart"/>
      <w:r w:rsidRPr="00901848">
        <w:rPr>
          <w:lang w:val="es-ES_tradnl"/>
        </w:rPr>
        <w:t>IdM</w:t>
      </w:r>
      <w:proofErr w:type="spellEnd"/>
      <w:r w:rsidRPr="00901848">
        <w:rPr>
          <w:lang w:val="es-ES_tradnl"/>
        </w:rPr>
        <w:t>).</w:t>
      </w:r>
    </w:p>
    <w:p w:rsidR="00013F68" w:rsidRPr="00901848" w:rsidRDefault="00013F68" w:rsidP="00CC4B81">
      <w:pPr>
        <w:pStyle w:val="Enumlevel1"/>
        <w:numPr>
          <w:ilvl w:val="0"/>
          <w:numId w:val="28"/>
        </w:numPr>
        <w:ind w:left="567" w:hanging="567"/>
        <w:rPr>
          <w:lang w:val="es-ES_tradnl"/>
        </w:rPr>
      </w:pPr>
      <w:r w:rsidRPr="00901848">
        <w:rPr>
          <w:lang w:val="es-ES_tradnl"/>
        </w:rPr>
        <w:t>Comisión de Estudio Rectora sobre lenguajes y técnicas de descripción.</w:t>
      </w:r>
    </w:p>
    <w:p w:rsidR="00013F68" w:rsidRPr="00901848" w:rsidRDefault="00013F68" w:rsidP="00CC4B81">
      <w:pPr>
        <w:pStyle w:val="Heading4"/>
        <w:rPr>
          <w:lang w:val="es-ES_tradnl"/>
        </w:rPr>
      </w:pPr>
      <w:r w:rsidRPr="00901848">
        <w:rPr>
          <w:lang w:val="es-ES_tradnl"/>
        </w:rPr>
        <w:t>Aspectos de interés para los países en desarrollo</w:t>
      </w:r>
    </w:p>
    <w:p w:rsidR="00013F68" w:rsidRPr="00A96787" w:rsidRDefault="00013F68" w:rsidP="005A4281">
      <w:pPr>
        <w:rPr>
          <w:lang w:val="es-ES" w:eastAsia="en-US"/>
        </w:rPr>
      </w:pPr>
      <w:r w:rsidRPr="00A96787">
        <w:rPr>
          <w:lang w:val="es-ES" w:eastAsia="en-US"/>
        </w:rPr>
        <w:t>Si bien todos los trabajos de la CE 17 pueden ser de interés para los países en desarrollo, los siguientes temas revisten una importancia particular para los mismos:</w:t>
      </w:r>
    </w:p>
    <w:p w:rsidR="00013F68" w:rsidRPr="00CC4B81" w:rsidRDefault="00013F68" w:rsidP="00CC4B81">
      <w:pPr>
        <w:pStyle w:val="Enumlevel1"/>
        <w:numPr>
          <w:ilvl w:val="0"/>
          <w:numId w:val="28"/>
        </w:numPr>
        <w:ind w:left="567" w:hanging="567"/>
      </w:pPr>
      <w:proofErr w:type="spellStart"/>
      <w:r w:rsidRPr="00CC4B81">
        <w:t>arquitecturas</w:t>
      </w:r>
      <w:proofErr w:type="spellEnd"/>
      <w:r w:rsidRPr="00CC4B81">
        <w:t xml:space="preserve"> de </w:t>
      </w:r>
      <w:proofErr w:type="spellStart"/>
      <w:r w:rsidRPr="00CC4B81">
        <w:t>seguridad</w:t>
      </w:r>
      <w:proofErr w:type="spellEnd"/>
      <w:r w:rsidRPr="00CC4B81">
        <w:t>;</w:t>
      </w:r>
    </w:p>
    <w:p w:rsidR="00013F68" w:rsidRPr="00CC4B81" w:rsidRDefault="00013F68" w:rsidP="00CC4B81">
      <w:pPr>
        <w:pStyle w:val="Enumlevel1"/>
        <w:numPr>
          <w:ilvl w:val="0"/>
          <w:numId w:val="28"/>
        </w:numPr>
        <w:ind w:left="567" w:hanging="567"/>
      </w:pPr>
      <w:proofErr w:type="spellStart"/>
      <w:r w:rsidRPr="00CC4B81">
        <w:t>ciberseguridad</w:t>
      </w:r>
      <w:proofErr w:type="spellEnd"/>
      <w:r w:rsidRPr="00CC4B81">
        <w:t>;</w:t>
      </w:r>
    </w:p>
    <w:p w:rsidR="00013F68" w:rsidRPr="00901848" w:rsidRDefault="00013F68" w:rsidP="00CC4B81">
      <w:pPr>
        <w:pStyle w:val="Enumlevel1"/>
        <w:numPr>
          <w:ilvl w:val="0"/>
          <w:numId w:val="28"/>
        </w:numPr>
        <w:ind w:left="567" w:hanging="567"/>
        <w:rPr>
          <w:lang w:val="es-ES_tradnl"/>
        </w:rPr>
      </w:pPr>
      <w:r w:rsidRPr="00901848">
        <w:rPr>
          <w:lang w:val="es-ES_tradnl"/>
        </w:rPr>
        <w:t>lucha contra el correo basura;</w:t>
      </w:r>
    </w:p>
    <w:p w:rsidR="00013F68" w:rsidRPr="00901848" w:rsidRDefault="00013F68" w:rsidP="00CC4B81">
      <w:pPr>
        <w:pStyle w:val="Enumlevel1"/>
        <w:numPr>
          <w:ilvl w:val="0"/>
          <w:numId w:val="28"/>
        </w:numPr>
        <w:ind w:left="567" w:hanging="567"/>
        <w:rPr>
          <w:lang w:val="es-ES_tradnl"/>
        </w:rPr>
      </w:pPr>
      <w:r w:rsidRPr="00901848">
        <w:rPr>
          <w:lang w:val="es-ES_tradnl"/>
        </w:rPr>
        <w:t>seguridad de la computación en nube;</w:t>
      </w:r>
    </w:p>
    <w:p w:rsidR="00013F68" w:rsidRPr="00CC4B81" w:rsidRDefault="00013F68" w:rsidP="00CC4B81">
      <w:pPr>
        <w:pStyle w:val="Enumlevel1"/>
        <w:numPr>
          <w:ilvl w:val="0"/>
          <w:numId w:val="28"/>
        </w:numPr>
        <w:ind w:left="567" w:hanging="567"/>
      </w:pPr>
      <w:proofErr w:type="spellStart"/>
      <w:r w:rsidRPr="00CC4B81">
        <w:t>gestión</w:t>
      </w:r>
      <w:proofErr w:type="spellEnd"/>
      <w:r w:rsidRPr="00CC4B81">
        <w:t xml:space="preserve"> de </w:t>
      </w:r>
      <w:proofErr w:type="spellStart"/>
      <w:r w:rsidRPr="00CC4B81">
        <w:t>identidades</w:t>
      </w:r>
      <w:proofErr w:type="spellEnd"/>
      <w:r w:rsidRPr="00CC4B81">
        <w:t>; y</w:t>
      </w:r>
    </w:p>
    <w:p w:rsidR="00013F68" w:rsidRPr="00901848" w:rsidRDefault="00013F68" w:rsidP="00CC4B81">
      <w:pPr>
        <w:pStyle w:val="Enumlevel1"/>
        <w:numPr>
          <w:ilvl w:val="0"/>
          <w:numId w:val="28"/>
        </w:numPr>
        <w:ind w:left="567" w:hanging="567"/>
        <w:rPr>
          <w:lang w:val="es-ES_tradnl"/>
        </w:rPr>
      </w:pPr>
      <w:r w:rsidRPr="00901848">
        <w:rPr>
          <w:lang w:val="es-ES_tradnl"/>
        </w:rPr>
        <w:t>protección de la infancia en línea.</w:t>
      </w:r>
    </w:p>
    <w:p w:rsidR="00013F68" w:rsidRPr="00A96787" w:rsidRDefault="00013F68" w:rsidP="005A4281">
      <w:pPr>
        <w:rPr>
          <w:rFonts w:eastAsia="Times New Roman"/>
          <w:b/>
          <w:bCs/>
          <w:szCs w:val="19"/>
          <w:lang w:val="es-ES" w:eastAsia="en-US"/>
        </w:rPr>
      </w:pPr>
      <w:r w:rsidRPr="00A96787">
        <w:rPr>
          <w:lang w:val="es-ES"/>
        </w:rPr>
        <w:br w:type="page"/>
      </w:r>
    </w:p>
    <w:p w:rsidR="00013F68" w:rsidRPr="00901848" w:rsidRDefault="00013F68" w:rsidP="00FA7AB4">
      <w:pPr>
        <w:pStyle w:val="Heading4"/>
        <w:rPr>
          <w:lang w:val="es-ES_tradnl"/>
        </w:rPr>
      </w:pPr>
      <w:r w:rsidRPr="00901848">
        <w:rPr>
          <w:lang w:val="es-ES_tradnl"/>
        </w:rPr>
        <w:lastRenderedPageBreak/>
        <w:t>Estructura de la Comisión de Estudio 17</w:t>
      </w:r>
    </w:p>
    <w:p w:rsidR="00676A4A" w:rsidRPr="00901848" w:rsidRDefault="00676A4A" w:rsidP="00676A4A">
      <w:pPr>
        <w:pStyle w:val="Figuretitle"/>
        <w:rPr>
          <w:lang w:val="es-ES_tradnl"/>
        </w:rPr>
      </w:pPr>
    </w:p>
    <w:p w:rsidR="00676A4A" w:rsidRPr="00A127EA" w:rsidRDefault="00676A4A" w:rsidP="00676A4A">
      <w:pPr>
        <w:pStyle w:val="Figure"/>
        <w:rPr>
          <w:lang w:val="en-GB"/>
        </w:rPr>
      </w:pPr>
      <w:r w:rsidRPr="00A127EA">
        <w:rPr>
          <w:noProof/>
          <w:lang w:val="en-US" w:eastAsia="zh-CN"/>
        </w:rPr>
        <mc:AlternateContent>
          <mc:Choice Requires="wpc">
            <w:drawing>
              <wp:inline distT="0" distB="0" distL="0" distR="0" wp14:anchorId="078FA1B0" wp14:editId="2C3A9E6D">
                <wp:extent cx="4906010" cy="2700120"/>
                <wp:effectExtent l="0" t="0" r="8890" b="24130"/>
                <wp:docPr id="3"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7" name="Straight Connector 57"/>
                        <wps:cNvCnPr>
                          <a:stCxn id="50" idx="2"/>
                          <a:endCxn id="54" idx="0"/>
                        </wps:cNvCnPr>
                        <wps:spPr>
                          <a:xfrm>
                            <a:off x="4447859" y="956493"/>
                            <a:ext cx="12336" cy="63065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TextBox 6"/>
                        <wps:cNvSpPr txBox="1"/>
                        <wps:spPr>
                          <a:xfrm>
                            <a:off x="1659556" y="0"/>
                            <a:ext cx="1305560" cy="421640"/>
                          </a:xfrm>
                          <a:prstGeom prst="rect">
                            <a:avLst/>
                          </a:prstGeom>
                          <a:no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Study Group 17</w:t>
                              </w:r>
                            </w:p>
                          </w:txbxContent>
                        </wps:txbx>
                        <wps:bodyPr wrap="square" rtlCol="0">
                          <a:spAutoFit/>
                        </wps:bodyPr>
                      </wps:wsp>
                      <wps:wsp>
                        <wps:cNvPr id="43" name="Straight Connector 43"/>
                        <wps:cNvCnPr>
                          <a:stCxn id="42" idx="2"/>
                        </wps:cNvCnPr>
                        <wps:spPr>
                          <a:xfrm>
                            <a:off x="2312336" y="307340"/>
                            <a:ext cx="8819" cy="12854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320903" y="3701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3349775" y="364883"/>
                            <a:ext cx="30952" cy="17834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TextBox 7"/>
                        <wps:cNvSpPr txBox="1"/>
                        <wps:spPr>
                          <a:xfrm>
                            <a:off x="0" y="494992"/>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1</w:t>
                              </w:r>
                            </w:p>
                          </w:txbxContent>
                        </wps:txbx>
                        <wps:bodyPr wrap="square" rtlCol="0">
                          <a:spAutoFit/>
                        </wps:bodyPr>
                      </wps:wsp>
                      <wps:wsp>
                        <wps:cNvPr id="47" name="TextBox 8"/>
                        <wps:cNvSpPr txBox="1"/>
                        <wps:spPr>
                          <a:xfrm>
                            <a:off x="925318" y="494992"/>
                            <a:ext cx="791210"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2</w:t>
                              </w:r>
                            </w:p>
                          </w:txbxContent>
                        </wps:txbx>
                        <wps:bodyPr wrap="square" rtlCol="0">
                          <a:spAutoFit/>
                        </wps:bodyPr>
                      </wps:wsp>
                      <wps:wsp>
                        <wps:cNvPr id="48" name="TextBox 9"/>
                        <wps:cNvSpPr txBox="1"/>
                        <wps:spPr>
                          <a:xfrm>
                            <a:off x="1925602" y="494992"/>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3</w:t>
                              </w:r>
                            </w:p>
                          </w:txbxContent>
                        </wps:txbx>
                        <wps:bodyPr wrap="square" rtlCol="0">
                          <a:spAutoFit/>
                        </wps:bodyPr>
                      </wps:wsp>
                      <wps:wsp>
                        <wps:cNvPr id="49" name="TextBox 10"/>
                        <wps:cNvSpPr txBox="1"/>
                        <wps:spPr>
                          <a:xfrm>
                            <a:off x="2965115" y="496735"/>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4</w:t>
                              </w:r>
                            </w:p>
                          </w:txbxContent>
                        </wps:txbx>
                        <wps:bodyPr wrap="square" rtlCol="0">
                          <a:spAutoFit/>
                        </wps:bodyPr>
                      </wps:wsp>
                      <wps:wsp>
                        <wps:cNvPr id="50" name="TextBox 11"/>
                        <wps:cNvSpPr txBox="1"/>
                        <wps:spPr>
                          <a:xfrm>
                            <a:off x="4052571" y="496735"/>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5</w:t>
                              </w:r>
                            </w:p>
                          </w:txbxContent>
                        </wps:txbx>
                        <wps:bodyPr wrap="square" rtlCol="0">
                          <a:spAutoFit/>
                        </wps:bodyPr>
                      </wps:wsp>
                      <wps:wsp>
                        <wps:cNvPr id="51" name="TextBox 19"/>
                        <wps:cNvSpPr txBox="1"/>
                        <wps:spPr>
                          <a:xfrm>
                            <a:off x="2985117" y="1088022"/>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6/17</w:t>
                              </w:r>
                            </w:p>
                          </w:txbxContent>
                        </wps:txbx>
                        <wps:bodyPr wrap="square" rtlCol="0">
                          <a:spAutoFit/>
                        </wps:bodyPr>
                      </wps:wsp>
                      <wps:wsp>
                        <wps:cNvPr id="52" name="TextBox 20"/>
                        <wps:cNvSpPr txBox="1"/>
                        <wps:spPr>
                          <a:xfrm>
                            <a:off x="2985117" y="1593238"/>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7/17</w:t>
                              </w:r>
                            </w:p>
                          </w:txbxContent>
                        </wps:txbx>
                        <wps:bodyPr wrap="square" rtlCol="0">
                          <a:spAutoFit/>
                        </wps:bodyPr>
                      </wps:wsp>
                      <wps:wsp>
                        <wps:cNvPr id="53" name="TextBox 21"/>
                        <wps:cNvSpPr txBox="1"/>
                        <wps:spPr>
                          <a:xfrm>
                            <a:off x="2985117" y="2126080"/>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9/17</w:t>
                              </w:r>
                            </w:p>
                          </w:txbxContent>
                        </wps:txbx>
                        <wps:bodyPr wrap="square" rtlCol="0">
                          <a:spAutoFit/>
                        </wps:bodyPr>
                      </wps:wsp>
                      <wps:wsp>
                        <wps:cNvPr id="54" name="TextBox 23"/>
                        <wps:cNvSpPr txBox="1"/>
                        <wps:spPr>
                          <a:xfrm>
                            <a:off x="4052450" y="1586889"/>
                            <a:ext cx="815340"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12/17</w:t>
                              </w:r>
                            </w:p>
                          </w:txbxContent>
                        </wps:txbx>
                        <wps:bodyPr wrap="square" rtlCol="0">
                          <a:spAutoFit/>
                        </wps:bodyPr>
                      </wps:wsp>
                      <wps:wsp>
                        <wps:cNvPr id="55" name="Elbow Connector 55"/>
                        <wps:cNvCnPr/>
                        <wps:spPr>
                          <a:xfrm rot="16200000" flipH="1">
                            <a:off x="2421437" y="-1530809"/>
                            <a:ext cx="1308" cy="4053385"/>
                          </a:xfrm>
                          <a:prstGeom prst="bentConnector3">
                            <a:avLst>
                              <a:gd name="adj1" fmla="val -9773407"/>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405426" y="8492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TextBox 12"/>
                        <wps:cNvSpPr txBox="1"/>
                        <wps:spPr>
                          <a:xfrm>
                            <a:off x="0" y="1088319"/>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1/17</w:t>
                              </w:r>
                            </w:p>
                          </w:txbxContent>
                        </wps:txbx>
                        <wps:bodyPr wrap="square" rtlCol="0">
                          <a:spAutoFit/>
                        </wps:bodyPr>
                      </wps:wsp>
                      <wps:wsp>
                        <wps:cNvPr id="59" name="TextBox 13"/>
                        <wps:cNvSpPr txBox="1"/>
                        <wps:spPr>
                          <a:xfrm>
                            <a:off x="0" y="1582574"/>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2/17</w:t>
                              </w:r>
                            </w:p>
                          </w:txbxContent>
                        </wps:txbx>
                        <wps:bodyPr wrap="square" rtlCol="0">
                          <a:spAutoFit/>
                        </wps:bodyPr>
                      </wps:wsp>
                      <wps:wsp>
                        <wps:cNvPr id="60" name="TextBox 14"/>
                        <wps:cNvSpPr txBox="1"/>
                        <wps:spPr>
                          <a:xfrm>
                            <a:off x="0" y="2076885"/>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3/17</w:t>
                              </w:r>
                            </w:p>
                          </w:txbxContent>
                        </wps:txbx>
                        <wps:bodyPr wrap="square" rtlCol="0">
                          <a:spAutoFit/>
                        </wps:bodyPr>
                      </wps:wsp>
                      <wps:wsp>
                        <wps:cNvPr id="61" name="TextBox 15"/>
                        <wps:cNvSpPr txBox="1"/>
                        <wps:spPr>
                          <a:xfrm>
                            <a:off x="925371" y="1093579"/>
                            <a:ext cx="791210"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4/17</w:t>
                              </w:r>
                            </w:p>
                          </w:txbxContent>
                        </wps:txbx>
                        <wps:bodyPr wrap="square" rtlCol="0">
                          <a:spAutoFit/>
                        </wps:bodyPr>
                      </wps:wsp>
                      <wps:wsp>
                        <wps:cNvPr id="62" name="TextBox 16"/>
                        <wps:cNvSpPr txBox="1"/>
                        <wps:spPr>
                          <a:xfrm>
                            <a:off x="925371" y="1587847"/>
                            <a:ext cx="791210"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5/17</w:t>
                              </w:r>
                            </w:p>
                          </w:txbxContent>
                        </wps:txbx>
                        <wps:bodyPr wrap="square" rtlCol="0">
                          <a:spAutoFit/>
                        </wps:bodyPr>
                      </wps:wsp>
                      <wps:wsp>
                        <wps:cNvPr id="63" name="TextBox 17"/>
                        <wps:cNvSpPr txBox="1"/>
                        <wps:spPr>
                          <a:xfrm>
                            <a:off x="1925713" y="1088348"/>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8/17</w:t>
                              </w:r>
                            </w:p>
                          </w:txbxContent>
                        </wps:txbx>
                        <wps:bodyPr wrap="square" rtlCol="0">
                          <a:spAutoFit/>
                        </wps:bodyPr>
                      </wps:wsp>
                      <wps:wsp>
                        <wps:cNvPr id="70" name="TextBox 18"/>
                        <wps:cNvSpPr txBox="1"/>
                        <wps:spPr>
                          <a:xfrm>
                            <a:off x="1925577" y="1593008"/>
                            <a:ext cx="7905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10/17</w:t>
                              </w:r>
                            </w:p>
                          </w:txbxContent>
                        </wps:txbx>
                        <wps:bodyPr wrap="square" rtlCol="0">
                          <a:spAutoFit/>
                        </wps:bodyPr>
                      </wps:wsp>
                      <wps:wsp>
                        <wps:cNvPr id="71" name="TextBox 22"/>
                        <wps:cNvSpPr txBox="1"/>
                        <wps:spPr>
                          <a:xfrm>
                            <a:off x="4052033" y="1088107"/>
                            <a:ext cx="815975" cy="574040"/>
                          </a:xfrm>
                          <a:prstGeom prst="rect">
                            <a:avLst/>
                          </a:prstGeom>
                          <a:solidFill>
                            <a:schemeClr val="bg1"/>
                          </a:solidFill>
                          <a:ln>
                            <a:solidFill>
                              <a:schemeClr val="tx1"/>
                            </a:solidFill>
                            <a:prstDash val="solid"/>
                          </a:ln>
                        </wps:spPr>
                        <wps:txbx>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11/17</w:t>
                              </w:r>
                            </w:p>
                          </w:txbxContent>
                        </wps:txbx>
                        <wps:bodyPr wrap="square" rtlCol="0">
                          <a:spAutoFit/>
                        </wps:bodyPr>
                      </wps:wsp>
                    </wpc:wpc>
                  </a:graphicData>
                </a:graphic>
              </wp:inline>
            </w:drawing>
          </mc:Choice>
          <mc:Fallback>
            <w:pict>
              <v:group id="Canvas 4" o:spid="_x0000_s1028" editas="canvas" style="width:386.3pt;height:212.6pt;mso-position-horizontal-relative:char;mso-position-vertical-relative:line" coordsize="49060,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">
                <v:shape id="_x0000_s1029" type="#_x0000_t75" style="position:absolute;width:49060;height:27000;visibility:visible;mso-wrap-style:square">
                  <v:fill o:detectmouseclick="t"/>
                  <v:path o:connecttype="none"/>
                </v:shape>
                <v:line id="Straight Connector 57" o:spid="_x0000_s1030" style="position:absolute;visibility:visible;mso-wrap-style:square" from="44478,9564" to="44601,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TQ8QAAADbAAAADwAAAGRycy9kb3ducmV2LnhtbESPQWvCQBSE74X+h+UJvRTdWGiU6CpF&#10;KBQ8GS29PndfssHs25Ddxthf7xYKPQ4z8w2z3o6uFQP1ofGsYD7LQBBrbxquFZyO79MliBCRDbae&#10;ScGNAmw3jw9rLIy/8oGGMtYiQTgUqMDG2BVSBm3JYZj5jjh5le8dxiT7WpoerwnuWvmSZbl02HBa&#10;sNjRzpK+lN9OwT5flHg+6s+v27Mc7J4q/ZNXSj1NxrcViEhj/A//tT+MgtcF/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1NDxAAAANsAAAAPAAAAAAAAAAAA&#10;AAAAAKECAABkcnMvZG93bnJldi54bWxQSwUGAAAAAAQABAD5AAAAkgMAAAAA&#10;" strokecolor="black [3213]">
                  <v:stroke dashstyle="dash"/>
                </v:line>
                <v:shape id="TextBox 6" o:spid="_x0000_s1031" type="#_x0000_t202" style="position:absolute;left:16595;width:1305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6qcMA&#10;AADbAAAADwAAAGRycy9kb3ducmV2LnhtbESPQWvCQBSE74L/YXmCt7qp2FKiqxRR8aBCrcXrI/vM&#10;BrNvQ3YT47/vCoLHYWa+YWaLzpaipdoXjhW8jxIQxJnTBecKTr/rty8QPiBrLB2Tgjt5WMz7vRmm&#10;2t34h9pjyEWEsE9RgQmhSqX0mSGLfuQq4uhdXG0xRFnnUtd4i3BbynGSfEqLBccFgxUtDWXXY2MV&#10;bK6HXbtLmpU85Zcm+zhr/jN7pYaD7nsKIlAXXuFne6sVTM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6qcMAAADbAAAADwAAAAAAAAAAAAAAAACYAgAAZHJzL2Rv&#10;d25yZXYueG1sUEsFBgAAAAAEAAQA9QAAAIgDAAAAAA==&#10;" filled="f"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Study Group 17</w:t>
                        </w:r>
                      </w:p>
                    </w:txbxContent>
                  </v:textbox>
                </v:shape>
                <v:line id="Straight Connector 43" o:spid="_x0000_s1032" style="position:absolute;visibility:visible;mso-wrap-style:square" from="23123,3073" to="23211,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DncQAAADbAAAADwAAAGRycy9kb3ducmV2LnhtbESPzWrDMBCE74W+g9hCLyWR+4MTnCih&#10;FAKBnOq05LqR1paptTKW4jh5+qpQyHGYmW+Y5Xp0rRioD41nBc/TDASx9qbhWsHXfjOZgwgR2WDr&#10;mRRcKMB6dX+3xML4M3/SUMZaJAiHAhXYGLtCyqAtOQxT3xEnr/K9w5hkX0vT4znBXStfsiyXDhtO&#10;CxY7+rCkf8qTU7DLZyUe9/r7cHmSg91Rpa95pdTjw/i+ABFpjLfwf3trFLy9wt+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cOdxAAAANsAAAAPAAAAAAAAAAAA&#10;AAAAAKECAABkcnMvZG93bnJldi54bWxQSwUGAAAAAAQABAD5AAAAkgMAAAAA&#10;" strokecolor="black [3213]">
                  <v:stroke dashstyle="dash"/>
                </v:line>
                <v:line id="Straight Connector 44" o:spid="_x0000_s1033" style="position:absolute;visibility:visible;mso-wrap-style:square" from="13209,3701" to="13209,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b6cQAAADbAAAADwAAAGRycy9kb3ducmV2LnhtbESPQWvCQBSE74X+h+UVeim6sUgq0VVK&#10;oVDw1Gjx+tx9yQazb0N2jbG/vlsQPA4z8w2z2oyuFQP1ofGsYDbNQBBrbxquFex3n5MFiBCRDbae&#10;ScGVAmzWjw8rLIy/8DcNZaxFgnAoUIGNsSukDNqSwzD1HXHyKt87jEn2tTQ9XhLctfI1y3LpsOG0&#10;YLGjD0v6VJ6dgm3+VuJxp38O1xc52C1V+jevlHp+Gt+XICKN8R6+tb+Mgvkc/r+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FvpxAAAANsAAAAPAAAAAAAAAAAA&#10;AAAAAKECAABkcnMvZG93bnJldi54bWxQSwUGAAAAAAQABAD5AAAAkgMAAAAA&#10;" strokecolor="black [3213]">
                  <v:stroke dashstyle="dash"/>
                </v:line>
                <v:line id="Straight Connector 45" o:spid="_x0000_s1034" style="position:absolute;visibility:visible;mso-wrap-style:square" from="33497,3648" to="33807,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csQAAADbAAAADwAAAGRycy9kb3ducmV2LnhtbESPQWvCQBSE74X+h+UVeim6aWmjRFcp&#10;BUHw1Nji9bn7kg3Nvg3ZNUZ/fbdQ8DjMzDfMcj26VgzUh8azgudpBoJYe9NwreBrv5nMQYSIbLD1&#10;TAouFGC9ur9bYmH8mT9pKGMtEoRDgQpsjF0hZdCWHIap74iTV/neYUyyr6Xp8ZzgrpUvWZZLhw2n&#10;BYsdfVjSP+XJKdjlsxKPe/19uDzJwe6o0te8UurxYXxfgIg0xlv4v701Cl7f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P5yxAAAANsAAAAPAAAAAAAAAAAA&#10;AAAAAKECAABkcnMvZG93bnJldi54bWxQSwUGAAAAAAQABAD5AAAAkgMAAAAA&#10;" strokecolor="black [3213]">
                  <v:stroke dashstyle="dash"/>
                </v:line>
                <v:shape id="TextBox 7" o:spid="_x0000_s1035" type="#_x0000_t202" style="position:absolute;top:4949;width:7905;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drcIA&#10;AADbAAAADwAAAGRycy9kb3ducmV2LnhtbESPzWrDMBCE74G+g9hCb7HcNoTgWjEmYGgPhfw9wGKt&#10;f4i1MpbiqG9fBQI5DjPzDZMXwQxipsn1lhW8JykI4trqnlsF51O13IBwHlnjYJkU/JGDYvuyyDHT&#10;9sYHmo++FRHCLkMFnfdjJqWrOzLoEjsSR6+xk0Ef5dRKPeEtws0gP9J0LQ32HBc6HGnXUX05Xo2C&#10;z8Hsy8qs+t/58tP6pgr7MQ1Kvb2G8guEp+Cf4Uf7WytYreH+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p2t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1</w:t>
                        </w:r>
                      </w:p>
                    </w:txbxContent>
                  </v:textbox>
                </v:shape>
                <v:shape id="TextBox 8" o:spid="_x0000_s1036" type="#_x0000_t202" style="position:absolute;left:9253;top:4949;width:7912;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4NsMA&#10;AADbAAAADwAAAGRycy9kb3ducmV2LnhtbESPwWrDMBBE74H8g9hCb7Hc1DTFjRxCwNAeCqmTD1is&#10;jW1srYyl2OrfV4VCj8PMvGH2h2AGMdPkOssKnpIUBHFtdceNguul3LyCcB5Z42CZFHyTg0OxXu0x&#10;13bhL5or34gIYZejgtb7MZfS1S0ZdIkdiaN3s5NBH+XUSD3hEuFmkNs0fZEGO44LLY50aqnuq7tR&#10;8DyY87E0Wfc59x+Nv5XhPKZBqceHcHwD4Sn4//Bf+10ryH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4NsMAAADbAAAADwAAAAAAAAAAAAAAAACYAgAAZHJzL2Rv&#10;d25yZXYueG1sUEsFBgAAAAAEAAQA9QAAAIgDA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2</w:t>
                        </w:r>
                      </w:p>
                    </w:txbxContent>
                  </v:textbox>
                </v:shape>
                <v:shape id="TextBox 9" o:spid="_x0000_s1037" type="#_x0000_t202" style="position:absolute;left:19256;top:4949;width:7905;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sRLwA&#10;AADbAAAADwAAAGRycy9kb3ducmV2LnhtbERPSwrCMBDdC94hjOBOUz+IVKOIUNCF4O8AQzO2xWZS&#10;mljj7c1CcPl4//U2mFp01LrKsoLJOAFBnFtdcaHgfstGSxDOI2usLZOCDznYbvq9NabavvlC3dUX&#10;IoawS1FB6X2TSunykgy6sW2II/ewrUEfYVtI3eI7hptaTpNkIQ1WHBtKbGhfUv68voyCWW3Ou8zM&#10;q1P3PBb+kYVzkwSlhoOwW4HwFPxf/HMftIJ5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xEvAAAANsAAAAPAAAAAAAAAAAAAAAAAJgCAABkcnMvZG93bnJldi54&#10;bWxQSwUGAAAAAAQABAD1AAAAgQ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3</w:t>
                        </w:r>
                      </w:p>
                    </w:txbxContent>
                  </v:textbox>
                </v:shape>
                <v:shape id="TextBox 10" o:spid="_x0000_s1038" type="#_x0000_t202" style="position:absolute;left:29651;top:4967;width:790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J38MA&#10;AADbAAAADwAAAGRycy9kb3ducmV2LnhtbESPwWrDMBBE74H8g9hCb7Hc1JTUjRxCwNAeCqmTD1is&#10;jW1srYyl2OrfV4VCj8PMvGH2h2AGMdPkOssKnpIUBHFtdceNguul3OxAOI+scbBMCr7JwaFYr/aY&#10;a7vwF82Vb0SEsMtRQev9mEvp6pYMusSOxNG72cmgj3JqpJ5wiXAzyG2avkiDHceFFkc6tVT31d0o&#10;eB7M+ViarPuc+4/G38pwHtOg1ONDOL6B8BT8f/iv/a4VZK/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J38MAAADbAAAADwAAAAAAAAAAAAAAAACYAgAAZHJzL2Rv&#10;d25yZXYueG1sUEsFBgAAAAAEAAQA9QAAAIgDA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4</w:t>
                        </w:r>
                      </w:p>
                    </w:txbxContent>
                  </v:textbox>
                </v:shape>
                <v:shape id="TextBox 11" o:spid="_x0000_s1039" type="#_x0000_t202" style="position:absolute;left:40525;top:4967;width:7906;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n78A&#10;AADbAAAADwAAAGRycy9kb3ducmV2LnhtbERPy4rCMBTdC/5DuMLsNHV8INW0iFBwFoKvD7g017bY&#10;3JQmUzN/P1kILg/nvcuDacVAvWssK5jPEhDEpdUNVwrut2K6AeE8ssbWMin4Iwd5Nh7tMNX2xRca&#10;rr4SMYRdigpq77tUSlfWZNDNbEccuYftDfoI+0rqHl8x3LTyO0nW0mDDsaHGjg41lc/rr1GwaM15&#10;X5hlcxqeP5V/FOHcJUGpr0nYb0F4Cv4jfruPWsEqro9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jafvwAAANsAAAAPAAAAAAAAAAAAAAAAAJgCAABkcnMvZG93bnJl&#10;di54bWxQSwUGAAAAAAQABAD1AAAAhA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b/>
                            <w:bCs/>
                            <w:color w:val="000000"/>
                            <w:kern w:val="24"/>
                            <w:sz w:val="20"/>
                            <w:szCs w:val="20"/>
                          </w:rPr>
                          <w:t>Working Party 5</w:t>
                        </w:r>
                      </w:p>
                    </w:txbxContent>
                  </v:textbox>
                </v:shape>
                <v:shape id="TextBox 19" o:spid="_x0000_s1040" type="#_x0000_t202" style="position:absolute;left:29851;top:10880;width:790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TBMIA&#10;AADbAAAADwAAAGRycy9kb3ducmV2LnhtbESP0YrCMBRE3wX/IVzBN03VXZFqKiIU1ocFV/2AS3Nt&#10;S5ub0mRr/HsjLOzjMDNnmN0+mFYM1LvasoLFPAFBXFhdc6ngds1nGxDOI2tsLZOCJznYZ+PRDlNt&#10;H/xDw8WXIkLYpaig8r5LpXRFRQbd3HbE0bvb3qCPsi+l7vER4aaVyyRZS4M1x4UKOzpWVDSXX6Ng&#10;1ZrzITcf9ffQnEp/z8O5S4JS00k4bEF4Cv4//Nf+0go+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pME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6/17</w:t>
                        </w:r>
                      </w:p>
                    </w:txbxContent>
                  </v:textbox>
                </v:shape>
                <v:shape id="TextBox 20" o:spid="_x0000_s1041" type="#_x0000_t202" style="position:absolute;left:29851;top:15932;width:790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Nc8IA&#10;AADbAAAADwAAAGRycy9kb3ducmV2LnhtbESP3YrCMBSE7wXfIZwF7zRd/1i6piJCYfdC8O8BDs2x&#10;LW1OSpOt8e3NguDlMDPfMJttMK0YqHe1ZQWfswQEcWF1zaWC6yWffoFwHllja5kUPMjBNhuPNphq&#10;e+cTDWdfighhl6KCyvsuldIVFRl0M9sRR+9me4M+yr6Uusd7hJtWzpNkLQ3WHBcq7GhfUdGc/4yC&#10;RWuOu9ws68PQ/Jb+lodjlwSlJh9h9w3CU/Dv8Kv9oxWs5v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1z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7/17</w:t>
                        </w:r>
                      </w:p>
                    </w:txbxContent>
                  </v:textbox>
                </v:shape>
                <v:shape id="TextBox 21" o:spid="_x0000_s1042" type="#_x0000_t202" style="position:absolute;left:29851;top:21260;width:7905;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o6MIA&#10;AADbAAAADwAAAGRycy9kb3ducmV2LnhtbESP0YrCMBRE3wX/IVzBN01dd0WqqYhQcB8WXPUDLs21&#10;LW1uSpOt8e/NguDjMDNnmO0umFYM1LvasoLFPAFBXFhdc6ngeslnaxDOI2tsLZOCBznYZePRFlNt&#10;7/xLw9mXIkLYpaig8r5LpXRFRQbd3HbE0bvZ3qCPsi+l7vEe4aaVH0mykgZrjgsVdnSoqGjOf0bB&#10;sjWnfW4+65+h+S79LQ+nLglKTSdhvwHhKfh3+NU+agVfS/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jo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9/17</w:t>
                        </w:r>
                      </w:p>
                    </w:txbxContent>
                  </v:textbox>
                </v:shape>
                <v:shape id="TextBox 23" o:spid="_x0000_s1043" type="#_x0000_t202" style="position:absolute;left:40524;top:15868;width:8153;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wnMMA&#10;AADbAAAADwAAAGRycy9kb3ducmV2LnhtbESPwWrDMBBE74H8g9hCb7Hc1A3FjRxCwNAeCqmTD1is&#10;jW1srYyl2OrfV4VCj8PMvGH2h2AGMdPkOssKnpIUBHFtdceNguul3LyCcB5Z42CZFHyTg0OxXu0x&#10;13bhL5or34gIYZejgtb7MZfS1S0ZdIkdiaN3s5NBH+XUSD3hEuFmkNs03UmDHceFFkc6tVT31d0o&#10;eB7M+ViarPuc+4/G38pwHtOg1ONDOL6B8BT8f/iv/a4VvG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0wnMMAAADbAAAADwAAAAAAAAAAAAAAAACYAgAAZHJzL2Rv&#10;d25yZXYueG1sUEsFBgAAAAAEAAQA9QAAAIgDA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12/17</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44" type="#_x0000_t34" style="position:absolute;left:24213;top:-15308;width:13;height:405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FcIAAADbAAAADwAAAGRycy9kb3ducmV2LnhtbESPT4vCMBTE78J+h/AEb5q6bEW6RnGF&#10;XcSD4L/7o3nbFpuXmsRav70RBI/DzG+GmS06U4uWnK8sKxiPEhDEudUVFwqOh9/hFIQPyBpry6Tg&#10;Th4W84/eDDNtb7yjdh8KEUvYZ6igDKHJpPR5SQb9yDbE0fu3zmCI0hVSO7zFclPLzySZSIMVx4US&#10;G1qVlJ/3V6Mg1X/t2J2216KdntN081N/Xe4npQb9bvkNIlAX3uEXvdaRS+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H/FcIAAADbAAAADwAAAAAAAAAAAAAA&#10;AAChAgAAZHJzL2Rvd25yZXYueG1sUEsFBgAAAAAEAAQA+QAAAJADAAAAAA==&#10;" adj="-2111056" strokecolor="black [3213]">
                  <v:stroke dashstyle="dash"/>
                </v:shape>
                <v:line id="Straight Connector 56" o:spid="_x0000_s1045" style="position:absolute;visibility:visible;mso-wrap-style:square" from="4054,8492" to="4054,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2MQAAADbAAAADwAAAGRycy9kb3ducmV2LnhtbESPQWvCQBSE74L/YXmFXqRuKpiW1FWk&#10;IAieGpVeX3dfsqHZtyG7xthf3xUKPQ4z8w2z2oyuFQP1ofGs4HmegSDW3jRcKzgdd0+vIEJENth6&#10;JgU3CrBZTycrLIy/8gcNZaxFgnAoUIGNsSukDNqSwzD3HXHyKt87jEn2tTQ9XhPctXKRZbl02HBa&#10;sNjRuyX9XV6cgkP+UuLXUZ8/bzM52ANV+ievlHp8GLdvICKN8T/8194bBcsc7l/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YxAAAANsAAAAPAAAAAAAAAAAA&#10;AAAAAKECAABkcnMvZG93bnJldi54bWxQSwUGAAAAAAQABAD5AAAAkgMAAAAA&#10;" strokecolor="black [3213]">
                  <v:stroke dashstyle="dash"/>
                </v:line>
                <v:shape id="TextBox 12" o:spid="_x0000_s1046" type="#_x0000_t202" style="position:absolute;top:10883;width:790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6mb8A&#10;AADbAAAADwAAAGRycy9kb3ducmV2LnhtbERPy4rCMBTdC/5DuMLsNHV8INW0iFBwFoKvD7g017bY&#10;3JQmUzN/P1kILg/nvcuDacVAvWssK5jPEhDEpdUNVwrut2K6AeE8ssbWMin4Iwd5Nh7tMNX2xRca&#10;rr4SMYRdigpq77tUSlfWZNDNbEccuYftDfoI+0rqHl8x3LTyO0nW0mDDsaHGjg41lc/rr1GwaM15&#10;X5hlcxqeP5V/FOHcJUGpr0nYb0F4Cv4jfruPWsEqjo1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4DqZvwAAANsAAAAPAAAAAAAAAAAAAAAAAJgCAABkcnMvZG93bnJl&#10;di54bWxQSwUGAAAAAAQABAD1AAAAhA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1/17</w:t>
                        </w:r>
                      </w:p>
                    </w:txbxContent>
                  </v:textbox>
                </v:shape>
                <v:shape id="TextBox 13" o:spid="_x0000_s1047" type="#_x0000_t202" style="position:absolute;top:15825;width:7905;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fAsMA&#10;AADbAAAADwAAAGRycy9kb3ducmV2LnhtbESPzWrDMBCE74G+g9hAbomcpg2NY9mEgqE9BPLTB1is&#10;jW1srYylOurbV4VAj8PMfMNkRTC9mGh0rWUF61UCgriyuuVawde1XL6BcB5ZY2+ZFPyQgyJ/mmWY&#10;anvnM00XX4sIYZeigsb7IZXSVQ0ZdCs7EEfvZkeDPsqxlnrEe4SbXj4nyVYabDkuNDjQe0NVd/k2&#10;Cja9OR1K89Iep+6z9rcynIYkKLWYh8MehKfg/8OP9odW8LqD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yfAsMAAADbAAAADwAAAAAAAAAAAAAAAACYAgAAZHJzL2Rv&#10;d25yZXYueG1sUEsFBgAAAAAEAAQA9QAAAIgDA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2/17</w:t>
                        </w:r>
                      </w:p>
                    </w:txbxContent>
                  </v:textbox>
                </v:shape>
                <v:shape id="TextBox 14" o:spid="_x0000_s1048" type="#_x0000_t202" style="position:absolute;top:20768;width:7905;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8IrwA&#10;AADbAAAADwAAAGRycy9kb3ducmV2LnhtbERPSwrCMBDdC94hjOBOUz+IVKOIUNCF4O8AQzO2xWZS&#10;mljj7c1CcPl4//U2mFp01LrKsoLJOAFBnFtdcaHgfstGSxDOI2usLZOCDznYbvq9NabavvlC3dUX&#10;IoawS1FB6X2TSunykgy6sW2II/ewrUEfYVtI3eI7hptaTpNkIQ1WHBtKbGhfUv68voyCWW3Ou8zM&#10;q1P3PBb+kYVzkwSlhoOwW4HwFPxf/HMftIJF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wivAAAANsAAAAPAAAAAAAAAAAAAAAAAJgCAABkcnMvZG93bnJldi54&#10;bWxQSwUGAAAAAAQABAD1AAAAgQ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3/17</w:t>
                        </w:r>
                      </w:p>
                    </w:txbxContent>
                  </v:textbox>
                </v:shape>
                <v:shape id="TextBox 15" o:spid="_x0000_s1049" type="#_x0000_t202" style="position:absolute;left:9253;top:10935;width:7912;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ZucIA&#10;AADbAAAADwAAAGRycy9kb3ducmV2LnhtbESP3YrCMBSE7xd8h3AE77apuohUUxGhsF4s+PcAh+bY&#10;ljYnpYk1+/ZmYcHLYWa+Yba7YDox0uAaywrmSQqCuLS64UrB7Vp8rkE4j6yxs0wKfsnBLp98bDHT&#10;9slnGi++EhHCLkMFtfd9JqUrazLoEtsTR+9uB4M+yqGSesBnhJtOLtJ0JQ02HBdq7OlQU9leHkbB&#10;sjOnfWG+mp+xPVb+XoRTnwalZtOw34DwFPw7/N/+1gpWc/j7En+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lm5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4/17</w:t>
                        </w:r>
                      </w:p>
                    </w:txbxContent>
                  </v:textbox>
                </v:shape>
                <v:shape id="TextBox 16" o:spid="_x0000_s1050" type="#_x0000_t202" style="position:absolute;left:9253;top:15878;width:7912;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HzsIA&#10;AADbAAAADwAAAGRycy9kb3ducmV2LnhtbESP3WrCQBSE7wXfYTlC73SjFZGYNQQh0F4UrPoAh+zJ&#10;D2bPhuwat2/fLQi9HGbmGybLg+nFRKPrLCtYrxIQxJXVHTcKbtdyuQfhPLLG3jIp+CEH+XE+yzDV&#10;9snfNF18IyKEXYoKWu+HVEpXtWTQrexAHL3ajgZ9lGMj9YjPCDe93CTJThrsOC60ONCppep+eRgF&#10;7705F6XZdl/T/bPxdRnOQxKUeluE4gDCU/D/4Vf7QyvYbeDvS/w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MfO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5/17</w:t>
                        </w:r>
                      </w:p>
                    </w:txbxContent>
                  </v:textbox>
                </v:shape>
                <v:shape id="TextBox 17" o:spid="_x0000_s1051" type="#_x0000_t202" style="position:absolute;left:19257;top:10883;width:790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iVcIA&#10;AADbAAAADwAAAGRycy9kb3ducmV2LnhtbESP3YrCMBSE74V9h3AW9s6mu4pI11REKKwXgn8PcGiO&#10;bWlzUppY49tvBMHLYWa+YVbrYDox0uAaywq+kxQEcWl1w5WCy7mYLkE4j6yxs0wKHuRgnX9MVphp&#10;e+cjjSdfiQhhl6GC2vs+k9KVNRl0ie2Jo3e1g0Ef5VBJPeA9wk0nf9J0IQ02HBdq7GlbU9mebkbB&#10;rDOHTWHmzX5sd5W/FuHQp0Gpr8+w+QXhKfh3+NX+0woWM3h+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GJV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8/17</w:t>
                        </w:r>
                      </w:p>
                    </w:txbxContent>
                  </v:textbox>
                </v:shape>
                <v:shape id="TextBox 18" o:spid="_x0000_s1052" type="#_x0000_t202" style="position:absolute;left:19255;top:15930;width:7906;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q/74A&#10;AADbAAAADwAAAGRycy9kb3ducmV2LnhtbERPy4rCMBTdC/5DuMLsNHUUlWpaRCg4C8HXB1yaa1ts&#10;bkqTqZm/nywEl4fz3uXBtGKg3jWWFcxnCQji0uqGKwX3WzHdgHAeWWNrmRT8kYM8G492mGr74gsN&#10;V1+JGMIuRQW1910qpStrMuhmtiOO3MP2Bn2EfSV1j68Yblr5nSQrabDh2FBjR4eayuf11yhYtOa8&#10;L8yyOQ3Pn8o/inDukqDU1yTstyA8Bf8Rv91HrWAd18cv8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jav++AAAA2wAAAA8AAAAAAAAAAAAAAAAAmAIAAGRycy9kb3ducmV2&#10;LnhtbFBLBQYAAAAABAAEAPUAAACDAw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10/17</w:t>
                        </w:r>
                      </w:p>
                    </w:txbxContent>
                  </v:textbox>
                </v:shape>
                <v:shape id="TextBox 22" o:spid="_x0000_s1053" type="#_x0000_t202" style="position:absolute;left:40520;top:10881;width:8160;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ZMIA&#10;AADbAAAADwAAAGRycy9kb3ducmV2LnhtbESP0YrCMBRE3wX/IVzBN03VZZVqKiIU1ocFV/2AS3Nt&#10;S5ub0mRr/HsjLOzjMDNnmN0+mFYM1LvasoLFPAFBXFhdc6ngds1nGxDOI2tsLZOCJznYZ+PRDlNt&#10;H/xDw8WXIkLYpaig8r5LpXRFRQbd3HbE0bvb3qCPsi+l7vER4aaVyyT5lAZrjgsVdnSsqGguv0bB&#10;qjXnQ24+6u+hOZX+nodzlwSlppNw2ILwFPx/+K/9pRWs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89kwgAAANsAAAAPAAAAAAAAAAAAAAAAAJgCAABkcnMvZG93&#10;bnJldi54bWxQSwUGAAAAAAQABAD1AAAAhwMAAAAA&#10;" fillcolor="white [3212]" strokecolor="black [3213]">
                  <v:textbox style="mso-fit-shape-to-text:t">
                    <w:txbxContent>
                      <w:p w:rsidR="005C445C" w:rsidRPr="00685267" w:rsidRDefault="005C445C" w:rsidP="00676A4A">
                        <w:pPr>
                          <w:pStyle w:val="NormalWeb"/>
                          <w:spacing w:after="0" w:line="240" w:lineRule="exact"/>
                          <w:jc w:val="center"/>
                          <w:textAlignment w:val="baseline"/>
                          <w:rPr>
                            <w:sz w:val="20"/>
                            <w:szCs w:val="20"/>
                          </w:rPr>
                        </w:pPr>
                        <w:r w:rsidRPr="00685267">
                          <w:rPr>
                            <w:color w:val="000000"/>
                            <w:kern w:val="24"/>
                            <w:sz w:val="20"/>
                            <w:szCs w:val="20"/>
                          </w:rPr>
                          <w:t>Question 11/17</w:t>
                        </w:r>
                      </w:p>
                    </w:txbxContent>
                  </v:textbox>
                </v:shape>
                <w10:anchorlock/>
              </v:group>
            </w:pict>
          </mc:Fallback>
        </mc:AlternateContent>
      </w:r>
    </w:p>
    <w:p w:rsidR="00676A4A" w:rsidRPr="00837668" w:rsidRDefault="00676A4A" w:rsidP="00676A4A">
      <w:pPr>
        <w:pStyle w:val="figuresource"/>
        <w:rPr>
          <w:lang w:val="en-US"/>
        </w:rPr>
      </w:pPr>
    </w:p>
    <w:p w:rsidR="00013F68" w:rsidRPr="00901848" w:rsidRDefault="00013F68" w:rsidP="00676A4A">
      <w:pPr>
        <w:pStyle w:val="Heading4"/>
        <w:rPr>
          <w:lang w:val="es-ES_tradnl"/>
        </w:rPr>
      </w:pPr>
      <w:r w:rsidRPr="00901848">
        <w:rPr>
          <w:lang w:val="es-ES_tradnl"/>
        </w:rPr>
        <w:t>Cuestiones</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C1/17:</w:t>
      </w:r>
      <w:r w:rsidRPr="00901848">
        <w:rPr>
          <w:lang w:val="es-ES_tradnl"/>
        </w:rPr>
        <w:tab/>
        <w:t>Coordinación de la seguridad en las telecomunicaciones/TIC (continuación del trabajo de la C1/17)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C2/17:</w:t>
      </w:r>
      <w:r w:rsidRPr="00901848">
        <w:rPr>
          <w:lang w:val="es-ES_tradnl"/>
        </w:rPr>
        <w:tab/>
        <w:t>Arquitectura y marco general de la seguridad (continuación del trabajo de la C2/17)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C3/17:</w:t>
      </w:r>
      <w:r w:rsidRPr="00901848">
        <w:rPr>
          <w:lang w:val="es-ES_tradnl"/>
        </w:rPr>
        <w:tab/>
        <w:t>Gestión de la seguridad de la información en las telecomunicaciones (continuación del trabajo de la C3/17)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C4/17:</w:t>
      </w:r>
      <w:r w:rsidRPr="00901848">
        <w:rPr>
          <w:lang w:val="es-ES_tradnl"/>
        </w:rPr>
        <w:tab/>
      </w:r>
      <w:proofErr w:type="spellStart"/>
      <w:r w:rsidRPr="00901848">
        <w:rPr>
          <w:lang w:val="es-ES_tradnl"/>
        </w:rPr>
        <w:t>Ciberseguridad</w:t>
      </w:r>
      <w:proofErr w:type="spellEnd"/>
      <w:r w:rsidRPr="00901848">
        <w:rPr>
          <w:lang w:val="es-ES_tradnl"/>
        </w:rPr>
        <w:t xml:space="preserve"> (continuación del trabajo de la C4/17)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C5/17:</w:t>
      </w:r>
      <w:r w:rsidRPr="00901848">
        <w:rPr>
          <w:lang w:val="es-ES_tradnl"/>
        </w:rPr>
        <w:tab/>
        <w:t>Medios técnicos contra el correo basura (continuación del trabajo de la C5/17)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C6/17:</w:t>
      </w:r>
      <w:r w:rsidRPr="00901848">
        <w:rPr>
          <w:lang w:val="es-ES_tradnl"/>
        </w:rPr>
        <w:tab/>
        <w:t>Aspectos relativos a la seguridad en los servicios de telecomunicaciones ubicuos (continuación del trabajo de la C6/17)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C7/17:</w:t>
      </w:r>
      <w:r w:rsidRPr="00901848">
        <w:rPr>
          <w:lang w:val="es-ES_tradnl"/>
        </w:rPr>
        <w:tab/>
        <w:t>Servicios de aplicación seguros (continuación del trabajo de la C7/17)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C8/17:</w:t>
      </w:r>
      <w:r w:rsidRPr="00901848">
        <w:rPr>
          <w:lang w:val="es-ES_tradnl"/>
        </w:rPr>
        <w:tab/>
        <w:t>Seguridad de la computación en la nube (continuación del trabajo de la C8/17)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C9/17:</w:t>
      </w:r>
      <w:r w:rsidRPr="00901848">
        <w:rPr>
          <w:lang w:val="es-ES_tradnl"/>
        </w:rPr>
        <w:tab/>
      </w:r>
      <w:proofErr w:type="spellStart"/>
      <w:r w:rsidRPr="00901848">
        <w:rPr>
          <w:lang w:val="es-ES_tradnl"/>
        </w:rPr>
        <w:t>Telebiometría</w:t>
      </w:r>
      <w:proofErr w:type="spellEnd"/>
      <w:r w:rsidRPr="00901848">
        <w:rPr>
          <w:lang w:val="es-ES_tradnl"/>
        </w:rPr>
        <w:t xml:space="preserve"> (continuación del trabajo de la C9/17)</w:t>
      </w:r>
    </w:p>
    <w:p w:rsidR="00013F68" w:rsidRPr="00676A4A" w:rsidRDefault="00013F68" w:rsidP="00676A4A">
      <w:pPr>
        <w:pStyle w:val="Enumlevel1"/>
        <w:tabs>
          <w:tab w:val="left" w:pos="567"/>
        </w:tabs>
        <w:ind w:left="1701" w:hanging="1701"/>
        <w:rPr>
          <w:lang w:val="es-ES_tradnl"/>
        </w:rPr>
      </w:pPr>
      <w:r w:rsidRPr="00676A4A">
        <w:rPr>
          <w:lang w:val="es-ES_tradnl"/>
        </w:rPr>
        <w:t>•</w:t>
      </w:r>
      <w:r w:rsidRPr="00676A4A">
        <w:rPr>
          <w:lang w:val="es-ES_tradnl"/>
        </w:rPr>
        <w:tab/>
        <w:t xml:space="preserve">C10/17: </w:t>
      </w:r>
      <w:r w:rsidR="00676A4A" w:rsidRPr="00676A4A">
        <w:rPr>
          <w:lang w:val="es-ES_tradnl"/>
        </w:rPr>
        <w:tab/>
      </w:r>
      <w:r w:rsidRPr="00676A4A">
        <w:rPr>
          <w:lang w:val="es-ES_tradnl"/>
        </w:rPr>
        <w:t>Arquitectura y mecanismos de la gestión de identidades (continuación del trabajo de la C10/17)</w:t>
      </w:r>
    </w:p>
    <w:p w:rsidR="00013F68" w:rsidRPr="00676A4A" w:rsidRDefault="00013F68" w:rsidP="00676A4A">
      <w:pPr>
        <w:pStyle w:val="Enumlevel1"/>
        <w:tabs>
          <w:tab w:val="left" w:pos="567"/>
        </w:tabs>
        <w:ind w:left="1701" w:hanging="1701"/>
        <w:rPr>
          <w:lang w:val="es-ES_tradnl"/>
        </w:rPr>
      </w:pPr>
      <w:r w:rsidRPr="00676A4A">
        <w:rPr>
          <w:lang w:val="es-ES_tradnl"/>
        </w:rPr>
        <w:t>•</w:t>
      </w:r>
      <w:r w:rsidRPr="00676A4A">
        <w:rPr>
          <w:lang w:val="es-ES_tradnl"/>
        </w:rPr>
        <w:tab/>
        <w:t xml:space="preserve">C11/17: </w:t>
      </w:r>
      <w:r w:rsidR="00676A4A" w:rsidRPr="00676A4A">
        <w:rPr>
          <w:lang w:val="es-ES_tradnl"/>
        </w:rPr>
        <w:tab/>
      </w:r>
      <w:r w:rsidRPr="00676A4A">
        <w:rPr>
          <w:lang w:val="es-ES_tradnl"/>
        </w:rPr>
        <w:t>Tecnologías genéricas para el soporte de aplicaciones seguras (continuación del trabajo de la C11/17, la C12/17 y la C15/17, así como de la labor en materia de ODP de la C13/17)</w:t>
      </w:r>
    </w:p>
    <w:p w:rsidR="00013F68" w:rsidRPr="00901848" w:rsidRDefault="00013F68" w:rsidP="00676A4A">
      <w:pPr>
        <w:pStyle w:val="Enumlevel1"/>
        <w:tabs>
          <w:tab w:val="left" w:pos="567"/>
        </w:tabs>
        <w:ind w:left="1701" w:hanging="1701"/>
        <w:rPr>
          <w:lang w:val="es-ES_tradnl"/>
        </w:rPr>
      </w:pPr>
      <w:r w:rsidRPr="00901848">
        <w:rPr>
          <w:lang w:val="es-ES_tradnl"/>
        </w:rPr>
        <w:t>•</w:t>
      </w:r>
      <w:r w:rsidRPr="00901848">
        <w:rPr>
          <w:lang w:val="es-ES_tradnl"/>
        </w:rPr>
        <w:tab/>
        <w:t>C12/17:</w:t>
      </w:r>
      <w:r w:rsidRPr="00901848">
        <w:rPr>
          <w:lang w:val="es-ES_tradnl"/>
        </w:rPr>
        <w:tab/>
        <w:t>Lenguajes formales para software de telecomunicaciones y pruebas (continuación parcial del trabajo de la C13/17 y la C14/17)</w:t>
      </w:r>
    </w:p>
    <w:p w:rsidR="00730353" w:rsidRPr="00901848" w:rsidRDefault="00730353" w:rsidP="00676A4A">
      <w:pPr>
        <w:pStyle w:val="Enumlevel1"/>
        <w:tabs>
          <w:tab w:val="left" w:pos="567"/>
        </w:tabs>
        <w:ind w:left="1701" w:hanging="1701"/>
        <w:rPr>
          <w:lang w:val="es-ES_tradnl"/>
        </w:rPr>
      </w:pPr>
      <w:r w:rsidRPr="00901848">
        <w:rPr>
          <w:lang w:val="es-ES_tradnl"/>
        </w:rPr>
        <w:br w:type="page"/>
      </w:r>
    </w:p>
    <w:p w:rsidR="00013F68" w:rsidRPr="00730353" w:rsidRDefault="00013F68" w:rsidP="00676A4A">
      <w:pPr>
        <w:pStyle w:val="Heading4"/>
        <w:rPr>
          <w:lang w:val="es-ES_tradnl"/>
        </w:rPr>
      </w:pPr>
      <w:r w:rsidRPr="00730353">
        <w:rPr>
          <w:lang w:val="es-ES_tradnl"/>
        </w:rPr>
        <w:lastRenderedPageBreak/>
        <w:t>Recomendaciones pertinentes</w:t>
      </w:r>
    </w:p>
    <w:p w:rsidR="00013F68" w:rsidRPr="00730353" w:rsidRDefault="00A31E61" w:rsidP="00730353">
      <w:pPr>
        <w:pStyle w:val="HeadingB"/>
        <w:rPr>
          <w:lang w:val="es-ES_tradnl"/>
        </w:rPr>
      </w:pPr>
      <w:hyperlink r:id="rId164" w:history="1">
        <w:r w:rsidR="00013F68" w:rsidRPr="00CC0BFE">
          <w:rPr>
            <w:rStyle w:val="Hyperlink"/>
            <w:rFonts w:eastAsia="Times New Roman" w:cs="Calibri"/>
            <w:b w:val="0"/>
            <w:sz w:val="22"/>
            <w:szCs w:val="21"/>
            <w:lang w:val="es-ES_tradnl" w:eastAsia="en-GB"/>
          </w:rPr>
          <w:t>Serie E</w:t>
        </w:r>
      </w:hyperlink>
      <w:r w:rsidR="00013F68" w:rsidRPr="00730353">
        <w:rPr>
          <w:lang w:val="es-ES_tradnl"/>
        </w:rPr>
        <w:t>: Explotación general de la red, servicio telefónico, explotación del servicio y factores humanos</w:t>
      </w:r>
    </w:p>
    <w:p w:rsidR="00013F68" w:rsidRPr="00901848" w:rsidRDefault="00013F68" w:rsidP="00CC0BFE">
      <w:pPr>
        <w:pStyle w:val="Enumlevel1"/>
        <w:numPr>
          <w:ilvl w:val="0"/>
          <w:numId w:val="14"/>
        </w:numPr>
        <w:tabs>
          <w:tab w:val="left" w:pos="567"/>
        </w:tabs>
        <w:ind w:left="1701" w:hanging="1701"/>
        <w:rPr>
          <w:lang w:val="es-ES_tradnl"/>
        </w:rPr>
      </w:pPr>
      <w:r w:rsidRPr="00901848">
        <w:rPr>
          <w:lang w:val="es-ES_tradnl"/>
        </w:rPr>
        <w:t>E.115:</w:t>
      </w:r>
      <w:r w:rsidRPr="00901848">
        <w:rPr>
          <w:lang w:val="es-ES_tradnl"/>
        </w:rPr>
        <w:tab/>
        <w:t>Servicio informatizado de información telefónica</w:t>
      </w:r>
    </w:p>
    <w:p w:rsidR="00013F68" w:rsidRPr="00E36D68" w:rsidRDefault="00A31E61" w:rsidP="00E36D68">
      <w:pPr>
        <w:pStyle w:val="HeadingB"/>
        <w:rPr>
          <w:lang w:val="es-ES_tradnl"/>
        </w:rPr>
      </w:pPr>
      <w:hyperlink r:id="rId165" w:history="1">
        <w:r w:rsidR="00013F68" w:rsidRPr="00E36D68">
          <w:rPr>
            <w:rStyle w:val="Hyperlink"/>
            <w:rFonts w:eastAsia="Times New Roman" w:cs="Calibri"/>
            <w:b w:val="0"/>
            <w:sz w:val="22"/>
            <w:szCs w:val="21"/>
            <w:lang w:val="es-ES_tradnl" w:eastAsia="en-GB"/>
          </w:rPr>
          <w:t>Serie X</w:t>
        </w:r>
      </w:hyperlink>
      <w:r w:rsidR="00013F68" w:rsidRPr="00E36D68">
        <w:rPr>
          <w:lang w:val="es-ES_tradnl"/>
        </w:rPr>
        <w:t>: Redes de datos, comunicaciones de sistemas abiertos y seguridad</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X.500:</w:t>
      </w:r>
      <w:r w:rsidRPr="00901848">
        <w:rPr>
          <w:lang w:val="es-ES_tradnl"/>
        </w:rPr>
        <w:tab/>
        <w:t>Tecnología de la información - Interconexión de sistemas abiertos - El directorio: Visión de conjunto de conceptos, modelos y servicios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X.501: </w:t>
      </w:r>
      <w:r w:rsidRPr="00901848">
        <w:rPr>
          <w:lang w:val="es-ES_tradnl"/>
        </w:rPr>
        <w:tab/>
        <w:t>Tecnología de la información - Interconexión de sistemas abiertos - El directorio: Modelos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X.509:</w:t>
      </w:r>
      <w:r w:rsidRPr="00901848">
        <w:rPr>
          <w:lang w:val="es-ES_tradnl"/>
        </w:rPr>
        <w:tab/>
        <w:t>Tecnología de la información - Interconexión de sistemas abiertos - El directorio: Marcos para certificados de claves públicas y atributos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X.511:</w:t>
      </w:r>
      <w:r w:rsidRPr="00901848">
        <w:rPr>
          <w:lang w:val="es-ES_tradnl"/>
        </w:rPr>
        <w:tab/>
        <w:t>Tecnología de la información - Interconexión de sistemas abiertos - El directorio: Definición de servicio abstracto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X.518:</w:t>
      </w:r>
      <w:r w:rsidRPr="00901848">
        <w:rPr>
          <w:lang w:val="es-ES_tradnl"/>
        </w:rPr>
        <w:tab/>
        <w:t>Tecnología de la información - Interconexión de sistemas abiertos - El directorio: Procedimientos para operación distribuida</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X.519:</w:t>
      </w:r>
      <w:r w:rsidRPr="00901848">
        <w:rPr>
          <w:lang w:val="es-ES_tradnl"/>
        </w:rPr>
        <w:tab/>
        <w:t>Tecnología de la información - Interconexión de sistemas abiertos - El directorio: Especificaciones de protocolo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X.520:</w:t>
      </w:r>
      <w:r w:rsidRPr="00901848">
        <w:rPr>
          <w:lang w:val="es-ES_tradnl"/>
        </w:rPr>
        <w:tab/>
        <w:t>Tecnología de la información - Interconexión de sistemas abiertos - El directorio: Tipos de atributos seleccionados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X.521:</w:t>
      </w:r>
      <w:r w:rsidRPr="00901848">
        <w:rPr>
          <w:lang w:val="es-ES_tradnl"/>
        </w:rPr>
        <w:tab/>
        <w:t>Tecnología de la información - Interconexión de sistemas abiertos - El directorio: Clases de objeto seleccionadas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X.525:</w:t>
      </w:r>
      <w:r w:rsidRPr="00901848">
        <w:rPr>
          <w:lang w:val="es-ES_tradnl"/>
        </w:rPr>
        <w:tab/>
        <w:t>Tecnología de la información - Interconexión de sistemas abiertos - El directorio: Replicación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X.660:</w:t>
      </w:r>
      <w:r w:rsidRPr="00901848">
        <w:rPr>
          <w:lang w:val="es-ES_tradnl"/>
        </w:rPr>
        <w:tab/>
        <w:t>Tecnología de la información - Procedimientos para el funcionamiento de las autoridades de registro de los identificadores de objeto: Procedimientos generales y arcos superiores del árbol de identificadores de objeto internacionales.</w:t>
      </w:r>
    </w:p>
    <w:p w:rsidR="00013F68" w:rsidRPr="00E36D68" w:rsidRDefault="00013F68" w:rsidP="00E36D68">
      <w:pPr>
        <w:pStyle w:val="Enumlevel1"/>
        <w:numPr>
          <w:ilvl w:val="0"/>
          <w:numId w:val="14"/>
        </w:numPr>
        <w:tabs>
          <w:tab w:val="left" w:pos="567"/>
        </w:tabs>
        <w:ind w:left="1701" w:hanging="1701"/>
      </w:pPr>
      <w:r w:rsidRPr="00E36D68">
        <w:t>X.667:</w:t>
      </w:r>
      <w:r w:rsidRPr="00E36D68">
        <w:tab/>
        <w:t>Information technology - Procedures for the operation of Object Identifier Registration Authorities: Generation of universally unique identifiers and their use in object identifiers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X.672:</w:t>
      </w:r>
      <w:r w:rsidRPr="00901848">
        <w:rPr>
          <w:lang w:val="es-ES_tradnl"/>
        </w:rPr>
        <w:tab/>
        <w:t>Tecnología de la información - Interconexión de sistemas abiertos - Sistema de resolución de identificador de objetos (RIO)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X.674:</w:t>
      </w:r>
      <w:r w:rsidRPr="00901848">
        <w:rPr>
          <w:lang w:val="es-ES_tradnl"/>
        </w:rPr>
        <w:tab/>
        <w:t>Procedimientos para el registro de arcos dentro del arco de aviso de identificador de objeto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X.1032:</w:t>
      </w:r>
      <w:r w:rsidRPr="00901848">
        <w:rPr>
          <w:lang w:val="es-ES_tradnl"/>
        </w:rPr>
        <w:tab/>
        <w:t>Arquitectura de interrelaciones externas para un sistema de seguridad de redes de telecomunicaciones basados en el protocolo Internet</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X.1034: </w:t>
      </w:r>
      <w:r w:rsidRPr="00901848">
        <w:rPr>
          <w:lang w:val="es-ES_tradnl"/>
        </w:rPr>
        <w:tab/>
        <w:t>Directrices sobre la autentificación y la gestión de claves basadas en el protocolo de autentificación extensible en una red de comunicación de datos</w:t>
      </w:r>
    </w:p>
    <w:p w:rsidR="00013F68" w:rsidRPr="00E36D68" w:rsidRDefault="00013F68" w:rsidP="00E36D68">
      <w:pPr>
        <w:pStyle w:val="Enumlevel1"/>
        <w:numPr>
          <w:ilvl w:val="0"/>
          <w:numId w:val="14"/>
        </w:numPr>
        <w:tabs>
          <w:tab w:val="left" w:pos="567"/>
        </w:tabs>
        <w:ind w:left="1701" w:hanging="1701"/>
      </w:pPr>
      <w:r w:rsidRPr="00E36D68">
        <w:t>X.1052:</w:t>
      </w:r>
      <w:r w:rsidRPr="00E36D68">
        <w:tab/>
        <w:t>Information security management framework</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X.1054: </w:t>
      </w:r>
      <w:r w:rsidRPr="00901848">
        <w:rPr>
          <w:lang w:val="es-ES_tradnl"/>
        </w:rPr>
        <w:tab/>
        <w:t>Tecnología de la información - Técnicas de seguridad - Gobernanza de la seguridad de la información</w:t>
      </w:r>
    </w:p>
    <w:p w:rsidR="00013F68" w:rsidRPr="00E36D68" w:rsidRDefault="00013F68" w:rsidP="00E36D68">
      <w:pPr>
        <w:pStyle w:val="Enumlevel1"/>
        <w:numPr>
          <w:ilvl w:val="0"/>
          <w:numId w:val="14"/>
        </w:numPr>
        <w:tabs>
          <w:tab w:val="left" w:pos="567"/>
        </w:tabs>
        <w:ind w:left="1701" w:hanging="1701"/>
      </w:pPr>
      <w:r w:rsidRPr="00E36D68">
        <w:t>X.1057:</w:t>
      </w:r>
      <w:r w:rsidRPr="00E36D68">
        <w:tab/>
        <w:t>Asset management guidelines in telecommunication organizations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X.1080.1:</w:t>
      </w:r>
      <w:r w:rsidRPr="00901848">
        <w:rPr>
          <w:lang w:val="es-ES_tradnl"/>
        </w:rPr>
        <w:tab/>
      </w:r>
      <w:proofErr w:type="spellStart"/>
      <w:r w:rsidRPr="00901848">
        <w:rPr>
          <w:lang w:val="es-ES_tradnl"/>
        </w:rPr>
        <w:t>Cibersalud</w:t>
      </w:r>
      <w:proofErr w:type="spellEnd"/>
      <w:r w:rsidRPr="00901848">
        <w:rPr>
          <w:lang w:val="es-ES_tradnl"/>
        </w:rPr>
        <w:t xml:space="preserve"> y telemedicinas mundiales - Protocolo de telecomunicaciones genérico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lastRenderedPageBreak/>
        <w:t>X.1081:</w:t>
      </w:r>
      <w:r w:rsidRPr="00901848">
        <w:rPr>
          <w:lang w:val="es-ES_tradnl"/>
        </w:rPr>
        <w:tab/>
        <w:t xml:space="preserve">El modelo </w:t>
      </w:r>
      <w:proofErr w:type="spellStart"/>
      <w:r w:rsidRPr="00901848">
        <w:rPr>
          <w:lang w:val="es-ES_tradnl"/>
        </w:rPr>
        <w:t>telebiométrico</w:t>
      </w:r>
      <w:proofErr w:type="spellEnd"/>
      <w:r w:rsidRPr="00901848">
        <w:rPr>
          <w:lang w:val="es-ES_tradnl"/>
        </w:rPr>
        <w:t xml:space="preserve"> multimodal - Marco para la especificación de los aspectos de la </w:t>
      </w:r>
      <w:proofErr w:type="spellStart"/>
      <w:r w:rsidRPr="00901848">
        <w:rPr>
          <w:lang w:val="es-ES_tradnl"/>
        </w:rPr>
        <w:t>telebiometría</w:t>
      </w:r>
      <w:proofErr w:type="spellEnd"/>
      <w:r w:rsidRPr="00901848">
        <w:rPr>
          <w:lang w:val="es-ES_tradnl"/>
        </w:rPr>
        <w:t xml:space="preserve"> relativos a protección y seguridad</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X.1090:</w:t>
      </w:r>
      <w:r w:rsidRPr="00901848">
        <w:rPr>
          <w:lang w:val="es-ES_tradnl"/>
        </w:rPr>
        <w:tab/>
        <w:t xml:space="preserve">Marco de autenticación con plantilla </w:t>
      </w:r>
      <w:proofErr w:type="spellStart"/>
      <w:r w:rsidRPr="00901848">
        <w:rPr>
          <w:lang w:val="es-ES_tradnl"/>
        </w:rPr>
        <w:t>telebiométrica</w:t>
      </w:r>
      <w:proofErr w:type="spellEnd"/>
      <w:r w:rsidRPr="00901848">
        <w:rPr>
          <w:lang w:val="es-ES_tradnl"/>
        </w:rPr>
        <w:t xml:space="preserve"> de un solo uso</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X.1091:</w:t>
      </w:r>
      <w:r w:rsidRPr="00901848">
        <w:rPr>
          <w:lang w:val="es-ES_tradnl"/>
        </w:rPr>
        <w:tab/>
        <w:t xml:space="preserve">Una directriz para evaluar las técnicas de protección de plantilla </w:t>
      </w:r>
      <w:proofErr w:type="spellStart"/>
      <w:r w:rsidRPr="00901848">
        <w:rPr>
          <w:lang w:val="es-ES_tradnl"/>
        </w:rPr>
        <w:t>telebiométrica</w:t>
      </w:r>
      <w:proofErr w:type="spellEnd"/>
    </w:p>
    <w:p w:rsidR="00013F68" w:rsidRPr="00E36D68" w:rsidRDefault="00013F68" w:rsidP="00E36D68">
      <w:pPr>
        <w:pStyle w:val="Enumlevel1"/>
        <w:numPr>
          <w:ilvl w:val="0"/>
          <w:numId w:val="14"/>
        </w:numPr>
        <w:tabs>
          <w:tab w:val="left" w:pos="567"/>
        </w:tabs>
        <w:ind w:left="1701" w:hanging="1701"/>
      </w:pPr>
      <w:r w:rsidRPr="00E36D68">
        <w:t xml:space="preserve">X.1092: </w:t>
      </w:r>
      <w:r w:rsidRPr="00E36D68">
        <w:tab/>
        <w:t xml:space="preserve">Integrated framework for </w:t>
      </w:r>
      <w:proofErr w:type="spellStart"/>
      <w:r w:rsidRPr="00E36D68">
        <w:t>telebiometric</w:t>
      </w:r>
      <w:proofErr w:type="spellEnd"/>
      <w:r w:rsidRPr="00E36D68">
        <w:t xml:space="preserve"> data protection in e-health and </w:t>
      </w:r>
      <w:proofErr w:type="spellStart"/>
      <w:r w:rsidRPr="00E36D68">
        <w:t>telemedicines</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X.1101:</w:t>
      </w:r>
      <w:r w:rsidRPr="00901848">
        <w:rPr>
          <w:lang w:val="es-ES_tradnl"/>
        </w:rPr>
        <w:tab/>
        <w:t>Marco general y requisitos de seguridad para la comunicación por multidifusión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X.1153:</w:t>
      </w:r>
      <w:r w:rsidRPr="00901848">
        <w:rPr>
          <w:lang w:val="es-ES_tradnl"/>
        </w:rPr>
        <w:tab/>
        <w:t>Marco de gestión de un servicio de autenticación basado en contraseñas de un solo uso</w:t>
      </w:r>
    </w:p>
    <w:p w:rsidR="00013F68" w:rsidRPr="00E36D68" w:rsidRDefault="00013F68" w:rsidP="00E36D68">
      <w:pPr>
        <w:pStyle w:val="Enumlevel1"/>
        <w:numPr>
          <w:ilvl w:val="0"/>
          <w:numId w:val="14"/>
        </w:numPr>
        <w:tabs>
          <w:tab w:val="left" w:pos="567"/>
        </w:tabs>
        <w:ind w:left="1701" w:hanging="1701"/>
      </w:pPr>
      <w:r w:rsidRPr="00E36D68">
        <w:t xml:space="preserve">X.1154: </w:t>
      </w:r>
      <w:r w:rsidRPr="00E36D68">
        <w:tab/>
        <w:t>General framework of combined authentication on multiple identity service provider environments</w:t>
      </w:r>
    </w:p>
    <w:p w:rsidR="00013F68" w:rsidRPr="00E36D68" w:rsidRDefault="00013F68" w:rsidP="00E36D68">
      <w:pPr>
        <w:pStyle w:val="Enumlevel1"/>
        <w:numPr>
          <w:ilvl w:val="0"/>
          <w:numId w:val="14"/>
        </w:numPr>
        <w:tabs>
          <w:tab w:val="left" w:pos="567"/>
        </w:tabs>
        <w:ind w:left="1701" w:hanging="1701"/>
      </w:pPr>
      <w:r w:rsidRPr="00E36D68">
        <w:t xml:space="preserve">X.1156: </w:t>
      </w:r>
      <w:r w:rsidRPr="00E36D68">
        <w:tab/>
        <w:t>Non-repudiation framework based on a one time password</w:t>
      </w:r>
    </w:p>
    <w:p w:rsidR="00013F68" w:rsidRPr="00E36D68" w:rsidRDefault="00013F68" w:rsidP="00E36D68">
      <w:pPr>
        <w:pStyle w:val="Enumlevel1"/>
        <w:numPr>
          <w:ilvl w:val="0"/>
          <w:numId w:val="14"/>
        </w:numPr>
        <w:tabs>
          <w:tab w:val="left" w:pos="567"/>
        </w:tabs>
        <w:ind w:left="1701" w:hanging="1701"/>
      </w:pPr>
      <w:r w:rsidRPr="00E36D68">
        <w:t>X.1164:</w:t>
      </w:r>
      <w:r w:rsidRPr="00E36D68">
        <w:tab/>
        <w:t>Use of service providers' user authentication infrastructure to implement public key infrastructure for peer-to-peer networks</w:t>
      </w:r>
    </w:p>
    <w:p w:rsidR="00013F68" w:rsidRPr="00E36D68" w:rsidRDefault="00013F68" w:rsidP="00E36D68">
      <w:pPr>
        <w:pStyle w:val="Enumlevel1"/>
        <w:numPr>
          <w:ilvl w:val="0"/>
          <w:numId w:val="14"/>
        </w:numPr>
        <w:tabs>
          <w:tab w:val="left" w:pos="567"/>
        </w:tabs>
        <w:ind w:left="1701" w:hanging="1701"/>
      </w:pPr>
      <w:r w:rsidRPr="00E36D68">
        <w:t>X.1192:</w:t>
      </w:r>
      <w:r w:rsidRPr="00E36D68">
        <w:tab/>
        <w:t>Functional requirements and mechanisms for the secure transcoding of IPTV</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X.1193: </w:t>
      </w:r>
      <w:r w:rsidRPr="00901848">
        <w:rPr>
          <w:lang w:val="es-ES_tradnl"/>
        </w:rPr>
        <w:tab/>
        <w:t>Marco fundamental de gestión para los servicios de televisión por protocolo de Internet (TVIP) seguros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X.1194:</w:t>
      </w:r>
      <w:r w:rsidRPr="00901848">
        <w:rPr>
          <w:lang w:val="es-ES_tradnl"/>
        </w:rPr>
        <w:tab/>
        <w:t xml:space="preserve">Sistema de selección de algoritmos para la </w:t>
      </w:r>
      <w:proofErr w:type="spellStart"/>
      <w:r w:rsidRPr="00901848">
        <w:rPr>
          <w:lang w:val="es-ES_tradnl"/>
        </w:rPr>
        <w:t>desaleatorización</w:t>
      </w:r>
      <w:proofErr w:type="spellEnd"/>
      <w:r w:rsidRPr="00901848">
        <w:rPr>
          <w:lang w:val="es-ES_tradnl"/>
        </w:rPr>
        <w:t xml:space="preserve"> de protección de servicio y contenido (SCP)</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X.1195:</w:t>
      </w:r>
      <w:r w:rsidRPr="00901848">
        <w:rPr>
          <w:lang w:val="es-ES_tradnl"/>
        </w:rPr>
        <w:tab/>
        <w:t>Esquema de interoperabilidad de la protección del servicio y del contenido</w:t>
      </w:r>
    </w:p>
    <w:p w:rsidR="00013F68" w:rsidRPr="00E36D68" w:rsidRDefault="00013F68" w:rsidP="00E36D68">
      <w:pPr>
        <w:pStyle w:val="Enumlevel1"/>
        <w:numPr>
          <w:ilvl w:val="0"/>
          <w:numId w:val="14"/>
        </w:numPr>
        <w:tabs>
          <w:tab w:val="left" w:pos="567"/>
        </w:tabs>
        <w:ind w:left="1701" w:hanging="1701"/>
      </w:pPr>
      <w:r w:rsidRPr="00E36D68">
        <w:t>X.1196:</w:t>
      </w:r>
      <w:r w:rsidRPr="00E36D68">
        <w:tab/>
        <w:t>Framework for the downloadable service and content protection system in the mobile Internet Protocol television environment</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X.1197:</w:t>
      </w:r>
      <w:r w:rsidRPr="00901848">
        <w:rPr>
          <w:lang w:val="es-ES_tradnl"/>
        </w:rPr>
        <w:tab/>
        <w:t>Directrices sobre criterios para la selección de algoritmos criptográficos para la protección de los servicios y contenidos de TVIP</w:t>
      </w:r>
    </w:p>
    <w:p w:rsidR="00013F68" w:rsidRPr="00E36D68" w:rsidRDefault="00013F68" w:rsidP="00E36D68">
      <w:pPr>
        <w:pStyle w:val="Enumlevel1"/>
        <w:numPr>
          <w:ilvl w:val="0"/>
          <w:numId w:val="14"/>
        </w:numPr>
        <w:tabs>
          <w:tab w:val="left" w:pos="567"/>
        </w:tabs>
        <w:ind w:left="1701" w:hanging="1701"/>
      </w:pPr>
      <w:r w:rsidRPr="00E36D68">
        <w:t>X.1198:</w:t>
      </w:r>
      <w:r w:rsidRPr="00E36D68">
        <w:tab/>
        <w:t>Virtual machine-based security platform for renewable IPTV service and content protection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X.1209:</w:t>
      </w:r>
      <w:r w:rsidRPr="00901848">
        <w:rPr>
          <w:lang w:val="es-ES_tradnl"/>
        </w:rPr>
        <w:tab/>
        <w:t xml:space="preserve">Capacidades, y aplicaciones prácticas correspondientes, para la compartición e intercambio de información de </w:t>
      </w:r>
      <w:proofErr w:type="spellStart"/>
      <w:r w:rsidRPr="00901848">
        <w:rPr>
          <w:lang w:val="es-ES_tradnl"/>
        </w:rPr>
        <w:t>ciberseguridad</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X.1243:</w:t>
      </w:r>
      <w:r w:rsidRPr="00901848">
        <w:rPr>
          <w:lang w:val="es-ES_tradnl"/>
        </w:rPr>
        <w:tab/>
        <w:t>Sistema de pasarela interactivo para la lucha contra el correo basura</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X.1245:</w:t>
      </w:r>
      <w:r w:rsidRPr="00901848">
        <w:rPr>
          <w:lang w:val="es-ES_tradnl"/>
        </w:rPr>
        <w:tab/>
        <w:t>Marco de aplicaciones multimedios IP para la lucha contra el correo basura</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X.1252:</w:t>
      </w:r>
      <w:r w:rsidRPr="00901848">
        <w:rPr>
          <w:lang w:val="es-ES_tradnl"/>
        </w:rPr>
        <w:tab/>
        <w:t>Términos y definiciones sobre gestión de identidad de referencia</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X.1253:</w:t>
      </w:r>
      <w:r w:rsidRPr="00901848">
        <w:rPr>
          <w:lang w:val="es-ES_tradnl"/>
        </w:rPr>
        <w:tab/>
        <w:t>Directrices de seguridad para los sistemas de gestión de la identidad</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X.1254:</w:t>
      </w:r>
      <w:r w:rsidRPr="00901848">
        <w:rPr>
          <w:lang w:val="es-ES_tradnl"/>
        </w:rPr>
        <w:tab/>
        <w:t>Marco de garantía de autenticación de entidad</w:t>
      </w:r>
    </w:p>
    <w:p w:rsidR="00013F68" w:rsidRPr="00E36D68" w:rsidRDefault="00013F68" w:rsidP="00E36D68">
      <w:pPr>
        <w:pStyle w:val="Enumlevel1"/>
        <w:numPr>
          <w:ilvl w:val="0"/>
          <w:numId w:val="14"/>
        </w:numPr>
        <w:tabs>
          <w:tab w:val="left" w:pos="567"/>
        </w:tabs>
        <w:ind w:left="1701" w:hanging="1701"/>
      </w:pPr>
      <w:r w:rsidRPr="00E36D68">
        <w:t xml:space="preserve">X.1255: </w:t>
      </w:r>
      <w:r w:rsidRPr="00E36D68">
        <w:tab/>
        <w:t>Framework for discovery of identity management information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X.1275:</w:t>
      </w:r>
      <w:r w:rsidRPr="00901848">
        <w:rPr>
          <w:lang w:val="es-ES_tradnl"/>
        </w:rPr>
        <w:tab/>
        <w:t>Directrices sobre protección de información de identificación personal en la aplicación de tecnología RFID</w:t>
      </w:r>
    </w:p>
    <w:p w:rsidR="00013F68" w:rsidRPr="00E36D68" w:rsidRDefault="00013F68" w:rsidP="00E36D68">
      <w:pPr>
        <w:pStyle w:val="Enumlevel1"/>
        <w:numPr>
          <w:ilvl w:val="0"/>
          <w:numId w:val="14"/>
        </w:numPr>
        <w:tabs>
          <w:tab w:val="left" w:pos="567"/>
        </w:tabs>
        <w:ind w:left="1701" w:hanging="1701"/>
      </w:pPr>
      <w:r w:rsidRPr="00E36D68">
        <w:t>X.1303:</w:t>
      </w:r>
      <w:r w:rsidRPr="00E36D68">
        <w:tab/>
        <w:t>Common Alerting Protocol (CAP1.1)</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X.1311:</w:t>
      </w:r>
      <w:r w:rsidRPr="00901848">
        <w:rPr>
          <w:lang w:val="es-ES_tradnl"/>
        </w:rPr>
        <w:tab/>
        <w:t>Tecnología de la información - Marco de seguridad para red de sensores ubicuos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X.1312:</w:t>
      </w:r>
      <w:r w:rsidRPr="00901848">
        <w:rPr>
          <w:lang w:val="es-ES_tradnl"/>
        </w:rPr>
        <w:tab/>
        <w:t>Directrices de programa intermedio de seguridad para redes de sensores ubicuos</w:t>
      </w:r>
    </w:p>
    <w:p w:rsidR="00013F68" w:rsidRPr="00E36D68" w:rsidRDefault="00013F68" w:rsidP="00E36D68">
      <w:pPr>
        <w:pStyle w:val="Enumlevel1"/>
        <w:numPr>
          <w:ilvl w:val="0"/>
          <w:numId w:val="14"/>
        </w:numPr>
        <w:tabs>
          <w:tab w:val="left" w:pos="567"/>
        </w:tabs>
        <w:ind w:left="1701" w:hanging="1701"/>
      </w:pPr>
      <w:r w:rsidRPr="00E36D68">
        <w:t>X.1313:</w:t>
      </w:r>
      <w:r w:rsidRPr="00E36D68">
        <w:tab/>
        <w:t>Security requirements for wireless sensor network routing</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lastRenderedPageBreak/>
        <w:t>X.1500:</w:t>
      </w:r>
      <w:r w:rsidRPr="00901848">
        <w:rPr>
          <w:lang w:val="es-ES_tradnl"/>
        </w:rPr>
        <w:tab/>
        <w:t xml:space="preserve">Aspectos generales del intercambio de información de </w:t>
      </w:r>
      <w:proofErr w:type="spellStart"/>
      <w:r w:rsidRPr="00901848">
        <w:rPr>
          <w:lang w:val="es-ES_tradnl"/>
        </w:rPr>
        <w:t>ciberseguridad</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X.1500.1:</w:t>
      </w:r>
      <w:r w:rsidRPr="00901848">
        <w:rPr>
          <w:lang w:val="es-ES_tradnl"/>
        </w:rPr>
        <w:tab/>
        <w:t xml:space="preserve">Procedimientos de registro de arcos bajo el arco de identificador de objetos para el intercambio de información sobre </w:t>
      </w:r>
      <w:proofErr w:type="spellStart"/>
      <w:r w:rsidRPr="00901848">
        <w:rPr>
          <w:lang w:val="es-ES_tradnl"/>
        </w:rPr>
        <w:t>ciberseguridad</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X.1520:</w:t>
      </w:r>
      <w:r w:rsidRPr="00901848">
        <w:rPr>
          <w:lang w:val="es-ES_tradnl"/>
        </w:rPr>
        <w:tab/>
        <w:t>Vulnerabilidades y riesgos corrientes (CVE)</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X.1521:</w:t>
      </w:r>
      <w:r w:rsidRPr="00901848">
        <w:rPr>
          <w:lang w:val="es-ES_tradnl"/>
        </w:rPr>
        <w:tab/>
        <w:t>Sistema de puntuación para las vulnerabilidades corrientes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X.1524: </w:t>
      </w:r>
      <w:r w:rsidRPr="00901848">
        <w:rPr>
          <w:lang w:val="es-ES_tradnl"/>
        </w:rPr>
        <w:tab/>
        <w:t>Enumeración de puntos débiles comunes</w:t>
      </w:r>
    </w:p>
    <w:p w:rsidR="00013F68" w:rsidRPr="00E36D68" w:rsidRDefault="00013F68" w:rsidP="00E36D68">
      <w:pPr>
        <w:pStyle w:val="Enumlevel1"/>
        <w:numPr>
          <w:ilvl w:val="0"/>
          <w:numId w:val="14"/>
        </w:numPr>
        <w:tabs>
          <w:tab w:val="left" w:pos="567"/>
        </w:tabs>
        <w:ind w:left="1701" w:hanging="1701"/>
      </w:pPr>
      <w:r w:rsidRPr="00E36D68">
        <w:t xml:space="preserve">X.1526: </w:t>
      </w:r>
      <w:r w:rsidRPr="00E36D68">
        <w:tab/>
        <w:t>Open Vulnerability and Assessment Language</w:t>
      </w:r>
    </w:p>
    <w:p w:rsidR="00013F68" w:rsidRPr="00E36D68" w:rsidRDefault="00013F68" w:rsidP="00E36D68">
      <w:pPr>
        <w:pStyle w:val="Enumlevel1"/>
        <w:numPr>
          <w:ilvl w:val="0"/>
          <w:numId w:val="14"/>
        </w:numPr>
        <w:tabs>
          <w:tab w:val="left" w:pos="567"/>
        </w:tabs>
        <w:ind w:left="1701" w:hanging="1701"/>
      </w:pPr>
      <w:r w:rsidRPr="00E36D68">
        <w:t>X.1528:</w:t>
      </w:r>
      <w:r w:rsidRPr="00E36D68">
        <w:tab/>
      </w:r>
      <w:proofErr w:type="spellStart"/>
      <w:r w:rsidRPr="00E36D68">
        <w:t>Enumeración</w:t>
      </w:r>
      <w:proofErr w:type="spellEnd"/>
      <w:r w:rsidRPr="00E36D68">
        <w:t xml:space="preserve"> de </w:t>
      </w:r>
      <w:proofErr w:type="spellStart"/>
      <w:r w:rsidRPr="00E36D68">
        <w:t>plataforma</w:t>
      </w:r>
      <w:proofErr w:type="spellEnd"/>
      <w:r w:rsidRPr="00E36D68">
        <w:t xml:space="preserve"> </w:t>
      </w:r>
      <w:proofErr w:type="spellStart"/>
      <w:r w:rsidRPr="00E36D68">
        <w:t>común</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X.1528.1:</w:t>
      </w:r>
      <w:r w:rsidRPr="00901848">
        <w:rPr>
          <w:lang w:val="es-ES_tradnl"/>
        </w:rPr>
        <w:tab/>
        <w:t>Denominación de enumeración de plataforma común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X.1528.2:</w:t>
      </w:r>
      <w:r w:rsidRPr="00901848">
        <w:rPr>
          <w:lang w:val="es-ES_tradnl"/>
        </w:rPr>
        <w:tab/>
        <w:t>Correspondencia de nombre de enumeración de plataforma común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X.1528.3:</w:t>
      </w:r>
      <w:r w:rsidRPr="00901848">
        <w:rPr>
          <w:lang w:val="es-ES_tradnl"/>
        </w:rPr>
        <w:tab/>
        <w:t>Diccionario de enumeración de plataforma común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X.1528.4:</w:t>
      </w:r>
      <w:r w:rsidRPr="00901848">
        <w:rPr>
          <w:lang w:val="es-ES_tradnl"/>
        </w:rPr>
        <w:tab/>
        <w:t>Lenguaje de aplicabilidad de enumeración de plataforma común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X.1541:</w:t>
      </w:r>
      <w:r w:rsidRPr="00901848">
        <w:rPr>
          <w:lang w:val="es-ES_tradnl"/>
        </w:rPr>
        <w:tab/>
        <w:t>Formato para el intercambio de descripciones de objetos de incidentes</w:t>
      </w:r>
    </w:p>
    <w:p w:rsidR="00013F68" w:rsidRPr="00E36D68" w:rsidRDefault="00013F68" w:rsidP="00E36D68">
      <w:pPr>
        <w:pStyle w:val="Enumlevel1"/>
        <w:numPr>
          <w:ilvl w:val="0"/>
          <w:numId w:val="14"/>
        </w:numPr>
        <w:tabs>
          <w:tab w:val="left" w:pos="567"/>
        </w:tabs>
        <w:ind w:left="1701" w:hanging="1701"/>
      </w:pPr>
      <w:r w:rsidRPr="00E36D68">
        <w:t>X.1544:</w:t>
      </w:r>
      <w:r w:rsidRPr="00E36D68">
        <w:tab/>
        <w:t>Common attack pattern enumeration and classification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X.1570:</w:t>
      </w:r>
      <w:r w:rsidRPr="00901848">
        <w:rPr>
          <w:lang w:val="es-ES_tradnl"/>
        </w:rPr>
        <w:tab/>
        <w:t xml:space="preserve">Mecanismos de descubrimiento en el intercambio de información de </w:t>
      </w:r>
      <w:proofErr w:type="spellStart"/>
      <w:r w:rsidRPr="00901848">
        <w:rPr>
          <w:lang w:val="es-ES_tradnl"/>
        </w:rPr>
        <w:t>ciberseguridad</w:t>
      </w:r>
      <w:proofErr w:type="spellEnd"/>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X.1580: </w:t>
      </w:r>
      <w:r w:rsidRPr="00901848">
        <w:rPr>
          <w:lang w:val="es-ES_tradnl"/>
        </w:rPr>
        <w:tab/>
        <w:t>Defensa entre redes en tiempo real</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X.1581:</w:t>
      </w:r>
      <w:r w:rsidRPr="00901848">
        <w:rPr>
          <w:lang w:val="es-ES_tradnl"/>
        </w:rPr>
        <w:tab/>
        <w:t>Transporte de mensajes de defensa entre redes en tiempo real</w:t>
      </w:r>
    </w:p>
    <w:p w:rsidR="00013F68" w:rsidRPr="00E36D68" w:rsidRDefault="00A31E61" w:rsidP="00E36D68">
      <w:pPr>
        <w:pStyle w:val="HeadingB"/>
        <w:rPr>
          <w:lang w:val="es-ES_tradnl"/>
        </w:rPr>
      </w:pPr>
      <w:hyperlink r:id="rId166" w:history="1">
        <w:r w:rsidR="00E36D68" w:rsidRPr="00E36D68">
          <w:rPr>
            <w:rStyle w:val="Hyperlink"/>
            <w:b w:val="0"/>
            <w:bCs w:val="0"/>
            <w:lang w:val="es-ES_tradnl"/>
          </w:rPr>
          <w:t>Serie Z</w:t>
        </w:r>
      </w:hyperlink>
      <w:r w:rsidR="00E36D68">
        <w:rPr>
          <w:lang w:val="es-ES_tradnl"/>
        </w:rPr>
        <w:t>: Leng</w:t>
      </w:r>
      <w:r w:rsidR="00013F68" w:rsidRPr="00E36D68">
        <w:rPr>
          <w:lang w:val="es-ES_tradnl"/>
        </w:rPr>
        <w:t>uajes y aspectos generales de soporte lógico para sistemas de telecomunicación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Z.100:</w:t>
      </w:r>
      <w:r w:rsidRPr="00901848">
        <w:rPr>
          <w:lang w:val="es-ES_tradnl"/>
        </w:rPr>
        <w:tab/>
        <w:t>Lenguaje de especificación y descripción - Visión general de SDL-2010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Z.101:</w:t>
      </w:r>
      <w:r w:rsidRPr="00901848">
        <w:rPr>
          <w:lang w:val="es-ES_tradnl"/>
        </w:rPr>
        <w:tab/>
        <w:t>Lenguaje de especificación y descripción - SDL-2010 básica</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Z.102:</w:t>
      </w:r>
      <w:r w:rsidRPr="00901848">
        <w:rPr>
          <w:lang w:val="es-ES_tradnl"/>
        </w:rPr>
        <w:tab/>
        <w:t>Lenguaje de especificación y descripción - SDL-2010 integral</w:t>
      </w:r>
    </w:p>
    <w:p w:rsidR="00013F68" w:rsidRPr="00E36D68" w:rsidRDefault="00013F68" w:rsidP="00E36D68">
      <w:pPr>
        <w:pStyle w:val="Enumlevel1"/>
        <w:numPr>
          <w:ilvl w:val="0"/>
          <w:numId w:val="14"/>
        </w:numPr>
        <w:tabs>
          <w:tab w:val="left" w:pos="567"/>
        </w:tabs>
        <w:ind w:left="1701" w:hanging="1701"/>
        <w:rPr>
          <w:lang w:val="es-ES_tradnl"/>
        </w:rPr>
      </w:pPr>
      <w:r w:rsidRPr="00E36D68">
        <w:rPr>
          <w:lang w:val="es-ES_tradnl"/>
        </w:rPr>
        <w:t>Z.103:</w:t>
      </w:r>
      <w:r w:rsidRPr="00E36D68">
        <w:rPr>
          <w:lang w:val="es-ES_tradnl"/>
        </w:rPr>
        <w:tab/>
        <w:t>Lenguaje de especificación y descripción - Notaci</w:t>
      </w:r>
      <w:r w:rsidR="00E36D68" w:rsidRPr="00E36D68">
        <w:rPr>
          <w:lang w:val="es-ES_tradnl"/>
        </w:rPr>
        <w:t>ón abreviada y anotación en SDL</w:t>
      </w:r>
      <w:r w:rsidR="00E36D68" w:rsidRPr="00E36D68">
        <w:rPr>
          <w:lang w:val="es-ES_tradnl"/>
        </w:rPr>
        <w:noBreakHyphen/>
      </w:r>
      <w:r w:rsidRPr="00E36D68">
        <w:rPr>
          <w:lang w:val="es-ES_tradnl"/>
        </w:rPr>
        <w:t>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Z.104:</w:t>
      </w:r>
      <w:r w:rsidRPr="00901848">
        <w:rPr>
          <w:lang w:val="es-ES_tradnl"/>
        </w:rPr>
        <w:tab/>
        <w:t>Lenguaje de especificación y descripción - Datos y lenguaje de acción en SDL-2010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Z.105:</w:t>
      </w:r>
      <w:r w:rsidRPr="00901848">
        <w:rPr>
          <w:lang w:val="es-ES_tradnl"/>
        </w:rPr>
        <w:tab/>
        <w:t>Lenguaje de especificación y descripción - SDL-2010 combinado con módulos ASN.1</w:t>
      </w:r>
    </w:p>
    <w:p w:rsidR="00013F68" w:rsidRPr="00E36D68" w:rsidRDefault="00013F68" w:rsidP="00E36D68">
      <w:pPr>
        <w:pStyle w:val="Enumlevel1"/>
        <w:numPr>
          <w:ilvl w:val="0"/>
          <w:numId w:val="14"/>
        </w:numPr>
        <w:tabs>
          <w:tab w:val="left" w:pos="567"/>
        </w:tabs>
        <w:ind w:left="1701" w:hanging="1701"/>
        <w:rPr>
          <w:lang w:val="es-ES_tradnl"/>
        </w:rPr>
      </w:pPr>
      <w:r w:rsidRPr="00E36D68">
        <w:rPr>
          <w:lang w:val="es-ES_tradnl"/>
        </w:rPr>
        <w:t>Z.106:</w:t>
      </w:r>
      <w:r w:rsidRPr="00E36D68">
        <w:rPr>
          <w:lang w:val="es-ES_tradnl"/>
        </w:rPr>
        <w:tab/>
        <w:t>Lenguaje de especificación y descripción - Format</w:t>
      </w:r>
      <w:r w:rsidR="00E36D68" w:rsidRPr="00E36D68">
        <w:rPr>
          <w:lang w:val="es-ES_tradnl"/>
        </w:rPr>
        <w:t>o de intercambio común para SDL</w:t>
      </w:r>
      <w:r w:rsidR="00E36D68" w:rsidRPr="00E36D68">
        <w:rPr>
          <w:lang w:val="es-ES_tradnl"/>
        </w:rPr>
        <w:noBreakHyphen/>
      </w:r>
      <w:r w:rsidRPr="00E36D68">
        <w:rPr>
          <w:lang w:val="es-ES_tradnl"/>
        </w:rPr>
        <w:t>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Z.107:</w:t>
      </w:r>
      <w:r w:rsidRPr="00901848">
        <w:rPr>
          <w:lang w:val="es-ES_tradnl"/>
        </w:rPr>
        <w:tab/>
        <w:t>Lenguaje de especificación y descripción - datos orientados a objetos en SDL-2010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Z.109:</w:t>
      </w:r>
      <w:r w:rsidRPr="00901848">
        <w:rPr>
          <w:lang w:val="es-ES_tradnl"/>
        </w:rPr>
        <w:tab/>
        <w:t>Lenguaje de especificación y descripción - Perfil del lenguaje de modelado unificado para SDL-2010</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Z.120:</w:t>
      </w:r>
      <w:r w:rsidRPr="00901848">
        <w:rPr>
          <w:lang w:val="es-ES_tradnl"/>
        </w:rPr>
        <w:tab/>
        <w:t>Gráficos de secuencias de mensajes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Z.150:</w:t>
      </w:r>
      <w:r w:rsidRPr="00901848">
        <w:rPr>
          <w:lang w:val="es-ES_tradnl"/>
        </w:rPr>
        <w:tab/>
        <w:t>Notación de requisitos de usuarios - Requisitos y marco de aplicación del lenguaje</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Z.151:</w:t>
      </w:r>
      <w:r w:rsidRPr="00901848">
        <w:rPr>
          <w:lang w:val="es-ES_tradnl"/>
        </w:rPr>
        <w:tab/>
        <w:t>Notación de los requisitos del usuario – Definición del lenguaje</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Z.161:</w:t>
      </w:r>
      <w:r w:rsidRPr="00901848">
        <w:rPr>
          <w:lang w:val="es-ES_tradnl"/>
        </w:rPr>
        <w:tab/>
        <w:t>Notación de pruebas y de control de pruebas versión 3: Lenguaje núcleo de TTCN-3</w:t>
      </w:r>
    </w:p>
    <w:p w:rsidR="00013F68" w:rsidRPr="00E36D68" w:rsidRDefault="00013F68" w:rsidP="00E36D68">
      <w:pPr>
        <w:pStyle w:val="Enumlevel1"/>
        <w:numPr>
          <w:ilvl w:val="0"/>
          <w:numId w:val="14"/>
        </w:numPr>
        <w:tabs>
          <w:tab w:val="left" w:pos="567"/>
        </w:tabs>
        <w:ind w:left="1701" w:hanging="1701"/>
        <w:rPr>
          <w:lang w:val="es-ES_tradnl"/>
        </w:rPr>
      </w:pPr>
      <w:r w:rsidRPr="00E36D68">
        <w:rPr>
          <w:lang w:val="es-ES_tradnl"/>
        </w:rPr>
        <w:t>Z.161.1:</w:t>
      </w:r>
      <w:r w:rsidRPr="00E36D68">
        <w:rPr>
          <w:lang w:val="es-ES_tradnl"/>
        </w:rPr>
        <w:tab/>
        <w:t>Notación de prueba y de control de prueba versión 3: Ampliaciones de lenguaje T</w:t>
      </w:r>
      <w:r w:rsidR="00E36D68" w:rsidRPr="00E36D68">
        <w:rPr>
          <w:lang w:val="es-ES_tradnl"/>
        </w:rPr>
        <w:t>TCN</w:t>
      </w:r>
      <w:r w:rsidR="00E36D68" w:rsidRPr="00E36D68">
        <w:rPr>
          <w:lang w:val="es-ES_tradnl"/>
        </w:rPr>
        <w:noBreakHyphen/>
      </w:r>
      <w:r w:rsidRPr="00E36D68">
        <w:rPr>
          <w:lang w:val="es-ES_tradnl"/>
        </w:rPr>
        <w:t>3: Soporte de interfaces con señales continuas</w:t>
      </w:r>
    </w:p>
    <w:p w:rsidR="00013F68" w:rsidRPr="00E36D68" w:rsidRDefault="00013F68" w:rsidP="00E36D68">
      <w:pPr>
        <w:pStyle w:val="Enumlevel1"/>
        <w:numPr>
          <w:ilvl w:val="0"/>
          <w:numId w:val="14"/>
        </w:numPr>
        <w:tabs>
          <w:tab w:val="left" w:pos="567"/>
        </w:tabs>
        <w:ind w:left="1701" w:hanging="1701"/>
      </w:pPr>
      <w:r w:rsidRPr="00E36D68">
        <w:lastRenderedPageBreak/>
        <w:t xml:space="preserve">Z.161.2: </w:t>
      </w:r>
      <w:r w:rsidRPr="00E36D68">
        <w:tab/>
        <w:t>Testing and Test Control Notation version 3: TTCN-3 language extensions: Configuration and deployment support</w:t>
      </w:r>
    </w:p>
    <w:p w:rsidR="00013F68" w:rsidRPr="00E36D68" w:rsidRDefault="00013F68" w:rsidP="00E36D68">
      <w:pPr>
        <w:pStyle w:val="Enumlevel1"/>
        <w:numPr>
          <w:ilvl w:val="0"/>
          <w:numId w:val="14"/>
        </w:numPr>
        <w:tabs>
          <w:tab w:val="left" w:pos="567"/>
        </w:tabs>
        <w:ind w:left="1701" w:hanging="1701"/>
      </w:pPr>
      <w:r w:rsidRPr="00E36D68">
        <w:t xml:space="preserve">Z.161.3: </w:t>
      </w:r>
      <w:r w:rsidRPr="00E36D68">
        <w:tab/>
        <w:t>Testing and Test Control Notation version 3: TTCN-3 language extensions: Advanced parameterization</w:t>
      </w:r>
    </w:p>
    <w:p w:rsidR="00013F68" w:rsidRPr="00E36D68" w:rsidRDefault="00013F68" w:rsidP="00E36D68">
      <w:pPr>
        <w:pStyle w:val="Enumlevel1"/>
        <w:numPr>
          <w:ilvl w:val="0"/>
          <w:numId w:val="14"/>
        </w:numPr>
        <w:tabs>
          <w:tab w:val="left" w:pos="567"/>
        </w:tabs>
        <w:ind w:left="1701" w:hanging="1701"/>
      </w:pPr>
      <w:r w:rsidRPr="00E36D68">
        <w:t>Z.161.4:</w:t>
      </w:r>
      <w:r w:rsidRPr="00E36D68">
        <w:tab/>
        <w:t>The Testing and Test Control Notation version 3: TTCN-3 Language Extensions: Behaviour Types</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Z.164:</w:t>
      </w:r>
      <w:r w:rsidRPr="00901848">
        <w:rPr>
          <w:lang w:val="es-ES_tradnl"/>
        </w:rPr>
        <w:tab/>
        <w:t>Notación de pruebas y de control de pruebas versión 3: Semántica operacional</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Z.165:</w:t>
      </w:r>
      <w:r w:rsidRPr="00901848">
        <w:rPr>
          <w:lang w:val="es-ES_tradnl"/>
        </w:rPr>
        <w:tab/>
        <w:t>Notación de pruebas y de control de pruebas versión 3: Interfaz de ejecución</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 xml:space="preserve">Z.165.1: </w:t>
      </w:r>
      <w:r w:rsidRPr="00901848">
        <w:rPr>
          <w:lang w:val="es-ES_tradnl"/>
        </w:rPr>
        <w:tab/>
        <w:t>Notación de prueba y de control de prueba versión 3: Paquete de ampliación de la TTCN-3: Extended TRI</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Z.166:</w:t>
      </w:r>
      <w:r w:rsidRPr="00901848">
        <w:rPr>
          <w:lang w:val="es-ES_tradnl"/>
        </w:rPr>
        <w:tab/>
        <w:t>Notación de pruebas y de control de pruebas versión 3: Interfaz de control</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Z.167:</w:t>
      </w:r>
      <w:r w:rsidRPr="00901848">
        <w:rPr>
          <w:lang w:val="es-ES_tradnl"/>
        </w:rPr>
        <w:tab/>
        <w:t>Notación de pruebas y de control de pruebas versión 3 (TTCN-3): Utilización de ASN.1 con TTCN-3</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Z.168:</w:t>
      </w:r>
      <w:r w:rsidRPr="00901848">
        <w:rPr>
          <w:lang w:val="es-ES_tradnl"/>
        </w:rPr>
        <w:tab/>
        <w:t>Notación de pruebas y de control de pruebas versión 3: Correspondencia del lenguaje de definición de interfaz de CORBA con TTCN-3</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Z.169:</w:t>
      </w:r>
      <w:r w:rsidRPr="00901848">
        <w:rPr>
          <w:lang w:val="es-ES_tradnl"/>
        </w:rPr>
        <w:tab/>
        <w:t>Notación de pruebas y control de pruebas versión 3 (TTCN-3): TTCN-3 y la utilización de XML</w:t>
      </w:r>
    </w:p>
    <w:p w:rsidR="00013F68" w:rsidRPr="00901848" w:rsidRDefault="00013F68" w:rsidP="00E36D68">
      <w:pPr>
        <w:pStyle w:val="Enumlevel1"/>
        <w:numPr>
          <w:ilvl w:val="0"/>
          <w:numId w:val="14"/>
        </w:numPr>
        <w:tabs>
          <w:tab w:val="left" w:pos="567"/>
        </w:tabs>
        <w:ind w:left="1701" w:hanging="1701"/>
        <w:rPr>
          <w:lang w:val="es-ES_tradnl"/>
        </w:rPr>
      </w:pPr>
      <w:r w:rsidRPr="00901848">
        <w:rPr>
          <w:lang w:val="es-ES_tradnl"/>
        </w:rPr>
        <w:t>Z.170:</w:t>
      </w:r>
      <w:r w:rsidRPr="00901848">
        <w:rPr>
          <w:lang w:val="es-ES_tradnl"/>
        </w:rPr>
        <w:tab/>
        <w:t>Notación de pruebas y de control de pruebas versión 3: especificación de los comentarios de documentación TTCN-3</w:t>
      </w:r>
    </w:p>
    <w:p w:rsidR="00013F68" w:rsidRPr="00977AFF" w:rsidRDefault="00013F68" w:rsidP="00033334">
      <w:pPr>
        <w:pStyle w:val="Heading4"/>
      </w:pPr>
      <w:proofErr w:type="spellStart"/>
      <w:r w:rsidRPr="00977AFF">
        <w:t>Manuales</w:t>
      </w:r>
      <w:proofErr w:type="spellEnd"/>
    </w:p>
    <w:p w:rsidR="00013F68" w:rsidRPr="00A96787" w:rsidRDefault="00A31E61" w:rsidP="00033334">
      <w:pPr>
        <w:pStyle w:val="Enumlevel1"/>
        <w:numPr>
          <w:ilvl w:val="0"/>
          <w:numId w:val="29"/>
        </w:numPr>
        <w:ind w:left="567" w:hanging="567"/>
        <w:rPr>
          <w:i/>
          <w:color w:val="000000"/>
          <w:lang w:val="es-ES"/>
        </w:rPr>
      </w:pPr>
      <w:hyperlink r:id="rId167" w:history="1">
        <w:r w:rsidR="00013F68" w:rsidRPr="00033334">
          <w:rPr>
            <w:rStyle w:val="Hyperlink"/>
            <w:lang w:val="en-US"/>
          </w:rPr>
          <w:t>1993 Introduction to CHILL</w:t>
        </w:r>
      </w:hyperlink>
    </w:p>
    <w:p w:rsidR="00013F68" w:rsidRPr="00A96787" w:rsidRDefault="00A31E61" w:rsidP="00033334">
      <w:pPr>
        <w:pStyle w:val="Enumlevel1"/>
        <w:numPr>
          <w:ilvl w:val="0"/>
          <w:numId w:val="29"/>
        </w:numPr>
        <w:ind w:left="567" w:hanging="567"/>
        <w:rPr>
          <w:i/>
          <w:color w:val="000000"/>
          <w:lang w:val="es-ES"/>
        </w:rPr>
      </w:pPr>
      <w:hyperlink r:id="rId168" w:history="1">
        <w:r w:rsidR="00013F68" w:rsidRPr="00033334">
          <w:rPr>
            <w:rStyle w:val="Hyperlink"/>
            <w:lang w:val="en-US"/>
          </w:rPr>
          <w:t>1986 CHILL User Manual</w:t>
        </w:r>
        <w:r w:rsidR="00013F68" w:rsidRPr="00A96787">
          <w:rPr>
            <w:i/>
            <w:color w:val="000000"/>
            <w:lang w:val="es-ES"/>
          </w:rPr>
          <w:t xml:space="preserve"> </w:t>
        </w:r>
      </w:hyperlink>
    </w:p>
    <w:p w:rsidR="00013F68" w:rsidRPr="00F9094A" w:rsidRDefault="00A31E61" w:rsidP="00033334">
      <w:pPr>
        <w:pStyle w:val="Enumlevel1"/>
        <w:numPr>
          <w:ilvl w:val="0"/>
          <w:numId w:val="29"/>
        </w:numPr>
        <w:ind w:left="567" w:hanging="567"/>
        <w:rPr>
          <w:i/>
          <w:color w:val="000000"/>
        </w:rPr>
      </w:pPr>
      <w:hyperlink r:id="rId169" w:history="1">
        <w:r w:rsidR="00013F68" w:rsidRPr="00033334">
          <w:rPr>
            <w:rStyle w:val="Hyperlink"/>
          </w:rPr>
          <w:t>1982 CHILL Formal Definition - Volume I, Parts 1, 2, 3</w:t>
        </w:r>
        <w:r w:rsidR="00013F68" w:rsidRPr="00F9094A">
          <w:rPr>
            <w:i/>
            <w:color w:val="000000"/>
          </w:rPr>
          <w:t xml:space="preserve"> </w:t>
        </w:r>
      </w:hyperlink>
    </w:p>
    <w:p w:rsidR="00013F68" w:rsidRPr="00F9094A" w:rsidRDefault="00A31E61" w:rsidP="00033334">
      <w:pPr>
        <w:pStyle w:val="Enumlevel1"/>
        <w:numPr>
          <w:ilvl w:val="0"/>
          <w:numId w:val="29"/>
        </w:numPr>
        <w:ind w:left="567" w:hanging="567"/>
        <w:rPr>
          <w:i/>
          <w:color w:val="000000"/>
        </w:rPr>
      </w:pPr>
      <w:hyperlink r:id="rId170" w:history="1">
        <w:r w:rsidR="00013F68" w:rsidRPr="00033334">
          <w:rPr>
            <w:rStyle w:val="Hyperlink"/>
          </w:rPr>
          <w:t>1982 CHILL Formal Definition - Volume II, Part 4</w:t>
        </w:r>
      </w:hyperlink>
    </w:p>
    <w:p w:rsidR="00013F68" w:rsidRPr="00A96787" w:rsidRDefault="00A31E61" w:rsidP="00033334">
      <w:pPr>
        <w:pStyle w:val="Enumlevel1"/>
        <w:numPr>
          <w:ilvl w:val="0"/>
          <w:numId w:val="29"/>
        </w:numPr>
        <w:ind w:left="567" w:hanging="567"/>
        <w:rPr>
          <w:color w:val="000000"/>
          <w:lang w:val="es-ES"/>
        </w:rPr>
      </w:pPr>
      <w:hyperlink r:id="rId171" w:history="1">
        <w:r w:rsidR="00013F68" w:rsidRPr="00033334">
          <w:rPr>
            <w:rStyle w:val="Hyperlink"/>
            <w:lang w:val="es-ES_tradnl"/>
          </w:rPr>
          <w:t>2010 Identificadores de objeto (OID) y sus autoridades de registro</w:t>
        </w:r>
        <w:r w:rsidR="00013F68" w:rsidRPr="00A96787">
          <w:rPr>
            <w:color w:val="000000"/>
            <w:lang w:val="es-ES"/>
          </w:rPr>
          <w:t xml:space="preserve"> </w:t>
        </w:r>
      </w:hyperlink>
    </w:p>
    <w:p w:rsidR="00013F68" w:rsidRPr="00A96787" w:rsidRDefault="00A31E61" w:rsidP="005F733E">
      <w:pPr>
        <w:pStyle w:val="Enumlevel1"/>
        <w:numPr>
          <w:ilvl w:val="0"/>
          <w:numId w:val="29"/>
        </w:numPr>
        <w:ind w:left="567" w:hanging="567"/>
        <w:rPr>
          <w:color w:val="000000"/>
          <w:lang w:val="es-ES"/>
        </w:rPr>
      </w:pPr>
      <w:hyperlink r:id="rId172" w:history="1">
        <w:r w:rsidR="00013F68" w:rsidRPr="005F733E">
          <w:rPr>
            <w:rStyle w:val="Hyperlink"/>
            <w:lang w:val="es-ES_tradnl"/>
          </w:rPr>
          <w:t xml:space="preserve">2012 La seguridad de las telecomunicaciones y las tecnologías de la información </w:t>
        </w:r>
      </w:hyperlink>
    </w:p>
    <w:p w:rsidR="00013F68" w:rsidRPr="005F733E" w:rsidRDefault="00A31E61" w:rsidP="005F733E">
      <w:pPr>
        <w:pStyle w:val="Enumlevel1"/>
        <w:numPr>
          <w:ilvl w:val="0"/>
          <w:numId w:val="29"/>
        </w:numPr>
        <w:ind w:left="567" w:hanging="567"/>
        <w:rPr>
          <w:rStyle w:val="Hyperlink"/>
          <w:lang w:val="es-ES_tradnl"/>
        </w:rPr>
      </w:pPr>
      <w:hyperlink r:id="rId173" w:history="1">
        <w:r w:rsidR="00013F68" w:rsidRPr="005F733E">
          <w:rPr>
            <w:rStyle w:val="Hyperlink"/>
            <w:lang w:val="es-ES_tradnl"/>
          </w:rPr>
          <w:t xml:space="preserve">2009 La seguridad de las telecomunicaciones y las tecnologías de la información </w:t>
        </w:r>
      </w:hyperlink>
    </w:p>
    <w:p w:rsidR="00013F68" w:rsidRPr="00A96787" w:rsidRDefault="00A31E61" w:rsidP="005F733E">
      <w:pPr>
        <w:pStyle w:val="Enumlevel1"/>
        <w:numPr>
          <w:ilvl w:val="0"/>
          <w:numId w:val="29"/>
        </w:numPr>
        <w:ind w:left="567" w:hanging="567"/>
        <w:rPr>
          <w:color w:val="000000"/>
          <w:lang w:val="es-ES"/>
        </w:rPr>
      </w:pPr>
      <w:hyperlink r:id="rId174" w:history="1">
        <w:r w:rsidR="00013F68" w:rsidRPr="005F733E">
          <w:rPr>
            <w:rStyle w:val="Hyperlink"/>
            <w:lang w:val="es-ES_tradnl"/>
          </w:rPr>
          <w:t xml:space="preserve">2006 La seguridad de las telecomunicaciones y las tecnologías de la información </w:t>
        </w:r>
      </w:hyperlink>
    </w:p>
    <w:p w:rsidR="00013F68" w:rsidRPr="00A96787" w:rsidRDefault="00A31E61" w:rsidP="005F733E">
      <w:pPr>
        <w:pStyle w:val="Enumlevel1"/>
        <w:numPr>
          <w:ilvl w:val="0"/>
          <w:numId w:val="29"/>
        </w:numPr>
        <w:ind w:left="567" w:hanging="567"/>
        <w:rPr>
          <w:color w:val="000000"/>
          <w:lang w:val="es-ES"/>
        </w:rPr>
      </w:pPr>
      <w:hyperlink r:id="rId175" w:history="1">
        <w:r w:rsidR="00013F68" w:rsidRPr="005F733E">
          <w:rPr>
            <w:rStyle w:val="Hyperlink"/>
            <w:lang w:val="es-ES_tradnl"/>
          </w:rPr>
          <w:t>2004 La seguridad de las telecomunicaciones y las tecnologías de la información</w:t>
        </w:r>
        <w:r w:rsidR="00013F68" w:rsidRPr="00A96787">
          <w:rPr>
            <w:color w:val="000000"/>
            <w:lang w:val="es-ES"/>
          </w:rPr>
          <w:t xml:space="preserve"> </w:t>
        </w:r>
      </w:hyperlink>
    </w:p>
    <w:p w:rsidR="00013F68" w:rsidRDefault="00A31E61" w:rsidP="005F733E">
      <w:pPr>
        <w:pStyle w:val="Enumlevel1"/>
        <w:numPr>
          <w:ilvl w:val="0"/>
          <w:numId w:val="29"/>
        </w:numPr>
        <w:ind w:left="567" w:hanging="567"/>
        <w:rPr>
          <w:color w:val="000000"/>
          <w:lang w:val="es-ES"/>
        </w:rPr>
      </w:pPr>
      <w:hyperlink r:id="rId176" w:history="1">
        <w:r w:rsidR="00013F68" w:rsidRPr="005F733E">
          <w:rPr>
            <w:rStyle w:val="Hyperlink"/>
            <w:lang w:val="es-ES_tradnl"/>
          </w:rPr>
          <w:t>2003 La seguridad de las telecomunicaciones y las tecnologías de la información</w:t>
        </w:r>
        <w:r w:rsidR="00013F68" w:rsidRPr="00A96787">
          <w:rPr>
            <w:color w:val="000000"/>
            <w:lang w:val="es-ES"/>
          </w:rPr>
          <w:t xml:space="preserve"> </w:t>
        </w:r>
      </w:hyperlink>
    </w:p>
    <w:p w:rsidR="005F733E" w:rsidRPr="00A96787" w:rsidRDefault="005F733E" w:rsidP="005F733E">
      <w:pPr>
        <w:rPr>
          <w:lang w:val="es-ES"/>
        </w:rPr>
      </w:pPr>
    </w:p>
    <w:p w:rsidR="00013F68" w:rsidRPr="00A96787" w:rsidRDefault="00013F68">
      <w:pPr>
        <w:spacing w:before="0"/>
        <w:rPr>
          <w:rFonts w:ascii="Verdana Bold" w:eastAsia="Times New Roman" w:hAnsi="Verdana Bold" w:cs="Times New Roman Bold"/>
          <w:b/>
          <w:bCs/>
          <w:szCs w:val="19"/>
          <w:lang w:val="es-ES" w:eastAsia="en-US"/>
        </w:rPr>
      </w:pPr>
      <w:r w:rsidRPr="00A96787">
        <w:rPr>
          <w:rFonts w:ascii="Verdana Bold" w:hAnsi="Verdana Bold" w:cs="Times New Roman Bold"/>
          <w:caps/>
          <w:szCs w:val="19"/>
          <w:lang w:val="es-ES"/>
        </w:rPr>
        <w:br w:type="page"/>
      </w:r>
    </w:p>
    <w:p w:rsidR="00013F68" w:rsidRPr="00901848" w:rsidRDefault="00013F68" w:rsidP="00B40998">
      <w:pPr>
        <w:pStyle w:val="Heading1"/>
        <w:jc w:val="center"/>
        <w:rPr>
          <w:lang w:val="es-ES_tradnl" w:eastAsia="en-GB"/>
        </w:rPr>
      </w:pPr>
      <w:bookmarkStart w:id="127" w:name="_Toc365036833"/>
      <w:bookmarkStart w:id="128" w:name="_Toc381259717"/>
      <w:r w:rsidRPr="00901848">
        <w:rPr>
          <w:lang w:val="es-ES_tradnl" w:eastAsia="en-GB"/>
        </w:rPr>
        <w:lastRenderedPageBreak/>
        <w:t>Grupos Temáticos del UIT-T</w:t>
      </w:r>
      <w:bookmarkEnd w:id="127"/>
      <w:bookmarkEnd w:id="128"/>
    </w:p>
    <w:p w:rsidR="00013F68" w:rsidRPr="00A96787" w:rsidRDefault="00013F68" w:rsidP="005A4281">
      <w:pPr>
        <w:rPr>
          <w:lang w:val="es-ES"/>
        </w:rPr>
      </w:pPr>
      <w:r w:rsidRPr="00A96787">
        <w:rPr>
          <w:lang w:val="es-ES"/>
        </w:rPr>
        <w:t>Los Grupos Temáticos son un instrumento creado por el UIT-T a fin de ampliar el programa de trabajo de las Comisiones de Estudio proporcionando un entorno alternativo para la rápida elaboración de especificaciones en los ámbitos escogidos. Los procedimientos de creación de tales grupos vienen definidos en la Rec. UIT-T A.7. Los Grupos Temáticos del UIT-T se utilizan ahora de manera generalizada para responder a las necesidades de la industria a medida que van surgiendo, siempre y cuando no estén siendo abordadas en el marco de otra Comisión de Estudio. La diferencia fundamental entre las Comisiones de Estudio y los Grupos Temáticos es la libertad de la que disponen estos últimos para organizarse y financiarse. Los Grupos Temáticos pueden crearse muy rápidamente, suelen ser efímeros y pueden escoger sus propios métodos de trabajo, dirección, financiación y tipos de resultados.</w:t>
      </w:r>
    </w:p>
    <w:p w:rsidR="00013F68" w:rsidRPr="00A96787" w:rsidRDefault="00013F68" w:rsidP="005A4281">
      <w:pPr>
        <w:rPr>
          <w:lang w:val="es-ES"/>
        </w:rPr>
      </w:pPr>
      <w:r w:rsidRPr="00A96787">
        <w:rPr>
          <w:lang w:val="es-ES"/>
        </w:rPr>
        <w:t>Actualmente no se está considerando la creación de ningún Grupo Temático nuevo.</w:t>
      </w:r>
    </w:p>
    <w:p w:rsidR="00013F68" w:rsidRPr="00A96787" w:rsidRDefault="00013F68" w:rsidP="005A4281">
      <w:pPr>
        <w:rPr>
          <w:lang w:val="es-ES"/>
        </w:rPr>
      </w:pPr>
      <w:r w:rsidRPr="00A96787">
        <w:rPr>
          <w:lang w:val="es-ES"/>
        </w:rPr>
        <w:t xml:space="preserve">La información sobre los Grupos Temáticos que ya han concluido sus actividades está disponible en: </w:t>
      </w:r>
      <w:hyperlink r:id="rId177" w:history="1">
        <w:r w:rsidRPr="00A96787">
          <w:rPr>
            <w:rStyle w:val="Hyperlink"/>
            <w:lang w:val="es-ES"/>
          </w:rPr>
          <w:t>http://itu.int/en/ITU-T/focusgroups/Pages/concluded.aspx</w:t>
        </w:r>
      </w:hyperlink>
      <w:r w:rsidRPr="00A96787">
        <w:rPr>
          <w:lang w:val="es-ES"/>
        </w:rPr>
        <w:t>.</w:t>
      </w:r>
    </w:p>
    <w:p w:rsidR="00013F68" w:rsidRPr="00A62627" w:rsidRDefault="00013F68" w:rsidP="005A4281">
      <w:pPr>
        <w:pStyle w:val="Headingb0"/>
        <w:spacing w:after="120"/>
        <w:rPr>
          <w:lang w:val="es-ES_tradnl"/>
        </w:rPr>
      </w:pPr>
      <w:bookmarkStart w:id="129" w:name="_Toc365036834"/>
      <w:r w:rsidRPr="00A62627">
        <w:rPr>
          <w:lang w:val="es-ES_tradnl"/>
        </w:rPr>
        <w:t>Grupo Temático sobre ciudades sostenibles e inteligentes (FG-SSC)</w:t>
      </w:r>
      <w:bookmarkEnd w:id="129"/>
    </w:p>
    <w:p w:rsidR="00013F68" w:rsidRPr="00A96787" w:rsidRDefault="00013F68" w:rsidP="005A4281">
      <w:pPr>
        <w:rPr>
          <w:rFonts w:eastAsia="Times New Roman"/>
          <w:lang w:val="es-ES"/>
        </w:rPr>
      </w:pPr>
      <w:r w:rsidRPr="00A96787">
        <w:rPr>
          <w:lang w:val="es-ES"/>
        </w:rPr>
        <w:t>El Grupo Temático sobre ciudades sostenibles e inteligentes (FG-SSC) fue establecido por la CE 5 del UIT-T en febrero de 2012. El FG-SSC actúa como una plataforma abierta para las partes interesadas en las ciudades inteligentes – tales como los ayuntamientos, las instituciones de enseñanza e investigación, las organizaciones no gubernamentales (ONG), y las organizaciones, los foros y los consorcios industriales de TIC – para intercambiar conocimientos en aras de determinar los marcos normalizados que se requieren para la integración de los servicios de TIC en las ciudades inteligentes. La página web del grupo está disponible en:</w:t>
      </w:r>
      <w:r w:rsidRPr="00A96787">
        <w:rPr>
          <w:rFonts w:eastAsia="Times New Roman"/>
          <w:lang w:val="es-ES"/>
        </w:rPr>
        <w:t xml:space="preserve"> </w:t>
      </w:r>
      <w:hyperlink r:id="rId178" w:history="1">
        <w:r w:rsidRPr="00A96787">
          <w:rPr>
            <w:rStyle w:val="Hyperlink"/>
            <w:rFonts w:eastAsia="Times New Roman"/>
            <w:lang w:val="es-ES"/>
          </w:rPr>
          <w:t>http://itu.int/en/ITU-T/focusgroups/ssc</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0" w:name="_Toc365036835"/>
      <w:r w:rsidRPr="00A62627">
        <w:rPr>
          <w:lang w:val="es-ES_tradnl"/>
        </w:rPr>
        <w:t>Grupo Temático sobre televisión por cable inteligente (FG </w:t>
      </w:r>
      <w:proofErr w:type="spellStart"/>
      <w:r w:rsidRPr="00A62627">
        <w:rPr>
          <w:lang w:val="es-ES_tradnl"/>
        </w:rPr>
        <w:t>SmartCable</w:t>
      </w:r>
      <w:proofErr w:type="spellEnd"/>
      <w:r w:rsidRPr="00A62627">
        <w:rPr>
          <w:lang w:val="es-ES_tradnl"/>
        </w:rPr>
        <w:t>)</w:t>
      </w:r>
      <w:bookmarkEnd w:id="130"/>
    </w:p>
    <w:p w:rsidR="00013F68" w:rsidRPr="00A96787" w:rsidRDefault="00013F68" w:rsidP="005A4281">
      <w:pPr>
        <w:rPr>
          <w:rFonts w:eastAsia="Times New Roman"/>
          <w:lang w:val="es-ES"/>
        </w:rPr>
      </w:pPr>
      <w:r w:rsidRPr="00A96787">
        <w:rPr>
          <w:lang w:val="es-ES"/>
        </w:rPr>
        <w:t xml:space="preserve">El Grupo Temático del UIT-T sobre televisión por cable inteligente (FG </w:t>
      </w:r>
      <w:proofErr w:type="spellStart"/>
      <w:r w:rsidRPr="00A96787">
        <w:rPr>
          <w:lang w:val="es-ES"/>
        </w:rPr>
        <w:t>SmartCable</w:t>
      </w:r>
      <w:proofErr w:type="spellEnd"/>
      <w:r w:rsidRPr="00A96787">
        <w:rPr>
          <w:lang w:val="es-ES"/>
        </w:rPr>
        <w:t>) fue creado por la CE 9 del UIT-T en su reunión celebrada en Ginebra del 30 de abril al 4 de mayo de 2012. El objetivo de este Grupo Temático es recopilar y analizar información de las actividades pertinentes y elaborar documentos que sirvan de ayuda para el futuro desarrollo de Recomendaciones UIT-T relativas a la "televisión por cable inteligente", en particular, los requisitos, los casos de utilización, los métodos técnicos, etc. La página web del grupo está disponible en:</w:t>
      </w:r>
      <w:r w:rsidRPr="00A96787">
        <w:rPr>
          <w:rFonts w:eastAsia="Times New Roman"/>
          <w:lang w:val="es-ES"/>
        </w:rPr>
        <w:t xml:space="preserve"> </w:t>
      </w:r>
      <w:hyperlink r:id="rId179" w:history="1">
        <w:r w:rsidRPr="00A96787">
          <w:rPr>
            <w:rStyle w:val="Hyperlink"/>
            <w:rFonts w:eastAsia="Times New Roman"/>
            <w:lang w:val="es-ES"/>
          </w:rPr>
          <w:t>http://itu.int/en/ITU-T/focusgroups/smartcable</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1" w:name="_Toc365036836"/>
      <w:r w:rsidRPr="00A62627">
        <w:rPr>
          <w:lang w:val="es-ES_tradnl"/>
        </w:rPr>
        <w:t xml:space="preserve">Grupo Temático sobre reducción de la brecha: de la innovación a la normalización (FG </w:t>
      </w:r>
      <w:proofErr w:type="spellStart"/>
      <w:r w:rsidRPr="00A62627">
        <w:rPr>
          <w:lang w:val="es-ES_tradnl"/>
        </w:rPr>
        <w:t>Innovation</w:t>
      </w:r>
      <w:proofErr w:type="spellEnd"/>
      <w:r w:rsidRPr="00A62627">
        <w:rPr>
          <w:lang w:val="es-ES_tradnl"/>
        </w:rPr>
        <w:t>)</w:t>
      </w:r>
      <w:bookmarkEnd w:id="131"/>
    </w:p>
    <w:p w:rsidR="00013F68" w:rsidRPr="00A96787" w:rsidRDefault="00013F68" w:rsidP="005A4281">
      <w:pPr>
        <w:rPr>
          <w:rFonts w:eastAsia="Times New Roman"/>
          <w:lang w:val="es-ES"/>
        </w:rPr>
      </w:pPr>
      <w:r w:rsidRPr="00A96787">
        <w:rPr>
          <w:lang w:val="es-ES"/>
        </w:rPr>
        <w:t xml:space="preserve">El Grupo Temático del UIT-T sobre reducción de la brecha: de la innovación a la normalización (FG </w:t>
      </w:r>
      <w:proofErr w:type="spellStart"/>
      <w:r w:rsidRPr="00A96787">
        <w:rPr>
          <w:lang w:val="es-ES"/>
        </w:rPr>
        <w:t>Innovation</w:t>
      </w:r>
      <w:proofErr w:type="spellEnd"/>
      <w:r w:rsidRPr="00A96787">
        <w:rPr>
          <w:lang w:val="es-ES"/>
        </w:rPr>
        <w:t>) fue creado por el GANT del UIT-T en su reunión celebrada en Ginebra del 10 al 13 de enero de 2012. El objetivo del Grupo Temático es documentar y analizar casos de innovación en materia de TIC que hayan tenido éxito e identificar las correspondientes lagunas de normalización que puedan ser objeto de nuevos temas de estudio en el UIT-T. La página web del grupo está disponible en:</w:t>
      </w:r>
      <w:r w:rsidRPr="00A96787">
        <w:rPr>
          <w:rFonts w:eastAsia="Times New Roman"/>
          <w:lang w:val="es-ES"/>
        </w:rPr>
        <w:t xml:space="preserve"> </w:t>
      </w:r>
      <w:hyperlink r:id="rId180" w:history="1">
        <w:r w:rsidRPr="00A96787">
          <w:rPr>
            <w:rStyle w:val="Hyperlink"/>
            <w:rFonts w:eastAsia="Times New Roman"/>
            <w:lang w:val="es-ES"/>
          </w:rPr>
          <w:t>http://itu.int/en/ITU-T/focusgroups/innovation</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2" w:name="_Toc365036837"/>
      <w:r w:rsidRPr="00A62627">
        <w:rPr>
          <w:lang w:val="es-ES_tradnl"/>
        </w:rPr>
        <w:t>Grupo Temático sobre sistemas de operaciones de socorro en caso de catástrofe, resistencia y recuperación de red (FG-DR&amp;NRR)</w:t>
      </w:r>
      <w:bookmarkEnd w:id="132"/>
    </w:p>
    <w:p w:rsidR="00013F68" w:rsidRPr="00A96787" w:rsidRDefault="00013F68" w:rsidP="00EF6847">
      <w:pPr>
        <w:rPr>
          <w:lang w:val="es-ES"/>
        </w:rPr>
      </w:pPr>
      <w:r w:rsidRPr="00A96787">
        <w:rPr>
          <w:lang w:val="es-ES"/>
        </w:rPr>
        <w:t>El Grupo Temático del UIT-T sobre sistemas de operaciones de socorro en caso de catástrofe, resistencia y recuperación de red (FG-DR&amp;NRR) fue creado por el GANT del UIT-T en su reunión celebrada en Ginebra del 10 al 13 de enero de 2012. El objetivo del Grupo Temático es recopilar y documentar información y conceptos que podrían servir de ayuda para los trabajos relativos a sistemas/aplicaciones de operaciones de socorro en caso de catástrofe, resistencia y recuperación de redes desde el punto de vista de las telecomunicaciones. La página web del grupo está disponible en:</w:t>
      </w:r>
      <w:r w:rsidRPr="00A96787">
        <w:rPr>
          <w:rFonts w:eastAsia="Times New Roman"/>
          <w:lang w:val="es-ES"/>
        </w:rPr>
        <w:t xml:space="preserve"> </w:t>
      </w:r>
      <w:hyperlink r:id="rId181" w:history="1">
        <w:r w:rsidR="00EF6847">
          <w:rPr>
            <w:rStyle w:val="Hyperlink"/>
            <w:rFonts w:eastAsia="Times New Roman"/>
            <w:lang w:val="es-ES"/>
          </w:rPr>
          <w:t>www</w:t>
        </w:r>
        <w:r w:rsidRPr="00A96787">
          <w:rPr>
            <w:rStyle w:val="Hyperlink"/>
            <w:rFonts w:eastAsia="Times New Roman"/>
            <w:lang w:val="es-ES"/>
          </w:rPr>
          <w:t>.itu.int/en/ITU-T/focusgroups/drnrr</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3" w:name="_Toc365036838"/>
      <w:r w:rsidRPr="00A62627">
        <w:rPr>
          <w:lang w:val="es-ES_tradnl"/>
        </w:rPr>
        <w:lastRenderedPageBreak/>
        <w:t>Grupo Temático sobre la capa de servicio M2M (FG M2M)</w:t>
      </w:r>
      <w:bookmarkEnd w:id="133"/>
    </w:p>
    <w:p w:rsidR="00013F68" w:rsidRPr="00A96787" w:rsidRDefault="00013F68" w:rsidP="005A4281">
      <w:pPr>
        <w:rPr>
          <w:rFonts w:eastAsia="Times New Roman"/>
          <w:lang w:val="es-ES"/>
        </w:rPr>
      </w:pPr>
      <w:r w:rsidRPr="00A96787">
        <w:rPr>
          <w:lang w:val="es-ES"/>
        </w:rPr>
        <w:t>El Grupo Temático del UIT-T sobre la capa de servicio M2M (FG M2M) fue creado por el GANT del UIT-T en su reunión celebrada en Ginebra del 10 al 13 de enero de 2012. El objetivo del Grupo Temático es preparar informes técnicos para adelantar los trabajos sobre las API y protocolos M2M para servicios y aplicaciones M2M. La página web del grupo está disponible en:</w:t>
      </w:r>
      <w:r w:rsidRPr="00A96787">
        <w:rPr>
          <w:rFonts w:eastAsia="Times New Roman"/>
          <w:lang w:val="es-ES"/>
        </w:rPr>
        <w:t xml:space="preserve"> </w:t>
      </w:r>
      <w:hyperlink r:id="rId182" w:history="1">
        <w:r w:rsidRPr="00A96787">
          <w:rPr>
            <w:rStyle w:val="Hyperlink"/>
            <w:rFonts w:eastAsia="Times New Roman"/>
            <w:lang w:val="es-ES"/>
          </w:rPr>
          <w:t>http://itu.int/en/ITU-T/focusgroups/m2m</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4" w:name="_Toc365036839"/>
      <w:r w:rsidRPr="00A62627">
        <w:rPr>
          <w:lang w:val="es-ES_tradnl"/>
        </w:rPr>
        <w:t>Grupo Temático sobre la accesibilidad de los medios audiovisuales (FG AVA)</w:t>
      </w:r>
      <w:bookmarkEnd w:id="134"/>
    </w:p>
    <w:p w:rsidR="00013F68" w:rsidRPr="00A96787" w:rsidRDefault="00013F68" w:rsidP="005A4281">
      <w:pPr>
        <w:rPr>
          <w:rFonts w:eastAsia="Times New Roman"/>
          <w:lang w:val="es-ES"/>
        </w:rPr>
      </w:pPr>
      <w:r w:rsidRPr="00A96787">
        <w:rPr>
          <w:lang w:val="es-ES" w:eastAsia="en-US"/>
        </w:rPr>
        <w:t xml:space="preserve">El Grupo Temático del UIT-T sobre la accesibilidad de los medios audiovisuales (FG AVA) fue propuesto por la Comisión de Estudio 16 del UIT-T (14-25 de marzo de 2011) y se creó tras consultar a las Comisiones de Estudio y a los miembros del UIT-T. El objetivo del Grupo Temático es lograr que los medios audiovisuales resulten accesibles para las personas con discapacidad. </w:t>
      </w:r>
      <w:r w:rsidRPr="00A96787">
        <w:rPr>
          <w:lang w:val="es-ES"/>
        </w:rPr>
        <w:t xml:space="preserve">La página web del grupo está disponible en: </w:t>
      </w:r>
      <w:hyperlink r:id="rId183" w:history="1">
        <w:r w:rsidRPr="00A96787">
          <w:rPr>
            <w:rStyle w:val="Hyperlink"/>
            <w:rFonts w:eastAsia="Times New Roman"/>
            <w:lang w:val="es-ES"/>
          </w:rPr>
          <w:t>http://itu.int/en/ITU-T/focusgroups/ava</w:t>
        </w:r>
      </w:hyperlink>
      <w:r w:rsidRPr="00A96787">
        <w:rPr>
          <w:rFonts w:eastAsia="Times New Roman"/>
          <w:lang w:val="es-ES"/>
        </w:rPr>
        <w:t>.</w:t>
      </w:r>
    </w:p>
    <w:p w:rsidR="00013F68" w:rsidRPr="00A62627" w:rsidRDefault="00013F68" w:rsidP="005A4281">
      <w:pPr>
        <w:pStyle w:val="Headingb0"/>
        <w:spacing w:after="120"/>
        <w:rPr>
          <w:lang w:val="es-ES_tradnl"/>
        </w:rPr>
      </w:pPr>
      <w:bookmarkStart w:id="135" w:name="_Toc365036840"/>
      <w:r w:rsidRPr="00A62627">
        <w:rPr>
          <w:lang w:val="es-ES_tradnl"/>
        </w:rPr>
        <w:t>Grupo Temático sobre gestión inteligente del agua (FG-SWM)</w:t>
      </w:r>
      <w:bookmarkEnd w:id="135"/>
    </w:p>
    <w:p w:rsidR="00013F68" w:rsidRPr="00A96787" w:rsidRDefault="00013F68" w:rsidP="005A4281">
      <w:pPr>
        <w:rPr>
          <w:rFonts w:eastAsia="Times New Roman"/>
          <w:lang w:val="es-ES"/>
        </w:rPr>
      </w:pPr>
      <w:r w:rsidRPr="00A96787">
        <w:rPr>
          <w:lang w:val="es-ES"/>
        </w:rPr>
        <w:t xml:space="preserve">El Grupo Temático sobre gestión inteligente del agua (FG-SWM) fue creado por la reunión del GANT del UIT-T celebrada del 4 al 7 de junio de 2013. El FG-SWM proporcionará una plataforma para el intercambio de ideas, la preparación de diversos resultados e iniciativas ejemplares, proyectos, políticas y actividades de normalización en el ámbito de la gestión inteligente del agua. La página web del grupo está disponible en: </w:t>
      </w:r>
      <w:hyperlink r:id="rId184" w:history="1">
        <w:r w:rsidRPr="00A96787">
          <w:rPr>
            <w:rStyle w:val="Hyperlink"/>
            <w:rFonts w:eastAsia="Times New Roman"/>
            <w:lang w:val="es-ES"/>
          </w:rPr>
          <w:t>http://itu.int/en/ITU-T/focusgroups/swm</w:t>
        </w:r>
      </w:hyperlink>
      <w:r w:rsidRPr="00A96787">
        <w:rPr>
          <w:rFonts w:eastAsia="Times New Roman"/>
          <w:lang w:val="es-ES"/>
        </w:rPr>
        <w:t>.</w:t>
      </w:r>
    </w:p>
    <w:p w:rsidR="00013F68" w:rsidRPr="00A96787" w:rsidRDefault="00013F68" w:rsidP="003239F7">
      <w:pPr>
        <w:pStyle w:val="Headingb0"/>
        <w:spacing w:after="80"/>
        <w:jc w:val="center"/>
        <w:rPr>
          <w:lang w:val="es-ES"/>
        </w:rPr>
      </w:pPr>
      <w:bookmarkStart w:id="136" w:name="_Toc365036841"/>
      <w:r w:rsidRPr="00A96787">
        <w:rPr>
          <w:lang w:val="es-ES"/>
        </w:rPr>
        <w:t>Publicaciones de los Grupos Temáticos del UIT-T</w:t>
      </w:r>
      <w:bookmarkEnd w:id="136"/>
    </w:p>
    <w:tbl>
      <w:tblPr>
        <w:tblStyle w:val="TableGrid"/>
        <w:tblW w:w="0" w:type="auto"/>
        <w:jc w:val="center"/>
        <w:tblLook w:val="04A0" w:firstRow="1" w:lastRow="0" w:firstColumn="1" w:lastColumn="0" w:noHBand="0" w:noVBand="1"/>
      </w:tblPr>
      <w:tblGrid>
        <w:gridCol w:w="9287"/>
      </w:tblGrid>
      <w:tr w:rsidR="00013F68" w:rsidRPr="00A31E61" w:rsidTr="000C58D5">
        <w:trPr>
          <w:jc w:val="center"/>
        </w:trPr>
        <w:tc>
          <w:tcPr>
            <w:tcW w:w="9287" w:type="dxa"/>
            <w:shd w:val="clear" w:color="auto" w:fill="005173"/>
          </w:tcPr>
          <w:p w:rsidR="00013F68" w:rsidRPr="000C58D5" w:rsidRDefault="00013F68" w:rsidP="00B40998">
            <w:pPr>
              <w:pStyle w:val="Tablehead"/>
              <w:rPr>
                <w:lang w:val="es-ES_tradnl"/>
              </w:rPr>
            </w:pPr>
            <w:r w:rsidRPr="000C58D5">
              <w:rPr>
                <w:lang w:val="es-ES_tradnl"/>
              </w:rPr>
              <w:t>FG Cloud – Grupo Temático sobre computación en nube</w:t>
            </w:r>
          </w:p>
        </w:tc>
      </w:tr>
      <w:tr w:rsidR="00013F68" w:rsidRPr="00A31E61" w:rsidTr="000C58D5">
        <w:trPr>
          <w:jc w:val="center"/>
        </w:trPr>
        <w:tc>
          <w:tcPr>
            <w:tcW w:w="9287" w:type="dxa"/>
          </w:tcPr>
          <w:p w:rsidR="00013F68" w:rsidRPr="00013F68" w:rsidRDefault="00A31E61" w:rsidP="000C58D5">
            <w:pPr>
              <w:spacing w:before="40"/>
              <w:jc w:val="left"/>
              <w:rPr>
                <w:b/>
                <w:bCs/>
                <w:lang w:val="en-US"/>
              </w:rPr>
            </w:pPr>
            <w:hyperlink r:id="rId185" w:history="1">
              <w:r w:rsidR="00013F68" w:rsidRPr="00F9094A">
                <w:rPr>
                  <w:rStyle w:val="Hyperlink"/>
                  <w:lang w:val="en-US"/>
                </w:rPr>
                <w:t>2012 - Technical Report: Part 1: Introduction to the cloud ecosystem: definitions, taxonomies, use cases and high-level requirements</w:t>
              </w:r>
            </w:hyperlink>
            <w:r w:rsidR="00013F68" w:rsidRPr="00013F68">
              <w:rPr>
                <w:lang w:val="en-US"/>
              </w:rPr>
              <w:br/>
            </w:r>
            <w:hyperlink r:id="rId186" w:history="1">
              <w:r w:rsidR="00013F68" w:rsidRPr="00F9094A">
                <w:rPr>
                  <w:rStyle w:val="Hyperlink"/>
                  <w:lang w:val="en-US"/>
                </w:rPr>
                <w:t>2012 - Technical Report: Part 2: Functional requirements and reference architecture</w:t>
              </w:r>
            </w:hyperlink>
            <w:r w:rsidR="00013F68" w:rsidRPr="00013F68">
              <w:rPr>
                <w:lang w:val="en-US"/>
              </w:rPr>
              <w:br/>
            </w:r>
            <w:hyperlink r:id="rId187" w:history="1">
              <w:r w:rsidR="00013F68" w:rsidRPr="00F9094A">
                <w:rPr>
                  <w:rStyle w:val="Hyperlink"/>
                  <w:lang w:val="en-US"/>
                </w:rPr>
                <w:t>2012 - Technical Report: Part 3: Requirements and framework architecture of cloud infrastructure</w:t>
              </w:r>
            </w:hyperlink>
            <w:r w:rsidR="00013F68" w:rsidRPr="00013F68">
              <w:rPr>
                <w:lang w:val="en-US"/>
              </w:rPr>
              <w:br/>
            </w:r>
            <w:hyperlink r:id="rId188" w:history="1">
              <w:r w:rsidR="00013F68" w:rsidRPr="00F9094A">
                <w:rPr>
                  <w:rStyle w:val="Hyperlink"/>
                  <w:lang w:val="en-US"/>
                </w:rPr>
                <w:t>2012 - Technical Report: Part 4: Cloud Resource Management Gap Analysis</w:t>
              </w:r>
            </w:hyperlink>
            <w:r w:rsidR="00013F68" w:rsidRPr="00013F68">
              <w:rPr>
                <w:lang w:val="en-US"/>
              </w:rPr>
              <w:br/>
            </w:r>
            <w:hyperlink r:id="rId189" w:history="1">
              <w:r w:rsidR="00013F68" w:rsidRPr="00F9094A">
                <w:rPr>
                  <w:rStyle w:val="Hyperlink"/>
                  <w:lang w:val="en-US"/>
                </w:rPr>
                <w:t>2012 - Technical Report: Part 5: Cloud security</w:t>
              </w:r>
            </w:hyperlink>
            <w:r w:rsidR="00013F68" w:rsidRPr="00013F68">
              <w:rPr>
                <w:lang w:val="en-US"/>
              </w:rPr>
              <w:br/>
            </w:r>
            <w:hyperlink r:id="rId190" w:history="1">
              <w:r w:rsidR="00013F68" w:rsidRPr="00F9094A">
                <w:rPr>
                  <w:rStyle w:val="Hyperlink"/>
                  <w:lang w:val="en-US"/>
                </w:rPr>
                <w:t>2012 - Technical Report: Part 6: Overview of SDOs involved in cloud computing</w:t>
              </w:r>
            </w:hyperlink>
            <w:r w:rsidR="00013F68" w:rsidRPr="00013F68">
              <w:rPr>
                <w:lang w:val="en-US"/>
              </w:rPr>
              <w:br/>
            </w:r>
            <w:hyperlink r:id="rId191" w:history="1">
              <w:r w:rsidR="00013F68" w:rsidRPr="00F9094A">
                <w:rPr>
                  <w:rStyle w:val="Hyperlink"/>
                  <w:lang w:val="en-US"/>
                </w:rPr>
                <w:t>2012 - Technical Report: Part 7: Cloud computing benefits from telecommunication and ICT perspectives</w:t>
              </w:r>
            </w:hyperlink>
          </w:p>
        </w:tc>
      </w:tr>
      <w:tr w:rsidR="00013F68" w:rsidRPr="00A31E61" w:rsidTr="000C58D5">
        <w:trPr>
          <w:jc w:val="center"/>
        </w:trPr>
        <w:tc>
          <w:tcPr>
            <w:tcW w:w="9287" w:type="dxa"/>
            <w:shd w:val="clear" w:color="auto" w:fill="005173"/>
          </w:tcPr>
          <w:p w:rsidR="00013F68" w:rsidRPr="00901848" w:rsidRDefault="00013F68" w:rsidP="00B40998">
            <w:pPr>
              <w:pStyle w:val="Tablehead"/>
              <w:rPr>
                <w:lang w:val="es-ES_tradnl"/>
              </w:rPr>
            </w:pPr>
            <w:r w:rsidRPr="00901848">
              <w:rPr>
                <w:lang w:val="es-ES_tradnl"/>
              </w:rPr>
              <w:t xml:space="preserve">FG </w:t>
            </w:r>
            <w:proofErr w:type="spellStart"/>
            <w:r w:rsidRPr="00901848">
              <w:rPr>
                <w:lang w:val="es-ES_tradnl"/>
              </w:rPr>
              <w:t>Distraction</w:t>
            </w:r>
            <w:proofErr w:type="spellEnd"/>
            <w:r w:rsidRPr="00901848">
              <w:rPr>
                <w:lang w:val="es-ES_tradnl"/>
              </w:rPr>
              <w:t xml:space="preserve"> - Grupo Temático sobre distracción del conductor</w:t>
            </w:r>
          </w:p>
        </w:tc>
      </w:tr>
      <w:tr w:rsidR="00013F68" w:rsidRPr="00A31E61" w:rsidTr="000C58D5">
        <w:trPr>
          <w:jc w:val="center"/>
        </w:trPr>
        <w:tc>
          <w:tcPr>
            <w:tcW w:w="9287" w:type="dxa"/>
          </w:tcPr>
          <w:p w:rsidR="00013F68" w:rsidRPr="00013F68" w:rsidRDefault="00A31E61" w:rsidP="000C58D5">
            <w:pPr>
              <w:spacing w:before="40"/>
              <w:jc w:val="left"/>
              <w:rPr>
                <w:lang w:val="en-US"/>
              </w:rPr>
            </w:pPr>
            <w:hyperlink r:id="rId192" w:history="1">
              <w:r w:rsidR="00013F68" w:rsidRPr="00F9094A">
                <w:rPr>
                  <w:rStyle w:val="Hyperlink"/>
                  <w:lang w:val="en-US"/>
                </w:rPr>
                <w:t>2013 - Report on Situational Awareness Management</w:t>
              </w:r>
            </w:hyperlink>
            <w:r w:rsidR="00013F68" w:rsidRPr="00013F68">
              <w:rPr>
                <w:lang w:val="en-US"/>
              </w:rPr>
              <w:br/>
            </w:r>
            <w:hyperlink r:id="rId193" w:history="1">
              <w:r w:rsidR="00013F68" w:rsidRPr="00F9094A">
                <w:rPr>
                  <w:rStyle w:val="Hyperlink"/>
                  <w:lang w:val="en-US"/>
                </w:rPr>
                <w:t>2013 - Report on Use Cases</w:t>
              </w:r>
            </w:hyperlink>
            <w:r w:rsidR="00013F68" w:rsidRPr="00013F68">
              <w:rPr>
                <w:lang w:val="en-US"/>
              </w:rPr>
              <w:br/>
            </w:r>
            <w:hyperlink r:id="rId194" w:history="1">
              <w:r w:rsidR="00013F68" w:rsidRPr="00F9094A">
                <w:rPr>
                  <w:rStyle w:val="Hyperlink"/>
                  <w:lang w:val="en-US"/>
                </w:rPr>
                <w:t>2013 - Report on User Interface Requirements for Automotive Applications</w:t>
              </w:r>
            </w:hyperlink>
            <w:r w:rsidR="00013F68" w:rsidRPr="00013F68">
              <w:rPr>
                <w:lang w:val="en-US"/>
              </w:rPr>
              <w:br/>
            </w:r>
            <w:hyperlink r:id="rId195" w:history="1">
              <w:r w:rsidR="00013F68" w:rsidRPr="00F9094A">
                <w:rPr>
                  <w:rStyle w:val="Hyperlink"/>
                  <w:lang w:val="en-US"/>
                </w:rPr>
                <w:t>2013 - Report on Vehicle-to-Applications Communications Interface</w:t>
              </w:r>
            </w:hyperlink>
            <w:r w:rsidR="00013F68" w:rsidRPr="00013F68">
              <w:rPr>
                <w:lang w:val="en-US"/>
              </w:rPr>
              <w:br/>
            </w:r>
            <w:hyperlink r:id="rId196" w:history="1">
              <w:r w:rsidR="00013F68" w:rsidRPr="00F9094A">
                <w:rPr>
                  <w:rStyle w:val="Hyperlink"/>
                  <w:lang w:val="en-US"/>
                </w:rPr>
                <w:t>2013 - Final Report</w:t>
              </w:r>
            </w:hyperlink>
          </w:p>
        </w:tc>
      </w:tr>
      <w:tr w:rsidR="00013F68" w:rsidRPr="00A31E61" w:rsidTr="000C58D5">
        <w:trPr>
          <w:jc w:val="center"/>
        </w:trPr>
        <w:tc>
          <w:tcPr>
            <w:tcW w:w="9287" w:type="dxa"/>
            <w:shd w:val="clear" w:color="auto" w:fill="005173"/>
          </w:tcPr>
          <w:p w:rsidR="00013F68" w:rsidRPr="00901848" w:rsidRDefault="00013F68" w:rsidP="00B40998">
            <w:pPr>
              <w:pStyle w:val="Tablehead"/>
              <w:rPr>
                <w:lang w:val="es-ES_tradnl"/>
              </w:rPr>
            </w:pPr>
            <w:r w:rsidRPr="00901848">
              <w:rPr>
                <w:lang w:val="es-ES_tradnl"/>
              </w:rPr>
              <w:t>FG FS-VDSL – Grupo Temático sobre servicio completo VDSL</w:t>
            </w:r>
          </w:p>
        </w:tc>
      </w:tr>
      <w:tr w:rsidR="00013F68" w:rsidRPr="00A31E61" w:rsidTr="000C58D5">
        <w:trPr>
          <w:jc w:val="center"/>
        </w:trPr>
        <w:tc>
          <w:tcPr>
            <w:tcW w:w="9287" w:type="dxa"/>
          </w:tcPr>
          <w:p w:rsidR="00013F68" w:rsidRPr="00013F68" w:rsidRDefault="00A31E61" w:rsidP="000C58D5">
            <w:pPr>
              <w:spacing w:before="40"/>
              <w:jc w:val="left"/>
              <w:rPr>
                <w:lang w:val="en-US"/>
              </w:rPr>
            </w:pPr>
            <w:hyperlink r:id="rId197" w:history="1">
              <w:r w:rsidR="00013F68" w:rsidRPr="00F9094A">
                <w:rPr>
                  <w:rStyle w:val="Hyperlink"/>
                  <w:lang w:val="en-US"/>
                </w:rPr>
                <w:t>2002 - Technical Specifications: Part 1: Operator Requirements</w:t>
              </w:r>
            </w:hyperlink>
            <w:r w:rsidR="00013F68" w:rsidRPr="00013F68">
              <w:rPr>
                <w:lang w:val="en-US"/>
              </w:rPr>
              <w:br/>
            </w:r>
            <w:hyperlink r:id="rId198" w:history="1">
              <w:r w:rsidR="00013F68" w:rsidRPr="00F9094A">
                <w:rPr>
                  <w:rStyle w:val="Hyperlink"/>
                  <w:lang w:val="en-US"/>
                </w:rPr>
                <w:t>2002 - Technical Specifications: Part 2: System Architecture</w:t>
              </w:r>
            </w:hyperlink>
            <w:r w:rsidR="00013F68" w:rsidRPr="00013F68">
              <w:rPr>
                <w:lang w:val="en-US"/>
              </w:rPr>
              <w:br/>
            </w:r>
            <w:hyperlink r:id="rId199" w:history="1">
              <w:r w:rsidR="00013F68" w:rsidRPr="00F9094A">
                <w:rPr>
                  <w:rStyle w:val="Hyperlink"/>
                  <w:lang w:val="en-US"/>
                </w:rPr>
                <w:t>2002 - Technical Specifications: Part 3: Customer Premises Equipment</w:t>
              </w:r>
            </w:hyperlink>
            <w:r w:rsidR="00013F68" w:rsidRPr="00013F68">
              <w:rPr>
                <w:lang w:val="en-US"/>
              </w:rPr>
              <w:br/>
            </w:r>
            <w:hyperlink r:id="rId200" w:history="1">
              <w:r w:rsidR="00013F68" w:rsidRPr="00F9094A">
                <w:rPr>
                  <w:rStyle w:val="Hyperlink"/>
                  <w:lang w:val="en-US"/>
                </w:rPr>
                <w:t>2002 - Technical Specifications: Part 4: Physical Layer Specification for Interoperable VDSL Systems</w:t>
              </w:r>
            </w:hyperlink>
            <w:r w:rsidR="00013F68" w:rsidRPr="00013F68">
              <w:rPr>
                <w:lang w:val="en-US"/>
              </w:rPr>
              <w:br/>
            </w:r>
            <w:hyperlink r:id="rId201" w:history="1">
              <w:r w:rsidR="00013F68" w:rsidRPr="00F9094A">
                <w:rPr>
                  <w:rStyle w:val="Hyperlink"/>
                  <w:lang w:val="en-US"/>
                </w:rPr>
                <w:t>2002 - Technical Specifications: Part 5: Operations, Administration and Maintenance &amp; Provision aspects for FS-VDSL Services</w:t>
              </w:r>
            </w:hyperlink>
          </w:p>
        </w:tc>
      </w:tr>
      <w:tr w:rsidR="00013F68" w:rsidRPr="00A31E61" w:rsidTr="000C58D5">
        <w:trPr>
          <w:jc w:val="center"/>
        </w:trPr>
        <w:tc>
          <w:tcPr>
            <w:tcW w:w="9287" w:type="dxa"/>
            <w:shd w:val="clear" w:color="auto" w:fill="005173"/>
          </w:tcPr>
          <w:p w:rsidR="00013F68" w:rsidRPr="00901848" w:rsidRDefault="00013F68" w:rsidP="00B40998">
            <w:pPr>
              <w:pStyle w:val="Tablehead"/>
              <w:rPr>
                <w:lang w:val="es-ES_tradnl"/>
              </w:rPr>
            </w:pPr>
            <w:r w:rsidRPr="00901848">
              <w:rPr>
                <w:lang w:val="es-ES_tradnl"/>
              </w:rPr>
              <w:t>FG IPTV – Grupo Temático sobre TVIP</w:t>
            </w:r>
          </w:p>
        </w:tc>
      </w:tr>
      <w:tr w:rsidR="00013F68" w:rsidRPr="00A96787" w:rsidTr="000C58D5">
        <w:trPr>
          <w:jc w:val="center"/>
        </w:trPr>
        <w:tc>
          <w:tcPr>
            <w:tcW w:w="9287" w:type="dxa"/>
          </w:tcPr>
          <w:p w:rsidR="00013F68" w:rsidRPr="00A96787" w:rsidRDefault="00A31E61" w:rsidP="000C58D5">
            <w:pPr>
              <w:spacing w:before="40"/>
              <w:jc w:val="left"/>
              <w:rPr>
                <w:lang w:val="es-ES"/>
              </w:rPr>
            </w:pPr>
            <w:hyperlink r:id="rId202" w:history="1">
              <w:r w:rsidR="00013F68" w:rsidRPr="00A96787">
                <w:rPr>
                  <w:rStyle w:val="Hyperlink"/>
                  <w:lang w:val="es-ES"/>
                </w:rPr>
                <w:t xml:space="preserve">2008 - </w:t>
              </w:r>
              <w:proofErr w:type="spellStart"/>
              <w:r w:rsidR="00013F68" w:rsidRPr="00A96787">
                <w:rPr>
                  <w:rStyle w:val="Hyperlink"/>
                  <w:lang w:val="es-ES"/>
                </w:rPr>
                <w:t>Proceedings</w:t>
              </w:r>
              <w:proofErr w:type="spellEnd"/>
            </w:hyperlink>
          </w:p>
        </w:tc>
      </w:tr>
      <w:tr w:rsidR="00013F68" w:rsidRPr="00A31E61" w:rsidTr="000C58D5">
        <w:trPr>
          <w:jc w:val="center"/>
        </w:trPr>
        <w:tc>
          <w:tcPr>
            <w:tcW w:w="9287" w:type="dxa"/>
            <w:shd w:val="clear" w:color="auto" w:fill="005173"/>
          </w:tcPr>
          <w:p w:rsidR="00013F68" w:rsidRPr="00901848" w:rsidRDefault="00013F68" w:rsidP="00B40998">
            <w:pPr>
              <w:pStyle w:val="Tablehead"/>
              <w:rPr>
                <w:lang w:val="es-ES_tradnl"/>
              </w:rPr>
            </w:pPr>
            <w:r w:rsidRPr="00901848">
              <w:rPr>
                <w:lang w:val="es-ES_tradnl"/>
              </w:rPr>
              <w:t>FG OCAF - Grupo Temático sobre el Foro de arquitectura de las telecomunicaciones abiertas</w:t>
            </w:r>
          </w:p>
        </w:tc>
      </w:tr>
      <w:tr w:rsidR="00013F68" w:rsidRPr="00A96787" w:rsidTr="000C58D5">
        <w:trPr>
          <w:jc w:val="center"/>
        </w:trPr>
        <w:tc>
          <w:tcPr>
            <w:tcW w:w="9287" w:type="dxa"/>
          </w:tcPr>
          <w:p w:rsidR="00013F68" w:rsidRPr="00A96787" w:rsidRDefault="00A31E61" w:rsidP="000C58D5">
            <w:pPr>
              <w:spacing w:before="40"/>
              <w:jc w:val="left"/>
              <w:rPr>
                <w:lang w:val="es-ES"/>
              </w:rPr>
            </w:pPr>
            <w:hyperlink r:id="rId203" w:history="1">
              <w:r w:rsidR="00013F68" w:rsidRPr="00A96787">
                <w:rPr>
                  <w:rStyle w:val="Hyperlink"/>
                  <w:lang w:val="es-ES"/>
                </w:rPr>
                <w:t xml:space="preserve">2005 - </w:t>
              </w:r>
              <w:proofErr w:type="spellStart"/>
              <w:r w:rsidR="00013F68" w:rsidRPr="00A96787">
                <w:rPr>
                  <w:rStyle w:val="Hyperlink"/>
                  <w:lang w:val="es-ES"/>
                </w:rPr>
                <w:t>Carrier</w:t>
              </w:r>
              <w:proofErr w:type="spellEnd"/>
              <w:r w:rsidR="00013F68" w:rsidRPr="00A96787">
                <w:rPr>
                  <w:rStyle w:val="Hyperlink"/>
                  <w:lang w:val="es-ES"/>
                </w:rPr>
                <w:t xml:space="preserve"> Grade Open </w:t>
              </w:r>
              <w:proofErr w:type="spellStart"/>
              <w:r w:rsidR="00013F68" w:rsidRPr="00A96787">
                <w:rPr>
                  <w:rStyle w:val="Hyperlink"/>
                  <w:lang w:val="es-ES"/>
                </w:rPr>
                <w:t>Environment</w:t>
              </w:r>
              <w:proofErr w:type="spellEnd"/>
              <w:r w:rsidR="00013F68" w:rsidRPr="00A96787">
                <w:rPr>
                  <w:rStyle w:val="Hyperlink"/>
                  <w:lang w:val="es-ES"/>
                </w:rPr>
                <w:t xml:space="preserve"> Reference </w:t>
              </w:r>
              <w:proofErr w:type="spellStart"/>
              <w:r w:rsidR="00013F68" w:rsidRPr="00A96787">
                <w:rPr>
                  <w:rStyle w:val="Hyperlink"/>
                  <w:lang w:val="es-ES"/>
                </w:rPr>
                <w:t>Model</w:t>
              </w:r>
              <w:proofErr w:type="spellEnd"/>
            </w:hyperlink>
          </w:p>
        </w:tc>
      </w:tr>
    </w:tbl>
    <w:p w:rsidR="000C58D5" w:rsidRDefault="000C58D5">
      <w:pPr>
        <w:sectPr w:rsidR="000C58D5" w:rsidSect="000C58D5">
          <w:headerReference w:type="default" r:id="rId204"/>
          <w:footerReference w:type="default" r:id="rId205"/>
          <w:footerReference w:type="first" r:id="rId206"/>
          <w:endnotePr>
            <w:numFmt w:val="decimal"/>
          </w:endnotePr>
          <w:type w:val="oddPage"/>
          <w:pgSz w:w="11907" w:h="16840" w:code="9"/>
          <w:pgMar w:top="1418" w:right="1418" w:bottom="1418" w:left="1418" w:header="709" w:footer="709" w:gutter="0"/>
          <w:pgNumType w:start="1"/>
          <w:cols w:space="708"/>
          <w:docGrid w:linePitch="360"/>
        </w:sectPr>
      </w:pPr>
    </w:p>
    <w:p w:rsidR="00AB4CAD" w:rsidRDefault="00AB4CAD" w:rsidP="00AB4CAD">
      <w:pPr>
        <w:pStyle w:val="Heading1"/>
        <w:tabs>
          <w:tab w:val="clear" w:pos="851"/>
          <w:tab w:val="left" w:pos="1418"/>
        </w:tabs>
        <w:spacing w:before="120" w:after="120"/>
        <w:ind w:left="1418" w:hanging="1418"/>
        <w:rPr>
          <w:szCs w:val="19"/>
        </w:rPr>
      </w:pPr>
      <w:bookmarkStart w:id="140" w:name="_Toc380392695"/>
      <w:bookmarkStart w:id="141" w:name="_Toc381259718"/>
      <w:bookmarkStart w:id="142" w:name="_Toc351636967"/>
      <w:bookmarkStart w:id="143" w:name="_Toc365036842"/>
      <w:proofErr w:type="spellStart"/>
      <w:r>
        <w:rPr>
          <w:szCs w:val="19"/>
        </w:rPr>
        <w:lastRenderedPageBreak/>
        <w:t>Anexos</w:t>
      </w:r>
      <w:bookmarkEnd w:id="140"/>
      <w:bookmarkEnd w:id="141"/>
      <w:proofErr w:type="spellEnd"/>
    </w:p>
    <w:p w:rsidR="00AB4CAD" w:rsidRPr="00B95CE0" w:rsidRDefault="00AB4CAD" w:rsidP="00AB4CAD">
      <w:pPr>
        <w:pStyle w:val="Heading1"/>
        <w:tabs>
          <w:tab w:val="clear" w:pos="851"/>
          <w:tab w:val="left" w:pos="1418"/>
        </w:tabs>
        <w:spacing w:before="120" w:after="120"/>
        <w:ind w:left="1418" w:hanging="1418"/>
        <w:rPr>
          <w:smallCaps/>
          <w:color w:val="auto"/>
          <w:sz w:val="21"/>
          <w:szCs w:val="21"/>
        </w:rPr>
      </w:pPr>
      <w:bookmarkStart w:id="144" w:name="_Toc380392696"/>
      <w:bookmarkStart w:id="145" w:name="_Toc381259719"/>
      <w:proofErr w:type="spellStart"/>
      <w:r>
        <w:rPr>
          <w:color w:val="auto"/>
          <w:sz w:val="21"/>
          <w:szCs w:val="21"/>
        </w:rPr>
        <w:t>An</w:t>
      </w:r>
      <w:r w:rsidRPr="00B95CE0">
        <w:rPr>
          <w:color w:val="auto"/>
          <w:sz w:val="21"/>
          <w:szCs w:val="21"/>
        </w:rPr>
        <w:t>ex</w:t>
      </w:r>
      <w:r>
        <w:rPr>
          <w:color w:val="auto"/>
          <w:sz w:val="21"/>
          <w:szCs w:val="21"/>
        </w:rPr>
        <w:t>o</w:t>
      </w:r>
      <w:proofErr w:type="spellEnd"/>
      <w:r w:rsidRPr="00B95CE0">
        <w:rPr>
          <w:color w:val="auto"/>
          <w:sz w:val="21"/>
          <w:szCs w:val="21"/>
        </w:rPr>
        <w:t xml:space="preserve"> </w:t>
      </w:r>
      <w:r>
        <w:rPr>
          <w:color w:val="auto"/>
          <w:sz w:val="21"/>
          <w:szCs w:val="21"/>
        </w:rPr>
        <w:t>1</w:t>
      </w:r>
      <w:r w:rsidRPr="00B95CE0">
        <w:rPr>
          <w:color w:val="auto"/>
          <w:sz w:val="21"/>
          <w:szCs w:val="21"/>
        </w:rPr>
        <w:t>:</w:t>
      </w:r>
      <w:r w:rsidRPr="00B95CE0">
        <w:rPr>
          <w:color w:val="auto"/>
          <w:sz w:val="21"/>
          <w:szCs w:val="21"/>
        </w:rPr>
        <w:tab/>
      </w:r>
      <w:r w:rsidRPr="00D27ECF">
        <w:rPr>
          <w:color w:val="auto"/>
          <w:sz w:val="21"/>
          <w:szCs w:val="21"/>
        </w:rPr>
        <w:t>Composition of the Rapporteur Group for Question 9-3/2</w:t>
      </w:r>
      <w:bookmarkEnd w:id="144"/>
      <w:bookmarkEnd w:id="145"/>
    </w:p>
    <w:p w:rsidR="00AB4CAD" w:rsidRDefault="00AB4CAD" w:rsidP="00AB4CAD">
      <w:pPr>
        <w:pStyle w:val="Heading1"/>
        <w:tabs>
          <w:tab w:val="clear" w:pos="851"/>
          <w:tab w:val="left" w:pos="1418"/>
        </w:tabs>
        <w:spacing w:before="120" w:after="120"/>
        <w:ind w:left="1418" w:hanging="1418"/>
        <w:rPr>
          <w:color w:val="auto"/>
          <w:sz w:val="21"/>
          <w:szCs w:val="21"/>
        </w:rPr>
      </w:pPr>
      <w:bookmarkStart w:id="146" w:name="_Toc380392697"/>
      <w:bookmarkStart w:id="147" w:name="_Toc381259720"/>
      <w:proofErr w:type="spellStart"/>
      <w:r>
        <w:rPr>
          <w:color w:val="auto"/>
          <w:sz w:val="21"/>
          <w:szCs w:val="21"/>
        </w:rPr>
        <w:t>An</w:t>
      </w:r>
      <w:r w:rsidRPr="00B95CE0">
        <w:rPr>
          <w:color w:val="auto"/>
          <w:sz w:val="21"/>
          <w:szCs w:val="21"/>
        </w:rPr>
        <w:t>ex</w:t>
      </w:r>
      <w:r>
        <w:rPr>
          <w:color w:val="auto"/>
          <w:sz w:val="21"/>
          <w:szCs w:val="21"/>
        </w:rPr>
        <w:t>o</w:t>
      </w:r>
      <w:proofErr w:type="spellEnd"/>
      <w:r w:rsidRPr="00B95CE0">
        <w:rPr>
          <w:color w:val="auto"/>
          <w:sz w:val="21"/>
          <w:szCs w:val="21"/>
        </w:rPr>
        <w:t xml:space="preserve"> </w:t>
      </w:r>
      <w:r>
        <w:rPr>
          <w:color w:val="auto"/>
          <w:sz w:val="21"/>
          <w:szCs w:val="21"/>
        </w:rPr>
        <w:t>2A</w:t>
      </w:r>
      <w:r w:rsidRPr="00B95CE0">
        <w:rPr>
          <w:color w:val="auto"/>
          <w:sz w:val="21"/>
          <w:szCs w:val="21"/>
        </w:rPr>
        <w:t>:</w:t>
      </w:r>
      <w:r w:rsidRPr="00B95CE0">
        <w:rPr>
          <w:color w:val="auto"/>
          <w:sz w:val="21"/>
          <w:szCs w:val="21"/>
        </w:rPr>
        <w:tab/>
      </w:r>
      <w:r w:rsidRPr="00456290">
        <w:rPr>
          <w:color w:val="auto"/>
          <w:sz w:val="21"/>
          <w:szCs w:val="21"/>
        </w:rPr>
        <w:t>Relationship of Questions of Study Group 1 to Questions in ITU-T and ITU-R</w:t>
      </w:r>
      <w:bookmarkEnd w:id="146"/>
      <w:bookmarkEnd w:id="147"/>
    </w:p>
    <w:p w:rsidR="00AB4CAD" w:rsidRPr="00456290" w:rsidRDefault="00AB4CAD" w:rsidP="00AB4CAD">
      <w:pPr>
        <w:pStyle w:val="Heading1"/>
        <w:tabs>
          <w:tab w:val="clear" w:pos="851"/>
          <w:tab w:val="left" w:pos="1418"/>
        </w:tabs>
        <w:spacing w:before="120" w:after="120"/>
        <w:ind w:left="1418" w:hanging="1418"/>
        <w:rPr>
          <w:color w:val="auto"/>
          <w:sz w:val="21"/>
          <w:szCs w:val="21"/>
        </w:rPr>
      </w:pPr>
      <w:bookmarkStart w:id="148" w:name="_Toc369084125"/>
      <w:bookmarkStart w:id="149" w:name="_Toc380392698"/>
      <w:bookmarkStart w:id="150" w:name="_Toc381259721"/>
      <w:proofErr w:type="spellStart"/>
      <w:r>
        <w:rPr>
          <w:color w:val="auto"/>
          <w:sz w:val="21"/>
          <w:szCs w:val="21"/>
        </w:rPr>
        <w:t>An</w:t>
      </w:r>
      <w:r w:rsidRPr="00456290">
        <w:rPr>
          <w:color w:val="auto"/>
          <w:sz w:val="21"/>
          <w:szCs w:val="21"/>
        </w:rPr>
        <w:t>ex</w:t>
      </w:r>
      <w:r>
        <w:rPr>
          <w:color w:val="auto"/>
          <w:sz w:val="21"/>
          <w:szCs w:val="21"/>
        </w:rPr>
        <w:t>o</w:t>
      </w:r>
      <w:proofErr w:type="spellEnd"/>
      <w:r w:rsidRPr="00456290">
        <w:rPr>
          <w:color w:val="auto"/>
          <w:sz w:val="21"/>
          <w:szCs w:val="21"/>
        </w:rPr>
        <w:t xml:space="preserve"> 2B: </w:t>
      </w:r>
      <w:r>
        <w:rPr>
          <w:color w:val="auto"/>
          <w:sz w:val="21"/>
          <w:szCs w:val="21"/>
        </w:rPr>
        <w:tab/>
      </w:r>
      <w:r w:rsidRPr="00456290">
        <w:rPr>
          <w:color w:val="auto"/>
          <w:sz w:val="21"/>
          <w:szCs w:val="21"/>
        </w:rPr>
        <w:t>Relationship of Questions of Study Group 2 with Questions in ITU-T and ITU-R</w:t>
      </w:r>
      <w:bookmarkEnd w:id="148"/>
      <w:bookmarkEnd w:id="149"/>
      <w:bookmarkEnd w:id="150"/>
    </w:p>
    <w:p w:rsidR="00AB4CAD" w:rsidRPr="00AB4CAD" w:rsidRDefault="00AB4CAD" w:rsidP="00AB4CAD">
      <w:pPr>
        <w:rPr>
          <w:lang w:val="en-US"/>
        </w:rPr>
      </w:pPr>
    </w:p>
    <w:p w:rsidR="00AB4CAD" w:rsidRPr="00AB4CAD" w:rsidRDefault="00AB4CAD" w:rsidP="00AB4CAD">
      <w:pPr>
        <w:rPr>
          <w:lang w:val="en-US"/>
        </w:rPr>
      </w:pPr>
    </w:p>
    <w:p w:rsidR="00AB4CAD" w:rsidRPr="00AB4CAD" w:rsidRDefault="00AB4CAD" w:rsidP="00AB4CAD">
      <w:pPr>
        <w:rPr>
          <w:lang w:val="en-US"/>
        </w:rPr>
      </w:pPr>
    </w:p>
    <w:p w:rsidR="004E12F5" w:rsidRDefault="004E12F5" w:rsidP="00AB4CAD">
      <w:pPr>
        <w:rPr>
          <w:lang w:val="en-US" w:eastAsia="en-US"/>
        </w:rPr>
        <w:sectPr w:rsidR="004E12F5" w:rsidSect="000C58D5">
          <w:headerReference w:type="default" r:id="rId207"/>
          <w:footerReference w:type="default" r:id="rId208"/>
          <w:endnotePr>
            <w:numFmt w:val="decimal"/>
          </w:endnotePr>
          <w:type w:val="oddPage"/>
          <w:pgSz w:w="11907" w:h="16840" w:code="9"/>
          <w:pgMar w:top="1418" w:right="1418" w:bottom="1418" w:left="1418" w:header="709" w:footer="709" w:gutter="0"/>
          <w:pgNumType w:start="1"/>
          <w:cols w:space="708"/>
          <w:docGrid w:linePitch="360"/>
        </w:sectPr>
      </w:pPr>
    </w:p>
    <w:p w:rsidR="00013F68" w:rsidRPr="004E12F5" w:rsidRDefault="00013F68" w:rsidP="004E12F5">
      <w:pPr>
        <w:pStyle w:val="Heading1"/>
        <w:rPr>
          <w:lang w:val="es-ES_tradnl" w:eastAsia="en-GB"/>
        </w:rPr>
      </w:pPr>
      <w:bookmarkStart w:id="151" w:name="_Toc381259722"/>
      <w:r w:rsidRPr="004E12F5">
        <w:rPr>
          <w:lang w:val="es-ES_tradnl" w:eastAsia="en-GB"/>
        </w:rPr>
        <w:lastRenderedPageBreak/>
        <w:t>Anexo 1:</w:t>
      </w:r>
      <w:bookmarkEnd w:id="142"/>
      <w:r w:rsidR="004E12F5" w:rsidRPr="004E12F5">
        <w:rPr>
          <w:lang w:val="es-ES_tradnl" w:eastAsia="en-GB"/>
        </w:rPr>
        <w:tab/>
      </w:r>
      <w:r w:rsidRPr="004E12F5">
        <w:rPr>
          <w:lang w:val="es-ES_tradnl" w:eastAsia="en-GB"/>
        </w:rPr>
        <w:t>Composición del Grupo de Relator para la Cuestión 9-3/2</w:t>
      </w:r>
      <w:bookmarkEnd w:id="143"/>
      <w:bookmarkEnd w:id="151"/>
    </w:p>
    <w:p w:rsidR="004E12F5" w:rsidRPr="004E12F5" w:rsidRDefault="004E12F5" w:rsidP="004E12F5">
      <w:pPr>
        <w:rPr>
          <w:lang w:val="es-ES_tradnl"/>
        </w:rPr>
      </w:pPr>
    </w:p>
    <w:tbl>
      <w:tblPr>
        <w:tblStyle w:val="TableGrid"/>
        <w:tblW w:w="9185" w:type="dxa"/>
        <w:tblLook w:val="04A0" w:firstRow="1" w:lastRow="0" w:firstColumn="1" w:lastColumn="0" w:noHBand="0" w:noVBand="1"/>
      </w:tblPr>
      <w:tblGrid>
        <w:gridCol w:w="3859"/>
        <w:gridCol w:w="5326"/>
      </w:tblGrid>
      <w:tr w:rsidR="00013F68" w:rsidRPr="00A96787" w:rsidTr="0020782D">
        <w:tc>
          <w:tcPr>
            <w:tcW w:w="4361" w:type="dxa"/>
            <w:shd w:val="clear" w:color="auto" w:fill="005173"/>
          </w:tcPr>
          <w:p w:rsidR="00013F68" w:rsidRPr="00901848" w:rsidRDefault="00013F68" w:rsidP="004E12F5">
            <w:pPr>
              <w:pStyle w:val="Tablehead"/>
              <w:rPr>
                <w:lang w:val="es-ES_tradnl"/>
              </w:rPr>
            </w:pPr>
            <w:r w:rsidRPr="00901848">
              <w:rPr>
                <w:lang w:val="es-ES_tradnl"/>
              </w:rPr>
              <w:t>Cuestión 9-3/2: Identificación de los temas que estudian las Comisiones de Estudio del UIT-T y el UIT-R que son de particular interés para los países en desarrollo</w:t>
            </w:r>
          </w:p>
        </w:tc>
        <w:tc>
          <w:tcPr>
            <w:tcW w:w="6062" w:type="dxa"/>
            <w:shd w:val="clear" w:color="auto" w:fill="005173"/>
            <w:vAlign w:val="center"/>
          </w:tcPr>
          <w:p w:rsidR="00013F68" w:rsidRPr="00A96787" w:rsidRDefault="00013F68" w:rsidP="0020782D">
            <w:pPr>
              <w:pStyle w:val="Tablehead"/>
            </w:pPr>
            <w:proofErr w:type="spellStart"/>
            <w:r w:rsidRPr="00A96787">
              <w:t>Nombre</w:t>
            </w:r>
            <w:proofErr w:type="spellEnd"/>
            <w:r w:rsidRPr="00A96787">
              <w:t xml:space="preserve"> / País / </w:t>
            </w:r>
            <w:proofErr w:type="spellStart"/>
            <w:r w:rsidRPr="00A96787">
              <w:t>Organización</w:t>
            </w:r>
            <w:proofErr w:type="spellEnd"/>
          </w:p>
        </w:tc>
      </w:tr>
      <w:tr w:rsidR="00013F68" w:rsidRPr="00A96787" w:rsidTr="004E12F5">
        <w:tc>
          <w:tcPr>
            <w:tcW w:w="4361" w:type="dxa"/>
            <w:shd w:val="clear" w:color="auto" w:fill="E8F8FD"/>
          </w:tcPr>
          <w:p w:rsidR="00013F68" w:rsidRPr="004E12F5" w:rsidRDefault="00013F68" w:rsidP="004E12F5">
            <w:pPr>
              <w:pStyle w:val="Tabletext"/>
            </w:pPr>
            <w:proofErr w:type="spellStart"/>
            <w:r w:rsidRPr="004E12F5">
              <w:t>Relator</w:t>
            </w:r>
            <w:proofErr w:type="spellEnd"/>
          </w:p>
        </w:tc>
        <w:tc>
          <w:tcPr>
            <w:tcW w:w="6062" w:type="dxa"/>
            <w:shd w:val="clear" w:color="auto" w:fill="E8F8FD"/>
          </w:tcPr>
          <w:p w:rsidR="00013F68" w:rsidRPr="004E12F5" w:rsidRDefault="00013F68" w:rsidP="004E12F5">
            <w:pPr>
              <w:pStyle w:val="Tabletext"/>
            </w:pPr>
            <w:r w:rsidRPr="004E12F5">
              <w:t xml:space="preserve">Sr. Nasser Al </w:t>
            </w:r>
            <w:proofErr w:type="spellStart"/>
            <w:r w:rsidRPr="004E12F5">
              <w:t>Marzouqi</w:t>
            </w:r>
            <w:proofErr w:type="spellEnd"/>
          </w:p>
        </w:tc>
      </w:tr>
      <w:tr w:rsidR="00013F68" w:rsidRPr="00BB1FA5" w:rsidTr="004E12F5">
        <w:tc>
          <w:tcPr>
            <w:tcW w:w="4361" w:type="dxa"/>
            <w:vAlign w:val="center"/>
          </w:tcPr>
          <w:p w:rsidR="00013F68" w:rsidRPr="004E12F5" w:rsidRDefault="00013F68" w:rsidP="004E12F5">
            <w:pPr>
              <w:pStyle w:val="Tabletext"/>
            </w:pPr>
            <w:proofErr w:type="spellStart"/>
            <w:r w:rsidRPr="004E12F5">
              <w:t>Vicerrelatora</w:t>
            </w:r>
            <w:proofErr w:type="spellEnd"/>
          </w:p>
        </w:tc>
        <w:tc>
          <w:tcPr>
            <w:tcW w:w="6062" w:type="dxa"/>
            <w:vAlign w:val="center"/>
          </w:tcPr>
          <w:p w:rsidR="00013F68" w:rsidRPr="004E12F5" w:rsidRDefault="00013F68" w:rsidP="004E12F5">
            <w:pPr>
              <w:pStyle w:val="Tabletext"/>
            </w:pPr>
            <w:proofErr w:type="spellStart"/>
            <w:r w:rsidRPr="004E12F5">
              <w:t>Sra</w:t>
            </w:r>
            <w:proofErr w:type="spellEnd"/>
            <w:r w:rsidRPr="004E12F5">
              <w:t xml:space="preserve">. Gertrude </w:t>
            </w:r>
            <w:proofErr w:type="spellStart"/>
            <w:r w:rsidRPr="004E12F5">
              <w:t>Aka</w:t>
            </w:r>
            <w:proofErr w:type="spellEnd"/>
            <w:r w:rsidRPr="004E12F5">
              <w:t xml:space="preserve"> (Côte d'Ivoire)</w:t>
            </w:r>
          </w:p>
        </w:tc>
      </w:tr>
      <w:tr w:rsidR="00013F68" w:rsidRPr="00BB1FA5" w:rsidTr="004E12F5">
        <w:tc>
          <w:tcPr>
            <w:tcW w:w="4361" w:type="dxa"/>
            <w:shd w:val="clear" w:color="auto" w:fill="E8F8FD"/>
            <w:vAlign w:val="center"/>
          </w:tcPr>
          <w:p w:rsidR="00013F68" w:rsidRPr="004E12F5" w:rsidRDefault="00013F68" w:rsidP="004E12F5">
            <w:pPr>
              <w:pStyle w:val="Tabletext"/>
            </w:pPr>
            <w:proofErr w:type="spellStart"/>
            <w:r w:rsidRPr="004E12F5">
              <w:t>Vicerrelator</w:t>
            </w:r>
            <w:proofErr w:type="spellEnd"/>
          </w:p>
        </w:tc>
        <w:tc>
          <w:tcPr>
            <w:tcW w:w="6062" w:type="dxa"/>
            <w:shd w:val="clear" w:color="auto" w:fill="E8F8FD"/>
            <w:vAlign w:val="center"/>
          </w:tcPr>
          <w:p w:rsidR="00013F68" w:rsidRPr="004E12F5" w:rsidRDefault="00013F68" w:rsidP="004E12F5">
            <w:pPr>
              <w:pStyle w:val="Tabletext"/>
            </w:pPr>
            <w:r w:rsidRPr="004E12F5">
              <w:t xml:space="preserve">Sr. Philippe </w:t>
            </w:r>
            <w:proofErr w:type="spellStart"/>
            <w:r w:rsidRPr="004E12F5">
              <w:t>Mège</w:t>
            </w:r>
            <w:proofErr w:type="spellEnd"/>
            <w:r w:rsidRPr="004E12F5">
              <w:t xml:space="preserve"> (THALES Communications, Francia)</w:t>
            </w:r>
          </w:p>
        </w:tc>
      </w:tr>
      <w:tr w:rsidR="00013F68" w:rsidRPr="00A31E61" w:rsidTr="004E12F5">
        <w:tc>
          <w:tcPr>
            <w:tcW w:w="4361" w:type="dxa"/>
            <w:vAlign w:val="center"/>
          </w:tcPr>
          <w:p w:rsidR="00013F68" w:rsidRPr="004E12F5" w:rsidRDefault="00013F68" w:rsidP="004E12F5">
            <w:pPr>
              <w:pStyle w:val="Tabletext"/>
            </w:pPr>
            <w:proofErr w:type="spellStart"/>
            <w:r w:rsidRPr="004E12F5">
              <w:t>Vicerrelator</w:t>
            </w:r>
            <w:proofErr w:type="spellEnd"/>
          </w:p>
        </w:tc>
        <w:tc>
          <w:tcPr>
            <w:tcW w:w="6062" w:type="dxa"/>
            <w:vAlign w:val="center"/>
          </w:tcPr>
          <w:p w:rsidR="00013F68" w:rsidRPr="00901848" w:rsidRDefault="00013F68" w:rsidP="004E12F5">
            <w:pPr>
              <w:pStyle w:val="Tabletext"/>
              <w:rPr>
                <w:lang w:val="es-ES_tradnl"/>
              </w:rPr>
            </w:pPr>
            <w:r w:rsidRPr="00901848">
              <w:rPr>
                <w:lang w:val="es-ES_tradnl"/>
              </w:rPr>
              <w:t xml:space="preserve">Sr. </w:t>
            </w:r>
            <w:proofErr w:type="spellStart"/>
            <w:r w:rsidRPr="00901848">
              <w:rPr>
                <w:lang w:val="es-ES_tradnl"/>
              </w:rPr>
              <w:t>Yury</w:t>
            </w:r>
            <w:proofErr w:type="spellEnd"/>
            <w:r w:rsidRPr="00901848">
              <w:rPr>
                <w:lang w:val="es-ES_tradnl"/>
              </w:rPr>
              <w:t xml:space="preserve"> </w:t>
            </w:r>
            <w:proofErr w:type="spellStart"/>
            <w:r w:rsidRPr="00901848">
              <w:rPr>
                <w:lang w:val="es-ES_tradnl"/>
              </w:rPr>
              <w:t>Avanesov</w:t>
            </w:r>
            <w:proofErr w:type="spellEnd"/>
            <w:r w:rsidRPr="00901848">
              <w:rPr>
                <w:lang w:val="es-ES_tradnl"/>
              </w:rPr>
              <w:t xml:space="preserve"> (Federación de Rusia)</w:t>
            </w:r>
          </w:p>
        </w:tc>
      </w:tr>
      <w:tr w:rsidR="00013F68" w:rsidRPr="00A31E61" w:rsidTr="004E12F5">
        <w:tc>
          <w:tcPr>
            <w:tcW w:w="4361" w:type="dxa"/>
            <w:shd w:val="clear" w:color="auto" w:fill="E8F8FD"/>
            <w:vAlign w:val="center"/>
          </w:tcPr>
          <w:p w:rsidR="00013F68" w:rsidRPr="004E12F5" w:rsidRDefault="00013F68" w:rsidP="004E12F5">
            <w:pPr>
              <w:pStyle w:val="Tabletext"/>
            </w:pPr>
            <w:proofErr w:type="spellStart"/>
            <w:r w:rsidRPr="004E12F5">
              <w:t>Vicerrelator</w:t>
            </w:r>
            <w:proofErr w:type="spellEnd"/>
          </w:p>
        </w:tc>
        <w:tc>
          <w:tcPr>
            <w:tcW w:w="6062" w:type="dxa"/>
            <w:shd w:val="clear" w:color="auto" w:fill="E8F8FD"/>
            <w:vAlign w:val="center"/>
          </w:tcPr>
          <w:p w:rsidR="00013F68" w:rsidRPr="00901848" w:rsidRDefault="00013F68" w:rsidP="004E12F5">
            <w:pPr>
              <w:pStyle w:val="Tabletext"/>
              <w:rPr>
                <w:lang w:val="en-US"/>
              </w:rPr>
            </w:pPr>
            <w:r w:rsidRPr="00901848">
              <w:rPr>
                <w:lang w:val="en-US"/>
              </w:rPr>
              <w:t xml:space="preserve">Sr. </w:t>
            </w:r>
            <w:proofErr w:type="spellStart"/>
            <w:r w:rsidRPr="00901848">
              <w:rPr>
                <w:lang w:val="en-US"/>
              </w:rPr>
              <w:t>Arikan</w:t>
            </w:r>
            <w:proofErr w:type="spellEnd"/>
            <w:r w:rsidRPr="00901848">
              <w:rPr>
                <w:lang w:val="en-US"/>
              </w:rPr>
              <w:t xml:space="preserve"> </w:t>
            </w:r>
            <w:proofErr w:type="spellStart"/>
            <w:r w:rsidRPr="00901848">
              <w:rPr>
                <w:lang w:val="en-US"/>
              </w:rPr>
              <w:t>Dalkiliç</w:t>
            </w:r>
            <w:proofErr w:type="spellEnd"/>
            <w:r w:rsidRPr="00901848">
              <w:rPr>
                <w:lang w:val="en-US"/>
              </w:rPr>
              <w:t xml:space="preserve"> (</w:t>
            </w:r>
            <w:proofErr w:type="spellStart"/>
            <w:r w:rsidRPr="00901848">
              <w:rPr>
                <w:lang w:val="en-US"/>
              </w:rPr>
              <w:t>Türk</w:t>
            </w:r>
            <w:proofErr w:type="spellEnd"/>
            <w:r w:rsidRPr="00901848">
              <w:rPr>
                <w:lang w:val="en-US"/>
              </w:rPr>
              <w:t xml:space="preserve"> Telekom Group, </w:t>
            </w:r>
            <w:proofErr w:type="spellStart"/>
            <w:r w:rsidRPr="00901848">
              <w:rPr>
                <w:lang w:val="en-US"/>
              </w:rPr>
              <w:t>Turquía</w:t>
            </w:r>
            <w:proofErr w:type="spellEnd"/>
            <w:r w:rsidRPr="00901848">
              <w:rPr>
                <w:lang w:val="en-US"/>
              </w:rPr>
              <w:t>)</w:t>
            </w:r>
          </w:p>
        </w:tc>
      </w:tr>
      <w:tr w:rsidR="00013F68" w:rsidRPr="00A31E61" w:rsidTr="004E12F5">
        <w:tc>
          <w:tcPr>
            <w:tcW w:w="4361" w:type="dxa"/>
          </w:tcPr>
          <w:p w:rsidR="00013F68" w:rsidRPr="004E12F5" w:rsidRDefault="00013F68" w:rsidP="004E12F5">
            <w:pPr>
              <w:pStyle w:val="Tabletext"/>
            </w:pPr>
            <w:proofErr w:type="spellStart"/>
            <w:r w:rsidRPr="004E12F5">
              <w:t>Coordinador</w:t>
            </w:r>
            <w:proofErr w:type="spellEnd"/>
            <w:r w:rsidRPr="004E12F5">
              <w:t xml:space="preserve"> de la BDT</w:t>
            </w:r>
          </w:p>
        </w:tc>
        <w:tc>
          <w:tcPr>
            <w:tcW w:w="6062" w:type="dxa"/>
          </w:tcPr>
          <w:p w:rsidR="00013F68" w:rsidRPr="00901848" w:rsidRDefault="00013F68" w:rsidP="004E12F5">
            <w:pPr>
              <w:pStyle w:val="Tabletext"/>
              <w:rPr>
                <w:lang w:val="en-US"/>
              </w:rPr>
            </w:pPr>
            <w:r w:rsidRPr="00901848">
              <w:rPr>
                <w:lang w:val="en-US"/>
              </w:rPr>
              <w:t>Sr. Robert Shaw (ITU/BDT/IP/INV)</w:t>
            </w:r>
          </w:p>
        </w:tc>
      </w:tr>
    </w:tbl>
    <w:p w:rsidR="00013F68" w:rsidRPr="00F9094A" w:rsidRDefault="00013F68" w:rsidP="005A4281">
      <w:pPr>
        <w:pStyle w:val="CEOEndBar"/>
        <w:rPr>
          <w:lang w:val="en-US"/>
        </w:rPr>
      </w:pPr>
    </w:p>
    <w:p w:rsidR="00013F68" w:rsidRPr="00F9094A" w:rsidRDefault="00013F68" w:rsidP="005A4281">
      <w:pPr>
        <w:pStyle w:val="CEOEndBar"/>
        <w:rPr>
          <w:lang w:val="en-US"/>
        </w:rPr>
        <w:sectPr w:rsidR="00013F68" w:rsidRPr="00F9094A" w:rsidSect="004E12F5">
          <w:headerReference w:type="default" r:id="rId209"/>
          <w:footerReference w:type="default" r:id="rId210"/>
          <w:endnotePr>
            <w:numFmt w:val="decimal"/>
          </w:endnotePr>
          <w:type w:val="oddPage"/>
          <w:pgSz w:w="11907" w:h="16840" w:code="9"/>
          <w:pgMar w:top="1418" w:right="1418" w:bottom="1418" w:left="1418" w:header="709" w:footer="709" w:gutter="0"/>
          <w:pgNumType w:start="69"/>
          <w:cols w:space="708"/>
          <w:docGrid w:linePitch="360"/>
        </w:sectPr>
      </w:pPr>
    </w:p>
    <w:p w:rsidR="00013F68" w:rsidRPr="00901848" w:rsidRDefault="00013F68" w:rsidP="0041181C">
      <w:pPr>
        <w:pStyle w:val="Heading1"/>
        <w:spacing w:before="240" w:after="120"/>
        <w:rPr>
          <w:lang w:val="es-ES_tradnl"/>
        </w:rPr>
      </w:pPr>
      <w:bookmarkStart w:id="152" w:name="_Toc365036843"/>
      <w:bookmarkStart w:id="153" w:name="_Toc381259723"/>
      <w:r w:rsidRPr="00901848">
        <w:rPr>
          <w:lang w:val="es-ES_tradnl"/>
        </w:rPr>
        <w:lastRenderedPageBreak/>
        <w:t>Anexo 2A: Relaciones entre las Cuestiones de la Comisión de Estudio 1 del UIT-D y las Cuestiones del UIT-T y el UIT-R</w:t>
      </w:r>
      <w:bookmarkEnd w:id="152"/>
      <w:bookmarkEnd w:id="153"/>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47"/>
        <w:gridCol w:w="2247"/>
        <w:gridCol w:w="2776"/>
        <w:gridCol w:w="2796"/>
      </w:tblGrid>
      <w:tr w:rsidR="00013F68" w:rsidRPr="00A31E61" w:rsidTr="007650A3">
        <w:trPr>
          <w:tblHeader/>
          <w:jc w:val="center"/>
        </w:trPr>
        <w:tc>
          <w:tcPr>
            <w:tcW w:w="1978" w:type="dxa"/>
            <w:shd w:val="clear" w:color="auto" w:fill="005173"/>
            <w:vAlign w:val="center"/>
          </w:tcPr>
          <w:p w:rsidR="00013F68" w:rsidRPr="00A96787" w:rsidRDefault="00013F68" w:rsidP="0020782D">
            <w:pPr>
              <w:pStyle w:val="Tablehead"/>
              <w:spacing w:after="0"/>
              <w:rPr>
                <w:lang w:eastAsia="en-US"/>
              </w:rPr>
            </w:pPr>
            <w:proofErr w:type="spellStart"/>
            <w:r w:rsidRPr="00A96787">
              <w:rPr>
                <w:lang w:eastAsia="en-US"/>
              </w:rPr>
              <w:t>Cuestión</w:t>
            </w:r>
            <w:proofErr w:type="spellEnd"/>
          </w:p>
        </w:tc>
        <w:tc>
          <w:tcPr>
            <w:tcW w:w="4620" w:type="dxa"/>
            <w:shd w:val="clear" w:color="auto" w:fill="005173"/>
            <w:vAlign w:val="center"/>
          </w:tcPr>
          <w:p w:rsidR="00013F68" w:rsidRPr="00A96787" w:rsidRDefault="00013F68" w:rsidP="0020782D">
            <w:pPr>
              <w:pStyle w:val="Tablehead"/>
              <w:spacing w:after="0"/>
              <w:rPr>
                <w:lang w:eastAsia="en-US"/>
              </w:rPr>
            </w:pPr>
            <w:proofErr w:type="spellStart"/>
            <w:r w:rsidRPr="00A96787">
              <w:rPr>
                <w:lang w:eastAsia="en-US"/>
              </w:rPr>
              <w:t>Título</w:t>
            </w:r>
            <w:proofErr w:type="spellEnd"/>
            <w:r w:rsidRPr="00A96787">
              <w:rPr>
                <w:lang w:eastAsia="en-US"/>
              </w:rPr>
              <w:t xml:space="preserve"> de la </w:t>
            </w:r>
            <w:proofErr w:type="spellStart"/>
            <w:r w:rsidRPr="00A96787">
              <w:rPr>
                <w:lang w:eastAsia="en-US"/>
              </w:rPr>
              <w:t>Cuestión</w:t>
            </w:r>
            <w:proofErr w:type="spellEnd"/>
          </w:p>
        </w:tc>
        <w:tc>
          <w:tcPr>
            <w:tcW w:w="2330" w:type="dxa"/>
            <w:shd w:val="clear" w:color="auto" w:fill="005173"/>
            <w:vAlign w:val="center"/>
          </w:tcPr>
          <w:p w:rsidR="00013F68" w:rsidRPr="00901848" w:rsidRDefault="00013F68" w:rsidP="0020782D">
            <w:pPr>
              <w:pStyle w:val="Tablehead"/>
              <w:spacing w:after="0"/>
              <w:rPr>
                <w:lang w:val="es-ES_tradnl" w:eastAsia="en-US"/>
              </w:rPr>
            </w:pPr>
            <w:r w:rsidRPr="00901848">
              <w:rPr>
                <w:lang w:val="es-ES_tradnl" w:eastAsia="en-US"/>
              </w:rPr>
              <w:t>Programa/iniciativa de la BDT</w:t>
            </w:r>
          </w:p>
        </w:tc>
        <w:tc>
          <w:tcPr>
            <w:tcW w:w="2880" w:type="dxa"/>
            <w:shd w:val="clear" w:color="auto" w:fill="005173"/>
            <w:vAlign w:val="center"/>
          </w:tcPr>
          <w:p w:rsidR="00013F68" w:rsidRPr="00901848" w:rsidRDefault="00013F68" w:rsidP="0020782D">
            <w:pPr>
              <w:pStyle w:val="Tablehead"/>
              <w:spacing w:after="0"/>
              <w:rPr>
                <w:lang w:val="es-ES_tradnl" w:eastAsia="en-US"/>
              </w:rPr>
            </w:pPr>
            <w:r w:rsidRPr="00901848">
              <w:rPr>
                <w:lang w:val="es-ES_tradnl" w:eastAsia="en-US"/>
              </w:rPr>
              <w:t>Posible relación con las Cuestiones y actividades de las Comisiones de Estudio del UIT-R</w:t>
            </w:r>
          </w:p>
        </w:tc>
        <w:tc>
          <w:tcPr>
            <w:tcW w:w="2901" w:type="dxa"/>
            <w:shd w:val="clear" w:color="auto" w:fill="005173"/>
            <w:vAlign w:val="center"/>
          </w:tcPr>
          <w:p w:rsidR="00013F68" w:rsidRPr="00901848" w:rsidRDefault="00013F68" w:rsidP="0020782D">
            <w:pPr>
              <w:pStyle w:val="Tablehead"/>
              <w:spacing w:after="0"/>
              <w:rPr>
                <w:lang w:val="es-ES_tradnl" w:eastAsia="en-US"/>
              </w:rPr>
            </w:pPr>
            <w:r w:rsidRPr="00901848">
              <w:rPr>
                <w:lang w:val="es-ES_tradnl" w:eastAsia="en-US"/>
              </w:rPr>
              <w:t>Posible relación con las Cuestiones y actividades de las Comisiones de Estudio del UIT-T</w:t>
            </w:r>
          </w:p>
        </w:tc>
      </w:tr>
      <w:tr w:rsidR="00013F68" w:rsidRPr="00A31E61" w:rsidTr="007650A3">
        <w:trPr>
          <w:jc w:val="center"/>
        </w:trPr>
        <w:tc>
          <w:tcPr>
            <w:tcW w:w="1978" w:type="dxa"/>
            <w:shd w:val="clear" w:color="auto" w:fill="E8F8FD"/>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bCs/>
                <w:sz w:val="18"/>
                <w:szCs w:val="18"/>
                <w:lang w:val="es-ES" w:eastAsia="en-US"/>
              </w:rPr>
            </w:pPr>
            <w:r w:rsidRPr="00A96787">
              <w:rPr>
                <w:b/>
                <w:sz w:val="18"/>
                <w:szCs w:val="18"/>
                <w:lang w:val="es-ES" w:eastAsia="en-US"/>
              </w:rPr>
              <w:t>Cuestión</w:t>
            </w:r>
            <w:r w:rsidRPr="00A96787">
              <w:rPr>
                <w:rFonts w:eastAsia="Times New Roman" w:cs="Times New Roman Bold"/>
                <w:b/>
                <w:sz w:val="18"/>
                <w:szCs w:val="18"/>
                <w:lang w:val="es-ES" w:eastAsia="en-US"/>
              </w:rPr>
              <w:t xml:space="preserve"> 7-3/1</w:t>
            </w:r>
          </w:p>
        </w:tc>
        <w:tc>
          <w:tcPr>
            <w:tcW w:w="4620" w:type="dxa"/>
            <w:shd w:val="clear" w:color="auto" w:fill="E8F8FD"/>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Cs/>
                <w:sz w:val="18"/>
                <w:szCs w:val="18"/>
                <w:lang w:val="es-ES" w:eastAsia="en-US"/>
              </w:rPr>
            </w:pPr>
            <w:r w:rsidRPr="00A96787">
              <w:rPr>
                <w:sz w:val="18"/>
                <w:szCs w:val="18"/>
                <w:lang w:val="es-ES"/>
              </w:rPr>
              <w:t>Aplicación del acceso universal a los servicios de banda ancha</w:t>
            </w:r>
          </w:p>
        </w:tc>
        <w:tc>
          <w:tcPr>
            <w:tcW w:w="2330"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Programa 3</w:t>
            </w:r>
          </w:p>
        </w:tc>
        <w:tc>
          <w:tcPr>
            <w:tcW w:w="2880" w:type="dxa"/>
            <w:shd w:val="clear" w:color="auto" w:fill="E8F8FD"/>
          </w:tcPr>
          <w:p w:rsidR="00013F68" w:rsidRPr="00A96787" w:rsidRDefault="00A31E61" w:rsidP="0020782D">
            <w:pPr>
              <w:jc w:val="left"/>
              <w:rPr>
                <w:sz w:val="18"/>
                <w:szCs w:val="18"/>
                <w:lang w:val="es-ES"/>
              </w:rPr>
            </w:pPr>
            <w:hyperlink r:id="rId211" w:history="1">
              <w:r w:rsidR="00013F68" w:rsidRPr="0041181C">
                <w:rPr>
                  <w:rStyle w:val="Hyperlink"/>
                  <w:rFonts w:cs="Calibri"/>
                  <w:sz w:val="19"/>
                  <w:szCs w:val="19"/>
                  <w:lang w:val="pt-BR"/>
                </w:rPr>
                <w:t>CE 1 del UIT-R – Gestión del espectro</w:t>
              </w:r>
            </w:hyperlink>
          </w:p>
          <w:p w:rsidR="00013F68" w:rsidRPr="00A96787" w:rsidRDefault="00A31E61" w:rsidP="0020782D">
            <w:pPr>
              <w:jc w:val="left"/>
              <w:rPr>
                <w:sz w:val="18"/>
                <w:szCs w:val="18"/>
                <w:lang w:val="es-ES"/>
              </w:rPr>
            </w:pPr>
            <w:hyperlink r:id="rId212" w:history="1">
              <w:r w:rsidR="00013F68" w:rsidRPr="0041181C">
                <w:rPr>
                  <w:rStyle w:val="Hyperlink"/>
                  <w:sz w:val="18"/>
                  <w:szCs w:val="18"/>
                  <w:lang w:val="es-ES"/>
                </w:rPr>
                <w:t>CE 4 del UIT-R – Servicios por satélite</w:t>
              </w:r>
            </w:hyperlink>
          </w:p>
          <w:p w:rsidR="00013F68" w:rsidRPr="00A96787" w:rsidRDefault="00A31E61" w:rsidP="0020782D">
            <w:pPr>
              <w:jc w:val="left"/>
              <w:rPr>
                <w:sz w:val="18"/>
                <w:szCs w:val="18"/>
                <w:lang w:val="es-ES"/>
              </w:rPr>
            </w:pPr>
            <w:hyperlink r:id="rId213" w:history="1">
              <w:r w:rsidR="00013F68" w:rsidRPr="0041181C">
                <w:rPr>
                  <w:rStyle w:val="Hyperlink"/>
                  <w:sz w:val="18"/>
                  <w:szCs w:val="18"/>
                  <w:lang w:val="es-ES"/>
                </w:rPr>
                <w:t>CE 5 del UIT-R – Servicios terrenales</w:t>
              </w:r>
            </w:hyperlink>
            <w:r w:rsidR="00013F68" w:rsidRPr="00A96787">
              <w:rPr>
                <w:sz w:val="18"/>
                <w:szCs w:val="18"/>
                <w:lang w:val="es-ES" w:eastAsia="en-US"/>
              </w:rPr>
              <w:t xml:space="preserve"> </w:t>
            </w:r>
          </w:p>
        </w:tc>
        <w:tc>
          <w:tcPr>
            <w:tcW w:w="2901" w:type="dxa"/>
            <w:shd w:val="clear" w:color="auto" w:fill="E8F8FD"/>
          </w:tcPr>
          <w:p w:rsidR="00013F68" w:rsidRPr="0041181C" w:rsidRDefault="00A31E61" w:rsidP="004E2B41">
            <w:pPr>
              <w:pStyle w:val="Tabletext"/>
              <w:spacing w:after="0"/>
              <w:rPr>
                <w:rStyle w:val="Hyperlink"/>
                <w:lang w:val="es-ES_tradnl"/>
              </w:rPr>
            </w:pPr>
            <w:hyperlink r:id="rId214" w:history="1">
              <w:r w:rsidR="00013F68" w:rsidRPr="0041181C">
                <w:rPr>
                  <w:rStyle w:val="Hyperlink"/>
                  <w:lang w:val="es-ES_tradnl"/>
                </w:rPr>
                <w:t>CE 13 del UIT-T – Futuras redes, con inclusión de las redes móviles y las NGN</w:t>
              </w:r>
            </w:hyperlink>
          </w:p>
          <w:p w:rsidR="00013F68" w:rsidRPr="00A96787" w:rsidRDefault="00A31E61" w:rsidP="00A657F3">
            <w:pPr>
              <w:spacing w:before="60"/>
              <w:jc w:val="left"/>
              <w:rPr>
                <w:sz w:val="18"/>
                <w:szCs w:val="18"/>
                <w:lang w:val="es-ES"/>
              </w:rPr>
            </w:pPr>
            <w:hyperlink r:id="rId215" w:history="1">
              <w:r w:rsidR="00013F68" w:rsidRPr="0041181C">
                <w:rPr>
                  <w:rStyle w:val="Hyperlink"/>
                  <w:sz w:val="18"/>
                  <w:szCs w:val="18"/>
                  <w:lang w:val="es-ES"/>
                </w:rPr>
                <w:t>CE 15 del UIT-T – Redes, tecnologías e infraestructuras de las redes de transporte, de acceso y domésticas</w:t>
              </w:r>
            </w:hyperlink>
          </w:p>
          <w:p w:rsidR="00013F68" w:rsidRPr="00A96787" w:rsidRDefault="00A31E61" w:rsidP="00A657F3">
            <w:pPr>
              <w:spacing w:before="60"/>
              <w:jc w:val="left"/>
              <w:rPr>
                <w:sz w:val="18"/>
                <w:szCs w:val="18"/>
                <w:lang w:val="es-ES"/>
              </w:rPr>
            </w:pPr>
            <w:hyperlink r:id="rId216" w:history="1">
              <w:r w:rsidR="00013F68" w:rsidRPr="0041181C">
                <w:rPr>
                  <w:rStyle w:val="Hyperlink"/>
                  <w:sz w:val="18"/>
                  <w:szCs w:val="18"/>
                  <w:lang w:val="es-ES"/>
                </w:rPr>
                <w:t>CE 9 del UIT-T – Redes de cable de banda ancha integradas y transmisión sonora y de televisión</w:t>
              </w:r>
            </w:hyperlink>
          </w:p>
        </w:tc>
      </w:tr>
      <w:tr w:rsidR="00013F68" w:rsidRPr="00A96787" w:rsidTr="007650A3">
        <w:trPr>
          <w:jc w:val="center"/>
        </w:trPr>
        <w:tc>
          <w:tcPr>
            <w:tcW w:w="1978"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bCs/>
                <w:sz w:val="18"/>
                <w:szCs w:val="18"/>
                <w:lang w:val="es-ES" w:eastAsia="en-US"/>
              </w:rPr>
            </w:pPr>
            <w:r w:rsidRPr="00A96787">
              <w:rPr>
                <w:b/>
                <w:sz w:val="18"/>
                <w:szCs w:val="18"/>
                <w:lang w:val="es-ES" w:eastAsia="en-US"/>
              </w:rPr>
              <w:t>Cuestión</w:t>
            </w:r>
            <w:r w:rsidRPr="00A96787">
              <w:rPr>
                <w:rFonts w:eastAsia="Times New Roman" w:cs="Times New Roman Bold"/>
                <w:b/>
                <w:sz w:val="18"/>
                <w:szCs w:val="18"/>
                <w:lang w:val="es-ES" w:eastAsia="en-US"/>
              </w:rPr>
              <w:t xml:space="preserve"> 10-3/1</w:t>
            </w:r>
          </w:p>
          <w:p w:rsidR="00013F68" w:rsidRPr="00A96787" w:rsidRDefault="00013F68" w:rsidP="004E2B41">
            <w:pPr>
              <w:rPr>
                <w:sz w:val="18"/>
                <w:szCs w:val="18"/>
                <w:lang w:val="es-ES" w:eastAsia="en-US"/>
              </w:rPr>
            </w:pPr>
          </w:p>
        </w:tc>
        <w:tc>
          <w:tcPr>
            <w:tcW w:w="4620" w:type="dxa"/>
          </w:tcPr>
          <w:p w:rsidR="00013F68" w:rsidRPr="004E2B41"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Cs/>
                <w:spacing w:val="-4"/>
                <w:sz w:val="18"/>
                <w:szCs w:val="18"/>
                <w:lang w:val="es-ES" w:eastAsia="en-US"/>
              </w:rPr>
            </w:pPr>
            <w:r w:rsidRPr="004E2B41">
              <w:rPr>
                <w:spacing w:val="-4"/>
                <w:sz w:val="18"/>
                <w:szCs w:val="18"/>
                <w:lang w:val="es-ES"/>
              </w:rPr>
              <w:t>Repercusiones del régimen de concesión de licencias y autorizaciones y otras medidas reglamentarias importantes en la competencia en un entorno de las TIC convergente</w:t>
            </w:r>
          </w:p>
        </w:tc>
        <w:tc>
          <w:tcPr>
            <w:tcW w:w="2330"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sz w:val="18"/>
                <w:szCs w:val="18"/>
                <w:highlight w:val="yellow"/>
                <w:lang w:val="es-ES" w:eastAsia="en-US"/>
              </w:rPr>
            </w:pPr>
            <w:r w:rsidRPr="00A96787">
              <w:rPr>
                <w:rFonts w:eastAsia="Times New Roman" w:cs="Times New Roman Bold"/>
                <w:b/>
                <w:sz w:val="18"/>
                <w:szCs w:val="18"/>
                <w:lang w:val="es-ES" w:eastAsia="en-US"/>
              </w:rPr>
              <w:t>Programa 3</w:t>
            </w:r>
          </w:p>
        </w:tc>
        <w:tc>
          <w:tcPr>
            <w:tcW w:w="2880" w:type="dxa"/>
          </w:tcPr>
          <w:p w:rsidR="00013F68" w:rsidRPr="00A96787" w:rsidRDefault="00013F68" w:rsidP="004E2B41">
            <w:pPr>
              <w:rPr>
                <w:sz w:val="18"/>
                <w:szCs w:val="18"/>
                <w:lang w:val="es-ES" w:eastAsia="en-US"/>
              </w:rPr>
            </w:pPr>
          </w:p>
        </w:tc>
        <w:tc>
          <w:tcPr>
            <w:tcW w:w="2901"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spacing w:before="60"/>
              <w:textAlignment w:val="baseline"/>
              <w:rPr>
                <w:rFonts w:eastAsia="Times New Roman" w:cs="Times New Roman Bold"/>
                <w:bCs/>
                <w:sz w:val="18"/>
                <w:szCs w:val="18"/>
                <w:lang w:val="es-ES" w:eastAsia="en-US"/>
              </w:rPr>
            </w:pPr>
          </w:p>
        </w:tc>
      </w:tr>
      <w:tr w:rsidR="00013F68" w:rsidRPr="00A31E61" w:rsidTr="007650A3">
        <w:trPr>
          <w:jc w:val="center"/>
        </w:trPr>
        <w:tc>
          <w:tcPr>
            <w:tcW w:w="1978"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Cuestión 12-3/1</w:t>
            </w:r>
          </w:p>
        </w:tc>
        <w:tc>
          <w:tcPr>
            <w:tcW w:w="4620" w:type="dxa"/>
            <w:shd w:val="clear" w:color="auto" w:fill="E8F8FD"/>
          </w:tcPr>
          <w:p w:rsidR="00013F68" w:rsidRPr="00A96787" w:rsidRDefault="00013F68" w:rsidP="004E2B41">
            <w:pPr>
              <w:rPr>
                <w:bCs/>
                <w:sz w:val="18"/>
                <w:szCs w:val="18"/>
                <w:lang w:val="es-ES" w:eastAsia="en-US"/>
              </w:rPr>
            </w:pPr>
            <w:r w:rsidRPr="00A96787">
              <w:rPr>
                <w:sz w:val="18"/>
                <w:szCs w:val="18"/>
                <w:lang w:val="es-ES"/>
              </w:rPr>
              <w:t>Políticas tarifarias, modelos de tarifas y métodos para determinar los costes de los servicios de las redes de telecomunicaciones nacionales, incluidas las de la próxima generación</w:t>
            </w:r>
          </w:p>
        </w:tc>
        <w:tc>
          <w:tcPr>
            <w:tcW w:w="2330" w:type="dxa"/>
            <w:shd w:val="clear" w:color="auto" w:fill="E8F8FD"/>
          </w:tcPr>
          <w:p w:rsidR="00013F68" w:rsidRPr="00A96787" w:rsidRDefault="00013F68" w:rsidP="004E2B41">
            <w:pPr>
              <w:rPr>
                <w:b/>
                <w:sz w:val="18"/>
                <w:szCs w:val="18"/>
                <w:highlight w:val="yellow"/>
                <w:lang w:val="es-ES" w:eastAsia="en-US"/>
              </w:rPr>
            </w:pPr>
            <w:r w:rsidRPr="00A96787">
              <w:rPr>
                <w:b/>
                <w:sz w:val="18"/>
                <w:szCs w:val="18"/>
                <w:lang w:val="es-ES" w:eastAsia="en-US"/>
              </w:rPr>
              <w:t>Programa 3</w:t>
            </w:r>
          </w:p>
        </w:tc>
        <w:tc>
          <w:tcPr>
            <w:tcW w:w="2880" w:type="dxa"/>
            <w:shd w:val="clear" w:color="auto" w:fill="E8F8FD"/>
          </w:tcPr>
          <w:p w:rsidR="00013F68" w:rsidRPr="00A96787" w:rsidRDefault="00013F68" w:rsidP="004E2B41">
            <w:pPr>
              <w:rPr>
                <w:bCs/>
                <w:sz w:val="18"/>
                <w:szCs w:val="18"/>
                <w:lang w:val="es-ES" w:eastAsia="en-US"/>
              </w:rPr>
            </w:pPr>
          </w:p>
          <w:p w:rsidR="00013F68" w:rsidRPr="00A96787" w:rsidRDefault="00013F68" w:rsidP="004E2B41">
            <w:pPr>
              <w:rPr>
                <w:sz w:val="18"/>
                <w:szCs w:val="18"/>
                <w:lang w:val="es-ES" w:eastAsia="en-US"/>
              </w:rPr>
            </w:pPr>
          </w:p>
          <w:p w:rsidR="00013F68" w:rsidRPr="00A96787" w:rsidRDefault="00013F68" w:rsidP="004E2B41">
            <w:pPr>
              <w:jc w:val="center"/>
              <w:rPr>
                <w:sz w:val="18"/>
                <w:szCs w:val="18"/>
                <w:lang w:val="es-ES" w:eastAsia="en-US"/>
              </w:rPr>
            </w:pPr>
          </w:p>
        </w:tc>
        <w:tc>
          <w:tcPr>
            <w:tcW w:w="2901" w:type="dxa"/>
            <w:shd w:val="clear" w:color="auto" w:fill="E8F8FD"/>
          </w:tcPr>
          <w:p w:rsidR="00013F68" w:rsidRPr="00A96787" w:rsidRDefault="00A31E61" w:rsidP="004E2B41">
            <w:pPr>
              <w:spacing w:before="60"/>
              <w:rPr>
                <w:bCs/>
                <w:sz w:val="18"/>
                <w:szCs w:val="18"/>
                <w:lang w:val="es-ES" w:eastAsia="en-US"/>
              </w:rPr>
            </w:pPr>
            <w:hyperlink r:id="rId217" w:history="1">
              <w:r w:rsidR="00013F68" w:rsidRPr="00911A0F">
                <w:rPr>
                  <w:rStyle w:val="Hyperlink"/>
                  <w:sz w:val="18"/>
                  <w:szCs w:val="18"/>
                  <w:lang w:val="es-ES"/>
                </w:rPr>
                <w:t>CE 3 del UIT-T - Principios de tarificación y contabilidad, con inclusión de los temas relativos a economía y política de las telecomunicaciones</w:t>
              </w:r>
            </w:hyperlink>
            <w:r w:rsidR="00013F68" w:rsidRPr="00A96787">
              <w:rPr>
                <w:color w:val="0000FF"/>
                <w:sz w:val="18"/>
                <w:szCs w:val="18"/>
                <w:u w:val="single"/>
                <w:lang w:val="es-ES"/>
              </w:rPr>
              <w:t xml:space="preserve"> </w:t>
            </w:r>
          </w:p>
        </w:tc>
      </w:tr>
      <w:tr w:rsidR="00013F68" w:rsidRPr="00A31E61" w:rsidTr="007650A3">
        <w:trPr>
          <w:jc w:val="center"/>
        </w:trPr>
        <w:tc>
          <w:tcPr>
            <w:tcW w:w="1978" w:type="dxa"/>
          </w:tcPr>
          <w:p w:rsidR="00013F68" w:rsidRPr="00A96787" w:rsidRDefault="00013F68" w:rsidP="004E2B41">
            <w:pPr>
              <w:rPr>
                <w:rFonts w:eastAsia="Times New Roman"/>
                <w:b/>
                <w:bCs/>
                <w:sz w:val="18"/>
                <w:szCs w:val="18"/>
                <w:lang w:val="es-ES" w:eastAsia="en-US"/>
              </w:rPr>
            </w:pPr>
            <w:r w:rsidRPr="00A96787">
              <w:rPr>
                <w:b/>
                <w:sz w:val="18"/>
                <w:szCs w:val="18"/>
                <w:lang w:val="es-ES" w:eastAsia="en-US"/>
              </w:rPr>
              <w:t>Cuestión</w:t>
            </w:r>
            <w:r w:rsidRPr="00A96787">
              <w:rPr>
                <w:rFonts w:eastAsia="Times New Roman"/>
                <w:b/>
                <w:sz w:val="18"/>
                <w:szCs w:val="18"/>
                <w:lang w:val="es-ES" w:eastAsia="en-US"/>
              </w:rPr>
              <w:t xml:space="preserve"> 18-2/1</w:t>
            </w:r>
          </w:p>
        </w:tc>
        <w:tc>
          <w:tcPr>
            <w:tcW w:w="4620" w:type="dxa"/>
          </w:tcPr>
          <w:p w:rsidR="00013F68" w:rsidRPr="00A96787" w:rsidRDefault="00013F68" w:rsidP="004E2B41">
            <w:pPr>
              <w:rPr>
                <w:bCs/>
                <w:sz w:val="18"/>
                <w:szCs w:val="18"/>
                <w:lang w:val="es-ES" w:eastAsia="en-US"/>
              </w:rPr>
            </w:pPr>
            <w:r w:rsidRPr="00A96787">
              <w:rPr>
                <w:sz w:val="18"/>
                <w:szCs w:val="18"/>
                <w:lang w:val="es-ES"/>
              </w:rPr>
              <w:t>Velar por el cumplimiento de las políticas y reglamentos nacionales sobre protección de los consumidores, principalmente en un entorno de convergencia</w:t>
            </w:r>
          </w:p>
        </w:tc>
        <w:tc>
          <w:tcPr>
            <w:tcW w:w="2330" w:type="dxa"/>
          </w:tcPr>
          <w:p w:rsidR="00013F68" w:rsidRPr="00A96787" w:rsidRDefault="00013F68" w:rsidP="004E2B41">
            <w:pPr>
              <w:rPr>
                <w:rFonts w:eastAsia="Times New Roman"/>
                <w:b/>
                <w:bCs/>
                <w:sz w:val="18"/>
                <w:szCs w:val="18"/>
                <w:lang w:val="es-ES" w:eastAsia="en-US"/>
              </w:rPr>
            </w:pPr>
          </w:p>
        </w:tc>
        <w:tc>
          <w:tcPr>
            <w:tcW w:w="2880" w:type="dxa"/>
          </w:tcPr>
          <w:p w:rsidR="00013F68" w:rsidRPr="00A96787" w:rsidRDefault="00A31E61" w:rsidP="004E2B41">
            <w:pPr>
              <w:pStyle w:val="Tabletext"/>
              <w:spacing w:after="0"/>
              <w:rPr>
                <w:sz w:val="18"/>
                <w:szCs w:val="18"/>
                <w:lang w:val="es-ES"/>
              </w:rPr>
            </w:pPr>
            <w:hyperlink r:id="rId218" w:history="1">
              <w:r w:rsidR="00013F68" w:rsidRPr="0041181C">
                <w:rPr>
                  <w:rStyle w:val="Hyperlink"/>
                  <w:bCs/>
                  <w:lang w:val="pt-BR"/>
                </w:rPr>
                <w:t>CE 1 del UIT-R – Gestión del espectro</w:t>
              </w:r>
            </w:hyperlink>
          </w:p>
        </w:tc>
        <w:tc>
          <w:tcPr>
            <w:tcW w:w="2901" w:type="dxa"/>
          </w:tcPr>
          <w:p w:rsidR="00013F68" w:rsidRPr="00A96787" w:rsidRDefault="00013F68" w:rsidP="004E2B41">
            <w:pPr>
              <w:spacing w:before="60"/>
              <w:rPr>
                <w:rFonts w:eastAsia="Times New Roman"/>
                <w:sz w:val="18"/>
                <w:szCs w:val="18"/>
                <w:lang w:val="es-ES" w:eastAsia="en-US"/>
              </w:rPr>
            </w:pPr>
          </w:p>
        </w:tc>
      </w:tr>
      <w:tr w:rsidR="00013F68" w:rsidRPr="00A31E61" w:rsidTr="007650A3">
        <w:trPr>
          <w:jc w:val="center"/>
        </w:trPr>
        <w:tc>
          <w:tcPr>
            <w:tcW w:w="1978"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Cuestión 19-2/1</w:t>
            </w:r>
          </w:p>
        </w:tc>
        <w:tc>
          <w:tcPr>
            <w:tcW w:w="4620" w:type="dxa"/>
            <w:shd w:val="clear" w:color="auto" w:fill="E8F8FD"/>
          </w:tcPr>
          <w:p w:rsidR="00013F68" w:rsidRPr="00A96787" w:rsidRDefault="00013F68" w:rsidP="004E2B41">
            <w:pPr>
              <w:rPr>
                <w:sz w:val="18"/>
                <w:szCs w:val="18"/>
                <w:lang w:val="es-ES" w:eastAsia="en-US"/>
              </w:rPr>
            </w:pPr>
            <w:r w:rsidRPr="00A96787">
              <w:rPr>
                <w:sz w:val="18"/>
                <w:szCs w:val="18"/>
                <w:lang w:val="es-ES"/>
              </w:rPr>
              <w:t>Implementación de los servicios de telecomunicaciones IP en los países en desarrollo</w:t>
            </w:r>
          </w:p>
        </w:tc>
        <w:tc>
          <w:tcPr>
            <w:tcW w:w="2330"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Programa 1</w:t>
            </w:r>
          </w:p>
        </w:tc>
        <w:tc>
          <w:tcPr>
            <w:tcW w:w="2880" w:type="dxa"/>
            <w:shd w:val="clear" w:color="auto" w:fill="E8F8FD"/>
          </w:tcPr>
          <w:p w:rsidR="00013F68" w:rsidRPr="00A96787" w:rsidRDefault="00013F68" w:rsidP="004E2B41">
            <w:pPr>
              <w:rPr>
                <w:sz w:val="18"/>
                <w:szCs w:val="18"/>
                <w:lang w:val="es-ES" w:eastAsia="en-US"/>
              </w:rPr>
            </w:pPr>
          </w:p>
        </w:tc>
        <w:tc>
          <w:tcPr>
            <w:tcW w:w="2901" w:type="dxa"/>
            <w:shd w:val="clear" w:color="auto" w:fill="E8F8FD"/>
          </w:tcPr>
          <w:p w:rsidR="00013F68" w:rsidRPr="00A96787" w:rsidRDefault="00A31E61" w:rsidP="004E2B41">
            <w:pPr>
              <w:spacing w:before="60"/>
              <w:rPr>
                <w:sz w:val="18"/>
                <w:szCs w:val="18"/>
                <w:lang w:val="es-ES"/>
              </w:rPr>
            </w:pPr>
            <w:hyperlink r:id="rId219" w:history="1">
              <w:r w:rsidR="00013F68" w:rsidRPr="0041181C">
                <w:rPr>
                  <w:rStyle w:val="Hyperlink"/>
                  <w:sz w:val="18"/>
                  <w:szCs w:val="18"/>
                  <w:lang w:val="es-ES"/>
                </w:rPr>
                <w:t>CE 13 del UIT-T – Redes futuras, incluida la computación en la nube, las redes móviles y las de la próxima generación</w:t>
              </w:r>
            </w:hyperlink>
          </w:p>
          <w:p w:rsidR="00013F68" w:rsidRPr="00A96787" w:rsidRDefault="00A31E61" w:rsidP="00A657F3">
            <w:pPr>
              <w:spacing w:before="60"/>
              <w:jc w:val="left"/>
              <w:rPr>
                <w:sz w:val="18"/>
                <w:szCs w:val="18"/>
                <w:lang w:val="es-ES" w:eastAsia="en-US"/>
              </w:rPr>
            </w:pPr>
            <w:hyperlink r:id="rId220" w:history="1">
              <w:r w:rsidR="00013F68" w:rsidRPr="0041181C">
                <w:rPr>
                  <w:rStyle w:val="Hyperlink"/>
                  <w:sz w:val="18"/>
                  <w:szCs w:val="18"/>
                  <w:lang w:val="es-ES"/>
                </w:rPr>
                <w:t>CE 16 del UIT-T - Codificación, sistemas y aplicaciones multimedios</w:t>
              </w:r>
            </w:hyperlink>
          </w:p>
          <w:p w:rsidR="00013F68" w:rsidRPr="00A96787" w:rsidRDefault="00A31E61" w:rsidP="00A657F3">
            <w:pPr>
              <w:spacing w:before="60"/>
              <w:jc w:val="left"/>
              <w:rPr>
                <w:color w:val="000000"/>
                <w:sz w:val="18"/>
                <w:szCs w:val="18"/>
                <w:lang w:val="es-ES" w:eastAsia="en-US"/>
              </w:rPr>
            </w:pPr>
            <w:hyperlink r:id="rId221" w:history="1">
              <w:r w:rsidR="00013F68" w:rsidRPr="0041181C">
                <w:rPr>
                  <w:rStyle w:val="Hyperlink"/>
                  <w:sz w:val="18"/>
                  <w:szCs w:val="18"/>
                  <w:lang w:val="es-ES" w:eastAsia="en-US"/>
                </w:rPr>
                <w:t>Iniciativa Mundial de Normalización sobre TVIP (IPTV-GSI) de la CE 16</w:t>
              </w:r>
            </w:hyperlink>
          </w:p>
        </w:tc>
      </w:tr>
      <w:tr w:rsidR="00013F68" w:rsidRPr="00A31E61" w:rsidTr="007650A3">
        <w:trPr>
          <w:jc w:val="center"/>
        </w:trPr>
        <w:tc>
          <w:tcPr>
            <w:tcW w:w="1978"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bCs/>
                <w:sz w:val="18"/>
                <w:szCs w:val="18"/>
                <w:lang w:val="es-ES" w:eastAsia="en-US"/>
              </w:rPr>
            </w:pPr>
            <w:r w:rsidRPr="00A96787">
              <w:rPr>
                <w:b/>
                <w:sz w:val="18"/>
                <w:szCs w:val="18"/>
                <w:lang w:val="es-ES" w:eastAsia="en-US"/>
              </w:rPr>
              <w:lastRenderedPageBreak/>
              <w:t>Cuestión</w:t>
            </w:r>
            <w:r w:rsidRPr="00A96787">
              <w:rPr>
                <w:rFonts w:eastAsia="Times New Roman" w:cs="Times New Roman Bold"/>
                <w:b/>
                <w:sz w:val="18"/>
                <w:szCs w:val="18"/>
                <w:lang w:val="es-ES" w:eastAsia="en-US"/>
              </w:rPr>
              <w:t xml:space="preserve"> 20-1/1</w:t>
            </w:r>
          </w:p>
        </w:tc>
        <w:tc>
          <w:tcPr>
            <w:tcW w:w="4620"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Cs/>
                <w:sz w:val="18"/>
                <w:szCs w:val="18"/>
                <w:lang w:val="es-ES" w:eastAsia="en-US"/>
              </w:rPr>
            </w:pPr>
            <w:r w:rsidRPr="00A96787">
              <w:rPr>
                <w:sz w:val="18"/>
                <w:szCs w:val="18"/>
                <w:lang w:val="es-ES"/>
              </w:rPr>
              <w:t>Acceso a los servicios de telecomunicaciones/TIC para las personas con discapacidad y con necesidades especiales</w:t>
            </w:r>
          </w:p>
        </w:tc>
        <w:tc>
          <w:tcPr>
            <w:tcW w:w="2330" w:type="dxa"/>
          </w:tcPr>
          <w:p w:rsidR="00013F68" w:rsidRPr="00A96787" w:rsidRDefault="00013F68" w:rsidP="004E2B41">
            <w:pPr>
              <w:rPr>
                <w:b/>
                <w:bCs/>
                <w:sz w:val="18"/>
                <w:szCs w:val="18"/>
                <w:lang w:val="es-ES" w:eastAsia="en-US"/>
              </w:rPr>
            </w:pPr>
            <w:r w:rsidRPr="00A96787">
              <w:rPr>
                <w:b/>
                <w:sz w:val="18"/>
                <w:szCs w:val="18"/>
                <w:lang w:val="es-ES" w:eastAsia="en-US"/>
              </w:rPr>
              <w:t>Programa 4</w:t>
            </w:r>
          </w:p>
        </w:tc>
        <w:tc>
          <w:tcPr>
            <w:tcW w:w="2880" w:type="dxa"/>
          </w:tcPr>
          <w:p w:rsidR="00013F68" w:rsidRPr="00A96787" w:rsidRDefault="00A31E61" w:rsidP="0020782D">
            <w:pPr>
              <w:tabs>
                <w:tab w:val="left" w:pos="567"/>
                <w:tab w:val="left" w:pos="1134"/>
                <w:tab w:val="left" w:pos="1701"/>
                <w:tab w:val="left" w:pos="2268"/>
                <w:tab w:val="left" w:pos="2835"/>
              </w:tabs>
              <w:overflowPunct w:val="0"/>
              <w:autoSpaceDE w:val="0"/>
              <w:autoSpaceDN w:val="0"/>
              <w:adjustRightInd w:val="0"/>
              <w:jc w:val="left"/>
              <w:textAlignment w:val="baseline"/>
              <w:rPr>
                <w:rFonts w:eastAsia="Times New Roman" w:cs="Times New Roman Bold"/>
                <w:b/>
                <w:bCs/>
                <w:sz w:val="18"/>
                <w:szCs w:val="18"/>
                <w:lang w:val="es-ES" w:eastAsia="en-US"/>
              </w:rPr>
            </w:pPr>
            <w:hyperlink r:id="rId222" w:history="1">
              <w:r w:rsidR="00013F68" w:rsidRPr="00183A26">
                <w:rPr>
                  <w:rStyle w:val="Hyperlink"/>
                  <w:sz w:val="18"/>
                  <w:szCs w:val="18"/>
                  <w:lang w:val="es-ES" w:eastAsia="en-US"/>
                </w:rPr>
                <w:t>CE 6 del UIT-R – Servicio de radiodifusión</w:t>
              </w:r>
            </w:hyperlink>
            <w:r w:rsidR="00013F68" w:rsidRPr="00A96787">
              <w:rPr>
                <w:b/>
                <w:color w:val="0000FF"/>
                <w:sz w:val="18"/>
                <w:szCs w:val="18"/>
                <w:u w:val="single"/>
                <w:lang w:val="es-ES" w:eastAsia="en-US"/>
              </w:rPr>
              <w:t xml:space="preserve"> </w:t>
            </w:r>
          </w:p>
        </w:tc>
        <w:tc>
          <w:tcPr>
            <w:tcW w:w="2901" w:type="dxa"/>
          </w:tcPr>
          <w:p w:rsidR="00013F68" w:rsidRPr="00A96787" w:rsidRDefault="00A31E61" w:rsidP="00183A26">
            <w:pPr>
              <w:spacing w:before="60"/>
              <w:jc w:val="left"/>
              <w:rPr>
                <w:sz w:val="18"/>
                <w:szCs w:val="18"/>
                <w:lang w:val="es-ES" w:eastAsia="en-US"/>
              </w:rPr>
            </w:pPr>
            <w:hyperlink r:id="rId223" w:history="1">
              <w:r w:rsidR="00013F68" w:rsidRPr="00183A26">
                <w:rPr>
                  <w:rStyle w:val="Hyperlink"/>
                  <w:rFonts w:cs="Calibri"/>
                  <w:bCs/>
                  <w:sz w:val="19"/>
                  <w:szCs w:val="19"/>
                  <w:lang w:val="es-ES_tradnl"/>
                </w:rPr>
                <w:t>CE 16 del UIT-T - Codificación, sistemas y aplicaciones multimedios</w:t>
              </w:r>
            </w:hyperlink>
          </w:p>
          <w:p w:rsidR="00013F68" w:rsidRPr="00DB172B" w:rsidRDefault="00A31E61" w:rsidP="00DB172B">
            <w:pPr>
              <w:pStyle w:val="Tabletext"/>
              <w:rPr>
                <w:rStyle w:val="Hyperlink"/>
                <w:bCs/>
                <w:lang w:val="es-ES_tradnl"/>
              </w:rPr>
            </w:pPr>
            <w:hyperlink r:id="rId224" w:history="1">
              <w:r w:rsidR="00013F68" w:rsidRPr="00DB172B">
                <w:rPr>
                  <w:rStyle w:val="Hyperlink"/>
                  <w:bCs/>
                  <w:lang w:val="es-ES_tradnl"/>
                </w:rPr>
                <w:t>Cuestión 26/16 – Accesibilidad a los sistemas y servicios multimedios</w:t>
              </w:r>
            </w:hyperlink>
          </w:p>
          <w:p w:rsidR="00013F68" w:rsidRPr="00A96787" w:rsidRDefault="00A31E61" w:rsidP="00DB172B">
            <w:pPr>
              <w:spacing w:before="60" w:line="240" w:lineRule="atLeast"/>
              <w:jc w:val="left"/>
              <w:rPr>
                <w:sz w:val="18"/>
                <w:szCs w:val="18"/>
                <w:lang w:val="es-ES"/>
              </w:rPr>
            </w:pPr>
            <w:hyperlink r:id="rId225" w:history="1">
              <w:r w:rsidR="00013F68" w:rsidRPr="00DB172B">
                <w:rPr>
                  <w:rStyle w:val="Hyperlink"/>
                  <w:sz w:val="18"/>
                  <w:szCs w:val="18"/>
                  <w:lang w:val="es-ES"/>
                </w:rPr>
                <w:t>CE 2 del UIT-T – Aspectos operacionales</w:t>
              </w:r>
            </w:hyperlink>
          </w:p>
          <w:p w:rsidR="00013F68" w:rsidRPr="00A96787" w:rsidRDefault="00A31E61" w:rsidP="004E2B41">
            <w:pPr>
              <w:spacing w:before="60" w:line="240" w:lineRule="atLeast"/>
              <w:rPr>
                <w:sz w:val="18"/>
                <w:szCs w:val="18"/>
                <w:lang w:val="es-ES"/>
              </w:rPr>
            </w:pPr>
            <w:hyperlink r:id="rId226" w:history="1">
              <w:r w:rsidR="00013F68" w:rsidRPr="00DB172B">
                <w:rPr>
                  <w:rStyle w:val="Hyperlink"/>
                  <w:sz w:val="18"/>
                  <w:szCs w:val="18"/>
                  <w:lang w:val="es-ES"/>
                </w:rPr>
                <w:t>Cuestión 4/2</w:t>
              </w:r>
            </w:hyperlink>
          </w:p>
          <w:p w:rsidR="00013F68" w:rsidRPr="00A96787" w:rsidRDefault="00A31E61" w:rsidP="00DB172B">
            <w:pPr>
              <w:tabs>
                <w:tab w:val="left" w:pos="567"/>
                <w:tab w:val="left" w:pos="1134"/>
                <w:tab w:val="left" w:pos="1701"/>
                <w:tab w:val="left" w:pos="2268"/>
                <w:tab w:val="left" w:pos="2835"/>
              </w:tabs>
              <w:overflowPunct w:val="0"/>
              <w:autoSpaceDE w:val="0"/>
              <w:autoSpaceDN w:val="0"/>
              <w:adjustRightInd w:val="0"/>
              <w:spacing w:before="60"/>
              <w:jc w:val="left"/>
              <w:textAlignment w:val="baseline"/>
              <w:rPr>
                <w:rFonts w:eastAsia="Times New Roman" w:cs="Times New Roman Bold"/>
                <w:sz w:val="18"/>
                <w:szCs w:val="18"/>
                <w:lang w:val="es-ES" w:eastAsia="en-US"/>
              </w:rPr>
            </w:pPr>
            <w:hyperlink r:id="rId227" w:history="1">
              <w:r w:rsidR="00013F68" w:rsidRPr="00DB172B">
                <w:rPr>
                  <w:rStyle w:val="Hyperlink"/>
                  <w:sz w:val="18"/>
                  <w:szCs w:val="18"/>
                  <w:lang w:val="es-ES"/>
                </w:rPr>
                <w:t>Actividad conjunta de coordinación sobre accesibilidad y factores humanos (JCA-AHF)</w:t>
              </w:r>
            </w:hyperlink>
          </w:p>
        </w:tc>
      </w:tr>
      <w:tr w:rsidR="00013F68" w:rsidRPr="00A96787" w:rsidTr="007650A3">
        <w:trPr>
          <w:jc w:val="center"/>
        </w:trPr>
        <w:tc>
          <w:tcPr>
            <w:tcW w:w="1978" w:type="dxa"/>
            <w:shd w:val="clear" w:color="auto" w:fill="E8F8FD"/>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bCs/>
                <w:sz w:val="18"/>
                <w:szCs w:val="18"/>
                <w:lang w:val="es-ES" w:eastAsia="en-US"/>
              </w:rPr>
            </w:pPr>
            <w:r w:rsidRPr="00A96787">
              <w:rPr>
                <w:b/>
                <w:sz w:val="18"/>
                <w:szCs w:val="18"/>
                <w:lang w:val="es-ES" w:eastAsia="en-US"/>
              </w:rPr>
              <w:t>Cuestión</w:t>
            </w:r>
            <w:r w:rsidRPr="00A96787">
              <w:rPr>
                <w:rFonts w:eastAsia="Times New Roman" w:cs="Times New Roman Bold"/>
                <w:b/>
                <w:sz w:val="18"/>
                <w:szCs w:val="18"/>
                <w:lang w:val="es-ES" w:eastAsia="en-US"/>
              </w:rPr>
              <w:t xml:space="preserve"> 22-1/1</w:t>
            </w:r>
          </w:p>
        </w:tc>
        <w:tc>
          <w:tcPr>
            <w:tcW w:w="4620" w:type="dxa"/>
            <w:shd w:val="clear" w:color="auto" w:fill="E8F8FD"/>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sz w:val="18"/>
                <w:szCs w:val="18"/>
                <w:lang w:val="es-ES" w:eastAsia="en-US"/>
              </w:rPr>
            </w:pPr>
            <w:r w:rsidRPr="00A96787">
              <w:rPr>
                <w:sz w:val="18"/>
                <w:szCs w:val="18"/>
                <w:lang w:val="es-ES"/>
              </w:rPr>
              <w:t xml:space="preserve">Garantías de seguridad en las redes de información y comunicación: prácticas óptimas para el desarrollo de una cultura de </w:t>
            </w:r>
            <w:proofErr w:type="spellStart"/>
            <w:r w:rsidRPr="00A96787">
              <w:rPr>
                <w:sz w:val="18"/>
                <w:szCs w:val="18"/>
                <w:lang w:val="es-ES"/>
              </w:rPr>
              <w:t>ciberseguridad</w:t>
            </w:r>
            <w:proofErr w:type="spellEnd"/>
          </w:p>
        </w:tc>
        <w:tc>
          <w:tcPr>
            <w:tcW w:w="2330" w:type="dxa"/>
            <w:shd w:val="clear" w:color="auto" w:fill="E8F8FD"/>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b/>
                <w:bCs/>
                <w:sz w:val="18"/>
                <w:szCs w:val="18"/>
                <w:lang w:val="es-ES" w:eastAsia="en-US"/>
              </w:rPr>
            </w:pPr>
            <w:r w:rsidRPr="00A96787">
              <w:rPr>
                <w:rFonts w:eastAsia="Times New Roman" w:cs="Times New Roman Bold"/>
                <w:b/>
                <w:sz w:val="18"/>
                <w:szCs w:val="18"/>
                <w:lang w:val="es-ES" w:eastAsia="en-US"/>
              </w:rPr>
              <w:t>Programa 2</w:t>
            </w:r>
          </w:p>
          <w:p w:rsidR="00013F68" w:rsidRPr="00A96787" w:rsidRDefault="00013F68" w:rsidP="00DB172B">
            <w:pPr>
              <w:jc w:val="left"/>
              <w:rPr>
                <w:sz w:val="18"/>
                <w:szCs w:val="18"/>
                <w:lang w:val="es-ES" w:eastAsia="en-US"/>
              </w:rPr>
            </w:pPr>
            <w:r w:rsidRPr="00A96787">
              <w:rPr>
                <w:sz w:val="18"/>
                <w:szCs w:val="18"/>
                <w:lang w:val="es-ES" w:eastAsia="en-US"/>
              </w:rPr>
              <w:t xml:space="preserve">Secretaría General – </w:t>
            </w:r>
            <w:r w:rsidRPr="00A96787">
              <w:rPr>
                <w:sz w:val="18"/>
                <w:szCs w:val="18"/>
                <w:lang w:val="es-ES"/>
              </w:rPr>
              <w:t xml:space="preserve">Agenda sobre </w:t>
            </w:r>
            <w:proofErr w:type="spellStart"/>
            <w:r w:rsidRPr="00A96787">
              <w:rPr>
                <w:sz w:val="18"/>
                <w:szCs w:val="18"/>
                <w:lang w:val="es-ES"/>
              </w:rPr>
              <w:t>Ciberseguridad</w:t>
            </w:r>
            <w:proofErr w:type="spellEnd"/>
            <w:r w:rsidRPr="00A96787">
              <w:rPr>
                <w:sz w:val="18"/>
                <w:szCs w:val="18"/>
                <w:lang w:val="es-ES"/>
              </w:rPr>
              <w:t xml:space="preserve"> Global</w:t>
            </w:r>
          </w:p>
        </w:tc>
        <w:tc>
          <w:tcPr>
            <w:tcW w:w="2880" w:type="dxa"/>
            <w:shd w:val="clear" w:color="auto" w:fill="E8F8FD"/>
          </w:tcPr>
          <w:p w:rsidR="00013F68" w:rsidRPr="00A96787" w:rsidRDefault="00013F68" w:rsidP="004E2B41">
            <w:pPr>
              <w:rPr>
                <w:sz w:val="18"/>
                <w:szCs w:val="18"/>
                <w:lang w:val="es-ES" w:eastAsia="en-US"/>
              </w:rPr>
            </w:pPr>
          </w:p>
        </w:tc>
        <w:tc>
          <w:tcPr>
            <w:tcW w:w="2901" w:type="dxa"/>
            <w:shd w:val="clear" w:color="auto" w:fill="E8F8FD"/>
          </w:tcPr>
          <w:p w:rsidR="00013F68" w:rsidRPr="00A96787" w:rsidRDefault="00A31E61" w:rsidP="004E2B41">
            <w:pPr>
              <w:spacing w:before="60"/>
              <w:rPr>
                <w:sz w:val="18"/>
                <w:szCs w:val="18"/>
                <w:lang w:val="es-ES" w:eastAsia="en-US"/>
              </w:rPr>
            </w:pPr>
            <w:hyperlink r:id="rId228" w:history="1">
              <w:r w:rsidR="00013F68" w:rsidRPr="00DB172B">
                <w:rPr>
                  <w:rStyle w:val="Hyperlink"/>
                  <w:sz w:val="18"/>
                  <w:szCs w:val="18"/>
                  <w:lang w:val="es-ES"/>
                </w:rPr>
                <w:t>CE 17 del UIT-T – Seguridad</w:t>
              </w:r>
            </w:hyperlink>
          </w:p>
        </w:tc>
      </w:tr>
      <w:tr w:rsidR="00013F68" w:rsidRPr="00A31E61" w:rsidTr="007650A3">
        <w:trPr>
          <w:jc w:val="center"/>
        </w:trPr>
        <w:tc>
          <w:tcPr>
            <w:tcW w:w="1978"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ind w:left="567" w:hanging="567"/>
              <w:textAlignment w:val="baseline"/>
              <w:rPr>
                <w:rFonts w:eastAsia="Times New Roman" w:cs="Times New Roman Bold"/>
                <w:b/>
                <w:bCs/>
                <w:sz w:val="18"/>
                <w:szCs w:val="18"/>
                <w:lang w:val="es-ES" w:eastAsia="en-US"/>
              </w:rPr>
            </w:pPr>
            <w:r w:rsidRPr="00A96787">
              <w:rPr>
                <w:b/>
                <w:sz w:val="18"/>
                <w:szCs w:val="18"/>
                <w:lang w:val="es-ES" w:eastAsia="en-US"/>
              </w:rPr>
              <w:t>Cuestión</w:t>
            </w:r>
            <w:r w:rsidRPr="00A96787">
              <w:rPr>
                <w:rFonts w:eastAsia="Times New Roman" w:cs="Times New Roman Bold"/>
                <w:b/>
                <w:sz w:val="18"/>
                <w:szCs w:val="18"/>
                <w:lang w:val="es-ES" w:eastAsia="en-US"/>
              </w:rPr>
              <w:t xml:space="preserve"> 23/1</w:t>
            </w:r>
          </w:p>
        </w:tc>
        <w:tc>
          <w:tcPr>
            <w:tcW w:w="4620" w:type="dxa"/>
          </w:tcPr>
          <w:p w:rsidR="00013F68" w:rsidRPr="00A96787" w:rsidRDefault="00013F68" w:rsidP="004E2B41">
            <w:pPr>
              <w:tabs>
                <w:tab w:val="left" w:pos="567"/>
                <w:tab w:val="left" w:pos="1134"/>
                <w:tab w:val="left" w:pos="1701"/>
                <w:tab w:val="left" w:pos="2268"/>
                <w:tab w:val="left" w:pos="2835"/>
              </w:tabs>
              <w:overflowPunct w:val="0"/>
              <w:autoSpaceDE w:val="0"/>
              <w:autoSpaceDN w:val="0"/>
              <w:adjustRightInd w:val="0"/>
              <w:textAlignment w:val="baseline"/>
              <w:rPr>
                <w:rFonts w:eastAsia="Times New Roman" w:cs="Times New Roman Bold"/>
                <w:sz w:val="18"/>
                <w:szCs w:val="18"/>
                <w:lang w:val="es-ES" w:eastAsia="en-US"/>
              </w:rPr>
            </w:pPr>
            <w:r w:rsidRPr="00A96787">
              <w:rPr>
                <w:sz w:val="18"/>
                <w:szCs w:val="18"/>
                <w:lang w:val="es-ES"/>
              </w:rPr>
              <w:t>Estrategias y políticas relativas a la exposición de las personas a los campos electromagnéticos</w:t>
            </w:r>
          </w:p>
        </w:tc>
        <w:tc>
          <w:tcPr>
            <w:tcW w:w="2330" w:type="dxa"/>
          </w:tcPr>
          <w:p w:rsidR="00013F68" w:rsidRPr="00A96787" w:rsidRDefault="00013F68" w:rsidP="004E2B41">
            <w:pPr>
              <w:rPr>
                <w:b/>
                <w:bCs/>
                <w:sz w:val="18"/>
                <w:szCs w:val="18"/>
                <w:lang w:val="es-ES" w:eastAsia="en-US"/>
              </w:rPr>
            </w:pPr>
            <w:r w:rsidRPr="00A96787">
              <w:rPr>
                <w:b/>
                <w:sz w:val="18"/>
                <w:szCs w:val="18"/>
                <w:lang w:val="es-ES" w:eastAsia="en-US"/>
              </w:rPr>
              <w:t>Programa 1</w:t>
            </w:r>
          </w:p>
        </w:tc>
        <w:tc>
          <w:tcPr>
            <w:tcW w:w="2880" w:type="dxa"/>
          </w:tcPr>
          <w:p w:rsidR="00013F68" w:rsidRPr="00A96787" w:rsidRDefault="00A31E61" w:rsidP="00DB172B">
            <w:pPr>
              <w:jc w:val="left"/>
              <w:rPr>
                <w:sz w:val="18"/>
                <w:szCs w:val="18"/>
                <w:lang w:val="es-ES"/>
              </w:rPr>
            </w:pPr>
            <w:hyperlink r:id="rId229" w:history="1">
              <w:r w:rsidR="00013F68" w:rsidRPr="00DB172B">
                <w:rPr>
                  <w:rStyle w:val="Hyperlink"/>
                  <w:sz w:val="18"/>
                  <w:szCs w:val="18"/>
                  <w:lang w:val="es-ES"/>
                </w:rPr>
                <w:t>CE 1 del UIT-R – Gestión del espectro</w:t>
              </w:r>
            </w:hyperlink>
          </w:p>
          <w:p w:rsidR="00013F68" w:rsidRPr="00A96787" w:rsidRDefault="00A31E61" w:rsidP="00DB172B">
            <w:pPr>
              <w:jc w:val="left"/>
              <w:rPr>
                <w:sz w:val="18"/>
                <w:szCs w:val="18"/>
                <w:lang w:val="es-ES" w:eastAsia="en-US"/>
              </w:rPr>
            </w:pPr>
            <w:hyperlink r:id="rId230" w:history="1">
              <w:r w:rsidR="00013F68" w:rsidRPr="00DB172B">
                <w:rPr>
                  <w:rStyle w:val="Hyperlink"/>
                  <w:sz w:val="18"/>
                  <w:szCs w:val="18"/>
                  <w:lang w:val="es-ES"/>
                </w:rPr>
                <w:t>Grupo de Trabajo 1C – Comprobación técnica del espectro</w:t>
              </w:r>
            </w:hyperlink>
          </w:p>
        </w:tc>
        <w:tc>
          <w:tcPr>
            <w:tcW w:w="2901" w:type="dxa"/>
          </w:tcPr>
          <w:p w:rsidR="00013F68" w:rsidRPr="00A96787" w:rsidRDefault="00A31E61" w:rsidP="00DB172B">
            <w:pPr>
              <w:tabs>
                <w:tab w:val="left" w:pos="567"/>
                <w:tab w:val="left" w:pos="1134"/>
                <w:tab w:val="left" w:pos="1701"/>
                <w:tab w:val="left" w:pos="2268"/>
                <w:tab w:val="left" w:pos="2835"/>
              </w:tabs>
              <w:overflowPunct w:val="0"/>
              <w:autoSpaceDE w:val="0"/>
              <w:autoSpaceDN w:val="0"/>
              <w:adjustRightInd w:val="0"/>
              <w:spacing w:before="60"/>
              <w:jc w:val="left"/>
              <w:textAlignment w:val="baseline"/>
              <w:rPr>
                <w:rFonts w:eastAsia="Times New Roman" w:cs="Times New Roman Bold"/>
                <w:bCs/>
                <w:sz w:val="18"/>
                <w:szCs w:val="18"/>
                <w:lang w:val="es-ES" w:eastAsia="en-US"/>
              </w:rPr>
            </w:pPr>
            <w:hyperlink r:id="rId231" w:history="1">
              <w:r w:rsidR="00013F68" w:rsidRPr="00DB172B">
                <w:rPr>
                  <w:rStyle w:val="Hyperlink"/>
                  <w:rFonts w:eastAsia="Times New Roman" w:cs="Times New Roman Bold"/>
                  <w:sz w:val="18"/>
                  <w:szCs w:val="18"/>
                  <w:lang w:val="es-ES" w:eastAsia="en-US"/>
                </w:rPr>
                <w:t>CE 5 del UIT-T – Medio ambiente y cambio climático</w:t>
              </w:r>
            </w:hyperlink>
          </w:p>
        </w:tc>
      </w:tr>
      <w:tr w:rsidR="00013F68" w:rsidRPr="00A31E61" w:rsidTr="007650A3">
        <w:trPr>
          <w:jc w:val="center"/>
        </w:trPr>
        <w:tc>
          <w:tcPr>
            <w:tcW w:w="1978"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Cuestión 24/1</w:t>
            </w:r>
          </w:p>
          <w:p w:rsidR="00013F68" w:rsidRPr="00A96787" w:rsidRDefault="00013F68" w:rsidP="004E2B41">
            <w:pPr>
              <w:rPr>
                <w:b/>
                <w:bCs/>
                <w:sz w:val="18"/>
                <w:szCs w:val="18"/>
                <w:lang w:val="es-ES" w:eastAsia="en-US"/>
              </w:rPr>
            </w:pPr>
          </w:p>
        </w:tc>
        <w:tc>
          <w:tcPr>
            <w:tcW w:w="4620" w:type="dxa"/>
            <w:shd w:val="clear" w:color="auto" w:fill="E8F8FD"/>
          </w:tcPr>
          <w:p w:rsidR="00013F68" w:rsidRPr="00A96787" w:rsidRDefault="00013F68" w:rsidP="004E2B41">
            <w:pPr>
              <w:rPr>
                <w:sz w:val="18"/>
                <w:szCs w:val="18"/>
                <w:lang w:val="es-ES" w:eastAsia="en-US"/>
              </w:rPr>
            </w:pPr>
            <w:r w:rsidRPr="00A96787">
              <w:rPr>
                <w:sz w:val="18"/>
                <w:szCs w:val="18"/>
                <w:lang w:val="es-ES"/>
              </w:rPr>
              <w:t xml:space="preserve">Estrategias y políticas para la eliminación o reutilización adecuadas de residuos generados por las </w:t>
            </w:r>
            <w:proofErr w:type="spellStart"/>
            <w:r w:rsidRPr="00A96787">
              <w:rPr>
                <w:sz w:val="18"/>
                <w:szCs w:val="18"/>
                <w:lang w:val="es-ES"/>
              </w:rPr>
              <w:t>telecomu</w:t>
            </w:r>
            <w:r w:rsidR="00DB172B">
              <w:rPr>
                <w:sz w:val="18"/>
                <w:szCs w:val="18"/>
                <w:lang w:val="es-ES"/>
              </w:rPr>
              <w:t>-</w:t>
            </w:r>
            <w:r w:rsidRPr="00A96787">
              <w:rPr>
                <w:sz w:val="18"/>
                <w:szCs w:val="18"/>
                <w:lang w:val="es-ES"/>
              </w:rPr>
              <w:t>nicaciones</w:t>
            </w:r>
            <w:proofErr w:type="spellEnd"/>
            <w:r w:rsidRPr="00A96787">
              <w:rPr>
                <w:sz w:val="18"/>
                <w:szCs w:val="18"/>
                <w:lang w:val="es-ES"/>
              </w:rPr>
              <w:t>/TIC</w:t>
            </w:r>
          </w:p>
        </w:tc>
        <w:tc>
          <w:tcPr>
            <w:tcW w:w="2330" w:type="dxa"/>
            <w:shd w:val="clear" w:color="auto" w:fill="E8F8FD"/>
          </w:tcPr>
          <w:p w:rsidR="00013F68" w:rsidRPr="00A96787" w:rsidRDefault="00013F68" w:rsidP="004E2B41">
            <w:pPr>
              <w:rPr>
                <w:b/>
                <w:bCs/>
                <w:sz w:val="18"/>
                <w:szCs w:val="18"/>
                <w:lang w:val="es-ES" w:eastAsia="en-US"/>
              </w:rPr>
            </w:pPr>
            <w:r w:rsidRPr="00A96787">
              <w:rPr>
                <w:b/>
                <w:sz w:val="18"/>
                <w:szCs w:val="18"/>
                <w:lang w:val="es-ES" w:eastAsia="en-US"/>
              </w:rPr>
              <w:t>Programa 5</w:t>
            </w:r>
          </w:p>
        </w:tc>
        <w:tc>
          <w:tcPr>
            <w:tcW w:w="2880" w:type="dxa"/>
            <w:shd w:val="clear" w:color="auto" w:fill="E8F8FD"/>
          </w:tcPr>
          <w:p w:rsidR="00013F68" w:rsidRPr="00A96787" w:rsidRDefault="00013F68" w:rsidP="004E2B41">
            <w:pPr>
              <w:rPr>
                <w:sz w:val="18"/>
                <w:szCs w:val="18"/>
                <w:lang w:val="es-ES" w:eastAsia="en-US"/>
              </w:rPr>
            </w:pPr>
          </w:p>
        </w:tc>
        <w:tc>
          <w:tcPr>
            <w:tcW w:w="2901" w:type="dxa"/>
            <w:shd w:val="clear" w:color="auto" w:fill="E8F8FD"/>
          </w:tcPr>
          <w:p w:rsidR="00013F68" w:rsidRPr="00A96787" w:rsidRDefault="00A31E61" w:rsidP="004E2B41">
            <w:pPr>
              <w:spacing w:before="60"/>
              <w:rPr>
                <w:sz w:val="18"/>
                <w:szCs w:val="18"/>
                <w:lang w:val="es-ES" w:eastAsia="en-US"/>
              </w:rPr>
            </w:pPr>
            <w:hyperlink r:id="rId232" w:history="1">
              <w:r w:rsidR="00013F68" w:rsidRPr="00DB172B">
                <w:rPr>
                  <w:rStyle w:val="Hyperlink"/>
                  <w:rFonts w:eastAsia="Times New Roman" w:cs="Times New Roman Bold"/>
                  <w:sz w:val="18"/>
                  <w:szCs w:val="18"/>
                  <w:lang w:val="es-ES" w:eastAsia="en-US"/>
                </w:rPr>
                <w:t>CE 5 del UIT-T – Medio ambiente y cambio climático</w:t>
              </w:r>
            </w:hyperlink>
          </w:p>
        </w:tc>
      </w:tr>
    </w:tbl>
    <w:p w:rsidR="00013F68" w:rsidRPr="00A96787" w:rsidRDefault="00013F68" w:rsidP="005A4281">
      <w:pPr>
        <w:spacing w:before="0"/>
        <w:rPr>
          <w:lang w:val="es-ES"/>
        </w:rPr>
      </w:pPr>
      <w:r w:rsidRPr="00A96787">
        <w:rPr>
          <w:lang w:val="es-ES"/>
        </w:rPr>
        <w:br w:type="page"/>
      </w:r>
    </w:p>
    <w:p w:rsidR="00013F68" w:rsidRPr="00901848" w:rsidRDefault="00013F68" w:rsidP="0020782D">
      <w:pPr>
        <w:pStyle w:val="Heading1"/>
        <w:spacing w:after="120"/>
        <w:rPr>
          <w:lang w:val="es-ES_tradnl"/>
        </w:rPr>
      </w:pPr>
      <w:bookmarkStart w:id="154" w:name="_Toc365036844"/>
      <w:bookmarkStart w:id="155" w:name="_Toc381259724"/>
      <w:r w:rsidRPr="00901848">
        <w:rPr>
          <w:lang w:val="es-ES_tradnl"/>
        </w:rPr>
        <w:lastRenderedPageBreak/>
        <w:t>Anexo 2B: Relaciones entre las Cuestiones de la Comisión de Estudio 2 del UIT-D y las Cuestiones del UIT-T y el UIT-R</w:t>
      </w:r>
      <w:bookmarkEnd w:id="154"/>
      <w:bookmarkEnd w:id="155"/>
    </w:p>
    <w:tbl>
      <w:tblPr>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4453"/>
        <w:gridCol w:w="2304"/>
        <w:gridCol w:w="2880"/>
        <w:gridCol w:w="2800"/>
      </w:tblGrid>
      <w:tr w:rsidR="00013F68" w:rsidRPr="00A31E61" w:rsidTr="0020782D">
        <w:trPr>
          <w:tblHeader/>
          <w:jc w:val="center"/>
        </w:trPr>
        <w:tc>
          <w:tcPr>
            <w:tcW w:w="1997" w:type="dxa"/>
            <w:shd w:val="clear" w:color="auto" w:fill="005173"/>
            <w:vAlign w:val="center"/>
          </w:tcPr>
          <w:p w:rsidR="00013F68" w:rsidRPr="00A96787" w:rsidRDefault="00013F68" w:rsidP="0020782D">
            <w:pPr>
              <w:pStyle w:val="Tablehead"/>
              <w:rPr>
                <w:lang w:eastAsia="en-US"/>
              </w:rPr>
            </w:pPr>
            <w:r w:rsidRPr="00901848">
              <w:rPr>
                <w:lang w:val="es-ES_tradnl" w:eastAsia="en-US"/>
              </w:rPr>
              <w:br w:type="page"/>
            </w:r>
            <w:r w:rsidRPr="00901848">
              <w:rPr>
                <w:lang w:val="es-ES_tradnl" w:eastAsia="en-US"/>
              </w:rPr>
              <w:br w:type="page"/>
            </w:r>
            <w:r w:rsidRPr="00901848">
              <w:rPr>
                <w:lang w:val="es-ES_tradnl" w:eastAsia="en-US"/>
              </w:rPr>
              <w:br w:type="page"/>
            </w:r>
            <w:r w:rsidRPr="00901848">
              <w:rPr>
                <w:lang w:val="es-ES_tradnl" w:eastAsia="en-US"/>
              </w:rPr>
              <w:br w:type="page"/>
            </w:r>
            <w:r w:rsidRPr="00901848">
              <w:rPr>
                <w:lang w:val="es-ES_tradnl" w:eastAsia="en-US"/>
              </w:rPr>
              <w:br w:type="page"/>
            </w:r>
            <w:proofErr w:type="spellStart"/>
            <w:r w:rsidRPr="00A96787">
              <w:rPr>
                <w:lang w:eastAsia="en-US"/>
              </w:rPr>
              <w:t>Cuestión</w:t>
            </w:r>
            <w:proofErr w:type="spellEnd"/>
          </w:p>
        </w:tc>
        <w:tc>
          <w:tcPr>
            <w:tcW w:w="4453" w:type="dxa"/>
            <w:shd w:val="clear" w:color="auto" w:fill="005173"/>
            <w:vAlign w:val="center"/>
          </w:tcPr>
          <w:p w:rsidR="00013F68" w:rsidRPr="00A96787" w:rsidRDefault="00013F68" w:rsidP="0020782D">
            <w:pPr>
              <w:pStyle w:val="Tablehead"/>
              <w:rPr>
                <w:lang w:eastAsia="en-US"/>
              </w:rPr>
            </w:pPr>
            <w:proofErr w:type="spellStart"/>
            <w:r w:rsidRPr="00A96787">
              <w:rPr>
                <w:lang w:eastAsia="en-US"/>
              </w:rPr>
              <w:t>Título</w:t>
            </w:r>
            <w:proofErr w:type="spellEnd"/>
            <w:r w:rsidRPr="00A96787">
              <w:rPr>
                <w:lang w:eastAsia="en-US"/>
              </w:rPr>
              <w:t xml:space="preserve"> de la </w:t>
            </w:r>
            <w:proofErr w:type="spellStart"/>
            <w:r w:rsidRPr="00A96787">
              <w:rPr>
                <w:lang w:eastAsia="en-US"/>
              </w:rPr>
              <w:t>Cuestión</w:t>
            </w:r>
            <w:proofErr w:type="spellEnd"/>
          </w:p>
        </w:tc>
        <w:tc>
          <w:tcPr>
            <w:tcW w:w="2304" w:type="dxa"/>
            <w:shd w:val="clear" w:color="auto" w:fill="005173"/>
            <w:vAlign w:val="center"/>
          </w:tcPr>
          <w:p w:rsidR="00013F68" w:rsidRPr="00901848" w:rsidRDefault="00013F68" w:rsidP="0020782D">
            <w:pPr>
              <w:pStyle w:val="Tablehead"/>
              <w:rPr>
                <w:lang w:val="es-ES_tradnl" w:eastAsia="en-US"/>
              </w:rPr>
            </w:pPr>
            <w:r w:rsidRPr="00901848">
              <w:rPr>
                <w:lang w:val="es-ES_tradnl" w:eastAsia="en-US"/>
              </w:rPr>
              <w:t>Programa/iniciativa de la BDT</w:t>
            </w:r>
          </w:p>
        </w:tc>
        <w:tc>
          <w:tcPr>
            <w:tcW w:w="2880" w:type="dxa"/>
            <w:shd w:val="clear" w:color="auto" w:fill="005173"/>
            <w:vAlign w:val="center"/>
          </w:tcPr>
          <w:p w:rsidR="00013F68" w:rsidRPr="0020782D" w:rsidRDefault="00013F68" w:rsidP="0020782D">
            <w:pPr>
              <w:pStyle w:val="Tablehead"/>
              <w:rPr>
                <w:lang w:val="es-ES_tradnl" w:eastAsia="en-US"/>
              </w:rPr>
            </w:pPr>
            <w:r w:rsidRPr="0020782D">
              <w:rPr>
                <w:lang w:val="es-ES_tradnl" w:eastAsia="en-US"/>
              </w:rPr>
              <w:t>Posible relación con las Cuestiones y actividades de las Comisiones de Estudio del UIT-R</w:t>
            </w:r>
          </w:p>
        </w:tc>
        <w:tc>
          <w:tcPr>
            <w:tcW w:w="2800" w:type="dxa"/>
            <w:shd w:val="clear" w:color="auto" w:fill="005173"/>
            <w:vAlign w:val="center"/>
          </w:tcPr>
          <w:p w:rsidR="00013F68" w:rsidRPr="00901848" w:rsidRDefault="00013F68" w:rsidP="0020782D">
            <w:pPr>
              <w:pStyle w:val="Tablehead"/>
              <w:rPr>
                <w:lang w:val="es-ES_tradnl" w:eastAsia="en-US"/>
              </w:rPr>
            </w:pPr>
            <w:r w:rsidRPr="00901848">
              <w:rPr>
                <w:lang w:val="es-ES_tradnl" w:eastAsia="en-US"/>
              </w:rPr>
              <w:t>Posible relación con las Cuestiones y actividades de las Comisiones de Estudio del UIT-T</w:t>
            </w:r>
          </w:p>
        </w:tc>
      </w:tr>
      <w:tr w:rsidR="00013F68" w:rsidRPr="00A31E61" w:rsidTr="00AF24F3">
        <w:trPr>
          <w:jc w:val="center"/>
        </w:trPr>
        <w:tc>
          <w:tcPr>
            <w:tcW w:w="1997" w:type="dxa"/>
            <w:shd w:val="clear" w:color="auto" w:fill="E8F8FD"/>
          </w:tcPr>
          <w:p w:rsidR="00013F68" w:rsidRPr="00291D2B" w:rsidRDefault="00013F68" w:rsidP="0020782D">
            <w:pPr>
              <w:pStyle w:val="Tabletext"/>
              <w:rPr>
                <w:rFonts w:eastAsia="Times New Roman" w:cs="Times New Roman Bold"/>
                <w:b/>
                <w:bCs/>
                <w:sz w:val="18"/>
                <w:szCs w:val="18"/>
                <w:lang w:val="es-ES" w:eastAsia="en-US"/>
              </w:rPr>
            </w:pPr>
            <w:r w:rsidRPr="00291D2B">
              <w:rPr>
                <w:b/>
                <w:bCs/>
                <w:sz w:val="18"/>
                <w:szCs w:val="18"/>
                <w:lang w:val="es-ES" w:eastAsia="en-US"/>
              </w:rPr>
              <w:t>Cuestión</w:t>
            </w:r>
            <w:r w:rsidRPr="00291D2B">
              <w:rPr>
                <w:rFonts w:eastAsia="Times New Roman" w:cs="Times New Roman Bold"/>
                <w:b/>
                <w:bCs/>
                <w:sz w:val="18"/>
                <w:szCs w:val="18"/>
                <w:lang w:val="es-ES" w:eastAsia="en-US"/>
              </w:rPr>
              <w:t xml:space="preserve"> 9-3/2</w:t>
            </w:r>
          </w:p>
        </w:tc>
        <w:tc>
          <w:tcPr>
            <w:tcW w:w="4453" w:type="dxa"/>
            <w:shd w:val="clear" w:color="auto" w:fill="E8F8FD"/>
          </w:tcPr>
          <w:p w:rsidR="00013F68" w:rsidRPr="00291D2B" w:rsidRDefault="00013F68" w:rsidP="0020782D">
            <w:pPr>
              <w:pStyle w:val="Tabletext"/>
              <w:rPr>
                <w:rFonts w:eastAsia="Times New Roman" w:cs="Times New Roman Bold"/>
                <w:bCs/>
                <w:sz w:val="18"/>
                <w:szCs w:val="18"/>
                <w:lang w:val="es-ES" w:eastAsia="en-US"/>
              </w:rPr>
            </w:pPr>
            <w:r w:rsidRPr="00291D2B">
              <w:rPr>
                <w:rFonts w:eastAsia="Times New Roman" w:cs="Times New Roman Bold"/>
                <w:sz w:val="18"/>
                <w:szCs w:val="18"/>
                <w:lang w:val="es-ES" w:eastAsia="en-US"/>
              </w:rPr>
              <w:t>Identificación de los temas que estudian las Comisiones de Estudio del UIT-T y el UIT-R que son de particular interés para los países en desarrollo</w:t>
            </w:r>
          </w:p>
        </w:tc>
        <w:tc>
          <w:tcPr>
            <w:tcW w:w="2304" w:type="dxa"/>
            <w:shd w:val="clear" w:color="auto" w:fill="E8F8FD"/>
          </w:tcPr>
          <w:p w:rsidR="00013F68" w:rsidRPr="00291D2B" w:rsidRDefault="00013F68" w:rsidP="0020782D">
            <w:pPr>
              <w:pStyle w:val="Tabletext"/>
              <w:rPr>
                <w:rFonts w:eastAsia="Times New Roman" w:cs="Times New Roman Bold"/>
                <w:b/>
                <w:bCs/>
                <w:sz w:val="18"/>
                <w:szCs w:val="18"/>
                <w:lang w:val="es-ES" w:eastAsia="en-US"/>
              </w:rPr>
            </w:pPr>
            <w:r w:rsidRPr="00291D2B">
              <w:rPr>
                <w:rFonts w:eastAsia="Times New Roman" w:cs="Times New Roman Bold"/>
                <w:b/>
                <w:bCs/>
                <w:sz w:val="18"/>
                <w:szCs w:val="18"/>
                <w:lang w:val="es-ES" w:eastAsia="en-US"/>
              </w:rPr>
              <w:t>Todos</w:t>
            </w:r>
          </w:p>
        </w:tc>
        <w:tc>
          <w:tcPr>
            <w:tcW w:w="2880" w:type="dxa"/>
            <w:shd w:val="clear" w:color="auto" w:fill="E8F8FD"/>
          </w:tcPr>
          <w:p w:rsidR="00013F68" w:rsidRPr="00291D2B" w:rsidRDefault="00013F68" w:rsidP="0020782D">
            <w:pPr>
              <w:pStyle w:val="Tabletext"/>
              <w:rPr>
                <w:rFonts w:eastAsia="Times New Roman" w:cs="Times New Roman Bold"/>
                <w:sz w:val="18"/>
                <w:szCs w:val="18"/>
                <w:lang w:val="es-ES" w:eastAsia="en-US"/>
              </w:rPr>
            </w:pPr>
            <w:r w:rsidRPr="00291D2B">
              <w:rPr>
                <w:rFonts w:eastAsia="Times New Roman" w:cs="Times New Roman Bold"/>
                <w:sz w:val="18"/>
                <w:szCs w:val="18"/>
                <w:lang w:val="es-ES" w:eastAsia="en-US"/>
              </w:rPr>
              <w:t>Todas</w:t>
            </w:r>
          </w:p>
        </w:tc>
        <w:tc>
          <w:tcPr>
            <w:tcW w:w="2800" w:type="dxa"/>
            <w:shd w:val="clear" w:color="auto" w:fill="E8F8FD"/>
          </w:tcPr>
          <w:p w:rsidR="00013F68" w:rsidRPr="00291D2B" w:rsidRDefault="00013F68" w:rsidP="0020782D">
            <w:pPr>
              <w:pStyle w:val="Tabletext"/>
              <w:rPr>
                <w:rFonts w:eastAsia="Times New Roman" w:cs="Times New Roman Bold"/>
                <w:sz w:val="18"/>
                <w:szCs w:val="18"/>
                <w:lang w:val="es-ES" w:eastAsia="en-US"/>
              </w:rPr>
            </w:pPr>
            <w:r w:rsidRPr="00291D2B">
              <w:rPr>
                <w:rFonts w:eastAsia="Times New Roman" w:cs="Times New Roman Bold"/>
                <w:sz w:val="18"/>
                <w:szCs w:val="18"/>
                <w:lang w:val="es-ES" w:eastAsia="en-US"/>
              </w:rPr>
              <w:t>Todas</w:t>
            </w:r>
          </w:p>
          <w:p w:rsidR="00013F68" w:rsidRPr="00291D2B" w:rsidRDefault="00013F68" w:rsidP="0020782D">
            <w:pPr>
              <w:pStyle w:val="Tabletext"/>
              <w:rPr>
                <w:rFonts w:eastAsia="Times New Roman" w:cs="Times New Roman Bold"/>
                <w:sz w:val="18"/>
                <w:szCs w:val="18"/>
                <w:lang w:val="es-ES" w:eastAsia="en-US"/>
              </w:rPr>
            </w:pPr>
            <w:r w:rsidRPr="00291D2B">
              <w:rPr>
                <w:sz w:val="18"/>
                <w:szCs w:val="18"/>
                <w:lang w:val="es-ES"/>
              </w:rPr>
              <w:t xml:space="preserve">En lo que respecta a las pruebas de conformidad e compatibilidad: </w:t>
            </w:r>
            <w:hyperlink r:id="rId233" w:history="1">
              <w:r w:rsidRPr="00291D2B">
                <w:rPr>
                  <w:rStyle w:val="Hyperlink"/>
                  <w:sz w:val="18"/>
                  <w:szCs w:val="18"/>
                  <w:lang w:val="es-ES"/>
                </w:rPr>
                <w:t>(</w:t>
              </w:r>
              <w:r w:rsidRPr="00291D2B">
                <w:rPr>
                  <w:rStyle w:val="Hyperlink"/>
                  <w:sz w:val="18"/>
                  <w:szCs w:val="18"/>
                  <w:lang w:val="es-ES" w:eastAsia="en-US"/>
                </w:rPr>
                <w:t>CE 11 del UIT-T - Requisitos y protocolos de señalización)</w:t>
              </w:r>
            </w:hyperlink>
          </w:p>
        </w:tc>
      </w:tr>
      <w:tr w:rsidR="00013F68" w:rsidRPr="00A31E61" w:rsidTr="005A4281">
        <w:trPr>
          <w:jc w:val="center"/>
        </w:trPr>
        <w:tc>
          <w:tcPr>
            <w:tcW w:w="1997" w:type="dxa"/>
          </w:tcPr>
          <w:p w:rsidR="00013F68" w:rsidRPr="00291D2B" w:rsidRDefault="00013F68" w:rsidP="0020782D">
            <w:pPr>
              <w:pStyle w:val="Tabletext"/>
              <w:rPr>
                <w:b/>
                <w:bCs/>
                <w:sz w:val="18"/>
                <w:szCs w:val="18"/>
                <w:lang w:val="es-ES" w:eastAsia="en-US"/>
              </w:rPr>
            </w:pPr>
            <w:r w:rsidRPr="00291D2B">
              <w:rPr>
                <w:b/>
                <w:bCs/>
                <w:sz w:val="18"/>
                <w:szCs w:val="18"/>
                <w:lang w:val="es-ES" w:eastAsia="en-US"/>
              </w:rPr>
              <w:t>Cuestión 10-3/2</w:t>
            </w:r>
          </w:p>
        </w:tc>
        <w:tc>
          <w:tcPr>
            <w:tcW w:w="4453" w:type="dxa"/>
          </w:tcPr>
          <w:p w:rsidR="00013F68" w:rsidRPr="00291D2B" w:rsidRDefault="00013F68" w:rsidP="0020782D">
            <w:pPr>
              <w:pStyle w:val="Tabletext"/>
              <w:rPr>
                <w:sz w:val="18"/>
                <w:szCs w:val="18"/>
                <w:lang w:val="es-ES" w:eastAsia="en-US"/>
              </w:rPr>
            </w:pPr>
            <w:r w:rsidRPr="00291D2B">
              <w:rPr>
                <w:sz w:val="18"/>
                <w:szCs w:val="18"/>
                <w:lang w:val="es-ES" w:eastAsia="en-US"/>
              </w:rPr>
              <w:t>Telecomunicaciones/TIC para las zonas rurales y distantes</w:t>
            </w:r>
          </w:p>
        </w:tc>
        <w:tc>
          <w:tcPr>
            <w:tcW w:w="2304" w:type="dxa"/>
          </w:tcPr>
          <w:p w:rsidR="00013F68" w:rsidRPr="00291D2B" w:rsidRDefault="00013F68" w:rsidP="0020782D">
            <w:pPr>
              <w:pStyle w:val="Tabletext"/>
              <w:rPr>
                <w:b/>
                <w:bCs/>
                <w:sz w:val="18"/>
                <w:szCs w:val="18"/>
                <w:lang w:val="es-ES" w:eastAsia="en-US"/>
              </w:rPr>
            </w:pPr>
            <w:r w:rsidRPr="00291D2B">
              <w:rPr>
                <w:b/>
                <w:bCs/>
                <w:sz w:val="18"/>
                <w:szCs w:val="18"/>
                <w:lang w:val="es-ES" w:eastAsia="en-US"/>
              </w:rPr>
              <w:t>Programa 1;</w:t>
            </w:r>
            <w:r w:rsidRPr="00291D2B">
              <w:rPr>
                <w:b/>
                <w:bCs/>
                <w:sz w:val="18"/>
                <w:szCs w:val="18"/>
                <w:lang w:val="es-ES" w:eastAsia="en-US"/>
              </w:rPr>
              <w:br/>
            </w:r>
            <w:r w:rsidRPr="00291D2B">
              <w:rPr>
                <w:sz w:val="18"/>
                <w:szCs w:val="18"/>
                <w:lang w:val="es-ES" w:eastAsia="en-US"/>
              </w:rPr>
              <w:t>"Conectar una escuela, conectar una comunidad"</w:t>
            </w:r>
          </w:p>
        </w:tc>
        <w:tc>
          <w:tcPr>
            <w:tcW w:w="2880" w:type="dxa"/>
          </w:tcPr>
          <w:p w:rsidR="00013F68" w:rsidRPr="00291D2B" w:rsidRDefault="00A31E61" w:rsidP="0020782D">
            <w:pPr>
              <w:pStyle w:val="Tabletext"/>
              <w:rPr>
                <w:sz w:val="18"/>
                <w:szCs w:val="18"/>
                <w:lang w:val="es-ES"/>
              </w:rPr>
            </w:pPr>
            <w:hyperlink r:id="rId234" w:history="1">
              <w:r w:rsidR="00013F68" w:rsidRPr="00291D2B">
                <w:rPr>
                  <w:rStyle w:val="Hyperlink"/>
                  <w:sz w:val="18"/>
                  <w:szCs w:val="18"/>
                  <w:lang w:val="es-ES"/>
                </w:rPr>
                <w:t>CE 4 del UIT-R – Servicios por satélite</w:t>
              </w:r>
            </w:hyperlink>
          </w:p>
          <w:p w:rsidR="00013F68" w:rsidRPr="00291D2B" w:rsidRDefault="00013F68" w:rsidP="0020782D">
            <w:pPr>
              <w:pStyle w:val="Tabletext"/>
              <w:rPr>
                <w:sz w:val="18"/>
                <w:szCs w:val="18"/>
                <w:lang w:val="es-ES" w:eastAsia="en-US"/>
              </w:rPr>
            </w:pPr>
          </w:p>
        </w:tc>
        <w:tc>
          <w:tcPr>
            <w:tcW w:w="2800" w:type="dxa"/>
          </w:tcPr>
          <w:p w:rsidR="00013F68" w:rsidRPr="00291D2B" w:rsidRDefault="00A31E61" w:rsidP="0020782D">
            <w:pPr>
              <w:pStyle w:val="Tabletext"/>
              <w:rPr>
                <w:sz w:val="18"/>
                <w:szCs w:val="18"/>
                <w:lang w:val="es-ES" w:eastAsia="en-US"/>
              </w:rPr>
            </w:pPr>
            <w:hyperlink r:id="rId235" w:history="1">
              <w:r w:rsidR="00013F68" w:rsidRPr="00291D2B">
                <w:rPr>
                  <w:rStyle w:val="Hyperlink"/>
                  <w:sz w:val="18"/>
                  <w:szCs w:val="18"/>
                  <w:lang w:val="es-ES"/>
                </w:rPr>
                <w:t>CE 16 del UIT-T - Codificación, sistemas y aplicaciones multimedios</w:t>
              </w:r>
            </w:hyperlink>
          </w:p>
        </w:tc>
      </w:tr>
      <w:tr w:rsidR="00013F68" w:rsidRPr="00A31E61" w:rsidTr="00AF24F3">
        <w:trPr>
          <w:jc w:val="center"/>
        </w:trPr>
        <w:tc>
          <w:tcPr>
            <w:tcW w:w="1997" w:type="dxa"/>
            <w:shd w:val="clear" w:color="auto" w:fill="E8F8FD"/>
          </w:tcPr>
          <w:p w:rsidR="00013F68" w:rsidRPr="00291D2B" w:rsidRDefault="00013F68" w:rsidP="0020782D">
            <w:pPr>
              <w:pStyle w:val="Tabletext"/>
              <w:rPr>
                <w:b/>
                <w:bCs/>
                <w:sz w:val="18"/>
                <w:szCs w:val="18"/>
                <w:lang w:val="es-ES" w:eastAsia="en-US"/>
              </w:rPr>
            </w:pPr>
            <w:r w:rsidRPr="00291D2B">
              <w:rPr>
                <w:b/>
                <w:bCs/>
                <w:sz w:val="18"/>
                <w:szCs w:val="18"/>
                <w:lang w:val="es-ES" w:eastAsia="en-US"/>
              </w:rPr>
              <w:t>Cuestión 11-3/2</w:t>
            </w:r>
          </w:p>
        </w:tc>
        <w:tc>
          <w:tcPr>
            <w:tcW w:w="4453" w:type="dxa"/>
            <w:shd w:val="clear" w:color="auto" w:fill="E8F8FD"/>
          </w:tcPr>
          <w:p w:rsidR="00013F68" w:rsidRPr="00291D2B" w:rsidRDefault="00013F68" w:rsidP="0020782D">
            <w:pPr>
              <w:pStyle w:val="Tabletext"/>
              <w:rPr>
                <w:sz w:val="18"/>
                <w:szCs w:val="18"/>
                <w:lang w:val="es-ES" w:eastAsia="en-US"/>
              </w:rPr>
            </w:pPr>
            <w:r w:rsidRPr="00291D2B">
              <w:rPr>
                <w:sz w:val="18"/>
                <w:szCs w:val="18"/>
                <w:lang w:val="es-ES" w:eastAsia="en-US"/>
              </w:rPr>
              <w:t xml:space="preserve">Examen de las tecnologías y sistemas de radiodifusión digital terrenal sonora y de televisión, del </w:t>
            </w:r>
            <w:proofErr w:type="spellStart"/>
            <w:r w:rsidRPr="00291D2B">
              <w:rPr>
                <w:sz w:val="18"/>
                <w:szCs w:val="18"/>
                <w:lang w:val="es-ES" w:eastAsia="en-US"/>
              </w:rPr>
              <w:t>interfuncionamiento</w:t>
            </w:r>
            <w:proofErr w:type="spellEnd"/>
            <w:r w:rsidRPr="00291D2B">
              <w:rPr>
                <w:sz w:val="18"/>
                <w:szCs w:val="18"/>
                <w:lang w:val="es-ES" w:eastAsia="en-US"/>
              </w:rPr>
              <w:t xml:space="preserve"> de los sistemas digitales terrenales con las redes analógicas existentes y de las estrategias y los métodos para la transición de las técnicas terrenales analógicas a las técnicas</w:t>
            </w:r>
          </w:p>
        </w:tc>
        <w:tc>
          <w:tcPr>
            <w:tcW w:w="2304" w:type="dxa"/>
            <w:shd w:val="clear" w:color="auto" w:fill="E8F8FD"/>
          </w:tcPr>
          <w:p w:rsidR="00013F68" w:rsidRPr="00291D2B" w:rsidRDefault="00013F68" w:rsidP="0020782D">
            <w:pPr>
              <w:pStyle w:val="Tabletext"/>
              <w:rPr>
                <w:b/>
                <w:bCs/>
                <w:sz w:val="18"/>
                <w:szCs w:val="18"/>
                <w:lang w:val="es-ES" w:eastAsia="en-US"/>
              </w:rPr>
            </w:pPr>
            <w:r w:rsidRPr="00291D2B">
              <w:rPr>
                <w:b/>
                <w:bCs/>
                <w:sz w:val="18"/>
                <w:szCs w:val="18"/>
                <w:lang w:val="es-ES" w:eastAsia="en-US"/>
              </w:rPr>
              <w:t>Programa 1</w:t>
            </w:r>
          </w:p>
        </w:tc>
        <w:tc>
          <w:tcPr>
            <w:tcW w:w="2880" w:type="dxa"/>
            <w:shd w:val="clear" w:color="auto" w:fill="E8F8FD"/>
          </w:tcPr>
          <w:p w:rsidR="00013F68" w:rsidRPr="00291D2B" w:rsidRDefault="00A31E61" w:rsidP="0020782D">
            <w:pPr>
              <w:pStyle w:val="Tabletext"/>
              <w:rPr>
                <w:sz w:val="18"/>
                <w:szCs w:val="18"/>
                <w:lang w:val="es-ES"/>
              </w:rPr>
            </w:pPr>
            <w:hyperlink r:id="rId236" w:history="1">
              <w:r w:rsidR="00013F68" w:rsidRPr="00291D2B">
                <w:rPr>
                  <w:rStyle w:val="Hyperlink"/>
                  <w:sz w:val="18"/>
                  <w:szCs w:val="18"/>
                  <w:lang w:val="es-ES" w:eastAsia="en-US"/>
                </w:rPr>
                <w:t>CE 6 del UIT-R – Servicio de radiodifusión</w:t>
              </w:r>
            </w:hyperlink>
          </w:p>
        </w:tc>
        <w:tc>
          <w:tcPr>
            <w:tcW w:w="2800" w:type="dxa"/>
            <w:shd w:val="clear" w:color="auto" w:fill="E8F8FD"/>
          </w:tcPr>
          <w:p w:rsidR="00013F68" w:rsidRPr="00291D2B" w:rsidRDefault="00A31E61" w:rsidP="0020782D">
            <w:pPr>
              <w:pStyle w:val="Tabletext"/>
              <w:rPr>
                <w:color w:val="0000FF"/>
                <w:sz w:val="18"/>
                <w:szCs w:val="18"/>
                <w:u w:val="single"/>
                <w:lang w:val="es-ES"/>
              </w:rPr>
            </w:pPr>
            <w:hyperlink r:id="rId237" w:history="1">
              <w:r w:rsidR="00013F68" w:rsidRPr="00291D2B">
                <w:rPr>
                  <w:rStyle w:val="Hyperlink"/>
                  <w:sz w:val="18"/>
                  <w:szCs w:val="18"/>
                  <w:lang w:val="es-ES"/>
                </w:rPr>
                <w:t>CE 16 del UIT-T - Codificación, sistemas y aplicaciones multimedios (trabajos sobre TVIP, codificación video y accesibilidad, por ejemplo, el subtitulado)</w:t>
              </w:r>
            </w:hyperlink>
            <w:r w:rsidR="00013F68" w:rsidRPr="00291D2B">
              <w:rPr>
                <w:color w:val="0000FF"/>
                <w:sz w:val="18"/>
                <w:szCs w:val="18"/>
                <w:u w:val="single"/>
                <w:lang w:val="es-ES"/>
              </w:rPr>
              <w:t xml:space="preserve"> </w:t>
            </w:r>
          </w:p>
          <w:p w:rsidR="00013F68" w:rsidRPr="00291D2B" w:rsidRDefault="00A31E61" w:rsidP="0020782D">
            <w:pPr>
              <w:pStyle w:val="Tabletext"/>
              <w:rPr>
                <w:color w:val="0000FF"/>
                <w:sz w:val="18"/>
                <w:szCs w:val="18"/>
                <w:u w:val="single"/>
                <w:lang w:val="es-ES"/>
              </w:rPr>
            </w:pPr>
            <w:hyperlink r:id="rId238" w:history="1">
              <w:r w:rsidR="00013F68" w:rsidRPr="00291D2B">
                <w:rPr>
                  <w:rStyle w:val="Hyperlink"/>
                  <w:sz w:val="18"/>
                  <w:szCs w:val="18"/>
                  <w:lang w:val="es-ES"/>
                </w:rPr>
                <w:t>CE 9 del UIT-T - Redes de cable de banda ancha integradas y transmisión sonora y de televisión</w:t>
              </w:r>
            </w:hyperlink>
          </w:p>
        </w:tc>
      </w:tr>
      <w:tr w:rsidR="00013F68" w:rsidRPr="00A96787" w:rsidTr="005A4281">
        <w:trPr>
          <w:jc w:val="center"/>
        </w:trPr>
        <w:tc>
          <w:tcPr>
            <w:tcW w:w="1997" w:type="dxa"/>
          </w:tcPr>
          <w:p w:rsidR="00013F68" w:rsidRPr="00291D2B" w:rsidRDefault="00013F68" w:rsidP="0020782D">
            <w:pPr>
              <w:pStyle w:val="Tabletext"/>
              <w:rPr>
                <w:rFonts w:eastAsia="Times New Roman"/>
                <w:b/>
                <w:bCs/>
                <w:sz w:val="18"/>
                <w:szCs w:val="18"/>
                <w:lang w:val="es-ES" w:eastAsia="en-US"/>
              </w:rPr>
            </w:pPr>
            <w:r w:rsidRPr="00291D2B">
              <w:rPr>
                <w:b/>
                <w:bCs/>
                <w:sz w:val="18"/>
                <w:szCs w:val="18"/>
                <w:lang w:val="es-ES" w:eastAsia="en-US"/>
              </w:rPr>
              <w:t>Cuestión</w:t>
            </w:r>
            <w:r w:rsidRPr="00291D2B">
              <w:rPr>
                <w:rFonts w:eastAsia="Times New Roman"/>
                <w:b/>
                <w:bCs/>
                <w:sz w:val="18"/>
                <w:szCs w:val="18"/>
                <w:lang w:val="es-ES" w:eastAsia="en-US"/>
              </w:rPr>
              <w:t xml:space="preserve"> 14-3/2</w:t>
            </w:r>
          </w:p>
        </w:tc>
        <w:tc>
          <w:tcPr>
            <w:tcW w:w="4453" w:type="dxa"/>
          </w:tcPr>
          <w:p w:rsidR="00013F68" w:rsidRPr="00291D2B" w:rsidRDefault="00013F68" w:rsidP="0020782D">
            <w:pPr>
              <w:pStyle w:val="Tabletext"/>
              <w:rPr>
                <w:bCs/>
                <w:sz w:val="18"/>
                <w:szCs w:val="18"/>
                <w:lang w:val="es-ES" w:eastAsia="en-US"/>
              </w:rPr>
            </w:pPr>
            <w:r w:rsidRPr="00291D2B">
              <w:rPr>
                <w:rFonts w:eastAsia="Times New Roman"/>
                <w:sz w:val="18"/>
                <w:szCs w:val="18"/>
                <w:lang w:val="es-ES" w:eastAsia="en-US"/>
              </w:rPr>
              <w:t xml:space="preserve">Información y telecomunicaciones/TIC para la </w:t>
            </w:r>
            <w:proofErr w:type="spellStart"/>
            <w:r w:rsidRPr="00291D2B">
              <w:rPr>
                <w:rFonts w:eastAsia="Times New Roman"/>
                <w:sz w:val="18"/>
                <w:szCs w:val="18"/>
                <w:lang w:val="es-ES" w:eastAsia="en-US"/>
              </w:rPr>
              <w:t>cibersanidad</w:t>
            </w:r>
            <w:proofErr w:type="spellEnd"/>
          </w:p>
        </w:tc>
        <w:tc>
          <w:tcPr>
            <w:tcW w:w="2304" w:type="dxa"/>
          </w:tcPr>
          <w:p w:rsidR="00013F68" w:rsidRPr="00291D2B" w:rsidRDefault="00013F68" w:rsidP="0020782D">
            <w:pPr>
              <w:pStyle w:val="Tabletext"/>
              <w:rPr>
                <w:b/>
                <w:bCs/>
                <w:sz w:val="18"/>
                <w:szCs w:val="18"/>
                <w:lang w:val="es-ES" w:eastAsia="en-US"/>
              </w:rPr>
            </w:pPr>
            <w:r w:rsidRPr="00291D2B">
              <w:rPr>
                <w:b/>
                <w:bCs/>
                <w:sz w:val="18"/>
                <w:szCs w:val="18"/>
                <w:lang w:val="es-ES" w:eastAsia="en-US"/>
              </w:rPr>
              <w:t>Programa 2</w:t>
            </w:r>
          </w:p>
        </w:tc>
        <w:tc>
          <w:tcPr>
            <w:tcW w:w="2880" w:type="dxa"/>
          </w:tcPr>
          <w:p w:rsidR="00013F68" w:rsidRPr="00291D2B" w:rsidRDefault="00013F68" w:rsidP="0020782D">
            <w:pPr>
              <w:pStyle w:val="Tabletext"/>
              <w:rPr>
                <w:rFonts w:eastAsia="Times New Roman"/>
                <w:sz w:val="18"/>
                <w:szCs w:val="18"/>
                <w:lang w:val="es-ES" w:eastAsia="en-US"/>
              </w:rPr>
            </w:pPr>
          </w:p>
        </w:tc>
        <w:tc>
          <w:tcPr>
            <w:tcW w:w="2800" w:type="dxa"/>
          </w:tcPr>
          <w:p w:rsidR="00013F68" w:rsidRPr="00291D2B" w:rsidRDefault="00A31E61" w:rsidP="0020782D">
            <w:pPr>
              <w:pStyle w:val="Tabletext"/>
              <w:rPr>
                <w:sz w:val="18"/>
                <w:szCs w:val="18"/>
                <w:lang w:val="es-ES"/>
              </w:rPr>
            </w:pPr>
            <w:hyperlink r:id="rId239" w:history="1">
              <w:r w:rsidR="00013F68" w:rsidRPr="00291D2B">
                <w:rPr>
                  <w:rStyle w:val="Hyperlink"/>
                  <w:sz w:val="18"/>
                  <w:szCs w:val="18"/>
                  <w:lang w:val="es-ES"/>
                </w:rPr>
                <w:t>CE 16 del UIT-T - Codificación, sistemas y aplicaciones multimedios</w:t>
              </w:r>
            </w:hyperlink>
          </w:p>
          <w:p w:rsidR="00013F68" w:rsidRPr="00291D2B" w:rsidRDefault="00A31E61" w:rsidP="0020782D">
            <w:pPr>
              <w:pStyle w:val="Tabletext"/>
              <w:rPr>
                <w:sz w:val="18"/>
                <w:szCs w:val="18"/>
                <w:lang w:val="es-ES" w:eastAsia="en-US"/>
              </w:rPr>
            </w:pPr>
            <w:hyperlink r:id="rId240" w:history="1">
              <w:r w:rsidR="00013F68" w:rsidRPr="00291D2B">
                <w:rPr>
                  <w:rStyle w:val="Hyperlink"/>
                  <w:sz w:val="18"/>
                  <w:szCs w:val="18"/>
                  <w:lang w:val="es-ES"/>
                </w:rPr>
                <w:t xml:space="preserve">Cuestión 28/16 - Marco de multimedios para aplicaciones de </w:t>
              </w:r>
              <w:proofErr w:type="spellStart"/>
              <w:r w:rsidR="00013F68" w:rsidRPr="00291D2B">
                <w:rPr>
                  <w:rStyle w:val="Hyperlink"/>
                  <w:sz w:val="18"/>
                  <w:szCs w:val="18"/>
                  <w:lang w:val="es-ES"/>
                </w:rPr>
                <w:t>cibersalud</w:t>
              </w:r>
              <w:proofErr w:type="spellEnd"/>
            </w:hyperlink>
          </w:p>
          <w:p w:rsidR="00013F68" w:rsidRPr="00291D2B" w:rsidRDefault="00A31E61" w:rsidP="0020782D">
            <w:pPr>
              <w:pStyle w:val="Tabletext"/>
              <w:rPr>
                <w:sz w:val="18"/>
                <w:szCs w:val="18"/>
                <w:lang w:val="es-ES"/>
              </w:rPr>
            </w:pPr>
            <w:hyperlink r:id="rId241" w:history="1">
              <w:r w:rsidR="00013F68" w:rsidRPr="00291D2B">
                <w:rPr>
                  <w:rStyle w:val="Hyperlink"/>
                  <w:sz w:val="18"/>
                  <w:szCs w:val="18"/>
                  <w:lang w:val="es-ES"/>
                </w:rPr>
                <w:t>CE 13 del UIT-T – Redes futuras, incluida la computación en la nube, las redes móviles y las de la próxima generación</w:t>
              </w:r>
            </w:hyperlink>
          </w:p>
          <w:p w:rsidR="00013F68" w:rsidRPr="00291D2B" w:rsidRDefault="00A31E61" w:rsidP="0020782D">
            <w:pPr>
              <w:pStyle w:val="Tabletext"/>
              <w:rPr>
                <w:sz w:val="18"/>
                <w:szCs w:val="18"/>
                <w:lang w:val="es-ES"/>
              </w:rPr>
            </w:pPr>
            <w:hyperlink r:id="rId242" w:history="1">
              <w:r w:rsidR="00013F68" w:rsidRPr="00291D2B">
                <w:rPr>
                  <w:rStyle w:val="Hyperlink"/>
                  <w:sz w:val="18"/>
                  <w:szCs w:val="18"/>
                  <w:lang w:val="es-ES"/>
                </w:rPr>
                <w:t>Cuestión 2/13 - Requisitos para la evolución de las NGN (NGN-e) y sus capacidades, incluido el soporte de Internet de cosas (para la salud móvil)</w:t>
              </w:r>
            </w:hyperlink>
          </w:p>
          <w:p w:rsidR="00013F68" w:rsidRPr="00291D2B" w:rsidRDefault="00A31E61" w:rsidP="0020782D">
            <w:pPr>
              <w:pStyle w:val="Tabletext"/>
              <w:rPr>
                <w:sz w:val="18"/>
                <w:szCs w:val="18"/>
                <w:lang w:val="es-ES"/>
              </w:rPr>
            </w:pPr>
            <w:hyperlink r:id="rId243" w:history="1">
              <w:r w:rsidR="00013F68" w:rsidRPr="00291D2B">
                <w:rPr>
                  <w:rStyle w:val="Hyperlink"/>
                  <w:sz w:val="18"/>
                  <w:szCs w:val="18"/>
                  <w:lang w:val="es-ES"/>
                </w:rPr>
                <w:t>CE 17 del UIT-T – Seguridad</w:t>
              </w:r>
            </w:hyperlink>
          </w:p>
          <w:p w:rsidR="00013F68" w:rsidRPr="00291D2B" w:rsidRDefault="00A31E61" w:rsidP="0020782D">
            <w:pPr>
              <w:pStyle w:val="Tabletext"/>
              <w:rPr>
                <w:sz w:val="18"/>
                <w:szCs w:val="18"/>
                <w:lang w:val="es-ES"/>
              </w:rPr>
            </w:pPr>
            <w:hyperlink r:id="rId244" w:history="1">
              <w:r w:rsidR="00013F68" w:rsidRPr="00291D2B">
                <w:rPr>
                  <w:rStyle w:val="Hyperlink"/>
                  <w:sz w:val="18"/>
                  <w:szCs w:val="18"/>
                  <w:lang w:val="es-ES"/>
                </w:rPr>
                <w:t xml:space="preserve">Cuestión 9/17 - </w:t>
              </w:r>
              <w:proofErr w:type="spellStart"/>
              <w:r w:rsidR="00013F68" w:rsidRPr="00291D2B">
                <w:rPr>
                  <w:rStyle w:val="Hyperlink"/>
                  <w:sz w:val="18"/>
                  <w:szCs w:val="18"/>
                  <w:lang w:val="es-ES"/>
                </w:rPr>
                <w:t>Telebiometría</w:t>
              </w:r>
              <w:proofErr w:type="spellEnd"/>
            </w:hyperlink>
          </w:p>
          <w:p w:rsidR="00013F68" w:rsidRPr="00291D2B" w:rsidRDefault="00A31E61" w:rsidP="0020782D">
            <w:pPr>
              <w:pStyle w:val="Tabletext"/>
              <w:rPr>
                <w:sz w:val="18"/>
                <w:szCs w:val="18"/>
                <w:lang w:val="es-ES" w:eastAsia="en-US"/>
              </w:rPr>
            </w:pPr>
            <w:hyperlink r:id="rId245" w:history="1">
              <w:r w:rsidR="00013F68" w:rsidRPr="00291D2B">
                <w:rPr>
                  <w:rStyle w:val="Hyperlink"/>
                  <w:sz w:val="18"/>
                  <w:szCs w:val="18"/>
                  <w:lang w:val="es-ES"/>
                </w:rPr>
                <w:t>Grupo Temático sobre M2M</w:t>
              </w:r>
            </w:hyperlink>
          </w:p>
        </w:tc>
      </w:tr>
      <w:tr w:rsidR="00013F68" w:rsidRPr="00A31E61" w:rsidTr="00AF24F3">
        <w:trPr>
          <w:jc w:val="center"/>
        </w:trPr>
        <w:tc>
          <w:tcPr>
            <w:tcW w:w="1997" w:type="dxa"/>
            <w:shd w:val="clear" w:color="auto" w:fill="E8F8FD"/>
          </w:tcPr>
          <w:p w:rsidR="00013F68" w:rsidRPr="007D3A35" w:rsidRDefault="00013F68" w:rsidP="00AF24F3">
            <w:pPr>
              <w:pStyle w:val="Tabletext"/>
              <w:rPr>
                <w:b/>
                <w:bCs/>
                <w:sz w:val="18"/>
                <w:szCs w:val="18"/>
                <w:lang w:val="es-ES" w:eastAsia="en-US"/>
              </w:rPr>
            </w:pPr>
            <w:r w:rsidRPr="007D3A35">
              <w:rPr>
                <w:b/>
                <w:bCs/>
                <w:sz w:val="18"/>
                <w:szCs w:val="18"/>
                <w:lang w:val="es-ES" w:eastAsia="en-US"/>
              </w:rPr>
              <w:lastRenderedPageBreak/>
              <w:t>Cuestión 17-3/2</w:t>
            </w:r>
          </w:p>
        </w:tc>
        <w:tc>
          <w:tcPr>
            <w:tcW w:w="4453" w:type="dxa"/>
            <w:shd w:val="clear" w:color="auto" w:fill="E8F8FD"/>
          </w:tcPr>
          <w:p w:rsidR="00013F68" w:rsidRPr="007D3A35" w:rsidRDefault="00013F68" w:rsidP="00AF24F3">
            <w:pPr>
              <w:pStyle w:val="Tabletext"/>
              <w:rPr>
                <w:sz w:val="18"/>
                <w:szCs w:val="18"/>
                <w:lang w:val="es-ES" w:eastAsia="en-US"/>
              </w:rPr>
            </w:pPr>
            <w:r w:rsidRPr="007D3A35">
              <w:rPr>
                <w:sz w:val="18"/>
                <w:szCs w:val="18"/>
                <w:lang w:val="es-ES"/>
              </w:rPr>
              <w:t xml:space="preserve">Adelantos de las actividades de </w:t>
            </w:r>
            <w:proofErr w:type="spellStart"/>
            <w:r w:rsidRPr="007D3A35">
              <w:rPr>
                <w:sz w:val="18"/>
                <w:szCs w:val="18"/>
                <w:lang w:val="es-ES"/>
              </w:rPr>
              <w:t>cibergobierno</w:t>
            </w:r>
            <w:proofErr w:type="spellEnd"/>
            <w:r w:rsidRPr="007D3A35">
              <w:rPr>
                <w:sz w:val="18"/>
                <w:szCs w:val="18"/>
                <w:lang w:val="es-ES"/>
              </w:rPr>
              <w:t xml:space="preserve"> e identificación de esferas de </w:t>
            </w:r>
            <w:proofErr w:type="spellStart"/>
            <w:r w:rsidRPr="007D3A35">
              <w:rPr>
                <w:sz w:val="18"/>
                <w:szCs w:val="18"/>
                <w:lang w:val="es-ES"/>
              </w:rPr>
              <w:t>cibergobierno</w:t>
            </w:r>
            <w:proofErr w:type="spellEnd"/>
            <w:r w:rsidRPr="007D3A35">
              <w:rPr>
                <w:sz w:val="18"/>
                <w:szCs w:val="18"/>
                <w:lang w:val="es-ES"/>
              </w:rPr>
              <w:t xml:space="preserve"> en beneficio de los países en desarrollo</w:t>
            </w:r>
          </w:p>
        </w:tc>
        <w:tc>
          <w:tcPr>
            <w:tcW w:w="2304" w:type="dxa"/>
            <w:shd w:val="clear" w:color="auto" w:fill="E8F8FD"/>
          </w:tcPr>
          <w:p w:rsidR="00013F68" w:rsidRPr="007D3A35" w:rsidRDefault="00013F68" w:rsidP="00AF24F3">
            <w:pPr>
              <w:pStyle w:val="Tabletext"/>
              <w:rPr>
                <w:b/>
                <w:bCs/>
                <w:sz w:val="18"/>
                <w:szCs w:val="18"/>
                <w:lang w:val="es-ES"/>
              </w:rPr>
            </w:pPr>
            <w:r w:rsidRPr="007D3A35">
              <w:rPr>
                <w:b/>
                <w:bCs/>
                <w:sz w:val="18"/>
                <w:szCs w:val="18"/>
                <w:lang w:val="es-ES" w:eastAsia="en-US"/>
              </w:rPr>
              <w:t>Programa 2</w:t>
            </w:r>
          </w:p>
        </w:tc>
        <w:tc>
          <w:tcPr>
            <w:tcW w:w="2880" w:type="dxa"/>
            <w:shd w:val="clear" w:color="auto" w:fill="E8F8FD"/>
          </w:tcPr>
          <w:p w:rsidR="00013F68" w:rsidRPr="007D3A35" w:rsidRDefault="00013F68" w:rsidP="00AF24F3">
            <w:pPr>
              <w:pStyle w:val="Tabletext"/>
              <w:rPr>
                <w:i/>
                <w:iCs/>
                <w:sz w:val="18"/>
                <w:szCs w:val="18"/>
                <w:lang w:val="es-ES" w:eastAsia="en-US"/>
              </w:rPr>
            </w:pPr>
            <w:r w:rsidRPr="007D3A35">
              <w:rPr>
                <w:sz w:val="18"/>
                <w:szCs w:val="18"/>
                <w:lang w:val="es-ES" w:eastAsia="en-US"/>
              </w:rPr>
              <w:t xml:space="preserve"> </w:t>
            </w:r>
          </w:p>
        </w:tc>
        <w:tc>
          <w:tcPr>
            <w:tcW w:w="2800" w:type="dxa"/>
            <w:shd w:val="clear" w:color="auto" w:fill="E8F8FD"/>
          </w:tcPr>
          <w:p w:rsidR="00013F68" w:rsidRPr="007D3A35" w:rsidRDefault="00A31E61" w:rsidP="00AF24F3">
            <w:pPr>
              <w:pStyle w:val="Tabletext"/>
              <w:rPr>
                <w:sz w:val="18"/>
                <w:szCs w:val="18"/>
                <w:lang w:val="es-ES"/>
              </w:rPr>
            </w:pPr>
            <w:hyperlink r:id="rId246" w:history="1">
              <w:r w:rsidR="00013F68" w:rsidRPr="007D3A35">
                <w:rPr>
                  <w:rStyle w:val="Hyperlink"/>
                  <w:sz w:val="18"/>
                  <w:szCs w:val="18"/>
                  <w:lang w:val="es-ES"/>
                </w:rPr>
                <w:t>CE 17 del UIT-T – Seguridad</w:t>
              </w:r>
            </w:hyperlink>
          </w:p>
          <w:p w:rsidR="00013F68" w:rsidRPr="007D3A35" w:rsidRDefault="00A31E61" w:rsidP="00AF24F3">
            <w:pPr>
              <w:pStyle w:val="Tabletext"/>
              <w:rPr>
                <w:sz w:val="18"/>
                <w:szCs w:val="18"/>
                <w:lang w:val="es-ES"/>
              </w:rPr>
            </w:pPr>
            <w:hyperlink r:id="rId247" w:history="1">
              <w:r w:rsidR="00013F68" w:rsidRPr="007D3A35">
                <w:rPr>
                  <w:rStyle w:val="Hyperlink"/>
                  <w:sz w:val="18"/>
                  <w:szCs w:val="18"/>
                  <w:lang w:val="es-ES"/>
                </w:rPr>
                <w:t>CE 13 del UIT-T – Redes futuras, incluida la computación en la nube, las redes móviles y las de la próxima generación</w:t>
              </w:r>
            </w:hyperlink>
          </w:p>
          <w:p w:rsidR="00013F68" w:rsidRPr="007D3A35" w:rsidRDefault="00A31E61" w:rsidP="00AF24F3">
            <w:pPr>
              <w:pStyle w:val="Tabletext"/>
              <w:rPr>
                <w:sz w:val="18"/>
                <w:szCs w:val="18"/>
                <w:lang w:val="es-ES"/>
              </w:rPr>
            </w:pPr>
            <w:hyperlink r:id="rId248" w:history="1">
              <w:r w:rsidR="00013F68" w:rsidRPr="007D3A35">
                <w:rPr>
                  <w:rStyle w:val="Hyperlink"/>
                  <w:sz w:val="18"/>
                  <w:szCs w:val="18"/>
                  <w:lang w:val="es-ES"/>
                </w:rPr>
                <w:t>Cuestión 8/13 - Seguridad y gestión de identidad en las redes gestionadas en evolución</w:t>
              </w:r>
            </w:hyperlink>
            <w:r w:rsidR="00013F68" w:rsidRPr="007D3A35">
              <w:rPr>
                <w:sz w:val="18"/>
                <w:szCs w:val="18"/>
                <w:lang w:val="es-ES"/>
              </w:rPr>
              <w:t xml:space="preserve"> </w:t>
            </w:r>
          </w:p>
        </w:tc>
      </w:tr>
      <w:tr w:rsidR="00013F68" w:rsidRPr="00A31E61" w:rsidTr="005A4281">
        <w:trPr>
          <w:jc w:val="center"/>
        </w:trPr>
        <w:tc>
          <w:tcPr>
            <w:tcW w:w="1997" w:type="dxa"/>
          </w:tcPr>
          <w:p w:rsidR="00013F68" w:rsidRPr="007D3A35" w:rsidRDefault="00013F68" w:rsidP="00AF24F3">
            <w:pPr>
              <w:pStyle w:val="Tabletext"/>
              <w:rPr>
                <w:rFonts w:cs="Times New Roman Bold"/>
                <w:b/>
                <w:bCs/>
                <w:sz w:val="18"/>
                <w:szCs w:val="18"/>
                <w:lang w:val="es-ES" w:eastAsia="en-US"/>
              </w:rPr>
            </w:pPr>
            <w:r w:rsidRPr="007D3A35">
              <w:rPr>
                <w:rFonts w:cs="Times New Roman Bold"/>
                <w:b/>
                <w:bCs/>
                <w:sz w:val="18"/>
                <w:szCs w:val="18"/>
                <w:lang w:val="es-ES" w:eastAsia="en-US"/>
              </w:rPr>
              <w:t>Cuestión 22-1/2</w:t>
            </w:r>
          </w:p>
        </w:tc>
        <w:tc>
          <w:tcPr>
            <w:tcW w:w="4453" w:type="dxa"/>
          </w:tcPr>
          <w:p w:rsidR="00013F68" w:rsidRPr="007D3A35" w:rsidRDefault="00013F68" w:rsidP="00AF24F3">
            <w:pPr>
              <w:pStyle w:val="Tabletext"/>
              <w:rPr>
                <w:rFonts w:ascii="Times New Roman Bold" w:hAnsi="Times New Roman Bold" w:cs="Times New Roman Bold"/>
                <w:bCs/>
                <w:sz w:val="18"/>
                <w:szCs w:val="18"/>
                <w:lang w:val="es-ES" w:eastAsia="en-US"/>
              </w:rPr>
            </w:pPr>
            <w:r w:rsidRPr="007D3A35">
              <w:rPr>
                <w:sz w:val="18"/>
                <w:szCs w:val="18"/>
                <w:lang w:val="es-ES"/>
              </w:rPr>
              <w:t>Utilización de las telecomunicaciones/TIC para la preparación, mitigación y respuesta en caso de catástrofe</w:t>
            </w:r>
          </w:p>
        </w:tc>
        <w:tc>
          <w:tcPr>
            <w:tcW w:w="2304" w:type="dxa"/>
          </w:tcPr>
          <w:p w:rsidR="00013F68" w:rsidRPr="007D3A35" w:rsidRDefault="00013F68" w:rsidP="00AF24F3">
            <w:pPr>
              <w:pStyle w:val="Tabletext"/>
              <w:rPr>
                <w:rFonts w:cs="Times New Roman Bold"/>
                <w:b/>
                <w:bCs/>
                <w:sz w:val="18"/>
                <w:szCs w:val="18"/>
                <w:lang w:val="es-ES" w:eastAsia="en-US"/>
              </w:rPr>
            </w:pPr>
            <w:r w:rsidRPr="007D3A35">
              <w:rPr>
                <w:rFonts w:cs="Times New Roman Bold"/>
                <w:b/>
                <w:bCs/>
                <w:sz w:val="18"/>
                <w:szCs w:val="18"/>
                <w:lang w:val="es-ES" w:eastAsia="en-US"/>
              </w:rPr>
              <w:t>Programa 1 y Programa 5</w:t>
            </w:r>
          </w:p>
        </w:tc>
        <w:tc>
          <w:tcPr>
            <w:tcW w:w="2880" w:type="dxa"/>
          </w:tcPr>
          <w:p w:rsidR="00013F68" w:rsidRPr="007D3A35" w:rsidRDefault="00A31E61" w:rsidP="00AF24F3">
            <w:pPr>
              <w:pStyle w:val="Tabletext"/>
              <w:rPr>
                <w:sz w:val="18"/>
                <w:szCs w:val="18"/>
                <w:lang w:val="es-ES"/>
              </w:rPr>
            </w:pPr>
            <w:hyperlink r:id="rId249" w:history="1">
              <w:r w:rsidR="00013F68" w:rsidRPr="007D3A35">
                <w:rPr>
                  <w:rStyle w:val="Hyperlink"/>
                  <w:sz w:val="18"/>
                  <w:szCs w:val="18"/>
                  <w:lang w:val="es-ES"/>
                </w:rPr>
                <w:t>CE 4 del UIT-R – Servicios por satélite</w:t>
              </w:r>
            </w:hyperlink>
          </w:p>
          <w:p w:rsidR="00013F68" w:rsidRPr="007D3A35" w:rsidRDefault="00A31E61" w:rsidP="00AF24F3">
            <w:pPr>
              <w:pStyle w:val="Tabletext"/>
              <w:rPr>
                <w:sz w:val="18"/>
                <w:szCs w:val="18"/>
                <w:lang w:val="es-ES" w:eastAsia="en-US"/>
              </w:rPr>
            </w:pPr>
            <w:hyperlink r:id="rId250" w:history="1">
              <w:r w:rsidR="00013F68" w:rsidRPr="007D3A35">
                <w:rPr>
                  <w:rStyle w:val="Hyperlink"/>
                  <w:sz w:val="18"/>
                  <w:szCs w:val="18"/>
                  <w:lang w:val="es-ES"/>
                </w:rPr>
                <w:t>CE 7 del UIT-T - Servicios científicos</w:t>
              </w:r>
            </w:hyperlink>
            <w:r w:rsidR="00013F68" w:rsidRPr="007D3A35">
              <w:rPr>
                <w:sz w:val="18"/>
                <w:szCs w:val="18"/>
                <w:lang w:val="es-ES"/>
              </w:rPr>
              <w:t xml:space="preserve"> </w:t>
            </w:r>
          </w:p>
        </w:tc>
        <w:tc>
          <w:tcPr>
            <w:tcW w:w="2800" w:type="dxa"/>
          </w:tcPr>
          <w:p w:rsidR="00013F68" w:rsidRPr="007D3A35" w:rsidRDefault="00A31E61" w:rsidP="00AF24F3">
            <w:pPr>
              <w:pStyle w:val="Tabletext"/>
              <w:rPr>
                <w:rFonts w:cs="Times New Roman Bold"/>
                <w:bCs/>
                <w:sz w:val="18"/>
                <w:szCs w:val="18"/>
                <w:lang w:val="es-ES" w:eastAsia="en-US"/>
              </w:rPr>
            </w:pPr>
            <w:hyperlink r:id="rId251" w:history="1">
              <w:r w:rsidR="00013F68" w:rsidRPr="007D3A35">
                <w:rPr>
                  <w:rStyle w:val="Hyperlink"/>
                  <w:sz w:val="18"/>
                  <w:szCs w:val="18"/>
                  <w:lang w:val="es-ES"/>
                </w:rPr>
                <w:t xml:space="preserve">CE 5 del UIT-T - </w:t>
              </w:r>
              <w:r w:rsidR="00013F68" w:rsidRPr="007D3A35">
                <w:rPr>
                  <w:rStyle w:val="Hyperlink"/>
                  <w:rFonts w:cs="Times New Roman Bold"/>
                  <w:sz w:val="18"/>
                  <w:szCs w:val="18"/>
                  <w:lang w:val="es-ES" w:eastAsia="en-US"/>
                </w:rPr>
                <w:t>Medio ambiente y cambio climático</w:t>
              </w:r>
            </w:hyperlink>
          </w:p>
          <w:p w:rsidR="00013F68" w:rsidRPr="007D3A35" w:rsidRDefault="00013F68" w:rsidP="00AF24F3">
            <w:pPr>
              <w:pStyle w:val="Tabletext"/>
              <w:rPr>
                <w:sz w:val="18"/>
                <w:szCs w:val="18"/>
                <w:lang w:val="es-ES"/>
              </w:rPr>
            </w:pPr>
            <w:r w:rsidRPr="007D3A35">
              <w:rPr>
                <w:sz w:val="18"/>
                <w:szCs w:val="18"/>
                <w:lang w:val="es-ES"/>
              </w:rPr>
              <w:t>CE 2 del UIT-T – Aspectos operacionales</w:t>
            </w:r>
          </w:p>
          <w:p w:rsidR="00013F68" w:rsidRPr="007D3A35" w:rsidRDefault="00A31E61" w:rsidP="00AF24F3">
            <w:pPr>
              <w:pStyle w:val="Tabletext"/>
              <w:rPr>
                <w:sz w:val="18"/>
                <w:szCs w:val="18"/>
                <w:lang w:val="es-ES"/>
              </w:rPr>
            </w:pPr>
            <w:hyperlink r:id="rId252" w:history="1">
              <w:r w:rsidR="00013F68" w:rsidRPr="007D3A35">
                <w:rPr>
                  <w:rStyle w:val="Hyperlink"/>
                  <w:sz w:val="18"/>
                  <w:szCs w:val="18"/>
                  <w:lang w:val="es-ES"/>
                </w:rPr>
                <w:t>Cuestión 3/2 - Aspectos operativos y de servicio de las telecomunicaciones, incluida la definición de servicio</w:t>
              </w:r>
            </w:hyperlink>
            <w:r w:rsidR="00013F68" w:rsidRPr="007D3A35">
              <w:rPr>
                <w:color w:val="000000"/>
                <w:sz w:val="18"/>
                <w:szCs w:val="18"/>
                <w:lang w:val="es-ES" w:eastAsia="en-US"/>
              </w:rPr>
              <w:t xml:space="preserve"> </w:t>
            </w:r>
          </w:p>
        </w:tc>
      </w:tr>
      <w:tr w:rsidR="00013F68" w:rsidRPr="00532211" w:rsidTr="00AF24F3">
        <w:trPr>
          <w:jc w:val="center"/>
        </w:trPr>
        <w:tc>
          <w:tcPr>
            <w:tcW w:w="1997" w:type="dxa"/>
            <w:shd w:val="clear" w:color="auto" w:fill="E8F8FD"/>
          </w:tcPr>
          <w:p w:rsidR="00013F68" w:rsidRPr="007D3A35" w:rsidRDefault="00013F68" w:rsidP="00AF24F3">
            <w:pPr>
              <w:pStyle w:val="Tabletext"/>
              <w:rPr>
                <w:b/>
                <w:bCs/>
                <w:sz w:val="18"/>
                <w:szCs w:val="18"/>
                <w:lang w:val="es-ES" w:eastAsia="en-US"/>
              </w:rPr>
            </w:pPr>
            <w:r w:rsidRPr="007D3A35">
              <w:rPr>
                <w:b/>
                <w:bCs/>
                <w:sz w:val="18"/>
                <w:szCs w:val="18"/>
                <w:lang w:val="es-ES" w:eastAsia="en-US"/>
              </w:rPr>
              <w:t>Cuestión 24/2</w:t>
            </w:r>
          </w:p>
        </w:tc>
        <w:tc>
          <w:tcPr>
            <w:tcW w:w="4453" w:type="dxa"/>
            <w:shd w:val="clear" w:color="auto" w:fill="E8F8FD"/>
          </w:tcPr>
          <w:p w:rsidR="00013F68" w:rsidRPr="007D3A35" w:rsidRDefault="00013F68" w:rsidP="00AF24F3">
            <w:pPr>
              <w:pStyle w:val="Tabletext"/>
              <w:rPr>
                <w:sz w:val="18"/>
                <w:szCs w:val="18"/>
                <w:lang w:val="es-ES" w:eastAsia="en-US"/>
              </w:rPr>
            </w:pPr>
            <w:r w:rsidRPr="007D3A35">
              <w:rPr>
                <w:sz w:val="18"/>
                <w:szCs w:val="18"/>
                <w:lang w:val="es-ES" w:eastAsia="en-US"/>
              </w:rPr>
              <w:t>TIC y cambio climático</w:t>
            </w:r>
          </w:p>
        </w:tc>
        <w:tc>
          <w:tcPr>
            <w:tcW w:w="2304" w:type="dxa"/>
            <w:shd w:val="clear" w:color="auto" w:fill="E8F8FD"/>
          </w:tcPr>
          <w:p w:rsidR="00013F68" w:rsidRPr="007D3A35" w:rsidRDefault="00013F68" w:rsidP="00AF24F3">
            <w:pPr>
              <w:pStyle w:val="Tabletext"/>
              <w:rPr>
                <w:rFonts w:cs="Times New Roman Bold"/>
                <w:b/>
                <w:bCs/>
                <w:sz w:val="18"/>
                <w:szCs w:val="18"/>
                <w:lang w:val="es-ES" w:eastAsia="en-US"/>
              </w:rPr>
            </w:pPr>
            <w:r w:rsidRPr="007D3A35">
              <w:rPr>
                <w:rFonts w:cs="Times New Roman Bold"/>
                <w:b/>
                <w:bCs/>
                <w:sz w:val="18"/>
                <w:szCs w:val="18"/>
                <w:lang w:val="es-ES" w:eastAsia="en-US"/>
              </w:rPr>
              <w:t>Programa 5</w:t>
            </w:r>
          </w:p>
        </w:tc>
        <w:tc>
          <w:tcPr>
            <w:tcW w:w="2880" w:type="dxa"/>
            <w:shd w:val="clear" w:color="auto" w:fill="E8F8FD"/>
          </w:tcPr>
          <w:p w:rsidR="00013F68" w:rsidRPr="007D3A35" w:rsidRDefault="00A31E61" w:rsidP="00AF24F3">
            <w:pPr>
              <w:pStyle w:val="Tabletext"/>
              <w:rPr>
                <w:sz w:val="18"/>
                <w:szCs w:val="18"/>
                <w:lang w:val="es-ES" w:eastAsia="en-US"/>
              </w:rPr>
            </w:pPr>
            <w:hyperlink r:id="rId253" w:history="1">
              <w:r w:rsidR="00013F68" w:rsidRPr="007D3A35">
                <w:rPr>
                  <w:rStyle w:val="Hyperlink"/>
                  <w:sz w:val="18"/>
                  <w:szCs w:val="18"/>
                  <w:lang w:val="es-ES"/>
                </w:rPr>
                <w:t>CE 7 del UIT-T - Servicios científicos</w:t>
              </w:r>
            </w:hyperlink>
          </w:p>
        </w:tc>
        <w:tc>
          <w:tcPr>
            <w:tcW w:w="2800" w:type="dxa"/>
            <w:shd w:val="clear" w:color="auto" w:fill="E8F8FD"/>
          </w:tcPr>
          <w:p w:rsidR="00013F68" w:rsidRPr="007D3A35" w:rsidRDefault="00A31E61" w:rsidP="00AF24F3">
            <w:pPr>
              <w:pStyle w:val="Tabletext"/>
              <w:rPr>
                <w:rFonts w:cs="Times New Roman Bold"/>
                <w:bCs/>
                <w:sz w:val="18"/>
                <w:szCs w:val="18"/>
                <w:lang w:val="es-ES" w:eastAsia="en-US"/>
              </w:rPr>
            </w:pPr>
            <w:hyperlink r:id="rId254" w:history="1">
              <w:r w:rsidR="00013F68" w:rsidRPr="007D3A35">
                <w:rPr>
                  <w:rStyle w:val="Hyperlink"/>
                  <w:sz w:val="18"/>
                  <w:szCs w:val="18"/>
                  <w:lang w:val="es-ES"/>
                </w:rPr>
                <w:t xml:space="preserve">CE 5 del UIT-T - </w:t>
              </w:r>
              <w:r w:rsidR="00013F68" w:rsidRPr="007D3A35">
                <w:rPr>
                  <w:rStyle w:val="Hyperlink"/>
                  <w:rFonts w:cs="Times New Roman Bold"/>
                  <w:sz w:val="18"/>
                  <w:szCs w:val="18"/>
                  <w:lang w:val="es-ES" w:eastAsia="en-US"/>
                </w:rPr>
                <w:t>Medio ambiente y cambio climático</w:t>
              </w:r>
            </w:hyperlink>
          </w:p>
          <w:p w:rsidR="00013F68" w:rsidRPr="007D3A35" w:rsidRDefault="00013F68" w:rsidP="00AF24F3">
            <w:pPr>
              <w:pStyle w:val="Tabletext"/>
              <w:rPr>
                <w:rFonts w:cs="Times New Roman Bold"/>
                <w:bCs/>
                <w:sz w:val="18"/>
                <w:szCs w:val="18"/>
                <w:lang w:val="fr-CH" w:eastAsia="en-US"/>
              </w:rPr>
            </w:pPr>
            <w:proofErr w:type="spellStart"/>
            <w:r w:rsidRPr="007D3A35">
              <w:rPr>
                <w:rFonts w:cs="Times New Roman Bold"/>
                <w:sz w:val="18"/>
                <w:szCs w:val="18"/>
                <w:lang w:val="fr-CH" w:eastAsia="en-US"/>
              </w:rPr>
              <w:t>IoT</w:t>
            </w:r>
            <w:proofErr w:type="spellEnd"/>
            <w:r w:rsidRPr="007D3A35">
              <w:rPr>
                <w:rFonts w:cs="Times New Roman Bold"/>
                <w:sz w:val="18"/>
                <w:szCs w:val="18"/>
                <w:lang w:val="fr-CH" w:eastAsia="en-US"/>
              </w:rPr>
              <w:t>-GSI y JCA-</w:t>
            </w:r>
            <w:proofErr w:type="spellStart"/>
            <w:r w:rsidRPr="007D3A35">
              <w:rPr>
                <w:rFonts w:cs="Times New Roman Bold"/>
                <w:sz w:val="18"/>
                <w:szCs w:val="18"/>
                <w:lang w:val="fr-CH" w:eastAsia="en-US"/>
              </w:rPr>
              <w:t>IoT</w:t>
            </w:r>
            <w:proofErr w:type="spellEnd"/>
            <w:r w:rsidRPr="007D3A35">
              <w:rPr>
                <w:rFonts w:cs="Times New Roman Bold"/>
                <w:sz w:val="18"/>
                <w:szCs w:val="18"/>
                <w:lang w:val="fr-CH" w:eastAsia="en-US"/>
              </w:rPr>
              <w:t xml:space="preserve"> </w:t>
            </w:r>
            <w:proofErr w:type="spellStart"/>
            <w:r w:rsidRPr="007D3A35">
              <w:rPr>
                <w:rFonts w:cs="Times New Roman Bold"/>
                <w:sz w:val="18"/>
                <w:szCs w:val="18"/>
                <w:lang w:val="fr-CH" w:eastAsia="en-US"/>
              </w:rPr>
              <w:t>del</w:t>
            </w:r>
            <w:proofErr w:type="spellEnd"/>
            <w:r w:rsidRPr="007D3A35">
              <w:rPr>
                <w:rFonts w:cs="Times New Roman Bold"/>
                <w:sz w:val="18"/>
                <w:szCs w:val="18"/>
                <w:lang w:val="fr-CH" w:eastAsia="en-US"/>
              </w:rPr>
              <w:t xml:space="preserve"> UIT-T</w:t>
            </w:r>
          </w:p>
        </w:tc>
      </w:tr>
      <w:tr w:rsidR="00013F68" w:rsidRPr="00A31E61" w:rsidTr="005A4281">
        <w:trPr>
          <w:jc w:val="center"/>
        </w:trPr>
        <w:tc>
          <w:tcPr>
            <w:tcW w:w="1997" w:type="dxa"/>
          </w:tcPr>
          <w:p w:rsidR="00013F68" w:rsidRPr="007D3A35" w:rsidRDefault="00013F68" w:rsidP="00AF24F3">
            <w:pPr>
              <w:pStyle w:val="Tabletext"/>
              <w:rPr>
                <w:b/>
                <w:bCs/>
                <w:sz w:val="18"/>
                <w:szCs w:val="18"/>
                <w:lang w:val="es-ES" w:eastAsia="en-US"/>
              </w:rPr>
            </w:pPr>
            <w:r w:rsidRPr="007D3A35">
              <w:rPr>
                <w:b/>
                <w:bCs/>
                <w:sz w:val="18"/>
                <w:szCs w:val="18"/>
                <w:lang w:val="es-ES" w:eastAsia="en-US"/>
              </w:rPr>
              <w:t>Cuestión 25/2</w:t>
            </w:r>
          </w:p>
        </w:tc>
        <w:tc>
          <w:tcPr>
            <w:tcW w:w="4453" w:type="dxa"/>
          </w:tcPr>
          <w:p w:rsidR="00013F68" w:rsidRPr="007D3A35" w:rsidRDefault="00013F68" w:rsidP="00AF24F3">
            <w:pPr>
              <w:pStyle w:val="Tabletext"/>
              <w:rPr>
                <w:bCs/>
                <w:sz w:val="18"/>
                <w:szCs w:val="18"/>
                <w:lang w:val="es-ES" w:eastAsia="en-US"/>
              </w:rPr>
            </w:pPr>
            <w:r w:rsidRPr="007D3A35">
              <w:rPr>
                <w:sz w:val="18"/>
                <w:szCs w:val="18"/>
                <w:lang w:val="es-ES" w:eastAsia="en-US"/>
              </w:rPr>
              <w:t>Tecnologías de acceso a las telecomunicaciones de banda ancha, incluidas las IMT, para los países en desarrollo</w:t>
            </w:r>
          </w:p>
        </w:tc>
        <w:tc>
          <w:tcPr>
            <w:tcW w:w="2304" w:type="dxa"/>
          </w:tcPr>
          <w:p w:rsidR="00013F68" w:rsidRPr="007D3A35" w:rsidRDefault="00013F68" w:rsidP="00AF24F3">
            <w:pPr>
              <w:pStyle w:val="Tabletext"/>
              <w:rPr>
                <w:rFonts w:cs="Times New Roman Bold"/>
                <w:b/>
                <w:bCs/>
                <w:sz w:val="18"/>
                <w:szCs w:val="18"/>
                <w:lang w:val="es-ES" w:eastAsia="en-US"/>
              </w:rPr>
            </w:pPr>
            <w:r w:rsidRPr="007D3A35">
              <w:rPr>
                <w:rFonts w:cs="Times New Roman Bold"/>
                <w:b/>
                <w:bCs/>
                <w:sz w:val="18"/>
                <w:szCs w:val="18"/>
                <w:lang w:val="es-ES" w:eastAsia="en-US"/>
              </w:rPr>
              <w:t>Programa 1</w:t>
            </w:r>
          </w:p>
        </w:tc>
        <w:tc>
          <w:tcPr>
            <w:tcW w:w="2880" w:type="dxa"/>
          </w:tcPr>
          <w:p w:rsidR="00013F68" w:rsidRPr="007D3A35" w:rsidRDefault="00A31E61" w:rsidP="00AF24F3">
            <w:pPr>
              <w:pStyle w:val="Tabletext"/>
              <w:rPr>
                <w:sz w:val="18"/>
                <w:szCs w:val="18"/>
                <w:lang w:val="es-ES"/>
              </w:rPr>
            </w:pPr>
            <w:hyperlink r:id="rId255" w:history="1">
              <w:r w:rsidR="00013F68" w:rsidRPr="007D3A35">
                <w:rPr>
                  <w:rStyle w:val="Hyperlink"/>
                  <w:sz w:val="18"/>
                  <w:szCs w:val="18"/>
                  <w:lang w:val="es-ES"/>
                </w:rPr>
                <w:t>CE 4 del UIT-R – Servicios por satélite</w:t>
              </w:r>
            </w:hyperlink>
          </w:p>
          <w:p w:rsidR="00FB292B" w:rsidRPr="007D3A35" w:rsidRDefault="00FB292B" w:rsidP="00AF24F3">
            <w:pPr>
              <w:pStyle w:val="Tabletext"/>
              <w:rPr>
                <w:color w:val="0000FF"/>
                <w:sz w:val="18"/>
                <w:szCs w:val="18"/>
                <w:u w:val="single"/>
                <w:lang w:val="es-ES" w:eastAsia="en-US"/>
              </w:rPr>
            </w:pPr>
          </w:p>
          <w:p w:rsidR="00013F68" w:rsidRPr="007D3A35" w:rsidRDefault="00A31E61" w:rsidP="00AF24F3">
            <w:pPr>
              <w:pStyle w:val="Tabletext"/>
              <w:rPr>
                <w:sz w:val="18"/>
                <w:szCs w:val="18"/>
                <w:lang w:val="es-ES"/>
              </w:rPr>
            </w:pPr>
            <w:hyperlink r:id="rId256" w:history="1">
              <w:r w:rsidR="00013F68" w:rsidRPr="007D3A35">
                <w:rPr>
                  <w:rStyle w:val="Hyperlink"/>
                  <w:sz w:val="18"/>
                  <w:szCs w:val="18"/>
                  <w:lang w:val="es-ES"/>
                </w:rPr>
                <w:t>CE 5 del UIT-R – Servicios terrenales</w:t>
              </w:r>
            </w:hyperlink>
          </w:p>
          <w:p w:rsidR="00013F68" w:rsidRPr="007D3A35" w:rsidRDefault="00013F68" w:rsidP="00AF24F3">
            <w:pPr>
              <w:pStyle w:val="Tabletext"/>
              <w:rPr>
                <w:rFonts w:ascii="Arial" w:hAnsi="Arial" w:cs="Arial"/>
                <w:bCs/>
                <w:color w:val="353534"/>
                <w:sz w:val="18"/>
                <w:szCs w:val="18"/>
                <w:lang w:val="es-ES" w:eastAsia="en-US"/>
              </w:rPr>
            </w:pPr>
          </w:p>
        </w:tc>
        <w:tc>
          <w:tcPr>
            <w:tcW w:w="2800" w:type="dxa"/>
          </w:tcPr>
          <w:p w:rsidR="00013F68" w:rsidRPr="007D3A35" w:rsidRDefault="00A31E61" w:rsidP="00AF24F3">
            <w:pPr>
              <w:pStyle w:val="Tabletext"/>
              <w:rPr>
                <w:sz w:val="18"/>
                <w:szCs w:val="18"/>
                <w:lang w:val="es-ES"/>
              </w:rPr>
            </w:pPr>
            <w:hyperlink r:id="rId257" w:history="1">
              <w:r w:rsidR="00013F68" w:rsidRPr="007D3A35">
                <w:rPr>
                  <w:rStyle w:val="Hyperlink"/>
                  <w:sz w:val="18"/>
                  <w:szCs w:val="18"/>
                  <w:lang w:val="es-ES"/>
                </w:rPr>
                <w:t>CE 13 del UIT-T – Redes futuras, incluida la computación en la nube, las redes móviles y las de la próxima generación</w:t>
              </w:r>
            </w:hyperlink>
          </w:p>
          <w:p w:rsidR="00013F68" w:rsidRPr="007D3A35" w:rsidRDefault="00A31E61" w:rsidP="00AF24F3">
            <w:pPr>
              <w:pStyle w:val="Tabletext"/>
              <w:rPr>
                <w:sz w:val="18"/>
                <w:szCs w:val="18"/>
                <w:lang w:val="es-ES"/>
              </w:rPr>
            </w:pPr>
            <w:hyperlink r:id="rId258" w:history="1">
              <w:r w:rsidR="00013F68" w:rsidRPr="007D3A35">
                <w:rPr>
                  <w:rStyle w:val="Hyperlink"/>
                  <w:sz w:val="18"/>
                  <w:szCs w:val="18"/>
                  <w:lang w:val="es-ES"/>
                </w:rPr>
                <w:t>CE 15 del UIT-T - Redes, tecnologías e infraestructuras de las redes de transporte, de acceso y domésticas</w:t>
              </w:r>
            </w:hyperlink>
          </w:p>
          <w:p w:rsidR="00013F68" w:rsidRPr="007D3A35" w:rsidRDefault="00A31E61" w:rsidP="00AF24F3">
            <w:pPr>
              <w:pStyle w:val="Tabletext"/>
              <w:rPr>
                <w:color w:val="0000FF"/>
                <w:sz w:val="18"/>
                <w:szCs w:val="18"/>
                <w:u w:val="single"/>
                <w:lang w:val="es-ES"/>
              </w:rPr>
            </w:pPr>
            <w:hyperlink r:id="rId259" w:history="1">
              <w:r w:rsidR="00013F68" w:rsidRPr="007D3A35">
                <w:rPr>
                  <w:rStyle w:val="Hyperlink"/>
                  <w:sz w:val="18"/>
                  <w:szCs w:val="18"/>
                  <w:lang w:val="es-ES"/>
                </w:rPr>
                <w:t>CE 9 del UIT-T - Redes de cable de banda ancha integradas y transmisión sonora y de televisión</w:t>
              </w:r>
            </w:hyperlink>
          </w:p>
        </w:tc>
      </w:tr>
      <w:tr w:rsidR="00013F68" w:rsidRPr="00A31E61" w:rsidTr="005A4281">
        <w:trPr>
          <w:jc w:val="center"/>
        </w:trPr>
        <w:tc>
          <w:tcPr>
            <w:tcW w:w="1997" w:type="dxa"/>
            <w:tcBorders>
              <w:bottom w:val="single" w:sz="4" w:space="0" w:color="auto"/>
            </w:tcBorders>
          </w:tcPr>
          <w:p w:rsidR="00013F68" w:rsidRPr="007D3A35" w:rsidRDefault="00013F68" w:rsidP="007D3A35">
            <w:pPr>
              <w:pStyle w:val="Tabletext"/>
              <w:keepNext/>
              <w:rPr>
                <w:b/>
                <w:bCs/>
                <w:sz w:val="18"/>
                <w:szCs w:val="18"/>
                <w:lang w:val="es-ES" w:eastAsia="en-US"/>
              </w:rPr>
            </w:pPr>
            <w:r w:rsidRPr="007D3A35">
              <w:rPr>
                <w:b/>
                <w:bCs/>
                <w:sz w:val="18"/>
                <w:szCs w:val="18"/>
                <w:lang w:val="es-ES" w:eastAsia="en-US"/>
              </w:rPr>
              <w:lastRenderedPageBreak/>
              <w:t>Cuestión 26/2</w:t>
            </w:r>
          </w:p>
        </w:tc>
        <w:tc>
          <w:tcPr>
            <w:tcW w:w="4453" w:type="dxa"/>
            <w:tcBorders>
              <w:bottom w:val="single" w:sz="4" w:space="0" w:color="auto"/>
            </w:tcBorders>
          </w:tcPr>
          <w:p w:rsidR="00013F68" w:rsidRPr="007D3A35" w:rsidRDefault="00013F68" w:rsidP="007D3A35">
            <w:pPr>
              <w:pStyle w:val="Tabletext"/>
              <w:keepNext/>
              <w:rPr>
                <w:bCs/>
                <w:sz w:val="18"/>
                <w:szCs w:val="18"/>
                <w:lang w:val="es-ES" w:eastAsia="en-US"/>
              </w:rPr>
            </w:pPr>
            <w:r w:rsidRPr="007D3A35">
              <w:rPr>
                <w:sz w:val="18"/>
                <w:szCs w:val="18"/>
                <w:lang w:val="es-ES"/>
              </w:rPr>
              <w:t>Transición de las redes existentes a las redes de la próxima generación en países en desarrollo: aspectos técnicos, reglamentarios y políticos</w:t>
            </w:r>
          </w:p>
        </w:tc>
        <w:tc>
          <w:tcPr>
            <w:tcW w:w="2304" w:type="dxa"/>
            <w:tcBorders>
              <w:bottom w:val="single" w:sz="4" w:space="0" w:color="auto"/>
            </w:tcBorders>
          </w:tcPr>
          <w:p w:rsidR="00013F68" w:rsidRPr="007D3A35" w:rsidRDefault="00013F68" w:rsidP="007D3A35">
            <w:pPr>
              <w:pStyle w:val="Tabletext"/>
              <w:keepNext/>
              <w:rPr>
                <w:b/>
                <w:bCs/>
                <w:sz w:val="18"/>
                <w:szCs w:val="18"/>
                <w:lang w:val="es-ES" w:eastAsia="en-US"/>
              </w:rPr>
            </w:pPr>
            <w:r w:rsidRPr="007D3A35">
              <w:rPr>
                <w:b/>
                <w:bCs/>
                <w:sz w:val="18"/>
                <w:szCs w:val="18"/>
                <w:lang w:val="es-ES" w:eastAsia="en-US"/>
              </w:rPr>
              <w:t>Programa 1</w:t>
            </w:r>
          </w:p>
        </w:tc>
        <w:tc>
          <w:tcPr>
            <w:tcW w:w="2880" w:type="dxa"/>
            <w:tcBorders>
              <w:bottom w:val="single" w:sz="4" w:space="0" w:color="auto"/>
            </w:tcBorders>
          </w:tcPr>
          <w:p w:rsidR="00013F68" w:rsidRPr="007D3A35" w:rsidRDefault="00013F68" w:rsidP="007D3A35">
            <w:pPr>
              <w:pStyle w:val="Tabletext"/>
              <w:keepNext/>
              <w:rPr>
                <w:sz w:val="18"/>
                <w:szCs w:val="18"/>
                <w:lang w:val="es-ES" w:eastAsia="en-US"/>
              </w:rPr>
            </w:pPr>
          </w:p>
        </w:tc>
        <w:tc>
          <w:tcPr>
            <w:tcW w:w="2800" w:type="dxa"/>
            <w:tcBorders>
              <w:bottom w:val="single" w:sz="4" w:space="0" w:color="auto"/>
            </w:tcBorders>
            <w:shd w:val="clear" w:color="auto" w:fill="FFFFFF"/>
          </w:tcPr>
          <w:p w:rsidR="00013F68" w:rsidRPr="007D3A35" w:rsidRDefault="00A31E61" w:rsidP="007D3A35">
            <w:pPr>
              <w:pStyle w:val="Tabletext"/>
              <w:keepNext/>
              <w:rPr>
                <w:sz w:val="18"/>
                <w:szCs w:val="18"/>
                <w:lang w:val="es-ES"/>
              </w:rPr>
            </w:pPr>
            <w:hyperlink r:id="rId260" w:history="1">
              <w:r w:rsidR="00013F68" w:rsidRPr="007D3A35">
                <w:rPr>
                  <w:rStyle w:val="Hyperlink"/>
                  <w:sz w:val="18"/>
                  <w:szCs w:val="18"/>
                  <w:lang w:val="es-ES"/>
                </w:rPr>
                <w:t>CE 3 del UIT-T - Principios de tarificación y contabilidad, incluidos los temas relativos a economía y política de las telecomunicaciones</w:t>
              </w:r>
            </w:hyperlink>
          </w:p>
          <w:p w:rsidR="00013F68" w:rsidRPr="007D3A35" w:rsidRDefault="00A31E61" w:rsidP="007D3A35">
            <w:pPr>
              <w:pStyle w:val="Tabletext"/>
              <w:keepNext/>
              <w:rPr>
                <w:color w:val="0000FF"/>
                <w:sz w:val="18"/>
                <w:szCs w:val="18"/>
                <w:u w:val="single"/>
                <w:lang w:val="es-ES" w:eastAsia="en-US"/>
              </w:rPr>
            </w:pPr>
            <w:hyperlink r:id="rId261" w:history="1">
              <w:r w:rsidR="00013F68" w:rsidRPr="007D3A35">
                <w:rPr>
                  <w:rStyle w:val="Hyperlink"/>
                  <w:sz w:val="18"/>
                  <w:szCs w:val="18"/>
                  <w:lang w:val="es-ES"/>
                </w:rPr>
                <w:t>Cuestión 1/3 - Establecimiento de mecanismos de tasación y contabilidad/liquidación para los servicios de telecomunicaciones internacionales que utilizan las redes de la próxima generación (NGN) y cualquier otro posible futuro desarrollo</w:t>
              </w:r>
            </w:hyperlink>
            <w:r w:rsidR="00013F68" w:rsidRPr="007D3A35">
              <w:rPr>
                <w:sz w:val="18"/>
                <w:szCs w:val="18"/>
                <w:lang w:val="es-ES"/>
              </w:rPr>
              <w:t xml:space="preserve"> </w:t>
            </w:r>
          </w:p>
          <w:p w:rsidR="00013F68" w:rsidRPr="007D3A35" w:rsidRDefault="00A31E61" w:rsidP="007D3A35">
            <w:pPr>
              <w:pStyle w:val="Tabletext"/>
              <w:keepNext/>
              <w:rPr>
                <w:sz w:val="18"/>
                <w:szCs w:val="18"/>
                <w:lang w:val="es-ES"/>
              </w:rPr>
            </w:pPr>
            <w:hyperlink r:id="rId262" w:history="1">
              <w:r w:rsidR="00013F68" w:rsidRPr="007D3A35">
                <w:rPr>
                  <w:rStyle w:val="Hyperlink"/>
                  <w:sz w:val="18"/>
                  <w:szCs w:val="18"/>
                  <w:lang w:val="es-ES"/>
                </w:rPr>
                <w:t>CE 13 del UIT-T – Redes futuras, incluida la computación en la nube, las redes móviles y las de la próxima generación</w:t>
              </w:r>
            </w:hyperlink>
          </w:p>
          <w:p w:rsidR="00013F68" w:rsidRPr="007D3A35" w:rsidRDefault="00A31E61" w:rsidP="007D3A35">
            <w:pPr>
              <w:pStyle w:val="Tabletext"/>
              <w:keepNext/>
              <w:rPr>
                <w:sz w:val="18"/>
                <w:szCs w:val="18"/>
                <w:lang w:val="es-ES"/>
              </w:rPr>
            </w:pPr>
            <w:hyperlink r:id="rId263" w:history="1">
              <w:r w:rsidR="00013F68" w:rsidRPr="007D3A35">
                <w:rPr>
                  <w:rStyle w:val="Hyperlink"/>
                  <w:sz w:val="18"/>
                  <w:szCs w:val="18"/>
                  <w:lang w:val="es-ES"/>
                </w:rPr>
                <w:t>CE 11 del UIT-T – Requisitos, protocolos y especificaciones de pruebas de señalización</w:t>
              </w:r>
            </w:hyperlink>
          </w:p>
          <w:p w:rsidR="00013F68" w:rsidRPr="007D3A35" w:rsidRDefault="00A31E61" w:rsidP="007D3A35">
            <w:pPr>
              <w:pStyle w:val="Tabletext"/>
              <w:keepNext/>
              <w:rPr>
                <w:sz w:val="18"/>
                <w:szCs w:val="18"/>
                <w:lang w:val="es-ES"/>
              </w:rPr>
            </w:pPr>
            <w:hyperlink r:id="rId264" w:history="1">
              <w:r w:rsidR="00013F68" w:rsidRPr="007D3A35">
                <w:rPr>
                  <w:rStyle w:val="Hyperlink"/>
                  <w:sz w:val="18"/>
                  <w:szCs w:val="18"/>
                  <w:lang w:val="es-ES"/>
                </w:rPr>
                <w:t>CE 12 del UIT-T - Calidad de funcionamiento, calidad de servicio y calidad percibida</w:t>
              </w:r>
            </w:hyperlink>
          </w:p>
          <w:p w:rsidR="00013F68" w:rsidRPr="007D3A35" w:rsidRDefault="00A31E61" w:rsidP="007D3A35">
            <w:pPr>
              <w:pStyle w:val="Tabletext"/>
              <w:keepNext/>
              <w:rPr>
                <w:sz w:val="18"/>
                <w:szCs w:val="18"/>
                <w:lang w:val="es-ES" w:eastAsia="en-US"/>
              </w:rPr>
            </w:pPr>
            <w:hyperlink r:id="rId265" w:history="1">
              <w:r w:rsidR="00013F68" w:rsidRPr="007D3A35">
                <w:rPr>
                  <w:rStyle w:val="Hyperlink"/>
                  <w:sz w:val="18"/>
                  <w:szCs w:val="18"/>
                  <w:lang w:val="es-ES" w:eastAsia="en-US"/>
                </w:rPr>
                <w:t>Cuestión 17/12 - Calidad de funcionamiento de las redes por paquetes y otras tecnologías de red</w:t>
              </w:r>
            </w:hyperlink>
          </w:p>
          <w:p w:rsidR="00013F68" w:rsidRPr="007D3A35" w:rsidRDefault="00A31E61" w:rsidP="007D3A35">
            <w:pPr>
              <w:pStyle w:val="Tabletext"/>
              <w:keepNext/>
              <w:rPr>
                <w:sz w:val="18"/>
                <w:szCs w:val="18"/>
                <w:lang w:val="es-ES"/>
              </w:rPr>
            </w:pPr>
            <w:hyperlink r:id="rId266" w:history="1">
              <w:r w:rsidR="00013F68" w:rsidRPr="007D3A35">
                <w:rPr>
                  <w:rStyle w:val="Hyperlink"/>
                  <w:sz w:val="18"/>
                  <w:szCs w:val="18"/>
                  <w:lang w:val="es-ES"/>
                </w:rPr>
                <w:t>CE 3 del UIT-T - Principios de tarificación y contabilidad, incluidos los temas relativos a economía y política de las telecomunicaciones</w:t>
              </w:r>
            </w:hyperlink>
          </w:p>
        </w:tc>
      </w:tr>
      <w:bookmarkEnd w:id="9"/>
    </w:tbl>
    <w:p w:rsidR="00013F68" w:rsidRPr="00AF24F3" w:rsidRDefault="00013F68" w:rsidP="00AF24F3">
      <w:pPr>
        <w:jc w:val="center"/>
        <w:rPr>
          <w:bCs/>
          <w:szCs w:val="19"/>
          <w:u w:val="single"/>
          <w:lang w:val="es-ES" w:eastAsia="en-US"/>
        </w:rPr>
      </w:pPr>
    </w:p>
    <w:sectPr w:rsidR="00013F68" w:rsidRPr="00AF24F3" w:rsidSect="007650A3">
      <w:headerReference w:type="even" r:id="rId267"/>
      <w:headerReference w:type="default" r:id="rId268"/>
      <w:footerReference w:type="even" r:id="rId269"/>
      <w:footerReference w:type="default" r:id="rId270"/>
      <w:endnotePr>
        <w:numFmt w:val="decimal"/>
      </w:endnotePr>
      <w:type w:val="oddPage"/>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45C" w:rsidRPr="0034180A" w:rsidRDefault="005C445C" w:rsidP="00837668">
      <w:pPr>
        <w:pStyle w:val="Footer"/>
      </w:pPr>
    </w:p>
    <w:p w:rsidR="005C445C" w:rsidRDefault="005C445C"/>
    <w:p w:rsidR="005C445C" w:rsidRDefault="005C445C"/>
  </w:endnote>
  <w:endnote w:type="continuationSeparator" w:id="0">
    <w:p w:rsidR="005C445C" w:rsidRPr="0034180A" w:rsidRDefault="005C445C" w:rsidP="00837668">
      <w:pPr>
        <w:pStyle w:val="Footer"/>
      </w:pPr>
    </w:p>
    <w:p w:rsidR="005C445C" w:rsidRDefault="005C445C"/>
    <w:p w:rsidR="005C445C" w:rsidRDefault="005C445C"/>
  </w:endnote>
  <w:endnote w:type="continuationNotice" w:id="1">
    <w:p w:rsidR="005C445C" w:rsidRDefault="005C445C"/>
    <w:p w:rsidR="005C445C" w:rsidRDefault="005C445C"/>
    <w:p w:rsidR="005C445C" w:rsidRDefault="005C4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D4E3F016-7E29-4ACC-95D1-9806EA6155D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D903CB81-767C-427D-A0BD-F51905AD2F7C}"/>
    <w:embedBold r:id="rId3" w:fontKey="{E1F800C0-7CCD-4F6F-BA90-086AAB8C51DD}"/>
    <w:embedItalic r:id="rId4" w:fontKey="{B0BDAFAB-1306-4B1D-8802-DCF2F505D927}"/>
    <w:embedBoldItalic r:id="rId5" w:fontKey="{E8758247-8DF6-4D4F-A7FA-E4C8D131E37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Bold">
    <w:altName w:val="Tahoma"/>
    <w:panose1 w:val="020B0804030504040204"/>
    <w:charset w:val="00"/>
    <w:family w:val="auto"/>
    <w:pitch w:val="variable"/>
    <w:sig w:usb0="00000003" w:usb1="00000000" w:usb2="00000000" w:usb3="00000000" w:csb0="00000001" w:csb1="00000000"/>
    <w:embedBold r:id="rId6" w:subsetted="1" w:fontKey="{33EEC60A-E497-411C-9577-FED16AB33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837668" w:rsidRDefault="005C445C"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7650A3" w:rsidRDefault="005C445C" w:rsidP="007650A3">
    <w:pPr>
      <w:pStyle w:val="Footer"/>
      <w:pBdr>
        <w:top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7650A3" w:rsidRDefault="005C445C" w:rsidP="007650A3">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075AC8" w:rsidRDefault="005C445C"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Default="005C445C"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Default="005C445C" w:rsidP="00821C93">
    <w:pPr>
      <w:pStyle w:val="Footer"/>
      <w:tabs>
        <w:tab w:val="clear" w:pos="9071"/>
      </w:tabs>
      <w:ind w:left="0" w:right="6803"/>
      <w:jc w:val="left"/>
    </w:pPr>
    <w:r>
      <w:fldChar w:fldCharType="begin"/>
    </w:r>
    <w:r>
      <w:instrText xml:space="preserve"> PAGE </w:instrText>
    </w:r>
    <w:r>
      <w:fldChar w:fldCharType="separate"/>
    </w:r>
    <w:r w:rsidR="00A31E61">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Default="005C445C" w:rsidP="00821C93">
    <w:pPr>
      <w:pStyle w:val="Footer"/>
    </w:pPr>
    <w:r w:rsidRPr="009E2BB9">
      <w:tab/>
    </w:r>
    <w:r>
      <w:fldChar w:fldCharType="begin"/>
    </w:r>
    <w:r>
      <w:instrText xml:space="preserve"> PAGE </w:instrText>
    </w:r>
    <w:r>
      <w:fldChar w:fldCharType="separate"/>
    </w:r>
    <w:r w:rsidR="00A31E61">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5D26D2" w:rsidRDefault="005C445C" w:rsidP="004D4517">
    <w:pPr>
      <w:pStyle w:val="Footer"/>
    </w:pPr>
    <w:r w:rsidRPr="009E2BB9">
      <w:tab/>
    </w:r>
    <w:r>
      <w:fldChar w:fldCharType="begin"/>
    </w:r>
    <w:r>
      <w:instrText xml:space="preserve"> PAGE </w:instrText>
    </w:r>
    <w:r>
      <w:fldChar w:fldCharType="separate"/>
    </w:r>
    <w:r w:rsidR="00A31E61">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Default="005C445C" w:rsidP="005A4281">
    <w:pPr>
      <w:pBdr>
        <w:top w:val="single" w:sz="4" w:space="5" w:color="auto"/>
      </w:pBdr>
      <w:tabs>
        <w:tab w:val="left" w:pos="1560"/>
      </w:tabs>
      <w:spacing w:before="0"/>
      <w:ind w:left="4320" w:hanging="3827"/>
      <w:rPr>
        <w:bCs/>
        <w:sz w:val="16"/>
        <w:szCs w:val="16"/>
        <w:lang w:val="es-ES_tradnl" w:eastAsia="en-US"/>
      </w:rPr>
    </w:pPr>
    <w:r w:rsidRPr="001A3840">
      <w:rPr>
        <w:sz w:val="16"/>
        <w:szCs w:val="16"/>
        <w:lang w:val="es-ES_tradnl" w:eastAsia="en-US"/>
      </w:rPr>
      <w:t>Diríjase a:</w:t>
    </w:r>
    <w:r w:rsidRPr="001A3840">
      <w:rPr>
        <w:sz w:val="16"/>
        <w:szCs w:val="16"/>
        <w:lang w:val="es-ES_tradnl" w:eastAsia="en-US"/>
      </w:rPr>
      <w:tab/>
      <w:t>Nombre/organización/entidad:</w:t>
    </w:r>
    <w:r w:rsidRPr="001A3840">
      <w:rPr>
        <w:sz w:val="16"/>
        <w:szCs w:val="16"/>
        <w:lang w:val="es-ES_tradnl" w:eastAsia="en-US"/>
      </w:rPr>
      <w:tab/>
    </w:r>
    <w:bookmarkStart w:id="137" w:name="OrgName"/>
    <w:bookmarkEnd w:id="137"/>
    <w:r w:rsidRPr="00F9094A">
      <w:rPr>
        <w:sz w:val="16"/>
        <w:szCs w:val="16"/>
        <w:lang w:val="es-ES_tradnl"/>
      </w:rPr>
      <w:t xml:space="preserve">Sr. </w:t>
    </w:r>
    <w:proofErr w:type="spellStart"/>
    <w:r w:rsidRPr="00F9094A">
      <w:rPr>
        <w:sz w:val="16"/>
        <w:szCs w:val="16"/>
        <w:lang w:val="es-ES_tradnl"/>
      </w:rPr>
      <w:t>Nasser</w:t>
    </w:r>
    <w:proofErr w:type="spellEnd"/>
    <w:r w:rsidRPr="00F9094A">
      <w:rPr>
        <w:sz w:val="16"/>
        <w:szCs w:val="16"/>
        <w:lang w:val="es-ES_tradnl"/>
      </w:rPr>
      <w:t xml:space="preserve"> Al-</w:t>
    </w:r>
    <w:proofErr w:type="spellStart"/>
    <w:r w:rsidRPr="00F9094A">
      <w:rPr>
        <w:sz w:val="16"/>
        <w:szCs w:val="16"/>
        <w:lang w:val="es-ES_tradnl"/>
      </w:rPr>
      <w:t>Marzouqi</w:t>
    </w:r>
    <w:proofErr w:type="spellEnd"/>
    <w:r w:rsidRPr="00F9094A">
      <w:rPr>
        <w:sz w:val="16"/>
        <w:szCs w:val="16"/>
        <w:lang w:val="es-ES_tradnl"/>
      </w:rPr>
      <w:t xml:space="preserve">, Relator para la Cuestión 9-3/2, </w:t>
    </w:r>
    <w:r w:rsidRPr="00F9094A">
      <w:rPr>
        <w:sz w:val="16"/>
        <w:szCs w:val="16"/>
        <w:lang w:val="es-ES_tradnl"/>
      </w:rPr>
      <w:br/>
    </w:r>
    <w:proofErr w:type="spellStart"/>
    <w:r w:rsidRPr="00F9094A">
      <w:rPr>
        <w:sz w:val="16"/>
        <w:szCs w:val="16"/>
        <w:lang w:val="es-ES_tradnl"/>
      </w:rPr>
      <w:t>Telecommunication</w:t>
    </w:r>
    <w:proofErr w:type="spellEnd"/>
    <w:r w:rsidRPr="00F9094A">
      <w:rPr>
        <w:sz w:val="16"/>
        <w:szCs w:val="16"/>
        <w:lang w:val="es-ES_tradnl"/>
      </w:rPr>
      <w:t xml:space="preserve"> </w:t>
    </w:r>
    <w:proofErr w:type="spellStart"/>
    <w:r w:rsidRPr="00F9094A">
      <w:rPr>
        <w:sz w:val="16"/>
        <w:szCs w:val="16"/>
        <w:lang w:val="es-ES_tradnl"/>
      </w:rPr>
      <w:t>Regulatory</w:t>
    </w:r>
    <w:proofErr w:type="spellEnd"/>
    <w:r w:rsidRPr="00F9094A">
      <w:rPr>
        <w:sz w:val="16"/>
        <w:szCs w:val="16"/>
        <w:lang w:val="es-ES_tradnl"/>
      </w:rPr>
      <w:t xml:space="preserve"> </w:t>
    </w:r>
    <w:proofErr w:type="spellStart"/>
    <w:r w:rsidRPr="00F9094A">
      <w:rPr>
        <w:sz w:val="16"/>
        <w:szCs w:val="16"/>
        <w:lang w:val="es-ES_tradnl"/>
      </w:rPr>
      <w:t>Authority</w:t>
    </w:r>
    <w:proofErr w:type="spellEnd"/>
    <w:r w:rsidRPr="00F9094A">
      <w:rPr>
        <w:sz w:val="16"/>
        <w:szCs w:val="16"/>
        <w:lang w:val="es-ES_tradnl"/>
      </w:rPr>
      <w:t>, Emiratos Árabes Unidos</w:t>
    </w:r>
  </w:p>
  <w:p w:rsidR="005C445C" w:rsidRPr="001A3840" w:rsidRDefault="005C445C" w:rsidP="005A4281">
    <w:pPr>
      <w:pBdr>
        <w:top w:val="single" w:sz="4" w:space="5" w:color="auto"/>
      </w:pBdr>
      <w:tabs>
        <w:tab w:val="left" w:pos="1560"/>
      </w:tabs>
      <w:spacing w:before="0"/>
      <w:ind w:left="4320" w:hanging="3827"/>
      <w:rPr>
        <w:bCs/>
        <w:sz w:val="16"/>
        <w:szCs w:val="16"/>
        <w:lang w:val="es-ES_tradnl" w:eastAsia="en-US"/>
      </w:rPr>
    </w:pPr>
    <w:r w:rsidRPr="001A3840">
      <w:rPr>
        <w:sz w:val="16"/>
        <w:szCs w:val="16"/>
        <w:lang w:val="es-ES_tradnl" w:eastAsia="en-US"/>
      </w:rPr>
      <w:t>Teléfono:</w:t>
    </w:r>
    <w:r w:rsidRPr="001A3840">
      <w:rPr>
        <w:sz w:val="16"/>
        <w:szCs w:val="16"/>
        <w:lang w:val="es-ES_tradnl" w:eastAsia="en-US"/>
      </w:rPr>
      <w:tab/>
    </w:r>
    <w:r w:rsidRPr="001A3840">
      <w:rPr>
        <w:sz w:val="16"/>
        <w:szCs w:val="16"/>
        <w:lang w:val="es-ES_tradnl" w:eastAsia="en-US"/>
      </w:rPr>
      <w:tab/>
    </w:r>
    <w:bookmarkStart w:id="138" w:name="PhoneNo"/>
    <w:bookmarkEnd w:id="138"/>
    <w:r w:rsidRPr="00F9094A">
      <w:rPr>
        <w:sz w:val="16"/>
        <w:szCs w:val="16"/>
        <w:lang w:val="es-ES_tradnl"/>
      </w:rPr>
      <w:t>+971 50 90 07 177</w:t>
    </w:r>
  </w:p>
  <w:p w:rsidR="005C445C" w:rsidRPr="00FE6DE1" w:rsidRDefault="005C445C" w:rsidP="005A4281">
    <w:pPr>
      <w:spacing w:before="0"/>
      <w:ind w:left="4368" w:hanging="3864"/>
      <w:rPr>
        <w:sz w:val="16"/>
        <w:szCs w:val="16"/>
        <w:lang w:val="es-ES_tradnl"/>
      </w:rPr>
    </w:pPr>
    <w:r w:rsidRPr="001A3840">
      <w:rPr>
        <w:sz w:val="16"/>
        <w:szCs w:val="16"/>
        <w:lang w:val="es-ES_tradnl" w:eastAsia="en-US"/>
      </w:rPr>
      <w:t>Correo-e:</w:t>
    </w:r>
    <w:bookmarkStart w:id="139" w:name="Email"/>
    <w:bookmarkEnd w:id="139"/>
    <w:r>
      <w:rPr>
        <w:sz w:val="16"/>
        <w:szCs w:val="16"/>
        <w:lang w:val="es-ES_tradnl" w:eastAsia="en-US"/>
      </w:rPr>
      <w:tab/>
    </w:r>
    <w:hyperlink r:id="rId1" w:history="1">
      <w:r w:rsidRPr="00F9094A">
        <w:rPr>
          <w:rStyle w:val="Hyperlink"/>
          <w:sz w:val="16"/>
          <w:lang w:val="es-ES_tradnl"/>
        </w:rPr>
        <w:t>nasser.almarzouqi@tra.gov.ae</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AB4CAD" w:rsidRDefault="005C445C" w:rsidP="00AB4CAD">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5D26D2" w:rsidRDefault="005C445C" w:rsidP="004E12F5">
    <w:pPr>
      <w:pStyle w:val="Footer"/>
    </w:pPr>
    <w:r w:rsidRPr="009E2BB9">
      <w:tab/>
    </w:r>
    <w:r>
      <w:fldChar w:fldCharType="begin"/>
    </w:r>
    <w:r>
      <w:instrText xml:space="preserve"> PAGE </w:instrText>
    </w:r>
    <w:r>
      <w:fldChar w:fldCharType="separate"/>
    </w:r>
    <w:r w:rsidR="00A31E61">
      <w:rPr>
        <w:noProof/>
      </w:rPr>
      <w:t>69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45C" w:rsidRDefault="005C445C" w:rsidP="009319E4">
      <w:pPr>
        <w:spacing w:after="120"/>
      </w:pPr>
      <w:r>
        <w:separator/>
      </w:r>
    </w:p>
  </w:footnote>
  <w:footnote w:type="continuationSeparator" w:id="0">
    <w:p w:rsidR="005C445C" w:rsidRDefault="005C445C">
      <w:r>
        <w:continuationSeparator/>
      </w:r>
    </w:p>
    <w:p w:rsidR="005C445C" w:rsidRDefault="005C445C"/>
    <w:p w:rsidR="005C445C" w:rsidRDefault="005C445C"/>
    <w:p w:rsidR="005C445C" w:rsidRDefault="005C445C"/>
    <w:p w:rsidR="005C445C" w:rsidRDefault="005C445C"/>
    <w:p w:rsidR="005C445C" w:rsidRDefault="005C445C"/>
  </w:footnote>
  <w:footnote w:type="continuationNotice" w:id="1">
    <w:p w:rsidR="005C445C" w:rsidRPr="006570A8" w:rsidRDefault="005C445C" w:rsidP="006570A8">
      <w:pPr>
        <w:pStyle w:val="Footer"/>
      </w:pPr>
    </w:p>
  </w:footnote>
  <w:footnote w:id="2">
    <w:p w:rsidR="005C445C" w:rsidRPr="00B672DE" w:rsidRDefault="005C445C" w:rsidP="00340022">
      <w:pPr>
        <w:pStyle w:val="FootnoteText"/>
        <w:spacing w:before="0"/>
        <w:rPr>
          <w:rFonts w:ascii="Verdana" w:hAnsi="Verdana"/>
          <w:lang w:val="es-ES"/>
        </w:rPr>
      </w:pPr>
      <w:r w:rsidRPr="00C97A96">
        <w:rPr>
          <w:rStyle w:val="FootnoteReference"/>
          <w:rFonts w:asciiTheme="minorHAnsi" w:hAnsiTheme="minorHAnsi"/>
          <w:szCs w:val="21"/>
          <w:lang w:val="es-ES"/>
        </w:rPr>
        <w:t>1</w:t>
      </w:r>
      <w:r>
        <w:rPr>
          <w:rFonts w:ascii="Verdana" w:hAnsi="Verdana"/>
          <w:lang w:val="es-ES"/>
        </w:rPr>
        <w:tab/>
      </w:r>
      <w:r w:rsidRPr="00340022">
        <w:rPr>
          <w:lang w:val="es-ES_tradnl"/>
        </w:rPr>
        <w:t>Si desea obtener información más detallada, diríjase a:</w:t>
      </w:r>
      <w:r w:rsidRPr="00B672DE">
        <w:rPr>
          <w:rFonts w:ascii="Verdana" w:hAnsi="Verdana"/>
          <w:lang w:val="es-ES"/>
        </w:rPr>
        <w:t xml:space="preserve"> </w:t>
      </w:r>
      <w:hyperlink r:id="rId1" w:history="1">
        <w:r w:rsidRPr="002A7C89">
          <w:rPr>
            <w:rStyle w:val="Hyperlink"/>
            <w:lang w:val="es-ES"/>
          </w:rPr>
          <w:t>www.itu.int/itu-r</w:t>
        </w:r>
      </w:hyperlink>
      <w:r w:rsidRPr="00B672DE">
        <w:rPr>
          <w:rFonts w:ascii="Verdana" w:hAnsi="Verdana"/>
          <w:lang w:val="es-ES"/>
        </w:rPr>
        <w:t xml:space="preserve"> </w:t>
      </w:r>
    </w:p>
  </w:footnote>
  <w:footnote w:id="3">
    <w:p w:rsidR="005C445C" w:rsidRPr="008508C1" w:rsidRDefault="005C445C" w:rsidP="000627F7">
      <w:pPr>
        <w:pStyle w:val="FootnoteText"/>
        <w:rPr>
          <w:rFonts w:ascii="Verdana" w:hAnsi="Verdana"/>
          <w:lang w:val="es-ES"/>
        </w:rPr>
      </w:pPr>
      <w:r w:rsidRPr="000627F7">
        <w:rPr>
          <w:rStyle w:val="FootnoteReference"/>
          <w:rFonts w:asciiTheme="minorHAnsi" w:hAnsiTheme="minorHAnsi"/>
          <w:lang w:val="es-ES"/>
        </w:rPr>
        <w:t>2</w:t>
      </w:r>
      <w:r>
        <w:rPr>
          <w:rFonts w:ascii="Verdana" w:hAnsi="Verdana"/>
          <w:lang w:val="es-ES"/>
        </w:rPr>
        <w:tab/>
      </w:r>
      <w:r w:rsidRPr="000627F7">
        <w:rPr>
          <w:lang w:val="es-ES_tradnl"/>
        </w:rPr>
        <w:t>Para obtener información más detallada, sírvase consultar:</w:t>
      </w:r>
      <w:r w:rsidRPr="008508C1">
        <w:rPr>
          <w:rFonts w:ascii="Verdana" w:hAnsi="Verdana"/>
          <w:lang w:val="es-ES"/>
        </w:rPr>
        <w:t xml:space="preserve"> </w:t>
      </w:r>
      <w:hyperlink r:id="rId2" w:history="1">
        <w:r w:rsidRPr="00E80B01">
          <w:rPr>
            <w:rStyle w:val="Hyperlink"/>
            <w:lang w:val="es-ES"/>
          </w:rPr>
          <w:t>www.itu.int/en/ITU-T/Pages/default.aspx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837668" w:rsidRDefault="005C445C"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7650A3" w:rsidRDefault="007650A3" w:rsidP="007650A3">
    <w:pPr>
      <w:pStyle w:val="Header"/>
      <w:pBdr>
        <w:bottom w:val="none" w:sz="0" w:space="0" w:color="auto"/>
      </w:pBdr>
    </w:pPr>
    <w:r>
      <w:rPr>
        <w:noProof/>
        <w:lang w:eastAsia="zh-CN"/>
      </w:rPr>
      <mc:AlternateContent>
        <mc:Choice Requires="wps">
          <w:drawing>
            <wp:anchor distT="0" distB="0" distL="114935" distR="114935" simplePos="0" relativeHeight="251659264" behindDoc="0" locked="0" layoutInCell="1" allowOverlap="1" wp14:anchorId="04E5A1C6" wp14:editId="787BE8FE">
              <wp:simplePos x="0" y="0"/>
              <wp:positionH relativeFrom="column">
                <wp:posOffset>9126220</wp:posOffset>
              </wp:positionH>
              <wp:positionV relativeFrom="paragraph">
                <wp:posOffset>502920</wp:posOffset>
              </wp:positionV>
              <wp:extent cx="467995" cy="5795645"/>
              <wp:effectExtent l="0" t="0" r="8255"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795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50A3" w:rsidRPr="007650A3" w:rsidRDefault="007650A3" w:rsidP="007650A3">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7650A3" w:rsidRPr="007650A3" w:rsidRDefault="007650A3" w:rsidP="007650A3">
                          <w:pPr>
                            <w:rPr>
                              <w:lang w:val="es-ES_tradnl"/>
                            </w:rPr>
                          </w:pPr>
                        </w:p>
                        <w:p w:rsidR="007650A3" w:rsidRDefault="007650A3" w:rsidP="007650A3">
                          <w:pPr>
                            <w:jc w:val="center"/>
                          </w:pPr>
                          <w:r w:rsidRPr="00E6584D">
                            <w:rPr>
                              <w:rFonts w:cs="Calibri"/>
                              <w:i/>
                              <w:iCs/>
                              <w:sz w:val="22"/>
                            </w:rPr>
                            <w:t>Gestion du spectre radioélectrique au Niger</w:t>
                          </w:r>
                        </w:p>
                      </w:txbxContent>
                    </wps:txbx>
                    <wps:bodyPr rot="0" vert="eaVert"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18.6pt;margin-top:39.6pt;width:36.85pt;height:456.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" stroked="f" strokeweight=".5pt">
              <v:textbox style="layout-flow:vertical-ideographic" inset="0,0,0,0">
                <w:txbxContent>
                  <w:p w:rsidR="007650A3" w:rsidRPr="007650A3" w:rsidRDefault="007650A3" w:rsidP="007650A3">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7650A3" w:rsidRPr="007650A3" w:rsidRDefault="007650A3" w:rsidP="007650A3">
                    <w:pPr>
                      <w:rPr>
                        <w:lang w:val="es-ES_tradnl"/>
                      </w:rPr>
                    </w:pPr>
                  </w:p>
                  <w:p w:rsidR="007650A3" w:rsidRDefault="007650A3" w:rsidP="007650A3">
                    <w:pPr>
                      <w:jc w:val="center"/>
                    </w:pPr>
                    <w:r w:rsidRPr="00E6584D">
                      <w:rPr>
                        <w:rFonts w:cs="Calibri"/>
                        <w:i/>
                        <w:iCs/>
                        <w:sz w:val="22"/>
                      </w:rPr>
                      <w:t>Gestion du spectre radioélectrique au Niger</w:t>
                    </w:r>
                  </w:p>
                </w:txbxContent>
              </v:textbox>
              <w10:wrap type="square"/>
            </v:shape>
          </w:pict>
        </mc:Fallback>
      </mc:AlternateContent>
    </w:r>
    <w:r>
      <w:rPr>
        <w:noProof/>
        <w:lang w:eastAsia="zh-CN"/>
      </w:rPr>
      <mc:AlternateContent>
        <mc:Choice Requires="wps">
          <w:drawing>
            <wp:anchor distT="0" distB="0" distL="114300" distR="114300" simplePos="0" relativeHeight="251661312" behindDoc="0" locked="0" layoutInCell="1" allowOverlap="1" wp14:anchorId="6633786B" wp14:editId="5F9F7F5B">
              <wp:simplePos x="0" y="0"/>
              <wp:positionH relativeFrom="column">
                <wp:posOffset>-581165</wp:posOffset>
              </wp:positionH>
              <wp:positionV relativeFrom="paragraph">
                <wp:posOffset>529771</wp:posOffset>
              </wp:positionV>
              <wp:extent cx="410400" cy="5763600"/>
              <wp:effectExtent l="0" t="0" r="8890" b="8890"/>
              <wp:wrapNone/>
              <wp:docPr id="71" name="Text Box 71"/>
              <wp:cNvGraphicFramePr/>
              <a:graphic xmlns:a="http://schemas.openxmlformats.org/drawingml/2006/main">
                <a:graphicData uri="http://schemas.microsoft.com/office/word/2010/wordprocessingShape">
                  <wps:wsp>
                    <wps:cNvSpPr txBox="1"/>
                    <wps:spPr>
                      <a:xfrm>
                        <a:off x="0" y="0"/>
                        <a:ext cx="410400" cy="57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0A3" w:rsidRPr="00821C93" w:rsidRDefault="007650A3" w:rsidP="007650A3">
                          <w:pPr>
                            <w:pStyle w:val="Footer"/>
                            <w:tabs>
                              <w:tab w:val="clear" w:pos="9071"/>
                            </w:tabs>
                            <w:ind w:left="0" w:right="6803"/>
                            <w:jc w:val="left"/>
                          </w:pPr>
                          <w:r>
                            <w:fldChar w:fldCharType="begin"/>
                          </w:r>
                          <w:r>
                            <w:instrText xml:space="preserve"> PAGE </w:instrText>
                          </w:r>
                          <w:r>
                            <w:fldChar w:fldCharType="separate"/>
                          </w:r>
                          <w:r w:rsidR="00A31E61">
                            <w:rPr>
                              <w:noProof/>
                            </w:rPr>
                            <w:t>75</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57" type="#_x0000_t202" style="position:absolute;left:0;text-align:left;margin-left:-45.75pt;margin-top:41.7pt;width:32.3pt;height:4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" filled="f" stroked="f" strokeweight=".5pt">
              <v:textbox style="layout-flow:vertical" inset="0,0,0,0">
                <w:txbxContent>
                  <w:p w:rsidR="007650A3" w:rsidRPr="00821C93" w:rsidRDefault="007650A3" w:rsidP="007650A3">
                    <w:pPr>
                      <w:pStyle w:val="Footer"/>
                      <w:tabs>
                        <w:tab w:val="clear" w:pos="9071"/>
                      </w:tabs>
                      <w:ind w:left="0" w:right="6803"/>
                      <w:jc w:val="left"/>
                    </w:pPr>
                    <w:r>
                      <w:fldChar w:fldCharType="begin"/>
                    </w:r>
                    <w:r>
                      <w:instrText xml:space="preserve"> PAGE </w:instrText>
                    </w:r>
                    <w:r>
                      <w:fldChar w:fldCharType="separate"/>
                    </w:r>
                    <w:r w:rsidR="00A31E61">
                      <w:rPr>
                        <w:noProof/>
                      </w:rPr>
                      <w:t>75</w:t>
                    </w:r>
                    <w:r>
                      <w:rPr>
                        <w:noProof/>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Default="005C445C"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5C445C" w:rsidRPr="00FB79B8" w:rsidRDefault="005C445C"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837668" w:rsidRDefault="005C445C"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CF3C51" w:rsidRDefault="005C445C" w:rsidP="005A4281">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5C445C" w:rsidRPr="00CF3C51" w:rsidRDefault="005C445C" w:rsidP="005A4281">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CF3C51" w:rsidRDefault="005C445C" w:rsidP="00013F68">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5C445C" w:rsidRPr="00CF3C51" w:rsidRDefault="005C445C" w:rsidP="00D10674">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CF3C51" w:rsidRDefault="005C445C" w:rsidP="005A4281">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5C445C" w:rsidRPr="00CF3C51" w:rsidRDefault="005C445C" w:rsidP="005A4281">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AB4CAD" w:rsidRDefault="005C445C" w:rsidP="00AB4CAD">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CF3C51" w:rsidRDefault="005C445C" w:rsidP="004E12F5">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5C445C" w:rsidRPr="00CF3C51" w:rsidRDefault="005C445C" w:rsidP="004E12F5">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5C" w:rsidRPr="007650A3" w:rsidRDefault="007650A3" w:rsidP="007650A3">
    <w:pPr>
      <w:pStyle w:val="Header"/>
      <w:pBdr>
        <w:bottom w:val="none" w:sz="0" w:space="0" w:color="auto"/>
      </w:pBdr>
    </w:pPr>
    <w:r>
      <w:rPr>
        <w:noProof/>
        <w:lang w:eastAsia="zh-CN"/>
      </w:rPr>
      <mc:AlternateContent>
        <mc:Choice Requires="wps">
          <w:drawing>
            <wp:anchor distT="0" distB="0" distL="114935" distR="114935" simplePos="0" relativeHeight="251663360" behindDoc="0" locked="0" layoutInCell="1" allowOverlap="1" wp14:anchorId="6DA8740A" wp14:editId="7278881C">
              <wp:simplePos x="0" y="0"/>
              <wp:positionH relativeFrom="column">
                <wp:posOffset>9147810</wp:posOffset>
              </wp:positionH>
              <wp:positionV relativeFrom="paragraph">
                <wp:posOffset>452755</wp:posOffset>
              </wp:positionV>
              <wp:extent cx="467995" cy="5795645"/>
              <wp:effectExtent l="0" t="0" r="8255" b="0"/>
              <wp:wrapSquare wrapText="bothSides"/>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795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50A3" w:rsidRPr="007650A3" w:rsidRDefault="007650A3" w:rsidP="007650A3">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7650A3" w:rsidRPr="007650A3" w:rsidRDefault="007650A3" w:rsidP="007650A3">
                          <w:pPr>
                            <w:rPr>
                              <w:lang w:val="es-ES_tradnl"/>
                            </w:rPr>
                          </w:pPr>
                        </w:p>
                        <w:p w:rsidR="007650A3" w:rsidRDefault="007650A3" w:rsidP="007650A3">
                          <w:pPr>
                            <w:jc w:val="center"/>
                          </w:pPr>
                          <w:r w:rsidRPr="00E6584D">
                            <w:rPr>
                              <w:rFonts w:cs="Calibri"/>
                              <w:i/>
                              <w:iCs/>
                              <w:sz w:val="22"/>
                            </w:rPr>
                            <w:t>Gestion du spectre radioélectrique au Niger</w:t>
                          </w:r>
                        </w:p>
                      </w:txbxContent>
                    </wps:txbx>
                    <wps:bodyPr rot="0" vert="eaVert"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54" type="#_x0000_t202" style="position:absolute;left:0;text-align:left;margin-left:720.3pt;margin-top:35.65pt;width:36.85pt;height:456.3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" stroked="f" strokeweight=".5pt">
              <v:textbox style="layout-flow:vertical-ideographic" inset="0,0,0,0">
                <w:txbxContent>
                  <w:p w:rsidR="007650A3" w:rsidRPr="007650A3" w:rsidRDefault="007650A3" w:rsidP="007650A3">
                    <w:pPr>
                      <w:pStyle w:val="Header"/>
                      <w:rPr>
                        <w:lang w:val="es-ES_tradnl"/>
                      </w:rPr>
                    </w:pPr>
                    <w:r>
                      <w:rPr>
                        <w:lang w:val="es-ES_tradnl"/>
                      </w:rPr>
                      <w:t xml:space="preserve">Q9-3/2: </w:t>
                    </w:r>
                    <w:r w:rsidRPr="00A96787">
                      <w:rPr>
                        <w:lang w:val="es-ES"/>
                      </w:rPr>
                      <w:t>Identificación de los temas que estudian las Comisiones de Estudio del UIT</w:t>
                    </w:r>
                    <w:r w:rsidRPr="00A96787">
                      <w:rPr>
                        <w:lang w:val="es-ES"/>
                      </w:rPr>
                      <w:noBreakHyphen/>
                      <w:t>T y el UIT-R que son de particular interés para los países en desarrollo</w:t>
                    </w:r>
                  </w:p>
                  <w:p w:rsidR="007650A3" w:rsidRPr="007650A3" w:rsidRDefault="007650A3" w:rsidP="007650A3">
                    <w:pPr>
                      <w:rPr>
                        <w:lang w:val="es-ES_tradnl"/>
                      </w:rPr>
                    </w:pPr>
                  </w:p>
                  <w:p w:rsidR="007650A3" w:rsidRDefault="007650A3" w:rsidP="007650A3">
                    <w:pPr>
                      <w:jc w:val="center"/>
                    </w:pPr>
                    <w:r w:rsidRPr="00E6584D">
                      <w:rPr>
                        <w:rFonts w:cs="Calibri"/>
                        <w:i/>
                        <w:iCs/>
                        <w:sz w:val="22"/>
                      </w:rPr>
                      <w:t>Gestion du spectre radioélectrique au Niger</w:t>
                    </w:r>
                  </w:p>
                </w:txbxContent>
              </v:textbox>
              <w10:wrap type="square"/>
            </v:shape>
          </w:pict>
        </mc:Fallback>
      </mc:AlternateContent>
    </w:r>
    <w:r>
      <w:rPr>
        <w:noProof/>
        <w:lang w:eastAsia="zh-CN"/>
      </w:rPr>
      <mc:AlternateContent>
        <mc:Choice Requires="wps">
          <w:drawing>
            <wp:anchor distT="0" distB="0" distL="114300" distR="114300" simplePos="0" relativeHeight="251665408" behindDoc="0" locked="0" layoutInCell="1" allowOverlap="1" wp14:anchorId="08061907" wp14:editId="6CFAD41E">
              <wp:simplePos x="0" y="0"/>
              <wp:positionH relativeFrom="column">
                <wp:posOffset>-616585</wp:posOffset>
              </wp:positionH>
              <wp:positionV relativeFrom="paragraph">
                <wp:posOffset>440624</wp:posOffset>
              </wp:positionV>
              <wp:extent cx="410210" cy="5763260"/>
              <wp:effectExtent l="0" t="0" r="8890" b="8890"/>
              <wp:wrapNone/>
              <wp:docPr id="70" name="Text Box 70"/>
              <wp:cNvGraphicFramePr/>
              <a:graphic xmlns:a="http://schemas.openxmlformats.org/drawingml/2006/main">
                <a:graphicData uri="http://schemas.microsoft.com/office/word/2010/wordprocessingShape">
                  <wps:wsp>
                    <wps:cNvSpPr txBox="1"/>
                    <wps:spPr>
                      <a:xfrm>
                        <a:off x="0" y="0"/>
                        <a:ext cx="410210" cy="576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0A3" w:rsidRPr="00821C93" w:rsidRDefault="007650A3" w:rsidP="007650A3">
                          <w:pPr>
                            <w:pStyle w:val="Footer"/>
                            <w:tabs>
                              <w:tab w:val="clear" w:pos="9071"/>
                            </w:tabs>
                            <w:ind w:left="6803"/>
                          </w:pPr>
                          <w:r>
                            <w:fldChar w:fldCharType="begin"/>
                          </w:r>
                          <w:r>
                            <w:instrText xml:space="preserve"> PAGE </w:instrText>
                          </w:r>
                          <w:r>
                            <w:fldChar w:fldCharType="separate"/>
                          </w:r>
                          <w:r w:rsidR="00A31E61">
                            <w:rPr>
                              <w:noProof/>
                            </w:rPr>
                            <w:t>74</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left:0;text-align:left;margin-left:-48.55pt;margin-top:34.7pt;width:32.3pt;height:45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" filled="f" stroked="f" strokeweight=".5pt">
              <v:textbox style="layout-flow:vertical" inset="0,0,0,0">
                <w:txbxContent>
                  <w:p w:rsidR="007650A3" w:rsidRPr="00821C93" w:rsidRDefault="007650A3" w:rsidP="007650A3">
                    <w:pPr>
                      <w:pStyle w:val="Footer"/>
                      <w:tabs>
                        <w:tab w:val="clear" w:pos="9071"/>
                      </w:tabs>
                      <w:ind w:left="6803"/>
                    </w:pPr>
                    <w:r>
                      <w:fldChar w:fldCharType="begin"/>
                    </w:r>
                    <w:r>
                      <w:instrText xml:space="preserve"> PAGE </w:instrText>
                    </w:r>
                    <w:r>
                      <w:fldChar w:fldCharType="separate"/>
                    </w:r>
                    <w:r w:rsidR="00A31E61">
                      <w:rPr>
                        <w:noProof/>
                      </w:rPr>
                      <w:t>74</w:t>
                    </w:r>
                    <w:r>
                      <w:rPr>
                        <w:noProof/>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9"/>
    <w:multiLevelType w:val="singleLevel"/>
    <w:tmpl w:val="1F3EE6A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6AD0EE3"/>
    <w:multiLevelType w:val="hybridMultilevel"/>
    <w:tmpl w:val="AB80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F3D4F"/>
    <w:multiLevelType w:val="hybridMultilevel"/>
    <w:tmpl w:val="81FC3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DF370C"/>
    <w:multiLevelType w:val="hybridMultilevel"/>
    <w:tmpl w:val="0074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F72D8"/>
    <w:multiLevelType w:val="hybridMultilevel"/>
    <w:tmpl w:val="D0A85004"/>
    <w:lvl w:ilvl="0" w:tplc="3744BA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8590956"/>
    <w:multiLevelType w:val="hybridMultilevel"/>
    <w:tmpl w:val="37424D88"/>
    <w:lvl w:ilvl="0" w:tplc="EB362BB4">
      <w:start w:val="1"/>
      <w:numFmt w:val="bullet"/>
      <w:lvlText w:val=""/>
      <w:lvlJc w:val="left"/>
      <w:pPr>
        <w:ind w:left="360" w:hanging="360"/>
      </w:pPr>
      <w:rPr>
        <w:rFonts w:ascii="Symbol" w:hAnsi="Symbol" w:hint="default"/>
        <w:lang w:val="es-E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207294"/>
    <w:multiLevelType w:val="hybridMultilevel"/>
    <w:tmpl w:val="AAB8C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BA6E6A"/>
    <w:multiLevelType w:val="hybridMultilevel"/>
    <w:tmpl w:val="EB223D8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F629948">
      <w:start w:val="1"/>
      <w:numFmt w:val="bullet"/>
      <w:lvlText w:val=""/>
      <w:lvlJc w:val="left"/>
      <w:pPr>
        <w:ind w:left="2880" w:hanging="360"/>
      </w:pPr>
      <w:rPr>
        <w:rFonts w:ascii="Symbol" w:hAnsi="Symbol" w:hint="default"/>
        <w:lang w:val="en-G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CC066E"/>
    <w:multiLevelType w:val="hybridMultilevel"/>
    <w:tmpl w:val="C5F4CEFE"/>
    <w:lvl w:ilvl="0" w:tplc="5E0EB200">
      <w:start w:val="1"/>
      <w:numFmt w:val="bullet"/>
      <w:lvlText w:val=""/>
      <w:lvlJc w:val="left"/>
      <w:pPr>
        <w:ind w:left="360" w:hanging="360"/>
      </w:pPr>
      <w:rPr>
        <w:rFonts w:ascii="Symbol" w:hAnsi="Symbol" w:hint="default"/>
        <w:lang w:val="es-E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764746"/>
    <w:multiLevelType w:val="hybridMultilevel"/>
    <w:tmpl w:val="107C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002A6"/>
    <w:multiLevelType w:val="hybridMultilevel"/>
    <w:tmpl w:val="A2203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E567CE"/>
    <w:multiLevelType w:val="hybridMultilevel"/>
    <w:tmpl w:val="E93C5EC8"/>
    <w:lvl w:ilvl="0" w:tplc="97367DF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771744"/>
    <w:multiLevelType w:val="hybridMultilevel"/>
    <w:tmpl w:val="72A2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8F638B"/>
    <w:multiLevelType w:val="hybridMultilevel"/>
    <w:tmpl w:val="555061D0"/>
    <w:lvl w:ilvl="0" w:tplc="034E4856">
      <w:start w:val="1"/>
      <w:numFmt w:val="bullet"/>
      <w:lvlText w:val=""/>
      <w:lvlJc w:val="left"/>
      <w:pPr>
        <w:ind w:left="360" w:hanging="360"/>
      </w:pPr>
      <w:rPr>
        <w:rFonts w:ascii="Symbol" w:hAnsi="Symbol" w:hint="default"/>
        <w:color w:val="auto"/>
        <w:lang w:val="es-E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784AC5"/>
    <w:multiLevelType w:val="hybridMultilevel"/>
    <w:tmpl w:val="38360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455A46"/>
    <w:multiLevelType w:val="hybridMultilevel"/>
    <w:tmpl w:val="FBBA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41011E"/>
    <w:multiLevelType w:val="hybridMultilevel"/>
    <w:tmpl w:val="24E49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F80864"/>
    <w:multiLevelType w:val="hybridMultilevel"/>
    <w:tmpl w:val="3BC4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6C6803"/>
    <w:multiLevelType w:val="hybridMultilevel"/>
    <w:tmpl w:val="52669984"/>
    <w:lvl w:ilvl="0" w:tplc="0C0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1A825CC"/>
    <w:multiLevelType w:val="hybridMultilevel"/>
    <w:tmpl w:val="7F2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D540F1"/>
    <w:multiLevelType w:val="multilevel"/>
    <w:tmpl w:val="633C580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65430C5B"/>
    <w:multiLevelType w:val="hybridMultilevel"/>
    <w:tmpl w:val="4F34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06ED0"/>
    <w:multiLevelType w:val="hybridMultilevel"/>
    <w:tmpl w:val="FB70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B733D9"/>
    <w:multiLevelType w:val="hybridMultilevel"/>
    <w:tmpl w:val="A6F46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9">
    <w:nsid w:val="703A3844"/>
    <w:multiLevelType w:val="hybridMultilevel"/>
    <w:tmpl w:val="9F782D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727840A7"/>
    <w:multiLevelType w:val="hybridMultilevel"/>
    <w:tmpl w:val="1BE6B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831334B"/>
    <w:multiLevelType w:val="hybridMultilevel"/>
    <w:tmpl w:val="130E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3"/>
  </w:num>
  <w:num w:numId="3">
    <w:abstractNumId w:val="38"/>
  </w:num>
  <w:num w:numId="4">
    <w:abstractNumId w:val="19"/>
  </w:num>
  <w:num w:numId="5">
    <w:abstractNumId w:val="13"/>
  </w:num>
  <w:num w:numId="6">
    <w:abstractNumId w:val="36"/>
  </w:num>
  <w:num w:numId="7">
    <w:abstractNumId w:val="4"/>
  </w:num>
  <w:num w:numId="8">
    <w:abstractNumId w:val="20"/>
  </w:num>
  <w:num w:numId="9">
    <w:abstractNumId w:val="42"/>
  </w:num>
  <w:num w:numId="10">
    <w:abstractNumId w:val="6"/>
  </w:num>
  <w:num w:numId="11">
    <w:abstractNumId w:val="18"/>
  </w:num>
  <w:num w:numId="12">
    <w:abstractNumId w:val="1"/>
  </w:num>
  <w:num w:numId="13">
    <w:abstractNumId w:val="0"/>
  </w:num>
  <w:num w:numId="14">
    <w:abstractNumId w:val="26"/>
  </w:num>
  <w:num w:numId="15">
    <w:abstractNumId w:val="15"/>
  </w:num>
  <w:num w:numId="16">
    <w:abstractNumId w:val="31"/>
  </w:num>
  <w:num w:numId="17">
    <w:abstractNumId w:val="33"/>
  </w:num>
  <w:num w:numId="18">
    <w:abstractNumId w:val="8"/>
  </w:num>
  <w:num w:numId="19">
    <w:abstractNumId w:val="24"/>
  </w:num>
  <w:num w:numId="20">
    <w:abstractNumId w:val="12"/>
  </w:num>
  <w:num w:numId="21">
    <w:abstractNumId w:val="14"/>
  </w:num>
  <w:num w:numId="22">
    <w:abstractNumId w:val="37"/>
  </w:num>
  <w:num w:numId="23">
    <w:abstractNumId w:val="23"/>
  </w:num>
  <w:num w:numId="24">
    <w:abstractNumId w:val="41"/>
  </w:num>
  <w:num w:numId="25">
    <w:abstractNumId w:val="29"/>
  </w:num>
  <w:num w:numId="26">
    <w:abstractNumId w:val="40"/>
  </w:num>
  <w:num w:numId="27">
    <w:abstractNumId w:val="27"/>
  </w:num>
  <w:num w:numId="28">
    <w:abstractNumId w:val="21"/>
  </w:num>
  <w:num w:numId="29">
    <w:abstractNumId w:val="10"/>
  </w:num>
  <w:num w:numId="30">
    <w:abstractNumId w:val="2"/>
  </w:num>
  <w:num w:numId="31">
    <w:abstractNumId w:val="25"/>
  </w:num>
  <w:num w:numId="32">
    <w:abstractNumId w:val="22"/>
  </w:num>
  <w:num w:numId="33">
    <w:abstractNumId w:val="9"/>
  </w:num>
  <w:num w:numId="34">
    <w:abstractNumId w:val="32"/>
  </w:num>
  <w:num w:numId="35">
    <w:abstractNumId w:val="34"/>
  </w:num>
  <w:num w:numId="36">
    <w:abstractNumId w:val="28"/>
  </w:num>
  <w:num w:numId="37">
    <w:abstractNumId w:val="7"/>
  </w:num>
  <w:num w:numId="38">
    <w:abstractNumId w:val="35"/>
  </w:num>
  <w:num w:numId="39">
    <w:abstractNumId w:val="30"/>
  </w:num>
  <w:num w:numId="40">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revisionView w:markup="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D08"/>
    <w:rsid w:val="000002C3"/>
    <w:rsid w:val="000005C9"/>
    <w:rsid w:val="000012C8"/>
    <w:rsid w:val="0000259F"/>
    <w:rsid w:val="00004160"/>
    <w:rsid w:val="000062C4"/>
    <w:rsid w:val="00006858"/>
    <w:rsid w:val="00010631"/>
    <w:rsid w:val="00010EEB"/>
    <w:rsid w:val="000135A4"/>
    <w:rsid w:val="00013D6F"/>
    <w:rsid w:val="00013E61"/>
    <w:rsid w:val="00013F68"/>
    <w:rsid w:val="00014A90"/>
    <w:rsid w:val="00017323"/>
    <w:rsid w:val="00017645"/>
    <w:rsid w:val="00021824"/>
    <w:rsid w:val="000233CA"/>
    <w:rsid w:val="00023A85"/>
    <w:rsid w:val="00025E09"/>
    <w:rsid w:val="000273F7"/>
    <w:rsid w:val="00031CA2"/>
    <w:rsid w:val="00033090"/>
    <w:rsid w:val="00033334"/>
    <w:rsid w:val="00040A84"/>
    <w:rsid w:val="00041301"/>
    <w:rsid w:val="0004319A"/>
    <w:rsid w:val="0004551C"/>
    <w:rsid w:val="00047D3C"/>
    <w:rsid w:val="0005154A"/>
    <w:rsid w:val="00051979"/>
    <w:rsid w:val="00051DDE"/>
    <w:rsid w:val="000541C8"/>
    <w:rsid w:val="000608E4"/>
    <w:rsid w:val="000614AD"/>
    <w:rsid w:val="000627F7"/>
    <w:rsid w:val="0006382C"/>
    <w:rsid w:val="0006400F"/>
    <w:rsid w:val="000650DC"/>
    <w:rsid w:val="00066280"/>
    <w:rsid w:val="00070E31"/>
    <w:rsid w:val="00075AC8"/>
    <w:rsid w:val="00075AFE"/>
    <w:rsid w:val="00077618"/>
    <w:rsid w:val="00077AAE"/>
    <w:rsid w:val="00077DE6"/>
    <w:rsid w:val="00080342"/>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419"/>
    <w:rsid w:val="000A67CB"/>
    <w:rsid w:val="000A70F0"/>
    <w:rsid w:val="000A71D3"/>
    <w:rsid w:val="000B1922"/>
    <w:rsid w:val="000B40AB"/>
    <w:rsid w:val="000B6144"/>
    <w:rsid w:val="000C0D53"/>
    <w:rsid w:val="000C36E9"/>
    <w:rsid w:val="000C58D2"/>
    <w:rsid w:val="000C58D5"/>
    <w:rsid w:val="000D0DCD"/>
    <w:rsid w:val="000D0F63"/>
    <w:rsid w:val="000E01C2"/>
    <w:rsid w:val="000E14F1"/>
    <w:rsid w:val="000E2AC9"/>
    <w:rsid w:val="000E2EB3"/>
    <w:rsid w:val="000E54EF"/>
    <w:rsid w:val="000E6514"/>
    <w:rsid w:val="000F0388"/>
    <w:rsid w:val="000F16CC"/>
    <w:rsid w:val="000F5307"/>
    <w:rsid w:val="00100D4C"/>
    <w:rsid w:val="001016E4"/>
    <w:rsid w:val="0010381E"/>
    <w:rsid w:val="00103A5D"/>
    <w:rsid w:val="0010485E"/>
    <w:rsid w:val="00104860"/>
    <w:rsid w:val="00104DB4"/>
    <w:rsid w:val="001071EA"/>
    <w:rsid w:val="001071F8"/>
    <w:rsid w:val="00111CA1"/>
    <w:rsid w:val="001131CF"/>
    <w:rsid w:val="00113F18"/>
    <w:rsid w:val="0011585A"/>
    <w:rsid w:val="0011701B"/>
    <w:rsid w:val="00117759"/>
    <w:rsid w:val="001178D8"/>
    <w:rsid w:val="00121F29"/>
    <w:rsid w:val="001227E0"/>
    <w:rsid w:val="00122EC1"/>
    <w:rsid w:val="001239C8"/>
    <w:rsid w:val="001240DD"/>
    <w:rsid w:val="00125968"/>
    <w:rsid w:val="0012680A"/>
    <w:rsid w:val="001268B3"/>
    <w:rsid w:val="00126A1E"/>
    <w:rsid w:val="00127AD9"/>
    <w:rsid w:val="001323E2"/>
    <w:rsid w:val="00132571"/>
    <w:rsid w:val="00132ECE"/>
    <w:rsid w:val="00133CDA"/>
    <w:rsid w:val="00134C5A"/>
    <w:rsid w:val="00135581"/>
    <w:rsid w:val="00136E05"/>
    <w:rsid w:val="00137D83"/>
    <w:rsid w:val="00143213"/>
    <w:rsid w:val="00143C19"/>
    <w:rsid w:val="00143D5F"/>
    <w:rsid w:val="00146207"/>
    <w:rsid w:val="001542B4"/>
    <w:rsid w:val="00156132"/>
    <w:rsid w:val="00163055"/>
    <w:rsid w:val="00163120"/>
    <w:rsid w:val="00163F1C"/>
    <w:rsid w:val="00164580"/>
    <w:rsid w:val="00166796"/>
    <w:rsid w:val="00167C0D"/>
    <w:rsid w:val="001701B3"/>
    <w:rsid w:val="0017095C"/>
    <w:rsid w:val="00171C2C"/>
    <w:rsid w:val="00171DA3"/>
    <w:rsid w:val="00172380"/>
    <w:rsid w:val="00172563"/>
    <w:rsid w:val="0017278E"/>
    <w:rsid w:val="001733CD"/>
    <w:rsid w:val="001734FD"/>
    <w:rsid w:val="00173B4B"/>
    <w:rsid w:val="001743FA"/>
    <w:rsid w:val="001752B0"/>
    <w:rsid w:val="0017654F"/>
    <w:rsid w:val="00176A68"/>
    <w:rsid w:val="00176F25"/>
    <w:rsid w:val="0017756B"/>
    <w:rsid w:val="00177FB3"/>
    <w:rsid w:val="00180969"/>
    <w:rsid w:val="00180D80"/>
    <w:rsid w:val="00183A26"/>
    <w:rsid w:val="00185667"/>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1989"/>
    <w:rsid w:val="001B29B0"/>
    <w:rsid w:val="001B3273"/>
    <w:rsid w:val="001B72DF"/>
    <w:rsid w:val="001C2C22"/>
    <w:rsid w:val="001C3365"/>
    <w:rsid w:val="001C33A5"/>
    <w:rsid w:val="001C476E"/>
    <w:rsid w:val="001C7095"/>
    <w:rsid w:val="001C70BF"/>
    <w:rsid w:val="001D4147"/>
    <w:rsid w:val="001D55D5"/>
    <w:rsid w:val="001D6A6E"/>
    <w:rsid w:val="001D795A"/>
    <w:rsid w:val="001E0DF9"/>
    <w:rsid w:val="001E151E"/>
    <w:rsid w:val="001E1D38"/>
    <w:rsid w:val="001E6535"/>
    <w:rsid w:val="001E719E"/>
    <w:rsid w:val="001F17CE"/>
    <w:rsid w:val="001F39FB"/>
    <w:rsid w:val="001F5A63"/>
    <w:rsid w:val="001F7FA8"/>
    <w:rsid w:val="00203D84"/>
    <w:rsid w:val="00205608"/>
    <w:rsid w:val="0020782D"/>
    <w:rsid w:val="0020793F"/>
    <w:rsid w:val="00207DF0"/>
    <w:rsid w:val="00211EAC"/>
    <w:rsid w:val="00215BF2"/>
    <w:rsid w:val="00217FBE"/>
    <w:rsid w:val="002208F5"/>
    <w:rsid w:val="00225A80"/>
    <w:rsid w:val="0022728A"/>
    <w:rsid w:val="0023387B"/>
    <w:rsid w:val="00234760"/>
    <w:rsid w:val="00234E6B"/>
    <w:rsid w:val="002362FC"/>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2D21"/>
    <w:rsid w:val="002856AB"/>
    <w:rsid w:val="00286FCF"/>
    <w:rsid w:val="00291073"/>
    <w:rsid w:val="00291A51"/>
    <w:rsid w:val="00291D2B"/>
    <w:rsid w:val="00292D79"/>
    <w:rsid w:val="0029306D"/>
    <w:rsid w:val="00294318"/>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7610"/>
    <w:rsid w:val="002D01EA"/>
    <w:rsid w:val="002D17FF"/>
    <w:rsid w:val="002D26DA"/>
    <w:rsid w:val="002D4CC9"/>
    <w:rsid w:val="002D5DC9"/>
    <w:rsid w:val="002D6E23"/>
    <w:rsid w:val="002D720D"/>
    <w:rsid w:val="002E0961"/>
    <w:rsid w:val="002E1C89"/>
    <w:rsid w:val="002E3246"/>
    <w:rsid w:val="002E3A9C"/>
    <w:rsid w:val="002E43D2"/>
    <w:rsid w:val="002E4E79"/>
    <w:rsid w:val="002F4126"/>
    <w:rsid w:val="002F6FFC"/>
    <w:rsid w:val="003000B4"/>
    <w:rsid w:val="00300A43"/>
    <w:rsid w:val="003010AB"/>
    <w:rsid w:val="00302A0A"/>
    <w:rsid w:val="00304068"/>
    <w:rsid w:val="0030419C"/>
    <w:rsid w:val="00305EA5"/>
    <w:rsid w:val="003062F8"/>
    <w:rsid w:val="00310639"/>
    <w:rsid w:val="003132E0"/>
    <w:rsid w:val="00316A00"/>
    <w:rsid w:val="00317F8D"/>
    <w:rsid w:val="003239F7"/>
    <w:rsid w:val="00324561"/>
    <w:rsid w:val="00325DD9"/>
    <w:rsid w:val="003276F9"/>
    <w:rsid w:val="00330C99"/>
    <w:rsid w:val="00332AB2"/>
    <w:rsid w:val="00332E08"/>
    <w:rsid w:val="00333DEF"/>
    <w:rsid w:val="003340DD"/>
    <w:rsid w:val="003369B6"/>
    <w:rsid w:val="00340022"/>
    <w:rsid w:val="0034180A"/>
    <w:rsid w:val="00344375"/>
    <w:rsid w:val="0034527B"/>
    <w:rsid w:val="00345977"/>
    <w:rsid w:val="003459B2"/>
    <w:rsid w:val="0035061D"/>
    <w:rsid w:val="00350AE1"/>
    <w:rsid w:val="003512B6"/>
    <w:rsid w:val="00351B77"/>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A53D9"/>
    <w:rsid w:val="003B1976"/>
    <w:rsid w:val="003B5BC8"/>
    <w:rsid w:val="003C1287"/>
    <w:rsid w:val="003C1570"/>
    <w:rsid w:val="003C2542"/>
    <w:rsid w:val="003C387B"/>
    <w:rsid w:val="003C4176"/>
    <w:rsid w:val="003C4261"/>
    <w:rsid w:val="003C441C"/>
    <w:rsid w:val="003C4ED6"/>
    <w:rsid w:val="003C5D30"/>
    <w:rsid w:val="003C7C81"/>
    <w:rsid w:val="003D213F"/>
    <w:rsid w:val="003D23ED"/>
    <w:rsid w:val="003D35BE"/>
    <w:rsid w:val="003D5315"/>
    <w:rsid w:val="003D663E"/>
    <w:rsid w:val="003D67E8"/>
    <w:rsid w:val="003E2209"/>
    <w:rsid w:val="003E2368"/>
    <w:rsid w:val="003E3CD1"/>
    <w:rsid w:val="003E52C2"/>
    <w:rsid w:val="003E7BFD"/>
    <w:rsid w:val="003F2D2B"/>
    <w:rsid w:val="003F433C"/>
    <w:rsid w:val="003F5733"/>
    <w:rsid w:val="003F5FD0"/>
    <w:rsid w:val="003F6086"/>
    <w:rsid w:val="00402A02"/>
    <w:rsid w:val="0040368C"/>
    <w:rsid w:val="00403F4F"/>
    <w:rsid w:val="0040406E"/>
    <w:rsid w:val="00404EDC"/>
    <w:rsid w:val="00406E30"/>
    <w:rsid w:val="00411536"/>
    <w:rsid w:val="0041170E"/>
    <w:rsid w:val="0041181C"/>
    <w:rsid w:val="00411F98"/>
    <w:rsid w:val="00412B2E"/>
    <w:rsid w:val="0042073F"/>
    <w:rsid w:val="00424792"/>
    <w:rsid w:val="00424D86"/>
    <w:rsid w:val="004251B1"/>
    <w:rsid w:val="0042538A"/>
    <w:rsid w:val="004268E9"/>
    <w:rsid w:val="004333D3"/>
    <w:rsid w:val="00433527"/>
    <w:rsid w:val="0043453F"/>
    <w:rsid w:val="004359FB"/>
    <w:rsid w:val="00441ED5"/>
    <w:rsid w:val="004449BD"/>
    <w:rsid w:val="00444AA0"/>
    <w:rsid w:val="004458F8"/>
    <w:rsid w:val="00445DD4"/>
    <w:rsid w:val="00446E47"/>
    <w:rsid w:val="004513F0"/>
    <w:rsid w:val="00452B5A"/>
    <w:rsid w:val="00453C8E"/>
    <w:rsid w:val="004542E7"/>
    <w:rsid w:val="00455426"/>
    <w:rsid w:val="00455EC2"/>
    <w:rsid w:val="0046015E"/>
    <w:rsid w:val="004621F9"/>
    <w:rsid w:val="00463DA1"/>
    <w:rsid w:val="0046428B"/>
    <w:rsid w:val="00464BCC"/>
    <w:rsid w:val="00464C62"/>
    <w:rsid w:val="00465064"/>
    <w:rsid w:val="00465E86"/>
    <w:rsid w:val="00465E92"/>
    <w:rsid w:val="004670E1"/>
    <w:rsid w:val="0046715B"/>
    <w:rsid w:val="00471F49"/>
    <w:rsid w:val="00472652"/>
    <w:rsid w:val="00472BDE"/>
    <w:rsid w:val="00473B2A"/>
    <w:rsid w:val="0047647C"/>
    <w:rsid w:val="00476DEE"/>
    <w:rsid w:val="00483AD7"/>
    <w:rsid w:val="00485626"/>
    <w:rsid w:val="004866ED"/>
    <w:rsid w:val="0048705D"/>
    <w:rsid w:val="00487149"/>
    <w:rsid w:val="00490E38"/>
    <w:rsid w:val="004921DB"/>
    <w:rsid w:val="004941E7"/>
    <w:rsid w:val="004A0C27"/>
    <w:rsid w:val="004A0FC5"/>
    <w:rsid w:val="004A3217"/>
    <w:rsid w:val="004A3FC4"/>
    <w:rsid w:val="004A5A4C"/>
    <w:rsid w:val="004A718F"/>
    <w:rsid w:val="004A7326"/>
    <w:rsid w:val="004B0037"/>
    <w:rsid w:val="004B0478"/>
    <w:rsid w:val="004B080D"/>
    <w:rsid w:val="004B0A0B"/>
    <w:rsid w:val="004B47C7"/>
    <w:rsid w:val="004B51EA"/>
    <w:rsid w:val="004B5B17"/>
    <w:rsid w:val="004B6316"/>
    <w:rsid w:val="004B6BC1"/>
    <w:rsid w:val="004C02FE"/>
    <w:rsid w:val="004C03AA"/>
    <w:rsid w:val="004C0A95"/>
    <w:rsid w:val="004C5178"/>
    <w:rsid w:val="004C58A8"/>
    <w:rsid w:val="004C71E0"/>
    <w:rsid w:val="004D1772"/>
    <w:rsid w:val="004D2F38"/>
    <w:rsid w:val="004D32FE"/>
    <w:rsid w:val="004D4517"/>
    <w:rsid w:val="004D4A59"/>
    <w:rsid w:val="004E073F"/>
    <w:rsid w:val="004E0ED6"/>
    <w:rsid w:val="004E12F5"/>
    <w:rsid w:val="004E2B41"/>
    <w:rsid w:val="004E3AA9"/>
    <w:rsid w:val="004E471F"/>
    <w:rsid w:val="004E5215"/>
    <w:rsid w:val="004E532D"/>
    <w:rsid w:val="004E5B26"/>
    <w:rsid w:val="004E5B2C"/>
    <w:rsid w:val="004E65E6"/>
    <w:rsid w:val="004E6D70"/>
    <w:rsid w:val="004F1F13"/>
    <w:rsid w:val="004F2132"/>
    <w:rsid w:val="004F381D"/>
    <w:rsid w:val="004F3D24"/>
    <w:rsid w:val="00500F29"/>
    <w:rsid w:val="005027B2"/>
    <w:rsid w:val="00502C37"/>
    <w:rsid w:val="00502F28"/>
    <w:rsid w:val="005046AF"/>
    <w:rsid w:val="00506702"/>
    <w:rsid w:val="0050674F"/>
    <w:rsid w:val="00507D85"/>
    <w:rsid w:val="0051048D"/>
    <w:rsid w:val="00511049"/>
    <w:rsid w:val="005110CD"/>
    <w:rsid w:val="0051488C"/>
    <w:rsid w:val="00515A6A"/>
    <w:rsid w:val="00516846"/>
    <w:rsid w:val="00520948"/>
    <w:rsid w:val="00522DCF"/>
    <w:rsid w:val="005256C4"/>
    <w:rsid w:val="00526074"/>
    <w:rsid w:val="00532850"/>
    <w:rsid w:val="00537DC3"/>
    <w:rsid w:val="00540502"/>
    <w:rsid w:val="00541179"/>
    <w:rsid w:val="00543044"/>
    <w:rsid w:val="00543AEE"/>
    <w:rsid w:val="00544466"/>
    <w:rsid w:val="00545F0D"/>
    <w:rsid w:val="00547F5F"/>
    <w:rsid w:val="0055018D"/>
    <w:rsid w:val="0055091B"/>
    <w:rsid w:val="0055324C"/>
    <w:rsid w:val="00556C96"/>
    <w:rsid w:val="00557363"/>
    <w:rsid w:val="00560106"/>
    <w:rsid w:val="00567EAE"/>
    <w:rsid w:val="005702C2"/>
    <w:rsid w:val="00571155"/>
    <w:rsid w:val="00571B3E"/>
    <w:rsid w:val="00572079"/>
    <w:rsid w:val="0058130F"/>
    <w:rsid w:val="00581449"/>
    <w:rsid w:val="00581532"/>
    <w:rsid w:val="005815E2"/>
    <w:rsid w:val="005827CB"/>
    <w:rsid w:val="00584E81"/>
    <w:rsid w:val="005906DB"/>
    <w:rsid w:val="00590CB1"/>
    <w:rsid w:val="005916D3"/>
    <w:rsid w:val="005965AD"/>
    <w:rsid w:val="00597DC2"/>
    <w:rsid w:val="005A07EF"/>
    <w:rsid w:val="005A1BDD"/>
    <w:rsid w:val="005A2D39"/>
    <w:rsid w:val="005A4281"/>
    <w:rsid w:val="005B2283"/>
    <w:rsid w:val="005C1B6E"/>
    <w:rsid w:val="005C331E"/>
    <w:rsid w:val="005C33A1"/>
    <w:rsid w:val="005C39DC"/>
    <w:rsid w:val="005C3E9F"/>
    <w:rsid w:val="005C445C"/>
    <w:rsid w:val="005C669F"/>
    <w:rsid w:val="005C6716"/>
    <w:rsid w:val="005C6BDA"/>
    <w:rsid w:val="005D26D2"/>
    <w:rsid w:val="005E0123"/>
    <w:rsid w:val="005E151F"/>
    <w:rsid w:val="005E1D56"/>
    <w:rsid w:val="005E5E28"/>
    <w:rsid w:val="005F0C41"/>
    <w:rsid w:val="005F2E51"/>
    <w:rsid w:val="005F33E1"/>
    <w:rsid w:val="005F3B9D"/>
    <w:rsid w:val="005F56C9"/>
    <w:rsid w:val="005F64AB"/>
    <w:rsid w:val="005F733E"/>
    <w:rsid w:val="005F7A06"/>
    <w:rsid w:val="005F7AAC"/>
    <w:rsid w:val="006023F3"/>
    <w:rsid w:val="00603C3C"/>
    <w:rsid w:val="00604691"/>
    <w:rsid w:val="00604F4D"/>
    <w:rsid w:val="00607F41"/>
    <w:rsid w:val="006104A4"/>
    <w:rsid w:val="00611B8A"/>
    <w:rsid w:val="006141B9"/>
    <w:rsid w:val="006141CD"/>
    <w:rsid w:val="006171A9"/>
    <w:rsid w:val="00617637"/>
    <w:rsid w:val="0062235F"/>
    <w:rsid w:val="00622694"/>
    <w:rsid w:val="006230C3"/>
    <w:rsid w:val="006258CA"/>
    <w:rsid w:val="006274F7"/>
    <w:rsid w:val="006276FC"/>
    <w:rsid w:val="00627927"/>
    <w:rsid w:val="006314BE"/>
    <w:rsid w:val="00631A14"/>
    <w:rsid w:val="006344BB"/>
    <w:rsid w:val="00634F41"/>
    <w:rsid w:val="00635A76"/>
    <w:rsid w:val="0063644E"/>
    <w:rsid w:val="006415E6"/>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70F"/>
    <w:rsid w:val="00676A4A"/>
    <w:rsid w:val="00676F90"/>
    <w:rsid w:val="00680BAE"/>
    <w:rsid w:val="0068146F"/>
    <w:rsid w:val="006818E2"/>
    <w:rsid w:val="00684473"/>
    <w:rsid w:val="006879C3"/>
    <w:rsid w:val="00687AE3"/>
    <w:rsid w:val="00691200"/>
    <w:rsid w:val="00692B7D"/>
    <w:rsid w:val="00693D4E"/>
    <w:rsid w:val="00695FF7"/>
    <w:rsid w:val="0069692E"/>
    <w:rsid w:val="00696AC6"/>
    <w:rsid w:val="006A03DB"/>
    <w:rsid w:val="006A30C4"/>
    <w:rsid w:val="006A365A"/>
    <w:rsid w:val="006A5E44"/>
    <w:rsid w:val="006A6170"/>
    <w:rsid w:val="006A7EBB"/>
    <w:rsid w:val="006B135F"/>
    <w:rsid w:val="006B19EA"/>
    <w:rsid w:val="006B391F"/>
    <w:rsid w:val="006B74EE"/>
    <w:rsid w:val="006B7D4F"/>
    <w:rsid w:val="006C0A76"/>
    <w:rsid w:val="006C1356"/>
    <w:rsid w:val="006C197E"/>
    <w:rsid w:val="006C419A"/>
    <w:rsid w:val="006C5AA8"/>
    <w:rsid w:val="006C6EAB"/>
    <w:rsid w:val="006C71F5"/>
    <w:rsid w:val="006D3FA2"/>
    <w:rsid w:val="006D4DF3"/>
    <w:rsid w:val="006D53C3"/>
    <w:rsid w:val="006D5844"/>
    <w:rsid w:val="006D6DFB"/>
    <w:rsid w:val="006E2A5C"/>
    <w:rsid w:val="006E4588"/>
    <w:rsid w:val="006E7DBC"/>
    <w:rsid w:val="006F3B2C"/>
    <w:rsid w:val="006F4938"/>
    <w:rsid w:val="006F5E93"/>
    <w:rsid w:val="00703D56"/>
    <w:rsid w:val="00705BD6"/>
    <w:rsid w:val="0070744C"/>
    <w:rsid w:val="007134EA"/>
    <w:rsid w:val="007156B7"/>
    <w:rsid w:val="007202A5"/>
    <w:rsid w:val="00721164"/>
    <w:rsid w:val="00721F7A"/>
    <w:rsid w:val="007241A0"/>
    <w:rsid w:val="00724806"/>
    <w:rsid w:val="007261B5"/>
    <w:rsid w:val="00727290"/>
    <w:rsid w:val="00730353"/>
    <w:rsid w:val="007304D8"/>
    <w:rsid w:val="007306B9"/>
    <w:rsid w:val="007318D7"/>
    <w:rsid w:val="00733D77"/>
    <w:rsid w:val="00734F3C"/>
    <w:rsid w:val="00735324"/>
    <w:rsid w:val="00736BBA"/>
    <w:rsid w:val="007378DC"/>
    <w:rsid w:val="00737D26"/>
    <w:rsid w:val="00740292"/>
    <w:rsid w:val="007410D7"/>
    <w:rsid w:val="007417CF"/>
    <w:rsid w:val="007431C5"/>
    <w:rsid w:val="00744125"/>
    <w:rsid w:val="007457D6"/>
    <w:rsid w:val="007500CE"/>
    <w:rsid w:val="00750D05"/>
    <w:rsid w:val="00750EB0"/>
    <w:rsid w:val="00751A94"/>
    <w:rsid w:val="00751C9C"/>
    <w:rsid w:val="00753254"/>
    <w:rsid w:val="0075342B"/>
    <w:rsid w:val="00754328"/>
    <w:rsid w:val="00754B44"/>
    <w:rsid w:val="007628CB"/>
    <w:rsid w:val="007631B7"/>
    <w:rsid w:val="007631EA"/>
    <w:rsid w:val="007633E7"/>
    <w:rsid w:val="00764313"/>
    <w:rsid w:val="007650A3"/>
    <w:rsid w:val="00765A3F"/>
    <w:rsid w:val="00770445"/>
    <w:rsid w:val="0078113F"/>
    <w:rsid w:val="0078387C"/>
    <w:rsid w:val="007914CE"/>
    <w:rsid w:val="00793DA4"/>
    <w:rsid w:val="007962E4"/>
    <w:rsid w:val="0079799F"/>
    <w:rsid w:val="007A23B5"/>
    <w:rsid w:val="007A68CA"/>
    <w:rsid w:val="007A7578"/>
    <w:rsid w:val="007A7C0F"/>
    <w:rsid w:val="007B05C3"/>
    <w:rsid w:val="007C2BFE"/>
    <w:rsid w:val="007C5600"/>
    <w:rsid w:val="007C5CE0"/>
    <w:rsid w:val="007C6454"/>
    <w:rsid w:val="007D21D5"/>
    <w:rsid w:val="007D3A35"/>
    <w:rsid w:val="007E077D"/>
    <w:rsid w:val="007E2F21"/>
    <w:rsid w:val="007E5F87"/>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0C2A"/>
    <w:rsid w:val="00811082"/>
    <w:rsid w:val="00813042"/>
    <w:rsid w:val="0081371A"/>
    <w:rsid w:val="00813D28"/>
    <w:rsid w:val="008154F1"/>
    <w:rsid w:val="00817765"/>
    <w:rsid w:val="00821809"/>
    <w:rsid w:val="00821C93"/>
    <w:rsid w:val="008228A6"/>
    <w:rsid w:val="0082760E"/>
    <w:rsid w:val="00830CDD"/>
    <w:rsid w:val="00831BCD"/>
    <w:rsid w:val="008325A3"/>
    <w:rsid w:val="008327EE"/>
    <w:rsid w:val="0083285D"/>
    <w:rsid w:val="00833048"/>
    <w:rsid w:val="008348F9"/>
    <w:rsid w:val="00835C1F"/>
    <w:rsid w:val="00835FA4"/>
    <w:rsid w:val="00837668"/>
    <w:rsid w:val="00837C8C"/>
    <w:rsid w:val="00843BE3"/>
    <w:rsid w:val="00844A1C"/>
    <w:rsid w:val="008454C1"/>
    <w:rsid w:val="00845950"/>
    <w:rsid w:val="008520A7"/>
    <w:rsid w:val="0085320B"/>
    <w:rsid w:val="008533D1"/>
    <w:rsid w:val="008538A1"/>
    <w:rsid w:val="00854059"/>
    <w:rsid w:val="0085484C"/>
    <w:rsid w:val="008574C0"/>
    <w:rsid w:val="008577C2"/>
    <w:rsid w:val="008610F3"/>
    <w:rsid w:val="00863A33"/>
    <w:rsid w:val="00865108"/>
    <w:rsid w:val="00870C66"/>
    <w:rsid w:val="00875479"/>
    <w:rsid w:val="008772E4"/>
    <w:rsid w:val="00877D77"/>
    <w:rsid w:val="00880E9F"/>
    <w:rsid w:val="00882B75"/>
    <w:rsid w:val="00882D82"/>
    <w:rsid w:val="00883714"/>
    <w:rsid w:val="008849E6"/>
    <w:rsid w:val="00885BFA"/>
    <w:rsid w:val="00887FC9"/>
    <w:rsid w:val="00892359"/>
    <w:rsid w:val="00894842"/>
    <w:rsid w:val="00894A7A"/>
    <w:rsid w:val="00894F8A"/>
    <w:rsid w:val="008966E0"/>
    <w:rsid w:val="008A0D0F"/>
    <w:rsid w:val="008A3FEF"/>
    <w:rsid w:val="008A4A76"/>
    <w:rsid w:val="008A69F4"/>
    <w:rsid w:val="008A7564"/>
    <w:rsid w:val="008B0C46"/>
    <w:rsid w:val="008B2896"/>
    <w:rsid w:val="008B32CD"/>
    <w:rsid w:val="008B3E9F"/>
    <w:rsid w:val="008B4ABF"/>
    <w:rsid w:val="008B6710"/>
    <w:rsid w:val="008B7C0E"/>
    <w:rsid w:val="008C0A4F"/>
    <w:rsid w:val="008C0E53"/>
    <w:rsid w:val="008C1FAE"/>
    <w:rsid w:val="008C3BA6"/>
    <w:rsid w:val="008C46FC"/>
    <w:rsid w:val="008C61A0"/>
    <w:rsid w:val="008C6297"/>
    <w:rsid w:val="008C6B0B"/>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12D"/>
    <w:rsid w:val="008F3B31"/>
    <w:rsid w:val="008F4E75"/>
    <w:rsid w:val="008F6F2C"/>
    <w:rsid w:val="009006C7"/>
    <w:rsid w:val="00900B38"/>
    <w:rsid w:val="00900F1A"/>
    <w:rsid w:val="00901848"/>
    <w:rsid w:val="00903AEA"/>
    <w:rsid w:val="00905DCC"/>
    <w:rsid w:val="00906678"/>
    <w:rsid w:val="00911A0F"/>
    <w:rsid w:val="00914407"/>
    <w:rsid w:val="00914B06"/>
    <w:rsid w:val="00916FDD"/>
    <w:rsid w:val="00917300"/>
    <w:rsid w:val="009205DB"/>
    <w:rsid w:val="00922594"/>
    <w:rsid w:val="00923593"/>
    <w:rsid w:val="009236DE"/>
    <w:rsid w:val="00924F45"/>
    <w:rsid w:val="0092614B"/>
    <w:rsid w:val="00926D62"/>
    <w:rsid w:val="009319E4"/>
    <w:rsid w:val="009336CF"/>
    <w:rsid w:val="009431B3"/>
    <w:rsid w:val="00950367"/>
    <w:rsid w:val="00950A55"/>
    <w:rsid w:val="00953BFF"/>
    <w:rsid w:val="009544FE"/>
    <w:rsid w:val="009565F6"/>
    <w:rsid w:val="00957BA8"/>
    <w:rsid w:val="009613C6"/>
    <w:rsid w:val="00961BA7"/>
    <w:rsid w:val="00963471"/>
    <w:rsid w:val="009652B9"/>
    <w:rsid w:val="00965E79"/>
    <w:rsid w:val="00967B6D"/>
    <w:rsid w:val="00972AAB"/>
    <w:rsid w:val="00972B2C"/>
    <w:rsid w:val="0097344A"/>
    <w:rsid w:val="0097555D"/>
    <w:rsid w:val="00980757"/>
    <w:rsid w:val="00980F89"/>
    <w:rsid w:val="009907AA"/>
    <w:rsid w:val="00990B62"/>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4E00"/>
    <w:rsid w:val="009B6AE9"/>
    <w:rsid w:val="009B73BF"/>
    <w:rsid w:val="009C1F0D"/>
    <w:rsid w:val="009C280B"/>
    <w:rsid w:val="009C5901"/>
    <w:rsid w:val="009C703E"/>
    <w:rsid w:val="009D0B61"/>
    <w:rsid w:val="009D2085"/>
    <w:rsid w:val="009D26A2"/>
    <w:rsid w:val="009D30B8"/>
    <w:rsid w:val="009D46ED"/>
    <w:rsid w:val="009D7157"/>
    <w:rsid w:val="009E27C2"/>
    <w:rsid w:val="009E2BB9"/>
    <w:rsid w:val="009E2F09"/>
    <w:rsid w:val="009E3217"/>
    <w:rsid w:val="009E4792"/>
    <w:rsid w:val="009F0BDC"/>
    <w:rsid w:val="009F1344"/>
    <w:rsid w:val="009F3F26"/>
    <w:rsid w:val="009F6A42"/>
    <w:rsid w:val="00A00E5B"/>
    <w:rsid w:val="00A01CFB"/>
    <w:rsid w:val="00A02067"/>
    <w:rsid w:val="00A057B2"/>
    <w:rsid w:val="00A05D29"/>
    <w:rsid w:val="00A11555"/>
    <w:rsid w:val="00A117DC"/>
    <w:rsid w:val="00A11AC1"/>
    <w:rsid w:val="00A13549"/>
    <w:rsid w:val="00A145D3"/>
    <w:rsid w:val="00A14F47"/>
    <w:rsid w:val="00A158DC"/>
    <w:rsid w:val="00A16E02"/>
    <w:rsid w:val="00A20B07"/>
    <w:rsid w:val="00A21216"/>
    <w:rsid w:val="00A232F4"/>
    <w:rsid w:val="00A23985"/>
    <w:rsid w:val="00A24D4D"/>
    <w:rsid w:val="00A26624"/>
    <w:rsid w:val="00A31E61"/>
    <w:rsid w:val="00A32C68"/>
    <w:rsid w:val="00A32CE6"/>
    <w:rsid w:val="00A360D2"/>
    <w:rsid w:val="00A372CC"/>
    <w:rsid w:val="00A401B5"/>
    <w:rsid w:val="00A43AB6"/>
    <w:rsid w:val="00A45700"/>
    <w:rsid w:val="00A46313"/>
    <w:rsid w:val="00A5005B"/>
    <w:rsid w:val="00A56709"/>
    <w:rsid w:val="00A57C96"/>
    <w:rsid w:val="00A621B4"/>
    <w:rsid w:val="00A62CCF"/>
    <w:rsid w:val="00A6365E"/>
    <w:rsid w:val="00A63682"/>
    <w:rsid w:val="00A657F3"/>
    <w:rsid w:val="00A65BC8"/>
    <w:rsid w:val="00A65FB1"/>
    <w:rsid w:val="00A676A4"/>
    <w:rsid w:val="00A70B8F"/>
    <w:rsid w:val="00A70DE8"/>
    <w:rsid w:val="00A741BD"/>
    <w:rsid w:val="00A76EFC"/>
    <w:rsid w:val="00A806FE"/>
    <w:rsid w:val="00A8294C"/>
    <w:rsid w:val="00A84115"/>
    <w:rsid w:val="00A84237"/>
    <w:rsid w:val="00A90B4F"/>
    <w:rsid w:val="00A91F4E"/>
    <w:rsid w:val="00A9425B"/>
    <w:rsid w:val="00A95207"/>
    <w:rsid w:val="00A9578B"/>
    <w:rsid w:val="00A958EC"/>
    <w:rsid w:val="00A9662D"/>
    <w:rsid w:val="00A96CE7"/>
    <w:rsid w:val="00A97BB4"/>
    <w:rsid w:val="00AA228C"/>
    <w:rsid w:val="00AA2C20"/>
    <w:rsid w:val="00AA3B43"/>
    <w:rsid w:val="00AA4332"/>
    <w:rsid w:val="00AA4369"/>
    <w:rsid w:val="00AA711E"/>
    <w:rsid w:val="00AA7989"/>
    <w:rsid w:val="00AB00FB"/>
    <w:rsid w:val="00AB0101"/>
    <w:rsid w:val="00AB1DEE"/>
    <w:rsid w:val="00AB2059"/>
    <w:rsid w:val="00AB3F31"/>
    <w:rsid w:val="00AB400F"/>
    <w:rsid w:val="00AB4812"/>
    <w:rsid w:val="00AB4CAD"/>
    <w:rsid w:val="00AC1EE3"/>
    <w:rsid w:val="00AC276A"/>
    <w:rsid w:val="00AC3A3F"/>
    <w:rsid w:val="00AC661B"/>
    <w:rsid w:val="00AC6E22"/>
    <w:rsid w:val="00AC733C"/>
    <w:rsid w:val="00AD24A5"/>
    <w:rsid w:val="00AD381A"/>
    <w:rsid w:val="00AD58E6"/>
    <w:rsid w:val="00AD7E67"/>
    <w:rsid w:val="00AE0FF0"/>
    <w:rsid w:val="00AE245F"/>
    <w:rsid w:val="00AE251D"/>
    <w:rsid w:val="00AE2FCB"/>
    <w:rsid w:val="00AE4A42"/>
    <w:rsid w:val="00AE4D94"/>
    <w:rsid w:val="00AE6B07"/>
    <w:rsid w:val="00AE6BCF"/>
    <w:rsid w:val="00AE700F"/>
    <w:rsid w:val="00AE7AFC"/>
    <w:rsid w:val="00AE7EDF"/>
    <w:rsid w:val="00AF20C4"/>
    <w:rsid w:val="00AF24F3"/>
    <w:rsid w:val="00AF31AB"/>
    <w:rsid w:val="00AF3C2C"/>
    <w:rsid w:val="00AF56F2"/>
    <w:rsid w:val="00AF7B25"/>
    <w:rsid w:val="00B002CC"/>
    <w:rsid w:val="00B01ACF"/>
    <w:rsid w:val="00B01E61"/>
    <w:rsid w:val="00B03387"/>
    <w:rsid w:val="00B065CE"/>
    <w:rsid w:val="00B0717F"/>
    <w:rsid w:val="00B07DC1"/>
    <w:rsid w:val="00B12998"/>
    <w:rsid w:val="00B1349F"/>
    <w:rsid w:val="00B14DCD"/>
    <w:rsid w:val="00B168B2"/>
    <w:rsid w:val="00B17C55"/>
    <w:rsid w:val="00B20A42"/>
    <w:rsid w:val="00B218E3"/>
    <w:rsid w:val="00B22D73"/>
    <w:rsid w:val="00B23A08"/>
    <w:rsid w:val="00B255EC"/>
    <w:rsid w:val="00B26B47"/>
    <w:rsid w:val="00B278EB"/>
    <w:rsid w:val="00B312E9"/>
    <w:rsid w:val="00B33D4C"/>
    <w:rsid w:val="00B36548"/>
    <w:rsid w:val="00B366B3"/>
    <w:rsid w:val="00B36EC9"/>
    <w:rsid w:val="00B374ED"/>
    <w:rsid w:val="00B406A3"/>
    <w:rsid w:val="00B40998"/>
    <w:rsid w:val="00B42323"/>
    <w:rsid w:val="00B454A9"/>
    <w:rsid w:val="00B459CD"/>
    <w:rsid w:val="00B45D1D"/>
    <w:rsid w:val="00B5057C"/>
    <w:rsid w:val="00B519F6"/>
    <w:rsid w:val="00B51DB3"/>
    <w:rsid w:val="00B524BD"/>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5A5"/>
    <w:rsid w:val="00B72864"/>
    <w:rsid w:val="00B72F99"/>
    <w:rsid w:val="00B73058"/>
    <w:rsid w:val="00B74F3F"/>
    <w:rsid w:val="00B75F60"/>
    <w:rsid w:val="00B76AA6"/>
    <w:rsid w:val="00B76C2D"/>
    <w:rsid w:val="00B824FE"/>
    <w:rsid w:val="00B82EE3"/>
    <w:rsid w:val="00B8353D"/>
    <w:rsid w:val="00B84FD8"/>
    <w:rsid w:val="00B860FF"/>
    <w:rsid w:val="00B86416"/>
    <w:rsid w:val="00B9372E"/>
    <w:rsid w:val="00B95F33"/>
    <w:rsid w:val="00B967A9"/>
    <w:rsid w:val="00B97D82"/>
    <w:rsid w:val="00BA0F4A"/>
    <w:rsid w:val="00BA250C"/>
    <w:rsid w:val="00BA2B62"/>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15F"/>
    <w:rsid w:val="00BD747A"/>
    <w:rsid w:val="00BD7782"/>
    <w:rsid w:val="00BE2646"/>
    <w:rsid w:val="00BE267E"/>
    <w:rsid w:val="00BE2A6D"/>
    <w:rsid w:val="00BE3946"/>
    <w:rsid w:val="00BE5449"/>
    <w:rsid w:val="00BE5A67"/>
    <w:rsid w:val="00BF08DD"/>
    <w:rsid w:val="00BF3B6A"/>
    <w:rsid w:val="00BF49C7"/>
    <w:rsid w:val="00C0318D"/>
    <w:rsid w:val="00C04984"/>
    <w:rsid w:val="00C07C4E"/>
    <w:rsid w:val="00C12B99"/>
    <w:rsid w:val="00C15344"/>
    <w:rsid w:val="00C15624"/>
    <w:rsid w:val="00C15BC0"/>
    <w:rsid w:val="00C16786"/>
    <w:rsid w:val="00C17A31"/>
    <w:rsid w:val="00C17DD7"/>
    <w:rsid w:val="00C20AA1"/>
    <w:rsid w:val="00C210CC"/>
    <w:rsid w:val="00C21D57"/>
    <w:rsid w:val="00C239F6"/>
    <w:rsid w:val="00C24743"/>
    <w:rsid w:val="00C24C0A"/>
    <w:rsid w:val="00C25608"/>
    <w:rsid w:val="00C25E36"/>
    <w:rsid w:val="00C26F81"/>
    <w:rsid w:val="00C3027A"/>
    <w:rsid w:val="00C30BD9"/>
    <w:rsid w:val="00C373DF"/>
    <w:rsid w:val="00C40B7E"/>
    <w:rsid w:val="00C425D7"/>
    <w:rsid w:val="00C4383D"/>
    <w:rsid w:val="00C43D91"/>
    <w:rsid w:val="00C43E84"/>
    <w:rsid w:val="00C44F30"/>
    <w:rsid w:val="00C45CD5"/>
    <w:rsid w:val="00C52933"/>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77EC3"/>
    <w:rsid w:val="00C8124F"/>
    <w:rsid w:val="00C82870"/>
    <w:rsid w:val="00C8584A"/>
    <w:rsid w:val="00C8624A"/>
    <w:rsid w:val="00C87756"/>
    <w:rsid w:val="00C95278"/>
    <w:rsid w:val="00C95B2F"/>
    <w:rsid w:val="00C970DF"/>
    <w:rsid w:val="00C97A96"/>
    <w:rsid w:val="00CA0E2F"/>
    <w:rsid w:val="00CA2BD7"/>
    <w:rsid w:val="00CA3738"/>
    <w:rsid w:val="00CA42F7"/>
    <w:rsid w:val="00CA5541"/>
    <w:rsid w:val="00CA6969"/>
    <w:rsid w:val="00CA71B7"/>
    <w:rsid w:val="00CB00F3"/>
    <w:rsid w:val="00CB12BA"/>
    <w:rsid w:val="00CB1F2A"/>
    <w:rsid w:val="00CB421C"/>
    <w:rsid w:val="00CB484E"/>
    <w:rsid w:val="00CB4B53"/>
    <w:rsid w:val="00CB5FD6"/>
    <w:rsid w:val="00CB7D21"/>
    <w:rsid w:val="00CB7DA1"/>
    <w:rsid w:val="00CC0BFE"/>
    <w:rsid w:val="00CC16B2"/>
    <w:rsid w:val="00CC4B81"/>
    <w:rsid w:val="00CC546A"/>
    <w:rsid w:val="00CC6596"/>
    <w:rsid w:val="00CD1B01"/>
    <w:rsid w:val="00CD1D5B"/>
    <w:rsid w:val="00CD1E6E"/>
    <w:rsid w:val="00CD3376"/>
    <w:rsid w:val="00CD341E"/>
    <w:rsid w:val="00CD4791"/>
    <w:rsid w:val="00CD5187"/>
    <w:rsid w:val="00CD7815"/>
    <w:rsid w:val="00CE0398"/>
    <w:rsid w:val="00CE3E78"/>
    <w:rsid w:val="00CE40B1"/>
    <w:rsid w:val="00CE6775"/>
    <w:rsid w:val="00CE67D7"/>
    <w:rsid w:val="00CE68DB"/>
    <w:rsid w:val="00CE7256"/>
    <w:rsid w:val="00CE76FC"/>
    <w:rsid w:val="00CE77E0"/>
    <w:rsid w:val="00CE7F23"/>
    <w:rsid w:val="00CF1AFB"/>
    <w:rsid w:val="00CF22CE"/>
    <w:rsid w:val="00CF29E9"/>
    <w:rsid w:val="00CF3C51"/>
    <w:rsid w:val="00CF44B9"/>
    <w:rsid w:val="00D10674"/>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34CA9"/>
    <w:rsid w:val="00D429EE"/>
    <w:rsid w:val="00D42E2E"/>
    <w:rsid w:val="00D442D2"/>
    <w:rsid w:val="00D4571D"/>
    <w:rsid w:val="00D45F05"/>
    <w:rsid w:val="00D46C7B"/>
    <w:rsid w:val="00D47647"/>
    <w:rsid w:val="00D5213C"/>
    <w:rsid w:val="00D56B5F"/>
    <w:rsid w:val="00D57F4F"/>
    <w:rsid w:val="00D62251"/>
    <w:rsid w:val="00D638A6"/>
    <w:rsid w:val="00D65589"/>
    <w:rsid w:val="00D672EC"/>
    <w:rsid w:val="00D67B5C"/>
    <w:rsid w:val="00D702A7"/>
    <w:rsid w:val="00D70E3A"/>
    <w:rsid w:val="00D71F9C"/>
    <w:rsid w:val="00D72953"/>
    <w:rsid w:val="00D75B86"/>
    <w:rsid w:val="00D767B7"/>
    <w:rsid w:val="00D77BE8"/>
    <w:rsid w:val="00D8213A"/>
    <w:rsid w:val="00D91533"/>
    <w:rsid w:val="00D91F0F"/>
    <w:rsid w:val="00D932DC"/>
    <w:rsid w:val="00D94FEE"/>
    <w:rsid w:val="00D9553B"/>
    <w:rsid w:val="00DA046D"/>
    <w:rsid w:val="00DA269E"/>
    <w:rsid w:val="00DA4798"/>
    <w:rsid w:val="00DA552F"/>
    <w:rsid w:val="00DA6A48"/>
    <w:rsid w:val="00DB0B42"/>
    <w:rsid w:val="00DB172B"/>
    <w:rsid w:val="00DB3E84"/>
    <w:rsid w:val="00DB4069"/>
    <w:rsid w:val="00DC2054"/>
    <w:rsid w:val="00DC2472"/>
    <w:rsid w:val="00DC33F5"/>
    <w:rsid w:val="00DC3648"/>
    <w:rsid w:val="00DC3E55"/>
    <w:rsid w:val="00DC4711"/>
    <w:rsid w:val="00DC5B8C"/>
    <w:rsid w:val="00DC7DFF"/>
    <w:rsid w:val="00DC7F23"/>
    <w:rsid w:val="00DD0C12"/>
    <w:rsid w:val="00DD1E6F"/>
    <w:rsid w:val="00DD6562"/>
    <w:rsid w:val="00DD6D3A"/>
    <w:rsid w:val="00DE0F8A"/>
    <w:rsid w:val="00DE23E5"/>
    <w:rsid w:val="00DE36C0"/>
    <w:rsid w:val="00DE495D"/>
    <w:rsid w:val="00DE4C4D"/>
    <w:rsid w:val="00DE4DCD"/>
    <w:rsid w:val="00DE524F"/>
    <w:rsid w:val="00DF3942"/>
    <w:rsid w:val="00DF3F29"/>
    <w:rsid w:val="00DF421A"/>
    <w:rsid w:val="00DF4C41"/>
    <w:rsid w:val="00E0321A"/>
    <w:rsid w:val="00E04179"/>
    <w:rsid w:val="00E04A9E"/>
    <w:rsid w:val="00E06C1E"/>
    <w:rsid w:val="00E07081"/>
    <w:rsid w:val="00E07E02"/>
    <w:rsid w:val="00E10293"/>
    <w:rsid w:val="00E104D5"/>
    <w:rsid w:val="00E10C23"/>
    <w:rsid w:val="00E12EBA"/>
    <w:rsid w:val="00E12F24"/>
    <w:rsid w:val="00E1439B"/>
    <w:rsid w:val="00E14F1B"/>
    <w:rsid w:val="00E164C5"/>
    <w:rsid w:val="00E219E6"/>
    <w:rsid w:val="00E23A33"/>
    <w:rsid w:val="00E2525D"/>
    <w:rsid w:val="00E31AAA"/>
    <w:rsid w:val="00E320D9"/>
    <w:rsid w:val="00E32A54"/>
    <w:rsid w:val="00E32C8A"/>
    <w:rsid w:val="00E3399A"/>
    <w:rsid w:val="00E34B38"/>
    <w:rsid w:val="00E354DC"/>
    <w:rsid w:val="00E366D2"/>
    <w:rsid w:val="00E36D68"/>
    <w:rsid w:val="00E404E4"/>
    <w:rsid w:val="00E40E60"/>
    <w:rsid w:val="00E414BD"/>
    <w:rsid w:val="00E41791"/>
    <w:rsid w:val="00E4260B"/>
    <w:rsid w:val="00E45BAF"/>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7F1"/>
    <w:rsid w:val="00E6584D"/>
    <w:rsid w:val="00E66A52"/>
    <w:rsid w:val="00E673B8"/>
    <w:rsid w:val="00E72086"/>
    <w:rsid w:val="00E72F51"/>
    <w:rsid w:val="00E75855"/>
    <w:rsid w:val="00E76131"/>
    <w:rsid w:val="00E76860"/>
    <w:rsid w:val="00E76ABB"/>
    <w:rsid w:val="00E77D08"/>
    <w:rsid w:val="00E80E71"/>
    <w:rsid w:val="00E818CE"/>
    <w:rsid w:val="00E85F64"/>
    <w:rsid w:val="00E871BE"/>
    <w:rsid w:val="00E87816"/>
    <w:rsid w:val="00E91AB2"/>
    <w:rsid w:val="00E9227E"/>
    <w:rsid w:val="00E939FF"/>
    <w:rsid w:val="00E97556"/>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5C80"/>
    <w:rsid w:val="00ED6AF8"/>
    <w:rsid w:val="00ED6B25"/>
    <w:rsid w:val="00EE01AD"/>
    <w:rsid w:val="00EE31E5"/>
    <w:rsid w:val="00EE320D"/>
    <w:rsid w:val="00EE350A"/>
    <w:rsid w:val="00EF2CE0"/>
    <w:rsid w:val="00EF3C6F"/>
    <w:rsid w:val="00EF6847"/>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16307"/>
    <w:rsid w:val="00F203D8"/>
    <w:rsid w:val="00F20AB2"/>
    <w:rsid w:val="00F21142"/>
    <w:rsid w:val="00F22605"/>
    <w:rsid w:val="00F24754"/>
    <w:rsid w:val="00F261AC"/>
    <w:rsid w:val="00F307DD"/>
    <w:rsid w:val="00F31503"/>
    <w:rsid w:val="00F31846"/>
    <w:rsid w:val="00F31D8C"/>
    <w:rsid w:val="00F33BFA"/>
    <w:rsid w:val="00F34BB1"/>
    <w:rsid w:val="00F352EB"/>
    <w:rsid w:val="00F363D1"/>
    <w:rsid w:val="00F377FA"/>
    <w:rsid w:val="00F37F8E"/>
    <w:rsid w:val="00F44873"/>
    <w:rsid w:val="00F52B27"/>
    <w:rsid w:val="00F52ECF"/>
    <w:rsid w:val="00F5419E"/>
    <w:rsid w:val="00F575AC"/>
    <w:rsid w:val="00F604AE"/>
    <w:rsid w:val="00F608DE"/>
    <w:rsid w:val="00F61491"/>
    <w:rsid w:val="00F620CD"/>
    <w:rsid w:val="00F62B12"/>
    <w:rsid w:val="00F6413F"/>
    <w:rsid w:val="00F6454F"/>
    <w:rsid w:val="00F662DE"/>
    <w:rsid w:val="00F6711C"/>
    <w:rsid w:val="00F679EC"/>
    <w:rsid w:val="00F67C2B"/>
    <w:rsid w:val="00F67C6A"/>
    <w:rsid w:val="00F67CB5"/>
    <w:rsid w:val="00F71C84"/>
    <w:rsid w:val="00F72855"/>
    <w:rsid w:val="00F72C00"/>
    <w:rsid w:val="00F76C95"/>
    <w:rsid w:val="00F77CC7"/>
    <w:rsid w:val="00F80021"/>
    <w:rsid w:val="00F83630"/>
    <w:rsid w:val="00F853B3"/>
    <w:rsid w:val="00F859AE"/>
    <w:rsid w:val="00F86A82"/>
    <w:rsid w:val="00F877F1"/>
    <w:rsid w:val="00F93096"/>
    <w:rsid w:val="00F9384E"/>
    <w:rsid w:val="00F96852"/>
    <w:rsid w:val="00FA0B1A"/>
    <w:rsid w:val="00FA1758"/>
    <w:rsid w:val="00FA17B6"/>
    <w:rsid w:val="00FA2112"/>
    <w:rsid w:val="00FA470B"/>
    <w:rsid w:val="00FA7AB4"/>
    <w:rsid w:val="00FB0769"/>
    <w:rsid w:val="00FB292B"/>
    <w:rsid w:val="00FB3EE3"/>
    <w:rsid w:val="00FB6739"/>
    <w:rsid w:val="00FB6776"/>
    <w:rsid w:val="00FB73EC"/>
    <w:rsid w:val="00FB75C9"/>
    <w:rsid w:val="00FB79B8"/>
    <w:rsid w:val="00FB7C57"/>
    <w:rsid w:val="00FC0D2F"/>
    <w:rsid w:val="00FC16E3"/>
    <w:rsid w:val="00FC1CA4"/>
    <w:rsid w:val="00FC381D"/>
    <w:rsid w:val="00FC5F36"/>
    <w:rsid w:val="00FC6455"/>
    <w:rsid w:val="00FC6644"/>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202B"/>
    <w:rsid w:val="00FF3FBC"/>
    <w:rsid w:val="00FF4352"/>
    <w:rsid w:val="00FF5403"/>
    <w:rsid w:val="00FF5ECF"/>
    <w:rsid w:val="00FF7C61"/>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NV-F"/>
    <w:basedOn w:val="Normal"/>
    <w:link w:val="FootnoteTextChar"/>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rsid w:val="00E2525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E77D08"/>
    <w:pPr>
      <w:spacing w:before="0"/>
      <w:ind w:left="3827" w:hanging="2268"/>
    </w:pPr>
    <w:rPr>
      <w:sz w:val="16"/>
      <w:szCs w:val="16"/>
    </w:rPr>
  </w:style>
  <w:style w:type="paragraph" w:customStyle="1" w:styleId="CEONormal">
    <w:name w:val="CEO_Normal"/>
    <w:link w:val="CEONormalChar"/>
    <w:autoRedefine/>
    <w:rsid w:val="00E77D08"/>
    <w:pPr>
      <w:spacing w:before="120"/>
    </w:pPr>
    <w:rPr>
      <w:rFonts w:ascii="Verdana" w:hAnsi="Verdana"/>
      <w:sz w:val="19"/>
      <w:szCs w:val="19"/>
      <w:lang w:val="en-GB" w:eastAsia="en-US"/>
    </w:rPr>
  </w:style>
  <w:style w:type="character" w:customStyle="1" w:styleId="CEONormalChar">
    <w:name w:val="CEO_Normal Char"/>
    <w:link w:val="CEONormal"/>
    <w:rsid w:val="00E77D08"/>
    <w:rPr>
      <w:rFonts w:ascii="Verdana" w:hAnsi="Verdana"/>
      <w:sz w:val="19"/>
      <w:szCs w:val="19"/>
      <w:lang w:val="en-GB" w:eastAsia="en-US"/>
    </w:rPr>
  </w:style>
  <w:style w:type="paragraph" w:customStyle="1" w:styleId="CEODocTitle2lines-Second">
    <w:name w:val="CEO_DocTitle2lines-Second"/>
    <w:basedOn w:val="CEODocTitle2lines-First"/>
    <w:rsid w:val="00E77D08"/>
    <w:pPr>
      <w:spacing w:before="0" w:after="480"/>
    </w:pPr>
  </w:style>
  <w:style w:type="paragraph" w:customStyle="1" w:styleId="CEODocTitle2lines-First">
    <w:name w:val="CEO_DocTitle2lines-First"/>
    <w:basedOn w:val="CEODocTitle-1line"/>
    <w:next w:val="Normal"/>
    <w:rsid w:val="00E77D08"/>
    <w:pPr>
      <w:spacing w:after="0"/>
    </w:pPr>
  </w:style>
  <w:style w:type="paragraph" w:customStyle="1" w:styleId="CEODocTitle-1line">
    <w:name w:val="CEO_DocTitle-1line"/>
    <w:basedOn w:val="Normal"/>
    <w:next w:val="Normal"/>
    <w:rsid w:val="00E77D0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77D08"/>
    <w:pPr>
      <w:keepNext/>
      <w:keepLines/>
      <w:numPr>
        <w:numId w:val="0"/>
      </w:numPr>
      <w:spacing w:before="480"/>
    </w:pPr>
  </w:style>
  <w:style w:type="paragraph" w:customStyle="1" w:styleId="CEOcontribution-H123">
    <w:name w:val="CEO_contribution-H123"/>
    <w:basedOn w:val="Normal"/>
    <w:rsid w:val="00E77D08"/>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77D0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77D08"/>
    <w:pPr>
      <w:spacing w:after="120"/>
      <w:ind w:left="743"/>
    </w:pPr>
    <w:rPr>
      <w:b/>
      <w:bCs/>
      <w:iCs/>
    </w:rPr>
  </w:style>
  <w:style w:type="paragraph" w:customStyle="1" w:styleId="CEOSourceTitle">
    <w:name w:val="CEO_Source_Title"/>
    <w:basedOn w:val="Normal"/>
    <w:rsid w:val="00E77D0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77D0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77D0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77D08"/>
    <w:pPr>
      <w:numPr>
        <w:numId w:val="0"/>
      </w:numPr>
      <w:ind w:right="12"/>
      <w:jc w:val="right"/>
    </w:pPr>
  </w:style>
  <w:style w:type="paragraph" w:customStyle="1" w:styleId="CEODocDates">
    <w:name w:val="CEO_DocDates"/>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77D0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77D0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77D0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77D0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77D0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77D08"/>
    <w:pPr>
      <w:numPr>
        <w:numId w:val="0"/>
      </w:numPr>
      <w:spacing w:before="360"/>
    </w:pPr>
    <w:rPr>
      <w:b w:val="0"/>
    </w:rPr>
  </w:style>
  <w:style w:type="paragraph" w:customStyle="1" w:styleId="CEOParagraph111">
    <w:name w:val="CEO_Paragraph1.1.1"/>
    <w:basedOn w:val="Heading3"/>
    <w:rsid w:val="00E77D0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77D08"/>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E77D08"/>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77D08"/>
    <w:pPr>
      <w:numPr>
        <w:numId w:val="10"/>
      </w:numPr>
    </w:pPr>
  </w:style>
  <w:style w:type="paragraph" w:customStyle="1" w:styleId="CEOMeetingDates">
    <w:name w:val="CEO_MeetingDates"/>
    <w:basedOn w:val="Normal"/>
    <w:rsid w:val="00E77D0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77D0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77D0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77D08"/>
    <w:pPr>
      <w:tabs>
        <w:tab w:val="left" w:pos="2240"/>
      </w:tabs>
      <w:ind w:left="2240" w:hanging="2240"/>
    </w:pPr>
    <w:rPr>
      <w:lang w:val="fr-CH"/>
    </w:rPr>
  </w:style>
  <w:style w:type="paragraph" w:customStyle="1" w:styleId="CEOQuestionDetails">
    <w:name w:val="CEO_QuestionDetails"/>
    <w:basedOn w:val="CEOOriginalLanguage"/>
    <w:rsid w:val="00E77D08"/>
    <w:rPr>
      <w:b w:val="0"/>
      <w:bCs/>
    </w:rPr>
  </w:style>
  <w:style w:type="paragraph" w:customStyle="1" w:styleId="CEOSectorName">
    <w:name w:val="CEO_SectorName"/>
    <w:basedOn w:val="Normal"/>
    <w:rsid w:val="00E77D0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77D0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77D08"/>
    <w:pPr>
      <w:spacing w:before="0"/>
    </w:pPr>
  </w:style>
  <w:style w:type="paragraph" w:customStyle="1" w:styleId="CEOSourceTitleDetails">
    <w:name w:val="CEO_SourceTitleDetails"/>
    <w:basedOn w:val="Normal"/>
    <w:rsid w:val="00E77D0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77D08"/>
    <w:pPr>
      <w:spacing w:before="120"/>
      <w:jc w:val="center"/>
    </w:pPr>
  </w:style>
  <w:style w:type="paragraph" w:customStyle="1" w:styleId="CEOindent-endash">
    <w:name w:val="CEO_indent-endash"/>
    <w:basedOn w:val="CEOEmdashList"/>
    <w:rsid w:val="00E77D08"/>
    <w:pPr>
      <w:numPr>
        <w:numId w:val="11"/>
      </w:numPr>
      <w:tabs>
        <w:tab w:val="clear" w:pos="1134"/>
        <w:tab w:val="num" w:pos="360"/>
      </w:tabs>
      <w:ind w:left="360"/>
    </w:pPr>
  </w:style>
  <w:style w:type="paragraph" w:customStyle="1" w:styleId="CEOEmdashList">
    <w:name w:val="CEO_EmdashList"/>
    <w:basedOn w:val="CEONormal"/>
    <w:rsid w:val="00E77D08"/>
  </w:style>
  <w:style w:type="paragraph" w:customStyle="1" w:styleId="CEOConsidering">
    <w:name w:val="CEO_Considering"/>
    <w:basedOn w:val="CEONormal"/>
    <w:rsid w:val="00E77D08"/>
    <w:pPr>
      <w:keepNext/>
      <w:keepLines/>
      <w:spacing w:after="120"/>
      <w:ind w:left="851"/>
    </w:pPr>
    <w:rPr>
      <w:i/>
      <w:iCs/>
    </w:rPr>
  </w:style>
  <w:style w:type="paragraph" w:customStyle="1" w:styleId="CEOEndBar">
    <w:name w:val="CEO_EndBar"/>
    <w:basedOn w:val="CEONormal"/>
    <w:rsid w:val="00E77D08"/>
    <w:pPr>
      <w:spacing w:after="120"/>
      <w:jc w:val="center"/>
    </w:pPr>
  </w:style>
  <w:style w:type="paragraph" w:customStyle="1" w:styleId="CEOExtract">
    <w:name w:val="CEO_Extract"/>
    <w:basedOn w:val="CEONormal"/>
    <w:rsid w:val="00E77D08"/>
    <w:pPr>
      <w:keepNext/>
      <w:keepLines/>
      <w:spacing w:after="120"/>
    </w:pPr>
  </w:style>
  <w:style w:type="paragraph" w:customStyle="1" w:styleId="CEOHeader">
    <w:name w:val="CEO_Header"/>
    <w:basedOn w:val="Normal"/>
    <w:rsid w:val="00E77D0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77D08"/>
    <w:pPr>
      <w:spacing w:after="120"/>
      <w:ind w:left="426"/>
    </w:pPr>
  </w:style>
  <w:style w:type="paragraph" w:customStyle="1" w:styleId="CEOLogo">
    <w:name w:val="CEO_Logo"/>
    <w:basedOn w:val="CEONormal"/>
    <w:rsid w:val="00E77D08"/>
    <w:pPr>
      <w:spacing w:before="0"/>
      <w:jc w:val="right"/>
    </w:pPr>
  </w:style>
  <w:style w:type="paragraph" w:customStyle="1" w:styleId="CEOMeetingSTG">
    <w:name w:val="CEO_MeetingSTG"/>
    <w:basedOn w:val="CEOMeetingName"/>
    <w:rsid w:val="00E77D08"/>
    <w:pPr>
      <w:spacing w:before="120" w:after="120"/>
    </w:pPr>
  </w:style>
  <w:style w:type="paragraph" w:customStyle="1" w:styleId="CEORevision">
    <w:name w:val="CEO_Revision"/>
    <w:basedOn w:val="CEONormal"/>
    <w:autoRedefine/>
    <w:rsid w:val="00E77D08"/>
    <w:pPr>
      <w:tabs>
        <w:tab w:val="left" w:pos="1928"/>
      </w:tabs>
    </w:pPr>
    <w:rPr>
      <w:b/>
      <w:sz w:val="18"/>
      <w:szCs w:val="18"/>
    </w:rPr>
  </w:style>
  <w:style w:type="paragraph" w:customStyle="1" w:styleId="CEORevisionNote">
    <w:name w:val="CEO_RevisionNote"/>
    <w:basedOn w:val="CEORevision"/>
    <w:autoRedefine/>
    <w:rsid w:val="00E77D08"/>
    <w:pPr>
      <w:spacing w:after="120"/>
    </w:pPr>
    <w:rPr>
      <w:b w:val="0"/>
      <w:i/>
      <w:iCs/>
      <w:lang w:val="en-US"/>
    </w:rPr>
  </w:style>
  <w:style w:type="paragraph" w:customStyle="1" w:styleId="CEORequiredAction">
    <w:name w:val="CEO_RequiredAction"/>
    <w:basedOn w:val="CEONormal"/>
    <w:rsid w:val="00E77D08"/>
    <w:pPr>
      <w:tabs>
        <w:tab w:val="left" w:pos="1928"/>
      </w:tabs>
    </w:pPr>
    <w:rPr>
      <w:b/>
    </w:rPr>
  </w:style>
  <w:style w:type="paragraph" w:customStyle="1" w:styleId="CEOAnnex">
    <w:name w:val="CEO_Annex"/>
    <w:basedOn w:val="CEOSignatureTitle"/>
    <w:rsid w:val="00E77D08"/>
    <w:pPr>
      <w:spacing w:before="1000"/>
    </w:pPr>
  </w:style>
  <w:style w:type="paragraph" w:customStyle="1" w:styleId="CEOEndashListNoIndent">
    <w:name w:val="CEO_EndashListNoIndent"/>
    <w:basedOn w:val="CEONormal"/>
    <w:rsid w:val="00E77D08"/>
    <w:pPr>
      <w:numPr>
        <w:numId w:val="4"/>
      </w:numPr>
      <w:tabs>
        <w:tab w:val="clear" w:pos="2237"/>
      </w:tabs>
      <w:ind w:left="0" w:firstLine="0"/>
    </w:pPr>
  </w:style>
  <w:style w:type="paragraph" w:customStyle="1" w:styleId="CEOFootnoteText">
    <w:name w:val="CEO_Footnote Text"/>
    <w:basedOn w:val="CEONormal"/>
    <w:rsid w:val="00E77D08"/>
    <w:pPr>
      <w:tabs>
        <w:tab w:val="left" w:pos="357"/>
      </w:tabs>
      <w:spacing w:before="0"/>
    </w:pPr>
  </w:style>
  <w:style w:type="paragraph" w:customStyle="1" w:styleId="CEOHeading1-Numbered">
    <w:name w:val="CEO_Heading1-Numbered"/>
    <w:basedOn w:val="CEONormal"/>
    <w:rsid w:val="00E77D08"/>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E77D08"/>
    <w:pPr>
      <w:numPr>
        <w:numId w:val="0"/>
      </w:numPr>
    </w:pPr>
    <w:rPr>
      <w:lang w:val="fr-CH"/>
    </w:rPr>
  </w:style>
  <w:style w:type="paragraph" w:customStyle="1" w:styleId="CEOIndent1-abc">
    <w:name w:val="CEO_Indent1-abc"/>
    <w:basedOn w:val="CEONormal"/>
    <w:rsid w:val="00E77D08"/>
    <w:pPr>
      <w:numPr>
        <w:numId w:val="6"/>
      </w:numPr>
      <w:tabs>
        <w:tab w:val="clear" w:pos="1494"/>
      </w:tabs>
      <w:spacing w:before="60" w:after="60"/>
      <w:ind w:left="0" w:right="709" w:firstLine="0"/>
    </w:pPr>
  </w:style>
  <w:style w:type="paragraph" w:customStyle="1" w:styleId="CEOAbstract">
    <w:name w:val="CEOAbstract"/>
    <w:rsid w:val="00E77D0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E77D08"/>
    <w:pPr>
      <w:spacing w:before="720"/>
    </w:pPr>
  </w:style>
  <w:style w:type="paragraph" w:customStyle="1" w:styleId="CEOSmall">
    <w:name w:val="CEO_Small"/>
    <w:basedOn w:val="CEONormal"/>
    <w:rsid w:val="00E77D08"/>
  </w:style>
  <w:style w:type="paragraph" w:customStyle="1" w:styleId="CEOStartNextPage">
    <w:name w:val="CEO_StartNextPage"/>
    <w:next w:val="CEONormal"/>
    <w:rsid w:val="00E77D0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E77D0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E77D0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E77D08"/>
    <w:pPr>
      <w:tabs>
        <w:tab w:val="left" w:pos="1928"/>
      </w:tabs>
    </w:pPr>
    <w:rPr>
      <w:b/>
    </w:rPr>
  </w:style>
  <w:style w:type="paragraph" w:customStyle="1" w:styleId="CEOActionRequiredDetails">
    <w:name w:val="CEO_ActionRequiredDetails"/>
    <w:rsid w:val="00E77D08"/>
    <w:pPr>
      <w:spacing w:before="120"/>
    </w:pPr>
    <w:rPr>
      <w:rFonts w:ascii="Verdana" w:hAnsi="Verdana"/>
      <w:bCs/>
      <w:sz w:val="19"/>
      <w:szCs w:val="19"/>
      <w:lang w:val="en-GB" w:eastAsia="en-US"/>
    </w:rPr>
  </w:style>
  <w:style w:type="paragraph" w:styleId="ListParagraph">
    <w:name w:val="List Paragraph"/>
    <w:basedOn w:val="Normal"/>
    <w:uiPriority w:val="34"/>
    <w:qFormat/>
    <w:rsid w:val="00E77D08"/>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E77D08"/>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E77D08"/>
    <w:pPr>
      <w:spacing w:before="0"/>
      <w:jc w:val="left"/>
    </w:pPr>
    <w:rPr>
      <w:rFonts w:ascii="Times New Roman" w:eastAsia="Times New Roman" w:hAnsi="Times New Roman"/>
      <w:sz w:val="24"/>
      <w:szCs w:val="20"/>
      <w:lang w:val="en-US" w:eastAsia="en-US"/>
    </w:rPr>
  </w:style>
  <w:style w:type="paragraph" w:customStyle="1" w:styleId="Tablehead0">
    <w:name w:val="Table_head"/>
    <w:basedOn w:val="Normal"/>
    <w:next w:val="Normal"/>
    <w:rsid w:val="00E77D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eastAsia="en-US"/>
    </w:rPr>
  </w:style>
  <w:style w:type="paragraph" w:customStyle="1" w:styleId="Tabletext0">
    <w:name w:val="Table_text"/>
    <w:basedOn w:val="Normal"/>
    <w:rsid w:val="00E77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eastAsia="en-US"/>
    </w:rPr>
  </w:style>
  <w:style w:type="paragraph" w:styleId="TOC4">
    <w:name w:val="toc 4"/>
    <w:basedOn w:val="Normal"/>
    <w:next w:val="Normal"/>
    <w:autoRedefine/>
    <w:uiPriority w:val="39"/>
    <w:rsid w:val="00E77D08"/>
    <w:pPr>
      <w:spacing w:after="100"/>
      <w:ind w:left="570"/>
      <w:jc w:val="left"/>
    </w:pPr>
    <w:rPr>
      <w:rFonts w:ascii="Verdana" w:eastAsia="SimHei" w:hAnsi="Verdana" w:cs="Simplified Arabic"/>
      <w:bCs/>
      <w:sz w:val="19"/>
      <w:szCs w:val="28"/>
      <w:lang w:eastAsia="zh-CN"/>
    </w:rPr>
  </w:style>
  <w:style w:type="paragraph" w:customStyle="1" w:styleId="enumlev1">
    <w:name w:val="enumlev1"/>
    <w:basedOn w:val="Normal"/>
    <w:link w:val="enumlev1Char"/>
    <w:rsid w:val="00E77D0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character" w:customStyle="1" w:styleId="enumlev1Char">
    <w:name w:val="enumlev1 Char"/>
    <w:basedOn w:val="DefaultParagraphFont"/>
    <w:link w:val="enumlev1"/>
    <w:rsid w:val="00E77D08"/>
    <w:rPr>
      <w:rFonts w:eastAsia="Times New Roman"/>
      <w:sz w:val="24"/>
      <w:lang w:val="es-ES_tradnl" w:eastAsia="en-US"/>
    </w:rPr>
  </w:style>
  <w:style w:type="paragraph" w:customStyle="1" w:styleId="enumlev2">
    <w:name w:val="enumlev2"/>
    <w:basedOn w:val="enumlev1"/>
    <w:rsid w:val="00E77D08"/>
    <w:pPr>
      <w:ind w:left="1191" w:hanging="397"/>
    </w:pPr>
  </w:style>
  <w:style w:type="paragraph" w:customStyle="1" w:styleId="AnnexNo">
    <w:name w:val="Annex_No"/>
    <w:basedOn w:val="Normal"/>
    <w:next w:val="Normal"/>
    <w:rsid w:val="00E77D0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styleId="NormalWeb">
    <w:name w:val="Normal (Web)"/>
    <w:basedOn w:val="Normal"/>
    <w:uiPriority w:val="99"/>
    <w:unhideWhenUsed/>
    <w:rsid w:val="00E77D08"/>
    <w:pPr>
      <w:spacing w:before="100" w:beforeAutospacing="1" w:after="100" w:afterAutospacing="1"/>
      <w:jc w:val="left"/>
    </w:pPr>
    <w:rPr>
      <w:rFonts w:ascii="Times New Roman" w:eastAsia="Times New Roman" w:hAnsi="Times New Roman"/>
      <w:sz w:val="24"/>
      <w:szCs w:val="24"/>
      <w:lang w:val="en-US" w:eastAsia="zh-CN"/>
    </w:rPr>
  </w:style>
  <w:style w:type="paragraph" w:styleId="Date">
    <w:name w:val="Date"/>
    <w:basedOn w:val="Normal"/>
    <w:next w:val="Normal"/>
    <w:link w:val="DateChar"/>
    <w:uiPriority w:val="99"/>
    <w:unhideWhenUsed/>
    <w:rsid w:val="00E77D08"/>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uiPriority w:val="99"/>
    <w:rsid w:val="00E77D08"/>
    <w:rPr>
      <w:rFonts w:ascii="Verdana" w:eastAsia="SimHei" w:hAnsi="Verdana" w:cs="Simplified Arabic"/>
      <w:bCs/>
      <w:sz w:val="19"/>
      <w:szCs w:val="28"/>
      <w:lang w:val="fr-FR"/>
    </w:rPr>
  </w:style>
  <w:style w:type="paragraph" w:customStyle="1" w:styleId="jfk-button">
    <w:name w:val="jfk-button"/>
    <w:basedOn w:val="Normal"/>
    <w:rsid w:val="00E77D0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E77D0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E77D0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E77D0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E77D0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E77D0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E77D0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E77D0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E77D0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E77D0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E77D0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E77D0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E77D0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E77D0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E77D0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E77D0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E77D0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E77D0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E77D0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E77D0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E77D0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E77D0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E77D0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E77D0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E77D0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E77D0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E77D0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E77D0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E77D0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E77D0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E77D0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E77D0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E77D0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E77D0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E77D0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E77D0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E77D0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E77D0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E77D0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E77D08"/>
    <w:rPr>
      <w:rFonts w:ascii="Trebuchet MS" w:hAnsi="Trebuchet MS"/>
      <w:noProof w:val="0"/>
      <w:lang w:val="en-GB"/>
    </w:rPr>
  </w:style>
  <w:style w:type="paragraph" w:customStyle="1" w:styleId="jfk-button-img1">
    <w:name w:val="jfk-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E77D0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E77D0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E77D0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E77D0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E77D0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E77D08"/>
    <w:rPr>
      <w:rFonts w:ascii="Trebuchet MS" w:hAnsi="Trebuchet MS"/>
      <w:noProof w:val="0"/>
      <w:lang w:val="en-GB"/>
    </w:rPr>
  </w:style>
  <w:style w:type="character" w:customStyle="1" w:styleId="goog-gtc-translatable">
    <w:name w:val="goog-gtc-translatable"/>
    <w:rsid w:val="00E77D08"/>
    <w:rPr>
      <w:rFonts w:ascii="Trebuchet MS" w:hAnsi="Trebuchet MS"/>
      <w:noProof w:val="0"/>
      <w:lang w:val="en-GB"/>
    </w:rPr>
  </w:style>
  <w:style w:type="paragraph" w:customStyle="1" w:styleId="headingb1">
    <w:name w:val="heading_b"/>
    <w:basedOn w:val="Heading3"/>
    <w:next w:val="Normal"/>
    <w:rsid w:val="00E77D0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E77D08"/>
    <w:rPr>
      <w:rFonts w:ascii="Times New Roman" w:hAnsi="Times New Roman"/>
      <w:bCs/>
      <w:noProof w:val="0"/>
      <w:sz w:val="24"/>
      <w:szCs w:val="24"/>
      <w:lang w:val="en-GB"/>
    </w:rPr>
  </w:style>
  <w:style w:type="paragraph" w:styleId="CommentText">
    <w:name w:val="annotation text"/>
    <w:basedOn w:val="Normal"/>
    <w:link w:val="CommentTextChar"/>
    <w:rsid w:val="00E77D0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E77D08"/>
    <w:rPr>
      <w:rFonts w:ascii="Verdana" w:eastAsia="SimHei" w:hAnsi="Verdana" w:cs="Simplified Arabic"/>
      <w:bCs/>
    </w:rPr>
  </w:style>
  <w:style w:type="paragraph" w:styleId="ListNumber2">
    <w:name w:val="List Number 2"/>
    <w:basedOn w:val="Normal"/>
    <w:rsid w:val="00E77D08"/>
    <w:pPr>
      <w:numPr>
        <w:numId w:val="13"/>
      </w:numPr>
      <w:spacing w:before="0"/>
      <w:jc w:val="left"/>
    </w:pPr>
    <w:rPr>
      <w:rFonts w:ascii="Times New Roman" w:eastAsia="Times New Roman" w:hAnsi="Times New Roman"/>
      <w:sz w:val="24"/>
      <w:szCs w:val="20"/>
      <w:lang w:val="en-US" w:eastAsia="en-US"/>
    </w:rPr>
  </w:style>
  <w:style w:type="paragraph" w:styleId="DocumentMap">
    <w:name w:val="Document Map"/>
    <w:basedOn w:val="Normal"/>
    <w:link w:val="DocumentMapChar"/>
    <w:unhideWhenUsed/>
    <w:rsid w:val="00E77D0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E77D0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E77D0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E77D0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customStyle="1" w:styleId="TOC00">
    <w:name w:val="TOC 0"/>
    <w:basedOn w:val="CEONormal"/>
    <w:rsid w:val="00E77D08"/>
    <w:rPr>
      <w:lang w:val="es-ES_tradnl"/>
    </w:rPr>
  </w:style>
  <w:style w:type="paragraph" w:customStyle="1" w:styleId="toc01">
    <w:name w:val="toc 0"/>
    <w:basedOn w:val="Normal"/>
    <w:next w:val="TOC1"/>
    <w:rsid w:val="00E77D08"/>
    <w:pPr>
      <w:tabs>
        <w:tab w:val="right" w:pos="9639"/>
      </w:tabs>
      <w:spacing w:after="120"/>
      <w:jc w:val="left"/>
    </w:pPr>
    <w:rPr>
      <w:rFonts w:ascii="Verdana" w:eastAsia="SimHei" w:hAnsi="Verdana" w:cs="Simplified Arabic"/>
      <w:b/>
      <w:bCs/>
      <w:sz w:val="19"/>
      <w:szCs w:val="28"/>
      <w:lang w:eastAsia="zh-CN"/>
    </w:rPr>
  </w:style>
  <w:style w:type="paragraph" w:styleId="Caption">
    <w:name w:val="caption"/>
    <w:basedOn w:val="Normal"/>
    <w:next w:val="Normal"/>
    <w:uiPriority w:val="35"/>
    <w:unhideWhenUsed/>
    <w:qFormat/>
    <w:rsid w:val="00E77D08"/>
    <w:pPr>
      <w:spacing w:before="0" w:after="200"/>
      <w:jc w:val="left"/>
    </w:pPr>
    <w:rPr>
      <w:rFonts w:ascii="Verdana" w:eastAsia="SimHei" w:hAnsi="Verdana" w:cs="Simplified Arabic"/>
      <w:b/>
      <w:color w:val="4F81BD" w:themeColor="accent1"/>
      <w:sz w:val="18"/>
      <w:szCs w:val="18"/>
      <w:lang w:val="en-US" w:eastAsia="zh-CN"/>
    </w:rPr>
  </w:style>
  <w:style w:type="character" w:styleId="CommentReference">
    <w:name w:val="annotation reference"/>
    <w:basedOn w:val="DefaultParagraphFont"/>
    <w:uiPriority w:val="99"/>
    <w:rsid w:val="00E77D08"/>
    <w:rPr>
      <w:rFonts w:cs="Times New Roman"/>
      <w:sz w:val="16"/>
      <w:szCs w:val="16"/>
    </w:rPr>
  </w:style>
  <w:style w:type="paragraph" w:styleId="TableofFigures">
    <w:name w:val="table of figures"/>
    <w:basedOn w:val="Normal"/>
    <w:next w:val="Normal"/>
    <w:uiPriority w:val="99"/>
    <w:unhideWhenUsed/>
    <w:rsid w:val="00E77D08"/>
    <w:pPr>
      <w:jc w:val="left"/>
    </w:pPr>
    <w:rPr>
      <w:rFonts w:ascii="Verdana" w:eastAsia="SimHei" w:hAnsi="Verdana" w:cs="Simplified Arabic"/>
      <w:bCs/>
      <w:sz w:val="19"/>
      <w:szCs w:val="28"/>
      <w:lang w:val="en-US" w:eastAsia="zh-CN"/>
    </w:rPr>
  </w:style>
  <w:style w:type="paragraph" w:customStyle="1" w:styleId="a">
    <w:name w:val="(文字) (文字)"/>
    <w:basedOn w:val="Normal"/>
    <w:rsid w:val="00013F68"/>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AnnexNotitle">
    <w:name w:val="Annex_No &amp; 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val="en-GB" w:eastAsia="en-US"/>
    </w:rPr>
  </w:style>
  <w:style w:type="character" w:styleId="Strong">
    <w:name w:val="Strong"/>
    <w:basedOn w:val="DefaultParagraphFont"/>
    <w:uiPriority w:val="22"/>
    <w:qFormat/>
    <w:rsid w:val="00013F68"/>
    <w:rPr>
      <w:b/>
      <w:bCs/>
    </w:rPr>
  </w:style>
  <w:style w:type="paragraph" w:customStyle="1" w:styleId="ms-rteelement-p">
    <w:name w:val="ms-rteelement-p"/>
    <w:basedOn w:val="Normal"/>
    <w:rsid w:val="00013F68"/>
    <w:pPr>
      <w:spacing w:before="100" w:after="100" w:line="240" w:lineRule="atLeast"/>
      <w:jc w:val="left"/>
    </w:pPr>
    <w:rPr>
      <w:rFonts w:ascii="Verdana" w:eastAsia="Times New Roman" w:hAnsi="Verdana"/>
      <w:color w:val="576170"/>
      <w:sz w:val="18"/>
      <w:szCs w:val="18"/>
      <w:lang w:val="en-US" w:eastAsia="en-US"/>
    </w:rPr>
  </w:style>
  <w:style w:type="paragraph" w:customStyle="1" w:styleId="Headingi">
    <w:name w:val="Heading_i"/>
    <w:basedOn w:val="Normal"/>
    <w:next w:val="Normal"/>
    <w:rsid w:val="00013F68"/>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Times New Roman" w:eastAsia="Times New Roman" w:hAnsi="Times New Roman"/>
      <w:i/>
      <w:sz w:val="24"/>
      <w:szCs w:val="20"/>
      <w:lang w:val="en-GB" w:eastAsia="en-US"/>
    </w:rPr>
  </w:style>
  <w:style w:type="paragraph" w:customStyle="1" w:styleId="Figurewithouttitle">
    <w:name w:val="Figure_without_title"/>
    <w:basedOn w:val="Normal"/>
    <w:next w:val="Normal"/>
    <w:rsid w:val="00013F6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sz w:val="24"/>
      <w:szCs w:val="20"/>
      <w:lang w:val="en-GB" w:eastAsia="en-US"/>
    </w:rPr>
  </w:style>
  <w:style w:type="paragraph" w:customStyle="1" w:styleId="SectionNo">
    <w:name w:val="Section_No"/>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customStyle="1" w:styleId="Sectiontitle">
    <w:name w:val="Section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Times New Roman" w:hAnsi="Times New Roman"/>
      <w:b/>
      <w:sz w:val="28"/>
      <w:szCs w:val="20"/>
      <w:lang w:val="en-GB" w:eastAsia="en-US"/>
    </w:rPr>
  </w:style>
  <w:style w:type="paragraph" w:customStyle="1" w:styleId="ChapNo">
    <w:name w:val="Chap_No"/>
    <w:basedOn w:val="Normal"/>
    <w:next w:val="Chaptitle"/>
    <w:rsid w:val="00013F6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caps/>
      <w:sz w:val="28"/>
      <w:szCs w:val="20"/>
      <w:lang w:val="en-GB" w:eastAsia="en-US"/>
    </w:rPr>
  </w:style>
  <w:style w:type="paragraph" w:customStyle="1" w:styleId="Chaptitle">
    <w:name w:val="Chap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val="en-GB" w:eastAsia="en-US"/>
    </w:rPr>
  </w:style>
  <w:style w:type="paragraph" w:customStyle="1" w:styleId="Parttitle0">
    <w:name w:val="Part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Times New Roman" w:hAnsi="Times New Roman"/>
      <w:b/>
      <w:sz w:val="28"/>
      <w:szCs w:val="20"/>
      <w:lang w:val="en-GB" w:eastAsia="en-US"/>
    </w:rPr>
  </w:style>
  <w:style w:type="paragraph" w:customStyle="1" w:styleId="Normalaftertitle0">
    <w:name w:val="Normal after title"/>
    <w:basedOn w:val="Normal"/>
    <w:rsid w:val="00013F68"/>
    <w:pPr>
      <w:tabs>
        <w:tab w:val="left" w:pos="794"/>
        <w:tab w:val="left" w:pos="1191"/>
        <w:tab w:val="left" w:pos="1588"/>
        <w:tab w:val="left" w:pos="1985"/>
      </w:tabs>
      <w:overflowPunct w:val="0"/>
      <w:autoSpaceDE w:val="0"/>
      <w:autoSpaceDN w:val="0"/>
      <w:adjustRightInd w:val="0"/>
      <w:spacing w:before="480"/>
      <w:textAlignment w:val="baseline"/>
    </w:pPr>
    <w:rPr>
      <w:rFonts w:ascii="Times New Roman" w:eastAsia="Times New Roman" w:hAnsi="Times New Roman"/>
      <w:sz w:val="22"/>
      <w:szCs w:val="20"/>
      <w:lang w:val="en-GB" w:eastAsia="en-US"/>
    </w:rPr>
  </w:style>
  <w:style w:type="paragraph" w:customStyle="1" w:styleId="MOS-Normal">
    <w:name w:val="MOS-Normal"/>
    <w:link w:val="MOS-NormalChar"/>
    <w:rsid w:val="00013F68"/>
    <w:pPr>
      <w:spacing w:before="120" w:after="120"/>
    </w:pPr>
    <w:rPr>
      <w:rFonts w:ascii="Verdana" w:hAnsi="Verdana" w:cs="Traditional Arabic"/>
      <w:sz w:val="18"/>
      <w:szCs w:val="28"/>
      <w:lang w:val="en-GB" w:eastAsia="en-US"/>
    </w:rPr>
  </w:style>
  <w:style w:type="character" w:customStyle="1" w:styleId="MOS-NormalChar">
    <w:name w:val="MOS-Normal Char"/>
    <w:basedOn w:val="DefaultParagraphFont"/>
    <w:link w:val="MOS-Normal"/>
    <w:rsid w:val="00013F68"/>
    <w:rPr>
      <w:rFonts w:ascii="Verdana" w:hAnsi="Verdana" w:cs="Traditional Arabic"/>
      <w:sz w:val="18"/>
      <w:szCs w:val="28"/>
      <w:lang w:val="en-GB" w:eastAsia="en-US"/>
    </w:rPr>
  </w:style>
  <w:style w:type="character" w:customStyle="1" w:styleId="ms-rtethemefontface-11">
    <w:name w:val="ms-rtethemefontface-11"/>
    <w:basedOn w:val="DefaultParagraphFont"/>
    <w:rsid w:val="00013F68"/>
    <w:rPr>
      <w:rFonts w:ascii="Verdana" w:hAnsi="Verdana" w:hint="default"/>
    </w:rPr>
  </w:style>
  <w:style w:type="character" w:customStyle="1" w:styleId="observation">
    <w:name w:val="observation"/>
    <w:basedOn w:val="DefaultParagraphFont"/>
    <w:rsid w:val="00013F68"/>
  </w:style>
  <w:style w:type="paragraph" w:styleId="Index1">
    <w:name w:val="index 1"/>
    <w:basedOn w:val="Normal"/>
    <w:next w:val="Normal"/>
    <w:rsid w:val="00013F68"/>
    <w:pPr>
      <w:tabs>
        <w:tab w:val="left" w:pos="1134"/>
        <w:tab w:val="left" w:pos="1871"/>
        <w:tab w:val="left" w:pos="2268"/>
      </w:tabs>
      <w:overflowPunct w:val="0"/>
      <w:autoSpaceDE w:val="0"/>
      <w:autoSpaceDN w:val="0"/>
      <w:adjustRightInd w:val="0"/>
      <w:jc w:val="left"/>
      <w:textAlignment w:val="baseline"/>
    </w:pPr>
    <w:rPr>
      <w:rFonts w:ascii="Times New Roman" w:eastAsia="Times New Roman" w:hAnsi="Times New Roman"/>
      <w:sz w:val="24"/>
      <w:szCs w:val="20"/>
      <w:lang w:val="en-GB" w:eastAsia="en-US"/>
    </w:rPr>
  </w:style>
  <w:style w:type="character" w:customStyle="1" w:styleId="hps">
    <w:name w:val="hps"/>
    <w:basedOn w:val="DefaultParagraphFont"/>
    <w:rsid w:val="00013F68"/>
  </w:style>
  <w:style w:type="character" w:customStyle="1" w:styleId="atn">
    <w:name w:val="atn"/>
    <w:basedOn w:val="DefaultParagraphFont"/>
    <w:rsid w:val="00013F68"/>
  </w:style>
  <w:style w:type="character" w:customStyle="1" w:styleId="longtext">
    <w:name w:val="long_text"/>
    <w:basedOn w:val="DefaultParagraphFont"/>
    <w:rsid w:val="00013F68"/>
  </w:style>
  <w:style w:type="character" w:customStyle="1" w:styleId="producttitle">
    <w:name w:val="producttitle"/>
    <w:basedOn w:val="DefaultParagraphFont"/>
    <w:rsid w:val="00013F68"/>
  </w:style>
  <w:style w:type="paragraph" w:styleId="ListBullet">
    <w:name w:val="List Bullet"/>
    <w:basedOn w:val="Normal"/>
    <w:autoRedefine/>
    <w:rsid w:val="00013F68"/>
    <w:pPr>
      <w:numPr>
        <w:numId w:val="30"/>
      </w:numPr>
      <w:spacing w:before="0"/>
      <w:jc w:val="left"/>
    </w:pPr>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NV-F"/>
    <w:basedOn w:val="Normal"/>
    <w:link w:val="FootnoteTextChar"/>
    <w:rsid w:val="007202A5"/>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
    <w:link w:val="FootnoteText"/>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
    <w:rsid w:val="00E2525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E77D08"/>
    <w:pPr>
      <w:spacing w:before="0"/>
      <w:ind w:left="3827" w:hanging="2268"/>
    </w:pPr>
    <w:rPr>
      <w:sz w:val="16"/>
      <w:szCs w:val="16"/>
    </w:rPr>
  </w:style>
  <w:style w:type="paragraph" w:customStyle="1" w:styleId="CEONormal">
    <w:name w:val="CEO_Normal"/>
    <w:link w:val="CEONormalChar"/>
    <w:autoRedefine/>
    <w:rsid w:val="00E77D08"/>
    <w:pPr>
      <w:spacing w:before="120"/>
    </w:pPr>
    <w:rPr>
      <w:rFonts w:ascii="Verdana" w:hAnsi="Verdana"/>
      <w:sz w:val="19"/>
      <w:szCs w:val="19"/>
      <w:lang w:val="en-GB" w:eastAsia="en-US"/>
    </w:rPr>
  </w:style>
  <w:style w:type="character" w:customStyle="1" w:styleId="CEONormalChar">
    <w:name w:val="CEO_Normal Char"/>
    <w:link w:val="CEONormal"/>
    <w:rsid w:val="00E77D08"/>
    <w:rPr>
      <w:rFonts w:ascii="Verdana" w:hAnsi="Verdana"/>
      <w:sz w:val="19"/>
      <w:szCs w:val="19"/>
      <w:lang w:val="en-GB" w:eastAsia="en-US"/>
    </w:rPr>
  </w:style>
  <w:style w:type="paragraph" w:customStyle="1" w:styleId="CEODocTitle2lines-Second">
    <w:name w:val="CEO_DocTitle2lines-Second"/>
    <w:basedOn w:val="CEODocTitle2lines-First"/>
    <w:rsid w:val="00E77D08"/>
    <w:pPr>
      <w:spacing w:before="0" w:after="480"/>
    </w:pPr>
  </w:style>
  <w:style w:type="paragraph" w:customStyle="1" w:styleId="CEODocTitle2lines-First">
    <w:name w:val="CEO_DocTitle2lines-First"/>
    <w:basedOn w:val="CEODocTitle-1line"/>
    <w:next w:val="Normal"/>
    <w:rsid w:val="00E77D08"/>
    <w:pPr>
      <w:spacing w:after="0"/>
    </w:pPr>
  </w:style>
  <w:style w:type="paragraph" w:customStyle="1" w:styleId="CEODocTitle-1line">
    <w:name w:val="CEO_DocTitle-1line"/>
    <w:basedOn w:val="Normal"/>
    <w:next w:val="Normal"/>
    <w:rsid w:val="00E77D0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77D08"/>
    <w:pPr>
      <w:keepNext/>
      <w:keepLines/>
      <w:numPr>
        <w:numId w:val="0"/>
      </w:numPr>
      <w:spacing w:before="480"/>
    </w:pPr>
  </w:style>
  <w:style w:type="paragraph" w:customStyle="1" w:styleId="CEOcontribution-H123">
    <w:name w:val="CEO_contribution-H123"/>
    <w:basedOn w:val="Normal"/>
    <w:rsid w:val="00E77D08"/>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77D0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77D08"/>
    <w:pPr>
      <w:spacing w:after="120"/>
      <w:ind w:left="743"/>
    </w:pPr>
    <w:rPr>
      <w:b/>
      <w:bCs/>
      <w:iCs/>
    </w:rPr>
  </w:style>
  <w:style w:type="paragraph" w:customStyle="1" w:styleId="CEOSourceTitle">
    <w:name w:val="CEO_Source_Title"/>
    <w:basedOn w:val="Normal"/>
    <w:rsid w:val="00E77D0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77D0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77D0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77D08"/>
    <w:pPr>
      <w:numPr>
        <w:numId w:val="0"/>
      </w:numPr>
      <w:ind w:right="12"/>
      <w:jc w:val="right"/>
    </w:pPr>
  </w:style>
  <w:style w:type="paragraph" w:customStyle="1" w:styleId="CEODocDates">
    <w:name w:val="CEO_DocDates"/>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77D0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77D0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77D0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77D0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77D0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77D0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77D08"/>
    <w:pPr>
      <w:numPr>
        <w:numId w:val="0"/>
      </w:numPr>
      <w:spacing w:before="360"/>
    </w:pPr>
    <w:rPr>
      <w:b w:val="0"/>
    </w:rPr>
  </w:style>
  <w:style w:type="paragraph" w:customStyle="1" w:styleId="CEOParagraph111">
    <w:name w:val="CEO_Paragraph1.1.1"/>
    <w:basedOn w:val="Heading3"/>
    <w:rsid w:val="00E77D0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77D08"/>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E77D08"/>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77D08"/>
    <w:pPr>
      <w:numPr>
        <w:numId w:val="10"/>
      </w:numPr>
    </w:pPr>
  </w:style>
  <w:style w:type="paragraph" w:customStyle="1" w:styleId="CEOMeetingDates">
    <w:name w:val="CEO_MeetingDates"/>
    <w:basedOn w:val="Normal"/>
    <w:rsid w:val="00E77D0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77D0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77D0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77D08"/>
    <w:pPr>
      <w:tabs>
        <w:tab w:val="left" w:pos="2240"/>
      </w:tabs>
      <w:ind w:left="2240" w:hanging="2240"/>
    </w:pPr>
    <w:rPr>
      <w:lang w:val="fr-CH"/>
    </w:rPr>
  </w:style>
  <w:style w:type="paragraph" w:customStyle="1" w:styleId="CEOQuestionDetails">
    <w:name w:val="CEO_QuestionDetails"/>
    <w:basedOn w:val="CEOOriginalLanguage"/>
    <w:rsid w:val="00E77D08"/>
    <w:rPr>
      <w:b w:val="0"/>
      <w:bCs/>
    </w:rPr>
  </w:style>
  <w:style w:type="paragraph" w:customStyle="1" w:styleId="CEOSectorName">
    <w:name w:val="CEO_SectorName"/>
    <w:basedOn w:val="Normal"/>
    <w:rsid w:val="00E77D0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77D0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77D08"/>
    <w:pPr>
      <w:spacing w:before="0"/>
    </w:pPr>
  </w:style>
  <w:style w:type="paragraph" w:customStyle="1" w:styleId="CEOSourceTitleDetails">
    <w:name w:val="CEO_SourceTitleDetails"/>
    <w:basedOn w:val="Normal"/>
    <w:rsid w:val="00E77D0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77D08"/>
    <w:pPr>
      <w:spacing w:before="120"/>
      <w:jc w:val="center"/>
    </w:pPr>
  </w:style>
  <w:style w:type="paragraph" w:customStyle="1" w:styleId="CEOindent-endash">
    <w:name w:val="CEO_indent-endash"/>
    <w:basedOn w:val="CEOEmdashList"/>
    <w:rsid w:val="00E77D08"/>
    <w:pPr>
      <w:numPr>
        <w:numId w:val="11"/>
      </w:numPr>
      <w:tabs>
        <w:tab w:val="clear" w:pos="1134"/>
        <w:tab w:val="num" w:pos="360"/>
      </w:tabs>
      <w:ind w:left="360"/>
    </w:pPr>
  </w:style>
  <w:style w:type="paragraph" w:customStyle="1" w:styleId="CEOEmdashList">
    <w:name w:val="CEO_EmdashList"/>
    <w:basedOn w:val="CEONormal"/>
    <w:rsid w:val="00E77D08"/>
  </w:style>
  <w:style w:type="paragraph" w:customStyle="1" w:styleId="CEOConsidering">
    <w:name w:val="CEO_Considering"/>
    <w:basedOn w:val="CEONormal"/>
    <w:rsid w:val="00E77D08"/>
    <w:pPr>
      <w:keepNext/>
      <w:keepLines/>
      <w:spacing w:after="120"/>
      <w:ind w:left="851"/>
    </w:pPr>
    <w:rPr>
      <w:i/>
      <w:iCs/>
    </w:rPr>
  </w:style>
  <w:style w:type="paragraph" w:customStyle="1" w:styleId="CEOEndBar">
    <w:name w:val="CEO_EndBar"/>
    <w:basedOn w:val="CEONormal"/>
    <w:rsid w:val="00E77D08"/>
    <w:pPr>
      <w:spacing w:after="120"/>
      <w:jc w:val="center"/>
    </w:pPr>
  </w:style>
  <w:style w:type="paragraph" w:customStyle="1" w:styleId="CEOExtract">
    <w:name w:val="CEO_Extract"/>
    <w:basedOn w:val="CEONormal"/>
    <w:rsid w:val="00E77D08"/>
    <w:pPr>
      <w:keepNext/>
      <w:keepLines/>
      <w:spacing w:after="120"/>
    </w:pPr>
  </w:style>
  <w:style w:type="paragraph" w:customStyle="1" w:styleId="CEOHeader">
    <w:name w:val="CEO_Header"/>
    <w:basedOn w:val="Normal"/>
    <w:rsid w:val="00E77D0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77D08"/>
    <w:pPr>
      <w:spacing w:after="120"/>
      <w:ind w:left="426"/>
    </w:pPr>
  </w:style>
  <w:style w:type="paragraph" w:customStyle="1" w:styleId="CEOLogo">
    <w:name w:val="CEO_Logo"/>
    <w:basedOn w:val="CEONormal"/>
    <w:rsid w:val="00E77D08"/>
    <w:pPr>
      <w:spacing w:before="0"/>
      <w:jc w:val="right"/>
    </w:pPr>
  </w:style>
  <w:style w:type="paragraph" w:customStyle="1" w:styleId="CEOMeetingSTG">
    <w:name w:val="CEO_MeetingSTG"/>
    <w:basedOn w:val="CEOMeetingName"/>
    <w:rsid w:val="00E77D08"/>
    <w:pPr>
      <w:spacing w:before="120" w:after="120"/>
    </w:pPr>
  </w:style>
  <w:style w:type="paragraph" w:customStyle="1" w:styleId="CEORevision">
    <w:name w:val="CEO_Revision"/>
    <w:basedOn w:val="CEONormal"/>
    <w:autoRedefine/>
    <w:rsid w:val="00E77D08"/>
    <w:pPr>
      <w:tabs>
        <w:tab w:val="left" w:pos="1928"/>
      </w:tabs>
    </w:pPr>
    <w:rPr>
      <w:b/>
      <w:sz w:val="18"/>
      <w:szCs w:val="18"/>
    </w:rPr>
  </w:style>
  <w:style w:type="paragraph" w:customStyle="1" w:styleId="CEORevisionNote">
    <w:name w:val="CEO_RevisionNote"/>
    <w:basedOn w:val="CEORevision"/>
    <w:autoRedefine/>
    <w:rsid w:val="00E77D08"/>
    <w:pPr>
      <w:spacing w:after="120"/>
    </w:pPr>
    <w:rPr>
      <w:b w:val="0"/>
      <w:i/>
      <w:iCs/>
      <w:lang w:val="en-US"/>
    </w:rPr>
  </w:style>
  <w:style w:type="paragraph" w:customStyle="1" w:styleId="CEORequiredAction">
    <w:name w:val="CEO_RequiredAction"/>
    <w:basedOn w:val="CEONormal"/>
    <w:rsid w:val="00E77D08"/>
    <w:pPr>
      <w:tabs>
        <w:tab w:val="left" w:pos="1928"/>
      </w:tabs>
    </w:pPr>
    <w:rPr>
      <w:b/>
    </w:rPr>
  </w:style>
  <w:style w:type="paragraph" w:customStyle="1" w:styleId="CEOAnnex">
    <w:name w:val="CEO_Annex"/>
    <w:basedOn w:val="CEOSignatureTitle"/>
    <w:rsid w:val="00E77D08"/>
    <w:pPr>
      <w:spacing w:before="1000"/>
    </w:pPr>
  </w:style>
  <w:style w:type="paragraph" w:customStyle="1" w:styleId="CEOEndashListNoIndent">
    <w:name w:val="CEO_EndashListNoIndent"/>
    <w:basedOn w:val="CEONormal"/>
    <w:rsid w:val="00E77D08"/>
    <w:pPr>
      <w:numPr>
        <w:numId w:val="4"/>
      </w:numPr>
      <w:tabs>
        <w:tab w:val="clear" w:pos="2237"/>
      </w:tabs>
      <w:ind w:left="0" w:firstLine="0"/>
    </w:pPr>
  </w:style>
  <w:style w:type="paragraph" w:customStyle="1" w:styleId="CEOFootnoteText">
    <w:name w:val="CEO_Footnote Text"/>
    <w:basedOn w:val="CEONormal"/>
    <w:rsid w:val="00E77D08"/>
    <w:pPr>
      <w:tabs>
        <w:tab w:val="left" w:pos="357"/>
      </w:tabs>
      <w:spacing w:before="0"/>
    </w:pPr>
  </w:style>
  <w:style w:type="paragraph" w:customStyle="1" w:styleId="CEOHeading1-Numbered">
    <w:name w:val="CEO_Heading1-Numbered"/>
    <w:basedOn w:val="CEONormal"/>
    <w:rsid w:val="00E77D08"/>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E77D08"/>
    <w:pPr>
      <w:numPr>
        <w:numId w:val="0"/>
      </w:numPr>
    </w:pPr>
    <w:rPr>
      <w:lang w:val="fr-CH"/>
    </w:rPr>
  </w:style>
  <w:style w:type="paragraph" w:customStyle="1" w:styleId="CEOIndent1-abc">
    <w:name w:val="CEO_Indent1-abc"/>
    <w:basedOn w:val="CEONormal"/>
    <w:rsid w:val="00E77D08"/>
    <w:pPr>
      <w:numPr>
        <w:numId w:val="6"/>
      </w:numPr>
      <w:tabs>
        <w:tab w:val="clear" w:pos="1494"/>
      </w:tabs>
      <w:spacing w:before="60" w:after="60"/>
      <w:ind w:left="0" w:right="709" w:firstLine="0"/>
    </w:pPr>
  </w:style>
  <w:style w:type="paragraph" w:customStyle="1" w:styleId="CEOAbstract">
    <w:name w:val="CEOAbstract"/>
    <w:rsid w:val="00E77D0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E77D08"/>
    <w:pPr>
      <w:spacing w:before="720"/>
    </w:pPr>
  </w:style>
  <w:style w:type="paragraph" w:customStyle="1" w:styleId="CEOSmall">
    <w:name w:val="CEO_Small"/>
    <w:basedOn w:val="CEONormal"/>
    <w:rsid w:val="00E77D08"/>
  </w:style>
  <w:style w:type="paragraph" w:customStyle="1" w:styleId="CEOStartNextPage">
    <w:name w:val="CEO_StartNextPage"/>
    <w:next w:val="CEONormal"/>
    <w:rsid w:val="00E77D0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E77D0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E77D0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E77D08"/>
    <w:pPr>
      <w:tabs>
        <w:tab w:val="left" w:pos="1928"/>
      </w:tabs>
    </w:pPr>
    <w:rPr>
      <w:b/>
    </w:rPr>
  </w:style>
  <w:style w:type="paragraph" w:customStyle="1" w:styleId="CEOActionRequiredDetails">
    <w:name w:val="CEO_ActionRequiredDetails"/>
    <w:rsid w:val="00E77D08"/>
    <w:pPr>
      <w:spacing w:before="120"/>
    </w:pPr>
    <w:rPr>
      <w:rFonts w:ascii="Verdana" w:hAnsi="Verdana"/>
      <w:bCs/>
      <w:sz w:val="19"/>
      <w:szCs w:val="19"/>
      <w:lang w:val="en-GB" w:eastAsia="en-US"/>
    </w:rPr>
  </w:style>
  <w:style w:type="paragraph" w:styleId="ListParagraph">
    <w:name w:val="List Paragraph"/>
    <w:basedOn w:val="Normal"/>
    <w:uiPriority w:val="34"/>
    <w:qFormat/>
    <w:rsid w:val="00E77D08"/>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E77D08"/>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E77D08"/>
    <w:pPr>
      <w:spacing w:before="0"/>
      <w:jc w:val="left"/>
    </w:pPr>
    <w:rPr>
      <w:rFonts w:ascii="Times New Roman" w:eastAsia="Times New Roman" w:hAnsi="Times New Roman"/>
      <w:sz w:val="24"/>
      <w:szCs w:val="20"/>
      <w:lang w:val="en-US" w:eastAsia="en-US"/>
    </w:rPr>
  </w:style>
  <w:style w:type="paragraph" w:customStyle="1" w:styleId="Tablehead0">
    <w:name w:val="Table_head"/>
    <w:basedOn w:val="Normal"/>
    <w:next w:val="Normal"/>
    <w:rsid w:val="00E77D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Times New Roman" w:hAnsi="Times New Roman"/>
      <w:b/>
      <w:sz w:val="22"/>
      <w:szCs w:val="20"/>
      <w:lang w:eastAsia="en-US"/>
    </w:rPr>
  </w:style>
  <w:style w:type="paragraph" w:customStyle="1" w:styleId="Tabletext0">
    <w:name w:val="Table_text"/>
    <w:basedOn w:val="Normal"/>
    <w:rsid w:val="00E77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sz w:val="22"/>
      <w:szCs w:val="20"/>
      <w:lang w:eastAsia="en-US"/>
    </w:rPr>
  </w:style>
  <w:style w:type="paragraph" w:styleId="TOC4">
    <w:name w:val="toc 4"/>
    <w:basedOn w:val="Normal"/>
    <w:next w:val="Normal"/>
    <w:autoRedefine/>
    <w:uiPriority w:val="39"/>
    <w:rsid w:val="00E77D08"/>
    <w:pPr>
      <w:spacing w:after="100"/>
      <w:ind w:left="570"/>
      <w:jc w:val="left"/>
    </w:pPr>
    <w:rPr>
      <w:rFonts w:ascii="Verdana" w:eastAsia="SimHei" w:hAnsi="Verdana" w:cs="Simplified Arabic"/>
      <w:bCs/>
      <w:sz w:val="19"/>
      <w:szCs w:val="28"/>
      <w:lang w:eastAsia="zh-CN"/>
    </w:rPr>
  </w:style>
  <w:style w:type="paragraph" w:customStyle="1" w:styleId="enumlev1">
    <w:name w:val="enumlev1"/>
    <w:basedOn w:val="Normal"/>
    <w:link w:val="enumlev1Char"/>
    <w:rsid w:val="00E77D0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character" w:customStyle="1" w:styleId="enumlev1Char">
    <w:name w:val="enumlev1 Char"/>
    <w:basedOn w:val="DefaultParagraphFont"/>
    <w:link w:val="enumlev1"/>
    <w:rsid w:val="00E77D08"/>
    <w:rPr>
      <w:rFonts w:eastAsia="Times New Roman"/>
      <w:sz w:val="24"/>
      <w:lang w:val="es-ES_tradnl" w:eastAsia="en-US"/>
    </w:rPr>
  </w:style>
  <w:style w:type="paragraph" w:customStyle="1" w:styleId="enumlev2">
    <w:name w:val="enumlev2"/>
    <w:basedOn w:val="enumlev1"/>
    <w:rsid w:val="00E77D08"/>
    <w:pPr>
      <w:ind w:left="1191" w:hanging="397"/>
    </w:pPr>
  </w:style>
  <w:style w:type="paragraph" w:customStyle="1" w:styleId="AnnexNo">
    <w:name w:val="Annex_No"/>
    <w:basedOn w:val="Normal"/>
    <w:next w:val="Normal"/>
    <w:rsid w:val="00E77D0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styleId="NormalWeb">
    <w:name w:val="Normal (Web)"/>
    <w:basedOn w:val="Normal"/>
    <w:uiPriority w:val="99"/>
    <w:unhideWhenUsed/>
    <w:rsid w:val="00E77D08"/>
    <w:pPr>
      <w:spacing w:before="100" w:beforeAutospacing="1" w:after="100" w:afterAutospacing="1"/>
      <w:jc w:val="left"/>
    </w:pPr>
    <w:rPr>
      <w:rFonts w:ascii="Times New Roman" w:eastAsia="Times New Roman" w:hAnsi="Times New Roman"/>
      <w:sz w:val="24"/>
      <w:szCs w:val="24"/>
      <w:lang w:val="en-US" w:eastAsia="zh-CN"/>
    </w:rPr>
  </w:style>
  <w:style w:type="paragraph" w:styleId="Date">
    <w:name w:val="Date"/>
    <w:basedOn w:val="Normal"/>
    <w:next w:val="Normal"/>
    <w:link w:val="DateChar"/>
    <w:uiPriority w:val="99"/>
    <w:unhideWhenUsed/>
    <w:rsid w:val="00E77D08"/>
    <w:pPr>
      <w:spacing w:after="120"/>
      <w:jc w:val="left"/>
    </w:pPr>
    <w:rPr>
      <w:rFonts w:ascii="Verdana" w:eastAsia="SimHei" w:hAnsi="Verdana" w:cs="Simplified Arabic"/>
      <w:bCs/>
      <w:sz w:val="19"/>
      <w:szCs w:val="28"/>
      <w:lang w:eastAsia="zh-CN"/>
    </w:rPr>
  </w:style>
  <w:style w:type="character" w:customStyle="1" w:styleId="DateChar">
    <w:name w:val="Date Char"/>
    <w:basedOn w:val="DefaultParagraphFont"/>
    <w:link w:val="Date"/>
    <w:uiPriority w:val="99"/>
    <w:rsid w:val="00E77D08"/>
    <w:rPr>
      <w:rFonts w:ascii="Verdana" w:eastAsia="SimHei" w:hAnsi="Verdana" w:cs="Simplified Arabic"/>
      <w:bCs/>
      <w:sz w:val="19"/>
      <w:szCs w:val="28"/>
      <w:lang w:val="fr-FR"/>
    </w:rPr>
  </w:style>
  <w:style w:type="paragraph" w:customStyle="1" w:styleId="jfk-button">
    <w:name w:val="jfk-button"/>
    <w:basedOn w:val="Normal"/>
    <w:rsid w:val="00E77D0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E77D0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E77D0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E77D0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E77D0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E77D0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E77D0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E77D0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E77D0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E77D0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E77D0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E77D0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E77D0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E77D0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E77D0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E77D0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E77D0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E77D0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E77D0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E77D0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E77D0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E77D0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E77D0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E77D0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E77D0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E77D0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E77D0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E77D0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E77D0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E77D0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E77D0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E77D0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E77D0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E77D0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E77D0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E77D0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E77D0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E77D0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E77D0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E77D0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E77D0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E77D0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E77D0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E77D0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E77D0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E77D0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E77D08"/>
    <w:rPr>
      <w:rFonts w:ascii="Trebuchet MS" w:hAnsi="Trebuchet MS"/>
      <w:noProof w:val="0"/>
      <w:lang w:val="en-GB"/>
    </w:rPr>
  </w:style>
  <w:style w:type="paragraph" w:customStyle="1" w:styleId="jfk-button-img1">
    <w:name w:val="jfk-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E77D0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E77D0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E77D0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E77D0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E77D0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E77D0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E77D0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E77D0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E77D0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E77D0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E77D0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E77D0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E77D0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E77D08"/>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E77D08"/>
    <w:rPr>
      <w:rFonts w:ascii="Trebuchet MS" w:hAnsi="Trebuchet MS"/>
      <w:noProof w:val="0"/>
      <w:lang w:val="en-GB"/>
    </w:rPr>
  </w:style>
  <w:style w:type="character" w:customStyle="1" w:styleId="goog-gtc-translatable">
    <w:name w:val="goog-gtc-translatable"/>
    <w:rsid w:val="00E77D08"/>
    <w:rPr>
      <w:rFonts w:ascii="Trebuchet MS" w:hAnsi="Trebuchet MS"/>
      <w:noProof w:val="0"/>
      <w:lang w:val="en-GB"/>
    </w:rPr>
  </w:style>
  <w:style w:type="paragraph" w:customStyle="1" w:styleId="headingb1">
    <w:name w:val="heading_b"/>
    <w:basedOn w:val="Heading3"/>
    <w:next w:val="Normal"/>
    <w:rsid w:val="00E77D0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E77D08"/>
    <w:rPr>
      <w:rFonts w:ascii="Times New Roman" w:hAnsi="Times New Roman"/>
      <w:bCs/>
      <w:noProof w:val="0"/>
      <w:sz w:val="24"/>
      <w:szCs w:val="24"/>
      <w:lang w:val="en-GB"/>
    </w:rPr>
  </w:style>
  <w:style w:type="paragraph" w:styleId="CommentText">
    <w:name w:val="annotation text"/>
    <w:basedOn w:val="Normal"/>
    <w:link w:val="CommentTextChar"/>
    <w:rsid w:val="00E77D0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E77D08"/>
    <w:rPr>
      <w:rFonts w:ascii="Verdana" w:eastAsia="SimHei" w:hAnsi="Verdana" w:cs="Simplified Arabic"/>
      <w:bCs/>
    </w:rPr>
  </w:style>
  <w:style w:type="paragraph" w:styleId="ListNumber2">
    <w:name w:val="List Number 2"/>
    <w:basedOn w:val="Normal"/>
    <w:rsid w:val="00E77D08"/>
    <w:pPr>
      <w:numPr>
        <w:numId w:val="13"/>
      </w:numPr>
      <w:spacing w:before="0"/>
      <w:jc w:val="left"/>
    </w:pPr>
    <w:rPr>
      <w:rFonts w:ascii="Times New Roman" w:eastAsia="Times New Roman" w:hAnsi="Times New Roman"/>
      <w:sz w:val="24"/>
      <w:szCs w:val="20"/>
      <w:lang w:val="en-US" w:eastAsia="en-US"/>
    </w:rPr>
  </w:style>
  <w:style w:type="paragraph" w:styleId="DocumentMap">
    <w:name w:val="Document Map"/>
    <w:basedOn w:val="Normal"/>
    <w:link w:val="DocumentMapChar"/>
    <w:unhideWhenUsed/>
    <w:rsid w:val="00E77D0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E77D0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E77D0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E77D0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customStyle="1" w:styleId="TOC00">
    <w:name w:val="TOC 0"/>
    <w:basedOn w:val="CEONormal"/>
    <w:rsid w:val="00E77D08"/>
    <w:rPr>
      <w:lang w:val="es-ES_tradnl"/>
    </w:rPr>
  </w:style>
  <w:style w:type="paragraph" w:customStyle="1" w:styleId="toc01">
    <w:name w:val="toc 0"/>
    <w:basedOn w:val="Normal"/>
    <w:next w:val="TOC1"/>
    <w:rsid w:val="00E77D08"/>
    <w:pPr>
      <w:tabs>
        <w:tab w:val="right" w:pos="9639"/>
      </w:tabs>
      <w:spacing w:after="120"/>
      <w:jc w:val="left"/>
    </w:pPr>
    <w:rPr>
      <w:rFonts w:ascii="Verdana" w:eastAsia="SimHei" w:hAnsi="Verdana" w:cs="Simplified Arabic"/>
      <w:b/>
      <w:bCs/>
      <w:sz w:val="19"/>
      <w:szCs w:val="28"/>
      <w:lang w:eastAsia="zh-CN"/>
    </w:rPr>
  </w:style>
  <w:style w:type="paragraph" w:styleId="Caption">
    <w:name w:val="caption"/>
    <w:basedOn w:val="Normal"/>
    <w:next w:val="Normal"/>
    <w:uiPriority w:val="35"/>
    <w:unhideWhenUsed/>
    <w:qFormat/>
    <w:rsid w:val="00E77D08"/>
    <w:pPr>
      <w:spacing w:before="0" w:after="200"/>
      <w:jc w:val="left"/>
    </w:pPr>
    <w:rPr>
      <w:rFonts w:ascii="Verdana" w:eastAsia="SimHei" w:hAnsi="Verdana" w:cs="Simplified Arabic"/>
      <w:b/>
      <w:color w:val="4F81BD" w:themeColor="accent1"/>
      <w:sz w:val="18"/>
      <w:szCs w:val="18"/>
      <w:lang w:val="en-US" w:eastAsia="zh-CN"/>
    </w:rPr>
  </w:style>
  <w:style w:type="character" w:styleId="CommentReference">
    <w:name w:val="annotation reference"/>
    <w:basedOn w:val="DefaultParagraphFont"/>
    <w:uiPriority w:val="99"/>
    <w:rsid w:val="00E77D08"/>
    <w:rPr>
      <w:rFonts w:cs="Times New Roman"/>
      <w:sz w:val="16"/>
      <w:szCs w:val="16"/>
    </w:rPr>
  </w:style>
  <w:style w:type="paragraph" w:styleId="TableofFigures">
    <w:name w:val="table of figures"/>
    <w:basedOn w:val="Normal"/>
    <w:next w:val="Normal"/>
    <w:uiPriority w:val="99"/>
    <w:unhideWhenUsed/>
    <w:rsid w:val="00E77D08"/>
    <w:pPr>
      <w:jc w:val="left"/>
    </w:pPr>
    <w:rPr>
      <w:rFonts w:ascii="Verdana" w:eastAsia="SimHei" w:hAnsi="Verdana" w:cs="Simplified Arabic"/>
      <w:bCs/>
      <w:sz w:val="19"/>
      <w:szCs w:val="28"/>
      <w:lang w:val="en-US" w:eastAsia="zh-CN"/>
    </w:rPr>
  </w:style>
  <w:style w:type="paragraph" w:customStyle="1" w:styleId="a">
    <w:name w:val="(文字) (文字)"/>
    <w:basedOn w:val="Normal"/>
    <w:rsid w:val="00013F68"/>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AnnexNotitle">
    <w:name w:val="Annex_No &amp; 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sz w:val="28"/>
      <w:szCs w:val="20"/>
      <w:lang w:val="en-GB" w:eastAsia="en-US"/>
    </w:rPr>
  </w:style>
  <w:style w:type="character" w:styleId="Strong">
    <w:name w:val="Strong"/>
    <w:basedOn w:val="DefaultParagraphFont"/>
    <w:uiPriority w:val="22"/>
    <w:qFormat/>
    <w:rsid w:val="00013F68"/>
    <w:rPr>
      <w:b/>
      <w:bCs/>
    </w:rPr>
  </w:style>
  <w:style w:type="paragraph" w:customStyle="1" w:styleId="ms-rteelement-p">
    <w:name w:val="ms-rteelement-p"/>
    <w:basedOn w:val="Normal"/>
    <w:rsid w:val="00013F68"/>
    <w:pPr>
      <w:spacing w:before="100" w:after="100" w:line="240" w:lineRule="atLeast"/>
      <w:jc w:val="left"/>
    </w:pPr>
    <w:rPr>
      <w:rFonts w:ascii="Verdana" w:eastAsia="Times New Roman" w:hAnsi="Verdana"/>
      <w:color w:val="576170"/>
      <w:sz w:val="18"/>
      <w:szCs w:val="18"/>
      <w:lang w:val="en-US" w:eastAsia="en-US"/>
    </w:rPr>
  </w:style>
  <w:style w:type="paragraph" w:customStyle="1" w:styleId="Headingi">
    <w:name w:val="Heading_i"/>
    <w:basedOn w:val="Normal"/>
    <w:next w:val="Normal"/>
    <w:rsid w:val="00013F68"/>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Times New Roman" w:eastAsia="Times New Roman" w:hAnsi="Times New Roman"/>
      <w:i/>
      <w:sz w:val="24"/>
      <w:szCs w:val="20"/>
      <w:lang w:val="en-GB" w:eastAsia="en-US"/>
    </w:rPr>
  </w:style>
  <w:style w:type="paragraph" w:customStyle="1" w:styleId="Figurewithouttitle">
    <w:name w:val="Figure_without_title"/>
    <w:basedOn w:val="Normal"/>
    <w:next w:val="Normal"/>
    <w:rsid w:val="00013F6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sz w:val="24"/>
      <w:szCs w:val="20"/>
      <w:lang w:val="en-GB" w:eastAsia="en-US"/>
    </w:rPr>
  </w:style>
  <w:style w:type="paragraph" w:customStyle="1" w:styleId="SectionNo">
    <w:name w:val="Section_No"/>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Times New Roman" w:hAnsi="Times New Roman"/>
      <w:caps/>
      <w:sz w:val="28"/>
      <w:szCs w:val="20"/>
      <w:lang w:val="en-GB" w:eastAsia="en-US"/>
    </w:rPr>
  </w:style>
  <w:style w:type="paragraph" w:customStyle="1" w:styleId="Sectiontitle">
    <w:name w:val="Section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Times New Roman" w:hAnsi="Times New Roman"/>
      <w:b/>
      <w:sz w:val="28"/>
      <w:szCs w:val="20"/>
      <w:lang w:val="en-GB" w:eastAsia="en-US"/>
    </w:rPr>
  </w:style>
  <w:style w:type="paragraph" w:customStyle="1" w:styleId="ChapNo">
    <w:name w:val="Chap_No"/>
    <w:basedOn w:val="Normal"/>
    <w:next w:val="Chaptitle"/>
    <w:rsid w:val="00013F6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Times New Roman" w:hAnsi="Times New Roman"/>
      <w:b/>
      <w:caps/>
      <w:sz w:val="28"/>
      <w:szCs w:val="20"/>
      <w:lang w:val="en-GB" w:eastAsia="en-US"/>
    </w:rPr>
  </w:style>
  <w:style w:type="paragraph" w:customStyle="1" w:styleId="Chaptitle">
    <w:name w:val="Chap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val="en-GB" w:eastAsia="en-US"/>
    </w:rPr>
  </w:style>
  <w:style w:type="paragraph" w:customStyle="1" w:styleId="Parttitle0">
    <w:name w:val="Part_title"/>
    <w:basedOn w:val="Normal"/>
    <w:next w:val="Normal"/>
    <w:rsid w:val="00013F68"/>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Times New Roman" w:hAnsi="Times New Roman"/>
      <w:b/>
      <w:sz w:val="28"/>
      <w:szCs w:val="20"/>
      <w:lang w:val="en-GB" w:eastAsia="en-US"/>
    </w:rPr>
  </w:style>
  <w:style w:type="paragraph" w:customStyle="1" w:styleId="Normalaftertitle0">
    <w:name w:val="Normal after title"/>
    <w:basedOn w:val="Normal"/>
    <w:rsid w:val="00013F68"/>
    <w:pPr>
      <w:tabs>
        <w:tab w:val="left" w:pos="794"/>
        <w:tab w:val="left" w:pos="1191"/>
        <w:tab w:val="left" w:pos="1588"/>
        <w:tab w:val="left" w:pos="1985"/>
      </w:tabs>
      <w:overflowPunct w:val="0"/>
      <w:autoSpaceDE w:val="0"/>
      <w:autoSpaceDN w:val="0"/>
      <w:adjustRightInd w:val="0"/>
      <w:spacing w:before="480"/>
      <w:textAlignment w:val="baseline"/>
    </w:pPr>
    <w:rPr>
      <w:rFonts w:ascii="Times New Roman" w:eastAsia="Times New Roman" w:hAnsi="Times New Roman"/>
      <w:sz w:val="22"/>
      <w:szCs w:val="20"/>
      <w:lang w:val="en-GB" w:eastAsia="en-US"/>
    </w:rPr>
  </w:style>
  <w:style w:type="paragraph" w:customStyle="1" w:styleId="MOS-Normal">
    <w:name w:val="MOS-Normal"/>
    <w:link w:val="MOS-NormalChar"/>
    <w:rsid w:val="00013F68"/>
    <w:pPr>
      <w:spacing w:before="120" w:after="120"/>
    </w:pPr>
    <w:rPr>
      <w:rFonts w:ascii="Verdana" w:hAnsi="Verdana" w:cs="Traditional Arabic"/>
      <w:sz w:val="18"/>
      <w:szCs w:val="28"/>
      <w:lang w:val="en-GB" w:eastAsia="en-US"/>
    </w:rPr>
  </w:style>
  <w:style w:type="character" w:customStyle="1" w:styleId="MOS-NormalChar">
    <w:name w:val="MOS-Normal Char"/>
    <w:basedOn w:val="DefaultParagraphFont"/>
    <w:link w:val="MOS-Normal"/>
    <w:rsid w:val="00013F68"/>
    <w:rPr>
      <w:rFonts w:ascii="Verdana" w:hAnsi="Verdana" w:cs="Traditional Arabic"/>
      <w:sz w:val="18"/>
      <w:szCs w:val="28"/>
      <w:lang w:val="en-GB" w:eastAsia="en-US"/>
    </w:rPr>
  </w:style>
  <w:style w:type="character" w:customStyle="1" w:styleId="ms-rtethemefontface-11">
    <w:name w:val="ms-rtethemefontface-11"/>
    <w:basedOn w:val="DefaultParagraphFont"/>
    <w:rsid w:val="00013F68"/>
    <w:rPr>
      <w:rFonts w:ascii="Verdana" w:hAnsi="Verdana" w:hint="default"/>
    </w:rPr>
  </w:style>
  <w:style w:type="character" w:customStyle="1" w:styleId="observation">
    <w:name w:val="observation"/>
    <w:basedOn w:val="DefaultParagraphFont"/>
    <w:rsid w:val="00013F68"/>
  </w:style>
  <w:style w:type="paragraph" w:styleId="Index1">
    <w:name w:val="index 1"/>
    <w:basedOn w:val="Normal"/>
    <w:next w:val="Normal"/>
    <w:rsid w:val="00013F68"/>
    <w:pPr>
      <w:tabs>
        <w:tab w:val="left" w:pos="1134"/>
        <w:tab w:val="left" w:pos="1871"/>
        <w:tab w:val="left" w:pos="2268"/>
      </w:tabs>
      <w:overflowPunct w:val="0"/>
      <w:autoSpaceDE w:val="0"/>
      <w:autoSpaceDN w:val="0"/>
      <w:adjustRightInd w:val="0"/>
      <w:jc w:val="left"/>
      <w:textAlignment w:val="baseline"/>
    </w:pPr>
    <w:rPr>
      <w:rFonts w:ascii="Times New Roman" w:eastAsia="Times New Roman" w:hAnsi="Times New Roman"/>
      <w:sz w:val="24"/>
      <w:szCs w:val="20"/>
      <w:lang w:val="en-GB" w:eastAsia="en-US"/>
    </w:rPr>
  </w:style>
  <w:style w:type="character" w:customStyle="1" w:styleId="hps">
    <w:name w:val="hps"/>
    <w:basedOn w:val="DefaultParagraphFont"/>
    <w:rsid w:val="00013F68"/>
  </w:style>
  <w:style w:type="character" w:customStyle="1" w:styleId="atn">
    <w:name w:val="atn"/>
    <w:basedOn w:val="DefaultParagraphFont"/>
    <w:rsid w:val="00013F68"/>
  </w:style>
  <w:style w:type="character" w:customStyle="1" w:styleId="longtext">
    <w:name w:val="long_text"/>
    <w:basedOn w:val="DefaultParagraphFont"/>
    <w:rsid w:val="00013F68"/>
  </w:style>
  <w:style w:type="character" w:customStyle="1" w:styleId="producttitle">
    <w:name w:val="producttitle"/>
    <w:basedOn w:val="DefaultParagraphFont"/>
    <w:rsid w:val="00013F68"/>
  </w:style>
  <w:style w:type="paragraph" w:styleId="ListBullet">
    <w:name w:val="List Bullet"/>
    <w:basedOn w:val="Normal"/>
    <w:autoRedefine/>
    <w:rsid w:val="00013F68"/>
    <w:pPr>
      <w:numPr>
        <w:numId w:val="30"/>
      </w:numPr>
      <w:spacing w:before="0"/>
      <w:jc w:val="left"/>
    </w:pPr>
    <w:rPr>
      <w:rFonts w:ascii="Times New Roman" w:eastAsia="Times New Roman" w:hAnsi="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studygroups/2013-2016/13/sg13rgafr/Pages/default.aspx" TargetMode="External"/><Relationship Id="rId21" Type="http://schemas.openxmlformats.org/officeDocument/2006/relationships/hyperlink" Target="http://itu.int/ITU-R/index.asp?category=conferences&amp;rlink=seminars" TargetMode="External"/><Relationship Id="rId42" Type="http://schemas.openxmlformats.org/officeDocument/2006/relationships/image" Target="media/image5.png"/><Relationship Id="rId63" Type="http://schemas.openxmlformats.org/officeDocument/2006/relationships/hyperlink" Target="http://www.itu.int/en/ITU-T/studygroups/2013-2016/09/Pages/q7.aspx" TargetMode="External"/><Relationship Id="rId84" Type="http://schemas.openxmlformats.org/officeDocument/2006/relationships/hyperlink" Target="http://www.itu.int/en/ITU-T/studygroups/2013-2016/11/Pages/q6.aspx" TargetMode="External"/><Relationship Id="rId138" Type="http://schemas.openxmlformats.org/officeDocument/2006/relationships/hyperlink" Target="http://www.itu.int/pub/publications.aspx?lang=en&amp;parent=T-TUT-ASC-2010-GSTP" TargetMode="External"/><Relationship Id="rId159" Type="http://schemas.openxmlformats.org/officeDocument/2006/relationships/hyperlink" Target="http://www.itu.int/en/ITU-T/focusgroups/m2m/Pages/default.aspx" TargetMode="External"/><Relationship Id="rId170" Type="http://schemas.openxmlformats.org/officeDocument/2006/relationships/hyperlink" Target="http://www.itu.int/pub/publications.aspx?lang=en&amp;parent=T-HDB-LNG.3.2-1982" TargetMode="External"/><Relationship Id="rId191" Type="http://schemas.openxmlformats.org/officeDocument/2006/relationships/hyperlink" Target="http://www.itu.int/pub/T-FG/publications.aspx?lang=en&amp;parent=T-FG-CLOUD-2012-P7" TargetMode="External"/><Relationship Id="rId205" Type="http://schemas.openxmlformats.org/officeDocument/2006/relationships/footer" Target="footer6.xml"/><Relationship Id="rId226" Type="http://schemas.openxmlformats.org/officeDocument/2006/relationships/hyperlink" Target="http://www.itu.int/ITU-T/studygroups/com02/sg2-q4.html" TargetMode="External"/><Relationship Id="rId247" Type="http://schemas.openxmlformats.org/officeDocument/2006/relationships/hyperlink" Target="http://www.itu.int/en/ITU-T/studygroups/2013-2016/13/Pages/default.aspx" TargetMode="External"/><Relationship Id="rId107" Type="http://schemas.openxmlformats.org/officeDocument/2006/relationships/hyperlink" Target="http://www.itu.int/pub/publications.aspx?lang=en&amp;parent=T-TUT-OPAVQ-2004-FRT" TargetMode="External"/><Relationship Id="rId268" Type="http://schemas.openxmlformats.org/officeDocument/2006/relationships/header" Target="header10.xml"/><Relationship Id="rId11" Type="http://schemas.openxmlformats.org/officeDocument/2006/relationships/header" Target="header2.xml"/><Relationship Id="rId32" Type="http://schemas.openxmlformats.org/officeDocument/2006/relationships/hyperlink" Target="http://www.itu.int/ITU-R/go/rsg6/es" TargetMode="External"/><Relationship Id="rId53" Type="http://schemas.openxmlformats.org/officeDocument/2006/relationships/hyperlink" Target="http://www.itu.int/en/ITU-T/focusgroups/ssc/Pages/default.aspx" TargetMode="External"/><Relationship Id="rId74" Type="http://schemas.openxmlformats.org/officeDocument/2006/relationships/hyperlink" Target="http://www.itu.int/en/ITU-T/gsi/iot/Pages/default.aspx" TargetMode="External"/><Relationship Id="rId128" Type="http://schemas.openxmlformats.org/officeDocument/2006/relationships/image" Target="media/image12.png"/><Relationship Id="rId149" Type="http://schemas.openxmlformats.org/officeDocument/2006/relationships/hyperlink" Target="http://www.itu.int/pub/publications.aspx?lang=en&amp;parent=T-TUT-IPTV-2011-H701" TargetMode="External"/><Relationship Id="rId5" Type="http://schemas.openxmlformats.org/officeDocument/2006/relationships/settings" Target="settings.xml"/><Relationship Id="rId95" Type="http://schemas.openxmlformats.org/officeDocument/2006/relationships/hyperlink" Target="http://www.itu.int/en/ITU-T/focusgroups/m2m/Pages/default.aspx" TargetMode="External"/><Relationship Id="rId160" Type="http://schemas.openxmlformats.org/officeDocument/2006/relationships/hyperlink" Target="http://www.itu.int/en/ITU-T/gsi/iot/Pages/default.aspx" TargetMode="External"/><Relationship Id="rId181" Type="http://schemas.openxmlformats.org/officeDocument/2006/relationships/hyperlink" Target="http://www.itu.int/en/ITU-T/focusgroups/drnrr" TargetMode="External"/><Relationship Id="rId216" Type="http://schemas.openxmlformats.org/officeDocument/2006/relationships/hyperlink" Target="http://www.itu.int/en/ITU-T/studygroups/2013-2016/09/Pages/default.aspx" TargetMode="External"/><Relationship Id="rId237" Type="http://schemas.openxmlformats.org/officeDocument/2006/relationships/hyperlink" Target="http://www.itu.int/en/ITU-T/studygroups/2013-2016/16/Pages/default.aspx" TargetMode="External"/><Relationship Id="rId258" Type="http://schemas.openxmlformats.org/officeDocument/2006/relationships/hyperlink" Target="http://www.itu.int/en/ITU-T/studygroups/2013-2016/15/Pages/default.aspx" TargetMode="External"/><Relationship Id="rId22" Type="http://schemas.openxmlformats.org/officeDocument/2006/relationships/hyperlink" Target="http://www.itu.int/pub/R-REC" TargetMode="External"/><Relationship Id="rId43" Type="http://schemas.openxmlformats.org/officeDocument/2006/relationships/hyperlink" Target="http://www.itu.int/en/ITU-T/jca/ahf/Pages/default.aspx" TargetMode="External"/><Relationship Id="rId64" Type="http://schemas.openxmlformats.org/officeDocument/2006/relationships/hyperlink" Target="http://www.itu.int/en/ITU-T/studygroups/2013-2016/09/Pages/q8.aspx" TargetMode="External"/><Relationship Id="rId118" Type="http://schemas.openxmlformats.org/officeDocument/2006/relationships/hyperlink" Target="http://www.itu.int/en/ITU-T/focusgroups/smart/Pages/Default.aspx" TargetMode="External"/><Relationship Id="rId139" Type="http://schemas.openxmlformats.org/officeDocument/2006/relationships/hyperlink" Target="http://www.itu.int/pub/publications.aspx?lang=en&amp;parent=T-TUT-ASC-2009-GSTP" TargetMode="External"/><Relationship Id="rId85" Type="http://schemas.openxmlformats.org/officeDocument/2006/relationships/hyperlink" Target="http://www.itu.int/en/ITU-T/studygroups/2013-2016/11/Pages/q7.aspx" TargetMode="External"/><Relationship Id="rId150" Type="http://schemas.openxmlformats.org/officeDocument/2006/relationships/hyperlink" Target="http://www.itu.int/pub/publications.aspx?lang=en&amp;parent=T-TUT-IPTV-2011-H721" TargetMode="External"/><Relationship Id="rId171" Type="http://schemas.openxmlformats.org/officeDocument/2006/relationships/hyperlink" Target="http://www.itu.int/pub/publications.aspx?lang=en&amp;parent=T-HDB-LNG.4-2010" TargetMode="External"/><Relationship Id="rId192" Type="http://schemas.openxmlformats.org/officeDocument/2006/relationships/hyperlink" Target="http://www.itu.int/pub/T-FG/publications.aspx?lang=en&amp;parent=T-FG-DISTRACTION-2013-1" TargetMode="External"/><Relationship Id="rId206" Type="http://schemas.openxmlformats.org/officeDocument/2006/relationships/footer" Target="footer7.xml"/><Relationship Id="rId227" Type="http://schemas.openxmlformats.org/officeDocument/2006/relationships/hyperlink" Target="http://www.itu.int/ITU-T/jca/ahf" TargetMode="External"/><Relationship Id="rId248" Type="http://schemas.openxmlformats.org/officeDocument/2006/relationships/hyperlink" Target="http://www.itu.int/en/ITU-T/studygroups/2013-2016/13/Pages/q8.aspx" TargetMode="External"/><Relationship Id="rId269" Type="http://schemas.openxmlformats.org/officeDocument/2006/relationships/footer" Target="footer10.xml"/><Relationship Id="rId12" Type="http://schemas.openxmlformats.org/officeDocument/2006/relationships/footer" Target="footer1.xml"/><Relationship Id="rId33" Type="http://schemas.openxmlformats.org/officeDocument/2006/relationships/hyperlink" Target="http://www.itu.int/pub/R-QUE-SG06/en" TargetMode="External"/><Relationship Id="rId108" Type="http://schemas.openxmlformats.org/officeDocument/2006/relationships/hyperlink" Target="http://www.itu.int/pub/publications.aspx?lang=en&amp;parent=T-TUT-QOS-2013" TargetMode="External"/><Relationship Id="rId129" Type="http://schemas.openxmlformats.org/officeDocument/2006/relationships/hyperlink" Target="http://www.itu.int/pub/publications.aspx?lang=en&amp;parent=T-TUT-HOME-2010" TargetMode="External"/><Relationship Id="rId54" Type="http://schemas.openxmlformats.org/officeDocument/2006/relationships/hyperlink" Target="http://www.itu.int/en/ITU-T/focusgroups/swm/Pages/default.aspx" TargetMode="External"/><Relationship Id="rId75" Type="http://schemas.openxmlformats.org/officeDocument/2006/relationships/hyperlink" Target="http://www.itu.int/en/ITU-T/gsi/iptv/Pages/default.aspx" TargetMode="External"/><Relationship Id="rId96" Type="http://schemas.openxmlformats.org/officeDocument/2006/relationships/hyperlink" Target="http://www.itu.int/en/ITU-T/gsi/iot/Pages/default.aspx" TargetMode="External"/><Relationship Id="rId140" Type="http://schemas.openxmlformats.org/officeDocument/2006/relationships/hyperlink" Target="http://www.itu.int/pub/publications.aspx?lang=en&amp;parent=T-TUT-ASC-2012" TargetMode="External"/><Relationship Id="rId161" Type="http://schemas.openxmlformats.org/officeDocument/2006/relationships/hyperlink" Target="http://www.itu.int/en/ITU-T/gsi/iptv/Pages/default.aspx" TargetMode="External"/><Relationship Id="rId182" Type="http://schemas.openxmlformats.org/officeDocument/2006/relationships/hyperlink" Target="http://itu.int/en/ITU-T/focusgroups/m2m" TargetMode="External"/><Relationship Id="rId217" Type="http://schemas.openxmlformats.org/officeDocument/2006/relationships/hyperlink" Target="http://www.itu.int/en/ITU-T/studygroups/2013-2016/03/Pages/default.aspx" TargetMode="External"/><Relationship Id="rId6" Type="http://schemas.openxmlformats.org/officeDocument/2006/relationships/webSettings" Target="webSettings.xml"/><Relationship Id="rId238" Type="http://schemas.openxmlformats.org/officeDocument/2006/relationships/hyperlink" Target="http://www.itu.int/en/ITU-T/studygroups/2013-2016/09/Pages/default.aspx" TargetMode="External"/><Relationship Id="rId259" Type="http://schemas.openxmlformats.org/officeDocument/2006/relationships/hyperlink" Target="http://www.itu.int/en/ITU-T/studygroups/2013-2016/09/Pages/default.aspx" TargetMode="External"/><Relationship Id="rId23" Type="http://schemas.openxmlformats.org/officeDocument/2006/relationships/hyperlink" Target="http://www.itu.int/pub/R-REP" TargetMode="External"/><Relationship Id="rId119" Type="http://schemas.openxmlformats.org/officeDocument/2006/relationships/hyperlink" Target="http://www.itu.int/en/ITU-T/focusgroups/smartcable/Pages/default.aspx" TargetMode="External"/><Relationship Id="rId270" Type="http://schemas.openxmlformats.org/officeDocument/2006/relationships/footer" Target="footer11.xml"/><Relationship Id="rId44" Type="http://schemas.openxmlformats.org/officeDocument/2006/relationships/image" Target="media/image6.png"/><Relationship Id="rId60" Type="http://schemas.openxmlformats.org/officeDocument/2006/relationships/hyperlink" Target="http://www.itu.int/en/ITU-T/studygroups/2013-2016/09/Pages/q4.aspx" TargetMode="External"/><Relationship Id="rId65" Type="http://schemas.openxmlformats.org/officeDocument/2006/relationships/hyperlink" Target="http://www.itu.int/en/ITU-T/studygroups/2013-2016/09/Pages/q9.aspx" TargetMode="External"/><Relationship Id="rId81" Type="http://schemas.openxmlformats.org/officeDocument/2006/relationships/hyperlink" Target="http://www.itu.int/en/ITU-T/studygroups/2013-2016/11/Pages/q3.aspx" TargetMode="External"/><Relationship Id="rId86" Type="http://schemas.openxmlformats.org/officeDocument/2006/relationships/hyperlink" Target="http://www.itu.int/en/ITU-T/studygroups/2013-2016/11/Pages/q8.aspx" TargetMode="External"/><Relationship Id="rId130" Type="http://schemas.openxmlformats.org/officeDocument/2006/relationships/hyperlink" Target="http://www.itu.int/pub/publications.aspx?lang=en&amp;parent=T-TUT-HOME-2011" TargetMode="External"/><Relationship Id="rId135" Type="http://schemas.openxmlformats.org/officeDocument/2006/relationships/hyperlink" Target="http://www.itu.int/rec/T-REC-T" TargetMode="External"/><Relationship Id="rId151" Type="http://schemas.openxmlformats.org/officeDocument/2006/relationships/hyperlink" Target="http://www.itu.int/pub/publications.aspx?lang=en&amp;parent=T-TUT-IPTV-2012-H761" TargetMode="External"/><Relationship Id="rId156" Type="http://schemas.openxmlformats.org/officeDocument/2006/relationships/hyperlink" Target="http://www.itu.int/pub/publications.aspx?lang=en&amp;parent=T-TUT-FSTP-2006-TACL" TargetMode="External"/><Relationship Id="rId177" Type="http://schemas.openxmlformats.org/officeDocument/2006/relationships/hyperlink" Target="http://itu.int/en/ITU-T/focusgroups/Pages/concluded.aspx" TargetMode="External"/><Relationship Id="rId198" Type="http://schemas.openxmlformats.org/officeDocument/2006/relationships/hyperlink" Target="http://www.itu.int/pub/T-FG/publications.aspx?lang=en&amp;parent=T-FG-FSVDSLTS-2002-P2" TargetMode="External"/><Relationship Id="rId172" Type="http://schemas.openxmlformats.org/officeDocument/2006/relationships/hyperlink" Target="http://www.itu.int/pub/publications.aspx?lang=en&amp;parent=T-HDB-SEC.05-2011" TargetMode="External"/><Relationship Id="rId193" Type="http://schemas.openxmlformats.org/officeDocument/2006/relationships/hyperlink" Target="http://www.itu.int/pub/T-FG/publications.aspx?lang=en&amp;parent=T-FG-DISTRACTION-2013-2" TargetMode="External"/><Relationship Id="rId202" Type="http://schemas.openxmlformats.org/officeDocument/2006/relationships/hyperlink" Target="http://www.itu.int/pub/T-FG/publications.aspx?lang=en&amp;parent=T-FG-IPTV-2008-1" TargetMode="External"/><Relationship Id="rId207" Type="http://schemas.openxmlformats.org/officeDocument/2006/relationships/header" Target="header7.xml"/><Relationship Id="rId223" Type="http://schemas.openxmlformats.org/officeDocument/2006/relationships/hyperlink" Target="http://www.itu.int/en/ITU-T/studygroups/2013-2016/16/Pages/default.aspx" TargetMode="External"/><Relationship Id="rId228" Type="http://schemas.openxmlformats.org/officeDocument/2006/relationships/hyperlink" Target="http://www.itu.int/en/ITU-T/studygroups/2013-2016/17/Pages/default.aspx" TargetMode="External"/><Relationship Id="rId244" Type="http://schemas.openxmlformats.org/officeDocument/2006/relationships/hyperlink" Target="http://www.itu.int/en/ITU-T/studygroups/2013-2016/17/Pages/q9.aspx" TargetMode="External"/><Relationship Id="rId249" Type="http://schemas.openxmlformats.org/officeDocument/2006/relationships/hyperlink" Target="http://www.itu.int/ITU-R/index.asp?category=study-groups&amp;rlink=rsg4&amp;lang=en"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pub/T-RES-T.82-2012" TargetMode="External"/><Relationship Id="rId109" Type="http://schemas.openxmlformats.org/officeDocument/2006/relationships/hyperlink" Target="http://www.itu.int/en/ITU-T/studygroups/2009-2012/Pages/12/QSDG.aspx" TargetMode="External"/><Relationship Id="rId260" Type="http://schemas.openxmlformats.org/officeDocument/2006/relationships/hyperlink" Target="http://www.itu.int/en/ITU-T/studygroups/2013-2016/03/Pages/default.aspx" TargetMode="External"/><Relationship Id="rId265" Type="http://schemas.openxmlformats.org/officeDocument/2006/relationships/hyperlink" Target="http://www.itu.int/en/ITU-T/studygroups/2013-2016/12/Pages/q17.aspx" TargetMode="External"/><Relationship Id="rId34" Type="http://schemas.openxmlformats.org/officeDocument/2006/relationships/hyperlink" Target="http://www.itu.int/ITU-R/go/rsg7/es" TargetMode="External"/><Relationship Id="rId50" Type="http://schemas.openxmlformats.org/officeDocument/2006/relationships/hyperlink" Target="http://www.itu.int/en/ITU-T/studygroups/2013-2016/05/sg5rgarb/Pages/default.aspx" TargetMode="External"/><Relationship Id="rId55" Type="http://schemas.openxmlformats.org/officeDocument/2006/relationships/hyperlink" Target="http://www.itu.int/en/ITU-T/jca/ictcc/Pages/default.aspx" TargetMode="External"/><Relationship Id="rId76" Type="http://schemas.openxmlformats.org/officeDocument/2006/relationships/hyperlink" Target="http://www.itu.int/en/ITU-T/jca/iptv/Pages/default.aspx" TargetMode="External"/><Relationship Id="rId97" Type="http://schemas.openxmlformats.org/officeDocument/2006/relationships/hyperlink" Target="http://www.itu.int/en/ITU-T/gsi/iptv/Pages/default.aspx" TargetMode="External"/><Relationship Id="rId104" Type="http://schemas.openxmlformats.org/officeDocument/2006/relationships/hyperlink" Target="http://www.itu.int/en/ITU-T/jca/idm/Pages/default.aspx" TargetMode="External"/><Relationship Id="rId120" Type="http://schemas.openxmlformats.org/officeDocument/2006/relationships/hyperlink" Target="http://www.itu.int/en/ITU-T/focusgroups/innovation/Pages/default.aspx" TargetMode="External"/><Relationship Id="rId125" Type="http://schemas.openxmlformats.org/officeDocument/2006/relationships/hyperlink" Target="http://www.itu.int/en/ITU-T/jca/idm/Pages/default.aspx" TargetMode="External"/><Relationship Id="rId141" Type="http://schemas.openxmlformats.org/officeDocument/2006/relationships/hyperlink" Target="http://www.itu.int/pub/publications.aspx?lang=en&amp;parent=T-TUT-ASC-2010" TargetMode="External"/><Relationship Id="rId146" Type="http://schemas.openxmlformats.org/officeDocument/2006/relationships/hyperlink" Target="http://www.itu.int/pub/publications.aspx?lang=en&amp;parent=T-TUT-H323-2005-UHPS" TargetMode="External"/><Relationship Id="rId167" Type="http://schemas.openxmlformats.org/officeDocument/2006/relationships/hyperlink" Target="http://www.itu.int/pub/publications.aspx?lang=en&amp;parent=T-HDB-LNG.1-1993" TargetMode="External"/><Relationship Id="rId188" Type="http://schemas.openxmlformats.org/officeDocument/2006/relationships/hyperlink" Target="http://www.itu.int/pub/T-FG/publications.aspx?lang=en&amp;parent=T-FG-CLOUD-2012-P4" TargetMode="External"/><Relationship Id="rId7" Type="http://schemas.openxmlformats.org/officeDocument/2006/relationships/footnotes" Target="footnotes.xml"/><Relationship Id="rId71" Type="http://schemas.openxmlformats.org/officeDocument/2006/relationships/hyperlink" Target="http://www.itu.int/en/ITU-T/focusgroups/m2m/Pages/default.aspx" TargetMode="External"/><Relationship Id="rId92" Type="http://schemas.openxmlformats.org/officeDocument/2006/relationships/hyperlink" Target="http://www.itu.int/en/ITU-T/studygroups/2013-2016/11/Pages/q14.aspx" TargetMode="External"/><Relationship Id="rId162" Type="http://schemas.openxmlformats.org/officeDocument/2006/relationships/hyperlink" Target="http://www.itu.int/en/ITU-T/jca/Cloud/Pages/default.aspx" TargetMode="External"/><Relationship Id="rId183" Type="http://schemas.openxmlformats.org/officeDocument/2006/relationships/hyperlink" Target="http://itu.int/en/ITU-T/focusgroups/ava" TargetMode="External"/><Relationship Id="rId213" Type="http://schemas.openxmlformats.org/officeDocument/2006/relationships/hyperlink" Target="http://www.itu.int/en/ITU-R/study-groups/rsg5/Pages/default.aspx" TargetMode="External"/><Relationship Id="rId218" Type="http://schemas.openxmlformats.org/officeDocument/2006/relationships/hyperlink" Target="http://www.itu.int/en/ITU-R/study-groups/rsg1/Pages/default.aspx" TargetMode="External"/><Relationship Id="rId234" Type="http://schemas.openxmlformats.org/officeDocument/2006/relationships/hyperlink" Target="http://www.itu.int/ITU-R/index.asp?category=study-groups&amp;rlink=rsg4&amp;lang=en" TargetMode="External"/><Relationship Id="rId239" Type="http://schemas.openxmlformats.org/officeDocument/2006/relationships/hyperlink" Target="http://www.itu.int/en/ITU-T/studygroups/2013-2016/16/Pages/default.aspx" TargetMode="External"/><Relationship Id="rId2" Type="http://schemas.openxmlformats.org/officeDocument/2006/relationships/numbering" Target="numbering.xml"/><Relationship Id="rId29" Type="http://schemas.openxmlformats.org/officeDocument/2006/relationships/hyperlink" Target="http://www.itu.int/pub/R-QUE-SG04/" TargetMode="External"/><Relationship Id="rId250" Type="http://schemas.openxmlformats.org/officeDocument/2006/relationships/hyperlink" Target="http://www.itu.int/ITU-R/index.asp?category=study-groups&amp;rlink=rsg7&amp;lang=en" TargetMode="External"/><Relationship Id="rId255" Type="http://schemas.openxmlformats.org/officeDocument/2006/relationships/hyperlink" Target="http://www.itu.int/ITU-R/index.asp?category=study-groups&amp;rlink=rsg4&amp;lang=en" TargetMode="External"/><Relationship Id="rId271" Type="http://schemas.openxmlformats.org/officeDocument/2006/relationships/fontTable" Target="fontTable.xml"/><Relationship Id="rId24" Type="http://schemas.openxmlformats.org/officeDocument/2006/relationships/hyperlink" Target="http://www.itu.int/pub/R-HDB" TargetMode="External"/><Relationship Id="rId40" Type="http://schemas.openxmlformats.org/officeDocument/2006/relationships/hyperlink" Target="http://itu.int/en/ITU-T/Workshops-and-Seminars" TargetMode="External"/><Relationship Id="rId45" Type="http://schemas.openxmlformats.org/officeDocument/2006/relationships/hyperlink" Target="http://www.itu.int/ITU-T/othergroups/tas/index.asp" TargetMode="External"/><Relationship Id="rId66" Type="http://schemas.openxmlformats.org/officeDocument/2006/relationships/hyperlink" Target="http://www.itu.int/en/ITU-T/studygroups/2013-2016/09/Pages/q10.aspx" TargetMode="External"/><Relationship Id="rId87" Type="http://schemas.openxmlformats.org/officeDocument/2006/relationships/hyperlink" Target="http://www.itu.int/en/ITU-T/studygroups/2013-2016/11/Pages/q9.aspx" TargetMode="External"/><Relationship Id="rId110" Type="http://schemas.openxmlformats.org/officeDocument/2006/relationships/hyperlink" Target="http://www.itu.int/en/ITU-T/studygroups/2013-2016/12/sg12rgafr/Pages/default.aspx" TargetMode="External"/><Relationship Id="rId115" Type="http://schemas.openxmlformats.org/officeDocument/2006/relationships/image" Target="media/image11.png"/><Relationship Id="rId131" Type="http://schemas.openxmlformats.org/officeDocument/2006/relationships/hyperlink" Target="http://www.itu.int/pub/publications.aspx?lang=en&amp;parent=T-TUT-L-2008-GLR" TargetMode="External"/><Relationship Id="rId136" Type="http://schemas.openxmlformats.org/officeDocument/2006/relationships/hyperlink" Target="http://www.itu.int/rec/T-REC-V" TargetMode="External"/><Relationship Id="rId157" Type="http://schemas.openxmlformats.org/officeDocument/2006/relationships/hyperlink" Target="http://www.itu.int/en/ITU-T/focusgroups/ava/Pages/default.aspx" TargetMode="External"/><Relationship Id="rId178" Type="http://schemas.openxmlformats.org/officeDocument/2006/relationships/hyperlink" Target="http://itu.int/en/ITU-T/focusgroups/ssc" TargetMode="External"/><Relationship Id="rId61" Type="http://schemas.openxmlformats.org/officeDocument/2006/relationships/hyperlink" Target="http://www.itu.int/en/ITU-T/studygroups/2013-2016/09/Pages/q5.aspx" TargetMode="External"/><Relationship Id="rId82" Type="http://schemas.openxmlformats.org/officeDocument/2006/relationships/hyperlink" Target="http://www.itu.int/en/ITU-T/studygroups/2013-2016/11/Pages/q4.aspx" TargetMode="External"/><Relationship Id="rId152" Type="http://schemas.openxmlformats.org/officeDocument/2006/relationships/hyperlink" Target="http://www.itu.int/pub/publications.aspx?lang=en&amp;parent=T-TUT-IPTV-2011-H762B" TargetMode="External"/><Relationship Id="rId173" Type="http://schemas.openxmlformats.org/officeDocument/2006/relationships/hyperlink" Target="http://www.itu.int/pub/publications.aspx?lang=en&amp;parent=T-HDB-SEC.04-2009" TargetMode="External"/><Relationship Id="rId194" Type="http://schemas.openxmlformats.org/officeDocument/2006/relationships/hyperlink" Target="http://www.itu.int/pub/T-FG/publications.aspx?lang=en&amp;parent=T-FG-DISTRACTION-2013-3" TargetMode="External"/><Relationship Id="rId199" Type="http://schemas.openxmlformats.org/officeDocument/2006/relationships/hyperlink" Target="http://www.itu.int/pub/T-FG/publications.aspx?lang=en&amp;parent=T-FG-FSVDSLTS-2002-P3" TargetMode="External"/><Relationship Id="rId203" Type="http://schemas.openxmlformats.org/officeDocument/2006/relationships/hyperlink" Target="http://www.itu.int/pub/T-FG/publications.aspx?lang=en&amp;parent=T-FG-OCAF-2005-CGOERM" TargetMode="External"/><Relationship Id="rId208" Type="http://schemas.openxmlformats.org/officeDocument/2006/relationships/footer" Target="footer8.xml"/><Relationship Id="rId229" Type="http://schemas.openxmlformats.org/officeDocument/2006/relationships/hyperlink" Target="http://www.itu.int/ITU-R/index.asp?category=study-groups&amp;rlink=rsg1&amp;lang=en" TargetMode="External"/><Relationship Id="rId19" Type="http://schemas.openxmlformats.org/officeDocument/2006/relationships/footer" Target="footer5.xml"/><Relationship Id="rId224" Type="http://schemas.openxmlformats.org/officeDocument/2006/relationships/hyperlink" Target="http://www.itu.int/ITU-T/studygroups/com16/sg16-q26.html" TargetMode="External"/><Relationship Id="rId240" Type="http://schemas.openxmlformats.org/officeDocument/2006/relationships/hyperlink" Target="http://www.itu.int/en/ITU-T/studygroups/2013-2016/16/Pages/q28.aspx" TargetMode="External"/><Relationship Id="rId245" Type="http://schemas.openxmlformats.org/officeDocument/2006/relationships/hyperlink" Target="http://www.itu.int/en/ITU-T/focusgroups/m2m/Pages/default.aspx" TargetMode="External"/><Relationship Id="rId261" Type="http://schemas.openxmlformats.org/officeDocument/2006/relationships/hyperlink" Target="http://www.itu.int/en/ITU-T/studygroups/2013-2016/03/Pages/questions.aspx" TargetMode="External"/><Relationship Id="rId266" Type="http://schemas.openxmlformats.org/officeDocument/2006/relationships/hyperlink" Target="http://www.itu.int/en/ITU-T/studygroups/2013-2016/03/Pages/default.aspx" TargetMode="External"/><Relationship Id="rId14" Type="http://schemas.openxmlformats.org/officeDocument/2006/relationships/header" Target="header3.xml"/><Relationship Id="rId30" Type="http://schemas.openxmlformats.org/officeDocument/2006/relationships/hyperlink" Target="http://www.itu.int/ITU-R/go/rsg5/es" TargetMode="External"/><Relationship Id="rId35" Type="http://schemas.openxmlformats.org/officeDocument/2006/relationships/hyperlink" Target="http://www.itu.int/pub/R-QUE-SG07/en" TargetMode="External"/><Relationship Id="rId56" Type="http://schemas.openxmlformats.org/officeDocument/2006/relationships/image" Target="media/image8.png"/><Relationship Id="rId77" Type="http://schemas.openxmlformats.org/officeDocument/2006/relationships/hyperlink" Target="http://www.vqeg.org/" TargetMode="External"/><Relationship Id="rId100" Type="http://schemas.openxmlformats.org/officeDocument/2006/relationships/hyperlink" Target="http://www.itu.int/en/ITU-T/jca/iptv/Pages/default.aspx" TargetMode="External"/><Relationship Id="rId105" Type="http://schemas.openxmlformats.org/officeDocument/2006/relationships/hyperlink" Target="http://www.itu.int/en/ITU-T/jca/hn/Pages/default.aspx" TargetMode="External"/><Relationship Id="rId126" Type="http://schemas.openxmlformats.org/officeDocument/2006/relationships/hyperlink" Target="http://www.itu.int/en/ITU-T/gsi/iptv/Pages/default.aspx" TargetMode="External"/><Relationship Id="rId147" Type="http://schemas.openxmlformats.org/officeDocument/2006/relationships/hyperlink" Target="http://www.itu.int/pub/T-TUT-H323-2008-MMSM" TargetMode="External"/><Relationship Id="rId168" Type="http://schemas.openxmlformats.org/officeDocument/2006/relationships/hyperlink" Target="http://www.itu.int/pub/publications.aspx?lang=en&amp;parent=T-HDB-LNG.2-1986" TargetMode="External"/><Relationship Id="rId8" Type="http://schemas.openxmlformats.org/officeDocument/2006/relationships/endnotes" Target="endnotes.xml"/><Relationship Id="rId51" Type="http://schemas.openxmlformats.org/officeDocument/2006/relationships/hyperlink" Target="http://www.itu.int/en/ITU-T/studygroups/2013-2016/05/sg5rgamr/Pages/default.aspx" TargetMode="External"/><Relationship Id="rId72" Type="http://schemas.openxmlformats.org/officeDocument/2006/relationships/hyperlink" Target="http://www.itu.int/en/ITU-T/jca/SGHN/Pages/default.aspx" TargetMode="External"/><Relationship Id="rId93" Type="http://schemas.openxmlformats.org/officeDocument/2006/relationships/hyperlink" Target="http://www.itu.int/en/ITU-T/studygroups/2013-2016/11/Pages/q15.aspx" TargetMode="External"/><Relationship Id="rId98" Type="http://schemas.openxmlformats.org/officeDocument/2006/relationships/hyperlink" Target="http://www.itu.int/en/ITU-T/gsi/ngn/Pages/default.aspx" TargetMode="External"/><Relationship Id="rId121" Type="http://schemas.openxmlformats.org/officeDocument/2006/relationships/hyperlink" Target="http://www.itu.int/en/ITU-T/focusgroups/drnrr/Pages/default.aspx" TargetMode="External"/><Relationship Id="rId142" Type="http://schemas.openxmlformats.org/officeDocument/2006/relationships/hyperlink" Target="http://www.itu.int/pub/publications.aspx?lang=en&amp;parent=T-TUT-ASC-2011-G.711" TargetMode="External"/><Relationship Id="rId163" Type="http://schemas.openxmlformats.org/officeDocument/2006/relationships/hyperlink" Target="http://www.itu.int/en/ITU-T/jca/iot/Pages/default.aspx" TargetMode="External"/><Relationship Id="rId184" Type="http://schemas.openxmlformats.org/officeDocument/2006/relationships/hyperlink" Target="http://itu.int/en/ITU-T/focusgroups/swm" TargetMode="External"/><Relationship Id="rId189" Type="http://schemas.openxmlformats.org/officeDocument/2006/relationships/hyperlink" Target="http://www.itu.int/pub/T-FG/publications.aspx?lang=en&amp;parent=T-FG-CLOUD-2012-P5" TargetMode="External"/><Relationship Id="rId219" Type="http://schemas.openxmlformats.org/officeDocument/2006/relationships/hyperlink" Target="http://www.itu.int/en/ITU-T/studygroups/2013-2016/13/Pages/default.aspx" TargetMode="External"/><Relationship Id="rId3" Type="http://schemas.openxmlformats.org/officeDocument/2006/relationships/styles" Target="styles.xml"/><Relationship Id="rId214" Type="http://schemas.openxmlformats.org/officeDocument/2006/relationships/hyperlink" Target="http://www.itu.int/en/ITU-T/studygroups/2013-2016/13/Pages/default.aspx" TargetMode="External"/><Relationship Id="rId230" Type="http://schemas.openxmlformats.org/officeDocument/2006/relationships/hyperlink" Target="http://www.itu.int/ITU-R/index.asp?category=study-groups&amp;rlink=rwp1c&amp;lang=en" TargetMode="External"/><Relationship Id="rId235" Type="http://schemas.openxmlformats.org/officeDocument/2006/relationships/hyperlink" Target="http://www.itu.int/en/ITU-T/studygroups/2013-2016/16/Pages/default.aspx" TargetMode="External"/><Relationship Id="rId251" Type="http://schemas.openxmlformats.org/officeDocument/2006/relationships/hyperlink" Target="http://www.itu.int/en/ITU-T/studygroups/2013-2016/05/Pages/default.aspx" TargetMode="External"/><Relationship Id="rId256" Type="http://schemas.openxmlformats.org/officeDocument/2006/relationships/hyperlink" Target="http://www.itu.int/ITU-R/index.asp?category=study-groups&amp;rlink=rsg5&amp;lang=en" TargetMode="External"/><Relationship Id="rId25" Type="http://schemas.openxmlformats.org/officeDocument/2006/relationships/hyperlink" Target="http://www.itu.int/pub/R-QUE-SG01/en" TargetMode="External"/><Relationship Id="rId46" Type="http://schemas.openxmlformats.org/officeDocument/2006/relationships/hyperlink" Target="http://www.itu.int/ITU-T/othergroups/taf/index.asp" TargetMode="External"/><Relationship Id="rId67" Type="http://schemas.openxmlformats.org/officeDocument/2006/relationships/hyperlink" Target="http://www.itu.int/en/ITU-T/studygroups/2013-2016/09/Pages/q11.aspx" TargetMode="External"/><Relationship Id="rId116" Type="http://schemas.openxmlformats.org/officeDocument/2006/relationships/hyperlink" Target="http://www.itu.int/pub/T-TUT-NGN-2013" TargetMode="External"/><Relationship Id="rId137" Type="http://schemas.openxmlformats.org/officeDocument/2006/relationships/hyperlink" Target="http://www.itu.int/pub/publications.aspx?lang=en&amp;parent=T-TUT-AMS-2011-AMSR" TargetMode="External"/><Relationship Id="rId158" Type="http://schemas.openxmlformats.org/officeDocument/2006/relationships/hyperlink" Target="http://www.itu.int/en/ITU-T/focusgroups/drnrr/Pages/default.aspx" TargetMode="External"/><Relationship Id="rId272"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itu.int/en/ITU-T/techwatch" TargetMode="External"/><Relationship Id="rId62" Type="http://schemas.openxmlformats.org/officeDocument/2006/relationships/hyperlink" Target="http://www.itu.int/en/ITU-T/studygroups/2013-2016/09/Pages/q6.aspx" TargetMode="External"/><Relationship Id="rId83" Type="http://schemas.openxmlformats.org/officeDocument/2006/relationships/hyperlink" Target="http://www.itu.int/en/ITU-T/studygroups/2013-2016/11/Pages/q5.aspx" TargetMode="External"/><Relationship Id="rId88" Type="http://schemas.openxmlformats.org/officeDocument/2006/relationships/hyperlink" Target="http://www.itu.int/en/ITU-T/studygroups/2013-2016/11/Pages/q10.aspx" TargetMode="External"/><Relationship Id="rId111" Type="http://schemas.openxmlformats.org/officeDocument/2006/relationships/hyperlink" Target="http://www.itu.int/en/ITU-T/gsi/iptv/Pages/default.aspx" TargetMode="External"/><Relationship Id="rId132" Type="http://schemas.openxmlformats.org/officeDocument/2006/relationships/image" Target="media/image13.png"/><Relationship Id="rId153" Type="http://schemas.openxmlformats.org/officeDocument/2006/relationships/hyperlink" Target="http://www.itu.int/pub/publications.aspx?lang=en&amp;parent=T-TUT-IPTV-2010-H770" TargetMode="External"/><Relationship Id="rId174" Type="http://schemas.openxmlformats.org/officeDocument/2006/relationships/hyperlink" Target="http://www.itu.int/pub/publications.aspx?lang=en&amp;parent=T-HDB-SEC.03-2006" TargetMode="External"/><Relationship Id="rId179" Type="http://schemas.openxmlformats.org/officeDocument/2006/relationships/hyperlink" Target="http://itu.int/en/ITU-T/focusgroups/smartcable" TargetMode="External"/><Relationship Id="rId195" Type="http://schemas.openxmlformats.org/officeDocument/2006/relationships/hyperlink" Target="http://www.itu.int/pub/T-FG/publications.aspx?lang=en&amp;parent=T-FG-DISTRACTION-2013-4" TargetMode="External"/><Relationship Id="rId209" Type="http://schemas.openxmlformats.org/officeDocument/2006/relationships/header" Target="header8.xml"/><Relationship Id="rId190" Type="http://schemas.openxmlformats.org/officeDocument/2006/relationships/hyperlink" Target="http://www.itu.int/pub/T-FG/publications.aspx?lang=en&amp;parent=T-FG-CLOUD-2012-P6" TargetMode="External"/><Relationship Id="rId204" Type="http://schemas.openxmlformats.org/officeDocument/2006/relationships/header" Target="header6.xml"/><Relationship Id="rId220" Type="http://schemas.openxmlformats.org/officeDocument/2006/relationships/hyperlink" Target="http://www.itu.int/en/ITU-T/studygroups/2013-2016/16/Pages/default.aspx" TargetMode="External"/><Relationship Id="rId225" Type="http://schemas.openxmlformats.org/officeDocument/2006/relationships/hyperlink" Target="http://www.itu.int/en/ITU-T/studygroups/2013-2016/02/Pages/default.aspx" TargetMode="External"/><Relationship Id="rId241" Type="http://schemas.openxmlformats.org/officeDocument/2006/relationships/hyperlink" Target="http://www.itu.int/en/ITU-T/studygroups/2013-2016/13/Pages/default.aspx" TargetMode="External"/><Relationship Id="rId246" Type="http://schemas.openxmlformats.org/officeDocument/2006/relationships/hyperlink" Target="http://www.itu.int/en/ITU-T/studygroups/2013-2016/17/Pages/default.aspx" TargetMode="External"/><Relationship Id="rId267" Type="http://schemas.openxmlformats.org/officeDocument/2006/relationships/header" Target="header9.xml"/><Relationship Id="rId15" Type="http://schemas.openxmlformats.org/officeDocument/2006/relationships/footer" Target="footer3.xml"/><Relationship Id="rId36" Type="http://schemas.openxmlformats.org/officeDocument/2006/relationships/image" Target="media/image4.png"/><Relationship Id="rId57" Type="http://schemas.openxmlformats.org/officeDocument/2006/relationships/hyperlink" Target="http://www.itu.int/en/ITU-T/studygroups/2013-2016/09/Pages/q13.aspx" TargetMode="External"/><Relationship Id="rId106" Type="http://schemas.openxmlformats.org/officeDocument/2006/relationships/image" Target="media/image10.png"/><Relationship Id="rId127" Type="http://schemas.openxmlformats.org/officeDocument/2006/relationships/hyperlink" Target="http://www.itu.int/en/ITU-T/gsi/iot/Pages/default.aspx" TargetMode="External"/><Relationship Id="rId262" Type="http://schemas.openxmlformats.org/officeDocument/2006/relationships/hyperlink" Target="http://www.itu.int/en/ITU-T/studygroups/2013-2016/13/Pages/default.aspx" TargetMode="External"/><Relationship Id="rId10" Type="http://schemas.openxmlformats.org/officeDocument/2006/relationships/header" Target="header1.xml"/><Relationship Id="rId31" Type="http://schemas.openxmlformats.org/officeDocument/2006/relationships/hyperlink" Target="http://www.itu.int/pub/R-QUE-SG05/" TargetMode="External"/><Relationship Id="rId52" Type="http://schemas.openxmlformats.org/officeDocument/2006/relationships/hyperlink" Target="http://www.itu.int/en/ITU-T/studygroups/2013-2016/05/sg5rgap/Pages/default.aspx" TargetMode="External"/><Relationship Id="rId73" Type="http://schemas.openxmlformats.org/officeDocument/2006/relationships/hyperlink" Target="http://www.itu.int/en/ITU-T/jca/iot/Pages/default.aspx" TargetMode="External"/><Relationship Id="rId78" Type="http://schemas.openxmlformats.org/officeDocument/2006/relationships/image" Target="media/image9.png"/><Relationship Id="rId94" Type="http://schemas.openxmlformats.org/officeDocument/2006/relationships/hyperlink" Target="http://www.itu.int/pub/publications.aspx?lang=en&amp;parent=T-TUT-IOT-2012-M2M" TargetMode="External"/><Relationship Id="rId99" Type="http://schemas.openxmlformats.org/officeDocument/2006/relationships/hyperlink" Target="http://www.itu.int/en/ITU-T/jca/iot/Pages/default.aspx" TargetMode="External"/><Relationship Id="rId101" Type="http://schemas.openxmlformats.org/officeDocument/2006/relationships/hyperlink" Target="http://www.itu.int/en/ITU-T/jca/iptv/Pages/default.aspx" TargetMode="External"/><Relationship Id="rId122" Type="http://schemas.openxmlformats.org/officeDocument/2006/relationships/hyperlink" Target="http://www.itu.int/en/ITU-T/focusgroups/m2m/Pages/default.aspx" TargetMode="External"/><Relationship Id="rId143" Type="http://schemas.openxmlformats.org/officeDocument/2006/relationships/hyperlink" Target="http://www.itu.int/pub/T-TUT-EHT-2006-RTM" TargetMode="External"/><Relationship Id="rId148" Type="http://schemas.openxmlformats.org/officeDocument/2006/relationships/hyperlink" Target="http://www.itu.int/pub/publications.aspx?lang=en&amp;parent=T-TUT-IPTV-2009" TargetMode="External"/><Relationship Id="rId164" Type="http://schemas.openxmlformats.org/officeDocument/2006/relationships/hyperlink" Target="http://www.itu.int/rec/T-REC-e" TargetMode="External"/><Relationship Id="rId169" Type="http://schemas.openxmlformats.org/officeDocument/2006/relationships/hyperlink" Target="http://www.itu.int/pub/publications.aspx?lang=en&amp;parent=T-HDB-LNG.3.1-1982" TargetMode="External"/><Relationship Id="rId185" Type="http://schemas.openxmlformats.org/officeDocument/2006/relationships/hyperlink" Target="http://www.itu.int/pub/T-FG/publications.aspx?lang=en&amp;parent=T-FG-CLOUD-2012-P1"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http://itu.int/en/ITU-T/focusgroups/innovation" TargetMode="External"/><Relationship Id="rId210" Type="http://schemas.openxmlformats.org/officeDocument/2006/relationships/footer" Target="footer9.xml"/><Relationship Id="rId215" Type="http://schemas.openxmlformats.org/officeDocument/2006/relationships/hyperlink" Target="http://www.itu.int/en/ITU-T/studygroups/2013-2016/15/Pages/default.aspx" TargetMode="External"/><Relationship Id="rId236" Type="http://schemas.openxmlformats.org/officeDocument/2006/relationships/hyperlink" Target="http://www.itu.int/ITU-R/index.asp?category=study-groups&amp;rlink=rsg6&amp;lang=en" TargetMode="External"/><Relationship Id="rId257" Type="http://schemas.openxmlformats.org/officeDocument/2006/relationships/hyperlink" Target="http://www.itu.int/en/ITU-T/studygroups/2013-2016/13/Pages/default.aspx" TargetMode="External"/><Relationship Id="rId26" Type="http://schemas.openxmlformats.org/officeDocument/2006/relationships/hyperlink" Target="http://www.itu.int/ITU-R/go/rsg3/es" TargetMode="External"/><Relationship Id="rId231" Type="http://schemas.openxmlformats.org/officeDocument/2006/relationships/hyperlink" Target="http://www.itu.int/en/ITU-T/studygroups/2013-2016/05/Pages/default.aspx" TargetMode="External"/><Relationship Id="rId252" Type="http://schemas.openxmlformats.org/officeDocument/2006/relationships/hyperlink" Target="http://www.itu.int/en/ITU-T/studygroups/2013-2016/02/Pages/q3.aspx" TargetMode="External"/><Relationship Id="rId47" Type="http://schemas.openxmlformats.org/officeDocument/2006/relationships/hyperlink" Target="http://www.itu.int/ITU-T/othergroups/teurem/index.html" TargetMode="External"/><Relationship Id="rId68" Type="http://schemas.openxmlformats.org/officeDocument/2006/relationships/hyperlink" Target="http://www.itu.int/en/ITU-T/studygroups/2013-2016/09/Pages/q12.aspx" TargetMode="External"/><Relationship Id="rId89" Type="http://schemas.openxmlformats.org/officeDocument/2006/relationships/hyperlink" Target="http://www.itu.int/en/ITU-T/studygroups/2013-2016/11/Pages/q11.aspx" TargetMode="External"/><Relationship Id="rId112" Type="http://schemas.openxmlformats.org/officeDocument/2006/relationships/hyperlink" Target="http://www.itu.int/en/ITU-T/focusgroups/carcom/Pages/Default.aspx" TargetMode="External"/><Relationship Id="rId133" Type="http://schemas.openxmlformats.org/officeDocument/2006/relationships/hyperlink" Target="http://www.itu.int/rec/T-REC-F" TargetMode="External"/><Relationship Id="rId154" Type="http://schemas.openxmlformats.org/officeDocument/2006/relationships/hyperlink" Target="http://www.itu.int/pub/publications.aspx?lang=en&amp;parent=T-TUT-IPTV-2011-AISC" TargetMode="External"/><Relationship Id="rId175" Type="http://schemas.openxmlformats.org/officeDocument/2006/relationships/hyperlink" Target="http://www.itu.int/pub/publications.aspx?lang=en&amp;parent=T-HDB-SEC.02-2004" TargetMode="External"/><Relationship Id="rId196" Type="http://schemas.openxmlformats.org/officeDocument/2006/relationships/hyperlink" Target="http://www.itu.int/pub/T-FG/publications.aspx?lang=en&amp;parent=T-FG-DISTRACTION-2013-5" TargetMode="External"/><Relationship Id="rId200" Type="http://schemas.openxmlformats.org/officeDocument/2006/relationships/hyperlink" Target="http://www.itu.int/pub/T-FG/publications.aspx?lang=en&amp;parent=T-FG-FSVDSLTS-2002-P4" TargetMode="External"/><Relationship Id="rId16" Type="http://schemas.openxmlformats.org/officeDocument/2006/relationships/header" Target="header4.xml"/><Relationship Id="rId221" Type="http://schemas.openxmlformats.org/officeDocument/2006/relationships/hyperlink" Target="http://www.itu.int/en/ITU-T/gsi/iptv/Pages/default.aspx" TargetMode="External"/><Relationship Id="rId242" Type="http://schemas.openxmlformats.org/officeDocument/2006/relationships/hyperlink" Target="http://www.itu.int/en/ITU-T/studygroups/2013-2016/13/Pages/q2.aspx" TargetMode="External"/><Relationship Id="rId263" Type="http://schemas.openxmlformats.org/officeDocument/2006/relationships/hyperlink" Target="http://www.itu.int/en/ITU-T/studygroups/2013-2016/11/Pages/default.aspx'" TargetMode="External"/><Relationship Id="rId37" Type="http://schemas.openxmlformats.org/officeDocument/2006/relationships/hyperlink" Target="http://itu.int/en/ITU-T/publications" TargetMode="External"/><Relationship Id="rId58" Type="http://schemas.openxmlformats.org/officeDocument/2006/relationships/hyperlink" Target="http://www.itu.int/en/ITU-T/studygroups/2013-2016/09/Pages/q2.aspx" TargetMode="External"/><Relationship Id="rId79" Type="http://schemas.openxmlformats.org/officeDocument/2006/relationships/hyperlink" Target="http://www.itu.int/en/ITU-T/studygroups/2013-2016/11/Pages/q1.aspx" TargetMode="External"/><Relationship Id="rId102" Type="http://schemas.openxmlformats.org/officeDocument/2006/relationships/hyperlink" Target="http://www.itu.int/en/ITU-T/jca/cit/Pages/default.aspx" TargetMode="External"/><Relationship Id="rId123" Type="http://schemas.openxmlformats.org/officeDocument/2006/relationships/hyperlink" Target="http://www.itu.int/en/ITU-T/jca/Cloud/Pages/default.aspx" TargetMode="External"/><Relationship Id="rId144" Type="http://schemas.openxmlformats.org/officeDocument/2006/relationships/hyperlink" Target="http://www.itu.int/pub/publications.aspx?lang=en&amp;parent=T-TUT-HSTP-2006-FNTP" TargetMode="External"/><Relationship Id="rId90" Type="http://schemas.openxmlformats.org/officeDocument/2006/relationships/hyperlink" Target="http://www.itu.int/en/ITU-T/studygroups/2013-2016/11/Pages/q12.aspx" TargetMode="External"/><Relationship Id="rId165" Type="http://schemas.openxmlformats.org/officeDocument/2006/relationships/hyperlink" Target="http://www.itu.int/rec/T-REC-x" TargetMode="External"/><Relationship Id="rId186" Type="http://schemas.openxmlformats.org/officeDocument/2006/relationships/hyperlink" Target="http://www.itu.int/pub/T-FG/publications.aspx?lang=en&amp;parent=T-FG-CLOUD-2012-P2" TargetMode="External"/><Relationship Id="rId211" Type="http://schemas.openxmlformats.org/officeDocument/2006/relationships/hyperlink" Target="http://www.itu.int/en/ITU-R/study-groups/rsg1/Pages/default.aspx" TargetMode="External"/><Relationship Id="rId232" Type="http://schemas.openxmlformats.org/officeDocument/2006/relationships/hyperlink" Target="http://www.itu.int/en/ITU-T/studygroups/2013-2016/05/Pages/default.aspx" TargetMode="External"/><Relationship Id="rId253" Type="http://schemas.openxmlformats.org/officeDocument/2006/relationships/hyperlink" Target="http://www.itu.int/ITU-R/index.asp?category=study-groups&amp;rlink=rsg7&amp;lang=en" TargetMode="External"/><Relationship Id="rId27" Type="http://schemas.openxmlformats.org/officeDocument/2006/relationships/hyperlink" Target="http://www.itu.int/pub/R-QUE-SG03/" TargetMode="External"/><Relationship Id="rId48" Type="http://schemas.openxmlformats.org/officeDocument/2006/relationships/image" Target="media/image7.png"/><Relationship Id="rId69" Type="http://schemas.openxmlformats.org/officeDocument/2006/relationships/hyperlink" Target="http://www.itu.int/ITU-T/recommendations/index_sg.aspx?sg=9" TargetMode="External"/><Relationship Id="rId113" Type="http://schemas.openxmlformats.org/officeDocument/2006/relationships/hyperlink" Target="http://www.itu.int/en/ITU-T/focusgroups/distraction/Pages/default.aspx" TargetMode="External"/><Relationship Id="rId134" Type="http://schemas.openxmlformats.org/officeDocument/2006/relationships/hyperlink" Target="http://www.itu.int/rec/T-REC-H" TargetMode="External"/><Relationship Id="rId80" Type="http://schemas.openxmlformats.org/officeDocument/2006/relationships/hyperlink" Target="http://www.itu.int/en/ITU-T/studygroups/2013-2016/11/Pages/q2.aspx" TargetMode="External"/><Relationship Id="rId155" Type="http://schemas.openxmlformats.org/officeDocument/2006/relationships/hyperlink" Target="http://www.itu.int/pub/publications.aspx?lang=en&amp;parent=T-TUT-IPTV-2010-ISPF" TargetMode="External"/><Relationship Id="rId176" Type="http://schemas.openxmlformats.org/officeDocument/2006/relationships/hyperlink" Target="http://www.itu.int/pub/publications.aspx?lang=en&amp;parent=T-HDB-SEC.01-2003" TargetMode="External"/><Relationship Id="rId197" Type="http://schemas.openxmlformats.org/officeDocument/2006/relationships/hyperlink" Target="http://www.itu.int/pub/T-FG/publications.aspx?lang=en&amp;parent=T-FG-FSVDSLTS-2002-P1" TargetMode="External"/><Relationship Id="rId201" Type="http://schemas.openxmlformats.org/officeDocument/2006/relationships/hyperlink" Target="http://www.itu.int/pub/T-FG/publications.aspx?lang=en&amp;parent=T-FG-FSVDSLTS-2002-P5" TargetMode="External"/><Relationship Id="rId222" Type="http://schemas.openxmlformats.org/officeDocument/2006/relationships/hyperlink" Target="http://www.itu.int/en/ITU-R/study-groups/rsg6/Pages/default.aspx" TargetMode="External"/><Relationship Id="rId243" Type="http://schemas.openxmlformats.org/officeDocument/2006/relationships/hyperlink" Target="http://www.itu.int/en/ITU-T/studygroups/2013-2016/17/Pages/default.aspx" TargetMode="External"/><Relationship Id="rId264" Type="http://schemas.openxmlformats.org/officeDocument/2006/relationships/hyperlink" Target="http://www.itu.int/en/ITU-T/studygroups/2013-2016/12/Pages/default.aspx" TargetMode="External"/><Relationship Id="rId17" Type="http://schemas.openxmlformats.org/officeDocument/2006/relationships/header" Target="header5.xml"/><Relationship Id="rId38" Type="http://schemas.openxmlformats.org/officeDocument/2006/relationships/hyperlink" Target="http://www.itu.int/md/S11-CL-C-0098/en" TargetMode="External"/><Relationship Id="rId59" Type="http://schemas.openxmlformats.org/officeDocument/2006/relationships/hyperlink" Target="http://www.itu.int/en/ITU-T/studygroups/2013-2016/09/Pages/q3.aspx" TargetMode="External"/><Relationship Id="rId103" Type="http://schemas.openxmlformats.org/officeDocument/2006/relationships/hyperlink" Target="http://www.itu.int/en/ITU-T/jca/Cloud/Pages/default.aspx" TargetMode="External"/><Relationship Id="rId124" Type="http://schemas.openxmlformats.org/officeDocument/2006/relationships/hyperlink" Target="http://www.itu.int/en/ITU-T/jca/iptv/Pages/default.aspx" TargetMode="External"/><Relationship Id="rId70" Type="http://schemas.openxmlformats.org/officeDocument/2006/relationships/hyperlink" Target="http://www.itu.int/en/ITU-T/focusgroups/smartcable/Pages/default.aspx" TargetMode="External"/><Relationship Id="rId91" Type="http://schemas.openxmlformats.org/officeDocument/2006/relationships/hyperlink" Target="http://www.itu.int/en/ITU-T/studygroups/2013-2016/11/Pages/q13.aspx" TargetMode="External"/><Relationship Id="rId145" Type="http://schemas.openxmlformats.org/officeDocument/2006/relationships/hyperlink" Target="http://www.itu.int/pub/publications.aspx?lang=en&amp;parent=T-TUT-HSTP-2005-RNAT" TargetMode="External"/><Relationship Id="rId166" Type="http://schemas.openxmlformats.org/officeDocument/2006/relationships/hyperlink" Target="http://www.itu.int/rec/T-REC-z" TargetMode="External"/><Relationship Id="rId187" Type="http://schemas.openxmlformats.org/officeDocument/2006/relationships/hyperlink" Target="http://www.itu.int/pub/T-FG/publications.aspx?lang=en&amp;parent=T-FG-CLOUD-2012-P3" TargetMode="External"/><Relationship Id="rId1" Type="http://schemas.openxmlformats.org/officeDocument/2006/relationships/customXml" Target="../customXml/item1.xml"/><Relationship Id="rId212" Type="http://schemas.openxmlformats.org/officeDocument/2006/relationships/hyperlink" Target="http://www.itu.int/en/ITU-R/study-groups/rsg4/Pages/default.aspx" TargetMode="External"/><Relationship Id="rId233" Type="http://schemas.openxmlformats.org/officeDocument/2006/relationships/hyperlink" Target="http://www.itu.int/en/ITU-T/studygroups/2013-2016/11/Pages/default.aspx" TargetMode="External"/><Relationship Id="rId254" Type="http://schemas.openxmlformats.org/officeDocument/2006/relationships/hyperlink" Target="http://www.itu.int/en/ITU-T/studygroups/2013-2016/05/Pages/default.aspx" TargetMode="External"/><Relationship Id="rId28" Type="http://schemas.openxmlformats.org/officeDocument/2006/relationships/hyperlink" Target="http://www.itu.int/ITU-R/go/rsg4/es" TargetMode="External"/><Relationship Id="rId49" Type="http://schemas.openxmlformats.org/officeDocument/2006/relationships/hyperlink" Target="http://www.itu.int/en/ITU-T/studygroups/2013-2016/05/sg5rgafr/Pages/default.aspx" TargetMode="External"/><Relationship Id="rId114" Type="http://schemas.openxmlformats.org/officeDocument/2006/relationships/hyperlink" Target="http://www.itu.int/pub/T-HDB/publications.aspx?lang=es&amp;parent=T-HDB-QOS.02-20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7.xml.rels><?xml version="1.0" encoding="UTF-8" standalone="yes"?>
<Relationships xmlns="http://schemas.openxmlformats.org/package/2006/relationships"><Relationship Id="rId1" Type="http://schemas.openxmlformats.org/officeDocument/2006/relationships/hyperlink" Target="mailto:nasser.almarzouqi@tra.gov.a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T/Pages/default.aspx" TargetMode="External"/><Relationship Id="rId1" Type="http://schemas.openxmlformats.org/officeDocument/2006/relationships/hyperlink" Target="http://www.itu.int/itu-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5-II\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5ABC-8572-4281-B1C8-33D9BC76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1213</TotalTime>
  <Pages>79</Pages>
  <Words>23986</Words>
  <Characters>160282</Characters>
  <Application>Microsoft Office Word</Application>
  <DocSecurity>0</DocSecurity>
  <Lines>1335</Lines>
  <Paragraphs>367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183901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De Nicola, Simon</cp:lastModifiedBy>
  <cp:revision>248</cp:revision>
  <cp:lastPrinted>2011-08-04T14:12:00Z</cp:lastPrinted>
  <dcterms:created xsi:type="dcterms:W3CDTF">2014-02-20T13:42:00Z</dcterms:created>
  <dcterms:modified xsi:type="dcterms:W3CDTF">2014-03-10T07:52:00Z</dcterms:modified>
</cp:coreProperties>
</file>