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dxa"/>
        <w:tblInd w:w="7763" w:type="dxa"/>
        <w:tblBorders>
          <w:left w:val="single" w:sz="18" w:space="0" w:color="808080"/>
        </w:tblBorders>
        <w:tblLook w:val="0000"/>
      </w:tblPr>
      <w:tblGrid>
        <w:gridCol w:w="2693"/>
        <w:gridCol w:w="2693"/>
      </w:tblGrid>
      <w:tr w:rsidR="00B15C09" w:rsidRPr="004B2881" w:rsidTr="00B15C09">
        <w:trPr>
          <w:cantSplit/>
        </w:trPr>
        <w:tc>
          <w:tcPr>
            <w:tcW w:w="2693" w:type="dxa"/>
            <w:tcBorders>
              <w:left w:val="nil"/>
              <w:bottom w:val="single" w:sz="4" w:space="0" w:color="auto"/>
            </w:tcBorders>
          </w:tcPr>
          <w:p w:rsidR="00B15C09" w:rsidRPr="004B2881" w:rsidRDefault="00B15C09" w:rsidP="001E5A8B">
            <w:pPr>
              <w:pStyle w:val="Heading3"/>
              <w:tabs>
                <w:tab w:val="clear" w:pos="794"/>
              </w:tabs>
              <w:spacing w:before="240"/>
              <w:ind w:left="0" w:firstLine="0"/>
              <w:jc w:val="left"/>
              <w:rPr>
                <w:rFonts w:ascii="Trebuchet MS" w:hAnsi="Trebuchet MS"/>
                <w:i/>
                <w:iCs/>
                <w:lang w:val="fr-FR"/>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77853421"/>
            <w:r w:rsidRPr="004B2881">
              <w:rPr>
                <w:rFonts w:ascii="Trebuchet MS" w:hAnsi="Trebuchet MS"/>
                <w:i/>
                <w:iCs/>
                <w:lang w:val="fr-FR"/>
              </w:rPr>
              <w:t>R</w:t>
            </w:r>
            <w:r w:rsidR="001E5A8B" w:rsidRPr="004B2881">
              <w:rPr>
                <w:rFonts w:ascii="Trebuchet MS" w:hAnsi="Trebuchet MS"/>
                <w:i/>
                <w:iCs/>
                <w:lang w:val="fr-FR"/>
              </w:rPr>
              <w:t>É</w:t>
            </w:r>
            <w:r w:rsidR="005E76E8" w:rsidRPr="004B2881">
              <w:rPr>
                <w:rFonts w:ascii="Trebuchet MS" w:hAnsi="Trebuchet MS"/>
                <w:i/>
                <w:iCs/>
                <w:lang w:val="fr-FR"/>
              </w:rPr>
              <w:t xml:space="preserve">SOLUTION </w:t>
            </w:r>
            <w:r w:rsidRPr="004B2881">
              <w:rPr>
                <w:rFonts w:ascii="Trebuchet MS" w:hAnsi="Trebuchet MS"/>
                <w:i/>
                <w:iCs/>
                <w:lang w:val="fr-FR"/>
              </w:rPr>
              <w:t>9</w:t>
            </w:r>
            <w:bookmarkEnd w:id="0"/>
            <w:bookmarkEnd w:id="1"/>
            <w:bookmarkEnd w:id="2"/>
            <w:bookmarkEnd w:id="3"/>
            <w:bookmarkEnd w:id="4"/>
            <w:bookmarkEnd w:id="5"/>
            <w:bookmarkEnd w:id="6"/>
            <w:r w:rsidRPr="004B2881">
              <w:rPr>
                <w:rFonts w:ascii="Trebuchet MS" w:hAnsi="Trebuchet MS"/>
                <w:i/>
                <w:iCs/>
                <w:lang w:val="fr-FR"/>
              </w:rPr>
              <w:br/>
              <w:t>(Rév. Doha, 2006)</w:t>
            </w:r>
            <w:bookmarkEnd w:id="7"/>
          </w:p>
        </w:tc>
        <w:tc>
          <w:tcPr>
            <w:tcW w:w="2693" w:type="dxa"/>
            <w:tcBorders>
              <w:left w:val="nil"/>
              <w:bottom w:val="single" w:sz="4" w:space="0" w:color="auto"/>
            </w:tcBorders>
          </w:tcPr>
          <w:p w:rsidR="00B15C09" w:rsidRPr="004B2881" w:rsidRDefault="00B15C09" w:rsidP="00237D3E">
            <w:pPr>
              <w:pStyle w:val="Heading3"/>
              <w:tabs>
                <w:tab w:val="clear" w:pos="794"/>
              </w:tabs>
              <w:spacing w:before="240"/>
              <w:ind w:left="0" w:firstLine="0"/>
              <w:jc w:val="left"/>
              <w:rPr>
                <w:rFonts w:ascii="Trebuchet MS" w:hAnsi="Trebuchet MS"/>
                <w:i/>
                <w:iCs/>
                <w:lang w:val="fr-FR"/>
              </w:rPr>
            </w:pPr>
          </w:p>
        </w:tc>
      </w:tr>
      <w:tr w:rsidR="00B15C09" w:rsidRPr="004B2881" w:rsidTr="00B15C09">
        <w:trPr>
          <w:cantSplit/>
          <w:trHeight w:val="895"/>
        </w:trPr>
        <w:tc>
          <w:tcPr>
            <w:tcW w:w="2693" w:type="dxa"/>
            <w:tcBorders>
              <w:top w:val="single" w:sz="4" w:space="0" w:color="auto"/>
              <w:left w:val="nil"/>
            </w:tcBorders>
          </w:tcPr>
          <w:p w:rsidR="00B15C09" w:rsidRPr="004B2881" w:rsidRDefault="008F60B9" w:rsidP="008F60B9">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fr-FR"/>
              </w:rPr>
            </w:pPr>
            <w:r w:rsidRPr="004B2881">
              <w:rPr>
                <w:rFonts w:ascii="Trebuchet MS" w:hAnsi="Trebuchet MS" w:cs="Arial"/>
                <w:b w:val="0"/>
                <w:bCs/>
                <w:i/>
                <w:iCs/>
                <w:lang w:val="fr-FR"/>
              </w:rPr>
              <w:t>Lignes d</w:t>
            </w:r>
            <w:r w:rsidR="0023394E" w:rsidRPr="004B2881">
              <w:rPr>
                <w:rFonts w:ascii="Trebuchet MS" w:hAnsi="Trebuchet MS" w:cs="Arial"/>
                <w:b w:val="0"/>
                <w:bCs/>
                <w:i/>
                <w:iCs/>
                <w:lang w:val="fr-FR"/>
              </w:rPr>
              <w:t>irect</w:t>
            </w:r>
            <w:r w:rsidRPr="004B2881">
              <w:rPr>
                <w:rFonts w:ascii="Trebuchet MS" w:hAnsi="Trebuchet MS" w:cs="Arial"/>
                <w:b w:val="0"/>
                <w:bCs/>
                <w:i/>
                <w:iCs/>
                <w:lang w:val="fr-FR"/>
              </w:rPr>
              <w:t>rices</w:t>
            </w:r>
          </w:p>
          <w:p w:rsidR="00B15C09" w:rsidRPr="004B2881" w:rsidRDefault="00B15C09" w:rsidP="00556FC3">
            <w:pPr>
              <w:pStyle w:val="Heading3"/>
              <w:ind w:left="0"/>
              <w:jc w:val="left"/>
              <w:rPr>
                <w:rFonts w:ascii="Trebuchet MS" w:hAnsi="Trebuchet MS" w:cs="Arial"/>
                <w:i/>
                <w:iCs/>
                <w:lang w:val="fr-FR"/>
              </w:rPr>
            </w:pPr>
          </w:p>
        </w:tc>
        <w:tc>
          <w:tcPr>
            <w:tcW w:w="2693" w:type="dxa"/>
            <w:tcBorders>
              <w:top w:val="single" w:sz="4" w:space="0" w:color="auto"/>
              <w:left w:val="nil"/>
            </w:tcBorders>
          </w:tcPr>
          <w:p w:rsidR="00B15C09" w:rsidRPr="004B2881" w:rsidRDefault="00B15C09" w:rsidP="0006325B">
            <w:pPr>
              <w:pStyle w:val="Heading3"/>
              <w:ind w:left="0"/>
              <w:jc w:val="left"/>
              <w:rPr>
                <w:rFonts w:ascii="Trebuchet MS" w:hAnsi="Trebuchet MS" w:cs="Arial"/>
                <w:i/>
                <w:iCs/>
                <w:lang w:val="fr-FR"/>
              </w:rPr>
            </w:pPr>
          </w:p>
        </w:tc>
      </w:tr>
    </w:tbl>
    <w:p w:rsidR="00EB6A81" w:rsidRPr="004B2881" w:rsidRDefault="00EB6A81" w:rsidP="00EB6A81">
      <w:pPr>
        <w:rPr>
          <w:rFonts w:ascii="Arial" w:hAnsi="Arial" w:cs="Arial"/>
          <w:lang w:val="fr-FR"/>
        </w:rPr>
      </w:pPr>
    </w:p>
    <w:p w:rsidR="00EB6A81" w:rsidRPr="004B2881" w:rsidRDefault="00EB6A81" w:rsidP="00EB6A81">
      <w:pPr>
        <w:rPr>
          <w:rFonts w:ascii="Arial" w:hAnsi="Arial" w:cs="Arial"/>
          <w:lang w:val="fr-FR"/>
        </w:rPr>
      </w:pPr>
    </w:p>
    <w:p w:rsidR="00EB6A81" w:rsidRPr="004B2881" w:rsidRDefault="00EB6A81" w:rsidP="00EB6A81">
      <w:pPr>
        <w:pStyle w:val="Normalaftertitle"/>
        <w:spacing w:before="120"/>
        <w:rPr>
          <w:rFonts w:ascii="Arial" w:hAnsi="Arial" w:cs="Arial"/>
          <w:lang w:val="fr-FR"/>
        </w:rPr>
      </w:pPr>
    </w:p>
    <w:p w:rsidR="00EB6A81" w:rsidRPr="004B2881" w:rsidRDefault="00EB6A81" w:rsidP="00EB6A81">
      <w:pPr>
        <w:rPr>
          <w:rFonts w:ascii="Arial" w:hAnsi="Arial" w:cs="Arial"/>
          <w:lang w:val="fr-FR"/>
        </w:rPr>
      </w:pPr>
    </w:p>
    <w:p w:rsidR="00CE7324" w:rsidRPr="004B2881" w:rsidRDefault="00CE7324" w:rsidP="00EB6A81">
      <w:pPr>
        <w:rPr>
          <w:rFonts w:ascii="Arial" w:hAnsi="Arial" w:cs="Arial"/>
          <w:lang w:val="fr-FR"/>
        </w:rPr>
      </w:pPr>
    </w:p>
    <w:p w:rsidR="00CE7324" w:rsidRPr="004B2881" w:rsidRDefault="00CE7324" w:rsidP="00EB6A81">
      <w:pPr>
        <w:rPr>
          <w:rFonts w:ascii="Arial" w:hAnsi="Arial" w:cs="Arial"/>
          <w:lang w:val="fr-FR"/>
        </w:rPr>
      </w:pPr>
    </w:p>
    <w:p w:rsidR="00EB6A81" w:rsidRPr="004B2881" w:rsidRDefault="00EB6A81" w:rsidP="00EB6A81">
      <w:pPr>
        <w:rPr>
          <w:rFonts w:ascii="Arial" w:hAnsi="Arial" w:cs="Arial"/>
          <w:lang w:val="fr-FR"/>
        </w:rPr>
      </w:pPr>
    </w:p>
    <w:p w:rsidR="00EB6A81" w:rsidRPr="004B2881" w:rsidRDefault="00EB6A81" w:rsidP="00EB6A81">
      <w:pPr>
        <w:rPr>
          <w:rFonts w:ascii="Arial" w:hAnsi="Arial" w:cs="Arial"/>
          <w:lang w:val="fr-FR"/>
        </w:rPr>
      </w:pPr>
    </w:p>
    <w:p w:rsidR="00237D3E" w:rsidRPr="004B2881" w:rsidRDefault="0078543D" w:rsidP="0078543D">
      <w:pPr>
        <w:shd w:val="clear" w:color="auto" w:fill="B3B3B3"/>
        <w:tabs>
          <w:tab w:val="clear" w:pos="794"/>
          <w:tab w:val="clear" w:pos="1191"/>
          <w:tab w:val="clear" w:pos="1588"/>
          <w:tab w:val="clear" w:pos="1985"/>
          <w:tab w:val="left" w:pos="1418"/>
          <w:tab w:val="left" w:pos="5529"/>
        </w:tabs>
        <w:spacing w:before="160"/>
        <w:ind w:right="-142"/>
        <w:jc w:val="left"/>
        <w:rPr>
          <w:rFonts w:ascii="Trebuchet MS" w:hAnsi="Trebuchet MS" w:cs="Arial"/>
          <w:color w:val="FFFFFF"/>
          <w:sz w:val="32"/>
          <w:lang w:val="fr-FR"/>
        </w:rPr>
      </w:pPr>
      <w:r w:rsidRPr="004B2881">
        <w:rPr>
          <w:rFonts w:ascii="Trebuchet MS" w:hAnsi="Trebuchet MS" w:cs="Arial"/>
          <w:b/>
          <w:bCs/>
          <w:color w:val="FFFFFF"/>
          <w:sz w:val="32"/>
          <w:lang w:val="fr-FR"/>
        </w:rPr>
        <w:t>UIT-D</w:t>
      </w:r>
      <w:r w:rsidRPr="004B2881">
        <w:rPr>
          <w:rFonts w:ascii="Trebuchet MS" w:hAnsi="Trebuchet MS" w:cs="Arial"/>
          <w:color w:val="FFFFFF"/>
          <w:sz w:val="32"/>
          <w:lang w:val="fr-FR"/>
        </w:rPr>
        <w:tab/>
      </w:r>
      <w:r w:rsidRPr="004B2881">
        <w:rPr>
          <w:rFonts w:ascii="Trebuchet MS" w:hAnsi="Trebuchet MS" w:cs="Arial"/>
          <w:color w:val="FFFFFF"/>
          <w:sz w:val="32"/>
          <w:szCs w:val="32"/>
          <w:lang w:val="fr-FR"/>
        </w:rPr>
        <w:t>COMISSION D'ÉTUDES 2</w:t>
      </w:r>
      <w:r w:rsidRPr="004B2881">
        <w:rPr>
          <w:rFonts w:ascii="Trebuchet MS" w:hAnsi="Trebuchet MS" w:cs="Arial"/>
          <w:color w:val="FFFFFF"/>
          <w:sz w:val="32"/>
          <w:szCs w:val="32"/>
          <w:lang w:val="fr-FR"/>
        </w:rPr>
        <w:tab/>
        <w:t>4</w:t>
      </w:r>
      <w:r w:rsidRPr="004B2881">
        <w:rPr>
          <w:rFonts w:ascii="Trebuchet MS" w:hAnsi="Trebuchet MS" w:cs="Arial"/>
          <w:color w:val="FFFFFF"/>
          <w:sz w:val="32"/>
          <w:szCs w:val="32"/>
          <w:vertAlign w:val="superscript"/>
          <w:lang w:val="fr-FR"/>
        </w:rPr>
        <w:t>e</w:t>
      </w:r>
      <w:r w:rsidRPr="004B2881">
        <w:rPr>
          <w:rFonts w:ascii="Trebuchet MS" w:hAnsi="Trebuchet MS" w:cs="Arial"/>
          <w:color w:val="FFFFFF"/>
          <w:sz w:val="32"/>
          <w:szCs w:val="32"/>
          <w:lang w:val="fr-FR"/>
        </w:rPr>
        <w:t xml:space="preserve"> PÉRIODE D'ÉTUDES (2006-2010)</w:t>
      </w:r>
    </w:p>
    <w:p w:rsidR="00EB6A81" w:rsidRPr="004B2881" w:rsidRDefault="00EB6A81" w:rsidP="00EB6A81">
      <w:pPr>
        <w:ind w:right="2520"/>
        <w:jc w:val="right"/>
        <w:rPr>
          <w:rFonts w:ascii="Arial" w:hAnsi="Arial" w:cs="Arial"/>
          <w:lang w:val="fr-FR"/>
        </w:rPr>
      </w:pPr>
    </w:p>
    <w:p w:rsidR="00EB6A81" w:rsidRPr="004B2881" w:rsidRDefault="00EB6A81" w:rsidP="00EB6A81">
      <w:pPr>
        <w:ind w:right="2520"/>
        <w:jc w:val="right"/>
        <w:rPr>
          <w:rFonts w:ascii="Arial" w:hAnsi="Arial" w:cs="Arial"/>
          <w:lang w:val="fr-FR"/>
        </w:rPr>
      </w:pPr>
    </w:p>
    <w:p w:rsidR="00EB6A81" w:rsidRPr="004B2881" w:rsidRDefault="00EB6A81" w:rsidP="00EB6A81">
      <w:pPr>
        <w:ind w:right="2520"/>
        <w:jc w:val="right"/>
        <w:rPr>
          <w:rFonts w:ascii="Arial" w:hAnsi="Arial" w:cs="Arial"/>
          <w:lang w:val="fr-FR"/>
        </w:rPr>
      </w:pPr>
    </w:p>
    <w:p w:rsidR="001308DA" w:rsidRPr="004B2881" w:rsidRDefault="001308DA" w:rsidP="003A5EEA">
      <w:pPr>
        <w:spacing w:line="600" w:lineRule="exact"/>
        <w:ind w:right="2517"/>
        <w:jc w:val="right"/>
        <w:rPr>
          <w:rFonts w:ascii="Trebuchet MS" w:hAnsi="Trebuchet MS" w:cs="Tahoma"/>
          <w:b/>
          <w:i/>
          <w:iCs/>
          <w:sz w:val="44"/>
          <w:szCs w:val="44"/>
          <w:lang w:val="fr-FR"/>
        </w:rPr>
      </w:pPr>
      <w:bookmarkStart w:id="8" w:name="OLE_LINK1"/>
      <w:bookmarkStart w:id="9" w:name="OLE_LINK2"/>
      <w:r w:rsidRPr="004B2881">
        <w:rPr>
          <w:rFonts w:ascii="Trebuchet MS" w:hAnsi="Trebuchet MS" w:cs="Tahoma"/>
          <w:b/>
          <w:i/>
          <w:iCs/>
          <w:sz w:val="44"/>
          <w:szCs w:val="44"/>
          <w:lang w:val="fr-FR"/>
        </w:rPr>
        <w:t>R</w:t>
      </w:r>
      <w:r w:rsidR="003A5EEA" w:rsidRPr="004B2881">
        <w:rPr>
          <w:rFonts w:ascii="Trebuchet MS" w:hAnsi="Trebuchet MS" w:cs="Tahoma"/>
          <w:b/>
          <w:i/>
          <w:iCs/>
          <w:sz w:val="44"/>
          <w:szCs w:val="44"/>
          <w:lang w:val="fr-FR"/>
        </w:rPr>
        <w:t>É</w:t>
      </w:r>
      <w:r w:rsidRPr="004B2881">
        <w:rPr>
          <w:rFonts w:ascii="Trebuchet MS" w:hAnsi="Trebuchet MS" w:cs="Tahoma"/>
          <w:b/>
          <w:i/>
          <w:iCs/>
          <w:sz w:val="44"/>
          <w:szCs w:val="44"/>
          <w:lang w:val="fr-FR"/>
        </w:rPr>
        <w:t>SOLUTION 9:</w:t>
      </w:r>
    </w:p>
    <w:bookmarkEnd w:id="8"/>
    <w:bookmarkEnd w:id="9"/>
    <w:p w:rsidR="003070F7" w:rsidRPr="004F63CA" w:rsidRDefault="00A515F4" w:rsidP="0003188E">
      <w:pPr>
        <w:spacing w:line="600" w:lineRule="exact"/>
        <w:ind w:right="2517"/>
        <w:jc w:val="right"/>
        <w:rPr>
          <w:rFonts w:ascii="Trebuchet MS" w:hAnsi="Trebuchet MS" w:cs="Tahoma"/>
          <w:b/>
          <w:i/>
          <w:iCs/>
          <w:sz w:val="40"/>
          <w:szCs w:val="40"/>
          <w:lang w:val="fr-FR"/>
        </w:rPr>
      </w:pPr>
      <w:r w:rsidRPr="004F63CA">
        <w:rPr>
          <w:rFonts w:ascii="Trebuchet MS" w:hAnsi="Trebuchet MS" w:cs="Tahoma"/>
          <w:b/>
          <w:i/>
          <w:iCs/>
          <w:sz w:val="40"/>
          <w:szCs w:val="40"/>
          <w:lang w:val="fr-FR"/>
        </w:rPr>
        <w:t>Lignes directrices pour l’établissement</w:t>
      </w:r>
      <w:r w:rsidR="004A44EB" w:rsidRPr="004F63CA">
        <w:rPr>
          <w:rFonts w:ascii="Trebuchet MS" w:hAnsi="Trebuchet MS" w:cs="Tahoma"/>
          <w:b/>
          <w:i/>
          <w:iCs/>
          <w:sz w:val="40"/>
          <w:szCs w:val="40"/>
          <w:lang w:val="fr-FR"/>
        </w:rPr>
        <w:t xml:space="preserve"> </w:t>
      </w:r>
      <w:r w:rsidR="004F63CA" w:rsidRPr="004F63CA">
        <w:rPr>
          <w:rFonts w:ascii="Trebuchet MS" w:hAnsi="Trebuchet MS" w:cs="Tahoma"/>
          <w:b/>
          <w:i/>
          <w:iCs/>
          <w:sz w:val="40"/>
          <w:szCs w:val="40"/>
          <w:lang w:val="fr-FR"/>
        </w:rPr>
        <w:br/>
      </w:r>
      <w:r w:rsidRPr="004F63CA">
        <w:rPr>
          <w:rFonts w:ascii="Trebuchet MS" w:hAnsi="Trebuchet MS" w:cs="Tahoma"/>
          <w:b/>
          <w:i/>
          <w:iCs/>
          <w:sz w:val="40"/>
          <w:szCs w:val="40"/>
          <w:lang w:val="fr-FR"/>
        </w:rPr>
        <w:t>d’un système cohérent de redevances</w:t>
      </w:r>
      <w:r w:rsidR="004A44EB" w:rsidRPr="004F63CA">
        <w:rPr>
          <w:rFonts w:ascii="Trebuchet MS" w:hAnsi="Trebuchet MS" w:cs="Tahoma"/>
          <w:b/>
          <w:i/>
          <w:iCs/>
          <w:sz w:val="40"/>
          <w:szCs w:val="40"/>
          <w:lang w:val="fr-FR"/>
        </w:rPr>
        <w:t xml:space="preserve"> </w:t>
      </w:r>
      <w:r w:rsidRPr="004F63CA">
        <w:rPr>
          <w:rFonts w:ascii="Trebuchet MS" w:hAnsi="Trebuchet MS" w:cs="Tahoma"/>
          <w:b/>
          <w:i/>
          <w:iCs/>
          <w:sz w:val="40"/>
          <w:szCs w:val="40"/>
          <w:lang w:val="fr-FR"/>
        </w:rPr>
        <w:t>liées à</w:t>
      </w:r>
      <w:r w:rsidR="0003188E" w:rsidRPr="004F63CA">
        <w:rPr>
          <w:rFonts w:ascii="Trebuchet MS" w:hAnsi="Trebuchet MS" w:cs="Tahoma"/>
          <w:b/>
          <w:i/>
          <w:iCs/>
          <w:sz w:val="40"/>
          <w:szCs w:val="40"/>
          <w:lang w:val="fr-FR"/>
        </w:rPr>
        <w:t> </w:t>
      </w:r>
      <w:r w:rsidRPr="004F63CA">
        <w:rPr>
          <w:rFonts w:ascii="Trebuchet MS" w:hAnsi="Trebuchet MS" w:cs="Tahoma"/>
          <w:b/>
          <w:i/>
          <w:iCs/>
          <w:sz w:val="40"/>
          <w:szCs w:val="40"/>
          <w:lang w:val="fr-FR"/>
        </w:rPr>
        <w:t>l’utilisation des fréquences</w:t>
      </w:r>
    </w:p>
    <w:p w:rsidR="00EB6A81" w:rsidRPr="004B2881" w:rsidRDefault="00EB6A81" w:rsidP="00EB6A81">
      <w:pPr>
        <w:spacing w:before="0"/>
        <w:ind w:right="2520"/>
        <w:jc w:val="right"/>
        <w:rPr>
          <w:rFonts w:ascii="Arial Rounded MT Bold" w:hAnsi="Arial Rounded MT Bold" w:cs="Tahoma"/>
          <w:b/>
          <w:bCs/>
          <w:i/>
          <w:iCs/>
          <w:sz w:val="52"/>
          <w:lang w:val="fr-FR"/>
        </w:rPr>
      </w:pPr>
    </w:p>
    <w:p w:rsidR="00EB6A81" w:rsidRPr="004B2881" w:rsidRDefault="00EB6A81" w:rsidP="00EB6A81">
      <w:pPr>
        <w:rPr>
          <w:rFonts w:ascii="FrugalSans Th" w:hAnsi="FrugalSans Th"/>
          <w:i/>
          <w:iCs/>
          <w:lang w:val="fr-FR"/>
        </w:rPr>
      </w:pPr>
    </w:p>
    <w:p w:rsidR="00EB6A81" w:rsidRPr="004B2881" w:rsidRDefault="00EB6A81" w:rsidP="00EB6A81">
      <w:pPr>
        <w:rPr>
          <w:lang w:val="fr-FR"/>
        </w:rPr>
      </w:pPr>
    </w:p>
    <w:p w:rsidR="00115571" w:rsidRPr="004B2881" w:rsidRDefault="00115571" w:rsidP="00EB6A81">
      <w:pPr>
        <w:rPr>
          <w:lang w:val="fr-FR"/>
        </w:rPr>
      </w:pPr>
    </w:p>
    <w:p w:rsidR="00115571" w:rsidRPr="004B2881" w:rsidRDefault="00115571" w:rsidP="00EB6A81">
      <w:pPr>
        <w:rPr>
          <w:lang w:val="fr-FR"/>
        </w:rPr>
      </w:pPr>
    </w:p>
    <w:p w:rsidR="00115571" w:rsidRPr="004B2881" w:rsidRDefault="00115571" w:rsidP="00EB6A81">
      <w:pPr>
        <w:rPr>
          <w:lang w:val="fr-FR"/>
        </w:rPr>
      </w:pPr>
    </w:p>
    <w:p w:rsidR="00E83FA2" w:rsidRPr="004B2881" w:rsidRDefault="00E83FA2" w:rsidP="00EB6A81">
      <w:pPr>
        <w:jc w:val="right"/>
        <w:rPr>
          <w:bCs/>
          <w:lang w:val="fr-FR"/>
        </w:rPr>
      </w:pPr>
    </w:p>
    <w:p w:rsidR="00B27BCC" w:rsidRPr="004B2881" w:rsidRDefault="00B27BCC" w:rsidP="00E83FA2">
      <w:pPr>
        <w:pStyle w:val="Heading1"/>
        <w:jc w:val="center"/>
        <w:rPr>
          <w:lang w:val="fr-FR"/>
        </w:rPr>
        <w:sectPr w:rsidR="00B27BCC" w:rsidRPr="004B2881" w:rsidSect="00115571">
          <w:headerReference w:type="even" r:id="rId8"/>
          <w:headerReference w:type="default" r:id="rId9"/>
          <w:footerReference w:type="even" r:id="rId10"/>
          <w:footerReference w:type="default" r:id="rId11"/>
          <w:headerReference w:type="first" r:id="rId12"/>
          <w:footerReference w:type="first" r:id="rId13"/>
          <w:pgSz w:w="11907" w:h="16840" w:code="9"/>
          <w:pgMar w:top="1418" w:right="567" w:bottom="1418" w:left="1134" w:header="720" w:footer="720" w:gutter="0"/>
          <w:paperSrc w:first="15" w:other="15"/>
          <w:pgNumType w:fmt="lowerRoman" w:start="1"/>
          <w:cols w:space="720"/>
        </w:sectPr>
      </w:pPr>
    </w:p>
    <w:p w:rsidR="00B27BCC" w:rsidRPr="004B2881" w:rsidRDefault="00B27BCC" w:rsidP="00B27BCC">
      <w:pPr>
        <w:rPr>
          <w:b/>
          <w:bCs/>
          <w:lang w:val="fr-FR"/>
        </w:rPr>
      </w:pPr>
    </w:p>
    <w:tbl>
      <w:tblPr>
        <w:tblStyle w:val="TableGrid"/>
        <w:tblW w:w="0" w:type="auto"/>
        <w:jc w:val="center"/>
        <w:tblLook w:val="04A0"/>
      </w:tblPr>
      <w:tblGrid>
        <w:gridCol w:w="9606"/>
      </w:tblGrid>
      <w:tr w:rsidR="00237D3E" w:rsidRPr="004E2CF1" w:rsidTr="001308DA">
        <w:trPr>
          <w:jc w:val="center"/>
        </w:trPr>
        <w:tc>
          <w:tcPr>
            <w:tcW w:w="9606" w:type="dxa"/>
          </w:tcPr>
          <w:p w:rsidR="00237D3E" w:rsidRPr="004B2881" w:rsidRDefault="00972786" w:rsidP="00F03A4B">
            <w:pPr>
              <w:jc w:val="center"/>
              <w:rPr>
                <w:b/>
                <w:bCs/>
                <w:lang w:val="fr-FR"/>
              </w:rPr>
            </w:pPr>
            <w:r w:rsidRPr="004B2881">
              <w:rPr>
                <w:b/>
                <w:bCs/>
                <w:lang w:val="fr-FR"/>
              </w:rPr>
              <w:t>REMERCIEMENTS</w:t>
            </w:r>
          </w:p>
          <w:p w:rsidR="00BD0061" w:rsidRPr="004B2881" w:rsidRDefault="000E1977" w:rsidP="00BD0061">
            <w:pPr>
              <w:rPr>
                <w:bCs/>
                <w:lang w:val="fr-FR"/>
              </w:rPr>
            </w:pPr>
            <w:r w:rsidRPr="004B2881">
              <w:rPr>
                <w:lang w:val="fr-FR"/>
              </w:rPr>
              <w:t>Nous remercions les auteurs de contributions de l'aide qu'ils n'ont cessé d'apporter pour l'élaboration de ce rapport:</w:t>
            </w:r>
          </w:p>
          <w:p w:rsidR="00BD0061" w:rsidRPr="004B2881" w:rsidRDefault="000E1977" w:rsidP="00BD0061">
            <w:pPr>
              <w:rPr>
                <w:bCs/>
                <w:lang w:val="fr-FR"/>
              </w:rPr>
            </w:pPr>
            <w:r w:rsidRPr="004B2881">
              <w:rPr>
                <w:lang w:val="fr-FR"/>
              </w:rPr>
              <w:t>Pour l'ensemble des travaux:</w:t>
            </w:r>
          </w:p>
          <w:p w:rsidR="000E1977" w:rsidRPr="004B2881" w:rsidRDefault="000E1977" w:rsidP="000E1977">
            <w:pPr>
              <w:rPr>
                <w:szCs w:val="24"/>
                <w:lang w:val="fr-FR"/>
              </w:rPr>
            </w:pPr>
            <w:r w:rsidRPr="004B2881">
              <w:rPr>
                <w:szCs w:val="24"/>
                <w:lang w:val="fr-FR"/>
              </w:rPr>
              <w:t>M. Jean-Pierre Huynh (France)</w:t>
            </w:r>
          </w:p>
          <w:p w:rsidR="000E1977" w:rsidRPr="004B2881" w:rsidRDefault="000E1977" w:rsidP="000E1977">
            <w:pPr>
              <w:spacing w:before="0"/>
              <w:rPr>
                <w:szCs w:val="24"/>
                <w:lang w:val="fr-FR"/>
              </w:rPr>
            </w:pPr>
            <w:r w:rsidRPr="004B2881">
              <w:rPr>
                <w:szCs w:val="24"/>
                <w:lang w:val="fr-FR"/>
              </w:rPr>
              <w:t>M. André Chaminade (France)</w:t>
            </w:r>
          </w:p>
          <w:p w:rsidR="000E1977" w:rsidRPr="004B2881" w:rsidRDefault="000E1977" w:rsidP="000E1977">
            <w:pPr>
              <w:spacing w:before="0"/>
              <w:rPr>
                <w:szCs w:val="24"/>
                <w:lang w:val="fr-FR"/>
              </w:rPr>
            </w:pPr>
            <w:r w:rsidRPr="004B2881">
              <w:rPr>
                <w:szCs w:val="24"/>
                <w:lang w:val="fr-FR"/>
              </w:rPr>
              <w:t>M. Dirk-Olivier Von der Emden (Suisse)</w:t>
            </w:r>
          </w:p>
          <w:p w:rsidR="000E1977" w:rsidRPr="004B2881" w:rsidRDefault="000E1977" w:rsidP="000E1977">
            <w:pPr>
              <w:spacing w:before="0"/>
              <w:rPr>
                <w:szCs w:val="24"/>
                <w:lang w:val="fr-FR"/>
              </w:rPr>
            </w:pPr>
            <w:r w:rsidRPr="004B2881">
              <w:rPr>
                <w:szCs w:val="24"/>
                <w:lang w:val="fr-FR"/>
              </w:rPr>
              <w:t>MM. Naser Alrashedi et Hasan Sharif (Emirats arabes unis)</w:t>
            </w:r>
          </w:p>
          <w:p w:rsidR="000E1977" w:rsidRPr="004B2881" w:rsidRDefault="000E1977" w:rsidP="000E1977">
            <w:pPr>
              <w:spacing w:before="0"/>
              <w:rPr>
                <w:szCs w:val="24"/>
                <w:lang w:val="fr-FR"/>
              </w:rPr>
            </w:pPr>
            <w:r w:rsidRPr="004B2881">
              <w:rPr>
                <w:szCs w:val="24"/>
                <w:lang w:val="fr-FR"/>
              </w:rPr>
              <w:t>M. Istvan Bozsoki et Mme Alessandra Pileri (UIT-BDT)</w:t>
            </w:r>
          </w:p>
          <w:p w:rsidR="000E1977" w:rsidRPr="004B2881" w:rsidRDefault="000E1977" w:rsidP="000E1977">
            <w:pPr>
              <w:spacing w:before="0"/>
              <w:rPr>
                <w:szCs w:val="24"/>
                <w:lang w:val="fr-FR"/>
              </w:rPr>
            </w:pPr>
            <w:r w:rsidRPr="004B2881">
              <w:rPr>
                <w:szCs w:val="24"/>
                <w:lang w:val="fr-FR"/>
              </w:rPr>
              <w:t>M. Philippe Aubineau (UIT-BR)</w:t>
            </w:r>
          </w:p>
          <w:p w:rsidR="00BD0061" w:rsidRPr="004B2881" w:rsidRDefault="000E1977" w:rsidP="000E1977">
            <w:pPr>
              <w:spacing w:before="0"/>
              <w:rPr>
                <w:szCs w:val="24"/>
                <w:lang w:val="fr-FR"/>
              </w:rPr>
            </w:pPr>
            <w:r w:rsidRPr="004B2881">
              <w:rPr>
                <w:szCs w:val="24"/>
                <w:lang w:val="fr-FR"/>
              </w:rPr>
              <w:t>La Commission de Valorisation du Spectre (Agence Nationale des Fréquences, France)</w:t>
            </w:r>
          </w:p>
          <w:p w:rsidR="007A00CC" w:rsidRPr="004B2881" w:rsidRDefault="007A00CC" w:rsidP="000E1977">
            <w:pPr>
              <w:spacing w:before="0"/>
              <w:rPr>
                <w:bCs/>
                <w:lang w:val="fr-FR"/>
              </w:rPr>
            </w:pPr>
          </w:p>
          <w:p w:rsidR="00BD0061" w:rsidRPr="004B2881" w:rsidRDefault="000E1977" w:rsidP="00BD0061">
            <w:pPr>
              <w:rPr>
                <w:bCs/>
                <w:lang w:val="fr-FR"/>
              </w:rPr>
            </w:pPr>
            <w:r w:rsidRPr="004B2881">
              <w:rPr>
                <w:lang w:val="fr-FR"/>
              </w:rPr>
              <w:t>Pour les besoins spécifiques des pays en développement en matière de tarification du spectre:</w:t>
            </w:r>
          </w:p>
          <w:p w:rsidR="000E1977" w:rsidRPr="004B2881" w:rsidRDefault="000E1977" w:rsidP="000E1977">
            <w:pPr>
              <w:rPr>
                <w:lang w:val="fr-FR"/>
              </w:rPr>
            </w:pPr>
            <w:r w:rsidRPr="004B2881">
              <w:rPr>
                <w:lang w:val="fr-FR"/>
              </w:rPr>
              <w:t>Mme Roukétou Bagoro et M. Souleimane Zabre (Burkina Faso)</w:t>
            </w:r>
          </w:p>
          <w:p w:rsidR="000E1977" w:rsidRPr="004B2881" w:rsidRDefault="000E1977" w:rsidP="000E1977">
            <w:pPr>
              <w:spacing w:before="0"/>
              <w:rPr>
                <w:lang w:val="fr-FR"/>
              </w:rPr>
            </w:pPr>
            <w:r w:rsidRPr="004B2881">
              <w:rPr>
                <w:lang w:val="fr-FR"/>
              </w:rPr>
              <w:t>M. Roger Manga Ayissi (Cameroun)</w:t>
            </w:r>
          </w:p>
          <w:p w:rsidR="000E1977" w:rsidRPr="004B2881" w:rsidRDefault="000E1977" w:rsidP="000E1977">
            <w:pPr>
              <w:spacing w:before="0"/>
              <w:rPr>
                <w:lang w:val="fr-FR"/>
              </w:rPr>
            </w:pPr>
            <w:r w:rsidRPr="004B2881">
              <w:rPr>
                <w:lang w:val="fr-FR"/>
              </w:rPr>
              <w:t>M. Jean-Jacques Massima (Gabon)</w:t>
            </w:r>
          </w:p>
          <w:p w:rsidR="000E1977" w:rsidRPr="004B2881" w:rsidRDefault="000E1977" w:rsidP="000E1977">
            <w:pPr>
              <w:spacing w:before="0"/>
              <w:rPr>
                <w:lang w:val="fr-FR"/>
              </w:rPr>
            </w:pPr>
            <w:r w:rsidRPr="004B2881">
              <w:rPr>
                <w:lang w:val="fr-FR"/>
              </w:rPr>
              <w:t>M. Abdoulaye Kébé (Guinée)</w:t>
            </w:r>
          </w:p>
          <w:p w:rsidR="00BD0061" w:rsidRPr="004B2881" w:rsidRDefault="000E1977" w:rsidP="000E1977">
            <w:pPr>
              <w:spacing w:before="0"/>
              <w:rPr>
                <w:lang w:val="fr-FR"/>
              </w:rPr>
            </w:pPr>
            <w:r w:rsidRPr="004B2881">
              <w:rPr>
                <w:lang w:val="fr-FR"/>
              </w:rPr>
              <w:t>M. Abdoulaye Dembélé (Mali)</w:t>
            </w:r>
          </w:p>
          <w:p w:rsidR="007A00CC" w:rsidRPr="004B2881" w:rsidRDefault="007A00CC" w:rsidP="000E1977">
            <w:pPr>
              <w:spacing w:before="0"/>
              <w:rPr>
                <w:bCs/>
                <w:lang w:val="fr-FR"/>
              </w:rPr>
            </w:pPr>
          </w:p>
          <w:p w:rsidR="00BD0061" w:rsidRPr="004B2881" w:rsidRDefault="000E1977" w:rsidP="00BD0061">
            <w:pPr>
              <w:rPr>
                <w:bCs/>
                <w:lang w:val="fr-FR"/>
              </w:rPr>
            </w:pPr>
            <w:r w:rsidRPr="004B2881">
              <w:rPr>
                <w:lang w:val="fr-FR"/>
              </w:rPr>
              <w:t>Pour l'ensemble du rapport:</w:t>
            </w:r>
          </w:p>
          <w:p w:rsidR="00BD0061" w:rsidRPr="004B2881" w:rsidRDefault="000E1977" w:rsidP="00BD0061">
            <w:pPr>
              <w:rPr>
                <w:bCs/>
                <w:lang w:val="fr-FR"/>
              </w:rPr>
            </w:pPr>
            <w:r w:rsidRPr="004B2881">
              <w:rPr>
                <w:lang w:val="fr-FR"/>
              </w:rPr>
              <w:t>M. Nabil Kisrawi (République arabe syrienne, Président de la Commission d'études 2 de l'UIT-D)</w:t>
            </w:r>
          </w:p>
          <w:p w:rsidR="00BD0061" w:rsidRPr="004B2881" w:rsidRDefault="000E1977" w:rsidP="007A00CC">
            <w:pPr>
              <w:spacing w:before="0"/>
              <w:rPr>
                <w:bCs/>
                <w:lang w:val="fr-FR"/>
              </w:rPr>
            </w:pPr>
            <w:r w:rsidRPr="004B2881">
              <w:rPr>
                <w:lang w:val="fr-FR"/>
              </w:rPr>
              <w:t>M. Jean-Pierre Huynh (France, Coprésident du Groupe de travail mixte sur la Résolution 9, représentant l'UIT-D)</w:t>
            </w:r>
          </w:p>
          <w:p w:rsidR="00237D3E" w:rsidRPr="004B2881" w:rsidRDefault="00237D3E" w:rsidP="00F03A4B">
            <w:pPr>
              <w:rPr>
                <w:lang w:val="fr-FR"/>
              </w:rPr>
            </w:pPr>
          </w:p>
          <w:p w:rsidR="00237D3E" w:rsidRPr="004B2881" w:rsidRDefault="00237D3E" w:rsidP="00F03A4B">
            <w:pPr>
              <w:spacing w:before="0"/>
              <w:jc w:val="left"/>
              <w:rPr>
                <w:lang w:val="fr-FR"/>
              </w:rPr>
            </w:pPr>
          </w:p>
        </w:tc>
      </w:tr>
    </w:tbl>
    <w:p w:rsidR="00B27BCC" w:rsidRPr="004B2881" w:rsidRDefault="00B27BCC" w:rsidP="00B27BCC">
      <w:pPr>
        <w:jc w:val="left"/>
        <w:rPr>
          <w:b/>
          <w:bCs/>
          <w:lang w:val="fr-FR"/>
        </w:rPr>
      </w:pPr>
    </w:p>
    <w:p w:rsidR="00B27BCC" w:rsidRPr="004B2881" w:rsidRDefault="00B27BCC" w:rsidP="00B27BCC">
      <w:pPr>
        <w:jc w:val="left"/>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4E2CF1" w:rsidTr="00115571">
        <w:trPr>
          <w:trHeight w:val="1145"/>
          <w:jc w:val="center"/>
        </w:trPr>
        <w:tc>
          <w:tcPr>
            <w:tcW w:w="9620" w:type="dxa"/>
            <w:shd w:val="clear" w:color="auto" w:fill="FFFFFF"/>
          </w:tcPr>
          <w:p w:rsidR="007A221D" w:rsidRPr="004B2881" w:rsidRDefault="007A221D" w:rsidP="007A221D">
            <w:pPr>
              <w:rPr>
                <w:b/>
                <w:bCs/>
                <w:szCs w:val="24"/>
                <w:lang w:val="fr-FR"/>
              </w:rPr>
            </w:pPr>
            <w:r w:rsidRPr="004B2881">
              <w:rPr>
                <w:b/>
                <w:bCs/>
                <w:szCs w:val="24"/>
                <w:lang w:val="fr-FR"/>
              </w:rPr>
              <w:t>DÉNI DE RESPONSABILITÉ</w:t>
            </w:r>
          </w:p>
          <w:p w:rsidR="00B27BCC" w:rsidRPr="004B2881" w:rsidRDefault="007A221D" w:rsidP="007A221D">
            <w:pPr>
              <w:pStyle w:val="Normalaftertitle"/>
              <w:spacing w:before="160" w:after="160"/>
              <w:rPr>
                <w:lang w:val="fr-FR"/>
              </w:rPr>
            </w:pPr>
            <w:r w:rsidRPr="004B2881">
              <w:rPr>
                <w:b/>
                <w:bCs/>
                <w:lang w:val="fr-FR"/>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B27BCC" w:rsidRPr="004B2881" w:rsidRDefault="00B27BCC" w:rsidP="00B27BCC">
      <w:pPr>
        <w:rPr>
          <w:lang w:val="fr-FR"/>
        </w:rPr>
      </w:pPr>
    </w:p>
    <w:p w:rsidR="00747593" w:rsidRPr="004B2881" w:rsidRDefault="00747593" w:rsidP="00747593">
      <w:pPr>
        <w:pStyle w:val="FigureNotitle"/>
        <w:rPr>
          <w:sz w:val="28"/>
          <w:lang w:val="fr-FR"/>
        </w:rPr>
        <w:sectPr w:rsidR="00747593" w:rsidRPr="004B2881" w:rsidSect="00654857">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4B2881" w:rsidRDefault="00C155C6" w:rsidP="00C155C6">
      <w:pPr>
        <w:pStyle w:val="Figure"/>
        <w:keepNext w:val="0"/>
        <w:keepLines w:val="0"/>
        <w:spacing w:before="120" w:after="0"/>
        <w:rPr>
          <w:b/>
          <w:bCs/>
          <w:sz w:val="28"/>
          <w:szCs w:val="22"/>
          <w:lang w:val="fr-FR"/>
        </w:rPr>
      </w:pPr>
      <w:r w:rsidRPr="004B2881">
        <w:rPr>
          <w:b/>
          <w:bCs/>
          <w:sz w:val="28"/>
          <w:szCs w:val="22"/>
          <w:lang w:val="fr-FR"/>
        </w:rPr>
        <w:lastRenderedPageBreak/>
        <w:t>TABLE DES MATIÈRES</w:t>
      </w:r>
    </w:p>
    <w:p w:rsidR="00096FCD" w:rsidRPr="004B2881" w:rsidRDefault="0008342F" w:rsidP="00096FCD">
      <w:pPr>
        <w:pStyle w:val="Recdate"/>
        <w:keepLines w:val="0"/>
        <w:tabs>
          <w:tab w:val="right" w:pos="9639"/>
        </w:tabs>
        <w:jc w:val="left"/>
        <w:rPr>
          <w:b/>
          <w:iCs/>
          <w:lang w:val="fr-FR"/>
        </w:rPr>
      </w:pPr>
      <w:r w:rsidRPr="004B2881">
        <w:rPr>
          <w:iCs/>
          <w:lang w:val="fr-FR"/>
        </w:rPr>
        <w:tab/>
      </w:r>
      <w:r w:rsidRPr="004B2881">
        <w:rPr>
          <w:b/>
          <w:iCs/>
          <w:lang w:val="fr-FR"/>
        </w:rPr>
        <w:t>Page</w:t>
      </w:r>
    </w:p>
    <w:p w:rsidR="00F86753" w:rsidRPr="004B2881" w:rsidRDefault="0084368D">
      <w:pPr>
        <w:pStyle w:val="TOC1"/>
        <w:rPr>
          <w:rFonts w:asciiTheme="minorHAnsi" w:eastAsia="SimSun" w:hAnsiTheme="minorHAnsi" w:cstheme="minorBidi"/>
          <w:szCs w:val="22"/>
          <w:lang w:val="fr-FR" w:eastAsia="zh-CN"/>
        </w:rPr>
      </w:pPr>
      <w:r w:rsidRPr="0084368D">
        <w:rPr>
          <w:rFonts w:eastAsia="SimSun"/>
          <w:webHidden/>
          <w:lang w:val="fr-FR"/>
        </w:rPr>
        <w:fldChar w:fldCharType="begin"/>
      </w:r>
      <w:r w:rsidR="00F86753" w:rsidRPr="004B2881">
        <w:rPr>
          <w:rFonts w:eastAsia="SimSun"/>
          <w:webHidden/>
          <w:lang w:val="fr-FR"/>
        </w:rPr>
        <w:instrText xml:space="preserve"> TOC \o "1-1" \h \z \t "Heading 2;2;Annex_No &amp; title;1;Appendix_No &amp; title;1" </w:instrText>
      </w:r>
      <w:r w:rsidRPr="0084368D">
        <w:rPr>
          <w:rFonts w:eastAsia="SimSun"/>
          <w:webHidden/>
          <w:lang w:val="fr-FR"/>
        </w:rPr>
        <w:fldChar w:fldCharType="separate"/>
      </w:r>
      <w:hyperlink w:anchor="_Toc286314854" w:history="1">
        <w:r w:rsidR="00F86753" w:rsidRPr="004B2881">
          <w:rPr>
            <w:rStyle w:val="Hyperlink"/>
            <w:lang w:val="fr-FR"/>
          </w:rPr>
          <w:t>1</w:t>
        </w:r>
        <w:r w:rsidR="00F86753" w:rsidRPr="004B2881">
          <w:rPr>
            <w:rFonts w:asciiTheme="minorHAnsi" w:eastAsia="SimSun" w:hAnsiTheme="minorHAnsi" w:cstheme="minorBidi"/>
            <w:szCs w:val="22"/>
            <w:lang w:val="fr-FR" w:eastAsia="zh-CN"/>
          </w:rPr>
          <w:tab/>
        </w:r>
        <w:r w:rsidR="00F86753" w:rsidRPr="004B2881">
          <w:rPr>
            <w:rStyle w:val="Hyperlink"/>
            <w:lang w:val="fr-FR"/>
          </w:rPr>
          <w:t>Introduction</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_Toc286314854 \h </w:instrText>
        </w:r>
        <w:r w:rsidRPr="004B2881">
          <w:rPr>
            <w:webHidden/>
            <w:lang w:val="fr-FR"/>
          </w:rPr>
        </w:r>
        <w:r w:rsidRPr="004B2881">
          <w:rPr>
            <w:webHidden/>
            <w:lang w:val="fr-FR"/>
          </w:rPr>
          <w:fldChar w:fldCharType="separate"/>
        </w:r>
        <w:r w:rsidR="00F86753" w:rsidRPr="004B2881">
          <w:rPr>
            <w:webHidden/>
            <w:lang w:val="fr-FR"/>
          </w:rPr>
          <w:t>1</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55" w:history="1">
        <w:r w:rsidR="00F86753" w:rsidRPr="004B2881">
          <w:rPr>
            <w:rStyle w:val="Hyperlink"/>
            <w:lang w:val="fr-FR"/>
          </w:rPr>
          <w:t>2</w:t>
        </w:r>
        <w:r w:rsidR="00F86753" w:rsidRPr="004B2881">
          <w:rPr>
            <w:rFonts w:asciiTheme="minorHAnsi" w:eastAsia="SimSun" w:hAnsiTheme="minorHAnsi" w:cstheme="minorBidi"/>
            <w:szCs w:val="22"/>
            <w:lang w:val="fr-FR" w:eastAsia="zh-CN"/>
          </w:rPr>
          <w:tab/>
        </w:r>
        <w:r w:rsidR="00F86753" w:rsidRPr="004B2881">
          <w:rPr>
            <w:rStyle w:val="Hyperlink"/>
            <w:lang w:val="fr-FR"/>
          </w:rPr>
          <w:t>Définitions propres au présent document</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_Toc286314855 \h </w:instrText>
        </w:r>
        <w:r w:rsidRPr="004B2881">
          <w:rPr>
            <w:webHidden/>
            <w:lang w:val="fr-FR"/>
          </w:rPr>
        </w:r>
        <w:r w:rsidRPr="004B2881">
          <w:rPr>
            <w:webHidden/>
            <w:lang w:val="fr-FR"/>
          </w:rPr>
          <w:fldChar w:fldCharType="separate"/>
        </w:r>
        <w:r w:rsidR="00F86753" w:rsidRPr="004B2881">
          <w:rPr>
            <w:webHidden/>
            <w:lang w:val="fr-FR"/>
          </w:rPr>
          <w:t>1</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56" w:history="1">
        <w:r w:rsidR="00F86753" w:rsidRPr="004B2881">
          <w:rPr>
            <w:rStyle w:val="Hyperlink"/>
            <w:lang w:val="fr-FR"/>
          </w:rPr>
          <w:t>3</w:t>
        </w:r>
        <w:r w:rsidR="00F86753" w:rsidRPr="004B2881">
          <w:rPr>
            <w:rFonts w:asciiTheme="minorHAnsi" w:eastAsia="SimSun" w:hAnsiTheme="minorHAnsi" w:cstheme="minorBidi"/>
            <w:szCs w:val="22"/>
            <w:lang w:val="fr-FR" w:eastAsia="zh-CN"/>
          </w:rPr>
          <w:tab/>
        </w:r>
        <w:r w:rsidR="00F86753" w:rsidRPr="004B2881">
          <w:rPr>
            <w:rStyle w:val="Hyperlink"/>
            <w:lang w:val="fr-FR"/>
          </w:rPr>
          <w:t>Principes de bases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_Toc286314856 \h </w:instrText>
        </w:r>
        <w:r w:rsidRPr="004B2881">
          <w:rPr>
            <w:webHidden/>
            <w:lang w:val="fr-FR"/>
          </w:rPr>
        </w:r>
        <w:r w:rsidRPr="004B2881">
          <w:rPr>
            <w:webHidden/>
            <w:lang w:val="fr-FR"/>
          </w:rPr>
          <w:fldChar w:fldCharType="separate"/>
        </w:r>
        <w:r w:rsidR="00F86753" w:rsidRPr="004B2881">
          <w:rPr>
            <w:webHidden/>
            <w:lang w:val="fr-FR"/>
          </w:rPr>
          <w:t>1</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57" w:history="1">
        <w:r w:rsidR="00F86753" w:rsidRPr="004B2881">
          <w:rPr>
            <w:rStyle w:val="Hyperlink"/>
            <w:lang w:val="fr-FR"/>
          </w:rPr>
          <w:t>3.1</w:t>
        </w:r>
        <w:r w:rsidR="00F86753" w:rsidRPr="004B2881">
          <w:rPr>
            <w:rFonts w:asciiTheme="minorHAnsi" w:eastAsia="SimSun" w:hAnsiTheme="minorHAnsi" w:cstheme="minorBidi"/>
            <w:szCs w:val="22"/>
            <w:lang w:val="fr-FR" w:eastAsia="zh-CN"/>
          </w:rPr>
          <w:tab/>
        </w:r>
        <w:r w:rsidR="00F86753" w:rsidRPr="004B2881">
          <w:rPr>
            <w:rStyle w:val="Hyperlink"/>
            <w:lang w:val="fr-FR"/>
          </w:rPr>
          <w:t>Principes juridiques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_Toc286314857 \h </w:instrText>
        </w:r>
        <w:r w:rsidRPr="004B2881">
          <w:rPr>
            <w:webHidden/>
            <w:lang w:val="fr-FR"/>
          </w:rPr>
        </w:r>
        <w:r w:rsidRPr="004B2881">
          <w:rPr>
            <w:webHidden/>
            <w:lang w:val="fr-FR"/>
          </w:rPr>
          <w:fldChar w:fldCharType="separate"/>
        </w:r>
        <w:r w:rsidR="00F86753" w:rsidRPr="004B2881">
          <w:rPr>
            <w:webHidden/>
            <w:lang w:val="fr-FR"/>
          </w:rPr>
          <w:t>1</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58" w:history="1">
        <w:r w:rsidR="00F86753" w:rsidRPr="004B2881">
          <w:rPr>
            <w:rStyle w:val="Hyperlink"/>
            <w:lang w:val="fr-FR"/>
          </w:rPr>
          <w:t>3.2</w:t>
        </w:r>
        <w:r w:rsidR="00F86753" w:rsidRPr="004B2881">
          <w:rPr>
            <w:rFonts w:asciiTheme="minorHAnsi" w:eastAsia="SimSun" w:hAnsiTheme="minorHAnsi" w:cstheme="minorBidi"/>
            <w:szCs w:val="22"/>
            <w:lang w:val="fr-FR" w:eastAsia="zh-CN"/>
          </w:rPr>
          <w:tab/>
        </w:r>
        <w:r w:rsidR="00F86753" w:rsidRPr="004B2881">
          <w:rPr>
            <w:rStyle w:val="Hyperlink"/>
            <w:lang w:val="fr-FR"/>
          </w:rPr>
          <w:t>Principes économiques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_Toc286314858 \h </w:instrText>
        </w:r>
        <w:r w:rsidRPr="004B2881">
          <w:rPr>
            <w:webHidden/>
            <w:lang w:val="fr-FR"/>
          </w:rPr>
        </w:r>
        <w:r w:rsidRPr="004B2881">
          <w:rPr>
            <w:webHidden/>
            <w:lang w:val="fr-FR"/>
          </w:rPr>
          <w:fldChar w:fldCharType="separate"/>
        </w:r>
        <w:r w:rsidR="00F86753" w:rsidRPr="004B2881">
          <w:rPr>
            <w:webHidden/>
            <w:lang w:val="fr-FR"/>
          </w:rPr>
          <w:t>2</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59" w:history="1">
        <w:r w:rsidR="00F86753" w:rsidRPr="004B2881">
          <w:rPr>
            <w:rStyle w:val="Hyperlink"/>
            <w:lang w:val="fr-FR"/>
          </w:rPr>
          <w:t>3.3</w:t>
        </w:r>
        <w:r w:rsidR="00F86753" w:rsidRPr="004B2881">
          <w:rPr>
            <w:rFonts w:asciiTheme="minorHAnsi" w:eastAsia="SimSun" w:hAnsiTheme="minorHAnsi" w:cstheme="minorBidi"/>
            <w:szCs w:val="22"/>
            <w:lang w:val="fr-FR" w:eastAsia="zh-CN"/>
          </w:rPr>
          <w:tab/>
        </w:r>
        <w:r w:rsidR="00F86753" w:rsidRPr="004B2881">
          <w:rPr>
            <w:rStyle w:val="Hyperlink"/>
            <w:lang w:val="fr-FR"/>
          </w:rPr>
          <w:t>Principes de réalité</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_Toc286314859 \h </w:instrText>
        </w:r>
        <w:r w:rsidRPr="004B2881">
          <w:rPr>
            <w:webHidden/>
            <w:lang w:val="fr-FR"/>
          </w:rPr>
        </w:r>
        <w:r w:rsidRPr="004B2881">
          <w:rPr>
            <w:webHidden/>
            <w:lang w:val="fr-FR"/>
          </w:rPr>
          <w:fldChar w:fldCharType="separate"/>
        </w:r>
        <w:r w:rsidR="00F86753" w:rsidRPr="004B2881">
          <w:rPr>
            <w:webHidden/>
            <w:lang w:val="fr-FR"/>
          </w:rPr>
          <w:t>3</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60" w:history="1">
        <w:r w:rsidR="00F86753" w:rsidRPr="004B2881">
          <w:rPr>
            <w:rStyle w:val="Hyperlink"/>
            <w:lang w:val="fr-FR"/>
          </w:rPr>
          <w:t>4</w:t>
        </w:r>
        <w:r w:rsidR="00F86753" w:rsidRPr="004B2881">
          <w:rPr>
            <w:rFonts w:asciiTheme="minorHAnsi" w:eastAsia="SimSun" w:hAnsiTheme="minorHAnsi" w:cstheme="minorBidi"/>
            <w:szCs w:val="22"/>
            <w:lang w:val="fr-FR" w:eastAsia="zh-CN"/>
          </w:rPr>
          <w:tab/>
        </w:r>
        <w:r w:rsidR="00F86753" w:rsidRPr="004B2881">
          <w:rPr>
            <w:rStyle w:val="Hyperlink"/>
            <w:lang w:val="fr-FR"/>
          </w:rPr>
          <w:t>Lignes directrices pour l'établissement des redevances administratives (ou taxes administratives)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_Toc286314860 \h </w:instrText>
        </w:r>
        <w:r w:rsidRPr="004B2881">
          <w:rPr>
            <w:webHidden/>
            <w:lang w:val="fr-FR"/>
          </w:rPr>
        </w:r>
        <w:r w:rsidRPr="004B2881">
          <w:rPr>
            <w:webHidden/>
            <w:lang w:val="fr-FR"/>
          </w:rPr>
          <w:fldChar w:fldCharType="separate"/>
        </w:r>
        <w:r w:rsidR="00F86753" w:rsidRPr="004B2881">
          <w:rPr>
            <w:webHidden/>
            <w:lang w:val="fr-FR"/>
          </w:rPr>
          <w:t>3</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61" w:history="1">
        <w:r w:rsidR="00F86753" w:rsidRPr="004B2881">
          <w:rPr>
            <w:rStyle w:val="Hyperlink"/>
            <w:lang w:val="fr-FR"/>
          </w:rPr>
          <w:t>4.1</w:t>
        </w:r>
        <w:r w:rsidR="00F86753" w:rsidRPr="004B2881">
          <w:rPr>
            <w:rFonts w:asciiTheme="minorHAnsi" w:eastAsia="SimSun" w:hAnsiTheme="minorHAnsi" w:cstheme="minorBidi"/>
            <w:szCs w:val="22"/>
            <w:lang w:val="fr-FR" w:eastAsia="zh-CN"/>
          </w:rPr>
          <w:tab/>
        </w:r>
        <w:r w:rsidR="00F86753" w:rsidRPr="004B2881">
          <w:rPr>
            <w:rStyle w:val="Hyperlink"/>
            <w:lang w:val="fr-FR"/>
          </w:rPr>
          <w:t>Observations et dispositions générales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_Toc286314861 \h </w:instrText>
        </w:r>
        <w:r w:rsidRPr="004B2881">
          <w:rPr>
            <w:webHidden/>
            <w:lang w:val="fr-FR"/>
          </w:rPr>
        </w:r>
        <w:r w:rsidRPr="004B2881">
          <w:rPr>
            <w:webHidden/>
            <w:lang w:val="fr-FR"/>
          </w:rPr>
          <w:fldChar w:fldCharType="separate"/>
        </w:r>
        <w:r w:rsidR="00F86753" w:rsidRPr="004B2881">
          <w:rPr>
            <w:webHidden/>
            <w:lang w:val="fr-FR"/>
          </w:rPr>
          <w:t>3</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62" w:history="1">
        <w:r w:rsidR="00F86753" w:rsidRPr="004B2881">
          <w:rPr>
            <w:rStyle w:val="Hyperlink"/>
            <w:lang w:val="fr-FR"/>
          </w:rPr>
          <w:t>4.2</w:t>
        </w:r>
        <w:r w:rsidR="00F86753" w:rsidRPr="004B2881">
          <w:rPr>
            <w:rFonts w:asciiTheme="minorHAnsi" w:eastAsia="SimSun" w:hAnsiTheme="minorHAnsi" w:cstheme="minorBidi"/>
            <w:szCs w:val="22"/>
            <w:lang w:val="fr-FR" w:eastAsia="zh-CN"/>
          </w:rPr>
          <w:tab/>
        </w:r>
        <w:r w:rsidR="00F86753" w:rsidRPr="004B2881">
          <w:rPr>
            <w:rStyle w:val="Hyperlink"/>
            <w:lang w:val="fr-FR"/>
          </w:rPr>
          <w:t>Règle de répartition des charges administratives – Exemple 1</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_Toc286314862 \h </w:instrText>
        </w:r>
        <w:r w:rsidRPr="004B2881">
          <w:rPr>
            <w:webHidden/>
            <w:lang w:val="fr-FR"/>
          </w:rPr>
        </w:r>
        <w:r w:rsidRPr="004B2881">
          <w:rPr>
            <w:webHidden/>
            <w:lang w:val="fr-FR"/>
          </w:rPr>
          <w:fldChar w:fldCharType="separate"/>
        </w:r>
        <w:r w:rsidR="00F86753" w:rsidRPr="004B2881">
          <w:rPr>
            <w:webHidden/>
            <w:lang w:val="fr-FR"/>
          </w:rPr>
          <w:t>4</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63" w:history="1">
        <w:r w:rsidR="00F86753" w:rsidRPr="004B2881">
          <w:rPr>
            <w:rStyle w:val="Hyperlink"/>
            <w:lang w:val="fr-FR"/>
          </w:rPr>
          <w:t>4.3</w:t>
        </w:r>
        <w:r w:rsidR="00F86753" w:rsidRPr="004B2881">
          <w:rPr>
            <w:rFonts w:asciiTheme="minorHAnsi" w:eastAsia="SimSun" w:hAnsiTheme="minorHAnsi" w:cstheme="minorBidi"/>
            <w:szCs w:val="22"/>
            <w:lang w:val="fr-FR" w:eastAsia="zh-CN"/>
          </w:rPr>
          <w:tab/>
        </w:r>
        <w:r w:rsidR="00F86753" w:rsidRPr="004B2881">
          <w:rPr>
            <w:rStyle w:val="Hyperlink"/>
            <w:lang w:val="fr-FR"/>
          </w:rPr>
          <w:t>Règle de répartition des charges administratives – Exemple 2</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_Toc286314863 \h </w:instrText>
        </w:r>
        <w:r w:rsidRPr="004B2881">
          <w:rPr>
            <w:webHidden/>
            <w:lang w:val="fr-FR"/>
          </w:rPr>
        </w:r>
        <w:r w:rsidRPr="004B2881">
          <w:rPr>
            <w:webHidden/>
            <w:lang w:val="fr-FR"/>
          </w:rPr>
          <w:fldChar w:fldCharType="separate"/>
        </w:r>
        <w:r w:rsidR="00F86753" w:rsidRPr="004B2881">
          <w:rPr>
            <w:webHidden/>
            <w:lang w:val="fr-FR"/>
          </w:rPr>
          <w:t>4</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64" w:history="1">
        <w:r w:rsidR="00F86753" w:rsidRPr="004B2881">
          <w:rPr>
            <w:rStyle w:val="Hyperlink"/>
            <w:lang w:val="fr-FR"/>
          </w:rPr>
          <w:t>5</w:t>
        </w:r>
        <w:r w:rsidR="00F86753" w:rsidRPr="004B2881">
          <w:rPr>
            <w:rFonts w:asciiTheme="minorHAnsi" w:eastAsia="SimSun" w:hAnsiTheme="minorHAnsi" w:cstheme="minorBidi"/>
            <w:szCs w:val="22"/>
            <w:lang w:val="fr-FR" w:eastAsia="zh-CN"/>
          </w:rPr>
          <w:tab/>
        </w:r>
        <w:r w:rsidR="00F86753" w:rsidRPr="004B2881">
          <w:rPr>
            <w:rStyle w:val="Hyperlink"/>
            <w:lang w:val="fr-FR"/>
          </w:rPr>
          <w:t>Lignes directrices pour l'établissement des redevances du spectre</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_Toc286314864 \h </w:instrText>
        </w:r>
        <w:r w:rsidRPr="004B2881">
          <w:rPr>
            <w:webHidden/>
            <w:lang w:val="fr-FR"/>
          </w:rPr>
        </w:r>
        <w:r w:rsidRPr="004B2881">
          <w:rPr>
            <w:webHidden/>
            <w:lang w:val="fr-FR"/>
          </w:rPr>
          <w:fldChar w:fldCharType="separate"/>
        </w:r>
        <w:r w:rsidR="00F86753" w:rsidRPr="004B2881">
          <w:rPr>
            <w:webHidden/>
            <w:lang w:val="fr-FR"/>
          </w:rPr>
          <w:t>4</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65" w:history="1">
        <w:r w:rsidR="00F86753" w:rsidRPr="004B2881">
          <w:rPr>
            <w:rStyle w:val="Hyperlink"/>
            <w:lang w:val="fr-FR"/>
          </w:rPr>
          <w:t>5.1</w:t>
        </w:r>
        <w:r w:rsidR="00F86753" w:rsidRPr="004B2881">
          <w:rPr>
            <w:rFonts w:asciiTheme="minorHAnsi" w:eastAsia="SimSun" w:hAnsiTheme="minorHAnsi" w:cstheme="minorBidi"/>
            <w:szCs w:val="22"/>
            <w:lang w:val="fr-FR" w:eastAsia="zh-CN"/>
          </w:rPr>
          <w:tab/>
        </w:r>
        <w:r w:rsidR="00F86753" w:rsidRPr="004B2881">
          <w:rPr>
            <w:rStyle w:val="Hyperlink"/>
            <w:lang w:val="fr-FR"/>
          </w:rPr>
          <w:t>Observations et dispositions générales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_Toc286314865 \h </w:instrText>
        </w:r>
        <w:r w:rsidRPr="004B2881">
          <w:rPr>
            <w:webHidden/>
            <w:lang w:val="fr-FR"/>
          </w:rPr>
        </w:r>
        <w:r w:rsidRPr="004B2881">
          <w:rPr>
            <w:webHidden/>
            <w:lang w:val="fr-FR"/>
          </w:rPr>
          <w:fldChar w:fldCharType="separate"/>
        </w:r>
        <w:r w:rsidR="00F86753" w:rsidRPr="004B2881">
          <w:rPr>
            <w:webHidden/>
            <w:lang w:val="fr-FR"/>
          </w:rPr>
          <w:t>4</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66" w:history="1">
        <w:r w:rsidR="00F86753" w:rsidRPr="004B2881">
          <w:rPr>
            <w:rStyle w:val="Hyperlink"/>
            <w:lang w:val="fr-FR"/>
          </w:rPr>
          <w:t>5.2</w:t>
        </w:r>
        <w:r w:rsidR="00F86753" w:rsidRPr="004B2881">
          <w:rPr>
            <w:rFonts w:asciiTheme="minorHAnsi" w:eastAsia="SimSun" w:hAnsiTheme="minorHAnsi" w:cstheme="minorBidi"/>
            <w:szCs w:val="22"/>
            <w:lang w:val="fr-FR" w:eastAsia="zh-CN"/>
          </w:rPr>
          <w:tab/>
        </w:r>
        <w:r w:rsidR="00F86753" w:rsidRPr="004B2881">
          <w:rPr>
            <w:rStyle w:val="Hyperlink"/>
            <w:lang w:val="fr-FR"/>
          </w:rPr>
          <w:t>Redevances du spectre relatives aux fréquences destinées aux besoins propres des utilisateurs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_Toc286314866 \h </w:instrText>
        </w:r>
        <w:r w:rsidRPr="004B2881">
          <w:rPr>
            <w:webHidden/>
            <w:lang w:val="fr-FR"/>
          </w:rPr>
        </w:r>
        <w:r w:rsidRPr="004B2881">
          <w:rPr>
            <w:webHidden/>
            <w:lang w:val="fr-FR"/>
          </w:rPr>
          <w:fldChar w:fldCharType="separate"/>
        </w:r>
        <w:r w:rsidR="00F86753" w:rsidRPr="004B2881">
          <w:rPr>
            <w:webHidden/>
            <w:lang w:val="fr-FR"/>
          </w:rPr>
          <w:t>6</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67" w:history="1">
        <w:r w:rsidR="00F86753" w:rsidRPr="004B2881">
          <w:rPr>
            <w:rStyle w:val="Hyperlink"/>
            <w:lang w:val="fr-FR"/>
          </w:rPr>
          <w:t>5.3</w:t>
        </w:r>
        <w:r w:rsidR="00F86753" w:rsidRPr="004B2881">
          <w:rPr>
            <w:rFonts w:asciiTheme="minorHAnsi" w:eastAsia="SimSun" w:hAnsiTheme="minorHAnsi" w:cstheme="minorBidi"/>
            <w:szCs w:val="22"/>
            <w:lang w:val="fr-FR" w:eastAsia="zh-CN"/>
          </w:rPr>
          <w:tab/>
        </w:r>
        <w:r w:rsidR="00F86753" w:rsidRPr="004B2881">
          <w:rPr>
            <w:rStyle w:val="Hyperlink"/>
            <w:lang w:val="fr-FR"/>
          </w:rPr>
          <w:t>Redevances du spectre relatives aux fréquences utilisées pour offrir ou commercialiser des services destinés à un marché de consommateurs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_Toc286314867 \h </w:instrText>
        </w:r>
        <w:r w:rsidRPr="004B2881">
          <w:rPr>
            <w:webHidden/>
            <w:lang w:val="fr-FR"/>
          </w:rPr>
        </w:r>
        <w:r w:rsidRPr="004B2881">
          <w:rPr>
            <w:webHidden/>
            <w:lang w:val="fr-FR"/>
          </w:rPr>
          <w:fldChar w:fldCharType="separate"/>
        </w:r>
        <w:r w:rsidR="00F86753" w:rsidRPr="004B2881">
          <w:rPr>
            <w:webHidden/>
            <w:lang w:val="fr-FR"/>
          </w:rPr>
          <w:t>7</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68" w:history="1">
        <w:r w:rsidR="00F86753" w:rsidRPr="004B2881">
          <w:rPr>
            <w:rStyle w:val="Hyperlink"/>
            <w:lang w:val="fr-FR"/>
          </w:rPr>
          <w:t>6</w:t>
        </w:r>
        <w:r w:rsidR="00F86753" w:rsidRPr="004B2881">
          <w:rPr>
            <w:rFonts w:asciiTheme="minorHAnsi" w:eastAsia="SimSun" w:hAnsiTheme="minorHAnsi" w:cstheme="minorBidi"/>
            <w:szCs w:val="22"/>
            <w:lang w:val="fr-FR" w:eastAsia="zh-CN"/>
          </w:rPr>
          <w:tab/>
        </w:r>
        <w:r w:rsidR="00F86753" w:rsidRPr="004B2881">
          <w:rPr>
            <w:rStyle w:val="Hyperlink"/>
            <w:lang w:val="fr-FR"/>
          </w:rPr>
          <w:t>Recommandations pour une comparaison internationale des montants de redevances appliqués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_Toc286314868 \h </w:instrText>
        </w:r>
        <w:r w:rsidRPr="004B2881">
          <w:rPr>
            <w:webHidden/>
            <w:lang w:val="fr-FR"/>
          </w:rPr>
        </w:r>
        <w:r w:rsidRPr="004B2881">
          <w:rPr>
            <w:webHidden/>
            <w:lang w:val="fr-FR"/>
          </w:rPr>
          <w:fldChar w:fldCharType="separate"/>
        </w:r>
        <w:r w:rsidR="00F86753" w:rsidRPr="004B2881">
          <w:rPr>
            <w:webHidden/>
            <w:lang w:val="fr-FR"/>
          </w:rPr>
          <w:t>9</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69" w:history="1">
        <w:r w:rsidR="00F86753" w:rsidRPr="004B2881">
          <w:rPr>
            <w:rStyle w:val="Hyperlink"/>
            <w:lang w:val="fr-FR"/>
          </w:rPr>
          <w:t>7</w:t>
        </w:r>
        <w:r w:rsidR="00F86753" w:rsidRPr="004B2881">
          <w:rPr>
            <w:rFonts w:asciiTheme="minorHAnsi" w:eastAsia="SimSun" w:hAnsiTheme="minorHAnsi" w:cstheme="minorBidi"/>
            <w:szCs w:val="22"/>
            <w:lang w:val="fr-FR" w:eastAsia="zh-CN"/>
          </w:rPr>
          <w:tab/>
        </w:r>
        <w:r w:rsidR="00F86753" w:rsidRPr="004B2881">
          <w:rPr>
            <w:rStyle w:val="Hyperlink"/>
            <w:lang w:val="fr-FR"/>
          </w:rPr>
          <w:t>Schéma du système de redevances recommandé</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_Toc286314869 \h </w:instrText>
        </w:r>
        <w:r w:rsidRPr="004B2881">
          <w:rPr>
            <w:webHidden/>
            <w:lang w:val="fr-FR"/>
          </w:rPr>
        </w:r>
        <w:r w:rsidRPr="004B2881">
          <w:rPr>
            <w:webHidden/>
            <w:lang w:val="fr-FR"/>
          </w:rPr>
          <w:fldChar w:fldCharType="separate"/>
        </w:r>
        <w:r w:rsidR="00F86753" w:rsidRPr="004B2881">
          <w:rPr>
            <w:webHidden/>
            <w:lang w:val="fr-FR"/>
          </w:rPr>
          <w:t>9</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70" w:history="1">
        <w:r w:rsidR="00F86753" w:rsidRPr="004B2881">
          <w:rPr>
            <w:rStyle w:val="Hyperlink"/>
            <w:lang w:val="fr-FR"/>
          </w:rPr>
          <w:t>8</w:t>
        </w:r>
        <w:r w:rsidR="00F86753" w:rsidRPr="004B2881">
          <w:rPr>
            <w:rFonts w:asciiTheme="minorHAnsi" w:eastAsia="SimSun" w:hAnsiTheme="minorHAnsi" w:cstheme="minorBidi"/>
            <w:szCs w:val="22"/>
            <w:lang w:val="fr-FR" w:eastAsia="zh-CN"/>
          </w:rPr>
          <w:tab/>
        </w:r>
        <w:r w:rsidR="00F86753" w:rsidRPr="004B2881">
          <w:rPr>
            <w:rStyle w:val="Hyperlink"/>
            <w:lang w:val="fr-FR"/>
          </w:rPr>
          <w:t>Exemples de redevances appliquées par des administrations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_Toc286314870 \h </w:instrText>
        </w:r>
        <w:r w:rsidRPr="004B2881">
          <w:rPr>
            <w:webHidden/>
            <w:lang w:val="fr-FR"/>
          </w:rPr>
        </w:r>
        <w:r w:rsidRPr="004B2881">
          <w:rPr>
            <w:webHidden/>
            <w:lang w:val="fr-FR"/>
          </w:rPr>
          <w:fldChar w:fldCharType="separate"/>
        </w:r>
        <w:r w:rsidR="00F86753" w:rsidRPr="004B2881">
          <w:rPr>
            <w:webHidden/>
            <w:lang w:val="fr-FR"/>
          </w:rPr>
          <w:t>9</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71" w:history="1">
        <w:r w:rsidR="00F86753" w:rsidRPr="004B2881">
          <w:rPr>
            <w:rStyle w:val="Hyperlink"/>
            <w:lang w:val="fr-FR"/>
          </w:rPr>
          <w:t>8.1</w:t>
        </w:r>
        <w:r w:rsidR="00F86753" w:rsidRPr="004B2881">
          <w:rPr>
            <w:rFonts w:asciiTheme="minorHAnsi" w:eastAsia="SimSun" w:hAnsiTheme="minorHAnsi" w:cstheme="minorBidi"/>
            <w:szCs w:val="22"/>
            <w:lang w:val="fr-FR" w:eastAsia="zh-CN"/>
          </w:rPr>
          <w:tab/>
        </w:r>
        <w:r w:rsidR="00F86753" w:rsidRPr="004B2881">
          <w:rPr>
            <w:rStyle w:val="Hyperlink"/>
            <w:lang w:val="fr-FR"/>
          </w:rPr>
          <w:t>Cas des Emirats arabes unis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_Toc286314871 \h </w:instrText>
        </w:r>
        <w:r w:rsidRPr="004B2881">
          <w:rPr>
            <w:webHidden/>
            <w:lang w:val="fr-FR"/>
          </w:rPr>
        </w:r>
        <w:r w:rsidRPr="004B2881">
          <w:rPr>
            <w:webHidden/>
            <w:lang w:val="fr-FR"/>
          </w:rPr>
          <w:fldChar w:fldCharType="separate"/>
        </w:r>
        <w:r w:rsidR="00F86753" w:rsidRPr="004B2881">
          <w:rPr>
            <w:webHidden/>
            <w:lang w:val="fr-FR"/>
          </w:rPr>
          <w:t>9</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72" w:history="1">
        <w:r w:rsidR="00F86753" w:rsidRPr="004B2881">
          <w:rPr>
            <w:rStyle w:val="Hyperlink"/>
            <w:lang w:val="fr-FR"/>
          </w:rPr>
          <w:t>8.2</w:t>
        </w:r>
        <w:r w:rsidR="00F86753" w:rsidRPr="004B2881">
          <w:rPr>
            <w:rFonts w:asciiTheme="minorHAnsi" w:eastAsia="SimSun" w:hAnsiTheme="minorHAnsi" w:cstheme="minorBidi"/>
            <w:szCs w:val="22"/>
            <w:lang w:val="fr-FR" w:eastAsia="zh-CN"/>
          </w:rPr>
          <w:tab/>
        </w:r>
        <w:r w:rsidR="00F86753" w:rsidRPr="004B2881">
          <w:rPr>
            <w:rStyle w:val="Hyperlink"/>
            <w:lang w:val="fr-FR"/>
          </w:rPr>
          <w:t>Cas de la Suisse</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_Toc286314872 \h </w:instrText>
        </w:r>
        <w:r w:rsidRPr="004B2881">
          <w:rPr>
            <w:webHidden/>
            <w:lang w:val="fr-FR"/>
          </w:rPr>
        </w:r>
        <w:r w:rsidRPr="004B2881">
          <w:rPr>
            <w:webHidden/>
            <w:lang w:val="fr-FR"/>
          </w:rPr>
          <w:fldChar w:fldCharType="separate"/>
        </w:r>
        <w:r w:rsidR="00F86753" w:rsidRPr="004B2881">
          <w:rPr>
            <w:webHidden/>
            <w:lang w:val="fr-FR"/>
          </w:rPr>
          <w:t>10</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73" w:history="1">
        <w:r w:rsidR="00F86753" w:rsidRPr="004B2881">
          <w:rPr>
            <w:rStyle w:val="Hyperlink"/>
            <w:lang w:val="fr-FR"/>
          </w:rPr>
          <w:t>8.3</w:t>
        </w:r>
        <w:r w:rsidR="00F86753" w:rsidRPr="004B2881">
          <w:rPr>
            <w:rFonts w:asciiTheme="minorHAnsi" w:eastAsia="SimSun" w:hAnsiTheme="minorHAnsi" w:cstheme="minorBidi"/>
            <w:szCs w:val="22"/>
            <w:lang w:val="fr-FR" w:eastAsia="zh-CN"/>
          </w:rPr>
          <w:tab/>
        </w:r>
        <w:r w:rsidR="00F86753" w:rsidRPr="004B2881">
          <w:rPr>
            <w:rStyle w:val="Hyperlink"/>
            <w:lang w:val="fr-FR"/>
          </w:rPr>
          <w:t>Cas de la France</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_Toc286314873 \h </w:instrText>
        </w:r>
        <w:r w:rsidRPr="004B2881">
          <w:rPr>
            <w:webHidden/>
            <w:lang w:val="fr-FR"/>
          </w:rPr>
        </w:r>
        <w:r w:rsidRPr="004B2881">
          <w:rPr>
            <w:webHidden/>
            <w:lang w:val="fr-FR"/>
          </w:rPr>
          <w:fldChar w:fldCharType="separate"/>
        </w:r>
        <w:r w:rsidR="00F86753" w:rsidRPr="004B2881">
          <w:rPr>
            <w:webHidden/>
            <w:lang w:val="fr-FR"/>
          </w:rPr>
          <w:t>10</w:t>
        </w:r>
        <w:r w:rsidRPr="004B2881">
          <w:rPr>
            <w:webHidden/>
            <w:lang w:val="fr-FR"/>
          </w:rPr>
          <w:fldChar w:fldCharType="end"/>
        </w:r>
      </w:hyperlink>
    </w:p>
    <w:p w:rsidR="00F86753" w:rsidRPr="004B2881" w:rsidRDefault="0084368D">
      <w:pPr>
        <w:pStyle w:val="TOC2"/>
        <w:rPr>
          <w:rFonts w:asciiTheme="minorHAnsi" w:eastAsia="SimSun" w:hAnsiTheme="minorHAnsi" w:cstheme="minorBidi"/>
          <w:szCs w:val="22"/>
          <w:lang w:val="fr-FR" w:eastAsia="zh-CN"/>
        </w:rPr>
      </w:pPr>
      <w:hyperlink w:anchor="_Toc286314874" w:history="1">
        <w:r w:rsidR="00F86753" w:rsidRPr="004B2881">
          <w:rPr>
            <w:rStyle w:val="Hyperlink"/>
            <w:lang w:val="fr-FR"/>
          </w:rPr>
          <w:t>8.4</w:t>
        </w:r>
        <w:r w:rsidR="00F86753" w:rsidRPr="004B2881">
          <w:rPr>
            <w:rFonts w:asciiTheme="minorHAnsi" w:eastAsia="SimSun" w:hAnsiTheme="minorHAnsi" w:cstheme="minorBidi"/>
            <w:szCs w:val="22"/>
            <w:lang w:val="fr-FR" w:eastAsia="zh-CN"/>
          </w:rPr>
          <w:tab/>
        </w:r>
        <w:r w:rsidR="00F86753" w:rsidRPr="004B2881">
          <w:rPr>
            <w:rStyle w:val="Hyperlink"/>
            <w:lang w:val="fr-FR"/>
          </w:rPr>
          <w:t>Cas de la Côte d'Ivoire</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_Toc286314874 \h </w:instrText>
        </w:r>
        <w:r w:rsidRPr="004B2881">
          <w:rPr>
            <w:webHidden/>
            <w:lang w:val="fr-FR"/>
          </w:rPr>
        </w:r>
        <w:r w:rsidRPr="004B2881">
          <w:rPr>
            <w:webHidden/>
            <w:lang w:val="fr-FR"/>
          </w:rPr>
          <w:fldChar w:fldCharType="separate"/>
        </w:r>
        <w:r w:rsidR="00F86753" w:rsidRPr="004B2881">
          <w:rPr>
            <w:webHidden/>
            <w:lang w:val="fr-FR"/>
          </w:rPr>
          <w:t>10</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75" w:history="1">
        <w:r w:rsidR="00F86753" w:rsidRPr="004B2881">
          <w:rPr>
            <w:rStyle w:val="Hyperlink"/>
            <w:lang w:val="fr-FR"/>
          </w:rPr>
          <w:t xml:space="preserve">Annexe 1 </w:t>
        </w:r>
        <w:r w:rsidR="00FB4BB5" w:rsidRPr="004B2881">
          <w:rPr>
            <w:rStyle w:val="Hyperlink"/>
            <w:lang w:val="fr-FR"/>
          </w:rPr>
          <w:t>–</w:t>
        </w:r>
        <w:r w:rsidR="00F86753" w:rsidRPr="004B2881">
          <w:rPr>
            <w:rStyle w:val="Hyperlink"/>
            <w:lang w:val="fr-FR"/>
          </w:rPr>
          <w:t xml:space="preserve"> Exemple simplifié de tableau donnant la valeur du c</w:t>
        </w:r>
        <w:r w:rsidR="00C95B09" w:rsidRPr="004B2881">
          <w:rPr>
            <w:rStyle w:val="Hyperlink"/>
            <w:lang w:val="fr-FR"/>
          </w:rPr>
          <w:t>oe</w:t>
        </w:r>
        <w:r w:rsidR="00F86753" w:rsidRPr="004B2881">
          <w:rPr>
            <w:rStyle w:val="Hyperlink"/>
            <w:lang w:val="fr-FR"/>
          </w:rPr>
          <w:t>fficient «bf»  en fonction de la bande de fréquences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_Toc286314875 \h </w:instrText>
        </w:r>
        <w:r w:rsidRPr="004B2881">
          <w:rPr>
            <w:webHidden/>
            <w:lang w:val="fr-FR"/>
          </w:rPr>
        </w:r>
        <w:r w:rsidRPr="004B2881">
          <w:rPr>
            <w:webHidden/>
            <w:lang w:val="fr-FR"/>
          </w:rPr>
          <w:fldChar w:fldCharType="separate"/>
        </w:r>
        <w:r w:rsidR="00F86753" w:rsidRPr="004B2881">
          <w:rPr>
            <w:webHidden/>
            <w:lang w:val="fr-FR"/>
          </w:rPr>
          <w:t>11</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76" w:history="1">
        <w:r w:rsidR="00F86753" w:rsidRPr="004B2881">
          <w:rPr>
            <w:rStyle w:val="Hyperlink"/>
            <w:lang w:val="fr-FR"/>
          </w:rPr>
          <w:t xml:space="preserve">Annexe 2 </w:t>
        </w:r>
        <w:r w:rsidR="00FB4BB5" w:rsidRPr="004B2881">
          <w:rPr>
            <w:rStyle w:val="Hyperlink"/>
            <w:lang w:val="fr-FR"/>
          </w:rPr>
          <w:t>–</w:t>
        </w:r>
        <w:r w:rsidR="00F86753" w:rsidRPr="004B2881">
          <w:rPr>
            <w:rStyle w:val="Hyperlink"/>
            <w:lang w:val="fr-FR"/>
          </w:rPr>
          <w:t xml:space="preserve"> Exemple de tableau donnant la valeur du c</w:t>
        </w:r>
        <w:r w:rsidR="00C95B09" w:rsidRPr="004B2881">
          <w:rPr>
            <w:rStyle w:val="Hyperlink"/>
            <w:lang w:val="fr-FR"/>
          </w:rPr>
          <w:t>oe</w:t>
        </w:r>
        <w:r w:rsidR="00F86753" w:rsidRPr="004B2881">
          <w:rPr>
            <w:rStyle w:val="Hyperlink"/>
            <w:lang w:val="fr-FR"/>
          </w:rPr>
          <w:t>fficient «a» en fonction des services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_Toc286314876 \h </w:instrText>
        </w:r>
        <w:r w:rsidRPr="004B2881">
          <w:rPr>
            <w:webHidden/>
            <w:lang w:val="fr-FR"/>
          </w:rPr>
        </w:r>
        <w:r w:rsidRPr="004B2881">
          <w:rPr>
            <w:webHidden/>
            <w:lang w:val="fr-FR"/>
          </w:rPr>
          <w:fldChar w:fldCharType="separate"/>
        </w:r>
        <w:r w:rsidR="00F86753" w:rsidRPr="004B2881">
          <w:rPr>
            <w:webHidden/>
            <w:lang w:val="fr-FR"/>
          </w:rPr>
          <w:t>12</w:t>
        </w:r>
        <w:r w:rsidRPr="004B2881">
          <w:rPr>
            <w:webHidden/>
            <w:lang w:val="fr-FR"/>
          </w:rPr>
          <w:fldChar w:fldCharType="end"/>
        </w:r>
      </w:hyperlink>
    </w:p>
    <w:p w:rsidR="00F86753" w:rsidRPr="004B2881" w:rsidRDefault="0084368D" w:rsidP="00FB4BB5">
      <w:pPr>
        <w:pStyle w:val="TOC1"/>
        <w:rPr>
          <w:rFonts w:asciiTheme="minorHAnsi" w:eastAsia="SimSun" w:hAnsiTheme="minorHAnsi" w:cstheme="minorBidi"/>
          <w:szCs w:val="22"/>
          <w:lang w:val="fr-FR" w:eastAsia="zh-CN"/>
        </w:rPr>
      </w:pPr>
      <w:hyperlink w:anchor="_Toc286314877" w:history="1">
        <w:r w:rsidR="00F86753" w:rsidRPr="004B2881">
          <w:rPr>
            <w:rStyle w:val="Hyperlink"/>
            <w:lang w:val="fr-FR"/>
          </w:rPr>
          <w:t xml:space="preserve">Annexe 3 </w:t>
        </w:r>
        <w:r w:rsidR="00FB4BB5" w:rsidRPr="004B2881">
          <w:rPr>
            <w:rStyle w:val="Hyperlink"/>
            <w:lang w:val="fr-FR"/>
          </w:rPr>
          <w:t>–</w:t>
        </w:r>
        <w:r w:rsidR="00F86753" w:rsidRPr="004B2881">
          <w:rPr>
            <w:rStyle w:val="Hyperlink"/>
            <w:lang w:val="fr-FR"/>
          </w:rPr>
          <w:t xml:space="preserve"> Exemple de tableau donnant la valeur du c</w:t>
        </w:r>
        <w:r w:rsidR="00C95B09" w:rsidRPr="004B2881">
          <w:rPr>
            <w:rStyle w:val="Hyperlink"/>
            <w:lang w:val="fr-FR"/>
          </w:rPr>
          <w:t>oe</w:t>
        </w:r>
        <w:r w:rsidR="00F86753" w:rsidRPr="004B2881">
          <w:rPr>
            <w:rStyle w:val="Hyperlink"/>
            <w:lang w:val="fr-FR"/>
          </w:rPr>
          <w:t>fficient «c» en fonction de l'aire de la surface d'attribution</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_Toc286314877 \h </w:instrText>
        </w:r>
        <w:r w:rsidRPr="004B2881">
          <w:rPr>
            <w:webHidden/>
            <w:lang w:val="fr-FR"/>
          </w:rPr>
        </w:r>
        <w:r w:rsidRPr="004B2881">
          <w:rPr>
            <w:webHidden/>
            <w:lang w:val="fr-FR"/>
          </w:rPr>
          <w:fldChar w:fldCharType="separate"/>
        </w:r>
        <w:r w:rsidR="00F86753" w:rsidRPr="004B2881">
          <w:rPr>
            <w:webHidden/>
            <w:lang w:val="fr-FR"/>
          </w:rPr>
          <w:t>13</w:t>
        </w:r>
        <w:r w:rsidRPr="004B2881">
          <w:rPr>
            <w:webHidden/>
            <w:lang w:val="fr-FR"/>
          </w:rPr>
          <w:fldChar w:fldCharType="end"/>
        </w:r>
      </w:hyperlink>
    </w:p>
    <w:p w:rsidR="00F86753" w:rsidRPr="004B2881" w:rsidRDefault="0084368D" w:rsidP="00FB4BB5">
      <w:pPr>
        <w:pStyle w:val="TOC1"/>
        <w:rPr>
          <w:rFonts w:asciiTheme="minorHAnsi" w:eastAsia="SimSun" w:hAnsiTheme="minorHAnsi" w:cstheme="minorBidi"/>
          <w:szCs w:val="22"/>
          <w:lang w:val="fr-FR" w:eastAsia="zh-CN"/>
        </w:rPr>
      </w:pPr>
      <w:hyperlink w:anchor="_Toc286314878" w:history="1">
        <w:r w:rsidR="00F86753" w:rsidRPr="004B2881">
          <w:rPr>
            <w:rStyle w:val="Hyperlink"/>
            <w:lang w:val="fr-FR"/>
          </w:rPr>
          <w:t xml:space="preserve">Annexe 4 </w:t>
        </w:r>
        <w:r w:rsidR="00FB4BB5" w:rsidRPr="004B2881">
          <w:rPr>
            <w:rStyle w:val="Hyperlink"/>
            <w:lang w:val="fr-FR"/>
          </w:rPr>
          <w:t>–</w:t>
        </w:r>
        <w:r w:rsidR="00F86753" w:rsidRPr="004B2881">
          <w:rPr>
            <w:rStyle w:val="Hyperlink"/>
            <w:lang w:val="fr-FR"/>
          </w:rPr>
          <w:t xml:space="preserve"> Eléments susceptibles d'être pris en compte pour une comparaison internationale des montants de redevances</w:t>
        </w:r>
        <w:r w:rsidR="00F86753" w:rsidRPr="004B2881">
          <w:rPr>
            <w:webHidden/>
            <w:lang w:val="fr-FR"/>
          </w:rPr>
          <w:tab/>
        </w:r>
        <w:r w:rsidR="00FB4BB5" w:rsidRPr="004B2881">
          <w:rPr>
            <w:webHidden/>
            <w:lang w:val="fr-FR"/>
          </w:rPr>
          <w:tab/>
        </w:r>
        <w:r w:rsidRPr="004B2881">
          <w:rPr>
            <w:webHidden/>
            <w:lang w:val="fr-FR"/>
          </w:rPr>
          <w:fldChar w:fldCharType="begin"/>
        </w:r>
        <w:r w:rsidR="00F86753" w:rsidRPr="004B2881">
          <w:rPr>
            <w:webHidden/>
            <w:lang w:val="fr-FR"/>
          </w:rPr>
          <w:instrText xml:space="preserve"> PAGEREF _Toc286314878 \h </w:instrText>
        </w:r>
        <w:r w:rsidRPr="004B2881">
          <w:rPr>
            <w:webHidden/>
            <w:lang w:val="fr-FR"/>
          </w:rPr>
        </w:r>
        <w:r w:rsidRPr="004B2881">
          <w:rPr>
            <w:webHidden/>
            <w:lang w:val="fr-FR"/>
          </w:rPr>
          <w:fldChar w:fldCharType="separate"/>
        </w:r>
        <w:r w:rsidR="00F86753" w:rsidRPr="004B2881">
          <w:rPr>
            <w:webHidden/>
            <w:lang w:val="fr-FR"/>
          </w:rPr>
          <w:t>14</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887" w:history="1">
        <w:r w:rsidR="00F86753" w:rsidRPr="004B2881">
          <w:rPr>
            <w:rStyle w:val="Hyperlink"/>
            <w:lang w:val="fr-FR"/>
          </w:rPr>
          <w:t xml:space="preserve">Appendice 1.1 (anglais) </w:t>
        </w:r>
        <w:r w:rsidR="003A7CA2" w:rsidRPr="004B2881">
          <w:rPr>
            <w:rStyle w:val="Hyperlink"/>
            <w:lang w:val="fr-FR"/>
          </w:rPr>
          <w:t>–</w:t>
        </w:r>
        <w:r w:rsidR="00F86753" w:rsidRPr="004B2881">
          <w:rPr>
            <w:rStyle w:val="Hyperlink"/>
            <w:bCs/>
            <w:lang w:val="fr-FR"/>
          </w:rPr>
          <w:t xml:space="preserve"> </w:t>
        </w:r>
        <w:r w:rsidR="00F86753" w:rsidRPr="004B2881">
          <w:rPr>
            <w:rStyle w:val="Hyperlink"/>
            <w:i/>
            <w:iCs/>
            <w:lang w:val="fr-FR"/>
          </w:rPr>
          <w:t>United Arab Emirates: Basic elements of spectrum fees policy</w:t>
        </w:r>
        <w:r w:rsidR="00F86753" w:rsidRPr="004B2881">
          <w:rPr>
            <w:webHidden/>
            <w:lang w:val="fr-FR"/>
          </w:rPr>
          <w:tab/>
        </w:r>
        <w:r w:rsidR="003A7CA2" w:rsidRPr="004B2881">
          <w:rPr>
            <w:webHidden/>
            <w:lang w:val="fr-FR"/>
          </w:rPr>
          <w:tab/>
        </w:r>
        <w:r w:rsidRPr="004B2881">
          <w:rPr>
            <w:webHidden/>
            <w:lang w:val="fr-FR"/>
          </w:rPr>
          <w:fldChar w:fldCharType="begin"/>
        </w:r>
        <w:r w:rsidR="00F86753" w:rsidRPr="004B2881">
          <w:rPr>
            <w:webHidden/>
            <w:lang w:val="fr-FR"/>
          </w:rPr>
          <w:instrText xml:space="preserve"> PAGEREF _Toc286314887 \h </w:instrText>
        </w:r>
        <w:r w:rsidRPr="004B2881">
          <w:rPr>
            <w:webHidden/>
            <w:lang w:val="fr-FR"/>
          </w:rPr>
        </w:r>
        <w:r w:rsidRPr="004B2881">
          <w:rPr>
            <w:webHidden/>
            <w:lang w:val="fr-FR"/>
          </w:rPr>
          <w:fldChar w:fldCharType="separate"/>
        </w:r>
        <w:r w:rsidR="00F86753" w:rsidRPr="004B2881">
          <w:rPr>
            <w:webHidden/>
            <w:lang w:val="fr-FR"/>
          </w:rPr>
          <w:t>18</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904" w:history="1">
        <w:r w:rsidR="00F86753" w:rsidRPr="004B2881">
          <w:rPr>
            <w:rStyle w:val="Hyperlink"/>
            <w:lang w:val="fr-FR"/>
          </w:rPr>
          <w:t xml:space="preserve">Appendice 1.1 </w:t>
        </w:r>
        <w:r w:rsidR="003A7CA2" w:rsidRPr="004B2881">
          <w:rPr>
            <w:rStyle w:val="Hyperlink"/>
            <w:lang w:val="fr-FR"/>
          </w:rPr>
          <w:t>–</w:t>
        </w:r>
        <w:r w:rsidR="00F86753" w:rsidRPr="004B2881">
          <w:rPr>
            <w:rStyle w:val="Hyperlink"/>
            <w:lang w:val="fr-FR"/>
          </w:rPr>
          <w:t xml:space="preserve"> Emirats arabes unis: Eléments fondamentaux de la politique en matière de redevances d'utilisation du spectre</w:t>
        </w:r>
        <w:r w:rsidR="00F86753" w:rsidRPr="004B2881">
          <w:rPr>
            <w:webHidden/>
            <w:lang w:val="fr-FR"/>
          </w:rPr>
          <w:tab/>
        </w:r>
        <w:r w:rsidR="000332F8" w:rsidRPr="004B2881">
          <w:rPr>
            <w:webHidden/>
            <w:lang w:val="fr-FR"/>
          </w:rPr>
          <w:tab/>
        </w:r>
        <w:r w:rsidRPr="004B2881">
          <w:rPr>
            <w:webHidden/>
            <w:lang w:val="fr-FR"/>
          </w:rPr>
          <w:fldChar w:fldCharType="begin"/>
        </w:r>
        <w:r w:rsidR="00F86753" w:rsidRPr="004B2881">
          <w:rPr>
            <w:webHidden/>
            <w:lang w:val="fr-FR"/>
          </w:rPr>
          <w:instrText xml:space="preserve"> PAGEREF _Toc286314904 \h </w:instrText>
        </w:r>
        <w:r w:rsidRPr="004B2881">
          <w:rPr>
            <w:webHidden/>
            <w:lang w:val="fr-FR"/>
          </w:rPr>
        </w:r>
        <w:r w:rsidRPr="004B2881">
          <w:rPr>
            <w:webHidden/>
            <w:lang w:val="fr-FR"/>
          </w:rPr>
          <w:fldChar w:fldCharType="separate"/>
        </w:r>
        <w:r w:rsidR="00F86753" w:rsidRPr="004B2881">
          <w:rPr>
            <w:webHidden/>
            <w:lang w:val="fr-FR"/>
          </w:rPr>
          <w:t>21</w:t>
        </w:r>
        <w:r w:rsidRPr="004B2881">
          <w:rPr>
            <w:webHidden/>
            <w:lang w:val="fr-FR"/>
          </w:rPr>
          <w:fldChar w:fldCharType="end"/>
        </w:r>
      </w:hyperlink>
    </w:p>
    <w:p w:rsidR="006B063A" w:rsidRPr="004B2881" w:rsidRDefault="006B063A" w:rsidP="006B063A">
      <w:pPr>
        <w:pStyle w:val="Recdate"/>
        <w:keepLines w:val="0"/>
        <w:tabs>
          <w:tab w:val="right" w:pos="9639"/>
        </w:tabs>
        <w:jc w:val="left"/>
        <w:rPr>
          <w:b/>
          <w:iCs/>
          <w:lang w:val="fr-FR"/>
        </w:rPr>
      </w:pPr>
      <w:r w:rsidRPr="004B2881">
        <w:rPr>
          <w:iCs/>
          <w:lang w:val="fr-FR"/>
        </w:rPr>
        <w:lastRenderedPageBreak/>
        <w:tab/>
      </w:r>
      <w:r w:rsidRPr="004B2881">
        <w:rPr>
          <w:b/>
          <w:iCs/>
          <w:lang w:val="fr-FR"/>
        </w:rPr>
        <w:t>Page</w:t>
      </w:r>
    </w:p>
    <w:p w:rsidR="00F86753" w:rsidRPr="004B2881" w:rsidRDefault="0084368D">
      <w:pPr>
        <w:pStyle w:val="TOC1"/>
        <w:rPr>
          <w:rFonts w:asciiTheme="minorHAnsi" w:eastAsia="SimSun" w:hAnsiTheme="minorHAnsi" w:cstheme="minorBidi"/>
          <w:szCs w:val="22"/>
          <w:lang w:val="fr-FR" w:eastAsia="zh-CN"/>
        </w:rPr>
      </w:pPr>
      <w:hyperlink w:anchor="_Toc286314921" w:history="1">
        <w:r w:rsidR="00F86753" w:rsidRPr="004B2881">
          <w:rPr>
            <w:rStyle w:val="Hyperlink"/>
            <w:lang w:val="fr-FR"/>
          </w:rPr>
          <w:t>Appendice 1.2 (anglais)</w:t>
        </w:r>
        <w:r w:rsidR="00F86753" w:rsidRPr="004B2881">
          <w:rPr>
            <w:rStyle w:val="Hyperlink"/>
            <w:bCs/>
            <w:lang w:val="fr-FR"/>
          </w:rPr>
          <w:t xml:space="preserve"> </w:t>
        </w:r>
        <w:r w:rsidR="000332F8" w:rsidRPr="004B2881">
          <w:rPr>
            <w:rStyle w:val="Hyperlink"/>
            <w:bCs/>
            <w:lang w:val="fr-FR"/>
          </w:rPr>
          <w:t>–</w:t>
        </w:r>
        <w:r w:rsidR="00F86753" w:rsidRPr="004B2881">
          <w:rPr>
            <w:rStyle w:val="Hyperlink"/>
            <w:bCs/>
            <w:lang w:val="fr-FR"/>
          </w:rPr>
          <w:t xml:space="preserve"> </w:t>
        </w:r>
        <w:r w:rsidR="00F86753" w:rsidRPr="004B2881">
          <w:rPr>
            <w:rStyle w:val="Hyperlink"/>
            <w:i/>
            <w:iCs/>
            <w:lang w:val="fr-FR"/>
          </w:rPr>
          <w:t>United Arab Emirates: Proposed example on spectrum fees policy</w:t>
        </w:r>
        <w:r w:rsidR="00F86753" w:rsidRPr="004B2881">
          <w:rPr>
            <w:webHidden/>
            <w:lang w:val="fr-FR"/>
          </w:rPr>
          <w:tab/>
        </w:r>
        <w:r w:rsidR="000332F8" w:rsidRPr="004B2881">
          <w:rPr>
            <w:webHidden/>
            <w:lang w:val="fr-FR"/>
          </w:rPr>
          <w:tab/>
        </w:r>
        <w:r w:rsidRPr="004B2881">
          <w:rPr>
            <w:webHidden/>
            <w:lang w:val="fr-FR"/>
          </w:rPr>
          <w:fldChar w:fldCharType="begin"/>
        </w:r>
        <w:r w:rsidR="00F86753" w:rsidRPr="004B2881">
          <w:rPr>
            <w:webHidden/>
            <w:lang w:val="fr-FR"/>
          </w:rPr>
          <w:instrText xml:space="preserve"> PAGEREF _Toc286314921 \h </w:instrText>
        </w:r>
        <w:r w:rsidRPr="004B2881">
          <w:rPr>
            <w:webHidden/>
            <w:lang w:val="fr-FR"/>
          </w:rPr>
        </w:r>
        <w:r w:rsidRPr="004B2881">
          <w:rPr>
            <w:webHidden/>
            <w:lang w:val="fr-FR"/>
          </w:rPr>
          <w:fldChar w:fldCharType="separate"/>
        </w:r>
        <w:r w:rsidR="00F86753" w:rsidRPr="004B2881">
          <w:rPr>
            <w:webHidden/>
            <w:lang w:val="fr-FR"/>
          </w:rPr>
          <w:t>24</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924" w:history="1">
        <w:r w:rsidR="00F86753" w:rsidRPr="004B2881">
          <w:rPr>
            <w:rStyle w:val="Hyperlink"/>
            <w:lang w:val="fr-FR"/>
          </w:rPr>
          <w:t xml:space="preserve">Appendice 1.2 </w:t>
        </w:r>
        <w:r w:rsidR="000332F8" w:rsidRPr="004B2881">
          <w:rPr>
            <w:rStyle w:val="Hyperlink"/>
            <w:lang w:val="fr-FR"/>
          </w:rPr>
          <w:t>–</w:t>
        </w:r>
        <w:r w:rsidR="00F86753" w:rsidRPr="004B2881">
          <w:rPr>
            <w:rStyle w:val="Hyperlink"/>
            <w:lang w:val="fr-FR"/>
          </w:rPr>
          <w:t xml:space="preserve"> Emirats arabes unis: Exemple de directive en matière de droits d'utilisation du spectre</w:t>
        </w:r>
        <w:r w:rsidR="00F86753" w:rsidRPr="004B2881">
          <w:rPr>
            <w:webHidden/>
            <w:lang w:val="fr-FR"/>
          </w:rPr>
          <w:tab/>
        </w:r>
        <w:r w:rsidR="00DD33D4" w:rsidRPr="004B2881">
          <w:rPr>
            <w:webHidden/>
            <w:lang w:val="fr-FR"/>
          </w:rPr>
          <w:tab/>
        </w:r>
        <w:r w:rsidRPr="004B2881">
          <w:rPr>
            <w:webHidden/>
            <w:lang w:val="fr-FR"/>
          </w:rPr>
          <w:fldChar w:fldCharType="begin"/>
        </w:r>
        <w:r w:rsidR="00F86753" w:rsidRPr="004B2881">
          <w:rPr>
            <w:webHidden/>
            <w:lang w:val="fr-FR"/>
          </w:rPr>
          <w:instrText xml:space="preserve"> PAGEREF _Toc286314924 \h </w:instrText>
        </w:r>
        <w:r w:rsidRPr="004B2881">
          <w:rPr>
            <w:webHidden/>
            <w:lang w:val="fr-FR"/>
          </w:rPr>
        </w:r>
        <w:r w:rsidRPr="004B2881">
          <w:rPr>
            <w:webHidden/>
            <w:lang w:val="fr-FR"/>
          </w:rPr>
          <w:fldChar w:fldCharType="separate"/>
        </w:r>
        <w:r w:rsidR="00F86753" w:rsidRPr="004B2881">
          <w:rPr>
            <w:webHidden/>
            <w:lang w:val="fr-FR"/>
          </w:rPr>
          <w:t>41</w:t>
        </w:r>
        <w:r w:rsidRPr="004B2881">
          <w:rPr>
            <w:webHidden/>
            <w:lang w:val="fr-FR"/>
          </w:rPr>
          <w:fldChar w:fldCharType="end"/>
        </w:r>
      </w:hyperlink>
    </w:p>
    <w:p w:rsidR="00F86753" w:rsidRPr="004B2881" w:rsidRDefault="0084368D" w:rsidP="00DD33D4">
      <w:pPr>
        <w:pStyle w:val="TOC1"/>
        <w:rPr>
          <w:rFonts w:asciiTheme="minorHAnsi" w:eastAsia="SimSun" w:hAnsiTheme="minorHAnsi" w:cstheme="minorBidi"/>
          <w:szCs w:val="22"/>
          <w:lang w:val="fr-FR" w:eastAsia="zh-CN"/>
        </w:rPr>
      </w:pPr>
      <w:hyperlink w:anchor="_Toc286314927" w:history="1">
        <w:r w:rsidR="00F86753" w:rsidRPr="004B2881">
          <w:rPr>
            <w:rStyle w:val="Hyperlink"/>
            <w:lang w:val="fr-FR"/>
          </w:rPr>
          <w:t xml:space="preserve">Appendice 2.1 (anglais) </w:t>
        </w:r>
        <w:r w:rsidR="00DD33D4" w:rsidRPr="004B2881">
          <w:rPr>
            <w:rStyle w:val="Hyperlink"/>
            <w:lang w:val="fr-FR"/>
          </w:rPr>
          <w:t xml:space="preserve">– </w:t>
        </w:r>
        <w:r w:rsidR="00F86753" w:rsidRPr="004B2881">
          <w:rPr>
            <w:rStyle w:val="Hyperlink"/>
            <w:i/>
            <w:iCs/>
            <w:lang w:val="fr-FR"/>
          </w:rPr>
          <w:t>Financing of spectrum management activities in Switzerland: Abstract</w:t>
        </w:r>
        <w:r w:rsidR="00F86753" w:rsidRPr="004B2881">
          <w:rPr>
            <w:webHidden/>
            <w:lang w:val="fr-FR"/>
          </w:rPr>
          <w:tab/>
        </w:r>
        <w:r w:rsidR="00DD33D4" w:rsidRPr="004B2881">
          <w:rPr>
            <w:webHidden/>
            <w:lang w:val="fr-FR"/>
          </w:rPr>
          <w:tab/>
        </w:r>
        <w:r w:rsidRPr="004B2881">
          <w:rPr>
            <w:webHidden/>
            <w:lang w:val="fr-FR"/>
          </w:rPr>
          <w:fldChar w:fldCharType="begin"/>
        </w:r>
        <w:r w:rsidR="00F86753" w:rsidRPr="004B2881">
          <w:rPr>
            <w:webHidden/>
            <w:lang w:val="fr-FR"/>
          </w:rPr>
          <w:instrText xml:space="preserve"> PAGEREF _Toc286314927 \h </w:instrText>
        </w:r>
        <w:r w:rsidRPr="004B2881">
          <w:rPr>
            <w:webHidden/>
            <w:lang w:val="fr-FR"/>
          </w:rPr>
        </w:r>
        <w:r w:rsidRPr="004B2881">
          <w:rPr>
            <w:webHidden/>
            <w:lang w:val="fr-FR"/>
          </w:rPr>
          <w:fldChar w:fldCharType="separate"/>
        </w:r>
        <w:r w:rsidR="00F86753" w:rsidRPr="004B2881">
          <w:rPr>
            <w:webHidden/>
            <w:lang w:val="fr-FR"/>
          </w:rPr>
          <w:t>60</w:t>
        </w:r>
        <w:r w:rsidRPr="004B2881">
          <w:rPr>
            <w:webHidden/>
            <w:lang w:val="fr-FR"/>
          </w:rPr>
          <w:fldChar w:fldCharType="end"/>
        </w:r>
      </w:hyperlink>
    </w:p>
    <w:p w:rsidR="00F86753" w:rsidRPr="004B2881" w:rsidRDefault="0084368D" w:rsidP="005B2E26">
      <w:pPr>
        <w:pStyle w:val="TOC1"/>
        <w:rPr>
          <w:rFonts w:asciiTheme="minorHAnsi" w:eastAsia="SimSun" w:hAnsiTheme="minorHAnsi" w:cstheme="minorBidi"/>
          <w:szCs w:val="22"/>
          <w:lang w:val="fr-FR" w:eastAsia="zh-CN"/>
        </w:rPr>
      </w:pPr>
      <w:hyperlink w:anchor="_Toc286314928" w:history="1">
        <w:r w:rsidR="00F86753" w:rsidRPr="004B2881">
          <w:rPr>
            <w:rStyle w:val="Hyperlink"/>
            <w:lang w:val="fr-FR"/>
          </w:rPr>
          <w:t xml:space="preserve">Appendice 2.1 </w:t>
        </w:r>
        <w:r w:rsidR="005B2E26" w:rsidRPr="004B2881">
          <w:rPr>
            <w:rStyle w:val="Hyperlink"/>
            <w:lang w:val="fr-FR"/>
          </w:rPr>
          <w:t xml:space="preserve">– </w:t>
        </w:r>
        <w:r w:rsidR="00F86753" w:rsidRPr="004B2881">
          <w:rPr>
            <w:rStyle w:val="Hyperlink"/>
            <w:lang w:val="fr-FR"/>
          </w:rPr>
          <w:t>Financement des activités de gestion du spectre en Suisse: Résumé</w:t>
        </w:r>
        <w:r w:rsidR="00F86753" w:rsidRPr="004B2881">
          <w:rPr>
            <w:webHidden/>
            <w:lang w:val="fr-FR"/>
          </w:rPr>
          <w:tab/>
        </w:r>
        <w:r w:rsidR="005B2E26" w:rsidRPr="004B2881">
          <w:rPr>
            <w:webHidden/>
            <w:lang w:val="fr-FR"/>
          </w:rPr>
          <w:tab/>
        </w:r>
        <w:r w:rsidRPr="004B2881">
          <w:rPr>
            <w:webHidden/>
            <w:lang w:val="fr-FR"/>
          </w:rPr>
          <w:fldChar w:fldCharType="begin"/>
        </w:r>
        <w:r w:rsidR="00F86753" w:rsidRPr="004B2881">
          <w:rPr>
            <w:webHidden/>
            <w:lang w:val="fr-FR"/>
          </w:rPr>
          <w:instrText xml:space="preserve"> PAGEREF _Toc286314928 \h </w:instrText>
        </w:r>
        <w:r w:rsidRPr="004B2881">
          <w:rPr>
            <w:webHidden/>
            <w:lang w:val="fr-FR"/>
          </w:rPr>
        </w:r>
        <w:r w:rsidRPr="004B2881">
          <w:rPr>
            <w:webHidden/>
            <w:lang w:val="fr-FR"/>
          </w:rPr>
          <w:fldChar w:fldCharType="separate"/>
        </w:r>
        <w:r w:rsidR="00F86753" w:rsidRPr="004B2881">
          <w:rPr>
            <w:webHidden/>
            <w:lang w:val="fr-FR"/>
          </w:rPr>
          <w:t>61</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929" w:history="1">
        <w:r w:rsidR="00F86753" w:rsidRPr="004B2881">
          <w:rPr>
            <w:rStyle w:val="Hyperlink"/>
            <w:lang w:val="fr-FR"/>
          </w:rPr>
          <w:t xml:space="preserve">Appendice 2.2 </w:t>
        </w:r>
        <w:r w:rsidR="005B2E26" w:rsidRPr="004B2881">
          <w:rPr>
            <w:rStyle w:val="Hyperlink"/>
            <w:lang w:val="fr-FR"/>
          </w:rPr>
          <w:t>–</w:t>
        </w:r>
        <w:r w:rsidR="00F86753" w:rsidRPr="004B2881">
          <w:rPr>
            <w:rStyle w:val="Hyperlink"/>
            <w:lang w:val="fr-FR"/>
          </w:rPr>
          <w:t xml:space="preserve"> Financement des activités de gestion du spectre en Suisse</w:t>
        </w:r>
        <w:r w:rsidR="00F86753" w:rsidRPr="004B2881">
          <w:rPr>
            <w:webHidden/>
            <w:lang w:val="fr-FR"/>
          </w:rPr>
          <w:tab/>
        </w:r>
        <w:r w:rsidR="005B2E26" w:rsidRPr="004B2881">
          <w:rPr>
            <w:webHidden/>
            <w:lang w:val="fr-FR"/>
          </w:rPr>
          <w:tab/>
        </w:r>
        <w:r w:rsidRPr="004B2881">
          <w:rPr>
            <w:webHidden/>
            <w:lang w:val="fr-FR"/>
          </w:rPr>
          <w:fldChar w:fldCharType="begin"/>
        </w:r>
        <w:r w:rsidR="00F86753" w:rsidRPr="004B2881">
          <w:rPr>
            <w:webHidden/>
            <w:lang w:val="fr-FR"/>
          </w:rPr>
          <w:instrText xml:space="preserve"> PAGEREF _Toc286314929 \h </w:instrText>
        </w:r>
        <w:r w:rsidRPr="004B2881">
          <w:rPr>
            <w:webHidden/>
            <w:lang w:val="fr-FR"/>
          </w:rPr>
        </w:r>
        <w:r w:rsidRPr="004B2881">
          <w:rPr>
            <w:webHidden/>
            <w:lang w:val="fr-FR"/>
          </w:rPr>
          <w:fldChar w:fldCharType="separate"/>
        </w:r>
        <w:r w:rsidR="00F86753" w:rsidRPr="004B2881">
          <w:rPr>
            <w:webHidden/>
            <w:lang w:val="fr-FR"/>
          </w:rPr>
          <w:t>62</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939" w:history="1">
        <w:r w:rsidR="00F86753" w:rsidRPr="004B2881">
          <w:rPr>
            <w:rStyle w:val="Hyperlink"/>
            <w:lang w:val="fr-FR"/>
          </w:rPr>
          <w:t xml:space="preserve">Appendice 3.1 (anglais) </w:t>
        </w:r>
        <w:r w:rsidR="000C1AD2" w:rsidRPr="004B2881">
          <w:rPr>
            <w:rStyle w:val="Hyperlink"/>
            <w:lang w:val="fr-FR"/>
          </w:rPr>
          <w:t>–</w:t>
        </w:r>
        <w:r w:rsidR="00F86753" w:rsidRPr="004B2881">
          <w:rPr>
            <w:rStyle w:val="Hyperlink"/>
            <w:lang w:val="fr-FR"/>
          </w:rPr>
          <w:t xml:space="preserve"> </w:t>
        </w:r>
        <w:r w:rsidR="00F86753" w:rsidRPr="004B2881">
          <w:rPr>
            <w:rStyle w:val="Hyperlink"/>
            <w:bCs/>
            <w:i/>
            <w:iCs/>
            <w:lang w:val="fr-FR"/>
          </w:rPr>
          <w:t>Example of fee system for frequency utilization in Côte d'Ivoire</w:t>
        </w:r>
        <w:r w:rsidR="00F86753" w:rsidRPr="004B2881">
          <w:rPr>
            <w:webHidden/>
            <w:lang w:val="fr-FR"/>
          </w:rPr>
          <w:tab/>
        </w:r>
        <w:r w:rsidR="000C1AD2" w:rsidRPr="004B2881">
          <w:rPr>
            <w:webHidden/>
            <w:lang w:val="fr-FR"/>
          </w:rPr>
          <w:tab/>
        </w:r>
        <w:r w:rsidRPr="004B2881">
          <w:rPr>
            <w:webHidden/>
            <w:lang w:val="fr-FR"/>
          </w:rPr>
          <w:fldChar w:fldCharType="begin"/>
        </w:r>
        <w:r w:rsidR="00F86753" w:rsidRPr="004B2881">
          <w:rPr>
            <w:webHidden/>
            <w:lang w:val="fr-FR"/>
          </w:rPr>
          <w:instrText xml:space="preserve"> PAGEREF _Toc286314939 \h </w:instrText>
        </w:r>
        <w:r w:rsidRPr="004B2881">
          <w:rPr>
            <w:webHidden/>
            <w:lang w:val="fr-FR"/>
          </w:rPr>
        </w:r>
        <w:r w:rsidRPr="004B2881">
          <w:rPr>
            <w:webHidden/>
            <w:lang w:val="fr-FR"/>
          </w:rPr>
          <w:fldChar w:fldCharType="separate"/>
        </w:r>
        <w:r w:rsidR="00F86753" w:rsidRPr="004B2881">
          <w:rPr>
            <w:webHidden/>
            <w:lang w:val="fr-FR"/>
          </w:rPr>
          <w:t>68</w:t>
        </w:r>
        <w:r w:rsidRPr="004B2881">
          <w:rPr>
            <w:webHidden/>
            <w:lang w:val="fr-FR"/>
          </w:rPr>
          <w:fldChar w:fldCharType="end"/>
        </w:r>
      </w:hyperlink>
    </w:p>
    <w:p w:rsidR="00F86753" w:rsidRPr="004B2881" w:rsidRDefault="0084368D">
      <w:pPr>
        <w:pStyle w:val="TOC1"/>
        <w:rPr>
          <w:rFonts w:asciiTheme="minorHAnsi" w:eastAsia="SimSun" w:hAnsiTheme="minorHAnsi" w:cstheme="minorBidi"/>
          <w:szCs w:val="22"/>
          <w:lang w:val="fr-FR" w:eastAsia="zh-CN"/>
        </w:rPr>
      </w:pPr>
      <w:hyperlink w:anchor="_Toc286314943" w:history="1">
        <w:r w:rsidR="00F86753" w:rsidRPr="004B2881">
          <w:rPr>
            <w:rStyle w:val="Hyperlink"/>
            <w:lang w:val="fr-FR"/>
          </w:rPr>
          <w:t xml:space="preserve">Appendice 3.1 </w:t>
        </w:r>
        <w:r w:rsidR="000C1AD2" w:rsidRPr="004B2881">
          <w:rPr>
            <w:rStyle w:val="Hyperlink"/>
            <w:lang w:val="fr-FR"/>
          </w:rPr>
          <w:t>–</w:t>
        </w:r>
        <w:r w:rsidR="00F86753" w:rsidRPr="004B2881">
          <w:rPr>
            <w:rStyle w:val="Hyperlink"/>
            <w:lang w:val="fr-FR"/>
          </w:rPr>
          <w:t xml:space="preserve"> Exemple de système de redevances liées à l'utilisation des fréquences en Côte d'Ivoire</w:t>
        </w:r>
        <w:r w:rsidR="00F86753" w:rsidRPr="004B2881">
          <w:rPr>
            <w:webHidden/>
            <w:lang w:val="fr-FR"/>
          </w:rPr>
          <w:tab/>
        </w:r>
        <w:r w:rsidR="000C1AD2" w:rsidRPr="004B2881">
          <w:rPr>
            <w:webHidden/>
            <w:lang w:val="fr-FR"/>
          </w:rPr>
          <w:tab/>
        </w:r>
        <w:r w:rsidRPr="004B2881">
          <w:rPr>
            <w:webHidden/>
            <w:lang w:val="fr-FR"/>
          </w:rPr>
          <w:fldChar w:fldCharType="begin"/>
        </w:r>
        <w:r w:rsidR="00F86753" w:rsidRPr="004B2881">
          <w:rPr>
            <w:webHidden/>
            <w:lang w:val="fr-FR"/>
          </w:rPr>
          <w:instrText xml:space="preserve"> PAGEREF _Toc286314943 \h </w:instrText>
        </w:r>
        <w:r w:rsidRPr="004B2881">
          <w:rPr>
            <w:webHidden/>
            <w:lang w:val="fr-FR"/>
          </w:rPr>
        </w:r>
        <w:r w:rsidRPr="004B2881">
          <w:rPr>
            <w:webHidden/>
            <w:lang w:val="fr-FR"/>
          </w:rPr>
          <w:fldChar w:fldCharType="separate"/>
        </w:r>
        <w:r w:rsidR="00F86753" w:rsidRPr="004B2881">
          <w:rPr>
            <w:webHidden/>
            <w:lang w:val="fr-FR"/>
          </w:rPr>
          <w:t>71</w:t>
        </w:r>
        <w:r w:rsidRPr="004B2881">
          <w:rPr>
            <w:webHidden/>
            <w:lang w:val="fr-FR"/>
          </w:rPr>
          <w:fldChar w:fldCharType="end"/>
        </w:r>
      </w:hyperlink>
    </w:p>
    <w:p w:rsidR="00F86753" w:rsidRPr="004B2881" w:rsidRDefault="0084368D" w:rsidP="00B747EF">
      <w:pPr>
        <w:pStyle w:val="TOC1"/>
        <w:rPr>
          <w:rFonts w:asciiTheme="minorHAnsi" w:eastAsia="SimSun" w:hAnsiTheme="minorHAnsi" w:cstheme="minorBidi"/>
          <w:szCs w:val="22"/>
          <w:lang w:val="fr-FR" w:eastAsia="zh-CN"/>
        </w:rPr>
      </w:pPr>
      <w:hyperlink w:anchor="_Toc286314947" w:history="1">
        <w:r w:rsidR="00F86753" w:rsidRPr="004B2881">
          <w:rPr>
            <w:rStyle w:val="Hyperlink"/>
            <w:lang w:val="fr-FR"/>
          </w:rPr>
          <w:t>Appendice 3.2</w:t>
        </w:r>
        <w:r w:rsidR="000C1AD2" w:rsidRPr="004B2881">
          <w:rPr>
            <w:rStyle w:val="Hyperlink"/>
            <w:lang w:val="fr-FR"/>
          </w:rPr>
          <w:t xml:space="preserve"> –</w:t>
        </w:r>
        <w:r w:rsidR="002D1D22" w:rsidRPr="004B2881">
          <w:rPr>
            <w:rStyle w:val="Hyperlink"/>
            <w:lang w:val="fr-FR"/>
          </w:rPr>
          <w:t xml:space="preserve"> Ordonnance N° 97-173 du 19 mars 1997 </w:t>
        </w:r>
        <w:r w:rsidR="004D5273" w:rsidRPr="004B2881">
          <w:rPr>
            <w:rStyle w:val="Hyperlink"/>
            <w:lang w:val="fr-FR"/>
          </w:rPr>
          <w:t>relative aux</w:t>
        </w:r>
        <w:r w:rsidR="002D1D22" w:rsidRPr="004B2881">
          <w:rPr>
            <w:rStyle w:val="Hyperlink"/>
            <w:lang w:val="fr-FR"/>
          </w:rPr>
          <w:t xml:space="preserve"> droits, taxes et redevances </w:t>
        </w:r>
        <w:r w:rsidR="00B747EF" w:rsidRPr="004B2881">
          <w:rPr>
            <w:rStyle w:val="Hyperlink"/>
            <w:lang w:val="fr-FR"/>
          </w:rPr>
          <w:t>sur les radiocommunidations</w:t>
        </w:r>
        <w:r w:rsidR="00F86753" w:rsidRPr="004B2881">
          <w:rPr>
            <w:webHidden/>
            <w:lang w:val="fr-FR"/>
          </w:rPr>
          <w:tab/>
        </w:r>
        <w:r w:rsidR="002D1D22" w:rsidRPr="004B2881">
          <w:rPr>
            <w:webHidden/>
            <w:lang w:val="fr-FR"/>
          </w:rPr>
          <w:tab/>
        </w:r>
        <w:r w:rsidRPr="004B2881">
          <w:rPr>
            <w:webHidden/>
            <w:lang w:val="fr-FR"/>
          </w:rPr>
          <w:fldChar w:fldCharType="begin"/>
        </w:r>
        <w:r w:rsidR="00F86753" w:rsidRPr="004B2881">
          <w:rPr>
            <w:webHidden/>
            <w:lang w:val="fr-FR"/>
          </w:rPr>
          <w:instrText xml:space="preserve"> PAGEREF _Toc286314947 \h </w:instrText>
        </w:r>
        <w:r w:rsidRPr="004B2881">
          <w:rPr>
            <w:webHidden/>
            <w:lang w:val="fr-FR"/>
          </w:rPr>
        </w:r>
        <w:r w:rsidRPr="004B2881">
          <w:rPr>
            <w:webHidden/>
            <w:lang w:val="fr-FR"/>
          </w:rPr>
          <w:fldChar w:fldCharType="separate"/>
        </w:r>
        <w:r w:rsidR="00F86753" w:rsidRPr="004B2881">
          <w:rPr>
            <w:webHidden/>
            <w:lang w:val="fr-FR"/>
          </w:rPr>
          <w:t>74</w:t>
        </w:r>
        <w:r w:rsidRPr="004B2881">
          <w:rPr>
            <w:webHidden/>
            <w:lang w:val="fr-FR"/>
          </w:rPr>
          <w:fldChar w:fldCharType="end"/>
        </w:r>
      </w:hyperlink>
    </w:p>
    <w:p w:rsidR="00D849CD" w:rsidRPr="004B2881" w:rsidRDefault="0084368D" w:rsidP="002D1D22">
      <w:pPr>
        <w:rPr>
          <w:rFonts w:eastAsia="SimSun"/>
          <w:webHidden/>
          <w:lang w:val="fr-FR"/>
        </w:rPr>
      </w:pPr>
      <w:r w:rsidRPr="004B2881">
        <w:rPr>
          <w:rFonts w:eastAsia="SimSun"/>
          <w:webHidden/>
          <w:lang w:val="fr-FR"/>
        </w:rPr>
        <w:fldChar w:fldCharType="end"/>
      </w: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A44F55" w:rsidRPr="004B2881" w:rsidRDefault="00A44F55" w:rsidP="00D849CD">
      <w:pPr>
        <w:rPr>
          <w:rFonts w:eastAsia="SimSun"/>
          <w:webHidden/>
          <w:lang w:val="fr-FR"/>
        </w:rPr>
      </w:pPr>
    </w:p>
    <w:p w:rsidR="00A44F55" w:rsidRPr="004B2881" w:rsidRDefault="00A44F55" w:rsidP="00D849CD">
      <w:pPr>
        <w:rPr>
          <w:rFonts w:eastAsia="SimSun"/>
          <w:webHidden/>
          <w:lang w:val="fr-FR"/>
        </w:rPr>
      </w:pPr>
    </w:p>
    <w:p w:rsidR="00A44F55" w:rsidRPr="004B2881" w:rsidRDefault="00A44F55" w:rsidP="00D849CD">
      <w:pPr>
        <w:rPr>
          <w:rFonts w:eastAsia="SimSun"/>
          <w:webHidden/>
          <w:lang w:val="fr-FR"/>
        </w:rPr>
      </w:pP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D849CD" w:rsidRPr="004B2881" w:rsidRDefault="00D849CD" w:rsidP="00D849CD">
      <w:pPr>
        <w:rPr>
          <w:rFonts w:eastAsia="SimSun"/>
          <w:webHidden/>
          <w:lang w:val="fr-FR"/>
        </w:rPr>
      </w:pPr>
    </w:p>
    <w:p w:rsidR="00485128" w:rsidRPr="004B2881" w:rsidRDefault="00485128" w:rsidP="003939D6">
      <w:pPr>
        <w:rPr>
          <w:rFonts w:eastAsia="SimSun"/>
          <w:webHidden/>
          <w:lang w:val="fr-FR"/>
        </w:rPr>
      </w:pPr>
    </w:p>
    <w:p w:rsidR="00485128" w:rsidRPr="004B2881" w:rsidRDefault="00485128" w:rsidP="003939D6">
      <w:pPr>
        <w:rPr>
          <w:rFonts w:eastAsia="SimSun"/>
          <w:webHidden/>
          <w:lang w:val="fr-FR"/>
        </w:rPr>
      </w:pPr>
    </w:p>
    <w:p w:rsidR="00D849CD" w:rsidRPr="004B2881" w:rsidRDefault="00D849CD" w:rsidP="003939D6">
      <w:pPr>
        <w:rPr>
          <w:rFonts w:eastAsia="SimSun"/>
          <w:webHidden/>
          <w:lang w:val="fr-FR"/>
        </w:rPr>
      </w:pPr>
    </w:p>
    <w:p w:rsidR="00D849CD" w:rsidRPr="004B2881" w:rsidRDefault="00D849CD" w:rsidP="003939D6">
      <w:pPr>
        <w:rPr>
          <w:rFonts w:eastAsia="SimSun"/>
          <w:webHidden/>
          <w:lang w:val="fr-FR"/>
        </w:rPr>
      </w:pPr>
    </w:p>
    <w:p w:rsidR="00D849CD" w:rsidRPr="004B2881" w:rsidRDefault="00D849CD" w:rsidP="003939D6">
      <w:pPr>
        <w:rPr>
          <w:rFonts w:eastAsia="SimSun"/>
          <w:webHidden/>
          <w:lang w:val="fr-FR"/>
        </w:rPr>
      </w:pPr>
    </w:p>
    <w:p w:rsidR="00D849CD" w:rsidRPr="004B2881" w:rsidRDefault="00D849CD" w:rsidP="003939D6">
      <w:pPr>
        <w:rPr>
          <w:rFonts w:eastAsia="SimSun"/>
          <w:webHidden/>
          <w:lang w:val="fr-FR"/>
        </w:rPr>
      </w:pPr>
    </w:p>
    <w:p w:rsidR="0010386F" w:rsidRPr="004B2881" w:rsidRDefault="0010386F" w:rsidP="00E83FA2">
      <w:pPr>
        <w:rPr>
          <w:lang w:val="fr-FR"/>
        </w:rPr>
        <w:sectPr w:rsidR="0010386F" w:rsidRPr="004B2881" w:rsidSect="00F41B52">
          <w:headerReference w:type="even" r:id="rId17"/>
          <w:headerReference w:type="default" r:id="rId18"/>
          <w:footerReference w:type="default" r:id="rId19"/>
          <w:type w:val="oddPage"/>
          <w:pgSz w:w="11907" w:h="16840" w:code="9"/>
          <w:pgMar w:top="1418" w:right="1134" w:bottom="1418" w:left="1134" w:header="720" w:footer="720" w:gutter="0"/>
          <w:paperSrc w:first="15" w:other="15"/>
          <w:pgNumType w:fmt="lowerRoman" w:start="1"/>
          <w:cols w:space="720"/>
          <w:vAlign w:val="both"/>
        </w:sectPr>
      </w:pPr>
    </w:p>
    <w:p w:rsidR="001308DA" w:rsidRPr="004B2881" w:rsidRDefault="00077525" w:rsidP="00077525">
      <w:pPr>
        <w:pStyle w:val="Parttitle"/>
        <w:rPr>
          <w:lang w:val="fr-FR"/>
        </w:rPr>
      </w:pPr>
      <w:bookmarkStart w:id="10" w:name="_Toc278266894"/>
      <w:r w:rsidRPr="004B2881">
        <w:rPr>
          <w:lang w:val="fr-FR"/>
        </w:rPr>
        <w:lastRenderedPageBreak/>
        <w:t xml:space="preserve">Lignes directrices pour l'établissement d'un système cohérent </w:t>
      </w:r>
      <w:r w:rsidRPr="004B2881">
        <w:rPr>
          <w:lang w:val="fr-FR"/>
        </w:rPr>
        <w:br/>
        <w:t>de redevances liées à l'utilisation des fréquences</w:t>
      </w:r>
      <w:bookmarkEnd w:id="10"/>
    </w:p>
    <w:p w:rsidR="00491D2C" w:rsidRPr="004B2881" w:rsidRDefault="00491D2C" w:rsidP="00491D2C">
      <w:pPr>
        <w:pStyle w:val="Heading1"/>
        <w:rPr>
          <w:bCs/>
          <w:lang w:val="fr-FR"/>
        </w:rPr>
      </w:pPr>
      <w:bookmarkStart w:id="11" w:name="_Toc280259978"/>
      <w:bookmarkStart w:id="12" w:name="_Toc280260860"/>
      <w:bookmarkStart w:id="13" w:name="_Toc280272439"/>
      <w:bookmarkStart w:id="14" w:name="_Toc284414111"/>
      <w:bookmarkStart w:id="15" w:name="_Toc286314854"/>
      <w:bookmarkStart w:id="16" w:name="_Toc277853425"/>
      <w:r w:rsidRPr="004B2881">
        <w:rPr>
          <w:lang w:val="fr-FR"/>
        </w:rPr>
        <w:t>1</w:t>
      </w:r>
      <w:r w:rsidRPr="004B2881">
        <w:rPr>
          <w:lang w:val="fr-FR"/>
        </w:rPr>
        <w:tab/>
        <w:t>Introduction</w:t>
      </w:r>
      <w:bookmarkEnd w:id="11"/>
      <w:bookmarkEnd w:id="12"/>
      <w:bookmarkEnd w:id="13"/>
      <w:bookmarkEnd w:id="14"/>
      <w:bookmarkEnd w:id="15"/>
    </w:p>
    <w:p w:rsidR="00491D2C" w:rsidRPr="004B2881" w:rsidRDefault="009709C5" w:rsidP="009709C5">
      <w:pPr>
        <w:rPr>
          <w:iCs/>
          <w:lang w:val="fr-FR"/>
        </w:rPr>
      </w:pPr>
      <w:r w:rsidRPr="004B2881">
        <w:rPr>
          <w:lang w:val="fr-FR"/>
        </w:rPr>
        <w:t xml:space="preserve">Le présent document contribue à répondre à la demande de la Résolution 9 (Rév.Doha, 2006) dont le </w:t>
      </w:r>
      <w:r w:rsidRPr="004B2881">
        <w:rPr>
          <w:i/>
          <w:lang w:val="fr-FR"/>
        </w:rPr>
        <w:t>décide 2</w:t>
      </w:r>
      <w:r w:rsidRPr="004B2881">
        <w:rPr>
          <w:lang w:val="fr-FR"/>
        </w:rPr>
        <w:t xml:space="preserve"> prévoit «</w:t>
      </w:r>
      <w:r w:rsidRPr="004B2881">
        <w:rPr>
          <w:i/>
          <w:iCs/>
          <w:lang w:val="fr-FR"/>
        </w:rPr>
        <w:t>de poursuivre le développement de la base de données SF et de fournir de nouvelles lignes directrices et études de cas, fondées sur l'expérience pratique des administrations.</w:t>
      </w:r>
      <w:r w:rsidRPr="004B2881">
        <w:rPr>
          <w:lang w:val="fr-FR"/>
        </w:rPr>
        <w:t>»</w:t>
      </w:r>
    </w:p>
    <w:p w:rsidR="00491D2C" w:rsidRPr="004B2881" w:rsidRDefault="009709C5" w:rsidP="009709C5">
      <w:pPr>
        <w:rPr>
          <w:lang w:val="fr-FR"/>
        </w:rPr>
      </w:pPr>
      <w:r w:rsidRPr="004B2881">
        <w:rPr>
          <w:lang w:val="fr-FR"/>
        </w:rPr>
        <w:t>Les lignes directrices ci-après reflètent l'expérience pratique d'un certain nombre d'administrations et visent à instituer un système cohérent de redevances qui prend en considération:</w:t>
      </w:r>
    </w:p>
    <w:p w:rsidR="00720B7B" w:rsidRPr="004B2881" w:rsidRDefault="00720B7B" w:rsidP="00720B7B">
      <w:pPr>
        <w:pStyle w:val="enumlev1"/>
        <w:rPr>
          <w:lang w:val="fr-FR"/>
        </w:rPr>
      </w:pPr>
      <w:r w:rsidRPr="004B2881">
        <w:rPr>
          <w:lang w:val="fr-FR"/>
        </w:rPr>
        <w:t>–</w:t>
      </w:r>
      <w:r w:rsidRPr="004B2881">
        <w:rPr>
          <w:lang w:val="fr-FR"/>
        </w:rPr>
        <w:tab/>
        <w:t>le financement de la gestion du spectre;</w:t>
      </w:r>
    </w:p>
    <w:p w:rsidR="00720B7B" w:rsidRPr="004B2881" w:rsidRDefault="00720B7B" w:rsidP="00720B7B">
      <w:pPr>
        <w:pStyle w:val="enumlev1"/>
        <w:rPr>
          <w:lang w:val="fr-FR"/>
        </w:rPr>
      </w:pPr>
      <w:r w:rsidRPr="004B2881">
        <w:rPr>
          <w:lang w:val="fr-FR"/>
        </w:rPr>
        <w:t>–</w:t>
      </w:r>
      <w:r w:rsidRPr="004B2881">
        <w:rPr>
          <w:lang w:val="fr-FR"/>
        </w:rPr>
        <w:tab/>
        <w:t>des objectifs budgétaires et de développement des pouvoirs publics;</w:t>
      </w:r>
    </w:p>
    <w:p w:rsidR="00720B7B" w:rsidRPr="004B2881" w:rsidRDefault="00720B7B" w:rsidP="00720B7B">
      <w:pPr>
        <w:pStyle w:val="enumlev1"/>
        <w:rPr>
          <w:lang w:val="fr-FR"/>
        </w:rPr>
      </w:pPr>
      <w:r w:rsidRPr="004B2881">
        <w:rPr>
          <w:lang w:val="fr-FR"/>
        </w:rPr>
        <w:t>–</w:t>
      </w:r>
      <w:r w:rsidRPr="004B2881">
        <w:rPr>
          <w:lang w:val="fr-FR"/>
        </w:rPr>
        <w:tab/>
        <w:t>les objectifs d'une gestion efficace du spectre et d'une bonne utilisation des fréquences.</w:t>
      </w:r>
    </w:p>
    <w:p w:rsidR="00EA49F0" w:rsidRPr="004B2881" w:rsidRDefault="00EA49F0" w:rsidP="00EA49F0">
      <w:pPr>
        <w:rPr>
          <w:lang w:val="fr-FR"/>
        </w:rPr>
      </w:pPr>
      <w:r w:rsidRPr="004B2881">
        <w:rPr>
          <w:lang w:val="fr-FR"/>
        </w:rPr>
        <w:t>Elles résultent des travaux effectués durant la période d'études 2006-2010 qui ont tenu compte notamment des documents suivants:</w:t>
      </w:r>
    </w:p>
    <w:p w:rsidR="00EA49F0" w:rsidRPr="004B2881" w:rsidRDefault="00EA49F0" w:rsidP="00EA49F0">
      <w:pPr>
        <w:pStyle w:val="enumlev1"/>
        <w:rPr>
          <w:lang w:val="fr-FR"/>
        </w:rPr>
      </w:pPr>
      <w:r w:rsidRPr="004B2881">
        <w:rPr>
          <w:lang w:val="fr-FR"/>
        </w:rPr>
        <w:t>–</w:t>
      </w:r>
      <w:r w:rsidRPr="004B2881">
        <w:rPr>
          <w:lang w:val="fr-FR"/>
        </w:rPr>
        <w:tab/>
        <w:t>Rapport UIT-R SM.2012-2 – Aspects économiques de la gestion du spectre.</w:t>
      </w:r>
    </w:p>
    <w:p w:rsidR="00EA49F0" w:rsidRPr="004B2881" w:rsidRDefault="00EA49F0" w:rsidP="00EA49F0">
      <w:pPr>
        <w:pStyle w:val="enumlev1"/>
        <w:rPr>
          <w:lang w:val="fr-FR"/>
        </w:rPr>
      </w:pPr>
      <w:r w:rsidRPr="004B2881">
        <w:rPr>
          <w:lang w:val="fr-FR"/>
        </w:rPr>
        <w:t>–</w:t>
      </w:r>
      <w:r w:rsidRPr="004B2881">
        <w:rPr>
          <w:lang w:val="fr-FR"/>
        </w:rPr>
        <w:tab/>
        <w:t>Projet de marché commun ouest-africain: Harmonisation des politiques régissant le marché des TIC dans l'espace UEMOA-CEDEAO. Lignes directrices finales adoptées lors de la 3ème AGO de l'ARTAO, 9 septembre 2005.</w:t>
      </w:r>
    </w:p>
    <w:p w:rsidR="00491D2C" w:rsidRPr="004B2881" w:rsidRDefault="00EA49F0" w:rsidP="00EA49F0">
      <w:pPr>
        <w:rPr>
          <w:lang w:val="fr-FR"/>
        </w:rPr>
      </w:pPr>
      <w:r w:rsidRPr="004B2881">
        <w:rPr>
          <w:lang w:val="fr-FR"/>
        </w:rPr>
        <w:t>On peut citer notamment les pays suivants qui approuvent les principes et appliquent déjà tout ou partie des lignes directrices présentées ci-après: Brésil, Chine, Côte d'Ivoire, Emirats arabes unis, Espagne, Estonie, Finlande, France, Hongrie, Lesotho, Maroc, Suisse, Tanzanie.</w:t>
      </w:r>
    </w:p>
    <w:p w:rsidR="00623DFD" w:rsidRPr="004B2881" w:rsidRDefault="00A828DD" w:rsidP="00314B9D">
      <w:pPr>
        <w:rPr>
          <w:b/>
          <w:bCs/>
          <w:lang w:val="fr-FR"/>
        </w:rPr>
      </w:pPr>
      <w:r w:rsidRPr="004B2881">
        <w:rPr>
          <w:b/>
          <w:bCs/>
          <w:lang w:val="fr-FR"/>
        </w:rPr>
        <w:t xml:space="preserve">Les lignes directrices contenues dans le document </w:t>
      </w:r>
      <w:bookmarkStart w:id="17" w:name="DDE_LINK2"/>
      <w:r w:rsidRPr="004B2881">
        <w:rPr>
          <w:b/>
          <w:bCs/>
          <w:lang w:val="fr-FR"/>
        </w:rPr>
        <w:t>concernent exclusivement les utilisations non gouvernementales du spectre hertzien.</w:t>
      </w:r>
      <w:bookmarkEnd w:id="17"/>
    </w:p>
    <w:p w:rsidR="008A3F59" w:rsidRPr="004B2881" w:rsidRDefault="008A3F59" w:rsidP="008A3F59">
      <w:pPr>
        <w:pStyle w:val="Heading1"/>
        <w:rPr>
          <w:lang w:val="fr-FR"/>
        </w:rPr>
      </w:pPr>
      <w:bookmarkStart w:id="18" w:name="_Toc278266896"/>
      <w:bookmarkStart w:id="19" w:name="_Toc284414112"/>
      <w:bookmarkStart w:id="20" w:name="_Toc286314855"/>
      <w:bookmarkStart w:id="21" w:name="_Toc280259979"/>
      <w:bookmarkStart w:id="22" w:name="_Toc280260861"/>
      <w:bookmarkStart w:id="23" w:name="_Toc280272440"/>
      <w:r w:rsidRPr="004B2881">
        <w:rPr>
          <w:lang w:val="fr-FR"/>
        </w:rPr>
        <w:t>2</w:t>
      </w:r>
      <w:r w:rsidRPr="004B2881">
        <w:rPr>
          <w:lang w:val="fr-FR"/>
        </w:rPr>
        <w:tab/>
        <w:t>Définitions propres au présent document</w:t>
      </w:r>
      <w:bookmarkEnd w:id="18"/>
      <w:bookmarkEnd w:id="19"/>
      <w:bookmarkEnd w:id="20"/>
    </w:p>
    <w:p w:rsidR="008A3F59" w:rsidRPr="004B2881" w:rsidRDefault="008A3F59" w:rsidP="00574975">
      <w:pPr>
        <w:rPr>
          <w:lang w:val="fr-FR"/>
        </w:rPr>
      </w:pPr>
      <w:r w:rsidRPr="004B2881">
        <w:rPr>
          <w:lang w:val="fr-FR"/>
        </w:rPr>
        <w:t xml:space="preserve">Par commodité et pour la clarté de l'exposé, les définitions suivantes ont été retenues et sont spécifiques au présent document. Ces définitions sont légèrement différentes de celles qui sont données pour les termes </w:t>
      </w:r>
      <w:r w:rsidR="00574975" w:rsidRPr="004B2881">
        <w:rPr>
          <w:lang w:val="fr-FR"/>
        </w:rPr>
        <w:t>«</w:t>
      </w:r>
      <w:r w:rsidRPr="004B2881">
        <w:rPr>
          <w:lang w:val="fr-FR"/>
        </w:rPr>
        <w:t>allotissement</w:t>
      </w:r>
      <w:r w:rsidR="00574975" w:rsidRPr="004B2881">
        <w:rPr>
          <w:lang w:val="fr-FR"/>
        </w:rPr>
        <w:t>»</w:t>
      </w:r>
      <w:r w:rsidR="007479DF" w:rsidRPr="004B2881">
        <w:rPr>
          <w:lang w:val="fr-FR"/>
        </w:rPr>
        <w:t xml:space="preserve"> et «</w:t>
      </w:r>
      <w:r w:rsidRPr="004B2881">
        <w:rPr>
          <w:lang w:val="fr-FR"/>
        </w:rPr>
        <w:t>assigna</w:t>
      </w:r>
      <w:r w:rsidR="007479DF" w:rsidRPr="004B2881">
        <w:rPr>
          <w:lang w:val="fr-FR"/>
        </w:rPr>
        <w:t>tion»</w:t>
      </w:r>
      <w:r w:rsidRPr="004B2881">
        <w:rPr>
          <w:lang w:val="fr-FR"/>
        </w:rPr>
        <w:t xml:space="preserve"> respectivement par les articles 1.17 et 1.18 du RR.</w:t>
      </w:r>
    </w:p>
    <w:p w:rsidR="008A3F59" w:rsidRPr="004B2881" w:rsidRDefault="008A3F59" w:rsidP="008A3F59">
      <w:pPr>
        <w:rPr>
          <w:szCs w:val="24"/>
          <w:lang w:val="fr-FR"/>
        </w:rPr>
      </w:pPr>
      <w:r w:rsidRPr="004B2881">
        <w:rPr>
          <w:szCs w:val="24"/>
          <w:lang w:val="fr-FR"/>
        </w:rPr>
        <w:t>[1]</w:t>
      </w:r>
      <w:r w:rsidRPr="004B2881">
        <w:rPr>
          <w:szCs w:val="24"/>
          <w:lang w:val="fr-FR"/>
        </w:rPr>
        <w:tab/>
        <w:t xml:space="preserve">On entend par </w:t>
      </w:r>
      <w:r w:rsidRPr="004B2881">
        <w:rPr>
          <w:i/>
          <w:szCs w:val="24"/>
          <w:lang w:val="fr-FR"/>
        </w:rPr>
        <w:t>assignation</w:t>
      </w:r>
      <w:r w:rsidRPr="004B2881">
        <w:rPr>
          <w:szCs w:val="24"/>
          <w:lang w:val="fr-FR"/>
        </w:rPr>
        <w:t xml:space="preserve"> toute autorisation accordée pour l'utilisation d'une fréquence sur un emplacement donné et dans des conditions identifiées. Une telle fréquence est appelée </w:t>
      </w:r>
      <w:r w:rsidRPr="004B2881">
        <w:rPr>
          <w:i/>
          <w:szCs w:val="24"/>
          <w:lang w:val="fr-FR"/>
        </w:rPr>
        <w:t>fréquence assignée</w:t>
      </w:r>
      <w:r w:rsidRPr="004B2881">
        <w:rPr>
          <w:szCs w:val="24"/>
          <w:lang w:val="fr-FR"/>
        </w:rPr>
        <w:t>.</w:t>
      </w:r>
    </w:p>
    <w:p w:rsidR="008A3F59" w:rsidRPr="004B2881" w:rsidRDefault="008A3F59" w:rsidP="008A3F59">
      <w:pPr>
        <w:rPr>
          <w:szCs w:val="24"/>
          <w:lang w:val="fr-FR"/>
        </w:rPr>
      </w:pPr>
      <w:r w:rsidRPr="004B2881">
        <w:rPr>
          <w:szCs w:val="24"/>
          <w:lang w:val="fr-FR"/>
        </w:rPr>
        <w:t>[2]</w:t>
      </w:r>
      <w:r w:rsidRPr="004B2881">
        <w:rPr>
          <w:szCs w:val="24"/>
          <w:lang w:val="fr-FR"/>
        </w:rPr>
        <w:tab/>
        <w:t xml:space="preserve">On entend par </w:t>
      </w:r>
      <w:r w:rsidRPr="004B2881">
        <w:rPr>
          <w:i/>
          <w:szCs w:val="24"/>
          <w:lang w:val="fr-FR"/>
        </w:rPr>
        <w:t>surface d'attribution</w:t>
      </w:r>
      <w:r w:rsidRPr="004B2881">
        <w:rPr>
          <w:szCs w:val="24"/>
          <w:lang w:val="fr-FR"/>
        </w:rPr>
        <w:t xml:space="preserve"> d'une assignation la partie du territoire sur laquelle la fréquence assignée peut être utilisée.</w:t>
      </w:r>
    </w:p>
    <w:p w:rsidR="008A3F59" w:rsidRPr="004B2881" w:rsidRDefault="008A3F59" w:rsidP="008A3F59">
      <w:pPr>
        <w:rPr>
          <w:szCs w:val="24"/>
          <w:lang w:val="fr-FR"/>
        </w:rPr>
      </w:pPr>
      <w:r w:rsidRPr="004B2881">
        <w:rPr>
          <w:szCs w:val="24"/>
          <w:lang w:val="fr-FR"/>
        </w:rPr>
        <w:t>[3]</w:t>
      </w:r>
      <w:r w:rsidRPr="004B2881">
        <w:rPr>
          <w:szCs w:val="24"/>
          <w:lang w:val="fr-FR"/>
        </w:rPr>
        <w:tab/>
        <w:t xml:space="preserve">On entend par </w:t>
      </w:r>
      <w:r w:rsidRPr="004B2881">
        <w:rPr>
          <w:i/>
          <w:szCs w:val="24"/>
          <w:lang w:val="fr-FR"/>
        </w:rPr>
        <w:t>allotissement</w:t>
      </w:r>
      <w:r w:rsidRPr="004B2881">
        <w:rPr>
          <w:szCs w:val="24"/>
          <w:lang w:val="fr-FR"/>
        </w:rPr>
        <w:t xml:space="preserve"> toute autorisation accordée pour l'utilisation d'un bloc de fréquences sur une zone géographique donnée. De telles fréquences sont appelées </w:t>
      </w:r>
      <w:r w:rsidRPr="004B2881">
        <w:rPr>
          <w:i/>
          <w:szCs w:val="24"/>
          <w:lang w:val="fr-FR"/>
        </w:rPr>
        <w:t>fréquences alloties</w:t>
      </w:r>
      <w:r w:rsidRPr="004B2881">
        <w:rPr>
          <w:szCs w:val="24"/>
          <w:lang w:val="fr-FR"/>
        </w:rPr>
        <w:t>.</w:t>
      </w:r>
    </w:p>
    <w:p w:rsidR="00A52333" w:rsidRPr="004B2881" w:rsidRDefault="00A52333" w:rsidP="00A52333">
      <w:pPr>
        <w:pStyle w:val="Heading1"/>
        <w:rPr>
          <w:lang w:val="fr-FR"/>
        </w:rPr>
      </w:pPr>
      <w:bookmarkStart w:id="24" w:name="_Toc286314856"/>
      <w:r w:rsidRPr="004B2881">
        <w:rPr>
          <w:lang w:val="fr-FR"/>
        </w:rPr>
        <w:t>3</w:t>
      </w:r>
      <w:r w:rsidRPr="004B2881">
        <w:rPr>
          <w:lang w:val="fr-FR"/>
        </w:rPr>
        <w:tab/>
        <w:t>Principes de bases</w:t>
      </w:r>
      <w:bookmarkEnd w:id="24"/>
    </w:p>
    <w:p w:rsidR="009B77C9" w:rsidRPr="004B2881" w:rsidRDefault="009B77C9" w:rsidP="009B77C9">
      <w:pPr>
        <w:rPr>
          <w:lang w:val="fr-FR"/>
        </w:rPr>
      </w:pPr>
      <w:r w:rsidRPr="004B2881">
        <w:rPr>
          <w:lang w:val="fr-FR"/>
        </w:rPr>
        <w:t>Les principes suivants devraient être observés lors de l'établissement de tout système de redevances. Ils sont à la base de l'établissement des lignes directrices du présent document.</w:t>
      </w:r>
    </w:p>
    <w:p w:rsidR="00170B8D" w:rsidRPr="004B2881" w:rsidRDefault="00170B8D" w:rsidP="00170B8D">
      <w:pPr>
        <w:pStyle w:val="Heading2"/>
        <w:rPr>
          <w:lang w:val="fr-FR"/>
        </w:rPr>
      </w:pPr>
      <w:bookmarkStart w:id="25" w:name="_Toc278266898"/>
      <w:bookmarkStart w:id="26" w:name="_Toc284414113"/>
      <w:bookmarkStart w:id="27" w:name="_Toc286314857"/>
      <w:bookmarkEnd w:id="21"/>
      <w:bookmarkEnd w:id="22"/>
      <w:bookmarkEnd w:id="23"/>
      <w:r w:rsidRPr="004B2881">
        <w:rPr>
          <w:lang w:val="fr-FR"/>
        </w:rPr>
        <w:t>3.1</w:t>
      </w:r>
      <w:r w:rsidRPr="004B2881">
        <w:rPr>
          <w:lang w:val="fr-FR"/>
        </w:rPr>
        <w:tab/>
        <w:t>Principes juridiques</w:t>
      </w:r>
      <w:bookmarkEnd w:id="25"/>
      <w:bookmarkEnd w:id="26"/>
      <w:bookmarkEnd w:id="27"/>
    </w:p>
    <w:p w:rsidR="00170B8D" w:rsidRPr="004B2881" w:rsidRDefault="00170B8D" w:rsidP="00170B8D">
      <w:pPr>
        <w:rPr>
          <w:lang w:val="fr-FR"/>
        </w:rPr>
      </w:pPr>
      <w:r w:rsidRPr="004B2881">
        <w:rPr>
          <w:lang w:val="fr-FR"/>
        </w:rPr>
        <w:t>[4]</w:t>
      </w:r>
      <w:r w:rsidRPr="004B2881">
        <w:rPr>
          <w:lang w:val="fr-FR"/>
        </w:rPr>
        <w:tab/>
        <w:t>Le spectre hertzien est la propriété de l'Etat. Ainsi, toute occupation du spectre relative à des activités non gouvernementales est considérée comme une occupation à titre privatif.</w:t>
      </w:r>
    </w:p>
    <w:p w:rsidR="00170B8D" w:rsidRPr="004B2881" w:rsidRDefault="00170B8D" w:rsidP="00170B8D">
      <w:pPr>
        <w:rPr>
          <w:lang w:val="fr-FR"/>
        </w:rPr>
      </w:pPr>
      <w:r w:rsidRPr="004B2881">
        <w:rPr>
          <w:lang w:val="fr-FR"/>
        </w:rPr>
        <w:t>[5]</w:t>
      </w:r>
      <w:r w:rsidRPr="004B2881">
        <w:rPr>
          <w:lang w:val="fr-FR"/>
        </w:rPr>
        <w:tab/>
        <w:t>Appartenant au domaine public de l'Etat, le spectre doit être géré dans l'intérêt de l'ensemble de la collectivité nationale.</w:t>
      </w:r>
    </w:p>
    <w:p w:rsidR="00170B8D" w:rsidRPr="004B2881" w:rsidRDefault="00170B8D" w:rsidP="00170B8D">
      <w:pPr>
        <w:rPr>
          <w:lang w:val="fr-FR"/>
        </w:rPr>
      </w:pPr>
      <w:r w:rsidRPr="004B2881">
        <w:rPr>
          <w:lang w:val="fr-FR"/>
        </w:rPr>
        <w:lastRenderedPageBreak/>
        <w:t>[6]</w:t>
      </w:r>
      <w:r w:rsidRPr="004B2881">
        <w:rPr>
          <w:lang w:val="fr-FR"/>
        </w:rPr>
        <w:tab/>
        <w:t xml:space="preserve">Etant propriétaire du spectre, l'Etat est légitime pour exiger, de la part des occupants à titre privatif du spectre, le paiement de </w:t>
      </w:r>
      <w:r w:rsidRPr="004B2881">
        <w:rPr>
          <w:i/>
          <w:iCs/>
          <w:u w:val="single"/>
          <w:lang w:val="fr-FR"/>
        </w:rPr>
        <w:t xml:space="preserve">redevances du spectre </w:t>
      </w:r>
      <w:r w:rsidRPr="004B2881">
        <w:rPr>
          <w:i/>
          <w:iCs/>
          <w:lang w:val="fr-FR"/>
        </w:rPr>
        <w:t>(</w:t>
      </w:r>
      <w:r w:rsidRPr="004B2881">
        <w:rPr>
          <w:iCs/>
          <w:lang w:val="fr-FR"/>
        </w:rPr>
        <w:t>appelées aussi</w:t>
      </w:r>
      <w:r w:rsidRPr="004B2881">
        <w:rPr>
          <w:i/>
          <w:iCs/>
          <w:lang w:val="fr-FR"/>
        </w:rPr>
        <w:t xml:space="preserve"> redevances d'occupation du spectre, </w:t>
      </w:r>
      <w:r w:rsidRPr="004B2881">
        <w:rPr>
          <w:iCs/>
          <w:lang w:val="fr-FR"/>
        </w:rPr>
        <w:t>ou</w:t>
      </w:r>
      <w:r w:rsidRPr="004B2881">
        <w:rPr>
          <w:i/>
          <w:iCs/>
          <w:lang w:val="fr-FR"/>
        </w:rPr>
        <w:t xml:space="preserve"> redevances de mise à disposition des fréquences </w:t>
      </w:r>
      <w:r w:rsidRPr="004B2881">
        <w:rPr>
          <w:iCs/>
          <w:lang w:val="fr-FR"/>
        </w:rPr>
        <w:t>ou bien encore</w:t>
      </w:r>
      <w:r w:rsidRPr="004B2881">
        <w:rPr>
          <w:i/>
          <w:iCs/>
          <w:lang w:val="fr-FR"/>
        </w:rPr>
        <w:t xml:space="preserve"> redevances d'utilisation des fréquences </w:t>
      </w:r>
      <w:r w:rsidRPr="004B2881">
        <w:rPr>
          <w:lang w:val="fr-FR"/>
        </w:rPr>
        <w:t>ou simplement</w:t>
      </w:r>
      <w:r w:rsidRPr="004B2881">
        <w:rPr>
          <w:i/>
          <w:iCs/>
          <w:lang w:val="fr-FR"/>
        </w:rPr>
        <w:t xml:space="preserve"> redevances </w:t>
      </w:r>
      <w:r w:rsidRPr="004B2881">
        <w:rPr>
          <w:lang w:val="fr-FR"/>
        </w:rPr>
        <w:t>lorsqu'il n'y a pas d'ambiguïté).</w:t>
      </w:r>
    </w:p>
    <w:p w:rsidR="00170B8D" w:rsidRPr="004B2881" w:rsidRDefault="00170B8D" w:rsidP="00170B8D">
      <w:pPr>
        <w:rPr>
          <w:lang w:val="fr-FR"/>
        </w:rPr>
      </w:pPr>
      <w:r w:rsidRPr="004B2881">
        <w:rPr>
          <w:lang w:val="fr-FR"/>
        </w:rPr>
        <w:t>[7]</w:t>
      </w:r>
      <w:r w:rsidRPr="004B2881">
        <w:rPr>
          <w:lang w:val="fr-FR"/>
        </w:rPr>
        <w:tab/>
        <w:t>La planification, la gestion et le contrôle du spectre sont assurés par l'Etat ou par des organismes ayant reçu de l'Etat une délégation de compétence à cet effet. Ces activités, ainsi que les équipements et investissements correspondants, sont indispensables pour permettre une utilisation du spectre dans des conditions satisfaisantes.</w:t>
      </w:r>
    </w:p>
    <w:p w:rsidR="00170B8D" w:rsidRPr="004B2881" w:rsidRDefault="00170B8D" w:rsidP="002B4821">
      <w:pPr>
        <w:rPr>
          <w:szCs w:val="24"/>
          <w:lang w:val="fr-FR"/>
        </w:rPr>
      </w:pPr>
      <w:r w:rsidRPr="004B2881">
        <w:rPr>
          <w:szCs w:val="24"/>
          <w:lang w:val="fr-FR"/>
        </w:rPr>
        <w:t>[8]</w:t>
      </w:r>
      <w:r w:rsidRPr="004B2881">
        <w:rPr>
          <w:szCs w:val="24"/>
          <w:lang w:val="fr-FR"/>
        </w:rPr>
        <w:tab/>
        <w:t xml:space="preserve">Il est donc légitime que les pouvoirs publics exigent en outre, de la part des occupants à titre privatif du spectre, le paiement de </w:t>
      </w:r>
      <w:r w:rsidRPr="004B2881">
        <w:rPr>
          <w:i/>
          <w:iCs/>
          <w:szCs w:val="24"/>
          <w:u w:val="single"/>
          <w:lang w:val="fr-FR"/>
        </w:rPr>
        <w:t xml:space="preserve">redevances administratives </w:t>
      </w:r>
      <w:r w:rsidRPr="004B2881">
        <w:rPr>
          <w:i/>
          <w:iCs/>
          <w:szCs w:val="24"/>
          <w:lang w:val="fr-FR"/>
        </w:rPr>
        <w:t>(</w:t>
      </w:r>
      <w:r w:rsidRPr="004B2881">
        <w:rPr>
          <w:iCs/>
          <w:szCs w:val="24"/>
          <w:lang w:val="fr-FR"/>
        </w:rPr>
        <w:t xml:space="preserve">appelées aussi </w:t>
      </w:r>
      <w:r w:rsidRPr="004B2881">
        <w:rPr>
          <w:i/>
          <w:iCs/>
          <w:szCs w:val="24"/>
          <w:lang w:val="fr-FR"/>
        </w:rPr>
        <w:t>redevances de gestion de fréquences</w:t>
      </w:r>
      <w:r w:rsidRPr="004B2881">
        <w:rPr>
          <w:iCs/>
          <w:szCs w:val="24"/>
          <w:lang w:val="fr-FR"/>
        </w:rPr>
        <w:t xml:space="preserve"> ou bien encore </w:t>
      </w:r>
      <w:r w:rsidRPr="004B2881">
        <w:rPr>
          <w:i/>
          <w:iCs/>
          <w:szCs w:val="24"/>
          <w:lang w:val="fr-FR"/>
        </w:rPr>
        <w:t xml:space="preserve">redevances pour service rendu </w:t>
      </w:r>
      <w:r w:rsidRPr="004B2881">
        <w:rPr>
          <w:szCs w:val="24"/>
          <w:lang w:val="fr-FR"/>
        </w:rPr>
        <w:t>ou bien aussi</w:t>
      </w:r>
      <w:r w:rsidRPr="004B2881">
        <w:rPr>
          <w:i/>
          <w:iCs/>
          <w:szCs w:val="24"/>
          <w:lang w:val="fr-FR"/>
        </w:rPr>
        <w:t xml:space="preserve"> taxes administratives </w:t>
      </w:r>
      <w:r w:rsidRPr="004B2881">
        <w:rPr>
          <w:szCs w:val="24"/>
          <w:lang w:val="fr-FR"/>
        </w:rPr>
        <w:t xml:space="preserve">ou simplement </w:t>
      </w:r>
      <w:r w:rsidRPr="004B2881">
        <w:rPr>
          <w:i/>
          <w:iCs/>
          <w:szCs w:val="24"/>
          <w:lang w:val="fr-FR"/>
        </w:rPr>
        <w:t xml:space="preserve">taxes </w:t>
      </w:r>
      <w:r w:rsidRPr="004B2881">
        <w:rPr>
          <w:szCs w:val="24"/>
          <w:lang w:val="fr-FR"/>
        </w:rPr>
        <w:t>lorsqu'il n'y a pas d'ambiguïté</w:t>
      </w:r>
      <w:r w:rsidRPr="004B2881">
        <w:rPr>
          <w:i/>
          <w:iCs/>
          <w:szCs w:val="24"/>
          <w:lang w:val="fr-FR"/>
        </w:rPr>
        <w:t xml:space="preserve">) </w:t>
      </w:r>
      <w:r w:rsidRPr="004B2881">
        <w:rPr>
          <w:szCs w:val="24"/>
          <w:lang w:val="fr-FR"/>
        </w:rPr>
        <w:t>pour couvrir l'ensemble des coûts liés aux activités de planification, de gestion et de contrôle du spectre.</w:t>
      </w:r>
    </w:p>
    <w:p w:rsidR="00170B8D" w:rsidRPr="004B2881" w:rsidRDefault="00170B8D" w:rsidP="002B4821">
      <w:pPr>
        <w:rPr>
          <w:szCs w:val="24"/>
          <w:lang w:val="fr-FR"/>
        </w:rPr>
      </w:pPr>
      <w:r w:rsidRPr="004B2881">
        <w:rPr>
          <w:szCs w:val="24"/>
          <w:lang w:val="fr-FR"/>
        </w:rPr>
        <w:t>[9]</w:t>
      </w:r>
      <w:r w:rsidRPr="004B2881">
        <w:rPr>
          <w:szCs w:val="24"/>
          <w:lang w:val="fr-FR"/>
        </w:rPr>
        <w:tab/>
        <w:t>Les redevances du spectre et les redevances administratives doivent être établies dans le respect des règles de transparence, d'objectivité, de proportionnalité et de non discrimination. En particulier, la transparence exige notamment que les règles d'établissement des redevances soient simples et aisément comprises de tous.</w:t>
      </w:r>
    </w:p>
    <w:p w:rsidR="00170B8D" w:rsidRPr="004B2881" w:rsidRDefault="00170B8D" w:rsidP="002B4821">
      <w:pPr>
        <w:rPr>
          <w:szCs w:val="24"/>
          <w:lang w:val="fr-FR"/>
        </w:rPr>
      </w:pPr>
      <w:r w:rsidRPr="004B2881">
        <w:rPr>
          <w:szCs w:val="24"/>
          <w:lang w:val="fr-FR"/>
        </w:rPr>
        <w:t>[10]</w:t>
      </w:r>
      <w:r w:rsidRPr="004B2881">
        <w:rPr>
          <w:szCs w:val="24"/>
          <w:lang w:val="fr-FR"/>
        </w:rPr>
        <w:tab/>
        <w:t>Les règles d'établissement des redevances doivent être relativement stables dans le temps afin d'offrir une visibilité et une sécurité juridique nécessaires aux occupants du spectre.</w:t>
      </w:r>
    </w:p>
    <w:p w:rsidR="00170B8D" w:rsidRPr="004B2881" w:rsidRDefault="00170B8D" w:rsidP="002B4821">
      <w:pPr>
        <w:rPr>
          <w:szCs w:val="24"/>
          <w:lang w:val="fr-FR"/>
        </w:rPr>
      </w:pPr>
      <w:r w:rsidRPr="004B2881">
        <w:rPr>
          <w:szCs w:val="24"/>
          <w:lang w:val="fr-FR"/>
        </w:rPr>
        <w:t>[11]</w:t>
      </w:r>
      <w:r w:rsidRPr="004B2881">
        <w:rPr>
          <w:szCs w:val="24"/>
          <w:lang w:val="fr-FR"/>
        </w:rPr>
        <w:tab/>
        <w:t xml:space="preserve">En contrepartie des redevances qu'il paie, un utilisateur de fréquences assignées ou alloties bénéficie d'une protection selon les dispositions de la réglementation en vigueur. A contrario, un utilisateur de fréquences à accès libre (exemples d'utilisation: appareils à faible portée et faible puissance, </w:t>
      </w:r>
      <w:r w:rsidR="004B2881">
        <w:rPr>
          <w:szCs w:val="24"/>
          <w:lang w:val="fr-FR"/>
        </w:rPr>
        <w:t>Wi-Fi</w:t>
      </w:r>
      <w:r w:rsidRPr="004B2881">
        <w:rPr>
          <w:szCs w:val="24"/>
          <w:lang w:val="fr-FR"/>
        </w:rPr>
        <w:t>, Bluetooth, radio amateurs, radio modélisme …) n'est pas protégé et ne devrait donc pas être assujetti au paiement de redevances. Un principe de réalité s'ajoute à ce principe juridique pour ne pas appliquer de redevances aux fréquences à accès libre (voir [17]).</w:t>
      </w:r>
    </w:p>
    <w:p w:rsidR="00170B8D" w:rsidRPr="004B2881" w:rsidRDefault="00170B8D" w:rsidP="00170B8D">
      <w:pPr>
        <w:pStyle w:val="Heading2"/>
        <w:rPr>
          <w:lang w:val="fr-FR"/>
        </w:rPr>
      </w:pPr>
      <w:bookmarkStart w:id="28" w:name="_Toc278266899"/>
      <w:bookmarkStart w:id="29" w:name="_Toc284414114"/>
      <w:bookmarkStart w:id="30" w:name="_Toc286314858"/>
      <w:r w:rsidRPr="004B2881">
        <w:rPr>
          <w:lang w:val="fr-FR"/>
        </w:rPr>
        <w:t>3.2</w:t>
      </w:r>
      <w:r w:rsidRPr="004B2881">
        <w:rPr>
          <w:lang w:val="fr-FR"/>
        </w:rPr>
        <w:tab/>
        <w:t>Principes économiques</w:t>
      </w:r>
      <w:bookmarkEnd w:id="28"/>
      <w:bookmarkEnd w:id="29"/>
      <w:bookmarkEnd w:id="30"/>
    </w:p>
    <w:p w:rsidR="00170B8D" w:rsidRPr="004B2881" w:rsidRDefault="00170B8D" w:rsidP="00170B8D">
      <w:pPr>
        <w:rPr>
          <w:lang w:val="fr-FR"/>
        </w:rPr>
      </w:pPr>
      <w:r w:rsidRPr="004B2881">
        <w:rPr>
          <w:lang w:val="fr-FR"/>
        </w:rPr>
        <w:t>[12]</w:t>
      </w:r>
      <w:r w:rsidRPr="004B2881">
        <w:rPr>
          <w:lang w:val="fr-FR"/>
        </w:rPr>
        <w:tab/>
        <w:t>Le spectre hertzien est une ressource limitée et rare dans un certain nombre de cas. L'objectif principal du gestionnaire est d'obtenir à la fois une occupation optimale du spectre et une bonne utilisation des fréquences.</w:t>
      </w:r>
    </w:p>
    <w:p w:rsidR="00170B8D" w:rsidRPr="004B2881" w:rsidRDefault="00170B8D" w:rsidP="00170B8D">
      <w:pPr>
        <w:rPr>
          <w:lang w:val="fr-FR"/>
        </w:rPr>
      </w:pPr>
      <w:r w:rsidRPr="004B2881">
        <w:rPr>
          <w:lang w:val="fr-FR"/>
        </w:rPr>
        <w:t>[13]</w:t>
      </w:r>
      <w:r w:rsidRPr="004B2881">
        <w:rPr>
          <w:lang w:val="fr-FR"/>
        </w:rPr>
        <w:tab/>
        <w:t xml:space="preserve">Les fondements et les finalités respectifs des redevances du spectre et des redevances administratives sont différents. Cette différence devrait donc conduire à définir </w:t>
      </w:r>
      <w:r w:rsidRPr="004B2881">
        <w:rPr>
          <w:u w:val="single"/>
          <w:lang w:val="fr-FR"/>
        </w:rPr>
        <w:t>deux modalités distinctes pour établir, d'une part les redevances administratives et d'autre part, les redevances du spectre</w:t>
      </w:r>
      <w:r w:rsidRPr="004B2881">
        <w:rPr>
          <w:lang w:val="fr-FR"/>
        </w:rPr>
        <w:t>.</w:t>
      </w:r>
    </w:p>
    <w:p w:rsidR="00170B8D" w:rsidRPr="004B2881" w:rsidRDefault="00170B8D" w:rsidP="00170B8D">
      <w:pPr>
        <w:rPr>
          <w:lang w:val="fr-FR"/>
        </w:rPr>
      </w:pPr>
      <w:r w:rsidRPr="004B2881">
        <w:rPr>
          <w:lang w:val="fr-FR"/>
        </w:rPr>
        <w:t>[14]</w:t>
      </w:r>
      <w:r w:rsidRPr="004B2881">
        <w:rPr>
          <w:lang w:val="fr-FR"/>
        </w:rPr>
        <w:tab/>
        <w:t>C'est ainsi que les redevances administratives ne devraient servir exclusivement qu'à rémunérer le service rendu par les pouvoirs publics.</w:t>
      </w:r>
    </w:p>
    <w:p w:rsidR="00170B8D" w:rsidRPr="004B2881" w:rsidRDefault="00170B8D" w:rsidP="00170B8D">
      <w:pPr>
        <w:rPr>
          <w:lang w:val="fr-FR"/>
        </w:rPr>
      </w:pPr>
      <w:r w:rsidRPr="004B2881">
        <w:rPr>
          <w:lang w:val="fr-FR"/>
        </w:rPr>
        <w:t>[15]</w:t>
      </w:r>
      <w:r w:rsidRPr="004B2881">
        <w:rPr>
          <w:lang w:val="fr-FR"/>
        </w:rPr>
        <w:tab/>
        <w:t>En revanche, la finalité des redevances du spectre est multiforme (voir [4] et [5]) car elles devraient à la fois:</w:t>
      </w:r>
    </w:p>
    <w:p w:rsidR="00170B8D" w:rsidRPr="004B2881" w:rsidRDefault="002C2FC8" w:rsidP="002C2FC8">
      <w:pPr>
        <w:pStyle w:val="enumlev1"/>
        <w:rPr>
          <w:lang w:val="fr-FR"/>
        </w:rPr>
      </w:pPr>
      <w:r w:rsidRPr="004B2881">
        <w:rPr>
          <w:lang w:val="fr-FR"/>
        </w:rPr>
        <w:tab/>
      </w:r>
      <w:r w:rsidR="00170B8D" w:rsidRPr="004B2881">
        <w:rPr>
          <w:lang w:val="fr-FR"/>
        </w:rPr>
        <w:t>[15.1]</w:t>
      </w:r>
      <w:r w:rsidR="00170B8D" w:rsidRPr="004B2881">
        <w:rPr>
          <w:lang w:val="fr-FR"/>
        </w:rPr>
        <w:tab/>
        <w:t>Permettre d'atteindre l'objectif budgétaire fixé par les pouvoirs publics.</w:t>
      </w:r>
    </w:p>
    <w:p w:rsidR="00170B8D" w:rsidRPr="004B2881" w:rsidRDefault="002C2FC8" w:rsidP="002C2FC8">
      <w:pPr>
        <w:pStyle w:val="enumlev1"/>
        <w:ind w:left="1588" w:hanging="1588"/>
        <w:rPr>
          <w:lang w:val="fr-FR"/>
        </w:rPr>
      </w:pPr>
      <w:r w:rsidRPr="004B2881">
        <w:rPr>
          <w:lang w:val="fr-FR"/>
        </w:rPr>
        <w:tab/>
      </w:r>
      <w:r w:rsidR="00170B8D" w:rsidRPr="004B2881">
        <w:rPr>
          <w:lang w:val="fr-FR"/>
        </w:rPr>
        <w:t>[15.2]</w:t>
      </w:r>
      <w:r w:rsidR="00170B8D" w:rsidRPr="004B2881">
        <w:rPr>
          <w:lang w:val="fr-FR"/>
        </w:rPr>
        <w:tab/>
        <w:t>Ne pas contrarier les objectifs économiques des pouvoirs publics concernant le développement du pays et des nouveaux services.</w:t>
      </w:r>
    </w:p>
    <w:p w:rsidR="00170B8D" w:rsidRPr="004B2881" w:rsidRDefault="002C2FC8" w:rsidP="002C2FC8">
      <w:pPr>
        <w:pStyle w:val="enumlev1"/>
        <w:rPr>
          <w:lang w:val="fr-FR"/>
        </w:rPr>
      </w:pPr>
      <w:r w:rsidRPr="004B2881">
        <w:rPr>
          <w:lang w:val="fr-FR"/>
        </w:rPr>
        <w:tab/>
      </w:r>
      <w:r w:rsidR="00170B8D" w:rsidRPr="004B2881">
        <w:rPr>
          <w:lang w:val="fr-FR"/>
        </w:rPr>
        <w:t>[15.3]</w:t>
      </w:r>
      <w:r w:rsidR="00170B8D" w:rsidRPr="004B2881">
        <w:rPr>
          <w:lang w:val="fr-FR"/>
        </w:rPr>
        <w:tab/>
        <w:t>Tenir compte de tous les avantages que les occupants tirent du spectre.</w:t>
      </w:r>
    </w:p>
    <w:p w:rsidR="00170B8D" w:rsidRPr="004B2881" w:rsidRDefault="002C2FC8" w:rsidP="002C2FC8">
      <w:pPr>
        <w:pStyle w:val="enumlev1"/>
        <w:rPr>
          <w:lang w:val="fr-FR"/>
        </w:rPr>
      </w:pPr>
      <w:r w:rsidRPr="004B2881">
        <w:rPr>
          <w:lang w:val="fr-FR"/>
        </w:rPr>
        <w:tab/>
      </w:r>
      <w:r w:rsidR="00170B8D" w:rsidRPr="004B2881">
        <w:rPr>
          <w:lang w:val="fr-FR"/>
        </w:rPr>
        <w:t>[15.4]</w:t>
      </w:r>
      <w:r w:rsidR="00170B8D" w:rsidRPr="004B2881">
        <w:rPr>
          <w:lang w:val="fr-FR"/>
        </w:rPr>
        <w:tab/>
        <w:t>Constituer un outil de gestion du spectre.</w:t>
      </w:r>
    </w:p>
    <w:p w:rsidR="00170B8D" w:rsidRPr="004B2881" w:rsidRDefault="00170B8D" w:rsidP="00170B8D">
      <w:pPr>
        <w:rPr>
          <w:lang w:val="fr-FR"/>
        </w:rPr>
      </w:pPr>
      <w:r w:rsidRPr="004B2881">
        <w:rPr>
          <w:lang w:val="fr-FR"/>
        </w:rPr>
        <w:t>[16]</w:t>
      </w:r>
      <w:r w:rsidRPr="004B2881">
        <w:rPr>
          <w:lang w:val="fr-FR"/>
        </w:rPr>
        <w:tab/>
        <w:t>Les redevances constituent des ressources financières pour l'Etat et pour le gestionnaire du spectre. Leurs montants devraient mécaniquement prendre en compte l'inflation ou l'évolution du budget du gestionnaire du spectre.</w:t>
      </w:r>
    </w:p>
    <w:p w:rsidR="00170B8D" w:rsidRPr="004B2881" w:rsidRDefault="00170B8D" w:rsidP="00170B8D">
      <w:pPr>
        <w:pStyle w:val="Heading2"/>
        <w:rPr>
          <w:lang w:val="fr-FR"/>
        </w:rPr>
      </w:pPr>
      <w:bookmarkStart w:id="31" w:name="_Toc278266900"/>
      <w:bookmarkStart w:id="32" w:name="_Toc284414115"/>
      <w:bookmarkStart w:id="33" w:name="_Toc286314859"/>
      <w:r w:rsidRPr="004B2881">
        <w:rPr>
          <w:lang w:val="fr-FR"/>
        </w:rPr>
        <w:lastRenderedPageBreak/>
        <w:t>3.3</w:t>
      </w:r>
      <w:r w:rsidRPr="004B2881">
        <w:rPr>
          <w:lang w:val="fr-FR"/>
        </w:rPr>
        <w:tab/>
        <w:t>Principes de réalité</w:t>
      </w:r>
      <w:bookmarkEnd w:id="31"/>
      <w:bookmarkEnd w:id="32"/>
      <w:bookmarkEnd w:id="33"/>
    </w:p>
    <w:p w:rsidR="00170B8D" w:rsidRPr="004B2881" w:rsidRDefault="00170B8D" w:rsidP="00170B8D">
      <w:pPr>
        <w:rPr>
          <w:lang w:val="fr-FR"/>
        </w:rPr>
      </w:pPr>
      <w:r w:rsidRPr="004B2881">
        <w:rPr>
          <w:lang w:val="fr-FR"/>
        </w:rPr>
        <w:t>[17]</w:t>
      </w:r>
      <w:r w:rsidRPr="004B2881">
        <w:rPr>
          <w:lang w:val="fr-FR"/>
        </w:rPr>
        <w:tab/>
        <w:t>On ne devrait pas instituer de redevances dont les assujettis seraient difficiles à identifier individuellement, comme c'est le cas des utilisateurs de fréquences à accès libre, car leur recouvrement serait incertain et probablement très partiel (voir [11]).</w:t>
      </w:r>
    </w:p>
    <w:p w:rsidR="00170B8D" w:rsidRPr="004B2881" w:rsidRDefault="00170B8D" w:rsidP="00170B8D">
      <w:pPr>
        <w:rPr>
          <w:lang w:val="fr-FR"/>
        </w:rPr>
      </w:pPr>
      <w:r w:rsidRPr="004B2881">
        <w:rPr>
          <w:lang w:val="fr-FR"/>
        </w:rPr>
        <w:t>[18]</w:t>
      </w:r>
      <w:r w:rsidRPr="004B2881">
        <w:rPr>
          <w:lang w:val="fr-FR"/>
        </w:rPr>
        <w:tab/>
        <w:t>Pour le choix des paramètres entrant dans l'assiette de calcul des redevances, on ne devrait pas retenir des paramètres pour lesquels il est difficile ou impossible, dans la pratique, de vérifier les valeurs déclarées auprès de l'ensemble des utilisateurs assujettis à ces redevances (exemples: la hauteur d'antenne d'une station ou le nombre de stations mobiles d'un réseau privé). Cela éviterait les déclarations inexactes destinées à diminuer le montant des redevances à payer.</w:t>
      </w:r>
    </w:p>
    <w:p w:rsidR="00F03A4B" w:rsidRPr="004B2881" w:rsidRDefault="00170B8D" w:rsidP="00170B8D">
      <w:pPr>
        <w:rPr>
          <w:lang w:val="fr-FR"/>
        </w:rPr>
      </w:pPr>
      <w:r w:rsidRPr="004B2881">
        <w:rPr>
          <w:lang w:val="fr-FR"/>
        </w:rPr>
        <w:t>[19]</w:t>
      </w:r>
      <w:r w:rsidRPr="004B2881">
        <w:rPr>
          <w:lang w:val="fr-FR"/>
        </w:rPr>
        <w:tab/>
        <w:t>L'établissement d'un système de redevances devrait faire l'objet d'un consensus entre tous les acteurs concernés. Cela permettrait d'obtenir un bon taux de recouvrement des redevances instituées.</w:t>
      </w:r>
    </w:p>
    <w:p w:rsidR="004F59B8" w:rsidRPr="004B2881" w:rsidRDefault="004F59B8" w:rsidP="004F59B8">
      <w:pPr>
        <w:pStyle w:val="Heading1"/>
        <w:rPr>
          <w:bCs/>
          <w:lang w:val="fr-FR"/>
        </w:rPr>
      </w:pPr>
      <w:bookmarkStart w:id="34" w:name="_Toc278266901"/>
      <w:bookmarkStart w:id="35" w:name="_Toc284414116"/>
      <w:bookmarkStart w:id="36" w:name="_Toc286314860"/>
      <w:r w:rsidRPr="004B2881">
        <w:rPr>
          <w:lang w:val="fr-FR"/>
        </w:rPr>
        <w:t>4</w:t>
      </w:r>
      <w:r w:rsidRPr="004B2881">
        <w:rPr>
          <w:lang w:val="fr-FR"/>
        </w:rPr>
        <w:tab/>
        <w:t>Lignes directrices pour l'établissement des redevances administratives (ou taxes administratives</w:t>
      </w:r>
      <w:bookmarkEnd w:id="34"/>
      <w:r w:rsidRPr="004B2881">
        <w:rPr>
          <w:lang w:val="fr-FR"/>
        </w:rPr>
        <w:t>)</w:t>
      </w:r>
      <w:bookmarkEnd w:id="35"/>
      <w:bookmarkEnd w:id="36"/>
    </w:p>
    <w:p w:rsidR="004F59B8" w:rsidRPr="004B2881" w:rsidRDefault="004F59B8" w:rsidP="004F59B8">
      <w:pPr>
        <w:pStyle w:val="Heading2"/>
        <w:rPr>
          <w:lang w:val="fr-FR"/>
        </w:rPr>
      </w:pPr>
      <w:bookmarkStart w:id="37" w:name="_Toc278266902"/>
      <w:bookmarkStart w:id="38" w:name="_Toc284414117"/>
      <w:bookmarkStart w:id="39" w:name="_Toc286314861"/>
      <w:r w:rsidRPr="004B2881">
        <w:rPr>
          <w:lang w:val="fr-FR"/>
        </w:rPr>
        <w:t>4.1</w:t>
      </w:r>
      <w:r w:rsidRPr="004B2881">
        <w:rPr>
          <w:lang w:val="fr-FR"/>
        </w:rPr>
        <w:tab/>
        <w:t>Observations et dispositions générales</w:t>
      </w:r>
      <w:bookmarkEnd w:id="37"/>
      <w:bookmarkEnd w:id="38"/>
      <w:bookmarkEnd w:id="39"/>
    </w:p>
    <w:p w:rsidR="004F59B8" w:rsidRPr="004B2881" w:rsidRDefault="004F59B8" w:rsidP="004F59B8">
      <w:pPr>
        <w:rPr>
          <w:szCs w:val="24"/>
          <w:lang w:val="fr-FR"/>
        </w:rPr>
      </w:pPr>
      <w:r w:rsidRPr="004B2881">
        <w:rPr>
          <w:szCs w:val="24"/>
          <w:lang w:val="fr-FR"/>
        </w:rPr>
        <w:t>[20]</w:t>
      </w:r>
      <w:r w:rsidRPr="004B2881">
        <w:rPr>
          <w:szCs w:val="24"/>
          <w:lang w:val="fr-FR"/>
        </w:rPr>
        <w:tab/>
        <w:t>Les redevances administratives sont destinées à couvrir l'ensemble des coûts des activités:</w:t>
      </w:r>
    </w:p>
    <w:p w:rsidR="004F59B8" w:rsidRPr="004B2881" w:rsidRDefault="004F59B8" w:rsidP="004F59B8">
      <w:pPr>
        <w:pStyle w:val="enumlev1"/>
        <w:rPr>
          <w:lang w:val="fr-FR"/>
        </w:rPr>
      </w:pPr>
      <w:r w:rsidRPr="004B2881">
        <w:rPr>
          <w:lang w:val="fr-FR"/>
        </w:rPr>
        <w:t>–</w:t>
      </w:r>
      <w:r w:rsidRPr="004B2881">
        <w:rPr>
          <w:lang w:val="fr-FR"/>
        </w:rPr>
        <w:tab/>
        <w:t>relatives à la planification, à la gestion et au contrôle du spectre;</w:t>
      </w:r>
    </w:p>
    <w:p w:rsidR="004F59B8" w:rsidRPr="004B2881" w:rsidRDefault="004F59B8" w:rsidP="004F59B8">
      <w:pPr>
        <w:pStyle w:val="enumlev1"/>
        <w:rPr>
          <w:szCs w:val="24"/>
          <w:lang w:val="fr-FR"/>
        </w:rPr>
      </w:pPr>
      <w:r w:rsidRPr="004B2881">
        <w:rPr>
          <w:szCs w:val="24"/>
          <w:lang w:val="fr-FR"/>
        </w:rPr>
        <w:t>–</w:t>
      </w:r>
      <w:r w:rsidRPr="004B2881">
        <w:rPr>
          <w:szCs w:val="24"/>
          <w:lang w:val="fr-FR"/>
        </w:rPr>
        <w:tab/>
        <w:t>réalisées par tous les pouvoirs publics et organismes délégués en relation avec le spectre;</w:t>
      </w:r>
    </w:p>
    <w:p w:rsidR="004F59B8" w:rsidRPr="004B2881" w:rsidRDefault="004F59B8" w:rsidP="004F59B8">
      <w:pPr>
        <w:pStyle w:val="enumlev1"/>
        <w:rPr>
          <w:szCs w:val="24"/>
          <w:lang w:val="fr-FR"/>
        </w:rPr>
      </w:pPr>
      <w:r w:rsidRPr="004B2881">
        <w:rPr>
          <w:szCs w:val="24"/>
          <w:lang w:val="fr-FR"/>
        </w:rPr>
        <w:t>–</w:t>
      </w:r>
      <w:r w:rsidRPr="004B2881">
        <w:rPr>
          <w:szCs w:val="24"/>
          <w:lang w:val="fr-FR"/>
        </w:rPr>
        <w:tab/>
        <w:t>et concernant exclusivement les occupations à titre privatif du spectre.</w:t>
      </w:r>
    </w:p>
    <w:p w:rsidR="004F59B8" w:rsidRPr="004B2881" w:rsidRDefault="004F59B8" w:rsidP="00206C53">
      <w:pPr>
        <w:rPr>
          <w:lang w:val="fr-FR"/>
        </w:rPr>
      </w:pPr>
      <w:r w:rsidRPr="004B2881">
        <w:rPr>
          <w:lang w:val="fr-FR"/>
        </w:rPr>
        <w:t xml:space="preserve">Ces coûts seront désignés dans la suite par </w:t>
      </w:r>
      <w:r w:rsidR="00206C53" w:rsidRPr="004B2881">
        <w:rPr>
          <w:lang w:val="fr-FR"/>
        </w:rPr>
        <w:t>«</w:t>
      </w:r>
      <w:r w:rsidRPr="004B2881">
        <w:rPr>
          <w:lang w:val="fr-FR"/>
        </w:rPr>
        <w:t>charges administratives</w:t>
      </w:r>
      <w:r w:rsidR="00206C53" w:rsidRPr="004B2881">
        <w:rPr>
          <w:lang w:val="fr-FR"/>
        </w:rPr>
        <w:t>»</w:t>
      </w:r>
      <w:r w:rsidRPr="004B2881">
        <w:rPr>
          <w:lang w:val="fr-FR"/>
        </w:rPr>
        <w:t>.</w:t>
      </w:r>
    </w:p>
    <w:p w:rsidR="004F59B8" w:rsidRPr="004B2881" w:rsidRDefault="004F59B8" w:rsidP="004F59B8">
      <w:pPr>
        <w:rPr>
          <w:lang w:val="fr-FR"/>
        </w:rPr>
      </w:pPr>
      <w:r w:rsidRPr="004B2881">
        <w:rPr>
          <w:lang w:val="fr-FR"/>
        </w:rPr>
        <w:t>L'activité de gestion comprend notamment les activités liées à la délivrance des licences et autorisations d'utilisation des fréquences ainsi qu'à l'établissement et à la collecte des redevances.</w:t>
      </w:r>
    </w:p>
    <w:p w:rsidR="004F59B8" w:rsidRPr="004B2881" w:rsidRDefault="004F59B8" w:rsidP="004F59B8">
      <w:pPr>
        <w:rPr>
          <w:lang w:val="fr-FR"/>
        </w:rPr>
      </w:pPr>
      <w:r w:rsidRPr="004B2881">
        <w:rPr>
          <w:lang w:val="fr-FR"/>
        </w:rPr>
        <w:t>Les charges administratives sont constituées des coûts de personnel, des coûts de fonctionnement et des coûts (amortissements) de bâtiments et d'équipements correspondant aux activités précitées.</w:t>
      </w:r>
    </w:p>
    <w:p w:rsidR="004F59B8" w:rsidRPr="004B2881" w:rsidRDefault="004F59B8" w:rsidP="004F59B8">
      <w:pPr>
        <w:rPr>
          <w:lang w:val="fr-FR"/>
        </w:rPr>
      </w:pPr>
      <w:r w:rsidRPr="004B2881">
        <w:rPr>
          <w:lang w:val="fr-FR"/>
        </w:rPr>
        <w:t>A titre d'exemple, les organismes suivants peuvent avoir une part plus ou moins importante de leurs activités qui est liée au spectre et dont il faudrait prendre en compte dans la détermination des charges administratives: gestionnaire(s) du spectre, régulateur du marché des télécommunications, organisme en charge de l'audiovisuel, ministère(s) responsable(s) de l'audiovisuel et des télécommunications, ministère des affaires étrangères.</w:t>
      </w:r>
    </w:p>
    <w:p w:rsidR="004F59B8" w:rsidRPr="004B2881" w:rsidRDefault="004F59B8" w:rsidP="004F59B8">
      <w:pPr>
        <w:rPr>
          <w:lang w:val="fr-FR"/>
        </w:rPr>
      </w:pPr>
      <w:r w:rsidRPr="004B2881">
        <w:rPr>
          <w:lang w:val="fr-FR"/>
        </w:rPr>
        <w:t xml:space="preserve">Habituellement, les montants des redevances sont établis pour une durée d'une année. Lorsque la période d'utilisation des fréquences est inférieure à une année, les montants correspondants sont déterminés </w:t>
      </w:r>
      <w:r w:rsidRPr="004B2881">
        <w:rPr>
          <w:i/>
          <w:lang w:val="fr-FR"/>
        </w:rPr>
        <w:t>prorata temporis</w:t>
      </w:r>
      <w:r w:rsidRPr="004B2881">
        <w:rPr>
          <w:lang w:val="fr-FR"/>
        </w:rPr>
        <w:t>. Si ces montants sont inférieurs au minimum de perception, c'est ce minimum qui s'applique (le minimum de perception correspond à un seuil en deçà duquel le coût de recouvrement d'une redevance serait supérieur à la redevance elle-même).</w:t>
      </w:r>
    </w:p>
    <w:p w:rsidR="004F59B8" w:rsidRPr="004B2881" w:rsidRDefault="004F59B8" w:rsidP="004F59B8">
      <w:pPr>
        <w:rPr>
          <w:lang w:val="fr-FR"/>
        </w:rPr>
      </w:pPr>
      <w:r w:rsidRPr="004B2881">
        <w:rPr>
          <w:lang w:val="fr-FR"/>
        </w:rPr>
        <w:t>Le montant total annuel des redevances administratives exigibles devrait être le plus proche possible du montant total annuel des charges administratives (voir [14] et [20]). Il convient donc d'évaluer les charges administratives annuelles afin de les répartir entre tous les utilisateurs de fréquences assignées ou alloties.</w:t>
      </w:r>
    </w:p>
    <w:p w:rsidR="004F59B8" w:rsidRPr="004B2881" w:rsidRDefault="004F59B8" w:rsidP="004F59B8">
      <w:pPr>
        <w:rPr>
          <w:lang w:val="fr-FR"/>
        </w:rPr>
      </w:pPr>
      <w:r w:rsidRPr="004B2881">
        <w:rPr>
          <w:lang w:val="fr-FR"/>
        </w:rPr>
        <w:t>La mise en œuvre d'une comptabilité analytique adaptée permet d'obtenir une détermination relativement précise des charges administratives.</w:t>
      </w:r>
    </w:p>
    <w:p w:rsidR="004F59B8" w:rsidRPr="004B2881" w:rsidRDefault="004F59B8" w:rsidP="004F59B8">
      <w:pPr>
        <w:tabs>
          <w:tab w:val="left" w:pos="-1190"/>
          <w:tab w:val="left" w:pos="0"/>
        </w:tabs>
        <w:rPr>
          <w:szCs w:val="24"/>
          <w:lang w:val="fr-FR"/>
        </w:rPr>
      </w:pPr>
      <w:r w:rsidRPr="004B2881">
        <w:rPr>
          <w:szCs w:val="24"/>
          <w:lang w:val="fr-FR"/>
        </w:rPr>
        <w:t>En fin d'année civile ou fiscale et en cas d'écart non négligeable entre le montant des redevances exigibles et le montant des charges administratives réellement constatées, il est recommandé de procéder à une régularisation pour résorber cet écart (voir [14] et [20]).</w:t>
      </w:r>
    </w:p>
    <w:p w:rsidR="00AF6474" w:rsidRPr="004B2881" w:rsidRDefault="004F59B8" w:rsidP="004F59B8">
      <w:pPr>
        <w:rPr>
          <w:lang w:val="fr-FR"/>
        </w:rPr>
      </w:pPr>
      <w:r w:rsidRPr="004B2881">
        <w:rPr>
          <w:szCs w:val="24"/>
          <w:lang w:val="fr-FR"/>
        </w:rPr>
        <w:t>Pour répartir le montant des charges administratives entre les assujettis à la redevance administrative, il est recommandé de retenir une règle de répartition simple et qui soit, si possible, représentative du travail administratif consacré respectivement à chacun des assujettis (voir [9]).</w:t>
      </w:r>
    </w:p>
    <w:p w:rsidR="00FF5313" w:rsidRPr="004B2881" w:rsidRDefault="00FF5313" w:rsidP="00616153">
      <w:pPr>
        <w:pStyle w:val="Heading2"/>
        <w:rPr>
          <w:lang w:val="fr-FR"/>
        </w:rPr>
      </w:pPr>
      <w:bookmarkStart w:id="40" w:name="_Toc284414118"/>
      <w:bookmarkStart w:id="41" w:name="_Toc278266903"/>
      <w:bookmarkStart w:id="42" w:name="_Toc286314862"/>
      <w:r w:rsidRPr="004B2881">
        <w:rPr>
          <w:lang w:val="fr-FR"/>
        </w:rPr>
        <w:lastRenderedPageBreak/>
        <w:t>4.2</w:t>
      </w:r>
      <w:r w:rsidRPr="004B2881">
        <w:rPr>
          <w:lang w:val="fr-FR"/>
        </w:rPr>
        <w:tab/>
        <w:t xml:space="preserve">Règle de répartition des charges administratives </w:t>
      </w:r>
      <w:r w:rsidR="00616153" w:rsidRPr="004B2881">
        <w:rPr>
          <w:lang w:val="fr-FR"/>
        </w:rPr>
        <w:t>–</w:t>
      </w:r>
      <w:r w:rsidRPr="004B2881">
        <w:rPr>
          <w:lang w:val="fr-FR"/>
        </w:rPr>
        <w:t xml:space="preserve"> </w:t>
      </w:r>
      <w:r w:rsidR="00616153" w:rsidRPr="004B2881">
        <w:rPr>
          <w:lang w:val="fr-FR"/>
        </w:rPr>
        <w:t>E</w:t>
      </w:r>
      <w:r w:rsidRPr="004B2881">
        <w:rPr>
          <w:lang w:val="fr-FR"/>
        </w:rPr>
        <w:t>xemple 1</w:t>
      </w:r>
      <w:bookmarkEnd w:id="40"/>
      <w:bookmarkEnd w:id="41"/>
      <w:bookmarkEnd w:id="42"/>
    </w:p>
    <w:p w:rsidR="00FF5313" w:rsidRPr="004B2881" w:rsidRDefault="00FF5313" w:rsidP="00FF5313">
      <w:pPr>
        <w:tabs>
          <w:tab w:val="left" w:pos="-1190"/>
          <w:tab w:val="left" w:pos="0"/>
        </w:tabs>
        <w:rPr>
          <w:szCs w:val="24"/>
          <w:lang w:val="fr-FR"/>
        </w:rPr>
      </w:pPr>
      <w:r w:rsidRPr="004B2881">
        <w:rPr>
          <w:szCs w:val="24"/>
          <w:lang w:val="fr-FR"/>
        </w:rPr>
        <w:t>Les charges administratives annuelles sont réparties entre tous les assujettis à la redevance de gestion et proportionnellement à leur chiffre d'affaires respectif.</w:t>
      </w:r>
    </w:p>
    <w:p w:rsidR="00FF5313" w:rsidRPr="004B2881" w:rsidRDefault="00FF5313" w:rsidP="00FF5313">
      <w:pPr>
        <w:tabs>
          <w:tab w:val="left" w:pos="-1190"/>
          <w:tab w:val="left" w:pos="0"/>
        </w:tabs>
        <w:spacing w:after="120"/>
        <w:rPr>
          <w:szCs w:val="24"/>
          <w:lang w:val="fr-FR"/>
        </w:rPr>
      </w:pPr>
      <w:r w:rsidRPr="004B2881">
        <w:rPr>
          <w:szCs w:val="24"/>
          <w:lang w:val="fr-FR"/>
        </w:rPr>
        <w:t xml:space="preserve">Ainsi, pour un assujetti dont le chiffre d'affaires est égal à CA, le montant annuel de la redevance administrative </w:t>
      </w:r>
      <w:r w:rsidRPr="004B2881">
        <w:rPr>
          <w:i/>
          <w:szCs w:val="24"/>
          <w:lang w:val="fr-FR"/>
        </w:rPr>
        <w:t>Ra</w:t>
      </w:r>
      <w:r w:rsidRPr="004B2881">
        <w:rPr>
          <w:szCs w:val="24"/>
          <w:lang w:val="fr-FR"/>
        </w:rPr>
        <w:t xml:space="preserve"> pour l'année considérée est égal au produit suivant:</w:t>
      </w:r>
    </w:p>
    <w:p w:rsidR="004017B7" w:rsidRPr="004B2881" w:rsidRDefault="004017B7" w:rsidP="00BD5E02">
      <w:pPr>
        <w:pBdr>
          <w:top w:val="single" w:sz="4" w:space="1" w:color="auto"/>
          <w:left w:val="single" w:sz="4" w:space="4" w:color="auto"/>
          <w:bottom w:val="single" w:sz="4" w:space="1" w:color="auto"/>
          <w:right w:val="single" w:sz="4" w:space="4" w:color="auto"/>
        </w:pBdr>
        <w:tabs>
          <w:tab w:val="left" w:pos="-1190"/>
          <w:tab w:val="left" w:pos="0"/>
        </w:tabs>
        <w:spacing w:after="120"/>
        <w:rPr>
          <w:szCs w:val="24"/>
          <w:lang w:val="fr-FR"/>
        </w:rPr>
      </w:pPr>
      <m:oMathPara>
        <m:oMath>
          <m:r>
            <w:rPr>
              <w:rFonts w:ascii="Cambria Math" w:hAnsi="Cambria Math" w:cstheme="majorBidi"/>
              <w:lang w:val="fr-FR"/>
            </w:rPr>
            <m:t>Ra</m:t>
          </m:r>
          <m:r>
            <w:rPr>
              <w:rFonts w:ascii="Cambria Math" w:hAnsiTheme="majorBidi" w:cstheme="majorBidi"/>
              <w:lang w:val="fr-FR"/>
            </w:rPr>
            <m:t xml:space="preserve">= </m:t>
          </m:r>
          <m:f>
            <m:fPr>
              <m:ctrlPr>
                <w:rPr>
                  <w:rFonts w:ascii="Cambria Math" w:hAnsiTheme="majorBidi" w:cstheme="majorBidi"/>
                  <w:i/>
                  <w:lang w:val="fr-FR"/>
                </w:rPr>
              </m:ctrlPr>
            </m:fPr>
            <m:num>
              <m:r>
                <w:rPr>
                  <w:rFonts w:ascii="Cambria Math" w:hAnsiTheme="majorBidi" w:cstheme="majorBidi"/>
                  <w:lang w:val="fr-FR"/>
                </w:rPr>
                <m:t>c</m:t>
              </m:r>
              <m:r>
                <w:rPr>
                  <w:rFonts w:ascii="Cambria Math" w:hAnsi="Cambria Math" w:cs="Cambria Math"/>
                  <w:lang w:val="fr-FR"/>
                </w:rPr>
                <m:t>h</m:t>
              </m:r>
              <m:r>
                <w:rPr>
                  <w:rFonts w:ascii="Cambria Math" w:hAnsiTheme="majorBidi" w:cstheme="majorBidi"/>
                  <w:lang w:val="fr-FR"/>
                </w:rPr>
                <m:t>arges administratives de l</m:t>
              </m:r>
              <m:r>
                <w:rPr>
                  <w:rFonts w:ascii="Cambria Math" w:hAnsiTheme="majorBidi" w:cstheme="majorBidi"/>
                  <w:lang w:val="fr-FR"/>
                </w:rPr>
                <m:t>'</m:t>
              </m:r>
              <m:r>
                <w:rPr>
                  <w:rFonts w:ascii="Cambria Math" w:hAnsiTheme="majorBidi" w:cstheme="majorBidi"/>
                  <w:lang w:val="fr-FR"/>
                </w:rPr>
                <m:t>ann</m:t>
              </m:r>
              <m:r>
                <w:rPr>
                  <w:rFonts w:ascii="Cambria Math" w:hAnsiTheme="majorBidi" w:cstheme="majorBidi"/>
                  <w:lang w:val="fr-FR"/>
                </w:rPr>
                <m:t>é</m:t>
              </m:r>
              <m:r>
                <w:rPr>
                  <w:rFonts w:ascii="Cambria Math" w:hAnsiTheme="majorBidi" w:cstheme="majorBidi"/>
                  <w:lang w:val="fr-FR"/>
                </w:rPr>
                <m:t>e consid</m:t>
              </m:r>
              <m:r>
                <w:rPr>
                  <w:rFonts w:ascii="Cambria Math" w:hAnsiTheme="majorBidi" w:cstheme="majorBidi"/>
                  <w:lang w:val="fr-FR"/>
                </w:rPr>
                <m:t>é</m:t>
              </m:r>
              <m:r>
                <w:rPr>
                  <w:rFonts w:ascii="Cambria Math" w:hAnsiTheme="majorBidi" w:cstheme="majorBidi"/>
                  <w:lang w:val="fr-FR"/>
                </w:rPr>
                <m:t>r</m:t>
              </m:r>
              <m:r>
                <w:rPr>
                  <w:rFonts w:ascii="Cambria Math" w:hAnsiTheme="majorBidi" w:cstheme="majorBidi"/>
                  <w:lang w:val="fr-FR"/>
                </w:rPr>
                <m:t>é</m:t>
              </m:r>
              <m:r>
                <w:rPr>
                  <w:rFonts w:ascii="Cambria Math" w:hAnsiTheme="majorBidi" w:cstheme="majorBidi"/>
                  <w:lang w:val="fr-FR"/>
                </w:rPr>
                <m:t>e</m:t>
              </m:r>
            </m:num>
            <m:den>
              <m:r>
                <w:rPr>
                  <w:rFonts w:ascii="Cambria Math" w:hAnsiTheme="majorBidi" w:cstheme="majorBidi"/>
                  <w:lang w:val="fr-FR"/>
                </w:rPr>
                <m:t>somme des c</m:t>
              </m:r>
              <m:r>
                <w:rPr>
                  <w:rFonts w:ascii="Cambria Math" w:hAnsi="Cambria Math" w:cs="Cambria Math"/>
                  <w:lang w:val="fr-FR"/>
                </w:rPr>
                <m:t>h</m:t>
              </m:r>
              <m:r>
                <w:rPr>
                  <w:rFonts w:ascii="Cambria Math" w:hAnsiTheme="majorBidi" w:cstheme="majorBidi"/>
                  <w:lang w:val="fr-FR"/>
                </w:rPr>
                <m:t>iffres d</m:t>
              </m:r>
              <m:r>
                <w:rPr>
                  <w:rFonts w:ascii="Cambria Math" w:hAnsiTheme="majorBidi" w:cstheme="majorBidi"/>
                  <w:lang w:val="fr-FR"/>
                </w:rPr>
                <m:t>'</m:t>
              </m:r>
              <m:r>
                <w:rPr>
                  <w:rFonts w:ascii="Cambria Math" w:hAnsiTheme="majorBidi" w:cstheme="majorBidi"/>
                  <w:lang w:val="fr-FR"/>
                </w:rPr>
                <m:t>affaires de tous les assujett</m:t>
              </m:r>
              <m:r>
                <w:rPr>
                  <w:rFonts w:ascii="Cambria Math" w:hAnsiTheme="majorBidi" w:cstheme="majorBidi"/>
                  <w:lang w:val="fr-FR"/>
                </w:rPr>
                <m:t>is pour l</m:t>
              </m:r>
              <m:r>
                <w:rPr>
                  <w:rFonts w:ascii="Cambria Math" w:hAnsiTheme="majorBidi" w:cstheme="majorBidi"/>
                  <w:lang w:val="fr-FR"/>
                </w:rPr>
                <m:t>'</m:t>
              </m:r>
              <m:r>
                <w:rPr>
                  <w:rFonts w:ascii="Cambria Math" w:hAnsiTheme="majorBidi" w:cstheme="majorBidi"/>
                  <w:lang w:val="fr-FR"/>
                </w:rPr>
                <m:t>ann</m:t>
              </m:r>
              <m:r>
                <w:rPr>
                  <w:rFonts w:ascii="Cambria Math" w:hAnsiTheme="majorBidi" w:cstheme="majorBidi"/>
                  <w:lang w:val="fr-FR"/>
                </w:rPr>
                <m:t>é</m:t>
              </m:r>
              <m:r>
                <w:rPr>
                  <w:rFonts w:ascii="Cambria Math" w:hAnsiTheme="majorBidi" w:cstheme="majorBidi"/>
                  <w:lang w:val="fr-FR"/>
                </w:rPr>
                <m:t>e consid</m:t>
              </m:r>
              <m:r>
                <w:rPr>
                  <w:rFonts w:ascii="Cambria Math" w:hAnsiTheme="majorBidi" w:cstheme="majorBidi"/>
                  <w:lang w:val="fr-FR"/>
                </w:rPr>
                <m:t>é</m:t>
              </m:r>
              <m:r>
                <w:rPr>
                  <w:rFonts w:ascii="Cambria Math" w:hAnsiTheme="majorBidi" w:cstheme="majorBidi"/>
                  <w:lang w:val="fr-FR"/>
                </w:rPr>
                <m:t>r</m:t>
              </m:r>
              <m:r>
                <w:rPr>
                  <w:rFonts w:ascii="Cambria Math" w:hAnsiTheme="majorBidi" w:cstheme="majorBidi"/>
                  <w:lang w:val="fr-FR"/>
                </w:rPr>
                <m:t>é</m:t>
              </m:r>
              <m:r>
                <w:rPr>
                  <w:rFonts w:ascii="Cambria Math" w:hAnsiTheme="majorBidi" w:cstheme="majorBidi"/>
                  <w:lang w:val="fr-FR"/>
                </w:rPr>
                <m:t>e</m:t>
              </m:r>
            </m:den>
          </m:f>
          <m:r>
            <w:rPr>
              <w:rFonts w:ascii="Cambria Math" w:hAnsi="Cambria Math" w:cstheme="majorBidi"/>
              <w:lang w:val="fr-FR"/>
            </w:rPr>
            <m:t>*C</m:t>
          </m:r>
        </m:oMath>
      </m:oMathPara>
    </w:p>
    <w:p w:rsidR="00FF5313" w:rsidRPr="004B2881" w:rsidRDefault="00FF5313" w:rsidP="00FF5313">
      <w:pPr>
        <w:pStyle w:val="Normalaftertitle"/>
        <w:rPr>
          <w:lang w:val="fr-FR"/>
        </w:rPr>
      </w:pPr>
      <w:r w:rsidRPr="004B2881">
        <w:rPr>
          <w:lang w:val="fr-FR"/>
        </w:rPr>
        <w:t>Cette règle présente l'avantage d'être simple mais peut s'avérer particulièrement pénalisante pour les assujettis, qui ne possèdent qu'un réseau radioélectrique privé et dont l'activité industrielle ou commerciale est importante mais sans rapport avec le domaine des fréquences, car ils pourraient alors être contraints à payer une redevance très supérieure au coût du service rendu.</w:t>
      </w:r>
    </w:p>
    <w:p w:rsidR="00FF5313" w:rsidRPr="004B2881" w:rsidRDefault="00FF5313" w:rsidP="000B2CFB">
      <w:pPr>
        <w:rPr>
          <w:lang w:val="fr-FR"/>
        </w:rPr>
      </w:pPr>
      <w:r w:rsidRPr="004B2881">
        <w:rPr>
          <w:lang w:val="fr-FR"/>
        </w:rPr>
        <w:t>Cette règle pourrait être utilisée à défaut de pouvoir mettre en œuvre la règle décrite au § 4.3</w:t>
      </w:r>
    </w:p>
    <w:p w:rsidR="00F511C5" w:rsidRPr="004B2881" w:rsidRDefault="00F511C5" w:rsidP="00616153">
      <w:pPr>
        <w:pStyle w:val="Heading2"/>
        <w:rPr>
          <w:lang w:val="fr-FR"/>
        </w:rPr>
      </w:pPr>
      <w:bookmarkStart w:id="43" w:name="_Toc278266904"/>
      <w:bookmarkStart w:id="44" w:name="_Toc284414119"/>
      <w:bookmarkStart w:id="45" w:name="_Toc286314863"/>
      <w:r w:rsidRPr="004B2881">
        <w:rPr>
          <w:lang w:val="fr-FR"/>
        </w:rPr>
        <w:t>4.3</w:t>
      </w:r>
      <w:r w:rsidRPr="004B2881">
        <w:rPr>
          <w:lang w:val="fr-FR"/>
        </w:rPr>
        <w:tab/>
        <w:t xml:space="preserve">Règle de répartition des charges administratives </w:t>
      </w:r>
      <w:r w:rsidR="00616153" w:rsidRPr="004B2881">
        <w:rPr>
          <w:lang w:val="fr-FR"/>
        </w:rPr>
        <w:t>–</w:t>
      </w:r>
      <w:r w:rsidRPr="004B2881">
        <w:rPr>
          <w:lang w:val="fr-FR"/>
        </w:rPr>
        <w:t xml:space="preserve"> </w:t>
      </w:r>
      <w:r w:rsidR="00616153" w:rsidRPr="004B2881">
        <w:rPr>
          <w:lang w:val="fr-FR"/>
        </w:rPr>
        <w:t>E</w:t>
      </w:r>
      <w:r w:rsidRPr="004B2881">
        <w:rPr>
          <w:lang w:val="fr-FR"/>
        </w:rPr>
        <w:t>xemple 2</w:t>
      </w:r>
      <w:bookmarkEnd w:id="43"/>
      <w:bookmarkEnd w:id="44"/>
      <w:bookmarkEnd w:id="45"/>
    </w:p>
    <w:p w:rsidR="00F511C5" w:rsidRPr="004B2881" w:rsidRDefault="00F511C5" w:rsidP="00F511C5">
      <w:pPr>
        <w:rPr>
          <w:lang w:val="fr-FR"/>
        </w:rPr>
      </w:pPr>
      <w:r w:rsidRPr="004B2881">
        <w:rPr>
          <w:lang w:val="fr-FR"/>
        </w:rPr>
        <w:t>Les charges administratives sont réparties au prorata du nombre d'assignations et du nombre d'allotissements attribuées respectivement à chacun des assujettis à la redevance de gestion (voir [1] et [2]).</w:t>
      </w:r>
    </w:p>
    <w:p w:rsidR="00F511C5" w:rsidRPr="004B2881" w:rsidRDefault="00F511C5" w:rsidP="00F511C5">
      <w:pPr>
        <w:rPr>
          <w:lang w:val="fr-FR"/>
        </w:rPr>
      </w:pPr>
      <w:r w:rsidRPr="004B2881">
        <w:rPr>
          <w:lang w:val="fr-FR"/>
        </w:rPr>
        <w:t>Dans la pratique, on détermine deux valeurs monétaires de référence correspondant respectivement au montant de la redevance administrative pour une fréquence assignée (G) et au montant de la redevance administrative pour une bande de fréquences de 1 MHz alloties (G').</w:t>
      </w:r>
    </w:p>
    <w:p w:rsidR="00F511C5" w:rsidRPr="004B2881" w:rsidRDefault="00F511C5" w:rsidP="00F511C5">
      <w:pPr>
        <w:spacing w:after="120"/>
        <w:rPr>
          <w:lang w:val="fr-FR"/>
        </w:rPr>
      </w:pPr>
      <w:r w:rsidRPr="004B2881">
        <w:rPr>
          <w:lang w:val="fr-FR"/>
        </w:rPr>
        <w:t>La détermination des valeurs de G et G' est telle qu'elle devrait permettre de réaliser le mieux possible l'égalité suivante pour une année considérée (voir [14] et [20]):</w:t>
      </w:r>
    </w:p>
    <w:p w:rsidR="00A7362E" w:rsidRPr="004B2881" w:rsidRDefault="00A7362E" w:rsidP="001F0534">
      <w:pPr>
        <w:pBdr>
          <w:top w:val="single" w:sz="4" w:space="1" w:color="auto"/>
          <w:left w:val="single" w:sz="4" w:space="4" w:color="auto"/>
          <w:bottom w:val="single" w:sz="4" w:space="1" w:color="auto"/>
          <w:right w:val="single" w:sz="4" w:space="4" w:color="auto"/>
        </w:pBdr>
        <w:spacing w:after="120"/>
        <w:rPr>
          <w:lang w:val="fr-FR"/>
        </w:rPr>
      </w:pPr>
      <m:oMathPara>
        <m:oMath>
          <m:r>
            <m:rPr>
              <m:sty m:val="p"/>
            </m:rPr>
            <w:rPr>
              <w:rFonts w:ascii="Cambria Math" w:hAnsi="Cambria Math"/>
              <w:lang w:val="fr-FR"/>
            </w:rPr>
            <m:t>Charges administratives=</m:t>
          </m:r>
          <m:r>
            <w:rPr>
              <w:rFonts w:ascii="Cambria Math" w:hAnsi="Cambria Math"/>
              <w:lang w:val="fr-FR"/>
            </w:rPr>
            <m:t xml:space="preserve"> </m:t>
          </m:r>
          <m:m>
            <m:mPr>
              <m:mcs>
                <m:mc>
                  <m:mcPr>
                    <m:count m:val="1"/>
                    <m:mcJc m:val="center"/>
                  </m:mcPr>
                </m:mc>
              </m:mcs>
              <m:ctrlPr>
                <w:rPr>
                  <w:rFonts w:ascii="Cambria Math" w:hAnsi="Cambria Math"/>
                  <w:iCs/>
                  <w:lang w:val="fr-FR"/>
                </w:rPr>
              </m:ctrlPr>
            </m:mPr>
            <m:mr>
              <m:e>
                <m:r>
                  <m:rPr>
                    <m:sty m:val="p"/>
                  </m:rPr>
                  <w:rPr>
                    <w:rFonts w:ascii="Cambria Math" w:hAnsi="Cambria Math"/>
                    <w:lang w:val="fr-FR"/>
                  </w:rPr>
                  <m:t xml:space="preserve">nombre total de fréquences assignées sur </m:t>
                </m:r>
                <m:sSup>
                  <m:sSupPr>
                    <m:ctrlPr>
                      <w:rPr>
                        <w:rFonts w:ascii="Cambria Math" w:hAnsi="Cambria Math"/>
                        <w:lang w:val="fr-FR"/>
                      </w:rPr>
                    </m:ctrlPr>
                  </m:sSupPr>
                  <m:e>
                    <m:r>
                      <m:rPr>
                        <m:sty m:val="p"/>
                      </m:rPr>
                      <w:rPr>
                        <w:rFonts w:ascii="Cambria Math" w:hAnsi="Cambria Math"/>
                        <w:lang w:val="fr-FR"/>
                      </w:rPr>
                      <m:t>l</m:t>
                    </m:r>
                  </m:e>
                  <m:sup>
                    <m:r>
                      <m:rPr>
                        <m:sty m:val="p"/>
                      </m:rPr>
                      <w:rPr>
                        <w:rFonts w:ascii="Cambria Math" w:hAnsi="Cambria Math"/>
                        <w:lang w:val="fr-FR"/>
                      </w:rPr>
                      <m:t>'</m:t>
                    </m:r>
                  </m:sup>
                </m:sSup>
                <m:r>
                  <m:rPr>
                    <m:sty m:val="p"/>
                  </m:rPr>
                  <w:rPr>
                    <w:rFonts w:ascii="Cambria Math" w:hAnsi="Cambria Math"/>
                    <w:lang w:val="fr-FR"/>
                  </w:rPr>
                  <m:t>ensembledu territoire*G</m:t>
                </m:r>
              </m:e>
            </m:mr>
            <m:mr>
              <m:e>
                <m:r>
                  <m:rPr>
                    <m:sty m:val="p"/>
                  </m:rPr>
                  <w:rPr>
                    <w:rFonts w:ascii="Cambria Math" w:hAnsi="Cambria Math"/>
                    <w:lang w:val="fr-FR"/>
                  </w:rPr>
                  <m:t xml:space="preserve">+ nombre total de MHz allotis sur </m:t>
                </m:r>
                <m:sSup>
                  <m:sSupPr>
                    <m:ctrlPr>
                      <w:rPr>
                        <w:rFonts w:ascii="Cambria Math" w:hAnsi="Cambria Math"/>
                        <w:lang w:val="fr-FR"/>
                      </w:rPr>
                    </m:ctrlPr>
                  </m:sSupPr>
                  <m:e>
                    <m:r>
                      <m:rPr>
                        <m:sty m:val="p"/>
                      </m:rPr>
                      <w:rPr>
                        <w:rFonts w:ascii="Cambria Math" w:hAnsi="Cambria Math"/>
                        <w:lang w:val="fr-FR"/>
                      </w:rPr>
                      <m:t>l</m:t>
                    </m:r>
                  </m:e>
                  <m:sup>
                    <m:r>
                      <m:rPr>
                        <m:sty m:val="p"/>
                      </m:rPr>
                      <w:rPr>
                        <w:rFonts w:ascii="Cambria Math" w:hAnsi="Cambria Math"/>
                        <w:lang w:val="fr-FR"/>
                      </w:rPr>
                      <m:t>'</m:t>
                    </m:r>
                  </m:sup>
                </m:sSup>
                <m:r>
                  <m:rPr>
                    <m:sty m:val="p"/>
                  </m:rPr>
                  <w:rPr>
                    <w:rFonts w:ascii="Cambria Math" w:hAnsi="Cambria Math"/>
                    <w:lang w:val="fr-FR"/>
                  </w:rPr>
                  <m:t>ensemble du territoire*G'</m:t>
                </m:r>
              </m:e>
            </m:mr>
          </m:m>
        </m:oMath>
      </m:oMathPara>
    </w:p>
    <w:p w:rsidR="00F511C5" w:rsidRPr="004B2881" w:rsidRDefault="00F511C5" w:rsidP="00F511C5">
      <w:pPr>
        <w:pStyle w:val="Normalaftertitle"/>
        <w:rPr>
          <w:lang w:val="fr-FR"/>
        </w:rPr>
      </w:pPr>
      <w:r w:rsidRPr="004B2881">
        <w:rPr>
          <w:lang w:val="fr-FR"/>
        </w:rPr>
        <w:t xml:space="preserve">A titre d'exemple, un assujetti, qui bénéficie de 50 fréquences assignées et de 20 MHz allotis, paie une redevance administrative annuelle </w:t>
      </w:r>
      <w:r w:rsidRPr="004B2881">
        <w:rPr>
          <w:i/>
          <w:iCs/>
          <w:lang w:val="fr-FR"/>
        </w:rPr>
        <w:t>Ra</w:t>
      </w:r>
      <w:r w:rsidRPr="004B2881">
        <w:rPr>
          <w:lang w:val="fr-FR"/>
        </w:rPr>
        <w:t xml:space="preserve"> égale à:</w:t>
      </w:r>
    </w:p>
    <w:p w:rsidR="00F511C5" w:rsidRPr="004B2881" w:rsidRDefault="00F511C5" w:rsidP="00F511C5">
      <w:pPr>
        <w:jc w:val="center"/>
        <w:rPr>
          <w:lang w:val="fr-FR"/>
        </w:rPr>
      </w:pPr>
      <w:r w:rsidRPr="004B2881">
        <w:rPr>
          <w:lang w:val="fr-FR"/>
        </w:rPr>
        <w:t>Ra = 50 * G + 20 * G'</w:t>
      </w:r>
    </w:p>
    <w:p w:rsidR="00F511C5" w:rsidRPr="004B2881" w:rsidRDefault="00F511C5" w:rsidP="00F511C5">
      <w:pPr>
        <w:rPr>
          <w:lang w:val="fr-FR"/>
        </w:rPr>
      </w:pPr>
      <w:r w:rsidRPr="004B2881">
        <w:rPr>
          <w:lang w:val="fr-FR"/>
        </w:rPr>
        <w:t>Souvent le travail administratif relatif à un allotissement est supérieur à celui d'une assignation. Il est donc recommandé d'en tenir compte en accordant un poids plus important aux allotissements dans la ventilation des charges administratives, c'est-à-dire lors de la détermination de G et G'.</w:t>
      </w:r>
    </w:p>
    <w:p w:rsidR="00F511C5" w:rsidRPr="004B2881" w:rsidRDefault="00F511C5" w:rsidP="00F511C5">
      <w:pPr>
        <w:rPr>
          <w:lang w:val="fr-FR"/>
        </w:rPr>
      </w:pPr>
      <w:r w:rsidRPr="004B2881">
        <w:rPr>
          <w:lang w:val="fr-FR"/>
        </w:rPr>
        <w:t>L'existence d'une comptabilité analytique adaptée permet de déterminer aisément les valeurs de G et G'.</w:t>
      </w:r>
    </w:p>
    <w:p w:rsidR="006031CD" w:rsidRPr="004B2881" w:rsidRDefault="00F511C5" w:rsidP="00F511C5">
      <w:pPr>
        <w:rPr>
          <w:lang w:val="fr-FR"/>
        </w:rPr>
      </w:pPr>
      <w:r w:rsidRPr="004B2881">
        <w:rPr>
          <w:lang w:val="fr-FR"/>
        </w:rPr>
        <w:t>Cette règle de répartition des charges administratives présente l'avantage de refléter assez bien le service rendu car le travail administratif fourni croît avec le nombre de fréquences assignées et le nombre de MHz allotis qui sont attribués à un même assujetti.</w:t>
      </w:r>
    </w:p>
    <w:p w:rsidR="00C97A8D" w:rsidRPr="004B2881" w:rsidRDefault="00C97A8D" w:rsidP="00C97A8D">
      <w:pPr>
        <w:pStyle w:val="Heading1"/>
        <w:rPr>
          <w:bCs/>
          <w:lang w:val="fr-FR"/>
        </w:rPr>
      </w:pPr>
      <w:bookmarkStart w:id="46" w:name="_Toc278266905"/>
      <w:bookmarkStart w:id="47" w:name="_Toc284414120"/>
      <w:bookmarkStart w:id="48" w:name="_Toc286314864"/>
      <w:r w:rsidRPr="004B2881">
        <w:rPr>
          <w:lang w:val="fr-FR"/>
        </w:rPr>
        <w:t>5</w:t>
      </w:r>
      <w:r w:rsidRPr="004B2881">
        <w:rPr>
          <w:lang w:val="fr-FR"/>
        </w:rPr>
        <w:tab/>
        <w:t>Lignes directrices pour l'établissement des redevances du spectre</w:t>
      </w:r>
      <w:bookmarkEnd w:id="46"/>
      <w:bookmarkEnd w:id="47"/>
      <w:bookmarkEnd w:id="48"/>
    </w:p>
    <w:p w:rsidR="00C97A8D" w:rsidRPr="004B2881" w:rsidRDefault="00C97A8D" w:rsidP="00C97A8D">
      <w:pPr>
        <w:pStyle w:val="Heading2"/>
        <w:rPr>
          <w:lang w:val="fr-FR"/>
        </w:rPr>
      </w:pPr>
      <w:bookmarkStart w:id="49" w:name="_Toc278266906"/>
      <w:bookmarkStart w:id="50" w:name="_Toc284414121"/>
      <w:bookmarkStart w:id="51" w:name="_Toc286314865"/>
      <w:r w:rsidRPr="004B2881">
        <w:rPr>
          <w:lang w:val="fr-FR"/>
        </w:rPr>
        <w:t>5.1</w:t>
      </w:r>
      <w:r w:rsidRPr="004B2881">
        <w:rPr>
          <w:lang w:val="fr-FR"/>
        </w:rPr>
        <w:tab/>
        <w:t>Observations et dispositions générales</w:t>
      </w:r>
      <w:bookmarkEnd w:id="49"/>
      <w:bookmarkEnd w:id="50"/>
      <w:bookmarkEnd w:id="51"/>
    </w:p>
    <w:p w:rsidR="00C97A8D" w:rsidRPr="004B2881" w:rsidRDefault="00C97A8D" w:rsidP="00C97A8D">
      <w:pPr>
        <w:rPr>
          <w:lang w:val="fr-FR"/>
        </w:rPr>
      </w:pPr>
      <w:r w:rsidRPr="004B2881">
        <w:rPr>
          <w:lang w:val="fr-FR"/>
        </w:rPr>
        <w:t>Le système de redevances du spectre devrait respecter notamment les principes économiques [12], [15] et [16].</w:t>
      </w:r>
    </w:p>
    <w:p w:rsidR="00C97A8D" w:rsidRPr="004B2881" w:rsidRDefault="00C97A8D" w:rsidP="00C97A8D">
      <w:pPr>
        <w:rPr>
          <w:lang w:val="fr-FR"/>
        </w:rPr>
      </w:pPr>
      <w:r w:rsidRPr="004B2881">
        <w:rPr>
          <w:lang w:val="fr-FR"/>
        </w:rPr>
        <w:t>En outre, il doit tenir compte aussi des principes de réalité [18] et [19] dans la fixation de l'assiette servant au calcul des redevances.</w:t>
      </w:r>
    </w:p>
    <w:p w:rsidR="00C97A8D" w:rsidRPr="004B2881" w:rsidRDefault="00C97A8D" w:rsidP="00C97A8D">
      <w:pPr>
        <w:pStyle w:val="Heading3"/>
        <w:rPr>
          <w:lang w:val="fr-FR"/>
        </w:rPr>
      </w:pPr>
      <w:bookmarkStart w:id="52" w:name="_Toc278266907"/>
      <w:r w:rsidRPr="004B2881">
        <w:rPr>
          <w:lang w:val="fr-FR"/>
        </w:rPr>
        <w:lastRenderedPageBreak/>
        <w:t>5.1.1</w:t>
      </w:r>
      <w:r w:rsidRPr="004B2881">
        <w:rPr>
          <w:lang w:val="fr-FR"/>
        </w:rPr>
        <w:tab/>
        <w:t>Objectif budgétaire des pouvoirs publics</w:t>
      </w:r>
      <w:bookmarkEnd w:id="52"/>
    </w:p>
    <w:p w:rsidR="00C97A8D" w:rsidRPr="004B2881" w:rsidRDefault="00C97A8D" w:rsidP="00C97A8D">
      <w:pPr>
        <w:rPr>
          <w:lang w:val="fr-FR"/>
        </w:rPr>
      </w:pPr>
      <w:r w:rsidRPr="004B2881">
        <w:rPr>
          <w:lang w:val="fr-FR"/>
        </w:rPr>
        <w:t xml:space="preserve">En général, l'objectif budgétaire est exprimé par un montant </w:t>
      </w:r>
      <w:r w:rsidRPr="004B2881">
        <w:rPr>
          <w:u w:val="single"/>
          <w:lang w:val="fr-FR"/>
        </w:rPr>
        <w:t>global</w:t>
      </w:r>
      <w:r w:rsidRPr="004B2881">
        <w:rPr>
          <w:lang w:val="fr-FR"/>
        </w:rPr>
        <w:t xml:space="preserve"> de recette que les redevances doivent rapporter à l'Etat.</w:t>
      </w:r>
    </w:p>
    <w:p w:rsidR="00C97A8D" w:rsidRPr="004B2881" w:rsidRDefault="00C97A8D" w:rsidP="00C97A8D">
      <w:pPr>
        <w:rPr>
          <w:lang w:val="fr-FR"/>
        </w:rPr>
      </w:pPr>
      <w:r w:rsidRPr="004B2881">
        <w:rPr>
          <w:lang w:val="fr-FR"/>
        </w:rPr>
        <w:t>[21]</w:t>
      </w:r>
      <w:r w:rsidRPr="004B2881">
        <w:rPr>
          <w:lang w:val="fr-FR"/>
        </w:rPr>
        <w:tab/>
        <w:t>Tout en observant le montant global de recette fixé par les pouvoirs publics, il est recommandé de moduler les montants des redevances selon les applications afin de respecter au mieux les trois autres fonctions dévolues aux redevances du spectre (voir [15.2], [15.3] et [15.4]).</w:t>
      </w:r>
    </w:p>
    <w:p w:rsidR="00C97A8D" w:rsidRPr="004B2881" w:rsidRDefault="00C97A8D" w:rsidP="00C97A8D">
      <w:pPr>
        <w:pStyle w:val="Heading3"/>
        <w:rPr>
          <w:lang w:val="fr-FR"/>
        </w:rPr>
      </w:pPr>
      <w:bookmarkStart w:id="53" w:name="_Toc278266908"/>
      <w:r w:rsidRPr="004B2881">
        <w:rPr>
          <w:lang w:val="fr-FR"/>
        </w:rPr>
        <w:t>5.1.2</w:t>
      </w:r>
      <w:r w:rsidRPr="004B2881">
        <w:rPr>
          <w:lang w:val="fr-FR"/>
        </w:rPr>
        <w:tab/>
        <w:t>Objectifs économiques des pouvoirs publics</w:t>
      </w:r>
      <w:bookmarkEnd w:id="53"/>
    </w:p>
    <w:p w:rsidR="00C97A8D" w:rsidRPr="004B2881" w:rsidRDefault="00C97A8D" w:rsidP="00C97A8D">
      <w:pPr>
        <w:rPr>
          <w:lang w:val="fr-FR"/>
        </w:rPr>
      </w:pPr>
      <w:r w:rsidRPr="004B2881">
        <w:rPr>
          <w:lang w:val="fr-FR"/>
        </w:rPr>
        <w:t>[22]</w:t>
      </w:r>
      <w:r w:rsidRPr="004B2881">
        <w:rPr>
          <w:lang w:val="fr-FR"/>
        </w:rPr>
        <w:tab/>
        <w:t>Dans la plupart des cas, l'utilisation des fréquences contribue à accroître l'efficacité et la productivité des agents économiques et participe ainsi au développement du pays. A titre d'illustration, on pourrait mentionner l'utilisation des communications mobiles par les sociétés de travaux publics sur les chantiers de construction afin d'améliorer leur productivité. Pour ce type d'usage des fréquences, appliquer des redevances trop élevées pourrait restreindre l'usage et contrarier ainsi l'objectif de développement du pays.</w:t>
      </w:r>
    </w:p>
    <w:p w:rsidR="00C97A8D" w:rsidRPr="004B2881" w:rsidRDefault="00C97A8D" w:rsidP="00740D9B">
      <w:pPr>
        <w:rPr>
          <w:lang w:val="fr-FR"/>
        </w:rPr>
      </w:pPr>
      <w:r w:rsidRPr="004B2881">
        <w:rPr>
          <w:lang w:val="fr-FR"/>
        </w:rPr>
        <w:t>[23]</w:t>
      </w:r>
      <w:r w:rsidRPr="004B2881">
        <w:rPr>
          <w:lang w:val="fr-FR"/>
        </w:rPr>
        <w:tab/>
        <w:t xml:space="preserve">Dans un certain nombre de cas, l'introduction d'un nouveau service de radiocommunication exige d'importants investissements. Aussi, lorsque c'est le cas et durant la phase d'introduction et de démarrage </w:t>
      </w:r>
      <w:r w:rsidR="00740D9B" w:rsidRPr="004B2881">
        <w:rPr>
          <w:lang w:val="fr-FR"/>
        </w:rPr>
        <w:t>du service, l'application d'un «</w:t>
      </w:r>
      <w:r w:rsidRPr="004B2881">
        <w:rPr>
          <w:lang w:val="fr-FR"/>
        </w:rPr>
        <w:t>ticket d'entrée</w:t>
      </w:r>
      <w:r w:rsidR="00740D9B" w:rsidRPr="004B2881">
        <w:rPr>
          <w:lang w:val="fr-FR"/>
        </w:rPr>
        <w:t>»</w:t>
      </w:r>
      <w:r w:rsidRPr="004B2881">
        <w:rPr>
          <w:lang w:val="fr-FR"/>
        </w:rPr>
        <w:t xml:space="preserve"> ou des redevances annuelles trop élevés pourraient réduire la capacité d'investissement des opérateurs concernés et retarder ainsi la diffusion du service.</w:t>
      </w:r>
    </w:p>
    <w:p w:rsidR="00C97A8D" w:rsidRPr="004B2881" w:rsidRDefault="00C97A8D" w:rsidP="00C97A8D">
      <w:pPr>
        <w:rPr>
          <w:lang w:val="fr-FR"/>
        </w:rPr>
      </w:pPr>
      <w:r w:rsidRPr="004B2881">
        <w:rPr>
          <w:lang w:val="fr-FR"/>
        </w:rPr>
        <w:t>Les pouvoirs publics peuvent aussi avoir des objectifs d'aménagement du territoire. Le cas échéant, les montants des redevances pourraient être modulés pour refléter ces objectifs (voir [5]).</w:t>
      </w:r>
    </w:p>
    <w:p w:rsidR="00C97A8D" w:rsidRPr="004B2881" w:rsidRDefault="00C97A8D" w:rsidP="00C97A8D">
      <w:pPr>
        <w:pStyle w:val="Heading3"/>
        <w:rPr>
          <w:lang w:val="fr-FR"/>
        </w:rPr>
      </w:pPr>
      <w:bookmarkStart w:id="54" w:name="_Toc278266909"/>
      <w:r w:rsidRPr="004B2881">
        <w:rPr>
          <w:lang w:val="fr-FR"/>
        </w:rPr>
        <w:t>5.1.3</w:t>
      </w:r>
      <w:r w:rsidRPr="004B2881">
        <w:rPr>
          <w:lang w:val="fr-FR"/>
        </w:rPr>
        <w:tab/>
        <w:t>Prise en compte des avantages résultant de l'occupation du spectre</w:t>
      </w:r>
      <w:bookmarkEnd w:id="54"/>
    </w:p>
    <w:p w:rsidR="00C97A8D" w:rsidRPr="004B2881" w:rsidRDefault="00C97A8D" w:rsidP="00C97A8D">
      <w:pPr>
        <w:rPr>
          <w:lang w:val="fr-FR"/>
        </w:rPr>
      </w:pPr>
      <w:r w:rsidRPr="004B2881">
        <w:rPr>
          <w:lang w:val="fr-FR"/>
        </w:rPr>
        <w:t>Les avantages tirés de l'occupation du spectre dépendent de l'usage que les occupants font des fréquences qui leur sont attribuées.</w:t>
      </w:r>
    </w:p>
    <w:p w:rsidR="00C97A8D" w:rsidRPr="004B2881" w:rsidRDefault="00C97A8D" w:rsidP="00C97A8D">
      <w:pPr>
        <w:rPr>
          <w:lang w:val="fr-FR"/>
        </w:rPr>
      </w:pPr>
      <w:r w:rsidRPr="004B2881">
        <w:rPr>
          <w:lang w:val="fr-FR"/>
        </w:rPr>
        <w:t>[24]</w:t>
      </w:r>
      <w:r w:rsidRPr="004B2881">
        <w:rPr>
          <w:lang w:val="fr-FR"/>
        </w:rPr>
        <w:tab/>
        <w:t>Lorsqu'un agent économique utilise des fréquences pour satisfaire ses besoins propres, les avantages qu'il tire de cette utilisation sont limités aux gains de productivité. Ces gains se traduisent par un accroissement de son efficacité ou par une diminution de ses coûts d'exploitation. A titre d'exemple, une compagnie de taxis utilise un réseau privé de communications mobiles pour accroître son efficacité commerciale. Un opérateur de télécommunications utilise des faisceaux hertziens pour son réseau d'infrastructure si cela lui revient moins cher en exploitation qu'un système filaire.</w:t>
      </w:r>
    </w:p>
    <w:p w:rsidR="00C97A8D" w:rsidRPr="004B2881" w:rsidRDefault="00C97A8D" w:rsidP="00C97A8D">
      <w:pPr>
        <w:rPr>
          <w:lang w:val="fr-FR"/>
        </w:rPr>
      </w:pPr>
      <w:r w:rsidRPr="004B2881">
        <w:rPr>
          <w:lang w:val="fr-FR"/>
        </w:rPr>
        <w:t>[25]</w:t>
      </w:r>
      <w:r w:rsidRPr="004B2881">
        <w:rPr>
          <w:lang w:val="fr-FR"/>
        </w:rPr>
        <w:tab/>
        <w:t>Lorsqu'un agent économique utilise des fréquences pour offrir ou commercialiser des services destinés à un marché de consommateurs, il tire de cette utilisation une rente de situation dont ne bénéficient pas ceux qui n'ont pas accès au spectre. A titre d'illustration, c'est notamment le cas des éditeurs de programmes télévisuels ou des opérateurs de services mobiles GSM.</w:t>
      </w:r>
    </w:p>
    <w:p w:rsidR="00C97A8D" w:rsidRPr="004B2881" w:rsidRDefault="00C97A8D" w:rsidP="00C97A8D">
      <w:pPr>
        <w:rPr>
          <w:lang w:val="fr-FR"/>
        </w:rPr>
      </w:pPr>
      <w:r w:rsidRPr="004B2881">
        <w:rPr>
          <w:lang w:val="fr-FR"/>
        </w:rPr>
        <w:t>La valeur des rentes de situation est souvent très supérieure à la valeur des gains de productivité précités et en particulier dans les cas où la ressource spectrale est rare.</w:t>
      </w:r>
    </w:p>
    <w:p w:rsidR="00C97A8D" w:rsidRPr="004B2881" w:rsidRDefault="00C97A8D" w:rsidP="00C97A8D">
      <w:pPr>
        <w:rPr>
          <w:lang w:val="fr-FR"/>
        </w:rPr>
      </w:pPr>
      <w:r w:rsidRPr="004B2881">
        <w:rPr>
          <w:lang w:val="fr-FR"/>
        </w:rPr>
        <w:t>Les modalités d'établissement des redevances du spectre devraient donc refléter la différence qui existe entre la valeur des rentes de situation et la valeur des gains de productivité (voir [15.3]).</w:t>
      </w:r>
    </w:p>
    <w:p w:rsidR="00C97A8D" w:rsidRPr="004B2881" w:rsidRDefault="00C97A8D" w:rsidP="00C97A8D">
      <w:pPr>
        <w:pStyle w:val="Heading3"/>
        <w:rPr>
          <w:lang w:val="fr-FR"/>
        </w:rPr>
      </w:pPr>
      <w:bookmarkStart w:id="55" w:name="_Toc278266910"/>
      <w:r w:rsidRPr="004B2881">
        <w:rPr>
          <w:lang w:val="fr-FR"/>
        </w:rPr>
        <w:t>5.1.4</w:t>
      </w:r>
      <w:r w:rsidRPr="004B2881">
        <w:rPr>
          <w:lang w:val="fr-FR"/>
        </w:rPr>
        <w:tab/>
        <w:t>Outil de gestion du spectre</w:t>
      </w:r>
      <w:bookmarkEnd w:id="55"/>
    </w:p>
    <w:p w:rsidR="00C97A8D" w:rsidRPr="004B2881" w:rsidRDefault="00C97A8D" w:rsidP="00C97A8D">
      <w:pPr>
        <w:rPr>
          <w:lang w:val="fr-FR"/>
        </w:rPr>
      </w:pPr>
      <w:r w:rsidRPr="004B2881">
        <w:rPr>
          <w:lang w:val="fr-FR"/>
        </w:rPr>
        <w:t>Pour constituer l'assiette de calcul des redevances du spectre, divers éléments peuvent être envisagés. Ceux qui sont mentionnés ci-après permettent d'obtenir une gestion efficace du spectre et une bonne utilisation des fréquences.</w:t>
      </w:r>
    </w:p>
    <w:p w:rsidR="00C97A8D" w:rsidRPr="004B2881" w:rsidRDefault="00C97A8D" w:rsidP="00C97A8D">
      <w:pPr>
        <w:rPr>
          <w:i/>
          <w:lang w:val="fr-FR"/>
        </w:rPr>
      </w:pPr>
      <w:r w:rsidRPr="004B2881">
        <w:rPr>
          <w:i/>
          <w:lang w:val="fr-FR"/>
        </w:rPr>
        <w:t>Largeur de l</w:t>
      </w:r>
      <w:r w:rsidR="00E224EB" w:rsidRPr="004B2881">
        <w:rPr>
          <w:i/>
          <w:lang w:val="fr-FR"/>
        </w:rPr>
        <w:t>a bande de fréquences attribuée</w:t>
      </w:r>
    </w:p>
    <w:p w:rsidR="00C97A8D" w:rsidRPr="004B2881" w:rsidRDefault="00C97A8D" w:rsidP="00C97A8D">
      <w:pPr>
        <w:rPr>
          <w:lang w:val="fr-FR"/>
        </w:rPr>
      </w:pPr>
      <w:r w:rsidRPr="004B2881">
        <w:rPr>
          <w:lang w:val="fr-FR"/>
        </w:rPr>
        <w:t>Une redevance du spectre, dont le montant serait proportionnel à la largeur de bande attribuée, inciterait les utilisateurs à déterminer au plus juste leurs besoins en ressource spectrale. Cet élément pourrait concerner tous les usages.</w:t>
      </w:r>
    </w:p>
    <w:p w:rsidR="00E224EB" w:rsidRPr="004B2881" w:rsidRDefault="00E224EB">
      <w:pPr>
        <w:tabs>
          <w:tab w:val="clear" w:pos="794"/>
          <w:tab w:val="clear" w:pos="1191"/>
          <w:tab w:val="clear" w:pos="1588"/>
          <w:tab w:val="clear" w:pos="1985"/>
        </w:tabs>
        <w:overflowPunct/>
        <w:autoSpaceDE/>
        <w:autoSpaceDN/>
        <w:adjustRightInd/>
        <w:spacing w:before="0"/>
        <w:jc w:val="left"/>
        <w:textAlignment w:val="auto"/>
        <w:rPr>
          <w:i/>
          <w:lang w:val="fr-FR"/>
        </w:rPr>
      </w:pPr>
      <w:r w:rsidRPr="004B2881">
        <w:rPr>
          <w:i/>
          <w:lang w:val="fr-FR"/>
        </w:rPr>
        <w:br w:type="page"/>
      </w:r>
    </w:p>
    <w:p w:rsidR="00C97A8D" w:rsidRPr="004B2881" w:rsidRDefault="00C97A8D" w:rsidP="00C97A8D">
      <w:pPr>
        <w:rPr>
          <w:i/>
          <w:lang w:val="fr-FR"/>
        </w:rPr>
      </w:pPr>
      <w:r w:rsidRPr="004B2881">
        <w:rPr>
          <w:i/>
          <w:lang w:val="fr-FR"/>
        </w:rPr>
        <w:lastRenderedPageBreak/>
        <w:t>A</w:t>
      </w:r>
      <w:r w:rsidR="00E224EB" w:rsidRPr="004B2881">
        <w:rPr>
          <w:i/>
          <w:lang w:val="fr-FR"/>
        </w:rPr>
        <w:t>ire de la surface d'attribution</w:t>
      </w:r>
    </w:p>
    <w:p w:rsidR="00C97A8D" w:rsidRPr="004B2881" w:rsidRDefault="00C97A8D" w:rsidP="00C97A8D">
      <w:pPr>
        <w:rPr>
          <w:lang w:val="fr-FR"/>
        </w:rPr>
      </w:pPr>
      <w:r w:rsidRPr="004B2881">
        <w:rPr>
          <w:lang w:val="fr-FR"/>
        </w:rPr>
        <w:t>Une redevance du spectre, dont le montant augmenterait avec l'aire de la surface d'attribution, inciterait les utilisateurs à ne demander, le cas échéant, que la portion du territoire correspondant strictement à leurs besoins et permettrait au gestionnaire du spectre de réattribuer les mêmes fréquences sur la partie restante du territoire. Cela conduirait à une utilisation plus intensive des fréquences. Cet élément ne concerne ni les assignations du service fixe point à point (le nombre de liaison ou le nombre de station émetteur peut alors être un bon substitut) ni les services par satellite.</w:t>
      </w:r>
    </w:p>
    <w:p w:rsidR="00C97A8D" w:rsidRPr="004B2881" w:rsidRDefault="00C97A8D" w:rsidP="00C97A8D">
      <w:pPr>
        <w:tabs>
          <w:tab w:val="left" w:pos="-1190"/>
          <w:tab w:val="left" w:pos="0"/>
        </w:tabs>
        <w:rPr>
          <w:szCs w:val="24"/>
          <w:lang w:val="fr-FR"/>
        </w:rPr>
      </w:pPr>
      <w:r w:rsidRPr="004B2881">
        <w:rPr>
          <w:i/>
          <w:szCs w:val="24"/>
          <w:lang w:val="fr-FR"/>
        </w:rPr>
        <w:t>Position dans le spectre de la bande de fréquences attribuée</w:t>
      </w:r>
    </w:p>
    <w:p w:rsidR="00C97A8D" w:rsidRPr="004B2881" w:rsidRDefault="00C97A8D" w:rsidP="00C97A8D">
      <w:pPr>
        <w:rPr>
          <w:lang w:val="fr-FR"/>
        </w:rPr>
      </w:pPr>
      <w:r w:rsidRPr="004B2881">
        <w:rPr>
          <w:lang w:val="fr-FR"/>
        </w:rPr>
        <w:t>Une redevance du spectre, dont le montant serait modulé en fonction de la position dans le spectre de la bande de fréquences attribuée, permettrait au gestionnaire de mieux répartir l'occupation du spectre. Cet élément ne concerne pas les applications dont les bandes de fréquences sont harmonisées à l'échelon international (GSM, IMT-2000 …).</w:t>
      </w:r>
    </w:p>
    <w:p w:rsidR="00C97A8D" w:rsidRPr="004B2881" w:rsidRDefault="00C97A8D" w:rsidP="00C97A8D">
      <w:pPr>
        <w:pStyle w:val="Heading2"/>
        <w:rPr>
          <w:lang w:val="fr-FR"/>
        </w:rPr>
      </w:pPr>
      <w:bookmarkStart w:id="56" w:name="_Toc278266911"/>
      <w:bookmarkStart w:id="57" w:name="_Toc284414122"/>
      <w:bookmarkStart w:id="58" w:name="_Toc286314866"/>
      <w:r w:rsidRPr="004B2881">
        <w:rPr>
          <w:lang w:val="fr-FR"/>
        </w:rPr>
        <w:t>5.2</w:t>
      </w:r>
      <w:r w:rsidRPr="004B2881">
        <w:rPr>
          <w:lang w:val="fr-FR"/>
        </w:rPr>
        <w:tab/>
        <w:t>Redevances du spectre relatives aux fréquences destinées aux besoins propres des utilisateurs</w:t>
      </w:r>
      <w:bookmarkEnd w:id="56"/>
      <w:bookmarkEnd w:id="57"/>
      <w:bookmarkEnd w:id="58"/>
    </w:p>
    <w:p w:rsidR="00C97A8D" w:rsidRPr="004B2881" w:rsidRDefault="00C97A8D" w:rsidP="00C97A8D">
      <w:pPr>
        <w:rPr>
          <w:lang w:val="fr-FR"/>
        </w:rPr>
      </w:pPr>
      <w:r w:rsidRPr="004B2881">
        <w:rPr>
          <w:lang w:val="fr-FR"/>
        </w:rPr>
        <w:t>Voir [24]</w:t>
      </w:r>
      <w:r w:rsidR="007479DF" w:rsidRPr="004B2881">
        <w:rPr>
          <w:lang w:val="fr-FR"/>
        </w:rPr>
        <w:t>.</w:t>
      </w:r>
    </w:p>
    <w:p w:rsidR="00C97A8D" w:rsidRPr="004B2881" w:rsidRDefault="00C97A8D" w:rsidP="00C97A8D">
      <w:pPr>
        <w:pStyle w:val="Heading3"/>
        <w:rPr>
          <w:lang w:val="fr-FR"/>
        </w:rPr>
      </w:pPr>
      <w:bookmarkStart w:id="59" w:name="_Toc278266912"/>
      <w:r w:rsidRPr="004B2881">
        <w:rPr>
          <w:lang w:val="fr-FR"/>
        </w:rPr>
        <w:t>5.2.1</w:t>
      </w:r>
      <w:r w:rsidRPr="004B2881">
        <w:rPr>
          <w:lang w:val="fr-FR"/>
        </w:rPr>
        <w:tab/>
        <w:t>Observations et dispositions générales</w:t>
      </w:r>
      <w:bookmarkEnd w:id="59"/>
    </w:p>
    <w:p w:rsidR="00C97A8D" w:rsidRPr="004B2881" w:rsidRDefault="00C97A8D" w:rsidP="00C97A8D">
      <w:pPr>
        <w:rPr>
          <w:lang w:val="fr-FR"/>
        </w:rPr>
      </w:pPr>
      <w:r w:rsidRPr="004B2881">
        <w:rPr>
          <w:lang w:val="fr-FR"/>
        </w:rPr>
        <w:t>La détermination des modalités de fixation des redevances devrait tenir compte, à titre principal, des éléments du § 5.1.4 et du [22].</w:t>
      </w:r>
    </w:p>
    <w:p w:rsidR="00C97A8D" w:rsidRPr="004B2881" w:rsidRDefault="00C97A8D" w:rsidP="00C97A8D">
      <w:pPr>
        <w:rPr>
          <w:lang w:val="fr-FR"/>
        </w:rPr>
      </w:pPr>
      <w:r w:rsidRPr="004B2881">
        <w:rPr>
          <w:lang w:val="fr-FR"/>
        </w:rPr>
        <w:t>Pour constituer l'assiette de calcul des redevances, il est recommandé de ne retenir que le minimum d'éléments nécessaires pour atteindre les objectifs de bonne gestion du spectre et de bonne utilisation des fréquences.</w:t>
      </w:r>
    </w:p>
    <w:p w:rsidR="00C97A8D" w:rsidRPr="004B2881" w:rsidRDefault="00C97A8D" w:rsidP="00C97A8D">
      <w:pPr>
        <w:rPr>
          <w:lang w:val="fr-FR"/>
        </w:rPr>
      </w:pPr>
      <w:r w:rsidRPr="004B2881">
        <w:rPr>
          <w:lang w:val="fr-FR"/>
        </w:rPr>
        <w:t>Il est recommandé d'utiliser une formule de calcul simple (voir [9]). La multiplication apparaît comme une formule très bien adaptée pour déterminer le montant des redevances à partir des éléments qui auront été retenus pour constituer l'assiette de calcul.</w:t>
      </w:r>
    </w:p>
    <w:p w:rsidR="00C97A8D" w:rsidRPr="004B2881" w:rsidRDefault="00C97A8D" w:rsidP="00740D9B">
      <w:pPr>
        <w:rPr>
          <w:lang w:val="fr-FR"/>
        </w:rPr>
      </w:pPr>
      <w:r w:rsidRPr="004B2881">
        <w:rPr>
          <w:lang w:val="fr-FR"/>
        </w:rPr>
        <w:t xml:space="preserve">Pour moduler les montants des redevances selon les applications (voir [21]), il est recommandé de déterminer, respectivement pour chacune des applications considérées, une </w:t>
      </w:r>
      <w:r w:rsidRPr="004B2881">
        <w:rPr>
          <w:i/>
          <w:lang w:val="fr-FR"/>
        </w:rPr>
        <w:t xml:space="preserve">valeur monétaire de référence </w:t>
      </w:r>
      <w:r w:rsidR="00740D9B" w:rsidRPr="004B2881">
        <w:rPr>
          <w:i/>
          <w:lang w:val="fr-FR"/>
        </w:rPr>
        <w:t>«</w:t>
      </w:r>
      <w:r w:rsidRPr="004B2881">
        <w:rPr>
          <w:i/>
          <w:lang w:val="fr-FR"/>
        </w:rPr>
        <w:t>k</w:t>
      </w:r>
      <w:r w:rsidR="00740D9B" w:rsidRPr="004B2881">
        <w:rPr>
          <w:i/>
          <w:lang w:val="fr-FR"/>
        </w:rPr>
        <w:t>»</w:t>
      </w:r>
      <w:r w:rsidRPr="004B2881">
        <w:rPr>
          <w:i/>
          <w:lang w:val="fr-FR"/>
        </w:rPr>
        <w:t xml:space="preserve"> </w:t>
      </w:r>
      <w:r w:rsidRPr="004B2881">
        <w:rPr>
          <w:lang w:val="fr-FR"/>
        </w:rPr>
        <w:t>expr</w:t>
      </w:r>
      <w:r w:rsidR="00740D9B" w:rsidRPr="004B2881">
        <w:rPr>
          <w:lang w:val="fr-FR"/>
        </w:rPr>
        <w:t>imée dans la monnaie en usage. «</w:t>
      </w:r>
      <w:r w:rsidRPr="004B2881">
        <w:rPr>
          <w:i/>
          <w:lang w:val="fr-FR"/>
        </w:rPr>
        <w:t>k</w:t>
      </w:r>
      <w:r w:rsidR="00740D9B" w:rsidRPr="004B2881">
        <w:rPr>
          <w:iCs/>
          <w:lang w:val="fr-FR"/>
        </w:rPr>
        <w:t>»</w:t>
      </w:r>
      <w:r w:rsidRPr="004B2881">
        <w:rPr>
          <w:lang w:val="fr-FR"/>
        </w:rPr>
        <w:t xml:space="preserve"> sera alors l'un des facteurs de la multiplication précitée.</w:t>
      </w:r>
    </w:p>
    <w:p w:rsidR="00C97A8D" w:rsidRPr="004B2881" w:rsidRDefault="00C97A8D" w:rsidP="00C97A8D">
      <w:pPr>
        <w:pStyle w:val="Heading3"/>
        <w:rPr>
          <w:lang w:val="fr-FR"/>
        </w:rPr>
      </w:pPr>
      <w:bookmarkStart w:id="60" w:name="_Toc278266913"/>
      <w:r w:rsidRPr="004B2881">
        <w:rPr>
          <w:lang w:val="fr-FR"/>
        </w:rPr>
        <w:t>5.2.2</w:t>
      </w:r>
      <w:r w:rsidRPr="004B2881">
        <w:rPr>
          <w:lang w:val="fr-FR"/>
        </w:rPr>
        <w:tab/>
        <w:t>Exemples de formule de calcul des montants des redevances</w:t>
      </w:r>
      <w:bookmarkEnd w:id="60"/>
    </w:p>
    <w:p w:rsidR="00C97A8D" w:rsidRPr="004B2881" w:rsidRDefault="00C97A8D" w:rsidP="00C97A8D">
      <w:pPr>
        <w:pStyle w:val="Heading4"/>
        <w:rPr>
          <w:lang w:val="fr-FR"/>
        </w:rPr>
      </w:pPr>
      <w:r w:rsidRPr="004B2881">
        <w:rPr>
          <w:lang w:val="fr-FR"/>
        </w:rPr>
        <w:t>5.2.2.1</w:t>
      </w:r>
      <w:r w:rsidRPr="004B2881">
        <w:rPr>
          <w:lang w:val="fr-FR"/>
        </w:rPr>
        <w:tab/>
        <w:t>Notations et définitions des c</w:t>
      </w:r>
      <w:r w:rsidR="00C95B09" w:rsidRPr="004B2881">
        <w:rPr>
          <w:lang w:val="fr-FR"/>
        </w:rPr>
        <w:t>oe</w:t>
      </w:r>
      <w:r w:rsidRPr="004B2881">
        <w:rPr>
          <w:lang w:val="fr-FR"/>
        </w:rPr>
        <w:t>fficients</w:t>
      </w:r>
    </w:p>
    <w:p w:rsidR="00C97A8D" w:rsidRPr="004B2881" w:rsidRDefault="00C97A8D" w:rsidP="00C97A8D">
      <w:pPr>
        <w:rPr>
          <w:lang w:val="fr-FR"/>
        </w:rPr>
      </w:pPr>
      <w:r w:rsidRPr="004B2881">
        <w:rPr>
          <w:lang w:val="fr-FR"/>
        </w:rPr>
        <w:t>Les c</w:t>
      </w:r>
      <w:r w:rsidR="00C95B09" w:rsidRPr="004B2881">
        <w:rPr>
          <w:lang w:val="fr-FR"/>
        </w:rPr>
        <w:t>oe</w:t>
      </w:r>
      <w:r w:rsidRPr="004B2881">
        <w:rPr>
          <w:lang w:val="fr-FR"/>
        </w:rPr>
        <w:t>fficients définis ci-après sont utilisés dans les exemples de formule de calcul des montants des redevances:</w:t>
      </w:r>
    </w:p>
    <w:p w:rsidR="00C97A8D" w:rsidRPr="004B2881" w:rsidRDefault="00740D9B" w:rsidP="00740D9B">
      <w:pPr>
        <w:rPr>
          <w:lang w:val="fr-FR"/>
        </w:rPr>
      </w:pPr>
      <w:r w:rsidRPr="004B2881">
        <w:rPr>
          <w:lang w:val="fr-FR"/>
        </w:rPr>
        <w:t>Le c</w:t>
      </w:r>
      <w:r w:rsidR="00C95B09" w:rsidRPr="004B2881">
        <w:rPr>
          <w:lang w:val="fr-FR"/>
        </w:rPr>
        <w:t>oe</w:t>
      </w:r>
      <w:r w:rsidRPr="004B2881">
        <w:rPr>
          <w:lang w:val="fr-FR"/>
        </w:rPr>
        <w:t>fficient «</w:t>
      </w:r>
      <w:r w:rsidR="00C97A8D" w:rsidRPr="004B2881">
        <w:rPr>
          <w:lang w:val="fr-FR"/>
        </w:rPr>
        <w:t>L</w:t>
      </w:r>
      <w:r w:rsidRPr="004B2881">
        <w:rPr>
          <w:lang w:val="fr-FR"/>
        </w:rPr>
        <w:t>»</w:t>
      </w:r>
      <w:r w:rsidR="00C97A8D" w:rsidRPr="004B2881">
        <w:rPr>
          <w:lang w:val="fr-FR"/>
        </w:rPr>
        <w:t xml:space="preserve"> représente la largeur de bande de fréquences attribuée.</w:t>
      </w:r>
    </w:p>
    <w:p w:rsidR="00C97A8D" w:rsidRPr="004B2881" w:rsidRDefault="00740D9B" w:rsidP="00740D9B">
      <w:pPr>
        <w:rPr>
          <w:lang w:val="fr-FR"/>
        </w:rPr>
      </w:pPr>
      <w:r w:rsidRPr="004B2881">
        <w:rPr>
          <w:lang w:val="fr-FR"/>
        </w:rPr>
        <w:t>Le c</w:t>
      </w:r>
      <w:r w:rsidR="00C95B09" w:rsidRPr="004B2881">
        <w:rPr>
          <w:lang w:val="fr-FR"/>
        </w:rPr>
        <w:t>oe</w:t>
      </w:r>
      <w:r w:rsidRPr="004B2881">
        <w:rPr>
          <w:lang w:val="fr-FR"/>
        </w:rPr>
        <w:t>fficient «</w:t>
      </w:r>
      <w:r w:rsidR="00C97A8D" w:rsidRPr="004B2881">
        <w:rPr>
          <w:lang w:val="fr-FR"/>
        </w:rPr>
        <w:t>bf</w:t>
      </w:r>
      <w:r w:rsidRPr="004B2881">
        <w:rPr>
          <w:lang w:val="fr-FR"/>
        </w:rPr>
        <w:t>»</w:t>
      </w:r>
      <w:r w:rsidR="00C97A8D" w:rsidRPr="004B2881">
        <w:rPr>
          <w:lang w:val="fr-FR"/>
        </w:rPr>
        <w:t xml:space="preserve"> caractérise la position dans le spectre hertzien de la fréquence ou de la bande de fréquences attribuée.</w:t>
      </w:r>
    </w:p>
    <w:p w:rsidR="00C97A8D" w:rsidRPr="004B2881" w:rsidRDefault="00C97A8D" w:rsidP="00C97A8D">
      <w:pPr>
        <w:tabs>
          <w:tab w:val="left" w:pos="-1190"/>
          <w:tab w:val="left" w:pos="0"/>
        </w:tabs>
        <w:rPr>
          <w:szCs w:val="24"/>
          <w:lang w:val="fr-FR"/>
        </w:rPr>
      </w:pPr>
      <w:r w:rsidRPr="004B2881">
        <w:rPr>
          <w:szCs w:val="24"/>
          <w:lang w:val="fr-FR"/>
        </w:rPr>
        <w:t>Dans la pratique, on établit un tableau donnant, pour chaque bloc de fréquences considér</w:t>
      </w:r>
      <w:r w:rsidR="00740D9B" w:rsidRPr="004B2881">
        <w:rPr>
          <w:szCs w:val="24"/>
          <w:lang w:val="fr-FR"/>
        </w:rPr>
        <w:t>é, la valeur du c</w:t>
      </w:r>
      <w:r w:rsidR="00C95B09" w:rsidRPr="004B2881">
        <w:rPr>
          <w:szCs w:val="24"/>
          <w:lang w:val="fr-FR"/>
        </w:rPr>
        <w:t>oe</w:t>
      </w:r>
      <w:r w:rsidR="00740D9B" w:rsidRPr="004B2881">
        <w:rPr>
          <w:szCs w:val="24"/>
          <w:lang w:val="fr-FR"/>
        </w:rPr>
        <w:t>fficient «bf»</w:t>
      </w:r>
      <w:r w:rsidRPr="004B2881">
        <w:rPr>
          <w:szCs w:val="24"/>
          <w:lang w:val="fr-FR"/>
        </w:rPr>
        <w:t xml:space="preserve"> correspondant. Voir en Annexe 1 un exemple de tableau.</w:t>
      </w:r>
    </w:p>
    <w:p w:rsidR="00C97A8D" w:rsidRPr="004B2881" w:rsidRDefault="00C97A8D" w:rsidP="00740D9B">
      <w:pPr>
        <w:tabs>
          <w:tab w:val="left" w:pos="-1190"/>
          <w:tab w:val="left" w:pos="0"/>
        </w:tabs>
        <w:rPr>
          <w:szCs w:val="24"/>
          <w:lang w:val="fr-FR"/>
        </w:rPr>
      </w:pPr>
      <w:r w:rsidRPr="004B2881">
        <w:rPr>
          <w:szCs w:val="24"/>
          <w:lang w:val="fr-FR"/>
        </w:rPr>
        <w:t>Le c</w:t>
      </w:r>
      <w:r w:rsidR="00C95B09" w:rsidRPr="004B2881">
        <w:rPr>
          <w:szCs w:val="24"/>
          <w:lang w:val="fr-FR"/>
        </w:rPr>
        <w:t>oe</w:t>
      </w:r>
      <w:r w:rsidRPr="004B2881">
        <w:rPr>
          <w:szCs w:val="24"/>
          <w:lang w:val="fr-FR"/>
        </w:rPr>
        <w:t xml:space="preserve">fficient </w:t>
      </w:r>
      <w:r w:rsidR="00740D9B" w:rsidRPr="004B2881">
        <w:rPr>
          <w:szCs w:val="24"/>
          <w:lang w:val="fr-FR"/>
        </w:rPr>
        <w:t>«</w:t>
      </w:r>
      <w:r w:rsidRPr="004B2881">
        <w:rPr>
          <w:szCs w:val="24"/>
          <w:lang w:val="fr-FR"/>
        </w:rPr>
        <w:t>a</w:t>
      </w:r>
      <w:r w:rsidR="00740D9B" w:rsidRPr="004B2881">
        <w:rPr>
          <w:szCs w:val="24"/>
          <w:lang w:val="fr-FR"/>
        </w:rPr>
        <w:t>»</w:t>
      </w:r>
      <w:r w:rsidRPr="004B2881">
        <w:rPr>
          <w:szCs w:val="24"/>
          <w:lang w:val="fr-FR"/>
        </w:rPr>
        <w:t xml:space="preserve"> caractérise les autorisations d'utilisation de fréquences par allotissement (voir [3]).</w:t>
      </w:r>
    </w:p>
    <w:p w:rsidR="00C97A8D" w:rsidRPr="004B2881" w:rsidRDefault="00C97A8D" w:rsidP="00740D9B">
      <w:pPr>
        <w:tabs>
          <w:tab w:val="left" w:pos="-1190"/>
          <w:tab w:val="left" w:pos="0"/>
        </w:tabs>
        <w:rPr>
          <w:szCs w:val="24"/>
          <w:lang w:val="fr-FR"/>
        </w:rPr>
      </w:pPr>
      <w:r w:rsidRPr="004B2881">
        <w:rPr>
          <w:szCs w:val="24"/>
          <w:lang w:val="fr-FR"/>
        </w:rPr>
        <w:t>Voir en Annexe 2 un exemple de tableau donn</w:t>
      </w:r>
      <w:r w:rsidR="00740D9B" w:rsidRPr="004B2881">
        <w:rPr>
          <w:szCs w:val="24"/>
          <w:lang w:val="fr-FR"/>
        </w:rPr>
        <w:t>ant des valeurs du c</w:t>
      </w:r>
      <w:r w:rsidR="00C95B09" w:rsidRPr="004B2881">
        <w:rPr>
          <w:szCs w:val="24"/>
          <w:lang w:val="fr-FR"/>
        </w:rPr>
        <w:t>oe</w:t>
      </w:r>
      <w:r w:rsidR="00740D9B" w:rsidRPr="004B2881">
        <w:rPr>
          <w:szCs w:val="24"/>
          <w:lang w:val="fr-FR"/>
        </w:rPr>
        <w:t>fficient «</w:t>
      </w:r>
      <w:r w:rsidRPr="004B2881">
        <w:rPr>
          <w:szCs w:val="24"/>
          <w:lang w:val="fr-FR"/>
        </w:rPr>
        <w:t>a</w:t>
      </w:r>
      <w:r w:rsidR="00740D9B" w:rsidRPr="004B2881">
        <w:rPr>
          <w:szCs w:val="24"/>
          <w:lang w:val="fr-FR"/>
        </w:rPr>
        <w:t>»</w:t>
      </w:r>
      <w:r w:rsidRPr="004B2881">
        <w:rPr>
          <w:szCs w:val="24"/>
          <w:lang w:val="fr-FR"/>
        </w:rPr>
        <w:t xml:space="preserve"> en fonction des services.</w:t>
      </w:r>
    </w:p>
    <w:p w:rsidR="00C97A8D" w:rsidRPr="004B2881" w:rsidRDefault="00C97A8D" w:rsidP="00740D9B">
      <w:pPr>
        <w:rPr>
          <w:lang w:val="fr-FR"/>
        </w:rPr>
      </w:pPr>
      <w:r w:rsidRPr="004B2881">
        <w:rPr>
          <w:lang w:val="fr-FR"/>
        </w:rPr>
        <w:t>Le c</w:t>
      </w:r>
      <w:r w:rsidR="00C95B09" w:rsidRPr="004B2881">
        <w:rPr>
          <w:lang w:val="fr-FR"/>
        </w:rPr>
        <w:t>oe</w:t>
      </w:r>
      <w:r w:rsidRPr="004B2881">
        <w:rPr>
          <w:lang w:val="fr-FR"/>
        </w:rPr>
        <w:t xml:space="preserve">fficient </w:t>
      </w:r>
      <w:r w:rsidR="00740D9B" w:rsidRPr="004B2881">
        <w:rPr>
          <w:lang w:val="fr-FR"/>
        </w:rPr>
        <w:t>«</w:t>
      </w:r>
      <w:r w:rsidRPr="004B2881">
        <w:rPr>
          <w:lang w:val="fr-FR"/>
        </w:rPr>
        <w:t>c</w:t>
      </w:r>
      <w:r w:rsidR="00740D9B" w:rsidRPr="004B2881">
        <w:rPr>
          <w:lang w:val="fr-FR"/>
        </w:rPr>
        <w:t>»</w:t>
      </w:r>
      <w:r w:rsidRPr="004B2881">
        <w:rPr>
          <w:lang w:val="fr-FR"/>
        </w:rPr>
        <w:t>, caractérise la surface couverte par l'autorisation d'utilisation de fréquences (voir [2]). En général, la surface d'attribution d'une assignation est un disque centré sur la station considérée et dont le rayon est égal à la distance maximale d'utilisation de la fréquence assignée lorsque l'antenne de la station est omnidirectionnelle, ou un secteur de ce disque correspondant à l'angle d'ouverture de l'antenne dans le cas d'une antenne directive.</w:t>
      </w:r>
    </w:p>
    <w:p w:rsidR="00C97A8D" w:rsidRPr="004B2881" w:rsidRDefault="00C97A8D" w:rsidP="00740D9B">
      <w:pPr>
        <w:rPr>
          <w:lang w:val="fr-FR"/>
        </w:rPr>
      </w:pPr>
      <w:r w:rsidRPr="004B2881">
        <w:rPr>
          <w:lang w:val="fr-FR"/>
        </w:rPr>
        <w:t>Dans la pratique, on établit un tableau donnant la valeur du c</w:t>
      </w:r>
      <w:r w:rsidR="00C95B09" w:rsidRPr="004B2881">
        <w:rPr>
          <w:lang w:val="fr-FR"/>
        </w:rPr>
        <w:t>oe</w:t>
      </w:r>
      <w:r w:rsidRPr="004B2881">
        <w:rPr>
          <w:lang w:val="fr-FR"/>
        </w:rPr>
        <w:t xml:space="preserve">fficient </w:t>
      </w:r>
      <w:r w:rsidR="00740D9B" w:rsidRPr="004B2881">
        <w:rPr>
          <w:lang w:val="fr-FR"/>
        </w:rPr>
        <w:t>«</w:t>
      </w:r>
      <w:r w:rsidRPr="004B2881">
        <w:rPr>
          <w:lang w:val="fr-FR"/>
        </w:rPr>
        <w:t>c</w:t>
      </w:r>
      <w:r w:rsidR="00740D9B" w:rsidRPr="004B2881">
        <w:rPr>
          <w:lang w:val="fr-FR"/>
        </w:rPr>
        <w:t>»</w:t>
      </w:r>
      <w:r w:rsidRPr="004B2881">
        <w:rPr>
          <w:lang w:val="fr-FR"/>
        </w:rPr>
        <w:t xml:space="preserve"> correspondant aux valeurs des surfaces considérées. Un tel tableau présente l'avantage de corriger la très grande dispersion des montants de </w:t>
      </w:r>
      <w:r w:rsidRPr="004B2881">
        <w:rPr>
          <w:lang w:val="fr-FR"/>
        </w:rPr>
        <w:lastRenderedPageBreak/>
        <w:t>redevances qu'on aurait obtenue si l'on avait considéré directement l'aire de la surface d'attribution. Voir en Annexe 3 un exemple de tableau.</w:t>
      </w:r>
    </w:p>
    <w:p w:rsidR="00AB4D32" w:rsidRPr="004B2881" w:rsidRDefault="00C97A8D" w:rsidP="00AB4D32">
      <w:pPr>
        <w:rPr>
          <w:lang w:val="fr-FR"/>
        </w:rPr>
      </w:pPr>
      <w:r w:rsidRPr="004B2881">
        <w:rPr>
          <w:lang w:val="fr-FR"/>
        </w:rPr>
        <w:t xml:space="preserve">Les </w:t>
      </w:r>
      <w:r w:rsidR="00740D9B" w:rsidRPr="004B2881">
        <w:rPr>
          <w:lang w:val="fr-FR"/>
        </w:rPr>
        <w:t>c</w:t>
      </w:r>
      <w:r w:rsidR="00C95B09" w:rsidRPr="004B2881">
        <w:rPr>
          <w:lang w:val="fr-FR"/>
        </w:rPr>
        <w:t>oe</w:t>
      </w:r>
      <w:r w:rsidR="00740D9B" w:rsidRPr="004B2881">
        <w:rPr>
          <w:lang w:val="fr-FR"/>
        </w:rPr>
        <w:t>fficients «k1», «k2», «k3», «</w:t>
      </w:r>
      <w:r w:rsidRPr="004B2881">
        <w:rPr>
          <w:lang w:val="fr-FR"/>
        </w:rPr>
        <w:t>k4</w:t>
      </w:r>
      <w:r w:rsidR="00740D9B" w:rsidRPr="004B2881">
        <w:rPr>
          <w:lang w:val="fr-FR"/>
        </w:rPr>
        <w:t>»</w:t>
      </w:r>
      <w:r w:rsidRPr="004B2881">
        <w:rPr>
          <w:lang w:val="fr-FR"/>
        </w:rPr>
        <w:t xml:space="preserve"> sont des valeurs monétaires de référence, spécifiques aux applications considérées. La fixation de ces valeurs devrait tenir compte en priorité des dispositions [15.2] et [15.1].</w:t>
      </w:r>
    </w:p>
    <w:p w:rsidR="00352084" w:rsidRPr="004B2881" w:rsidRDefault="00352084" w:rsidP="00352084">
      <w:pPr>
        <w:pStyle w:val="Heading4"/>
        <w:rPr>
          <w:lang w:val="fr-FR"/>
        </w:rPr>
      </w:pPr>
      <w:r w:rsidRPr="004B2881">
        <w:rPr>
          <w:lang w:val="fr-FR"/>
        </w:rPr>
        <w:t>5.2.2.2</w:t>
      </w:r>
      <w:r w:rsidRPr="004B2881">
        <w:rPr>
          <w:lang w:val="fr-FR"/>
        </w:rPr>
        <w:tab/>
        <w:t>Redevance appliquée à une assignation du service fixe point à point</w:t>
      </w:r>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jc w:val="center"/>
        <w:rPr>
          <w:lang w:val="fr-FR"/>
        </w:rPr>
      </w:pPr>
      <w:r w:rsidRPr="004B2881">
        <w:rPr>
          <w:lang w:val="fr-FR"/>
        </w:rPr>
        <w:t>Rs = L * bf * k1</w:t>
      </w:r>
    </w:p>
    <w:p w:rsidR="00352084" w:rsidRPr="004B2881" w:rsidRDefault="00352084" w:rsidP="00352084">
      <w:pPr>
        <w:pStyle w:val="Heading4"/>
        <w:rPr>
          <w:lang w:val="fr-FR"/>
        </w:rPr>
      </w:pPr>
      <w:r w:rsidRPr="004B2881">
        <w:rPr>
          <w:lang w:val="fr-FR"/>
        </w:rPr>
        <w:t>5.2.2.3</w:t>
      </w:r>
      <w:r w:rsidRPr="004B2881">
        <w:rPr>
          <w:lang w:val="fr-FR"/>
        </w:rPr>
        <w:tab/>
        <w:t>Redevance appliquée à un allotissement du service fixe point à point</w:t>
      </w:r>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jc w:val="center"/>
        <w:rPr>
          <w:lang w:val="fr-FR"/>
        </w:rPr>
      </w:pPr>
      <w:r w:rsidRPr="004B2881">
        <w:rPr>
          <w:lang w:val="fr-FR"/>
        </w:rPr>
        <w:t>Rs = L * bf * a * c * k1</w:t>
      </w:r>
    </w:p>
    <w:p w:rsidR="00352084" w:rsidRPr="004B2881" w:rsidRDefault="00352084" w:rsidP="00396FB1">
      <w:pPr>
        <w:rPr>
          <w:lang w:val="fr-FR"/>
        </w:rPr>
      </w:pPr>
      <w:r w:rsidRPr="004B2881">
        <w:rPr>
          <w:lang w:val="fr-FR"/>
        </w:rPr>
        <w:t xml:space="preserve">Ici, </w:t>
      </w:r>
      <w:r w:rsidR="00396FB1" w:rsidRPr="004B2881">
        <w:rPr>
          <w:lang w:val="fr-FR"/>
        </w:rPr>
        <w:t>«</w:t>
      </w:r>
      <w:r w:rsidRPr="004B2881">
        <w:rPr>
          <w:lang w:val="fr-FR"/>
        </w:rPr>
        <w:t>c</w:t>
      </w:r>
      <w:r w:rsidR="00396FB1" w:rsidRPr="004B2881">
        <w:rPr>
          <w:lang w:val="fr-FR"/>
        </w:rPr>
        <w:t>»</w:t>
      </w:r>
      <w:r w:rsidRPr="004B2881">
        <w:rPr>
          <w:lang w:val="fr-FR"/>
        </w:rPr>
        <w:t xml:space="preserve"> est le rapport entre la surface couverte par l'allotissement et la surface totale du territoire national.</w:t>
      </w:r>
    </w:p>
    <w:p w:rsidR="00352084" w:rsidRPr="004B2881" w:rsidRDefault="00352084" w:rsidP="00352084">
      <w:pPr>
        <w:pStyle w:val="Heading4"/>
        <w:rPr>
          <w:lang w:val="fr-FR"/>
        </w:rPr>
      </w:pPr>
      <w:r w:rsidRPr="004B2881">
        <w:rPr>
          <w:lang w:val="fr-FR"/>
        </w:rPr>
        <w:t>5.2.2.4</w:t>
      </w:r>
      <w:r w:rsidRPr="004B2881">
        <w:rPr>
          <w:lang w:val="fr-FR"/>
        </w:rPr>
        <w:tab/>
        <w:t>Redevance appliquée à un allotissement du service fixe de boucle locale radio (Voir aussi le § 5.3.4)</w:t>
      </w:r>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jc w:val="center"/>
        <w:rPr>
          <w:lang w:val="fr-FR"/>
        </w:rPr>
      </w:pPr>
      <w:r w:rsidRPr="004B2881">
        <w:rPr>
          <w:lang w:val="fr-FR"/>
        </w:rPr>
        <w:t>Rs = L * bf * a * c * k2</w:t>
      </w:r>
    </w:p>
    <w:p w:rsidR="00352084" w:rsidRPr="004B2881" w:rsidRDefault="00396FB1" w:rsidP="00396FB1">
      <w:pPr>
        <w:rPr>
          <w:lang w:val="fr-FR"/>
        </w:rPr>
      </w:pPr>
      <w:r w:rsidRPr="004B2881">
        <w:rPr>
          <w:lang w:val="fr-FR"/>
        </w:rPr>
        <w:t>Ici, «c»</w:t>
      </w:r>
      <w:r w:rsidR="00352084" w:rsidRPr="004B2881">
        <w:rPr>
          <w:lang w:val="fr-FR"/>
        </w:rPr>
        <w:t xml:space="preserve"> est le rapport entre la surface couverte par l'allotissement et la surface totale du territoire national.</w:t>
      </w:r>
    </w:p>
    <w:p w:rsidR="00352084" w:rsidRPr="004B2881" w:rsidRDefault="00352084" w:rsidP="00352084">
      <w:pPr>
        <w:pStyle w:val="Heading4"/>
        <w:rPr>
          <w:rFonts w:eastAsia="SimHei"/>
          <w:lang w:val="fr-FR" w:eastAsia="zh-CN"/>
        </w:rPr>
      </w:pPr>
      <w:r w:rsidRPr="004B2881">
        <w:rPr>
          <w:rFonts w:eastAsia="SimHei"/>
          <w:lang w:val="fr-FR" w:eastAsia="zh-CN"/>
        </w:rPr>
        <w:t>5.2.2.5</w:t>
      </w:r>
      <w:r w:rsidRPr="004B2881">
        <w:rPr>
          <w:rFonts w:eastAsia="SimHei"/>
          <w:lang w:val="fr-FR" w:eastAsia="zh-CN"/>
        </w:rPr>
        <w:tab/>
        <w:t>Redevance appliquée à une assignation d'une station terrienne du service fixe ou mobile par satellite</w:t>
      </w:r>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jc w:val="center"/>
        <w:rPr>
          <w:lang w:val="fr-FR"/>
        </w:rPr>
      </w:pPr>
      <w:r w:rsidRPr="004B2881">
        <w:rPr>
          <w:lang w:val="fr-FR"/>
        </w:rPr>
        <w:t>Rs = L * bf * k3</w:t>
      </w:r>
    </w:p>
    <w:p w:rsidR="00352084" w:rsidRPr="004B2881" w:rsidRDefault="00352084" w:rsidP="00352084">
      <w:pPr>
        <w:pStyle w:val="Heading4"/>
        <w:rPr>
          <w:lang w:val="fr-FR"/>
        </w:rPr>
      </w:pPr>
      <w:r w:rsidRPr="004B2881">
        <w:rPr>
          <w:lang w:val="fr-FR"/>
        </w:rPr>
        <w:t>5.2.2.6</w:t>
      </w:r>
      <w:r w:rsidRPr="004B2881">
        <w:rPr>
          <w:lang w:val="fr-FR"/>
        </w:rPr>
        <w:tab/>
        <w:t>Redevance appliquée à un allotissement du service fixe ou mobile par satellite</w:t>
      </w:r>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jc w:val="center"/>
        <w:rPr>
          <w:lang w:val="fr-FR"/>
        </w:rPr>
      </w:pPr>
      <w:r w:rsidRPr="004B2881">
        <w:rPr>
          <w:lang w:val="fr-FR"/>
        </w:rPr>
        <w:t>Rs = L * bf * k3 * a</w:t>
      </w:r>
    </w:p>
    <w:p w:rsidR="00352084" w:rsidRPr="004B2881" w:rsidRDefault="00352084" w:rsidP="00352084">
      <w:pPr>
        <w:pStyle w:val="Heading4"/>
        <w:rPr>
          <w:lang w:val="fr-FR"/>
        </w:rPr>
      </w:pPr>
      <w:r w:rsidRPr="004B2881">
        <w:rPr>
          <w:lang w:val="fr-FR"/>
        </w:rPr>
        <w:t>5.2.2.7</w:t>
      </w:r>
      <w:r w:rsidRPr="004B2881">
        <w:rPr>
          <w:lang w:val="fr-FR"/>
        </w:rPr>
        <w:tab/>
        <w:t>Redevance appliquée à une assignation du service mobile des réseaux privés</w:t>
      </w:r>
    </w:p>
    <w:p w:rsidR="00352084" w:rsidRPr="004B2881" w:rsidRDefault="00352084" w:rsidP="00352084">
      <w:pPr>
        <w:keepNext/>
        <w:keepLines/>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keepNext/>
        <w:keepLines/>
        <w:jc w:val="center"/>
        <w:rPr>
          <w:szCs w:val="24"/>
          <w:lang w:val="fr-FR"/>
        </w:rPr>
      </w:pPr>
      <w:r w:rsidRPr="004B2881">
        <w:rPr>
          <w:szCs w:val="24"/>
          <w:lang w:val="fr-FR"/>
        </w:rPr>
        <w:t>Rs = L * bf * c * k4</w:t>
      </w:r>
    </w:p>
    <w:p w:rsidR="00352084" w:rsidRPr="004B2881" w:rsidRDefault="00352084" w:rsidP="00352084">
      <w:pPr>
        <w:pStyle w:val="Heading2"/>
        <w:rPr>
          <w:lang w:val="fr-FR"/>
        </w:rPr>
      </w:pPr>
      <w:bookmarkStart w:id="61" w:name="_Toc278266914"/>
      <w:bookmarkStart w:id="62" w:name="_Toc284414123"/>
      <w:bookmarkStart w:id="63" w:name="_Toc286314867"/>
      <w:r w:rsidRPr="004B2881">
        <w:rPr>
          <w:lang w:val="fr-FR"/>
        </w:rPr>
        <w:t>5.3</w:t>
      </w:r>
      <w:r w:rsidRPr="004B2881">
        <w:rPr>
          <w:lang w:val="fr-FR"/>
        </w:rPr>
        <w:tab/>
        <w:t>Redevances du spectre relatives aux fréquences utilisées pour offrir ou commercialiser des services destinés à un marché de consommateurs</w:t>
      </w:r>
      <w:bookmarkEnd w:id="61"/>
      <w:bookmarkEnd w:id="62"/>
      <w:bookmarkEnd w:id="63"/>
    </w:p>
    <w:p w:rsidR="00352084" w:rsidRPr="004B2881" w:rsidRDefault="00352084" w:rsidP="00352084">
      <w:pPr>
        <w:pStyle w:val="Heading3"/>
        <w:rPr>
          <w:lang w:val="fr-FR"/>
        </w:rPr>
      </w:pPr>
      <w:bookmarkStart w:id="64" w:name="_Toc278266915"/>
      <w:r w:rsidRPr="004B2881">
        <w:rPr>
          <w:lang w:val="fr-FR"/>
        </w:rPr>
        <w:t>5.3.1</w:t>
      </w:r>
      <w:r w:rsidRPr="004B2881">
        <w:rPr>
          <w:lang w:val="fr-FR"/>
        </w:rPr>
        <w:tab/>
        <w:t>Observations et dispositions générales</w:t>
      </w:r>
      <w:bookmarkEnd w:id="64"/>
    </w:p>
    <w:p w:rsidR="00352084" w:rsidRPr="004B2881" w:rsidRDefault="00352084" w:rsidP="00352084">
      <w:pPr>
        <w:rPr>
          <w:lang w:val="fr-FR"/>
        </w:rPr>
      </w:pPr>
      <w:r w:rsidRPr="004B2881">
        <w:rPr>
          <w:lang w:val="fr-FR"/>
        </w:rPr>
        <w:t>La détermination des modalités de fixation des redevances devrait tenir compte, à titre principal, des éléments du § 5.1.1 et du § 5.1.3, sans négliger pour autant l'aspect relatif à la gestion du spectre.</w:t>
      </w:r>
    </w:p>
    <w:p w:rsidR="00352084" w:rsidRPr="004B2881" w:rsidRDefault="00352084" w:rsidP="00352084">
      <w:pPr>
        <w:rPr>
          <w:szCs w:val="24"/>
          <w:lang w:val="fr-FR"/>
        </w:rPr>
      </w:pPr>
      <w:r w:rsidRPr="004B2881">
        <w:rPr>
          <w:szCs w:val="24"/>
          <w:lang w:val="fr-FR"/>
        </w:rPr>
        <w:t>En général, ce sont les redevances appliquées à ces fréquences qui représentent la plus grande partie des recettes budgétaires pour l'Etat qui proviennent des redevances liées au spectre hertzien.</w:t>
      </w:r>
    </w:p>
    <w:p w:rsidR="00352084" w:rsidRPr="004B2881" w:rsidRDefault="00352084" w:rsidP="00352084">
      <w:pPr>
        <w:rPr>
          <w:szCs w:val="24"/>
          <w:lang w:val="fr-FR"/>
        </w:rPr>
      </w:pPr>
      <w:r w:rsidRPr="004B2881">
        <w:rPr>
          <w:szCs w:val="24"/>
          <w:lang w:val="fr-FR"/>
        </w:rPr>
        <w:t>Pour refléter le bénéfice de la rente de situation, divers éléments peuvent être envisagés, tels que la population couverte par la licence, la partie du territoire concernée par la licence ou le chiffre d'affaires induit par l'offre ou la commercialisation des services.</w:t>
      </w:r>
    </w:p>
    <w:p w:rsidR="00352084" w:rsidRPr="004B2881" w:rsidRDefault="00352084" w:rsidP="00352084">
      <w:pPr>
        <w:rPr>
          <w:szCs w:val="24"/>
          <w:lang w:val="fr-FR"/>
        </w:rPr>
      </w:pPr>
      <w:r w:rsidRPr="004B2881">
        <w:rPr>
          <w:szCs w:val="24"/>
          <w:lang w:val="fr-FR"/>
        </w:rPr>
        <w:t>Le chiffre d'affaires apparaît très souvent comme l'élément le plus représentatif de la rente de situation.</w:t>
      </w:r>
    </w:p>
    <w:p w:rsidR="00352084" w:rsidRPr="004B2881" w:rsidRDefault="00352084" w:rsidP="00352084">
      <w:pPr>
        <w:rPr>
          <w:szCs w:val="24"/>
          <w:lang w:val="fr-FR"/>
        </w:rPr>
      </w:pPr>
      <w:r w:rsidRPr="004B2881">
        <w:rPr>
          <w:szCs w:val="24"/>
          <w:lang w:val="fr-FR"/>
        </w:rPr>
        <w:t>Si le chiffre d'affaires est retenu pour constituer l'assiette des redevances, il est recommandé de définir précisément son périmètre et son contenu.</w:t>
      </w:r>
    </w:p>
    <w:p w:rsidR="00352084" w:rsidRPr="004B2881" w:rsidRDefault="00352084" w:rsidP="00352084">
      <w:pPr>
        <w:pStyle w:val="Heading3"/>
        <w:rPr>
          <w:lang w:val="fr-FR"/>
        </w:rPr>
      </w:pPr>
      <w:bookmarkStart w:id="65" w:name="_Toc278266916"/>
      <w:r w:rsidRPr="004B2881">
        <w:rPr>
          <w:lang w:val="fr-FR"/>
        </w:rPr>
        <w:lastRenderedPageBreak/>
        <w:t>5.3.2</w:t>
      </w:r>
      <w:r w:rsidRPr="004B2881">
        <w:rPr>
          <w:lang w:val="fr-FR"/>
        </w:rPr>
        <w:tab/>
        <w:t>Exemple de redevances appliquées au service mobile 2G</w:t>
      </w:r>
      <w:bookmarkEnd w:id="65"/>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jc w:val="center"/>
        <w:rPr>
          <w:szCs w:val="24"/>
          <w:lang w:val="fr-FR"/>
        </w:rPr>
      </w:pPr>
      <w:r w:rsidRPr="004B2881">
        <w:rPr>
          <w:szCs w:val="24"/>
          <w:lang w:val="fr-FR"/>
        </w:rPr>
        <w:t>Rs = F + t% * CA</w:t>
      </w:r>
    </w:p>
    <w:p w:rsidR="00352084" w:rsidRPr="004B2881" w:rsidRDefault="00352084" w:rsidP="00352084">
      <w:pPr>
        <w:rPr>
          <w:lang w:val="fr-FR"/>
        </w:rPr>
      </w:pPr>
      <w:r w:rsidRPr="004B2881">
        <w:rPr>
          <w:lang w:val="fr-FR"/>
        </w:rPr>
        <w:t>Dans laquelle:</w:t>
      </w:r>
    </w:p>
    <w:p w:rsidR="00352084" w:rsidRPr="004B2881" w:rsidRDefault="00352084" w:rsidP="00352084">
      <w:pPr>
        <w:pStyle w:val="enumlev1"/>
        <w:rPr>
          <w:lang w:val="fr-FR"/>
        </w:rPr>
      </w:pPr>
      <w:r w:rsidRPr="004B2881">
        <w:rPr>
          <w:lang w:val="fr-FR"/>
        </w:rPr>
        <w:t>–</w:t>
      </w:r>
      <w:r w:rsidRPr="004B2881">
        <w:rPr>
          <w:lang w:val="fr-FR"/>
        </w:rPr>
        <w:tab/>
        <w:t>F représente un montant fixe à payer chaque année. Ce montant peut être proportionnel à la largeur de bande totale attribuée pour le service 2G à l'opérateur concerné.</w:t>
      </w:r>
    </w:p>
    <w:p w:rsidR="00352084" w:rsidRPr="004B2881" w:rsidRDefault="00352084" w:rsidP="00352084">
      <w:pPr>
        <w:pStyle w:val="enumlev1"/>
        <w:rPr>
          <w:lang w:val="fr-FR"/>
        </w:rPr>
      </w:pPr>
      <w:r w:rsidRPr="004B2881">
        <w:rPr>
          <w:lang w:val="fr-FR"/>
        </w:rPr>
        <w:t>–</w:t>
      </w:r>
      <w:r w:rsidRPr="004B2881">
        <w:rPr>
          <w:lang w:val="fr-FR"/>
        </w:rPr>
        <w:tab/>
        <w:t>CA représente le chiffre d'affaires de l'opérateur pour l'année correspondante et relatif aux fréquences du service mobile 2G.</w:t>
      </w:r>
    </w:p>
    <w:p w:rsidR="00352084" w:rsidRPr="004B2881" w:rsidRDefault="00352084" w:rsidP="00352084">
      <w:pPr>
        <w:pStyle w:val="enumlev1"/>
        <w:rPr>
          <w:lang w:val="fr-FR"/>
        </w:rPr>
      </w:pPr>
      <w:r w:rsidRPr="004B2881">
        <w:rPr>
          <w:lang w:val="fr-FR"/>
        </w:rPr>
        <w:t>–</w:t>
      </w:r>
      <w:r w:rsidRPr="004B2881">
        <w:rPr>
          <w:lang w:val="fr-FR"/>
        </w:rPr>
        <w:tab/>
        <w:t>t% représente le pourcentage que l'on veut prélever sur le chiffre d'affaires de l'opérateur. En général, la valeur de t% appliquée par les administrations est de 1% ou proche de 1%.</w:t>
      </w:r>
    </w:p>
    <w:p w:rsidR="00352084" w:rsidRPr="004B2881" w:rsidRDefault="00352084" w:rsidP="00352084">
      <w:pPr>
        <w:pStyle w:val="Heading3"/>
        <w:rPr>
          <w:lang w:val="fr-FR"/>
        </w:rPr>
      </w:pPr>
      <w:bookmarkStart w:id="66" w:name="_Toc278266917"/>
      <w:r w:rsidRPr="004B2881">
        <w:rPr>
          <w:lang w:val="fr-FR"/>
        </w:rPr>
        <w:t>5.3.3</w:t>
      </w:r>
      <w:r w:rsidRPr="004B2881">
        <w:rPr>
          <w:lang w:val="fr-FR"/>
        </w:rPr>
        <w:tab/>
        <w:t>Exemple de redevances appliquées au service mobile 3G</w:t>
      </w:r>
      <w:bookmarkEnd w:id="66"/>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tabs>
          <w:tab w:val="left" w:pos="-1190"/>
          <w:tab w:val="left" w:pos="0"/>
        </w:tabs>
        <w:spacing w:before="0"/>
        <w:jc w:val="center"/>
        <w:rPr>
          <w:szCs w:val="24"/>
          <w:lang w:val="fr-FR"/>
        </w:rPr>
      </w:pPr>
      <w:r w:rsidRPr="004B2881">
        <w:rPr>
          <w:szCs w:val="24"/>
          <w:lang w:val="fr-FR"/>
        </w:rPr>
        <w:t>Rs = t% * CA</w:t>
      </w:r>
    </w:p>
    <w:p w:rsidR="00352084" w:rsidRPr="004B2881" w:rsidRDefault="00352084" w:rsidP="00352084">
      <w:pPr>
        <w:rPr>
          <w:lang w:val="fr-FR"/>
        </w:rPr>
      </w:pPr>
      <w:r w:rsidRPr="004B2881">
        <w:rPr>
          <w:lang w:val="fr-FR"/>
        </w:rPr>
        <w:t>Dans laquelle:</w:t>
      </w:r>
    </w:p>
    <w:p w:rsidR="00352084" w:rsidRPr="004B2881" w:rsidRDefault="00352084" w:rsidP="00352084">
      <w:pPr>
        <w:pStyle w:val="enumlev1"/>
        <w:rPr>
          <w:lang w:val="fr-FR"/>
        </w:rPr>
      </w:pPr>
      <w:r w:rsidRPr="004B2881">
        <w:rPr>
          <w:lang w:val="fr-FR"/>
        </w:rPr>
        <w:t>–</w:t>
      </w:r>
      <w:r w:rsidRPr="004B2881">
        <w:rPr>
          <w:lang w:val="fr-FR"/>
        </w:rPr>
        <w:tab/>
        <w:t>CA représente le chiffre d'affaires de l'opérateur pour l'année correspondante et relatif aux fréquences du service mobile 3G.</w:t>
      </w:r>
    </w:p>
    <w:p w:rsidR="00352084" w:rsidRPr="004B2881" w:rsidRDefault="00352084" w:rsidP="00352084">
      <w:pPr>
        <w:pStyle w:val="enumlev1"/>
        <w:rPr>
          <w:lang w:val="fr-FR"/>
        </w:rPr>
      </w:pPr>
      <w:r w:rsidRPr="004B2881">
        <w:rPr>
          <w:lang w:val="fr-FR"/>
        </w:rPr>
        <w:t>–</w:t>
      </w:r>
      <w:r w:rsidRPr="004B2881">
        <w:rPr>
          <w:lang w:val="fr-FR"/>
        </w:rPr>
        <w:tab/>
        <w:t>t% représente le pourcentage que l'on veut prélever sur le chiffre d'affaires de l'opérateur.</w:t>
      </w:r>
    </w:p>
    <w:p w:rsidR="00352084" w:rsidRPr="004B2881" w:rsidRDefault="00352084" w:rsidP="00396FB1">
      <w:pPr>
        <w:rPr>
          <w:lang w:val="fr-FR"/>
        </w:rPr>
      </w:pPr>
      <w:r w:rsidRPr="004B2881">
        <w:rPr>
          <w:lang w:val="fr-FR"/>
        </w:rPr>
        <w:t xml:space="preserve">Cette redevance annuelle est complétée par un </w:t>
      </w:r>
      <w:r w:rsidR="00396FB1" w:rsidRPr="004B2881">
        <w:rPr>
          <w:lang w:val="fr-FR"/>
        </w:rPr>
        <w:t>«</w:t>
      </w:r>
      <w:r w:rsidRPr="004B2881">
        <w:rPr>
          <w:lang w:val="fr-FR"/>
        </w:rPr>
        <w:t>ticket d'entrée</w:t>
      </w:r>
      <w:r w:rsidR="00396FB1" w:rsidRPr="004B2881">
        <w:rPr>
          <w:lang w:val="fr-FR"/>
        </w:rPr>
        <w:t>»</w:t>
      </w:r>
      <w:r w:rsidRPr="004B2881">
        <w:rPr>
          <w:lang w:val="fr-FR"/>
        </w:rPr>
        <w:t>, payable au moment de l'attribution de la licence. Le montant du ticket d'entrée, qui peut être proportionnel à la largeur de bande attribuée, devrait être fixé en tenant compte notamment du [23], pour le cas échéant, ne pas freiner le déploiement des réseaux des nouveaux entrants.</w:t>
      </w:r>
    </w:p>
    <w:p w:rsidR="00352084" w:rsidRPr="004B2881" w:rsidRDefault="00352084" w:rsidP="00352084">
      <w:pPr>
        <w:pStyle w:val="Heading3"/>
        <w:rPr>
          <w:lang w:val="fr-FR"/>
        </w:rPr>
      </w:pPr>
      <w:bookmarkStart w:id="67" w:name="_Toc278266918"/>
      <w:r w:rsidRPr="004B2881">
        <w:rPr>
          <w:lang w:val="fr-FR"/>
        </w:rPr>
        <w:t>5.3.4</w:t>
      </w:r>
      <w:r w:rsidRPr="004B2881">
        <w:rPr>
          <w:lang w:val="fr-FR"/>
        </w:rPr>
        <w:tab/>
        <w:t>Autre exemple de redevances appliquées au service fixe de boucle locale radio</w:t>
      </w:r>
      <w:bookmarkEnd w:id="67"/>
    </w:p>
    <w:p w:rsidR="00352084" w:rsidRPr="004B2881" w:rsidRDefault="00352084" w:rsidP="00352084">
      <w:pPr>
        <w:keepNext/>
        <w:keepLines/>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keepNext/>
        <w:keepLines/>
        <w:jc w:val="center"/>
        <w:rPr>
          <w:lang w:val="fr-FR"/>
        </w:rPr>
      </w:pPr>
      <w:r w:rsidRPr="004B2881">
        <w:rPr>
          <w:lang w:val="fr-FR"/>
        </w:rPr>
        <w:t>Rs = t% * CA</w:t>
      </w:r>
    </w:p>
    <w:p w:rsidR="00352084" w:rsidRPr="004B2881" w:rsidRDefault="00352084" w:rsidP="00352084">
      <w:pPr>
        <w:keepNext/>
        <w:keepLines/>
        <w:rPr>
          <w:lang w:val="fr-FR"/>
        </w:rPr>
      </w:pPr>
      <w:r w:rsidRPr="004B2881">
        <w:rPr>
          <w:lang w:val="fr-FR"/>
        </w:rPr>
        <w:t>Dans laquelle:</w:t>
      </w:r>
    </w:p>
    <w:p w:rsidR="00352084" w:rsidRPr="004B2881" w:rsidRDefault="00352084" w:rsidP="00352084">
      <w:pPr>
        <w:pStyle w:val="enumlev1"/>
        <w:keepNext/>
        <w:keepLines/>
        <w:rPr>
          <w:lang w:val="fr-FR"/>
        </w:rPr>
      </w:pPr>
      <w:r w:rsidRPr="004B2881">
        <w:rPr>
          <w:lang w:val="fr-FR"/>
        </w:rPr>
        <w:t>–</w:t>
      </w:r>
      <w:r w:rsidRPr="004B2881">
        <w:rPr>
          <w:lang w:val="fr-FR"/>
        </w:rPr>
        <w:tab/>
        <w:t>CA représente le chiffre d'affaires de l'opérateur pour l'année correspondante et relatif aux fréquences du service fixe de boucle locale radio.</w:t>
      </w:r>
    </w:p>
    <w:p w:rsidR="00352084" w:rsidRPr="004B2881" w:rsidRDefault="00352084" w:rsidP="00352084">
      <w:pPr>
        <w:pStyle w:val="enumlev1"/>
        <w:keepNext/>
        <w:keepLines/>
        <w:rPr>
          <w:lang w:val="fr-FR"/>
        </w:rPr>
      </w:pPr>
      <w:r w:rsidRPr="004B2881">
        <w:rPr>
          <w:lang w:val="fr-FR"/>
        </w:rPr>
        <w:t>–</w:t>
      </w:r>
      <w:r w:rsidRPr="004B2881">
        <w:rPr>
          <w:lang w:val="fr-FR"/>
        </w:rPr>
        <w:tab/>
        <w:t>t% représente le pourcentage que l'on veut prélever sur le chiffre d'affaires de l'opérateur.</w:t>
      </w:r>
    </w:p>
    <w:p w:rsidR="00352084" w:rsidRPr="004B2881" w:rsidRDefault="00352084" w:rsidP="00352084">
      <w:pPr>
        <w:rPr>
          <w:lang w:val="fr-FR"/>
        </w:rPr>
      </w:pPr>
      <w:r w:rsidRPr="004B2881">
        <w:rPr>
          <w:lang w:val="fr-FR"/>
        </w:rPr>
        <w:t>Cette redevance annuelle est co</w:t>
      </w:r>
      <w:r w:rsidR="00396FB1" w:rsidRPr="004B2881">
        <w:rPr>
          <w:lang w:val="fr-FR"/>
        </w:rPr>
        <w:t>mplétée par un «ticket d'entrée»</w:t>
      </w:r>
      <w:r w:rsidRPr="004B2881">
        <w:rPr>
          <w:lang w:val="fr-FR"/>
        </w:rPr>
        <w:t>, payable au moment de l'attribution de la licence. Le montant du ticket d'entrée, qui peut être proportionnel à la largeur de bande attribuée, devrait être fixé en tenant compte notamment du [23], pour le cas échéant, ne pas freiner le déploiement des réseaux des nouveaux entrants.</w:t>
      </w:r>
    </w:p>
    <w:p w:rsidR="00352084" w:rsidRPr="004B2881" w:rsidRDefault="00352084" w:rsidP="00352084">
      <w:pPr>
        <w:pStyle w:val="Heading3"/>
        <w:rPr>
          <w:lang w:val="fr-FR"/>
        </w:rPr>
      </w:pPr>
      <w:bookmarkStart w:id="68" w:name="_Toc278266919"/>
      <w:r w:rsidRPr="004B2881">
        <w:rPr>
          <w:lang w:val="fr-FR"/>
        </w:rPr>
        <w:t>5.3.5</w:t>
      </w:r>
      <w:r w:rsidRPr="004B2881">
        <w:rPr>
          <w:lang w:val="fr-FR"/>
        </w:rPr>
        <w:tab/>
        <w:t>Exemple de redevances appliquées à un éditeur de programmes télévisuels</w:t>
      </w:r>
      <w:bookmarkEnd w:id="68"/>
    </w:p>
    <w:p w:rsidR="00352084" w:rsidRPr="004B2881" w:rsidRDefault="00352084" w:rsidP="00352084">
      <w:pPr>
        <w:rPr>
          <w:lang w:val="fr-FR"/>
        </w:rPr>
      </w:pPr>
      <w:r w:rsidRPr="004B2881">
        <w:rPr>
          <w:lang w:val="fr-FR"/>
        </w:rPr>
        <w:t xml:space="preserve">La détermination du montant annuel </w:t>
      </w:r>
      <w:r w:rsidRPr="004B2881">
        <w:rPr>
          <w:i/>
          <w:lang w:val="fr-FR"/>
        </w:rPr>
        <w:t>Rs</w:t>
      </w:r>
      <w:r w:rsidRPr="004B2881">
        <w:rPr>
          <w:lang w:val="fr-FR"/>
        </w:rPr>
        <w:t xml:space="preserve"> de la redevance du spectre pourrait utiliser la formule suivante:</w:t>
      </w:r>
    </w:p>
    <w:p w:rsidR="00352084" w:rsidRPr="004B2881" w:rsidRDefault="00352084" w:rsidP="00352084">
      <w:pPr>
        <w:keepNext/>
        <w:keepLines/>
        <w:jc w:val="center"/>
        <w:rPr>
          <w:lang w:val="fr-FR"/>
        </w:rPr>
      </w:pPr>
      <w:r w:rsidRPr="004B2881">
        <w:rPr>
          <w:lang w:val="fr-FR"/>
        </w:rPr>
        <w:t>Rs = F + t% * CA</w:t>
      </w:r>
    </w:p>
    <w:p w:rsidR="00352084" w:rsidRPr="004B2881" w:rsidRDefault="00352084" w:rsidP="00352084">
      <w:pPr>
        <w:rPr>
          <w:lang w:val="fr-FR"/>
        </w:rPr>
      </w:pPr>
      <w:r w:rsidRPr="004B2881">
        <w:rPr>
          <w:lang w:val="fr-FR"/>
        </w:rPr>
        <w:t>Dans laquelle:</w:t>
      </w:r>
    </w:p>
    <w:p w:rsidR="00352084" w:rsidRPr="004B2881" w:rsidRDefault="00352084" w:rsidP="00352084">
      <w:pPr>
        <w:pStyle w:val="enumlev1"/>
        <w:rPr>
          <w:lang w:val="fr-FR"/>
        </w:rPr>
      </w:pPr>
      <w:r w:rsidRPr="004B2881">
        <w:rPr>
          <w:lang w:val="fr-FR"/>
        </w:rPr>
        <w:t>–</w:t>
      </w:r>
      <w:r w:rsidRPr="004B2881">
        <w:rPr>
          <w:lang w:val="fr-FR"/>
        </w:rPr>
        <w:tab/>
        <w:t>F représente un montant fixe à payer chaque année. Ce montant peut être proportionnel à la largeur de bande totale attribuée pour la radiodiffusion à l'opérateur concerné.</w:t>
      </w:r>
    </w:p>
    <w:p w:rsidR="00352084" w:rsidRPr="004B2881" w:rsidRDefault="00352084" w:rsidP="00352084">
      <w:pPr>
        <w:pStyle w:val="enumlev1"/>
        <w:rPr>
          <w:lang w:val="fr-FR"/>
        </w:rPr>
      </w:pPr>
      <w:r w:rsidRPr="004B2881">
        <w:rPr>
          <w:lang w:val="fr-FR"/>
        </w:rPr>
        <w:t>–</w:t>
      </w:r>
      <w:r w:rsidRPr="004B2881">
        <w:rPr>
          <w:lang w:val="fr-FR"/>
        </w:rPr>
        <w:tab/>
        <w:t>CA représente le chiffre d'affaires de l'opérateur pour l'année correspondante et provenant des recettes publicitaires, augmentées le cas échéant des recettes provenant des abonnements et des paiements à la séance.</w:t>
      </w:r>
    </w:p>
    <w:p w:rsidR="004367E6" w:rsidRPr="004B2881" w:rsidRDefault="00352084" w:rsidP="00352084">
      <w:pPr>
        <w:tabs>
          <w:tab w:val="left" w:pos="-1190"/>
          <w:tab w:val="left" w:pos="0"/>
        </w:tabs>
        <w:rPr>
          <w:sz w:val="24"/>
          <w:szCs w:val="24"/>
          <w:lang w:val="fr-FR"/>
        </w:rPr>
      </w:pPr>
      <w:r w:rsidRPr="004B2881">
        <w:rPr>
          <w:lang w:val="fr-FR"/>
        </w:rPr>
        <w:t>–</w:t>
      </w:r>
      <w:r w:rsidRPr="004B2881">
        <w:rPr>
          <w:lang w:val="fr-FR"/>
        </w:rPr>
        <w:tab/>
        <w:t>t% représente le pourcentage que l'on veut prélever sur le chiffre d'affaires de l'opérateur.</w:t>
      </w:r>
    </w:p>
    <w:p w:rsidR="009F2C74" w:rsidRPr="004B2881" w:rsidRDefault="009F2C74" w:rsidP="009F2C74">
      <w:pPr>
        <w:pStyle w:val="Heading1"/>
        <w:rPr>
          <w:lang w:val="fr-FR"/>
        </w:rPr>
      </w:pPr>
      <w:bookmarkStart w:id="69" w:name="_Toc278266920"/>
      <w:bookmarkStart w:id="70" w:name="_Toc284414124"/>
      <w:bookmarkStart w:id="71" w:name="_Toc286314868"/>
      <w:r w:rsidRPr="004B2881">
        <w:rPr>
          <w:lang w:val="fr-FR"/>
        </w:rPr>
        <w:lastRenderedPageBreak/>
        <w:t>6</w:t>
      </w:r>
      <w:r w:rsidRPr="004B2881">
        <w:rPr>
          <w:lang w:val="fr-FR"/>
        </w:rPr>
        <w:tab/>
        <w:t>Recommandations pour une comparaison internationale des montants de redevances appliqués</w:t>
      </w:r>
      <w:bookmarkEnd w:id="69"/>
      <w:bookmarkEnd w:id="70"/>
      <w:bookmarkEnd w:id="71"/>
    </w:p>
    <w:p w:rsidR="009F2C74" w:rsidRPr="004B2881" w:rsidRDefault="009F2C74" w:rsidP="009F2C74">
      <w:pPr>
        <w:rPr>
          <w:lang w:val="fr-FR"/>
        </w:rPr>
      </w:pPr>
      <w:r w:rsidRPr="004B2881">
        <w:rPr>
          <w:lang w:val="fr-FR"/>
        </w:rPr>
        <w:t xml:space="preserve">Dans la base de données </w:t>
      </w:r>
      <w:r w:rsidRPr="004B2881">
        <w:rPr>
          <w:i/>
          <w:lang w:val="fr-FR"/>
        </w:rPr>
        <w:t>Spectrum Fees</w:t>
      </w:r>
      <w:r w:rsidRPr="004B2881">
        <w:rPr>
          <w:lang w:val="fr-FR"/>
        </w:rPr>
        <w:t>, mise en ligne sur le site de l'UIT dans le cadre de la Résolution 9, figurent des données relatives aux systèmes de redevances appliqués par diverses administrations.</w:t>
      </w:r>
    </w:p>
    <w:p w:rsidR="009F2C74" w:rsidRPr="004B2881" w:rsidRDefault="009F2C74" w:rsidP="009F2C74">
      <w:pPr>
        <w:rPr>
          <w:lang w:val="fr-FR"/>
        </w:rPr>
      </w:pPr>
      <w:r w:rsidRPr="004B2881">
        <w:rPr>
          <w:lang w:val="fr-FR"/>
        </w:rPr>
        <w:t>De nombreux éléments sont susceptibles d'être pris en compte lorsqu'on veut effectuer une comparaison internationale des montants de redevances appliqués respectivement par ch</w:t>
      </w:r>
      <w:r w:rsidR="00E903A6" w:rsidRPr="004B2881">
        <w:rPr>
          <w:lang w:val="fr-FR"/>
        </w:rPr>
        <w:t>acun des pays considérés (voir A</w:t>
      </w:r>
      <w:r w:rsidRPr="004B2881">
        <w:rPr>
          <w:lang w:val="fr-FR"/>
        </w:rPr>
        <w:t>nnexe 4).</w:t>
      </w:r>
    </w:p>
    <w:p w:rsidR="009F2C74" w:rsidRPr="004B2881" w:rsidRDefault="009F2C74" w:rsidP="009F2C74">
      <w:pPr>
        <w:rPr>
          <w:lang w:val="fr-FR"/>
        </w:rPr>
      </w:pPr>
      <w:r w:rsidRPr="004B2881">
        <w:rPr>
          <w:lang w:val="fr-FR"/>
        </w:rPr>
        <w:t>Parmi ces éléments dont la détermination de certains d'entre eux peut exiger du temps et des moyens importants, il est recommandé d'utiliser le «PIB» ou le «PIB/habitant» comme correctifs des données brutes pour obtenir, aisément et rapidement, une comparaison des montants de redevances relativement satisfaisante en première approche.</w:t>
      </w:r>
    </w:p>
    <w:p w:rsidR="004374B1" w:rsidRPr="004B2881" w:rsidRDefault="009F2C74" w:rsidP="009F2C74">
      <w:pPr>
        <w:pStyle w:val="Heading1"/>
        <w:rPr>
          <w:lang w:val="fr-FR"/>
        </w:rPr>
      </w:pPr>
      <w:bookmarkStart w:id="72" w:name="_Toc278266921"/>
      <w:bookmarkStart w:id="73" w:name="_Toc284414125"/>
      <w:bookmarkStart w:id="74" w:name="_Toc286314869"/>
      <w:r w:rsidRPr="004B2881">
        <w:rPr>
          <w:lang w:val="fr-FR"/>
        </w:rPr>
        <w:t>7</w:t>
      </w:r>
      <w:r w:rsidRPr="004B2881">
        <w:rPr>
          <w:lang w:val="fr-FR"/>
        </w:rPr>
        <w:tab/>
        <w:t>Schéma du système de redevances recommandé</w:t>
      </w:r>
      <w:bookmarkEnd w:id="72"/>
      <w:bookmarkEnd w:id="73"/>
      <w:bookmarkEnd w:id="74"/>
    </w:p>
    <w:p w:rsidR="00CF3737" w:rsidRPr="004B2881" w:rsidRDefault="00CF3737" w:rsidP="00CF3737">
      <w:pPr>
        <w:spacing w:before="0"/>
        <w:rPr>
          <w:lang w:val="fr-FR"/>
        </w:rPr>
      </w:pPr>
    </w:p>
    <w:p w:rsidR="00CF3737" w:rsidRPr="004B2881" w:rsidRDefault="00CF3737" w:rsidP="00CF3737">
      <w:pPr>
        <w:pStyle w:val="FigureTitle"/>
        <w:rPr>
          <w:highlight w:val="yellow"/>
          <w:lang w:val="fr-FR"/>
        </w:rPr>
      </w:pPr>
    </w:p>
    <w:p w:rsidR="004374B1" w:rsidRPr="004B2881" w:rsidRDefault="008852D5" w:rsidP="008852D5">
      <w:pPr>
        <w:jc w:val="center"/>
        <w:rPr>
          <w:lang w:val="fr-FR"/>
        </w:rPr>
      </w:pPr>
      <w:r w:rsidRPr="004B2881">
        <w:rPr>
          <w:noProof/>
          <w:lang w:val="en-US" w:eastAsia="zh-CN"/>
        </w:rPr>
        <w:drawing>
          <wp:inline distT="0" distB="0" distL="0" distR="0">
            <wp:extent cx="4524375" cy="34290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524375" cy="3429000"/>
                    </a:xfrm>
                    <a:prstGeom prst="rect">
                      <a:avLst/>
                    </a:prstGeom>
                    <a:noFill/>
                    <a:ln w="9525">
                      <a:noFill/>
                      <a:miter lim="800000"/>
                      <a:headEnd/>
                      <a:tailEnd/>
                    </a:ln>
                  </pic:spPr>
                </pic:pic>
              </a:graphicData>
            </a:graphic>
          </wp:inline>
        </w:drawing>
      </w:r>
    </w:p>
    <w:p w:rsidR="00CF3737" w:rsidRPr="004B2881" w:rsidRDefault="00CF3737" w:rsidP="00CF3737">
      <w:pPr>
        <w:pStyle w:val="FigureSource"/>
        <w:rPr>
          <w:lang w:val="fr-FR"/>
        </w:rPr>
      </w:pPr>
    </w:p>
    <w:p w:rsidR="000575AF" w:rsidRPr="004B2881" w:rsidRDefault="000575AF" w:rsidP="000575AF">
      <w:pPr>
        <w:pStyle w:val="Heading1"/>
        <w:rPr>
          <w:lang w:val="fr-FR"/>
        </w:rPr>
      </w:pPr>
      <w:bookmarkStart w:id="75" w:name="_Toc278266922"/>
      <w:bookmarkStart w:id="76" w:name="_Toc284414126"/>
      <w:bookmarkStart w:id="77" w:name="_Toc286314870"/>
      <w:r w:rsidRPr="004B2881">
        <w:rPr>
          <w:lang w:val="fr-FR"/>
        </w:rPr>
        <w:t>8</w:t>
      </w:r>
      <w:r w:rsidRPr="004B2881">
        <w:rPr>
          <w:lang w:val="fr-FR"/>
        </w:rPr>
        <w:tab/>
        <w:t>Exemples de redevances appliquées par des administrations</w:t>
      </w:r>
      <w:bookmarkEnd w:id="75"/>
      <w:bookmarkEnd w:id="76"/>
      <w:bookmarkEnd w:id="77"/>
    </w:p>
    <w:p w:rsidR="000575AF" w:rsidRPr="004B2881" w:rsidRDefault="000575AF" w:rsidP="000575AF">
      <w:pPr>
        <w:rPr>
          <w:lang w:val="fr-FR"/>
        </w:rPr>
      </w:pPr>
      <w:r w:rsidRPr="004B2881">
        <w:rPr>
          <w:lang w:val="fr-FR"/>
        </w:rPr>
        <w:t>A titre d'illustration, on trouvera ci-après quelques exemples où des principes et lignes directrices énoncés précédemment sont mis en pratique par les administrations.</w:t>
      </w:r>
    </w:p>
    <w:p w:rsidR="000575AF" w:rsidRPr="004B2881" w:rsidRDefault="000575AF" w:rsidP="000575AF">
      <w:pPr>
        <w:pStyle w:val="Heading2"/>
        <w:rPr>
          <w:lang w:val="fr-FR"/>
        </w:rPr>
      </w:pPr>
      <w:bookmarkStart w:id="78" w:name="_Toc278266923"/>
      <w:bookmarkStart w:id="79" w:name="_Toc284414127"/>
      <w:bookmarkStart w:id="80" w:name="_Toc286314871"/>
      <w:r w:rsidRPr="004B2881">
        <w:rPr>
          <w:lang w:val="fr-FR"/>
        </w:rPr>
        <w:t>8.1</w:t>
      </w:r>
      <w:r w:rsidRPr="004B2881">
        <w:rPr>
          <w:lang w:val="fr-FR"/>
        </w:rPr>
        <w:tab/>
        <w:t>Cas des Emirats arabes unis</w:t>
      </w:r>
      <w:bookmarkEnd w:id="78"/>
      <w:bookmarkEnd w:id="79"/>
      <w:bookmarkEnd w:id="80"/>
    </w:p>
    <w:p w:rsidR="000575AF" w:rsidRPr="004B2881" w:rsidRDefault="000575AF" w:rsidP="000575AF">
      <w:pPr>
        <w:rPr>
          <w:lang w:val="fr-FR"/>
        </w:rPr>
      </w:pPr>
      <w:r w:rsidRPr="004B2881">
        <w:rPr>
          <w:lang w:val="fr-FR"/>
        </w:rPr>
        <w:t>Le système de redevances adopté par l'administration illustre notamment les principes juridique s [5] et [6], économiques [12] et [15.4], le principe de réalité [18] et constitue un bon outil de gestion du spectre.</w:t>
      </w:r>
    </w:p>
    <w:p w:rsidR="000575AF" w:rsidRPr="004B2881" w:rsidRDefault="000575AF" w:rsidP="000575AF">
      <w:pPr>
        <w:rPr>
          <w:lang w:val="fr-FR"/>
        </w:rPr>
      </w:pPr>
      <w:r w:rsidRPr="004B2881">
        <w:rPr>
          <w:lang w:val="fr-FR"/>
        </w:rPr>
        <w:t>En effet, pour les faisceaux hertziens, la boucle locale radio et les liaisons entre stations, le calcul des redevances prend en compte la largeur de bande attribuée et la position dans le spectre de la fréquence centrale utilisée.</w:t>
      </w:r>
    </w:p>
    <w:p w:rsidR="000575AF" w:rsidRPr="004B2881" w:rsidRDefault="000575AF" w:rsidP="000575AF">
      <w:pPr>
        <w:rPr>
          <w:lang w:val="fr-FR"/>
        </w:rPr>
      </w:pPr>
      <w:r w:rsidRPr="004B2881">
        <w:rPr>
          <w:lang w:val="fr-FR"/>
        </w:rPr>
        <w:lastRenderedPageBreak/>
        <w:t>En prenant en compte la largeur de bande attribuée, l'administration veut inciter les utilisateurs à ne demander que la ressource spectrale minimale correspondant à leurs besoins.</w:t>
      </w:r>
    </w:p>
    <w:p w:rsidR="000575AF" w:rsidRPr="004B2881" w:rsidRDefault="000575AF" w:rsidP="000575AF">
      <w:pPr>
        <w:rPr>
          <w:lang w:val="fr-FR"/>
        </w:rPr>
      </w:pPr>
      <w:r w:rsidRPr="004B2881">
        <w:rPr>
          <w:lang w:val="fr-FR"/>
        </w:rPr>
        <w:t>En prenant en compte la position dans le spectre de la fréquence centrale utilisée, l'administration cherche à optimiser l'occupation du spectre.</w:t>
      </w:r>
    </w:p>
    <w:p w:rsidR="000575AF" w:rsidRPr="004B2881" w:rsidRDefault="000575AF" w:rsidP="000575AF">
      <w:pPr>
        <w:rPr>
          <w:lang w:val="fr-FR"/>
        </w:rPr>
      </w:pPr>
      <w:r w:rsidRPr="004B2881">
        <w:rPr>
          <w:lang w:val="fr-FR"/>
        </w:rPr>
        <w:t>Voir en Appendices 1.1 et 1.2 la contribution des Emirats arabes unis.</w:t>
      </w:r>
    </w:p>
    <w:p w:rsidR="000575AF" w:rsidRPr="004B2881" w:rsidRDefault="000575AF" w:rsidP="000575AF">
      <w:pPr>
        <w:pStyle w:val="Heading2"/>
        <w:rPr>
          <w:lang w:val="fr-FR"/>
        </w:rPr>
      </w:pPr>
      <w:bookmarkStart w:id="81" w:name="_Toc278266924"/>
      <w:bookmarkStart w:id="82" w:name="_Toc284414128"/>
      <w:bookmarkStart w:id="83" w:name="_Toc286314872"/>
      <w:r w:rsidRPr="004B2881">
        <w:rPr>
          <w:lang w:val="fr-FR"/>
        </w:rPr>
        <w:t>8.2</w:t>
      </w:r>
      <w:r w:rsidRPr="004B2881">
        <w:rPr>
          <w:lang w:val="fr-FR"/>
        </w:rPr>
        <w:tab/>
        <w:t>Cas de la Suisse</w:t>
      </w:r>
      <w:bookmarkEnd w:id="81"/>
      <w:bookmarkEnd w:id="82"/>
      <w:bookmarkEnd w:id="83"/>
    </w:p>
    <w:p w:rsidR="000575AF" w:rsidRPr="004B2881" w:rsidRDefault="000575AF" w:rsidP="000575AF">
      <w:pPr>
        <w:rPr>
          <w:lang w:val="fr-FR"/>
        </w:rPr>
      </w:pPr>
      <w:r w:rsidRPr="004B2881">
        <w:rPr>
          <w:lang w:val="fr-FR"/>
        </w:rPr>
        <w:t>Le système de redevances adopté par l'administration illustre notamment les principes juridiques [6] et [8], les principes économiques [13], [14] et [15.3] et la disposition [20].</w:t>
      </w:r>
    </w:p>
    <w:p w:rsidR="000575AF" w:rsidRPr="004B2881" w:rsidRDefault="000575AF" w:rsidP="000575AF">
      <w:pPr>
        <w:rPr>
          <w:lang w:val="fr-FR"/>
        </w:rPr>
      </w:pPr>
      <w:r w:rsidRPr="004B2881">
        <w:rPr>
          <w:lang w:val="fr-FR"/>
        </w:rPr>
        <w:t>En effet, les redevances administratives qui sont appliquées doivent respecter le principe de la couverture des coûts de l'administration. C'est ainsi que chaque année, les redevances administratives peuvent être revues à la hausse comme à la baisse en fonction de l'exécution réelle du budget de l'administration gestionnaire du spectre.</w:t>
      </w:r>
    </w:p>
    <w:p w:rsidR="000575AF" w:rsidRPr="004B2881" w:rsidRDefault="000575AF" w:rsidP="000575AF">
      <w:pPr>
        <w:rPr>
          <w:lang w:val="fr-FR"/>
        </w:rPr>
      </w:pPr>
      <w:r w:rsidRPr="004B2881">
        <w:rPr>
          <w:lang w:val="fr-FR"/>
        </w:rPr>
        <w:t>En outre, une nouvelle disposition législative a été introduite en 2008 afin que les redevances du spectre prennent aussi en compte la valeur économique des fréquences.</w:t>
      </w:r>
    </w:p>
    <w:p w:rsidR="000575AF" w:rsidRPr="004B2881" w:rsidRDefault="000575AF" w:rsidP="000575AF">
      <w:pPr>
        <w:rPr>
          <w:lang w:val="fr-FR"/>
        </w:rPr>
      </w:pPr>
      <w:r w:rsidRPr="004B2881">
        <w:rPr>
          <w:lang w:val="fr-FR"/>
        </w:rPr>
        <w:t>Voir en Appendices 2.1 et 2.2 la contribution de la Suisse.</w:t>
      </w:r>
    </w:p>
    <w:p w:rsidR="000575AF" w:rsidRPr="004B2881" w:rsidRDefault="000575AF" w:rsidP="000575AF">
      <w:pPr>
        <w:pStyle w:val="Heading2"/>
        <w:rPr>
          <w:lang w:val="fr-FR"/>
        </w:rPr>
      </w:pPr>
      <w:bookmarkStart w:id="84" w:name="_Toc278266925"/>
      <w:bookmarkStart w:id="85" w:name="_Toc284414129"/>
      <w:bookmarkStart w:id="86" w:name="_Toc286314873"/>
      <w:r w:rsidRPr="004B2881">
        <w:rPr>
          <w:lang w:val="fr-FR"/>
        </w:rPr>
        <w:t>8.3</w:t>
      </w:r>
      <w:r w:rsidRPr="004B2881">
        <w:rPr>
          <w:lang w:val="fr-FR"/>
        </w:rPr>
        <w:tab/>
        <w:t>Cas de la France</w:t>
      </w:r>
      <w:bookmarkEnd w:id="84"/>
      <w:bookmarkEnd w:id="85"/>
      <w:bookmarkEnd w:id="86"/>
    </w:p>
    <w:p w:rsidR="000575AF" w:rsidRPr="004B2881" w:rsidRDefault="000575AF" w:rsidP="000575AF">
      <w:pPr>
        <w:rPr>
          <w:lang w:val="fr-FR"/>
        </w:rPr>
      </w:pPr>
      <w:r w:rsidRPr="004B2881">
        <w:rPr>
          <w:lang w:val="fr-FR"/>
        </w:rPr>
        <w:t>Le système de redevances adopté par l'administration illustre notamment les principes juridiques [6] et [8], les principes économiques [13], [14], [15.2], [15.3] et [15.4] et les dispositions [20], [24] et [25].</w:t>
      </w:r>
    </w:p>
    <w:p w:rsidR="000575AF" w:rsidRPr="004B2881" w:rsidRDefault="000575AF" w:rsidP="000575AF">
      <w:pPr>
        <w:rPr>
          <w:lang w:val="fr-FR"/>
        </w:rPr>
      </w:pPr>
      <w:r w:rsidRPr="004B2881">
        <w:rPr>
          <w:lang w:val="fr-FR"/>
        </w:rPr>
        <w:t>En effet, deux catégories de redevances sont appliquées par l'administration.</w:t>
      </w:r>
    </w:p>
    <w:p w:rsidR="000575AF" w:rsidRPr="004B2881" w:rsidRDefault="000575AF" w:rsidP="000575AF">
      <w:pPr>
        <w:rPr>
          <w:lang w:val="fr-FR"/>
        </w:rPr>
      </w:pPr>
      <w:r w:rsidRPr="004B2881">
        <w:rPr>
          <w:lang w:val="fr-FR"/>
        </w:rPr>
        <w:t>Les redevances administratives sont proportionnelles au nombre d'assignations et au nombre d'allotissements attribuées. Leur montant total annuel correspond au coût total annuel de gestion du spectre et des licences et autorisations.</w:t>
      </w:r>
    </w:p>
    <w:p w:rsidR="000575AF" w:rsidRPr="004B2881" w:rsidRDefault="000575AF" w:rsidP="000575AF">
      <w:pPr>
        <w:rPr>
          <w:lang w:val="fr-FR"/>
        </w:rPr>
      </w:pPr>
      <w:r w:rsidRPr="004B2881">
        <w:rPr>
          <w:lang w:val="fr-FR"/>
        </w:rPr>
        <w:t>Le calcul des redevances du spectre, relatives aux fréquences destinées aux besoins propres des utilisateurs, ne prend en compte que la largeur de bande attribuée et la surface d'attribution.</w:t>
      </w:r>
    </w:p>
    <w:p w:rsidR="000575AF" w:rsidRPr="004B2881" w:rsidRDefault="000575AF" w:rsidP="000575AF">
      <w:pPr>
        <w:rPr>
          <w:lang w:val="fr-FR"/>
        </w:rPr>
      </w:pPr>
      <w:r w:rsidRPr="004B2881">
        <w:rPr>
          <w:lang w:val="fr-FR"/>
        </w:rPr>
        <w:t>Le calcul des redevances du spectre, relatives aux fréquences utilisées pour offrir ou commercialiser des services destinés à un marché de consommateurs (cas des fréquences GSM et UMTS), prend en compte le chiffre d'affaires réalisé par les opérateurs.</w:t>
      </w:r>
    </w:p>
    <w:p w:rsidR="000575AF" w:rsidRPr="004B2881" w:rsidRDefault="000575AF" w:rsidP="000575AF">
      <w:pPr>
        <w:pStyle w:val="Heading2"/>
        <w:rPr>
          <w:lang w:val="fr-FR"/>
        </w:rPr>
      </w:pPr>
      <w:bookmarkStart w:id="87" w:name="_Toc278266926"/>
      <w:bookmarkStart w:id="88" w:name="_Toc284414130"/>
      <w:bookmarkStart w:id="89" w:name="_Toc286314874"/>
      <w:r w:rsidRPr="004B2881">
        <w:rPr>
          <w:lang w:val="fr-FR"/>
        </w:rPr>
        <w:t>8.4</w:t>
      </w:r>
      <w:r w:rsidRPr="004B2881">
        <w:rPr>
          <w:lang w:val="fr-FR"/>
        </w:rPr>
        <w:tab/>
        <w:t>Cas de la Côte d'Ivoire</w:t>
      </w:r>
      <w:bookmarkEnd w:id="87"/>
      <w:bookmarkEnd w:id="88"/>
      <w:bookmarkEnd w:id="89"/>
    </w:p>
    <w:p w:rsidR="000575AF" w:rsidRPr="004B2881" w:rsidRDefault="000575AF" w:rsidP="000575AF">
      <w:pPr>
        <w:rPr>
          <w:lang w:val="fr-FR"/>
        </w:rPr>
      </w:pPr>
      <w:r w:rsidRPr="004B2881">
        <w:rPr>
          <w:lang w:val="fr-FR"/>
        </w:rPr>
        <w:t>L'administration ivoirienne adhère pleinement aux principes juridiques [6], [7] et [8], et économiques [15.1], [15.2], [15.3] et [15.4].</w:t>
      </w:r>
    </w:p>
    <w:p w:rsidR="000575AF" w:rsidRPr="004B2881" w:rsidRDefault="000575AF" w:rsidP="000575AF">
      <w:pPr>
        <w:rPr>
          <w:lang w:val="fr-FR"/>
        </w:rPr>
      </w:pPr>
      <w:r w:rsidRPr="004B2881">
        <w:rPr>
          <w:lang w:val="fr-FR"/>
        </w:rPr>
        <w:t>Elle applique notamment les dispositions du § 5.1.4.</w:t>
      </w:r>
    </w:p>
    <w:p w:rsidR="00FC4833" w:rsidRPr="004B2881" w:rsidRDefault="000575AF" w:rsidP="000575AF">
      <w:pPr>
        <w:rPr>
          <w:lang w:val="fr-FR"/>
        </w:rPr>
      </w:pPr>
      <w:r w:rsidRPr="004B2881">
        <w:rPr>
          <w:lang w:val="fr-FR"/>
        </w:rPr>
        <w:t>Voir en Appendice 3 la contribution de la Côte d'Ivoire.</w:t>
      </w:r>
    </w:p>
    <w:p w:rsidR="004735E4" w:rsidRPr="004B2881" w:rsidRDefault="004735E4">
      <w:pPr>
        <w:tabs>
          <w:tab w:val="clear" w:pos="794"/>
          <w:tab w:val="clear" w:pos="1191"/>
          <w:tab w:val="clear" w:pos="1588"/>
          <w:tab w:val="clear" w:pos="1985"/>
        </w:tabs>
        <w:overflowPunct/>
        <w:autoSpaceDE/>
        <w:autoSpaceDN/>
        <w:adjustRightInd/>
        <w:spacing w:before="0"/>
        <w:jc w:val="left"/>
        <w:textAlignment w:val="auto"/>
        <w:rPr>
          <w:b/>
          <w:sz w:val="28"/>
          <w:lang w:val="fr-FR"/>
        </w:rPr>
      </w:pPr>
      <w:r w:rsidRPr="004B2881">
        <w:rPr>
          <w:lang w:val="fr-FR"/>
        </w:rPr>
        <w:br w:type="page"/>
      </w:r>
    </w:p>
    <w:p w:rsidR="00194F2A" w:rsidRPr="004B2881" w:rsidRDefault="00B3462E" w:rsidP="00B3462E">
      <w:pPr>
        <w:pStyle w:val="AnnexNotitle"/>
        <w:rPr>
          <w:lang w:val="fr-FR"/>
        </w:rPr>
      </w:pPr>
      <w:bookmarkStart w:id="90" w:name="_Toc278266927"/>
      <w:bookmarkStart w:id="91" w:name="_Toc284414131"/>
      <w:bookmarkStart w:id="92" w:name="_Toc286314875"/>
      <w:r w:rsidRPr="004B2881">
        <w:rPr>
          <w:lang w:val="fr-FR"/>
        </w:rPr>
        <w:lastRenderedPageBreak/>
        <w:t>Annexe 1</w:t>
      </w:r>
      <w:r w:rsidRPr="004B2881">
        <w:rPr>
          <w:lang w:val="fr-FR"/>
        </w:rPr>
        <w:br/>
      </w:r>
      <w:r w:rsidRPr="004B2881">
        <w:rPr>
          <w:lang w:val="fr-FR"/>
        </w:rPr>
        <w:br/>
        <w:t>Exemple simplifié de tableau donnant la valeur du c</w:t>
      </w:r>
      <w:r w:rsidR="00C95B09" w:rsidRPr="004B2881">
        <w:rPr>
          <w:lang w:val="fr-FR"/>
        </w:rPr>
        <w:t>oe</w:t>
      </w:r>
      <w:r w:rsidRPr="004B2881">
        <w:rPr>
          <w:lang w:val="fr-FR"/>
        </w:rPr>
        <w:t xml:space="preserve">fficient «bf» </w:t>
      </w:r>
      <w:r w:rsidRPr="004B2881">
        <w:rPr>
          <w:lang w:val="fr-FR"/>
        </w:rPr>
        <w:br/>
        <w:t>en fonction de la bande de fréquences</w:t>
      </w:r>
      <w:bookmarkEnd w:id="90"/>
      <w:bookmarkEnd w:id="91"/>
      <w:bookmarkEnd w:id="92"/>
    </w:p>
    <w:p w:rsidR="00D92A1F" w:rsidRPr="004B2881" w:rsidRDefault="00D92A1F" w:rsidP="00E0647F">
      <w:pPr>
        <w:rPr>
          <w:lang w:val="fr-FR"/>
        </w:rPr>
      </w:pPr>
      <w:r w:rsidRPr="004B2881">
        <w:rPr>
          <w:lang w:val="fr-FR"/>
        </w:rPr>
        <w:t>Les c</w:t>
      </w:r>
      <w:r w:rsidR="00C95B09" w:rsidRPr="004B2881">
        <w:rPr>
          <w:lang w:val="fr-FR"/>
        </w:rPr>
        <w:t>oe</w:t>
      </w:r>
      <w:r w:rsidRPr="004B2881">
        <w:rPr>
          <w:lang w:val="fr-FR"/>
        </w:rPr>
        <w:t>fficients les plus faibles incitent les utilisateurs à occuper les bandes correspondantes et à l'inverse, les c</w:t>
      </w:r>
      <w:r w:rsidR="00C95B09" w:rsidRPr="004B2881">
        <w:rPr>
          <w:lang w:val="fr-FR"/>
        </w:rPr>
        <w:t>oe</w:t>
      </w:r>
      <w:r w:rsidRPr="004B2881">
        <w:rPr>
          <w:lang w:val="fr-FR"/>
        </w:rPr>
        <w:t>fficients les plus élevés les incitent à qui</w:t>
      </w:r>
      <w:r w:rsidR="00A162DA" w:rsidRPr="004B2881">
        <w:rPr>
          <w:lang w:val="fr-FR"/>
        </w:rPr>
        <w:t>tter les bandes correspondantes.</w:t>
      </w:r>
    </w:p>
    <w:p w:rsidR="006F4487" w:rsidRPr="004B2881" w:rsidRDefault="006F4487" w:rsidP="00E0647F">
      <w:pPr>
        <w:rPr>
          <w:b/>
          <w:bCs/>
          <w:lang w:val="fr-FR"/>
        </w:rPr>
      </w:pPr>
    </w:p>
    <w:p w:rsidR="00194F2A" w:rsidRPr="004B2881" w:rsidRDefault="00194F2A" w:rsidP="006F4487">
      <w:pPr>
        <w:pStyle w:val="FigureTitle"/>
        <w:rPr>
          <w:lang w:val="fr-FR"/>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6915"/>
        <w:gridCol w:w="2722"/>
      </w:tblGrid>
      <w:tr w:rsidR="00194F2A" w:rsidRPr="004B2881" w:rsidTr="008D355B">
        <w:trPr>
          <w:jc w:val="center"/>
        </w:trPr>
        <w:tc>
          <w:tcPr>
            <w:tcW w:w="6915" w:type="dxa"/>
          </w:tcPr>
          <w:p w:rsidR="00194F2A" w:rsidRPr="004B2881" w:rsidRDefault="00364D8D" w:rsidP="00C37651">
            <w:pPr>
              <w:pStyle w:val="TableNotitle"/>
              <w:spacing w:before="120"/>
              <w:rPr>
                <w:bCs/>
                <w:lang w:val="fr-FR"/>
              </w:rPr>
            </w:pPr>
            <w:r w:rsidRPr="004B2881">
              <w:rPr>
                <w:lang w:val="fr-FR"/>
              </w:rPr>
              <w:t>Position de la bande de fréquences attribuée</w:t>
            </w:r>
          </w:p>
        </w:tc>
        <w:tc>
          <w:tcPr>
            <w:tcW w:w="2722" w:type="dxa"/>
          </w:tcPr>
          <w:p w:rsidR="00194F2A" w:rsidRPr="004B2881" w:rsidRDefault="00364D8D" w:rsidP="00C37651">
            <w:pPr>
              <w:pStyle w:val="TableNotitle"/>
              <w:spacing w:before="120"/>
              <w:rPr>
                <w:bCs/>
                <w:lang w:val="fr-FR"/>
              </w:rPr>
            </w:pPr>
            <w:r w:rsidRPr="004B2881">
              <w:rPr>
                <w:lang w:val="fr-FR"/>
              </w:rPr>
              <w:t>Valeur du c</w:t>
            </w:r>
            <w:r w:rsidR="00C95B09" w:rsidRPr="004B2881">
              <w:rPr>
                <w:lang w:val="fr-FR"/>
              </w:rPr>
              <w:t>oe</w:t>
            </w:r>
            <w:r w:rsidRPr="004B2881">
              <w:rPr>
                <w:lang w:val="fr-FR"/>
              </w:rPr>
              <w:t>fficient «bf»</w:t>
            </w:r>
          </w:p>
        </w:tc>
      </w:tr>
      <w:tr w:rsidR="0095734C" w:rsidRPr="004B2881" w:rsidTr="008D355B">
        <w:trPr>
          <w:trHeight w:val="510"/>
          <w:jc w:val="center"/>
        </w:trPr>
        <w:tc>
          <w:tcPr>
            <w:tcW w:w="6915" w:type="dxa"/>
            <w:vAlign w:val="center"/>
          </w:tcPr>
          <w:p w:rsidR="0095734C" w:rsidRPr="004B2881" w:rsidRDefault="0095734C" w:rsidP="00556FC3">
            <w:pPr>
              <w:pStyle w:val="Tabletext"/>
              <w:jc w:val="center"/>
              <w:rPr>
                <w:lang w:val="fr-FR"/>
              </w:rPr>
            </w:pPr>
            <w:r w:rsidRPr="004B2881">
              <w:rPr>
                <w:lang w:val="fr-FR"/>
              </w:rPr>
              <w:t xml:space="preserve">29,7 MHz </w:t>
            </w:r>
            <w:r w:rsidRPr="004B2881">
              <w:rPr>
                <w:u w:val="single"/>
                <w:lang w:val="fr-FR"/>
              </w:rPr>
              <w:t>&lt;</w:t>
            </w:r>
            <w:r w:rsidRPr="004B2881">
              <w:rPr>
                <w:u w:val="single"/>
                <w:lang w:val="fr-FR"/>
              </w:rPr>
              <w:tab/>
              <w:t xml:space="preserve"> bande de fréquences</w:t>
            </w:r>
            <w:r w:rsidRPr="004B2881">
              <w:rPr>
                <w:lang w:val="fr-FR"/>
              </w:rPr>
              <w:t xml:space="preserve"> &lt; 1 375 MHz</w:t>
            </w:r>
          </w:p>
        </w:tc>
        <w:tc>
          <w:tcPr>
            <w:tcW w:w="2722" w:type="dxa"/>
            <w:vAlign w:val="center"/>
          </w:tcPr>
          <w:p w:rsidR="0095734C" w:rsidRPr="004B2881" w:rsidRDefault="0095734C" w:rsidP="003D3377">
            <w:pPr>
              <w:pStyle w:val="TableText0"/>
              <w:jc w:val="center"/>
              <w:rPr>
                <w:bCs/>
                <w:lang w:val="fr-FR"/>
              </w:rPr>
            </w:pPr>
            <w:r w:rsidRPr="004B2881">
              <w:rPr>
                <w:lang w:val="fr-FR"/>
              </w:rPr>
              <w:t>1</w:t>
            </w:r>
          </w:p>
        </w:tc>
      </w:tr>
      <w:tr w:rsidR="0095734C" w:rsidRPr="004B2881" w:rsidTr="008D355B">
        <w:trPr>
          <w:trHeight w:val="510"/>
          <w:jc w:val="center"/>
        </w:trPr>
        <w:tc>
          <w:tcPr>
            <w:tcW w:w="6915" w:type="dxa"/>
            <w:vAlign w:val="center"/>
          </w:tcPr>
          <w:p w:rsidR="0095734C" w:rsidRPr="004B2881" w:rsidRDefault="0095734C" w:rsidP="00556FC3">
            <w:pPr>
              <w:pStyle w:val="Tabletext"/>
              <w:jc w:val="center"/>
              <w:rPr>
                <w:lang w:val="fr-FR"/>
              </w:rPr>
            </w:pPr>
            <w:r w:rsidRPr="004B2881">
              <w:rPr>
                <w:lang w:val="fr-FR"/>
              </w:rPr>
              <w:t xml:space="preserve">1 375 MHz </w:t>
            </w:r>
            <w:r w:rsidRPr="004B2881">
              <w:rPr>
                <w:u w:val="single"/>
                <w:lang w:val="fr-FR"/>
              </w:rPr>
              <w:t>&lt;</w:t>
            </w:r>
            <w:r w:rsidRPr="004B2881">
              <w:rPr>
                <w:lang w:val="fr-FR"/>
              </w:rPr>
              <w:tab/>
            </w:r>
            <w:r w:rsidRPr="004B2881">
              <w:rPr>
                <w:u w:val="single"/>
                <w:lang w:val="fr-FR"/>
              </w:rPr>
              <w:t>bande de fréquences</w:t>
            </w:r>
            <w:r w:rsidRPr="004B2881">
              <w:rPr>
                <w:lang w:val="fr-FR"/>
              </w:rPr>
              <w:tab/>
              <w:t>&lt; 3 400 MHz</w:t>
            </w:r>
          </w:p>
        </w:tc>
        <w:tc>
          <w:tcPr>
            <w:tcW w:w="2722" w:type="dxa"/>
            <w:vAlign w:val="center"/>
          </w:tcPr>
          <w:p w:rsidR="0095734C" w:rsidRPr="004B2881" w:rsidRDefault="0095734C" w:rsidP="003D3377">
            <w:pPr>
              <w:pStyle w:val="TableText0"/>
              <w:jc w:val="center"/>
              <w:rPr>
                <w:bCs/>
                <w:lang w:val="fr-FR"/>
              </w:rPr>
            </w:pPr>
            <w:r w:rsidRPr="004B2881">
              <w:rPr>
                <w:lang w:val="fr-FR"/>
              </w:rPr>
              <w:t>8</w:t>
            </w:r>
          </w:p>
        </w:tc>
      </w:tr>
      <w:tr w:rsidR="0095734C" w:rsidRPr="004B2881" w:rsidTr="008D355B">
        <w:trPr>
          <w:trHeight w:val="510"/>
          <w:jc w:val="center"/>
        </w:trPr>
        <w:tc>
          <w:tcPr>
            <w:tcW w:w="6915" w:type="dxa"/>
            <w:vAlign w:val="center"/>
          </w:tcPr>
          <w:p w:rsidR="0095734C" w:rsidRPr="004B2881" w:rsidRDefault="0095734C" w:rsidP="00556FC3">
            <w:pPr>
              <w:pStyle w:val="Tabletext"/>
              <w:jc w:val="center"/>
              <w:rPr>
                <w:lang w:val="fr-FR"/>
              </w:rPr>
            </w:pPr>
            <w:r w:rsidRPr="004B2881">
              <w:rPr>
                <w:lang w:val="fr-FR"/>
              </w:rPr>
              <w:t xml:space="preserve">3 400 MHz </w:t>
            </w:r>
            <w:r w:rsidRPr="004B2881">
              <w:rPr>
                <w:u w:val="single"/>
                <w:lang w:val="fr-FR"/>
              </w:rPr>
              <w:t>&lt;</w:t>
            </w:r>
            <w:r w:rsidRPr="004B2881">
              <w:rPr>
                <w:lang w:val="fr-FR"/>
              </w:rPr>
              <w:tab/>
            </w:r>
            <w:r w:rsidRPr="004B2881">
              <w:rPr>
                <w:u w:val="single"/>
                <w:lang w:val="fr-FR"/>
              </w:rPr>
              <w:t>bande de fréquences</w:t>
            </w:r>
            <w:r w:rsidRPr="004B2881">
              <w:rPr>
                <w:lang w:val="fr-FR"/>
              </w:rPr>
              <w:tab/>
              <w:t>&lt; 7 110 MHz</w:t>
            </w:r>
          </w:p>
        </w:tc>
        <w:tc>
          <w:tcPr>
            <w:tcW w:w="2722" w:type="dxa"/>
            <w:vAlign w:val="center"/>
          </w:tcPr>
          <w:p w:rsidR="0095734C" w:rsidRPr="004B2881" w:rsidRDefault="0095734C" w:rsidP="003D3377">
            <w:pPr>
              <w:pStyle w:val="TableText0"/>
              <w:jc w:val="center"/>
              <w:rPr>
                <w:bCs/>
                <w:lang w:val="fr-FR"/>
              </w:rPr>
            </w:pPr>
            <w:r w:rsidRPr="004B2881">
              <w:rPr>
                <w:lang w:val="fr-FR"/>
              </w:rPr>
              <w:t>2</w:t>
            </w:r>
          </w:p>
        </w:tc>
      </w:tr>
      <w:tr w:rsidR="0095734C" w:rsidRPr="004B2881" w:rsidTr="008D355B">
        <w:trPr>
          <w:trHeight w:val="510"/>
          <w:jc w:val="center"/>
        </w:trPr>
        <w:tc>
          <w:tcPr>
            <w:tcW w:w="6915" w:type="dxa"/>
            <w:vAlign w:val="center"/>
          </w:tcPr>
          <w:p w:rsidR="0095734C" w:rsidRPr="004B2881" w:rsidRDefault="0095734C" w:rsidP="00556FC3">
            <w:pPr>
              <w:pStyle w:val="Tabletext"/>
              <w:jc w:val="center"/>
              <w:rPr>
                <w:lang w:val="fr-FR"/>
              </w:rPr>
            </w:pPr>
            <w:r w:rsidRPr="004B2881">
              <w:rPr>
                <w:lang w:val="fr-FR"/>
              </w:rPr>
              <w:t xml:space="preserve">7 110 MHz </w:t>
            </w:r>
            <w:r w:rsidRPr="004B2881">
              <w:rPr>
                <w:u w:val="single"/>
                <w:lang w:val="fr-FR"/>
              </w:rPr>
              <w:t>&lt;</w:t>
            </w:r>
            <w:r w:rsidRPr="004B2881">
              <w:rPr>
                <w:lang w:val="fr-FR"/>
              </w:rPr>
              <w:tab/>
            </w:r>
            <w:r w:rsidRPr="004B2881">
              <w:rPr>
                <w:u w:val="single"/>
                <w:lang w:val="fr-FR"/>
              </w:rPr>
              <w:t>bande de fréquences</w:t>
            </w:r>
            <w:r w:rsidRPr="004B2881">
              <w:rPr>
                <w:lang w:val="fr-FR"/>
              </w:rPr>
              <w:tab/>
              <w:t>&lt; 12,75 GHz</w:t>
            </w:r>
          </w:p>
        </w:tc>
        <w:tc>
          <w:tcPr>
            <w:tcW w:w="2722" w:type="dxa"/>
            <w:vAlign w:val="center"/>
          </w:tcPr>
          <w:p w:rsidR="0095734C" w:rsidRPr="004B2881" w:rsidRDefault="0095734C" w:rsidP="003D3377">
            <w:pPr>
              <w:pStyle w:val="TableText0"/>
              <w:jc w:val="center"/>
              <w:rPr>
                <w:bCs/>
                <w:lang w:val="fr-FR"/>
              </w:rPr>
            </w:pPr>
            <w:r w:rsidRPr="004B2881">
              <w:rPr>
                <w:lang w:val="fr-FR"/>
              </w:rPr>
              <w:t>1,5</w:t>
            </w:r>
          </w:p>
        </w:tc>
      </w:tr>
      <w:tr w:rsidR="0095734C" w:rsidRPr="004B2881" w:rsidTr="008D355B">
        <w:trPr>
          <w:trHeight w:val="510"/>
          <w:jc w:val="center"/>
        </w:trPr>
        <w:tc>
          <w:tcPr>
            <w:tcW w:w="6915" w:type="dxa"/>
            <w:vAlign w:val="center"/>
          </w:tcPr>
          <w:p w:rsidR="0095734C" w:rsidRPr="004B2881" w:rsidRDefault="0095734C" w:rsidP="00556FC3">
            <w:pPr>
              <w:pStyle w:val="Tabletext"/>
              <w:jc w:val="center"/>
              <w:rPr>
                <w:lang w:val="fr-FR"/>
              </w:rPr>
            </w:pPr>
            <w:r w:rsidRPr="004B2881">
              <w:rPr>
                <w:lang w:val="fr-FR"/>
              </w:rPr>
              <w:t xml:space="preserve">12,75 GHz </w:t>
            </w:r>
            <w:r w:rsidRPr="004B2881">
              <w:rPr>
                <w:u w:val="single"/>
                <w:lang w:val="fr-FR"/>
              </w:rPr>
              <w:t>&lt;</w:t>
            </w:r>
            <w:r w:rsidRPr="004B2881">
              <w:rPr>
                <w:lang w:val="fr-FR"/>
              </w:rPr>
              <w:tab/>
            </w:r>
            <w:r w:rsidRPr="004B2881">
              <w:rPr>
                <w:u w:val="single"/>
                <w:lang w:val="fr-FR"/>
              </w:rPr>
              <w:t>bande de fréquences</w:t>
            </w:r>
            <w:r w:rsidRPr="004B2881">
              <w:rPr>
                <w:lang w:val="fr-FR"/>
              </w:rPr>
              <w:tab/>
              <w:t>&lt; 14,5 GHz</w:t>
            </w:r>
          </w:p>
        </w:tc>
        <w:tc>
          <w:tcPr>
            <w:tcW w:w="2722" w:type="dxa"/>
            <w:vAlign w:val="center"/>
          </w:tcPr>
          <w:p w:rsidR="0095734C" w:rsidRPr="004B2881" w:rsidRDefault="0095734C" w:rsidP="003D3377">
            <w:pPr>
              <w:pStyle w:val="TableText0"/>
              <w:jc w:val="center"/>
              <w:rPr>
                <w:bCs/>
                <w:lang w:val="fr-FR"/>
              </w:rPr>
            </w:pPr>
            <w:r w:rsidRPr="004B2881">
              <w:rPr>
                <w:lang w:val="fr-FR"/>
              </w:rPr>
              <w:t>1</w:t>
            </w:r>
          </w:p>
        </w:tc>
      </w:tr>
      <w:tr w:rsidR="0095734C" w:rsidRPr="004B2881" w:rsidTr="008D355B">
        <w:trPr>
          <w:trHeight w:val="510"/>
          <w:jc w:val="center"/>
        </w:trPr>
        <w:tc>
          <w:tcPr>
            <w:tcW w:w="6915" w:type="dxa"/>
            <w:vAlign w:val="center"/>
          </w:tcPr>
          <w:p w:rsidR="0095734C" w:rsidRPr="004B2881" w:rsidRDefault="0095734C" w:rsidP="00556FC3">
            <w:pPr>
              <w:pStyle w:val="Tabletext"/>
              <w:jc w:val="center"/>
              <w:rPr>
                <w:lang w:val="fr-FR"/>
              </w:rPr>
            </w:pPr>
            <w:r w:rsidRPr="004B2881">
              <w:rPr>
                <w:lang w:val="fr-FR"/>
              </w:rPr>
              <w:t xml:space="preserve">14,5 GHz </w:t>
            </w:r>
            <w:r w:rsidRPr="004B2881">
              <w:rPr>
                <w:u w:val="single"/>
                <w:lang w:val="fr-FR"/>
              </w:rPr>
              <w:t>&lt;</w:t>
            </w:r>
            <w:r w:rsidRPr="004B2881">
              <w:rPr>
                <w:lang w:val="fr-FR"/>
              </w:rPr>
              <w:tab/>
            </w:r>
            <w:r w:rsidRPr="004B2881">
              <w:rPr>
                <w:u w:val="single"/>
                <w:lang w:val="fr-FR"/>
              </w:rPr>
              <w:t xml:space="preserve">bande de fréquences </w:t>
            </w:r>
            <w:r w:rsidRPr="004B2881">
              <w:rPr>
                <w:lang w:val="fr-FR"/>
              </w:rPr>
              <w:tab/>
              <w:t>&lt; 20,2 GHz</w:t>
            </w:r>
          </w:p>
        </w:tc>
        <w:tc>
          <w:tcPr>
            <w:tcW w:w="2722" w:type="dxa"/>
            <w:vAlign w:val="center"/>
          </w:tcPr>
          <w:p w:rsidR="0095734C" w:rsidRPr="004B2881" w:rsidRDefault="0095734C" w:rsidP="003D3377">
            <w:pPr>
              <w:pStyle w:val="TableText0"/>
              <w:jc w:val="center"/>
              <w:rPr>
                <w:bCs/>
                <w:lang w:val="fr-FR"/>
              </w:rPr>
            </w:pPr>
            <w:r w:rsidRPr="004B2881">
              <w:rPr>
                <w:lang w:val="fr-FR"/>
              </w:rPr>
              <w:t>0,7</w:t>
            </w:r>
          </w:p>
        </w:tc>
      </w:tr>
      <w:tr w:rsidR="0095734C" w:rsidRPr="004B2881" w:rsidTr="008D355B">
        <w:trPr>
          <w:trHeight w:val="510"/>
          <w:jc w:val="center"/>
        </w:trPr>
        <w:tc>
          <w:tcPr>
            <w:tcW w:w="6915" w:type="dxa"/>
            <w:vAlign w:val="center"/>
          </w:tcPr>
          <w:p w:rsidR="0095734C" w:rsidRPr="004B2881" w:rsidRDefault="0095734C" w:rsidP="00556FC3">
            <w:pPr>
              <w:pStyle w:val="Tabletext"/>
              <w:jc w:val="center"/>
              <w:rPr>
                <w:lang w:val="fr-FR"/>
              </w:rPr>
            </w:pPr>
            <w:r w:rsidRPr="004B2881">
              <w:rPr>
                <w:lang w:val="fr-FR"/>
              </w:rPr>
              <w:t xml:space="preserve">37,5 GHz </w:t>
            </w:r>
            <w:r w:rsidRPr="004B2881">
              <w:rPr>
                <w:u w:val="single"/>
                <w:lang w:val="fr-FR"/>
              </w:rPr>
              <w:t>&lt; bande de fréquences</w:t>
            </w:r>
          </w:p>
        </w:tc>
        <w:tc>
          <w:tcPr>
            <w:tcW w:w="2722" w:type="dxa"/>
            <w:vAlign w:val="center"/>
          </w:tcPr>
          <w:p w:rsidR="0095734C" w:rsidRPr="004B2881" w:rsidRDefault="0095734C" w:rsidP="0095734C">
            <w:pPr>
              <w:pStyle w:val="TableText0"/>
              <w:jc w:val="center"/>
              <w:rPr>
                <w:bCs/>
                <w:lang w:val="fr-FR"/>
              </w:rPr>
            </w:pPr>
            <w:r w:rsidRPr="004B2881">
              <w:rPr>
                <w:lang w:val="fr-FR"/>
              </w:rPr>
              <w:t>0,3</w:t>
            </w:r>
          </w:p>
        </w:tc>
      </w:tr>
    </w:tbl>
    <w:p w:rsidR="00194F2A" w:rsidRPr="004B2881" w:rsidRDefault="00194F2A" w:rsidP="006F4487">
      <w:pPr>
        <w:pStyle w:val="FigureSource"/>
        <w:rPr>
          <w:lang w:val="fr-FR"/>
        </w:rPr>
      </w:pPr>
    </w:p>
    <w:p w:rsidR="004322D9" w:rsidRPr="004B2881" w:rsidRDefault="004322D9" w:rsidP="00996B72">
      <w:pPr>
        <w:rPr>
          <w:lang w:val="fr-FR"/>
        </w:rPr>
      </w:pPr>
    </w:p>
    <w:p w:rsidR="005D3DF4" w:rsidRPr="004B2881" w:rsidRDefault="005D3DF4">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p w:rsidR="005D3DF4" w:rsidRPr="004B2881" w:rsidRDefault="001C4923" w:rsidP="001C4923">
      <w:pPr>
        <w:pStyle w:val="AnnexNotitle"/>
        <w:rPr>
          <w:lang w:val="fr-FR"/>
        </w:rPr>
      </w:pPr>
      <w:bookmarkStart w:id="93" w:name="_Toc278266928"/>
      <w:bookmarkStart w:id="94" w:name="_Toc284414132"/>
      <w:bookmarkStart w:id="95" w:name="_Toc286314876"/>
      <w:r w:rsidRPr="004B2881">
        <w:rPr>
          <w:lang w:val="fr-FR"/>
        </w:rPr>
        <w:lastRenderedPageBreak/>
        <w:t>Annexe 2</w:t>
      </w:r>
      <w:r w:rsidRPr="004B2881">
        <w:rPr>
          <w:lang w:val="fr-FR"/>
        </w:rPr>
        <w:br/>
      </w:r>
      <w:r w:rsidRPr="004B2881">
        <w:rPr>
          <w:lang w:val="fr-FR"/>
        </w:rPr>
        <w:br/>
        <w:t>Exemple de tableau donnant la valeur du c</w:t>
      </w:r>
      <w:r w:rsidR="00C95B09" w:rsidRPr="004B2881">
        <w:rPr>
          <w:lang w:val="fr-FR"/>
        </w:rPr>
        <w:t>oe</w:t>
      </w:r>
      <w:r w:rsidRPr="004B2881">
        <w:rPr>
          <w:lang w:val="fr-FR"/>
        </w:rPr>
        <w:t>fficient «a» en fonction des services</w:t>
      </w:r>
      <w:bookmarkEnd w:id="93"/>
      <w:bookmarkEnd w:id="94"/>
      <w:bookmarkEnd w:id="95"/>
    </w:p>
    <w:p w:rsidR="00B46CB9" w:rsidRPr="004B2881" w:rsidRDefault="00B46CB9" w:rsidP="00B46CB9">
      <w:pPr>
        <w:pStyle w:val="Normalaftertitle"/>
        <w:rPr>
          <w:lang w:val="fr-FR"/>
        </w:rPr>
      </w:pPr>
    </w:p>
    <w:p w:rsidR="005D3DF4" w:rsidRPr="004B2881" w:rsidRDefault="005D3DF4" w:rsidP="00B46CB9">
      <w:pPr>
        <w:pStyle w:val="FigureTitle"/>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0"/>
        <w:gridCol w:w="3336"/>
      </w:tblGrid>
      <w:tr w:rsidR="00806BEA" w:rsidRPr="004B2881" w:rsidTr="00724CAD">
        <w:trPr>
          <w:trHeight w:val="510"/>
          <w:jc w:val="center"/>
        </w:trPr>
        <w:tc>
          <w:tcPr>
            <w:tcW w:w="6240" w:type="dxa"/>
            <w:vAlign w:val="center"/>
          </w:tcPr>
          <w:p w:rsidR="00806BEA" w:rsidRPr="004B2881" w:rsidRDefault="00806BEA" w:rsidP="00556FC3">
            <w:pPr>
              <w:pStyle w:val="Tablehead"/>
              <w:rPr>
                <w:lang w:val="fr-FR"/>
              </w:rPr>
            </w:pPr>
            <w:r w:rsidRPr="004B2881">
              <w:rPr>
                <w:lang w:val="fr-FR"/>
              </w:rPr>
              <w:t xml:space="preserve">Bandes de fréquences </w:t>
            </w:r>
          </w:p>
        </w:tc>
        <w:tc>
          <w:tcPr>
            <w:tcW w:w="3336" w:type="dxa"/>
            <w:vAlign w:val="center"/>
          </w:tcPr>
          <w:p w:rsidR="00806BEA" w:rsidRPr="004B2881" w:rsidRDefault="00806BEA" w:rsidP="00806BEA">
            <w:pPr>
              <w:pStyle w:val="Tablehead"/>
              <w:rPr>
                <w:lang w:val="fr-FR"/>
              </w:rPr>
            </w:pPr>
            <w:r w:rsidRPr="004B2881">
              <w:rPr>
                <w:lang w:val="fr-FR"/>
              </w:rPr>
              <w:t>Valeur</w:t>
            </w:r>
            <w:r w:rsidRPr="004B2881">
              <w:rPr>
                <w:lang w:val="fr-FR"/>
              </w:rPr>
              <w:br/>
              <w:t>du c</w:t>
            </w:r>
            <w:r w:rsidR="00C95B09" w:rsidRPr="004B2881">
              <w:rPr>
                <w:lang w:val="fr-FR"/>
              </w:rPr>
              <w:t>oe</w:t>
            </w:r>
            <w:r w:rsidRPr="004B2881">
              <w:rPr>
                <w:lang w:val="fr-FR"/>
              </w:rPr>
              <w:t>fficient «a»</w:t>
            </w:r>
          </w:p>
        </w:tc>
      </w:tr>
      <w:tr w:rsidR="00806BEA" w:rsidRPr="004B2881" w:rsidTr="00806BEA">
        <w:trPr>
          <w:trHeight w:val="510"/>
          <w:jc w:val="center"/>
        </w:trPr>
        <w:tc>
          <w:tcPr>
            <w:tcW w:w="6240" w:type="dxa"/>
            <w:vAlign w:val="center"/>
          </w:tcPr>
          <w:p w:rsidR="00806BEA" w:rsidRPr="004B2881" w:rsidRDefault="00806BEA" w:rsidP="00556FC3">
            <w:pPr>
              <w:pStyle w:val="Tabletext"/>
              <w:rPr>
                <w:lang w:val="fr-FR"/>
              </w:rPr>
            </w:pPr>
            <w:r w:rsidRPr="004B2881">
              <w:rPr>
                <w:lang w:val="fr-FR"/>
              </w:rPr>
              <w:t xml:space="preserve">Fréquences du service fixe inférieures à 20 GHz </w:t>
            </w:r>
          </w:p>
        </w:tc>
        <w:tc>
          <w:tcPr>
            <w:tcW w:w="3336" w:type="dxa"/>
            <w:vAlign w:val="center"/>
          </w:tcPr>
          <w:p w:rsidR="00806BEA" w:rsidRPr="004B2881" w:rsidRDefault="00806BEA" w:rsidP="000B61AC">
            <w:pPr>
              <w:pStyle w:val="TableText0"/>
              <w:jc w:val="center"/>
              <w:rPr>
                <w:lang w:val="fr-FR"/>
              </w:rPr>
            </w:pPr>
            <w:r w:rsidRPr="004B2881">
              <w:rPr>
                <w:lang w:val="fr-FR"/>
              </w:rPr>
              <w:t>400</w:t>
            </w:r>
          </w:p>
        </w:tc>
      </w:tr>
      <w:tr w:rsidR="00806BEA" w:rsidRPr="004B2881" w:rsidTr="00806BEA">
        <w:trPr>
          <w:trHeight w:val="510"/>
          <w:jc w:val="center"/>
        </w:trPr>
        <w:tc>
          <w:tcPr>
            <w:tcW w:w="6240" w:type="dxa"/>
            <w:vAlign w:val="center"/>
          </w:tcPr>
          <w:p w:rsidR="00806BEA" w:rsidRPr="004B2881" w:rsidRDefault="00806BEA" w:rsidP="00556FC3">
            <w:pPr>
              <w:pStyle w:val="Tabletext"/>
              <w:rPr>
                <w:lang w:val="fr-FR"/>
              </w:rPr>
            </w:pPr>
            <w:r w:rsidRPr="004B2881">
              <w:rPr>
                <w:lang w:val="fr-FR"/>
              </w:rPr>
              <w:t xml:space="preserve">Fréquences du service fixe supérieures ou égales à 20 GHz </w:t>
            </w:r>
          </w:p>
        </w:tc>
        <w:tc>
          <w:tcPr>
            <w:tcW w:w="3336" w:type="dxa"/>
            <w:vAlign w:val="center"/>
          </w:tcPr>
          <w:p w:rsidR="00806BEA" w:rsidRPr="004B2881" w:rsidRDefault="00806BEA" w:rsidP="000B61AC">
            <w:pPr>
              <w:pStyle w:val="TableText0"/>
              <w:jc w:val="center"/>
              <w:rPr>
                <w:lang w:val="fr-FR"/>
              </w:rPr>
            </w:pPr>
            <w:r w:rsidRPr="004B2881">
              <w:rPr>
                <w:lang w:val="fr-FR"/>
              </w:rPr>
              <w:t>1 000</w:t>
            </w:r>
          </w:p>
        </w:tc>
      </w:tr>
      <w:tr w:rsidR="00806BEA" w:rsidRPr="004B2881" w:rsidTr="00806BEA">
        <w:trPr>
          <w:trHeight w:val="510"/>
          <w:jc w:val="center"/>
        </w:trPr>
        <w:tc>
          <w:tcPr>
            <w:tcW w:w="6240" w:type="dxa"/>
            <w:vAlign w:val="center"/>
          </w:tcPr>
          <w:p w:rsidR="00806BEA" w:rsidRPr="004B2881" w:rsidRDefault="00806BEA" w:rsidP="00556FC3">
            <w:pPr>
              <w:pStyle w:val="Tabletext"/>
              <w:rPr>
                <w:lang w:val="fr-FR"/>
              </w:rPr>
            </w:pPr>
            <w:r w:rsidRPr="004B2881">
              <w:rPr>
                <w:lang w:val="fr-FR"/>
              </w:rPr>
              <w:t>Fréquences du service mobile par satellite</w:t>
            </w:r>
          </w:p>
        </w:tc>
        <w:tc>
          <w:tcPr>
            <w:tcW w:w="3336" w:type="dxa"/>
            <w:vAlign w:val="center"/>
          </w:tcPr>
          <w:p w:rsidR="00806BEA" w:rsidRPr="004B2881" w:rsidRDefault="00806BEA" w:rsidP="000B61AC">
            <w:pPr>
              <w:pStyle w:val="TableText0"/>
              <w:jc w:val="center"/>
              <w:rPr>
                <w:lang w:val="fr-FR"/>
              </w:rPr>
            </w:pPr>
            <w:r w:rsidRPr="004B2881">
              <w:rPr>
                <w:lang w:val="fr-FR"/>
              </w:rPr>
              <w:t>30</w:t>
            </w:r>
          </w:p>
        </w:tc>
      </w:tr>
      <w:tr w:rsidR="00806BEA" w:rsidRPr="004B2881" w:rsidTr="00806BEA">
        <w:trPr>
          <w:trHeight w:val="510"/>
          <w:jc w:val="center"/>
        </w:trPr>
        <w:tc>
          <w:tcPr>
            <w:tcW w:w="6240" w:type="dxa"/>
            <w:vAlign w:val="center"/>
          </w:tcPr>
          <w:p w:rsidR="00806BEA" w:rsidRPr="004B2881" w:rsidRDefault="00806BEA" w:rsidP="00556FC3">
            <w:pPr>
              <w:pStyle w:val="Tabletext"/>
              <w:rPr>
                <w:lang w:val="fr-FR"/>
              </w:rPr>
            </w:pPr>
            <w:r w:rsidRPr="004B2881">
              <w:rPr>
                <w:lang w:val="fr-FR"/>
              </w:rPr>
              <w:t xml:space="preserve">Fréquences du service fixe par satellite </w:t>
            </w:r>
          </w:p>
        </w:tc>
        <w:tc>
          <w:tcPr>
            <w:tcW w:w="3336" w:type="dxa"/>
            <w:vAlign w:val="center"/>
          </w:tcPr>
          <w:p w:rsidR="00806BEA" w:rsidRPr="004B2881" w:rsidRDefault="00074E1B" w:rsidP="000B61AC">
            <w:pPr>
              <w:pStyle w:val="TableText0"/>
              <w:jc w:val="center"/>
              <w:rPr>
                <w:lang w:val="fr-FR"/>
              </w:rPr>
            </w:pPr>
            <w:r w:rsidRPr="004B2881">
              <w:rPr>
                <w:lang w:val="fr-FR"/>
              </w:rPr>
              <w:t>2,</w:t>
            </w:r>
            <w:r w:rsidR="00806BEA" w:rsidRPr="004B2881">
              <w:rPr>
                <w:lang w:val="fr-FR"/>
              </w:rPr>
              <w:t>5</w:t>
            </w:r>
          </w:p>
        </w:tc>
      </w:tr>
    </w:tbl>
    <w:p w:rsidR="005D3DF4" w:rsidRPr="004B2881" w:rsidRDefault="005D3DF4" w:rsidP="00B46CB9">
      <w:pPr>
        <w:pStyle w:val="FigureSource"/>
        <w:rPr>
          <w:lang w:val="fr-FR"/>
        </w:rPr>
      </w:pPr>
    </w:p>
    <w:p w:rsidR="00996B72" w:rsidRPr="004B2881" w:rsidRDefault="00996B72" w:rsidP="00996B72">
      <w:pPr>
        <w:rPr>
          <w:lang w:val="fr-FR"/>
        </w:rPr>
      </w:pPr>
    </w:p>
    <w:p w:rsidR="00724CAD" w:rsidRPr="004B2881" w:rsidRDefault="00724CAD">
      <w:pPr>
        <w:tabs>
          <w:tab w:val="clear" w:pos="794"/>
          <w:tab w:val="clear" w:pos="1191"/>
          <w:tab w:val="clear" w:pos="1588"/>
          <w:tab w:val="clear" w:pos="1985"/>
        </w:tabs>
        <w:overflowPunct/>
        <w:autoSpaceDE/>
        <w:autoSpaceDN/>
        <w:adjustRightInd/>
        <w:spacing w:before="0"/>
        <w:jc w:val="left"/>
        <w:textAlignment w:val="auto"/>
        <w:rPr>
          <w:b/>
          <w:sz w:val="24"/>
          <w:szCs w:val="24"/>
          <w:lang w:val="fr-FR"/>
        </w:rPr>
      </w:pPr>
      <w:r w:rsidRPr="004B2881">
        <w:rPr>
          <w:b/>
          <w:sz w:val="24"/>
          <w:szCs w:val="24"/>
          <w:lang w:val="fr-FR"/>
        </w:rPr>
        <w:br w:type="page"/>
      </w:r>
    </w:p>
    <w:p w:rsidR="00724CAD" w:rsidRPr="004B2881" w:rsidRDefault="00B149EC" w:rsidP="00B149EC">
      <w:pPr>
        <w:pStyle w:val="AnnexNotitle"/>
        <w:rPr>
          <w:lang w:val="fr-FR"/>
        </w:rPr>
      </w:pPr>
      <w:bookmarkStart w:id="96" w:name="_Toc278266929"/>
      <w:bookmarkStart w:id="97" w:name="_Toc284414133"/>
      <w:bookmarkStart w:id="98" w:name="_Toc286314877"/>
      <w:r w:rsidRPr="004B2881">
        <w:rPr>
          <w:lang w:val="fr-FR"/>
        </w:rPr>
        <w:lastRenderedPageBreak/>
        <w:t>Annexe 3</w:t>
      </w:r>
      <w:r w:rsidRPr="004B2881">
        <w:rPr>
          <w:lang w:val="fr-FR"/>
        </w:rPr>
        <w:br/>
      </w:r>
      <w:r w:rsidRPr="004B2881">
        <w:rPr>
          <w:lang w:val="fr-FR"/>
        </w:rPr>
        <w:br/>
        <w:t>Exemple de tableau donnant la valeur du c</w:t>
      </w:r>
      <w:r w:rsidR="00C95B09" w:rsidRPr="004B2881">
        <w:rPr>
          <w:lang w:val="fr-FR"/>
        </w:rPr>
        <w:t>oe</w:t>
      </w:r>
      <w:r w:rsidRPr="004B2881">
        <w:rPr>
          <w:lang w:val="fr-FR"/>
        </w:rPr>
        <w:t xml:space="preserve">fficient «c» </w:t>
      </w:r>
      <w:r w:rsidRPr="004B2881">
        <w:rPr>
          <w:lang w:val="fr-FR"/>
        </w:rPr>
        <w:br/>
        <w:t>en fonction de l'aire de la surface d'attribution</w:t>
      </w:r>
      <w:bookmarkEnd w:id="96"/>
      <w:bookmarkEnd w:id="97"/>
      <w:bookmarkEnd w:id="98"/>
    </w:p>
    <w:p w:rsidR="009301CE" w:rsidRPr="004B2881" w:rsidRDefault="009301CE" w:rsidP="009301CE">
      <w:pPr>
        <w:pStyle w:val="Normalaftertitle"/>
        <w:rPr>
          <w:lang w:val="fr-FR"/>
        </w:rPr>
      </w:pPr>
    </w:p>
    <w:p w:rsidR="00724CAD" w:rsidRPr="004B2881" w:rsidRDefault="00724CAD" w:rsidP="009301CE">
      <w:pPr>
        <w:pStyle w:val="FigureTitle"/>
        <w:rPr>
          <w:lang w:val="fr-FR"/>
        </w:rPr>
      </w:pPr>
    </w:p>
    <w:tbl>
      <w:tblPr>
        <w:tblW w:w="0" w:type="auto"/>
        <w:tblInd w:w="588" w:type="dxa"/>
        <w:tblLayout w:type="fixed"/>
        <w:tblLook w:val="0000"/>
      </w:tblPr>
      <w:tblGrid>
        <w:gridCol w:w="6269"/>
        <w:gridCol w:w="2366"/>
      </w:tblGrid>
      <w:tr w:rsidR="00EA0F32" w:rsidRPr="004B2881" w:rsidTr="00556FC3">
        <w:tc>
          <w:tcPr>
            <w:tcW w:w="6269" w:type="dxa"/>
            <w:tcBorders>
              <w:top w:val="single" w:sz="4" w:space="0" w:color="000000"/>
              <w:left w:val="single" w:sz="4" w:space="0" w:color="000000"/>
              <w:bottom w:val="single" w:sz="4" w:space="0" w:color="000000"/>
            </w:tcBorders>
          </w:tcPr>
          <w:p w:rsidR="00EA0F32" w:rsidRPr="004B2881" w:rsidRDefault="00EA0F32" w:rsidP="00EA0F32">
            <w:pPr>
              <w:spacing w:after="120"/>
              <w:jc w:val="center"/>
              <w:rPr>
                <w:b/>
                <w:bCs/>
                <w:szCs w:val="24"/>
                <w:lang w:val="fr-FR"/>
              </w:rPr>
            </w:pPr>
            <w:r w:rsidRPr="004B2881">
              <w:rPr>
                <w:b/>
                <w:bCs/>
                <w:szCs w:val="24"/>
                <w:lang w:val="fr-FR"/>
              </w:rPr>
              <w:t>Aire de la surface d'attribution</w:t>
            </w:r>
            <w:r w:rsidRPr="004B2881">
              <w:rPr>
                <w:b/>
                <w:bCs/>
                <w:szCs w:val="24"/>
                <w:lang w:val="fr-FR"/>
              </w:rPr>
              <w:br/>
              <w:t>ou somme des aires des surfaces d'attribution</w:t>
            </w:r>
          </w:p>
        </w:tc>
        <w:tc>
          <w:tcPr>
            <w:tcW w:w="2366" w:type="dxa"/>
            <w:tcBorders>
              <w:top w:val="single" w:sz="4" w:space="0" w:color="000000"/>
              <w:left w:val="single" w:sz="4" w:space="0" w:color="000000"/>
              <w:bottom w:val="single" w:sz="4" w:space="0" w:color="000000"/>
              <w:right w:val="single" w:sz="4" w:space="0" w:color="000000"/>
            </w:tcBorders>
          </w:tcPr>
          <w:p w:rsidR="00EA0F32" w:rsidRPr="004B2881" w:rsidRDefault="00EA0F32" w:rsidP="00EA0F32">
            <w:pPr>
              <w:spacing w:after="120"/>
              <w:jc w:val="center"/>
              <w:rPr>
                <w:b/>
                <w:bCs/>
                <w:szCs w:val="24"/>
                <w:lang w:val="fr-FR"/>
              </w:rPr>
            </w:pPr>
            <w:r w:rsidRPr="004B2881">
              <w:rPr>
                <w:b/>
                <w:bCs/>
                <w:szCs w:val="24"/>
                <w:lang w:val="fr-FR"/>
              </w:rPr>
              <w:t>Valeur du c</w:t>
            </w:r>
            <w:r w:rsidR="00C95B09" w:rsidRPr="004B2881">
              <w:rPr>
                <w:b/>
                <w:bCs/>
                <w:szCs w:val="24"/>
                <w:lang w:val="fr-FR"/>
              </w:rPr>
              <w:t>oe</w:t>
            </w:r>
            <w:r w:rsidRPr="004B2881">
              <w:rPr>
                <w:b/>
                <w:bCs/>
                <w:szCs w:val="24"/>
                <w:lang w:val="fr-FR"/>
              </w:rPr>
              <w:t>fficient</w:t>
            </w:r>
            <w:r w:rsidRPr="004B2881">
              <w:rPr>
                <w:b/>
                <w:bCs/>
                <w:szCs w:val="24"/>
                <w:lang w:val="fr-FR"/>
              </w:rPr>
              <w:br/>
              <w:t>«c»</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Supérieure à 300 000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B3542E" w:rsidP="00E671B3">
            <w:pPr>
              <w:pStyle w:val="TableText0"/>
              <w:jc w:val="center"/>
              <w:rPr>
                <w:lang w:val="fr-FR"/>
              </w:rPr>
            </w:pPr>
            <w:r w:rsidRPr="004B2881">
              <w:rPr>
                <w:lang w:val="fr-FR"/>
              </w:rPr>
              <w:t>1</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Supérieure à 125 000 km</w:t>
            </w:r>
            <w:r w:rsidRPr="004B2881">
              <w:rPr>
                <w:szCs w:val="24"/>
                <w:vertAlign w:val="superscript"/>
                <w:lang w:val="fr-FR"/>
              </w:rPr>
              <w:t>2</w:t>
            </w:r>
            <w:r w:rsidRPr="004B2881">
              <w:rPr>
                <w:szCs w:val="24"/>
                <w:lang w:val="fr-FR"/>
              </w:rPr>
              <w:t xml:space="preserve"> et inférieure ou égale à 300 000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0B5B9C" w:rsidP="00E671B3">
            <w:pPr>
              <w:pStyle w:val="TableText0"/>
              <w:jc w:val="center"/>
              <w:rPr>
                <w:lang w:val="fr-FR"/>
              </w:rPr>
            </w:pPr>
            <w:r w:rsidRPr="004B2881">
              <w:rPr>
                <w:lang w:val="fr-FR"/>
              </w:rPr>
              <w:t>0,</w:t>
            </w:r>
            <w:r w:rsidR="00B3542E" w:rsidRPr="004B2881">
              <w:rPr>
                <w:lang w:val="fr-FR"/>
              </w:rPr>
              <w:t>75</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Supérieure à 30 000 km</w:t>
            </w:r>
            <w:r w:rsidRPr="004B2881">
              <w:rPr>
                <w:szCs w:val="24"/>
                <w:vertAlign w:val="superscript"/>
                <w:lang w:val="fr-FR"/>
              </w:rPr>
              <w:t>2</w:t>
            </w:r>
            <w:r w:rsidRPr="004B2881">
              <w:rPr>
                <w:szCs w:val="24"/>
                <w:lang w:val="fr-FR"/>
              </w:rPr>
              <w:t xml:space="preserve"> et inférieure ou égale à 125 000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B3542E" w:rsidP="000B5B9C">
            <w:pPr>
              <w:pStyle w:val="TableText0"/>
              <w:jc w:val="center"/>
              <w:rPr>
                <w:lang w:val="fr-FR"/>
              </w:rPr>
            </w:pPr>
            <w:r w:rsidRPr="004B2881">
              <w:rPr>
                <w:lang w:val="fr-FR"/>
              </w:rPr>
              <w:t>0</w:t>
            </w:r>
            <w:r w:rsidR="000B5B9C" w:rsidRPr="004B2881">
              <w:rPr>
                <w:lang w:val="fr-FR"/>
              </w:rPr>
              <w:t>,</w:t>
            </w:r>
            <w:r w:rsidRPr="004B2881">
              <w:rPr>
                <w:lang w:val="fr-FR"/>
              </w:rPr>
              <w:t>5</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Supérieure à 8 000 km</w:t>
            </w:r>
            <w:r w:rsidRPr="004B2881">
              <w:rPr>
                <w:szCs w:val="24"/>
                <w:vertAlign w:val="superscript"/>
                <w:lang w:val="fr-FR"/>
              </w:rPr>
              <w:t>2</w:t>
            </w:r>
            <w:r w:rsidRPr="004B2881">
              <w:rPr>
                <w:szCs w:val="24"/>
                <w:lang w:val="fr-FR"/>
              </w:rPr>
              <w:t xml:space="preserve"> et inférieure ou égale à 30 000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0B5B9C" w:rsidP="00E671B3">
            <w:pPr>
              <w:pStyle w:val="TableText0"/>
              <w:jc w:val="center"/>
              <w:rPr>
                <w:lang w:val="fr-FR"/>
              </w:rPr>
            </w:pPr>
            <w:r w:rsidRPr="004B2881">
              <w:rPr>
                <w:lang w:val="fr-FR"/>
              </w:rPr>
              <w:t>0,</w:t>
            </w:r>
            <w:r w:rsidR="00B3542E" w:rsidRPr="004B2881">
              <w:rPr>
                <w:lang w:val="fr-FR"/>
              </w:rPr>
              <w:t>25</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Supérieure à 800 km</w:t>
            </w:r>
            <w:r w:rsidRPr="004B2881">
              <w:rPr>
                <w:szCs w:val="24"/>
                <w:vertAlign w:val="superscript"/>
                <w:lang w:val="fr-FR"/>
              </w:rPr>
              <w:t>2</w:t>
            </w:r>
            <w:r w:rsidRPr="004B2881">
              <w:rPr>
                <w:szCs w:val="24"/>
                <w:lang w:val="fr-FR"/>
              </w:rPr>
              <w:t xml:space="preserve"> et inférieure ou égale à 8 000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B3542E" w:rsidP="000B5B9C">
            <w:pPr>
              <w:pStyle w:val="TableText0"/>
              <w:jc w:val="center"/>
              <w:rPr>
                <w:lang w:val="fr-FR"/>
              </w:rPr>
            </w:pPr>
            <w:r w:rsidRPr="004B2881">
              <w:rPr>
                <w:lang w:val="fr-FR"/>
              </w:rPr>
              <w:t>0</w:t>
            </w:r>
            <w:r w:rsidR="000B5B9C" w:rsidRPr="004B2881">
              <w:rPr>
                <w:lang w:val="fr-FR"/>
              </w:rPr>
              <w:t>,</w:t>
            </w:r>
            <w:r w:rsidRPr="004B2881">
              <w:rPr>
                <w:lang w:val="fr-FR"/>
              </w:rPr>
              <w:t>1</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Supérieure à 80 km</w:t>
            </w:r>
            <w:r w:rsidRPr="004B2881">
              <w:rPr>
                <w:szCs w:val="24"/>
                <w:vertAlign w:val="superscript"/>
                <w:lang w:val="fr-FR"/>
              </w:rPr>
              <w:t>2</w:t>
            </w:r>
            <w:r w:rsidRPr="004B2881">
              <w:rPr>
                <w:szCs w:val="24"/>
                <w:lang w:val="fr-FR"/>
              </w:rPr>
              <w:t xml:space="preserve"> et inférieure ou égale à 800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B3542E" w:rsidP="000B5B9C">
            <w:pPr>
              <w:pStyle w:val="TableText0"/>
              <w:jc w:val="center"/>
              <w:rPr>
                <w:lang w:val="fr-FR"/>
              </w:rPr>
            </w:pPr>
            <w:r w:rsidRPr="004B2881">
              <w:rPr>
                <w:lang w:val="fr-FR"/>
              </w:rPr>
              <w:t>0</w:t>
            </w:r>
            <w:r w:rsidR="000B5B9C" w:rsidRPr="004B2881">
              <w:rPr>
                <w:lang w:val="fr-FR"/>
              </w:rPr>
              <w:t>,</w:t>
            </w:r>
            <w:r w:rsidRPr="004B2881">
              <w:rPr>
                <w:lang w:val="fr-FR"/>
              </w:rPr>
              <w:t>03</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Supérieure à 20 km</w:t>
            </w:r>
            <w:r w:rsidRPr="004B2881">
              <w:rPr>
                <w:szCs w:val="24"/>
                <w:vertAlign w:val="superscript"/>
                <w:lang w:val="fr-FR"/>
              </w:rPr>
              <w:t>2</w:t>
            </w:r>
            <w:r w:rsidRPr="004B2881">
              <w:rPr>
                <w:szCs w:val="24"/>
                <w:lang w:val="fr-FR"/>
              </w:rPr>
              <w:t xml:space="preserve"> et inférieure ou égale à 80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0B5B9C" w:rsidP="00E671B3">
            <w:pPr>
              <w:pStyle w:val="TableText0"/>
              <w:jc w:val="center"/>
              <w:rPr>
                <w:lang w:val="fr-FR"/>
              </w:rPr>
            </w:pPr>
            <w:r w:rsidRPr="004B2881">
              <w:rPr>
                <w:lang w:val="fr-FR"/>
              </w:rPr>
              <w:t>0,</w:t>
            </w:r>
            <w:r w:rsidR="00B3542E" w:rsidRPr="004B2881">
              <w:rPr>
                <w:lang w:val="fr-FR"/>
              </w:rPr>
              <w:t>01</w:t>
            </w:r>
          </w:p>
        </w:tc>
      </w:tr>
      <w:tr w:rsidR="00B3542E" w:rsidRPr="004B2881" w:rsidTr="00B3542E">
        <w:trPr>
          <w:trHeight w:val="510"/>
        </w:trPr>
        <w:tc>
          <w:tcPr>
            <w:tcW w:w="6269" w:type="dxa"/>
            <w:tcBorders>
              <w:top w:val="single" w:sz="4" w:space="0" w:color="000000"/>
              <w:left w:val="single" w:sz="4" w:space="0" w:color="000000"/>
              <w:bottom w:val="single" w:sz="4" w:space="0" w:color="000000"/>
            </w:tcBorders>
            <w:vAlign w:val="center"/>
          </w:tcPr>
          <w:p w:rsidR="00B3542E" w:rsidRPr="004B2881" w:rsidRDefault="00B3542E" w:rsidP="00B3542E">
            <w:pPr>
              <w:snapToGrid w:val="0"/>
              <w:spacing w:before="40" w:after="40"/>
              <w:rPr>
                <w:szCs w:val="24"/>
                <w:vertAlign w:val="superscript"/>
                <w:lang w:val="fr-FR"/>
              </w:rPr>
            </w:pPr>
            <w:r w:rsidRPr="004B2881">
              <w:rPr>
                <w:szCs w:val="24"/>
                <w:lang w:val="fr-FR"/>
              </w:rPr>
              <w:t>Inférieure ou égale à 20 km</w:t>
            </w:r>
            <w:r w:rsidRPr="004B2881">
              <w:rPr>
                <w:szCs w:val="24"/>
                <w:vertAlign w:val="superscript"/>
                <w:lang w:val="fr-FR"/>
              </w:rPr>
              <w:t>2</w:t>
            </w:r>
          </w:p>
        </w:tc>
        <w:tc>
          <w:tcPr>
            <w:tcW w:w="2366" w:type="dxa"/>
            <w:tcBorders>
              <w:top w:val="single" w:sz="4" w:space="0" w:color="000000"/>
              <w:left w:val="single" w:sz="4" w:space="0" w:color="000000"/>
              <w:bottom w:val="single" w:sz="4" w:space="0" w:color="000000"/>
              <w:right w:val="single" w:sz="4" w:space="0" w:color="000000"/>
            </w:tcBorders>
            <w:vAlign w:val="center"/>
          </w:tcPr>
          <w:p w:rsidR="00B3542E" w:rsidRPr="004B2881" w:rsidRDefault="000B5B9C" w:rsidP="00E671B3">
            <w:pPr>
              <w:pStyle w:val="TableText0"/>
              <w:jc w:val="center"/>
              <w:rPr>
                <w:lang w:val="fr-FR"/>
              </w:rPr>
            </w:pPr>
            <w:r w:rsidRPr="004B2881">
              <w:rPr>
                <w:lang w:val="fr-FR"/>
              </w:rPr>
              <w:t>0,</w:t>
            </w:r>
            <w:r w:rsidR="00B3542E" w:rsidRPr="004B2881">
              <w:rPr>
                <w:lang w:val="fr-FR"/>
              </w:rPr>
              <w:t>005</w:t>
            </w:r>
          </w:p>
        </w:tc>
      </w:tr>
    </w:tbl>
    <w:p w:rsidR="00724CAD" w:rsidRPr="004B2881" w:rsidRDefault="00724CAD" w:rsidP="009301CE">
      <w:pPr>
        <w:pStyle w:val="FigureSource"/>
        <w:rPr>
          <w:lang w:val="fr-FR"/>
        </w:rPr>
      </w:pPr>
    </w:p>
    <w:p w:rsidR="00B533E9" w:rsidRPr="004B2881" w:rsidRDefault="00B533E9" w:rsidP="00996B72">
      <w:pPr>
        <w:rPr>
          <w:lang w:val="fr-FR"/>
        </w:rPr>
      </w:pPr>
    </w:p>
    <w:p w:rsidR="00BA7D6D" w:rsidRPr="004B2881" w:rsidRDefault="00BA7D6D">
      <w:pPr>
        <w:tabs>
          <w:tab w:val="clear" w:pos="794"/>
          <w:tab w:val="clear" w:pos="1191"/>
          <w:tab w:val="clear" w:pos="1588"/>
          <w:tab w:val="clear" w:pos="1985"/>
        </w:tabs>
        <w:overflowPunct/>
        <w:autoSpaceDE/>
        <w:autoSpaceDN/>
        <w:adjustRightInd/>
        <w:spacing w:before="0"/>
        <w:jc w:val="left"/>
        <w:textAlignment w:val="auto"/>
        <w:rPr>
          <w:b/>
          <w:sz w:val="24"/>
          <w:szCs w:val="24"/>
          <w:lang w:val="fr-FR"/>
        </w:rPr>
      </w:pPr>
      <w:r w:rsidRPr="004B2881">
        <w:rPr>
          <w:b/>
          <w:sz w:val="24"/>
          <w:szCs w:val="24"/>
          <w:lang w:val="fr-FR"/>
        </w:rPr>
        <w:br w:type="page"/>
      </w:r>
    </w:p>
    <w:p w:rsidR="00BA7D6D" w:rsidRPr="004B2881" w:rsidRDefault="00B36671" w:rsidP="00B36671">
      <w:pPr>
        <w:pStyle w:val="AnnexNotitle"/>
        <w:rPr>
          <w:lang w:val="fr-FR"/>
        </w:rPr>
      </w:pPr>
      <w:bookmarkStart w:id="99" w:name="_Toc278266930"/>
      <w:bookmarkStart w:id="100" w:name="_Toc284414134"/>
      <w:bookmarkStart w:id="101" w:name="_Toc286314878"/>
      <w:r w:rsidRPr="004B2881">
        <w:rPr>
          <w:lang w:val="fr-FR"/>
        </w:rPr>
        <w:lastRenderedPageBreak/>
        <w:t>Annexe 4</w:t>
      </w:r>
      <w:r w:rsidRPr="004B2881">
        <w:rPr>
          <w:lang w:val="fr-FR"/>
        </w:rPr>
        <w:br/>
      </w:r>
      <w:r w:rsidRPr="004B2881">
        <w:rPr>
          <w:lang w:val="fr-FR"/>
        </w:rPr>
        <w:br/>
        <w:t xml:space="preserve">Eléments susceptibles d'être pris en compte pour une comparaison </w:t>
      </w:r>
      <w:r w:rsidRPr="004B2881">
        <w:rPr>
          <w:lang w:val="fr-FR"/>
        </w:rPr>
        <w:br/>
        <w:t>internationale des montants de redevances</w:t>
      </w:r>
      <w:bookmarkEnd w:id="99"/>
      <w:bookmarkEnd w:id="100"/>
      <w:bookmarkEnd w:id="101"/>
    </w:p>
    <w:p w:rsidR="00B14A2B" w:rsidRPr="004B2881" w:rsidRDefault="00B14A2B" w:rsidP="00B14A2B">
      <w:pPr>
        <w:rPr>
          <w:lang w:val="fr-FR"/>
        </w:rPr>
      </w:pPr>
    </w:p>
    <w:p w:rsidR="00BA7D6D" w:rsidRPr="004B2881" w:rsidRDefault="00BA7D6D" w:rsidP="00B14A2B">
      <w:pPr>
        <w:pStyle w:val="Heading1"/>
        <w:rPr>
          <w:lang w:val="fr-FR"/>
        </w:rPr>
      </w:pPr>
      <w:bookmarkStart w:id="102" w:name="_Toc280260003"/>
      <w:bookmarkStart w:id="103" w:name="_Toc280260868"/>
      <w:bookmarkStart w:id="104" w:name="_Toc280272464"/>
      <w:bookmarkStart w:id="105" w:name="_Toc284414135"/>
      <w:bookmarkStart w:id="106" w:name="_Toc286314879"/>
      <w:r w:rsidRPr="004B2881">
        <w:rPr>
          <w:lang w:val="fr-FR"/>
        </w:rPr>
        <w:t>1</w:t>
      </w:r>
      <w:r w:rsidRPr="004B2881">
        <w:rPr>
          <w:lang w:val="fr-FR"/>
        </w:rPr>
        <w:tab/>
        <w:t>Introduction</w:t>
      </w:r>
      <w:bookmarkEnd w:id="102"/>
      <w:bookmarkEnd w:id="103"/>
      <w:bookmarkEnd w:id="104"/>
      <w:bookmarkEnd w:id="105"/>
      <w:bookmarkEnd w:id="106"/>
    </w:p>
    <w:p w:rsidR="007C6239" w:rsidRPr="004B2881" w:rsidRDefault="007C6239" w:rsidP="00F554B4">
      <w:pPr>
        <w:rPr>
          <w:lang w:val="fr-FR"/>
        </w:rPr>
      </w:pPr>
      <w:r w:rsidRPr="004B2881">
        <w:rPr>
          <w:lang w:val="fr-FR"/>
        </w:rPr>
        <w:t xml:space="preserve">On trouve dans la base de données </w:t>
      </w:r>
      <w:r w:rsidRPr="004B2881">
        <w:rPr>
          <w:i/>
          <w:lang w:val="fr-FR"/>
        </w:rPr>
        <w:t>Spectrum Fees</w:t>
      </w:r>
      <w:r w:rsidRPr="004B2881">
        <w:rPr>
          <w:lang w:val="fr-FR"/>
        </w:rPr>
        <w:t xml:space="preserve"> des montants de redevances appliquées dans un certain nombre de pays. Dès lors la question suivante se pose: quels montants retenir et peut-on les utiliser directement sans les modif</w:t>
      </w:r>
      <w:r w:rsidR="00F554B4" w:rsidRPr="004B2881">
        <w:rPr>
          <w:lang w:val="fr-FR"/>
        </w:rPr>
        <w:t>ier ou bien faut-il effectuer, «</w:t>
      </w:r>
      <w:r w:rsidRPr="004B2881">
        <w:rPr>
          <w:lang w:val="fr-FR"/>
        </w:rPr>
        <w:t>toutes choses égales par ailleurs</w:t>
      </w:r>
      <w:r w:rsidR="00F554B4" w:rsidRPr="004B2881">
        <w:rPr>
          <w:lang w:val="fr-FR"/>
        </w:rPr>
        <w:t>»</w:t>
      </w:r>
      <w:r w:rsidRPr="004B2881">
        <w:rPr>
          <w:lang w:val="fr-FR"/>
        </w:rPr>
        <w:t xml:space="preserve">, une transposition de ces </w:t>
      </w:r>
      <w:r w:rsidR="002A063F" w:rsidRPr="004B2881">
        <w:rPr>
          <w:lang w:val="fr-FR"/>
        </w:rPr>
        <w:t>montants avant de les appliquer</w:t>
      </w:r>
      <w:r w:rsidRPr="004B2881">
        <w:rPr>
          <w:lang w:val="fr-FR"/>
        </w:rPr>
        <w:t>?</w:t>
      </w:r>
    </w:p>
    <w:p w:rsidR="007C6239" w:rsidRPr="004B2881" w:rsidRDefault="007C6239" w:rsidP="007C6239">
      <w:pPr>
        <w:rPr>
          <w:lang w:val="fr-FR"/>
        </w:rPr>
      </w:pPr>
      <w:r w:rsidRPr="004B2881">
        <w:rPr>
          <w:lang w:val="fr-FR"/>
        </w:rPr>
        <w:t>Pour répondre à cette question, il est proposé ici de montrer qu'une analyse des conditions économiques d'exploitation des licences est nécessaire et, à partir de cette analyse, d'établir une liste (non exhaustive) d'éléments susceptibles d'être pris en compte lorsqu'on veut transposer les montants des redevances, appliqués par un des pays mentionnés dans la base de données, dans un autre pays.</w:t>
      </w:r>
    </w:p>
    <w:p w:rsidR="007C6239" w:rsidRPr="004B2881" w:rsidRDefault="007C6239" w:rsidP="007C6239">
      <w:pPr>
        <w:rPr>
          <w:lang w:val="fr-FR"/>
        </w:rPr>
      </w:pPr>
      <w:r w:rsidRPr="004B2881">
        <w:rPr>
          <w:lang w:val="fr-FR"/>
        </w:rPr>
        <w:t>On n'examinera que le cas des redevances fixées administrativement et applicables aux opérateurs de télécommunications qui ont reçu une autorisation d'utilisation des fréquences (licence).</w:t>
      </w:r>
    </w:p>
    <w:p w:rsidR="007C6239" w:rsidRPr="004B2881" w:rsidRDefault="007C6239" w:rsidP="007C6239">
      <w:pPr>
        <w:rPr>
          <w:lang w:val="fr-FR"/>
        </w:rPr>
      </w:pPr>
      <w:r w:rsidRPr="004B2881">
        <w:rPr>
          <w:lang w:val="fr-FR"/>
        </w:rPr>
        <w:t>Parmi les éléments précités, certains d'entre eux pourront être retenus afin de servir de critères pour comparer les conditions économiques d'exploitation des licences dans les pays considérés. Cette comparaison devrait permettre aux administrations concernées de dégager des modalités de transposition sur une base économique.</w:t>
      </w:r>
    </w:p>
    <w:p w:rsidR="00AB23C7" w:rsidRPr="004B2881" w:rsidRDefault="00AB23C7" w:rsidP="00AB23C7">
      <w:pPr>
        <w:pStyle w:val="Heading1"/>
        <w:rPr>
          <w:lang w:val="fr-FR"/>
        </w:rPr>
      </w:pPr>
      <w:bookmarkStart w:id="107" w:name="_Toc278266932"/>
      <w:bookmarkStart w:id="108" w:name="_Toc284414136"/>
      <w:bookmarkStart w:id="109" w:name="_Toc286314880"/>
      <w:bookmarkStart w:id="110" w:name="_Toc280260004"/>
      <w:bookmarkStart w:id="111" w:name="_Toc280260869"/>
      <w:bookmarkStart w:id="112" w:name="_Toc280272465"/>
      <w:r w:rsidRPr="004B2881">
        <w:rPr>
          <w:lang w:val="fr-FR"/>
        </w:rPr>
        <w:t>2</w:t>
      </w:r>
      <w:r w:rsidRPr="004B2881">
        <w:rPr>
          <w:lang w:val="fr-FR"/>
        </w:rPr>
        <w:tab/>
        <w:t>Fondement et impact économique des redevances</w:t>
      </w:r>
      <w:bookmarkEnd w:id="107"/>
      <w:bookmarkEnd w:id="108"/>
      <w:bookmarkEnd w:id="109"/>
    </w:p>
    <w:bookmarkEnd w:id="110"/>
    <w:bookmarkEnd w:id="111"/>
    <w:bookmarkEnd w:id="112"/>
    <w:p w:rsidR="00F554B4" w:rsidRPr="004B2881" w:rsidRDefault="00F554B4" w:rsidP="00F554B4">
      <w:pPr>
        <w:rPr>
          <w:lang w:val="fr-FR"/>
        </w:rPr>
      </w:pPr>
      <w:r w:rsidRPr="004B2881">
        <w:rPr>
          <w:lang w:val="fr-FR"/>
        </w:rPr>
        <w:t>Dans la plupart des pays, le spectre hertzien appartient au domaine public de l'Etat et son utilisation à des fins commerciales constitue une occupation privative de ce domaine.</w:t>
      </w:r>
    </w:p>
    <w:p w:rsidR="00F554B4" w:rsidRPr="004B2881" w:rsidRDefault="00F554B4" w:rsidP="00F554B4">
      <w:pPr>
        <w:rPr>
          <w:lang w:val="fr-FR"/>
        </w:rPr>
      </w:pPr>
      <w:r w:rsidRPr="004B2881">
        <w:rPr>
          <w:lang w:val="fr-FR"/>
        </w:rPr>
        <w:t>Une telle occupation est donc normalement assujettie au paiement:</w:t>
      </w:r>
    </w:p>
    <w:p w:rsidR="00F554B4" w:rsidRPr="004B2881" w:rsidRDefault="00F554B4" w:rsidP="00F554B4">
      <w:pPr>
        <w:pStyle w:val="enumlev1"/>
        <w:rPr>
          <w:lang w:val="fr-FR"/>
        </w:rPr>
      </w:pPr>
      <w:r w:rsidRPr="004B2881">
        <w:rPr>
          <w:lang w:val="fr-FR"/>
        </w:rPr>
        <w:t>–</w:t>
      </w:r>
      <w:r w:rsidRPr="004B2881">
        <w:rPr>
          <w:lang w:val="fr-FR"/>
        </w:rPr>
        <w:tab/>
        <w:t>d'une part, d'une redevance de gestion qui doit permettre de couvrir les coûts administratifs de gestion (au sens large du terme, c'est-à-dire planification, gestion nationale et contrôle) du spectre,</w:t>
      </w:r>
    </w:p>
    <w:p w:rsidR="00F554B4" w:rsidRPr="004B2881" w:rsidRDefault="00F554B4" w:rsidP="00F554B4">
      <w:pPr>
        <w:pStyle w:val="enumlev1"/>
        <w:rPr>
          <w:lang w:val="fr-FR"/>
        </w:rPr>
      </w:pPr>
      <w:r w:rsidRPr="004B2881">
        <w:rPr>
          <w:lang w:val="fr-FR"/>
        </w:rPr>
        <w:t>–</w:t>
      </w:r>
      <w:r w:rsidRPr="004B2881">
        <w:rPr>
          <w:lang w:val="fr-FR"/>
        </w:rPr>
        <w:tab/>
        <w:t>d'autre part, d'une redevance de mise à disposition des fréquences qui doit être en rapport avec tous les avantages qu'en tire le bénéficiaire.</w:t>
      </w:r>
    </w:p>
    <w:p w:rsidR="00F554B4" w:rsidRPr="004B2881" w:rsidRDefault="00F554B4" w:rsidP="00F554B4">
      <w:pPr>
        <w:tabs>
          <w:tab w:val="left" w:pos="-1190"/>
          <w:tab w:val="left" w:pos="0"/>
        </w:tabs>
        <w:rPr>
          <w:szCs w:val="24"/>
          <w:lang w:val="fr-FR"/>
        </w:rPr>
      </w:pPr>
      <w:r w:rsidRPr="004B2881">
        <w:rPr>
          <w:szCs w:val="24"/>
          <w:lang w:val="fr-FR"/>
        </w:rPr>
        <w:t>Les avantages retirés par un opérateur de télécommunications de son occupation du spectre peuvent être évalués en considérant notamment son résultat net d'exploitation. Dans cette perspective, les redevances, liées à l'utilisation des fréquences et appliquées à un opérateur, devraient donc être en rapport avec son résultat net d'exploitation.</w:t>
      </w:r>
    </w:p>
    <w:p w:rsidR="00F554B4" w:rsidRPr="004B2881" w:rsidRDefault="00F554B4" w:rsidP="00F554B4">
      <w:pPr>
        <w:tabs>
          <w:tab w:val="left" w:pos="-1190"/>
          <w:tab w:val="left" w:pos="0"/>
        </w:tabs>
        <w:rPr>
          <w:szCs w:val="24"/>
          <w:lang w:val="fr-FR"/>
        </w:rPr>
      </w:pPr>
      <w:r w:rsidRPr="004B2881">
        <w:rPr>
          <w:szCs w:val="24"/>
          <w:lang w:val="fr-FR"/>
        </w:rPr>
        <w:t>D'un point de vue économique et comptable, les redevances d'utilisation des fréquences constituent une immobilisation et/ou une charge d'exploitation pour les opérateurs et réduisent ainsi d'autant leur résultat net d'exploitation.</w:t>
      </w:r>
    </w:p>
    <w:p w:rsidR="00BA7D6D" w:rsidRPr="004B2881" w:rsidRDefault="00F554B4" w:rsidP="00F554B4">
      <w:pPr>
        <w:tabs>
          <w:tab w:val="left" w:pos="-1190"/>
          <w:tab w:val="left" w:pos="0"/>
        </w:tabs>
        <w:rPr>
          <w:sz w:val="24"/>
          <w:szCs w:val="24"/>
          <w:lang w:val="fr-FR"/>
        </w:rPr>
      </w:pPr>
      <w:r w:rsidRPr="004B2881">
        <w:rPr>
          <w:szCs w:val="24"/>
          <w:lang w:val="fr-FR"/>
        </w:rPr>
        <w:t>C'est pourquoi, si l'application de redevances pour l'utilisation des fréquences est légitime, leurs montants ne doivent pas être trop élevés afin de ne pas décourager les initiatives et freiner le développement des nouveaux services. Dans tous les cas, le montant des redevances ne peut excéder la propension à payer des opérateurs.</w:t>
      </w:r>
    </w:p>
    <w:p w:rsidR="008771A5" w:rsidRPr="004B2881" w:rsidRDefault="008771A5" w:rsidP="008771A5">
      <w:pPr>
        <w:pStyle w:val="Heading1"/>
        <w:rPr>
          <w:lang w:val="fr-FR"/>
        </w:rPr>
      </w:pPr>
      <w:bookmarkStart w:id="113" w:name="_Toc278266933"/>
      <w:bookmarkStart w:id="114" w:name="_Toc284414137"/>
      <w:bookmarkStart w:id="115" w:name="_Toc286314881"/>
      <w:r w:rsidRPr="004B2881">
        <w:rPr>
          <w:lang w:val="fr-FR"/>
        </w:rPr>
        <w:t>3</w:t>
      </w:r>
      <w:r w:rsidRPr="004B2881">
        <w:rPr>
          <w:lang w:val="fr-FR"/>
        </w:rPr>
        <w:tab/>
        <w:t>Conditions économiques d'exploitation des licences</w:t>
      </w:r>
      <w:bookmarkEnd w:id="113"/>
      <w:bookmarkEnd w:id="114"/>
      <w:bookmarkEnd w:id="115"/>
    </w:p>
    <w:p w:rsidR="008771A5" w:rsidRPr="004B2881" w:rsidRDefault="008771A5" w:rsidP="008771A5">
      <w:pPr>
        <w:rPr>
          <w:lang w:val="fr-FR"/>
        </w:rPr>
      </w:pPr>
      <w:r w:rsidRPr="004B2881">
        <w:rPr>
          <w:lang w:val="fr-FR"/>
        </w:rPr>
        <w:t>Le résultat net d'exploitation d'un opérateur est constitué par la différence entre le prix de vente total des biens et services commercialisés (chiffre d'affaires) et le coût total pour acquérir ces biens et services (charges d'exploitation).</w:t>
      </w:r>
    </w:p>
    <w:p w:rsidR="008771A5" w:rsidRPr="004B2881" w:rsidRDefault="008771A5" w:rsidP="008771A5">
      <w:pPr>
        <w:rPr>
          <w:lang w:val="fr-FR"/>
        </w:rPr>
      </w:pPr>
      <w:r w:rsidRPr="004B2881">
        <w:rPr>
          <w:lang w:val="fr-FR"/>
        </w:rPr>
        <w:lastRenderedPageBreak/>
        <w:t>A l'évidence, les conditions économiques d'exploitation des licences ont un impact à la fois sur le chiffre d'affaires et sur les charges d'exploitation des opérateurs et conditionnent de ce fait leur résultat net d'exploitation.</w:t>
      </w:r>
    </w:p>
    <w:p w:rsidR="008771A5" w:rsidRPr="004B2881" w:rsidRDefault="008771A5" w:rsidP="008771A5">
      <w:pPr>
        <w:rPr>
          <w:lang w:val="fr-FR"/>
        </w:rPr>
      </w:pPr>
      <w:r w:rsidRPr="004B2881">
        <w:rPr>
          <w:lang w:val="fr-FR"/>
        </w:rPr>
        <w:t>Ainsi, plus les conditions d'exploitation sont favorables aux opérateurs, plus leur propension à payer des redevances est élevée et inversement.</w:t>
      </w:r>
    </w:p>
    <w:p w:rsidR="008771A5" w:rsidRPr="004B2881" w:rsidRDefault="008771A5" w:rsidP="008771A5">
      <w:pPr>
        <w:rPr>
          <w:lang w:val="fr-FR"/>
        </w:rPr>
      </w:pPr>
      <w:r w:rsidRPr="004B2881">
        <w:rPr>
          <w:lang w:val="fr-FR"/>
        </w:rPr>
        <w:t>Il est donc nécessaire d'analyser et de comparer les conditions économiques d'exploitation des licences relatives aux pays étudiés.</w:t>
      </w:r>
    </w:p>
    <w:p w:rsidR="00BA7D6D" w:rsidRPr="004B2881" w:rsidRDefault="008771A5" w:rsidP="008771A5">
      <w:pPr>
        <w:tabs>
          <w:tab w:val="left" w:pos="-1190"/>
          <w:tab w:val="left" w:pos="0"/>
        </w:tabs>
        <w:rPr>
          <w:sz w:val="24"/>
          <w:szCs w:val="24"/>
          <w:lang w:val="fr-FR"/>
        </w:rPr>
      </w:pPr>
      <w:r w:rsidRPr="004B2881">
        <w:rPr>
          <w:lang w:val="fr-FR"/>
        </w:rPr>
        <w:t>Ces conditions sont déterminées notamment par les éléments suivants.</w:t>
      </w:r>
    </w:p>
    <w:p w:rsidR="006B361E" w:rsidRPr="004B2881" w:rsidRDefault="006B361E" w:rsidP="006B361E">
      <w:pPr>
        <w:pStyle w:val="Heading2"/>
        <w:rPr>
          <w:bCs/>
          <w:lang w:val="fr-FR"/>
        </w:rPr>
      </w:pPr>
      <w:bookmarkStart w:id="116" w:name="_Toc278266934"/>
      <w:bookmarkStart w:id="117" w:name="_Toc284414138"/>
      <w:bookmarkStart w:id="118" w:name="_Toc286314882"/>
      <w:r w:rsidRPr="004B2881">
        <w:rPr>
          <w:lang w:val="fr-FR"/>
        </w:rPr>
        <w:t>3.1</w:t>
      </w:r>
      <w:r w:rsidRPr="004B2881">
        <w:rPr>
          <w:lang w:val="fr-FR"/>
        </w:rPr>
        <w:tab/>
        <w:t>Eléments socioéconomiques des pays étudiés</w:t>
      </w:r>
      <w:bookmarkEnd w:id="116"/>
      <w:bookmarkEnd w:id="117"/>
      <w:bookmarkEnd w:id="118"/>
    </w:p>
    <w:p w:rsidR="006B361E" w:rsidRPr="004B2881" w:rsidRDefault="006B361E" w:rsidP="006B361E">
      <w:pPr>
        <w:tabs>
          <w:tab w:val="left" w:pos="-1190"/>
          <w:tab w:val="left" w:pos="0"/>
        </w:tabs>
        <w:rPr>
          <w:szCs w:val="24"/>
          <w:lang w:val="fr-FR"/>
        </w:rPr>
      </w:pPr>
      <w:r w:rsidRPr="004B2881">
        <w:rPr>
          <w:szCs w:val="24"/>
          <w:lang w:val="fr-FR"/>
        </w:rPr>
        <w:t>Les éléments à prendre en compte dans l'analyse peuvent comporter:</w:t>
      </w:r>
    </w:p>
    <w:p w:rsidR="006B361E" w:rsidRPr="004B2881" w:rsidRDefault="006B361E" w:rsidP="006B361E">
      <w:pPr>
        <w:pStyle w:val="enumlev1"/>
        <w:rPr>
          <w:lang w:val="fr-FR"/>
        </w:rPr>
      </w:pPr>
      <w:r w:rsidRPr="004B2881">
        <w:rPr>
          <w:lang w:val="fr-FR"/>
        </w:rPr>
        <w:t>–</w:t>
      </w:r>
      <w:r w:rsidRPr="004B2881">
        <w:rPr>
          <w:lang w:val="fr-FR"/>
        </w:rPr>
        <w:tab/>
        <w:t>le PIB ou le PIB/habitant,</w:t>
      </w:r>
    </w:p>
    <w:p w:rsidR="006B361E" w:rsidRPr="004B2881" w:rsidRDefault="006B361E" w:rsidP="006B361E">
      <w:pPr>
        <w:pStyle w:val="enumlev1"/>
        <w:rPr>
          <w:lang w:val="fr-FR"/>
        </w:rPr>
      </w:pPr>
      <w:r w:rsidRPr="004B2881">
        <w:rPr>
          <w:lang w:val="fr-FR"/>
        </w:rPr>
        <w:t>–</w:t>
      </w:r>
      <w:r w:rsidRPr="004B2881">
        <w:rPr>
          <w:lang w:val="fr-FR"/>
        </w:rPr>
        <w:tab/>
        <w:t>la population totale ou la densité de population,</w:t>
      </w:r>
    </w:p>
    <w:p w:rsidR="006B361E" w:rsidRPr="004B2881" w:rsidRDefault="006B361E" w:rsidP="006B361E">
      <w:pPr>
        <w:pStyle w:val="enumlev1"/>
        <w:rPr>
          <w:lang w:val="fr-FR"/>
        </w:rPr>
      </w:pPr>
      <w:r w:rsidRPr="004B2881">
        <w:rPr>
          <w:lang w:val="fr-FR"/>
        </w:rPr>
        <w:t>–</w:t>
      </w:r>
      <w:r w:rsidRPr="004B2881">
        <w:rPr>
          <w:lang w:val="fr-FR"/>
        </w:rPr>
        <w:tab/>
        <w:t>la répartition géographique de la population (concentrée en quelques zones, dispersée …),</w:t>
      </w:r>
    </w:p>
    <w:p w:rsidR="006B361E" w:rsidRPr="004B2881" w:rsidRDefault="006B361E" w:rsidP="006B361E">
      <w:pPr>
        <w:pStyle w:val="enumlev1"/>
        <w:rPr>
          <w:lang w:val="fr-FR"/>
        </w:rPr>
      </w:pPr>
      <w:r w:rsidRPr="004B2881">
        <w:rPr>
          <w:lang w:val="fr-FR"/>
        </w:rPr>
        <w:t>–</w:t>
      </w:r>
      <w:r w:rsidRPr="004B2881">
        <w:rPr>
          <w:lang w:val="fr-FR"/>
        </w:rPr>
        <w:tab/>
        <w:t>les dimensions, le relief (plaines, montagnes …) et le caractère insulaire des pays.</w:t>
      </w:r>
    </w:p>
    <w:p w:rsidR="006B361E" w:rsidRPr="004B2881" w:rsidRDefault="006B361E" w:rsidP="006B361E">
      <w:pPr>
        <w:pStyle w:val="Heading2"/>
        <w:rPr>
          <w:lang w:val="fr-FR"/>
        </w:rPr>
      </w:pPr>
      <w:bookmarkStart w:id="119" w:name="_Toc278266935"/>
      <w:bookmarkStart w:id="120" w:name="_Toc284414139"/>
      <w:bookmarkStart w:id="121" w:name="_Toc286314883"/>
      <w:r w:rsidRPr="004B2881">
        <w:rPr>
          <w:lang w:val="fr-FR"/>
        </w:rPr>
        <w:t>3.2</w:t>
      </w:r>
      <w:r w:rsidRPr="004B2881">
        <w:rPr>
          <w:lang w:val="fr-FR"/>
        </w:rPr>
        <w:tab/>
        <w:t>Caractéristiques des autorisations ou licences attribuées</w:t>
      </w:r>
      <w:bookmarkEnd w:id="119"/>
      <w:bookmarkEnd w:id="120"/>
      <w:bookmarkEnd w:id="121"/>
    </w:p>
    <w:p w:rsidR="006B361E" w:rsidRPr="004B2881" w:rsidRDefault="006B361E" w:rsidP="006B361E">
      <w:pPr>
        <w:tabs>
          <w:tab w:val="left" w:pos="-1190"/>
          <w:tab w:val="left" w:pos="0"/>
        </w:tabs>
        <w:rPr>
          <w:szCs w:val="24"/>
          <w:lang w:val="fr-FR"/>
        </w:rPr>
      </w:pPr>
      <w:r w:rsidRPr="004B2881">
        <w:rPr>
          <w:szCs w:val="24"/>
          <w:lang w:val="fr-FR"/>
        </w:rPr>
        <w:t>On peut considérer en particulier:</w:t>
      </w:r>
    </w:p>
    <w:p w:rsidR="006B361E" w:rsidRPr="004B2881" w:rsidRDefault="006B361E" w:rsidP="006B361E">
      <w:pPr>
        <w:pStyle w:val="enumlev1"/>
        <w:rPr>
          <w:lang w:val="fr-FR"/>
        </w:rPr>
      </w:pPr>
      <w:r w:rsidRPr="004B2881">
        <w:rPr>
          <w:lang w:val="fr-FR"/>
        </w:rPr>
        <w:t>–</w:t>
      </w:r>
      <w:r w:rsidRPr="004B2881">
        <w:rPr>
          <w:lang w:val="fr-FR"/>
        </w:rPr>
        <w:tab/>
        <w:t>la durée des licences,</w:t>
      </w:r>
    </w:p>
    <w:p w:rsidR="006B361E" w:rsidRPr="004B2881" w:rsidRDefault="006B361E" w:rsidP="006B361E">
      <w:pPr>
        <w:pStyle w:val="enumlev1"/>
        <w:rPr>
          <w:lang w:val="fr-FR"/>
        </w:rPr>
      </w:pPr>
      <w:r w:rsidRPr="004B2881">
        <w:rPr>
          <w:lang w:val="fr-FR"/>
        </w:rPr>
        <w:t>–</w:t>
      </w:r>
      <w:r w:rsidRPr="004B2881">
        <w:rPr>
          <w:lang w:val="fr-FR"/>
        </w:rPr>
        <w:tab/>
        <w:t>la stabilité des conditions d'exploitation,</w:t>
      </w:r>
    </w:p>
    <w:p w:rsidR="006B361E" w:rsidRPr="004B2881" w:rsidRDefault="006B361E" w:rsidP="006B361E">
      <w:pPr>
        <w:pStyle w:val="enumlev1"/>
        <w:rPr>
          <w:lang w:val="fr-FR"/>
        </w:rPr>
      </w:pPr>
      <w:r w:rsidRPr="004B2881">
        <w:rPr>
          <w:lang w:val="fr-FR"/>
        </w:rPr>
        <w:t>–</w:t>
      </w:r>
      <w:r w:rsidRPr="004B2881">
        <w:rPr>
          <w:lang w:val="fr-FR"/>
        </w:rPr>
        <w:tab/>
        <w:t>le caractère renouvelable des licences.</w:t>
      </w:r>
    </w:p>
    <w:p w:rsidR="006B361E" w:rsidRPr="004B2881" w:rsidRDefault="006B361E" w:rsidP="006B361E">
      <w:pPr>
        <w:pStyle w:val="Heading2"/>
        <w:rPr>
          <w:bCs/>
          <w:lang w:val="fr-FR"/>
        </w:rPr>
      </w:pPr>
      <w:bookmarkStart w:id="122" w:name="_Toc278266936"/>
      <w:bookmarkStart w:id="123" w:name="_Toc284414140"/>
      <w:bookmarkStart w:id="124" w:name="_Toc286314884"/>
      <w:r w:rsidRPr="004B2881">
        <w:rPr>
          <w:lang w:val="fr-FR"/>
        </w:rPr>
        <w:t>3.3</w:t>
      </w:r>
      <w:r w:rsidRPr="004B2881">
        <w:rPr>
          <w:lang w:val="fr-FR"/>
        </w:rPr>
        <w:tab/>
        <w:t>Contenu des cahiers des charges des opérateurs autorisés</w:t>
      </w:r>
      <w:bookmarkEnd w:id="122"/>
      <w:bookmarkEnd w:id="123"/>
      <w:bookmarkEnd w:id="124"/>
    </w:p>
    <w:p w:rsidR="006B361E" w:rsidRPr="004B2881" w:rsidRDefault="006B361E" w:rsidP="006B361E">
      <w:pPr>
        <w:tabs>
          <w:tab w:val="left" w:pos="-1190"/>
          <w:tab w:val="left" w:pos="0"/>
        </w:tabs>
        <w:rPr>
          <w:szCs w:val="24"/>
          <w:lang w:val="fr-FR"/>
        </w:rPr>
      </w:pPr>
      <w:r w:rsidRPr="004B2881">
        <w:rPr>
          <w:szCs w:val="24"/>
          <w:lang w:val="fr-FR"/>
        </w:rPr>
        <w:t>Les obligations imposées aux opérateurs dans leur cahier des charges et accroissant leurs charges d'exploitation peuvent concerner:</w:t>
      </w:r>
    </w:p>
    <w:p w:rsidR="006B361E" w:rsidRPr="004B2881" w:rsidRDefault="006B361E" w:rsidP="006B361E">
      <w:pPr>
        <w:pStyle w:val="enumlev1"/>
        <w:rPr>
          <w:lang w:val="fr-FR"/>
        </w:rPr>
      </w:pPr>
      <w:r w:rsidRPr="004B2881">
        <w:rPr>
          <w:lang w:val="fr-FR"/>
        </w:rPr>
        <w:t>–</w:t>
      </w:r>
      <w:r w:rsidRPr="004B2881">
        <w:rPr>
          <w:lang w:val="fr-FR"/>
        </w:rPr>
        <w:tab/>
        <w:t>la couverture du territoire,</w:t>
      </w:r>
    </w:p>
    <w:p w:rsidR="006B361E" w:rsidRPr="004B2881" w:rsidRDefault="006B361E" w:rsidP="006B361E">
      <w:pPr>
        <w:pStyle w:val="enumlev1"/>
        <w:rPr>
          <w:lang w:val="fr-FR"/>
        </w:rPr>
      </w:pPr>
      <w:r w:rsidRPr="004B2881">
        <w:rPr>
          <w:lang w:val="fr-FR"/>
        </w:rPr>
        <w:t>–</w:t>
      </w:r>
      <w:r w:rsidRPr="004B2881">
        <w:rPr>
          <w:lang w:val="fr-FR"/>
        </w:rPr>
        <w:tab/>
        <w:t>la qualité de service,</w:t>
      </w:r>
    </w:p>
    <w:p w:rsidR="006B361E" w:rsidRPr="004B2881" w:rsidRDefault="006B361E" w:rsidP="006B361E">
      <w:pPr>
        <w:pStyle w:val="enumlev1"/>
        <w:rPr>
          <w:lang w:val="fr-FR"/>
        </w:rPr>
      </w:pPr>
      <w:r w:rsidRPr="004B2881">
        <w:rPr>
          <w:lang w:val="fr-FR"/>
        </w:rPr>
        <w:t>–</w:t>
      </w:r>
      <w:r w:rsidRPr="004B2881">
        <w:rPr>
          <w:lang w:val="fr-FR"/>
        </w:rPr>
        <w:tab/>
        <w:t>la participation au service universel,</w:t>
      </w:r>
    </w:p>
    <w:p w:rsidR="006B361E" w:rsidRPr="004B2881" w:rsidRDefault="006B361E" w:rsidP="006B361E">
      <w:pPr>
        <w:pStyle w:val="enumlev1"/>
        <w:rPr>
          <w:lang w:val="fr-FR"/>
        </w:rPr>
      </w:pPr>
      <w:r w:rsidRPr="004B2881">
        <w:rPr>
          <w:lang w:val="fr-FR"/>
        </w:rPr>
        <w:t>–</w:t>
      </w:r>
      <w:r w:rsidRPr="004B2881">
        <w:rPr>
          <w:lang w:val="fr-FR"/>
        </w:rPr>
        <w:tab/>
        <w:t>la participation aux efforts de recherche et de développement dans le domaine des télécommunications,</w:t>
      </w:r>
    </w:p>
    <w:p w:rsidR="00BA7D6D" w:rsidRPr="004B2881" w:rsidRDefault="006B361E" w:rsidP="006B361E">
      <w:pPr>
        <w:pStyle w:val="enumlev1"/>
        <w:rPr>
          <w:lang w:val="fr-FR"/>
        </w:rPr>
      </w:pPr>
      <w:r w:rsidRPr="004B2881">
        <w:rPr>
          <w:lang w:val="fr-FR"/>
        </w:rPr>
        <w:t>–</w:t>
      </w:r>
      <w:r w:rsidRPr="004B2881">
        <w:rPr>
          <w:lang w:val="fr-FR"/>
        </w:rPr>
        <w:tab/>
        <w:t>des contraintes additionnelles (appel gratuit vers certains numéros, portabilité des numéros …).</w:t>
      </w:r>
    </w:p>
    <w:p w:rsidR="00484089" w:rsidRPr="004B2881" w:rsidRDefault="00484089" w:rsidP="00484089">
      <w:pPr>
        <w:pStyle w:val="Heading1"/>
        <w:rPr>
          <w:bCs/>
          <w:lang w:val="fr-FR"/>
        </w:rPr>
      </w:pPr>
      <w:bookmarkStart w:id="125" w:name="_Toc278266937"/>
      <w:bookmarkStart w:id="126" w:name="_Toc284414141"/>
      <w:bookmarkStart w:id="127" w:name="_Toc286314885"/>
      <w:r w:rsidRPr="004B2881">
        <w:rPr>
          <w:lang w:val="fr-FR"/>
        </w:rPr>
        <w:t>4</w:t>
      </w:r>
      <w:r w:rsidRPr="004B2881">
        <w:rPr>
          <w:lang w:val="fr-FR"/>
        </w:rPr>
        <w:tab/>
        <w:t>Comparaison/transposition des montants des redevances</w:t>
      </w:r>
      <w:bookmarkEnd w:id="125"/>
      <w:bookmarkEnd w:id="126"/>
      <w:bookmarkEnd w:id="127"/>
    </w:p>
    <w:p w:rsidR="00484089" w:rsidRPr="004B2881" w:rsidRDefault="00484089" w:rsidP="00484089">
      <w:pPr>
        <w:rPr>
          <w:lang w:val="fr-FR"/>
        </w:rPr>
      </w:pPr>
      <w:r w:rsidRPr="004B2881">
        <w:rPr>
          <w:lang w:val="fr-FR"/>
        </w:rPr>
        <w:t>Le tableau ci-après décrit l'influence des conditions économiques d'exploitation des licences sur la propension des opérateurs à payer des redevances.</w:t>
      </w:r>
    </w:p>
    <w:p w:rsidR="00484089" w:rsidRPr="004B2881" w:rsidRDefault="00484089" w:rsidP="00484089">
      <w:pPr>
        <w:rPr>
          <w:lang w:val="fr-FR"/>
        </w:rPr>
      </w:pPr>
      <w:r w:rsidRPr="004B2881">
        <w:rPr>
          <w:lang w:val="fr-FR"/>
        </w:rPr>
        <w:t>En toute logique, les éléments qui participent à la constitution du chiffre d'affaires induisent un accroissement de cette propension. A l'inverse, les éléments qui concourent à la formation des charges d'exploitation entraînent une diminution de cette propension.</w:t>
      </w:r>
    </w:p>
    <w:p w:rsidR="00484089" w:rsidRPr="004B2881" w:rsidRDefault="00484089" w:rsidP="00484089">
      <w:pPr>
        <w:pStyle w:val="Heading1"/>
        <w:rPr>
          <w:lang w:val="fr-FR"/>
        </w:rPr>
      </w:pPr>
      <w:bookmarkStart w:id="128" w:name="_Toc278266938"/>
      <w:bookmarkStart w:id="129" w:name="_Toc284414142"/>
      <w:bookmarkStart w:id="130" w:name="_Toc286314886"/>
      <w:r w:rsidRPr="004B2881">
        <w:rPr>
          <w:lang w:val="fr-FR"/>
        </w:rPr>
        <w:t>5</w:t>
      </w:r>
      <w:r w:rsidRPr="004B2881">
        <w:rPr>
          <w:lang w:val="fr-FR"/>
        </w:rPr>
        <w:tab/>
        <w:t>Conclusion</w:t>
      </w:r>
      <w:bookmarkEnd w:id="128"/>
      <w:bookmarkEnd w:id="129"/>
      <w:bookmarkEnd w:id="130"/>
    </w:p>
    <w:p w:rsidR="00484089" w:rsidRPr="004B2881" w:rsidRDefault="00484089" w:rsidP="00484089">
      <w:pPr>
        <w:rPr>
          <w:lang w:val="fr-FR"/>
        </w:rPr>
      </w:pPr>
      <w:r w:rsidRPr="004B2881">
        <w:rPr>
          <w:lang w:val="fr-FR"/>
        </w:rPr>
        <w:t>Si on distingue facilement le sens de l'influence exercée par les conditions économiques d'exploitation des licences sur la propension des opérateurs à payer des redevances, en revanche, il n'est pas toujours aisé de quantifier cette influence de manière précise en l'absence d'informations pertinentes.</w:t>
      </w:r>
    </w:p>
    <w:p w:rsidR="00BA7D6D" w:rsidRPr="004B2881" w:rsidRDefault="00484089" w:rsidP="00484089">
      <w:pPr>
        <w:tabs>
          <w:tab w:val="left" w:pos="-1190"/>
          <w:tab w:val="left" w:pos="0"/>
        </w:tabs>
        <w:rPr>
          <w:sz w:val="24"/>
          <w:szCs w:val="24"/>
          <w:lang w:val="fr-FR"/>
        </w:rPr>
      </w:pPr>
      <w:r w:rsidRPr="004B2881">
        <w:rPr>
          <w:lang w:val="fr-FR"/>
        </w:rPr>
        <w:t>Pour effectuer une comparaison ou une transposition des montants des redevances, on pourra donc retenir un ou plusieurs éléments décrits au § 4 en fonction des informations disponibles et appliquer une règle de calcul simple telle que celle de la proportionnalité.</w:t>
      </w:r>
    </w:p>
    <w:p w:rsidR="007A61EF" w:rsidRPr="004B2881" w:rsidRDefault="00B742A5" w:rsidP="007A61EF">
      <w:pPr>
        <w:jc w:val="center"/>
        <w:rPr>
          <w:b/>
          <w:bCs/>
          <w:sz w:val="24"/>
          <w:szCs w:val="24"/>
          <w:lang w:val="fr-FR"/>
        </w:rPr>
      </w:pPr>
      <w:bookmarkStart w:id="131" w:name="_Toc278266939"/>
      <w:r w:rsidRPr="004B2881">
        <w:rPr>
          <w:b/>
          <w:bCs/>
          <w:lang w:val="fr-FR"/>
        </w:rPr>
        <w:lastRenderedPageBreak/>
        <w:t xml:space="preserve">Eléments susceptibles d'être pris en compte pour une comparaison ou </w:t>
      </w:r>
      <w:r w:rsidRPr="004B2881">
        <w:rPr>
          <w:b/>
          <w:bCs/>
          <w:lang w:val="fr-FR"/>
        </w:rPr>
        <w:br/>
        <w:t>une transposition des montants des redevances</w:t>
      </w:r>
      <w:bookmarkEnd w:id="131"/>
    </w:p>
    <w:p w:rsidR="000A3545" w:rsidRPr="004B2881" w:rsidRDefault="000A3545" w:rsidP="000A3545">
      <w:pPr>
        <w:rPr>
          <w:lang w:val="fr-FR"/>
        </w:rPr>
      </w:pPr>
    </w:p>
    <w:p w:rsidR="009E0C9D" w:rsidRPr="004B2881" w:rsidRDefault="009E0C9D" w:rsidP="000A3545">
      <w:pPr>
        <w:pStyle w:val="FigureTitle"/>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835"/>
        <w:gridCol w:w="6804"/>
      </w:tblGrid>
      <w:tr w:rsidR="00B938D8" w:rsidRPr="004B2881" w:rsidTr="007A5803">
        <w:trPr>
          <w:jc w:val="center"/>
        </w:trPr>
        <w:tc>
          <w:tcPr>
            <w:tcW w:w="2835" w:type="dxa"/>
          </w:tcPr>
          <w:p w:rsidR="00B938D8" w:rsidRPr="004B2881" w:rsidRDefault="00B938D8" w:rsidP="00556FC3">
            <w:pPr>
              <w:pStyle w:val="Tablehead"/>
              <w:rPr>
                <w:bCs/>
                <w:lang w:val="fr-FR"/>
              </w:rPr>
            </w:pPr>
            <w:r w:rsidRPr="004B2881">
              <w:rPr>
                <w:lang w:val="fr-FR"/>
              </w:rPr>
              <w:t>Eléments socioéconomiques des pays étudiés</w:t>
            </w:r>
          </w:p>
        </w:tc>
        <w:tc>
          <w:tcPr>
            <w:tcW w:w="6804" w:type="dxa"/>
            <w:vAlign w:val="center"/>
          </w:tcPr>
          <w:p w:rsidR="00B938D8" w:rsidRPr="004B2881" w:rsidRDefault="00B938D8" w:rsidP="00556FC3">
            <w:pPr>
              <w:pStyle w:val="Tablehead"/>
              <w:rPr>
                <w:bCs/>
                <w:lang w:val="fr-FR"/>
              </w:rPr>
            </w:pPr>
            <w:r w:rsidRPr="004B2881">
              <w:rPr>
                <w:lang w:val="fr-FR"/>
              </w:rPr>
              <w:t>Commentaires</w:t>
            </w:r>
          </w:p>
        </w:tc>
      </w:tr>
      <w:tr w:rsidR="007A5803" w:rsidRPr="004E2CF1" w:rsidTr="009E0C9D">
        <w:trPr>
          <w:jc w:val="center"/>
        </w:trPr>
        <w:tc>
          <w:tcPr>
            <w:tcW w:w="2835" w:type="dxa"/>
          </w:tcPr>
          <w:p w:rsidR="007A5803" w:rsidRPr="004B2881" w:rsidRDefault="007A5803" w:rsidP="007A5803">
            <w:pPr>
              <w:pStyle w:val="Tabletext"/>
              <w:jc w:val="left"/>
              <w:rPr>
                <w:lang w:val="fr-FR"/>
              </w:rPr>
            </w:pPr>
            <w:r w:rsidRPr="004B2881">
              <w:rPr>
                <w:lang w:val="fr-FR"/>
              </w:rPr>
              <w:t>PIB ou PIB/habitant</w:t>
            </w:r>
          </w:p>
        </w:tc>
        <w:tc>
          <w:tcPr>
            <w:tcW w:w="6804" w:type="dxa"/>
          </w:tcPr>
          <w:p w:rsidR="007A5803" w:rsidRPr="004B2881" w:rsidRDefault="007A5803" w:rsidP="00556FC3">
            <w:pPr>
              <w:pStyle w:val="Tabletext"/>
              <w:rPr>
                <w:lang w:val="fr-FR"/>
              </w:rPr>
            </w:pPr>
            <w:r w:rsidRPr="004B2881">
              <w:rPr>
                <w:lang w:val="fr-FR"/>
              </w:rPr>
              <w:t>La propension des opérateurs à payer des redevances croît avec le PIB car le chiffre d'affaires potentiel croît avec le PIB.</w:t>
            </w:r>
          </w:p>
          <w:p w:rsidR="007A5803" w:rsidRPr="004B2881" w:rsidRDefault="007A5803" w:rsidP="00556FC3">
            <w:pPr>
              <w:pStyle w:val="Tabletext"/>
              <w:rPr>
                <w:lang w:val="fr-FR"/>
              </w:rPr>
            </w:pPr>
            <w:r w:rsidRPr="004B2881">
              <w:rPr>
                <w:lang w:val="fr-FR"/>
              </w:rPr>
              <w:t>Remarque: l'existence d'un système de troc peut conduire à un PIB calculé inférieur au PIB réel.</w:t>
            </w:r>
          </w:p>
        </w:tc>
      </w:tr>
      <w:tr w:rsidR="007A5803" w:rsidRPr="004E2CF1" w:rsidTr="009E0C9D">
        <w:trPr>
          <w:jc w:val="center"/>
        </w:trPr>
        <w:tc>
          <w:tcPr>
            <w:tcW w:w="2835" w:type="dxa"/>
          </w:tcPr>
          <w:p w:rsidR="007A5803" w:rsidRPr="004B2881" w:rsidRDefault="007A5803" w:rsidP="007A5803">
            <w:pPr>
              <w:pStyle w:val="Tabletext"/>
              <w:jc w:val="left"/>
              <w:rPr>
                <w:lang w:val="fr-FR"/>
              </w:rPr>
            </w:pPr>
            <w:r w:rsidRPr="004B2881">
              <w:rPr>
                <w:lang w:val="fr-FR"/>
              </w:rPr>
              <w:t>Population totale; densité de population</w:t>
            </w:r>
          </w:p>
        </w:tc>
        <w:tc>
          <w:tcPr>
            <w:tcW w:w="6804" w:type="dxa"/>
          </w:tcPr>
          <w:p w:rsidR="007A5803" w:rsidRPr="004B2881" w:rsidRDefault="007A5803" w:rsidP="00556FC3">
            <w:pPr>
              <w:pStyle w:val="Tabletext"/>
              <w:rPr>
                <w:lang w:val="fr-FR"/>
              </w:rPr>
            </w:pPr>
            <w:r w:rsidRPr="004B2881">
              <w:rPr>
                <w:lang w:val="fr-FR"/>
              </w:rPr>
              <w:t>La propension des opérateurs à payer des redevances croît avec la population car, en général, le chiffre d'affaires potentiel croît avec la population.</w:t>
            </w:r>
          </w:p>
        </w:tc>
      </w:tr>
      <w:tr w:rsidR="007A5803" w:rsidRPr="004E2CF1" w:rsidTr="009E0C9D">
        <w:trPr>
          <w:jc w:val="center"/>
        </w:trPr>
        <w:tc>
          <w:tcPr>
            <w:tcW w:w="2835" w:type="dxa"/>
          </w:tcPr>
          <w:p w:rsidR="007A5803" w:rsidRPr="004B2881" w:rsidRDefault="007A5803" w:rsidP="007A5803">
            <w:pPr>
              <w:pStyle w:val="Tabletext"/>
              <w:jc w:val="left"/>
              <w:rPr>
                <w:lang w:val="fr-FR"/>
              </w:rPr>
            </w:pPr>
            <w:r w:rsidRPr="004B2881">
              <w:rPr>
                <w:lang w:val="fr-FR"/>
              </w:rPr>
              <w:t>Répartition géographique de la population (concentrée en quelques zones, dispersée …)</w:t>
            </w:r>
          </w:p>
        </w:tc>
        <w:tc>
          <w:tcPr>
            <w:tcW w:w="6804" w:type="dxa"/>
          </w:tcPr>
          <w:p w:rsidR="007A5803" w:rsidRPr="004B2881" w:rsidRDefault="007A5803" w:rsidP="00556FC3">
            <w:pPr>
              <w:pStyle w:val="Tabletext"/>
              <w:rPr>
                <w:lang w:val="fr-FR"/>
              </w:rPr>
            </w:pPr>
            <w:r w:rsidRPr="004B2881">
              <w:rPr>
                <w:lang w:val="fr-FR"/>
              </w:rPr>
              <w:t>La propension des opérateurs à payer des redevances croît avec la concentration car, en général, le coût de déploiement des réseaux décroît avec la concentration.</w:t>
            </w:r>
          </w:p>
        </w:tc>
      </w:tr>
      <w:tr w:rsidR="007A5803" w:rsidRPr="004E2CF1" w:rsidTr="009E0C9D">
        <w:trPr>
          <w:jc w:val="center"/>
        </w:trPr>
        <w:tc>
          <w:tcPr>
            <w:tcW w:w="2835" w:type="dxa"/>
          </w:tcPr>
          <w:p w:rsidR="007A5803" w:rsidRPr="004B2881" w:rsidRDefault="007A5803" w:rsidP="007A5803">
            <w:pPr>
              <w:pStyle w:val="Tabletext"/>
              <w:jc w:val="left"/>
              <w:rPr>
                <w:lang w:val="fr-FR"/>
              </w:rPr>
            </w:pPr>
            <w:r w:rsidRPr="004B2881">
              <w:rPr>
                <w:lang w:val="fr-FR"/>
              </w:rPr>
              <w:t>Dimensions, relief et caractère insulaire du pays</w:t>
            </w:r>
          </w:p>
        </w:tc>
        <w:tc>
          <w:tcPr>
            <w:tcW w:w="6804" w:type="dxa"/>
          </w:tcPr>
          <w:p w:rsidR="007A5803" w:rsidRPr="004B2881" w:rsidRDefault="007A5803" w:rsidP="00556FC3">
            <w:pPr>
              <w:pStyle w:val="Tabletext"/>
              <w:rPr>
                <w:lang w:val="fr-FR"/>
              </w:rPr>
            </w:pPr>
            <w:r w:rsidRPr="004B2881">
              <w:rPr>
                <w:lang w:val="fr-FR"/>
              </w:rPr>
              <w:t>La propension des opérateurs à payer des redevances décroît avec les dimensions et les reliefs du pays car, en général, le coût de déploiement des réseaux croît avec ces paramètres.</w:t>
            </w:r>
          </w:p>
        </w:tc>
      </w:tr>
      <w:tr w:rsidR="007A5803" w:rsidRPr="004E2CF1" w:rsidTr="009E0C9D">
        <w:trPr>
          <w:jc w:val="center"/>
        </w:trPr>
        <w:tc>
          <w:tcPr>
            <w:tcW w:w="2835" w:type="dxa"/>
          </w:tcPr>
          <w:p w:rsidR="007A5803" w:rsidRPr="004B2881" w:rsidRDefault="00DC688A" w:rsidP="00D55D7D">
            <w:pPr>
              <w:pStyle w:val="TableNotitle"/>
              <w:spacing w:before="120"/>
              <w:rPr>
                <w:lang w:val="fr-FR"/>
              </w:rPr>
            </w:pPr>
            <w:r w:rsidRPr="004B2881">
              <w:rPr>
                <w:lang w:val="fr-FR"/>
              </w:rPr>
              <w:t>Caractéristiques des autorisations ou licences</w:t>
            </w:r>
          </w:p>
        </w:tc>
        <w:tc>
          <w:tcPr>
            <w:tcW w:w="6804" w:type="dxa"/>
          </w:tcPr>
          <w:p w:rsidR="007A5803" w:rsidRPr="004B2881" w:rsidRDefault="007A5803" w:rsidP="00BE5BA2">
            <w:pPr>
              <w:pStyle w:val="TableNotitle"/>
              <w:spacing w:before="120"/>
              <w:jc w:val="left"/>
              <w:rPr>
                <w:lang w:val="fr-FR"/>
              </w:rPr>
            </w:pPr>
          </w:p>
        </w:tc>
      </w:tr>
      <w:tr w:rsidR="009864B6" w:rsidRPr="004E2CF1" w:rsidTr="009E0C9D">
        <w:trPr>
          <w:jc w:val="center"/>
        </w:trPr>
        <w:tc>
          <w:tcPr>
            <w:tcW w:w="2835" w:type="dxa"/>
          </w:tcPr>
          <w:p w:rsidR="009864B6" w:rsidRPr="004B2881" w:rsidRDefault="009864B6" w:rsidP="009864B6">
            <w:pPr>
              <w:pStyle w:val="Tabletext"/>
              <w:jc w:val="left"/>
              <w:rPr>
                <w:lang w:val="fr-FR"/>
              </w:rPr>
            </w:pPr>
            <w:r w:rsidRPr="004B2881">
              <w:rPr>
                <w:lang w:val="fr-FR"/>
              </w:rPr>
              <w:t>Durée des autorisations</w:t>
            </w:r>
          </w:p>
        </w:tc>
        <w:tc>
          <w:tcPr>
            <w:tcW w:w="6804" w:type="dxa"/>
          </w:tcPr>
          <w:p w:rsidR="009864B6" w:rsidRPr="004B2881" w:rsidRDefault="009864B6" w:rsidP="00556FC3">
            <w:pPr>
              <w:pStyle w:val="Tabletext"/>
              <w:rPr>
                <w:lang w:val="fr-FR"/>
              </w:rPr>
            </w:pPr>
            <w:r w:rsidRPr="004B2881">
              <w:rPr>
                <w:lang w:val="fr-FR"/>
              </w:rPr>
              <w:t>La propension des opérateurs à payer des redevances croît avec la durée car l'amortissement des équipements est mieux assuré et les dernières années d'exploitation sont généralement beaucoup plus rentables que les premières.</w:t>
            </w:r>
          </w:p>
        </w:tc>
      </w:tr>
      <w:tr w:rsidR="009864B6" w:rsidRPr="004E2CF1" w:rsidTr="009E0C9D">
        <w:trPr>
          <w:jc w:val="center"/>
        </w:trPr>
        <w:tc>
          <w:tcPr>
            <w:tcW w:w="2835" w:type="dxa"/>
          </w:tcPr>
          <w:p w:rsidR="009864B6" w:rsidRPr="004B2881" w:rsidRDefault="009864B6" w:rsidP="009864B6">
            <w:pPr>
              <w:pStyle w:val="Tabletext"/>
              <w:jc w:val="left"/>
              <w:rPr>
                <w:lang w:val="fr-FR"/>
              </w:rPr>
            </w:pPr>
            <w:r w:rsidRPr="004B2881">
              <w:rPr>
                <w:lang w:val="fr-FR"/>
              </w:rPr>
              <w:t>Stabilité des conditions d'exploitation</w:t>
            </w:r>
          </w:p>
        </w:tc>
        <w:tc>
          <w:tcPr>
            <w:tcW w:w="6804" w:type="dxa"/>
          </w:tcPr>
          <w:p w:rsidR="009864B6" w:rsidRPr="004B2881" w:rsidRDefault="009864B6" w:rsidP="00556FC3">
            <w:pPr>
              <w:pStyle w:val="Tabletext"/>
              <w:rPr>
                <w:lang w:val="fr-FR"/>
              </w:rPr>
            </w:pPr>
            <w:r w:rsidRPr="004B2881">
              <w:rPr>
                <w:lang w:val="fr-FR"/>
              </w:rPr>
              <w:t>La propension des opérateurs à payer des redevances croît avec la stabilité car l'instabilité conduit les opérateurs à s'assurer contre ses risques.</w:t>
            </w:r>
          </w:p>
        </w:tc>
      </w:tr>
      <w:tr w:rsidR="009864B6" w:rsidRPr="004E2CF1" w:rsidTr="009E0C9D">
        <w:trPr>
          <w:jc w:val="center"/>
        </w:trPr>
        <w:tc>
          <w:tcPr>
            <w:tcW w:w="2835" w:type="dxa"/>
          </w:tcPr>
          <w:p w:rsidR="009864B6" w:rsidRPr="004B2881" w:rsidRDefault="009864B6" w:rsidP="009864B6">
            <w:pPr>
              <w:pStyle w:val="Tabletext"/>
              <w:jc w:val="left"/>
              <w:rPr>
                <w:lang w:val="fr-FR"/>
              </w:rPr>
            </w:pPr>
            <w:r w:rsidRPr="004B2881">
              <w:rPr>
                <w:lang w:val="fr-FR"/>
              </w:rPr>
              <w:t>Caractère renouvelable des autorisations</w:t>
            </w:r>
          </w:p>
        </w:tc>
        <w:tc>
          <w:tcPr>
            <w:tcW w:w="6804" w:type="dxa"/>
          </w:tcPr>
          <w:p w:rsidR="009864B6" w:rsidRPr="004B2881" w:rsidRDefault="009864B6" w:rsidP="00556FC3">
            <w:pPr>
              <w:pStyle w:val="Tabletext"/>
              <w:rPr>
                <w:lang w:val="fr-FR"/>
              </w:rPr>
            </w:pPr>
            <w:r w:rsidRPr="004B2881">
              <w:rPr>
                <w:lang w:val="fr-FR"/>
              </w:rPr>
              <w:t>L'influence de cet élément va dans le même sens que la durée des autorisations.</w:t>
            </w:r>
          </w:p>
        </w:tc>
      </w:tr>
    </w:tbl>
    <w:p w:rsidR="00EE2C89" w:rsidRPr="004B2881" w:rsidRDefault="00EE2C89">
      <w:pPr>
        <w:rPr>
          <w:lang w:val="fr-FR"/>
        </w:rPr>
      </w:pPr>
    </w:p>
    <w:p w:rsidR="00EE2C89" w:rsidRPr="004B2881" w:rsidRDefault="00EE2C89">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p w:rsidR="00EE2C89" w:rsidRPr="004B2881" w:rsidRDefault="00EE2C89">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835"/>
        <w:gridCol w:w="6804"/>
      </w:tblGrid>
      <w:tr w:rsidR="009E5276" w:rsidRPr="004B2881" w:rsidTr="0096072F">
        <w:trPr>
          <w:jc w:val="center"/>
        </w:trPr>
        <w:tc>
          <w:tcPr>
            <w:tcW w:w="2835" w:type="dxa"/>
          </w:tcPr>
          <w:p w:rsidR="009E5276" w:rsidRPr="004B2881" w:rsidRDefault="009E5276" w:rsidP="0096072F">
            <w:pPr>
              <w:pStyle w:val="Tablehead"/>
              <w:rPr>
                <w:bCs/>
                <w:lang w:val="fr-FR"/>
              </w:rPr>
            </w:pPr>
            <w:r w:rsidRPr="004B2881">
              <w:rPr>
                <w:lang w:val="fr-FR"/>
              </w:rPr>
              <w:t>Eléments socioéconomiques des pays étudiés</w:t>
            </w:r>
          </w:p>
        </w:tc>
        <w:tc>
          <w:tcPr>
            <w:tcW w:w="6804" w:type="dxa"/>
            <w:vAlign w:val="center"/>
          </w:tcPr>
          <w:p w:rsidR="009E5276" w:rsidRPr="004B2881" w:rsidRDefault="009E5276" w:rsidP="0096072F">
            <w:pPr>
              <w:pStyle w:val="Tablehead"/>
              <w:rPr>
                <w:bCs/>
                <w:lang w:val="fr-FR"/>
              </w:rPr>
            </w:pPr>
            <w:r w:rsidRPr="004B2881">
              <w:rPr>
                <w:lang w:val="fr-FR"/>
              </w:rPr>
              <w:t>Commentaires</w:t>
            </w:r>
          </w:p>
        </w:tc>
      </w:tr>
      <w:tr w:rsidR="00BA59E9" w:rsidRPr="004E2CF1" w:rsidTr="009E0C9D">
        <w:trPr>
          <w:jc w:val="center"/>
        </w:trPr>
        <w:tc>
          <w:tcPr>
            <w:tcW w:w="2835" w:type="dxa"/>
          </w:tcPr>
          <w:p w:rsidR="00BA59E9" w:rsidRPr="004B2881" w:rsidRDefault="00F16C3D" w:rsidP="00BA59E9">
            <w:pPr>
              <w:pStyle w:val="TableNotitle"/>
              <w:spacing w:before="120"/>
              <w:rPr>
                <w:lang w:val="fr-FR"/>
              </w:rPr>
            </w:pPr>
            <w:r w:rsidRPr="004B2881">
              <w:rPr>
                <w:lang w:val="fr-FR"/>
              </w:rPr>
              <w:t>Contenu des cahiers des charges des opérateurs autorisés</w:t>
            </w:r>
          </w:p>
        </w:tc>
        <w:tc>
          <w:tcPr>
            <w:tcW w:w="6804" w:type="dxa"/>
          </w:tcPr>
          <w:p w:rsidR="00BA59E9" w:rsidRPr="004B2881" w:rsidRDefault="00BA59E9" w:rsidP="00EE2C89">
            <w:pPr>
              <w:pStyle w:val="TableNotitle"/>
              <w:spacing w:before="120"/>
              <w:rPr>
                <w:lang w:val="fr-FR"/>
              </w:rPr>
            </w:pPr>
          </w:p>
        </w:tc>
      </w:tr>
      <w:tr w:rsidR="00F07A93" w:rsidRPr="004E2CF1" w:rsidTr="009E0C9D">
        <w:trPr>
          <w:jc w:val="center"/>
        </w:trPr>
        <w:tc>
          <w:tcPr>
            <w:tcW w:w="2835" w:type="dxa"/>
          </w:tcPr>
          <w:p w:rsidR="00F07A93" w:rsidRPr="004B2881" w:rsidRDefault="00F07A93" w:rsidP="00F07A93">
            <w:pPr>
              <w:pStyle w:val="Tabletext"/>
              <w:keepNext/>
              <w:keepLines/>
              <w:jc w:val="left"/>
              <w:rPr>
                <w:lang w:val="fr-FR"/>
              </w:rPr>
            </w:pPr>
            <w:r w:rsidRPr="004B2881">
              <w:rPr>
                <w:lang w:val="fr-FR"/>
              </w:rPr>
              <w:t>Couverture du territoire</w:t>
            </w:r>
          </w:p>
        </w:tc>
        <w:tc>
          <w:tcPr>
            <w:tcW w:w="6804" w:type="dxa"/>
            <w:vMerge w:val="restart"/>
          </w:tcPr>
          <w:p w:rsidR="009C39CD" w:rsidRPr="004B2881" w:rsidRDefault="009C39CD" w:rsidP="009C39CD">
            <w:pPr>
              <w:pStyle w:val="Tabletext"/>
              <w:rPr>
                <w:lang w:val="fr-FR"/>
              </w:rPr>
            </w:pPr>
            <w:r w:rsidRPr="004B2881">
              <w:rPr>
                <w:lang w:val="fr-FR"/>
              </w:rPr>
              <w:t>La présence de ces obligations dans le cahier des charges accroît les charges d'exploitation à hauteur de leur degré d'exigence et réduit d'autant la propension à payer des opérateurs.</w:t>
            </w:r>
          </w:p>
          <w:p w:rsidR="009C39CD" w:rsidRPr="004B2881" w:rsidRDefault="009C39CD" w:rsidP="009C39CD">
            <w:pPr>
              <w:rPr>
                <w:lang w:val="fr-FR"/>
              </w:rPr>
            </w:pPr>
            <w:r w:rsidRPr="004B2881">
              <w:rPr>
                <w:lang w:val="fr-FR"/>
              </w:rPr>
              <w:t>Pour effectuer une comparaison fine, il conviendrait d'analyser le degré d'exigence relatif à chacune de ces obligations en prenant notamment en compte:</w:t>
            </w:r>
          </w:p>
          <w:p w:rsidR="009C39CD" w:rsidRPr="004B2881" w:rsidRDefault="009C39CD" w:rsidP="00110F70">
            <w:pPr>
              <w:pStyle w:val="enumlev1"/>
              <w:rPr>
                <w:lang w:val="fr-FR"/>
              </w:rPr>
            </w:pPr>
            <w:r w:rsidRPr="004B2881">
              <w:rPr>
                <w:lang w:val="fr-FR"/>
              </w:rPr>
              <w:t>–</w:t>
            </w:r>
            <w:r w:rsidRPr="004B2881">
              <w:rPr>
                <w:lang w:val="fr-FR"/>
              </w:rPr>
              <w:tab/>
              <w:t>les conditions de l'accès à l'international qui peuvent influencer la qualité de service,</w:t>
            </w:r>
          </w:p>
          <w:p w:rsidR="00F07A93" w:rsidRPr="004B2881" w:rsidRDefault="009C39CD" w:rsidP="00110F70">
            <w:pPr>
              <w:pStyle w:val="enumlev1"/>
              <w:rPr>
                <w:sz w:val="24"/>
                <w:szCs w:val="24"/>
                <w:lang w:val="fr-FR"/>
              </w:rPr>
            </w:pPr>
            <w:r w:rsidRPr="004B2881">
              <w:rPr>
                <w:lang w:val="fr-FR"/>
              </w:rPr>
              <w:t>–</w:t>
            </w:r>
            <w:r w:rsidRPr="004B2881">
              <w:rPr>
                <w:lang w:val="fr-FR"/>
              </w:rPr>
              <w:tab/>
              <w:t>l'existence de pratiques/coutumes locales telles que la gratuité pour certains usagers qui diminue le résultat d'exploitation.</w:t>
            </w:r>
          </w:p>
        </w:tc>
      </w:tr>
      <w:tr w:rsidR="00F07A93" w:rsidRPr="004B2881" w:rsidTr="009E0C9D">
        <w:trPr>
          <w:jc w:val="center"/>
        </w:trPr>
        <w:tc>
          <w:tcPr>
            <w:tcW w:w="2835" w:type="dxa"/>
          </w:tcPr>
          <w:p w:rsidR="00F07A93" w:rsidRPr="004B2881" w:rsidRDefault="00F07A93" w:rsidP="00F07A93">
            <w:pPr>
              <w:pStyle w:val="Tabletext"/>
              <w:keepNext/>
              <w:keepLines/>
              <w:jc w:val="left"/>
              <w:rPr>
                <w:lang w:val="fr-FR"/>
              </w:rPr>
            </w:pPr>
            <w:r w:rsidRPr="004B2881">
              <w:rPr>
                <w:lang w:val="fr-FR"/>
              </w:rPr>
              <w:t>Qualité de service</w:t>
            </w:r>
          </w:p>
        </w:tc>
        <w:tc>
          <w:tcPr>
            <w:tcW w:w="6804" w:type="dxa"/>
            <w:vMerge/>
          </w:tcPr>
          <w:p w:rsidR="00F07A93" w:rsidRPr="004B2881" w:rsidRDefault="00F07A93" w:rsidP="00B45921">
            <w:pPr>
              <w:spacing w:before="0"/>
              <w:jc w:val="left"/>
              <w:rPr>
                <w:sz w:val="24"/>
                <w:szCs w:val="24"/>
                <w:lang w:val="fr-FR"/>
              </w:rPr>
            </w:pPr>
          </w:p>
        </w:tc>
      </w:tr>
      <w:tr w:rsidR="00F07A93" w:rsidRPr="004B2881" w:rsidTr="009E0C9D">
        <w:trPr>
          <w:jc w:val="center"/>
        </w:trPr>
        <w:tc>
          <w:tcPr>
            <w:tcW w:w="2835" w:type="dxa"/>
          </w:tcPr>
          <w:p w:rsidR="00F07A93" w:rsidRPr="004B2881" w:rsidRDefault="00F07A93" w:rsidP="00F07A93">
            <w:pPr>
              <w:pStyle w:val="Tabletext"/>
              <w:jc w:val="left"/>
              <w:rPr>
                <w:lang w:val="fr-FR"/>
              </w:rPr>
            </w:pPr>
            <w:r w:rsidRPr="004B2881">
              <w:rPr>
                <w:lang w:val="fr-FR"/>
              </w:rPr>
              <w:t>Participer au service universel</w:t>
            </w:r>
          </w:p>
        </w:tc>
        <w:tc>
          <w:tcPr>
            <w:tcW w:w="6804" w:type="dxa"/>
            <w:vMerge/>
          </w:tcPr>
          <w:p w:rsidR="00F07A93" w:rsidRPr="004B2881" w:rsidRDefault="00F07A93" w:rsidP="00B45921">
            <w:pPr>
              <w:spacing w:before="0"/>
              <w:jc w:val="left"/>
              <w:rPr>
                <w:sz w:val="24"/>
                <w:szCs w:val="24"/>
                <w:lang w:val="fr-FR"/>
              </w:rPr>
            </w:pPr>
          </w:p>
        </w:tc>
      </w:tr>
      <w:tr w:rsidR="00F07A93" w:rsidRPr="004E2CF1" w:rsidTr="009E0C9D">
        <w:trPr>
          <w:jc w:val="center"/>
        </w:trPr>
        <w:tc>
          <w:tcPr>
            <w:tcW w:w="2835" w:type="dxa"/>
          </w:tcPr>
          <w:p w:rsidR="00F07A93" w:rsidRPr="004B2881" w:rsidRDefault="00F07A93" w:rsidP="00F07A93">
            <w:pPr>
              <w:pStyle w:val="Tabletext"/>
              <w:jc w:val="left"/>
              <w:rPr>
                <w:lang w:val="fr-FR"/>
              </w:rPr>
            </w:pPr>
            <w:r w:rsidRPr="004B2881">
              <w:rPr>
                <w:lang w:val="fr-FR"/>
              </w:rPr>
              <w:t>Participer aux efforts de recherche et de développement dans le domaine des télécommunications</w:t>
            </w:r>
          </w:p>
        </w:tc>
        <w:tc>
          <w:tcPr>
            <w:tcW w:w="6804" w:type="dxa"/>
            <w:vMerge/>
          </w:tcPr>
          <w:p w:rsidR="00F07A93" w:rsidRPr="004B2881" w:rsidRDefault="00F07A93" w:rsidP="00B45921">
            <w:pPr>
              <w:spacing w:before="0"/>
              <w:jc w:val="left"/>
              <w:rPr>
                <w:sz w:val="24"/>
                <w:szCs w:val="24"/>
                <w:lang w:val="fr-FR"/>
              </w:rPr>
            </w:pPr>
          </w:p>
        </w:tc>
      </w:tr>
      <w:tr w:rsidR="00F07A93" w:rsidRPr="004E2CF1" w:rsidTr="009E0C9D">
        <w:trPr>
          <w:jc w:val="center"/>
        </w:trPr>
        <w:tc>
          <w:tcPr>
            <w:tcW w:w="2835" w:type="dxa"/>
          </w:tcPr>
          <w:p w:rsidR="00F07A93" w:rsidRPr="004B2881" w:rsidRDefault="00F07A93" w:rsidP="00F07A93">
            <w:pPr>
              <w:pStyle w:val="Tabletext"/>
              <w:jc w:val="left"/>
              <w:rPr>
                <w:lang w:val="fr-FR"/>
              </w:rPr>
            </w:pPr>
            <w:r w:rsidRPr="004B2881">
              <w:rPr>
                <w:lang w:val="fr-FR"/>
              </w:rPr>
              <w:t>Autres obligations (appel gratuit vers certains numéros, portabilité des numéros, contrôle du spectre …)</w:t>
            </w:r>
          </w:p>
        </w:tc>
        <w:tc>
          <w:tcPr>
            <w:tcW w:w="6804" w:type="dxa"/>
            <w:vMerge/>
          </w:tcPr>
          <w:p w:rsidR="00F07A93" w:rsidRPr="004B2881" w:rsidRDefault="00F07A93" w:rsidP="00B45921">
            <w:pPr>
              <w:spacing w:before="0"/>
              <w:jc w:val="left"/>
              <w:rPr>
                <w:sz w:val="24"/>
                <w:szCs w:val="24"/>
                <w:lang w:val="fr-FR"/>
              </w:rPr>
            </w:pPr>
          </w:p>
        </w:tc>
      </w:tr>
    </w:tbl>
    <w:p w:rsidR="009E0C9D" w:rsidRPr="004B2881" w:rsidRDefault="009E0C9D" w:rsidP="000A3545">
      <w:pPr>
        <w:pStyle w:val="FigureSource"/>
        <w:rPr>
          <w:lang w:val="fr-FR"/>
        </w:rPr>
      </w:pPr>
    </w:p>
    <w:p w:rsidR="00442D03" w:rsidRPr="004B2881" w:rsidRDefault="00442D03" w:rsidP="00996B72">
      <w:pPr>
        <w:rPr>
          <w:lang w:val="fr-FR"/>
        </w:rPr>
      </w:pPr>
    </w:p>
    <w:p w:rsidR="000F486E" w:rsidRPr="004B2881" w:rsidRDefault="000F486E">
      <w:pPr>
        <w:tabs>
          <w:tab w:val="clear" w:pos="794"/>
          <w:tab w:val="clear" w:pos="1191"/>
          <w:tab w:val="clear" w:pos="1588"/>
          <w:tab w:val="clear" w:pos="1985"/>
        </w:tabs>
        <w:overflowPunct/>
        <w:autoSpaceDE/>
        <w:autoSpaceDN/>
        <w:adjustRightInd/>
        <w:spacing w:before="0"/>
        <w:jc w:val="left"/>
        <w:textAlignment w:val="auto"/>
        <w:rPr>
          <w:b/>
          <w:sz w:val="24"/>
          <w:szCs w:val="24"/>
          <w:lang w:val="fr-FR"/>
        </w:rPr>
      </w:pPr>
      <w:r w:rsidRPr="004B2881">
        <w:rPr>
          <w:b/>
          <w:sz w:val="24"/>
          <w:szCs w:val="24"/>
          <w:lang w:val="fr-FR"/>
        </w:rPr>
        <w:br w:type="page"/>
      </w:r>
    </w:p>
    <w:p w:rsidR="000F486E" w:rsidRPr="00C95435" w:rsidDel="004D11AA" w:rsidRDefault="000F486E" w:rsidP="00747C94">
      <w:pPr>
        <w:pStyle w:val="AppendixNotitle"/>
        <w:rPr>
          <w:bCs/>
        </w:rPr>
      </w:pPr>
      <w:bookmarkStart w:id="132" w:name="_Toc280260011"/>
      <w:bookmarkStart w:id="133" w:name="_Toc280260873"/>
      <w:bookmarkStart w:id="134" w:name="_Toc280272472"/>
      <w:bookmarkStart w:id="135" w:name="_Toc284414143"/>
      <w:bookmarkStart w:id="136" w:name="_Toc286314887"/>
      <w:r w:rsidRPr="00C95435">
        <w:lastRenderedPageBreak/>
        <w:t>Appendi</w:t>
      </w:r>
      <w:r w:rsidR="00747C94" w:rsidRPr="00C95435">
        <w:t>ce</w:t>
      </w:r>
      <w:r w:rsidRPr="00C95435">
        <w:t xml:space="preserve"> 1.1</w:t>
      </w:r>
      <w:r w:rsidR="00C862A2" w:rsidRPr="00C95435">
        <w:t xml:space="preserve"> (</w:t>
      </w:r>
      <w:r w:rsidR="002A7B5E" w:rsidRPr="00C95435">
        <w:t>a</w:t>
      </w:r>
      <w:r w:rsidR="00747C94" w:rsidRPr="00C95435">
        <w:t>nglais</w:t>
      </w:r>
      <w:r w:rsidR="00C862A2" w:rsidRPr="00C95435">
        <w:t>)</w:t>
      </w:r>
      <w:r w:rsidRPr="00C95435">
        <w:br/>
      </w:r>
      <w:r w:rsidRPr="00C95435">
        <w:rPr>
          <w:bCs/>
          <w:sz w:val="24"/>
          <w:szCs w:val="24"/>
        </w:rPr>
        <w:br/>
      </w:r>
      <w:r w:rsidRPr="00C95435">
        <w:t>United Arab Emirates: Basic elements of spectrum fees policy</w:t>
      </w:r>
      <w:bookmarkEnd w:id="132"/>
      <w:bookmarkEnd w:id="133"/>
      <w:bookmarkEnd w:id="134"/>
      <w:bookmarkEnd w:id="135"/>
      <w:bookmarkEnd w:id="136"/>
    </w:p>
    <w:p w:rsidR="008168B7" w:rsidRPr="00C95435" w:rsidRDefault="008168B7" w:rsidP="008168B7"/>
    <w:p w:rsidR="000F486E" w:rsidRPr="00C95435" w:rsidRDefault="000F486E" w:rsidP="00CC5008">
      <w:pPr>
        <w:pStyle w:val="Heading1"/>
      </w:pPr>
      <w:bookmarkStart w:id="137" w:name="_Toc280260012"/>
      <w:bookmarkStart w:id="138" w:name="_Toc280260874"/>
      <w:bookmarkStart w:id="139" w:name="_Toc280272473"/>
      <w:bookmarkStart w:id="140" w:name="_Toc284414144"/>
      <w:bookmarkStart w:id="141" w:name="_Toc286314888"/>
      <w:r w:rsidRPr="00C95435">
        <w:t>Introduction</w:t>
      </w:r>
      <w:bookmarkEnd w:id="137"/>
      <w:bookmarkEnd w:id="138"/>
      <w:bookmarkEnd w:id="139"/>
      <w:bookmarkEnd w:id="140"/>
      <w:bookmarkEnd w:id="141"/>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This document and its to serve the work of preparing the Guidelines for the System of Fees for the Use of the Radio Frequency Spectrum, with the aim to give an actual &amp; comprehensive guidelines as well as example of Spectrum Fees Policy that could be helpful to consider or to use by some of the countries, in particular developing and least developed countries, while drafting new SF policies or revising them.</w:t>
      </w:r>
    </w:p>
    <w:p w:rsidR="000F486E" w:rsidRPr="00C95435" w:rsidRDefault="000F486E" w:rsidP="00CC5008">
      <w:pPr>
        <w:pStyle w:val="Heading1"/>
      </w:pPr>
      <w:bookmarkStart w:id="142" w:name="_Toc280260013"/>
      <w:bookmarkStart w:id="143" w:name="_Toc280260875"/>
      <w:bookmarkStart w:id="144" w:name="_Toc280272474"/>
      <w:bookmarkStart w:id="145" w:name="_Toc284414145"/>
      <w:bookmarkStart w:id="146" w:name="_Toc286314889"/>
      <w:r w:rsidRPr="00C95435">
        <w:t>Basic Elements of SF Policy</w:t>
      </w:r>
      <w:bookmarkEnd w:id="142"/>
      <w:bookmarkEnd w:id="143"/>
      <w:bookmarkEnd w:id="144"/>
      <w:bookmarkEnd w:id="145"/>
      <w:bookmarkEnd w:id="146"/>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 xml:space="preserve">It is very important to mention in the beginning of this document that there is ’no one solution fits all’ in spectrum economics. </w:t>
      </w:r>
      <w:r w:rsidRPr="00C95435">
        <w:rPr>
          <w:rFonts w:asciiTheme="majorBidi" w:hAnsiTheme="majorBidi" w:cstheme="majorBidi"/>
          <w:sz w:val="22"/>
          <w:szCs w:val="22"/>
          <w:u w:val="single"/>
        </w:rPr>
        <w:t>Each country has its own legal, regulatory and economic objectives, and prevalent conditions based on which a customized solution has to be prepared with provisions to improve upon and at the same time maintaining assurance of stability in the fees regime</w:t>
      </w:r>
      <w:r w:rsidRPr="00C95435">
        <w:rPr>
          <w:rFonts w:asciiTheme="majorBidi" w:hAnsiTheme="majorBidi" w:cstheme="majorBidi"/>
          <w:sz w:val="22"/>
          <w:szCs w:val="22"/>
        </w:rPr>
        <w:t xml:space="preserve">. </w:t>
      </w:r>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These guidelines propose some of the essential elements that are considered to be essential for any SF Policy:</w:t>
      </w:r>
    </w:p>
    <w:p w:rsidR="000F486E" w:rsidRPr="00C95435" w:rsidRDefault="000F486E" w:rsidP="00CC5008">
      <w:pPr>
        <w:pStyle w:val="Heading1"/>
      </w:pPr>
      <w:bookmarkStart w:id="147" w:name="_Toc280260014"/>
      <w:bookmarkStart w:id="148" w:name="_Toc280260876"/>
      <w:bookmarkStart w:id="149" w:name="_Toc280272475"/>
      <w:bookmarkStart w:id="150" w:name="_Toc284414146"/>
      <w:bookmarkStart w:id="151" w:name="_Toc286314890"/>
      <w:r w:rsidRPr="00C95435">
        <w:t>1</w:t>
      </w:r>
      <w:r w:rsidR="00CC5008" w:rsidRPr="00C95435">
        <w:tab/>
      </w:r>
      <w:r w:rsidRPr="00C95435">
        <w:t>Reference to the Law</w:t>
      </w:r>
      <w:bookmarkEnd w:id="147"/>
      <w:bookmarkEnd w:id="148"/>
      <w:bookmarkEnd w:id="149"/>
      <w:bookmarkEnd w:id="150"/>
      <w:bookmarkEnd w:id="151"/>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It is important to highlight in the beginning of SF Policy the LAW or the legal authority from where the power to charge for the spectrum management activities are derived.</w:t>
      </w:r>
    </w:p>
    <w:p w:rsidR="000F486E" w:rsidRPr="00C95435" w:rsidRDefault="000F486E" w:rsidP="00CC5008">
      <w:pPr>
        <w:pStyle w:val="Heading1"/>
      </w:pPr>
      <w:bookmarkStart w:id="152" w:name="_Toc280260015"/>
      <w:bookmarkStart w:id="153" w:name="_Toc280260877"/>
      <w:bookmarkStart w:id="154" w:name="_Toc280272476"/>
      <w:bookmarkStart w:id="155" w:name="_Toc284414147"/>
      <w:bookmarkStart w:id="156" w:name="_Toc286314891"/>
      <w:r w:rsidRPr="00C95435">
        <w:t>2</w:t>
      </w:r>
      <w:r w:rsidR="00CC5008" w:rsidRPr="00C95435">
        <w:tab/>
      </w:r>
      <w:r w:rsidRPr="00C95435">
        <w:t>Important Definitions</w:t>
      </w:r>
      <w:bookmarkEnd w:id="152"/>
      <w:bookmarkEnd w:id="153"/>
      <w:bookmarkEnd w:id="154"/>
      <w:bookmarkEnd w:id="155"/>
      <w:bookmarkEnd w:id="156"/>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It is important to have such part, not only to shorten the size of the Policy document but more importantly to remove any ambiguity on the meaning of any of the terms used.</w:t>
      </w:r>
    </w:p>
    <w:p w:rsidR="000F486E" w:rsidRPr="00C95435" w:rsidRDefault="000F486E" w:rsidP="00CC5008">
      <w:pPr>
        <w:pStyle w:val="Heading1"/>
      </w:pPr>
      <w:bookmarkStart w:id="157" w:name="_Toc280260016"/>
      <w:bookmarkStart w:id="158" w:name="_Toc280260878"/>
      <w:bookmarkStart w:id="159" w:name="_Toc280272477"/>
      <w:bookmarkStart w:id="160" w:name="_Toc284414148"/>
      <w:bookmarkStart w:id="161" w:name="_Toc286314892"/>
      <w:r w:rsidRPr="00C95435">
        <w:t>3</w:t>
      </w:r>
      <w:r w:rsidR="00CC5008" w:rsidRPr="00C95435">
        <w:tab/>
      </w:r>
      <w:r w:rsidRPr="00C95435">
        <w:t>Type of Fees</w:t>
      </w:r>
      <w:bookmarkEnd w:id="157"/>
      <w:bookmarkEnd w:id="158"/>
      <w:bookmarkEnd w:id="159"/>
      <w:bookmarkEnd w:id="160"/>
      <w:bookmarkEnd w:id="161"/>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It is useful to divide the fees categories of administrative fees for SM activities into components and details of the factors used for charging the spectrum usage fees; such as:</w:t>
      </w:r>
    </w:p>
    <w:p w:rsidR="000F486E" w:rsidRPr="00C95435" w:rsidRDefault="00CC5008" w:rsidP="00CC5008">
      <w:pPr>
        <w:pStyle w:val="Heading2"/>
      </w:pPr>
      <w:bookmarkStart w:id="162" w:name="_Toc280260017"/>
      <w:bookmarkStart w:id="163" w:name="_Toc280272478"/>
      <w:bookmarkStart w:id="164" w:name="_Toc284414149"/>
      <w:bookmarkStart w:id="165" w:name="_Toc286314893"/>
      <w:r w:rsidRPr="00C95435">
        <w:t>A</w:t>
      </w:r>
      <w:r w:rsidRPr="00C95435">
        <w:tab/>
      </w:r>
      <w:r w:rsidR="000F486E" w:rsidRPr="00C95435">
        <w:t>Basic Fees</w:t>
      </w:r>
      <w:bookmarkEnd w:id="162"/>
      <w:bookmarkEnd w:id="163"/>
      <w:bookmarkEnd w:id="164"/>
      <w:bookmarkEnd w:id="165"/>
    </w:p>
    <w:p w:rsidR="000F486E" w:rsidRPr="00C95435" w:rsidRDefault="00CC5008" w:rsidP="00CC5008">
      <w:pPr>
        <w:pStyle w:val="enumlev1"/>
      </w:pPr>
      <w:r w:rsidRPr="00C95435">
        <w:t>–</w:t>
      </w:r>
      <w:r w:rsidRPr="00C95435">
        <w:tab/>
      </w:r>
      <w:r w:rsidR="000F486E" w:rsidRPr="00C95435">
        <w:t>Application Processing Fees: flat non-refundable fee for processing the application irrespective of the final status.</w:t>
      </w:r>
    </w:p>
    <w:p w:rsidR="000F486E" w:rsidRPr="00C95435" w:rsidRDefault="00CC5008" w:rsidP="00CC5008">
      <w:pPr>
        <w:pStyle w:val="enumlev1"/>
      </w:pPr>
      <w:r w:rsidRPr="00C95435">
        <w:t>–</w:t>
      </w:r>
      <w:r w:rsidRPr="00C95435">
        <w:tab/>
      </w:r>
      <w:r w:rsidR="000F486E" w:rsidRPr="00C95435">
        <w:t>Spectrum Fees: fees relative to the utilization of the spectrum.</w:t>
      </w:r>
    </w:p>
    <w:p w:rsidR="000F486E" w:rsidRPr="00C95435" w:rsidRDefault="00CC5008" w:rsidP="00CC5008">
      <w:pPr>
        <w:pStyle w:val="Heading2"/>
      </w:pPr>
      <w:bookmarkStart w:id="166" w:name="_Toc280260018"/>
      <w:bookmarkStart w:id="167" w:name="_Toc280272479"/>
      <w:bookmarkStart w:id="168" w:name="_Toc284414150"/>
      <w:bookmarkStart w:id="169" w:name="_Toc286314894"/>
      <w:r w:rsidRPr="00C95435">
        <w:t>B</w:t>
      </w:r>
      <w:r w:rsidRPr="00C95435">
        <w:tab/>
      </w:r>
      <w:r w:rsidR="000F486E" w:rsidRPr="00C95435">
        <w:t>Additional Fees</w:t>
      </w:r>
      <w:bookmarkEnd w:id="166"/>
      <w:bookmarkEnd w:id="167"/>
      <w:bookmarkEnd w:id="168"/>
      <w:bookmarkEnd w:id="169"/>
    </w:p>
    <w:p w:rsidR="000F486E" w:rsidRPr="00C95435" w:rsidRDefault="00CC5008" w:rsidP="00CC5008">
      <w:pPr>
        <w:pStyle w:val="enumlev1"/>
      </w:pPr>
      <w:r w:rsidRPr="00C95435">
        <w:t>–</w:t>
      </w:r>
      <w:r w:rsidRPr="00C95435">
        <w:tab/>
      </w:r>
      <w:r w:rsidR="000F486E" w:rsidRPr="00C95435">
        <w:t>Reproduction, Modifications, Cancellation fees: the definition and applied fees for each should be specified.</w:t>
      </w:r>
    </w:p>
    <w:p w:rsidR="000F486E" w:rsidRPr="00C95435" w:rsidRDefault="00CC5008" w:rsidP="00CC5008">
      <w:pPr>
        <w:pStyle w:val="enumlev1"/>
      </w:pPr>
      <w:r w:rsidRPr="00C95435">
        <w:t>–</w:t>
      </w:r>
      <w:r w:rsidRPr="00C95435">
        <w:tab/>
      </w:r>
      <w:r w:rsidR="000F486E" w:rsidRPr="00C95435">
        <w:t xml:space="preserve">Other Fees due to special services requested from the Authority, such Interference Complaints processing and monitoring, Site Surveys, etc. </w:t>
      </w:r>
    </w:p>
    <w:p w:rsidR="000F486E" w:rsidRPr="00C95435" w:rsidRDefault="00CC5008" w:rsidP="00CC5008">
      <w:pPr>
        <w:pStyle w:val="Heading1"/>
      </w:pPr>
      <w:bookmarkStart w:id="170" w:name="_Toc280260019"/>
      <w:bookmarkStart w:id="171" w:name="_Toc280260879"/>
      <w:bookmarkStart w:id="172" w:name="_Toc280272480"/>
      <w:bookmarkStart w:id="173" w:name="_Toc284414151"/>
      <w:bookmarkStart w:id="174" w:name="_Toc286314895"/>
      <w:r w:rsidRPr="00C95435">
        <w:t>4</w:t>
      </w:r>
      <w:r w:rsidRPr="00C95435">
        <w:tab/>
      </w:r>
      <w:r w:rsidR="000F486E" w:rsidRPr="00C95435">
        <w:t>Method of payment</w:t>
      </w:r>
      <w:bookmarkEnd w:id="170"/>
      <w:bookmarkEnd w:id="171"/>
      <w:bookmarkEnd w:id="172"/>
      <w:bookmarkEnd w:id="173"/>
      <w:bookmarkEnd w:id="174"/>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It should be clear how the Authority would like to receive any of the above fees, for example:</w:t>
      </w:r>
    </w:p>
    <w:p w:rsidR="000F486E" w:rsidRPr="00C95435" w:rsidRDefault="00CC5008" w:rsidP="00CC5008">
      <w:pPr>
        <w:pStyle w:val="enumlev1"/>
      </w:pPr>
      <w:r w:rsidRPr="00C95435">
        <w:t>–</w:t>
      </w:r>
      <w:r w:rsidRPr="00C95435">
        <w:tab/>
      </w:r>
      <w:r w:rsidR="000F486E" w:rsidRPr="00C95435">
        <w:t>In advance or post payment, etc.</w:t>
      </w:r>
    </w:p>
    <w:p w:rsidR="000F486E" w:rsidRPr="004F63CA" w:rsidRDefault="00CC5008" w:rsidP="00CC5008">
      <w:pPr>
        <w:pStyle w:val="enumlev1"/>
        <w:rPr>
          <w:lang w:val="fr-CH"/>
        </w:rPr>
      </w:pPr>
      <w:r w:rsidRPr="004F63CA">
        <w:rPr>
          <w:lang w:val="fr-CH"/>
        </w:rPr>
        <w:t>–</w:t>
      </w:r>
      <w:r w:rsidRPr="004F63CA">
        <w:rPr>
          <w:lang w:val="fr-CH"/>
        </w:rPr>
        <w:tab/>
      </w:r>
      <w:r w:rsidR="000F486E" w:rsidRPr="004F63CA">
        <w:rPr>
          <w:lang w:val="fr-CH"/>
        </w:rPr>
        <w:t>Cheque, direct bank deposits, etc.</w:t>
      </w:r>
    </w:p>
    <w:p w:rsidR="000F486E" w:rsidRPr="00C95435" w:rsidRDefault="00CC5008" w:rsidP="00CC5008">
      <w:pPr>
        <w:pStyle w:val="enumlev1"/>
      </w:pPr>
      <w:r w:rsidRPr="00C95435">
        <w:lastRenderedPageBreak/>
        <w:t>–</w:t>
      </w:r>
      <w:r w:rsidRPr="00C95435">
        <w:tab/>
      </w:r>
      <w:r w:rsidR="000F486E" w:rsidRPr="00C95435">
        <w:t>Deadline before which the payment should be received the further actions to be taken if the deadline was not met.</w:t>
      </w:r>
    </w:p>
    <w:p w:rsidR="000F486E" w:rsidRPr="00C95435" w:rsidRDefault="00CC5008" w:rsidP="006C412F">
      <w:pPr>
        <w:pStyle w:val="Heading1"/>
      </w:pPr>
      <w:bookmarkStart w:id="175" w:name="_Toc280260020"/>
      <w:bookmarkStart w:id="176" w:name="_Toc280260880"/>
      <w:bookmarkStart w:id="177" w:name="_Toc280272481"/>
      <w:bookmarkStart w:id="178" w:name="_Toc284414152"/>
      <w:bookmarkStart w:id="179" w:name="_Toc286314896"/>
      <w:r w:rsidRPr="00C95435">
        <w:t>5</w:t>
      </w:r>
      <w:r w:rsidRPr="00C95435">
        <w:tab/>
      </w:r>
      <w:r w:rsidR="000F486E" w:rsidRPr="00C95435">
        <w:t>Fees Exemptions</w:t>
      </w:r>
      <w:bookmarkEnd w:id="175"/>
      <w:bookmarkEnd w:id="176"/>
      <w:bookmarkEnd w:id="177"/>
      <w:bookmarkEnd w:id="178"/>
      <w:bookmarkEnd w:id="179"/>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Exemption of any of the Fees for particular services and/or particular individuals should be indicated clearly in the policy along with any conditions associated with it.</w:t>
      </w:r>
    </w:p>
    <w:p w:rsidR="000F486E" w:rsidRPr="00C95435" w:rsidRDefault="000F486E" w:rsidP="00E76BAC">
      <w:pPr>
        <w:pStyle w:val="Heading1"/>
      </w:pPr>
      <w:bookmarkStart w:id="180" w:name="_Toc280260021"/>
      <w:bookmarkStart w:id="181" w:name="_Toc280260881"/>
      <w:bookmarkStart w:id="182" w:name="_Toc280272482"/>
      <w:bookmarkStart w:id="183" w:name="_Toc284414153"/>
      <w:bookmarkStart w:id="184" w:name="_Toc286314897"/>
      <w:r w:rsidRPr="00C95435">
        <w:t>6</w:t>
      </w:r>
      <w:r w:rsidR="00E76BAC" w:rsidRPr="00C95435">
        <w:tab/>
      </w:r>
      <w:r w:rsidRPr="00C95435">
        <w:t>Spectrum fees calculation</w:t>
      </w:r>
      <w:bookmarkEnd w:id="180"/>
      <w:bookmarkEnd w:id="181"/>
      <w:bookmarkEnd w:id="182"/>
      <w:bookmarkEnd w:id="183"/>
      <w:bookmarkEnd w:id="184"/>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The calculation of such fees should reflect both Administrative Cost for Spectrum Management activities, as well as the Spectrum Market value.</w:t>
      </w:r>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Method of calculating the Spectrum Fees should be given clearly for each service and its relevant frequency band(s), and should be based on a rational.</w:t>
      </w:r>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There are various calculation methods for Spectrum Fees, varying from having a flat rate to applying very complex formulas.</w:t>
      </w:r>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Some of the factors that could be considered in developing such calculations are:</w:t>
      </w:r>
    </w:p>
    <w:p w:rsidR="000F486E" w:rsidRPr="00C95435" w:rsidRDefault="00717B21" w:rsidP="00717B21">
      <w:pPr>
        <w:pStyle w:val="enumlev1"/>
      </w:pPr>
      <w:r w:rsidRPr="00C95435">
        <w:t>–</w:t>
      </w:r>
      <w:r w:rsidRPr="00C95435">
        <w:tab/>
      </w:r>
      <w:r w:rsidR="000F486E" w:rsidRPr="00C95435">
        <w:t>Frequency band (Spectrum demand and congestion)</w:t>
      </w:r>
    </w:p>
    <w:p w:rsidR="000F486E" w:rsidRPr="00C95435" w:rsidRDefault="00717B21" w:rsidP="00717B21">
      <w:pPr>
        <w:pStyle w:val="enumlev1"/>
      </w:pPr>
      <w:r w:rsidRPr="00C95435">
        <w:t>–</w:t>
      </w:r>
      <w:r w:rsidRPr="00C95435">
        <w:tab/>
      </w:r>
      <w:r w:rsidR="000F486E" w:rsidRPr="00C95435">
        <w:t>Bandwidth</w:t>
      </w:r>
    </w:p>
    <w:p w:rsidR="000F486E" w:rsidRPr="00C95435" w:rsidRDefault="00717B21" w:rsidP="00717B21">
      <w:pPr>
        <w:pStyle w:val="enumlev1"/>
      </w:pPr>
      <w:r w:rsidRPr="00C95435">
        <w:t>–</w:t>
      </w:r>
      <w:r w:rsidRPr="00C95435">
        <w:tab/>
      </w:r>
      <w:r w:rsidR="000F486E" w:rsidRPr="00C95435">
        <w:t>Power, Height, and resulted coverage area</w:t>
      </w:r>
    </w:p>
    <w:p w:rsidR="000F486E" w:rsidRPr="00C95435" w:rsidRDefault="00717B21" w:rsidP="00717B21">
      <w:pPr>
        <w:pStyle w:val="enumlev1"/>
      </w:pPr>
      <w:r w:rsidRPr="00C95435">
        <w:t>–</w:t>
      </w:r>
      <w:r w:rsidRPr="00C95435">
        <w:tab/>
      </w:r>
      <w:r w:rsidR="000F486E" w:rsidRPr="00C95435">
        <w:t>Location (Spectrum demand and congestion)</w:t>
      </w:r>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Bonus factors as well as special temporary discounts could be proposed to encourage the use of some bands or the introduction of particular services.</w:t>
      </w:r>
    </w:p>
    <w:p w:rsidR="000F486E" w:rsidRPr="00C95435" w:rsidRDefault="000F486E" w:rsidP="007A5A40">
      <w:pPr>
        <w:pStyle w:val="Heading1"/>
      </w:pPr>
      <w:bookmarkStart w:id="185" w:name="_Toc280260022"/>
      <w:bookmarkStart w:id="186" w:name="_Toc280260882"/>
      <w:bookmarkStart w:id="187" w:name="_Toc280272483"/>
      <w:bookmarkStart w:id="188" w:name="_Toc284414154"/>
      <w:bookmarkStart w:id="189" w:name="_Toc286314898"/>
      <w:r w:rsidRPr="00C95435">
        <w:t>7</w:t>
      </w:r>
      <w:r w:rsidR="00717B21" w:rsidRPr="00C95435">
        <w:tab/>
      </w:r>
      <w:r w:rsidRPr="00C95435">
        <w:t xml:space="preserve">Low Power </w:t>
      </w:r>
      <w:r w:rsidR="007A5A40" w:rsidRPr="00C95435">
        <w:t>and</w:t>
      </w:r>
      <w:r w:rsidRPr="00C95435">
        <w:t xml:space="preserve"> Short Range Devices</w:t>
      </w:r>
      <w:bookmarkEnd w:id="185"/>
      <w:bookmarkEnd w:id="186"/>
      <w:bookmarkEnd w:id="187"/>
      <w:bookmarkEnd w:id="188"/>
      <w:bookmarkEnd w:id="189"/>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Treatment of short range devices as well as services which are exempted from the above fees should also be clearly mentioned and any associated conditions could be specified.</w:t>
      </w:r>
    </w:p>
    <w:p w:rsidR="000F486E" w:rsidRPr="00C95435" w:rsidRDefault="000F486E" w:rsidP="00692EFE">
      <w:pPr>
        <w:pStyle w:val="Heading1"/>
      </w:pPr>
      <w:bookmarkStart w:id="190" w:name="_Toc280260023"/>
      <w:bookmarkStart w:id="191" w:name="_Toc280260883"/>
      <w:bookmarkStart w:id="192" w:name="_Toc280272484"/>
      <w:bookmarkStart w:id="193" w:name="_Toc284414155"/>
      <w:bookmarkStart w:id="194" w:name="_Toc286314899"/>
      <w:r w:rsidRPr="00C95435">
        <w:t>8</w:t>
      </w:r>
      <w:r w:rsidR="00692EFE" w:rsidRPr="00C95435">
        <w:tab/>
      </w:r>
      <w:r w:rsidRPr="00C95435">
        <w:t>Fees due to Cancellation, Reproduction, and Modification of an Authorization</w:t>
      </w:r>
      <w:bookmarkEnd w:id="190"/>
      <w:bookmarkEnd w:id="191"/>
      <w:bookmarkEnd w:id="192"/>
      <w:bookmarkEnd w:id="193"/>
      <w:bookmarkEnd w:id="194"/>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The definition and the associated fees, if any, of each should be clearly indicated.</w:t>
      </w:r>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Furthermore, it should be clear if a Modification results more Spectrum fees, how the difference to be paid by the user,</w:t>
      </w:r>
      <w:r w:rsidR="00C95435">
        <w:rPr>
          <w:rFonts w:asciiTheme="majorBidi" w:hAnsiTheme="majorBidi" w:cstheme="majorBidi"/>
          <w:sz w:val="22"/>
          <w:szCs w:val="22"/>
        </w:rPr>
        <w:t xml:space="preserve"> </w:t>
      </w:r>
      <w:r w:rsidRPr="00C95435">
        <w:rPr>
          <w:rFonts w:asciiTheme="majorBidi" w:hAnsiTheme="majorBidi" w:cstheme="majorBidi"/>
          <w:sz w:val="22"/>
          <w:szCs w:val="22"/>
        </w:rPr>
        <w:t>is calculated. And in case the modification results in less Spectrum fees wither the Telecom Authority has to reimburse the difference back to the user, and if that is the case how it</w:t>
      </w:r>
      <w:r w:rsidR="007A5A40" w:rsidRPr="00C95435">
        <w:rPr>
          <w:rFonts w:asciiTheme="majorBidi" w:hAnsiTheme="majorBidi" w:cstheme="majorBidi"/>
          <w:sz w:val="22"/>
          <w:szCs w:val="22"/>
        </w:rPr>
        <w:t xml:space="preserve"> should reimburse the amount.</w:t>
      </w:r>
    </w:p>
    <w:p w:rsidR="000F486E" w:rsidRPr="00C95435" w:rsidRDefault="000F486E" w:rsidP="00692EFE">
      <w:pPr>
        <w:pStyle w:val="Heading1"/>
      </w:pPr>
      <w:bookmarkStart w:id="195" w:name="_Toc280260024"/>
      <w:bookmarkStart w:id="196" w:name="_Toc280260884"/>
      <w:bookmarkStart w:id="197" w:name="_Toc280272485"/>
      <w:bookmarkStart w:id="198" w:name="_Toc284414156"/>
      <w:bookmarkStart w:id="199" w:name="_Toc286314900"/>
      <w:r w:rsidRPr="00C95435">
        <w:t>9</w:t>
      </w:r>
      <w:r w:rsidR="00692EFE" w:rsidRPr="00C95435">
        <w:tab/>
      </w:r>
      <w:r w:rsidRPr="00C95435">
        <w:t>Treatment of Emergency and Disaster frequencies</w:t>
      </w:r>
      <w:bookmarkEnd w:id="195"/>
      <w:bookmarkEnd w:id="196"/>
      <w:bookmarkEnd w:id="197"/>
      <w:bookmarkEnd w:id="198"/>
      <w:bookmarkEnd w:id="199"/>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It is maybe helpful to mention that all such authorized frequencies and equipments are exempted of any fees, or otherwise as the Authority wishes to treat such frequency usage.</w:t>
      </w:r>
    </w:p>
    <w:p w:rsidR="000F486E" w:rsidRPr="00C95435" w:rsidRDefault="000F486E" w:rsidP="00692EFE">
      <w:pPr>
        <w:pStyle w:val="Heading1"/>
      </w:pPr>
      <w:bookmarkStart w:id="200" w:name="_Toc280260025"/>
      <w:bookmarkStart w:id="201" w:name="_Toc280260885"/>
      <w:bookmarkStart w:id="202" w:name="_Toc280272486"/>
      <w:bookmarkStart w:id="203" w:name="_Toc284414157"/>
      <w:bookmarkStart w:id="204" w:name="_Toc286314901"/>
      <w:r w:rsidRPr="00C95435">
        <w:t>10</w:t>
      </w:r>
      <w:r w:rsidR="00692EFE" w:rsidRPr="00C95435">
        <w:tab/>
      </w:r>
      <w:r w:rsidRPr="00C95435">
        <w:t>Temporary Authorizations</w:t>
      </w:r>
      <w:bookmarkEnd w:id="200"/>
      <w:bookmarkEnd w:id="201"/>
      <w:bookmarkEnd w:id="202"/>
      <w:bookmarkEnd w:id="203"/>
      <w:bookmarkEnd w:id="204"/>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 xml:space="preserve">Calculation of fees to be applied for such cases should be clearly specified. </w:t>
      </w:r>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Minimum Fees, Minimum Time Unit used to calculate such Authorizations and other major associated conditions, maybe useful to indicate.</w:t>
      </w:r>
    </w:p>
    <w:p w:rsidR="000F486E" w:rsidRPr="00C95435" w:rsidRDefault="000F486E" w:rsidP="00692EFE">
      <w:pPr>
        <w:pStyle w:val="Heading1"/>
      </w:pPr>
      <w:bookmarkStart w:id="205" w:name="_Toc280260026"/>
      <w:bookmarkStart w:id="206" w:name="_Toc280260886"/>
      <w:bookmarkStart w:id="207" w:name="_Toc280272487"/>
      <w:bookmarkStart w:id="208" w:name="_Toc284414158"/>
      <w:bookmarkStart w:id="209" w:name="_Toc286314902"/>
      <w:r w:rsidRPr="00C95435">
        <w:lastRenderedPageBreak/>
        <w:t>11</w:t>
      </w:r>
      <w:r w:rsidR="00692EFE" w:rsidRPr="00C95435">
        <w:tab/>
      </w:r>
      <w:r w:rsidRPr="00C95435">
        <w:t>Catering for any other Radio Services that are not mentioned</w:t>
      </w:r>
      <w:bookmarkEnd w:id="205"/>
      <w:bookmarkEnd w:id="206"/>
      <w:bookmarkEnd w:id="207"/>
      <w:bookmarkEnd w:id="208"/>
      <w:bookmarkEnd w:id="209"/>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The Policy could include an Article that gives the Authority the total right to decide and apply the appropriate fees for any other Radio/wireless Services that are not mentioned in the policy.</w:t>
      </w:r>
    </w:p>
    <w:p w:rsidR="000F486E" w:rsidRPr="00C95435" w:rsidRDefault="000F486E" w:rsidP="00692EFE">
      <w:pPr>
        <w:pStyle w:val="Heading1"/>
      </w:pPr>
      <w:bookmarkStart w:id="210" w:name="_Toc280260027"/>
      <w:bookmarkStart w:id="211" w:name="_Toc280260887"/>
      <w:bookmarkStart w:id="212" w:name="_Toc280272488"/>
      <w:bookmarkStart w:id="213" w:name="_Toc284414159"/>
      <w:bookmarkStart w:id="214" w:name="_Toc286314903"/>
      <w:r w:rsidRPr="00C95435">
        <w:t>12</w:t>
      </w:r>
      <w:r w:rsidR="00692EFE" w:rsidRPr="00C95435">
        <w:tab/>
      </w:r>
      <w:r w:rsidRPr="00C95435">
        <w:t>Other Fees</w:t>
      </w:r>
      <w:bookmarkEnd w:id="210"/>
      <w:bookmarkEnd w:id="211"/>
      <w:bookmarkEnd w:id="212"/>
      <w:bookmarkEnd w:id="213"/>
      <w:bookmarkEnd w:id="214"/>
    </w:p>
    <w:p w:rsidR="000F486E" w:rsidRPr="00C95435" w:rsidRDefault="000F486E" w:rsidP="009227FD">
      <w:pPr>
        <w:pStyle w:val="CEONormal"/>
        <w:jc w:val="both"/>
        <w:rPr>
          <w:rFonts w:asciiTheme="majorBidi" w:hAnsiTheme="majorBidi" w:cstheme="majorBidi"/>
          <w:sz w:val="22"/>
          <w:szCs w:val="22"/>
        </w:rPr>
      </w:pPr>
      <w:r w:rsidRPr="00C95435">
        <w:rPr>
          <w:rFonts w:asciiTheme="majorBidi" w:hAnsiTheme="majorBidi" w:cstheme="majorBidi"/>
          <w:sz w:val="22"/>
          <w:szCs w:val="22"/>
        </w:rPr>
        <w:t>Applying of Fees due to special services requested from the Authority, such as Interference Complaints Processing and Monitoring, and making Site Surveys could be mentioned as well.</w:t>
      </w:r>
    </w:p>
    <w:p w:rsidR="006F46C2" w:rsidRPr="00C95435" w:rsidRDefault="006F46C2">
      <w:pPr>
        <w:tabs>
          <w:tab w:val="clear" w:pos="794"/>
          <w:tab w:val="clear" w:pos="1191"/>
          <w:tab w:val="clear" w:pos="1588"/>
          <w:tab w:val="clear" w:pos="1985"/>
        </w:tabs>
        <w:overflowPunct/>
        <w:autoSpaceDE/>
        <w:autoSpaceDN/>
        <w:adjustRightInd/>
        <w:spacing w:before="0"/>
        <w:jc w:val="left"/>
        <w:textAlignment w:val="auto"/>
        <w:rPr>
          <w:b/>
          <w:szCs w:val="19"/>
        </w:rPr>
      </w:pPr>
      <w:r w:rsidRPr="00C95435">
        <w:rPr>
          <w:b/>
          <w:szCs w:val="19"/>
        </w:rPr>
        <w:br w:type="page"/>
      </w:r>
    </w:p>
    <w:p w:rsidR="00A81A9F" w:rsidRPr="004B2881" w:rsidRDefault="00543677" w:rsidP="00FE38D5">
      <w:pPr>
        <w:pStyle w:val="AppendixNotitle"/>
        <w:rPr>
          <w:lang w:val="fr-FR"/>
        </w:rPr>
      </w:pPr>
      <w:bookmarkStart w:id="215" w:name="_Toc280260028"/>
      <w:bookmarkStart w:id="216" w:name="_Toc280260888"/>
      <w:bookmarkStart w:id="217" w:name="_Toc280272489"/>
      <w:bookmarkStart w:id="218" w:name="_Toc284414160"/>
      <w:bookmarkStart w:id="219" w:name="_Toc286314904"/>
      <w:r w:rsidRPr="004B2881">
        <w:rPr>
          <w:lang w:val="fr-FR"/>
        </w:rPr>
        <w:lastRenderedPageBreak/>
        <w:t>Appendice 1.1</w:t>
      </w:r>
      <w:r w:rsidR="00A81A9F" w:rsidRPr="004B2881">
        <w:rPr>
          <w:lang w:val="fr-FR"/>
        </w:rPr>
        <w:br/>
      </w:r>
      <w:r w:rsidR="00A81A9F" w:rsidRPr="004B2881">
        <w:rPr>
          <w:lang w:val="fr-FR"/>
        </w:rPr>
        <w:br/>
        <w:t xml:space="preserve">Emirats </w:t>
      </w:r>
      <w:r w:rsidR="00FE38D5" w:rsidRPr="004B2881">
        <w:rPr>
          <w:lang w:val="fr-FR"/>
        </w:rPr>
        <w:t>a</w:t>
      </w:r>
      <w:r w:rsidR="00A81A9F" w:rsidRPr="004B2881">
        <w:rPr>
          <w:lang w:val="fr-FR"/>
        </w:rPr>
        <w:t xml:space="preserve">rabes </w:t>
      </w:r>
      <w:r w:rsidR="00FE38D5" w:rsidRPr="004B2881">
        <w:rPr>
          <w:lang w:val="fr-FR"/>
        </w:rPr>
        <w:t>u</w:t>
      </w:r>
      <w:r w:rsidR="00A81A9F" w:rsidRPr="004B2881">
        <w:rPr>
          <w:lang w:val="fr-FR"/>
        </w:rPr>
        <w:t>nis:</w:t>
      </w:r>
      <w:r w:rsidR="00B902FB" w:rsidRPr="004B2881">
        <w:rPr>
          <w:lang w:val="fr-FR"/>
        </w:rPr>
        <w:t xml:space="preserve"> </w:t>
      </w:r>
      <w:r w:rsidR="00A81A9F" w:rsidRPr="004B2881">
        <w:rPr>
          <w:lang w:val="fr-FR"/>
        </w:rPr>
        <w:t>Eléments fondamentaux de la politique en matière</w:t>
      </w:r>
      <w:r w:rsidR="00B902FB" w:rsidRPr="004B2881">
        <w:rPr>
          <w:lang w:val="fr-FR"/>
        </w:rPr>
        <w:br/>
      </w:r>
      <w:r w:rsidR="00A81A9F" w:rsidRPr="004B2881">
        <w:rPr>
          <w:lang w:val="fr-FR"/>
        </w:rPr>
        <w:t>de redevances d'utilisation du spectre</w:t>
      </w:r>
      <w:bookmarkEnd w:id="215"/>
      <w:bookmarkEnd w:id="216"/>
      <w:bookmarkEnd w:id="217"/>
      <w:bookmarkEnd w:id="218"/>
      <w:bookmarkEnd w:id="219"/>
    </w:p>
    <w:p w:rsidR="00A81A9F" w:rsidRPr="004B2881" w:rsidRDefault="00A81A9F" w:rsidP="001401C6">
      <w:pPr>
        <w:pStyle w:val="Heading1"/>
        <w:rPr>
          <w:lang w:val="fr-FR"/>
        </w:rPr>
      </w:pPr>
      <w:bookmarkStart w:id="220" w:name="_Toc280260029"/>
      <w:bookmarkStart w:id="221" w:name="_Toc280260889"/>
      <w:bookmarkStart w:id="222" w:name="_Toc280272490"/>
      <w:bookmarkStart w:id="223" w:name="_Toc284414161"/>
      <w:bookmarkStart w:id="224" w:name="_Toc286314905"/>
      <w:r w:rsidRPr="004B2881">
        <w:rPr>
          <w:lang w:val="fr-FR"/>
        </w:rPr>
        <w:t>Introduction</w:t>
      </w:r>
      <w:bookmarkEnd w:id="220"/>
      <w:bookmarkEnd w:id="221"/>
      <w:bookmarkEnd w:id="222"/>
      <w:bookmarkEnd w:id="223"/>
      <w:bookmarkEnd w:id="224"/>
    </w:p>
    <w:p w:rsidR="00A81A9F" w:rsidRPr="004B2881" w:rsidRDefault="00A81A9F" w:rsidP="001401C6">
      <w:pPr>
        <w:rPr>
          <w:lang w:val="fr-FR"/>
        </w:rPr>
      </w:pPr>
      <w:r w:rsidRPr="004B2881">
        <w:rPr>
          <w:lang w:val="fr-FR"/>
        </w:rPr>
        <w:t>Le présent document et son Annexe, qui figurent dans le Document JGRES09/030, sont soumis en vue d'aider à élaborer les lignes directrices applicables au Système de redevances d'utilisation du spectre des fréquences radioélectriques, l'objectif étant d'établir des lignes directrices concrètes et complètes et de donner un exemple de politique en matière de redevances d'utilisation du spectre permettant d'aider certains pays, en particulier les pays en développement et les pays les moins avancés, à rédiger de nouvelles politiques de ce type ou réviser ces politiques.</w:t>
      </w:r>
    </w:p>
    <w:p w:rsidR="00A81A9F" w:rsidRPr="004B2881" w:rsidRDefault="00A81A9F" w:rsidP="001401C6">
      <w:pPr>
        <w:pStyle w:val="Heading1"/>
        <w:rPr>
          <w:lang w:val="fr-FR"/>
        </w:rPr>
      </w:pPr>
      <w:bookmarkStart w:id="225" w:name="_Toc280260030"/>
      <w:bookmarkStart w:id="226" w:name="_Toc280260890"/>
      <w:bookmarkStart w:id="227" w:name="_Toc280272491"/>
      <w:bookmarkStart w:id="228" w:name="_Toc284414162"/>
      <w:bookmarkStart w:id="229" w:name="_Toc286314906"/>
      <w:r w:rsidRPr="004B2881">
        <w:rPr>
          <w:lang w:val="fr-FR"/>
        </w:rPr>
        <w:t>Eléments fondamentaux de la politique en matière de redevances d'utilisation du spectre</w:t>
      </w:r>
      <w:bookmarkEnd w:id="225"/>
      <w:bookmarkEnd w:id="226"/>
      <w:bookmarkEnd w:id="227"/>
      <w:bookmarkEnd w:id="228"/>
      <w:bookmarkEnd w:id="229"/>
    </w:p>
    <w:p w:rsidR="00A81A9F" w:rsidRPr="004B2881" w:rsidRDefault="00A81A9F" w:rsidP="001401C6">
      <w:pPr>
        <w:rPr>
          <w:lang w:val="fr-FR"/>
        </w:rPr>
      </w:pPr>
      <w:r w:rsidRPr="004B2881">
        <w:rPr>
          <w:lang w:val="fr-FR"/>
        </w:rPr>
        <w:t xml:space="preserve">Il est très important de préciser dès le départ qu'il n'existe pas de solution unique concernant les aspects économiques de la gestion du spectre. </w:t>
      </w:r>
      <w:r w:rsidRPr="004B2881">
        <w:rPr>
          <w:u w:val="single"/>
          <w:lang w:val="fr-FR"/>
        </w:rPr>
        <w:t>Chaque pays a ses propres objectifs juridiques, réglementaires et économiques et des conditions spécifiques dont il faut tenir compte pour élaborer une solution adaptée contenant des dispositions pouvant être améliorées tout en assurant la stabilité du système de redevances</w:t>
      </w:r>
      <w:r w:rsidRPr="004B2881">
        <w:rPr>
          <w:lang w:val="fr-FR"/>
        </w:rPr>
        <w:t xml:space="preserve">. </w:t>
      </w:r>
    </w:p>
    <w:p w:rsidR="00A81A9F" w:rsidRPr="004B2881" w:rsidRDefault="00A81A9F" w:rsidP="001401C6">
      <w:pPr>
        <w:rPr>
          <w:lang w:val="fr-FR"/>
        </w:rPr>
      </w:pPr>
      <w:r w:rsidRPr="004B2881">
        <w:rPr>
          <w:lang w:val="fr-FR"/>
        </w:rPr>
        <w:t>Ces lignes directrices proposent certains éléments fondamentaux considérés comme étant indispensables pour l'établissement d'une politique en matière de redevances d'utilisation du spectre:</w:t>
      </w:r>
    </w:p>
    <w:p w:rsidR="00A81A9F" w:rsidRPr="004B2881" w:rsidRDefault="00A81A9F" w:rsidP="00E44BD9">
      <w:pPr>
        <w:pStyle w:val="Heading1"/>
        <w:rPr>
          <w:lang w:val="fr-FR"/>
        </w:rPr>
      </w:pPr>
      <w:bookmarkStart w:id="230" w:name="_Toc280260031"/>
      <w:bookmarkStart w:id="231" w:name="_Toc280260891"/>
      <w:bookmarkStart w:id="232" w:name="_Toc280272492"/>
      <w:bookmarkStart w:id="233" w:name="_Toc284414163"/>
      <w:bookmarkStart w:id="234" w:name="_Toc286314907"/>
      <w:r w:rsidRPr="004B2881">
        <w:rPr>
          <w:lang w:val="fr-FR"/>
        </w:rPr>
        <w:t>1</w:t>
      </w:r>
      <w:r w:rsidRPr="004B2881">
        <w:rPr>
          <w:lang w:val="fr-FR"/>
        </w:rPr>
        <w:tab/>
        <w:t>Référence à la législation</w:t>
      </w:r>
      <w:bookmarkEnd w:id="230"/>
      <w:bookmarkEnd w:id="231"/>
      <w:bookmarkEnd w:id="232"/>
      <w:bookmarkEnd w:id="233"/>
      <w:bookmarkEnd w:id="234"/>
    </w:p>
    <w:p w:rsidR="00A81A9F" w:rsidRPr="004B2881" w:rsidRDefault="00A81A9F" w:rsidP="00813B13">
      <w:pPr>
        <w:rPr>
          <w:lang w:val="fr-FR"/>
        </w:rPr>
      </w:pPr>
      <w:r w:rsidRPr="004B2881">
        <w:rPr>
          <w:lang w:val="fr-FR"/>
        </w:rPr>
        <w:t>Dans ce type de politique, il est important de commencer par indiquer la législation qui fixe les droits à percevoir pour la gestion du spectre ou l'autorité juridique qui est habilitée à les fixer.</w:t>
      </w:r>
    </w:p>
    <w:p w:rsidR="00A81A9F" w:rsidRPr="004B2881" w:rsidRDefault="00A81A9F" w:rsidP="00E44BD9">
      <w:pPr>
        <w:pStyle w:val="Heading1"/>
        <w:rPr>
          <w:lang w:val="fr-FR"/>
        </w:rPr>
      </w:pPr>
      <w:bookmarkStart w:id="235" w:name="_Toc280260032"/>
      <w:bookmarkStart w:id="236" w:name="_Toc280260892"/>
      <w:bookmarkStart w:id="237" w:name="_Toc280272493"/>
      <w:bookmarkStart w:id="238" w:name="_Toc284414164"/>
      <w:bookmarkStart w:id="239" w:name="_Toc286314908"/>
      <w:r w:rsidRPr="004B2881">
        <w:rPr>
          <w:lang w:val="fr-FR"/>
        </w:rPr>
        <w:t>2</w:t>
      </w:r>
      <w:r w:rsidRPr="004B2881">
        <w:rPr>
          <w:lang w:val="fr-FR"/>
        </w:rPr>
        <w:tab/>
        <w:t>Définitions importantes</w:t>
      </w:r>
      <w:bookmarkEnd w:id="235"/>
      <w:bookmarkEnd w:id="236"/>
      <w:bookmarkEnd w:id="237"/>
      <w:bookmarkEnd w:id="238"/>
      <w:bookmarkEnd w:id="239"/>
    </w:p>
    <w:p w:rsidR="00A81A9F" w:rsidRPr="004B2881" w:rsidRDefault="00A81A9F" w:rsidP="00813B13">
      <w:pPr>
        <w:rPr>
          <w:lang w:val="fr-FR"/>
        </w:rPr>
      </w:pPr>
      <w:r w:rsidRPr="004B2881">
        <w:rPr>
          <w:lang w:val="fr-FR"/>
        </w:rPr>
        <w:t>Cette partie permet, non seulement de réduire le volume du document relatif à la politique en question, mais, ce qui est plus important encore, de supprimer toute ambigüité quant à la signification des termes utilisés.</w:t>
      </w:r>
    </w:p>
    <w:p w:rsidR="00A81A9F" w:rsidRPr="004B2881" w:rsidRDefault="00A81A9F" w:rsidP="00E44BD9">
      <w:pPr>
        <w:pStyle w:val="Heading1"/>
        <w:rPr>
          <w:lang w:val="fr-FR"/>
        </w:rPr>
      </w:pPr>
      <w:bookmarkStart w:id="240" w:name="_Toc280260033"/>
      <w:bookmarkStart w:id="241" w:name="_Toc280260893"/>
      <w:bookmarkStart w:id="242" w:name="_Toc280272494"/>
      <w:bookmarkStart w:id="243" w:name="_Toc284414165"/>
      <w:bookmarkStart w:id="244" w:name="_Toc286314909"/>
      <w:r w:rsidRPr="004B2881">
        <w:rPr>
          <w:lang w:val="fr-FR"/>
        </w:rPr>
        <w:t>3</w:t>
      </w:r>
      <w:r w:rsidRPr="004B2881">
        <w:rPr>
          <w:lang w:val="fr-FR"/>
        </w:rPr>
        <w:tab/>
        <w:t>Type de redevances</w:t>
      </w:r>
      <w:bookmarkEnd w:id="240"/>
      <w:bookmarkEnd w:id="241"/>
      <w:bookmarkEnd w:id="242"/>
      <w:bookmarkEnd w:id="243"/>
      <w:bookmarkEnd w:id="244"/>
    </w:p>
    <w:p w:rsidR="00A81A9F" w:rsidRPr="004B2881" w:rsidRDefault="00A81A9F" w:rsidP="00813B13">
      <w:pPr>
        <w:rPr>
          <w:lang w:val="fr-FR"/>
        </w:rPr>
      </w:pPr>
      <w:r w:rsidRPr="004B2881">
        <w:rPr>
          <w:lang w:val="fr-FR"/>
        </w:rPr>
        <w:t>Il est utile de diviser les catégories de redevances administratives pour la gestion du spectre en composantes et en éléments détaillés utilisés pour percevoir les redevances d'utilisation du spectre, à savoir:</w:t>
      </w:r>
    </w:p>
    <w:p w:rsidR="00A81A9F" w:rsidRPr="004B2881" w:rsidRDefault="00A81A9F" w:rsidP="00813B13">
      <w:pPr>
        <w:pStyle w:val="Heading2"/>
        <w:rPr>
          <w:lang w:val="fr-FR"/>
        </w:rPr>
      </w:pPr>
      <w:bookmarkStart w:id="245" w:name="_Toc280260034"/>
      <w:bookmarkStart w:id="246" w:name="_Toc280272495"/>
      <w:bookmarkStart w:id="247" w:name="_Toc284414166"/>
      <w:bookmarkStart w:id="248" w:name="_Toc286314910"/>
      <w:r w:rsidRPr="004B2881">
        <w:rPr>
          <w:lang w:val="fr-FR"/>
        </w:rPr>
        <w:t>A</w:t>
      </w:r>
      <w:r w:rsidR="00813B13" w:rsidRPr="004B2881">
        <w:rPr>
          <w:lang w:val="fr-FR"/>
        </w:rPr>
        <w:tab/>
      </w:r>
      <w:r w:rsidRPr="004B2881">
        <w:rPr>
          <w:lang w:val="fr-FR"/>
        </w:rPr>
        <w:t>Redevances de base</w:t>
      </w:r>
      <w:bookmarkEnd w:id="245"/>
      <w:bookmarkEnd w:id="246"/>
      <w:bookmarkEnd w:id="247"/>
      <w:bookmarkEnd w:id="248"/>
    </w:p>
    <w:p w:rsidR="00A81A9F" w:rsidRPr="004B2881" w:rsidRDefault="009F0C09" w:rsidP="009F0C09">
      <w:pPr>
        <w:pStyle w:val="enumlev1"/>
        <w:rPr>
          <w:lang w:val="fr-FR"/>
        </w:rPr>
      </w:pPr>
      <w:r w:rsidRPr="004B2881">
        <w:rPr>
          <w:lang w:val="fr-FR"/>
        </w:rPr>
        <w:t>–</w:t>
      </w:r>
      <w:r w:rsidRPr="004B2881">
        <w:rPr>
          <w:lang w:val="fr-FR"/>
        </w:rPr>
        <w:tab/>
      </w:r>
      <w:r w:rsidR="00A81A9F" w:rsidRPr="004B2881">
        <w:rPr>
          <w:lang w:val="fr-FR"/>
        </w:rPr>
        <w:t>Redevances pour le traitement des demandes: redevances forfaitaires non remboursables pour le traitement des demandes quel que soit le statut final.</w:t>
      </w:r>
    </w:p>
    <w:p w:rsidR="00A81A9F" w:rsidRPr="004B2881" w:rsidRDefault="009F0C09" w:rsidP="009F0C09">
      <w:pPr>
        <w:pStyle w:val="enumlev1"/>
        <w:rPr>
          <w:lang w:val="fr-FR"/>
        </w:rPr>
      </w:pPr>
      <w:r w:rsidRPr="004B2881">
        <w:rPr>
          <w:lang w:val="fr-FR"/>
        </w:rPr>
        <w:t>–</w:t>
      </w:r>
      <w:r w:rsidRPr="004B2881">
        <w:rPr>
          <w:lang w:val="fr-FR"/>
        </w:rPr>
        <w:tab/>
      </w:r>
      <w:r w:rsidR="00A81A9F" w:rsidRPr="004B2881">
        <w:rPr>
          <w:lang w:val="fr-FR"/>
        </w:rPr>
        <w:t>Redevances d'utilisation du spectre: redevances liées à l'utilisation du spectre.</w:t>
      </w:r>
    </w:p>
    <w:p w:rsidR="00A81A9F" w:rsidRPr="004B2881" w:rsidRDefault="00A81A9F" w:rsidP="00813B13">
      <w:pPr>
        <w:pStyle w:val="Heading2"/>
        <w:rPr>
          <w:lang w:val="fr-FR"/>
        </w:rPr>
      </w:pPr>
      <w:bookmarkStart w:id="249" w:name="_Toc280260035"/>
      <w:bookmarkStart w:id="250" w:name="_Toc280272496"/>
      <w:bookmarkStart w:id="251" w:name="_Toc284414167"/>
      <w:bookmarkStart w:id="252" w:name="_Toc286314911"/>
      <w:r w:rsidRPr="004B2881">
        <w:rPr>
          <w:lang w:val="fr-FR"/>
        </w:rPr>
        <w:t>B</w:t>
      </w:r>
      <w:r w:rsidR="00813B13" w:rsidRPr="004B2881">
        <w:rPr>
          <w:lang w:val="fr-FR"/>
        </w:rPr>
        <w:tab/>
      </w:r>
      <w:r w:rsidRPr="004B2881">
        <w:rPr>
          <w:lang w:val="fr-FR"/>
        </w:rPr>
        <w:t>Redevances additionnelles</w:t>
      </w:r>
      <w:bookmarkEnd w:id="249"/>
      <w:bookmarkEnd w:id="250"/>
      <w:bookmarkEnd w:id="251"/>
      <w:bookmarkEnd w:id="252"/>
    </w:p>
    <w:p w:rsidR="00A81A9F" w:rsidRPr="004B2881" w:rsidRDefault="009F0C09" w:rsidP="009F0C09">
      <w:pPr>
        <w:pStyle w:val="enumlev1"/>
        <w:rPr>
          <w:lang w:val="fr-FR"/>
        </w:rPr>
      </w:pPr>
      <w:r w:rsidRPr="004B2881">
        <w:rPr>
          <w:lang w:val="fr-FR"/>
        </w:rPr>
        <w:t>–</w:t>
      </w:r>
      <w:r w:rsidRPr="004B2881">
        <w:rPr>
          <w:lang w:val="fr-FR"/>
        </w:rPr>
        <w:tab/>
      </w:r>
      <w:r w:rsidR="00A81A9F" w:rsidRPr="004B2881">
        <w:rPr>
          <w:lang w:val="fr-FR"/>
        </w:rPr>
        <w:t>Redevances afférentes à la reproduction, la modification et l'annulation: il convient de définir et de spécifier les redevances appliquées dans chaque cas.</w:t>
      </w:r>
    </w:p>
    <w:p w:rsidR="00A81A9F" w:rsidRPr="004B2881" w:rsidRDefault="009F0C09" w:rsidP="009F0C09">
      <w:pPr>
        <w:pStyle w:val="enumlev1"/>
        <w:rPr>
          <w:lang w:val="fr-FR"/>
        </w:rPr>
      </w:pPr>
      <w:r w:rsidRPr="004B2881">
        <w:rPr>
          <w:lang w:val="fr-FR"/>
        </w:rPr>
        <w:t>–</w:t>
      </w:r>
      <w:r w:rsidRPr="004B2881">
        <w:rPr>
          <w:lang w:val="fr-FR"/>
        </w:rPr>
        <w:tab/>
      </w:r>
      <w:r w:rsidR="00A81A9F" w:rsidRPr="004B2881">
        <w:rPr>
          <w:lang w:val="fr-FR"/>
        </w:rPr>
        <w:t xml:space="preserve">Autres redevances pour les services spéciaux demandés par l'Autorité, comme le traitement et le suivi des plaintes concernant les brouillages, les études de site, etc. </w:t>
      </w:r>
    </w:p>
    <w:p w:rsidR="00A81A9F" w:rsidRPr="004B2881" w:rsidRDefault="00A81A9F" w:rsidP="00E44BD9">
      <w:pPr>
        <w:pStyle w:val="Heading1"/>
        <w:rPr>
          <w:lang w:val="fr-FR"/>
        </w:rPr>
      </w:pPr>
      <w:bookmarkStart w:id="253" w:name="_Toc280260036"/>
      <w:bookmarkStart w:id="254" w:name="_Toc280260894"/>
      <w:bookmarkStart w:id="255" w:name="_Toc280272497"/>
      <w:bookmarkStart w:id="256" w:name="_Toc284414168"/>
      <w:bookmarkStart w:id="257" w:name="_Toc286314912"/>
      <w:r w:rsidRPr="004B2881">
        <w:rPr>
          <w:lang w:val="fr-FR"/>
        </w:rPr>
        <w:t>4</w:t>
      </w:r>
      <w:r w:rsidRPr="004B2881">
        <w:rPr>
          <w:lang w:val="fr-FR"/>
        </w:rPr>
        <w:tab/>
        <w:t>Mode de paiement</w:t>
      </w:r>
      <w:bookmarkEnd w:id="253"/>
      <w:bookmarkEnd w:id="254"/>
      <w:bookmarkEnd w:id="255"/>
      <w:bookmarkEnd w:id="256"/>
      <w:bookmarkEnd w:id="257"/>
    </w:p>
    <w:p w:rsidR="00A81A9F" w:rsidRPr="004B2881" w:rsidRDefault="00A81A9F" w:rsidP="00D43E5F">
      <w:pPr>
        <w:rPr>
          <w:lang w:val="fr-FR"/>
        </w:rPr>
      </w:pPr>
      <w:r w:rsidRPr="004B2881">
        <w:rPr>
          <w:lang w:val="fr-FR"/>
        </w:rPr>
        <w:t>Il faut préciser le mode de paiement choisi par l'Autorité pour la perception des redevances susmentionnées, par exemple:</w:t>
      </w:r>
    </w:p>
    <w:p w:rsidR="00A81A9F" w:rsidRPr="004B2881" w:rsidRDefault="00D43E5F" w:rsidP="0046640C">
      <w:pPr>
        <w:pStyle w:val="enumlev1"/>
        <w:rPr>
          <w:lang w:val="fr-FR"/>
        </w:rPr>
      </w:pPr>
      <w:r w:rsidRPr="004B2881">
        <w:rPr>
          <w:lang w:val="fr-FR"/>
        </w:rPr>
        <w:lastRenderedPageBreak/>
        <w:t>–</w:t>
      </w:r>
      <w:r w:rsidRPr="004B2881">
        <w:rPr>
          <w:lang w:val="fr-FR"/>
        </w:rPr>
        <w:tab/>
      </w:r>
      <w:r w:rsidR="00E76562" w:rsidRPr="004B2881">
        <w:rPr>
          <w:lang w:val="fr-FR"/>
        </w:rPr>
        <w:t>p</w:t>
      </w:r>
      <w:r w:rsidR="00A81A9F" w:rsidRPr="004B2881">
        <w:rPr>
          <w:lang w:val="fr-FR"/>
        </w:rPr>
        <w:t xml:space="preserve">aiement </w:t>
      </w:r>
      <w:r w:rsidR="0046640C" w:rsidRPr="004B2881">
        <w:rPr>
          <w:lang w:val="fr-FR"/>
        </w:rPr>
        <w:t>à l'avance ou postpaiement, etc.;</w:t>
      </w:r>
    </w:p>
    <w:p w:rsidR="00A81A9F" w:rsidRPr="004B2881" w:rsidRDefault="00D43E5F" w:rsidP="00D43E5F">
      <w:pPr>
        <w:pStyle w:val="enumlev1"/>
        <w:rPr>
          <w:lang w:val="fr-FR"/>
        </w:rPr>
      </w:pPr>
      <w:r w:rsidRPr="004B2881">
        <w:rPr>
          <w:lang w:val="fr-FR"/>
        </w:rPr>
        <w:t>–</w:t>
      </w:r>
      <w:r w:rsidRPr="004B2881">
        <w:rPr>
          <w:lang w:val="fr-FR"/>
        </w:rPr>
        <w:tab/>
      </w:r>
      <w:r w:rsidR="00E76562" w:rsidRPr="004B2881">
        <w:rPr>
          <w:lang w:val="fr-FR"/>
        </w:rPr>
        <w:t>c</w:t>
      </w:r>
      <w:r w:rsidR="00A81A9F" w:rsidRPr="004B2881">
        <w:rPr>
          <w:lang w:val="fr-FR"/>
        </w:rPr>
        <w:t>hèque, dépôts bancaires directs, etc.</w:t>
      </w:r>
      <w:r w:rsidR="0046640C" w:rsidRPr="004B2881">
        <w:rPr>
          <w:lang w:val="fr-FR"/>
        </w:rPr>
        <w:t>;</w:t>
      </w:r>
    </w:p>
    <w:p w:rsidR="00A81A9F" w:rsidRPr="004B2881" w:rsidRDefault="00D43E5F" w:rsidP="00D43E5F">
      <w:pPr>
        <w:pStyle w:val="enumlev1"/>
        <w:rPr>
          <w:lang w:val="fr-FR"/>
        </w:rPr>
      </w:pPr>
      <w:r w:rsidRPr="004B2881">
        <w:rPr>
          <w:lang w:val="fr-FR"/>
        </w:rPr>
        <w:t>–</w:t>
      </w:r>
      <w:r w:rsidRPr="004B2881">
        <w:rPr>
          <w:lang w:val="fr-FR"/>
        </w:rPr>
        <w:tab/>
      </w:r>
      <w:r w:rsidR="00E76562" w:rsidRPr="004B2881">
        <w:rPr>
          <w:lang w:val="fr-FR"/>
        </w:rPr>
        <w:t>d</w:t>
      </w:r>
      <w:r w:rsidR="00A81A9F" w:rsidRPr="004B2881">
        <w:rPr>
          <w:lang w:val="fr-FR"/>
        </w:rPr>
        <w:t>ate limite avant laquelle le paiement doit être effectué, mesures à prendre si le délai n'est pas respecté.</w:t>
      </w:r>
    </w:p>
    <w:p w:rsidR="00A81A9F" w:rsidRPr="004B2881" w:rsidRDefault="00A81A9F" w:rsidP="00E44BD9">
      <w:pPr>
        <w:pStyle w:val="Heading1"/>
        <w:rPr>
          <w:lang w:val="fr-FR"/>
        </w:rPr>
      </w:pPr>
      <w:bookmarkStart w:id="258" w:name="_Toc280260037"/>
      <w:bookmarkStart w:id="259" w:name="_Toc280260895"/>
      <w:bookmarkStart w:id="260" w:name="_Toc280272498"/>
      <w:bookmarkStart w:id="261" w:name="_Toc284414169"/>
      <w:bookmarkStart w:id="262" w:name="_Toc286314913"/>
      <w:r w:rsidRPr="004B2881">
        <w:rPr>
          <w:lang w:val="fr-FR"/>
        </w:rPr>
        <w:t>5</w:t>
      </w:r>
      <w:r w:rsidRPr="004B2881">
        <w:rPr>
          <w:lang w:val="fr-FR"/>
        </w:rPr>
        <w:tab/>
        <w:t>Exemption de redevances</w:t>
      </w:r>
      <w:bookmarkEnd w:id="258"/>
      <w:bookmarkEnd w:id="259"/>
      <w:bookmarkEnd w:id="260"/>
      <w:bookmarkEnd w:id="261"/>
      <w:bookmarkEnd w:id="262"/>
    </w:p>
    <w:p w:rsidR="00A81A9F" w:rsidRPr="004B2881" w:rsidRDefault="00A81A9F" w:rsidP="00E44BD9">
      <w:pPr>
        <w:rPr>
          <w:lang w:val="fr-FR"/>
        </w:rPr>
      </w:pPr>
      <w:r w:rsidRPr="004B2881">
        <w:rPr>
          <w:lang w:val="fr-FR"/>
        </w:rPr>
        <w:t>L'exemption de tout type de redevances pour des services spécifiques et/ou des personnes données doit être clairement indiquée dans la politique ainsi que les conditions qui y sont associées.</w:t>
      </w:r>
    </w:p>
    <w:p w:rsidR="00A81A9F" w:rsidRPr="004B2881" w:rsidRDefault="00F167D3" w:rsidP="00F167D3">
      <w:pPr>
        <w:pStyle w:val="Heading1"/>
        <w:rPr>
          <w:lang w:val="fr-FR"/>
        </w:rPr>
      </w:pPr>
      <w:bookmarkStart w:id="263" w:name="_Toc280260038"/>
      <w:bookmarkStart w:id="264" w:name="_Toc280260896"/>
      <w:bookmarkStart w:id="265" w:name="_Toc280272499"/>
      <w:bookmarkStart w:id="266" w:name="_Toc284414170"/>
      <w:bookmarkStart w:id="267" w:name="_Toc286314914"/>
      <w:r w:rsidRPr="004B2881">
        <w:rPr>
          <w:lang w:val="fr-FR"/>
        </w:rPr>
        <w:t>6</w:t>
      </w:r>
      <w:r w:rsidR="00A81A9F" w:rsidRPr="004B2881">
        <w:rPr>
          <w:lang w:val="fr-FR"/>
        </w:rPr>
        <w:tab/>
        <w:t>Calcul des redevances d'utilisation du spectre</w:t>
      </w:r>
      <w:bookmarkEnd w:id="263"/>
      <w:bookmarkEnd w:id="264"/>
      <w:bookmarkEnd w:id="265"/>
      <w:bookmarkEnd w:id="266"/>
      <w:bookmarkEnd w:id="267"/>
    </w:p>
    <w:p w:rsidR="00A81A9F" w:rsidRPr="004B2881" w:rsidRDefault="00A81A9F" w:rsidP="00A81A9F">
      <w:pPr>
        <w:rPr>
          <w:lang w:val="fr-FR"/>
        </w:rPr>
      </w:pPr>
      <w:r w:rsidRPr="004B2881">
        <w:rPr>
          <w:lang w:val="fr-FR"/>
        </w:rPr>
        <w:t>Pour calculer ces redevances, il faut tenir compte à la fois des frais administratifs de gestion du spectre et de la valeur du marché du spectre.</w:t>
      </w:r>
    </w:p>
    <w:p w:rsidR="00A81A9F" w:rsidRPr="004B2881" w:rsidRDefault="00A81A9F" w:rsidP="00A81A9F">
      <w:pPr>
        <w:rPr>
          <w:lang w:val="fr-FR"/>
        </w:rPr>
      </w:pPr>
      <w:r w:rsidRPr="004B2881">
        <w:rPr>
          <w:lang w:val="fr-FR"/>
        </w:rPr>
        <w:t>La méthode de calcul de ces redevances doit être clairement définie pour chaque service et sa (ses) bande(s) de fréquences pertinente(s) et doit être fondée sur une logique.</w:t>
      </w:r>
    </w:p>
    <w:p w:rsidR="00A81A9F" w:rsidRPr="004B2881" w:rsidRDefault="00A81A9F" w:rsidP="00A81A9F">
      <w:pPr>
        <w:rPr>
          <w:lang w:val="fr-FR"/>
        </w:rPr>
      </w:pPr>
      <w:r w:rsidRPr="004B2881">
        <w:rPr>
          <w:lang w:val="fr-FR"/>
        </w:rPr>
        <w:t>Il existe différentes méthodes de calcul allant du forfait à des formules très complexes.</w:t>
      </w:r>
    </w:p>
    <w:p w:rsidR="00A81A9F" w:rsidRPr="004B2881" w:rsidRDefault="00A81A9F" w:rsidP="00A81A9F">
      <w:pPr>
        <w:rPr>
          <w:lang w:val="fr-FR"/>
        </w:rPr>
      </w:pPr>
      <w:r w:rsidRPr="004B2881">
        <w:rPr>
          <w:lang w:val="fr-FR"/>
        </w:rPr>
        <w:t>Pour ces calculs, on pourrait tenir compte entre autres des facteurs suivants:</w:t>
      </w:r>
    </w:p>
    <w:p w:rsidR="00A81A9F" w:rsidRPr="004B2881" w:rsidRDefault="00F167D3" w:rsidP="00F167D3">
      <w:pPr>
        <w:pStyle w:val="enumlev1"/>
        <w:rPr>
          <w:lang w:val="fr-FR"/>
        </w:rPr>
      </w:pPr>
      <w:r w:rsidRPr="004B2881">
        <w:rPr>
          <w:lang w:val="fr-FR"/>
        </w:rPr>
        <w:t>–</w:t>
      </w:r>
      <w:r w:rsidRPr="004B2881">
        <w:rPr>
          <w:lang w:val="fr-FR"/>
        </w:rPr>
        <w:tab/>
      </w:r>
      <w:r w:rsidR="00A81A9F" w:rsidRPr="004B2881">
        <w:rPr>
          <w:lang w:val="fr-FR"/>
        </w:rPr>
        <w:t>Bande de fréquences (demande de fréquences et encombrement du spectre).</w:t>
      </w:r>
    </w:p>
    <w:p w:rsidR="00A81A9F" w:rsidRPr="004B2881" w:rsidRDefault="00F167D3" w:rsidP="00F167D3">
      <w:pPr>
        <w:pStyle w:val="enumlev1"/>
        <w:rPr>
          <w:lang w:val="fr-FR"/>
        </w:rPr>
      </w:pPr>
      <w:r w:rsidRPr="004B2881">
        <w:rPr>
          <w:lang w:val="fr-FR"/>
        </w:rPr>
        <w:t>–</w:t>
      </w:r>
      <w:r w:rsidRPr="004B2881">
        <w:rPr>
          <w:lang w:val="fr-FR"/>
        </w:rPr>
        <w:tab/>
      </w:r>
      <w:r w:rsidR="00A81A9F" w:rsidRPr="004B2881">
        <w:rPr>
          <w:lang w:val="fr-FR"/>
        </w:rPr>
        <w:t>Largeur de bande.</w:t>
      </w:r>
    </w:p>
    <w:p w:rsidR="00A81A9F" w:rsidRPr="004B2881" w:rsidRDefault="00F167D3" w:rsidP="00F167D3">
      <w:pPr>
        <w:pStyle w:val="enumlev1"/>
        <w:rPr>
          <w:lang w:val="fr-FR"/>
        </w:rPr>
      </w:pPr>
      <w:r w:rsidRPr="004B2881">
        <w:rPr>
          <w:lang w:val="fr-FR"/>
        </w:rPr>
        <w:t>–</w:t>
      </w:r>
      <w:r w:rsidRPr="004B2881">
        <w:rPr>
          <w:lang w:val="fr-FR"/>
        </w:rPr>
        <w:tab/>
      </w:r>
      <w:r w:rsidR="00A81A9F" w:rsidRPr="004B2881">
        <w:rPr>
          <w:lang w:val="fr-FR"/>
        </w:rPr>
        <w:t>Puissance, hauteur et zone de couverture.</w:t>
      </w:r>
    </w:p>
    <w:p w:rsidR="00A81A9F" w:rsidRPr="004B2881" w:rsidRDefault="00F167D3" w:rsidP="00F167D3">
      <w:pPr>
        <w:pStyle w:val="enumlev1"/>
        <w:rPr>
          <w:lang w:val="fr-FR"/>
        </w:rPr>
      </w:pPr>
      <w:r w:rsidRPr="004B2881">
        <w:rPr>
          <w:lang w:val="fr-FR"/>
        </w:rPr>
        <w:t>–</w:t>
      </w:r>
      <w:r w:rsidRPr="004B2881">
        <w:rPr>
          <w:lang w:val="fr-FR"/>
        </w:rPr>
        <w:tab/>
      </w:r>
      <w:r w:rsidR="00A81A9F" w:rsidRPr="004B2881">
        <w:rPr>
          <w:lang w:val="fr-FR"/>
        </w:rPr>
        <w:t>Lieu (demande de fréquences et encombrement du spectre).</w:t>
      </w:r>
    </w:p>
    <w:p w:rsidR="00A81A9F" w:rsidRPr="004B2881" w:rsidRDefault="00A81A9F" w:rsidP="00A81A9F">
      <w:pPr>
        <w:rPr>
          <w:lang w:val="fr-FR"/>
        </w:rPr>
      </w:pPr>
      <w:r w:rsidRPr="004B2881">
        <w:rPr>
          <w:lang w:val="fr-FR"/>
        </w:rPr>
        <w:t xml:space="preserve">Des primes ainsi que des réductions temporaires spéciales pourraient être proposées pour encourager l'utilisation de certaines bandes ou la mise en </w:t>
      </w:r>
      <w:r w:rsidR="0046640C" w:rsidRPr="004B2881">
        <w:rPr>
          <w:lang w:val="fr-FR"/>
        </w:rPr>
        <w:t>œ</w:t>
      </w:r>
      <w:r w:rsidRPr="004B2881">
        <w:rPr>
          <w:lang w:val="fr-FR"/>
        </w:rPr>
        <w:t>uvre de services spécifiques.</w:t>
      </w:r>
    </w:p>
    <w:p w:rsidR="00A81A9F" w:rsidRPr="004B2881" w:rsidRDefault="00A81A9F" w:rsidP="000475D2">
      <w:pPr>
        <w:pStyle w:val="Heading1"/>
        <w:rPr>
          <w:lang w:val="fr-FR"/>
        </w:rPr>
      </w:pPr>
      <w:bookmarkStart w:id="268" w:name="_Toc280260039"/>
      <w:bookmarkStart w:id="269" w:name="_Toc280260897"/>
      <w:bookmarkStart w:id="270" w:name="_Toc280272500"/>
      <w:bookmarkStart w:id="271" w:name="_Toc284414171"/>
      <w:bookmarkStart w:id="272" w:name="_Toc286314915"/>
      <w:r w:rsidRPr="004B2881">
        <w:rPr>
          <w:lang w:val="fr-FR"/>
        </w:rPr>
        <w:t>7</w:t>
      </w:r>
      <w:r w:rsidRPr="004B2881">
        <w:rPr>
          <w:lang w:val="fr-FR"/>
        </w:rPr>
        <w:tab/>
        <w:t>Dispositifs à faible puissance et à faible portée</w:t>
      </w:r>
      <w:bookmarkEnd w:id="268"/>
      <w:bookmarkEnd w:id="269"/>
      <w:bookmarkEnd w:id="270"/>
      <w:bookmarkEnd w:id="271"/>
      <w:bookmarkEnd w:id="272"/>
    </w:p>
    <w:p w:rsidR="00A81A9F" w:rsidRPr="004B2881" w:rsidRDefault="00A81A9F" w:rsidP="00A81A9F">
      <w:pPr>
        <w:rPr>
          <w:lang w:val="fr-FR"/>
        </w:rPr>
      </w:pPr>
      <w:r w:rsidRPr="004B2881">
        <w:rPr>
          <w:lang w:val="fr-FR"/>
        </w:rPr>
        <w:t>Le traitement des dispositifs à faible portée ainsi que des services qui bénéficient de l'exemption des redevances susmentionnées devrait également être clairement défini et les conditions associées pourraient être spécifiées.</w:t>
      </w:r>
    </w:p>
    <w:p w:rsidR="00A81A9F" w:rsidRPr="004B2881" w:rsidRDefault="00A81A9F" w:rsidP="000475D2">
      <w:pPr>
        <w:pStyle w:val="Heading1"/>
        <w:rPr>
          <w:lang w:val="fr-FR"/>
        </w:rPr>
      </w:pPr>
      <w:bookmarkStart w:id="273" w:name="_Toc280260040"/>
      <w:bookmarkStart w:id="274" w:name="_Toc280260898"/>
      <w:bookmarkStart w:id="275" w:name="_Toc280272501"/>
      <w:bookmarkStart w:id="276" w:name="_Toc284414172"/>
      <w:bookmarkStart w:id="277" w:name="_Toc286314916"/>
      <w:r w:rsidRPr="004B2881">
        <w:rPr>
          <w:lang w:val="fr-FR"/>
        </w:rPr>
        <w:t>8</w:t>
      </w:r>
      <w:r w:rsidRPr="004B2881">
        <w:rPr>
          <w:lang w:val="fr-FR"/>
        </w:rPr>
        <w:tab/>
        <w:t>Redevances afférentes à l'annulation, la reproduction et la modification d'une autorisation</w:t>
      </w:r>
      <w:bookmarkEnd w:id="273"/>
      <w:bookmarkEnd w:id="274"/>
      <w:bookmarkEnd w:id="275"/>
      <w:bookmarkEnd w:id="276"/>
      <w:bookmarkEnd w:id="277"/>
    </w:p>
    <w:p w:rsidR="00A81A9F" w:rsidRPr="004B2881" w:rsidRDefault="00A81A9F" w:rsidP="00A81A9F">
      <w:pPr>
        <w:rPr>
          <w:lang w:val="fr-FR"/>
        </w:rPr>
      </w:pPr>
      <w:r w:rsidRPr="004B2881">
        <w:rPr>
          <w:lang w:val="fr-FR"/>
        </w:rPr>
        <w:t>Il convient de définir et de spécifier les redevances éventuelles associées dans chaque cas.</w:t>
      </w:r>
    </w:p>
    <w:p w:rsidR="00A81A9F" w:rsidRPr="004B2881" w:rsidRDefault="00A81A9F" w:rsidP="00A81A9F">
      <w:pPr>
        <w:rPr>
          <w:lang w:val="fr-FR"/>
        </w:rPr>
      </w:pPr>
      <w:r w:rsidRPr="004B2881">
        <w:rPr>
          <w:lang w:val="fr-FR"/>
        </w:rPr>
        <w:t xml:space="preserve">En outre, il convient de préciser, dans le cas où une modification entraîne une augmentation des redevances d'utilisation du spectre, comment est calculée la différence que doit payer l'utilisateur. Dans le cas où la modification entraîne une diminution des redevances d'utilisation du spectre et que l'Autorité des </w:t>
      </w:r>
      <w:r w:rsidRPr="004B2881">
        <w:rPr>
          <w:szCs w:val="24"/>
          <w:lang w:val="fr-FR"/>
        </w:rPr>
        <w:t>télécommunications</w:t>
      </w:r>
      <w:r w:rsidRPr="004B2881">
        <w:rPr>
          <w:lang w:val="fr-FR"/>
        </w:rPr>
        <w:t xml:space="preserve"> doit rembourser la différence à l'utilisateur, il convient d'indiquer comment elle doit rembourser cette somme. </w:t>
      </w:r>
    </w:p>
    <w:p w:rsidR="00A81A9F" w:rsidRPr="004B2881" w:rsidRDefault="00A81A9F" w:rsidP="000475D2">
      <w:pPr>
        <w:pStyle w:val="Heading1"/>
        <w:rPr>
          <w:lang w:val="fr-FR"/>
        </w:rPr>
      </w:pPr>
      <w:bookmarkStart w:id="278" w:name="_Toc280260041"/>
      <w:bookmarkStart w:id="279" w:name="_Toc280260899"/>
      <w:bookmarkStart w:id="280" w:name="_Toc280272502"/>
      <w:bookmarkStart w:id="281" w:name="_Toc284414173"/>
      <w:bookmarkStart w:id="282" w:name="_Toc286314917"/>
      <w:r w:rsidRPr="004B2881">
        <w:rPr>
          <w:lang w:val="fr-FR"/>
        </w:rPr>
        <w:t>9</w:t>
      </w:r>
      <w:r w:rsidRPr="004B2881">
        <w:rPr>
          <w:lang w:val="fr-FR"/>
        </w:rPr>
        <w:tab/>
        <w:t>Traitement des fréquences d'urgence et de détresse</w:t>
      </w:r>
      <w:bookmarkEnd w:id="278"/>
      <w:bookmarkEnd w:id="279"/>
      <w:bookmarkEnd w:id="280"/>
      <w:bookmarkEnd w:id="281"/>
      <w:bookmarkEnd w:id="282"/>
    </w:p>
    <w:p w:rsidR="00A81A9F" w:rsidRPr="004B2881" w:rsidRDefault="00A81A9F" w:rsidP="00A81A9F">
      <w:pPr>
        <w:rPr>
          <w:lang w:val="fr-FR"/>
        </w:rPr>
      </w:pPr>
      <w:r w:rsidRPr="004B2881">
        <w:rPr>
          <w:lang w:val="fr-FR"/>
        </w:rPr>
        <w:t>Il peut être utile d'indiquer que les fréquences et les équipements autorisés de ce type bénéficient d'une exemption de redevances, ou de donner des indications sur la façon dont l'Autorité entend traiter l'utilisation de ces fréquences.</w:t>
      </w:r>
    </w:p>
    <w:p w:rsidR="00A81A9F" w:rsidRPr="004B2881" w:rsidRDefault="00A81A9F" w:rsidP="000475D2">
      <w:pPr>
        <w:pStyle w:val="Heading1"/>
        <w:rPr>
          <w:lang w:val="fr-FR"/>
        </w:rPr>
      </w:pPr>
      <w:bookmarkStart w:id="283" w:name="_Toc280260042"/>
      <w:bookmarkStart w:id="284" w:name="_Toc280260900"/>
      <w:bookmarkStart w:id="285" w:name="_Toc280272503"/>
      <w:bookmarkStart w:id="286" w:name="_Toc284414174"/>
      <w:bookmarkStart w:id="287" w:name="_Toc286314918"/>
      <w:r w:rsidRPr="004B2881">
        <w:rPr>
          <w:lang w:val="fr-FR"/>
        </w:rPr>
        <w:t>10</w:t>
      </w:r>
      <w:r w:rsidRPr="004B2881">
        <w:rPr>
          <w:lang w:val="fr-FR"/>
        </w:rPr>
        <w:tab/>
        <w:t>Autorisations temporaires</w:t>
      </w:r>
      <w:bookmarkEnd w:id="283"/>
      <w:bookmarkEnd w:id="284"/>
      <w:bookmarkEnd w:id="285"/>
      <w:bookmarkEnd w:id="286"/>
      <w:bookmarkEnd w:id="287"/>
    </w:p>
    <w:p w:rsidR="00A81A9F" w:rsidRPr="004B2881" w:rsidRDefault="00A81A9F" w:rsidP="00A81A9F">
      <w:pPr>
        <w:rPr>
          <w:lang w:val="fr-FR"/>
        </w:rPr>
      </w:pPr>
      <w:r w:rsidRPr="004B2881">
        <w:rPr>
          <w:lang w:val="fr-FR"/>
        </w:rPr>
        <w:t xml:space="preserve">Il convient de définir clairement le calcul des redevances à appliquer en pareils cas. </w:t>
      </w:r>
    </w:p>
    <w:p w:rsidR="00A81A9F" w:rsidRPr="004B2881" w:rsidRDefault="00A81A9F" w:rsidP="00A81A9F">
      <w:pPr>
        <w:rPr>
          <w:lang w:val="fr-FR"/>
        </w:rPr>
      </w:pPr>
      <w:r w:rsidRPr="004B2881">
        <w:rPr>
          <w:lang w:val="fr-FR"/>
        </w:rPr>
        <w:t>Il peut être utile d'indiquer les redevances minimales, l'unité de temps minimale utilisée pour calculer les redevances afférentes à ces autorisations, ainsi que d'autres conditions importantes associées.</w:t>
      </w:r>
    </w:p>
    <w:p w:rsidR="00A81A9F" w:rsidRPr="004B2881" w:rsidRDefault="00A81A9F" w:rsidP="000475D2">
      <w:pPr>
        <w:pStyle w:val="Heading1"/>
        <w:rPr>
          <w:lang w:val="fr-FR"/>
        </w:rPr>
      </w:pPr>
      <w:bookmarkStart w:id="288" w:name="_Toc280260043"/>
      <w:bookmarkStart w:id="289" w:name="_Toc280260901"/>
      <w:bookmarkStart w:id="290" w:name="_Toc280272504"/>
      <w:bookmarkStart w:id="291" w:name="_Toc284414175"/>
      <w:bookmarkStart w:id="292" w:name="_Toc286314919"/>
      <w:r w:rsidRPr="004B2881">
        <w:rPr>
          <w:lang w:val="fr-FR"/>
        </w:rPr>
        <w:lastRenderedPageBreak/>
        <w:t>11</w:t>
      </w:r>
      <w:r w:rsidRPr="004B2881">
        <w:rPr>
          <w:lang w:val="fr-FR"/>
        </w:rPr>
        <w:tab/>
        <w:t>Répondre aux besoins d'autres services de radiocommunication qui ne sont pas mentionnés</w:t>
      </w:r>
      <w:bookmarkEnd w:id="288"/>
      <w:bookmarkEnd w:id="289"/>
      <w:bookmarkEnd w:id="290"/>
      <w:bookmarkEnd w:id="291"/>
      <w:bookmarkEnd w:id="292"/>
      <w:r w:rsidRPr="004B2881">
        <w:rPr>
          <w:lang w:val="fr-FR"/>
        </w:rPr>
        <w:t xml:space="preserve"> </w:t>
      </w:r>
    </w:p>
    <w:p w:rsidR="00A81A9F" w:rsidRPr="004B2881" w:rsidRDefault="00A81A9F" w:rsidP="00A81A9F">
      <w:pPr>
        <w:rPr>
          <w:lang w:val="fr-FR"/>
        </w:rPr>
      </w:pPr>
      <w:r w:rsidRPr="004B2881">
        <w:rPr>
          <w:lang w:val="fr-FR"/>
        </w:rPr>
        <w:t>La politique pourrait inclure un article habilitant l'Autorité à fixer et à appliquer les redevances appropriées pour tout autre service de radiocommunication/hertzien non mentionné dans ladite politique.</w:t>
      </w:r>
    </w:p>
    <w:p w:rsidR="00A81A9F" w:rsidRPr="004B2881" w:rsidRDefault="00A81A9F" w:rsidP="00F640A6">
      <w:pPr>
        <w:pStyle w:val="Heading1"/>
        <w:rPr>
          <w:lang w:val="fr-FR"/>
        </w:rPr>
      </w:pPr>
      <w:bookmarkStart w:id="293" w:name="_Toc280260044"/>
      <w:bookmarkStart w:id="294" w:name="_Toc280260902"/>
      <w:bookmarkStart w:id="295" w:name="_Toc280272505"/>
      <w:bookmarkStart w:id="296" w:name="_Toc284414176"/>
      <w:bookmarkStart w:id="297" w:name="_Toc286314920"/>
      <w:r w:rsidRPr="004B2881">
        <w:rPr>
          <w:lang w:val="fr-FR"/>
        </w:rPr>
        <w:t>12</w:t>
      </w:r>
      <w:r w:rsidRPr="004B2881">
        <w:rPr>
          <w:lang w:val="fr-FR"/>
        </w:rPr>
        <w:tab/>
        <w:t>Autres redevances</w:t>
      </w:r>
      <w:bookmarkEnd w:id="293"/>
      <w:bookmarkEnd w:id="294"/>
      <w:bookmarkEnd w:id="295"/>
      <w:bookmarkEnd w:id="296"/>
      <w:bookmarkEnd w:id="297"/>
    </w:p>
    <w:p w:rsidR="00A81A9F" w:rsidRPr="004B2881" w:rsidRDefault="00A81A9F" w:rsidP="00A81A9F">
      <w:pPr>
        <w:rPr>
          <w:lang w:val="fr-FR"/>
        </w:rPr>
      </w:pPr>
      <w:r w:rsidRPr="004B2881">
        <w:rPr>
          <w:lang w:val="fr-FR"/>
        </w:rPr>
        <w:t>Il peut être également fait mention de l'application de redevances afférentes à des services spéciaux demandés par l'Autorité, comme le traitement et le suivi des plaintes concernant les brouillages et la réalisation d'études de site.</w:t>
      </w:r>
    </w:p>
    <w:p w:rsidR="00A81A9F" w:rsidRPr="004B2881" w:rsidRDefault="00A81A9F">
      <w:pPr>
        <w:tabs>
          <w:tab w:val="clear" w:pos="794"/>
          <w:tab w:val="clear" w:pos="1191"/>
          <w:tab w:val="clear" w:pos="1588"/>
          <w:tab w:val="clear" w:pos="1985"/>
        </w:tabs>
        <w:overflowPunct/>
        <w:autoSpaceDE/>
        <w:autoSpaceDN/>
        <w:adjustRightInd/>
        <w:spacing w:before="0"/>
        <w:jc w:val="left"/>
        <w:textAlignment w:val="auto"/>
        <w:rPr>
          <w:b/>
          <w:szCs w:val="19"/>
          <w:lang w:val="fr-FR"/>
        </w:rPr>
      </w:pPr>
      <w:r w:rsidRPr="004B2881">
        <w:rPr>
          <w:b/>
          <w:szCs w:val="19"/>
          <w:lang w:val="fr-FR"/>
        </w:rPr>
        <w:br w:type="page"/>
      </w:r>
    </w:p>
    <w:p w:rsidR="006F46C2" w:rsidRPr="00C95435" w:rsidRDefault="006F46C2" w:rsidP="002A7B5E">
      <w:pPr>
        <w:pStyle w:val="AppendixNotitle"/>
      </w:pPr>
      <w:bookmarkStart w:id="298" w:name="_Toc280260045"/>
      <w:bookmarkStart w:id="299" w:name="_Toc280260903"/>
      <w:bookmarkStart w:id="300" w:name="_Toc280272506"/>
      <w:bookmarkStart w:id="301" w:name="_Toc284414177"/>
      <w:bookmarkStart w:id="302" w:name="_Toc286314921"/>
      <w:r w:rsidRPr="004F63CA">
        <w:rPr>
          <w:lang w:val="en-US"/>
        </w:rPr>
        <w:lastRenderedPageBreak/>
        <w:t>Appendi</w:t>
      </w:r>
      <w:r w:rsidR="00D956CD" w:rsidRPr="004F63CA">
        <w:rPr>
          <w:lang w:val="en-US"/>
        </w:rPr>
        <w:t>ce</w:t>
      </w:r>
      <w:r w:rsidRPr="004F63CA">
        <w:rPr>
          <w:lang w:val="en-US"/>
        </w:rPr>
        <w:t xml:space="preserve"> 1.2</w:t>
      </w:r>
      <w:r w:rsidR="00956B41" w:rsidRPr="004F63CA">
        <w:rPr>
          <w:lang w:val="en-US"/>
        </w:rPr>
        <w:t xml:space="preserve"> (</w:t>
      </w:r>
      <w:r w:rsidR="002A7B5E" w:rsidRPr="004F63CA">
        <w:rPr>
          <w:lang w:val="en-US"/>
        </w:rPr>
        <w:t>a</w:t>
      </w:r>
      <w:r w:rsidR="00D956CD" w:rsidRPr="004F63CA">
        <w:rPr>
          <w:lang w:val="en-US"/>
        </w:rPr>
        <w:t>nglais</w:t>
      </w:r>
      <w:r w:rsidR="00956B41" w:rsidRPr="004F63CA">
        <w:rPr>
          <w:lang w:val="en-US"/>
        </w:rPr>
        <w:t>)</w:t>
      </w:r>
      <w:r w:rsidR="006E1EDC" w:rsidRPr="004F63CA">
        <w:rPr>
          <w:bCs/>
          <w:lang w:val="en-US"/>
        </w:rPr>
        <w:br/>
      </w:r>
      <w:r w:rsidR="006E1EDC" w:rsidRPr="004F63CA">
        <w:rPr>
          <w:bCs/>
          <w:lang w:val="en-US"/>
        </w:rPr>
        <w:br/>
      </w:r>
      <w:r w:rsidRPr="00C95435">
        <w:t>United Arab Emirates: Proposed example on spectrum fees policy</w:t>
      </w:r>
      <w:bookmarkEnd w:id="298"/>
      <w:bookmarkEnd w:id="299"/>
      <w:bookmarkEnd w:id="300"/>
      <w:bookmarkEnd w:id="301"/>
      <w:bookmarkEnd w:id="302"/>
    </w:p>
    <w:p w:rsidR="006F46C2" w:rsidRPr="00C95435" w:rsidRDefault="006F46C2" w:rsidP="006F46C2"/>
    <w:p w:rsidR="006F46C2" w:rsidRPr="00C95435" w:rsidRDefault="006F46C2" w:rsidP="006F46C2">
      <w:pPr>
        <w:suppressAutoHyphens/>
        <w:jc w:val="center"/>
        <w:rPr>
          <w:b/>
        </w:rPr>
      </w:pPr>
      <w:r w:rsidRPr="00C95435">
        <w:rPr>
          <w:b/>
        </w:rPr>
        <w:t>TABLE OF CONTENTS</w:t>
      </w:r>
    </w:p>
    <w:p w:rsidR="006F46C2" w:rsidRPr="00C95435" w:rsidRDefault="006F46C2" w:rsidP="006F46C2">
      <w:pPr>
        <w:suppressAutoHyphens/>
        <w:rPr>
          <w:bCs/>
        </w:rPr>
      </w:pPr>
    </w:p>
    <w:p w:rsidR="00717F77" w:rsidRPr="00C95435" w:rsidRDefault="00717F77" w:rsidP="00717F77">
      <w:pPr>
        <w:pStyle w:val="Recdate"/>
        <w:keepLines w:val="0"/>
        <w:tabs>
          <w:tab w:val="right" w:pos="9639"/>
        </w:tabs>
        <w:jc w:val="left"/>
        <w:rPr>
          <w:b/>
          <w:iCs/>
        </w:rPr>
      </w:pPr>
      <w:r w:rsidRPr="00C95435">
        <w:rPr>
          <w:iCs/>
        </w:rPr>
        <w:tab/>
      </w:r>
      <w:r w:rsidRPr="00C95435">
        <w:rPr>
          <w:b/>
          <w:iCs/>
        </w:rPr>
        <w:t>Page</w:t>
      </w:r>
    </w:p>
    <w:p w:rsidR="00CF3F7A" w:rsidRPr="00C95435" w:rsidRDefault="0084368D">
      <w:pPr>
        <w:pStyle w:val="TOC1"/>
        <w:rPr>
          <w:rFonts w:asciiTheme="minorHAnsi" w:eastAsia="SimSun" w:hAnsiTheme="minorHAnsi" w:cstheme="minorBidi"/>
          <w:szCs w:val="22"/>
          <w:lang w:val="en-GB" w:eastAsia="zh-CN"/>
        </w:rPr>
      </w:pPr>
      <w:r w:rsidRPr="0084368D">
        <w:rPr>
          <w:lang w:val="en-GB"/>
        </w:rPr>
        <w:fldChar w:fldCharType="begin"/>
      </w:r>
      <w:r w:rsidR="00CF3F7A" w:rsidRPr="00C95435">
        <w:rPr>
          <w:lang w:val="en-GB"/>
        </w:rPr>
        <w:instrText xml:space="preserve"> TOC \h \z \t "Art_title;1" </w:instrText>
      </w:r>
      <w:r w:rsidRPr="0084368D">
        <w:rPr>
          <w:lang w:val="en-GB"/>
        </w:rPr>
        <w:fldChar w:fldCharType="separate"/>
      </w:r>
      <w:hyperlink w:anchor="_Toc286315726" w:history="1">
        <w:r w:rsidR="00CF3F7A" w:rsidRPr="00C95435">
          <w:rPr>
            <w:rStyle w:val="Hyperlink"/>
            <w:lang w:val="en-GB"/>
          </w:rPr>
          <w:t xml:space="preserve">Article 1 </w:t>
        </w:r>
        <w:r w:rsidR="00D131E4" w:rsidRPr="00C95435">
          <w:rPr>
            <w:rStyle w:val="Hyperlink"/>
            <w:lang w:val="en-GB"/>
          </w:rPr>
          <w:t>–</w:t>
        </w:r>
        <w:r w:rsidR="00CF3F7A" w:rsidRPr="00C95435">
          <w:rPr>
            <w:rStyle w:val="Hyperlink"/>
            <w:lang w:val="en-GB"/>
          </w:rPr>
          <w:t xml:space="preserve"> Purpose</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_Toc286315726 \h </w:instrText>
        </w:r>
        <w:r w:rsidRPr="00C95435">
          <w:rPr>
            <w:webHidden/>
            <w:lang w:val="en-GB"/>
          </w:rPr>
        </w:r>
        <w:r w:rsidRPr="00C95435">
          <w:rPr>
            <w:webHidden/>
            <w:lang w:val="en-GB"/>
          </w:rPr>
          <w:fldChar w:fldCharType="separate"/>
        </w:r>
        <w:r w:rsidR="00CF3F7A" w:rsidRPr="00C95435">
          <w:rPr>
            <w:webHidden/>
            <w:lang w:val="en-GB"/>
          </w:rPr>
          <w:t>27</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27" w:history="1">
        <w:r w:rsidR="00CF3F7A" w:rsidRPr="00C95435">
          <w:rPr>
            <w:rStyle w:val="Hyperlink"/>
            <w:lang w:val="en-GB"/>
          </w:rPr>
          <w:t xml:space="preserve">Article 2 </w:t>
        </w:r>
        <w:r w:rsidR="008369EB" w:rsidRPr="00C95435">
          <w:rPr>
            <w:rStyle w:val="Hyperlink"/>
            <w:lang w:val="en-GB"/>
          </w:rPr>
          <w:t>–</w:t>
        </w:r>
        <w:r w:rsidR="00CF3F7A" w:rsidRPr="00C95435">
          <w:rPr>
            <w:rStyle w:val="Hyperlink"/>
            <w:lang w:val="en-GB"/>
          </w:rPr>
          <w:t xml:space="preserve"> Definitions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_Toc286315727 \h </w:instrText>
        </w:r>
        <w:r w:rsidRPr="00C95435">
          <w:rPr>
            <w:webHidden/>
            <w:lang w:val="en-GB"/>
          </w:rPr>
        </w:r>
        <w:r w:rsidRPr="00C95435">
          <w:rPr>
            <w:webHidden/>
            <w:lang w:val="en-GB"/>
          </w:rPr>
          <w:fldChar w:fldCharType="separate"/>
        </w:r>
        <w:r w:rsidR="00CF3F7A" w:rsidRPr="00C95435">
          <w:rPr>
            <w:webHidden/>
            <w:lang w:val="en-GB"/>
          </w:rPr>
          <w:t>27</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28" w:history="1">
        <w:r w:rsidR="00CF3F7A" w:rsidRPr="00C95435">
          <w:rPr>
            <w:rStyle w:val="Hyperlink"/>
            <w:lang w:val="en-GB"/>
          </w:rPr>
          <w:t xml:space="preserve">Article 3 </w:t>
        </w:r>
        <w:r w:rsidR="008369EB" w:rsidRPr="00C95435">
          <w:rPr>
            <w:rStyle w:val="Hyperlink"/>
            <w:lang w:val="en-GB"/>
          </w:rPr>
          <w:t>–</w:t>
        </w:r>
        <w:r w:rsidR="00CF3F7A" w:rsidRPr="00C95435">
          <w:rPr>
            <w:rStyle w:val="Hyperlink"/>
            <w:lang w:val="en-GB"/>
          </w:rPr>
          <w:t xml:space="preserve"> Application processing fees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_Toc286315728 \h </w:instrText>
        </w:r>
        <w:r w:rsidRPr="00C95435">
          <w:rPr>
            <w:webHidden/>
            <w:lang w:val="en-GB"/>
          </w:rPr>
        </w:r>
        <w:r w:rsidRPr="00C95435">
          <w:rPr>
            <w:webHidden/>
            <w:lang w:val="en-GB"/>
          </w:rPr>
          <w:fldChar w:fldCharType="separate"/>
        </w:r>
        <w:r w:rsidR="00CF3F7A" w:rsidRPr="00C95435">
          <w:rPr>
            <w:webHidden/>
            <w:lang w:val="en-GB"/>
          </w:rPr>
          <w:t>28</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29" w:history="1">
        <w:r w:rsidR="00CF3F7A" w:rsidRPr="00C95435">
          <w:rPr>
            <w:rStyle w:val="Hyperlink"/>
            <w:lang w:val="en-GB"/>
          </w:rPr>
          <w:t xml:space="preserve">Article 4 </w:t>
        </w:r>
        <w:r w:rsidR="008369EB" w:rsidRPr="00C95435">
          <w:rPr>
            <w:rStyle w:val="Hyperlink"/>
            <w:lang w:val="en-GB"/>
          </w:rPr>
          <w:t>–</w:t>
        </w:r>
        <w:r w:rsidR="00B76375" w:rsidRPr="00C95435">
          <w:rPr>
            <w:rStyle w:val="Hyperlink"/>
            <w:lang w:val="en-GB"/>
          </w:rPr>
          <w:t xml:space="preserve"> Exemption from a</w:t>
        </w:r>
        <w:r w:rsidR="00CF3F7A" w:rsidRPr="00C95435">
          <w:rPr>
            <w:rStyle w:val="Hyperlink"/>
            <w:lang w:val="en-GB"/>
          </w:rPr>
          <w:t>pplication processing fees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_Toc286315729 \h </w:instrText>
        </w:r>
        <w:r w:rsidRPr="00C95435">
          <w:rPr>
            <w:webHidden/>
            <w:lang w:val="en-GB"/>
          </w:rPr>
        </w:r>
        <w:r w:rsidRPr="00C95435">
          <w:rPr>
            <w:webHidden/>
            <w:lang w:val="en-GB"/>
          </w:rPr>
          <w:fldChar w:fldCharType="separate"/>
        </w:r>
        <w:r w:rsidR="00CF3F7A" w:rsidRPr="00C95435">
          <w:rPr>
            <w:webHidden/>
            <w:lang w:val="en-GB"/>
          </w:rPr>
          <w:t>28</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0" w:history="1">
        <w:r w:rsidR="00CF3F7A" w:rsidRPr="00C95435">
          <w:rPr>
            <w:rStyle w:val="Hyperlink"/>
            <w:lang w:val="en-GB"/>
          </w:rPr>
          <w:t xml:space="preserve">Article 5 </w:t>
        </w:r>
        <w:r w:rsidR="008369EB" w:rsidRPr="00C95435">
          <w:rPr>
            <w:rStyle w:val="Hyperlink"/>
            <w:lang w:val="en-GB"/>
          </w:rPr>
          <w:t>–</w:t>
        </w:r>
        <w:r w:rsidR="00CF3F7A" w:rsidRPr="00C95435">
          <w:rPr>
            <w:rStyle w:val="Hyperlink"/>
            <w:lang w:val="en-GB"/>
          </w:rPr>
          <w:t xml:space="preserve"> Spectrum fees for fresh application</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_Toc286315730 \h </w:instrText>
        </w:r>
        <w:r w:rsidRPr="00C95435">
          <w:rPr>
            <w:webHidden/>
            <w:lang w:val="en-GB"/>
          </w:rPr>
        </w:r>
        <w:r w:rsidRPr="00C95435">
          <w:rPr>
            <w:webHidden/>
            <w:lang w:val="en-GB"/>
          </w:rPr>
          <w:fldChar w:fldCharType="separate"/>
        </w:r>
        <w:r w:rsidR="00CF3F7A" w:rsidRPr="00C95435">
          <w:rPr>
            <w:webHidden/>
            <w:lang w:val="en-GB"/>
          </w:rPr>
          <w:t>28</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1" w:history="1">
        <w:r w:rsidR="00CF3F7A" w:rsidRPr="00C95435">
          <w:rPr>
            <w:rStyle w:val="Hyperlink"/>
            <w:lang w:val="en-GB"/>
          </w:rPr>
          <w:t xml:space="preserve">Article 6 </w:t>
        </w:r>
        <w:r w:rsidR="008369EB" w:rsidRPr="00C95435">
          <w:rPr>
            <w:rStyle w:val="Hyperlink"/>
            <w:lang w:val="en-GB"/>
          </w:rPr>
          <w:t>–</w:t>
        </w:r>
        <w:r w:rsidR="00CF3F7A" w:rsidRPr="00C95435">
          <w:rPr>
            <w:rStyle w:val="Hyperlink"/>
            <w:lang w:val="en-GB"/>
          </w:rPr>
          <w:t xml:space="preserve"> Spectrum fees for renewal of authorization</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_Toc286315731 \h </w:instrText>
        </w:r>
        <w:r w:rsidRPr="00C95435">
          <w:rPr>
            <w:webHidden/>
            <w:lang w:val="en-GB"/>
          </w:rPr>
        </w:r>
        <w:r w:rsidRPr="00C95435">
          <w:rPr>
            <w:webHidden/>
            <w:lang w:val="en-GB"/>
          </w:rPr>
          <w:fldChar w:fldCharType="separate"/>
        </w:r>
        <w:r w:rsidR="00CF3F7A" w:rsidRPr="00C95435">
          <w:rPr>
            <w:webHidden/>
            <w:lang w:val="en-GB"/>
          </w:rPr>
          <w:t>29</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2" w:history="1">
        <w:r w:rsidR="00CF3F7A" w:rsidRPr="00C95435">
          <w:rPr>
            <w:rStyle w:val="Hyperlink"/>
            <w:lang w:val="en-GB"/>
          </w:rPr>
          <w:t xml:space="preserve">Article 7 </w:t>
        </w:r>
        <w:r w:rsidR="008369EB" w:rsidRPr="00C95435">
          <w:rPr>
            <w:rStyle w:val="Hyperlink"/>
            <w:lang w:val="en-GB"/>
          </w:rPr>
          <w:t>–</w:t>
        </w:r>
        <w:r w:rsidR="00CF3F7A" w:rsidRPr="00C95435">
          <w:rPr>
            <w:rStyle w:val="Hyperlink"/>
            <w:lang w:val="en-GB"/>
          </w:rPr>
          <w:t xml:space="preserve"> Additional fees for delayed renewal of authorization</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_Toc286315732 \h </w:instrText>
        </w:r>
        <w:r w:rsidRPr="00C95435">
          <w:rPr>
            <w:webHidden/>
            <w:lang w:val="en-GB"/>
          </w:rPr>
        </w:r>
        <w:r w:rsidRPr="00C95435">
          <w:rPr>
            <w:webHidden/>
            <w:lang w:val="en-GB"/>
          </w:rPr>
          <w:fldChar w:fldCharType="separate"/>
        </w:r>
        <w:r w:rsidR="00CF3F7A" w:rsidRPr="00C95435">
          <w:rPr>
            <w:webHidden/>
            <w:lang w:val="en-GB"/>
          </w:rPr>
          <w:t>29</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3" w:history="1">
        <w:r w:rsidR="00CF3F7A" w:rsidRPr="00C95435">
          <w:rPr>
            <w:rStyle w:val="Hyperlink"/>
            <w:lang w:val="en-GB"/>
          </w:rPr>
          <w:t xml:space="preserve">Article 8 </w:t>
        </w:r>
        <w:r w:rsidR="008369EB" w:rsidRPr="00C95435">
          <w:rPr>
            <w:rStyle w:val="Hyperlink"/>
            <w:lang w:val="en-GB"/>
          </w:rPr>
          <w:t>–</w:t>
        </w:r>
        <w:r w:rsidR="00CF3F7A" w:rsidRPr="00C95435">
          <w:rPr>
            <w:rStyle w:val="Hyperlink"/>
            <w:lang w:val="en-GB"/>
          </w:rPr>
          <w:t xml:space="preserve"> Authorization reproduction fees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_Toc286315733 \h </w:instrText>
        </w:r>
        <w:r w:rsidRPr="00C95435">
          <w:rPr>
            <w:webHidden/>
            <w:lang w:val="en-GB"/>
          </w:rPr>
        </w:r>
        <w:r w:rsidRPr="00C95435">
          <w:rPr>
            <w:webHidden/>
            <w:lang w:val="en-GB"/>
          </w:rPr>
          <w:fldChar w:fldCharType="separate"/>
        </w:r>
        <w:r w:rsidR="00CF3F7A" w:rsidRPr="00C95435">
          <w:rPr>
            <w:webHidden/>
            <w:lang w:val="en-GB"/>
          </w:rPr>
          <w:t>29</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4" w:history="1">
        <w:r w:rsidR="00CF3F7A" w:rsidRPr="00C95435">
          <w:rPr>
            <w:rStyle w:val="Hyperlink"/>
            <w:lang w:val="en-GB"/>
          </w:rPr>
          <w:t xml:space="preserve">Article 9 </w:t>
        </w:r>
        <w:r w:rsidR="008369EB" w:rsidRPr="00C95435">
          <w:rPr>
            <w:rStyle w:val="Hyperlink"/>
            <w:lang w:val="en-GB"/>
          </w:rPr>
          <w:t>–</w:t>
        </w:r>
        <w:r w:rsidR="00CF3F7A" w:rsidRPr="00C95435">
          <w:rPr>
            <w:rStyle w:val="Hyperlink"/>
            <w:lang w:val="en-GB"/>
          </w:rPr>
          <w:t xml:space="preserve"> Authorization modification fees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_Toc286315734 \h </w:instrText>
        </w:r>
        <w:r w:rsidRPr="00C95435">
          <w:rPr>
            <w:webHidden/>
            <w:lang w:val="en-GB"/>
          </w:rPr>
        </w:r>
        <w:r w:rsidRPr="00C95435">
          <w:rPr>
            <w:webHidden/>
            <w:lang w:val="en-GB"/>
          </w:rPr>
          <w:fldChar w:fldCharType="separate"/>
        </w:r>
        <w:r w:rsidR="00CF3F7A" w:rsidRPr="00C95435">
          <w:rPr>
            <w:webHidden/>
            <w:lang w:val="en-GB"/>
          </w:rPr>
          <w:t>29</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5" w:history="1">
        <w:r w:rsidR="00CF3F7A" w:rsidRPr="00C95435">
          <w:rPr>
            <w:rStyle w:val="Hyperlink"/>
            <w:lang w:val="en-GB"/>
          </w:rPr>
          <w:t xml:space="preserve">Article 10 </w:t>
        </w:r>
        <w:r w:rsidR="008369EB" w:rsidRPr="00C95435">
          <w:rPr>
            <w:rStyle w:val="Hyperlink"/>
            <w:lang w:val="en-GB"/>
          </w:rPr>
          <w:t>–</w:t>
        </w:r>
        <w:r w:rsidR="00CF3F7A" w:rsidRPr="00C95435">
          <w:rPr>
            <w:rStyle w:val="Hyperlink"/>
            <w:lang w:val="en-GB"/>
          </w:rPr>
          <w:t xml:space="preserve"> Authorization cancellation fees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_Toc286315735 \h </w:instrText>
        </w:r>
        <w:r w:rsidRPr="00C95435">
          <w:rPr>
            <w:webHidden/>
            <w:lang w:val="en-GB"/>
          </w:rPr>
        </w:r>
        <w:r w:rsidRPr="00C95435">
          <w:rPr>
            <w:webHidden/>
            <w:lang w:val="en-GB"/>
          </w:rPr>
          <w:fldChar w:fldCharType="separate"/>
        </w:r>
        <w:r w:rsidR="00CF3F7A" w:rsidRPr="00C95435">
          <w:rPr>
            <w:webHidden/>
            <w:lang w:val="en-GB"/>
          </w:rPr>
          <w:t>29</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6" w:history="1">
        <w:r w:rsidR="00CF3F7A" w:rsidRPr="00C95435">
          <w:rPr>
            <w:rStyle w:val="Hyperlink"/>
            <w:lang w:val="en-GB"/>
          </w:rPr>
          <w:t xml:space="preserve">Article 11 </w:t>
        </w:r>
        <w:r w:rsidR="008369EB" w:rsidRPr="00C95435">
          <w:rPr>
            <w:rStyle w:val="Hyperlink"/>
            <w:lang w:val="en-GB"/>
          </w:rPr>
          <w:t>–</w:t>
        </w:r>
        <w:r w:rsidR="00CF3F7A" w:rsidRPr="00C95435">
          <w:rPr>
            <w:rStyle w:val="Hyperlink"/>
            <w:lang w:val="en-GB"/>
          </w:rPr>
          <w:t xml:space="preserve"> Spectrum fees for public land mobile (cellular) service</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_Toc286315736 \h </w:instrText>
        </w:r>
        <w:r w:rsidRPr="00C95435">
          <w:rPr>
            <w:webHidden/>
            <w:lang w:val="en-GB"/>
          </w:rPr>
        </w:r>
        <w:r w:rsidRPr="00C95435">
          <w:rPr>
            <w:webHidden/>
            <w:lang w:val="en-GB"/>
          </w:rPr>
          <w:fldChar w:fldCharType="separate"/>
        </w:r>
        <w:r w:rsidR="00CF3F7A" w:rsidRPr="00C95435">
          <w:rPr>
            <w:webHidden/>
            <w:lang w:val="en-GB"/>
          </w:rPr>
          <w:t>30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7" w:history="1">
        <w:r w:rsidR="00CF3F7A" w:rsidRPr="00C95435">
          <w:rPr>
            <w:rStyle w:val="Hyperlink"/>
            <w:lang w:val="en-GB"/>
          </w:rPr>
          <w:t xml:space="preserve">Article 12 </w:t>
        </w:r>
        <w:r w:rsidR="008369EB" w:rsidRPr="00C95435">
          <w:rPr>
            <w:rStyle w:val="Hyperlink"/>
            <w:lang w:val="en-GB"/>
          </w:rPr>
          <w:t>–</w:t>
        </w:r>
        <w:r w:rsidR="00CF3F7A" w:rsidRPr="00C95435">
          <w:rPr>
            <w:rStyle w:val="Hyperlink"/>
            <w:lang w:val="en-GB"/>
          </w:rPr>
          <w:t xml:space="preserve"> Spectrum fees for private mobile radio, paging and trunking</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_Toc286315737 \h </w:instrText>
        </w:r>
        <w:r w:rsidRPr="00C95435">
          <w:rPr>
            <w:webHidden/>
            <w:lang w:val="en-GB"/>
          </w:rPr>
        </w:r>
        <w:r w:rsidRPr="00C95435">
          <w:rPr>
            <w:webHidden/>
            <w:lang w:val="en-GB"/>
          </w:rPr>
          <w:fldChar w:fldCharType="separate"/>
        </w:r>
        <w:r w:rsidR="00CF3F7A" w:rsidRPr="00C95435">
          <w:rPr>
            <w:webHidden/>
            <w:lang w:val="en-GB"/>
          </w:rPr>
          <w:t>30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8" w:history="1">
        <w:r w:rsidR="00CF3F7A" w:rsidRPr="00C95435">
          <w:rPr>
            <w:rStyle w:val="Hyperlink"/>
            <w:lang w:val="en-GB"/>
          </w:rPr>
          <w:t xml:space="preserve">Article 13 </w:t>
        </w:r>
        <w:r w:rsidR="008369EB" w:rsidRPr="00C95435">
          <w:rPr>
            <w:rStyle w:val="Hyperlink"/>
            <w:lang w:val="en-GB"/>
          </w:rPr>
          <w:t>–</w:t>
        </w:r>
        <w:r w:rsidR="00CF3F7A" w:rsidRPr="00C95435">
          <w:rPr>
            <w:rStyle w:val="Hyperlink"/>
            <w:lang w:val="en-GB"/>
          </w:rPr>
          <w:t xml:space="preserve"> Spectrum fees for fixed (point-to-point) links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_Toc286315738 \h </w:instrText>
        </w:r>
        <w:r w:rsidRPr="00C95435">
          <w:rPr>
            <w:webHidden/>
            <w:lang w:val="en-GB"/>
          </w:rPr>
        </w:r>
        <w:r w:rsidRPr="00C95435">
          <w:rPr>
            <w:webHidden/>
            <w:lang w:val="en-GB"/>
          </w:rPr>
          <w:fldChar w:fldCharType="separate"/>
        </w:r>
        <w:r w:rsidR="00CF3F7A" w:rsidRPr="00C95435">
          <w:rPr>
            <w:webHidden/>
            <w:lang w:val="en-GB"/>
          </w:rPr>
          <w:t>32</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39" w:history="1">
        <w:r w:rsidR="00CF3F7A" w:rsidRPr="00C95435">
          <w:rPr>
            <w:rStyle w:val="Hyperlink"/>
            <w:lang w:val="en-GB"/>
          </w:rPr>
          <w:t xml:space="preserve">Article 14 </w:t>
        </w:r>
        <w:r w:rsidR="008369EB" w:rsidRPr="00C95435">
          <w:rPr>
            <w:rStyle w:val="Hyperlink"/>
            <w:lang w:val="en-GB"/>
          </w:rPr>
          <w:t>–</w:t>
        </w:r>
        <w:r w:rsidR="00CF3F7A" w:rsidRPr="00C95435">
          <w:rPr>
            <w:rStyle w:val="Hyperlink"/>
            <w:lang w:val="en-GB"/>
          </w:rPr>
          <w:t xml:space="preserve"> Spectrum fees for FWA, SCADA, telemetry, mesh networks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_Toc286315739 \h </w:instrText>
        </w:r>
        <w:r w:rsidRPr="00C95435">
          <w:rPr>
            <w:webHidden/>
            <w:lang w:val="en-GB"/>
          </w:rPr>
        </w:r>
        <w:r w:rsidRPr="00C95435">
          <w:rPr>
            <w:webHidden/>
            <w:lang w:val="en-GB"/>
          </w:rPr>
          <w:fldChar w:fldCharType="separate"/>
        </w:r>
        <w:r w:rsidR="00CF3F7A" w:rsidRPr="00C95435">
          <w:rPr>
            <w:webHidden/>
            <w:lang w:val="en-GB"/>
          </w:rPr>
          <w:t>32</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0" w:history="1">
        <w:r w:rsidR="00CF3F7A" w:rsidRPr="00C95435">
          <w:rPr>
            <w:rStyle w:val="Hyperlink"/>
            <w:lang w:val="en-GB"/>
          </w:rPr>
          <w:t xml:space="preserve">Article 15 </w:t>
        </w:r>
        <w:r w:rsidR="008369EB" w:rsidRPr="00C95435">
          <w:rPr>
            <w:rStyle w:val="Hyperlink"/>
            <w:lang w:val="en-GB"/>
          </w:rPr>
          <w:t>–</w:t>
        </w:r>
        <w:r w:rsidR="00CF3F7A" w:rsidRPr="00C95435">
          <w:rPr>
            <w:rStyle w:val="Hyperlink"/>
            <w:lang w:val="en-GB"/>
          </w:rPr>
          <w:t xml:space="preserve"> Spectrum fees for mobile broadband wireless access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_Toc286315740 \h </w:instrText>
        </w:r>
        <w:r w:rsidRPr="00C95435">
          <w:rPr>
            <w:webHidden/>
            <w:lang w:val="en-GB"/>
          </w:rPr>
        </w:r>
        <w:r w:rsidRPr="00C95435">
          <w:rPr>
            <w:webHidden/>
            <w:lang w:val="en-GB"/>
          </w:rPr>
          <w:fldChar w:fldCharType="separate"/>
        </w:r>
        <w:r w:rsidR="00CF3F7A" w:rsidRPr="00C95435">
          <w:rPr>
            <w:webHidden/>
            <w:lang w:val="en-GB"/>
          </w:rPr>
          <w:t>33</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1" w:history="1">
        <w:r w:rsidR="00CF3F7A" w:rsidRPr="00C95435">
          <w:rPr>
            <w:rStyle w:val="Hyperlink"/>
            <w:lang w:val="en-GB"/>
          </w:rPr>
          <w:t xml:space="preserve">Article 16 </w:t>
        </w:r>
        <w:r w:rsidR="008369EB" w:rsidRPr="00C95435">
          <w:rPr>
            <w:rStyle w:val="Hyperlink"/>
            <w:lang w:val="en-GB"/>
          </w:rPr>
          <w:t>–</w:t>
        </w:r>
        <w:r w:rsidR="00CF3F7A" w:rsidRPr="00C95435">
          <w:rPr>
            <w:rStyle w:val="Hyperlink"/>
            <w:lang w:val="en-GB"/>
          </w:rPr>
          <w:t xml:space="preserve"> Spectrum fees for optical and laser links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_Toc286315741 \h </w:instrText>
        </w:r>
        <w:r w:rsidRPr="00C95435">
          <w:rPr>
            <w:webHidden/>
            <w:lang w:val="en-GB"/>
          </w:rPr>
        </w:r>
        <w:r w:rsidRPr="00C95435">
          <w:rPr>
            <w:webHidden/>
            <w:lang w:val="en-GB"/>
          </w:rPr>
          <w:fldChar w:fldCharType="separate"/>
        </w:r>
        <w:r w:rsidR="00CF3F7A" w:rsidRPr="00C95435">
          <w:rPr>
            <w:webHidden/>
            <w:lang w:val="en-GB"/>
          </w:rPr>
          <w:t>33</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2" w:history="1">
        <w:r w:rsidR="00CF3F7A" w:rsidRPr="00C95435">
          <w:rPr>
            <w:rStyle w:val="Hyperlink"/>
            <w:lang w:val="en-GB"/>
          </w:rPr>
          <w:t xml:space="preserve">Article 17 </w:t>
        </w:r>
        <w:r w:rsidR="008369EB" w:rsidRPr="00C95435">
          <w:rPr>
            <w:rStyle w:val="Hyperlink"/>
            <w:lang w:val="en-GB"/>
          </w:rPr>
          <w:t>–</w:t>
        </w:r>
        <w:r w:rsidR="00CF3F7A" w:rsidRPr="00C95435">
          <w:rPr>
            <w:rStyle w:val="Hyperlink"/>
            <w:lang w:val="en-GB"/>
          </w:rPr>
          <w:t xml:space="preserve"> Spectrum fees for WLAN and cordless telephony</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_Toc286315742 \h </w:instrText>
        </w:r>
        <w:r w:rsidRPr="00C95435">
          <w:rPr>
            <w:webHidden/>
            <w:lang w:val="en-GB"/>
          </w:rPr>
        </w:r>
        <w:r w:rsidRPr="00C95435">
          <w:rPr>
            <w:webHidden/>
            <w:lang w:val="en-GB"/>
          </w:rPr>
          <w:fldChar w:fldCharType="separate"/>
        </w:r>
        <w:r w:rsidR="00CF3F7A" w:rsidRPr="00C95435">
          <w:rPr>
            <w:webHidden/>
            <w:lang w:val="en-GB"/>
          </w:rPr>
          <w:t>33</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3" w:history="1">
        <w:r w:rsidR="00CF3F7A" w:rsidRPr="00C95435">
          <w:rPr>
            <w:rStyle w:val="Hyperlink"/>
            <w:lang w:val="en-GB"/>
          </w:rPr>
          <w:t xml:space="preserve">Article 18 </w:t>
        </w:r>
        <w:r w:rsidR="008369EB" w:rsidRPr="00C95435">
          <w:rPr>
            <w:rStyle w:val="Hyperlink"/>
            <w:lang w:val="en-GB"/>
          </w:rPr>
          <w:t>–</w:t>
        </w:r>
        <w:r w:rsidR="00CF3F7A" w:rsidRPr="00C95435">
          <w:rPr>
            <w:rStyle w:val="Hyperlink"/>
            <w:lang w:val="en-GB"/>
          </w:rPr>
          <w:t xml:space="preserve"> Spectrum fees for GMPCS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_Toc286315743 \h </w:instrText>
        </w:r>
        <w:r w:rsidRPr="00C95435">
          <w:rPr>
            <w:webHidden/>
            <w:lang w:val="en-GB"/>
          </w:rPr>
        </w:r>
        <w:r w:rsidRPr="00C95435">
          <w:rPr>
            <w:webHidden/>
            <w:lang w:val="en-GB"/>
          </w:rPr>
          <w:fldChar w:fldCharType="separate"/>
        </w:r>
        <w:r w:rsidR="00CF3F7A" w:rsidRPr="00C95435">
          <w:rPr>
            <w:webHidden/>
            <w:lang w:val="en-GB"/>
          </w:rPr>
          <w:t>34</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4" w:history="1">
        <w:r w:rsidR="00CF3F7A" w:rsidRPr="00C95435">
          <w:rPr>
            <w:rStyle w:val="Hyperlink"/>
            <w:lang w:val="en-GB"/>
          </w:rPr>
          <w:t xml:space="preserve">Article 19 </w:t>
        </w:r>
        <w:r w:rsidR="008369EB" w:rsidRPr="00C95435">
          <w:rPr>
            <w:rStyle w:val="Hyperlink"/>
            <w:lang w:val="en-GB"/>
          </w:rPr>
          <w:t>–</w:t>
        </w:r>
        <w:r w:rsidR="00CF3F7A" w:rsidRPr="00C95435">
          <w:rPr>
            <w:rStyle w:val="Hyperlink"/>
            <w:lang w:val="en-GB"/>
          </w:rPr>
          <w:t xml:space="preserve"> Spectrum fees for amateur</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_Toc286315744 \h </w:instrText>
        </w:r>
        <w:r w:rsidRPr="00C95435">
          <w:rPr>
            <w:webHidden/>
            <w:lang w:val="en-GB"/>
          </w:rPr>
        </w:r>
        <w:r w:rsidRPr="00C95435">
          <w:rPr>
            <w:webHidden/>
            <w:lang w:val="en-GB"/>
          </w:rPr>
          <w:fldChar w:fldCharType="separate"/>
        </w:r>
        <w:r w:rsidR="00CF3F7A" w:rsidRPr="00C95435">
          <w:rPr>
            <w:webHidden/>
            <w:lang w:val="en-GB"/>
          </w:rPr>
          <w:t>34</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5" w:history="1">
        <w:r w:rsidR="00CF3F7A" w:rsidRPr="00C95435">
          <w:rPr>
            <w:rStyle w:val="Hyperlink"/>
            <w:lang w:val="en-GB"/>
          </w:rPr>
          <w:t xml:space="preserve">Article 20 </w:t>
        </w:r>
        <w:r w:rsidR="008369EB" w:rsidRPr="00C95435">
          <w:rPr>
            <w:rStyle w:val="Hyperlink"/>
            <w:lang w:val="en-GB"/>
          </w:rPr>
          <w:t>–</w:t>
        </w:r>
        <w:r w:rsidR="00CF3F7A" w:rsidRPr="00C95435">
          <w:rPr>
            <w:rStyle w:val="Hyperlink"/>
            <w:lang w:val="en-GB"/>
          </w:rPr>
          <w:t xml:space="preserve"> Spectrum fees for aeronautical radio stations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_Toc286315745 \h </w:instrText>
        </w:r>
        <w:r w:rsidRPr="00C95435">
          <w:rPr>
            <w:webHidden/>
            <w:lang w:val="en-GB"/>
          </w:rPr>
        </w:r>
        <w:r w:rsidRPr="00C95435">
          <w:rPr>
            <w:webHidden/>
            <w:lang w:val="en-GB"/>
          </w:rPr>
          <w:fldChar w:fldCharType="separate"/>
        </w:r>
        <w:r w:rsidR="00CF3F7A" w:rsidRPr="00C95435">
          <w:rPr>
            <w:webHidden/>
            <w:lang w:val="en-GB"/>
          </w:rPr>
          <w:t>34</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6" w:history="1">
        <w:r w:rsidR="00CF3F7A" w:rsidRPr="00C95435">
          <w:rPr>
            <w:rStyle w:val="Hyperlink"/>
            <w:lang w:val="en-GB"/>
          </w:rPr>
          <w:t xml:space="preserve">Article 21 </w:t>
        </w:r>
        <w:r w:rsidR="008369EB" w:rsidRPr="00C95435">
          <w:rPr>
            <w:rStyle w:val="Hyperlink"/>
            <w:lang w:val="en-GB"/>
          </w:rPr>
          <w:t>–</w:t>
        </w:r>
        <w:r w:rsidR="00CF3F7A" w:rsidRPr="00C95435">
          <w:rPr>
            <w:rStyle w:val="Hyperlink"/>
            <w:lang w:val="en-GB"/>
          </w:rPr>
          <w:t xml:space="preserve"> Spectrum fees for maritime radio services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_Toc286315746 \h </w:instrText>
        </w:r>
        <w:r w:rsidRPr="00C95435">
          <w:rPr>
            <w:webHidden/>
            <w:lang w:val="en-GB"/>
          </w:rPr>
        </w:r>
        <w:r w:rsidRPr="00C95435">
          <w:rPr>
            <w:webHidden/>
            <w:lang w:val="en-GB"/>
          </w:rPr>
          <w:fldChar w:fldCharType="separate"/>
        </w:r>
        <w:r w:rsidR="00CF3F7A" w:rsidRPr="00C95435">
          <w:rPr>
            <w:webHidden/>
            <w:lang w:val="en-GB"/>
          </w:rPr>
          <w:t>34</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7" w:history="1">
        <w:r w:rsidR="00CF3F7A" w:rsidRPr="00C95435">
          <w:rPr>
            <w:rStyle w:val="Hyperlink"/>
            <w:lang w:val="en-GB"/>
          </w:rPr>
          <w:t xml:space="preserve">Article 22 </w:t>
        </w:r>
        <w:r w:rsidR="008369EB" w:rsidRPr="00C95435">
          <w:rPr>
            <w:rStyle w:val="Hyperlink"/>
            <w:lang w:val="en-GB"/>
          </w:rPr>
          <w:t>–</w:t>
        </w:r>
        <w:r w:rsidR="00CF3F7A" w:rsidRPr="00C95435">
          <w:rPr>
            <w:rStyle w:val="Hyperlink"/>
            <w:lang w:val="en-GB"/>
          </w:rPr>
          <w:t xml:space="preserve"> Spectrum fees for space services and ancillary</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_Toc286315747 \h </w:instrText>
        </w:r>
        <w:r w:rsidRPr="00C95435">
          <w:rPr>
            <w:webHidden/>
            <w:lang w:val="en-GB"/>
          </w:rPr>
        </w:r>
        <w:r w:rsidRPr="00C95435">
          <w:rPr>
            <w:webHidden/>
            <w:lang w:val="en-GB"/>
          </w:rPr>
          <w:fldChar w:fldCharType="separate"/>
        </w:r>
        <w:r w:rsidR="00CF3F7A" w:rsidRPr="00C95435">
          <w:rPr>
            <w:webHidden/>
            <w:lang w:val="en-GB"/>
          </w:rPr>
          <w:t>35</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48" w:history="1">
        <w:r w:rsidR="00CF3F7A" w:rsidRPr="00C95435">
          <w:rPr>
            <w:rStyle w:val="Hyperlink"/>
            <w:lang w:val="en-GB"/>
          </w:rPr>
          <w:t xml:space="preserve">Article 23 </w:t>
        </w:r>
        <w:r w:rsidR="008369EB" w:rsidRPr="00C95435">
          <w:rPr>
            <w:rStyle w:val="Hyperlink"/>
            <w:lang w:val="en-GB"/>
          </w:rPr>
          <w:t>–</w:t>
        </w:r>
        <w:r w:rsidR="00CF3F7A" w:rsidRPr="00C95435">
          <w:rPr>
            <w:rStyle w:val="Hyperlink"/>
            <w:lang w:val="en-GB"/>
          </w:rPr>
          <w:t xml:space="preserve"> Spectrum fees for radionavigation stations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_Toc286315748 \h </w:instrText>
        </w:r>
        <w:r w:rsidRPr="00C95435">
          <w:rPr>
            <w:webHidden/>
            <w:lang w:val="en-GB"/>
          </w:rPr>
        </w:r>
        <w:r w:rsidRPr="00C95435">
          <w:rPr>
            <w:webHidden/>
            <w:lang w:val="en-GB"/>
          </w:rPr>
          <w:fldChar w:fldCharType="separate"/>
        </w:r>
        <w:r w:rsidR="00CF3F7A" w:rsidRPr="00C95435">
          <w:rPr>
            <w:webHidden/>
            <w:lang w:val="en-GB"/>
          </w:rPr>
          <w:t>35</w:t>
        </w:r>
        <w:r w:rsidRPr="00C95435">
          <w:rPr>
            <w:webHidden/>
            <w:lang w:val="en-GB"/>
          </w:rPr>
          <w:fldChar w:fldCharType="end"/>
        </w:r>
      </w:hyperlink>
    </w:p>
    <w:p w:rsidR="000C2E7C" w:rsidRPr="00C95435" w:rsidRDefault="000C2E7C" w:rsidP="000C2E7C">
      <w:pPr>
        <w:pStyle w:val="Recdate"/>
        <w:keepLines w:val="0"/>
        <w:tabs>
          <w:tab w:val="right" w:pos="9639"/>
        </w:tabs>
        <w:jc w:val="left"/>
        <w:rPr>
          <w:b/>
          <w:iCs/>
        </w:rPr>
      </w:pPr>
      <w:r w:rsidRPr="00C95435">
        <w:rPr>
          <w:iCs/>
        </w:rPr>
        <w:lastRenderedPageBreak/>
        <w:tab/>
      </w:r>
      <w:r w:rsidRPr="00C95435">
        <w:rPr>
          <w:b/>
          <w:iCs/>
        </w:rPr>
        <w:t>Page</w:t>
      </w:r>
    </w:p>
    <w:p w:rsidR="00CF3F7A" w:rsidRPr="00C95435" w:rsidRDefault="0084368D">
      <w:pPr>
        <w:pStyle w:val="TOC1"/>
        <w:rPr>
          <w:rFonts w:asciiTheme="minorHAnsi" w:eastAsia="SimSun" w:hAnsiTheme="minorHAnsi" w:cstheme="minorBidi"/>
          <w:szCs w:val="22"/>
          <w:lang w:val="en-GB" w:eastAsia="zh-CN"/>
        </w:rPr>
      </w:pPr>
      <w:hyperlink w:anchor="_Toc286315749" w:history="1">
        <w:r w:rsidR="00CF3F7A" w:rsidRPr="00C95435">
          <w:rPr>
            <w:rStyle w:val="Hyperlink"/>
            <w:lang w:val="en-GB"/>
          </w:rPr>
          <w:t xml:space="preserve">Article 24 </w:t>
        </w:r>
        <w:r w:rsidR="008369EB" w:rsidRPr="00C95435">
          <w:rPr>
            <w:rStyle w:val="Hyperlink"/>
            <w:lang w:val="en-GB"/>
          </w:rPr>
          <w:t>–</w:t>
        </w:r>
        <w:r w:rsidR="00CF3F7A" w:rsidRPr="00C95435">
          <w:rPr>
            <w:rStyle w:val="Hyperlink"/>
            <w:lang w:val="en-GB"/>
          </w:rPr>
          <w:t xml:space="preserve"> Spectrum fees for radio astronomy stations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_Toc286315749 \h </w:instrText>
        </w:r>
        <w:r w:rsidRPr="00C95435">
          <w:rPr>
            <w:webHidden/>
            <w:lang w:val="en-GB"/>
          </w:rPr>
        </w:r>
        <w:r w:rsidRPr="00C95435">
          <w:rPr>
            <w:webHidden/>
            <w:lang w:val="en-GB"/>
          </w:rPr>
          <w:fldChar w:fldCharType="separate"/>
        </w:r>
        <w:r w:rsidR="00CF3F7A" w:rsidRPr="00C95435">
          <w:rPr>
            <w:webHidden/>
            <w:lang w:val="en-GB"/>
          </w:rPr>
          <w:t>35</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0" w:history="1">
        <w:r w:rsidR="00CF3F7A" w:rsidRPr="00C95435">
          <w:rPr>
            <w:rStyle w:val="Hyperlink"/>
            <w:lang w:val="en-GB"/>
          </w:rPr>
          <w:t xml:space="preserve">Article 25 </w:t>
        </w:r>
        <w:r w:rsidR="008369EB" w:rsidRPr="00C95435">
          <w:rPr>
            <w:rStyle w:val="Hyperlink"/>
            <w:lang w:val="en-GB"/>
          </w:rPr>
          <w:t>–</w:t>
        </w:r>
        <w:r w:rsidR="00CF3F7A" w:rsidRPr="00C95435">
          <w:rPr>
            <w:rStyle w:val="Hyperlink"/>
            <w:lang w:val="en-GB"/>
          </w:rPr>
          <w:t xml:space="preserve"> Spectrum fees for radiolocation stations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_Toc286315750 \h </w:instrText>
        </w:r>
        <w:r w:rsidRPr="00C95435">
          <w:rPr>
            <w:webHidden/>
            <w:lang w:val="en-GB"/>
          </w:rPr>
        </w:r>
        <w:r w:rsidRPr="00C95435">
          <w:rPr>
            <w:webHidden/>
            <w:lang w:val="en-GB"/>
          </w:rPr>
          <w:fldChar w:fldCharType="separate"/>
        </w:r>
        <w:r w:rsidR="00CF3F7A" w:rsidRPr="00C95435">
          <w:rPr>
            <w:webHidden/>
            <w:lang w:val="en-GB"/>
          </w:rPr>
          <w:t>35</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1" w:history="1">
        <w:r w:rsidR="00CF3F7A" w:rsidRPr="00C95435">
          <w:rPr>
            <w:rStyle w:val="Hyperlink"/>
            <w:lang w:val="en-GB"/>
          </w:rPr>
          <w:t xml:space="preserve">Article 26 </w:t>
        </w:r>
        <w:r w:rsidR="008369EB" w:rsidRPr="00C95435">
          <w:rPr>
            <w:rStyle w:val="Hyperlink"/>
            <w:lang w:val="en-GB"/>
          </w:rPr>
          <w:t>–</w:t>
        </w:r>
        <w:r w:rsidR="00CF3F7A" w:rsidRPr="00C95435">
          <w:rPr>
            <w:rStyle w:val="Hyperlink"/>
            <w:lang w:val="en-GB"/>
          </w:rPr>
          <w:t xml:space="preserve"> Spectrum fees for broadcasting service</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_Toc286315751 \h </w:instrText>
        </w:r>
        <w:r w:rsidRPr="00C95435">
          <w:rPr>
            <w:webHidden/>
            <w:lang w:val="en-GB"/>
          </w:rPr>
        </w:r>
        <w:r w:rsidRPr="00C95435">
          <w:rPr>
            <w:webHidden/>
            <w:lang w:val="en-GB"/>
          </w:rPr>
          <w:fldChar w:fldCharType="separate"/>
        </w:r>
        <w:r w:rsidR="00CF3F7A" w:rsidRPr="00C95435">
          <w:rPr>
            <w:webHidden/>
            <w:lang w:val="en-GB"/>
          </w:rPr>
          <w:t>35</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2" w:history="1">
        <w:r w:rsidR="00CF3F7A" w:rsidRPr="00C95435">
          <w:rPr>
            <w:rStyle w:val="Hyperlink"/>
            <w:lang w:val="en-GB"/>
          </w:rPr>
          <w:t xml:space="preserve">Article 27 </w:t>
        </w:r>
        <w:r w:rsidR="008369EB" w:rsidRPr="00C95435">
          <w:rPr>
            <w:rStyle w:val="Hyperlink"/>
            <w:lang w:val="en-GB"/>
          </w:rPr>
          <w:t>–</w:t>
        </w:r>
        <w:r w:rsidR="00CF3F7A" w:rsidRPr="00C95435">
          <w:rPr>
            <w:rStyle w:val="Hyperlink"/>
            <w:lang w:val="en-GB"/>
          </w:rPr>
          <w:t xml:space="preserve"> Short-range devices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_Toc286315752 \h </w:instrText>
        </w:r>
        <w:r w:rsidRPr="00C95435">
          <w:rPr>
            <w:webHidden/>
            <w:lang w:val="en-GB"/>
          </w:rPr>
        </w:r>
        <w:r w:rsidRPr="00C95435">
          <w:rPr>
            <w:webHidden/>
            <w:lang w:val="en-GB"/>
          </w:rPr>
          <w:fldChar w:fldCharType="separate"/>
        </w:r>
        <w:r w:rsidR="00CF3F7A" w:rsidRPr="00C95435">
          <w:rPr>
            <w:webHidden/>
            <w:lang w:val="en-GB"/>
          </w:rPr>
          <w:t>39</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3" w:history="1">
        <w:r w:rsidR="00CF3F7A" w:rsidRPr="00C95435">
          <w:rPr>
            <w:rStyle w:val="Hyperlink"/>
            <w:lang w:val="en-GB"/>
          </w:rPr>
          <w:t>Article 28</w:t>
        </w:r>
        <w:r w:rsidR="00CF3F7A" w:rsidRPr="00C95435">
          <w:rPr>
            <w:rStyle w:val="Hyperlink"/>
            <w:bCs/>
            <w:lang w:val="en-GB"/>
          </w:rPr>
          <w:t xml:space="preserve"> </w:t>
        </w:r>
        <w:r w:rsidR="008369EB" w:rsidRPr="00C95435">
          <w:rPr>
            <w:rStyle w:val="Hyperlink"/>
            <w:bCs/>
            <w:lang w:val="en-GB"/>
          </w:rPr>
          <w:t>–</w:t>
        </w:r>
        <w:r w:rsidR="00CF3F7A" w:rsidRPr="00C95435">
          <w:rPr>
            <w:rStyle w:val="Hyperlink"/>
            <w:bCs/>
            <w:lang w:val="en-GB"/>
          </w:rPr>
          <w:t xml:space="preserve"> </w:t>
        </w:r>
        <w:r w:rsidR="00CF3F7A" w:rsidRPr="00C95435">
          <w:rPr>
            <w:rStyle w:val="Hyperlink"/>
            <w:lang w:val="en-GB"/>
          </w:rPr>
          <w:t>Emergency and disaster frequencies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_Toc286315753 \h </w:instrText>
        </w:r>
        <w:r w:rsidRPr="00C95435">
          <w:rPr>
            <w:webHidden/>
            <w:lang w:val="en-GB"/>
          </w:rPr>
        </w:r>
        <w:r w:rsidRPr="00C95435">
          <w:rPr>
            <w:webHidden/>
            <w:lang w:val="en-GB"/>
          </w:rPr>
          <w:fldChar w:fldCharType="separate"/>
        </w:r>
        <w:r w:rsidR="00CF3F7A" w:rsidRPr="00C95435">
          <w:rPr>
            <w:webHidden/>
            <w:lang w:val="en-GB"/>
          </w:rPr>
          <w:t>39</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4" w:history="1">
        <w:r w:rsidR="00CF3F7A" w:rsidRPr="00C95435">
          <w:rPr>
            <w:rStyle w:val="Hyperlink"/>
            <w:lang w:val="en-GB"/>
          </w:rPr>
          <w:t xml:space="preserve">Article 29 </w:t>
        </w:r>
        <w:r w:rsidR="008369EB" w:rsidRPr="00C95435">
          <w:rPr>
            <w:rStyle w:val="Hyperlink"/>
            <w:lang w:val="en-GB"/>
          </w:rPr>
          <w:t>–</w:t>
        </w:r>
        <w:r w:rsidR="00CF3F7A" w:rsidRPr="00C95435">
          <w:rPr>
            <w:rStyle w:val="Hyperlink"/>
            <w:lang w:val="en-GB"/>
          </w:rPr>
          <w:t xml:space="preserve"> Temporary authorization</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_Toc286315754 \h </w:instrText>
        </w:r>
        <w:r w:rsidRPr="00C95435">
          <w:rPr>
            <w:webHidden/>
            <w:lang w:val="en-GB"/>
          </w:rPr>
        </w:r>
        <w:r w:rsidRPr="00C95435">
          <w:rPr>
            <w:webHidden/>
            <w:lang w:val="en-GB"/>
          </w:rPr>
          <w:fldChar w:fldCharType="separate"/>
        </w:r>
        <w:r w:rsidR="00CF3F7A" w:rsidRPr="00C95435">
          <w:rPr>
            <w:webHidden/>
            <w:lang w:val="en-GB"/>
          </w:rPr>
          <w:t>40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5" w:history="1">
        <w:r w:rsidR="00CF3F7A" w:rsidRPr="00C95435">
          <w:rPr>
            <w:rStyle w:val="Hyperlink"/>
            <w:lang w:val="en-GB"/>
          </w:rPr>
          <w:t xml:space="preserve">Article 30 </w:t>
        </w:r>
        <w:r w:rsidR="008369EB" w:rsidRPr="00C95435">
          <w:rPr>
            <w:rStyle w:val="Hyperlink"/>
            <w:lang w:val="en-GB"/>
          </w:rPr>
          <w:t>–</w:t>
        </w:r>
        <w:r w:rsidR="00CF3F7A" w:rsidRPr="00C95435">
          <w:rPr>
            <w:rStyle w:val="Hyperlink"/>
            <w:lang w:val="en-GB"/>
          </w:rPr>
          <w:t xml:space="preserve"> Other radio services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_Toc286315755 \h </w:instrText>
        </w:r>
        <w:r w:rsidRPr="00C95435">
          <w:rPr>
            <w:webHidden/>
            <w:lang w:val="en-GB"/>
          </w:rPr>
        </w:r>
        <w:r w:rsidRPr="00C95435">
          <w:rPr>
            <w:webHidden/>
            <w:lang w:val="en-GB"/>
          </w:rPr>
          <w:fldChar w:fldCharType="separate"/>
        </w:r>
        <w:r w:rsidR="00CF3F7A" w:rsidRPr="00C95435">
          <w:rPr>
            <w:webHidden/>
            <w:lang w:val="en-GB"/>
          </w:rPr>
          <w:t>40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6" w:history="1">
        <w:r w:rsidR="00CF3F7A" w:rsidRPr="00C95435">
          <w:rPr>
            <w:rStyle w:val="Hyperlink"/>
            <w:lang w:val="en-GB"/>
          </w:rPr>
          <w:t xml:space="preserve">Article 31 </w:t>
        </w:r>
        <w:r w:rsidR="008369EB" w:rsidRPr="00C95435">
          <w:rPr>
            <w:rStyle w:val="Hyperlink"/>
            <w:lang w:val="en-GB"/>
          </w:rPr>
          <w:t>–</w:t>
        </w:r>
        <w:r w:rsidR="00CF3F7A" w:rsidRPr="00C95435">
          <w:rPr>
            <w:rStyle w:val="Hyperlink"/>
            <w:lang w:val="en-GB"/>
          </w:rPr>
          <w:t xml:space="preserve"> Interference complaints processing and monitoring fees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_Toc286315756 \h </w:instrText>
        </w:r>
        <w:r w:rsidRPr="00C95435">
          <w:rPr>
            <w:webHidden/>
            <w:lang w:val="en-GB"/>
          </w:rPr>
        </w:r>
        <w:r w:rsidRPr="00C95435">
          <w:rPr>
            <w:webHidden/>
            <w:lang w:val="en-GB"/>
          </w:rPr>
          <w:fldChar w:fldCharType="separate"/>
        </w:r>
        <w:r w:rsidR="00CF3F7A" w:rsidRPr="00C95435">
          <w:rPr>
            <w:webHidden/>
            <w:lang w:val="en-GB"/>
          </w:rPr>
          <w:t>40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7" w:history="1">
        <w:r w:rsidR="00CF3F7A" w:rsidRPr="00C95435">
          <w:rPr>
            <w:rStyle w:val="Hyperlink"/>
            <w:lang w:val="en-GB"/>
          </w:rPr>
          <w:t xml:space="preserve">Article 32 </w:t>
        </w:r>
        <w:r w:rsidR="008369EB" w:rsidRPr="00C95435">
          <w:rPr>
            <w:rStyle w:val="Hyperlink"/>
            <w:lang w:val="en-GB"/>
          </w:rPr>
          <w:t>–</w:t>
        </w:r>
        <w:r w:rsidR="00CF3F7A" w:rsidRPr="00C95435">
          <w:rPr>
            <w:rStyle w:val="Hyperlink"/>
            <w:lang w:val="en-GB"/>
          </w:rPr>
          <w:t xml:space="preserve"> Fees for the foreign embassies, consulates and diplomatic missions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_Toc286315757 \h </w:instrText>
        </w:r>
        <w:r w:rsidRPr="00C95435">
          <w:rPr>
            <w:webHidden/>
            <w:lang w:val="en-GB"/>
          </w:rPr>
        </w:r>
        <w:r w:rsidRPr="00C95435">
          <w:rPr>
            <w:webHidden/>
            <w:lang w:val="en-GB"/>
          </w:rPr>
          <w:fldChar w:fldCharType="separate"/>
        </w:r>
        <w:r w:rsidR="00CF3F7A" w:rsidRPr="00C95435">
          <w:rPr>
            <w:webHidden/>
            <w:lang w:val="en-GB"/>
          </w:rPr>
          <w:t>40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8" w:history="1">
        <w:r w:rsidR="00CF3F7A" w:rsidRPr="00C95435">
          <w:rPr>
            <w:rStyle w:val="Hyperlink"/>
            <w:lang w:val="en-GB"/>
          </w:rPr>
          <w:t xml:space="preserve">Article 33 </w:t>
        </w:r>
        <w:r w:rsidR="008369EB" w:rsidRPr="00C95435">
          <w:rPr>
            <w:rStyle w:val="Hyperlink"/>
            <w:lang w:val="en-GB"/>
          </w:rPr>
          <w:t>–</w:t>
        </w:r>
        <w:r w:rsidR="00CF3F7A" w:rsidRPr="00C95435">
          <w:rPr>
            <w:rStyle w:val="Hyperlink"/>
            <w:lang w:val="en-GB"/>
          </w:rPr>
          <w:t xml:space="preserve"> Fees for site surveys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_Toc286315758 \h </w:instrText>
        </w:r>
        <w:r w:rsidRPr="00C95435">
          <w:rPr>
            <w:webHidden/>
            <w:lang w:val="en-GB"/>
          </w:rPr>
        </w:r>
        <w:r w:rsidRPr="00C95435">
          <w:rPr>
            <w:webHidden/>
            <w:lang w:val="en-GB"/>
          </w:rPr>
          <w:fldChar w:fldCharType="separate"/>
        </w:r>
        <w:r w:rsidR="00CF3F7A" w:rsidRPr="00C95435">
          <w:rPr>
            <w:webHidden/>
            <w:lang w:val="en-GB"/>
          </w:rPr>
          <w:t>40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59" w:history="1">
        <w:r w:rsidR="00CF3F7A" w:rsidRPr="00C95435">
          <w:rPr>
            <w:rStyle w:val="Hyperlink"/>
            <w:lang w:val="en-GB"/>
          </w:rPr>
          <w:t xml:space="preserve">Article 34 </w:t>
        </w:r>
        <w:r w:rsidR="008369EB" w:rsidRPr="00C95435">
          <w:rPr>
            <w:rStyle w:val="Hyperlink"/>
            <w:lang w:val="en-GB"/>
          </w:rPr>
          <w:t>–</w:t>
        </w:r>
        <w:r w:rsidR="00CF3F7A" w:rsidRPr="00C95435">
          <w:rPr>
            <w:rStyle w:val="Hyperlink"/>
            <w:lang w:val="en-GB"/>
          </w:rPr>
          <w:t xml:space="preserve"> Obligation to pay</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_Toc286315759 \h </w:instrText>
        </w:r>
        <w:r w:rsidRPr="00C95435">
          <w:rPr>
            <w:webHidden/>
            <w:lang w:val="en-GB"/>
          </w:rPr>
        </w:r>
        <w:r w:rsidRPr="00C95435">
          <w:rPr>
            <w:webHidden/>
            <w:lang w:val="en-GB"/>
          </w:rPr>
          <w:fldChar w:fldCharType="separate"/>
        </w:r>
        <w:r w:rsidR="00CF3F7A" w:rsidRPr="00C95435">
          <w:rPr>
            <w:webHidden/>
            <w:lang w:val="en-GB"/>
          </w:rPr>
          <w:t>40</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60" w:history="1">
        <w:r w:rsidR="00CF3F7A" w:rsidRPr="00C95435">
          <w:rPr>
            <w:rStyle w:val="Hyperlink"/>
            <w:lang w:val="en-GB"/>
          </w:rPr>
          <w:t>Article 35</w:t>
        </w:r>
        <w:r w:rsidR="00CF3F7A" w:rsidRPr="00C95435">
          <w:rPr>
            <w:rStyle w:val="Hyperlink"/>
            <w:bCs/>
            <w:lang w:val="en-GB"/>
          </w:rPr>
          <w:t xml:space="preserve"> </w:t>
        </w:r>
        <w:r w:rsidR="008369EB" w:rsidRPr="00C95435">
          <w:rPr>
            <w:rStyle w:val="Hyperlink"/>
            <w:bCs/>
            <w:lang w:val="en-GB"/>
          </w:rPr>
          <w:t>–</w:t>
        </w:r>
        <w:r w:rsidR="00CF3F7A" w:rsidRPr="00C95435">
          <w:rPr>
            <w:rStyle w:val="Hyperlink"/>
            <w:bCs/>
            <w:lang w:val="en-GB"/>
          </w:rPr>
          <w:t xml:space="preserve"> </w:t>
        </w:r>
        <w:r w:rsidR="00CF3F7A" w:rsidRPr="00C95435">
          <w:rPr>
            <w:rStyle w:val="Hyperlink"/>
            <w:lang w:val="en-GB"/>
          </w:rPr>
          <w:t>Methods of payments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_Toc286315760 \h </w:instrText>
        </w:r>
        <w:r w:rsidRPr="00C95435">
          <w:rPr>
            <w:webHidden/>
            <w:lang w:val="en-GB"/>
          </w:rPr>
        </w:r>
        <w:r w:rsidRPr="00C95435">
          <w:rPr>
            <w:webHidden/>
            <w:lang w:val="en-GB"/>
          </w:rPr>
          <w:fldChar w:fldCharType="separate"/>
        </w:r>
        <w:r w:rsidR="00CF3F7A" w:rsidRPr="00C95435">
          <w:rPr>
            <w:webHidden/>
            <w:lang w:val="en-GB"/>
          </w:rPr>
          <w:t>41</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61" w:history="1">
        <w:r w:rsidR="00CF3F7A" w:rsidRPr="00C95435">
          <w:rPr>
            <w:rStyle w:val="Hyperlink"/>
            <w:lang w:val="en-GB"/>
          </w:rPr>
          <w:t xml:space="preserve">Article 36 </w:t>
        </w:r>
        <w:r w:rsidR="008369EB" w:rsidRPr="00C95435">
          <w:rPr>
            <w:rStyle w:val="Hyperlink"/>
            <w:lang w:val="en-GB"/>
          </w:rPr>
          <w:t>–</w:t>
        </w:r>
        <w:r w:rsidR="00CF3F7A" w:rsidRPr="00C95435">
          <w:rPr>
            <w:rStyle w:val="Hyperlink"/>
            <w:lang w:val="en-GB"/>
          </w:rPr>
          <w:t xml:space="preserve"> Penalties</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_Toc286315761 \h </w:instrText>
        </w:r>
        <w:r w:rsidRPr="00C95435">
          <w:rPr>
            <w:webHidden/>
            <w:lang w:val="en-GB"/>
          </w:rPr>
        </w:r>
        <w:r w:rsidRPr="00C95435">
          <w:rPr>
            <w:webHidden/>
            <w:lang w:val="en-GB"/>
          </w:rPr>
          <w:fldChar w:fldCharType="separate"/>
        </w:r>
        <w:r w:rsidR="00CF3F7A" w:rsidRPr="00C95435">
          <w:rPr>
            <w:webHidden/>
            <w:lang w:val="en-GB"/>
          </w:rPr>
          <w:t>41</w:t>
        </w:r>
        <w:r w:rsidRPr="00C95435">
          <w:rPr>
            <w:webHidden/>
            <w:lang w:val="en-GB"/>
          </w:rPr>
          <w:fldChar w:fldCharType="end"/>
        </w:r>
      </w:hyperlink>
    </w:p>
    <w:p w:rsidR="00CF3F7A" w:rsidRPr="00C95435" w:rsidRDefault="0084368D">
      <w:pPr>
        <w:pStyle w:val="TOC1"/>
        <w:rPr>
          <w:rFonts w:asciiTheme="minorHAnsi" w:eastAsia="SimSun" w:hAnsiTheme="minorHAnsi" w:cstheme="minorBidi"/>
          <w:szCs w:val="22"/>
          <w:lang w:val="en-GB" w:eastAsia="zh-CN"/>
        </w:rPr>
      </w:pPr>
      <w:hyperlink w:anchor="_Toc286315762" w:history="1">
        <w:r w:rsidR="00CF3F7A" w:rsidRPr="00C95435">
          <w:rPr>
            <w:rStyle w:val="Hyperlink"/>
            <w:lang w:val="en-GB"/>
          </w:rPr>
          <w:t xml:space="preserve">Article 37 </w:t>
        </w:r>
        <w:r w:rsidR="008369EB" w:rsidRPr="00C95435">
          <w:rPr>
            <w:rStyle w:val="Hyperlink"/>
            <w:lang w:val="en-GB"/>
          </w:rPr>
          <w:t>–</w:t>
        </w:r>
        <w:r w:rsidR="00CF3F7A" w:rsidRPr="00C95435">
          <w:rPr>
            <w:rStyle w:val="Hyperlink"/>
            <w:lang w:val="en-GB"/>
          </w:rPr>
          <w:t xml:space="preserve"> Implementation</w:t>
        </w:r>
        <w:r w:rsidR="00CF3F7A" w:rsidRPr="00C95435">
          <w:rPr>
            <w:webHidden/>
            <w:lang w:val="en-GB"/>
          </w:rPr>
          <w:tab/>
        </w:r>
        <w:r w:rsidR="00D131E4" w:rsidRPr="00C95435">
          <w:rPr>
            <w:webHidden/>
            <w:lang w:val="en-GB"/>
          </w:rPr>
          <w:tab/>
        </w:r>
        <w:r w:rsidRPr="00C95435">
          <w:rPr>
            <w:webHidden/>
            <w:lang w:val="en-GB"/>
          </w:rPr>
          <w:fldChar w:fldCharType="begin"/>
        </w:r>
        <w:r w:rsidR="00CF3F7A" w:rsidRPr="00C95435">
          <w:rPr>
            <w:webHidden/>
            <w:lang w:val="en-GB"/>
          </w:rPr>
          <w:instrText xml:space="preserve"> PAGEREF _Toc286315762 \h </w:instrText>
        </w:r>
        <w:r w:rsidRPr="00C95435">
          <w:rPr>
            <w:webHidden/>
            <w:lang w:val="en-GB"/>
          </w:rPr>
        </w:r>
        <w:r w:rsidRPr="00C95435">
          <w:rPr>
            <w:webHidden/>
            <w:lang w:val="en-GB"/>
          </w:rPr>
          <w:fldChar w:fldCharType="separate"/>
        </w:r>
        <w:r w:rsidR="00CF3F7A" w:rsidRPr="00C95435">
          <w:rPr>
            <w:webHidden/>
            <w:lang w:val="en-GB"/>
          </w:rPr>
          <w:t>41</w:t>
        </w:r>
        <w:r w:rsidRPr="00C95435">
          <w:rPr>
            <w:webHidden/>
            <w:lang w:val="en-GB"/>
          </w:rPr>
          <w:fldChar w:fldCharType="end"/>
        </w:r>
      </w:hyperlink>
    </w:p>
    <w:p w:rsidR="00BD7355" w:rsidRPr="00C95435" w:rsidRDefault="0084368D" w:rsidP="00BD7355">
      <w:r w:rsidRPr="00C95435">
        <w:fldChar w:fldCharType="end"/>
      </w:r>
    </w:p>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3861C8" w:rsidRPr="00C95435" w:rsidRDefault="003861C8" w:rsidP="00BD7355"/>
    <w:p w:rsidR="006F46C2" w:rsidRPr="00C95435" w:rsidRDefault="006F46C2" w:rsidP="00B54900">
      <w:pPr>
        <w:pStyle w:val="Arttitle"/>
      </w:pPr>
      <w:r w:rsidRPr="00C95435">
        <w:br w:type="page"/>
      </w:r>
      <w:bookmarkStart w:id="303" w:name="_Toc280261823"/>
      <w:bookmarkStart w:id="304" w:name="_Toc280262321"/>
      <w:bookmarkStart w:id="305" w:name="_Toc280272715"/>
      <w:bookmarkStart w:id="306" w:name="_Toc280272894"/>
      <w:bookmarkStart w:id="307" w:name="_Toc284419409"/>
      <w:bookmarkStart w:id="308" w:name="_Toc286315726"/>
      <w:r w:rsidRPr="00C95435">
        <w:lastRenderedPageBreak/>
        <w:t>Article 1</w:t>
      </w:r>
      <w:r w:rsidR="007F7FF8" w:rsidRPr="00C95435">
        <w:br/>
      </w:r>
      <w:r w:rsidR="007F7FF8" w:rsidRPr="00C95435">
        <w:br/>
      </w:r>
      <w:bookmarkStart w:id="309" w:name="_Toc199215024"/>
      <w:r w:rsidRPr="00C95435">
        <w:t>Purpose</w:t>
      </w:r>
      <w:bookmarkEnd w:id="303"/>
      <w:bookmarkEnd w:id="304"/>
      <w:bookmarkEnd w:id="305"/>
      <w:bookmarkEnd w:id="306"/>
      <w:bookmarkEnd w:id="307"/>
      <w:bookmarkEnd w:id="308"/>
      <w:bookmarkEnd w:id="309"/>
    </w:p>
    <w:p w:rsidR="006F46C2" w:rsidRPr="00C95435" w:rsidRDefault="006F46C2" w:rsidP="006F46C2">
      <w:r w:rsidRPr="00C95435">
        <w:t>In accordance with the Federal Law by Decree No. 3 of 2003 as amended and its Executive Order, this Policy sets the spectrum fees schedule for Frequency Spectrum and Wireless Equipment</w:t>
      </w:r>
      <w:r w:rsidRPr="00C95435" w:rsidDel="00475BFE">
        <w:t xml:space="preserve"> </w:t>
      </w:r>
      <w:r w:rsidRPr="00C95435">
        <w:t>Authorization. The spectrum fees shall be collected in advance for applying, registering, authorizing or renewing unless exempted in this Policy.</w:t>
      </w:r>
    </w:p>
    <w:p w:rsidR="006F46C2" w:rsidRPr="00C95435" w:rsidRDefault="00EB7F10" w:rsidP="008B3423">
      <w:pPr>
        <w:pStyle w:val="Arttitle"/>
        <w:spacing w:before="400"/>
      </w:pPr>
      <w:bookmarkStart w:id="310" w:name="_Toc280261824"/>
      <w:bookmarkStart w:id="311" w:name="_Toc280262322"/>
      <w:bookmarkStart w:id="312" w:name="_Toc280272716"/>
      <w:bookmarkStart w:id="313" w:name="_Toc280272895"/>
      <w:bookmarkStart w:id="314" w:name="_Toc284419410"/>
      <w:bookmarkStart w:id="315" w:name="_Toc286315727"/>
      <w:r w:rsidRPr="00C95435">
        <w:t xml:space="preserve">Article </w:t>
      </w:r>
      <w:r w:rsidR="006F46C2" w:rsidRPr="00C95435">
        <w:t>2</w:t>
      </w:r>
      <w:r w:rsidR="00D907A4" w:rsidRPr="00C95435">
        <w:br/>
      </w:r>
      <w:r w:rsidR="00D907A4" w:rsidRPr="00C95435">
        <w:br/>
      </w:r>
      <w:bookmarkStart w:id="316" w:name="_Toc199215025"/>
      <w:r w:rsidR="006F46C2" w:rsidRPr="00C95435">
        <w:t>Definitions</w:t>
      </w:r>
      <w:bookmarkEnd w:id="310"/>
      <w:bookmarkEnd w:id="311"/>
      <w:bookmarkEnd w:id="312"/>
      <w:bookmarkEnd w:id="313"/>
      <w:bookmarkEnd w:id="314"/>
      <w:bookmarkEnd w:id="315"/>
      <w:bookmarkEnd w:id="316"/>
    </w:p>
    <w:p w:rsidR="006F46C2" w:rsidRPr="00C95435" w:rsidRDefault="006F46C2" w:rsidP="006F46C2">
      <w:r w:rsidRPr="00C95435">
        <w:t xml:space="preserve">In applying this policy, the following terms shall have the following meanings unless the context requires otherwise, whereas any term undefined in the following shall be defined </w:t>
      </w:r>
      <w:r w:rsidR="00C95435" w:rsidRPr="00C95435">
        <w:t>in line</w:t>
      </w:r>
      <w:r w:rsidRPr="00C95435">
        <w:t xml:space="preserve"> with the Federal Law by Decree No. 3 of 2003 as amended and its Executive Order:</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w:t>
      </w:r>
      <w:r w:rsidR="000118E2" w:rsidRPr="00C95435">
        <w:rPr>
          <w:rFonts w:asciiTheme="majorBidi" w:hAnsiTheme="majorBidi" w:cstheme="majorBidi"/>
          <w:b/>
          <w:szCs w:val="22"/>
        </w:rPr>
        <w:tab/>
        <w:t>“</w:t>
      </w:r>
      <w:r w:rsidRPr="00C95435">
        <w:rPr>
          <w:rFonts w:asciiTheme="majorBidi" w:hAnsiTheme="majorBidi" w:cstheme="majorBidi"/>
          <w:b/>
          <w:szCs w:val="22"/>
        </w:rPr>
        <w:t>Allocation</w:t>
      </w:r>
      <w:r w:rsidR="000118E2" w:rsidRPr="00C95435">
        <w:rPr>
          <w:rFonts w:asciiTheme="majorBidi" w:hAnsiTheme="majorBidi" w:cstheme="majorBidi"/>
          <w:b/>
          <w:szCs w:val="22"/>
        </w:rPr>
        <w:t>”</w:t>
      </w:r>
      <w:r w:rsidRPr="00C95435">
        <w:rPr>
          <w:rFonts w:asciiTheme="majorBidi" w:hAnsiTheme="majorBidi" w:cstheme="majorBidi"/>
          <w:szCs w:val="22"/>
        </w:rPr>
        <w:t xml:space="preserve"> means the entry of a designated frequency or frequency band in the National Spectrum Plan for use by one or more users for a terrestrial or space Radiocommunication service in the UAE.</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2.2</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Applicant</w:t>
      </w:r>
      <w:r w:rsidR="000118E2" w:rsidRPr="00C95435">
        <w:rPr>
          <w:rFonts w:asciiTheme="majorBidi" w:hAnsiTheme="majorBidi" w:cstheme="majorBidi"/>
          <w:b/>
          <w:szCs w:val="22"/>
        </w:rPr>
        <w:t>”</w:t>
      </w:r>
      <w:r w:rsidRPr="00C95435">
        <w:rPr>
          <w:rFonts w:asciiTheme="majorBidi" w:hAnsiTheme="majorBidi" w:cstheme="majorBidi"/>
          <w:szCs w:val="22"/>
        </w:rPr>
        <w:t xml:space="preserve"> means any Person who has applied for a License or an Authorization in accordance with the Telecom Law or other Policy Instruments issued by the TRA.</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2.3</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Application</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the request for issuance of a License or an Authorization, received at the TRA on prescribed forms as per the procedure in vogue.</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2.4</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Authorization</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 Radio Spectrum Authorization awarded by the TRA.</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2.5</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Authorized User</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 Person that has been issued a Radio Spectrum Authorization by the TRA.</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2.6</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Class Authorization</w:t>
      </w:r>
      <w:r w:rsidR="000118E2" w:rsidRPr="00C95435">
        <w:rPr>
          <w:rFonts w:asciiTheme="majorBidi" w:hAnsiTheme="majorBidi" w:cstheme="majorBidi"/>
          <w:b/>
          <w:szCs w:val="22"/>
        </w:rPr>
        <w:t>”</w:t>
      </w:r>
      <w:r w:rsidRPr="00C95435">
        <w:rPr>
          <w:rFonts w:asciiTheme="majorBidi" w:hAnsiTheme="majorBidi" w:cstheme="majorBidi"/>
          <w:szCs w:val="22"/>
        </w:rPr>
        <w:t xml:space="preserve"> means a Radio Spectrum Authorization which permits the operation of Wireless Equipment by any Person within designated frequency bands subject to any Terms and Conditions stipulated therein.</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2.7</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Individual Authorization</w:t>
      </w:r>
      <w:r w:rsidR="000118E2" w:rsidRPr="00C95435">
        <w:rPr>
          <w:rFonts w:asciiTheme="majorBidi" w:hAnsiTheme="majorBidi" w:cstheme="majorBidi"/>
          <w:b/>
          <w:szCs w:val="22"/>
        </w:rPr>
        <w:t>”</w:t>
      </w:r>
      <w:r w:rsidRPr="00C95435">
        <w:rPr>
          <w:rFonts w:asciiTheme="majorBidi" w:hAnsiTheme="majorBidi" w:cstheme="majorBidi"/>
          <w:szCs w:val="22"/>
        </w:rPr>
        <w:t xml:space="preserve"> means a Radio Spectrum Authorization which permits the operation of Wireless Equipment by a specified Person to whom frequencies have been allocated or assigned, subject to any Terms and Conditions stipulated therein.</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2.8</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National Spectrum Plan</w:t>
      </w:r>
      <w:r w:rsidR="000118E2" w:rsidRPr="00C95435">
        <w:rPr>
          <w:rFonts w:asciiTheme="majorBidi" w:hAnsiTheme="majorBidi" w:cstheme="majorBidi"/>
          <w:b/>
          <w:szCs w:val="22"/>
        </w:rPr>
        <w:t>”</w:t>
      </w:r>
      <w:r w:rsidRPr="00C95435">
        <w:rPr>
          <w:rFonts w:asciiTheme="majorBidi" w:hAnsiTheme="majorBidi" w:cstheme="majorBidi"/>
          <w:szCs w:val="22"/>
        </w:rPr>
        <w:t xml:space="preserve"> means Radio Frequency Allocation Plan for the UAE approved by the Supreme Committee and any modifications thereof.</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2.9</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Person</w:t>
      </w:r>
      <w:r w:rsidR="000118E2" w:rsidRPr="00C95435">
        <w:rPr>
          <w:rFonts w:asciiTheme="majorBidi" w:hAnsiTheme="majorBidi" w:cstheme="majorBidi"/>
          <w:b/>
          <w:szCs w:val="22"/>
        </w:rPr>
        <w:t>”</w:t>
      </w:r>
      <w:r w:rsidRPr="00C95435">
        <w:rPr>
          <w:rFonts w:asciiTheme="majorBidi" w:hAnsiTheme="majorBidi" w:cstheme="majorBidi"/>
          <w:szCs w:val="22"/>
        </w:rPr>
        <w:t xml:space="preserve"> will include ‘juridical entities’ as well as ‘natural persons’.</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2.10</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Radiocommunication</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Wireless Transmission by means of radio frequency.</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2.11</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Radiocommunication service</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 service using Radiocommunication.</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2.12</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Radio Frequency</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radiated electromagnetic energy measured in Hz or cycles / sec.</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2.13</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Radio Spectrum Authorization</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 Radio Spectrum Authorization whether Individual or Class issued by the TRA, which permits the use of Radio Frequency subject to terms and conditions set out therein.</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2.14</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Regulatory Instruments</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any instrument issued by the TRA under its powers, and includes without limitation; Regulations, violation decisions, directives, instructions, guidance and recommendations and regulatory policies.</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2.15</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Station</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an installation operated by an authorized user, comprising a radio transmitting and or receiving apparatus and the necessary auxiliary equipment or one or more transmitters or receivers or a combination of transmitters or receivers, including the ancillary equipment, necessary at one location for carrying on a Radiocommunication service.</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lastRenderedPageBreak/>
        <w:t>2.16</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Telecommunication</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any transmission, emission or reception of signs, signals, writings, images and sounds or intelligence of any nature by wire, radio, optical or other electromagnetic systems</w:t>
      </w:r>
      <w:r w:rsidR="00D14A08" w:rsidRPr="00C95435">
        <w:rPr>
          <w:rFonts w:asciiTheme="majorBidi" w:hAnsiTheme="majorBidi" w:cstheme="majorBidi"/>
          <w:szCs w:val="22"/>
        </w:rPr>
        <w:t>.</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2.17</w:t>
      </w:r>
      <w:r w:rsidR="000118E2" w:rsidRPr="00C95435">
        <w:rPr>
          <w:rFonts w:asciiTheme="majorBidi" w:hAnsiTheme="majorBidi" w:cstheme="majorBidi"/>
          <w:b/>
          <w:szCs w:val="22"/>
        </w:rPr>
        <w:tab/>
        <w:t>“</w:t>
      </w:r>
      <w:r w:rsidRPr="00C95435">
        <w:rPr>
          <w:rFonts w:asciiTheme="majorBidi" w:hAnsiTheme="majorBidi" w:cstheme="majorBidi"/>
          <w:b/>
          <w:szCs w:val="22"/>
        </w:rPr>
        <w:t>Temporary Authorization</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Radio Spectrum Authorization issued by the TRA which permits the use of assigned frequency for a period up to 90 days.</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2.18</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The TRA</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the General Authority for Regulating the Telecommunication Sector known as Telecommunications Regulatory Authority (TRA) established pursuant to the provisions of Article 6 of Federal Law by Decree No. 3 of 2003.</w:t>
      </w:r>
    </w:p>
    <w:p w:rsidR="006F46C2" w:rsidRPr="00C95435" w:rsidRDefault="006F46C2" w:rsidP="000118E2">
      <w:pPr>
        <w:pStyle w:val="enumlev1"/>
        <w:rPr>
          <w:rFonts w:asciiTheme="majorBidi" w:hAnsiTheme="majorBidi" w:cstheme="majorBidi"/>
          <w:szCs w:val="22"/>
        </w:rPr>
      </w:pPr>
      <w:r w:rsidRPr="00C95435">
        <w:rPr>
          <w:rFonts w:asciiTheme="majorBidi" w:hAnsiTheme="majorBidi" w:cstheme="majorBidi"/>
          <w:bCs/>
          <w:szCs w:val="22"/>
        </w:rPr>
        <w:t>2.19</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UAE</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the United Arab Emirates including its territorial waters and the airspace above.</w:t>
      </w:r>
    </w:p>
    <w:p w:rsidR="006F46C2" w:rsidRPr="00C95435" w:rsidRDefault="006F46C2" w:rsidP="000118E2">
      <w:pPr>
        <w:pStyle w:val="enumlev1"/>
        <w:rPr>
          <w:rFonts w:asciiTheme="majorBidi" w:hAnsiTheme="majorBidi" w:cstheme="majorBidi"/>
          <w:b/>
          <w:szCs w:val="22"/>
        </w:rPr>
      </w:pPr>
      <w:r w:rsidRPr="00C95435">
        <w:rPr>
          <w:rFonts w:asciiTheme="majorBidi" w:hAnsiTheme="majorBidi" w:cstheme="majorBidi"/>
          <w:bCs/>
          <w:szCs w:val="22"/>
        </w:rPr>
        <w:t>2.20</w:t>
      </w:r>
      <w:r w:rsidRPr="00C95435">
        <w:rPr>
          <w:rFonts w:asciiTheme="majorBidi" w:hAnsiTheme="majorBidi" w:cstheme="majorBidi"/>
          <w:b/>
          <w:szCs w:val="22"/>
        </w:rPr>
        <w:tab/>
      </w:r>
      <w:r w:rsidR="000118E2" w:rsidRPr="00C95435">
        <w:rPr>
          <w:rFonts w:asciiTheme="majorBidi" w:hAnsiTheme="majorBidi" w:cstheme="majorBidi"/>
          <w:b/>
          <w:szCs w:val="22"/>
        </w:rPr>
        <w:t>“</w:t>
      </w:r>
      <w:r w:rsidRPr="00C95435">
        <w:rPr>
          <w:rFonts w:asciiTheme="majorBidi" w:hAnsiTheme="majorBidi" w:cstheme="majorBidi"/>
          <w:b/>
          <w:szCs w:val="22"/>
        </w:rPr>
        <w:t>Wireless Equipment</w:t>
      </w:r>
      <w:r w:rsidR="000118E2" w:rsidRPr="00C95435">
        <w:rPr>
          <w:rFonts w:asciiTheme="majorBidi" w:hAnsiTheme="majorBidi" w:cstheme="majorBidi"/>
          <w:b/>
          <w:szCs w:val="22"/>
        </w:rPr>
        <w:t>”</w:t>
      </w:r>
      <w:r w:rsidRPr="00C95435">
        <w:rPr>
          <w:rFonts w:asciiTheme="majorBidi" w:hAnsiTheme="majorBidi" w:cstheme="majorBidi"/>
          <w:b/>
          <w:szCs w:val="22"/>
        </w:rPr>
        <w:t xml:space="preserve"> </w:t>
      </w:r>
      <w:r w:rsidRPr="00C95435">
        <w:rPr>
          <w:rFonts w:asciiTheme="majorBidi" w:hAnsiTheme="majorBidi" w:cstheme="majorBidi"/>
          <w:szCs w:val="22"/>
        </w:rPr>
        <w:t>means a category of Telecommunication Apparatus used for Radiocommunication.</w:t>
      </w:r>
    </w:p>
    <w:p w:rsidR="006F46C2" w:rsidRPr="00C95435" w:rsidRDefault="00EB7F10" w:rsidP="008B3423">
      <w:pPr>
        <w:pStyle w:val="Arttitle"/>
        <w:spacing w:before="400"/>
      </w:pPr>
      <w:bookmarkStart w:id="317" w:name="_Toc280261825"/>
      <w:bookmarkStart w:id="318" w:name="_Toc280262323"/>
      <w:bookmarkStart w:id="319" w:name="_Toc280272717"/>
      <w:bookmarkStart w:id="320" w:name="_Toc280272896"/>
      <w:bookmarkStart w:id="321" w:name="_Toc284419411"/>
      <w:bookmarkStart w:id="322" w:name="_Toc286315728"/>
      <w:r w:rsidRPr="00C95435">
        <w:t xml:space="preserve">Article </w:t>
      </w:r>
      <w:r w:rsidR="006F46C2" w:rsidRPr="00C95435">
        <w:t>3</w:t>
      </w:r>
      <w:r w:rsidR="00E86AEF" w:rsidRPr="00C95435">
        <w:br/>
      </w:r>
      <w:r w:rsidR="00E86AEF" w:rsidRPr="00C95435">
        <w:br/>
      </w:r>
      <w:bookmarkStart w:id="323" w:name="_Toc199215026"/>
      <w:r w:rsidR="00D14A08" w:rsidRPr="00C95435">
        <w:t>Application processing f</w:t>
      </w:r>
      <w:r w:rsidR="006F46C2" w:rsidRPr="00C95435">
        <w:t>ees</w:t>
      </w:r>
      <w:bookmarkEnd w:id="317"/>
      <w:bookmarkEnd w:id="318"/>
      <w:bookmarkEnd w:id="319"/>
      <w:bookmarkEnd w:id="320"/>
      <w:bookmarkEnd w:id="321"/>
      <w:bookmarkEnd w:id="322"/>
      <w:bookmarkEnd w:id="323"/>
    </w:p>
    <w:p w:rsidR="006F46C2" w:rsidRPr="00C95435" w:rsidRDefault="006F46C2" w:rsidP="006F46C2">
      <w:pPr>
        <w:rPr>
          <w:szCs w:val="19"/>
        </w:rPr>
      </w:pPr>
      <w:r w:rsidRPr="00C95435">
        <w:rPr>
          <w:szCs w:val="19"/>
        </w:rPr>
        <w:t xml:space="preserve">Each application for the Radio Spectrum Authorization requires an advance non-refundable payment of Five Hundred </w:t>
      </w:r>
      <w:r w:rsidRPr="00C95435">
        <w:rPr>
          <w:b/>
          <w:szCs w:val="19"/>
        </w:rPr>
        <w:t xml:space="preserve">(500) Dirhams </w:t>
      </w:r>
      <w:r w:rsidRPr="00C95435">
        <w:rPr>
          <w:szCs w:val="19"/>
        </w:rPr>
        <w:t xml:space="preserve">for processing the application, irrespective of the final status of the application towards grant or rejection of the application. The TRA may advise certain Government organizations, licensed operators and any major user to accumulate the application processing fees for payment along with the spectrum fees. </w:t>
      </w:r>
    </w:p>
    <w:p w:rsidR="006F46C2" w:rsidRPr="00C95435" w:rsidRDefault="00EB7F10" w:rsidP="003B5097">
      <w:pPr>
        <w:pStyle w:val="Arttitle"/>
        <w:spacing w:before="400"/>
      </w:pPr>
      <w:bookmarkStart w:id="324" w:name="_Toc280261826"/>
      <w:bookmarkStart w:id="325" w:name="_Toc280262324"/>
      <w:bookmarkStart w:id="326" w:name="_Toc280272718"/>
      <w:bookmarkStart w:id="327" w:name="_Toc280272897"/>
      <w:bookmarkStart w:id="328" w:name="_Toc284419412"/>
      <w:bookmarkStart w:id="329" w:name="_Toc286315729"/>
      <w:r w:rsidRPr="00C95435">
        <w:t xml:space="preserve">Article </w:t>
      </w:r>
      <w:r w:rsidR="006F46C2" w:rsidRPr="00C95435">
        <w:t>4</w:t>
      </w:r>
      <w:r w:rsidR="00476183" w:rsidRPr="00C95435">
        <w:br/>
      </w:r>
      <w:r w:rsidR="00476183" w:rsidRPr="00C95435">
        <w:br/>
      </w:r>
      <w:bookmarkStart w:id="330" w:name="_Toc199215027"/>
      <w:r w:rsidR="006F46C2" w:rsidRPr="00C95435">
        <w:t>Exempti</w:t>
      </w:r>
      <w:r w:rsidR="00D14A08" w:rsidRPr="00C95435">
        <w:t xml:space="preserve">on from </w:t>
      </w:r>
      <w:r w:rsidR="003B5097" w:rsidRPr="00C95435">
        <w:t>a</w:t>
      </w:r>
      <w:r w:rsidR="00D14A08" w:rsidRPr="00C95435">
        <w:t>pplication processing f</w:t>
      </w:r>
      <w:r w:rsidR="006F46C2" w:rsidRPr="00C95435">
        <w:t>ees</w:t>
      </w:r>
      <w:bookmarkEnd w:id="324"/>
      <w:bookmarkEnd w:id="325"/>
      <w:bookmarkEnd w:id="326"/>
      <w:bookmarkEnd w:id="327"/>
      <w:bookmarkEnd w:id="328"/>
      <w:bookmarkEnd w:id="329"/>
      <w:bookmarkEnd w:id="330"/>
    </w:p>
    <w:p w:rsidR="006F46C2" w:rsidRPr="00C95435" w:rsidRDefault="006F46C2" w:rsidP="006F46C2">
      <w:pPr>
        <w:rPr>
          <w:szCs w:val="19"/>
        </w:rPr>
      </w:pPr>
      <w:r w:rsidRPr="00C95435">
        <w:rPr>
          <w:szCs w:val="19"/>
        </w:rPr>
        <w:t>The following applications shall be exempted from the Application processing Fees:</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4.1</w:t>
      </w:r>
      <w:r w:rsidRPr="00C95435">
        <w:rPr>
          <w:rFonts w:asciiTheme="majorBidi" w:hAnsiTheme="majorBidi" w:cstheme="majorBidi"/>
          <w:szCs w:val="22"/>
        </w:rPr>
        <w:tab/>
        <w:t>Application for Small Boat which is categorized as fishing trawler in the Navigation license.</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4.2</w:t>
      </w:r>
      <w:r w:rsidRPr="00C95435">
        <w:rPr>
          <w:rFonts w:asciiTheme="majorBidi" w:hAnsiTheme="majorBidi" w:cstheme="majorBidi"/>
          <w:szCs w:val="22"/>
        </w:rPr>
        <w:tab/>
        <w:t>Application for Amateur Authorization if submitted through Emirates Amateur Radio Society.</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4.3</w:t>
      </w:r>
      <w:r w:rsidRPr="00C95435">
        <w:rPr>
          <w:rFonts w:asciiTheme="majorBidi" w:hAnsiTheme="majorBidi" w:cstheme="majorBidi"/>
          <w:szCs w:val="22"/>
        </w:rPr>
        <w:tab/>
        <w:t>Application for personal use of Private Mobile Radio for Camel jockeys.</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4.4</w:t>
      </w:r>
      <w:r w:rsidRPr="00C95435">
        <w:rPr>
          <w:rFonts w:asciiTheme="majorBidi" w:hAnsiTheme="majorBidi" w:cstheme="majorBidi"/>
          <w:szCs w:val="22"/>
        </w:rPr>
        <w:tab/>
        <w:t>Application by non-commercial clubs for hobbies like Aeromodelling.</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4.5</w:t>
      </w:r>
      <w:r w:rsidRPr="00C95435">
        <w:rPr>
          <w:rFonts w:asciiTheme="majorBidi" w:hAnsiTheme="majorBidi" w:cstheme="majorBidi"/>
          <w:szCs w:val="22"/>
        </w:rPr>
        <w:tab/>
        <w:t>Application by research and educational institutions for private use.</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4.6</w:t>
      </w:r>
      <w:r w:rsidRPr="00C95435">
        <w:rPr>
          <w:rFonts w:asciiTheme="majorBidi" w:hAnsiTheme="majorBidi" w:cstheme="majorBidi"/>
          <w:szCs w:val="22"/>
        </w:rPr>
        <w:tab/>
        <w:t>Application by Foreign Missions, Consulates and Embassies for official correspondence or visits of dignitaries when submitted through the UAE Ministry of Foreign Affairs.</w:t>
      </w:r>
    </w:p>
    <w:p w:rsidR="006F46C2" w:rsidRPr="00C95435" w:rsidRDefault="00EB7F10" w:rsidP="00D14A08">
      <w:pPr>
        <w:pStyle w:val="Arttitle"/>
        <w:spacing w:before="400"/>
      </w:pPr>
      <w:bookmarkStart w:id="331" w:name="_Toc280261827"/>
      <w:bookmarkStart w:id="332" w:name="_Toc280262325"/>
      <w:bookmarkStart w:id="333" w:name="_Toc280272719"/>
      <w:bookmarkStart w:id="334" w:name="_Toc280272898"/>
      <w:bookmarkStart w:id="335" w:name="_Toc284419413"/>
      <w:bookmarkStart w:id="336" w:name="_Toc286315730"/>
      <w:r w:rsidRPr="00C95435">
        <w:t xml:space="preserve">Article </w:t>
      </w:r>
      <w:r w:rsidR="006F46C2" w:rsidRPr="00C95435">
        <w:t>5</w:t>
      </w:r>
      <w:r w:rsidR="00976867" w:rsidRPr="00C95435">
        <w:br/>
      </w:r>
      <w:r w:rsidR="00976867" w:rsidRPr="00C95435">
        <w:br/>
      </w:r>
      <w:bookmarkStart w:id="337" w:name="_Toc199215028"/>
      <w:r w:rsidR="00D14A08" w:rsidRPr="00C95435">
        <w:t>Spectrum f</w:t>
      </w:r>
      <w:r w:rsidR="006F46C2" w:rsidRPr="00C95435">
        <w:t xml:space="preserve">ees for fresh </w:t>
      </w:r>
      <w:r w:rsidR="00D14A08" w:rsidRPr="00C95435">
        <w:t>a</w:t>
      </w:r>
      <w:r w:rsidR="006F46C2" w:rsidRPr="00C95435">
        <w:t>pplication</w:t>
      </w:r>
      <w:bookmarkEnd w:id="331"/>
      <w:bookmarkEnd w:id="332"/>
      <w:bookmarkEnd w:id="333"/>
      <w:bookmarkEnd w:id="334"/>
      <w:bookmarkEnd w:id="335"/>
      <w:bookmarkEnd w:id="336"/>
      <w:bookmarkEnd w:id="337"/>
    </w:p>
    <w:p w:rsidR="006F46C2" w:rsidRPr="00C95435" w:rsidRDefault="006F46C2" w:rsidP="006F46C2">
      <w:pPr>
        <w:rPr>
          <w:szCs w:val="19"/>
        </w:rPr>
      </w:pPr>
      <w:r w:rsidRPr="00C95435">
        <w:rPr>
          <w:szCs w:val="19"/>
        </w:rPr>
        <w:t>The spectrum fees shall be payable in advance. Upon successful processing of a fresh application, the TRA shall inform the Applicant of the spectrum fees in accordance with this policy calculated on prorate for the period of validity of the Authorization starting from the date of invoice. The Applicant shall submit to the TRA, the proof of payment immediately and not later than thirty (30) days. The receipt of the fees by the TRA based on verification by the TRA shall be considered as completion of the payment for issuance of the Authorization. If payment is not received, the TRA shall cancel the application. If the Applicant requires pursuing this Application, the Applicant shall be required to re-submit the application with application processing Fees.</w:t>
      </w:r>
    </w:p>
    <w:p w:rsidR="006F46C2" w:rsidRPr="00C95435" w:rsidRDefault="00EB7F10" w:rsidP="00C934DD">
      <w:pPr>
        <w:pStyle w:val="Arttitle"/>
        <w:spacing w:before="400"/>
      </w:pPr>
      <w:bookmarkStart w:id="338" w:name="_Toc280261828"/>
      <w:bookmarkStart w:id="339" w:name="_Toc280262326"/>
      <w:bookmarkStart w:id="340" w:name="_Toc280272720"/>
      <w:bookmarkStart w:id="341" w:name="_Toc280272899"/>
      <w:bookmarkStart w:id="342" w:name="_Toc284419414"/>
      <w:bookmarkStart w:id="343" w:name="_Toc286315731"/>
      <w:r w:rsidRPr="00C95435">
        <w:lastRenderedPageBreak/>
        <w:t xml:space="preserve">Article </w:t>
      </w:r>
      <w:r w:rsidR="006F46C2" w:rsidRPr="00C95435">
        <w:t>6</w:t>
      </w:r>
      <w:r w:rsidR="00976867" w:rsidRPr="00C95435">
        <w:br/>
      </w:r>
      <w:r w:rsidR="00976867" w:rsidRPr="00C95435">
        <w:br/>
      </w:r>
      <w:bookmarkStart w:id="344" w:name="_Toc199215029"/>
      <w:r w:rsidR="006F46C2" w:rsidRPr="00C95435">
        <w:t xml:space="preserve">Spectrum </w:t>
      </w:r>
      <w:r w:rsidR="00C934DD" w:rsidRPr="00C95435">
        <w:t>f</w:t>
      </w:r>
      <w:r w:rsidR="006F46C2" w:rsidRPr="00C95435">
        <w:t xml:space="preserve">ees for renewal of </w:t>
      </w:r>
      <w:r w:rsidR="00C934DD" w:rsidRPr="00C95435">
        <w:t>a</w:t>
      </w:r>
      <w:r w:rsidR="006F46C2" w:rsidRPr="00C95435">
        <w:t>uthorization</w:t>
      </w:r>
      <w:bookmarkEnd w:id="338"/>
      <w:bookmarkEnd w:id="339"/>
      <w:bookmarkEnd w:id="340"/>
      <w:bookmarkEnd w:id="341"/>
      <w:bookmarkEnd w:id="342"/>
      <w:bookmarkEnd w:id="343"/>
      <w:bookmarkEnd w:id="344"/>
    </w:p>
    <w:p w:rsidR="006F46C2" w:rsidRPr="00C95435" w:rsidRDefault="006F46C2" w:rsidP="00976867">
      <w:pPr>
        <w:rPr>
          <w:szCs w:val="19"/>
        </w:rPr>
      </w:pPr>
      <w:r w:rsidRPr="00C95435">
        <w:rPr>
          <w:szCs w:val="19"/>
        </w:rPr>
        <w:t xml:space="preserve">The Authorized User shall be responsible to apply to the TRA for renewal of the Authorization, within the period, thirty (30) days before the expiry of the Authorization. Authorized User may also request for invoice of the Spectrum Fees for renewal of Authorization even before thirty (30) days of the expiry of the Authorization for a period as allowed for that Authorization in the Spectrum Allocation and Assignment Regulations of the TRA. The applicable Spectrum Fees are defined in the relevant articles of this policy. Wherever, the Spectrum Fees are inclusive of Wireless Equipment as a component, the annual renewal of the Spectrum Fees will include all components and not any part thereof. A grace period of fifteen (15) days after expiry may be given to the Authorized User by the TRA to pay the Spectrum Fees for renewal without any additional Fees. </w:t>
      </w:r>
    </w:p>
    <w:p w:rsidR="006F46C2" w:rsidRPr="00C95435" w:rsidRDefault="00EB7F10" w:rsidP="00C934DD">
      <w:pPr>
        <w:pStyle w:val="Arttitle"/>
        <w:spacing w:before="400"/>
      </w:pPr>
      <w:bookmarkStart w:id="345" w:name="_Toc280261829"/>
      <w:bookmarkStart w:id="346" w:name="_Toc280262327"/>
      <w:bookmarkStart w:id="347" w:name="_Toc280272721"/>
      <w:bookmarkStart w:id="348" w:name="_Toc280272900"/>
      <w:bookmarkStart w:id="349" w:name="_Toc284419415"/>
      <w:bookmarkStart w:id="350" w:name="_Toc286315732"/>
      <w:r w:rsidRPr="00C95435">
        <w:t>Article 7</w:t>
      </w:r>
      <w:r w:rsidR="004C366B" w:rsidRPr="00C95435">
        <w:br/>
      </w:r>
      <w:r w:rsidR="004C366B" w:rsidRPr="00C95435">
        <w:br/>
      </w:r>
      <w:bookmarkStart w:id="351" w:name="_Toc199215030"/>
      <w:r w:rsidR="006F46C2" w:rsidRPr="00C95435">
        <w:t xml:space="preserve">Additional </w:t>
      </w:r>
      <w:r w:rsidR="00C934DD" w:rsidRPr="00C95435">
        <w:t>f</w:t>
      </w:r>
      <w:r w:rsidR="006F46C2" w:rsidRPr="00C95435">
        <w:t xml:space="preserve">ees for delayed renewal of </w:t>
      </w:r>
      <w:r w:rsidR="00C934DD" w:rsidRPr="00C95435">
        <w:t>a</w:t>
      </w:r>
      <w:r w:rsidR="006F46C2" w:rsidRPr="00C95435">
        <w:t>uthorization</w:t>
      </w:r>
      <w:bookmarkEnd w:id="345"/>
      <w:bookmarkEnd w:id="346"/>
      <w:bookmarkEnd w:id="347"/>
      <w:bookmarkEnd w:id="348"/>
      <w:bookmarkEnd w:id="349"/>
      <w:bookmarkEnd w:id="350"/>
      <w:bookmarkEnd w:id="351"/>
    </w:p>
    <w:p w:rsidR="006F46C2" w:rsidRPr="00C95435" w:rsidRDefault="006F46C2" w:rsidP="006F46C2">
      <w:pPr>
        <w:rPr>
          <w:szCs w:val="19"/>
        </w:rPr>
      </w:pPr>
      <w:r w:rsidRPr="00C95435">
        <w:rPr>
          <w:szCs w:val="19"/>
        </w:rPr>
        <w:t xml:space="preserve">The TRA shall levy an additional fee of 10% of the amount due for Spectrum Fees if the Authorized User applies for renewal after fifteen days of expiry and before forty-five (45) days of expiry. The TRA shall cancel the Authorization if not applied for renewal within forty-five (45) days of expiry. The TRA shall levy additional fees of 20% of the amount due for Spectrum Fees if a cancelled Authorization is applied for renewal. </w:t>
      </w:r>
    </w:p>
    <w:p w:rsidR="006F46C2" w:rsidRPr="00C95435" w:rsidRDefault="006F46C2" w:rsidP="008B3423">
      <w:pPr>
        <w:pStyle w:val="Arttitle"/>
        <w:spacing w:before="400"/>
      </w:pPr>
      <w:bookmarkStart w:id="352" w:name="_Toc280261830"/>
      <w:bookmarkStart w:id="353" w:name="_Toc280262328"/>
      <w:bookmarkStart w:id="354" w:name="_Toc280272722"/>
      <w:bookmarkStart w:id="355" w:name="_Toc280272901"/>
      <w:bookmarkStart w:id="356" w:name="_Toc284419416"/>
      <w:bookmarkStart w:id="357" w:name="_Toc286315733"/>
      <w:r w:rsidRPr="00C95435">
        <w:t>Articl</w:t>
      </w:r>
      <w:r w:rsidR="00EB7F10" w:rsidRPr="00C95435">
        <w:t xml:space="preserve">e </w:t>
      </w:r>
      <w:r w:rsidRPr="00C95435">
        <w:t>8</w:t>
      </w:r>
      <w:r w:rsidR="004C366B" w:rsidRPr="00C95435">
        <w:br/>
      </w:r>
      <w:r w:rsidR="004C366B" w:rsidRPr="00C95435">
        <w:br/>
      </w:r>
      <w:bookmarkStart w:id="358" w:name="_Toc199215031"/>
      <w:r w:rsidRPr="00C95435">
        <w:t>Authorization reproduction fees</w:t>
      </w:r>
      <w:bookmarkEnd w:id="352"/>
      <w:bookmarkEnd w:id="353"/>
      <w:bookmarkEnd w:id="354"/>
      <w:bookmarkEnd w:id="355"/>
      <w:bookmarkEnd w:id="356"/>
      <w:bookmarkEnd w:id="357"/>
      <w:bookmarkEnd w:id="358"/>
    </w:p>
    <w:p w:rsidR="006F46C2" w:rsidRPr="00C95435" w:rsidRDefault="006F46C2" w:rsidP="006F46C2">
      <w:pPr>
        <w:rPr>
          <w:szCs w:val="19"/>
        </w:rPr>
      </w:pPr>
      <w:r w:rsidRPr="00C95435">
        <w:rPr>
          <w:szCs w:val="19"/>
        </w:rPr>
        <w:t>In case the Authorization is damaged or lost, the Authorized User can apply to the TRA for reproduction of the Authorization. An advance non-refundable payment of One Hundred (100) Dirhams</w:t>
      </w:r>
      <w:r w:rsidRPr="00C95435">
        <w:rPr>
          <w:b/>
          <w:szCs w:val="19"/>
        </w:rPr>
        <w:t xml:space="preserve"> </w:t>
      </w:r>
      <w:r w:rsidRPr="00C95435">
        <w:rPr>
          <w:szCs w:val="19"/>
        </w:rPr>
        <w:t>shall be levied</w:t>
      </w:r>
      <w:r w:rsidRPr="00C95435">
        <w:rPr>
          <w:b/>
          <w:szCs w:val="19"/>
        </w:rPr>
        <w:t xml:space="preserve"> </w:t>
      </w:r>
      <w:r w:rsidRPr="00C95435">
        <w:rPr>
          <w:szCs w:val="19"/>
        </w:rPr>
        <w:t xml:space="preserve">for each Authorization requested. </w:t>
      </w:r>
    </w:p>
    <w:p w:rsidR="006F46C2" w:rsidRPr="00C95435" w:rsidRDefault="00EB7F10" w:rsidP="008B3423">
      <w:pPr>
        <w:pStyle w:val="Arttitle"/>
        <w:spacing w:before="400"/>
      </w:pPr>
      <w:bookmarkStart w:id="359" w:name="_Toc280261831"/>
      <w:bookmarkStart w:id="360" w:name="_Toc280262329"/>
      <w:bookmarkStart w:id="361" w:name="_Toc280272723"/>
      <w:bookmarkStart w:id="362" w:name="_Toc280272902"/>
      <w:bookmarkStart w:id="363" w:name="_Toc284419417"/>
      <w:bookmarkStart w:id="364" w:name="_Toc286315734"/>
      <w:r w:rsidRPr="00C95435">
        <w:t xml:space="preserve">Article </w:t>
      </w:r>
      <w:r w:rsidR="006F46C2" w:rsidRPr="00C95435">
        <w:t>9</w:t>
      </w:r>
      <w:r w:rsidR="004C366B" w:rsidRPr="00C95435">
        <w:br/>
      </w:r>
      <w:r w:rsidR="004C366B" w:rsidRPr="00C95435">
        <w:br/>
      </w:r>
      <w:bookmarkStart w:id="365" w:name="_Toc199215032"/>
      <w:r w:rsidR="006F46C2" w:rsidRPr="00C95435">
        <w:t>Authorization modification fees</w:t>
      </w:r>
      <w:bookmarkEnd w:id="359"/>
      <w:bookmarkEnd w:id="360"/>
      <w:bookmarkEnd w:id="361"/>
      <w:bookmarkEnd w:id="362"/>
      <w:bookmarkEnd w:id="363"/>
      <w:bookmarkEnd w:id="364"/>
      <w:bookmarkEnd w:id="365"/>
    </w:p>
    <w:p w:rsidR="006F46C2" w:rsidRPr="00C95435" w:rsidRDefault="006F46C2" w:rsidP="006F46C2">
      <w:pPr>
        <w:rPr>
          <w:szCs w:val="19"/>
        </w:rPr>
      </w:pPr>
      <w:r w:rsidRPr="00C95435">
        <w:rPr>
          <w:szCs w:val="19"/>
        </w:rPr>
        <w:t xml:space="preserve">The Authorized User can apply for modification of an Authorization. Modifications of contact details in the Authorization at the time of renewal shall not be charged. Modifications of contact details in the Authorization other than the time of renewal shall require the reproduction charges. The modification of any site data or addition of Wireless Equipment, change of technical data shall require payment of application processing fees. In case the modification is approved by the TRA, the annual Spectrum Fees shall be calculated on pro-rata basis. The Authorized User shall pay the difference in advance to the TRA. If the difference is in </w:t>
      </w:r>
      <w:r w:rsidR="00C95435" w:rsidRPr="00C95435">
        <w:rPr>
          <w:szCs w:val="19"/>
        </w:rPr>
        <w:t>favour</w:t>
      </w:r>
      <w:r w:rsidRPr="00C95435">
        <w:rPr>
          <w:szCs w:val="19"/>
        </w:rPr>
        <w:t xml:space="preserve"> of the Authorized User, no reimbursement shall be made by the TRA and the annual Spectrum Fees for subsequent year shall be calculated based on the revised fees. </w:t>
      </w:r>
    </w:p>
    <w:p w:rsidR="006F46C2" w:rsidRPr="00C95435" w:rsidRDefault="00EB7F10" w:rsidP="008B3423">
      <w:pPr>
        <w:pStyle w:val="Arttitle"/>
        <w:spacing w:before="400"/>
      </w:pPr>
      <w:bookmarkStart w:id="366" w:name="_Toc280261832"/>
      <w:bookmarkStart w:id="367" w:name="_Toc280262330"/>
      <w:bookmarkStart w:id="368" w:name="_Toc280272724"/>
      <w:bookmarkStart w:id="369" w:name="_Toc280272903"/>
      <w:bookmarkStart w:id="370" w:name="_Toc284419418"/>
      <w:bookmarkStart w:id="371" w:name="_Toc286315735"/>
      <w:r w:rsidRPr="00C95435">
        <w:t>Article 10</w:t>
      </w:r>
      <w:r w:rsidR="004C366B" w:rsidRPr="00C95435">
        <w:br/>
      </w:r>
      <w:r w:rsidR="004C366B" w:rsidRPr="00C95435">
        <w:br/>
      </w:r>
      <w:bookmarkStart w:id="372" w:name="_Toc199215033"/>
      <w:r w:rsidR="006F46C2" w:rsidRPr="00C95435">
        <w:t>Authorization cancellation fees</w:t>
      </w:r>
      <w:bookmarkEnd w:id="366"/>
      <w:bookmarkEnd w:id="367"/>
      <w:bookmarkEnd w:id="368"/>
      <w:bookmarkEnd w:id="369"/>
      <w:bookmarkEnd w:id="370"/>
      <w:bookmarkEnd w:id="371"/>
      <w:bookmarkEnd w:id="372"/>
    </w:p>
    <w:p w:rsidR="006F46C2" w:rsidRPr="00C95435" w:rsidRDefault="006F46C2" w:rsidP="006F46C2">
      <w:pPr>
        <w:rPr>
          <w:szCs w:val="19"/>
        </w:rPr>
      </w:pPr>
      <w:r w:rsidRPr="00C95435">
        <w:rPr>
          <w:szCs w:val="19"/>
        </w:rPr>
        <w:t xml:space="preserve">The Authorized User can apply for cancellation of the Authorization. There will be no fees for cancellation and no re-imbursements shall be made by the TRA for any balance amount. </w:t>
      </w:r>
    </w:p>
    <w:p w:rsidR="006F46C2" w:rsidRPr="00C95435" w:rsidRDefault="00EB7F10" w:rsidP="00513AA9">
      <w:pPr>
        <w:pStyle w:val="Arttitle"/>
        <w:spacing w:before="400"/>
      </w:pPr>
      <w:bookmarkStart w:id="373" w:name="_Toc280261833"/>
      <w:bookmarkStart w:id="374" w:name="_Toc280262331"/>
      <w:bookmarkStart w:id="375" w:name="_Toc280272725"/>
      <w:bookmarkStart w:id="376" w:name="_Toc280272904"/>
      <w:bookmarkStart w:id="377" w:name="_Toc284419419"/>
      <w:bookmarkStart w:id="378" w:name="_Toc286315736"/>
      <w:r w:rsidRPr="00C95435">
        <w:lastRenderedPageBreak/>
        <w:t xml:space="preserve">Article </w:t>
      </w:r>
      <w:r w:rsidR="006F46C2" w:rsidRPr="00C95435">
        <w:t>11</w:t>
      </w:r>
      <w:r w:rsidR="004C366B" w:rsidRPr="00C95435">
        <w:br/>
      </w:r>
      <w:r w:rsidR="004C366B" w:rsidRPr="00C95435">
        <w:br/>
      </w:r>
      <w:bookmarkStart w:id="379" w:name="_Toc199215034"/>
      <w:r w:rsidR="006F46C2" w:rsidRPr="00C95435">
        <w:t xml:space="preserve">Spectrum </w:t>
      </w:r>
      <w:r w:rsidR="00513AA9" w:rsidRPr="00C95435">
        <w:t>f</w:t>
      </w:r>
      <w:r w:rsidR="006F46C2" w:rsidRPr="00C95435">
        <w:t xml:space="preserve">ees for </w:t>
      </w:r>
      <w:r w:rsidR="00513AA9" w:rsidRPr="00C95435">
        <w:t>p</w:t>
      </w:r>
      <w:r w:rsidR="006F46C2" w:rsidRPr="00C95435">
        <w:t xml:space="preserve">ublic </w:t>
      </w:r>
      <w:r w:rsidR="00513AA9" w:rsidRPr="00C95435">
        <w:t>l</w:t>
      </w:r>
      <w:r w:rsidR="006F46C2" w:rsidRPr="00C95435">
        <w:t xml:space="preserve">and </w:t>
      </w:r>
      <w:r w:rsidR="00513AA9" w:rsidRPr="00C95435">
        <w:t>m</w:t>
      </w:r>
      <w:r w:rsidR="006F46C2" w:rsidRPr="00C95435">
        <w:t>obile (</w:t>
      </w:r>
      <w:r w:rsidR="00513AA9" w:rsidRPr="00C95435">
        <w:t>c</w:t>
      </w:r>
      <w:r w:rsidR="006F46C2" w:rsidRPr="00C95435">
        <w:t xml:space="preserve">ellular) </w:t>
      </w:r>
      <w:r w:rsidR="00513AA9" w:rsidRPr="00C95435">
        <w:t>s</w:t>
      </w:r>
      <w:r w:rsidR="006F46C2" w:rsidRPr="00C95435">
        <w:t>ervice</w:t>
      </w:r>
      <w:bookmarkEnd w:id="373"/>
      <w:bookmarkEnd w:id="374"/>
      <w:bookmarkEnd w:id="375"/>
      <w:bookmarkEnd w:id="376"/>
      <w:bookmarkEnd w:id="377"/>
      <w:bookmarkEnd w:id="378"/>
      <w:bookmarkEnd w:id="379"/>
    </w:p>
    <w:p w:rsidR="006F46C2" w:rsidRPr="00C95435" w:rsidRDefault="006F46C2" w:rsidP="006F46C2">
      <w:pPr>
        <w:pStyle w:val="enumlev1"/>
        <w:rPr>
          <w:rFonts w:asciiTheme="majorBidi" w:hAnsiTheme="majorBidi" w:cstheme="majorBidi"/>
          <w:szCs w:val="19"/>
        </w:rPr>
      </w:pPr>
      <w:r w:rsidRPr="00C95435">
        <w:rPr>
          <w:rFonts w:asciiTheme="majorBidi" w:hAnsiTheme="majorBidi" w:cstheme="majorBidi"/>
          <w:szCs w:val="19"/>
        </w:rPr>
        <w:t>11.1</w:t>
      </w:r>
      <w:r w:rsidRPr="00C95435">
        <w:rPr>
          <w:rFonts w:asciiTheme="majorBidi" w:hAnsiTheme="majorBidi" w:cstheme="majorBidi"/>
          <w:szCs w:val="19"/>
        </w:rPr>
        <w:tab/>
        <w:t xml:space="preserve">The Annual Spectrum Fees for the Public Land Mobile (cellular) services (including GSM, UMTS and IMT) shall be calculated as follows: </w:t>
      </w:r>
    </w:p>
    <w:p w:rsidR="006F46C2" w:rsidRPr="00C95435" w:rsidRDefault="006F46C2" w:rsidP="0022280B">
      <w:pPr>
        <w:jc w:val="center"/>
        <w:rPr>
          <w:color w:val="000000"/>
          <w:szCs w:val="19"/>
        </w:rPr>
      </w:pPr>
      <w:r w:rsidRPr="00C95435">
        <w:rPr>
          <w:b/>
          <w:color w:val="000000"/>
          <w:szCs w:val="19"/>
        </w:rPr>
        <w:t xml:space="preserve">Spectrum </w:t>
      </w:r>
      <w:r w:rsidR="0022280B" w:rsidRPr="00C95435">
        <w:rPr>
          <w:b/>
          <w:color w:val="000000"/>
          <w:szCs w:val="19"/>
        </w:rPr>
        <w:t>p</w:t>
      </w:r>
      <w:r w:rsidRPr="00C95435">
        <w:rPr>
          <w:b/>
          <w:color w:val="000000"/>
          <w:szCs w:val="19"/>
        </w:rPr>
        <w:t xml:space="preserve">rice = [(P x MHz) </w:t>
      </w:r>
      <w:r w:rsidRPr="00C95435">
        <w:rPr>
          <w:b/>
          <w:color w:val="000000"/>
          <w:position w:val="10"/>
          <w:szCs w:val="19"/>
          <w:vertAlign w:val="superscript"/>
        </w:rPr>
        <w:t>EM</w:t>
      </w:r>
      <w:r w:rsidRPr="00C95435">
        <w:rPr>
          <w:b/>
          <w:color w:val="000000"/>
          <w:szCs w:val="19"/>
        </w:rPr>
        <w:t xml:space="preserve">] x [1 + (MC – CC) / CM] </w:t>
      </w:r>
      <w:r w:rsidRPr="00C95435">
        <w:rPr>
          <w:b/>
          <w:color w:val="000000"/>
          <w:position w:val="10"/>
          <w:szCs w:val="19"/>
          <w:vertAlign w:val="superscript"/>
        </w:rPr>
        <w:t xml:space="preserve">EC </w:t>
      </w:r>
    </w:p>
    <w:p w:rsidR="006F46C2" w:rsidRPr="00C95435" w:rsidRDefault="006F46C2" w:rsidP="00F0529E">
      <w:pPr>
        <w:ind w:left="720"/>
        <w:rPr>
          <w:szCs w:val="19"/>
        </w:rPr>
      </w:pPr>
      <w:r w:rsidRPr="00C95435">
        <w:rPr>
          <w:szCs w:val="19"/>
        </w:rPr>
        <w:t xml:space="preserve">Where: </w:t>
      </w:r>
    </w:p>
    <w:p w:rsidR="006F46C2" w:rsidRPr="00C95435" w:rsidRDefault="006F46C2" w:rsidP="00F0529E">
      <w:pPr>
        <w:ind w:left="720"/>
        <w:rPr>
          <w:szCs w:val="19"/>
        </w:rPr>
      </w:pPr>
      <w:r w:rsidRPr="00C95435">
        <w:rPr>
          <w:b/>
          <w:szCs w:val="19"/>
        </w:rPr>
        <w:t xml:space="preserve">P = </w:t>
      </w:r>
      <w:r w:rsidRPr="00C95435">
        <w:rPr>
          <w:szCs w:val="19"/>
        </w:rPr>
        <w:t>Price per MHz, pres</w:t>
      </w:r>
      <w:r w:rsidR="00C95435">
        <w:rPr>
          <w:szCs w:val="19"/>
        </w:rPr>
        <w:t>ently set at 3,500,000.00 AED (</w:t>
      </w:r>
      <w:r w:rsidRPr="00C95435">
        <w:rPr>
          <w:szCs w:val="19"/>
        </w:rPr>
        <w:t xml:space="preserve">Three Million Five Hundred Thousand) per year </w:t>
      </w:r>
      <w:r w:rsidRPr="00C95435">
        <w:rPr>
          <w:color w:val="000000"/>
          <w:szCs w:val="19"/>
        </w:rPr>
        <w:t>based</w:t>
      </w:r>
      <w:r w:rsidRPr="00C95435">
        <w:rPr>
          <w:szCs w:val="19"/>
        </w:rPr>
        <w:t xml:space="preserve"> on market study. The TRA may conduct a market study at appropriate intervals to review this price.  </w:t>
      </w:r>
    </w:p>
    <w:p w:rsidR="006F46C2" w:rsidRPr="00C95435" w:rsidRDefault="006F46C2" w:rsidP="00F0529E">
      <w:pPr>
        <w:ind w:left="720"/>
        <w:rPr>
          <w:szCs w:val="19"/>
        </w:rPr>
      </w:pPr>
      <w:r w:rsidRPr="00C95435">
        <w:rPr>
          <w:b/>
          <w:szCs w:val="19"/>
        </w:rPr>
        <w:t>MHz</w:t>
      </w:r>
      <w:r w:rsidRPr="00C95435">
        <w:rPr>
          <w:szCs w:val="19"/>
        </w:rPr>
        <w:t>= Assigned Bandwidth (of Cellular service) where for duplex assignment of 2x20 MHz shall be taken as 40 MHz. Combined Bandwidth of GSM 900/1800 shall be used for each Licensed Operator. The bandwidth for UMTS and other IMT shall be charged separately.</w:t>
      </w:r>
    </w:p>
    <w:p w:rsidR="006F46C2" w:rsidRPr="00C95435" w:rsidRDefault="006F46C2" w:rsidP="00F0529E">
      <w:pPr>
        <w:ind w:left="720"/>
        <w:rPr>
          <w:szCs w:val="19"/>
        </w:rPr>
      </w:pPr>
      <w:r w:rsidRPr="00C95435">
        <w:rPr>
          <w:b/>
          <w:szCs w:val="19"/>
        </w:rPr>
        <w:t>CC</w:t>
      </w:r>
      <w:r w:rsidRPr="00C95435">
        <w:rPr>
          <w:szCs w:val="19"/>
        </w:rPr>
        <w:t xml:space="preserve">= </w:t>
      </w:r>
      <w:r w:rsidRPr="00C95435">
        <w:rPr>
          <w:color w:val="000000"/>
          <w:szCs w:val="19"/>
        </w:rPr>
        <w:t>Current</w:t>
      </w:r>
      <w:r w:rsidRPr="00C95435">
        <w:rPr>
          <w:szCs w:val="19"/>
        </w:rPr>
        <w:t xml:space="preserve"> Coverage of the operator in number of inhabitants covered by the radio network. </w:t>
      </w:r>
    </w:p>
    <w:p w:rsidR="006F46C2" w:rsidRPr="00C95435" w:rsidRDefault="006F46C2" w:rsidP="00F0529E">
      <w:pPr>
        <w:ind w:left="720"/>
        <w:rPr>
          <w:szCs w:val="19"/>
        </w:rPr>
      </w:pPr>
      <w:r w:rsidRPr="00C95435">
        <w:rPr>
          <w:b/>
          <w:szCs w:val="19"/>
        </w:rPr>
        <w:t>CM</w:t>
      </w:r>
      <w:r w:rsidRPr="00C95435">
        <w:rPr>
          <w:szCs w:val="19"/>
        </w:rPr>
        <w:t xml:space="preserve">= </w:t>
      </w:r>
      <w:r w:rsidRPr="00C95435">
        <w:rPr>
          <w:color w:val="000000"/>
          <w:szCs w:val="19"/>
        </w:rPr>
        <w:t>Maximum</w:t>
      </w:r>
      <w:r w:rsidRPr="00C95435">
        <w:rPr>
          <w:szCs w:val="19"/>
        </w:rPr>
        <w:t xml:space="preserve"> coverage in UAE is set as 4,912,000 inhabitants of UAE based on projected information from Ministry of Planning and shall be revised on results of Census or after three years from the date of this Policy.  </w:t>
      </w:r>
    </w:p>
    <w:p w:rsidR="006F46C2" w:rsidRPr="00C95435" w:rsidRDefault="006F46C2" w:rsidP="00F0529E">
      <w:pPr>
        <w:ind w:left="720"/>
        <w:rPr>
          <w:szCs w:val="19"/>
        </w:rPr>
      </w:pPr>
      <w:r w:rsidRPr="00C95435">
        <w:rPr>
          <w:b/>
          <w:szCs w:val="19"/>
        </w:rPr>
        <w:t>MC</w:t>
      </w:r>
      <w:r w:rsidRPr="00C95435">
        <w:rPr>
          <w:szCs w:val="19"/>
        </w:rPr>
        <w:t xml:space="preserve">= </w:t>
      </w:r>
      <w:r w:rsidRPr="00C95435">
        <w:rPr>
          <w:color w:val="000000"/>
          <w:szCs w:val="19"/>
        </w:rPr>
        <w:t>Minimum</w:t>
      </w:r>
      <w:r w:rsidRPr="00C95435">
        <w:rPr>
          <w:szCs w:val="19"/>
        </w:rPr>
        <w:t xml:space="preserve"> coverage which is set as 2,063,040 inhabitants of UAE (42% of the CM value). </w:t>
      </w:r>
    </w:p>
    <w:p w:rsidR="006F46C2" w:rsidRPr="00C95435" w:rsidRDefault="006F46C2" w:rsidP="00F0529E">
      <w:pPr>
        <w:ind w:left="720"/>
        <w:rPr>
          <w:szCs w:val="19"/>
        </w:rPr>
      </w:pPr>
      <w:r w:rsidRPr="00C95435">
        <w:rPr>
          <w:b/>
          <w:szCs w:val="19"/>
        </w:rPr>
        <w:t>EC</w:t>
      </w:r>
      <w:r w:rsidRPr="00C95435">
        <w:rPr>
          <w:szCs w:val="19"/>
        </w:rPr>
        <w:t xml:space="preserve">= </w:t>
      </w:r>
      <w:r w:rsidRPr="00C95435">
        <w:rPr>
          <w:color w:val="000000"/>
          <w:szCs w:val="19"/>
        </w:rPr>
        <w:t>Efficient</w:t>
      </w:r>
      <w:r w:rsidRPr="00C95435">
        <w:rPr>
          <w:szCs w:val="19"/>
        </w:rPr>
        <w:t xml:space="preserve"> Factor for coverage, calculated as EC= 1 + (CC/MC). </w:t>
      </w:r>
    </w:p>
    <w:p w:rsidR="006F46C2" w:rsidRPr="00C95435" w:rsidRDefault="006F46C2" w:rsidP="00F0529E">
      <w:pPr>
        <w:ind w:left="720"/>
        <w:rPr>
          <w:szCs w:val="19"/>
        </w:rPr>
      </w:pPr>
      <w:r w:rsidRPr="00C95435">
        <w:rPr>
          <w:b/>
          <w:szCs w:val="19"/>
        </w:rPr>
        <w:t>EM</w:t>
      </w:r>
      <w:r w:rsidRPr="00C95435">
        <w:rPr>
          <w:szCs w:val="19"/>
        </w:rPr>
        <w:t xml:space="preserve">= </w:t>
      </w:r>
      <w:r w:rsidRPr="00C95435">
        <w:rPr>
          <w:color w:val="000000"/>
          <w:szCs w:val="19"/>
        </w:rPr>
        <w:t>Efficiency</w:t>
      </w:r>
      <w:r w:rsidRPr="00C95435">
        <w:rPr>
          <w:szCs w:val="19"/>
        </w:rPr>
        <w:t xml:space="preserve"> factor for MHz, calculated as EM= 1 + (MHz/982.4) </w:t>
      </w:r>
    </w:p>
    <w:p w:rsidR="006F46C2" w:rsidRPr="00C95435" w:rsidRDefault="006F46C2" w:rsidP="00F0529E">
      <w:pPr>
        <w:ind w:left="720"/>
        <w:rPr>
          <w:szCs w:val="19"/>
        </w:rPr>
      </w:pPr>
      <w:r w:rsidRPr="00C95435">
        <w:rPr>
          <w:szCs w:val="19"/>
        </w:rPr>
        <w:t xml:space="preserve">982.4 </w:t>
      </w:r>
      <w:r w:rsidRPr="00C95435">
        <w:rPr>
          <w:color w:val="000000"/>
          <w:szCs w:val="19"/>
        </w:rPr>
        <w:t>represent</w:t>
      </w:r>
      <w:r w:rsidRPr="00C95435">
        <w:rPr>
          <w:szCs w:val="19"/>
        </w:rPr>
        <w:t xml:space="preserve"> a value corresponding to 4.912 Million population of UAE. </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11.2</w:t>
      </w:r>
      <w:r w:rsidRPr="00C95435">
        <w:rPr>
          <w:rFonts w:asciiTheme="majorBidi" w:hAnsiTheme="majorBidi" w:cstheme="majorBidi"/>
          <w:szCs w:val="22"/>
        </w:rPr>
        <w:tab/>
        <w:t xml:space="preserve">The TRA regulations and guidelines for determination of the factors like coverage for calculation of Fees for Public Land Mobile (cellular) services shall apply. </w:t>
      </w:r>
    </w:p>
    <w:p w:rsidR="006F46C2" w:rsidRPr="00C95435" w:rsidRDefault="008B3423" w:rsidP="0022280B">
      <w:pPr>
        <w:pStyle w:val="Arttitle"/>
        <w:spacing w:before="400"/>
      </w:pPr>
      <w:bookmarkStart w:id="380" w:name="_Toc280261834"/>
      <w:bookmarkStart w:id="381" w:name="_Toc280262332"/>
      <w:bookmarkStart w:id="382" w:name="_Toc280272726"/>
      <w:bookmarkStart w:id="383" w:name="_Toc280272905"/>
      <w:bookmarkStart w:id="384" w:name="_Toc284419420"/>
      <w:bookmarkStart w:id="385" w:name="_Toc286315737"/>
      <w:r w:rsidRPr="00C95435">
        <w:t xml:space="preserve">Article </w:t>
      </w:r>
      <w:r w:rsidR="006F46C2" w:rsidRPr="00C95435">
        <w:t>12</w:t>
      </w:r>
      <w:r w:rsidR="00DD5CDC" w:rsidRPr="00C95435">
        <w:br/>
      </w:r>
      <w:r w:rsidR="00DD5CDC" w:rsidRPr="00C95435">
        <w:br/>
      </w:r>
      <w:bookmarkStart w:id="386" w:name="_Toc199215035"/>
      <w:r w:rsidR="006F46C2" w:rsidRPr="00C95435">
        <w:t xml:space="preserve">Spectrum </w:t>
      </w:r>
      <w:r w:rsidR="0022280B" w:rsidRPr="00C95435">
        <w:t>f</w:t>
      </w:r>
      <w:r w:rsidR="006F46C2" w:rsidRPr="00C95435">
        <w:t xml:space="preserve">ees for </w:t>
      </w:r>
      <w:r w:rsidR="0022280B" w:rsidRPr="00C95435">
        <w:t>p</w:t>
      </w:r>
      <w:r w:rsidR="006F46C2" w:rsidRPr="00C95435">
        <w:t xml:space="preserve">rivate </w:t>
      </w:r>
      <w:r w:rsidR="0022280B" w:rsidRPr="00C95435">
        <w:t>m</w:t>
      </w:r>
      <w:r w:rsidR="006F46C2" w:rsidRPr="00C95435">
        <w:t xml:space="preserve">obile </w:t>
      </w:r>
      <w:r w:rsidR="0022280B" w:rsidRPr="00C95435">
        <w:t>r</w:t>
      </w:r>
      <w:r w:rsidR="006F46C2" w:rsidRPr="00C95435">
        <w:t>adio, paging and trunking</w:t>
      </w:r>
      <w:bookmarkEnd w:id="380"/>
      <w:bookmarkEnd w:id="381"/>
      <w:bookmarkEnd w:id="382"/>
      <w:bookmarkEnd w:id="383"/>
      <w:bookmarkEnd w:id="384"/>
      <w:bookmarkEnd w:id="385"/>
      <w:bookmarkEnd w:id="386"/>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12.1</w:t>
      </w:r>
      <w:r w:rsidRPr="00C95435">
        <w:rPr>
          <w:rFonts w:asciiTheme="majorBidi" w:hAnsiTheme="majorBidi" w:cstheme="majorBidi"/>
          <w:szCs w:val="22"/>
        </w:rPr>
        <w:tab/>
        <w:t xml:space="preserve">The Annual Spectrum Fees for Private Mobile Radio shall be calculated as follows: </w:t>
      </w:r>
    </w:p>
    <w:p w:rsidR="006F46C2" w:rsidRPr="00C95435" w:rsidRDefault="00056078" w:rsidP="006F46C2">
      <w:pPr>
        <w:jc w:val="center"/>
        <w:rPr>
          <w:color w:val="000000"/>
          <w:szCs w:val="19"/>
        </w:rPr>
      </w:pPr>
      <w:r w:rsidRPr="00C95435">
        <w:rPr>
          <w:b/>
          <w:color w:val="000000"/>
          <w:szCs w:val="19"/>
        </w:rPr>
        <w:t>Spectrum p</w:t>
      </w:r>
      <w:r w:rsidR="006F46C2" w:rsidRPr="00C95435">
        <w:rPr>
          <w:b/>
          <w:color w:val="000000"/>
          <w:szCs w:val="19"/>
        </w:rPr>
        <w:t xml:space="preserve">rice = NC x CF + SUM (WE x 500 x PF) </w:t>
      </w:r>
    </w:p>
    <w:p w:rsidR="006F46C2" w:rsidRPr="00C95435" w:rsidRDefault="006F46C2" w:rsidP="006F46C2">
      <w:pPr>
        <w:ind w:left="720"/>
        <w:rPr>
          <w:color w:val="000000"/>
          <w:szCs w:val="19"/>
        </w:rPr>
      </w:pPr>
      <w:r w:rsidRPr="00C95435">
        <w:rPr>
          <w:color w:val="000000"/>
          <w:szCs w:val="19"/>
        </w:rPr>
        <w:t xml:space="preserve">Where: </w:t>
      </w:r>
    </w:p>
    <w:p w:rsidR="006F46C2" w:rsidRPr="00C95435" w:rsidRDefault="006F46C2" w:rsidP="006F46C2">
      <w:pPr>
        <w:ind w:left="720"/>
        <w:rPr>
          <w:color w:val="000000"/>
          <w:szCs w:val="19"/>
        </w:rPr>
      </w:pPr>
      <w:r w:rsidRPr="00C95435">
        <w:rPr>
          <w:b/>
          <w:color w:val="000000"/>
          <w:szCs w:val="19"/>
        </w:rPr>
        <w:t xml:space="preserve">NC= </w:t>
      </w:r>
      <w:r w:rsidRPr="00C95435">
        <w:rPr>
          <w:color w:val="000000"/>
          <w:szCs w:val="19"/>
        </w:rPr>
        <w:t xml:space="preserve">Number of Channels (12.5 kHz bandwidth equivalents each) that will be assigned to the user. </w:t>
      </w:r>
    </w:p>
    <w:p w:rsidR="006F46C2" w:rsidRPr="00C95435" w:rsidRDefault="006F46C2" w:rsidP="006F46C2">
      <w:pPr>
        <w:ind w:left="720"/>
        <w:rPr>
          <w:color w:val="000000"/>
          <w:szCs w:val="19"/>
        </w:rPr>
      </w:pPr>
      <w:r w:rsidRPr="00C95435">
        <w:rPr>
          <w:b/>
          <w:color w:val="000000"/>
          <w:szCs w:val="19"/>
        </w:rPr>
        <w:t xml:space="preserve">WE = </w:t>
      </w:r>
      <w:r w:rsidRPr="00C95435">
        <w:rPr>
          <w:color w:val="000000"/>
          <w:szCs w:val="19"/>
        </w:rPr>
        <w:t xml:space="preserve">Wireless Equipment authorized (including handhelds) will be included in the calculation. </w:t>
      </w:r>
    </w:p>
    <w:p w:rsidR="006F46C2" w:rsidRPr="00C95435" w:rsidRDefault="006F46C2" w:rsidP="006F46C2">
      <w:pPr>
        <w:ind w:left="720"/>
        <w:rPr>
          <w:color w:val="000000"/>
          <w:szCs w:val="19"/>
        </w:rPr>
      </w:pPr>
      <w:r w:rsidRPr="00C95435">
        <w:rPr>
          <w:b/>
          <w:color w:val="000000"/>
          <w:szCs w:val="19"/>
        </w:rPr>
        <w:t xml:space="preserve">SUM (WE x 500 x PF) = </w:t>
      </w:r>
      <w:r w:rsidRPr="00C95435">
        <w:rPr>
          <w:color w:val="000000"/>
          <w:szCs w:val="19"/>
        </w:rPr>
        <w:t xml:space="preserve">Total sum of (each Wireless Equipment authorized multiplied by 500 multiplied by Power Factor). </w:t>
      </w:r>
    </w:p>
    <w:p w:rsidR="006F46C2" w:rsidRPr="00C95435" w:rsidRDefault="006F46C2" w:rsidP="006F46C2">
      <w:pPr>
        <w:ind w:left="720"/>
        <w:rPr>
          <w:color w:val="000000"/>
          <w:szCs w:val="19"/>
        </w:rPr>
      </w:pPr>
      <w:r w:rsidRPr="00C95435">
        <w:rPr>
          <w:b/>
          <w:color w:val="000000"/>
          <w:szCs w:val="19"/>
        </w:rPr>
        <w:t xml:space="preserve">PF= </w:t>
      </w:r>
      <w:r w:rsidRPr="00C95435">
        <w:rPr>
          <w:color w:val="000000"/>
          <w:szCs w:val="19"/>
        </w:rPr>
        <w:t xml:space="preserve">Power Factor depending on the authorized radiated power of the Equipment which will be determined as follows: </w:t>
      </w:r>
    </w:p>
    <w:p w:rsidR="005C2212" w:rsidRPr="00C95435" w:rsidRDefault="005C2212" w:rsidP="008B3423">
      <w:pPr>
        <w:spacing w:before="0"/>
        <w:ind w:left="720"/>
        <w:rPr>
          <w:color w:val="000000"/>
          <w:szCs w:val="19"/>
        </w:rPr>
      </w:pPr>
    </w:p>
    <w:tbl>
      <w:tblPr>
        <w:tblW w:w="0" w:type="auto"/>
        <w:jc w:val="center"/>
        <w:tblInd w:w="900" w:type="dxa"/>
        <w:tblBorders>
          <w:top w:val="nil"/>
          <w:left w:val="nil"/>
          <w:bottom w:val="nil"/>
          <w:right w:val="nil"/>
        </w:tblBorders>
        <w:tblLook w:val="0000"/>
      </w:tblPr>
      <w:tblGrid>
        <w:gridCol w:w="815"/>
        <w:gridCol w:w="1555"/>
        <w:gridCol w:w="931"/>
        <w:gridCol w:w="1167"/>
        <w:gridCol w:w="1222"/>
        <w:gridCol w:w="782"/>
      </w:tblGrid>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Power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Less than 1 W</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&gt;10 – 20W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&gt;20W </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PF</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0.25</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2</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3</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4</w:t>
            </w:r>
          </w:p>
        </w:tc>
      </w:tr>
    </w:tbl>
    <w:p w:rsidR="0022280B" w:rsidRPr="00C95435" w:rsidRDefault="0022280B" w:rsidP="006F46C2">
      <w:pPr>
        <w:ind w:left="720"/>
        <w:rPr>
          <w:b/>
          <w:color w:val="000000"/>
          <w:szCs w:val="19"/>
        </w:rPr>
      </w:pPr>
    </w:p>
    <w:p w:rsidR="0022280B" w:rsidRPr="00C95435" w:rsidRDefault="0022280B">
      <w:pPr>
        <w:tabs>
          <w:tab w:val="clear" w:pos="794"/>
          <w:tab w:val="clear" w:pos="1191"/>
          <w:tab w:val="clear" w:pos="1588"/>
          <w:tab w:val="clear" w:pos="1985"/>
        </w:tabs>
        <w:overflowPunct/>
        <w:autoSpaceDE/>
        <w:autoSpaceDN/>
        <w:adjustRightInd/>
        <w:spacing w:before="0"/>
        <w:jc w:val="left"/>
        <w:textAlignment w:val="auto"/>
        <w:rPr>
          <w:b/>
          <w:color w:val="000000"/>
          <w:szCs w:val="19"/>
        </w:rPr>
      </w:pPr>
      <w:r w:rsidRPr="00C95435">
        <w:rPr>
          <w:b/>
          <w:color w:val="000000"/>
          <w:szCs w:val="19"/>
        </w:rPr>
        <w:br w:type="page"/>
      </w:r>
    </w:p>
    <w:p w:rsidR="006F46C2" w:rsidRPr="00C95435" w:rsidRDefault="006F46C2" w:rsidP="006F46C2">
      <w:pPr>
        <w:ind w:left="720"/>
        <w:rPr>
          <w:color w:val="000000"/>
          <w:szCs w:val="19"/>
        </w:rPr>
      </w:pPr>
      <w:r w:rsidRPr="00C95435">
        <w:rPr>
          <w:b/>
          <w:color w:val="000000"/>
          <w:szCs w:val="19"/>
        </w:rPr>
        <w:lastRenderedPageBreak/>
        <w:t xml:space="preserve">CF= </w:t>
      </w:r>
      <w:r w:rsidRPr="00C95435">
        <w:rPr>
          <w:color w:val="000000"/>
          <w:szCs w:val="19"/>
        </w:rPr>
        <w:t xml:space="preserve">Coverage Factor depending on the geographical area which will be determined as follows: </w:t>
      </w:r>
    </w:p>
    <w:p w:rsidR="006F46C2" w:rsidRPr="00C95435" w:rsidRDefault="006F46C2" w:rsidP="006F46C2">
      <w:pPr>
        <w:ind w:left="720"/>
        <w:rPr>
          <w:color w:val="000000"/>
          <w:szCs w:val="19"/>
        </w:rPr>
      </w:pPr>
    </w:p>
    <w:tbl>
      <w:tblPr>
        <w:tblW w:w="0" w:type="auto"/>
        <w:jc w:val="center"/>
        <w:tblInd w:w="900" w:type="dxa"/>
        <w:tblBorders>
          <w:top w:val="nil"/>
          <w:left w:val="nil"/>
          <w:bottom w:val="nil"/>
          <w:right w:val="nil"/>
        </w:tblBorders>
        <w:tblLook w:val="0000"/>
      </w:tblPr>
      <w:tblGrid>
        <w:gridCol w:w="681"/>
        <w:gridCol w:w="1475"/>
        <w:gridCol w:w="1523"/>
        <w:gridCol w:w="3268"/>
        <w:gridCol w:w="817"/>
      </w:tblGrid>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All UAE </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7911F3">
            <w:pPr>
              <w:pStyle w:val="Tabletext"/>
              <w:jc w:val="center"/>
              <w:rPr>
                <w:rFonts w:asciiTheme="majorBidi" w:hAnsiTheme="majorBidi" w:cstheme="majorBidi"/>
                <w:szCs w:val="22"/>
              </w:rPr>
            </w:pPr>
            <w:r w:rsidRPr="00C95435">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7911F3">
            <w:pPr>
              <w:pStyle w:val="Tabletext"/>
              <w:jc w:val="center"/>
              <w:rPr>
                <w:rFonts w:asciiTheme="majorBidi" w:hAnsiTheme="majorBidi" w:cstheme="majorBidi"/>
                <w:szCs w:val="22"/>
              </w:rPr>
            </w:pPr>
            <w:r w:rsidRPr="00C95435">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2</w:t>
            </w:r>
            <w:r w:rsidR="00464CC2" w:rsidRPr="00C95435">
              <w:rPr>
                <w:rFonts w:asciiTheme="majorBidi" w:hAnsiTheme="majorBidi" w:cstheme="majorBidi"/>
                <w:sz w:val="16"/>
                <w:szCs w:val="16"/>
              </w:rPr>
              <w:t xml:space="preserve"> </w:t>
            </w:r>
            <w:r w:rsidRPr="00C95435">
              <w:rPr>
                <w:rFonts w:asciiTheme="majorBidi" w:hAnsiTheme="majorBidi" w:cstheme="majorBidi"/>
                <w:szCs w:val="22"/>
              </w:rPr>
              <w:t>000 for Abu Dhabi or Dubai</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1</w:t>
            </w:r>
            <w:r w:rsidR="00464CC2" w:rsidRPr="00C95435">
              <w:rPr>
                <w:rFonts w:asciiTheme="majorBidi" w:hAnsiTheme="majorBidi" w:cstheme="majorBidi"/>
                <w:sz w:val="16"/>
                <w:szCs w:val="16"/>
              </w:rPr>
              <w:t xml:space="preserve"> </w:t>
            </w:r>
            <w:r w:rsidRPr="00C95435">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D74F3F">
            <w:pPr>
              <w:pStyle w:val="Tabletext"/>
              <w:jc w:val="center"/>
              <w:rPr>
                <w:rFonts w:asciiTheme="majorBidi" w:hAnsiTheme="majorBidi" w:cstheme="majorBidi"/>
                <w:szCs w:val="22"/>
              </w:rPr>
            </w:pPr>
            <w:r w:rsidRPr="00C95435">
              <w:rPr>
                <w:rFonts w:asciiTheme="majorBidi" w:hAnsiTheme="majorBidi" w:cstheme="majorBidi"/>
                <w:szCs w:val="22"/>
              </w:rPr>
              <w:t>4</w:t>
            </w:r>
            <w:r w:rsidR="007911F3" w:rsidRPr="00C95435">
              <w:rPr>
                <w:rFonts w:asciiTheme="majorBidi" w:hAnsiTheme="majorBidi" w:cstheme="majorBidi"/>
                <w:sz w:val="16"/>
                <w:szCs w:val="16"/>
              </w:rPr>
              <w:t xml:space="preserve"> </w:t>
            </w:r>
            <w:r w:rsidRPr="00C95435">
              <w:rPr>
                <w:rFonts w:asciiTheme="majorBidi" w:hAnsiTheme="majorBidi" w:cstheme="majorBidi"/>
                <w:szCs w:val="22"/>
              </w:rPr>
              <w:t>000</w:t>
            </w:r>
          </w:p>
        </w:tc>
      </w:tr>
    </w:tbl>
    <w:p w:rsidR="005C2212" w:rsidRPr="00C95435" w:rsidRDefault="005C2212" w:rsidP="006F46C2">
      <w:pPr>
        <w:ind w:left="720" w:hanging="720"/>
      </w:pPr>
    </w:p>
    <w:p w:rsidR="006F46C2" w:rsidRPr="00C95435" w:rsidRDefault="006F46C2" w:rsidP="008C36B2">
      <w:pPr>
        <w:ind w:left="720" w:hanging="720"/>
      </w:pPr>
      <w:r w:rsidRPr="00C95435">
        <w:t>12.3</w:t>
      </w:r>
      <w:r w:rsidRPr="00C95435">
        <w:tab/>
        <w:t xml:space="preserve">The Annual Spectrum Fees for Private Mobile Radio (vehicles only) which are not localized shall be calculated as follows: </w:t>
      </w:r>
    </w:p>
    <w:p w:rsidR="006F46C2" w:rsidRPr="00C95435" w:rsidRDefault="006F46C2" w:rsidP="006F46C2">
      <w:pPr>
        <w:ind w:firstLine="720"/>
        <w:jc w:val="center"/>
        <w:rPr>
          <w:color w:val="000000"/>
        </w:rPr>
      </w:pPr>
      <w:r w:rsidRPr="00C95435">
        <w:rPr>
          <w:b/>
          <w:color w:val="000000"/>
        </w:rPr>
        <w:t>Spectrum Fees = NC x CF</w:t>
      </w:r>
    </w:p>
    <w:p w:rsidR="006F46C2" w:rsidRPr="00C95435" w:rsidRDefault="006F46C2" w:rsidP="006F46C2">
      <w:pPr>
        <w:ind w:left="720"/>
        <w:rPr>
          <w:color w:val="000000"/>
        </w:rPr>
      </w:pPr>
      <w:r w:rsidRPr="00C95435">
        <w:rPr>
          <w:color w:val="000000"/>
        </w:rPr>
        <w:t xml:space="preserve">Where: </w:t>
      </w:r>
    </w:p>
    <w:p w:rsidR="006F46C2" w:rsidRPr="00C95435" w:rsidRDefault="006F46C2" w:rsidP="006F46C2">
      <w:pPr>
        <w:ind w:left="720"/>
        <w:rPr>
          <w:color w:val="000000"/>
        </w:rPr>
      </w:pPr>
      <w:r w:rsidRPr="00C95435">
        <w:rPr>
          <w:b/>
          <w:color w:val="000000"/>
        </w:rPr>
        <w:t xml:space="preserve">NC= </w:t>
      </w:r>
      <w:r w:rsidRPr="00C95435">
        <w:rPr>
          <w:color w:val="000000"/>
        </w:rPr>
        <w:t xml:space="preserve">Number of Channels (12.5 kHz bandwidth equivalents each) that will be assigned to the user. </w:t>
      </w:r>
    </w:p>
    <w:p w:rsidR="006F46C2" w:rsidRPr="00C95435" w:rsidRDefault="006F46C2" w:rsidP="006F46C2">
      <w:pPr>
        <w:ind w:left="720"/>
        <w:rPr>
          <w:color w:val="000000"/>
        </w:rPr>
      </w:pPr>
      <w:r w:rsidRPr="00C95435">
        <w:rPr>
          <w:b/>
          <w:color w:val="000000"/>
        </w:rPr>
        <w:t xml:space="preserve">CF= </w:t>
      </w:r>
      <w:r w:rsidRPr="00C95435">
        <w:rPr>
          <w:color w:val="000000"/>
        </w:rPr>
        <w:t xml:space="preserve">Coverage Factor depending on the geographical area which will be determined as follows: </w:t>
      </w:r>
    </w:p>
    <w:p w:rsidR="006F46C2" w:rsidRPr="00C95435" w:rsidRDefault="006F46C2" w:rsidP="00967C11"/>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All UAE </w:t>
            </w:r>
          </w:p>
        </w:tc>
      </w:tr>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CE7B26">
            <w:pPr>
              <w:pStyle w:val="Tabletext"/>
              <w:jc w:val="center"/>
              <w:rPr>
                <w:rFonts w:asciiTheme="majorBidi" w:hAnsiTheme="majorBidi" w:cstheme="majorBidi"/>
                <w:szCs w:val="22"/>
              </w:rPr>
            </w:pPr>
            <w:r w:rsidRPr="00C95435">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CE7B26">
            <w:pPr>
              <w:pStyle w:val="Tabletext"/>
              <w:jc w:val="center"/>
              <w:rPr>
                <w:rFonts w:asciiTheme="majorBidi" w:hAnsiTheme="majorBidi" w:cstheme="majorBidi"/>
                <w:szCs w:val="22"/>
              </w:rPr>
            </w:pPr>
            <w:r w:rsidRPr="00C95435">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2</w:t>
            </w:r>
            <w:r w:rsidR="00CE12BB" w:rsidRPr="00C95435">
              <w:rPr>
                <w:rFonts w:asciiTheme="majorBidi" w:hAnsiTheme="majorBidi" w:cstheme="majorBidi"/>
                <w:sz w:val="16"/>
                <w:szCs w:val="16"/>
              </w:rPr>
              <w:t xml:space="preserve"> </w:t>
            </w:r>
            <w:r w:rsidRPr="00C95435">
              <w:rPr>
                <w:rFonts w:asciiTheme="majorBidi" w:hAnsiTheme="majorBidi" w:cstheme="majorBidi"/>
                <w:szCs w:val="22"/>
              </w:rPr>
              <w:t>000 for Abu Dhabi or Dubai</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1</w:t>
            </w:r>
            <w:r w:rsidR="00CE12BB" w:rsidRPr="00C95435">
              <w:rPr>
                <w:rFonts w:asciiTheme="majorBidi" w:hAnsiTheme="majorBidi" w:cstheme="majorBidi"/>
                <w:sz w:val="16"/>
                <w:szCs w:val="16"/>
              </w:rPr>
              <w:t xml:space="preserve"> </w:t>
            </w:r>
            <w:r w:rsidRPr="00C95435">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CE7B26" w:rsidP="00D74F3F">
            <w:pPr>
              <w:pStyle w:val="Tabletext"/>
              <w:jc w:val="center"/>
              <w:rPr>
                <w:rFonts w:asciiTheme="majorBidi" w:hAnsiTheme="majorBidi" w:cstheme="majorBidi"/>
                <w:szCs w:val="22"/>
              </w:rPr>
            </w:pPr>
            <w:r w:rsidRPr="00C95435">
              <w:rPr>
                <w:rFonts w:asciiTheme="majorBidi" w:hAnsiTheme="majorBidi" w:cstheme="majorBidi"/>
                <w:szCs w:val="22"/>
              </w:rPr>
              <w:t>4</w:t>
            </w:r>
            <w:r w:rsidRPr="00C95435">
              <w:rPr>
                <w:rFonts w:asciiTheme="majorBidi" w:hAnsiTheme="majorBidi" w:cstheme="majorBidi"/>
                <w:sz w:val="16"/>
                <w:szCs w:val="16"/>
              </w:rPr>
              <w:t xml:space="preserve"> </w:t>
            </w:r>
            <w:r w:rsidR="006F46C2" w:rsidRPr="00C95435">
              <w:rPr>
                <w:rFonts w:asciiTheme="majorBidi" w:hAnsiTheme="majorBidi" w:cstheme="majorBidi"/>
                <w:szCs w:val="22"/>
              </w:rPr>
              <w:t>000</w:t>
            </w:r>
          </w:p>
        </w:tc>
      </w:tr>
    </w:tbl>
    <w:p w:rsidR="00967C11" w:rsidRPr="00C95435" w:rsidRDefault="00967C11" w:rsidP="006F46C2">
      <w:pPr>
        <w:suppressAutoHyphens/>
        <w:rPr>
          <w:szCs w:val="19"/>
        </w:rPr>
      </w:pPr>
    </w:p>
    <w:p w:rsidR="006F46C2" w:rsidRPr="00C95435" w:rsidRDefault="006F46C2" w:rsidP="00967C11">
      <w:pPr>
        <w:pStyle w:val="enumlev1"/>
        <w:rPr>
          <w:rFonts w:asciiTheme="majorBidi" w:hAnsiTheme="majorBidi" w:cstheme="majorBidi"/>
          <w:szCs w:val="22"/>
        </w:rPr>
      </w:pPr>
      <w:r w:rsidRPr="00C95435">
        <w:rPr>
          <w:rFonts w:asciiTheme="majorBidi" w:hAnsiTheme="majorBidi" w:cstheme="majorBidi"/>
          <w:szCs w:val="22"/>
        </w:rPr>
        <w:t>12.4</w:t>
      </w:r>
      <w:r w:rsidRPr="00C95435">
        <w:rPr>
          <w:rFonts w:asciiTheme="majorBidi" w:hAnsiTheme="majorBidi" w:cstheme="majorBidi"/>
          <w:szCs w:val="22"/>
        </w:rPr>
        <w:tab/>
        <w:t xml:space="preserve">The Annual Spectrum Fees for Private Mobile Radio used by the Taxi companies shall be calculated for the base station in accordance with the Article 12.1 and separate charges of 300 AED for each Taxi fitted with a radio. </w:t>
      </w:r>
    </w:p>
    <w:p w:rsidR="006F46C2" w:rsidRPr="00C95435" w:rsidRDefault="006F46C2" w:rsidP="00967C11">
      <w:pPr>
        <w:pStyle w:val="enumlev1"/>
        <w:rPr>
          <w:rFonts w:asciiTheme="majorBidi" w:hAnsiTheme="majorBidi" w:cstheme="majorBidi"/>
          <w:szCs w:val="22"/>
        </w:rPr>
      </w:pPr>
      <w:r w:rsidRPr="00C95435">
        <w:rPr>
          <w:rFonts w:asciiTheme="majorBidi" w:hAnsiTheme="majorBidi" w:cstheme="majorBidi"/>
          <w:szCs w:val="22"/>
        </w:rPr>
        <w:t>12.5</w:t>
      </w:r>
      <w:r w:rsidRPr="00C95435">
        <w:rPr>
          <w:rFonts w:asciiTheme="majorBidi" w:hAnsiTheme="majorBidi" w:cstheme="majorBidi"/>
          <w:szCs w:val="22"/>
        </w:rPr>
        <w:tab/>
        <w:t xml:space="preserve">The Annual Spectrum Fees for public paging and in house paging shall be calculated for the base station in accordance with the Article 12.1 with no additional charges for handheld pagers. </w:t>
      </w:r>
    </w:p>
    <w:p w:rsidR="006F46C2" w:rsidRPr="00C95435" w:rsidRDefault="006F46C2" w:rsidP="00967C11">
      <w:pPr>
        <w:pStyle w:val="enumlev1"/>
        <w:rPr>
          <w:rFonts w:asciiTheme="majorBidi" w:hAnsiTheme="majorBidi" w:cstheme="majorBidi"/>
          <w:szCs w:val="22"/>
        </w:rPr>
      </w:pPr>
      <w:r w:rsidRPr="00C95435">
        <w:rPr>
          <w:rFonts w:asciiTheme="majorBidi" w:hAnsiTheme="majorBidi" w:cstheme="majorBidi"/>
          <w:szCs w:val="22"/>
        </w:rPr>
        <w:t>12.6</w:t>
      </w:r>
      <w:r w:rsidRPr="00C95435">
        <w:rPr>
          <w:rFonts w:asciiTheme="majorBidi" w:hAnsiTheme="majorBidi" w:cstheme="majorBidi"/>
          <w:szCs w:val="22"/>
        </w:rPr>
        <w:tab/>
        <w:t xml:space="preserve">The Annual Spectrum Fees for </w:t>
      </w:r>
      <w:r w:rsidR="00C95435" w:rsidRPr="00C95435">
        <w:rPr>
          <w:rFonts w:asciiTheme="majorBidi" w:hAnsiTheme="majorBidi" w:cstheme="majorBidi"/>
          <w:szCs w:val="22"/>
        </w:rPr>
        <w:t>analogue</w:t>
      </w:r>
      <w:r w:rsidRPr="00C95435">
        <w:rPr>
          <w:rFonts w:asciiTheme="majorBidi" w:hAnsiTheme="majorBidi" w:cstheme="majorBidi"/>
          <w:szCs w:val="22"/>
        </w:rPr>
        <w:t xml:space="preserve"> trunking (like MPT 1327) shall be calculated in accordance with the Article 12.1 above. </w:t>
      </w:r>
    </w:p>
    <w:p w:rsidR="006F46C2" w:rsidRPr="00C95435" w:rsidRDefault="006F46C2" w:rsidP="006F46C2">
      <w:pPr>
        <w:pStyle w:val="enumlev1"/>
        <w:rPr>
          <w:rFonts w:asciiTheme="majorBidi" w:hAnsiTheme="majorBidi" w:cstheme="majorBidi"/>
          <w:color w:val="000000"/>
          <w:szCs w:val="22"/>
        </w:rPr>
      </w:pPr>
      <w:r w:rsidRPr="00C95435">
        <w:rPr>
          <w:rFonts w:asciiTheme="majorBidi" w:hAnsiTheme="majorBidi" w:cstheme="majorBidi"/>
          <w:szCs w:val="22"/>
        </w:rPr>
        <w:t>12.7</w:t>
      </w:r>
      <w:r w:rsidRPr="00C95435">
        <w:rPr>
          <w:rFonts w:asciiTheme="majorBidi" w:hAnsiTheme="majorBidi" w:cstheme="majorBidi"/>
          <w:szCs w:val="22"/>
        </w:rPr>
        <w:tab/>
        <w:t>The Annual Spectrum Fees for digital trunking (like TETRA, TETRAPOL, EDACS, APCO, etc) shall be calculated as follows:</w:t>
      </w:r>
    </w:p>
    <w:p w:rsidR="006F46C2" w:rsidRPr="00C95435" w:rsidRDefault="006F46C2" w:rsidP="006F46C2">
      <w:pPr>
        <w:ind w:left="720"/>
        <w:jc w:val="center"/>
        <w:rPr>
          <w:color w:val="000000"/>
          <w:szCs w:val="19"/>
        </w:rPr>
      </w:pPr>
      <w:r w:rsidRPr="00C95435">
        <w:rPr>
          <w:b/>
          <w:color w:val="000000"/>
          <w:szCs w:val="19"/>
        </w:rPr>
        <w:t>Spectrum Fees = NC x CF x 2.5</w:t>
      </w:r>
    </w:p>
    <w:p w:rsidR="006F46C2" w:rsidRPr="00C95435" w:rsidRDefault="006F46C2" w:rsidP="006F46C2">
      <w:pPr>
        <w:ind w:left="720"/>
        <w:rPr>
          <w:color w:val="000000"/>
          <w:szCs w:val="19"/>
        </w:rPr>
      </w:pPr>
      <w:r w:rsidRPr="00C95435">
        <w:rPr>
          <w:color w:val="000000"/>
          <w:szCs w:val="19"/>
        </w:rPr>
        <w:t xml:space="preserve">Where: </w:t>
      </w:r>
    </w:p>
    <w:p w:rsidR="006F46C2" w:rsidRPr="00C95435" w:rsidRDefault="006F46C2" w:rsidP="006F46C2">
      <w:pPr>
        <w:ind w:left="720"/>
        <w:rPr>
          <w:color w:val="000000"/>
          <w:szCs w:val="19"/>
        </w:rPr>
      </w:pPr>
      <w:r w:rsidRPr="00C95435">
        <w:rPr>
          <w:b/>
          <w:color w:val="000000"/>
          <w:szCs w:val="19"/>
        </w:rPr>
        <w:t>NC</w:t>
      </w:r>
      <w:r w:rsidR="00CA590E" w:rsidRPr="00C95435">
        <w:rPr>
          <w:b/>
          <w:color w:val="000000"/>
          <w:szCs w:val="19"/>
        </w:rPr>
        <w:t xml:space="preserve"> </w:t>
      </w:r>
      <w:r w:rsidRPr="00C95435">
        <w:rPr>
          <w:b/>
          <w:color w:val="000000"/>
          <w:szCs w:val="19"/>
        </w:rPr>
        <w:t xml:space="preserve">= </w:t>
      </w:r>
      <w:r w:rsidRPr="00C95435">
        <w:rPr>
          <w:color w:val="000000"/>
          <w:szCs w:val="19"/>
        </w:rPr>
        <w:t xml:space="preserve">Number of Channels (12.5 kHz unpaired bandwidth equivalents each) that will be assigned to the user. </w:t>
      </w:r>
    </w:p>
    <w:p w:rsidR="006F46C2" w:rsidRPr="00C95435" w:rsidRDefault="006F46C2" w:rsidP="006F46C2">
      <w:pPr>
        <w:ind w:left="720"/>
        <w:rPr>
          <w:color w:val="000000"/>
          <w:szCs w:val="19"/>
        </w:rPr>
      </w:pPr>
      <w:r w:rsidRPr="00C95435">
        <w:rPr>
          <w:b/>
          <w:color w:val="000000"/>
          <w:szCs w:val="19"/>
        </w:rPr>
        <w:t>CF</w:t>
      </w:r>
      <w:r w:rsidR="00CA590E" w:rsidRPr="00C95435">
        <w:rPr>
          <w:b/>
          <w:color w:val="000000"/>
          <w:szCs w:val="19"/>
        </w:rPr>
        <w:t xml:space="preserve"> </w:t>
      </w:r>
      <w:r w:rsidRPr="00C95435">
        <w:rPr>
          <w:b/>
          <w:color w:val="000000"/>
          <w:szCs w:val="19"/>
        </w:rPr>
        <w:t xml:space="preserve">= </w:t>
      </w:r>
      <w:r w:rsidRPr="00C95435">
        <w:rPr>
          <w:color w:val="000000"/>
          <w:szCs w:val="19"/>
        </w:rPr>
        <w:t xml:space="preserve">Coverage Factor depending on the geographical area which will be determined as follows: </w:t>
      </w:r>
    </w:p>
    <w:p w:rsidR="006F46C2" w:rsidRPr="00C95435" w:rsidRDefault="006F46C2" w:rsidP="000A1098"/>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All UAE </w:t>
            </w:r>
          </w:p>
        </w:tc>
      </w:tr>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1F264F">
            <w:pPr>
              <w:pStyle w:val="Tabletext"/>
              <w:jc w:val="center"/>
              <w:rPr>
                <w:rFonts w:asciiTheme="majorBidi" w:hAnsiTheme="majorBidi" w:cstheme="majorBidi"/>
                <w:szCs w:val="22"/>
              </w:rPr>
            </w:pPr>
            <w:r w:rsidRPr="00C95435">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1F264F">
            <w:pPr>
              <w:pStyle w:val="Tabletext"/>
              <w:jc w:val="center"/>
              <w:rPr>
                <w:rFonts w:asciiTheme="majorBidi" w:hAnsiTheme="majorBidi" w:cstheme="majorBidi"/>
                <w:szCs w:val="22"/>
              </w:rPr>
            </w:pPr>
            <w:r w:rsidRPr="00C95435">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2</w:t>
            </w:r>
            <w:r w:rsidR="009A3CA8" w:rsidRPr="00C95435">
              <w:rPr>
                <w:rFonts w:asciiTheme="majorBidi" w:hAnsiTheme="majorBidi" w:cstheme="majorBidi"/>
                <w:sz w:val="16"/>
                <w:szCs w:val="16"/>
              </w:rPr>
              <w:t xml:space="preserve"> </w:t>
            </w:r>
            <w:r w:rsidRPr="00C95435">
              <w:rPr>
                <w:rFonts w:asciiTheme="majorBidi" w:hAnsiTheme="majorBidi" w:cstheme="majorBidi"/>
                <w:szCs w:val="22"/>
              </w:rPr>
              <w:t>000 for Abu Dhabi or Dubai</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1</w:t>
            </w:r>
            <w:r w:rsidR="009A3CA8" w:rsidRPr="00C95435">
              <w:rPr>
                <w:rFonts w:asciiTheme="majorBidi" w:hAnsiTheme="majorBidi" w:cstheme="majorBidi"/>
                <w:sz w:val="16"/>
                <w:szCs w:val="16"/>
              </w:rPr>
              <w:t xml:space="preserve"> </w:t>
            </w:r>
            <w:r w:rsidRPr="00C95435">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1F264F" w:rsidP="00D74F3F">
            <w:pPr>
              <w:pStyle w:val="Tabletext"/>
              <w:jc w:val="center"/>
              <w:rPr>
                <w:rFonts w:asciiTheme="majorBidi" w:hAnsiTheme="majorBidi" w:cstheme="majorBidi"/>
                <w:szCs w:val="22"/>
              </w:rPr>
            </w:pPr>
            <w:r w:rsidRPr="00C95435">
              <w:rPr>
                <w:rFonts w:asciiTheme="majorBidi" w:hAnsiTheme="majorBidi" w:cstheme="majorBidi"/>
                <w:szCs w:val="22"/>
              </w:rPr>
              <w:t>4</w:t>
            </w:r>
            <w:r w:rsidRPr="00C95435">
              <w:rPr>
                <w:rFonts w:asciiTheme="majorBidi" w:hAnsiTheme="majorBidi" w:cstheme="majorBidi"/>
                <w:sz w:val="16"/>
                <w:szCs w:val="16"/>
              </w:rPr>
              <w:t xml:space="preserve"> </w:t>
            </w:r>
            <w:r w:rsidR="006F46C2" w:rsidRPr="00C95435">
              <w:rPr>
                <w:rFonts w:asciiTheme="majorBidi" w:hAnsiTheme="majorBidi" w:cstheme="majorBidi"/>
                <w:szCs w:val="22"/>
              </w:rPr>
              <w:t>000</w:t>
            </w:r>
          </w:p>
        </w:tc>
      </w:tr>
    </w:tbl>
    <w:p w:rsidR="006F46C2" w:rsidRPr="00C95435" w:rsidRDefault="008B3423" w:rsidP="00B70A2E">
      <w:pPr>
        <w:pStyle w:val="Arttitle"/>
        <w:spacing w:before="400"/>
      </w:pPr>
      <w:bookmarkStart w:id="387" w:name="_Toc280261835"/>
      <w:bookmarkStart w:id="388" w:name="_Toc280262333"/>
      <w:bookmarkStart w:id="389" w:name="_Toc280272727"/>
      <w:bookmarkStart w:id="390" w:name="_Toc280272906"/>
      <w:bookmarkStart w:id="391" w:name="_Toc284419421"/>
      <w:bookmarkStart w:id="392" w:name="_Toc286315738"/>
      <w:r w:rsidRPr="00C95435">
        <w:lastRenderedPageBreak/>
        <w:t xml:space="preserve">Article </w:t>
      </w:r>
      <w:r w:rsidR="006F46C2" w:rsidRPr="00C95435">
        <w:t>13</w:t>
      </w:r>
      <w:r w:rsidR="000A1098" w:rsidRPr="00C95435">
        <w:br/>
      </w:r>
      <w:r w:rsidR="000A1098" w:rsidRPr="00C95435">
        <w:br/>
      </w:r>
      <w:bookmarkStart w:id="393" w:name="_Toc199215036"/>
      <w:r w:rsidR="00B70A2E" w:rsidRPr="00C95435">
        <w:t>Spectrum f</w:t>
      </w:r>
      <w:r w:rsidR="006F46C2" w:rsidRPr="00C95435">
        <w:t xml:space="preserve">ees for </w:t>
      </w:r>
      <w:r w:rsidR="00B70A2E" w:rsidRPr="00C95435">
        <w:t>fixed (point-</w:t>
      </w:r>
      <w:r w:rsidR="006F46C2" w:rsidRPr="00C95435">
        <w:t>to</w:t>
      </w:r>
      <w:r w:rsidR="00B70A2E" w:rsidRPr="00C95435">
        <w:t>-</w:t>
      </w:r>
      <w:r w:rsidR="006F46C2" w:rsidRPr="00C95435">
        <w:t>point) links</w:t>
      </w:r>
      <w:bookmarkEnd w:id="387"/>
      <w:bookmarkEnd w:id="388"/>
      <w:bookmarkEnd w:id="389"/>
      <w:bookmarkEnd w:id="390"/>
      <w:bookmarkEnd w:id="391"/>
      <w:bookmarkEnd w:id="392"/>
      <w:bookmarkEnd w:id="393"/>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13.1</w:t>
      </w:r>
      <w:r w:rsidRPr="00C95435">
        <w:rPr>
          <w:rFonts w:asciiTheme="majorBidi" w:hAnsiTheme="majorBidi" w:cstheme="majorBidi"/>
          <w:szCs w:val="22"/>
        </w:rPr>
        <w:tab/>
        <w:t>The Annual Spectr</w:t>
      </w:r>
      <w:r w:rsidR="00B70A2E" w:rsidRPr="00C95435">
        <w:rPr>
          <w:rFonts w:asciiTheme="majorBidi" w:hAnsiTheme="majorBidi" w:cstheme="majorBidi"/>
          <w:szCs w:val="22"/>
        </w:rPr>
        <w:t>um Fees for each fixed point-to-</w:t>
      </w:r>
      <w:r w:rsidRPr="00C95435">
        <w:rPr>
          <w:rFonts w:asciiTheme="majorBidi" w:hAnsiTheme="majorBidi" w:cstheme="majorBidi"/>
          <w:szCs w:val="22"/>
        </w:rPr>
        <w:t xml:space="preserve">point link above 2 GHz shall be calculated as follows: </w:t>
      </w:r>
    </w:p>
    <w:p w:rsidR="006F46C2" w:rsidRPr="00C95435" w:rsidRDefault="006F46C2" w:rsidP="006F46C2">
      <w:pPr>
        <w:jc w:val="center"/>
        <w:rPr>
          <w:b/>
          <w:bCs/>
          <w:szCs w:val="19"/>
        </w:rPr>
      </w:pPr>
      <w:r w:rsidRPr="00C95435">
        <w:rPr>
          <w:b/>
          <w:szCs w:val="19"/>
        </w:rPr>
        <w:t>Spectrum Fees = F x 2000 + BW x 1000</w:t>
      </w:r>
    </w:p>
    <w:p w:rsidR="006F46C2" w:rsidRPr="00C95435" w:rsidRDefault="006F46C2" w:rsidP="00776F4F">
      <w:pPr>
        <w:ind w:left="720"/>
        <w:rPr>
          <w:szCs w:val="19"/>
        </w:rPr>
      </w:pPr>
      <w:r w:rsidRPr="00C95435">
        <w:rPr>
          <w:szCs w:val="19"/>
        </w:rPr>
        <w:t xml:space="preserve">Where: </w:t>
      </w:r>
    </w:p>
    <w:p w:rsidR="006F46C2" w:rsidRPr="00C95435" w:rsidRDefault="006F46C2" w:rsidP="000E7D2A">
      <w:pPr>
        <w:tabs>
          <w:tab w:val="left" w:pos="5387"/>
        </w:tabs>
        <w:ind w:left="720"/>
        <w:rPr>
          <w:szCs w:val="19"/>
        </w:rPr>
      </w:pPr>
      <w:r w:rsidRPr="00C95435">
        <w:rPr>
          <w:b/>
          <w:szCs w:val="19"/>
        </w:rPr>
        <w:t xml:space="preserve">F= </w:t>
      </w:r>
      <w:r w:rsidRPr="00C95435">
        <w:t>Frequency</w:t>
      </w:r>
      <w:r w:rsidRPr="00C95435">
        <w:rPr>
          <w:szCs w:val="19"/>
        </w:rPr>
        <w:t xml:space="preserve"> range factor as follows: </w:t>
      </w:r>
      <w:r w:rsidRPr="00C95435">
        <w:rPr>
          <w:szCs w:val="19"/>
        </w:rPr>
        <w:tab/>
      </w:r>
      <w:r w:rsidRPr="00C95435">
        <w:rPr>
          <w:b/>
          <w:szCs w:val="19"/>
        </w:rPr>
        <w:t xml:space="preserve">BW= </w:t>
      </w:r>
      <w:r w:rsidRPr="00C95435">
        <w:rPr>
          <w:szCs w:val="19"/>
        </w:rPr>
        <w:t xml:space="preserve">Bandwidth factor as follows: </w:t>
      </w:r>
    </w:p>
    <w:p w:rsidR="00065692" w:rsidRPr="00C95435" w:rsidRDefault="00065692" w:rsidP="00776F4F">
      <w:pPr>
        <w:ind w:left="720"/>
        <w:rPr>
          <w:szCs w:val="19"/>
        </w:rPr>
      </w:pPr>
    </w:p>
    <w:tbl>
      <w:tblPr>
        <w:tblW w:w="0" w:type="auto"/>
        <w:tblInd w:w="828" w:type="dxa"/>
        <w:tblBorders>
          <w:top w:val="nil"/>
          <w:left w:val="nil"/>
          <w:bottom w:val="nil"/>
          <w:right w:val="nil"/>
        </w:tblBorders>
        <w:tblLook w:val="0000"/>
      </w:tblPr>
      <w:tblGrid>
        <w:gridCol w:w="2447"/>
        <w:gridCol w:w="1071"/>
        <w:gridCol w:w="1142"/>
        <w:gridCol w:w="2163"/>
        <w:gridCol w:w="1097"/>
      </w:tblGrid>
      <w:tr w:rsidR="006F46C2" w:rsidRPr="00C95435" w:rsidTr="00771F95">
        <w:trPr>
          <w:trHeight w:val="608"/>
        </w:trPr>
        <w:tc>
          <w:tcPr>
            <w:tcW w:w="2447" w:type="dxa"/>
            <w:tcBorders>
              <w:top w:val="single" w:sz="8" w:space="0" w:color="000000"/>
              <w:left w:val="single" w:sz="8" w:space="0" w:color="000000"/>
              <w:bottom w:val="single" w:sz="8" w:space="0" w:color="000000"/>
              <w:right w:val="single" w:sz="8" w:space="0" w:color="000000"/>
            </w:tcBorders>
          </w:tcPr>
          <w:p w:rsidR="006F46C2" w:rsidRPr="00C95435" w:rsidRDefault="00966477" w:rsidP="00771F95">
            <w:pPr>
              <w:pStyle w:val="Tablehead"/>
              <w:rPr>
                <w:rFonts w:asciiTheme="majorBidi" w:hAnsiTheme="majorBidi" w:cstheme="majorBidi"/>
                <w:szCs w:val="22"/>
              </w:rPr>
            </w:pPr>
            <w:r w:rsidRPr="00C95435">
              <w:tab/>
            </w:r>
            <w:r w:rsidR="006F46C2" w:rsidRPr="00C95435">
              <w:rPr>
                <w:rFonts w:asciiTheme="majorBidi" w:hAnsiTheme="majorBidi" w:cstheme="majorBidi"/>
                <w:szCs w:val="22"/>
              </w:rPr>
              <w:t xml:space="preserve">Frequency Range </w:t>
            </w:r>
          </w:p>
        </w:tc>
        <w:tc>
          <w:tcPr>
            <w:tcW w:w="1071" w:type="dxa"/>
            <w:tcBorders>
              <w:top w:val="single" w:sz="8" w:space="0" w:color="000000"/>
              <w:left w:val="single" w:sz="8" w:space="0" w:color="000000"/>
              <w:bottom w:val="single" w:sz="8" w:space="0" w:color="000000"/>
              <w:right w:val="single" w:sz="4" w:space="0" w:color="auto"/>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F </w:t>
            </w:r>
            <w:r w:rsidRPr="00C95435">
              <w:rPr>
                <w:rFonts w:asciiTheme="majorBidi" w:hAnsiTheme="majorBidi" w:cstheme="majorBidi"/>
                <w:szCs w:val="22"/>
              </w:rPr>
              <w:br/>
              <w:t xml:space="preserve">Factor </w:t>
            </w:r>
          </w:p>
        </w:tc>
        <w:tc>
          <w:tcPr>
            <w:tcW w:w="1142" w:type="dxa"/>
            <w:tcBorders>
              <w:top w:val="nil"/>
              <w:left w:val="single" w:sz="4" w:space="0" w:color="auto"/>
              <w:bottom w:val="nil"/>
              <w:right w:val="single" w:sz="4" w:space="0" w:color="auto"/>
            </w:tcBorders>
          </w:tcPr>
          <w:p w:rsidR="006F46C2" w:rsidRPr="00C95435" w:rsidRDefault="006F46C2" w:rsidP="00771F95">
            <w:pPr>
              <w:pStyle w:val="Tablehead"/>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Bandwidth </w:t>
            </w:r>
          </w:p>
        </w:tc>
        <w:tc>
          <w:tcPr>
            <w:tcW w:w="109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BW </w:t>
            </w:r>
            <w:r w:rsidRPr="00C95435">
              <w:rPr>
                <w:rFonts w:asciiTheme="majorBidi" w:hAnsiTheme="majorBidi" w:cstheme="majorBidi"/>
                <w:szCs w:val="22"/>
              </w:rPr>
              <w:br/>
              <w:t xml:space="preserve">Factor </w:t>
            </w:r>
          </w:p>
        </w:tc>
      </w:tr>
      <w:tr w:rsidR="006F46C2" w:rsidRPr="00C95435"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2 GHz - 3 GHz </w:t>
            </w:r>
          </w:p>
        </w:tc>
        <w:tc>
          <w:tcPr>
            <w:tcW w:w="1071" w:type="dxa"/>
            <w:tcBorders>
              <w:top w:val="single" w:sz="8" w:space="0" w:color="000000"/>
              <w:left w:val="single" w:sz="8" w:space="0" w:color="000000"/>
              <w:bottom w:val="single" w:sz="8" w:space="0" w:color="000000"/>
              <w:right w:val="single" w:sz="4" w:space="0" w:color="auto"/>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4</w:t>
            </w:r>
          </w:p>
        </w:tc>
        <w:tc>
          <w:tcPr>
            <w:tcW w:w="1142" w:type="dxa"/>
            <w:tcBorders>
              <w:top w:val="nil"/>
              <w:left w:val="single" w:sz="4" w:space="0" w:color="auto"/>
              <w:bottom w:val="nil"/>
              <w:right w:val="single" w:sz="4" w:space="0" w:color="auto"/>
            </w:tcBorders>
          </w:tcPr>
          <w:p w:rsidR="006F46C2" w:rsidRPr="00C95435"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7 MHz or less </w:t>
            </w:r>
          </w:p>
        </w:tc>
        <w:tc>
          <w:tcPr>
            <w:tcW w:w="109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w:t>
            </w:r>
          </w:p>
        </w:tc>
      </w:tr>
      <w:tr w:rsidR="006F46C2" w:rsidRPr="00C95435"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&gt;3 GHz – 14 GHz </w:t>
            </w:r>
          </w:p>
        </w:tc>
        <w:tc>
          <w:tcPr>
            <w:tcW w:w="1071" w:type="dxa"/>
            <w:tcBorders>
              <w:top w:val="single" w:sz="8" w:space="0" w:color="000000"/>
              <w:left w:val="single" w:sz="8" w:space="0" w:color="000000"/>
              <w:bottom w:val="single" w:sz="8" w:space="0" w:color="000000"/>
              <w:right w:val="single" w:sz="4" w:space="0" w:color="auto"/>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3</w:t>
            </w:r>
          </w:p>
        </w:tc>
        <w:tc>
          <w:tcPr>
            <w:tcW w:w="1142" w:type="dxa"/>
            <w:tcBorders>
              <w:top w:val="nil"/>
              <w:left w:val="single" w:sz="4" w:space="0" w:color="auto"/>
              <w:bottom w:val="nil"/>
              <w:right w:val="single" w:sz="4" w:space="0" w:color="auto"/>
            </w:tcBorders>
          </w:tcPr>
          <w:p w:rsidR="006F46C2" w:rsidRPr="00C95435"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&gt;7 MHz -28 MHz </w:t>
            </w:r>
          </w:p>
        </w:tc>
        <w:tc>
          <w:tcPr>
            <w:tcW w:w="109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2</w:t>
            </w:r>
          </w:p>
        </w:tc>
      </w:tr>
      <w:tr w:rsidR="006F46C2" w:rsidRPr="00C95435"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&gt;14 GHz – 40 GHz </w:t>
            </w:r>
          </w:p>
        </w:tc>
        <w:tc>
          <w:tcPr>
            <w:tcW w:w="1071" w:type="dxa"/>
            <w:tcBorders>
              <w:top w:val="single" w:sz="8" w:space="0" w:color="000000"/>
              <w:left w:val="single" w:sz="8" w:space="0" w:color="000000"/>
              <w:bottom w:val="single" w:sz="8" w:space="0" w:color="000000"/>
              <w:right w:val="single" w:sz="4" w:space="0" w:color="auto"/>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2</w:t>
            </w:r>
          </w:p>
        </w:tc>
        <w:tc>
          <w:tcPr>
            <w:tcW w:w="1142" w:type="dxa"/>
            <w:tcBorders>
              <w:top w:val="nil"/>
              <w:left w:val="single" w:sz="4" w:space="0" w:color="auto"/>
              <w:bottom w:val="nil"/>
              <w:right w:val="single" w:sz="4" w:space="0" w:color="auto"/>
            </w:tcBorders>
          </w:tcPr>
          <w:p w:rsidR="006F46C2" w:rsidRPr="00C95435"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&gt;28 MHz – 56 MHz </w:t>
            </w:r>
          </w:p>
        </w:tc>
        <w:tc>
          <w:tcPr>
            <w:tcW w:w="109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3</w:t>
            </w:r>
          </w:p>
        </w:tc>
      </w:tr>
      <w:tr w:rsidR="006F46C2" w:rsidRPr="00C95435" w:rsidTr="00771F95">
        <w:trPr>
          <w:trHeight w:val="319"/>
        </w:trPr>
        <w:tc>
          <w:tcPr>
            <w:tcW w:w="244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Above 40 GHz </w:t>
            </w:r>
          </w:p>
        </w:tc>
        <w:tc>
          <w:tcPr>
            <w:tcW w:w="1071" w:type="dxa"/>
            <w:tcBorders>
              <w:top w:val="single" w:sz="8" w:space="0" w:color="000000"/>
              <w:left w:val="single" w:sz="8" w:space="0" w:color="000000"/>
              <w:bottom w:val="single" w:sz="8" w:space="0" w:color="000000"/>
              <w:right w:val="single" w:sz="4" w:space="0" w:color="auto"/>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w:t>
            </w:r>
          </w:p>
        </w:tc>
        <w:tc>
          <w:tcPr>
            <w:tcW w:w="1142" w:type="dxa"/>
            <w:tcBorders>
              <w:top w:val="nil"/>
              <w:left w:val="single" w:sz="4" w:space="0" w:color="auto"/>
              <w:bottom w:val="nil"/>
              <w:right w:val="single" w:sz="4" w:space="0" w:color="auto"/>
            </w:tcBorders>
          </w:tcPr>
          <w:p w:rsidR="006F46C2" w:rsidRPr="00C95435" w:rsidRDefault="006F46C2" w:rsidP="00771F95">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More than 56 MHz </w:t>
            </w:r>
          </w:p>
        </w:tc>
        <w:tc>
          <w:tcPr>
            <w:tcW w:w="109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4</w:t>
            </w:r>
          </w:p>
        </w:tc>
      </w:tr>
    </w:tbl>
    <w:p w:rsidR="00F322EE" w:rsidRPr="00C95435" w:rsidRDefault="00F322EE" w:rsidP="006F46C2">
      <w:pPr>
        <w:pStyle w:val="enumlev1"/>
        <w:rPr>
          <w:rFonts w:ascii="Verdana" w:hAnsi="Verdana"/>
          <w:sz w:val="19"/>
          <w:szCs w:val="19"/>
        </w:rPr>
      </w:pP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13.2</w:t>
      </w:r>
      <w:r w:rsidRPr="00C95435">
        <w:rPr>
          <w:rFonts w:asciiTheme="majorBidi" w:hAnsiTheme="majorBidi" w:cstheme="majorBidi"/>
          <w:szCs w:val="22"/>
        </w:rPr>
        <w:tab/>
        <w:t>The bandwidth for each fixed point to point link above 2 GHz shall be calculated based on the channel bandwidth (e.g. frequency pair with each frequency of 3.5 MHz + 3.5 MHz = 7 MHz shall be having BW factor of 1). The frequency diversity shall be charged as a separate link but space diversity and hot standby operations shall not add to the fees.</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13.3</w:t>
      </w:r>
      <w:r w:rsidRPr="00C95435">
        <w:rPr>
          <w:rFonts w:asciiTheme="majorBidi" w:hAnsiTheme="majorBidi" w:cstheme="majorBidi"/>
          <w:szCs w:val="22"/>
        </w:rPr>
        <w:tab/>
        <w:t>In exceptional cases where frequency pairs are assigned for all UAE point-to-point links above 2 GHz, the annual spectrum fees shall be ten times the annual spectrum fees for one link (same parameters) based on a re-use factor of 10.</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13.4</w:t>
      </w:r>
      <w:r w:rsidRPr="00C95435">
        <w:rPr>
          <w:rFonts w:asciiTheme="majorBidi" w:hAnsiTheme="majorBidi" w:cstheme="majorBidi"/>
          <w:szCs w:val="22"/>
        </w:rPr>
        <w:tab/>
        <w:t xml:space="preserve">The Annual Spectrum Fees for each HF fixed point to point link below 30 MHz shall be calculated as follows: </w:t>
      </w:r>
    </w:p>
    <w:p w:rsidR="006F46C2" w:rsidRPr="00C95435" w:rsidRDefault="006F46C2" w:rsidP="006F46C2">
      <w:pPr>
        <w:jc w:val="center"/>
        <w:rPr>
          <w:b/>
          <w:bCs/>
          <w:szCs w:val="19"/>
        </w:rPr>
      </w:pPr>
      <w:r w:rsidRPr="00C95435">
        <w:rPr>
          <w:b/>
          <w:szCs w:val="19"/>
        </w:rPr>
        <w:t>Spectrum Fees = BW x 1000</w:t>
      </w:r>
    </w:p>
    <w:p w:rsidR="006F46C2" w:rsidRPr="00C95435" w:rsidRDefault="006F46C2" w:rsidP="006F46C2">
      <w:pPr>
        <w:rPr>
          <w:szCs w:val="19"/>
        </w:rPr>
      </w:pPr>
      <w:r w:rsidRPr="00C95435">
        <w:rPr>
          <w:szCs w:val="19"/>
        </w:rPr>
        <w:tab/>
        <w:t>Where: BW is in kHz for all channels of that link</w:t>
      </w:r>
      <w:r w:rsidR="00966477" w:rsidRPr="00C95435">
        <w:rPr>
          <w:szCs w:val="19"/>
        </w:rPr>
        <w:t>.</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13.5</w:t>
      </w:r>
      <w:r w:rsidRPr="00C95435">
        <w:rPr>
          <w:rFonts w:asciiTheme="majorBidi" w:hAnsiTheme="majorBidi" w:cstheme="majorBidi"/>
          <w:szCs w:val="22"/>
        </w:rPr>
        <w:tab/>
        <w:t xml:space="preserve">The Annual Spectrum Fees for each VHF and UHF fixed point to point link below 2 GHz </w:t>
      </w:r>
      <w:r w:rsidR="00B04F8B" w:rsidRPr="00C95435">
        <w:rPr>
          <w:rFonts w:asciiTheme="majorBidi" w:hAnsiTheme="majorBidi" w:cstheme="majorBidi"/>
          <w:szCs w:val="22"/>
        </w:rPr>
        <w:t>shall be calculated as follows:</w:t>
      </w:r>
    </w:p>
    <w:p w:rsidR="006F46C2" w:rsidRPr="00C95435" w:rsidRDefault="006F46C2" w:rsidP="006F46C2">
      <w:pPr>
        <w:pStyle w:val="Headingb"/>
        <w:jc w:val="center"/>
        <w:rPr>
          <w:szCs w:val="22"/>
        </w:rPr>
      </w:pPr>
      <w:r w:rsidRPr="00C95435">
        <w:rPr>
          <w:szCs w:val="22"/>
        </w:rPr>
        <w:t>Spectrum Fees = BW x 500</w:t>
      </w:r>
    </w:p>
    <w:p w:rsidR="006F46C2" w:rsidRPr="00C95435" w:rsidRDefault="006F46C2" w:rsidP="006F46C2">
      <w:pPr>
        <w:rPr>
          <w:szCs w:val="19"/>
        </w:rPr>
      </w:pPr>
      <w:r w:rsidRPr="00C95435">
        <w:rPr>
          <w:szCs w:val="19"/>
        </w:rPr>
        <w:tab/>
        <w:t>Where: BW is in kHz for all channels of that link</w:t>
      </w:r>
      <w:r w:rsidR="00B04F8B" w:rsidRPr="00C95435">
        <w:rPr>
          <w:szCs w:val="19"/>
        </w:rPr>
        <w:t>.</w:t>
      </w:r>
    </w:p>
    <w:p w:rsidR="006F46C2" w:rsidRPr="00C95435" w:rsidRDefault="001E4AA6" w:rsidP="00B04F8B">
      <w:pPr>
        <w:pStyle w:val="Arttitle"/>
        <w:spacing w:before="400"/>
      </w:pPr>
      <w:bookmarkStart w:id="394" w:name="_Toc280261836"/>
      <w:bookmarkStart w:id="395" w:name="_Toc280262334"/>
      <w:bookmarkStart w:id="396" w:name="_Toc280272728"/>
      <w:bookmarkStart w:id="397" w:name="_Toc280272907"/>
      <w:bookmarkStart w:id="398" w:name="_Toc284419422"/>
      <w:bookmarkStart w:id="399" w:name="_Toc286315739"/>
      <w:r w:rsidRPr="00C95435">
        <w:t>Article 14</w:t>
      </w:r>
      <w:r w:rsidR="00A025FD" w:rsidRPr="00C95435">
        <w:br/>
      </w:r>
      <w:r w:rsidR="00A025FD" w:rsidRPr="00C95435">
        <w:br/>
      </w:r>
      <w:bookmarkStart w:id="400" w:name="_Toc199215037"/>
      <w:r w:rsidR="006F46C2" w:rsidRPr="00C95435">
        <w:t xml:space="preserve">Spectrum </w:t>
      </w:r>
      <w:r w:rsidR="00B04F8B" w:rsidRPr="00C95435">
        <w:t>f</w:t>
      </w:r>
      <w:r w:rsidR="006F46C2" w:rsidRPr="00C95435">
        <w:t xml:space="preserve">ees for FWA, SCADA, </w:t>
      </w:r>
      <w:r w:rsidR="00B04F8B" w:rsidRPr="00C95435">
        <w:t>t</w:t>
      </w:r>
      <w:r w:rsidR="006F46C2" w:rsidRPr="00C95435">
        <w:t xml:space="preserve">elemetry, </w:t>
      </w:r>
      <w:r w:rsidR="00B04F8B" w:rsidRPr="00C95435">
        <w:t>m</w:t>
      </w:r>
      <w:r w:rsidR="006F46C2" w:rsidRPr="00C95435">
        <w:t xml:space="preserve">esh </w:t>
      </w:r>
      <w:r w:rsidR="00B04F8B" w:rsidRPr="00C95435">
        <w:t>n</w:t>
      </w:r>
      <w:r w:rsidR="006F46C2" w:rsidRPr="00C95435">
        <w:t>etworks</w:t>
      </w:r>
      <w:bookmarkEnd w:id="394"/>
      <w:bookmarkEnd w:id="395"/>
      <w:bookmarkEnd w:id="396"/>
      <w:bookmarkEnd w:id="397"/>
      <w:bookmarkEnd w:id="398"/>
      <w:bookmarkEnd w:id="399"/>
      <w:bookmarkEnd w:id="400"/>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14.1</w:t>
      </w:r>
      <w:r w:rsidRPr="00C95435">
        <w:rPr>
          <w:rFonts w:asciiTheme="majorBidi" w:hAnsiTheme="majorBidi" w:cstheme="majorBidi"/>
          <w:szCs w:val="22"/>
        </w:rPr>
        <w:tab/>
        <w:t xml:space="preserve">The Annual Spectrum Fees for Fixed Wireless Access (including Wireless Local loop and Point to multipoint), SCADA, Telemetry and mesh networks below 1 GHz shall be calculated as follows: </w:t>
      </w:r>
    </w:p>
    <w:p w:rsidR="006F46C2" w:rsidRPr="00C95435" w:rsidRDefault="006F46C2" w:rsidP="006F46C2">
      <w:pPr>
        <w:pStyle w:val="Headingb"/>
        <w:jc w:val="center"/>
        <w:rPr>
          <w:szCs w:val="22"/>
        </w:rPr>
      </w:pPr>
      <w:r w:rsidRPr="00C95435">
        <w:rPr>
          <w:szCs w:val="22"/>
        </w:rPr>
        <w:t>Spectrum Fees = BW x 2000</w:t>
      </w:r>
    </w:p>
    <w:p w:rsidR="006F46C2" w:rsidRPr="00C95435" w:rsidRDefault="006F46C2" w:rsidP="00796467">
      <w:pPr>
        <w:rPr>
          <w:rFonts w:asciiTheme="majorBidi" w:hAnsiTheme="majorBidi" w:cstheme="majorBidi"/>
          <w:szCs w:val="22"/>
        </w:rPr>
      </w:pPr>
      <w:r w:rsidRPr="00C95435">
        <w:rPr>
          <w:rFonts w:ascii="Verdana" w:hAnsi="Verdana"/>
          <w:sz w:val="19"/>
          <w:szCs w:val="19"/>
        </w:rPr>
        <w:tab/>
      </w:r>
      <w:r w:rsidRPr="00C95435">
        <w:rPr>
          <w:rFonts w:asciiTheme="majorBidi" w:hAnsiTheme="majorBidi" w:cstheme="majorBidi"/>
          <w:szCs w:val="22"/>
        </w:rPr>
        <w:t>Where</w:t>
      </w:r>
      <w:r w:rsidRPr="00C95435">
        <w:rPr>
          <w:rFonts w:asciiTheme="majorBidi" w:hAnsiTheme="majorBidi" w:cstheme="majorBidi"/>
          <w:b/>
          <w:bCs/>
          <w:szCs w:val="22"/>
        </w:rPr>
        <w:t xml:space="preserve"> BW = </w:t>
      </w:r>
      <w:r w:rsidR="00B04F8B" w:rsidRPr="00C95435">
        <w:rPr>
          <w:rFonts w:asciiTheme="majorBidi" w:hAnsiTheme="majorBidi" w:cstheme="majorBidi"/>
          <w:szCs w:val="22"/>
        </w:rPr>
        <w:t>Total Bandwidth in kHz.</w:t>
      </w:r>
    </w:p>
    <w:p w:rsidR="00B04F8B" w:rsidRPr="00C95435" w:rsidRDefault="00B04F8B">
      <w:pPr>
        <w:tabs>
          <w:tab w:val="clear" w:pos="794"/>
          <w:tab w:val="clear" w:pos="1191"/>
          <w:tab w:val="clear" w:pos="1588"/>
          <w:tab w:val="clear" w:pos="1985"/>
        </w:tabs>
        <w:overflowPunct/>
        <w:autoSpaceDE/>
        <w:autoSpaceDN/>
        <w:adjustRightInd/>
        <w:spacing w:before="0"/>
        <w:jc w:val="left"/>
        <w:textAlignment w:val="auto"/>
        <w:rPr>
          <w:szCs w:val="19"/>
        </w:rPr>
      </w:pPr>
      <w:r w:rsidRPr="00C95435">
        <w:rPr>
          <w:szCs w:val="19"/>
        </w:rPr>
        <w:br w:type="page"/>
      </w:r>
    </w:p>
    <w:p w:rsidR="006F46C2" w:rsidRPr="00C95435" w:rsidRDefault="006F46C2" w:rsidP="006F46C2">
      <w:pPr>
        <w:ind w:left="720" w:hanging="720"/>
        <w:rPr>
          <w:szCs w:val="19"/>
        </w:rPr>
      </w:pPr>
      <w:r w:rsidRPr="00C95435">
        <w:rPr>
          <w:szCs w:val="19"/>
        </w:rPr>
        <w:lastRenderedPageBreak/>
        <w:t>14.2</w:t>
      </w:r>
      <w:r w:rsidRPr="00C95435">
        <w:rPr>
          <w:szCs w:val="19"/>
        </w:rPr>
        <w:tab/>
        <w:t>The Annual Spectrum Fees for Fixed Wireless Access (including Wireless Local loop and Point to multipoint), SCADA, Fixed Broadband and mesh networks between 1 GHz and 4 GHz shal</w:t>
      </w:r>
      <w:r w:rsidR="00B04F8B" w:rsidRPr="00C95435">
        <w:rPr>
          <w:szCs w:val="19"/>
        </w:rPr>
        <w:t>l be calculated as follows:</w:t>
      </w:r>
    </w:p>
    <w:p w:rsidR="006F46C2" w:rsidRPr="00C95435" w:rsidRDefault="006F46C2" w:rsidP="006F46C2">
      <w:pPr>
        <w:jc w:val="center"/>
        <w:rPr>
          <w:color w:val="000000"/>
          <w:szCs w:val="19"/>
        </w:rPr>
      </w:pPr>
      <w:r w:rsidRPr="00C95435">
        <w:rPr>
          <w:b/>
          <w:color w:val="000000"/>
          <w:szCs w:val="19"/>
        </w:rPr>
        <w:t>Spectrum Fees = BW x CF x 5</w:t>
      </w:r>
    </w:p>
    <w:p w:rsidR="006F46C2" w:rsidRPr="00C95435" w:rsidRDefault="006F46C2" w:rsidP="006F46C2">
      <w:pPr>
        <w:rPr>
          <w:b/>
          <w:bCs/>
          <w:color w:val="000000"/>
          <w:szCs w:val="19"/>
        </w:rPr>
      </w:pPr>
      <w:r w:rsidRPr="00C95435">
        <w:rPr>
          <w:szCs w:val="19"/>
        </w:rPr>
        <w:tab/>
        <w:t>Where</w:t>
      </w:r>
      <w:r w:rsidRPr="00C95435">
        <w:rPr>
          <w:b/>
          <w:color w:val="000000"/>
          <w:szCs w:val="19"/>
        </w:rPr>
        <w:t xml:space="preserve"> </w:t>
      </w:r>
    </w:p>
    <w:p w:rsidR="006F46C2" w:rsidRPr="00C95435" w:rsidRDefault="006F46C2" w:rsidP="006F46C2">
      <w:pPr>
        <w:ind w:firstLine="720"/>
        <w:rPr>
          <w:color w:val="000000"/>
          <w:szCs w:val="19"/>
        </w:rPr>
      </w:pPr>
      <w:r w:rsidRPr="00C95435">
        <w:rPr>
          <w:b/>
          <w:color w:val="000000"/>
          <w:szCs w:val="19"/>
        </w:rPr>
        <w:t xml:space="preserve">BW = </w:t>
      </w:r>
      <w:r w:rsidRPr="00C95435">
        <w:rPr>
          <w:color w:val="000000"/>
          <w:szCs w:val="19"/>
        </w:rPr>
        <w:t>Total Bandwidth in MHz</w:t>
      </w:r>
    </w:p>
    <w:p w:rsidR="006F46C2" w:rsidRPr="00C95435" w:rsidRDefault="006F46C2" w:rsidP="006F46C2">
      <w:pPr>
        <w:ind w:left="720"/>
        <w:rPr>
          <w:color w:val="000000"/>
          <w:szCs w:val="19"/>
        </w:rPr>
      </w:pPr>
      <w:r w:rsidRPr="00C95435">
        <w:rPr>
          <w:b/>
          <w:color w:val="000000"/>
          <w:szCs w:val="19"/>
        </w:rPr>
        <w:t xml:space="preserve">CF= </w:t>
      </w:r>
      <w:r w:rsidRPr="00C95435">
        <w:rPr>
          <w:color w:val="000000"/>
          <w:szCs w:val="19"/>
        </w:rPr>
        <w:t xml:space="preserve">Coverage Factor depending on the geographical area which will be determined as follows: </w:t>
      </w:r>
    </w:p>
    <w:p w:rsidR="00C70806" w:rsidRPr="00C95435" w:rsidRDefault="00C70806" w:rsidP="006F46C2">
      <w:pPr>
        <w:ind w:left="720"/>
        <w:rPr>
          <w:color w:val="000000"/>
          <w:szCs w:val="19"/>
        </w:rP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All UAE </w:t>
            </w:r>
          </w:p>
        </w:tc>
      </w:tr>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0F52F3">
            <w:pPr>
              <w:pStyle w:val="Tabletext"/>
              <w:jc w:val="center"/>
              <w:rPr>
                <w:rFonts w:asciiTheme="majorBidi" w:hAnsiTheme="majorBidi" w:cstheme="majorBidi"/>
                <w:szCs w:val="22"/>
              </w:rPr>
            </w:pPr>
            <w:r w:rsidRPr="00C95435">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0F52F3">
            <w:pPr>
              <w:pStyle w:val="Tabletext"/>
              <w:jc w:val="center"/>
              <w:rPr>
                <w:rFonts w:asciiTheme="majorBidi" w:hAnsiTheme="majorBidi" w:cstheme="majorBidi"/>
                <w:szCs w:val="22"/>
              </w:rPr>
            </w:pPr>
            <w:r w:rsidRPr="00C95435">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2</w:t>
            </w:r>
            <w:r w:rsidR="00F67B1A" w:rsidRPr="00C95435">
              <w:rPr>
                <w:rFonts w:asciiTheme="majorBidi" w:hAnsiTheme="majorBidi" w:cstheme="majorBidi"/>
                <w:sz w:val="16"/>
                <w:szCs w:val="16"/>
              </w:rPr>
              <w:t xml:space="preserve"> </w:t>
            </w:r>
            <w:r w:rsidRPr="00C95435">
              <w:rPr>
                <w:rFonts w:asciiTheme="majorBidi" w:hAnsiTheme="majorBidi" w:cstheme="majorBidi"/>
                <w:szCs w:val="22"/>
              </w:rPr>
              <w:t>000 for Abu Dhabi or Dubai</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1</w:t>
            </w:r>
            <w:r w:rsidR="00F67B1A" w:rsidRPr="00C95435">
              <w:rPr>
                <w:rFonts w:asciiTheme="majorBidi" w:hAnsiTheme="majorBidi" w:cstheme="majorBidi"/>
                <w:sz w:val="16"/>
                <w:szCs w:val="16"/>
              </w:rPr>
              <w:t xml:space="preserve"> </w:t>
            </w:r>
            <w:r w:rsidRPr="00C95435">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0F52F3">
            <w:pPr>
              <w:pStyle w:val="Tabletext"/>
              <w:jc w:val="center"/>
              <w:rPr>
                <w:rFonts w:asciiTheme="majorBidi" w:hAnsiTheme="majorBidi" w:cstheme="majorBidi"/>
                <w:szCs w:val="22"/>
              </w:rPr>
            </w:pPr>
            <w:r w:rsidRPr="00C95435">
              <w:rPr>
                <w:rFonts w:asciiTheme="majorBidi" w:hAnsiTheme="majorBidi" w:cstheme="majorBidi"/>
                <w:szCs w:val="22"/>
              </w:rPr>
              <w:t>4</w:t>
            </w:r>
            <w:r w:rsidR="000F52F3" w:rsidRPr="00C95435">
              <w:rPr>
                <w:rFonts w:asciiTheme="majorBidi" w:hAnsiTheme="majorBidi" w:cstheme="majorBidi"/>
                <w:sz w:val="16"/>
                <w:szCs w:val="16"/>
              </w:rPr>
              <w:t xml:space="preserve"> </w:t>
            </w:r>
            <w:r w:rsidRPr="00C95435">
              <w:rPr>
                <w:rFonts w:asciiTheme="majorBidi" w:hAnsiTheme="majorBidi" w:cstheme="majorBidi"/>
                <w:szCs w:val="22"/>
              </w:rPr>
              <w:t>000</w:t>
            </w:r>
          </w:p>
        </w:tc>
      </w:tr>
    </w:tbl>
    <w:p w:rsidR="006F46C2" w:rsidRPr="00C95435" w:rsidRDefault="001E4AA6" w:rsidP="00F52136">
      <w:pPr>
        <w:pStyle w:val="Arttitle"/>
        <w:spacing w:before="400"/>
      </w:pPr>
      <w:bookmarkStart w:id="401" w:name="_Toc280261837"/>
      <w:bookmarkStart w:id="402" w:name="_Toc280262335"/>
      <w:bookmarkStart w:id="403" w:name="_Toc280272729"/>
      <w:bookmarkStart w:id="404" w:name="_Toc280272908"/>
      <w:bookmarkStart w:id="405" w:name="_Toc284419423"/>
      <w:bookmarkStart w:id="406" w:name="_Toc286315740"/>
      <w:r w:rsidRPr="00C95435">
        <w:t xml:space="preserve">Article </w:t>
      </w:r>
      <w:r w:rsidR="006F46C2" w:rsidRPr="00C95435">
        <w:rPr>
          <w:color w:val="000000"/>
        </w:rPr>
        <w:t>15</w:t>
      </w:r>
      <w:r w:rsidR="00C70806" w:rsidRPr="00C95435">
        <w:rPr>
          <w:color w:val="000000"/>
        </w:rPr>
        <w:br/>
      </w:r>
      <w:r w:rsidR="00C70806" w:rsidRPr="00C95435">
        <w:rPr>
          <w:color w:val="000000"/>
        </w:rPr>
        <w:br/>
      </w:r>
      <w:bookmarkStart w:id="407" w:name="_Toc199215038"/>
      <w:r w:rsidR="006F46C2" w:rsidRPr="00C95435">
        <w:t xml:space="preserve">Spectrum </w:t>
      </w:r>
      <w:r w:rsidR="00F52136" w:rsidRPr="00C95435">
        <w:t>f</w:t>
      </w:r>
      <w:r w:rsidR="006F46C2" w:rsidRPr="00C95435">
        <w:t xml:space="preserve">ees for </w:t>
      </w:r>
      <w:r w:rsidR="00F52136" w:rsidRPr="00C95435">
        <w:t>m</w:t>
      </w:r>
      <w:r w:rsidR="006F46C2" w:rsidRPr="00C95435">
        <w:t xml:space="preserve">obile </w:t>
      </w:r>
      <w:r w:rsidR="00F52136" w:rsidRPr="00C95435">
        <w:t>b</w:t>
      </w:r>
      <w:r w:rsidR="006F46C2" w:rsidRPr="00C95435">
        <w:t xml:space="preserve">roadband </w:t>
      </w:r>
      <w:r w:rsidR="00F52136" w:rsidRPr="00C95435">
        <w:t>w</w:t>
      </w:r>
      <w:r w:rsidR="006F46C2" w:rsidRPr="00C95435">
        <w:t xml:space="preserve">ireless </w:t>
      </w:r>
      <w:r w:rsidR="00F52136" w:rsidRPr="00C95435">
        <w:t>a</w:t>
      </w:r>
      <w:r w:rsidR="006F46C2" w:rsidRPr="00C95435">
        <w:t>ccess</w:t>
      </w:r>
      <w:bookmarkEnd w:id="401"/>
      <w:bookmarkEnd w:id="402"/>
      <w:bookmarkEnd w:id="403"/>
      <w:bookmarkEnd w:id="404"/>
      <w:bookmarkEnd w:id="405"/>
      <w:bookmarkEnd w:id="406"/>
      <w:bookmarkEnd w:id="407"/>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15.1</w:t>
      </w:r>
      <w:r w:rsidRPr="00C95435">
        <w:rPr>
          <w:rFonts w:asciiTheme="majorBidi" w:hAnsiTheme="majorBidi" w:cstheme="majorBidi"/>
          <w:szCs w:val="22"/>
        </w:rPr>
        <w:tab/>
        <w:t xml:space="preserve">The Annual Spectrum Fees for Mobile Broadband Wireless Access between 2 GHz to 4 GHz shall be calculated as follows: </w:t>
      </w:r>
    </w:p>
    <w:p w:rsidR="006F46C2" w:rsidRPr="00C95435" w:rsidRDefault="006F46C2" w:rsidP="006F46C2">
      <w:pPr>
        <w:jc w:val="center"/>
        <w:rPr>
          <w:color w:val="000000"/>
          <w:szCs w:val="19"/>
        </w:rPr>
      </w:pPr>
      <w:r w:rsidRPr="00C95435">
        <w:rPr>
          <w:b/>
          <w:color w:val="000000"/>
          <w:szCs w:val="19"/>
        </w:rPr>
        <w:t>Spectrum Fees = BW x CF x 10</w:t>
      </w:r>
    </w:p>
    <w:p w:rsidR="006F46C2" w:rsidRPr="00C95435" w:rsidRDefault="006F46C2" w:rsidP="006F46C2">
      <w:pPr>
        <w:ind w:firstLine="720"/>
        <w:rPr>
          <w:b/>
          <w:bCs/>
          <w:color w:val="000000"/>
          <w:szCs w:val="19"/>
        </w:rPr>
      </w:pPr>
      <w:r w:rsidRPr="00C95435">
        <w:rPr>
          <w:szCs w:val="19"/>
        </w:rPr>
        <w:t>Where</w:t>
      </w:r>
      <w:r w:rsidRPr="00C95435">
        <w:rPr>
          <w:b/>
          <w:color w:val="000000"/>
          <w:szCs w:val="19"/>
        </w:rPr>
        <w:t xml:space="preserve"> </w:t>
      </w:r>
    </w:p>
    <w:p w:rsidR="006F46C2" w:rsidRPr="00C95435" w:rsidRDefault="006F46C2" w:rsidP="006F46C2">
      <w:pPr>
        <w:ind w:firstLine="720"/>
        <w:rPr>
          <w:color w:val="000000"/>
          <w:szCs w:val="19"/>
        </w:rPr>
      </w:pPr>
      <w:r w:rsidRPr="00C95435">
        <w:rPr>
          <w:b/>
          <w:color w:val="000000"/>
          <w:szCs w:val="19"/>
        </w:rPr>
        <w:t xml:space="preserve">BW = </w:t>
      </w:r>
      <w:r w:rsidRPr="00C95435">
        <w:rPr>
          <w:color w:val="000000"/>
          <w:szCs w:val="19"/>
        </w:rPr>
        <w:t>Total Bandwidth in MHz</w:t>
      </w:r>
    </w:p>
    <w:p w:rsidR="006F46C2" w:rsidRPr="00C95435" w:rsidRDefault="006F46C2" w:rsidP="006F46C2">
      <w:pPr>
        <w:ind w:left="720"/>
        <w:rPr>
          <w:color w:val="000000"/>
          <w:szCs w:val="19"/>
        </w:rPr>
      </w:pPr>
      <w:r w:rsidRPr="00C95435">
        <w:rPr>
          <w:b/>
          <w:color w:val="000000"/>
          <w:szCs w:val="19"/>
        </w:rPr>
        <w:t xml:space="preserve">CF= </w:t>
      </w:r>
      <w:r w:rsidRPr="00C95435">
        <w:rPr>
          <w:color w:val="000000"/>
          <w:szCs w:val="19"/>
        </w:rPr>
        <w:t xml:space="preserve">Coverage Factor depending on the geographical area which will be determined as follows: </w:t>
      </w:r>
    </w:p>
    <w:p w:rsidR="006F46C2" w:rsidRPr="00C95435" w:rsidRDefault="006F46C2" w:rsidP="0092737A"/>
    <w:tbl>
      <w:tblPr>
        <w:tblW w:w="0" w:type="auto"/>
        <w:tblInd w:w="925" w:type="dxa"/>
        <w:tblBorders>
          <w:top w:val="nil"/>
          <w:left w:val="nil"/>
          <w:bottom w:val="nil"/>
          <w:right w:val="nil"/>
        </w:tblBorders>
        <w:tblLook w:val="0000"/>
      </w:tblPr>
      <w:tblGrid>
        <w:gridCol w:w="681"/>
        <w:gridCol w:w="1475"/>
        <w:gridCol w:w="1523"/>
        <w:gridCol w:w="3268"/>
        <w:gridCol w:w="817"/>
      </w:tblGrid>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All UAE </w:t>
            </w:r>
          </w:p>
        </w:tc>
      </w:tr>
      <w:tr w:rsidR="006F46C2" w:rsidRPr="00C95435" w:rsidTr="00771F95">
        <w:trPr>
          <w:trHeight w:val="319"/>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F46C2" w:rsidRPr="00C95435" w:rsidRDefault="006F46C2" w:rsidP="009A4C1C">
            <w:pPr>
              <w:pStyle w:val="Tabletext"/>
              <w:jc w:val="center"/>
              <w:rPr>
                <w:rFonts w:asciiTheme="majorBidi" w:hAnsiTheme="majorBidi" w:cstheme="majorBidi"/>
                <w:szCs w:val="22"/>
              </w:rPr>
            </w:pPr>
            <w:r w:rsidRPr="00C95435">
              <w:rPr>
                <w:rFonts w:asciiTheme="majorBidi" w:hAnsiTheme="majorBidi" w:cstheme="majorBidi"/>
                <w:szCs w:val="22"/>
              </w:rPr>
              <w:t>100</w:t>
            </w:r>
          </w:p>
        </w:tc>
        <w:tc>
          <w:tcPr>
            <w:tcW w:w="1523" w:type="dxa"/>
            <w:tcBorders>
              <w:top w:val="single" w:sz="8" w:space="0" w:color="000000"/>
              <w:left w:val="single" w:sz="8" w:space="0" w:color="000000"/>
              <w:bottom w:val="single" w:sz="8" w:space="0" w:color="000000"/>
              <w:right w:val="single" w:sz="8" w:space="0" w:color="000000"/>
            </w:tcBorders>
          </w:tcPr>
          <w:p w:rsidR="006F46C2" w:rsidRPr="00C95435" w:rsidRDefault="006F46C2" w:rsidP="009A4C1C">
            <w:pPr>
              <w:pStyle w:val="Tabletext"/>
              <w:jc w:val="center"/>
              <w:rPr>
                <w:rFonts w:asciiTheme="majorBidi" w:hAnsiTheme="majorBidi" w:cstheme="majorBidi"/>
                <w:szCs w:val="22"/>
              </w:rPr>
            </w:pPr>
            <w:r w:rsidRPr="00C95435">
              <w:rPr>
                <w:rFonts w:asciiTheme="majorBidi" w:hAnsiTheme="majorBidi" w:cstheme="majorBidi"/>
                <w:szCs w:val="22"/>
              </w:rPr>
              <w:t>500</w:t>
            </w:r>
          </w:p>
        </w:tc>
        <w:tc>
          <w:tcPr>
            <w:tcW w:w="3268" w:type="dxa"/>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2</w:t>
            </w:r>
            <w:r w:rsidR="00F67B1A" w:rsidRPr="00C95435">
              <w:rPr>
                <w:rFonts w:asciiTheme="majorBidi" w:hAnsiTheme="majorBidi" w:cstheme="majorBidi"/>
                <w:sz w:val="16"/>
                <w:szCs w:val="16"/>
              </w:rPr>
              <w:t xml:space="preserve"> </w:t>
            </w:r>
            <w:r w:rsidRPr="00C95435">
              <w:rPr>
                <w:rFonts w:asciiTheme="majorBidi" w:hAnsiTheme="majorBidi" w:cstheme="majorBidi"/>
                <w:szCs w:val="22"/>
              </w:rPr>
              <w:t>000 for Abu Dhabi or Dubai</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1</w:t>
            </w:r>
            <w:r w:rsidR="00F67B1A" w:rsidRPr="00C95435">
              <w:rPr>
                <w:rFonts w:asciiTheme="majorBidi" w:hAnsiTheme="majorBidi" w:cstheme="majorBidi"/>
                <w:sz w:val="16"/>
                <w:szCs w:val="16"/>
              </w:rPr>
              <w:t xml:space="preserve"> </w:t>
            </w:r>
            <w:r w:rsidRPr="00C95435">
              <w:rPr>
                <w:rFonts w:asciiTheme="majorBidi" w:hAnsiTheme="majorBidi" w:cstheme="majorBidi"/>
                <w:szCs w:val="22"/>
              </w:rPr>
              <w:t>000 for other Emirates</w:t>
            </w:r>
          </w:p>
        </w:tc>
        <w:tc>
          <w:tcPr>
            <w:tcW w:w="817" w:type="dxa"/>
            <w:tcBorders>
              <w:top w:val="single" w:sz="8" w:space="0" w:color="000000"/>
              <w:left w:val="single" w:sz="8" w:space="0" w:color="000000"/>
              <w:bottom w:val="single" w:sz="8" w:space="0" w:color="000000"/>
              <w:right w:val="single" w:sz="8" w:space="0" w:color="000000"/>
            </w:tcBorders>
          </w:tcPr>
          <w:p w:rsidR="006F46C2" w:rsidRPr="00C95435" w:rsidRDefault="006F46C2" w:rsidP="009A4C1C">
            <w:pPr>
              <w:pStyle w:val="Tabletext"/>
              <w:jc w:val="center"/>
              <w:rPr>
                <w:rFonts w:asciiTheme="majorBidi" w:hAnsiTheme="majorBidi" w:cstheme="majorBidi"/>
                <w:szCs w:val="22"/>
              </w:rPr>
            </w:pPr>
            <w:r w:rsidRPr="00C95435">
              <w:rPr>
                <w:rFonts w:asciiTheme="majorBidi" w:hAnsiTheme="majorBidi" w:cstheme="majorBidi"/>
                <w:szCs w:val="22"/>
              </w:rPr>
              <w:t>4</w:t>
            </w:r>
            <w:r w:rsidR="009A4C1C" w:rsidRPr="00C95435">
              <w:rPr>
                <w:rFonts w:asciiTheme="majorBidi" w:hAnsiTheme="majorBidi" w:cstheme="majorBidi"/>
                <w:sz w:val="16"/>
                <w:szCs w:val="16"/>
              </w:rPr>
              <w:t xml:space="preserve"> </w:t>
            </w:r>
            <w:r w:rsidRPr="00C95435">
              <w:rPr>
                <w:rFonts w:asciiTheme="majorBidi" w:hAnsiTheme="majorBidi" w:cstheme="majorBidi"/>
                <w:szCs w:val="22"/>
              </w:rPr>
              <w:t>000</w:t>
            </w:r>
          </w:p>
        </w:tc>
      </w:tr>
    </w:tbl>
    <w:p w:rsidR="006F46C2" w:rsidRPr="00C95435" w:rsidRDefault="001E4AA6" w:rsidP="00F51A09">
      <w:pPr>
        <w:pStyle w:val="Arttitle"/>
        <w:spacing w:before="400"/>
      </w:pPr>
      <w:bookmarkStart w:id="408" w:name="_Toc280261838"/>
      <w:bookmarkStart w:id="409" w:name="_Toc280262336"/>
      <w:bookmarkStart w:id="410" w:name="_Toc280272730"/>
      <w:bookmarkStart w:id="411" w:name="_Toc280272909"/>
      <w:bookmarkStart w:id="412" w:name="_Toc284419424"/>
      <w:bookmarkStart w:id="413" w:name="_Toc286315741"/>
      <w:r w:rsidRPr="00C95435">
        <w:t>Article 16</w:t>
      </w:r>
      <w:r w:rsidR="004424A2" w:rsidRPr="00C95435">
        <w:br/>
      </w:r>
      <w:r w:rsidR="004424A2" w:rsidRPr="00C95435">
        <w:br/>
      </w:r>
      <w:bookmarkStart w:id="414" w:name="_Toc199215039"/>
      <w:r w:rsidR="006F46C2" w:rsidRPr="00C95435">
        <w:t xml:space="preserve">Spectrum </w:t>
      </w:r>
      <w:r w:rsidR="00F51A09" w:rsidRPr="00C95435">
        <w:t>f</w:t>
      </w:r>
      <w:r w:rsidR="006F46C2" w:rsidRPr="00C95435">
        <w:t xml:space="preserve">ees for </w:t>
      </w:r>
      <w:r w:rsidR="00F51A09" w:rsidRPr="00C95435">
        <w:t>o</w:t>
      </w:r>
      <w:r w:rsidR="006F46C2" w:rsidRPr="00C95435">
        <w:t>ptical and laser links</w:t>
      </w:r>
      <w:bookmarkEnd w:id="408"/>
      <w:bookmarkEnd w:id="409"/>
      <w:bookmarkEnd w:id="410"/>
      <w:bookmarkEnd w:id="411"/>
      <w:bookmarkEnd w:id="412"/>
      <w:bookmarkEnd w:id="413"/>
      <w:bookmarkEnd w:id="414"/>
    </w:p>
    <w:p w:rsidR="006F46C2" w:rsidRPr="00C95435" w:rsidRDefault="006F46C2" w:rsidP="006F46C2">
      <w:pPr>
        <w:rPr>
          <w:b/>
          <w:bCs/>
          <w:color w:val="000000"/>
          <w:szCs w:val="19"/>
        </w:rPr>
      </w:pPr>
      <w:r w:rsidRPr="00C95435">
        <w:rPr>
          <w:szCs w:val="19"/>
        </w:rPr>
        <w:t xml:space="preserve">The Annual Fees for free space optical and laser links shall be </w:t>
      </w:r>
      <w:r w:rsidRPr="00C95435">
        <w:rPr>
          <w:color w:val="000000"/>
          <w:szCs w:val="19"/>
        </w:rPr>
        <w:t>fifty (50) Dirhams.</w:t>
      </w:r>
      <w:r w:rsidRPr="00C95435">
        <w:rPr>
          <w:b/>
          <w:color w:val="000000"/>
          <w:szCs w:val="19"/>
        </w:rPr>
        <w:t xml:space="preserve"> </w:t>
      </w:r>
    </w:p>
    <w:p w:rsidR="006F46C2" w:rsidRPr="00C95435" w:rsidRDefault="001E4AA6" w:rsidP="00F51A09">
      <w:pPr>
        <w:pStyle w:val="Arttitle"/>
        <w:spacing w:before="400"/>
      </w:pPr>
      <w:bookmarkStart w:id="415" w:name="_Toc280261839"/>
      <w:bookmarkStart w:id="416" w:name="_Toc280262337"/>
      <w:bookmarkStart w:id="417" w:name="_Toc280272731"/>
      <w:bookmarkStart w:id="418" w:name="_Toc280272910"/>
      <w:bookmarkStart w:id="419" w:name="_Toc284419425"/>
      <w:bookmarkStart w:id="420" w:name="_Toc286315742"/>
      <w:r w:rsidRPr="00C95435">
        <w:t xml:space="preserve">Article </w:t>
      </w:r>
      <w:r w:rsidR="006F46C2" w:rsidRPr="00C95435">
        <w:t>17</w:t>
      </w:r>
      <w:r w:rsidR="004424A2" w:rsidRPr="00C95435">
        <w:br/>
      </w:r>
      <w:r w:rsidR="004424A2" w:rsidRPr="00C95435">
        <w:br/>
      </w:r>
      <w:bookmarkStart w:id="421" w:name="_Toc199215040"/>
      <w:r w:rsidR="006F46C2" w:rsidRPr="00C95435">
        <w:t xml:space="preserve">Spectrum </w:t>
      </w:r>
      <w:r w:rsidR="00F51A09" w:rsidRPr="00C95435">
        <w:t>f</w:t>
      </w:r>
      <w:r w:rsidR="006F46C2" w:rsidRPr="00C95435">
        <w:t>ees for WLAN and cordless telephony</w:t>
      </w:r>
      <w:bookmarkEnd w:id="415"/>
      <w:bookmarkEnd w:id="416"/>
      <w:bookmarkEnd w:id="417"/>
      <w:bookmarkEnd w:id="418"/>
      <w:bookmarkEnd w:id="419"/>
      <w:bookmarkEnd w:id="420"/>
      <w:bookmarkEnd w:id="421"/>
    </w:p>
    <w:p w:rsidR="006F46C2" w:rsidRPr="00C95435" w:rsidRDefault="006F46C2" w:rsidP="006F46C2">
      <w:pPr>
        <w:rPr>
          <w:b/>
          <w:bCs/>
          <w:color w:val="000000"/>
          <w:szCs w:val="19"/>
        </w:rPr>
      </w:pPr>
      <w:r w:rsidRPr="00C95435">
        <w:rPr>
          <w:szCs w:val="19"/>
        </w:rPr>
        <w:t>The indoor use of WLAN and DECT based cordless telephony shall be exempted from the Spectrum Fees.</w:t>
      </w:r>
      <w:r w:rsidRPr="00C95435">
        <w:rPr>
          <w:b/>
          <w:color w:val="000000"/>
          <w:szCs w:val="19"/>
        </w:rPr>
        <w:t xml:space="preserve"> </w:t>
      </w:r>
    </w:p>
    <w:p w:rsidR="006F46C2" w:rsidRPr="00C95435" w:rsidRDefault="001E4AA6" w:rsidP="00F51A09">
      <w:pPr>
        <w:pStyle w:val="Arttitle"/>
        <w:spacing w:before="400"/>
      </w:pPr>
      <w:bookmarkStart w:id="422" w:name="_Toc280261840"/>
      <w:bookmarkStart w:id="423" w:name="_Toc280262338"/>
      <w:bookmarkStart w:id="424" w:name="_Toc280272732"/>
      <w:bookmarkStart w:id="425" w:name="_Toc280272911"/>
      <w:bookmarkStart w:id="426" w:name="_Toc284419426"/>
      <w:bookmarkStart w:id="427" w:name="_Toc286315743"/>
      <w:r w:rsidRPr="00C95435">
        <w:lastRenderedPageBreak/>
        <w:t xml:space="preserve">Article </w:t>
      </w:r>
      <w:r w:rsidR="006F46C2" w:rsidRPr="00C95435">
        <w:t>18</w:t>
      </w:r>
      <w:r w:rsidR="004424A2" w:rsidRPr="00C95435">
        <w:br/>
      </w:r>
      <w:r w:rsidR="004424A2" w:rsidRPr="00C95435">
        <w:br/>
      </w:r>
      <w:bookmarkStart w:id="428" w:name="_Toc199215041"/>
      <w:r w:rsidR="006F46C2" w:rsidRPr="00C95435">
        <w:t xml:space="preserve">Spectrum </w:t>
      </w:r>
      <w:r w:rsidR="00F51A09" w:rsidRPr="00C95435">
        <w:t>f</w:t>
      </w:r>
      <w:r w:rsidR="006F46C2" w:rsidRPr="00C95435">
        <w:t>ees for GMPCS</w:t>
      </w:r>
      <w:bookmarkEnd w:id="422"/>
      <w:bookmarkEnd w:id="423"/>
      <w:bookmarkEnd w:id="424"/>
      <w:bookmarkEnd w:id="425"/>
      <w:bookmarkEnd w:id="426"/>
      <w:bookmarkEnd w:id="427"/>
      <w:bookmarkEnd w:id="428"/>
    </w:p>
    <w:p w:rsidR="006F46C2" w:rsidRPr="00C95435" w:rsidRDefault="006F46C2" w:rsidP="006F46C2">
      <w:pPr>
        <w:rPr>
          <w:szCs w:val="19"/>
        </w:rPr>
      </w:pPr>
      <w:r w:rsidRPr="00C95435">
        <w:rPr>
          <w:szCs w:val="19"/>
        </w:rPr>
        <w:t xml:space="preserve">The Annual Spectrum Fees for Global Mobile Personal Communication Service (GMPCS) shall be calculated as follows: </w:t>
      </w:r>
    </w:p>
    <w:p w:rsidR="006F46C2" w:rsidRPr="00C95435" w:rsidRDefault="006F46C2" w:rsidP="006F46C2">
      <w:pPr>
        <w:jc w:val="center"/>
        <w:rPr>
          <w:b/>
          <w:bCs/>
          <w:color w:val="000000"/>
          <w:szCs w:val="19"/>
        </w:rPr>
      </w:pPr>
      <w:r w:rsidRPr="00C95435">
        <w:rPr>
          <w:b/>
          <w:color w:val="000000"/>
          <w:szCs w:val="19"/>
        </w:rPr>
        <w:t>Spectrum Fees = BW x 5000</w:t>
      </w:r>
    </w:p>
    <w:p w:rsidR="006F46C2" w:rsidRPr="00C95435" w:rsidRDefault="006F46C2" w:rsidP="006F46C2">
      <w:pPr>
        <w:rPr>
          <w:color w:val="000000"/>
          <w:szCs w:val="19"/>
        </w:rPr>
      </w:pPr>
      <w:r w:rsidRPr="00C95435">
        <w:rPr>
          <w:color w:val="000000"/>
          <w:szCs w:val="19"/>
        </w:rPr>
        <w:tab/>
        <w:t xml:space="preserve">Where </w:t>
      </w:r>
      <w:r w:rsidRPr="00C95435">
        <w:rPr>
          <w:b/>
          <w:color w:val="000000"/>
          <w:szCs w:val="19"/>
        </w:rPr>
        <w:t xml:space="preserve">BW= </w:t>
      </w:r>
      <w:r w:rsidRPr="00C95435">
        <w:rPr>
          <w:color w:val="000000"/>
          <w:szCs w:val="19"/>
        </w:rPr>
        <w:t xml:space="preserve">Bandwidth Factor </w:t>
      </w:r>
      <w:r w:rsidR="001C7B92" w:rsidRPr="00C95435">
        <w:rPr>
          <w:color w:val="000000"/>
          <w:szCs w:val="19"/>
        </w:rPr>
        <w:t>based on 2x1 MHz Bandwidth used.</w:t>
      </w:r>
    </w:p>
    <w:p w:rsidR="00765C45" w:rsidRPr="00C95435" w:rsidRDefault="00765C45">
      <w:pPr>
        <w:tabs>
          <w:tab w:val="clear" w:pos="794"/>
          <w:tab w:val="clear" w:pos="1191"/>
          <w:tab w:val="clear" w:pos="1588"/>
          <w:tab w:val="clear" w:pos="1985"/>
        </w:tabs>
        <w:overflowPunct/>
        <w:autoSpaceDE/>
        <w:autoSpaceDN/>
        <w:adjustRightInd/>
        <w:spacing w:before="0"/>
        <w:jc w:val="left"/>
        <w:textAlignment w:val="auto"/>
        <w:rPr>
          <w:color w:val="000000"/>
          <w:szCs w:val="19"/>
        </w:rPr>
      </w:pPr>
    </w:p>
    <w:p w:rsidR="006F46C2" w:rsidRPr="00C95435" w:rsidRDefault="006F46C2" w:rsidP="00765C45">
      <w:pPr>
        <w:spacing w:before="0"/>
        <w:rPr>
          <w:color w:val="000000"/>
          <w:sz w:val="2"/>
          <w:szCs w:val="19"/>
        </w:rPr>
      </w:pPr>
    </w:p>
    <w:tbl>
      <w:tblPr>
        <w:tblW w:w="0" w:type="auto"/>
        <w:jc w:val="center"/>
        <w:tblInd w:w="1440" w:type="dxa"/>
        <w:tblBorders>
          <w:top w:val="nil"/>
          <w:left w:val="nil"/>
          <w:bottom w:val="nil"/>
          <w:right w:val="nil"/>
        </w:tblBorders>
        <w:tblLook w:val="0000"/>
      </w:tblPr>
      <w:tblGrid>
        <w:gridCol w:w="3333"/>
        <w:gridCol w:w="1261"/>
      </w:tblGrid>
      <w:tr w:rsidR="006F46C2" w:rsidRPr="00C95435" w:rsidTr="00771F95">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 xml:space="preserve">Bandwidth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BW Factor</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Less than 2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3</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65C45">
            <w:pPr>
              <w:pStyle w:val="Tabletext"/>
              <w:rPr>
                <w:rFonts w:asciiTheme="majorBidi" w:hAnsiTheme="majorBidi" w:cstheme="majorBidi"/>
                <w:szCs w:val="22"/>
              </w:rPr>
            </w:pPr>
            <w:r w:rsidRPr="00C95435">
              <w:rPr>
                <w:rFonts w:asciiTheme="majorBidi" w:hAnsiTheme="majorBidi" w:cstheme="majorBidi"/>
                <w:szCs w:val="22"/>
              </w:rPr>
              <w:t xml:space="preserve">2 x 1 MHz </w:t>
            </w:r>
            <w:r w:rsidR="00765C45" w:rsidRPr="00C95435">
              <w:rPr>
                <w:rFonts w:asciiTheme="majorBidi" w:hAnsiTheme="majorBidi" w:cstheme="majorBidi"/>
                <w:szCs w:val="22"/>
              </w:rPr>
              <w:t>–</w:t>
            </w:r>
            <w:r w:rsidRPr="00C95435">
              <w:rPr>
                <w:rFonts w:asciiTheme="majorBidi" w:hAnsiTheme="majorBidi" w:cstheme="majorBidi"/>
                <w:szCs w:val="22"/>
              </w:rPr>
              <w:t xml:space="preserve"> Less than 4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6</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765C45" w:rsidP="00771F95">
            <w:pPr>
              <w:pStyle w:val="Tabletext"/>
              <w:rPr>
                <w:rFonts w:asciiTheme="majorBidi" w:hAnsiTheme="majorBidi" w:cstheme="majorBidi"/>
                <w:szCs w:val="22"/>
              </w:rPr>
            </w:pPr>
            <w:r w:rsidRPr="00C95435">
              <w:rPr>
                <w:rFonts w:asciiTheme="majorBidi" w:hAnsiTheme="majorBidi" w:cstheme="majorBidi"/>
                <w:szCs w:val="22"/>
              </w:rPr>
              <w:t>4 x 1 MHz –</w:t>
            </w:r>
            <w:r w:rsidR="006F46C2" w:rsidRPr="00C95435">
              <w:rPr>
                <w:rFonts w:asciiTheme="majorBidi" w:hAnsiTheme="majorBidi" w:cstheme="majorBidi"/>
                <w:szCs w:val="22"/>
              </w:rPr>
              <w:t xml:space="preserve"> Less than 6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9</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765C45" w:rsidP="00771F95">
            <w:pPr>
              <w:pStyle w:val="Tabletext"/>
              <w:rPr>
                <w:rFonts w:asciiTheme="majorBidi" w:hAnsiTheme="majorBidi" w:cstheme="majorBidi"/>
                <w:szCs w:val="22"/>
              </w:rPr>
            </w:pPr>
            <w:r w:rsidRPr="00C95435">
              <w:rPr>
                <w:rFonts w:asciiTheme="majorBidi" w:hAnsiTheme="majorBidi" w:cstheme="majorBidi"/>
                <w:szCs w:val="22"/>
              </w:rPr>
              <w:t>6 x 1 MHz –</w:t>
            </w:r>
            <w:r w:rsidR="006F46C2" w:rsidRPr="00C95435">
              <w:rPr>
                <w:rFonts w:asciiTheme="majorBidi" w:hAnsiTheme="majorBidi" w:cstheme="majorBidi"/>
                <w:szCs w:val="22"/>
              </w:rPr>
              <w:t xml:space="preserve"> Less than 8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12</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765C45" w:rsidP="00771F95">
            <w:pPr>
              <w:pStyle w:val="Tabletext"/>
              <w:rPr>
                <w:rFonts w:asciiTheme="majorBidi" w:hAnsiTheme="majorBidi" w:cstheme="majorBidi"/>
                <w:szCs w:val="22"/>
              </w:rPr>
            </w:pPr>
            <w:r w:rsidRPr="00C95435">
              <w:rPr>
                <w:rFonts w:asciiTheme="majorBidi" w:hAnsiTheme="majorBidi" w:cstheme="majorBidi"/>
                <w:szCs w:val="22"/>
              </w:rPr>
              <w:t>8 x 1 MHz –</w:t>
            </w:r>
            <w:r w:rsidR="006F46C2" w:rsidRPr="00C95435">
              <w:rPr>
                <w:rFonts w:asciiTheme="majorBidi" w:hAnsiTheme="majorBidi" w:cstheme="majorBidi"/>
                <w:szCs w:val="22"/>
              </w:rPr>
              <w:t xml:space="preserve"> Less than 10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15</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10 x 1 MHz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18</w:t>
            </w:r>
          </w:p>
        </w:tc>
      </w:tr>
      <w:tr w:rsidR="006F46C2" w:rsidRPr="00C95435" w:rsidTr="00771F9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 xml:space="preserve">For each additional 2x1 MHz </w:t>
            </w:r>
          </w:p>
        </w:tc>
        <w:tc>
          <w:tcPr>
            <w:tcW w:w="0" w:type="auto"/>
            <w:tcBorders>
              <w:top w:val="single" w:sz="8" w:space="0" w:color="000000"/>
              <w:left w:val="single" w:sz="8" w:space="0" w:color="000000"/>
              <w:bottom w:val="single" w:sz="8" w:space="0" w:color="000000"/>
              <w:right w:val="single" w:sz="8" w:space="0" w:color="000000"/>
            </w:tcBorders>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3</w:t>
            </w:r>
          </w:p>
        </w:tc>
      </w:tr>
    </w:tbl>
    <w:p w:rsidR="006F46C2" w:rsidRPr="00C95435" w:rsidRDefault="001E4AA6" w:rsidP="00C120B2">
      <w:pPr>
        <w:pStyle w:val="Arttitle"/>
        <w:spacing w:before="400"/>
      </w:pPr>
      <w:bookmarkStart w:id="429" w:name="_Toc280261841"/>
      <w:bookmarkStart w:id="430" w:name="_Toc280262339"/>
      <w:bookmarkStart w:id="431" w:name="_Toc280272733"/>
      <w:bookmarkStart w:id="432" w:name="_Toc280272912"/>
      <w:bookmarkStart w:id="433" w:name="_Toc284419427"/>
      <w:bookmarkStart w:id="434" w:name="_Toc286315744"/>
      <w:r w:rsidRPr="00C95435">
        <w:t>Article 19</w:t>
      </w:r>
      <w:r w:rsidR="00057B18" w:rsidRPr="00C95435">
        <w:br/>
      </w:r>
      <w:r w:rsidR="00057B18" w:rsidRPr="00C95435">
        <w:br/>
      </w:r>
      <w:bookmarkStart w:id="435" w:name="_Toc199215042"/>
      <w:r w:rsidR="006F46C2" w:rsidRPr="00C95435">
        <w:t xml:space="preserve">Spectrum </w:t>
      </w:r>
      <w:r w:rsidR="00C120B2" w:rsidRPr="00C95435">
        <w:t>f</w:t>
      </w:r>
      <w:r w:rsidR="006F46C2" w:rsidRPr="00C95435">
        <w:t xml:space="preserve">ees for </w:t>
      </w:r>
      <w:r w:rsidR="00C120B2" w:rsidRPr="00C95435">
        <w:t>a</w:t>
      </w:r>
      <w:r w:rsidR="006F46C2" w:rsidRPr="00C95435">
        <w:t>mateur</w:t>
      </w:r>
      <w:bookmarkEnd w:id="429"/>
      <w:bookmarkEnd w:id="430"/>
      <w:bookmarkEnd w:id="431"/>
      <w:bookmarkEnd w:id="432"/>
      <w:bookmarkEnd w:id="433"/>
      <w:bookmarkEnd w:id="434"/>
      <w:bookmarkEnd w:id="435"/>
    </w:p>
    <w:p w:rsidR="006F46C2" w:rsidRPr="00C95435" w:rsidRDefault="006F46C2" w:rsidP="006F46C2">
      <w:pPr>
        <w:rPr>
          <w:szCs w:val="19"/>
        </w:rPr>
      </w:pPr>
      <w:r w:rsidRPr="00C95435">
        <w:rPr>
          <w:szCs w:val="19"/>
        </w:rPr>
        <w:t xml:space="preserve">The Annual fees for Amateur license shall be Two Hundred (200) AED per wireless equipment payable in advance. </w:t>
      </w:r>
    </w:p>
    <w:p w:rsidR="006F46C2" w:rsidRPr="00C95435" w:rsidRDefault="001E4AA6" w:rsidP="00C120B2">
      <w:pPr>
        <w:pStyle w:val="Arttitle"/>
        <w:spacing w:before="400"/>
      </w:pPr>
      <w:bookmarkStart w:id="436" w:name="_Toc280261842"/>
      <w:bookmarkStart w:id="437" w:name="_Toc280262340"/>
      <w:bookmarkStart w:id="438" w:name="_Toc280272734"/>
      <w:bookmarkStart w:id="439" w:name="_Toc280272913"/>
      <w:bookmarkStart w:id="440" w:name="_Toc284419428"/>
      <w:bookmarkStart w:id="441" w:name="_Toc286315745"/>
      <w:r w:rsidRPr="00C95435">
        <w:t>Article 20</w:t>
      </w:r>
      <w:r w:rsidR="00057B18" w:rsidRPr="00C95435">
        <w:br/>
      </w:r>
      <w:r w:rsidR="00057B18" w:rsidRPr="00C95435">
        <w:br/>
      </w:r>
      <w:bookmarkStart w:id="442" w:name="_Toc199215043"/>
      <w:r w:rsidR="006F46C2" w:rsidRPr="00C95435">
        <w:t xml:space="preserve">Spectrum </w:t>
      </w:r>
      <w:r w:rsidR="00C120B2" w:rsidRPr="00C95435">
        <w:t>f</w:t>
      </w:r>
      <w:r w:rsidR="006F46C2" w:rsidRPr="00C95435">
        <w:t xml:space="preserve">ees for </w:t>
      </w:r>
      <w:r w:rsidR="00C120B2" w:rsidRPr="00C95435">
        <w:t>a</w:t>
      </w:r>
      <w:r w:rsidR="006F46C2" w:rsidRPr="00C95435">
        <w:t xml:space="preserve">eronautical </w:t>
      </w:r>
      <w:r w:rsidR="00C120B2" w:rsidRPr="00C95435">
        <w:t>r</w:t>
      </w:r>
      <w:r w:rsidR="006F46C2" w:rsidRPr="00C95435">
        <w:t xml:space="preserve">adio </w:t>
      </w:r>
      <w:bookmarkEnd w:id="442"/>
      <w:r w:rsidR="00C120B2" w:rsidRPr="00C95435">
        <w:t>s</w:t>
      </w:r>
      <w:r w:rsidR="006F46C2" w:rsidRPr="00C95435">
        <w:t>tations</w:t>
      </w:r>
      <w:bookmarkEnd w:id="436"/>
      <w:bookmarkEnd w:id="437"/>
      <w:bookmarkEnd w:id="438"/>
      <w:bookmarkEnd w:id="439"/>
      <w:bookmarkEnd w:id="440"/>
      <w:bookmarkEnd w:id="441"/>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20.1</w:t>
      </w:r>
      <w:r w:rsidRPr="00C95435">
        <w:rPr>
          <w:rFonts w:asciiTheme="majorBidi" w:hAnsiTheme="majorBidi" w:cstheme="majorBidi"/>
          <w:szCs w:val="22"/>
        </w:rPr>
        <w:tab/>
        <w:t>The annual fees for each aircraft and helicopter license shall be one thousand (1000) Dirhams. This shall deem to include all Wireless Equipment onboard.</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20.2</w:t>
      </w:r>
      <w:r w:rsidRPr="00C95435">
        <w:rPr>
          <w:rFonts w:asciiTheme="majorBidi" w:hAnsiTheme="majorBidi" w:cstheme="majorBidi"/>
          <w:szCs w:val="22"/>
        </w:rPr>
        <w:tab/>
        <w:t xml:space="preserve">The annual fees for gliders and balloons shall be three hundred (300) Dirhams. </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20.3</w:t>
      </w:r>
      <w:r w:rsidRPr="00C95435">
        <w:rPr>
          <w:rFonts w:asciiTheme="majorBidi" w:hAnsiTheme="majorBidi" w:cstheme="majorBidi"/>
          <w:szCs w:val="22"/>
        </w:rPr>
        <w:tab/>
        <w:t>The annual fees for ground to air links shall be in accordance with the private mobile radio. The ground to air HF links shall be charged in accordance with HF fixed point to point links.</w:t>
      </w:r>
    </w:p>
    <w:p w:rsidR="006F46C2" w:rsidRPr="00C95435" w:rsidRDefault="006F46C2" w:rsidP="006F46C2">
      <w:pPr>
        <w:pStyle w:val="enumlev1"/>
        <w:rPr>
          <w:rFonts w:asciiTheme="majorBidi" w:hAnsiTheme="majorBidi" w:cstheme="majorBidi"/>
          <w:color w:val="000000"/>
          <w:szCs w:val="22"/>
        </w:rPr>
      </w:pPr>
      <w:r w:rsidRPr="00C95435">
        <w:rPr>
          <w:rFonts w:asciiTheme="majorBidi" w:hAnsiTheme="majorBidi" w:cstheme="majorBidi"/>
          <w:color w:val="000000"/>
          <w:szCs w:val="22"/>
        </w:rPr>
        <w:t>20.4</w:t>
      </w:r>
      <w:r w:rsidRPr="00C95435">
        <w:rPr>
          <w:rFonts w:asciiTheme="majorBidi" w:hAnsiTheme="majorBidi" w:cstheme="majorBidi"/>
          <w:color w:val="000000"/>
          <w:szCs w:val="22"/>
        </w:rPr>
        <w:tab/>
        <w:t xml:space="preserve">The annual fees for High Altitude Platform System (HAPS) shall be considered under satellite services for charging. </w:t>
      </w:r>
    </w:p>
    <w:p w:rsidR="006F46C2" w:rsidRPr="00C95435" w:rsidRDefault="001E4AA6" w:rsidP="00797D24">
      <w:pPr>
        <w:pStyle w:val="Arttitle"/>
      </w:pPr>
      <w:bookmarkStart w:id="443" w:name="_Toc280261843"/>
      <w:bookmarkStart w:id="444" w:name="_Toc280262341"/>
      <w:bookmarkStart w:id="445" w:name="_Toc280272735"/>
      <w:bookmarkStart w:id="446" w:name="_Toc280272914"/>
      <w:bookmarkStart w:id="447" w:name="_Toc284419429"/>
      <w:bookmarkStart w:id="448" w:name="_Toc286315746"/>
      <w:r w:rsidRPr="00C95435">
        <w:t>Article 21</w:t>
      </w:r>
      <w:r w:rsidR="00057B18" w:rsidRPr="00C95435">
        <w:br/>
      </w:r>
      <w:r w:rsidR="00057B18" w:rsidRPr="00C95435">
        <w:br/>
      </w:r>
      <w:bookmarkStart w:id="449" w:name="_Toc199215044"/>
      <w:r w:rsidR="006F46C2" w:rsidRPr="00C95435">
        <w:t xml:space="preserve">Spectrum </w:t>
      </w:r>
      <w:r w:rsidR="00797D24" w:rsidRPr="00C95435">
        <w:t>f</w:t>
      </w:r>
      <w:r w:rsidR="006F46C2" w:rsidRPr="00C95435">
        <w:t xml:space="preserve">ees for </w:t>
      </w:r>
      <w:r w:rsidR="00797D24" w:rsidRPr="00C95435">
        <w:t>m</w:t>
      </w:r>
      <w:r w:rsidR="006F46C2" w:rsidRPr="00C95435">
        <w:t xml:space="preserve">aritime </w:t>
      </w:r>
      <w:r w:rsidR="00797D24" w:rsidRPr="00C95435">
        <w:t>r</w:t>
      </w:r>
      <w:r w:rsidR="006F46C2" w:rsidRPr="00C95435">
        <w:t xml:space="preserve">adio </w:t>
      </w:r>
      <w:r w:rsidR="00797D24" w:rsidRPr="00C95435">
        <w:t>s</w:t>
      </w:r>
      <w:r w:rsidR="006F46C2" w:rsidRPr="00C95435">
        <w:t>ervices</w:t>
      </w:r>
      <w:bookmarkEnd w:id="443"/>
      <w:bookmarkEnd w:id="444"/>
      <w:bookmarkEnd w:id="445"/>
      <w:bookmarkEnd w:id="446"/>
      <w:bookmarkEnd w:id="447"/>
      <w:bookmarkEnd w:id="448"/>
      <w:bookmarkEnd w:id="449"/>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21.1</w:t>
      </w:r>
      <w:r w:rsidRPr="00C95435">
        <w:rPr>
          <w:rFonts w:asciiTheme="majorBidi" w:hAnsiTheme="majorBidi" w:cstheme="majorBidi"/>
          <w:szCs w:val="22"/>
        </w:rPr>
        <w:tab/>
        <w:t xml:space="preserve">The annual fees for each small boat license shall be two hundred (200) Dirhams. </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21.2</w:t>
      </w:r>
      <w:r w:rsidRPr="00C95435">
        <w:rPr>
          <w:rFonts w:asciiTheme="majorBidi" w:hAnsiTheme="majorBidi" w:cstheme="majorBidi"/>
          <w:szCs w:val="22"/>
        </w:rPr>
        <w:tab/>
        <w:t xml:space="preserve">The annual fees for each Coastal ship </w:t>
      </w:r>
      <w:r w:rsidRPr="00C95435">
        <w:rPr>
          <w:rFonts w:asciiTheme="majorBidi" w:hAnsiTheme="majorBidi" w:cstheme="majorBidi"/>
          <w:color w:val="000000"/>
          <w:szCs w:val="22"/>
        </w:rPr>
        <w:t xml:space="preserve">(within domestic water and without MMSI) </w:t>
      </w:r>
      <w:r w:rsidRPr="00C95435">
        <w:rPr>
          <w:rFonts w:asciiTheme="majorBidi" w:hAnsiTheme="majorBidi" w:cstheme="majorBidi"/>
          <w:szCs w:val="22"/>
        </w:rPr>
        <w:t xml:space="preserve">license shall be Five Hundred and Fifty (550) Dirhams. </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21.3</w:t>
      </w:r>
      <w:r w:rsidRPr="00C95435">
        <w:rPr>
          <w:rFonts w:asciiTheme="majorBidi" w:hAnsiTheme="majorBidi" w:cstheme="majorBidi"/>
          <w:szCs w:val="22"/>
        </w:rPr>
        <w:tab/>
        <w:t xml:space="preserve">The annual fees for each Ship </w:t>
      </w:r>
      <w:r w:rsidRPr="00C95435">
        <w:rPr>
          <w:rFonts w:asciiTheme="majorBidi" w:hAnsiTheme="majorBidi" w:cstheme="majorBidi"/>
          <w:color w:val="000000"/>
          <w:szCs w:val="22"/>
        </w:rPr>
        <w:t>(g</w:t>
      </w:r>
      <w:r w:rsidR="00C95B09" w:rsidRPr="00C95435">
        <w:rPr>
          <w:rFonts w:asciiTheme="majorBidi" w:hAnsiTheme="majorBidi" w:cstheme="majorBidi"/>
          <w:color w:val="000000"/>
          <w:szCs w:val="22"/>
        </w:rPr>
        <w:t>oe</w:t>
      </w:r>
      <w:r w:rsidRPr="00C95435">
        <w:rPr>
          <w:rFonts w:asciiTheme="majorBidi" w:hAnsiTheme="majorBidi" w:cstheme="majorBidi"/>
          <w:color w:val="000000"/>
          <w:szCs w:val="22"/>
        </w:rPr>
        <w:t xml:space="preserve">s outside domestic water and with MMSI) </w:t>
      </w:r>
      <w:r w:rsidRPr="00C95435">
        <w:rPr>
          <w:rFonts w:asciiTheme="majorBidi" w:hAnsiTheme="majorBidi" w:cstheme="majorBidi"/>
          <w:szCs w:val="22"/>
        </w:rPr>
        <w:t xml:space="preserve">license shall be One Thousand (1000) Dirhams. </w:t>
      </w:r>
    </w:p>
    <w:p w:rsidR="006F46C2" w:rsidRPr="00C95435" w:rsidRDefault="001E4AA6" w:rsidP="001C2DCD">
      <w:pPr>
        <w:pStyle w:val="Arttitle"/>
        <w:spacing w:before="400"/>
      </w:pPr>
      <w:bookmarkStart w:id="450" w:name="_Toc280261844"/>
      <w:bookmarkStart w:id="451" w:name="_Toc280262342"/>
      <w:bookmarkStart w:id="452" w:name="_Toc280272736"/>
      <w:bookmarkStart w:id="453" w:name="_Toc280272915"/>
      <w:bookmarkStart w:id="454" w:name="_Toc284419430"/>
      <w:bookmarkStart w:id="455" w:name="_Toc286315747"/>
      <w:r w:rsidRPr="00C95435">
        <w:lastRenderedPageBreak/>
        <w:t>Article 22</w:t>
      </w:r>
      <w:r w:rsidR="00285EB6" w:rsidRPr="00C95435">
        <w:br/>
      </w:r>
      <w:r w:rsidR="00285EB6" w:rsidRPr="00C95435">
        <w:br/>
      </w:r>
      <w:bookmarkStart w:id="456" w:name="_Toc199215045"/>
      <w:r w:rsidR="006F46C2" w:rsidRPr="00C95435">
        <w:t xml:space="preserve">Spectrum </w:t>
      </w:r>
      <w:r w:rsidR="001C2DCD" w:rsidRPr="00C95435">
        <w:t>f</w:t>
      </w:r>
      <w:r w:rsidR="006F46C2" w:rsidRPr="00C95435">
        <w:t xml:space="preserve">ees for </w:t>
      </w:r>
      <w:r w:rsidR="001C2DCD" w:rsidRPr="00C95435">
        <w:t>s</w:t>
      </w:r>
      <w:r w:rsidR="006F46C2" w:rsidRPr="00C95435">
        <w:t xml:space="preserve">pace </w:t>
      </w:r>
      <w:r w:rsidR="001C2DCD" w:rsidRPr="00C95435">
        <w:t>s</w:t>
      </w:r>
      <w:r w:rsidR="006F46C2" w:rsidRPr="00C95435">
        <w:t xml:space="preserve">ervices and </w:t>
      </w:r>
      <w:r w:rsidR="001C2DCD" w:rsidRPr="00C95435">
        <w:t>a</w:t>
      </w:r>
      <w:r w:rsidR="006F46C2" w:rsidRPr="00C95435">
        <w:t>ncillary</w:t>
      </w:r>
      <w:bookmarkEnd w:id="450"/>
      <w:bookmarkEnd w:id="451"/>
      <w:bookmarkEnd w:id="452"/>
      <w:bookmarkEnd w:id="453"/>
      <w:bookmarkEnd w:id="454"/>
      <w:bookmarkEnd w:id="455"/>
      <w:bookmarkEnd w:id="456"/>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22.1</w:t>
      </w:r>
      <w:r w:rsidRPr="00C95435">
        <w:rPr>
          <w:rFonts w:asciiTheme="majorBidi" w:hAnsiTheme="majorBidi" w:cstheme="majorBidi"/>
          <w:szCs w:val="22"/>
        </w:rPr>
        <w:tab/>
        <w:t xml:space="preserve">The annual fees for each VSAT shall be five thousand (5000) Dirhams. </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22.2</w:t>
      </w:r>
      <w:r w:rsidRPr="00C95435">
        <w:rPr>
          <w:rFonts w:asciiTheme="majorBidi" w:hAnsiTheme="majorBidi" w:cstheme="majorBidi"/>
          <w:szCs w:val="22"/>
        </w:rPr>
        <w:tab/>
        <w:t xml:space="preserve">The annual fees for each Earth Station antenna shall be fifty thousand (50000) Dirhams. </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22.3</w:t>
      </w:r>
      <w:r w:rsidRPr="00C95435">
        <w:rPr>
          <w:rFonts w:asciiTheme="majorBidi" w:hAnsiTheme="majorBidi" w:cstheme="majorBidi"/>
          <w:szCs w:val="22"/>
        </w:rPr>
        <w:tab/>
        <w:t xml:space="preserve">The TVRO (Television receive only) shall not be charged. </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22.4</w:t>
      </w:r>
      <w:r w:rsidRPr="00C95435">
        <w:rPr>
          <w:rFonts w:asciiTheme="majorBidi" w:hAnsiTheme="majorBidi" w:cstheme="majorBidi"/>
          <w:szCs w:val="22"/>
        </w:rPr>
        <w:tab/>
        <w:t>The annual fees for each DSNG shall be five thousand (5000) Dirhams.</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22.5</w:t>
      </w:r>
      <w:r w:rsidRPr="00C95435">
        <w:rPr>
          <w:rFonts w:asciiTheme="majorBidi" w:hAnsiTheme="majorBidi" w:cstheme="majorBidi"/>
          <w:szCs w:val="22"/>
        </w:rPr>
        <w:tab/>
        <w:t>The annual Spectrum Fees for offering Aeronautical Mobile Satellite service shall be ten thousand (10000) Dirhams.</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22.6</w:t>
      </w:r>
      <w:r w:rsidRPr="00C95435">
        <w:rPr>
          <w:rFonts w:asciiTheme="majorBidi" w:hAnsiTheme="majorBidi" w:cstheme="majorBidi"/>
          <w:szCs w:val="22"/>
        </w:rPr>
        <w:tab/>
        <w:t>The annual Spectrum Fees for offering Maritime Mobile Satellite service shall be ten thousand (10000) Dirhams.</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22.7</w:t>
      </w:r>
      <w:r w:rsidRPr="00C95435">
        <w:rPr>
          <w:rFonts w:asciiTheme="majorBidi" w:hAnsiTheme="majorBidi" w:cstheme="majorBidi"/>
          <w:szCs w:val="22"/>
        </w:rPr>
        <w:tab/>
        <w:t>The annual Spectrum Fees for offering Earth Exploration Satellite service shall be ten thousand (10000) Dirhams.</w:t>
      </w:r>
    </w:p>
    <w:p w:rsidR="006F46C2" w:rsidRPr="00C95435" w:rsidRDefault="006F46C2" w:rsidP="006F46C2">
      <w:pPr>
        <w:pStyle w:val="enumlev1"/>
        <w:rPr>
          <w:rFonts w:asciiTheme="majorBidi" w:hAnsiTheme="majorBidi" w:cstheme="majorBidi"/>
          <w:szCs w:val="22"/>
        </w:rPr>
      </w:pPr>
      <w:r w:rsidRPr="00C95435">
        <w:rPr>
          <w:rFonts w:asciiTheme="majorBidi" w:hAnsiTheme="majorBidi" w:cstheme="majorBidi"/>
          <w:szCs w:val="22"/>
        </w:rPr>
        <w:t>22.8</w:t>
      </w:r>
      <w:r w:rsidRPr="00C95435">
        <w:rPr>
          <w:rFonts w:asciiTheme="majorBidi" w:hAnsiTheme="majorBidi" w:cstheme="majorBidi"/>
          <w:szCs w:val="22"/>
        </w:rPr>
        <w:tab/>
        <w:t>The annual Spectrum Fees for HAPS shall be determined by the TRA based on the purpose of use.</w:t>
      </w:r>
    </w:p>
    <w:p w:rsidR="006F46C2" w:rsidRPr="00C95435" w:rsidRDefault="001E4AA6" w:rsidP="001C2DCD">
      <w:pPr>
        <w:pStyle w:val="Arttitle"/>
        <w:spacing w:before="400"/>
      </w:pPr>
      <w:bookmarkStart w:id="457" w:name="_Toc280261845"/>
      <w:bookmarkStart w:id="458" w:name="_Toc280262343"/>
      <w:bookmarkStart w:id="459" w:name="_Toc280272737"/>
      <w:bookmarkStart w:id="460" w:name="_Toc280272916"/>
      <w:bookmarkStart w:id="461" w:name="_Toc284419431"/>
      <w:bookmarkStart w:id="462" w:name="_Toc286315748"/>
      <w:r w:rsidRPr="00C95435">
        <w:t>Article 23</w:t>
      </w:r>
      <w:r w:rsidR="00285EB6" w:rsidRPr="00C95435">
        <w:br/>
      </w:r>
      <w:r w:rsidR="00285EB6" w:rsidRPr="00C95435">
        <w:br/>
      </w:r>
      <w:bookmarkStart w:id="463" w:name="_Toc199215046"/>
      <w:r w:rsidR="006F46C2" w:rsidRPr="00C95435">
        <w:t xml:space="preserve">Spectrum </w:t>
      </w:r>
      <w:r w:rsidR="001C2DCD" w:rsidRPr="00C95435">
        <w:t>f</w:t>
      </w:r>
      <w:r w:rsidR="006F46C2" w:rsidRPr="00C95435">
        <w:t xml:space="preserve">ees for </w:t>
      </w:r>
      <w:r w:rsidR="001C2DCD" w:rsidRPr="00C95435">
        <w:t>r</w:t>
      </w:r>
      <w:r w:rsidR="006F46C2" w:rsidRPr="00C95435">
        <w:t>adionavigation stations</w:t>
      </w:r>
      <w:bookmarkEnd w:id="457"/>
      <w:bookmarkEnd w:id="458"/>
      <w:bookmarkEnd w:id="459"/>
      <w:bookmarkEnd w:id="460"/>
      <w:bookmarkEnd w:id="461"/>
      <w:bookmarkEnd w:id="462"/>
      <w:bookmarkEnd w:id="463"/>
    </w:p>
    <w:p w:rsidR="006F46C2" w:rsidRPr="00C95435" w:rsidRDefault="006F46C2" w:rsidP="006F46C2">
      <w:pPr>
        <w:rPr>
          <w:color w:val="000000"/>
          <w:szCs w:val="19"/>
        </w:rPr>
      </w:pPr>
      <w:r w:rsidRPr="00C95435">
        <w:rPr>
          <w:szCs w:val="19"/>
        </w:rPr>
        <w:t>The annual fees for each Radionavigation Station shall be One thousand (1000) Dirhams.</w:t>
      </w:r>
    </w:p>
    <w:p w:rsidR="006F46C2" w:rsidRPr="00C95435" w:rsidRDefault="001E4AA6" w:rsidP="001C2DCD">
      <w:pPr>
        <w:pStyle w:val="Arttitle"/>
        <w:spacing w:before="400"/>
      </w:pPr>
      <w:bookmarkStart w:id="464" w:name="_Toc280261846"/>
      <w:bookmarkStart w:id="465" w:name="_Toc280262344"/>
      <w:bookmarkStart w:id="466" w:name="_Toc280272738"/>
      <w:bookmarkStart w:id="467" w:name="_Toc280272917"/>
      <w:bookmarkStart w:id="468" w:name="_Toc284419432"/>
      <w:bookmarkStart w:id="469" w:name="_Toc286315749"/>
      <w:r w:rsidRPr="00C95435">
        <w:t>Article 24</w:t>
      </w:r>
      <w:r w:rsidR="003A3389" w:rsidRPr="00C95435">
        <w:br/>
      </w:r>
      <w:r w:rsidR="003A3389" w:rsidRPr="00C95435">
        <w:br/>
      </w:r>
      <w:bookmarkStart w:id="470" w:name="_Toc199215047"/>
      <w:r w:rsidR="006F46C2" w:rsidRPr="00C95435">
        <w:t xml:space="preserve">Spectrum </w:t>
      </w:r>
      <w:r w:rsidR="001C2DCD" w:rsidRPr="00C95435">
        <w:t>f</w:t>
      </w:r>
      <w:r w:rsidR="006F46C2" w:rsidRPr="00C95435">
        <w:t xml:space="preserve">ees for </w:t>
      </w:r>
      <w:r w:rsidR="001C2DCD" w:rsidRPr="00C95435">
        <w:t>r</w:t>
      </w:r>
      <w:r w:rsidR="006F46C2" w:rsidRPr="00C95435">
        <w:t xml:space="preserve">adio </w:t>
      </w:r>
      <w:r w:rsidR="001C2DCD" w:rsidRPr="00C95435">
        <w:t>a</w:t>
      </w:r>
      <w:r w:rsidR="006F46C2" w:rsidRPr="00C95435">
        <w:t>stronomy stations</w:t>
      </w:r>
      <w:bookmarkEnd w:id="464"/>
      <w:bookmarkEnd w:id="465"/>
      <w:bookmarkEnd w:id="466"/>
      <w:bookmarkEnd w:id="467"/>
      <w:bookmarkEnd w:id="468"/>
      <w:bookmarkEnd w:id="469"/>
      <w:bookmarkEnd w:id="470"/>
    </w:p>
    <w:p w:rsidR="006F46C2" w:rsidRPr="00C95435" w:rsidRDefault="006F46C2" w:rsidP="006F46C2">
      <w:pPr>
        <w:rPr>
          <w:color w:val="000000"/>
          <w:szCs w:val="19"/>
        </w:rPr>
      </w:pPr>
      <w:r w:rsidRPr="00C95435">
        <w:rPr>
          <w:szCs w:val="19"/>
        </w:rPr>
        <w:t>The annual fees for each Radio Astronomy Station shall be five hundred (500) Dirhams.</w:t>
      </w:r>
    </w:p>
    <w:p w:rsidR="006F46C2" w:rsidRPr="00C95435" w:rsidRDefault="001E4AA6" w:rsidP="001C2DCD">
      <w:pPr>
        <w:pStyle w:val="Arttitle"/>
        <w:spacing w:before="400"/>
      </w:pPr>
      <w:bookmarkStart w:id="471" w:name="_Toc280261847"/>
      <w:bookmarkStart w:id="472" w:name="_Toc280262345"/>
      <w:bookmarkStart w:id="473" w:name="_Toc280272739"/>
      <w:bookmarkStart w:id="474" w:name="_Toc280272918"/>
      <w:bookmarkStart w:id="475" w:name="_Toc284419433"/>
      <w:bookmarkStart w:id="476" w:name="_Toc286315750"/>
      <w:r w:rsidRPr="00C95435">
        <w:t>Article 25</w:t>
      </w:r>
      <w:r w:rsidR="003A3389" w:rsidRPr="00C95435">
        <w:br/>
      </w:r>
      <w:r w:rsidR="003A3389" w:rsidRPr="00C95435">
        <w:br/>
      </w:r>
      <w:bookmarkStart w:id="477" w:name="_Toc199215048"/>
      <w:r w:rsidR="006F46C2" w:rsidRPr="00C95435">
        <w:t xml:space="preserve">Spectrum </w:t>
      </w:r>
      <w:r w:rsidR="001C2DCD" w:rsidRPr="00C95435">
        <w:t>f</w:t>
      </w:r>
      <w:r w:rsidR="006F46C2" w:rsidRPr="00C95435">
        <w:t xml:space="preserve">ees for </w:t>
      </w:r>
      <w:r w:rsidR="001C2DCD" w:rsidRPr="00C95435">
        <w:t>r</w:t>
      </w:r>
      <w:r w:rsidR="006F46C2" w:rsidRPr="00C95435">
        <w:t>adiolocation stations</w:t>
      </w:r>
      <w:bookmarkEnd w:id="471"/>
      <w:bookmarkEnd w:id="472"/>
      <w:bookmarkEnd w:id="473"/>
      <w:bookmarkEnd w:id="474"/>
      <w:bookmarkEnd w:id="475"/>
      <w:bookmarkEnd w:id="476"/>
      <w:bookmarkEnd w:id="477"/>
    </w:p>
    <w:p w:rsidR="006F46C2" w:rsidRPr="00C95435" w:rsidRDefault="006F46C2" w:rsidP="006F46C2">
      <w:pPr>
        <w:rPr>
          <w:color w:val="000000"/>
          <w:szCs w:val="19"/>
        </w:rPr>
      </w:pPr>
      <w:r w:rsidRPr="00C95435">
        <w:rPr>
          <w:szCs w:val="19"/>
        </w:rPr>
        <w:t>The annual fees for each maritime coastal radar, weathe</w:t>
      </w:r>
      <w:r w:rsidR="00C95435">
        <w:rPr>
          <w:szCs w:val="19"/>
        </w:rPr>
        <w:t>r radar, ground-</w:t>
      </w:r>
      <w:r w:rsidRPr="00C95435">
        <w:rPr>
          <w:szCs w:val="19"/>
        </w:rPr>
        <w:t>based radar, aeronautical surveillance, approach control, oceanic, surface movement and tracking shall be five thousand (5000) Dirhams.</w:t>
      </w:r>
    </w:p>
    <w:p w:rsidR="006F46C2" w:rsidRPr="00C95435" w:rsidRDefault="001E4AA6" w:rsidP="001C2DCD">
      <w:pPr>
        <w:pStyle w:val="Arttitle"/>
        <w:spacing w:before="400"/>
      </w:pPr>
      <w:bookmarkStart w:id="478" w:name="_Toc280261848"/>
      <w:bookmarkStart w:id="479" w:name="_Toc280262346"/>
      <w:bookmarkStart w:id="480" w:name="_Toc280272740"/>
      <w:bookmarkStart w:id="481" w:name="_Toc280272919"/>
      <w:bookmarkStart w:id="482" w:name="_Toc284419434"/>
      <w:bookmarkStart w:id="483" w:name="_Toc286315751"/>
      <w:r w:rsidRPr="00C95435">
        <w:t>Article 26</w:t>
      </w:r>
      <w:r w:rsidR="003A3389" w:rsidRPr="00C95435">
        <w:br/>
      </w:r>
      <w:r w:rsidR="003A3389" w:rsidRPr="00C95435">
        <w:br/>
      </w:r>
      <w:bookmarkStart w:id="484" w:name="_Toc199215049"/>
      <w:r w:rsidR="006F46C2" w:rsidRPr="00C95435">
        <w:t xml:space="preserve">Spectrum </w:t>
      </w:r>
      <w:r w:rsidR="001C2DCD" w:rsidRPr="00C95435">
        <w:t>f</w:t>
      </w:r>
      <w:r w:rsidR="006F46C2" w:rsidRPr="00C95435">
        <w:t xml:space="preserve">ees for </w:t>
      </w:r>
      <w:r w:rsidR="001C2DCD" w:rsidRPr="00C95435">
        <w:t>b</w:t>
      </w:r>
      <w:r w:rsidR="006F46C2" w:rsidRPr="00C95435">
        <w:t xml:space="preserve">roadcasting </w:t>
      </w:r>
      <w:r w:rsidR="001C2DCD" w:rsidRPr="00C95435">
        <w:t>s</w:t>
      </w:r>
      <w:r w:rsidR="006F46C2" w:rsidRPr="00C95435">
        <w:t>ervice</w:t>
      </w:r>
      <w:bookmarkEnd w:id="478"/>
      <w:bookmarkEnd w:id="479"/>
      <w:bookmarkEnd w:id="480"/>
      <w:bookmarkEnd w:id="481"/>
      <w:bookmarkEnd w:id="482"/>
      <w:bookmarkEnd w:id="483"/>
      <w:bookmarkEnd w:id="484"/>
    </w:p>
    <w:p w:rsidR="006F46C2" w:rsidRPr="00C95435" w:rsidRDefault="006F46C2" w:rsidP="006F46C2">
      <w:pPr>
        <w:pStyle w:val="enumlev1"/>
        <w:rPr>
          <w:rFonts w:asciiTheme="majorBidi" w:hAnsiTheme="majorBidi" w:cstheme="majorBidi"/>
          <w:szCs w:val="22"/>
        </w:rPr>
      </w:pPr>
      <w:bookmarkStart w:id="485" w:name="_Toc195057825"/>
      <w:r w:rsidRPr="00C95435">
        <w:rPr>
          <w:rFonts w:asciiTheme="majorBidi" w:hAnsiTheme="majorBidi" w:cstheme="majorBidi"/>
          <w:szCs w:val="22"/>
        </w:rPr>
        <w:t>26.1</w:t>
      </w:r>
      <w:r w:rsidRPr="00C95435">
        <w:rPr>
          <w:rFonts w:asciiTheme="majorBidi" w:hAnsiTheme="majorBidi" w:cstheme="majorBidi"/>
          <w:szCs w:val="22"/>
        </w:rPr>
        <w:tab/>
        <w:t>Terrestrial Radio and Television Broadcasting</w:t>
      </w:r>
      <w:bookmarkEnd w:id="485"/>
    </w:p>
    <w:p w:rsidR="006F46C2" w:rsidRPr="00C95435" w:rsidRDefault="006F46C2" w:rsidP="006F46C2">
      <w:pPr>
        <w:pStyle w:val="enumlev1"/>
        <w:rPr>
          <w:rFonts w:asciiTheme="majorBidi" w:hAnsiTheme="majorBidi" w:cstheme="majorBidi"/>
          <w:b/>
          <w:szCs w:val="22"/>
        </w:rPr>
      </w:pPr>
      <w:r w:rsidRPr="00C95435">
        <w:rPr>
          <w:rFonts w:asciiTheme="majorBidi" w:hAnsiTheme="majorBidi" w:cstheme="majorBidi"/>
          <w:szCs w:val="22"/>
        </w:rPr>
        <w:tab/>
        <w:t>Annual fees of Radio Spectrum Authorization for an individual Broadcasting Station shall be calculated as follows:</w:t>
      </w:r>
    </w:p>
    <w:p w:rsidR="006F46C2" w:rsidRPr="00C95435" w:rsidRDefault="006F46C2" w:rsidP="006F46C2">
      <w:pPr>
        <w:suppressAutoHyphens/>
        <w:ind w:left="851"/>
        <w:rPr>
          <w:b/>
          <w:szCs w:val="19"/>
        </w:rPr>
      </w:pPr>
      <w:r w:rsidRPr="00C95435">
        <w:rPr>
          <w:b/>
          <w:szCs w:val="19"/>
        </w:rPr>
        <w:tab/>
        <w:t>Spectrum Fees (per Station) = A + B * C * D * E * F</w:t>
      </w:r>
    </w:p>
    <w:p w:rsidR="006F46C2" w:rsidRPr="00C95435" w:rsidRDefault="006F46C2" w:rsidP="006F46C2">
      <w:pPr>
        <w:tabs>
          <w:tab w:val="left" w:pos="851"/>
        </w:tabs>
        <w:ind w:left="851"/>
        <w:rPr>
          <w:szCs w:val="19"/>
        </w:rPr>
      </w:pPr>
      <w:r w:rsidRPr="00C95435">
        <w:rPr>
          <w:b/>
          <w:szCs w:val="19"/>
        </w:rPr>
        <w:tab/>
        <w:t xml:space="preserve">A = Basic Fee = </w:t>
      </w:r>
      <w:r w:rsidR="001C2DCD" w:rsidRPr="00C95435">
        <w:rPr>
          <w:szCs w:val="19"/>
        </w:rPr>
        <w:t>30,000 AED</w:t>
      </w:r>
    </w:p>
    <w:p w:rsidR="006F46C2" w:rsidRPr="00C95435" w:rsidRDefault="006F46C2" w:rsidP="00F37E15">
      <w:pPr>
        <w:ind w:left="1191" w:hanging="1191"/>
        <w:rPr>
          <w:szCs w:val="19"/>
        </w:rPr>
      </w:pPr>
      <w:r w:rsidRPr="00C95435">
        <w:rPr>
          <w:b/>
          <w:szCs w:val="19"/>
        </w:rPr>
        <w:lastRenderedPageBreak/>
        <w:tab/>
      </w:r>
      <w:r w:rsidRPr="00C95435">
        <w:rPr>
          <w:b/>
          <w:szCs w:val="19"/>
        </w:rPr>
        <w:tab/>
        <w:t>Note:</w:t>
      </w:r>
      <w:r w:rsidRPr="00C95435">
        <w:rPr>
          <w:szCs w:val="19"/>
        </w:rPr>
        <w:t xml:space="preserve"> In case of using Single Frequency Network (SFN) the complete network shall be treated as one single transmitter and the Basic Fee shall be charged once for that SFN whereas the remaining part of Spectrum Fees shall be charged per station.</w:t>
      </w:r>
    </w:p>
    <w:p w:rsidR="006F46C2" w:rsidRPr="00C95435" w:rsidRDefault="006F46C2" w:rsidP="00F37E15">
      <w:pPr>
        <w:ind w:left="1191" w:hanging="1191"/>
        <w:rPr>
          <w:szCs w:val="19"/>
        </w:rPr>
      </w:pPr>
      <w:r w:rsidRPr="00C95435">
        <w:rPr>
          <w:b/>
          <w:szCs w:val="19"/>
        </w:rPr>
        <w:tab/>
      </w:r>
      <w:r w:rsidRPr="00C95435">
        <w:rPr>
          <w:b/>
          <w:szCs w:val="19"/>
        </w:rPr>
        <w:tab/>
        <w:t xml:space="preserve">B = Power Factor </w:t>
      </w:r>
      <w:r w:rsidRPr="00C95435">
        <w:rPr>
          <w:szCs w:val="19"/>
        </w:rPr>
        <w:t>= The power, expresse</w:t>
      </w:r>
      <w:r w:rsidR="00B6361D" w:rsidRPr="00C95435">
        <w:rPr>
          <w:szCs w:val="19"/>
        </w:rPr>
        <w:t xml:space="preserve">d in kilowatts [kW] equals the </w:t>
      </w:r>
      <w:r w:rsidRPr="00C95435">
        <w:rPr>
          <w:szCs w:val="19"/>
        </w:rPr>
        <w:t>transmitter o</w:t>
      </w:r>
      <w:r w:rsidR="00B6361D" w:rsidRPr="00C95435">
        <w:rPr>
          <w:szCs w:val="19"/>
        </w:rPr>
        <w:t xml:space="preserve">utput power (in case of LW, MW </w:t>
      </w:r>
      <w:r w:rsidRPr="00C95435">
        <w:rPr>
          <w:szCs w:val="19"/>
        </w:rPr>
        <w:t>or SW transmissions) a</w:t>
      </w:r>
      <w:r w:rsidR="00B6361D" w:rsidRPr="00C95435">
        <w:rPr>
          <w:szCs w:val="19"/>
        </w:rPr>
        <w:t xml:space="preserve">nd effective </w:t>
      </w:r>
      <w:r w:rsidRPr="00C95435">
        <w:rPr>
          <w:szCs w:val="19"/>
        </w:rPr>
        <w:t>radiated power (ERP) in all other cases.</w:t>
      </w:r>
    </w:p>
    <w:p w:rsidR="006F46C2" w:rsidRPr="00C95435" w:rsidRDefault="006F46C2" w:rsidP="006F46C2">
      <w:pPr>
        <w:rPr>
          <w:szCs w:val="19"/>
        </w:rPr>
      </w:pPr>
      <w:r w:rsidRPr="00C95435">
        <w:rPr>
          <w:szCs w:val="19"/>
        </w:rPr>
        <w:tab/>
      </w:r>
      <w:r w:rsidRPr="00C95435">
        <w:rPr>
          <w:szCs w:val="19"/>
        </w:rPr>
        <w:tab/>
      </w:r>
      <w:r w:rsidRPr="00C95435">
        <w:rPr>
          <w:b/>
          <w:szCs w:val="19"/>
        </w:rPr>
        <w:t xml:space="preserve">C = Service Type Factor </w:t>
      </w:r>
      <w:r w:rsidRPr="00C95435">
        <w:rPr>
          <w:szCs w:val="19"/>
        </w:rPr>
        <w:t xml:space="preserve">as follows: </w:t>
      </w:r>
    </w:p>
    <w:p w:rsidR="006F46C2" w:rsidRPr="00C95435" w:rsidRDefault="006F46C2" w:rsidP="006F46C2">
      <w:pPr>
        <w:rPr>
          <w:szCs w:val="19"/>
        </w:rPr>
      </w:pPr>
    </w:p>
    <w:p w:rsidR="00D018D4" w:rsidRPr="00C95435" w:rsidRDefault="00D018D4" w:rsidP="00B5798C">
      <w:pPr>
        <w:pStyle w:val="FigureTitle"/>
        <w:rPr>
          <w:lang w:val="en-GB"/>
        </w:rPr>
      </w:pPr>
      <w:bookmarkStart w:id="486" w:name="_Toc195057726"/>
      <w:r w:rsidRPr="00C95435">
        <w:rPr>
          <w:lang w:val="en-GB"/>
        </w:rPr>
        <w:t xml:space="preserve">Table </w:t>
      </w:r>
      <w:r w:rsidR="0084368D" w:rsidRPr="00C95435">
        <w:rPr>
          <w:lang w:val="en-GB"/>
        </w:rPr>
        <w:fldChar w:fldCharType="begin"/>
      </w:r>
      <w:r w:rsidR="00A53D32" w:rsidRPr="00C95435">
        <w:rPr>
          <w:lang w:val="en-GB"/>
        </w:rPr>
        <w:instrText xml:space="preserve"> SEQ Figure \* ARABIC </w:instrText>
      </w:r>
      <w:r w:rsidR="0084368D" w:rsidRPr="00C95435">
        <w:rPr>
          <w:lang w:val="en-GB"/>
        </w:rPr>
        <w:fldChar w:fldCharType="separate"/>
      </w:r>
      <w:r w:rsidR="003301EC" w:rsidRPr="00C95435">
        <w:rPr>
          <w:noProof/>
          <w:lang w:val="en-GB"/>
        </w:rPr>
        <w:t>1</w:t>
      </w:r>
      <w:r w:rsidR="0084368D" w:rsidRPr="00C95435">
        <w:rPr>
          <w:lang w:val="en-GB"/>
        </w:rPr>
        <w:fldChar w:fldCharType="end"/>
      </w:r>
      <w:r w:rsidRPr="00C95435">
        <w:rPr>
          <w:lang w:val="en-GB"/>
        </w:rPr>
        <w:t xml:space="preserve"> – Definition of Service Type Factors (C) for </w:t>
      </w:r>
      <w:bookmarkEnd w:id="486"/>
      <w:r w:rsidRPr="00C95435">
        <w:rPr>
          <w:lang w:val="en-GB"/>
        </w:rPr>
        <w:t>Sound Broadcasting Services</w:t>
      </w:r>
    </w:p>
    <w:p w:rsidR="00D018D4" w:rsidRPr="00C95435" w:rsidRDefault="00D018D4" w:rsidP="00D018D4"/>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6F46C2" w:rsidRPr="00C95435" w:rsidTr="00771F95">
        <w:trPr>
          <w:trHeight w:val="397"/>
          <w:jc w:val="center"/>
        </w:trPr>
        <w:tc>
          <w:tcPr>
            <w:tcW w:w="7517" w:type="dxa"/>
            <w:gridSpan w:val="4"/>
            <w:tcBorders>
              <w:bottom w:val="single" w:sz="4" w:space="0" w:color="auto"/>
            </w:tcBorders>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Sound Broadcasting Service</w:t>
            </w:r>
          </w:p>
        </w:tc>
      </w:tr>
      <w:tr w:rsidR="006F46C2" w:rsidRPr="00C95435" w:rsidTr="00771F95">
        <w:trPr>
          <w:trHeight w:val="397"/>
          <w:jc w:val="center"/>
        </w:trPr>
        <w:tc>
          <w:tcPr>
            <w:tcW w:w="1572"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Service Type</w:t>
            </w:r>
          </w:p>
        </w:tc>
        <w:tc>
          <w:tcPr>
            <w:tcW w:w="2496"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Frequency Range</w:t>
            </w:r>
          </w:p>
        </w:tc>
        <w:tc>
          <w:tcPr>
            <w:tcW w:w="1620"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Bandwidth</w:t>
            </w:r>
          </w:p>
        </w:tc>
        <w:tc>
          <w:tcPr>
            <w:tcW w:w="1829"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Service Type Factor (C)</w:t>
            </w:r>
          </w:p>
        </w:tc>
      </w:tr>
      <w:tr w:rsidR="006F46C2" w:rsidRPr="00C95435" w:rsidTr="00771F95">
        <w:trPr>
          <w:trHeight w:val="368"/>
          <w:jc w:val="center"/>
        </w:trPr>
        <w:tc>
          <w:tcPr>
            <w:tcW w:w="1572" w:type="dxa"/>
            <w:vMerge w:val="restart"/>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br/>
              <w:t>LF/MF</w:t>
            </w:r>
          </w:p>
        </w:tc>
        <w:tc>
          <w:tcPr>
            <w:tcW w:w="2496"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148.5 – 283.5 kHz</w:t>
            </w:r>
          </w:p>
        </w:tc>
        <w:tc>
          <w:tcPr>
            <w:tcW w:w="1620"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9 kHz</w:t>
            </w:r>
          </w:p>
        </w:tc>
        <w:tc>
          <w:tcPr>
            <w:tcW w:w="1829" w:type="dxa"/>
            <w:vMerge w:val="restart"/>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8</w:t>
            </w:r>
          </w:p>
        </w:tc>
      </w:tr>
      <w:tr w:rsidR="006F46C2" w:rsidRPr="00C95435" w:rsidTr="00771F95">
        <w:trPr>
          <w:jc w:val="center"/>
        </w:trPr>
        <w:tc>
          <w:tcPr>
            <w:tcW w:w="1572" w:type="dxa"/>
            <w:vMerge/>
          </w:tcPr>
          <w:p w:rsidR="006F46C2" w:rsidRPr="00C95435" w:rsidRDefault="006F46C2" w:rsidP="00771F95">
            <w:pPr>
              <w:pStyle w:val="Tabletext"/>
              <w:jc w:val="center"/>
              <w:rPr>
                <w:rFonts w:asciiTheme="majorBidi" w:hAnsiTheme="majorBidi" w:cstheme="majorBidi"/>
                <w:szCs w:val="22"/>
              </w:rPr>
            </w:pPr>
          </w:p>
        </w:tc>
        <w:tc>
          <w:tcPr>
            <w:tcW w:w="2496"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526.5 – 1,606.5 kHz</w:t>
            </w:r>
          </w:p>
        </w:tc>
        <w:tc>
          <w:tcPr>
            <w:tcW w:w="1620"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9 kHz</w:t>
            </w:r>
          </w:p>
        </w:tc>
        <w:tc>
          <w:tcPr>
            <w:tcW w:w="1829" w:type="dxa"/>
            <w:vMerge/>
            <w:vAlign w:val="center"/>
          </w:tcPr>
          <w:p w:rsidR="006F46C2" w:rsidRPr="00C95435" w:rsidRDefault="006F46C2" w:rsidP="00771F95">
            <w:pPr>
              <w:pStyle w:val="Tabletext"/>
              <w:jc w:val="center"/>
              <w:rPr>
                <w:rFonts w:asciiTheme="majorBidi" w:hAnsiTheme="majorBidi" w:cstheme="majorBidi"/>
                <w:szCs w:val="22"/>
              </w:rPr>
            </w:pPr>
          </w:p>
        </w:tc>
      </w:tr>
      <w:tr w:rsidR="006F46C2" w:rsidRPr="00C95435" w:rsidTr="00771F95">
        <w:trPr>
          <w:trHeight w:val="233"/>
          <w:jc w:val="center"/>
        </w:trPr>
        <w:tc>
          <w:tcPr>
            <w:tcW w:w="1572" w:type="dxa"/>
            <w:vMerge w:val="restart"/>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br/>
              <w:t>VHF</w:t>
            </w:r>
          </w:p>
        </w:tc>
        <w:tc>
          <w:tcPr>
            <w:tcW w:w="2496"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87.5 – 108 MHz</w:t>
            </w:r>
          </w:p>
        </w:tc>
        <w:tc>
          <w:tcPr>
            <w:tcW w:w="1620"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200 kHz</w:t>
            </w:r>
          </w:p>
        </w:tc>
        <w:tc>
          <w:tcPr>
            <w:tcW w:w="1829" w:type="dxa"/>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16</w:t>
            </w:r>
          </w:p>
        </w:tc>
      </w:tr>
      <w:tr w:rsidR="006F46C2" w:rsidRPr="00C95435" w:rsidTr="00771F95">
        <w:trPr>
          <w:trHeight w:val="305"/>
          <w:jc w:val="center"/>
        </w:trPr>
        <w:tc>
          <w:tcPr>
            <w:tcW w:w="1572" w:type="dxa"/>
            <w:vMerge/>
          </w:tcPr>
          <w:p w:rsidR="006F46C2" w:rsidRPr="00C95435" w:rsidDel="00192A8E" w:rsidRDefault="006F46C2" w:rsidP="00771F95">
            <w:pPr>
              <w:pStyle w:val="Tabletext"/>
              <w:jc w:val="center"/>
              <w:rPr>
                <w:rFonts w:ascii="Verdana" w:hAnsi="Verdana"/>
                <w:sz w:val="19"/>
                <w:szCs w:val="19"/>
              </w:rPr>
            </w:pPr>
          </w:p>
        </w:tc>
        <w:tc>
          <w:tcPr>
            <w:tcW w:w="2496"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174 – 230 MHz</w:t>
            </w:r>
          </w:p>
        </w:tc>
        <w:tc>
          <w:tcPr>
            <w:tcW w:w="1620"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1.536 MHz</w:t>
            </w:r>
          </w:p>
        </w:tc>
        <w:tc>
          <w:tcPr>
            <w:tcW w:w="1829" w:type="dxa"/>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18</w:t>
            </w:r>
          </w:p>
        </w:tc>
      </w:tr>
    </w:tbl>
    <w:p w:rsidR="006F46C2" w:rsidRPr="00C95435" w:rsidRDefault="006F46C2" w:rsidP="00B5798C">
      <w:pPr>
        <w:pStyle w:val="FigureSource"/>
        <w:rPr>
          <w:lang w:val="en-GB"/>
        </w:rPr>
      </w:pPr>
    </w:p>
    <w:p w:rsidR="00B5798C" w:rsidRPr="00C95435" w:rsidRDefault="00B5798C" w:rsidP="00D018D4"/>
    <w:p w:rsidR="00B5798C" w:rsidRPr="00C95435" w:rsidRDefault="00B5798C" w:rsidP="00B5798C">
      <w:pPr>
        <w:pStyle w:val="FigureTitle"/>
        <w:rPr>
          <w:lang w:val="en-GB"/>
        </w:rPr>
      </w:pPr>
      <w:r w:rsidRPr="00C95435">
        <w:rPr>
          <w:lang w:val="en-GB"/>
        </w:rPr>
        <w:t xml:space="preserve">Table </w:t>
      </w:r>
      <w:r w:rsidR="0084368D" w:rsidRPr="00C95435">
        <w:rPr>
          <w:lang w:val="en-GB"/>
        </w:rPr>
        <w:fldChar w:fldCharType="begin"/>
      </w:r>
      <w:r w:rsidR="00A53D32" w:rsidRPr="00C95435">
        <w:rPr>
          <w:lang w:val="en-GB"/>
        </w:rPr>
        <w:instrText xml:space="preserve"> SEQ Figure \* ARABIC </w:instrText>
      </w:r>
      <w:r w:rsidR="0084368D" w:rsidRPr="00C95435">
        <w:rPr>
          <w:lang w:val="en-GB"/>
        </w:rPr>
        <w:fldChar w:fldCharType="separate"/>
      </w:r>
      <w:r w:rsidR="003301EC" w:rsidRPr="00C95435">
        <w:rPr>
          <w:noProof/>
          <w:lang w:val="en-GB"/>
        </w:rPr>
        <w:t>2</w:t>
      </w:r>
      <w:r w:rsidR="0084368D" w:rsidRPr="00C95435">
        <w:rPr>
          <w:lang w:val="en-GB"/>
        </w:rPr>
        <w:fldChar w:fldCharType="end"/>
      </w:r>
      <w:r w:rsidRPr="00C95435">
        <w:rPr>
          <w:lang w:val="en-GB"/>
        </w:rPr>
        <w:t xml:space="preserve"> – Definition of Service Type Factors (C) for TV Broadcasting Services</w:t>
      </w:r>
    </w:p>
    <w:p w:rsidR="00B5798C" w:rsidRPr="00C95435" w:rsidRDefault="00B5798C" w:rsidP="00B5798C"/>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2568"/>
        <w:gridCol w:w="1443"/>
        <w:gridCol w:w="2117"/>
      </w:tblGrid>
      <w:tr w:rsidR="006F46C2" w:rsidRPr="00C95435" w:rsidTr="00771F95">
        <w:trPr>
          <w:trHeight w:val="397"/>
          <w:jc w:val="center"/>
        </w:trPr>
        <w:tc>
          <w:tcPr>
            <w:tcW w:w="7577" w:type="dxa"/>
            <w:gridSpan w:val="4"/>
            <w:tcBorders>
              <w:bottom w:val="single" w:sz="4" w:space="0" w:color="auto"/>
            </w:tcBorders>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TV Broadcasting Service</w:t>
            </w:r>
          </w:p>
        </w:tc>
      </w:tr>
      <w:tr w:rsidR="006F46C2" w:rsidRPr="00C95435" w:rsidTr="00771F95">
        <w:trPr>
          <w:trHeight w:val="397"/>
          <w:jc w:val="center"/>
        </w:trPr>
        <w:tc>
          <w:tcPr>
            <w:tcW w:w="1449"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Service Type</w:t>
            </w:r>
          </w:p>
        </w:tc>
        <w:tc>
          <w:tcPr>
            <w:tcW w:w="2568"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Frequency Range</w:t>
            </w:r>
          </w:p>
        </w:tc>
        <w:tc>
          <w:tcPr>
            <w:tcW w:w="1443"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Bandwidth</w:t>
            </w:r>
          </w:p>
        </w:tc>
        <w:tc>
          <w:tcPr>
            <w:tcW w:w="2117"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Service Type Factor (C)</w:t>
            </w:r>
          </w:p>
        </w:tc>
      </w:tr>
      <w:tr w:rsidR="006F46C2" w:rsidRPr="00C95435" w:rsidTr="00771F95">
        <w:trPr>
          <w:jc w:val="center"/>
        </w:trPr>
        <w:tc>
          <w:tcPr>
            <w:tcW w:w="1449" w:type="dxa"/>
            <w:vMerge w:val="restart"/>
            <w:shd w:val="clear" w:color="auto" w:fill="auto"/>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VHF</w:t>
            </w:r>
          </w:p>
        </w:tc>
        <w:tc>
          <w:tcPr>
            <w:tcW w:w="2568"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47 – 68 MHz</w:t>
            </w:r>
          </w:p>
        </w:tc>
        <w:tc>
          <w:tcPr>
            <w:tcW w:w="1443" w:type="dxa"/>
            <w:vMerge w:val="restart"/>
            <w:shd w:val="clear" w:color="auto" w:fill="auto"/>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7 MHz</w:t>
            </w:r>
          </w:p>
        </w:tc>
        <w:tc>
          <w:tcPr>
            <w:tcW w:w="2117" w:type="dxa"/>
            <w:vMerge w:val="restart"/>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24</w:t>
            </w:r>
          </w:p>
        </w:tc>
      </w:tr>
      <w:tr w:rsidR="006F46C2" w:rsidRPr="00C95435" w:rsidTr="00771F95">
        <w:trPr>
          <w:trHeight w:val="377"/>
          <w:jc w:val="center"/>
        </w:trPr>
        <w:tc>
          <w:tcPr>
            <w:tcW w:w="1449" w:type="dxa"/>
            <w:vMerge/>
            <w:shd w:val="clear" w:color="auto" w:fill="auto"/>
          </w:tcPr>
          <w:p w:rsidR="006F46C2" w:rsidRPr="00C95435" w:rsidRDefault="006F46C2" w:rsidP="00771F95">
            <w:pPr>
              <w:pStyle w:val="Tabletext"/>
              <w:jc w:val="center"/>
              <w:rPr>
                <w:rFonts w:asciiTheme="majorBidi" w:hAnsiTheme="majorBidi" w:cstheme="majorBidi"/>
                <w:szCs w:val="22"/>
              </w:rPr>
            </w:pPr>
          </w:p>
        </w:tc>
        <w:tc>
          <w:tcPr>
            <w:tcW w:w="2568"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174 – 230 MHz</w:t>
            </w:r>
          </w:p>
        </w:tc>
        <w:tc>
          <w:tcPr>
            <w:tcW w:w="1443" w:type="dxa"/>
            <w:vMerge/>
            <w:shd w:val="clear" w:color="auto" w:fill="auto"/>
            <w:vAlign w:val="center"/>
          </w:tcPr>
          <w:p w:rsidR="006F46C2" w:rsidRPr="00C95435" w:rsidRDefault="006F46C2" w:rsidP="00771F95">
            <w:pPr>
              <w:pStyle w:val="Tabletext"/>
              <w:jc w:val="center"/>
              <w:rPr>
                <w:rFonts w:asciiTheme="majorBidi" w:hAnsiTheme="majorBidi" w:cstheme="majorBidi"/>
                <w:szCs w:val="22"/>
              </w:rPr>
            </w:pPr>
          </w:p>
        </w:tc>
        <w:tc>
          <w:tcPr>
            <w:tcW w:w="2117" w:type="dxa"/>
            <w:vMerge/>
          </w:tcPr>
          <w:p w:rsidR="006F46C2" w:rsidRPr="00C95435" w:rsidRDefault="006F46C2" w:rsidP="00771F95">
            <w:pPr>
              <w:pStyle w:val="Tabletext"/>
              <w:jc w:val="center"/>
              <w:rPr>
                <w:rFonts w:asciiTheme="majorBidi" w:hAnsiTheme="majorBidi" w:cstheme="majorBidi"/>
                <w:szCs w:val="22"/>
              </w:rPr>
            </w:pPr>
          </w:p>
        </w:tc>
      </w:tr>
      <w:tr w:rsidR="006F46C2" w:rsidRPr="00C95435" w:rsidTr="00771F95">
        <w:trPr>
          <w:trHeight w:val="485"/>
          <w:jc w:val="center"/>
        </w:trPr>
        <w:tc>
          <w:tcPr>
            <w:tcW w:w="1449"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UHF</w:t>
            </w:r>
          </w:p>
        </w:tc>
        <w:tc>
          <w:tcPr>
            <w:tcW w:w="2568" w:type="dxa"/>
            <w:shd w:val="clear" w:color="auto" w:fill="auto"/>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470 – 862 MHz</w:t>
            </w:r>
          </w:p>
        </w:tc>
        <w:tc>
          <w:tcPr>
            <w:tcW w:w="1443" w:type="dxa"/>
            <w:shd w:val="clear" w:color="auto" w:fill="auto"/>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8 MHz</w:t>
            </w:r>
          </w:p>
        </w:tc>
        <w:tc>
          <w:tcPr>
            <w:tcW w:w="2117" w:type="dxa"/>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36</w:t>
            </w:r>
          </w:p>
        </w:tc>
      </w:tr>
    </w:tbl>
    <w:p w:rsidR="00BD764F" w:rsidRPr="00C95435" w:rsidRDefault="00BD764F" w:rsidP="00BD764F">
      <w:pPr>
        <w:pStyle w:val="FigureSource"/>
        <w:rPr>
          <w:lang w:val="en-GB"/>
        </w:rPr>
      </w:pPr>
    </w:p>
    <w:p w:rsidR="00072C88" w:rsidRPr="00C95435" w:rsidRDefault="00072C88">
      <w:pPr>
        <w:tabs>
          <w:tab w:val="clear" w:pos="794"/>
          <w:tab w:val="clear" w:pos="1191"/>
          <w:tab w:val="clear" w:pos="1588"/>
          <w:tab w:val="clear" w:pos="1985"/>
        </w:tabs>
        <w:overflowPunct/>
        <w:autoSpaceDE/>
        <w:autoSpaceDN/>
        <w:adjustRightInd/>
        <w:spacing w:before="0"/>
        <w:jc w:val="left"/>
        <w:textAlignment w:val="auto"/>
        <w:rPr>
          <w:b/>
          <w:szCs w:val="19"/>
        </w:rPr>
      </w:pPr>
      <w:r w:rsidRPr="00C95435">
        <w:rPr>
          <w:b/>
          <w:szCs w:val="19"/>
        </w:rPr>
        <w:br w:type="page"/>
      </w:r>
    </w:p>
    <w:p w:rsidR="006F46C2" w:rsidRPr="00C95435" w:rsidRDefault="006F46C2" w:rsidP="006F46C2">
      <w:pPr>
        <w:ind w:left="1599" w:hanging="159"/>
        <w:rPr>
          <w:szCs w:val="19"/>
        </w:rPr>
      </w:pPr>
      <w:r w:rsidRPr="00C95435">
        <w:rPr>
          <w:b/>
          <w:szCs w:val="19"/>
        </w:rPr>
        <w:lastRenderedPageBreak/>
        <w:t>D = Service Zone Factor as follows:</w:t>
      </w:r>
    </w:p>
    <w:p w:rsidR="006F46C2" w:rsidRPr="00C95435" w:rsidRDefault="006F46C2" w:rsidP="00CC5F10">
      <w:pPr>
        <w:rPr>
          <w:sz w:val="2"/>
        </w:rPr>
      </w:pPr>
    </w:p>
    <w:p w:rsidR="00CC5F10" w:rsidRPr="00C95435" w:rsidRDefault="00CC5F10" w:rsidP="00CC5F10">
      <w:pPr>
        <w:pStyle w:val="FigureTitle"/>
        <w:rPr>
          <w:lang w:val="en-GB"/>
        </w:rPr>
      </w:pPr>
      <w:bookmarkStart w:id="487" w:name="_Toc195057730"/>
      <w:r w:rsidRPr="00C95435">
        <w:rPr>
          <w:lang w:val="en-GB"/>
        </w:rPr>
        <w:t xml:space="preserve">Table </w:t>
      </w:r>
      <w:r w:rsidR="0084368D" w:rsidRPr="00C95435">
        <w:rPr>
          <w:lang w:val="en-GB"/>
        </w:rPr>
        <w:fldChar w:fldCharType="begin"/>
      </w:r>
      <w:r w:rsidR="00A53D32" w:rsidRPr="00C95435">
        <w:rPr>
          <w:lang w:val="en-GB"/>
        </w:rPr>
        <w:instrText xml:space="preserve"> SEQ Figure \* ARABIC </w:instrText>
      </w:r>
      <w:r w:rsidR="0084368D" w:rsidRPr="00C95435">
        <w:rPr>
          <w:lang w:val="en-GB"/>
        </w:rPr>
        <w:fldChar w:fldCharType="separate"/>
      </w:r>
      <w:r w:rsidR="003301EC" w:rsidRPr="00C95435">
        <w:rPr>
          <w:noProof/>
          <w:lang w:val="en-GB"/>
        </w:rPr>
        <w:t>3</w:t>
      </w:r>
      <w:r w:rsidR="0084368D" w:rsidRPr="00C95435">
        <w:rPr>
          <w:lang w:val="en-GB"/>
        </w:rPr>
        <w:fldChar w:fldCharType="end"/>
      </w:r>
      <w:r w:rsidRPr="00C95435">
        <w:rPr>
          <w:lang w:val="en-GB"/>
        </w:rPr>
        <w:t xml:space="preserve"> – Definition of Service Zones Factors (D)</w:t>
      </w:r>
      <w:bookmarkEnd w:id="487"/>
    </w:p>
    <w:p w:rsidR="00CC5F10" w:rsidRPr="00C95435" w:rsidRDefault="00CC5F10" w:rsidP="00CC5F10"/>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6F46C2" w:rsidRPr="00C95435" w:rsidTr="00771F95">
        <w:trPr>
          <w:trHeight w:val="680"/>
        </w:trPr>
        <w:tc>
          <w:tcPr>
            <w:tcW w:w="1713"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Service Zone Factor (D)</w:t>
            </w:r>
          </w:p>
        </w:tc>
        <w:tc>
          <w:tcPr>
            <w:tcW w:w="2807"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Service Zone</w:t>
            </w:r>
          </w:p>
        </w:tc>
        <w:tc>
          <w:tcPr>
            <w:tcW w:w="2628" w:type="dxa"/>
            <w:shd w:val="clear" w:color="auto" w:fill="E6E6E6"/>
            <w:vAlign w:val="center"/>
          </w:tcPr>
          <w:p w:rsidR="006F46C2" w:rsidRPr="00C95435" w:rsidRDefault="006F46C2" w:rsidP="00771F95">
            <w:pPr>
              <w:pStyle w:val="Tablehead"/>
              <w:rPr>
                <w:rFonts w:asciiTheme="majorBidi" w:hAnsiTheme="majorBidi" w:cstheme="majorBidi"/>
                <w:szCs w:val="22"/>
              </w:rPr>
            </w:pPr>
            <w:r w:rsidRPr="00C95435">
              <w:rPr>
                <w:rFonts w:asciiTheme="majorBidi" w:hAnsiTheme="majorBidi" w:cstheme="majorBidi"/>
                <w:szCs w:val="22"/>
              </w:rPr>
              <w:t>Polygon Corners</w:t>
            </w:r>
          </w:p>
        </w:tc>
      </w:tr>
      <w:tr w:rsidR="006F46C2" w:rsidRPr="00C95435" w:rsidTr="00771F95">
        <w:trPr>
          <w:trHeight w:val="1142"/>
        </w:trPr>
        <w:tc>
          <w:tcPr>
            <w:tcW w:w="1713" w:type="dxa"/>
            <w:vMerge w:val="restart"/>
          </w:tcPr>
          <w:p w:rsidR="006F46C2" w:rsidRPr="00C95435" w:rsidRDefault="006F46C2" w:rsidP="00771F95">
            <w:pPr>
              <w:pStyle w:val="Tabletext"/>
              <w:rPr>
                <w:rFonts w:asciiTheme="majorBidi" w:hAnsiTheme="majorBidi" w:cstheme="majorBidi"/>
                <w:b/>
                <w:bCs/>
                <w:szCs w:val="22"/>
                <w:lang w:eastAsia="de-DE"/>
              </w:rPr>
            </w:pPr>
            <w:r w:rsidRPr="00C95435">
              <w:rPr>
                <w:rFonts w:asciiTheme="majorBidi" w:hAnsiTheme="majorBidi" w:cstheme="majorBidi"/>
                <w:b/>
                <w:bCs/>
                <w:szCs w:val="22"/>
                <w:lang w:eastAsia="de-DE"/>
              </w:rPr>
              <w:t>1.00 (high)</w:t>
            </w:r>
          </w:p>
        </w:tc>
        <w:tc>
          <w:tcPr>
            <w:tcW w:w="2807" w:type="dxa"/>
          </w:tcPr>
          <w:p w:rsidR="006F46C2" w:rsidRPr="00C95435" w:rsidRDefault="006F46C2" w:rsidP="00771F95">
            <w:pPr>
              <w:pStyle w:val="Tabletext"/>
              <w:rPr>
                <w:rFonts w:asciiTheme="majorBidi" w:hAnsiTheme="majorBidi" w:cstheme="majorBidi"/>
                <w:szCs w:val="22"/>
                <w:lang w:eastAsia="de-DE"/>
              </w:rPr>
            </w:pPr>
            <w:r w:rsidRPr="00C95435">
              <w:rPr>
                <w:rFonts w:asciiTheme="majorBidi" w:hAnsiTheme="majorBidi" w:cstheme="majorBidi"/>
                <w:szCs w:val="22"/>
                <w:lang w:eastAsia="de-DE"/>
              </w:rPr>
              <w:t>City and environs of Abu Dhabi</w:t>
            </w:r>
          </w:p>
        </w:tc>
        <w:tc>
          <w:tcPr>
            <w:tcW w:w="2628" w:type="dxa"/>
          </w:tcPr>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54° 30’ E – 24° 45’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45’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05’ N</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54° 00’ E – 24° 20’ N</w:t>
            </w:r>
          </w:p>
        </w:tc>
      </w:tr>
      <w:tr w:rsidR="006F46C2" w:rsidRPr="00C95435" w:rsidTr="00771F95">
        <w:trPr>
          <w:trHeight w:val="1250"/>
        </w:trPr>
        <w:tc>
          <w:tcPr>
            <w:tcW w:w="1713" w:type="dxa"/>
            <w:vMerge/>
          </w:tcPr>
          <w:p w:rsidR="006F46C2" w:rsidRPr="00C95435" w:rsidRDefault="006F46C2" w:rsidP="00771F95">
            <w:pPr>
              <w:pStyle w:val="Tabletext"/>
              <w:rPr>
                <w:rFonts w:asciiTheme="majorBidi" w:hAnsiTheme="majorBidi" w:cstheme="majorBidi"/>
                <w:szCs w:val="22"/>
              </w:rPr>
            </w:pPr>
          </w:p>
        </w:tc>
        <w:tc>
          <w:tcPr>
            <w:tcW w:w="2807" w:type="dxa"/>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Cities and environs of Dubai, Sharjah, Ajman and Umm Al Qaiwain</w:t>
            </w:r>
          </w:p>
        </w:tc>
        <w:tc>
          <w:tcPr>
            <w:tcW w:w="2628" w:type="dxa"/>
          </w:tcPr>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25° 40’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55’ E – 25° 20’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45’ N</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54° 30’ E – 24° 45’ N</w:t>
            </w:r>
          </w:p>
        </w:tc>
      </w:tr>
      <w:tr w:rsidR="006F46C2" w:rsidRPr="00C95435" w:rsidTr="00771F95">
        <w:trPr>
          <w:trHeight w:val="1250"/>
        </w:trPr>
        <w:tc>
          <w:tcPr>
            <w:tcW w:w="1713" w:type="dxa"/>
            <w:vMerge/>
          </w:tcPr>
          <w:p w:rsidR="006F46C2" w:rsidRPr="00C95435" w:rsidRDefault="006F46C2" w:rsidP="00771F95">
            <w:pPr>
              <w:pStyle w:val="Tabletext"/>
              <w:rPr>
                <w:rFonts w:asciiTheme="majorBidi" w:hAnsiTheme="majorBidi" w:cstheme="majorBidi"/>
                <w:szCs w:val="22"/>
              </w:rPr>
            </w:pPr>
          </w:p>
        </w:tc>
        <w:tc>
          <w:tcPr>
            <w:tcW w:w="2807" w:type="dxa"/>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lang w:eastAsia="de-DE"/>
              </w:rPr>
              <w:t>City and environs of Al Ain</w:t>
            </w:r>
          </w:p>
        </w:tc>
        <w:tc>
          <w:tcPr>
            <w:tcW w:w="2628" w:type="dxa"/>
          </w:tcPr>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24° 20’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50’ E – 24° 20’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50’ E – 24° 00’ N</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55° 30’ E – 24° 00’ N</w:t>
            </w:r>
          </w:p>
        </w:tc>
      </w:tr>
      <w:tr w:rsidR="006F46C2" w:rsidRPr="00C95435" w:rsidTr="00771F95">
        <w:trPr>
          <w:trHeight w:val="1250"/>
        </w:trPr>
        <w:tc>
          <w:tcPr>
            <w:tcW w:w="1713" w:type="dxa"/>
            <w:vMerge w:val="restart"/>
          </w:tcPr>
          <w:p w:rsidR="006F46C2" w:rsidRPr="00C95435" w:rsidRDefault="006F46C2" w:rsidP="00771F95">
            <w:pPr>
              <w:pStyle w:val="Tabletext"/>
              <w:rPr>
                <w:rFonts w:asciiTheme="majorBidi" w:hAnsiTheme="majorBidi" w:cstheme="majorBidi"/>
                <w:b/>
                <w:bCs/>
                <w:szCs w:val="22"/>
              </w:rPr>
            </w:pPr>
            <w:r w:rsidRPr="00C95435">
              <w:rPr>
                <w:rFonts w:asciiTheme="majorBidi" w:hAnsiTheme="majorBidi" w:cstheme="majorBidi"/>
                <w:b/>
                <w:bCs/>
                <w:szCs w:val="22"/>
              </w:rPr>
              <w:t>0.75(medium)</w:t>
            </w:r>
          </w:p>
        </w:tc>
        <w:tc>
          <w:tcPr>
            <w:tcW w:w="2807" w:type="dxa"/>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Area between Abu Dhabi and Al Ain</w:t>
            </w:r>
          </w:p>
        </w:tc>
        <w:tc>
          <w:tcPr>
            <w:tcW w:w="2628" w:type="dxa"/>
          </w:tcPr>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20’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24° 20’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24° 00’ N</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55° 00’ E – 24° 05’ N</w:t>
            </w:r>
          </w:p>
        </w:tc>
      </w:tr>
      <w:tr w:rsidR="006F46C2" w:rsidRPr="00C95435" w:rsidTr="00771F95">
        <w:trPr>
          <w:trHeight w:val="1430"/>
        </w:trPr>
        <w:tc>
          <w:tcPr>
            <w:tcW w:w="1713" w:type="dxa"/>
            <w:vMerge/>
          </w:tcPr>
          <w:p w:rsidR="006F46C2" w:rsidRPr="00C95435" w:rsidRDefault="006F46C2" w:rsidP="00771F95">
            <w:pPr>
              <w:pStyle w:val="Tabletext"/>
              <w:rPr>
                <w:rFonts w:asciiTheme="majorBidi" w:hAnsiTheme="majorBidi" w:cstheme="majorBidi"/>
                <w:szCs w:val="22"/>
              </w:rPr>
            </w:pPr>
          </w:p>
        </w:tc>
        <w:tc>
          <w:tcPr>
            <w:tcW w:w="2807" w:type="dxa"/>
          </w:tcPr>
          <w:p w:rsidR="006F46C2" w:rsidRPr="00C95435" w:rsidRDefault="006F46C2" w:rsidP="00771F95">
            <w:pPr>
              <w:pStyle w:val="Tabletext"/>
              <w:rPr>
                <w:rFonts w:asciiTheme="majorBidi" w:hAnsiTheme="majorBidi" w:cstheme="majorBidi"/>
                <w:szCs w:val="22"/>
                <w:lang w:eastAsia="de-DE"/>
              </w:rPr>
            </w:pPr>
            <w:r w:rsidRPr="00C95435">
              <w:rPr>
                <w:rFonts w:asciiTheme="majorBidi" w:hAnsiTheme="majorBidi" w:cstheme="majorBidi"/>
                <w:szCs w:val="22"/>
                <w:lang w:eastAsia="de-DE"/>
              </w:rPr>
              <w:t>City and environs of Fujairah</w:t>
            </w:r>
          </w:p>
        </w:tc>
        <w:tc>
          <w:tcPr>
            <w:tcW w:w="2628" w:type="dxa"/>
            <w:vAlign w:val="center"/>
          </w:tcPr>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15’ E – 25° 15’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25’ E – 25° 15’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25’ E – 25° 00’ N</w:t>
            </w:r>
          </w:p>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56° 15’ E – 25° 00’ N</w:t>
            </w:r>
          </w:p>
        </w:tc>
      </w:tr>
      <w:tr w:rsidR="006F46C2" w:rsidRPr="00C95435" w:rsidTr="00771F95">
        <w:trPr>
          <w:trHeight w:val="1250"/>
        </w:trPr>
        <w:tc>
          <w:tcPr>
            <w:tcW w:w="1713" w:type="dxa"/>
            <w:vMerge/>
          </w:tcPr>
          <w:p w:rsidR="006F46C2" w:rsidRPr="00C95435" w:rsidRDefault="006F46C2" w:rsidP="00771F95">
            <w:pPr>
              <w:pStyle w:val="Tabletext"/>
              <w:rPr>
                <w:rFonts w:asciiTheme="majorBidi" w:hAnsiTheme="majorBidi" w:cstheme="majorBidi"/>
                <w:szCs w:val="22"/>
              </w:rPr>
            </w:pPr>
          </w:p>
        </w:tc>
        <w:tc>
          <w:tcPr>
            <w:tcW w:w="2807" w:type="dxa"/>
          </w:tcPr>
          <w:p w:rsidR="006F46C2" w:rsidRPr="00C95435" w:rsidRDefault="006F46C2" w:rsidP="00771F95">
            <w:pPr>
              <w:pStyle w:val="Tabletext"/>
              <w:rPr>
                <w:rFonts w:asciiTheme="majorBidi" w:hAnsiTheme="majorBidi" w:cstheme="majorBidi"/>
                <w:szCs w:val="22"/>
                <w:lang w:eastAsia="de-DE"/>
              </w:rPr>
            </w:pPr>
            <w:r w:rsidRPr="00C95435">
              <w:rPr>
                <w:rFonts w:asciiTheme="majorBidi" w:hAnsiTheme="majorBidi" w:cstheme="majorBidi"/>
                <w:szCs w:val="22"/>
                <w:lang w:eastAsia="de-DE"/>
              </w:rPr>
              <w:t>City and environs of Ras Al Khaimah</w:t>
            </w:r>
          </w:p>
        </w:tc>
        <w:tc>
          <w:tcPr>
            <w:tcW w:w="2628" w:type="dxa"/>
            <w:vAlign w:val="center"/>
          </w:tcPr>
          <w:p w:rsidR="006F46C2" w:rsidRPr="004F63CA" w:rsidRDefault="006F46C2" w:rsidP="00771F95">
            <w:pPr>
              <w:pStyle w:val="Tabletext"/>
              <w:rPr>
                <w:rFonts w:asciiTheme="majorBidi" w:hAnsiTheme="majorBidi" w:cstheme="majorBidi"/>
                <w:szCs w:val="22"/>
                <w:lang w:val="es-ES_tradnl" w:eastAsia="de-DE"/>
              </w:rPr>
            </w:pPr>
            <w:r w:rsidRPr="004F63CA">
              <w:rPr>
                <w:rFonts w:asciiTheme="majorBidi" w:hAnsiTheme="majorBidi" w:cstheme="majorBidi"/>
                <w:szCs w:val="22"/>
                <w:lang w:val="es-ES_tradnl" w:eastAsia="de-DE"/>
              </w:rPr>
              <w:t>55° 50’ E – 25° 55’ N</w:t>
            </w:r>
          </w:p>
          <w:p w:rsidR="006F46C2" w:rsidRPr="004F63CA" w:rsidRDefault="006F46C2" w:rsidP="00771F95">
            <w:pPr>
              <w:pStyle w:val="Tabletext"/>
              <w:rPr>
                <w:rFonts w:asciiTheme="majorBidi" w:hAnsiTheme="majorBidi" w:cstheme="majorBidi"/>
                <w:szCs w:val="22"/>
                <w:lang w:val="es-ES_tradnl" w:eastAsia="de-DE"/>
              </w:rPr>
            </w:pPr>
            <w:r w:rsidRPr="004F63CA">
              <w:rPr>
                <w:rFonts w:asciiTheme="majorBidi" w:hAnsiTheme="majorBidi" w:cstheme="majorBidi"/>
                <w:szCs w:val="22"/>
                <w:lang w:val="es-ES_tradnl" w:eastAsia="de-DE"/>
              </w:rPr>
              <w:t>56° 05’ E – 25° 55’ N</w:t>
            </w:r>
          </w:p>
          <w:p w:rsidR="006F46C2" w:rsidRPr="004F63CA" w:rsidRDefault="006F46C2" w:rsidP="00771F95">
            <w:pPr>
              <w:pStyle w:val="Tabletext"/>
              <w:rPr>
                <w:rFonts w:asciiTheme="majorBidi" w:hAnsiTheme="majorBidi" w:cstheme="majorBidi"/>
                <w:szCs w:val="22"/>
                <w:lang w:val="es-ES_tradnl" w:eastAsia="de-DE"/>
              </w:rPr>
            </w:pPr>
            <w:r w:rsidRPr="004F63CA">
              <w:rPr>
                <w:rFonts w:asciiTheme="majorBidi" w:hAnsiTheme="majorBidi" w:cstheme="majorBidi"/>
                <w:szCs w:val="22"/>
                <w:lang w:val="es-ES_tradnl" w:eastAsia="de-DE"/>
              </w:rPr>
              <w:t>56° 05’ E – 25° 40’ N</w:t>
            </w:r>
          </w:p>
          <w:p w:rsidR="006F46C2" w:rsidRPr="00C95435" w:rsidRDefault="006F46C2" w:rsidP="00771F95">
            <w:pPr>
              <w:pStyle w:val="Tabletext"/>
              <w:rPr>
                <w:rFonts w:asciiTheme="majorBidi" w:hAnsiTheme="majorBidi" w:cstheme="majorBidi"/>
                <w:szCs w:val="22"/>
                <w:lang w:eastAsia="de-DE"/>
              </w:rPr>
            </w:pPr>
            <w:r w:rsidRPr="00C95435">
              <w:rPr>
                <w:rFonts w:asciiTheme="majorBidi" w:hAnsiTheme="majorBidi" w:cstheme="majorBidi"/>
                <w:szCs w:val="22"/>
                <w:lang w:eastAsia="de-DE"/>
              </w:rPr>
              <w:t>55° 50’ E – 25° 40’ N</w:t>
            </w:r>
          </w:p>
        </w:tc>
      </w:tr>
      <w:tr w:rsidR="006F46C2" w:rsidRPr="004E2CF1" w:rsidTr="00771F95">
        <w:trPr>
          <w:trHeight w:val="1070"/>
        </w:trPr>
        <w:tc>
          <w:tcPr>
            <w:tcW w:w="1713" w:type="dxa"/>
            <w:vMerge/>
          </w:tcPr>
          <w:p w:rsidR="006F46C2" w:rsidRPr="00C95435" w:rsidRDefault="006F46C2" w:rsidP="00771F95">
            <w:pPr>
              <w:pStyle w:val="Tabletext"/>
              <w:rPr>
                <w:rFonts w:asciiTheme="majorBidi" w:hAnsiTheme="majorBidi" w:cstheme="majorBidi"/>
                <w:szCs w:val="22"/>
              </w:rPr>
            </w:pPr>
          </w:p>
        </w:tc>
        <w:tc>
          <w:tcPr>
            <w:tcW w:w="2807" w:type="dxa"/>
            <w:vAlign w:val="center"/>
          </w:tcPr>
          <w:p w:rsidR="006F46C2" w:rsidRPr="00C95435" w:rsidRDefault="006F46C2" w:rsidP="00771F95">
            <w:pPr>
              <w:pStyle w:val="Tabletext"/>
              <w:rPr>
                <w:rFonts w:asciiTheme="majorBidi" w:hAnsiTheme="majorBidi" w:cstheme="majorBidi"/>
                <w:szCs w:val="22"/>
                <w:lang w:eastAsia="de-DE"/>
              </w:rPr>
            </w:pPr>
            <w:r w:rsidRPr="00C95435">
              <w:rPr>
                <w:rFonts w:asciiTheme="majorBidi" w:hAnsiTheme="majorBidi" w:cstheme="majorBidi"/>
                <w:szCs w:val="22"/>
                <w:lang w:eastAsia="de-DE"/>
              </w:rPr>
              <w:t xml:space="preserve">Area between </w:t>
            </w:r>
            <w:r w:rsidRPr="00C95435">
              <w:rPr>
                <w:rFonts w:asciiTheme="majorBidi" w:hAnsiTheme="majorBidi" w:cstheme="majorBidi"/>
                <w:szCs w:val="22"/>
              </w:rPr>
              <w:t xml:space="preserve">Umm Al Qaiwain and </w:t>
            </w:r>
            <w:r w:rsidRPr="00C95435">
              <w:rPr>
                <w:rFonts w:asciiTheme="majorBidi" w:hAnsiTheme="majorBidi" w:cstheme="majorBidi"/>
                <w:szCs w:val="22"/>
                <w:lang w:eastAsia="de-DE"/>
              </w:rPr>
              <w:t>Ras Al Khaimah</w:t>
            </w:r>
          </w:p>
        </w:tc>
        <w:tc>
          <w:tcPr>
            <w:tcW w:w="2628" w:type="dxa"/>
          </w:tcPr>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25° 40’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05’ E – 25° 40’ N</w:t>
            </w:r>
          </w:p>
          <w:p w:rsidR="006F46C2" w:rsidRPr="004F63CA" w:rsidRDefault="006F46C2" w:rsidP="00771F95">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55’ E – 25° 20’ N</w:t>
            </w:r>
          </w:p>
        </w:tc>
      </w:tr>
      <w:tr w:rsidR="006F46C2" w:rsidRPr="00C95435" w:rsidTr="00771F95">
        <w:trPr>
          <w:trHeight w:val="350"/>
        </w:trPr>
        <w:tc>
          <w:tcPr>
            <w:tcW w:w="1713" w:type="dxa"/>
            <w:vAlign w:val="center"/>
          </w:tcPr>
          <w:p w:rsidR="006F46C2" w:rsidRPr="00C95435" w:rsidRDefault="006F46C2" w:rsidP="00771F95">
            <w:pPr>
              <w:pStyle w:val="Tabletext"/>
              <w:rPr>
                <w:rFonts w:asciiTheme="majorBidi" w:hAnsiTheme="majorBidi" w:cstheme="majorBidi"/>
                <w:b/>
                <w:bCs/>
                <w:szCs w:val="22"/>
                <w:lang w:eastAsia="de-DE"/>
              </w:rPr>
            </w:pPr>
            <w:r w:rsidRPr="00C95435">
              <w:rPr>
                <w:rFonts w:asciiTheme="majorBidi" w:hAnsiTheme="majorBidi" w:cstheme="majorBidi"/>
                <w:b/>
                <w:bCs/>
                <w:szCs w:val="22"/>
                <w:lang w:eastAsia="de-DE"/>
              </w:rPr>
              <w:t>0.50 (low)</w:t>
            </w:r>
          </w:p>
        </w:tc>
        <w:tc>
          <w:tcPr>
            <w:tcW w:w="5435" w:type="dxa"/>
            <w:gridSpan w:val="2"/>
            <w:vAlign w:val="center"/>
          </w:tcPr>
          <w:p w:rsidR="006F46C2" w:rsidRPr="00C95435" w:rsidRDefault="006F46C2" w:rsidP="00771F95">
            <w:pPr>
              <w:pStyle w:val="Tabletext"/>
              <w:rPr>
                <w:rFonts w:asciiTheme="majorBidi" w:hAnsiTheme="majorBidi" w:cstheme="majorBidi"/>
                <w:szCs w:val="22"/>
                <w:lang w:eastAsia="de-DE"/>
              </w:rPr>
            </w:pPr>
            <w:r w:rsidRPr="00C95435">
              <w:rPr>
                <w:rFonts w:asciiTheme="majorBidi" w:hAnsiTheme="majorBidi" w:cstheme="majorBidi"/>
                <w:szCs w:val="22"/>
                <w:lang w:eastAsia="de-DE"/>
              </w:rPr>
              <w:t>All remaining areas</w:t>
            </w:r>
          </w:p>
        </w:tc>
      </w:tr>
    </w:tbl>
    <w:p w:rsidR="006F46C2" w:rsidRPr="00C95435" w:rsidRDefault="006F46C2" w:rsidP="00F25A74">
      <w:pPr>
        <w:pStyle w:val="FigureSource"/>
        <w:rPr>
          <w:lang w:val="en-GB"/>
        </w:rPr>
      </w:pPr>
    </w:p>
    <w:p w:rsidR="006F46C2" w:rsidRPr="00C95435" w:rsidRDefault="006F46C2" w:rsidP="009E0384">
      <w:pPr>
        <w:pStyle w:val="FigureTitle"/>
        <w:rPr>
          <w:lang w:val="en-GB"/>
        </w:rPr>
      </w:pPr>
    </w:p>
    <w:p w:rsidR="006F46C2" w:rsidRPr="00C95435" w:rsidRDefault="006F46C2" w:rsidP="006F46C2">
      <w:pPr>
        <w:ind w:left="1599" w:hanging="902"/>
        <w:jc w:val="center"/>
        <w:rPr>
          <w:szCs w:val="19"/>
        </w:rPr>
      </w:pPr>
      <w:r w:rsidRPr="00C95435">
        <w:rPr>
          <w:noProof/>
          <w:szCs w:val="19"/>
          <w:lang w:val="en-US" w:eastAsia="zh-CN"/>
        </w:rPr>
        <w:drawing>
          <wp:inline distT="0" distB="0" distL="0" distR="0">
            <wp:extent cx="4933950" cy="4267200"/>
            <wp:effectExtent l="19050" t="0" r="0" b="0"/>
            <wp:docPr id="2" name="Picture 2"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E-TRA"/>
                    <pic:cNvPicPr>
                      <a:picLocks noChangeAspect="1" noChangeArrowheads="1"/>
                    </pic:cNvPicPr>
                  </pic:nvPicPr>
                  <pic:blipFill>
                    <a:blip r:embed="rId21"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6F46C2" w:rsidRPr="00C95435" w:rsidRDefault="006F46C2" w:rsidP="006F46C2">
      <w:pPr>
        <w:pStyle w:val="TableNotitle"/>
        <w:rPr>
          <w:sz w:val="19"/>
          <w:szCs w:val="19"/>
        </w:rPr>
      </w:pPr>
      <w:r w:rsidRPr="00C95435">
        <w:rPr>
          <w:sz w:val="19"/>
          <w:szCs w:val="19"/>
        </w:rPr>
        <w:t>Satellite view of the United Arab Emirates with marked Service Zones</w:t>
      </w:r>
    </w:p>
    <w:p w:rsidR="006F46C2" w:rsidRPr="00C95435" w:rsidRDefault="006F46C2" w:rsidP="006F46C2">
      <w:pPr>
        <w:ind w:left="3800" w:hanging="2200"/>
        <w:rPr>
          <w:b/>
          <w:szCs w:val="19"/>
        </w:rPr>
      </w:pPr>
      <w:r w:rsidRPr="00C95435">
        <w:rPr>
          <w:b/>
          <w:szCs w:val="19"/>
        </w:rPr>
        <w:t>Red Zones:</w:t>
      </w:r>
      <w:r w:rsidRPr="00C95435">
        <w:rPr>
          <w:b/>
          <w:szCs w:val="19"/>
        </w:rPr>
        <w:tab/>
        <w:t>Service Zone Factor D high (1.00)</w:t>
      </w:r>
    </w:p>
    <w:p w:rsidR="006F46C2" w:rsidRPr="00C95435" w:rsidRDefault="006F46C2" w:rsidP="006F46C2">
      <w:pPr>
        <w:ind w:left="3800" w:hanging="2200"/>
        <w:rPr>
          <w:b/>
          <w:szCs w:val="19"/>
        </w:rPr>
      </w:pPr>
      <w:r w:rsidRPr="00C95435">
        <w:rPr>
          <w:b/>
          <w:szCs w:val="19"/>
        </w:rPr>
        <w:t>Green Zones:</w:t>
      </w:r>
      <w:r w:rsidRPr="00C95435">
        <w:rPr>
          <w:b/>
          <w:szCs w:val="19"/>
        </w:rPr>
        <w:tab/>
        <w:t>Service Zone Factor D medium (0.75)</w:t>
      </w:r>
    </w:p>
    <w:p w:rsidR="006F46C2" w:rsidRPr="00C95435" w:rsidRDefault="006F46C2" w:rsidP="006F46C2">
      <w:pPr>
        <w:ind w:left="3800" w:hanging="2200"/>
        <w:rPr>
          <w:b/>
          <w:szCs w:val="19"/>
        </w:rPr>
      </w:pPr>
      <w:r w:rsidRPr="00C95435">
        <w:rPr>
          <w:b/>
          <w:szCs w:val="19"/>
        </w:rPr>
        <w:t>Remaining Zones:</w:t>
      </w:r>
      <w:r w:rsidRPr="00C95435">
        <w:rPr>
          <w:b/>
          <w:szCs w:val="19"/>
        </w:rPr>
        <w:tab/>
        <w:t>Service Zone Factor D low (0.50)</w:t>
      </w:r>
    </w:p>
    <w:p w:rsidR="009E0384" w:rsidRPr="00C95435" w:rsidRDefault="009E0384" w:rsidP="009E0384">
      <w:pPr>
        <w:pStyle w:val="FigureSource"/>
        <w:rPr>
          <w:lang w:val="en-GB"/>
        </w:rPr>
      </w:pPr>
    </w:p>
    <w:p w:rsidR="006F46C2" w:rsidRPr="00C95435" w:rsidRDefault="006F46C2" w:rsidP="006F46C2">
      <w:pPr>
        <w:ind w:left="1191" w:hanging="1191"/>
        <w:rPr>
          <w:szCs w:val="19"/>
        </w:rPr>
      </w:pPr>
      <w:r w:rsidRPr="00C95435">
        <w:rPr>
          <w:b/>
          <w:szCs w:val="19"/>
        </w:rPr>
        <w:tab/>
      </w:r>
      <w:r w:rsidRPr="00C95435">
        <w:rPr>
          <w:b/>
          <w:szCs w:val="19"/>
        </w:rPr>
        <w:tab/>
        <w:t>Note 1:</w:t>
      </w:r>
      <w:r w:rsidRPr="00C95435">
        <w:rPr>
          <w:szCs w:val="19"/>
        </w:rPr>
        <w:tab/>
        <w:t>Any transmission from a certain location having medium or low Service Zone Factor into (partly or entirely) a Service Zone of higher level will upgrade this particular station in Service Zone Factor to the higher level which may be also a two step increase.</w:t>
      </w:r>
    </w:p>
    <w:p w:rsidR="006F46C2" w:rsidRPr="00C95435" w:rsidRDefault="006F46C2" w:rsidP="006F46C2">
      <w:pPr>
        <w:ind w:left="1191" w:hanging="1191"/>
        <w:rPr>
          <w:szCs w:val="19"/>
        </w:rPr>
      </w:pPr>
      <w:r w:rsidRPr="00C95435">
        <w:rPr>
          <w:b/>
          <w:szCs w:val="19"/>
        </w:rPr>
        <w:tab/>
      </w:r>
      <w:r w:rsidRPr="00C95435">
        <w:rPr>
          <w:b/>
          <w:szCs w:val="19"/>
        </w:rPr>
        <w:tab/>
        <w:t>Note 2:</w:t>
      </w:r>
      <w:r w:rsidRPr="00C95435">
        <w:rPr>
          <w:szCs w:val="19"/>
        </w:rPr>
        <w:tab/>
        <w:t xml:space="preserve">For Broadcasting Services in the HF and lower frequency bands, the Service Zone Factor = 1. </w:t>
      </w:r>
    </w:p>
    <w:p w:rsidR="006F46C2" w:rsidRPr="00C95435" w:rsidRDefault="006F46C2" w:rsidP="006F46C2">
      <w:pPr>
        <w:ind w:left="1191" w:hanging="1191"/>
        <w:rPr>
          <w:b/>
          <w:bCs/>
          <w:szCs w:val="19"/>
        </w:rPr>
      </w:pPr>
      <w:r w:rsidRPr="00C95435">
        <w:rPr>
          <w:b/>
          <w:szCs w:val="19"/>
        </w:rPr>
        <w:tab/>
      </w:r>
      <w:r w:rsidRPr="00C95435">
        <w:rPr>
          <w:b/>
          <w:szCs w:val="19"/>
        </w:rPr>
        <w:tab/>
        <w:t>E = Antenna Height Factor as follows:</w:t>
      </w:r>
    </w:p>
    <w:p w:rsidR="006F46C2" w:rsidRPr="00C95435" w:rsidRDefault="006F46C2" w:rsidP="006F46C2">
      <w:pPr>
        <w:ind w:left="1191" w:hanging="1191"/>
        <w:rPr>
          <w:szCs w:val="19"/>
        </w:rPr>
      </w:pPr>
      <w:r w:rsidRPr="00C95435">
        <w:rPr>
          <w:szCs w:val="19"/>
        </w:rPr>
        <w:tab/>
      </w:r>
      <w:r w:rsidRPr="00C95435">
        <w:rPr>
          <w:szCs w:val="19"/>
        </w:rPr>
        <w:tab/>
        <w:t>The Antenna Height Factor is calculated as follows:</w:t>
      </w:r>
    </w:p>
    <w:p w:rsidR="006F46C2" w:rsidRPr="00C95435" w:rsidRDefault="006F46C2" w:rsidP="0069504C">
      <w:pPr>
        <w:ind w:left="2160" w:hanging="1463"/>
        <w:jc w:val="center"/>
        <w:rPr>
          <w:b/>
          <w:bCs/>
          <w:szCs w:val="19"/>
          <w:vertAlign w:val="subscript"/>
        </w:rPr>
      </w:pPr>
      <w:r w:rsidRPr="00C95435">
        <w:rPr>
          <w:b/>
          <w:szCs w:val="19"/>
        </w:rPr>
        <w:t>E = H</w:t>
      </w:r>
      <w:r w:rsidRPr="00C95435">
        <w:rPr>
          <w:b/>
          <w:szCs w:val="19"/>
          <w:vertAlign w:val="subscript"/>
        </w:rPr>
        <w:t>ASL</w:t>
      </w:r>
      <w:r w:rsidRPr="00C95435">
        <w:rPr>
          <w:b/>
          <w:szCs w:val="19"/>
        </w:rPr>
        <w:t xml:space="preserve"> + H</w:t>
      </w:r>
      <w:r w:rsidRPr="00C95435">
        <w:rPr>
          <w:b/>
          <w:szCs w:val="19"/>
          <w:vertAlign w:val="subscript"/>
        </w:rPr>
        <w:t>AGL</w:t>
      </w:r>
    </w:p>
    <w:p w:rsidR="006F46C2" w:rsidRPr="00C95435" w:rsidRDefault="006F46C2" w:rsidP="006F46C2">
      <w:pPr>
        <w:ind w:left="1191" w:hanging="1191"/>
        <w:rPr>
          <w:szCs w:val="19"/>
        </w:rPr>
      </w:pPr>
      <w:r w:rsidRPr="00C95435">
        <w:rPr>
          <w:szCs w:val="19"/>
        </w:rPr>
        <w:tab/>
      </w:r>
      <w:r w:rsidRPr="00C95435">
        <w:rPr>
          <w:szCs w:val="19"/>
        </w:rPr>
        <w:tab/>
        <w:t xml:space="preserve">whereby </w:t>
      </w:r>
      <w:r w:rsidRPr="00C95435">
        <w:rPr>
          <w:b/>
          <w:szCs w:val="19"/>
        </w:rPr>
        <w:t>H</w:t>
      </w:r>
      <w:r w:rsidRPr="00C95435">
        <w:rPr>
          <w:b/>
          <w:szCs w:val="19"/>
          <w:vertAlign w:val="subscript"/>
        </w:rPr>
        <w:t>ASL</w:t>
      </w:r>
      <w:r w:rsidRPr="00C95435">
        <w:rPr>
          <w:szCs w:val="19"/>
        </w:rPr>
        <w:t xml:space="preserve"> is the height above sea level in meters and </w:t>
      </w:r>
      <w:r w:rsidRPr="00C95435">
        <w:rPr>
          <w:b/>
          <w:szCs w:val="19"/>
        </w:rPr>
        <w:t>H</w:t>
      </w:r>
      <w:r w:rsidRPr="00C95435">
        <w:rPr>
          <w:b/>
          <w:szCs w:val="19"/>
          <w:vertAlign w:val="subscript"/>
        </w:rPr>
        <w:t>AGL</w:t>
      </w:r>
      <w:r w:rsidRPr="00C95435">
        <w:rPr>
          <w:szCs w:val="19"/>
        </w:rPr>
        <w:t xml:space="preserve"> is the height above ground level in meters.</w:t>
      </w:r>
    </w:p>
    <w:p w:rsidR="006F46C2" w:rsidRPr="00C95435" w:rsidRDefault="006F46C2" w:rsidP="006F46C2">
      <w:pPr>
        <w:ind w:left="1191" w:hanging="1191"/>
        <w:rPr>
          <w:szCs w:val="19"/>
        </w:rPr>
      </w:pPr>
      <w:r w:rsidRPr="00C95435">
        <w:rPr>
          <w:szCs w:val="19"/>
        </w:rPr>
        <w:tab/>
      </w:r>
      <w:r w:rsidRPr="00C95435">
        <w:rPr>
          <w:szCs w:val="19"/>
        </w:rPr>
        <w:tab/>
      </w:r>
      <w:r w:rsidRPr="00C95435">
        <w:rPr>
          <w:b/>
          <w:szCs w:val="19"/>
        </w:rPr>
        <w:t>F = Correction Factor</w:t>
      </w:r>
      <w:r w:rsidRPr="00C95435">
        <w:rPr>
          <w:szCs w:val="19"/>
        </w:rPr>
        <w:t xml:space="preserve"> as follows:</w:t>
      </w:r>
    </w:p>
    <w:p w:rsidR="006F46C2" w:rsidRPr="00C95435" w:rsidRDefault="006F46C2" w:rsidP="006F46C2">
      <w:pPr>
        <w:pStyle w:val="enumlev1"/>
        <w:ind w:left="1588" w:hanging="1588"/>
        <w:rPr>
          <w:rFonts w:asciiTheme="majorBidi" w:hAnsiTheme="majorBidi" w:cstheme="majorBidi"/>
          <w:szCs w:val="22"/>
        </w:rPr>
      </w:pPr>
      <w:r w:rsidRPr="00C95435">
        <w:rPr>
          <w:rFonts w:asciiTheme="majorBidi" w:hAnsiTheme="majorBidi" w:cstheme="majorBidi"/>
          <w:szCs w:val="22"/>
        </w:rPr>
        <w:tab/>
      </w:r>
      <w:r w:rsidRPr="00C95435">
        <w:rPr>
          <w:rFonts w:asciiTheme="majorBidi" w:hAnsiTheme="majorBidi" w:cstheme="majorBidi"/>
          <w:szCs w:val="22"/>
        </w:rPr>
        <w:tab/>
        <w:t>a)</w:t>
      </w:r>
      <w:r w:rsidRPr="00C95435">
        <w:rPr>
          <w:rFonts w:asciiTheme="majorBidi" w:hAnsiTheme="majorBidi" w:cstheme="majorBidi"/>
          <w:szCs w:val="22"/>
        </w:rPr>
        <w:tab/>
        <w:t>For Governmental Broadcasting Stations which are operating on a non-commercial base, a Correction Factor (F) of 0.5 shall be applied.</w:t>
      </w:r>
    </w:p>
    <w:p w:rsidR="006F46C2" w:rsidRPr="00C95435" w:rsidRDefault="006F46C2" w:rsidP="006F46C2">
      <w:pPr>
        <w:pStyle w:val="enumlev1"/>
        <w:ind w:left="1588" w:hanging="1588"/>
        <w:rPr>
          <w:rFonts w:asciiTheme="majorBidi" w:hAnsiTheme="majorBidi" w:cstheme="majorBidi"/>
          <w:szCs w:val="22"/>
        </w:rPr>
      </w:pPr>
      <w:r w:rsidRPr="00C95435">
        <w:rPr>
          <w:rFonts w:asciiTheme="majorBidi" w:hAnsiTheme="majorBidi" w:cstheme="majorBidi"/>
          <w:szCs w:val="22"/>
        </w:rPr>
        <w:lastRenderedPageBreak/>
        <w:tab/>
      </w:r>
      <w:r w:rsidRPr="00C95435">
        <w:rPr>
          <w:rFonts w:asciiTheme="majorBidi" w:hAnsiTheme="majorBidi" w:cstheme="majorBidi"/>
          <w:szCs w:val="22"/>
        </w:rPr>
        <w:tab/>
        <w:t>b)</w:t>
      </w:r>
      <w:r w:rsidRPr="00C95435">
        <w:rPr>
          <w:rFonts w:asciiTheme="majorBidi" w:hAnsiTheme="majorBidi" w:cstheme="majorBidi"/>
          <w:szCs w:val="22"/>
        </w:rPr>
        <w:tab/>
        <w:t>For promoting new digital terrestrial audio and video broadcasting technologies, a reduction of 25% shall be granted during the period before 2015; (i.e. Correction Factor = 0.75). This reduction is only limited to the above specified period and maybe accompanied with other conditions made by the TRA.</w:t>
      </w:r>
    </w:p>
    <w:p w:rsidR="006F46C2" w:rsidRPr="00C95435" w:rsidRDefault="006F46C2" w:rsidP="006F46C2">
      <w:pPr>
        <w:pStyle w:val="enumlev1"/>
        <w:ind w:left="1588" w:hanging="1588"/>
        <w:rPr>
          <w:rFonts w:asciiTheme="majorBidi" w:hAnsiTheme="majorBidi" w:cstheme="majorBidi"/>
          <w:szCs w:val="22"/>
        </w:rPr>
      </w:pPr>
      <w:r w:rsidRPr="00C95435">
        <w:rPr>
          <w:rFonts w:asciiTheme="majorBidi" w:hAnsiTheme="majorBidi" w:cstheme="majorBidi"/>
          <w:szCs w:val="22"/>
        </w:rPr>
        <w:tab/>
      </w:r>
      <w:r w:rsidRPr="00C95435">
        <w:rPr>
          <w:rFonts w:asciiTheme="majorBidi" w:hAnsiTheme="majorBidi" w:cstheme="majorBidi"/>
          <w:szCs w:val="22"/>
        </w:rPr>
        <w:tab/>
        <w:t>c)</w:t>
      </w:r>
      <w:r w:rsidRPr="00C95435">
        <w:rPr>
          <w:rFonts w:asciiTheme="majorBidi" w:hAnsiTheme="majorBidi" w:cstheme="majorBidi"/>
          <w:szCs w:val="22"/>
        </w:rPr>
        <w:tab/>
        <w:t>For all other assignments, the value of Correction Factor = 1.</w:t>
      </w:r>
    </w:p>
    <w:p w:rsidR="006F46C2" w:rsidRPr="00C95435" w:rsidRDefault="006F46C2" w:rsidP="009923CC">
      <w:pPr>
        <w:pStyle w:val="Heading2"/>
        <w:rPr>
          <w:b w:val="0"/>
          <w:bCs/>
        </w:rPr>
      </w:pPr>
      <w:bookmarkStart w:id="488" w:name="_Toc280260046"/>
      <w:bookmarkStart w:id="489" w:name="_Toc280272507"/>
      <w:bookmarkStart w:id="490" w:name="_Toc284414178"/>
      <w:bookmarkStart w:id="491" w:name="_Toc286314922"/>
      <w:bookmarkStart w:id="492" w:name="_Toc195057826"/>
      <w:r w:rsidRPr="00C95435">
        <w:rPr>
          <w:b w:val="0"/>
          <w:bCs/>
        </w:rPr>
        <w:t>26.2</w:t>
      </w:r>
      <w:r w:rsidRPr="00C95435">
        <w:rPr>
          <w:b w:val="0"/>
          <w:bCs/>
        </w:rPr>
        <w:tab/>
        <w:t>HF Seasonal Sound Broadcasting</w:t>
      </w:r>
      <w:bookmarkEnd w:id="488"/>
      <w:bookmarkEnd w:id="489"/>
      <w:bookmarkEnd w:id="490"/>
      <w:bookmarkEnd w:id="491"/>
    </w:p>
    <w:p w:rsidR="006F46C2" w:rsidRPr="00C95435" w:rsidRDefault="006F46C2" w:rsidP="006F46C2">
      <w:pPr>
        <w:rPr>
          <w:szCs w:val="19"/>
        </w:rPr>
      </w:pPr>
      <w:r w:rsidRPr="00C95435">
        <w:rPr>
          <w:szCs w:val="19"/>
        </w:rPr>
        <w:t>For HF Seasonal Sound Broadcasting Services, the Spectrum Fee shall be charged per transmitter basis and for each transmitter the annual Spectrum Fees shall be:</w:t>
      </w:r>
    </w:p>
    <w:p w:rsidR="006F46C2" w:rsidRPr="00C95435" w:rsidRDefault="009923CC" w:rsidP="006E6150">
      <w:pPr>
        <w:jc w:val="center"/>
        <w:rPr>
          <w:b/>
          <w:bCs/>
          <w:szCs w:val="19"/>
        </w:rPr>
      </w:pPr>
      <w:r w:rsidRPr="00C95435">
        <w:rPr>
          <w:b/>
          <w:bCs/>
          <w:szCs w:val="19"/>
        </w:rPr>
        <w:t>Spectrum Fees = AED 30,000</w:t>
      </w:r>
    </w:p>
    <w:p w:rsidR="006F46C2" w:rsidRPr="00C95435" w:rsidRDefault="006F46C2" w:rsidP="00B51E6F">
      <w:pPr>
        <w:pStyle w:val="Heading2"/>
        <w:rPr>
          <w:b w:val="0"/>
          <w:bCs/>
        </w:rPr>
      </w:pPr>
      <w:bookmarkStart w:id="493" w:name="_Toc280260047"/>
      <w:bookmarkStart w:id="494" w:name="_Toc280272508"/>
      <w:bookmarkStart w:id="495" w:name="_Toc284414179"/>
      <w:bookmarkStart w:id="496" w:name="_Toc286314923"/>
      <w:bookmarkEnd w:id="492"/>
      <w:r w:rsidRPr="00C95435">
        <w:rPr>
          <w:b w:val="0"/>
          <w:bCs/>
        </w:rPr>
        <w:t>26.3</w:t>
      </w:r>
      <w:r w:rsidRPr="00C95435">
        <w:rPr>
          <w:b w:val="0"/>
          <w:bCs/>
        </w:rPr>
        <w:tab/>
        <w:t>Satellite Radio and Television Broadcasting</w:t>
      </w:r>
      <w:bookmarkEnd w:id="493"/>
      <w:bookmarkEnd w:id="494"/>
      <w:bookmarkEnd w:id="495"/>
      <w:bookmarkEnd w:id="496"/>
    </w:p>
    <w:p w:rsidR="006F46C2" w:rsidRPr="00C95435" w:rsidRDefault="006F46C2" w:rsidP="006F46C2">
      <w:pPr>
        <w:rPr>
          <w:szCs w:val="19"/>
        </w:rPr>
      </w:pPr>
      <w:r w:rsidRPr="00C95435">
        <w:rPr>
          <w:szCs w:val="19"/>
        </w:rPr>
        <w:t>Up linking of DAB and DVB-SH shall be charged at 200,000 AED per multiplex unit, DVB-S and DVB-RCS by 400,000 AED per multiplex unit.</w:t>
      </w:r>
    </w:p>
    <w:p w:rsidR="006F46C2" w:rsidRPr="00C95435" w:rsidRDefault="006F46C2" w:rsidP="006F46C2">
      <w:pPr>
        <w:rPr>
          <w:szCs w:val="19"/>
        </w:rPr>
      </w:pPr>
      <w:r w:rsidRPr="00C95435">
        <w:rPr>
          <w:szCs w:val="19"/>
        </w:rPr>
        <w:t>A multiplex unit is defined as one channel (signal) with appropriate bandwidth containing several programmes combined by digital multiplexing and compressing.</w:t>
      </w:r>
    </w:p>
    <w:p w:rsidR="006F46C2" w:rsidRPr="00C95435" w:rsidRDefault="006F46C2" w:rsidP="005730D2">
      <w:pPr>
        <w:pStyle w:val="Arttitle"/>
        <w:spacing w:before="400"/>
      </w:pPr>
      <w:bookmarkStart w:id="497" w:name="_Toc280261849"/>
      <w:bookmarkStart w:id="498" w:name="_Toc280262347"/>
      <w:bookmarkStart w:id="499" w:name="_Toc280272741"/>
      <w:bookmarkStart w:id="500" w:name="_Toc280272920"/>
      <w:bookmarkStart w:id="501" w:name="_Toc284419435"/>
      <w:bookmarkStart w:id="502" w:name="_Toc286315752"/>
      <w:r w:rsidRPr="00C95435">
        <w:t>Article 27</w:t>
      </w:r>
      <w:r w:rsidR="00CA4845" w:rsidRPr="00C95435">
        <w:br/>
      </w:r>
      <w:r w:rsidR="00CA4845" w:rsidRPr="00C95435">
        <w:br/>
      </w:r>
      <w:bookmarkStart w:id="503" w:name="_Toc199215050"/>
      <w:r w:rsidRPr="00C95435">
        <w:t>Short</w:t>
      </w:r>
      <w:r w:rsidR="005730D2" w:rsidRPr="00C95435">
        <w:t>-</w:t>
      </w:r>
      <w:r w:rsidR="001F72BA" w:rsidRPr="00C95435">
        <w:t>r</w:t>
      </w:r>
      <w:r w:rsidRPr="00C95435">
        <w:t xml:space="preserve">ange </w:t>
      </w:r>
      <w:r w:rsidR="001F72BA" w:rsidRPr="00C95435">
        <w:t>d</w:t>
      </w:r>
      <w:r w:rsidRPr="00C95435">
        <w:t>evices</w:t>
      </w:r>
      <w:bookmarkEnd w:id="497"/>
      <w:bookmarkEnd w:id="498"/>
      <w:bookmarkEnd w:id="499"/>
      <w:bookmarkEnd w:id="500"/>
      <w:bookmarkEnd w:id="501"/>
      <w:bookmarkEnd w:id="502"/>
      <w:bookmarkEnd w:id="503"/>
    </w:p>
    <w:p w:rsidR="006F46C2" w:rsidRPr="00C95435" w:rsidRDefault="006F46C2" w:rsidP="005730D2">
      <w:pPr>
        <w:pStyle w:val="enumlev1"/>
        <w:rPr>
          <w:rFonts w:asciiTheme="majorBidi" w:hAnsiTheme="majorBidi" w:cstheme="majorBidi"/>
          <w:szCs w:val="22"/>
        </w:rPr>
      </w:pPr>
      <w:r w:rsidRPr="00C95435">
        <w:rPr>
          <w:rFonts w:asciiTheme="majorBidi" w:hAnsiTheme="majorBidi" w:cstheme="majorBidi"/>
          <w:szCs w:val="22"/>
        </w:rPr>
        <w:t>27.1</w:t>
      </w:r>
      <w:r w:rsidRPr="00C95435">
        <w:rPr>
          <w:rFonts w:asciiTheme="majorBidi" w:hAnsiTheme="majorBidi" w:cstheme="majorBidi"/>
          <w:szCs w:val="22"/>
        </w:rPr>
        <w:tab/>
        <w:t>All Wireless Transmission equipment meeting the criteria of the Short</w:t>
      </w:r>
      <w:r w:rsidR="005730D2" w:rsidRPr="00C95435">
        <w:rPr>
          <w:rFonts w:asciiTheme="majorBidi" w:hAnsiTheme="majorBidi" w:cstheme="majorBidi"/>
          <w:szCs w:val="22"/>
        </w:rPr>
        <w:t>-</w:t>
      </w:r>
      <w:r w:rsidRPr="00C95435">
        <w:rPr>
          <w:rFonts w:asciiTheme="majorBidi" w:hAnsiTheme="majorBidi" w:cstheme="majorBidi"/>
          <w:szCs w:val="22"/>
        </w:rPr>
        <w:t>Range Devices as determined by the TRA shall be exempted from the annual Spectrum Fees. Class Authorization shall be issued for such Wireless Transmission equipment.</w:t>
      </w:r>
    </w:p>
    <w:p w:rsidR="006F46C2" w:rsidRPr="00C95435" w:rsidRDefault="001B01AF" w:rsidP="006F46C2">
      <w:pPr>
        <w:pStyle w:val="enumlev1"/>
        <w:rPr>
          <w:rFonts w:asciiTheme="majorBidi" w:hAnsiTheme="majorBidi" w:cstheme="majorBidi"/>
          <w:szCs w:val="22"/>
        </w:rPr>
      </w:pPr>
      <w:r w:rsidRPr="00C95435">
        <w:rPr>
          <w:rFonts w:asciiTheme="majorBidi" w:hAnsiTheme="majorBidi" w:cstheme="majorBidi"/>
          <w:szCs w:val="22"/>
        </w:rPr>
        <w:t>27.2</w:t>
      </w:r>
      <w:r w:rsidRPr="00C95435">
        <w:rPr>
          <w:rFonts w:asciiTheme="majorBidi" w:hAnsiTheme="majorBidi" w:cstheme="majorBidi"/>
          <w:szCs w:val="22"/>
        </w:rPr>
        <w:tab/>
        <w:t>Low-</w:t>
      </w:r>
      <w:r w:rsidR="006F46C2" w:rsidRPr="00C95435">
        <w:rPr>
          <w:rFonts w:asciiTheme="majorBidi" w:hAnsiTheme="majorBidi" w:cstheme="majorBidi"/>
          <w:szCs w:val="22"/>
        </w:rPr>
        <w:t>Power Transmitting Equipment intended for strictly indoor use having less than 1 W effective radiated power and not categorized as short range device shall be charged as follows:</w:t>
      </w:r>
    </w:p>
    <w:p w:rsidR="006F46C2" w:rsidRPr="00C95435" w:rsidRDefault="006F46C2" w:rsidP="00D125D9"/>
    <w:p w:rsidR="00D125D9" w:rsidRPr="00C95435" w:rsidRDefault="00D125D9" w:rsidP="0099250A">
      <w:pPr>
        <w:pStyle w:val="FigureTitle"/>
        <w:rPr>
          <w:lang w:val="en-GB"/>
        </w:rPr>
      </w:pPr>
      <w:r w:rsidRPr="00C95435">
        <w:rPr>
          <w:lang w:val="en-GB"/>
        </w:rPr>
        <w:t xml:space="preserve">Table </w:t>
      </w:r>
      <w:r w:rsidR="0084368D" w:rsidRPr="00C95435">
        <w:rPr>
          <w:lang w:val="en-GB"/>
        </w:rPr>
        <w:fldChar w:fldCharType="begin"/>
      </w:r>
      <w:r w:rsidR="00A53D32" w:rsidRPr="00C95435">
        <w:rPr>
          <w:lang w:val="en-GB"/>
        </w:rPr>
        <w:instrText xml:space="preserve"> SEQ Figure \* ARABIC </w:instrText>
      </w:r>
      <w:r w:rsidR="0084368D" w:rsidRPr="00C95435">
        <w:rPr>
          <w:lang w:val="en-GB"/>
        </w:rPr>
        <w:fldChar w:fldCharType="separate"/>
      </w:r>
      <w:r w:rsidR="003301EC" w:rsidRPr="00C95435">
        <w:rPr>
          <w:noProof/>
          <w:lang w:val="en-GB"/>
        </w:rPr>
        <w:t>4</w:t>
      </w:r>
      <w:r w:rsidR="0084368D" w:rsidRPr="00C95435">
        <w:rPr>
          <w:lang w:val="en-GB"/>
        </w:rPr>
        <w:fldChar w:fldCharType="end"/>
      </w:r>
      <w:r w:rsidRPr="00C95435">
        <w:rPr>
          <w:lang w:val="en-GB"/>
        </w:rPr>
        <w:t xml:space="preserve"> – Annual </w:t>
      </w:r>
      <w:r w:rsidR="0099250A" w:rsidRPr="00C95435">
        <w:rPr>
          <w:lang w:val="en-GB"/>
        </w:rPr>
        <w:t>f</w:t>
      </w:r>
      <w:r w:rsidRPr="00C95435">
        <w:rPr>
          <w:lang w:val="en-GB"/>
        </w:rPr>
        <w:t xml:space="preserve">ee for </w:t>
      </w:r>
      <w:r w:rsidR="0099250A" w:rsidRPr="00C95435">
        <w:rPr>
          <w:lang w:val="en-GB"/>
        </w:rPr>
        <w:t>l</w:t>
      </w:r>
      <w:r w:rsidRPr="00C95435">
        <w:rPr>
          <w:lang w:val="en-GB"/>
        </w:rPr>
        <w:t>ow</w:t>
      </w:r>
      <w:r w:rsidR="005730D2" w:rsidRPr="00C95435">
        <w:rPr>
          <w:lang w:val="en-GB"/>
        </w:rPr>
        <w:t>-</w:t>
      </w:r>
      <w:r w:rsidR="0099250A" w:rsidRPr="00C95435">
        <w:rPr>
          <w:lang w:val="en-GB"/>
        </w:rPr>
        <w:t>p</w:t>
      </w:r>
      <w:r w:rsidRPr="00C95435">
        <w:rPr>
          <w:lang w:val="en-GB"/>
        </w:rPr>
        <w:t xml:space="preserve">ower </w:t>
      </w:r>
      <w:r w:rsidR="0099250A" w:rsidRPr="00C95435">
        <w:rPr>
          <w:lang w:val="en-GB"/>
        </w:rPr>
        <w:t>e</w:t>
      </w:r>
      <w:r w:rsidRPr="00C95435">
        <w:rPr>
          <w:lang w:val="en-GB"/>
        </w:rPr>
        <w:t>quipment</w:t>
      </w:r>
    </w:p>
    <w:p w:rsidR="00D125D9" w:rsidRPr="00C95435" w:rsidRDefault="00D125D9" w:rsidP="00D125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628"/>
      </w:tblGrid>
      <w:tr w:rsidR="006F46C2" w:rsidRPr="00C95435" w:rsidTr="00D125D9">
        <w:trPr>
          <w:jc w:val="center"/>
        </w:trPr>
        <w:tc>
          <w:tcPr>
            <w:tcW w:w="2470" w:type="dxa"/>
            <w:shd w:val="clear" w:color="auto" w:fill="E6E6E6"/>
            <w:vAlign w:val="center"/>
          </w:tcPr>
          <w:p w:rsidR="006F46C2" w:rsidRPr="00C95435" w:rsidRDefault="00D77E57" w:rsidP="00D125D9">
            <w:pPr>
              <w:pStyle w:val="Tablehead"/>
              <w:spacing w:before="120" w:after="120"/>
              <w:rPr>
                <w:rFonts w:asciiTheme="majorBidi" w:hAnsiTheme="majorBidi" w:cstheme="majorBidi"/>
                <w:szCs w:val="22"/>
              </w:rPr>
            </w:pPr>
            <w:r w:rsidRPr="00C95435">
              <w:rPr>
                <w:rFonts w:asciiTheme="majorBidi" w:hAnsiTheme="majorBidi" w:cstheme="majorBidi"/>
                <w:szCs w:val="22"/>
              </w:rPr>
              <w:t>Radiated p</w:t>
            </w:r>
            <w:r w:rsidR="006F46C2" w:rsidRPr="00C95435">
              <w:rPr>
                <w:rFonts w:asciiTheme="majorBidi" w:hAnsiTheme="majorBidi" w:cstheme="majorBidi"/>
                <w:szCs w:val="22"/>
              </w:rPr>
              <w:t>ower</w:t>
            </w:r>
          </w:p>
        </w:tc>
        <w:tc>
          <w:tcPr>
            <w:tcW w:w="1628" w:type="dxa"/>
            <w:shd w:val="clear" w:color="auto" w:fill="E6E6E6"/>
            <w:vAlign w:val="center"/>
          </w:tcPr>
          <w:p w:rsidR="006F46C2" w:rsidRPr="00C95435" w:rsidRDefault="006F46C2" w:rsidP="00D77E57">
            <w:pPr>
              <w:pStyle w:val="Tablehead"/>
              <w:spacing w:before="120" w:after="120"/>
              <w:rPr>
                <w:rFonts w:asciiTheme="majorBidi" w:hAnsiTheme="majorBidi" w:cstheme="majorBidi"/>
                <w:szCs w:val="22"/>
              </w:rPr>
            </w:pPr>
            <w:r w:rsidRPr="00C95435">
              <w:rPr>
                <w:rFonts w:asciiTheme="majorBidi" w:hAnsiTheme="majorBidi" w:cstheme="majorBidi"/>
                <w:szCs w:val="22"/>
              </w:rPr>
              <w:t xml:space="preserve">Annual </w:t>
            </w:r>
            <w:r w:rsidR="00D77E57" w:rsidRPr="00C95435">
              <w:rPr>
                <w:rFonts w:asciiTheme="majorBidi" w:hAnsiTheme="majorBidi" w:cstheme="majorBidi"/>
                <w:szCs w:val="22"/>
              </w:rPr>
              <w:t>f</w:t>
            </w:r>
            <w:r w:rsidRPr="00C95435">
              <w:rPr>
                <w:rFonts w:asciiTheme="majorBidi" w:hAnsiTheme="majorBidi" w:cstheme="majorBidi"/>
                <w:szCs w:val="22"/>
              </w:rPr>
              <w:t>ee</w:t>
            </w:r>
          </w:p>
        </w:tc>
      </w:tr>
      <w:tr w:rsidR="006F46C2" w:rsidRPr="00C95435" w:rsidTr="00D125D9">
        <w:trPr>
          <w:trHeight w:val="340"/>
          <w:jc w:val="center"/>
        </w:trPr>
        <w:tc>
          <w:tcPr>
            <w:tcW w:w="2470" w:type="dxa"/>
            <w:vAlign w:val="center"/>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up to 10 mW</w:t>
            </w:r>
          </w:p>
        </w:tc>
        <w:tc>
          <w:tcPr>
            <w:tcW w:w="1628" w:type="dxa"/>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100 AED</w:t>
            </w:r>
          </w:p>
        </w:tc>
      </w:tr>
      <w:tr w:rsidR="006F46C2" w:rsidRPr="00C95435" w:rsidTr="00D125D9">
        <w:trPr>
          <w:trHeight w:val="340"/>
          <w:jc w:val="center"/>
        </w:trPr>
        <w:tc>
          <w:tcPr>
            <w:tcW w:w="2470" w:type="dxa"/>
            <w:vAlign w:val="center"/>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10 mW to 100 mW</w:t>
            </w:r>
          </w:p>
        </w:tc>
        <w:tc>
          <w:tcPr>
            <w:tcW w:w="1628" w:type="dxa"/>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200 AED</w:t>
            </w:r>
          </w:p>
        </w:tc>
      </w:tr>
      <w:tr w:rsidR="006F46C2" w:rsidRPr="00C95435" w:rsidTr="00D125D9">
        <w:trPr>
          <w:trHeight w:val="340"/>
          <w:jc w:val="center"/>
        </w:trPr>
        <w:tc>
          <w:tcPr>
            <w:tcW w:w="2470" w:type="dxa"/>
            <w:vAlign w:val="center"/>
          </w:tcPr>
          <w:p w:rsidR="006F46C2" w:rsidRPr="00C95435" w:rsidRDefault="006F46C2" w:rsidP="00771F95">
            <w:pPr>
              <w:pStyle w:val="Tabletext"/>
              <w:rPr>
                <w:rFonts w:asciiTheme="majorBidi" w:hAnsiTheme="majorBidi" w:cstheme="majorBidi"/>
                <w:szCs w:val="22"/>
              </w:rPr>
            </w:pPr>
            <w:r w:rsidRPr="00C95435">
              <w:rPr>
                <w:rFonts w:asciiTheme="majorBidi" w:hAnsiTheme="majorBidi" w:cstheme="majorBidi"/>
                <w:szCs w:val="22"/>
              </w:rPr>
              <w:t>100 mW to 1 W</w:t>
            </w:r>
          </w:p>
        </w:tc>
        <w:tc>
          <w:tcPr>
            <w:tcW w:w="1628" w:type="dxa"/>
            <w:vAlign w:val="center"/>
          </w:tcPr>
          <w:p w:rsidR="006F46C2" w:rsidRPr="00C95435" w:rsidRDefault="006F46C2" w:rsidP="00771F95">
            <w:pPr>
              <w:pStyle w:val="Tabletext"/>
              <w:jc w:val="center"/>
              <w:rPr>
                <w:rFonts w:asciiTheme="majorBidi" w:hAnsiTheme="majorBidi" w:cstheme="majorBidi"/>
                <w:szCs w:val="22"/>
              </w:rPr>
            </w:pPr>
            <w:r w:rsidRPr="00C95435">
              <w:rPr>
                <w:rFonts w:asciiTheme="majorBidi" w:hAnsiTheme="majorBidi" w:cstheme="majorBidi"/>
                <w:szCs w:val="22"/>
              </w:rPr>
              <w:t>400 AED</w:t>
            </w:r>
          </w:p>
        </w:tc>
      </w:tr>
    </w:tbl>
    <w:p w:rsidR="00D125D9" w:rsidRPr="00C95435" w:rsidRDefault="00D125D9" w:rsidP="00D125D9">
      <w:pPr>
        <w:pStyle w:val="FigureSource"/>
        <w:rPr>
          <w:lang w:val="en-GB"/>
        </w:rPr>
      </w:pPr>
    </w:p>
    <w:p w:rsidR="006F46C2" w:rsidRPr="00C95435" w:rsidRDefault="006F46C2" w:rsidP="00807F8E">
      <w:pPr>
        <w:pStyle w:val="Arttitle"/>
        <w:spacing w:before="400"/>
        <w:rPr>
          <w:bCs/>
        </w:rPr>
      </w:pPr>
      <w:bookmarkStart w:id="504" w:name="_Toc280261850"/>
      <w:bookmarkStart w:id="505" w:name="_Toc280262348"/>
      <w:bookmarkStart w:id="506" w:name="_Toc280272742"/>
      <w:bookmarkStart w:id="507" w:name="_Toc280272921"/>
      <w:bookmarkStart w:id="508" w:name="_Toc284419436"/>
      <w:bookmarkStart w:id="509" w:name="_Toc286315753"/>
      <w:r w:rsidRPr="00C95435">
        <w:t>Article 28</w:t>
      </w:r>
      <w:r w:rsidR="00376E8E" w:rsidRPr="00C95435">
        <w:rPr>
          <w:bCs/>
        </w:rPr>
        <w:br/>
      </w:r>
      <w:r w:rsidR="00376E8E" w:rsidRPr="00C95435">
        <w:rPr>
          <w:bCs/>
        </w:rPr>
        <w:br/>
      </w:r>
      <w:bookmarkStart w:id="510" w:name="_Toc199215051"/>
      <w:r w:rsidRPr="00C95435">
        <w:t>Emergency and disaster frequencies</w:t>
      </w:r>
      <w:bookmarkEnd w:id="504"/>
      <w:bookmarkEnd w:id="505"/>
      <w:bookmarkEnd w:id="506"/>
      <w:bookmarkEnd w:id="507"/>
      <w:bookmarkEnd w:id="508"/>
      <w:bookmarkEnd w:id="509"/>
      <w:bookmarkEnd w:id="510"/>
    </w:p>
    <w:p w:rsidR="006F46C2" w:rsidRPr="00C95435" w:rsidRDefault="006F46C2" w:rsidP="006F46C2">
      <w:pPr>
        <w:rPr>
          <w:szCs w:val="19"/>
        </w:rPr>
      </w:pPr>
      <w:r w:rsidRPr="00C95435">
        <w:rPr>
          <w:szCs w:val="19"/>
        </w:rPr>
        <w:t xml:space="preserve">All emergency, distress and safety of life frequencies identified within the National Spectrum Plan and the National Table of Frequency Allocation shall not be charged. All Wireless Transmission equipment made exclusively for safety of life and accepted by the Director General of the TRA as falling within this category shall be exempted from the spectrum Fees. </w:t>
      </w:r>
    </w:p>
    <w:p w:rsidR="006F46C2" w:rsidRPr="00C95435" w:rsidRDefault="006F46C2" w:rsidP="00807F8E">
      <w:pPr>
        <w:pStyle w:val="Arttitle"/>
        <w:spacing w:before="400"/>
      </w:pPr>
      <w:bookmarkStart w:id="511" w:name="_Toc280261851"/>
      <w:bookmarkStart w:id="512" w:name="_Toc280262349"/>
      <w:bookmarkStart w:id="513" w:name="_Toc280272743"/>
      <w:bookmarkStart w:id="514" w:name="_Toc280272922"/>
      <w:bookmarkStart w:id="515" w:name="_Toc284419437"/>
      <w:bookmarkStart w:id="516" w:name="_Toc286315754"/>
      <w:r w:rsidRPr="00C95435">
        <w:lastRenderedPageBreak/>
        <w:t>Article 29</w:t>
      </w:r>
      <w:r w:rsidR="00376E8E" w:rsidRPr="00C95435">
        <w:br/>
      </w:r>
      <w:r w:rsidR="00376E8E" w:rsidRPr="00C95435">
        <w:br/>
      </w:r>
      <w:bookmarkStart w:id="517" w:name="_Toc199215052"/>
      <w:r w:rsidR="00090F26" w:rsidRPr="00C95435">
        <w:t>Temporary a</w:t>
      </w:r>
      <w:r w:rsidRPr="00C95435">
        <w:t>uthorization</w:t>
      </w:r>
      <w:bookmarkEnd w:id="511"/>
      <w:bookmarkEnd w:id="512"/>
      <w:bookmarkEnd w:id="513"/>
      <w:bookmarkEnd w:id="514"/>
      <w:bookmarkEnd w:id="515"/>
      <w:bookmarkEnd w:id="516"/>
      <w:bookmarkEnd w:id="517"/>
    </w:p>
    <w:p w:rsidR="006F46C2" w:rsidRPr="00C95435" w:rsidRDefault="006F46C2" w:rsidP="006F46C2">
      <w:pPr>
        <w:rPr>
          <w:szCs w:val="19"/>
        </w:rPr>
      </w:pPr>
      <w:r w:rsidRPr="00C95435">
        <w:rPr>
          <w:szCs w:val="19"/>
        </w:rPr>
        <w:t xml:space="preserve">Spectrum fees for temporary authorization will be calculated on pro-rata basis of the annual fees in accordance to the radio services. However, a minimum of 100 AED will be charged as spectrum fees in case the amount is less than 100 AED. The temporary spectrum charge will be in addition to the application processing fees. </w:t>
      </w:r>
    </w:p>
    <w:p w:rsidR="006F46C2" w:rsidRPr="00C95435" w:rsidRDefault="006F46C2" w:rsidP="00090F26">
      <w:pPr>
        <w:pStyle w:val="Arttitle"/>
        <w:spacing w:before="400"/>
      </w:pPr>
      <w:bookmarkStart w:id="518" w:name="_Toc280261852"/>
      <w:bookmarkStart w:id="519" w:name="_Toc280262350"/>
      <w:bookmarkStart w:id="520" w:name="_Toc280272744"/>
      <w:bookmarkStart w:id="521" w:name="_Toc280272923"/>
      <w:bookmarkStart w:id="522" w:name="_Toc284419438"/>
      <w:bookmarkStart w:id="523" w:name="_Toc286315755"/>
      <w:r w:rsidRPr="00C95435">
        <w:t>Article 30</w:t>
      </w:r>
      <w:r w:rsidR="000D6596" w:rsidRPr="00C95435">
        <w:br/>
      </w:r>
      <w:r w:rsidR="000D6596" w:rsidRPr="00C95435">
        <w:br/>
      </w:r>
      <w:bookmarkStart w:id="524" w:name="_Toc199215053"/>
      <w:r w:rsidRPr="00C95435">
        <w:t xml:space="preserve">Other </w:t>
      </w:r>
      <w:r w:rsidR="00090F26" w:rsidRPr="00C95435">
        <w:t>r</w:t>
      </w:r>
      <w:r w:rsidRPr="00C95435">
        <w:t xml:space="preserve">adio </w:t>
      </w:r>
      <w:r w:rsidR="00090F26" w:rsidRPr="00C95435">
        <w:t>s</w:t>
      </w:r>
      <w:r w:rsidRPr="00C95435">
        <w:t>ervices</w:t>
      </w:r>
      <w:bookmarkEnd w:id="518"/>
      <w:bookmarkEnd w:id="519"/>
      <w:bookmarkEnd w:id="520"/>
      <w:bookmarkEnd w:id="521"/>
      <w:bookmarkEnd w:id="522"/>
      <w:bookmarkEnd w:id="523"/>
      <w:bookmarkEnd w:id="524"/>
    </w:p>
    <w:p w:rsidR="006F46C2" w:rsidRPr="00C95435" w:rsidRDefault="006F46C2" w:rsidP="006F46C2">
      <w:pPr>
        <w:rPr>
          <w:szCs w:val="19"/>
        </w:rPr>
      </w:pPr>
      <w:r w:rsidRPr="00C95435">
        <w:rPr>
          <w:szCs w:val="19"/>
        </w:rPr>
        <w:t xml:space="preserve">The annual fees of Radio Spectrum Authorization for any other Radio Services which are not covered above shall be determined by the TRA and shall be applicable on approval by the Director General, even before inclusion in the revised issue of this policy. </w:t>
      </w:r>
    </w:p>
    <w:p w:rsidR="006F46C2" w:rsidRPr="00C95435" w:rsidRDefault="006F46C2" w:rsidP="00807F8E">
      <w:pPr>
        <w:pStyle w:val="Arttitle"/>
        <w:spacing w:before="400"/>
      </w:pPr>
      <w:bookmarkStart w:id="525" w:name="_Toc280261853"/>
      <w:bookmarkStart w:id="526" w:name="_Toc280262351"/>
      <w:bookmarkStart w:id="527" w:name="_Toc280272745"/>
      <w:bookmarkStart w:id="528" w:name="_Toc280272924"/>
      <w:bookmarkStart w:id="529" w:name="_Toc284419439"/>
      <w:bookmarkStart w:id="530" w:name="_Toc286315756"/>
      <w:r w:rsidRPr="00C95435">
        <w:t>Article 31</w:t>
      </w:r>
      <w:r w:rsidR="000D6596" w:rsidRPr="00C95435">
        <w:br/>
      </w:r>
      <w:r w:rsidR="000D6596" w:rsidRPr="00C95435">
        <w:br/>
      </w:r>
      <w:bookmarkStart w:id="531" w:name="_Toc199215054"/>
      <w:r w:rsidRPr="00C95435">
        <w:t>Interference complaints processing and monitoring fees</w:t>
      </w:r>
      <w:bookmarkEnd w:id="525"/>
      <w:bookmarkEnd w:id="526"/>
      <w:bookmarkEnd w:id="527"/>
      <w:bookmarkEnd w:id="528"/>
      <w:bookmarkEnd w:id="529"/>
      <w:bookmarkEnd w:id="530"/>
      <w:bookmarkEnd w:id="531"/>
    </w:p>
    <w:p w:rsidR="006F46C2" w:rsidRPr="00C95435" w:rsidRDefault="006F46C2" w:rsidP="006F46C2">
      <w:pPr>
        <w:rPr>
          <w:color w:val="000000"/>
          <w:szCs w:val="19"/>
        </w:rPr>
      </w:pPr>
      <w:r w:rsidRPr="00C95435">
        <w:rPr>
          <w:szCs w:val="19"/>
        </w:rPr>
        <w:t>The TRA shall determine the interference complaints processing and monitoring fees on case to case basis subject to the approval by the</w:t>
      </w:r>
      <w:r w:rsidRPr="00C95435">
        <w:rPr>
          <w:color w:val="000000"/>
          <w:szCs w:val="19"/>
        </w:rPr>
        <w:t xml:space="preserve"> Director General. </w:t>
      </w:r>
    </w:p>
    <w:p w:rsidR="006F46C2" w:rsidRPr="00C95435" w:rsidRDefault="006F46C2" w:rsidP="00090F26">
      <w:pPr>
        <w:pStyle w:val="Arttitle"/>
        <w:spacing w:before="400"/>
      </w:pPr>
      <w:bookmarkStart w:id="532" w:name="_Toc280261854"/>
      <w:bookmarkStart w:id="533" w:name="_Toc280262352"/>
      <w:bookmarkStart w:id="534" w:name="_Toc280272746"/>
      <w:bookmarkStart w:id="535" w:name="_Toc280272925"/>
      <w:bookmarkStart w:id="536" w:name="_Toc284419440"/>
      <w:bookmarkStart w:id="537" w:name="_Toc286315757"/>
      <w:r w:rsidRPr="00C95435">
        <w:t>Article 32</w:t>
      </w:r>
      <w:r w:rsidR="000D6596" w:rsidRPr="00C95435">
        <w:br/>
      </w:r>
      <w:bookmarkStart w:id="538" w:name="_Toc199215055"/>
      <w:r w:rsidR="000D6596" w:rsidRPr="00C95435">
        <w:br/>
      </w:r>
      <w:r w:rsidRPr="00C95435">
        <w:t xml:space="preserve">Fees for the </w:t>
      </w:r>
      <w:r w:rsidR="00090F26" w:rsidRPr="00C95435">
        <w:t>f</w:t>
      </w:r>
      <w:r w:rsidRPr="00C95435">
        <w:t xml:space="preserve">oreign </w:t>
      </w:r>
      <w:r w:rsidR="00090F26" w:rsidRPr="00C95435">
        <w:t>e</w:t>
      </w:r>
      <w:r w:rsidRPr="00C95435">
        <w:t xml:space="preserve">mbassies, </w:t>
      </w:r>
      <w:r w:rsidR="00090F26" w:rsidRPr="00C95435">
        <w:t>c</w:t>
      </w:r>
      <w:r w:rsidRPr="00C95435">
        <w:t xml:space="preserve">onsulates and </w:t>
      </w:r>
      <w:r w:rsidR="00090F26" w:rsidRPr="00C95435">
        <w:t>d</w:t>
      </w:r>
      <w:r w:rsidRPr="00C95435">
        <w:t xml:space="preserve">iplomatic </w:t>
      </w:r>
      <w:r w:rsidR="00090F26" w:rsidRPr="00C95435">
        <w:t>m</w:t>
      </w:r>
      <w:r w:rsidRPr="00C95435">
        <w:t>issions</w:t>
      </w:r>
      <w:bookmarkEnd w:id="532"/>
      <w:bookmarkEnd w:id="533"/>
      <w:bookmarkEnd w:id="534"/>
      <w:bookmarkEnd w:id="535"/>
      <w:bookmarkEnd w:id="536"/>
      <w:bookmarkEnd w:id="537"/>
      <w:bookmarkEnd w:id="538"/>
    </w:p>
    <w:p w:rsidR="006F46C2" w:rsidRPr="00C95435" w:rsidRDefault="006F46C2" w:rsidP="006F46C2">
      <w:pPr>
        <w:rPr>
          <w:szCs w:val="19"/>
        </w:rPr>
      </w:pPr>
      <w:r w:rsidRPr="00C95435">
        <w:rPr>
          <w:szCs w:val="19"/>
        </w:rPr>
        <w:t xml:space="preserve">The Foreign Embassies, Consulates, Diplomatic Missions and the State visits of dignitaries shall be exempted from the Spectrum Fees provided the same exemption is available for the UAE Embassy, Consulate and Mission in the country of origin. This exemption shall be applicable for official correspondence which falls within the scope of the Vienna Convention for diplomatic correspondence and forwarded through the Ministry of Foreign Affairs of the UAE. </w:t>
      </w:r>
    </w:p>
    <w:p w:rsidR="006F46C2" w:rsidRPr="00C95435" w:rsidRDefault="006F46C2" w:rsidP="00D2674A">
      <w:pPr>
        <w:pStyle w:val="Arttitle"/>
        <w:spacing w:before="400"/>
      </w:pPr>
      <w:bookmarkStart w:id="539" w:name="_Toc280261855"/>
      <w:bookmarkStart w:id="540" w:name="_Toc280262353"/>
      <w:bookmarkStart w:id="541" w:name="_Toc280272747"/>
      <w:bookmarkStart w:id="542" w:name="_Toc280272926"/>
      <w:bookmarkStart w:id="543" w:name="_Toc284419441"/>
      <w:bookmarkStart w:id="544" w:name="_Toc286315758"/>
      <w:r w:rsidRPr="00C95435">
        <w:t>Article 33</w:t>
      </w:r>
      <w:r w:rsidR="000D6596" w:rsidRPr="00C95435">
        <w:br/>
      </w:r>
      <w:r w:rsidR="000D6596" w:rsidRPr="00C95435">
        <w:br/>
      </w:r>
      <w:r w:rsidRPr="00C95435">
        <w:t xml:space="preserve">Fees for </w:t>
      </w:r>
      <w:r w:rsidR="00D2674A" w:rsidRPr="00C95435">
        <w:t>s</w:t>
      </w:r>
      <w:r w:rsidRPr="00C95435">
        <w:t xml:space="preserve">ite </w:t>
      </w:r>
      <w:r w:rsidR="00D2674A" w:rsidRPr="00C95435">
        <w:t>s</w:t>
      </w:r>
      <w:r w:rsidRPr="00C95435">
        <w:t>urveys</w:t>
      </w:r>
      <w:bookmarkEnd w:id="539"/>
      <w:bookmarkEnd w:id="540"/>
      <w:bookmarkEnd w:id="541"/>
      <w:bookmarkEnd w:id="542"/>
      <w:bookmarkEnd w:id="543"/>
      <w:bookmarkEnd w:id="544"/>
    </w:p>
    <w:p w:rsidR="006F46C2" w:rsidRPr="00C95435" w:rsidRDefault="006F46C2" w:rsidP="006F46C2">
      <w:pPr>
        <w:rPr>
          <w:szCs w:val="19"/>
        </w:rPr>
      </w:pPr>
      <w:r w:rsidRPr="00C95435">
        <w:rPr>
          <w:szCs w:val="19"/>
        </w:rPr>
        <w:t>The following fees shall be charged for the site survey conducted by the Authority upon request from the Authorized User for technical assistance:</w:t>
      </w:r>
    </w:p>
    <w:p w:rsidR="006F46C2" w:rsidRPr="00C95435" w:rsidRDefault="006F46C2" w:rsidP="006F46C2">
      <w:pPr>
        <w:ind w:left="1191" w:hanging="1191"/>
        <w:rPr>
          <w:szCs w:val="19"/>
        </w:rPr>
      </w:pPr>
      <w:r w:rsidRPr="00C95435">
        <w:rPr>
          <w:b/>
          <w:szCs w:val="19"/>
        </w:rPr>
        <w:tab/>
      </w:r>
      <w:r w:rsidRPr="00C95435">
        <w:rPr>
          <w:b/>
          <w:szCs w:val="19"/>
        </w:rPr>
        <w:tab/>
        <w:t>Site Survey Fee</w:t>
      </w:r>
      <w:r w:rsidRPr="00C95435">
        <w:rPr>
          <w:szCs w:val="19"/>
        </w:rPr>
        <w:t xml:space="preserve"> = 5,000 AED per day for each visit </w:t>
      </w:r>
    </w:p>
    <w:p w:rsidR="006F46C2" w:rsidRPr="00C95435" w:rsidRDefault="006F46C2" w:rsidP="00807F8E">
      <w:pPr>
        <w:pStyle w:val="Arttitle"/>
        <w:spacing w:before="400"/>
      </w:pPr>
      <w:bookmarkStart w:id="545" w:name="_Toc280261856"/>
      <w:bookmarkStart w:id="546" w:name="_Toc280262354"/>
      <w:bookmarkStart w:id="547" w:name="_Toc280272748"/>
      <w:bookmarkStart w:id="548" w:name="_Toc280272927"/>
      <w:bookmarkStart w:id="549" w:name="_Toc284419442"/>
      <w:bookmarkStart w:id="550" w:name="_Toc286315759"/>
      <w:r w:rsidRPr="00C95435">
        <w:t>Article 34</w:t>
      </w:r>
      <w:r w:rsidR="000D6596" w:rsidRPr="00C95435">
        <w:br/>
      </w:r>
      <w:r w:rsidR="000D6596" w:rsidRPr="00C95435">
        <w:br/>
      </w:r>
      <w:bookmarkStart w:id="551" w:name="_Toc199215056"/>
      <w:r w:rsidRPr="00C95435">
        <w:t>Obligation to pay</w:t>
      </w:r>
      <w:bookmarkEnd w:id="545"/>
      <w:bookmarkEnd w:id="546"/>
      <w:bookmarkEnd w:id="547"/>
      <w:bookmarkEnd w:id="548"/>
      <w:bookmarkEnd w:id="549"/>
      <w:bookmarkEnd w:id="550"/>
      <w:bookmarkEnd w:id="551"/>
    </w:p>
    <w:p w:rsidR="006F46C2" w:rsidRPr="00C95435" w:rsidRDefault="006F46C2" w:rsidP="006F46C2">
      <w:pPr>
        <w:rPr>
          <w:szCs w:val="19"/>
        </w:rPr>
      </w:pPr>
      <w:r w:rsidRPr="00C95435">
        <w:rPr>
          <w:szCs w:val="19"/>
        </w:rPr>
        <w:t xml:space="preserve">The Spectrum Fees shall be payable in advance by all without any exemption except as determined in this Policy. The Spectrum Fees shall not be construed as Federal Tax or any Local Tax and shall be considered as charge for the use of a scarce national resource. Authorized Users should pay the full dues within the stipulated time, even in cases where the Authorised User contests the amount either wholly or partially. In </w:t>
      </w:r>
      <w:r w:rsidRPr="00C95435">
        <w:rPr>
          <w:szCs w:val="19"/>
        </w:rPr>
        <w:lastRenderedPageBreak/>
        <w:t xml:space="preserve">case the amount is contested and a refund is due to the Authorised User, the amount shall be paid by the TRA within one month of settlement. </w:t>
      </w:r>
    </w:p>
    <w:p w:rsidR="006F46C2" w:rsidRPr="00C95435" w:rsidRDefault="006F46C2" w:rsidP="00807F8E">
      <w:pPr>
        <w:pStyle w:val="Arttitle"/>
        <w:spacing w:before="400"/>
        <w:rPr>
          <w:bCs/>
        </w:rPr>
      </w:pPr>
      <w:bookmarkStart w:id="552" w:name="_Toc280261857"/>
      <w:bookmarkStart w:id="553" w:name="_Toc280262355"/>
      <w:bookmarkStart w:id="554" w:name="_Toc280272749"/>
      <w:bookmarkStart w:id="555" w:name="_Toc280272928"/>
      <w:bookmarkStart w:id="556" w:name="_Toc284419443"/>
      <w:bookmarkStart w:id="557" w:name="_Toc286315760"/>
      <w:r w:rsidRPr="00C95435">
        <w:t>Article 35</w:t>
      </w:r>
      <w:r w:rsidR="00BD3C28" w:rsidRPr="00C95435">
        <w:rPr>
          <w:bCs/>
        </w:rPr>
        <w:br/>
      </w:r>
      <w:r w:rsidR="00BD3C28" w:rsidRPr="00C95435">
        <w:rPr>
          <w:bCs/>
        </w:rPr>
        <w:br/>
      </w:r>
      <w:bookmarkStart w:id="558" w:name="_Toc199215057"/>
      <w:r w:rsidRPr="00C95435">
        <w:t>Methods of payments</w:t>
      </w:r>
      <w:bookmarkEnd w:id="552"/>
      <w:bookmarkEnd w:id="553"/>
      <w:bookmarkEnd w:id="554"/>
      <w:bookmarkEnd w:id="555"/>
      <w:bookmarkEnd w:id="556"/>
      <w:bookmarkEnd w:id="557"/>
      <w:bookmarkEnd w:id="558"/>
    </w:p>
    <w:p w:rsidR="006F46C2" w:rsidRPr="00C95435" w:rsidRDefault="006F46C2" w:rsidP="006F46C2">
      <w:pPr>
        <w:rPr>
          <w:szCs w:val="19"/>
        </w:rPr>
      </w:pPr>
      <w:r w:rsidRPr="00C95435">
        <w:rPr>
          <w:szCs w:val="19"/>
        </w:rPr>
        <w:t xml:space="preserve">Cash payment to the TRA shall not be acceptable and spectrum fees and other associated shall be payable to the TRA in one of the following methods: </w:t>
      </w:r>
    </w:p>
    <w:p w:rsidR="006F46C2" w:rsidRPr="00C95435" w:rsidRDefault="00BD3C28" w:rsidP="00BD3C28">
      <w:pPr>
        <w:pStyle w:val="enumlev1"/>
      </w:pPr>
      <w:r w:rsidRPr="00C95435">
        <w:t>–</w:t>
      </w:r>
      <w:r w:rsidR="006F46C2" w:rsidRPr="00C95435">
        <w:tab/>
        <w:t xml:space="preserve">E-Dirham </w:t>
      </w:r>
    </w:p>
    <w:p w:rsidR="006F46C2" w:rsidRPr="00C95435" w:rsidRDefault="00BD3C28" w:rsidP="00BD3C28">
      <w:pPr>
        <w:pStyle w:val="enumlev1"/>
      </w:pPr>
      <w:r w:rsidRPr="00C95435">
        <w:t>–</w:t>
      </w:r>
      <w:r w:rsidR="006F46C2" w:rsidRPr="00C95435">
        <w:tab/>
        <w:t xml:space="preserve">Cheque </w:t>
      </w:r>
    </w:p>
    <w:p w:rsidR="006F46C2" w:rsidRPr="00C95435" w:rsidRDefault="00BD3C28" w:rsidP="00BD3C28">
      <w:pPr>
        <w:pStyle w:val="enumlev1"/>
      </w:pPr>
      <w:r w:rsidRPr="00C95435">
        <w:t>–</w:t>
      </w:r>
      <w:r w:rsidR="006F46C2" w:rsidRPr="00C95435">
        <w:tab/>
        <w:t xml:space="preserve">Deposit into the TRA’s bank account </w:t>
      </w:r>
    </w:p>
    <w:p w:rsidR="006F46C2" w:rsidRPr="00C95435" w:rsidRDefault="006F46C2" w:rsidP="00807F8E">
      <w:pPr>
        <w:pStyle w:val="Arttitle"/>
        <w:spacing w:before="400"/>
      </w:pPr>
      <w:bookmarkStart w:id="559" w:name="_Toc280261858"/>
      <w:bookmarkStart w:id="560" w:name="_Toc280262356"/>
      <w:bookmarkStart w:id="561" w:name="_Toc280272750"/>
      <w:bookmarkStart w:id="562" w:name="_Toc280272929"/>
      <w:bookmarkStart w:id="563" w:name="_Toc284419444"/>
      <w:bookmarkStart w:id="564" w:name="_Toc286315761"/>
      <w:r w:rsidRPr="00C95435">
        <w:t>Article 36</w:t>
      </w:r>
      <w:r w:rsidR="00D47DA6" w:rsidRPr="00C95435">
        <w:br/>
      </w:r>
      <w:r w:rsidR="00D47DA6" w:rsidRPr="00C95435">
        <w:br/>
      </w:r>
      <w:bookmarkStart w:id="565" w:name="_Toc199215058"/>
      <w:r w:rsidRPr="00C95435">
        <w:t>Penalties</w:t>
      </w:r>
      <w:bookmarkEnd w:id="559"/>
      <w:bookmarkEnd w:id="560"/>
      <w:bookmarkEnd w:id="561"/>
      <w:bookmarkEnd w:id="562"/>
      <w:bookmarkEnd w:id="563"/>
      <w:bookmarkEnd w:id="564"/>
      <w:bookmarkEnd w:id="565"/>
    </w:p>
    <w:p w:rsidR="006F46C2" w:rsidRPr="00C95435" w:rsidRDefault="006F46C2" w:rsidP="006F46C2">
      <w:pPr>
        <w:rPr>
          <w:szCs w:val="19"/>
        </w:rPr>
      </w:pPr>
      <w:r w:rsidRPr="00C95435">
        <w:rPr>
          <w:szCs w:val="19"/>
        </w:rPr>
        <w:t>The TRA has the power to impose penalties upon any instance of non-observation of the terms and conditions of this Policy and any other Regulatory Instrument issued by the TRA. The manner and circumstances upon which the penalty should be imposed and the amount of such penalty is specified in the articles of the Federal Law issued by the Decree 3 of 2003 as amended.</w:t>
      </w:r>
    </w:p>
    <w:p w:rsidR="006F46C2" w:rsidRPr="00C95435" w:rsidRDefault="006F46C2" w:rsidP="00807F8E">
      <w:pPr>
        <w:pStyle w:val="Arttitle"/>
        <w:spacing w:before="400"/>
      </w:pPr>
      <w:bookmarkStart w:id="566" w:name="_Toc280261859"/>
      <w:bookmarkStart w:id="567" w:name="_Toc280262357"/>
      <w:bookmarkStart w:id="568" w:name="_Toc280272751"/>
      <w:bookmarkStart w:id="569" w:name="_Toc280272930"/>
      <w:bookmarkStart w:id="570" w:name="_Toc284419445"/>
      <w:bookmarkStart w:id="571" w:name="_Toc286315762"/>
      <w:r w:rsidRPr="00C95435">
        <w:t>Article 37</w:t>
      </w:r>
      <w:r w:rsidR="00D47DA6" w:rsidRPr="00C95435">
        <w:br/>
      </w:r>
      <w:r w:rsidR="00D47DA6" w:rsidRPr="00C95435">
        <w:br/>
      </w:r>
      <w:bookmarkStart w:id="572" w:name="_Toc199215060"/>
      <w:r w:rsidRPr="00C95435">
        <w:t>Implementation</w:t>
      </w:r>
      <w:bookmarkEnd w:id="566"/>
      <w:bookmarkEnd w:id="567"/>
      <w:bookmarkEnd w:id="568"/>
      <w:bookmarkEnd w:id="569"/>
      <w:bookmarkEnd w:id="570"/>
      <w:bookmarkEnd w:id="571"/>
      <w:bookmarkEnd w:id="572"/>
    </w:p>
    <w:p w:rsidR="006F46C2" w:rsidRPr="00C95435" w:rsidRDefault="006F46C2" w:rsidP="006F46C2">
      <w:pPr>
        <w:rPr>
          <w:szCs w:val="19"/>
        </w:rPr>
      </w:pPr>
      <w:r w:rsidRPr="00C95435">
        <w:rPr>
          <w:szCs w:val="19"/>
        </w:rPr>
        <w:t>All invoices raised for the period starting from 1st January 2009 shall be in accordance with this Policy. The invoices raised for the period starting before 1st January 2009 shall be in accordance with the Spectrum Fees Policy Version 1.0</w:t>
      </w:r>
    </w:p>
    <w:p w:rsidR="00140E6C" w:rsidRPr="004F63CA" w:rsidRDefault="00140E6C">
      <w:pPr>
        <w:tabs>
          <w:tab w:val="clear" w:pos="794"/>
          <w:tab w:val="clear" w:pos="1191"/>
          <w:tab w:val="clear" w:pos="1588"/>
          <w:tab w:val="clear" w:pos="1985"/>
        </w:tabs>
        <w:overflowPunct/>
        <w:autoSpaceDE/>
        <w:autoSpaceDN/>
        <w:adjustRightInd/>
        <w:spacing w:before="0"/>
        <w:jc w:val="left"/>
        <w:textAlignment w:val="auto"/>
        <w:rPr>
          <w:b/>
          <w:lang w:val="en-US"/>
        </w:rPr>
      </w:pPr>
      <w:r w:rsidRPr="004F63CA">
        <w:rPr>
          <w:b/>
          <w:lang w:val="en-US"/>
        </w:rPr>
        <w:br w:type="page"/>
      </w:r>
    </w:p>
    <w:p w:rsidR="00B51759" w:rsidRPr="004B2881" w:rsidRDefault="00543677" w:rsidP="004A1D01">
      <w:pPr>
        <w:pStyle w:val="AppendixNotitle"/>
        <w:rPr>
          <w:lang w:val="fr-FR"/>
        </w:rPr>
      </w:pPr>
      <w:bookmarkStart w:id="573" w:name="_Toc280260048"/>
      <w:bookmarkStart w:id="574" w:name="_Toc280260904"/>
      <w:bookmarkStart w:id="575" w:name="_Toc280272509"/>
      <w:bookmarkStart w:id="576" w:name="_Toc284414180"/>
      <w:bookmarkStart w:id="577" w:name="_Toc286314924"/>
      <w:r w:rsidRPr="004B2881">
        <w:rPr>
          <w:lang w:val="fr-FR"/>
        </w:rPr>
        <w:lastRenderedPageBreak/>
        <w:t>Appendice 1.2</w:t>
      </w:r>
      <w:r w:rsidR="004A1D01" w:rsidRPr="004B2881">
        <w:rPr>
          <w:lang w:val="fr-FR"/>
        </w:rPr>
        <w:br/>
      </w:r>
      <w:r w:rsidR="004A1D01" w:rsidRPr="004B2881">
        <w:rPr>
          <w:lang w:val="fr-FR"/>
        </w:rPr>
        <w:br/>
      </w:r>
      <w:r w:rsidR="00B51759" w:rsidRPr="004B2881">
        <w:rPr>
          <w:lang w:val="fr-FR"/>
        </w:rPr>
        <w:t>Emirats arabes unis: Exemple de directive en matière</w:t>
      </w:r>
      <w:r w:rsidR="004A1D01" w:rsidRPr="004B2881">
        <w:rPr>
          <w:lang w:val="fr-FR"/>
        </w:rPr>
        <w:br/>
      </w:r>
      <w:r w:rsidR="00B51759" w:rsidRPr="004B2881">
        <w:rPr>
          <w:lang w:val="fr-FR"/>
        </w:rPr>
        <w:t>de droits d'utilisation du spectre</w:t>
      </w:r>
      <w:bookmarkEnd w:id="573"/>
      <w:bookmarkEnd w:id="574"/>
      <w:bookmarkEnd w:id="575"/>
      <w:bookmarkEnd w:id="576"/>
      <w:bookmarkEnd w:id="577"/>
    </w:p>
    <w:p w:rsidR="004A1D01" w:rsidRPr="004B2881" w:rsidRDefault="004A1D01" w:rsidP="004A1D01">
      <w:pPr>
        <w:pStyle w:val="Normalaftertitle"/>
        <w:rPr>
          <w:lang w:val="fr-FR"/>
        </w:rPr>
      </w:pPr>
    </w:p>
    <w:p w:rsidR="00B51759" w:rsidRPr="004B2881" w:rsidRDefault="00B51759" w:rsidP="00B51759">
      <w:pPr>
        <w:suppressAutoHyphens/>
        <w:jc w:val="center"/>
        <w:rPr>
          <w:b/>
          <w:lang w:val="fr-FR"/>
        </w:rPr>
      </w:pPr>
      <w:r w:rsidRPr="004B2881">
        <w:rPr>
          <w:b/>
          <w:lang w:val="fr-FR"/>
        </w:rPr>
        <w:t>TABLE DES MATIÈRES</w:t>
      </w:r>
    </w:p>
    <w:p w:rsidR="00B51759" w:rsidRPr="004B2881" w:rsidRDefault="00B51759" w:rsidP="00B51759">
      <w:pPr>
        <w:widowControl w:val="0"/>
        <w:snapToGrid w:val="0"/>
        <w:rPr>
          <w:lang w:val="fr-FR"/>
        </w:rPr>
      </w:pPr>
    </w:p>
    <w:p w:rsidR="007E720A" w:rsidRPr="004B2881" w:rsidRDefault="007E720A" w:rsidP="007E720A">
      <w:pPr>
        <w:pStyle w:val="Recdate"/>
        <w:keepLines w:val="0"/>
        <w:tabs>
          <w:tab w:val="right" w:pos="9639"/>
        </w:tabs>
        <w:jc w:val="left"/>
        <w:rPr>
          <w:b/>
          <w:iCs/>
          <w:lang w:val="fr-FR"/>
        </w:rPr>
      </w:pPr>
      <w:r w:rsidRPr="004B2881">
        <w:rPr>
          <w:iCs/>
          <w:lang w:val="fr-FR"/>
        </w:rPr>
        <w:tab/>
      </w:r>
      <w:r w:rsidRPr="004B2881">
        <w:rPr>
          <w:b/>
          <w:iCs/>
          <w:lang w:val="fr-FR"/>
        </w:rPr>
        <w:t>Page</w:t>
      </w:r>
    </w:p>
    <w:p w:rsidR="00C047BF" w:rsidRPr="004B2881" w:rsidRDefault="0084368D" w:rsidP="00174E58">
      <w:pPr>
        <w:pStyle w:val="TOC1"/>
        <w:rPr>
          <w:rFonts w:asciiTheme="minorHAnsi" w:eastAsia="SimSun" w:hAnsiTheme="minorHAnsi" w:cstheme="minorBidi"/>
          <w:szCs w:val="22"/>
          <w:lang w:val="fr-FR" w:eastAsia="zh-CN"/>
        </w:rPr>
      </w:pPr>
      <w:r w:rsidRPr="0084368D">
        <w:rPr>
          <w:lang w:val="fr-FR"/>
        </w:rPr>
        <w:fldChar w:fldCharType="begin"/>
      </w:r>
      <w:r w:rsidR="00C047BF" w:rsidRPr="004B2881">
        <w:rPr>
          <w:lang w:val="fr-FR"/>
        </w:rPr>
        <w:instrText xml:space="preserve"> TOC \h \z \t "Art_title;1" </w:instrText>
      </w:r>
      <w:r w:rsidRPr="0084368D">
        <w:rPr>
          <w:lang w:val="fr-FR"/>
        </w:rPr>
        <w:fldChar w:fldCharType="separate"/>
      </w:r>
      <w:hyperlink w:anchor="_Toc284419409" w:history="1">
        <w:r w:rsidR="00C047BF" w:rsidRPr="004B2881">
          <w:rPr>
            <w:rStyle w:val="Hyperlink"/>
            <w:lang w:val="fr-FR"/>
          </w:rPr>
          <w:t>A</w:t>
        </w:r>
      </w:hyperlink>
      <w:hyperlink w:anchor="_Toc284419446" w:history="1">
        <w:r w:rsidR="00C047BF" w:rsidRPr="004B2881">
          <w:rPr>
            <w:rStyle w:val="Hyperlink"/>
            <w:lang w:val="fr-FR"/>
          </w:rPr>
          <w:t>rticle 1 – Objet</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_Toc284419446 \h </w:instrText>
        </w:r>
        <w:r w:rsidRPr="004B2881">
          <w:rPr>
            <w:webHidden/>
            <w:lang w:val="fr-FR"/>
          </w:rPr>
        </w:r>
        <w:r w:rsidRPr="004B2881">
          <w:rPr>
            <w:webHidden/>
            <w:lang w:val="fr-FR"/>
          </w:rPr>
          <w:fldChar w:fldCharType="separate"/>
        </w:r>
        <w:r w:rsidR="003301EC" w:rsidRPr="004B2881">
          <w:rPr>
            <w:webHidden/>
            <w:lang w:val="fr-FR"/>
          </w:rPr>
          <w:t>43</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47" w:history="1">
        <w:r w:rsidR="00C047BF" w:rsidRPr="004B2881">
          <w:rPr>
            <w:rStyle w:val="Hyperlink"/>
            <w:lang w:val="fr-FR"/>
          </w:rPr>
          <w:t>Article 2 – Définitions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_Toc284419447 \h </w:instrText>
        </w:r>
        <w:r w:rsidRPr="004B2881">
          <w:rPr>
            <w:webHidden/>
            <w:lang w:val="fr-FR"/>
          </w:rPr>
        </w:r>
        <w:r w:rsidRPr="004B2881">
          <w:rPr>
            <w:webHidden/>
            <w:lang w:val="fr-FR"/>
          </w:rPr>
          <w:fldChar w:fldCharType="separate"/>
        </w:r>
        <w:r w:rsidR="003301EC" w:rsidRPr="004B2881">
          <w:rPr>
            <w:webHidden/>
            <w:lang w:val="fr-FR"/>
          </w:rPr>
          <w:t>43</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48" w:history="1">
        <w:r w:rsidR="00C047BF" w:rsidRPr="004B2881">
          <w:rPr>
            <w:rStyle w:val="Hyperlink"/>
            <w:lang w:val="fr-FR"/>
          </w:rPr>
          <w:t>Article 3 – Droits à acquitter pour le traitement des demandes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_Toc284419448 \h </w:instrText>
        </w:r>
        <w:r w:rsidRPr="004B2881">
          <w:rPr>
            <w:webHidden/>
            <w:lang w:val="fr-FR"/>
          </w:rPr>
        </w:r>
        <w:r w:rsidRPr="004B2881">
          <w:rPr>
            <w:webHidden/>
            <w:lang w:val="fr-FR"/>
          </w:rPr>
          <w:fldChar w:fldCharType="separate"/>
        </w:r>
        <w:r w:rsidR="003301EC" w:rsidRPr="004B2881">
          <w:rPr>
            <w:webHidden/>
            <w:lang w:val="fr-FR"/>
          </w:rPr>
          <w:t>44</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49" w:history="1">
        <w:r w:rsidR="00C047BF" w:rsidRPr="004B2881">
          <w:rPr>
            <w:rStyle w:val="Hyperlink"/>
            <w:lang w:val="fr-FR"/>
          </w:rPr>
          <w:t>Article 4 – Exemption des droits à acquitter pour le traitement des demandes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_Toc284419449 \h </w:instrText>
        </w:r>
        <w:r w:rsidRPr="004B2881">
          <w:rPr>
            <w:webHidden/>
            <w:lang w:val="fr-FR"/>
          </w:rPr>
        </w:r>
        <w:r w:rsidRPr="004B2881">
          <w:rPr>
            <w:webHidden/>
            <w:lang w:val="fr-FR"/>
          </w:rPr>
          <w:fldChar w:fldCharType="separate"/>
        </w:r>
        <w:r w:rsidR="003301EC" w:rsidRPr="004B2881">
          <w:rPr>
            <w:webHidden/>
            <w:lang w:val="fr-FR"/>
          </w:rPr>
          <w:t>44</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0" w:history="1">
        <w:r w:rsidR="00C047BF" w:rsidRPr="004B2881">
          <w:rPr>
            <w:rStyle w:val="Hyperlink"/>
            <w:lang w:val="fr-FR"/>
          </w:rPr>
          <w:t>Article 5 – Droits d'utilisation du spectre à acquitter en cas de nouvelle demande</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_Toc284419450 \h </w:instrText>
        </w:r>
        <w:r w:rsidRPr="004B2881">
          <w:rPr>
            <w:webHidden/>
            <w:lang w:val="fr-FR"/>
          </w:rPr>
        </w:r>
        <w:r w:rsidRPr="004B2881">
          <w:rPr>
            <w:webHidden/>
            <w:lang w:val="fr-FR"/>
          </w:rPr>
          <w:fldChar w:fldCharType="separate"/>
        </w:r>
        <w:r w:rsidR="003301EC" w:rsidRPr="004B2881">
          <w:rPr>
            <w:webHidden/>
            <w:lang w:val="fr-FR"/>
          </w:rPr>
          <w:t>45</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1" w:history="1">
        <w:r w:rsidR="00C047BF" w:rsidRPr="004B2881">
          <w:rPr>
            <w:rStyle w:val="Hyperlink"/>
            <w:lang w:val="fr-FR"/>
          </w:rPr>
          <w:t>Article 6 – Montant des droits à acquitter pour le renouvellement d'une autorisation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_Toc284419451 \h </w:instrText>
        </w:r>
        <w:r w:rsidRPr="004B2881">
          <w:rPr>
            <w:webHidden/>
            <w:lang w:val="fr-FR"/>
          </w:rPr>
        </w:r>
        <w:r w:rsidRPr="004B2881">
          <w:rPr>
            <w:webHidden/>
            <w:lang w:val="fr-FR"/>
          </w:rPr>
          <w:fldChar w:fldCharType="separate"/>
        </w:r>
        <w:r w:rsidR="003301EC" w:rsidRPr="004B2881">
          <w:rPr>
            <w:webHidden/>
            <w:lang w:val="fr-FR"/>
          </w:rPr>
          <w:t>45</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2" w:history="1">
        <w:r w:rsidR="00C047BF" w:rsidRPr="004B2881">
          <w:rPr>
            <w:rStyle w:val="Hyperlink"/>
            <w:lang w:val="fr-FR"/>
          </w:rPr>
          <w:t>Article 7 – Droits supplémentaires à acquitter en cas de retard  du renouvellement de l'autorisation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_Toc284419452 \h </w:instrText>
        </w:r>
        <w:r w:rsidRPr="004B2881">
          <w:rPr>
            <w:webHidden/>
            <w:lang w:val="fr-FR"/>
          </w:rPr>
        </w:r>
        <w:r w:rsidRPr="004B2881">
          <w:rPr>
            <w:webHidden/>
            <w:lang w:val="fr-FR"/>
          </w:rPr>
          <w:fldChar w:fldCharType="separate"/>
        </w:r>
        <w:r w:rsidR="003301EC" w:rsidRPr="004B2881">
          <w:rPr>
            <w:webHidden/>
            <w:lang w:val="fr-FR"/>
          </w:rPr>
          <w:t>45</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3" w:history="1">
        <w:r w:rsidR="00C047BF" w:rsidRPr="004B2881">
          <w:rPr>
            <w:rStyle w:val="Hyperlink"/>
            <w:lang w:val="fr-FR"/>
          </w:rPr>
          <w:t>Article 8 – Droits à acquitter pour obtenir une copie d'une autorisation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_Toc284419453 \h </w:instrText>
        </w:r>
        <w:r w:rsidRPr="004B2881">
          <w:rPr>
            <w:webHidden/>
            <w:lang w:val="fr-FR"/>
          </w:rPr>
        </w:r>
        <w:r w:rsidRPr="004B2881">
          <w:rPr>
            <w:webHidden/>
            <w:lang w:val="fr-FR"/>
          </w:rPr>
          <w:fldChar w:fldCharType="separate"/>
        </w:r>
        <w:r w:rsidR="003301EC" w:rsidRPr="004B2881">
          <w:rPr>
            <w:webHidden/>
            <w:lang w:val="fr-FR"/>
          </w:rPr>
          <w:t>45</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4" w:history="1">
        <w:r w:rsidR="00C047BF" w:rsidRPr="004B2881">
          <w:rPr>
            <w:rStyle w:val="Hyperlink"/>
            <w:lang w:val="fr-FR"/>
          </w:rPr>
          <w:t>Article 9 – Droits à acquitter pour modifier l'autorisation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_Toc284419454 \h </w:instrText>
        </w:r>
        <w:r w:rsidRPr="004B2881">
          <w:rPr>
            <w:webHidden/>
            <w:lang w:val="fr-FR"/>
          </w:rPr>
        </w:r>
        <w:r w:rsidRPr="004B2881">
          <w:rPr>
            <w:webHidden/>
            <w:lang w:val="fr-FR"/>
          </w:rPr>
          <w:fldChar w:fldCharType="separate"/>
        </w:r>
        <w:r w:rsidR="003301EC" w:rsidRPr="004B2881">
          <w:rPr>
            <w:webHidden/>
            <w:lang w:val="fr-FR"/>
          </w:rPr>
          <w:t>46</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5" w:history="1">
        <w:r w:rsidR="00C047BF" w:rsidRPr="004B2881">
          <w:rPr>
            <w:rStyle w:val="Hyperlink"/>
            <w:lang w:val="fr-FR"/>
          </w:rPr>
          <w:t>Article 10 – Droits à acquitter pour l'annulation d'une autorisation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_Toc284419455 \h </w:instrText>
        </w:r>
        <w:r w:rsidRPr="004B2881">
          <w:rPr>
            <w:webHidden/>
            <w:lang w:val="fr-FR"/>
          </w:rPr>
        </w:r>
        <w:r w:rsidRPr="004B2881">
          <w:rPr>
            <w:webHidden/>
            <w:lang w:val="fr-FR"/>
          </w:rPr>
          <w:fldChar w:fldCharType="separate"/>
        </w:r>
        <w:r w:rsidR="003301EC" w:rsidRPr="004B2881">
          <w:rPr>
            <w:webHidden/>
            <w:lang w:val="fr-FR"/>
          </w:rPr>
          <w:t>46</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6" w:history="1">
        <w:r w:rsidR="00C047BF" w:rsidRPr="004B2881">
          <w:rPr>
            <w:rStyle w:val="Hyperlink"/>
            <w:lang w:val="fr-FR"/>
          </w:rPr>
          <w:t>Article 11 – Droits à acquitter pour l'utilisation du spectre pour le service mobile terrestre public (cellulaire)</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_Toc284419456 \h </w:instrText>
        </w:r>
        <w:r w:rsidRPr="004B2881">
          <w:rPr>
            <w:webHidden/>
            <w:lang w:val="fr-FR"/>
          </w:rPr>
        </w:r>
        <w:r w:rsidRPr="004B2881">
          <w:rPr>
            <w:webHidden/>
            <w:lang w:val="fr-FR"/>
          </w:rPr>
          <w:fldChar w:fldCharType="separate"/>
        </w:r>
        <w:r w:rsidR="003301EC" w:rsidRPr="004B2881">
          <w:rPr>
            <w:webHidden/>
            <w:lang w:val="fr-FR"/>
          </w:rPr>
          <w:t>46</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7" w:history="1">
        <w:r w:rsidR="00C047BF" w:rsidRPr="004B2881">
          <w:rPr>
            <w:rStyle w:val="Hyperlink"/>
            <w:lang w:val="fr-FR"/>
          </w:rPr>
          <w:t>Article 12 – Droits à acquitter pour les radiocommunications mobiles privées,  la radiomessagerie et les systèmes à ressources partagées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_Toc284419457 \h </w:instrText>
        </w:r>
        <w:r w:rsidRPr="004B2881">
          <w:rPr>
            <w:webHidden/>
            <w:lang w:val="fr-FR"/>
          </w:rPr>
        </w:r>
        <w:r w:rsidRPr="004B2881">
          <w:rPr>
            <w:webHidden/>
            <w:lang w:val="fr-FR"/>
          </w:rPr>
          <w:fldChar w:fldCharType="separate"/>
        </w:r>
        <w:r w:rsidR="003301EC" w:rsidRPr="004B2881">
          <w:rPr>
            <w:webHidden/>
            <w:lang w:val="fr-FR"/>
          </w:rPr>
          <w:t>47</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8" w:history="1">
        <w:r w:rsidR="00C047BF" w:rsidRPr="004B2881">
          <w:rPr>
            <w:rStyle w:val="Hyperlink"/>
            <w:lang w:val="fr-FR"/>
          </w:rPr>
          <w:t>Article 13 – Droits à acquitter pour l'utilisation du spectre pour des liaisons fixes (point à point)</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_Toc284419458 \h </w:instrText>
        </w:r>
        <w:r w:rsidRPr="004B2881">
          <w:rPr>
            <w:webHidden/>
            <w:lang w:val="fr-FR"/>
          </w:rPr>
        </w:r>
        <w:r w:rsidRPr="004B2881">
          <w:rPr>
            <w:webHidden/>
            <w:lang w:val="fr-FR"/>
          </w:rPr>
          <w:fldChar w:fldCharType="separate"/>
        </w:r>
        <w:r w:rsidR="003301EC" w:rsidRPr="004B2881">
          <w:rPr>
            <w:webHidden/>
            <w:lang w:val="fr-FR"/>
          </w:rPr>
          <w:t>49</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59" w:history="1">
        <w:r w:rsidR="00C047BF" w:rsidRPr="004B2881">
          <w:rPr>
            <w:rStyle w:val="Hyperlink"/>
            <w:lang w:val="fr-FR"/>
          </w:rPr>
          <w:t>Article 14 – Droits d'utilisation du spectre à acquitter pour l'accès hertzien fixe,  les systèmes de surveillance et d'acquisition de données (SCADA), la télémesure et les réseaux maillés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_Toc284419459 \h </w:instrText>
        </w:r>
        <w:r w:rsidRPr="004B2881">
          <w:rPr>
            <w:webHidden/>
            <w:lang w:val="fr-FR"/>
          </w:rPr>
        </w:r>
        <w:r w:rsidRPr="004B2881">
          <w:rPr>
            <w:webHidden/>
            <w:lang w:val="fr-FR"/>
          </w:rPr>
          <w:fldChar w:fldCharType="separate"/>
        </w:r>
        <w:r w:rsidR="003301EC" w:rsidRPr="004B2881">
          <w:rPr>
            <w:webHidden/>
            <w:lang w:val="fr-FR"/>
          </w:rPr>
          <w:t>50</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0" w:history="1">
        <w:r w:rsidR="00C047BF" w:rsidRPr="004B2881">
          <w:rPr>
            <w:rStyle w:val="Hyperlink"/>
            <w:lang w:val="fr-FR"/>
          </w:rPr>
          <w:t>Article 15 – Droits d'utilisation du spectre à acquitter pour l'accès hertzien large bande mobile</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_Toc284419460 \h </w:instrText>
        </w:r>
        <w:r w:rsidRPr="004B2881">
          <w:rPr>
            <w:webHidden/>
            <w:lang w:val="fr-FR"/>
          </w:rPr>
        </w:r>
        <w:r w:rsidRPr="004B2881">
          <w:rPr>
            <w:webHidden/>
            <w:lang w:val="fr-FR"/>
          </w:rPr>
          <w:fldChar w:fldCharType="separate"/>
        </w:r>
        <w:r w:rsidR="003301EC" w:rsidRPr="004B2881">
          <w:rPr>
            <w:webHidden/>
            <w:lang w:val="fr-FR"/>
          </w:rPr>
          <w:t>50</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1" w:history="1">
        <w:r w:rsidR="00C047BF" w:rsidRPr="004B2881">
          <w:rPr>
            <w:rStyle w:val="Hyperlink"/>
            <w:lang w:val="fr-FR"/>
          </w:rPr>
          <w:t>Article 16 – Droits d'utilisation du spectre pour les liaisons à fibre optique et les liaisons laser</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_Toc284419461 \h </w:instrText>
        </w:r>
        <w:r w:rsidRPr="004B2881">
          <w:rPr>
            <w:webHidden/>
            <w:lang w:val="fr-FR"/>
          </w:rPr>
        </w:r>
        <w:r w:rsidRPr="004B2881">
          <w:rPr>
            <w:webHidden/>
            <w:lang w:val="fr-FR"/>
          </w:rPr>
          <w:fldChar w:fldCharType="separate"/>
        </w:r>
        <w:r w:rsidR="003301EC" w:rsidRPr="004B2881">
          <w:rPr>
            <w:webHidden/>
            <w:lang w:val="fr-FR"/>
          </w:rPr>
          <w:t>51</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2" w:history="1">
        <w:r w:rsidR="00C047BF" w:rsidRPr="004B2881">
          <w:rPr>
            <w:rStyle w:val="Hyperlink"/>
            <w:lang w:val="fr-FR"/>
          </w:rPr>
          <w:t>Article 17 – Droits d'utilisation du spectre pour les réseaux WLAN et la téléphonie sans fil</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_Toc284419462 \h </w:instrText>
        </w:r>
        <w:r w:rsidRPr="004B2881">
          <w:rPr>
            <w:webHidden/>
            <w:lang w:val="fr-FR"/>
          </w:rPr>
        </w:r>
        <w:r w:rsidRPr="004B2881">
          <w:rPr>
            <w:webHidden/>
            <w:lang w:val="fr-FR"/>
          </w:rPr>
          <w:fldChar w:fldCharType="separate"/>
        </w:r>
        <w:r w:rsidR="003301EC" w:rsidRPr="004B2881">
          <w:rPr>
            <w:webHidden/>
            <w:lang w:val="fr-FR"/>
          </w:rPr>
          <w:t>51</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3" w:history="1">
        <w:r w:rsidR="00C047BF" w:rsidRPr="004B2881">
          <w:rPr>
            <w:rStyle w:val="Hyperlink"/>
            <w:lang w:val="fr-FR"/>
          </w:rPr>
          <w:t>Article 18 – Droits d'utilisation du spectre pour les systèmes GMPCS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_Toc284419463 \h </w:instrText>
        </w:r>
        <w:r w:rsidRPr="004B2881">
          <w:rPr>
            <w:webHidden/>
            <w:lang w:val="fr-FR"/>
          </w:rPr>
        </w:r>
        <w:r w:rsidRPr="004B2881">
          <w:rPr>
            <w:webHidden/>
            <w:lang w:val="fr-FR"/>
          </w:rPr>
          <w:fldChar w:fldCharType="separate"/>
        </w:r>
        <w:r w:rsidR="003301EC" w:rsidRPr="004B2881">
          <w:rPr>
            <w:webHidden/>
            <w:lang w:val="fr-FR"/>
          </w:rPr>
          <w:t>51</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4" w:history="1">
        <w:r w:rsidR="00C047BF" w:rsidRPr="004B2881">
          <w:rPr>
            <w:rStyle w:val="Hyperlink"/>
            <w:lang w:val="fr-FR"/>
          </w:rPr>
          <w:t>Article 19 – Droits d'utilisation du spectre pour le Service d'amateur</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_Toc284419464 \h </w:instrText>
        </w:r>
        <w:r w:rsidRPr="004B2881">
          <w:rPr>
            <w:webHidden/>
            <w:lang w:val="fr-FR"/>
          </w:rPr>
        </w:r>
        <w:r w:rsidRPr="004B2881">
          <w:rPr>
            <w:webHidden/>
            <w:lang w:val="fr-FR"/>
          </w:rPr>
          <w:fldChar w:fldCharType="separate"/>
        </w:r>
        <w:r w:rsidR="003301EC" w:rsidRPr="004B2881">
          <w:rPr>
            <w:webHidden/>
            <w:lang w:val="fr-FR"/>
          </w:rPr>
          <w:t>51</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5" w:history="1">
        <w:r w:rsidR="00C047BF" w:rsidRPr="004B2881">
          <w:rPr>
            <w:rStyle w:val="Hyperlink"/>
            <w:lang w:val="fr-FR"/>
          </w:rPr>
          <w:t>Article 20 – Droits d'utilisation du spectre à acquitter pour les stations  de radiocommunication aéronautiques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_Toc284419465 \h </w:instrText>
        </w:r>
        <w:r w:rsidRPr="004B2881">
          <w:rPr>
            <w:webHidden/>
            <w:lang w:val="fr-FR"/>
          </w:rPr>
        </w:r>
        <w:r w:rsidRPr="004B2881">
          <w:rPr>
            <w:webHidden/>
            <w:lang w:val="fr-FR"/>
          </w:rPr>
          <w:fldChar w:fldCharType="separate"/>
        </w:r>
        <w:r w:rsidR="003301EC" w:rsidRPr="004B2881">
          <w:rPr>
            <w:webHidden/>
            <w:lang w:val="fr-FR"/>
          </w:rPr>
          <w:t>52</w:t>
        </w:r>
        <w:r w:rsidRPr="004B2881">
          <w:rPr>
            <w:webHidden/>
            <w:lang w:val="fr-FR"/>
          </w:rPr>
          <w:fldChar w:fldCharType="end"/>
        </w:r>
      </w:hyperlink>
    </w:p>
    <w:p w:rsidR="009608DA" w:rsidRPr="004B2881" w:rsidRDefault="009608DA" w:rsidP="009608DA">
      <w:pPr>
        <w:pStyle w:val="Recdate"/>
        <w:keepLines w:val="0"/>
        <w:tabs>
          <w:tab w:val="right" w:pos="9639"/>
        </w:tabs>
        <w:jc w:val="left"/>
        <w:rPr>
          <w:b/>
          <w:iCs/>
          <w:lang w:val="fr-FR"/>
        </w:rPr>
      </w:pPr>
      <w:r w:rsidRPr="004B2881">
        <w:rPr>
          <w:iCs/>
          <w:lang w:val="fr-FR"/>
        </w:rPr>
        <w:lastRenderedPageBreak/>
        <w:tab/>
      </w:r>
      <w:r w:rsidRPr="004B2881">
        <w:rPr>
          <w:b/>
          <w:iCs/>
          <w:lang w:val="fr-FR"/>
        </w:rPr>
        <w:t>Page</w:t>
      </w:r>
    </w:p>
    <w:p w:rsidR="00C047BF" w:rsidRPr="004B2881" w:rsidRDefault="0084368D" w:rsidP="00C047BF">
      <w:pPr>
        <w:pStyle w:val="TOC1"/>
        <w:rPr>
          <w:rFonts w:asciiTheme="minorHAnsi" w:eastAsia="SimSun" w:hAnsiTheme="minorHAnsi" w:cstheme="minorBidi"/>
          <w:szCs w:val="22"/>
          <w:lang w:val="fr-FR" w:eastAsia="zh-CN"/>
        </w:rPr>
      </w:pPr>
      <w:hyperlink w:anchor="_Toc284419466" w:history="1">
        <w:r w:rsidR="00C047BF" w:rsidRPr="004B2881">
          <w:rPr>
            <w:rStyle w:val="Hyperlink"/>
            <w:lang w:val="fr-FR"/>
          </w:rPr>
          <w:t>Article 21 – Droits d'utilisation du spectre pour les services de radiocommunication maritimes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_Toc284419466 \h </w:instrText>
        </w:r>
        <w:r w:rsidRPr="004B2881">
          <w:rPr>
            <w:webHidden/>
            <w:lang w:val="fr-FR"/>
          </w:rPr>
        </w:r>
        <w:r w:rsidRPr="004B2881">
          <w:rPr>
            <w:webHidden/>
            <w:lang w:val="fr-FR"/>
          </w:rPr>
          <w:fldChar w:fldCharType="separate"/>
        </w:r>
        <w:r w:rsidR="003301EC" w:rsidRPr="004B2881">
          <w:rPr>
            <w:webHidden/>
            <w:lang w:val="fr-FR"/>
          </w:rPr>
          <w:t>52</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7" w:history="1">
        <w:r w:rsidR="00C047BF" w:rsidRPr="004B2881">
          <w:rPr>
            <w:rStyle w:val="Hyperlink"/>
            <w:lang w:val="fr-FR"/>
          </w:rPr>
          <w:t>Article 22 – Droits d'utilisation du spectre à acquitter pour les services spatiaux  et les services auxiliaires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_Toc284419467 \h </w:instrText>
        </w:r>
        <w:r w:rsidRPr="004B2881">
          <w:rPr>
            <w:webHidden/>
            <w:lang w:val="fr-FR"/>
          </w:rPr>
        </w:r>
        <w:r w:rsidRPr="004B2881">
          <w:rPr>
            <w:webHidden/>
            <w:lang w:val="fr-FR"/>
          </w:rPr>
          <w:fldChar w:fldCharType="separate"/>
        </w:r>
        <w:r w:rsidR="003301EC" w:rsidRPr="004B2881">
          <w:rPr>
            <w:webHidden/>
            <w:lang w:val="fr-FR"/>
          </w:rPr>
          <w:t>52</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8" w:history="1">
        <w:r w:rsidR="00C047BF" w:rsidRPr="004B2881">
          <w:rPr>
            <w:rStyle w:val="Hyperlink"/>
            <w:lang w:val="fr-FR"/>
          </w:rPr>
          <w:t>Article 23 – Droits à acquitter pour les stations de radionavigation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_Toc284419468 \h </w:instrText>
        </w:r>
        <w:r w:rsidRPr="004B2881">
          <w:rPr>
            <w:webHidden/>
            <w:lang w:val="fr-FR"/>
          </w:rPr>
        </w:r>
        <w:r w:rsidRPr="004B2881">
          <w:rPr>
            <w:webHidden/>
            <w:lang w:val="fr-FR"/>
          </w:rPr>
          <w:fldChar w:fldCharType="separate"/>
        </w:r>
        <w:r w:rsidR="003301EC" w:rsidRPr="004B2881">
          <w:rPr>
            <w:webHidden/>
            <w:lang w:val="fr-FR"/>
          </w:rPr>
          <w:t>53</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69" w:history="1">
        <w:r w:rsidR="00C047BF" w:rsidRPr="004B2881">
          <w:rPr>
            <w:rStyle w:val="Hyperlink"/>
            <w:lang w:val="fr-FR"/>
          </w:rPr>
          <w:t>Article 24 – Droits à acquitter pour les stations de radioastronomie</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_Toc284419469 \h </w:instrText>
        </w:r>
        <w:r w:rsidRPr="004B2881">
          <w:rPr>
            <w:webHidden/>
            <w:lang w:val="fr-FR"/>
          </w:rPr>
        </w:r>
        <w:r w:rsidRPr="004B2881">
          <w:rPr>
            <w:webHidden/>
            <w:lang w:val="fr-FR"/>
          </w:rPr>
          <w:fldChar w:fldCharType="separate"/>
        </w:r>
        <w:r w:rsidR="003301EC" w:rsidRPr="004B2881">
          <w:rPr>
            <w:webHidden/>
            <w:lang w:val="fr-FR"/>
          </w:rPr>
          <w:t>53</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0" w:history="1">
        <w:r w:rsidR="00C047BF" w:rsidRPr="004B2881">
          <w:rPr>
            <w:rStyle w:val="Hyperlink"/>
            <w:lang w:val="fr-FR"/>
          </w:rPr>
          <w:t>Article 25 – Droits à acquitter pour les stations de radiolocalisation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_Toc284419470 \h </w:instrText>
        </w:r>
        <w:r w:rsidRPr="004B2881">
          <w:rPr>
            <w:webHidden/>
            <w:lang w:val="fr-FR"/>
          </w:rPr>
        </w:r>
        <w:r w:rsidRPr="004B2881">
          <w:rPr>
            <w:webHidden/>
            <w:lang w:val="fr-FR"/>
          </w:rPr>
          <w:fldChar w:fldCharType="separate"/>
        </w:r>
        <w:r w:rsidR="003301EC" w:rsidRPr="004B2881">
          <w:rPr>
            <w:webHidden/>
            <w:lang w:val="fr-FR"/>
          </w:rPr>
          <w:t>53</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1" w:history="1">
        <w:r w:rsidR="00C047BF" w:rsidRPr="004B2881">
          <w:rPr>
            <w:rStyle w:val="Hyperlink"/>
            <w:lang w:val="fr-FR"/>
          </w:rPr>
          <w:t>Article 26 – Droits à acquitter pour le service de radiodiffusion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_Toc284419471 \h </w:instrText>
        </w:r>
        <w:r w:rsidRPr="004B2881">
          <w:rPr>
            <w:webHidden/>
            <w:lang w:val="fr-FR"/>
          </w:rPr>
        </w:r>
        <w:r w:rsidRPr="004B2881">
          <w:rPr>
            <w:webHidden/>
            <w:lang w:val="fr-FR"/>
          </w:rPr>
          <w:fldChar w:fldCharType="separate"/>
        </w:r>
        <w:r w:rsidR="003301EC" w:rsidRPr="004B2881">
          <w:rPr>
            <w:webHidden/>
            <w:lang w:val="fr-FR"/>
          </w:rPr>
          <w:t>53</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2" w:history="1">
        <w:r w:rsidR="00C047BF" w:rsidRPr="004B2881">
          <w:rPr>
            <w:rStyle w:val="Hyperlink"/>
            <w:lang w:val="fr-FR"/>
          </w:rPr>
          <w:t>Article 27 – Systèmes à courte portée</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_Toc284419472 \h </w:instrText>
        </w:r>
        <w:r w:rsidRPr="004B2881">
          <w:rPr>
            <w:webHidden/>
            <w:lang w:val="fr-FR"/>
          </w:rPr>
        </w:r>
        <w:r w:rsidRPr="004B2881">
          <w:rPr>
            <w:webHidden/>
            <w:lang w:val="fr-FR"/>
          </w:rPr>
          <w:fldChar w:fldCharType="separate"/>
        </w:r>
        <w:r w:rsidR="003301EC" w:rsidRPr="004B2881">
          <w:rPr>
            <w:webHidden/>
            <w:lang w:val="fr-FR"/>
          </w:rPr>
          <w:t>57</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3" w:history="1">
        <w:r w:rsidR="00C047BF" w:rsidRPr="004B2881">
          <w:rPr>
            <w:rStyle w:val="Hyperlink"/>
            <w:lang w:val="fr-FR"/>
          </w:rPr>
          <w:t>Article 28 – Fréquences à utiliser en cas d'urgence et de catastrophe</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_Toc284419473 \h </w:instrText>
        </w:r>
        <w:r w:rsidRPr="004B2881">
          <w:rPr>
            <w:webHidden/>
            <w:lang w:val="fr-FR"/>
          </w:rPr>
        </w:r>
        <w:r w:rsidRPr="004B2881">
          <w:rPr>
            <w:webHidden/>
            <w:lang w:val="fr-FR"/>
          </w:rPr>
          <w:fldChar w:fldCharType="separate"/>
        </w:r>
        <w:r w:rsidR="003301EC" w:rsidRPr="004B2881">
          <w:rPr>
            <w:webHidden/>
            <w:lang w:val="fr-FR"/>
          </w:rPr>
          <w:t>57</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4" w:history="1">
        <w:r w:rsidR="00C047BF" w:rsidRPr="004B2881">
          <w:rPr>
            <w:rStyle w:val="Hyperlink"/>
            <w:lang w:val="fr-FR"/>
          </w:rPr>
          <w:t>Article 29 – Autorisation temporaire</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_Toc284419474 \h </w:instrText>
        </w:r>
        <w:r w:rsidRPr="004B2881">
          <w:rPr>
            <w:webHidden/>
            <w:lang w:val="fr-FR"/>
          </w:rPr>
        </w:r>
        <w:r w:rsidRPr="004B2881">
          <w:rPr>
            <w:webHidden/>
            <w:lang w:val="fr-FR"/>
          </w:rPr>
          <w:fldChar w:fldCharType="separate"/>
        </w:r>
        <w:r w:rsidR="003301EC" w:rsidRPr="004B2881">
          <w:rPr>
            <w:webHidden/>
            <w:lang w:val="fr-FR"/>
          </w:rPr>
          <w:t>58</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5" w:history="1">
        <w:r w:rsidR="00C047BF" w:rsidRPr="004B2881">
          <w:rPr>
            <w:rStyle w:val="Hyperlink"/>
            <w:lang w:val="fr-FR"/>
          </w:rPr>
          <w:t>Article 30 – Autres services de radiocommunication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_Toc284419475 \h </w:instrText>
        </w:r>
        <w:r w:rsidRPr="004B2881">
          <w:rPr>
            <w:webHidden/>
            <w:lang w:val="fr-FR"/>
          </w:rPr>
        </w:r>
        <w:r w:rsidRPr="004B2881">
          <w:rPr>
            <w:webHidden/>
            <w:lang w:val="fr-FR"/>
          </w:rPr>
          <w:fldChar w:fldCharType="separate"/>
        </w:r>
        <w:r w:rsidR="003301EC" w:rsidRPr="004B2881">
          <w:rPr>
            <w:webHidden/>
            <w:lang w:val="fr-FR"/>
          </w:rPr>
          <w:t>58</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6" w:history="1">
        <w:r w:rsidR="00C047BF" w:rsidRPr="004B2881">
          <w:rPr>
            <w:rStyle w:val="Hyperlink"/>
            <w:lang w:val="fr-FR"/>
          </w:rPr>
          <w:t>Article 31 – Traitement des plaintes pour brouillages et droits applicables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_Toc284419476 \h </w:instrText>
        </w:r>
        <w:r w:rsidRPr="004B2881">
          <w:rPr>
            <w:webHidden/>
            <w:lang w:val="fr-FR"/>
          </w:rPr>
        </w:r>
        <w:r w:rsidRPr="004B2881">
          <w:rPr>
            <w:webHidden/>
            <w:lang w:val="fr-FR"/>
          </w:rPr>
          <w:fldChar w:fldCharType="separate"/>
        </w:r>
        <w:r w:rsidR="003301EC" w:rsidRPr="004B2881">
          <w:rPr>
            <w:webHidden/>
            <w:lang w:val="fr-FR"/>
          </w:rPr>
          <w:t>58</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7" w:history="1">
        <w:r w:rsidR="00C047BF" w:rsidRPr="004B2881">
          <w:rPr>
            <w:rStyle w:val="Hyperlink"/>
            <w:lang w:val="fr-FR"/>
          </w:rPr>
          <w:t>Article 32 – Droits à acquitter par les ambassades et consulats de pays étrangers  et par les missions diplomatiques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_Toc284419477 \h </w:instrText>
        </w:r>
        <w:r w:rsidRPr="004B2881">
          <w:rPr>
            <w:webHidden/>
            <w:lang w:val="fr-FR"/>
          </w:rPr>
        </w:r>
        <w:r w:rsidRPr="004B2881">
          <w:rPr>
            <w:webHidden/>
            <w:lang w:val="fr-FR"/>
          </w:rPr>
          <w:fldChar w:fldCharType="separate"/>
        </w:r>
        <w:r w:rsidR="003301EC" w:rsidRPr="004B2881">
          <w:rPr>
            <w:webHidden/>
            <w:lang w:val="fr-FR"/>
          </w:rPr>
          <w:t>58</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8" w:history="1">
        <w:r w:rsidR="00C047BF" w:rsidRPr="004B2881">
          <w:rPr>
            <w:rStyle w:val="Hyperlink"/>
            <w:lang w:val="fr-FR"/>
          </w:rPr>
          <w:t>Article 33 – Droits à acquitter pour la visite des emplacements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_Toc284419478 \h </w:instrText>
        </w:r>
        <w:r w:rsidRPr="004B2881">
          <w:rPr>
            <w:webHidden/>
            <w:lang w:val="fr-FR"/>
          </w:rPr>
        </w:r>
        <w:r w:rsidRPr="004B2881">
          <w:rPr>
            <w:webHidden/>
            <w:lang w:val="fr-FR"/>
          </w:rPr>
          <w:fldChar w:fldCharType="separate"/>
        </w:r>
        <w:r w:rsidR="003301EC" w:rsidRPr="004B2881">
          <w:rPr>
            <w:webHidden/>
            <w:lang w:val="fr-FR"/>
          </w:rPr>
          <w:t>58</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79" w:history="1">
        <w:r w:rsidR="00C047BF" w:rsidRPr="004B2881">
          <w:rPr>
            <w:rStyle w:val="Hyperlink"/>
            <w:lang w:val="fr-FR"/>
          </w:rPr>
          <w:t>Article 34 – Obligation de paiement</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_Toc284419479 \h </w:instrText>
        </w:r>
        <w:r w:rsidRPr="004B2881">
          <w:rPr>
            <w:webHidden/>
            <w:lang w:val="fr-FR"/>
          </w:rPr>
        </w:r>
        <w:r w:rsidRPr="004B2881">
          <w:rPr>
            <w:webHidden/>
            <w:lang w:val="fr-FR"/>
          </w:rPr>
          <w:fldChar w:fldCharType="separate"/>
        </w:r>
        <w:r w:rsidR="003301EC" w:rsidRPr="004B2881">
          <w:rPr>
            <w:webHidden/>
            <w:lang w:val="fr-FR"/>
          </w:rPr>
          <w:t>58</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80" w:history="1">
        <w:r w:rsidR="00C047BF" w:rsidRPr="004B2881">
          <w:rPr>
            <w:rStyle w:val="Hyperlink"/>
            <w:lang w:val="fr-FR"/>
          </w:rPr>
          <w:t>Article 35 – Méthodes de paiement</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_Toc284419480 \h </w:instrText>
        </w:r>
        <w:r w:rsidRPr="004B2881">
          <w:rPr>
            <w:webHidden/>
            <w:lang w:val="fr-FR"/>
          </w:rPr>
        </w:r>
        <w:r w:rsidRPr="004B2881">
          <w:rPr>
            <w:webHidden/>
            <w:lang w:val="fr-FR"/>
          </w:rPr>
          <w:fldChar w:fldCharType="separate"/>
        </w:r>
        <w:r w:rsidR="003301EC" w:rsidRPr="004B2881">
          <w:rPr>
            <w:webHidden/>
            <w:lang w:val="fr-FR"/>
          </w:rPr>
          <w:t>59</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81" w:history="1">
        <w:r w:rsidR="00C047BF" w:rsidRPr="004B2881">
          <w:rPr>
            <w:rStyle w:val="Hyperlink"/>
            <w:lang w:val="fr-FR"/>
          </w:rPr>
          <w:t>Article 36 – Sanctions</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_Toc284419481 \h </w:instrText>
        </w:r>
        <w:r w:rsidRPr="004B2881">
          <w:rPr>
            <w:webHidden/>
            <w:lang w:val="fr-FR"/>
          </w:rPr>
        </w:r>
        <w:r w:rsidRPr="004B2881">
          <w:rPr>
            <w:webHidden/>
            <w:lang w:val="fr-FR"/>
          </w:rPr>
          <w:fldChar w:fldCharType="separate"/>
        </w:r>
        <w:r w:rsidR="003301EC" w:rsidRPr="004B2881">
          <w:rPr>
            <w:webHidden/>
            <w:lang w:val="fr-FR"/>
          </w:rPr>
          <w:t>59</w:t>
        </w:r>
        <w:r w:rsidRPr="004B2881">
          <w:rPr>
            <w:webHidden/>
            <w:lang w:val="fr-FR"/>
          </w:rPr>
          <w:fldChar w:fldCharType="end"/>
        </w:r>
      </w:hyperlink>
    </w:p>
    <w:p w:rsidR="00C047BF" w:rsidRPr="004B2881" w:rsidRDefault="0084368D" w:rsidP="00C047BF">
      <w:pPr>
        <w:pStyle w:val="TOC1"/>
        <w:rPr>
          <w:rFonts w:asciiTheme="minorHAnsi" w:eastAsia="SimSun" w:hAnsiTheme="minorHAnsi" w:cstheme="minorBidi"/>
          <w:szCs w:val="22"/>
          <w:lang w:val="fr-FR" w:eastAsia="zh-CN"/>
        </w:rPr>
      </w:pPr>
      <w:hyperlink w:anchor="_Toc284419482" w:history="1">
        <w:r w:rsidR="00C047BF" w:rsidRPr="004B2881">
          <w:rPr>
            <w:rStyle w:val="Hyperlink"/>
            <w:lang w:val="fr-FR"/>
          </w:rPr>
          <w:t>Article 37 – Mise en application</w:t>
        </w:r>
        <w:r w:rsidR="00C047BF" w:rsidRPr="004B2881">
          <w:rPr>
            <w:webHidden/>
            <w:lang w:val="fr-FR"/>
          </w:rPr>
          <w:tab/>
        </w:r>
        <w:r w:rsidR="00C047BF" w:rsidRPr="004B2881">
          <w:rPr>
            <w:webHidden/>
            <w:lang w:val="fr-FR"/>
          </w:rPr>
          <w:tab/>
        </w:r>
        <w:r w:rsidRPr="004B2881">
          <w:rPr>
            <w:webHidden/>
            <w:lang w:val="fr-FR"/>
          </w:rPr>
          <w:fldChar w:fldCharType="begin"/>
        </w:r>
        <w:r w:rsidR="00C047BF" w:rsidRPr="004B2881">
          <w:rPr>
            <w:webHidden/>
            <w:lang w:val="fr-FR"/>
          </w:rPr>
          <w:instrText xml:space="preserve"> PAGEREF _Toc284419482 \h </w:instrText>
        </w:r>
        <w:r w:rsidRPr="004B2881">
          <w:rPr>
            <w:webHidden/>
            <w:lang w:val="fr-FR"/>
          </w:rPr>
        </w:r>
        <w:r w:rsidRPr="004B2881">
          <w:rPr>
            <w:webHidden/>
            <w:lang w:val="fr-FR"/>
          </w:rPr>
          <w:fldChar w:fldCharType="separate"/>
        </w:r>
        <w:r w:rsidR="003301EC" w:rsidRPr="004B2881">
          <w:rPr>
            <w:webHidden/>
            <w:lang w:val="fr-FR"/>
          </w:rPr>
          <w:t>59</w:t>
        </w:r>
        <w:r w:rsidRPr="004B2881">
          <w:rPr>
            <w:webHidden/>
            <w:lang w:val="fr-FR"/>
          </w:rPr>
          <w:fldChar w:fldCharType="end"/>
        </w:r>
      </w:hyperlink>
    </w:p>
    <w:p w:rsidR="00B51759" w:rsidRPr="004B2881" w:rsidRDefault="0084368D" w:rsidP="00C047BF">
      <w:pPr>
        <w:pStyle w:val="Arttitle"/>
        <w:spacing w:before="400"/>
        <w:rPr>
          <w:lang w:val="fr-FR"/>
        </w:rPr>
      </w:pPr>
      <w:r w:rsidRPr="004B2881">
        <w:rPr>
          <w:lang w:val="fr-FR"/>
        </w:rPr>
        <w:fldChar w:fldCharType="end"/>
      </w:r>
      <w:r w:rsidR="00B51759" w:rsidRPr="004B2881">
        <w:rPr>
          <w:lang w:val="fr-FR"/>
        </w:rPr>
        <w:br w:type="page"/>
      </w:r>
      <w:bookmarkStart w:id="578" w:name="_Toc225739476"/>
      <w:bookmarkStart w:id="579" w:name="_Toc225739811"/>
      <w:bookmarkStart w:id="580" w:name="_Toc280262358"/>
      <w:bookmarkStart w:id="581" w:name="_Toc280272752"/>
      <w:bookmarkStart w:id="582" w:name="_Toc280272931"/>
      <w:bookmarkStart w:id="583" w:name="_Toc284419446"/>
      <w:bookmarkStart w:id="584" w:name="_Toc286315763"/>
      <w:r w:rsidR="002904B5" w:rsidRPr="004B2881">
        <w:rPr>
          <w:lang w:val="fr-FR"/>
        </w:rPr>
        <w:lastRenderedPageBreak/>
        <w:t xml:space="preserve">Article </w:t>
      </w:r>
      <w:r w:rsidR="00B51759" w:rsidRPr="004B2881">
        <w:rPr>
          <w:lang w:val="fr-FR"/>
        </w:rPr>
        <w:t>1</w:t>
      </w:r>
      <w:bookmarkStart w:id="585" w:name="_Toc225739477"/>
      <w:bookmarkStart w:id="586" w:name="_Toc225739812"/>
      <w:bookmarkEnd w:id="578"/>
      <w:bookmarkEnd w:id="579"/>
      <w:r w:rsidR="00B51759" w:rsidRPr="004B2881">
        <w:rPr>
          <w:lang w:val="fr-FR"/>
        </w:rPr>
        <w:br/>
      </w:r>
      <w:r w:rsidR="00B51759" w:rsidRPr="004B2881">
        <w:rPr>
          <w:lang w:val="fr-FR"/>
        </w:rPr>
        <w:br/>
        <w:t>Objet</w:t>
      </w:r>
      <w:bookmarkEnd w:id="580"/>
      <w:bookmarkEnd w:id="581"/>
      <w:bookmarkEnd w:id="582"/>
      <w:bookmarkEnd w:id="583"/>
      <w:bookmarkEnd w:id="584"/>
      <w:bookmarkEnd w:id="585"/>
      <w:bookmarkEnd w:id="586"/>
    </w:p>
    <w:p w:rsidR="00B51759" w:rsidRPr="004B2881" w:rsidRDefault="00B51759" w:rsidP="00B51759">
      <w:pPr>
        <w:rPr>
          <w:lang w:val="fr-FR"/>
        </w:rPr>
      </w:pPr>
      <w:r w:rsidRPr="004B2881">
        <w:rPr>
          <w:lang w:val="fr-FR"/>
        </w:rPr>
        <w:t>Conformément à la Loi fédérale (Décret N° 3 de 2003), telle qu'elle a été amendée, et à son texte d'application, la présente directive établit le barème des droits d'utilisation du spectre des fréquences radioélectriques et d'utilisation d'équipements hertziens. Les droits d'utilisation du spectre sont payables à l'avance pour les demandes d'autorisation, l'enregistrement de ces demandes, l'autorisation ou le renouvellement, sauf disposition contraire indiquée dans la présente directive.</w:t>
      </w:r>
    </w:p>
    <w:p w:rsidR="00B51759" w:rsidRPr="004B2881" w:rsidRDefault="002904B5" w:rsidP="002904B5">
      <w:pPr>
        <w:pStyle w:val="Arttitle"/>
        <w:spacing w:before="400"/>
        <w:rPr>
          <w:lang w:val="fr-FR"/>
        </w:rPr>
      </w:pPr>
      <w:bookmarkStart w:id="587" w:name="_Toc225739478"/>
      <w:bookmarkStart w:id="588" w:name="_Toc225739813"/>
      <w:bookmarkStart w:id="589" w:name="_Toc280262359"/>
      <w:bookmarkStart w:id="590" w:name="_Toc280272753"/>
      <w:bookmarkStart w:id="591" w:name="_Toc280272932"/>
      <w:bookmarkStart w:id="592" w:name="_Toc284419447"/>
      <w:bookmarkStart w:id="593" w:name="_Toc286315764"/>
      <w:r w:rsidRPr="004B2881">
        <w:rPr>
          <w:lang w:val="fr-FR"/>
        </w:rPr>
        <w:t xml:space="preserve">Article </w:t>
      </w:r>
      <w:r w:rsidR="00B51759" w:rsidRPr="004B2881">
        <w:rPr>
          <w:lang w:val="fr-FR"/>
        </w:rPr>
        <w:t>2</w:t>
      </w:r>
      <w:bookmarkStart w:id="594" w:name="_Toc225739479"/>
      <w:bookmarkStart w:id="595" w:name="_Toc225739814"/>
      <w:bookmarkEnd w:id="587"/>
      <w:bookmarkEnd w:id="588"/>
      <w:r w:rsidR="00B51759" w:rsidRPr="004B2881">
        <w:rPr>
          <w:lang w:val="fr-FR"/>
        </w:rPr>
        <w:br/>
      </w:r>
      <w:r w:rsidR="00B51759" w:rsidRPr="004B2881">
        <w:rPr>
          <w:lang w:val="fr-FR"/>
        </w:rPr>
        <w:br/>
        <w:t>Définitions</w:t>
      </w:r>
      <w:bookmarkEnd w:id="589"/>
      <w:bookmarkEnd w:id="590"/>
      <w:bookmarkEnd w:id="591"/>
      <w:bookmarkEnd w:id="592"/>
      <w:bookmarkEnd w:id="593"/>
      <w:bookmarkEnd w:id="594"/>
      <w:bookmarkEnd w:id="595"/>
    </w:p>
    <w:p w:rsidR="00B51759" w:rsidRPr="004B2881" w:rsidRDefault="00B51759" w:rsidP="00B51759">
      <w:pPr>
        <w:rPr>
          <w:lang w:val="fr-FR"/>
        </w:rPr>
      </w:pPr>
      <w:r w:rsidRPr="004B2881">
        <w:rPr>
          <w:lang w:val="fr-FR"/>
        </w:rPr>
        <w:t>Dans la présente directive, les termes suivants ont la signification suivante, sauf si le contexte en décide autrement, et chaque terme utilisé ci-après est défini conformément à la Loi fédérale (Décret N° 3 de 2003), telle qu'elle a été amendée, et à son texte d'application:</w:t>
      </w:r>
    </w:p>
    <w:p w:rsidR="00B51759" w:rsidRPr="004B2881" w:rsidRDefault="00B51759"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2.1</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Attribution</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l'inscription d'une fréquence ou d'une bande de fréquences désignée dans le plan national des fréquences radioélectriques, devant être utilisée par un ou plusieurs utilisateurs d'un service de radiocommunication de Terre ou spatial dans les Emirats arabes unis.</w:t>
      </w:r>
    </w:p>
    <w:p w:rsidR="00B51759" w:rsidRPr="004B2881" w:rsidRDefault="00B51759"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2.2</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Demandeur</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toute personne qui a demandé une licence ou une autorisation, conformément à la Loi sur les télécommunications ou à tout autre instrument de politique générale promulgué par la TRA.</w:t>
      </w:r>
    </w:p>
    <w:p w:rsidR="00B51759" w:rsidRPr="004B2881" w:rsidRDefault="00B51759"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2.3</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Demande</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la demande de délivrance d'une licence ou d'une autorisation, reçue par la TRA selon la procédure en vigueur.</w:t>
      </w:r>
    </w:p>
    <w:p w:rsidR="00B51759" w:rsidRPr="004B2881" w:rsidRDefault="00B51759"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2.4</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Autorisation</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autorisation d'utilisation du spectre des fréquences radioélectriques, délivrée par la TRA.</w:t>
      </w:r>
    </w:p>
    <w:p w:rsidR="00B51759" w:rsidRPr="004B2881" w:rsidRDefault="00B51759" w:rsidP="00B51759">
      <w:pPr>
        <w:pStyle w:val="enumlev1"/>
        <w:rPr>
          <w:rFonts w:asciiTheme="majorBidi" w:hAnsiTheme="majorBidi" w:cstheme="majorBidi"/>
          <w:bCs/>
          <w:szCs w:val="22"/>
          <w:lang w:val="fr-FR"/>
        </w:rPr>
      </w:pPr>
      <w:r w:rsidRPr="004B2881">
        <w:rPr>
          <w:rFonts w:asciiTheme="majorBidi" w:hAnsiTheme="majorBidi" w:cstheme="majorBidi"/>
          <w:bCs/>
          <w:szCs w:val="22"/>
          <w:lang w:val="fr-FR"/>
        </w:rPr>
        <w:t>2.5</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Utilisateur agréé</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personne à laquelle la TRA a délivré une autorisation d'utilisation du spectre des fréquences radioélectriques.</w:t>
      </w:r>
    </w:p>
    <w:p w:rsidR="00B51759" w:rsidRPr="004B2881" w:rsidRDefault="00B51759"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2.6</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Autorisation catégorielle</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autorisation d'utilisation des fréquences radioélectriques qui autorise l'exploitation d'équipements sans fil dans des bandes de fréquences désignées, conformément aux modalités et conditions énoncées ci-après.</w:t>
      </w:r>
    </w:p>
    <w:p w:rsidR="00B51759" w:rsidRPr="004B2881" w:rsidRDefault="00B51759"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2.7</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Autorisation individuelle</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autorisation d'utilisation du spectre des fréquences radioélectriques qui autorise l'exploitation d'équipements sans fil par une personne précise à laquelle des fréquences ont été attribuées ou assignées, conformément aux modalités et conditions énoncées ci-après.</w:t>
      </w:r>
    </w:p>
    <w:p w:rsidR="00B51759" w:rsidRPr="004B2881" w:rsidRDefault="00B51759"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2.8</w:t>
      </w:r>
      <w:r w:rsidRPr="004B2881">
        <w:rPr>
          <w:rFonts w:asciiTheme="majorBidi" w:hAnsiTheme="majorBidi" w:cstheme="majorBidi"/>
          <w:bCs/>
          <w:szCs w:val="22"/>
          <w:lang w:val="fr-FR"/>
        </w:rPr>
        <w:tab/>
        <w:t xml:space="preserve">On entend par </w:t>
      </w:r>
      <w:r w:rsidR="0036052F" w:rsidRPr="004B2881">
        <w:rPr>
          <w:rFonts w:asciiTheme="majorBidi" w:hAnsiTheme="majorBidi" w:cstheme="majorBidi"/>
          <w:bCs/>
          <w:szCs w:val="22"/>
          <w:lang w:val="fr-FR"/>
        </w:rPr>
        <w:t>«</w:t>
      </w:r>
      <w:r w:rsidRPr="004B2881">
        <w:rPr>
          <w:rFonts w:asciiTheme="majorBidi" w:hAnsiTheme="majorBidi" w:cstheme="majorBidi"/>
          <w:b/>
          <w:szCs w:val="22"/>
          <w:lang w:val="fr-FR"/>
        </w:rPr>
        <w:t>Plan national d'utilisation du spectre</w:t>
      </w:r>
      <w:r w:rsidR="0036052F"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le plan d'attribution des fréquences radioélectriques pour les Emirats arabes unis, approuvé par le Conseil suprême, et les éventuelles modifications de ce plan.</w:t>
      </w:r>
    </w:p>
    <w:p w:rsidR="00B51759" w:rsidRPr="004B2881" w:rsidRDefault="0036052F" w:rsidP="0036052F">
      <w:pPr>
        <w:pStyle w:val="enumlev1"/>
        <w:rPr>
          <w:rFonts w:asciiTheme="majorBidi" w:hAnsiTheme="majorBidi" w:cstheme="majorBidi"/>
          <w:bCs/>
          <w:szCs w:val="22"/>
          <w:lang w:val="fr-FR"/>
        </w:rPr>
      </w:pPr>
      <w:r w:rsidRPr="004B2881">
        <w:rPr>
          <w:rFonts w:asciiTheme="majorBidi" w:hAnsiTheme="majorBidi" w:cstheme="majorBidi"/>
          <w:bCs/>
          <w:szCs w:val="22"/>
          <w:lang w:val="fr-FR"/>
        </w:rPr>
        <w:t>2.9</w:t>
      </w:r>
      <w:r w:rsidRPr="004B2881">
        <w:rPr>
          <w:rFonts w:asciiTheme="majorBidi" w:hAnsiTheme="majorBidi" w:cstheme="majorBidi"/>
          <w:bCs/>
          <w:szCs w:val="22"/>
          <w:lang w:val="fr-FR"/>
        </w:rPr>
        <w:tab/>
        <w:t>On entend par «</w:t>
      </w:r>
      <w:r w:rsidR="00B51759" w:rsidRPr="004B2881">
        <w:rPr>
          <w:rFonts w:asciiTheme="majorBidi" w:hAnsiTheme="majorBidi" w:cstheme="majorBidi"/>
          <w:b/>
          <w:szCs w:val="22"/>
          <w:lang w:val="fr-FR"/>
        </w:rPr>
        <w:t>Personne</w:t>
      </w:r>
      <w:r w:rsidRPr="004B2881">
        <w:rPr>
          <w:rFonts w:asciiTheme="majorBidi" w:hAnsiTheme="majorBidi" w:cstheme="majorBidi"/>
          <w:bCs/>
          <w:szCs w:val="22"/>
          <w:lang w:val="fr-FR"/>
        </w:rPr>
        <w:t>»</w:t>
      </w:r>
      <w:r w:rsidR="00B51759" w:rsidRPr="004B2881">
        <w:rPr>
          <w:rFonts w:asciiTheme="majorBidi" w:hAnsiTheme="majorBidi" w:cstheme="majorBidi"/>
          <w:bCs/>
          <w:szCs w:val="22"/>
          <w:lang w:val="fr-FR"/>
        </w:rPr>
        <w:t xml:space="preserve"> aussi bien des personnes morales que des personnes physiques.</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2.10</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Radiocommunication</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les systèmes de transmission hertziens utilisant les fréquences radioélectriques.</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2.11</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Service de radiocommunication</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 service qui utilise les radiocommunications.</w:t>
      </w:r>
    </w:p>
    <w:p w:rsidR="00B51759" w:rsidRPr="004B2881" w:rsidRDefault="00B51759" w:rsidP="00B51759">
      <w:pPr>
        <w:pStyle w:val="enumlev1"/>
        <w:rPr>
          <w:rFonts w:asciiTheme="majorBidi" w:hAnsiTheme="majorBidi" w:cstheme="majorBidi"/>
          <w:bCs/>
          <w:szCs w:val="22"/>
          <w:lang w:val="fr-FR"/>
        </w:rPr>
      </w:pPr>
      <w:r w:rsidRPr="004B2881">
        <w:rPr>
          <w:rFonts w:asciiTheme="majorBidi" w:hAnsiTheme="majorBidi" w:cstheme="majorBidi"/>
          <w:bCs/>
          <w:szCs w:val="22"/>
          <w:lang w:val="fr-FR"/>
        </w:rPr>
        <w:t>2.12</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Fréquence radioélectrique</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l'énergie électromagnétique émise, mesurée en hertz ou en cycles/seconde.</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2.13</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Autorisation d'utilisation des fréquences radioélectriques</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autorisation, individuelle ou catégorielle, délivrée par la TRA, qui permet l'utilisation des fréquences radioélectriques, conformément aux modalités et conditions énoncées ci-après.</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lastRenderedPageBreak/>
        <w:t>2.14</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Instruments réglementaires</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tout instrument provenant de la TRA et relevant de sa compétence, et plus précisément, mais non exclusivement, les réglementations, avis de violation, directives, instructions, avis, recommandations et politiques réglementaires.</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2.15</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Station</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installation exploitée par un utilisateur agréé, se composant d'un système d'émission ou de réception radioélectrique et des équipements auxiliaires nécessaires, ou d'un ou de plusieurs émetteurs ou récepteurs, ou encore d'une combinaison d'émetteurs et de récepteurs, équipements auxiliaires compris, nécessaires à l'acheminement d'un service de radiocommunication.</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2.16</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Télécommunication</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tout moyen de transmission, d'émission ou de réception de signaux, de texte, d'images, de sons ou d'information de toute nature par voie filaire, radioélectrique, optique ou par tout autre système électromagnétique.</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2.17</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Autorisation temporaire</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autorisation d'utilisation du spectre des fréquences radioélectriques accordée par la TRA et qui permet l'utilisation de fréquences données pendant une période maximale de 90 jours.</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2.18</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TRA</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l'Autorité générale responsable de la réglementation du secteur des télécommunications, appelée Telecommunication Regulatory Authority (TRA) et mise en place conformément aux dispositions de l'Article 6 de la Loi fédérale aux termes du Décret N° 3 (2003).</w:t>
      </w:r>
    </w:p>
    <w:p w:rsidR="00B51759" w:rsidRPr="004B2881" w:rsidRDefault="00B51759" w:rsidP="00B51759">
      <w:pPr>
        <w:pStyle w:val="enumlev1"/>
        <w:rPr>
          <w:rFonts w:asciiTheme="majorBidi" w:hAnsiTheme="majorBidi" w:cstheme="majorBidi"/>
          <w:bCs/>
          <w:szCs w:val="22"/>
          <w:lang w:val="fr-FR"/>
        </w:rPr>
      </w:pPr>
      <w:r w:rsidRPr="004B2881">
        <w:rPr>
          <w:rFonts w:asciiTheme="majorBidi" w:hAnsiTheme="majorBidi" w:cstheme="majorBidi"/>
          <w:bCs/>
          <w:szCs w:val="22"/>
          <w:lang w:val="fr-FR"/>
        </w:rPr>
        <w:t>2.19</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EAU</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les Emirats arabes unis, incluant leurs eaux territoriales et espace aérien.</w:t>
      </w:r>
    </w:p>
    <w:p w:rsidR="00B51759" w:rsidRPr="004B2881" w:rsidRDefault="00B51759" w:rsidP="008B5769">
      <w:pPr>
        <w:pStyle w:val="enumlev1"/>
        <w:rPr>
          <w:rFonts w:asciiTheme="majorBidi" w:hAnsiTheme="majorBidi" w:cstheme="majorBidi"/>
          <w:bCs/>
          <w:szCs w:val="22"/>
          <w:lang w:val="fr-FR"/>
        </w:rPr>
      </w:pPr>
      <w:r w:rsidRPr="004B2881">
        <w:rPr>
          <w:rFonts w:asciiTheme="majorBidi" w:hAnsiTheme="majorBidi" w:cstheme="majorBidi"/>
          <w:bCs/>
          <w:szCs w:val="22"/>
          <w:lang w:val="fr-FR"/>
        </w:rPr>
        <w:t>2.20</w:t>
      </w:r>
      <w:r w:rsidRPr="004B2881">
        <w:rPr>
          <w:rFonts w:asciiTheme="majorBidi" w:hAnsiTheme="majorBidi" w:cstheme="majorBidi"/>
          <w:bCs/>
          <w:szCs w:val="22"/>
          <w:lang w:val="fr-FR"/>
        </w:rPr>
        <w:tab/>
        <w:t xml:space="preserve">On entend par </w:t>
      </w:r>
      <w:r w:rsidR="008B5769" w:rsidRPr="004B2881">
        <w:rPr>
          <w:rFonts w:asciiTheme="majorBidi" w:hAnsiTheme="majorBidi" w:cstheme="majorBidi"/>
          <w:bCs/>
          <w:szCs w:val="22"/>
          <w:lang w:val="fr-FR"/>
        </w:rPr>
        <w:t>«</w:t>
      </w:r>
      <w:r w:rsidRPr="004B2881">
        <w:rPr>
          <w:rFonts w:asciiTheme="majorBidi" w:hAnsiTheme="majorBidi" w:cstheme="majorBidi"/>
          <w:b/>
          <w:szCs w:val="22"/>
          <w:lang w:val="fr-FR"/>
        </w:rPr>
        <w:t>Equipements hertziens</w:t>
      </w:r>
      <w:r w:rsidR="008B5769" w:rsidRPr="004B2881">
        <w:rPr>
          <w:rFonts w:asciiTheme="majorBidi" w:hAnsiTheme="majorBidi" w:cstheme="majorBidi"/>
          <w:bCs/>
          <w:szCs w:val="22"/>
          <w:lang w:val="fr-FR"/>
        </w:rPr>
        <w:t>»</w:t>
      </w:r>
      <w:r w:rsidRPr="004B2881">
        <w:rPr>
          <w:rFonts w:asciiTheme="majorBidi" w:hAnsiTheme="majorBidi" w:cstheme="majorBidi"/>
          <w:bCs/>
          <w:szCs w:val="22"/>
          <w:lang w:val="fr-FR"/>
        </w:rPr>
        <w:t xml:space="preserve"> une catégorie d'appareils de télécommunication utilisés pour les radiocommunications.</w:t>
      </w:r>
    </w:p>
    <w:p w:rsidR="00B51759" w:rsidRPr="004B2881" w:rsidRDefault="002904B5" w:rsidP="002904B5">
      <w:pPr>
        <w:pStyle w:val="Arttitle"/>
        <w:spacing w:before="400"/>
        <w:rPr>
          <w:lang w:val="fr-FR"/>
        </w:rPr>
      </w:pPr>
      <w:bookmarkStart w:id="596" w:name="_Toc225739815"/>
      <w:bookmarkStart w:id="597" w:name="_Toc280262360"/>
      <w:bookmarkStart w:id="598" w:name="_Toc280272754"/>
      <w:bookmarkStart w:id="599" w:name="_Toc280272933"/>
      <w:bookmarkStart w:id="600" w:name="_Toc284419448"/>
      <w:bookmarkStart w:id="601" w:name="_Toc286315765"/>
      <w:r w:rsidRPr="004B2881">
        <w:rPr>
          <w:lang w:val="fr-FR"/>
        </w:rPr>
        <w:t>Article 3</w:t>
      </w:r>
      <w:r w:rsidR="00B51759" w:rsidRPr="004B2881">
        <w:rPr>
          <w:lang w:val="fr-FR"/>
        </w:rPr>
        <w:br/>
      </w:r>
      <w:r w:rsidR="00B51759" w:rsidRPr="004B2881">
        <w:rPr>
          <w:lang w:val="fr-FR"/>
        </w:rPr>
        <w:br/>
        <w:t>Droits à acquitter pour le traitement des demandes</w:t>
      </w:r>
      <w:bookmarkEnd w:id="596"/>
      <w:bookmarkEnd w:id="597"/>
      <w:bookmarkEnd w:id="598"/>
      <w:bookmarkEnd w:id="599"/>
      <w:bookmarkEnd w:id="600"/>
      <w:bookmarkEnd w:id="601"/>
    </w:p>
    <w:p w:rsidR="00B51759" w:rsidRPr="004B2881" w:rsidRDefault="00B51759" w:rsidP="00B51759">
      <w:pPr>
        <w:rPr>
          <w:lang w:val="fr-FR"/>
        </w:rPr>
      </w:pPr>
      <w:r w:rsidRPr="004B2881">
        <w:rPr>
          <w:lang w:val="fr-FR"/>
        </w:rPr>
        <w:t xml:space="preserve">Chaque demande d'autorisation de fréquences radioélectriques doit être accompagnée par avance d'un paiement non remboursable de cinq cents </w:t>
      </w:r>
      <w:r w:rsidRPr="004B2881">
        <w:rPr>
          <w:b/>
          <w:lang w:val="fr-FR"/>
        </w:rPr>
        <w:t>(500) dirhams</w:t>
      </w:r>
      <w:r w:rsidRPr="004B2881">
        <w:rPr>
          <w:lang w:val="fr-FR"/>
        </w:rPr>
        <w:t xml:space="preserve"> pour le traitement de la demande, que celle-ci soit finalement approuvée ou refusée. La TRA peut conseiller à certains organismes gouvernementaux, opérateurs détenteurs de licence et grands utilisateurs de regrouper le paiement des droits à acquitter pour le traitement des demandes et pour l'utilisation du spectre.</w:t>
      </w:r>
    </w:p>
    <w:p w:rsidR="00B51759" w:rsidRPr="004B2881" w:rsidRDefault="002904B5" w:rsidP="002904B5">
      <w:pPr>
        <w:pStyle w:val="Arttitle"/>
        <w:spacing w:before="400"/>
        <w:rPr>
          <w:lang w:val="fr-FR"/>
        </w:rPr>
      </w:pPr>
      <w:bookmarkStart w:id="602" w:name="_Toc280262361"/>
      <w:bookmarkStart w:id="603" w:name="_Toc280272755"/>
      <w:bookmarkStart w:id="604" w:name="_Toc280272934"/>
      <w:bookmarkStart w:id="605" w:name="_Toc284419449"/>
      <w:bookmarkStart w:id="606" w:name="_Toc286315766"/>
      <w:r w:rsidRPr="004B2881">
        <w:rPr>
          <w:lang w:val="fr-FR"/>
        </w:rPr>
        <w:t xml:space="preserve">Article </w:t>
      </w:r>
      <w:r w:rsidR="00B51759" w:rsidRPr="004B2881">
        <w:rPr>
          <w:lang w:val="fr-FR"/>
        </w:rPr>
        <w:t>4</w:t>
      </w:r>
      <w:bookmarkStart w:id="607" w:name="_Toc225739816"/>
      <w:r w:rsidR="00B51759" w:rsidRPr="004B2881">
        <w:rPr>
          <w:lang w:val="fr-FR"/>
        </w:rPr>
        <w:br/>
      </w:r>
      <w:r w:rsidR="00B51759" w:rsidRPr="004B2881">
        <w:rPr>
          <w:lang w:val="fr-FR"/>
        </w:rPr>
        <w:br/>
        <w:t>Exemption des droits à acquitter pour le traitement des demandes</w:t>
      </w:r>
      <w:bookmarkEnd w:id="602"/>
      <w:bookmarkEnd w:id="603"/>
      <w:bookmarkEnd w:id="604"/>
      <w:bookmarkEnd w:id="605"/>
      <w:bookmarkEnd w:id="606"/>
      <w:bookmarkEnd w:id="607"/>
    </w:p>
    <w:p w:rsidR="00B51759" w:rsidRPr="004B2881" w:rsidRDefault="00B51759" w:rsidP="00B51759">
      <w:pPr>
        <w:rPr>
          <w:lang w:val="fr-FR"/>
        </w:rPr>
      </w:pPr>
      <w:r w:rsidRPr="004B2881">
        <w:rPr>
          <w:lang w:val="fr-FR"/>
        </w:rPr>
        <w:t>Les demandes suivantes sont exemptées de droits de traitement:</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4.1</w:t>
      </w:r>
      <w:r w:rsidRPr="004B2881">
        <w:rPr>
          <w:rFonts w:asciiTheme="majorBidi" w:hAnsiTheme="majorBidi" w:cstheme="majorBidi"/>
          <w:szCs w:val="22"/>
          <w:lang w:val="fr-FR"/>
        </w:rPr>
        <w:tab/>
        <w:t>Demande concernant des petites embarcations considérées comme chalutiers selon leur permis de navigation.</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4.2</w:t>
      </w:r>
      <w:r w:rsidRPr="004B2881">
        <w:rPr>
          <w:rFonts w:asciiTheme="majorBidi" w:hAnsiTheme="majorBidi" w:cstheme="majorBidi"/>
          <w:szCs w:val="22"/>
          <w:lang w:val="fr-FR"/>
        </w:rPr>
        <w:tab/>
        <w:t>Demande d'autorisation de service d'amateur, si elle est présentée par l'intermédiaire de la Société des radioamateurs des Emirats.</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4.3</w:t>
      </w:r>
      <w:r w:rsidRPr="004B2881">
        <w:rPr>
          <w:rFonts w:asciiTheme="majorBidi" w:hAnsiTheme="majorBidi" w:cstheme="majorBidi"/>
          <w:szCs w:val="22"/>
          <w:lang w:val="fr-FR"/>
        </w:rPr>
        <w:tab/>
        <w:t>Demande d'utilisation personnelle d'un système de radiocommunication mobile privé pour les jockeys des courses de chameaux.</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4.4</w:t>
      </w:r>
      <w:r w:rsidRPr="004B2881">
        <w:rPr>
          <w:rFonts w:asciiTheme="majorBidi" w:hAnsiTheme="majorBidi" w:cstheme="majorBidi"/>
          <w:szCs w:val="22"/>
          <w:lang w:val="fr-FR"/>
        </w:rPr>
        <w:tab/>
        <w:t>Demande de clubs de loisirs à vocation non commerciale, par exemple pour l'aéromodélisme.</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4.5</w:t>
      </w:r>
      <w:r w:rsidRPr="004B2881">
        <w:rPr>
          <w:rFonts w:asciiTheme="majorBidi" w:hAnsiTheme="majorBidi" w:cstheme="majorBidi"/>
          <w:szCs w:val="22"/>
          <w:lang w:val="fr-FR"/>
        </w:rPr>
        <w:tab/>
        <w:t>Demande d'instituts de recherche et d'établissements d'enseignement pour utilisation privée.</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4.6</w:t>
      </w:r>
      <w:r w:rsidRPr="004B2881">
        <w:rPr>
          <w:rFonts w:asciiTheme="majorBidi" w:hAnsiTheme="majorBidi" w:cstheme="majorBidi"/>
          <w:szCs w:val="22"/>
          <w:lang w:val="fr-FR"/>
        </w:rPr>
        <w:tab/>
        <w:t>Demande des missions étrangères, des consulats et ambassades pour la correspondance officielle ou les visites de hautes personnalités, soumises par l'intermédiaire du Ministère des affaires étrangères des Emirats arabes unis.</w:t>
      </w:r>
    </w:p>
    <w:p w:rsidR="00B51759" w:rsidRPr="004B2881" w:rsidRDefault="002904B5" w:rsidP="002904B5">
      <w:pPr>
        <w:pStyle w:val="Arttitle"/>
        <w:rPr>
          <w:lang w:val="fr-FR"/>
        </w:rPr>
      </w:pPr>
      <w:bookmarkStart w:id="608" w:name="_Toc225739817"/>
      <w:bookmarkStart w:id="609" w:name="_Toc280262362"/>
      <w:bookmarkStart w:id="610" w:name="_Toc280272756"/>
      <w:bookmarkStart w:id="611" w:name="_Toc280272935"/>
      <w:bookmarkStart w:id="612" w:name="_Toc284419450"/>
      <w:bookmarkStart w:id="613" w:name="_Toc286315767"/>
      <w:r w:rsidRPr="004B2881">
        <w:rPr>
          <w:lang w:val="fr-FR"/>
        </w:rPr>
        <w:lastRenderedPageBreak/>
        <w:t>Article 5</w:t>
      </w:r>
      <w:r w:rsidR="00B51759" w:rsidRPr="004B2881">
        <w:rPr>
          <w:lang w:val="fr-FR"/>
        </w:rPr>
        <w:br/>
      </w:r>
      <w:r w:rsidR="00B51759" w:rsidRPr="004B2881">
        <w:rPr>
          <w:lang w:val="fr-FR"/>
        </w:rPr>
        <w:br/>
        <w:t>Droits d'utilisation du spectre à acquitter en cas de nouvelle demande</w:t>
      </w:r>
      <w:bookmarkEnd w:id="608"/>
      <w:bookmarkEnd w:id="609"/>
      <w:bookmarkEnd w:id="610"/>
      <w:bookmarkEnd w:id="611"/>
      <w:bookmarkEnd w:id="612"/>
      <w:bookmarkEnd w:id="613"/>
    </w:p>
    <w:p w:rsidR="00B51759" w:rsidRPr="004B2881" w:rsidRDefault="00B51759" w:rsidP="00B51759">
      <w:pPr>
        <w:rPr>
          <w:lang w:val="fr-FR"/>
        </w:rPr>
      </w:pPr>
      <w:r w:rsidRPr="004B2881">
        <w:rPr>
          <w:lang w:val="fr-FR"/>
        </w:rPr>
        <w:t>Les droits d'utilisation du spectre sont à acquitter à l'avance. Lorsqu'une réponse favorable est donnée à une nouvelle demande, la TRA informe le demandeur du montant des droits, conformément à la présente directive, calculé au prorata de la durée de validité de l'autorisation à compter de la date de la facture. Le demandeur présente à la TRA une preuve de paiement, dans un délai de trente (30) jours maximum. A la réception du paiement vérifié par la TRA, on considère que le paiement a été versé aux fins de délivrance de l'autorisation. En cas de non-réception du paiement, la TRA annule la demande. Si le demandeur exige qu'il soit donné suite à sa demande, il est tenu de la présenter une nouvelle fois, en s'acquittant des droits de traitement correspondants.</w:t>
      </w:r>
    </w:p>
    <w:p w:rsidR="00B51759" w:rsidRPr="004B2881" w:rsidRDefault="002904B5" w:rsidP="002904B5">
      <w:pPr>
        <w:pStyle w:val="Arttitle"/>
        <w:spacing w:before="400"/>
        <w:rPr>
          <w:lang w:val="fr-FR"/>
        </w:rPr>
      </w:pPr>
      <w:bookmarkStart w:id="614" w:name="_Toc280262363"/>
      <w:bookmarkStart w:id="615" w:name="_Toc280272757"/>
      <w:bookmarkStart w:id="616" w:name="_Toc280272936"/>
      <w:bookmarkStart w:id="617" w:name="_Toc284419451"/>
      <w:bookmarkStart w:id="618" w:name="_Toc286315768"/>
      <w:r w:rsidRPr="004B2881">
        <w:rPr>
          <w:lang w:val="fr-FR"/>
        </w:rPr>
        <w:t xml:space="preserve">Article </w:t>
      </w:r>
      <w:r w:rsidR="00B51759" w:rsidRPr="004B2881">
        <w:rPr>
          <w:lang w:val="fr-FR"/>
        </w:rPr>
        <w:t>6</w:t>
      </w:r>
      <w:bookmarkStart w:id="619" w:name="_Toc225739818"/>
      <w:r w:rsidR="00B51759" w:rsidRPr="004B2881">
        <w:rPr>
          <w:lang w:val="fr-FR"/>
        </w:rPr>
        <w:br/>
      </w:r>
      <w:r w:rsidR="00B51759" w:rsidRPr="004B2881">
        <w:rPr>
          <w:lang w:val="fr-FR"/>
        </w:rPr>
        <w:br/>
        <w:t>Montant des droits à acquitter pour le renouvellement d'une autorisation</w:t>
      </w:r>
      <w:bookmarkEnd w:id="614"/>
      <w:bookmarkEnd w:id="615"/>
      <w:bookmarkEnd w:id="616"/>
      <w:bookmarkEnd w:id="617"/>
      <w:bookmarkEnd w:id="618"/>
      <w:bookmarkEnd w:id="619"/>
    </w:p>
    <w:p w:rsidR="00B51759" w:rsidRPr="004B2881" w:rsidRDefault="00B51759" w:rsidP="00B51759">
      <w:pPr>
        <w:rPr>
          <w:lang w:val="fr-FR"/>
        </w:rPr>
      </w:pPr>
      <w:r w:rsidRPr="004B2881">
        <w:rPr>
          <w:lang w:val="fr-FR"/>
        </w:rPr>
        <w:t>L'utilisateur agréé doit demander à la TRA le renouvellement de l'autorisation dans un délai de trente (30) jours avant l'expiration de celle-ci. Il peut également demander que lui soient facturés les droits d'utilisation du spectre pour le renouvellement de son autorisation, même avant expiration du délai de trente (30) jours, pour la période autorisée dans la réglementation de la TRA régissant l'attribution et l'assignation des fréquences radioélectriques. Les droits applicables sont définis dans les articles correspondants du présent document. Dans tous les cas, ces droits couvrent la composante équipements hertziens et leur renouvellement annuel inclut toutes les composantes, sans distinction entre les parties. Un délai de grâce de quinze (15) jours après la date d'expiration peut être accordé par la TRA à l'utilisateur agréé pour qu'il s'acquitte des droits de renouvellement, sans entraîner le paiement de droits supplémentaires.</w:t>
      </w:r>
    </w:p>
    <w:p w:rsidR="00B51759" w:rsidRPr="004B2881" w:rsidRDefault="002904B5" w:rsidP="002904B5">
      <w:pPr>
        <w:pStyle w:val="Arttitle"/>
        <w:spacing w:before="400"/>
        <w:rPr>
          <w:lang w:val="fr-FR"/>
        </w:rPr>
      </w:pPr>
      <w:bookmarkStart w:id="620" w:name="_Toc280262364"/>
      <w:bookmarkStart w:id="621" w:name="_Toc280272758"/>
      <w:bookmarkStart w:id="622" w:name="_Toc280272937"/>
      <w:bookmarkStart w:id="623" w:name="_Toc284419452"/>
      <w:bookmarkStart w:id="624" w:name="_Toc286315769"/>
      <w:r w:rsidRPr="004B2881">
        <w:rPr>
          <w:lang w:val="fr-FR"/>
        </w:rPr>
        <w:t xml:space="preserve">Article </w:t>
      </w:r>
      <w:r w:rsidR="00B51759" w:rsidRPr="004B2881">
        <w:rPr>
          <w:lang w:val="fr-FR"/>
        </w:rPr>
        <w:t>7</w:t>
      </w:r>
      <w:r w:rsidR="00B51759" w:rsidRPr="004B2881">
        <w:rPr>
          <w:lang w:val="fr-FR"/>
        </w:rPr>
        <w:br/>
      </w:r>
      <w:r w:rsidR="00B51759" w:rsidRPr="004B2881">
        <w:rPr>
          <w:lang w:val="fr-FR"/>
        </w:rPr>
        <w:br/>
      </w:r>
      <w:bookmarkStart w:id="625" w:name="_Toc225739819"/>
      <w:r w:rsidR="00B51759" w:rsidRPr="004B2881">
        <w:rPr>
          <w:lang w:val="fr-FR"/>
        </w:rPr>
        <w:t xml:space="preserve">Droits supplémentaires à acquitter en cas de retard </w:t>
      </w:r>
      <w:r w:rsidR="00B51759" w:rsidRPr="004B2881">
        <w:rPr>
          <w:lang w:val="fr-FR"/>
        </w:rPr>
        <w:br/>
        <w:t>du renouvellement de l'autorisation</w:t>
      </w:r>
      <w:bookmarkEnd w:id="620"/>
      <w:bookmarkEnd w:id="621"/>
      <w:bookmarkEnd w:id="622"/>
      <w:bookmarkEnd w:id="623"/>
      <w:bookmarkEnd w:id="624"/>
      <w:bookmarkEnd w:id="625"/>
    </w:p>
    <w:p w:rsidR="00B51759" w:rsidRPr="004B2881" w:rsidRDefault="00B51759" w:rsidP="00B51759">
      <w:pPr>
        <w:rPr>
          <w:lang w:val="fr-FR"/>
        </w:rPr>
      </w:pPr>
      <w:r w:rsidRPr="004B2881">
        <w:rPr>
          <w:lang w:val="fr-FR"/>
        </w:rPr>
        <w:t>La TRA applique un droit supplémentaire équivalent à 10% du montant des droits d'utilisation du spectre si l'utilisateur agréé demande le renouvellement entre quinze et quarante-cinq (45) jours après la date d'expiration. La TRA annule l'autorisation si aucune demande de renouvellement ne lui parvient dans un délai de quarante-cinq (45) jours après la date d'expiration. La TRA applique un droit supplémentaire de 20% du montant à appliquer pour les droits d'utilisation du spectre si le renouvellement d'une autorisation déjà annulée est demandé.</w:t>
      </w:r>
    </w:p>
    <w:p w:rsidR="00B51759" w:rsidRPr="004B2881" w:rsidRDefault="002904B5" w:rsidP="002904B5">
      <w:pPr>
        <w:pStyle w:val="Arttitle"/>
        <w:spacing w:before="400"/>
        <w:rPr>
          <w:lang w:val="fr-FR"/>
        </w:rPr>
      </w:pPr>
      <w:bookmarkStart w:id="626" w:name="_Toc280262365"/>
      <w:bookmarkStart w:id="627" w:name="_Toc280272759"/>
      <w:bookmarkStart w:id="628" w:name="_Toc280272938"/>
      <w:bookmarkStart w:id="629" w:name="_Toc284419453"/>
      <w:bookmarkStart w:id="630" w:name="_Toc286315770"/>
      <w:r w:rsidRPr="004B2881">
        <w:rPr>
          <w:lang w:val="fr-FR"/>
        </w:rPr>
        <w:t xml:space="preserve">Article </w:t>
      </w:r>
      <w:r w:rsidR="00B51759" w:rsidRPr="004B2881">
        <w:rPr>
          <w:lang w:val="fr-FR"/>
        </w:rPr>
        <w:t>8</w:t>
      </w:r>
      <w:r w:rsidR="00B51759" w:rsidRPr="004B2881">
        <w:rPr>
          <w:lang w:val="fr-FR"/>
        </w:rPr>
        <w:br/>
      </w:r>
      <w:r w:rsidR="00B51759" w:rsidRPr="004B2881">
        <w:rPr>
          <w:lang w:val="fr-FR"/>
        </w:rPr>
        <w:br/>
      </w:r>
      <w:bookmarkStart w:id="631" w:name="_Toc225739820"/>
      <w:r w:rsidR="00B51759" w:rsidRPr="004B2881">
        <w:rPr>
          <w:lang w:val="fr-FR"/>
        </w:rPr>
        <w:t>Droits à acquitter pour obtenir une copie d'une autorisation</w:t>
      </w:r>
      <w:bookmarkEnd w:id="626"/>
      <w:bookmarkEnd w:id="627"/>
      <w:bookmarkEnd w:id="628"/>
      <w:bookmarkEnd w:id="629"/>
      <w:bookmarkEnd w:id="630"/>
      <w:bookmarkEnd w:id="631"/>
    </w:p>
    <w:p w:rsidR="00B51759" w:rsidRPr="004B2881" w:rsidRDefault="00B51759" w:rsidP="00B51759">
      <w:pPr>
        <w:rPr>
          <w:lang w:val="fr-FR"/>
        </w:rPr>
      </w:pPr>
      <w:r w:rsidRPr="004B2881">
        <w:rPr>
          <w:lang w:val="fr-FR"/>
        </w:rPr>
        <w:t>Au cas où l'autorisation serait endommagée ou perdue, l'utilisateur agréé peut demander à la TRA de lui en fournir une nouvelle copie. Il lui est alors demandé de verser par avance la somme, non remboursable, de cent (100) dirhams.</w:t>
      </w:r>
    </w:p>
    <w:p w:rsidR="00B51759" w:rsidRPr="004B2881" w:rsidRDefault="002904B5" w:rsidP="002904B5">
      <w:pPr>
        <w:pStyle w:val="Arttitle"/>
        <w:spacing w:before="400"/>
        <w:rPr>
          <w:lang w:val="fr-FR"/>
        </w:rPr>
      </w:pPr>
      <w:bookmarkStart w:id="632" w:name="_Toc280262366"/>
      <w:bookmarkStart w:id="633" w:name="_Toc280272760"/>
      <w:bookmarkStart w:id="634" w:name="_Toc280272939"/>
      <w:bookmarkStart w:id="635" w:name="_Toc284419454"/>
      <w:bookmarkStart w:id="636" w:name="_Toc286315771"/>
      <w:r w:rsidRPr="004B2881">
        <w:rPr>
          <w:lang w:val="fr-FR"/>
        </w:rPr>
        <w:lastRenderedPageBreak/>
        <w:t xml:space="preserve">Article </w:t>
      </w:r>
      <w:r w:rsidR="00B51759" w:rsidRPr="004B2881">
        <w:rPr>
          <w:lang w:val="fr-FR"/>
        </w:rPr>
        <w:t>9</w:t>
      </w:r>
      <w:r w:rsidR="00B51759" w:rsidRPr="004B2881">
        <w:rPr>
          <w:lang w:val="fr-FR"/>
        </w:rPr>
        <w:br/>
      </w:r>
      <w:r w:rsidR="00B51759" w:rsidRPr="004B2881">
        <w:rPr>
          <w:lang w:val="fr-FR"/>
        </w:rPr>
        <w:br/>
      </w:r>
      <w:bookmarkStart w:id="637" w:name="_Toc225739821"/>
      <w:r w:rsidR="00B51759" w:rsidRPr="004B2881">
        <w:rPr>
          <w:lang w:val="fr-FR"/>
        </w:rPr>
        <w:t>Droits à acquitter pour modifier l'autorisation</w:t>
      </w:r>
      <w:bookmarkEnd w:id="632"/>
      <w:bookmarkEnd w:id="633"/>
      <w:bookmarkEnd w:id="634"/>
      <w:bookmarkEnd w:id="635"/>
      <w:bookmarkEnd w:id="636"/>
      <w:bookmarkEnd w:id="637"/>
    </w:p>
    <w:p w:rsidR="00B51759" w:rsidRPr="004B2881" w:rsidRDefault="00B51759" w:rsidP="00B51759">
      <w:pPr>
        <w:rPr>
          <w:lang w:val="fr-FR"/>
        </w:rPr>
      </w:pPr>
      <w:r w:rsidRPr="004B2881">
        <w:rPr>
          <w:lang w:val="fr-FR"/>
        </w:rPr>
        <w:t>L'utilisateur agréé peut demander qu'une autorisation soit modifiée. La modification des coordonnées indiquées dans l'autorisation au moment du renouvellement s'effectue sans frais; par contre, la modification des coordonnées indiquées dans l'autorisation à tout autre moment s'effectue contre paiement. La modification des données relatives aux emplacements ou à l'adjonction de nouveaux équipements ainsi que celle des données techniques s'effectuent contre paiement. Au cas où la modification est approuvée par la TRA, les droits annuels d'utilisation du spectre sont calculés au prorata. L'utilisateur agréé s'acquitte par avance à la TRA de la différence. Si le montant de cette différence est en faveur de l'utilisateur agréé, la TRA ne procède pas au remboursement et le montant annuel des droits d'utilisation du spectre pour l'année suivante est calculé sur la base du montant ainsi révisé.</w:t>
      </w:r>
    </w:p>
    <w:p w:rsidR="00B51759" w:rsidRPr="004B2881" w:rsidRDefault="002904B5" w:rsidP="002904B5">
      <w:pPr>
        <w:pStyle w:val="Arttitle"/>
        <w:spacing w:before="400"/>
        <w:rPr>
          <w:lang w:val="fr-FR"/>
        </w:rPr>
      </w:pPr>
      <w:bookmarkStart w:id="638" w:name="_Toc280262367"/>
      <w:bookmarkStart w:id="639" w:name="_Toc280272761"/>
      <w:bookmarkStart w:id="640" w:name="_Toc280272940"/>
      <w:bookmarkStart w:id="641" w:name="_Toc284419455"/>
      <w:bookmarkStart w:id="642" w:name="_Toc286315772"/>
      <w:r w:rsidRPr="004B2881">
        <w:rPr>
          <w:lang w:val="fr-FR"/>
        </w:rPr>
        <w:t xml:space="preserve">Article </w:t>
      </w:r>
      <w:r w:rsidR="00B51759" w:rsidRPr="004B2881">
        <w:rPr>
          <w:lang w:val="fr-FR"/>
        </w:rPr>
        <w:t>10</w:t>
      </w:r>
      <w:r w:rsidR="00B51759" w:rsidRPr="004B2881">
        <w:rPr>
          <w:lang w:val="fr-FR"/>
        </w:rPr>
        <w:br/>
      </w:r>
      <w:r w:rsidR="00B51759" w:rsidRPr="004B2881">
        <w:rPr>
          <w:lang w:val="fr-FR"/>
        </w:rPr>
        <w:br/>
      </w:r>
      <w:bookmarkStart w:id="643" w:name="_Toc225739822"/>
      <w:r w:rsidR="00B51759" w:rsidRPr="004B2881">
        <w:rPr>
          <w:lang w:val="fr-FR"/>
        </w:rPr>
        <w:t>Droits à acquitter pour l'annulation d'une autorisation</w:t>
      </w:r>
      <w:bookmarkEnd w:id="638"/>
      <w:bookmarkEnd w:id="639"/>
      <w:bookmarkEnd w:id="640"/>
      <w:bookmarkEnd w:id="641"/>
      <w:bookmarkEnd w:id="642"/>
      <w:bookmarkEnd w:id="643"/>
    </w:p>
    <w:p w:rsidR="00B51759" w:rsidRPr="004B2881" w:rsidRDefault="00B51759" w:rsidP="00B51759">
      <w:pPr>
        <w:rPr>
          <w:lang w:val="fr-FR"/>
        </w:rPr>
      </w:pPr>
      <w:r w:rsidRPr="004B2881">
        <w:rPr>
          <w:lang w:val="fr-FR"/>
        </w:rPr>
        <w:t>L'utilisateur agréé peut demander l'annulation de l'autorisation. Aucun droit n'est perçu pour l'annulation et la TRA ne procède à aucun remboursement de l'éventuel solde.</w:t>
      </w:r>
    </w:p>
    <w:p w:rsidR="00B51759" w:rsidRPr="004B2881" w:rsidRDefault="002904B5" w:rsidP="002904B5">
      <w:pPr>
        <w:pStyle w:val="Arttitle"/>
        <w:spacing w:before="400"/>
        <w:rPr>
          <w:lang w:val="fr-FR"/>
        </w:rPr>
      </w:pPr>
      <w:bookmarkStart w:id="644" w:name="_Toc280262368"/>
      <w:bookmarkStart w:id="645" w:name="_Toc280272762"/>
      <w:bookmarkStart w:id="646" w:name="_Toc280272941"/>
      <w:bookmarkStart w:id="647" w:name="_Toc284419456"/>
      <w:bookmarkStart w:id="648" w:name="_Toc286315773"/>
      <w:r w:rsidRPr="004B2881">
        <w:rPr>
          <w:lang w:val="fr-FR"/>
        </w:rPr>
        <w:t xml:space="preserve">Article </w:t>
      </w:r>
      <w:r w:rsidR="00B51759" w:rsidRPr="004B2881">
        <w:rPr>
          <w:lang w:val="fr-FR"/>
        </w:rPr>
        <w:t>11</w:t>
      </w:r>
      <w:r w:rsidR="00B51759" w:rsidRPr="004B2881">
        <w:rPr>
          <w:lang w:val="fr-FR"/>
        </w:rPr>
        <w:br/>
      </w:r>
      <w:r w:rsidR="00B51759" w:rsidRPr="004B2881">
        <w:rPr>
          <w:lang w:val="fr-FR"/>
        </w:rPr>
        <w:br/>
      </w:r>
      <w:bookmarkStart w:id="649" w:name="_Toc225739823"/>
      <w:r w:rsidR="00B51759" w:rsidRPr="004B2881">
        <w:rPr>
          <w:lang w:val="fr-FR"/>
        </w:rPr>
        <w:t>Droits à acquitter pour l'utilisation du spectre pour</w:t>
      </w:r>
      <w:r w:rsidR="00B51759" w:rsidRPr="004B2881">
        <w:rPr>
          <w:lang w:val="fr-FR"/>
        </w:rPr>
        <w:br/>
        <w:t>le service mobile terrestre public (cellulaire)</w:t>
      </w:r>
      <w:bookmarkEnd w:id="644"/>
      <w:bookmarkEnd w:id="645"/>
      <w:bookmarkEnd w:id="646"/>
      <w:bookmarkEnd w:id="647"/>
      <w:bookmarkEnd w:id="648"/>
      <w:bookmarkEnd w:id="649"/>
    </w:p>
    <w:p w:rsidR="00B51759" w:rsidRPr="004B2881" w:rsidRDefault="00B51759" w:rsidP="00B51759">
      <w:pPr>
        <w:pStyle w:val="enumlev1"/>
        <w:rPr>
          <w:rFonts w:asciiTheme="majorBidi" w:hAnsiTheme="majorBidi" w:cstheme="majorBidi"/>
          <w:szCs w:val="19"/>
          <w:lang w:val="fr-FR"/>
        </w:rPr>
      </w:pPr>
      <w:r w:rsidRPr="004B2881">
        <w:rPr>
          <w:rFonts w:asciiTheme="majorBidi" w:hAnsiTheme="majorBidi" w:cstheme="majorBidi"/>
          <w:szCs w:val="19"/>
          <w:lang w:val="fr-FR"/>
        </w:rPr>
        <w:t>11.1</w:t>
      </w:r>
      <w:r w:rsidRPr="004B2881">
        <w:rPr>
          <w:rFonts w:asciiTheme="majorBidi" w:hAnsiTheme="majorBidi" w:cstheme="majorBidi"/>
          <w:szCs w:val="19"/>
          <w:lang w:val="fr-FR"/>
        </w:rPr>
        <w:tab/>
        <w:t>Le montant des droits annuels d'utilisation du spectre pour le service mobile terrestre public (cellulaire) (comprenant les systèmes GSM, UMTS et IMT) est calculé comme suit:</w:t>
      </w:r>
    </w:p>
    <w:p w:rsidR="00B51759" w:rsidRPr="004B2881" w:rsidRDefault="00B51759" w:rsidP="00B51759">
      <w:pPr>
        <w:jc w:val="center"/>
        <w:rPr>
          <w:color w:val="000000"/>
          <w:lang w:val="fr-FR"/>
        </w:rPr>
      </w:pPr>
      <w:r w:rsidRPr="004B2881">
        <w:rPr>
          <w:b/>
          <w:color w:val="000000"/>
          <w:lang w:val="fr-FR"/>
        </w:rPr>
        <w:t xml:space="preserve">Droits à acquitter pour l'utilisation du spectre = [(P x MHz) </w:t>
      </w:r>
      <w:r w:rsidRPr="004B2881">
        <w:rPr>
          <w:b/>
          <w:color w:val="000000"/>
          <w:position w:val="10"/>
          <w:vertAlign w:val="superscript"/>
          <w:lang w:val="fr-FR"/>
        </w:rPr>
        <w:t>EM</w:t>
      </w:r>
      <w:r w:rsidRPr="004B2881">
        <w:rPr>
          <w:b/>
          <w:color w:val="000000"/>
          <w:lang w:val="fr-FR"/>
        </w:rPr>
        <w:t xml:space="preserve">] x [1 + (MC – CC) / CM] </w:t>
      </w:r>
      <w:r w:rsidRPr="004B2881">
        <w:rPr>
          <w:b/>
          <w:color w:val="000000"/>
          <w:position w:val="10"/>
          <w:vertAlign w:val="superscript"/>
          <w:lang w:val="fr-FR"/>
        </w:rPr>
        <w:t xml:space="preserve">EC </w:t>
      </w:r>
    </w:p>
    <w:p w:rsidR="00B51759" w:rsidRPr="004B2881" w:rsidRDefault="005142AF" w:rsidP="005142AF">
      <w:pPr>
        <w:ind w:left="720"/>
        <w:rPr>
          <w:lang w:val="fr-FR"/>
        </w:rPr>
      </w:pPr>
      <w:r w:rsidRPr="004B2881">
        <w:rPr>
          <w:lang w:val="fr-FR"/>
        </w:rPr>
        <w:t>où:</w:t>
      </w:r>
    </w:p>
    <w:p w:rsidR="00B51759" w:rsidRPr="004B2881" w:rsidRDefault="00B51759" w:rsidP="00F57B72">
      <w:pPr>
        <w:ind w:left="720"/>
        <w:rPr>
          <w:szCs w:val="19"/>
          <w:lang w:val="fr-FR"/>
        </w:rPr>
      </w:pPr>
      <w:r w:rsidRPr="004B2881">
        <w:rPr>
          <w:b/>
          <w:bCs/>
          <w:szCs w:val="19"/>
          <w:lang w:val="fr-FR"/>
        </w:rPr>
        <w:t>P</w:t>
      </w:r>
      <w:r w:rsidRPr="004B2881">
        <w:rPr>
          <w:szCs w:val="19"/>
          <w:lang w:val="fr-FR"/>
        </w:rPr>
        <w:t xml:space="preserve"> = prix par MHz, actuellement fixé à 3 500 000,00 AED (trois millions cinq cent mille) par an, sur la base d'une étude de marché. La TRA peut réaliser des études de marché à intervalles réguliers afin que le montant de ce prix soit réajusté.</w:t>
      </w:r>
    </w:p>
    <w:p w:rsidR="00B51759" w:rsidRPr="004B2881" w:rsidRDefault="00B51759" w:rsidP="00F57B72">
      <w:pPr>
        <w:ind w:left="720"/>
        <w:rPr>
          <w:szCs w:val="19"/>
          <w:lang w:val="fr-FR"/>
        </w:rPr>
      </w:pPr>
      <w:r w:rsidRPr="004B2881">
        <w:rPr>
          <w:b/>
          <w:bCs/>
          <w:szCs w:val="19"/>
          <w:lang w:val="fr-FR"/>
        </w:rPr>
        <w:t>MHz</w:t>
      </w:r>
      <w:r w:rsidRPr="004B2881">
        <w:rPr>
          <w:szCs w:val="19"/>
          <w:lang w:val="fr-FR"/>
        </w:rPr>
        <w:t xml:space="preserve"> = largeur de bande attribuée (du service cellulaire) pour laquelle un bande de 20 MHz en mode duplex est comptée pour 40 MHz. La largeur de bande combinée du système GSM 900/1800 est utilisée pour chaque opérateur détenteur de licence. La largeur de bande pour les systèmes UMTS et IMT est facturée séparément.</w:t>
      </w:r>
    </w:p>
    <w:p w:rsidR="00B51759" w:rsidRPr="004B2881" w:rsidRDefault="00B51759" w:rsidP="00F57B72">
      <w:pPr>
        <w:ind w:left="720"/>
        <w:rPr>
          <w:szCs w:val="19"/>
          <w:lang w:val="fr-FR"/>
        </w:rPr>
      </w:pPr>
      <w:r w:rsidRPr="004B2881">
        <w:rPr>
          <w:b/>
          <w:bCs/>
          <w:szCs w:val="19"/>
          <w:lang w:val="fr-FR"/>
        </w:rPr>
        <w:t>CC</w:t>
      </w:r>
      <w:r w:rsidRPr="004B2881">
        <w:rPr>
          <w:szCs w:val="19"/>
          <w:lang w:val="fr-FR"/>
        </w:rPr>
        <w:t xml:space="preserve"> = Desserte actuelle de l'opérateur, en termes du nombre d'habitants desservis par le réseau de radiocommunication. </w:t>
      </w:r>
    </w:p>
    <w:p w:rsidR="00B51759" w:rsidRPr="004B2881" w:rsidRDefault="00B51759" w:rsidP="00F57B72">
      <w:pPr>
        <w:ind w:left="720"/>
        <w:rPr>
          <w:szCs w:val="19"/>
          <w:lang w:val="fr-FR"/>
        </w:rPr>
      </w:pPr>
      <w:r w:rsidRPr="004B2881">
        <w:rPr>
          <w:b/>
          <w:bCs/>
          <w:szCs w:val="19"/>
          <w:lang w:val="fr-FR"/>
        </w:rPr>
        <w:t>CM</w:t>
      </w:r>
      <w:r w:rsidRPr="004B2881">
        <w:rPr>
          <w:szCs w:val="19"/>
          <w:lang w:val="fr-FR"/>
        </w:rPr>
        <w:t xml:space="preserve"> = Desserte maximale dans les Emirats arabes unis, soit 4 912 000 habitants, sur la base des prévisions du Ministère de la planification. Ce chiffre sera revu compte tenu des résultats du recensement ou après trois ans à compter de la date de parution du présent document.</w:t>
      </w:r>
    </w:p>
    <w:p w:rsidR="00B51759" w:rsidRPr="004B2881" w:rsidRDefault="00B51759" w:rsidP="00F57B72">
      <w:pPr>
        <w:ind w:left="720"/>
        <w:rPr>
          <w:szCs w:val="19"/>
          <w:lang w:val="fr-FR"/>
        </w:rPr>
      </w:pPr>
      <w:r w:rsidRPr="004B2881">
        <w:rPr>
          <w:b/>
          <w:bCs/>
          <w:szCs w:val="19"/>
          <w:lang w:val="fr-FR"/>
        </w:rPr>
        <w:t>MC</w:t>
      </w:r>
      <w:r w:rsidRPr="004B2881">
        <w:rPr>
          <w:szCs w:val="19"/>
          <w:lang w:val="fr-FR"/>
        </w:rPr>
        <w:t xml:space="preserve"> = Desserte minimale, soit 2 063 040 habitants des Emirats arabes unis (soit 42% de la valeur CM). </w:t>
      </w:r>
    </w:p>
    <w:p w:rsidR="00B51759" w:rsidRPr="004B2881" w:rsidRDefault="00B51759" w:rsidP="00F57B72">
      <w:pPr>
        <w:ind w:left="720"/>
        <w:rPr>
          <w:szCs w:val="19"/>
          <w:lang w:val="fr-FR"/>
        </w:rPr>
      </w:pPr>
      <w:r w:rsidRPr="004B2881">
        <w:rPr>
          <w:b/>
          <w:bCs/>
          <w:szCs w:val="19"/>
          <w:lang w:val="fr-FR"/>
        </w:rPr>
        <w:t>EC</w:t>
      </w:r>
      <w:r w:rsidRPr="004B2881">
        <w:rPr>
          <w:szCs w:val="19"/>
          <w:lang w:val="fr-FR"/>
        </w:rPr>
        <w:t xml:space="preserve"> = C</w:t>
      </w:r>
      <w:r w:rsidR="00C95B09" w:rsidRPr="004B2881">
        <w:rPr>
          <w:szCs w:val="19"/>
          <w:lang w:val="fr-FR"/>
        </w:rPr>
        <w:t>oe</w:t>
      </w:r>
      <w:r w:rsidRPr="004B2881">
        <w:rPr>
          <w:szCs w:val="19"/>
          <w:lang w:val="fr-FR"/>
        </w:rPr>
        <w:t xml:space="preserve">fficient d'efficacité pour la desserte, calculé selon la formule EC = 1 + (CC/MC). </w:t>
      </w:r>
    </w:p>
    <w:p w:rsidR="00B51759" w:rsidRPr="004B2881" w:rsidRDefault="00B51759" w:rsidP="00F57B72">
      <w:pPr>
        <w:ind w:left="720"/>
        <w:rPr>
          <w:szCs w:val="19"/>
          <w:lang w:val="fr-FR"/>
        </w:rPr>
      </w:pPr>
      <w:r w:rsidRPr="004B2881">
        <w:rPr>
          <w:b/>
          <w:bCs/>
          <w:szCs w:val="19"/>
          <w:lang w:val="fr-FR"/>
        </w:rPr>
        <w:t>EM</w:t>
      </w:r>
      <w:r w:rsidRPr="004B2881">
        <w:rPr>
          <w:szCs w:val="19"/>
          <w:lang w:val="fr-FR"/>
        </w:rPr>
        <w:t xml:space="preserve"> = C</w:t>
      </w:r>
      <w:r w:rsidR="00C95B09" w:rsidRPr="004B2881">
        <w:rPr>
          <w:szCs w:val="19"/>
          <w:lang w:val="fr-FR"/>
        </w:rPr>
        <w:t>oe</w:t>
      </w:r>
      <w:r w:rsidRPr="004B2881">
        <w:rPr>
          <w:szCs w:val="19"/>
          <w:lang w:val="fr-FR"/>
        </w:rPr>
        <w:t xml:space="preserve">fficient d'efficacité pour les MHz, calculé selon la formule EM = 1 + (MHz/982,4) </w:t>
      </w:r>
    </w:p>
    <w:p w:rsidR="00B51759" w:rsidRPr="004B2881" w:rsidRDefault="00B51759" w:rsidP="00F57B72">
      <w:pPr>
        <w:ind w:left="720"/>
        <w:rPr>
          <w:szCs w:val="19"/>
          <w:lang w:val="fr-FR"/>
        </w:rPr>
      </w:pPr>
      <w:r w:rsidRPr="004B2881">
        <w:rPr>
          <w:szCs w:val="19"/>
          <w:lang w:val="fr-FR"/>
        </w:rPr>
        <w:t xml:space="preserve">982,4 représente une valeur correspondant au chiffre de la population des Emirats arabes unis, soit 4,912 millions d'habitants. </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lastRenderedPageBreak/>
        <w:t>11.2</w:t>
      </w:r>
      <w:r w:rsidRPr="004B2881">
        <w:rPr>
          <w:rFonts w:asciiTheme="majorBidi" w:hAnsiTheme="majorBidi" w:cstheme="majorBidi"/>
          <w:szCs w:val="22"/>
          <w:lang w:val="fr-FR"/>
        </w:rPr>
        <w:tab/>
        <w:t>On applique la règlementation et les lignes directrices établies par la TRA pour le calcul des c</w:t>
      </w:r>
      <w:r w:rsidR="00C95B09" w:rsidRPr="004B2881">
        <w:rPr>
          <w:rFonts w:asciiTheme="majorBidi" w:hAnsiTheme="majorBidi" w:cstheme="majorBidi"/>
          <w:szCs w:val="22"/>
          <w:lang w:val="fr-FR"/>
        </w:rPr>
        <w:t>oe</w:t>
      </w:r>
      <w:r w:rsidRPr="004B2881">
        <w:rPr>
          <w:rFonts w:asciiTheme="majorBidi" w:hAnsiTheme="majorBidi" w:cstheme="majorBidi"/>
          <w:szCs w:val="22"/>
          <w:lang w:val="fr-FR"/>
        </w:rPr>
        <w:t xml:space="preserve">fficients comme la couverture, pour établir le montant des droits dans le service mobile public terrestre (cellulaire). </w:t>
      </w:r>
    </w:p>
    <w:p w:rsidR="00B51759" w:rsidRPr="004B2881" w:rsidRDefault="002904B5" w:rsidP="002904B5">
      <w:pPr>
        <w:pStyle w:val="Arttitle"/>
        <w:spacing w:before="400"/>
        <w:rPr>
          <w:lang w:val="fr-FR"/>
        </w:rPr>
      </w:pPr>
      <w:bookmarkStart w:id="650" w:name="_Toc225739480"/>
      <w:bookmarkStart w:id="651" w:name="_Toc225739824"/>
      <w:bookmarkStart w:id="652" w:name="_Toc280262369"/>
      <w:bookmarkStart w:id="653" w:name="_Toc280272763"/>
      <w:bookmarkStart w:id="654" w:name="_Toc280272942"/>
      <w:bookmarkStart w:id="655" w:name="_Toc284419457"/>
      <w:bookmarkStart w:id="656" w:name="_Toc286315774"/>
      <w:r w:rsidRPr="004B2881">
        <w:rPr>
          <w:lang w:val="fr-FR"/>
        </w:rPr>
        <w:t xml:space="preserve">Article </w:t>
      </w:r>
      <w:r w:rsidR="00B51759" w:rsidRPr="004B2881">
        <w:rPr>
          <w:lang w:val="fr-FR"/>
        </w:rPr>
        <w:t>12</w:t>
      </w:r>
      <w:bookmarkEnd w:id="650"/>
      <w:bookmarkEnd w:id="651"/>
      <w:r w:rsidR="00B51759" w:rsidRPr="004B2881">
        <w:rPr>
          <w:lang w:val="fr-FR"/>
        </w:rPr>
        <w:br/>
      </w:r>
      <w:r w:rsidR="00B51759" w:rsidRPr="004B2881">
        <w:rPr>
          <w:lang w:val="fr-FR"/>
        </w:rPr>
        <w:br/>
      </w:r>
      <w:bookmarkStart w:id="657" w:name="_Toc225739481"/>
      <w:bookmarkStart w:id="658" w:name="_Toc225739825"/>
      <w:r w:rsidR="00B51759" w:rsidRPr="004B2881">
        <w:rPr>
          <w:lang w:val="fr-FR"/>
        </w:rPr>
        <w:t xml:space="preserve">Droits à acquitter pour les radiocommunications mobiles privées, </w:t>
      </w:r>
      <w:r w:rsidR="00B51759" w:rsidRPr="004B2881">
        <w:rPr>
          <w:lang w:val="fr-FR"/>
        </w:rPr>
        <w:br/>
        <w:t>la radiomessagerie et les systèmes à ressources partagées</w:t>
      </w:r>
      <w:bookmarkEnd w:id="652"/>
      <w:bookmarkEnd w:id="653"/>
      <w:bookmarkEnd w:id="654"/>
      <w:bookmarkEnd w:id="655"/>
      <w:bookmarkEnd w:id="656"/>
      <w:bookmarkEnd w:id="657"/>
      <w:bookmarkEnd w:id="658"/>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12.1</w:t>
      </w:r>
      <w:r w:rsidRPr="004B2881">
        <w:rPr>
          <w:rFonts w:asciiTheme="majorBidi" w:hAnsiTheme="majorBidi" w:cstheme="majorBidi"/>
          <w:szCs w:val="22"/>
          <w:lang w:val="fr-FR"/>
        </w:rPr>
        <w:tab/>
        <w:t xml:space="preserve">Le montant annuel des droits à acquitter pour les radiocommunications mobiles privées est calculé selon la formule suivante: </w:t>
      </w:r>
    </w:p>
    <w:p w:rsidR="00B51759" w:rsidRPr="004B2881" w:rsidRDefault="00B51759" w:rsidP="00B51759">
      <w:pPr>
        <w:jc w:val="center"/>
        <w:rPr>
          <w:color w:val="000000"/>
          <w:lang w:val="fr-FR"/>
        </w:rPr>
      </w:pPr>
      <w:r w:rsidRPr="004B2881">
        <w:rPr>
          <w:b/>
          <w:color w:val="000000"/>
          <w:lang w:val="fr-FR"/>
        </w:rPr>
        <w:t xml:space="preserve">Droits à acquitter = NC x CF + SUM (WE x 500 x PF) </w:t>
      </w:r>
    </w:p>
    <w:p w:rsidR="00B51759" w:rsidRPr="004B2881" w:rsidRDefault="00B51759" w:rsidP="00210743">
      <w:pPr>
        <w:ind w:left="720"/>
        <w:rPr>
          <w:color w:val="000000"/>
          <w:szCs w:val="19"/>
          <w:lang w:val="fr-FR"/>
        </w:rPr>
      </w:pPr>
      <w:r w:rsidRPr="004B2881">
        <w:rPr>
          <w:color w:val="000000"/>
          <w:szCs w:val="19"/>
          <w:lang w:val="fr-FR"/>
        </w:rPr>
        <w:t xml:space="preserve">où: </w:t>
      </w:r>
    </w:p>
    <w:p w:rsidR="00B51759" w:rsidRPr="004B2881" w:rsidRDefault="00B51759" w:rsidP="00210743">
      <w:pPr>
        <w:ind w:left="720"/>
        <w:rPr>
          <w:color w:val="000000"/>
          <w:szCs w:val="19"/>
          <w:lang w:val="fr-FR"/>
        </w:rPr>
      </w:pPr>
      <w:r w:rsidRPr="004B2881">
        <w:rPr>
          <w:b/>
          <w:bCs/>
          <w:color w:val="000000"/>
          <w:szCs w:val="19"/>
          <w:lang w:val="fr-FR"/>
        </w:rPr>
        <w:t>NC</w:t>
      </w:r>
      <w:r w:rsidRPr="004B2881">
        <w:rPr>
          <w:color w:val="000000"/>
          <w:szCs w:val="19"/>
          <w:lang w:val="fr-FR"/>
        </w:rPr>
        <w:t xml:space="preserve"> = Le nombre de canaux (dont chacun a une largeur de bande équivalente de 12,5 kHz) qui seront attribués à l'utilisateur. </w:t>
      </w:r>
    </w:p>
    <w:p w:rsidR="00B51759" w:rsidRPr="004B2881" w:rsidRDefault="00B51759" w:rsidP="00210743">
      <w:pPr>
        <w:ind w:left="720"/>
        <w:rPr>
          <w:color w:val="000000"/>
          <w:szCs w:val="19"/>
          <w:lang w:val="fr-FR"/>
        </w:rPr>
      </w:pPr>
      <w:r w:rsidRPr="004B2881">
        <w:rPr>
          <w:b/>
          <w:bCs/>
          <w:color w:val="000000"/>
          <w:szCs w:val="19"/>
          <w:lang w:val="fr-FR"/>
        </w:rPr>
        <w:t>WE</w:t>
      </w:r>
      <w:r w:rsidRPr="004B2881">
        <w:rPr>
          <w:color w:val="000000"/>
          <w:szCs w:val="19"/>
          <w:lang w:val="fr-FR"/>
        </w:rPr>
        <w:t xml:space="preserve"> = Equipements hertziens autorisés (appareils portables compris), qui seront inclus dans le calcul. </w:t>
      </w:r>
    </w:p>
    <w:p w:rsidR="00B51759" w:rsidRPr="004B2881" w:rsidRDefault="00B51759" w:rsidP="00210743">
      <w:pPr>
        <w:ind w:left="720"/>
        <w:rPr>
          <w:color w:val="000000"/>
          <w:szCs w:val="19"/>
          <w:lang w:val="fr-FR"/>
        </w:rPr>
      </w:pPr>
      <w:r w:rsidRPr="004B2881">
        <w:rPr>
          <w:b/>
          <w:bCs/>
          <w:color w:val="000000"/>
          <w:szCs w:val="19"/>
          <w:lang w:val="fr-FR"/>
        </w:rPr>
        <w:t>SUM (WE x 500 x PF)</w:t>
      </w:r>
      <w:r w:rsidRPr="004B2881">
        <w:rPr>
          <w:color w:val="000000"/>
          <w:szCs w:val="19"/>
          <w:lang w:val="fr-FR"/>
        </w:rPr>
        <w:t xml:space="preserve"> = Somme totale: chaque équipement hertzien autorisé multiplié par 500, multiplié par le facteur de puissance. </w:t>
      </w:r>
    </w:p>
    <w:p w:rsidR="00B51759" w:rsidRPr="004B2881" w:rsidRDefault="00B51759" w:rsidP="00210743">
      <w:pPr>
        <w:ind w:left="720"/>
        <w:rPr>
          <w:color w:val="000000"/>
          <w:szCs w:val="19"/>
          <w:lang w:val="fr-FR"/>
        </w:rPr>
      </w:pPr>
      <w:r w:rsidRPr="004B2881">
        <w:rPr>
          <w:b/>
          <w:bCs/>
          <w:color w:val="000000"/>
          <w:szCs w:val="19"/>
          <w:lang w:val="fr-FR"/>
        </w:rPr>
        <w:t>PF</w:t>
      </w:r>
      <w:r w:rsidRPr="004B2881">
        <w:rPr>
          <w:color w:val="000000"/>
          <w:szCs w:val="19"/>
          <w:lang w:val="fr-FR"/>
        </w:rPr>
        <w:t xml:space="preserve"> = Facteur de puissance, dépendant de la puissance émise autorisée des équipements, qui est calculé comme suit: </w:t>
      </w:r>
    </w:p>
    <w:p w:rsidR="005219D2" w:rsidRPr="004B2881" w:rsidRDefault="005219D2" w:rsidP="005219D2">
      <w:pPr>
        <w:ind w:left="720"/>
        <w:rPr>
          <w:color w:val="000000"/>
          <w:szCs w:val="19"/>
          <w:lang w:val="fr-FR"/>
        </w:rPr>
      </w:pPr>
    </w:p>
    <w:tbl>
      <w:tblPr>
        <w:tblW w:w="0" w:type="auto"/>
        <w:jc w:val="center"/>
        <w:tblInd w:w="900" w:type="dxa"/>
        <w:tblBorders>
          <w:top w:val="nil"/>
          <w:left w:val="nil"/>
          <w:bottom w:val="nil"/>
          <w:right w:val="nil"/>
        </w:tblBorders>
        <w:tblLook w:val="0000"/>
      </w:tblPr>
      <w:tblGrid>
        <w:gridCol w:w="1226"/>
        <w:gridCol w:w="2032"/>
        <w:gridCol w:w="931"/>
        <w:gridCol w:w="1167"/>
        <w:gridCol w:w="1277"/>
        <w:gridCol w:w="837"/>
      </w:tblGrid>
      <w:tr w:rsidR="00EE469B" w:rsidRPr="004B2881" w:rsidTr="00F84A9A">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Puissance </w:t>
            </w:r>
          </w:p>
        </w:tc>
        <w:tc>
          <w:tcPr>
            <w:tcW w:w="2032" w:type="dxa"/>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Inférieure à 1 W</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&gt;10 – 20 W </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&gt;20 W </w:t>
            </w:r>
          </w:p>
        </w:tc>
      </w:tr>
      <w:tr w:rsidR="00EE469B" w:rsidRPr="004B2881" w:rsidTr="00F84A9A">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PF</w:t>
            </w:r>
          </w:p>
        </w:tc>
        <w:tc>
          <w:tcPr>
            <w:tcW w:w="2032" w:type="dxa"/>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0,25</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2</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3</w:t>
            </w:r>
          </w:p>
        </w:tc>
        <w:tc>
          <w:tcPr>
            <w:tcW w:w="0" w:type="auto"/>
            <w:tcBorders>
              <w:top w:val="single" w:sz="8" w:space="0" w:color="000000"/>
              <w:left w:val="single" w:sz="8" w:space="0" w:color="000000"/>
              <w:bottom w:val="single" w:sz="8" w:space="0" w:color="000000"/>
              <w:right w:val="single" w:sz="8" w:space="0" w:color="000000"/>
            </w:tcBorders>
          </w:tcPr>
          <w:p w:rsidR="00EE469B" w:rsidRPr="004B2881" w:rsidRDefault="00EE469B"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w:t>
            </w:r>
          </w:p>
        </w:tc>
      </w:tr>
    </w:tbl>
    <w:p w:rsidR="005219D2" w:rsidRPr="004B2881" w:rsidRDefault="005219D2" w:rsidP="005219D2">
      <w:pPr>
        <w:ind w:left="720"/>
        <w:rPr>
          <w:b/>
          <w:color w:val="000000"/>
          <w:szCs w:val="19"/>
          <w:lang w:val="fr-FR"/>
        </w:rPr>
      </w:pPr>
    </w:p>
    <w:p w:rsidR="00B51759" w:rsidRPr="004B2881" w:rsidRDefault="00B51759" w:rsidP="00461B11">
      <w:pPr>
        <w:ind w:left="720"/>
        <w:rPr>
          <w:color w:val="000000"/>
          <w:szCs w:val="19"/>
          <w:lang w:val="fr-FR"/>
        </w:rPr>
      </w:pPr>
      <w:r w:rsidRPr="004B2881">
        <w:rPr>
          <w:b/>
          <w:bCs/>
          <w:color w:val="000000"/>
          <w:szCs w:val="19"/>
          <w:lang w:val="fr-FR"/>
        </w:rPr>
        <w:t>CF</w:t>
      </w:r>
      <w:r w:rsidRPr="004B2881">
        <w:rPr>
          <w:color w:val="000000"/>
          <w:szCs w:val="19"/>
          <w:lang w:val="fr-FR"/>
        </w:rPr>
        <w:t xml:space="preserve"> = c</w:t>
      </w:r>
      <w:r w:rsidR="00C95B09" w:rsidRPr="004B2881">
        <w:rPr>
          <w:color w:val="000000"/>
          <w:szCs w:val="19"/>
          <w:lang w:val="fr-FR"/>
        </w:rPr>
        <w:t>oe</w:t>
      </w:r>
      <w:r w:rsidRPr="004B2881">
        <w:rPr>
          <w:color w:val="000000"/>
          <w:szCs w:val="19"/>
          <w:lang w:val="fr-FR"/>
        </w:rPr>
        <w:t xml:space="preserve">fficient de desserte, en fonction de la zone géographique, qui est déterminé comme suit: </w:t>
      </w:r>
    </w:p>
    <w:p w:rsidR="00C148EA" w:rsidRPr="004B2881" w:rsidRDefault="00C148EA" w:rsidP="00C148EA">
      <w:pPr>
        <w:ind w:left="720"/>
        <w:rPr>
          <w:color w:val="000000"/>
          <w:szCs w:val="19"/>
          <w:lang w:val="fr-FR"/>
        </w:rPr>
      </w:pPr>
    </w:p>
    <w:tbl>
      <w:tblPr>
        <w:tblW w:w="0" w:type="auto"/>
        <w:jc w:val="center"/>
        <w:tblInd w:w="490" w:type="dxa"/>
        <w:tblBorders>
          <w:top w:val="nil"/>
          <w:left w:val="nil"/>
          <w:bottom w:val="nil"/>
          <w:right w:val="nil"/>
        </w:tblBorders>
        <w:tblLook w:val="0000"/>
      </w:tblPr>
      <w:tblGrid>
        <w:gridCol w:w="1122"/>
        <w:gridCol w:w="1475"/>
        <w:gridCol w:w="1230"/>
        <w:gridCol w:w="3118"/>
        <w:gridCol w:w="1433"/>
      </w:tblGrid>
      <w:tr w:rsidR="00C148EA" w:rsidRPr="004F63CA" w:rsidTr="00F84A9A">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Zone rurale ou à l'intérieur de locaux</w:t>
            </w:r>
          </w:p>
        </w:tc>
        <w:tc>
          <w:tcPr>
            <w:tcW w:w="1230"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urbaine </w:t>
            </w:r>
          </w:p>
        </w:tc>
        <w:tc>
          <w:tcPr>
            <w:tcW w:w="3118"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Ensemble des Emirats </w:t>
            </w:r>
          </w:p>
        </w:tc>
        <w:tc>
          <w:tcPr>
            <w:tcW w:w="1433"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Totalité des Emirats arabes unis </w:t>
            </w:r>
          </w:p>
        </w:tc>
      </w:tr>
      <w:tr w:rsidR="00C148EA" w:rsidRPr="004B2881" w:rsidTr="00F84A9A">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CF</w:t>
            </w:r>
          </w:p>
        </w:tc>
        <w:tc>
          <w:tcPr>
            <w:tcW w:w="1475"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100</w:t>
            </w:r>
          </w:p>
        </w:tc>
        <w:tc>
          <w:tcPr>
            <w:tcW w:w="1230"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500</w:t>
            </w:r>
          </w:p>
        </w:tc>
        <w:tc>
          <w:tcPr>
            <w:tcW w:w="3118" w:type="dxa"/>
            <w:tcBorders>
              <w:top w:val="single" w:sz="8" w:space="0" w:color="000000"/>
              <w:left w:val="single" w:sz="8" w:space="0" w:color="000000"/>
              <w:bottom w:val="single" w:sz="8" w:space="0" w:color="000000"/>
              <w:right w:val="single" w:sz="8" w:space="0" w:color="000000"/>
            </w:tcBorders>
          </w:tcPr>
          <w:p w:rsidR="00C148EA" w:rsidRPr="004B2881" w:rsidRDefault="004216AE" w:rsidP="004216AE">
            <w:pPr>
              <w:pStyle w:val="Tabletext"/>
              <w:rPr>
                <w:rFonts w:asciiTheme="majorBidi" w:hAnsiTheme="majorBidi" w:cstheme="majorBidi"/>
                <w:szCs w:val="22"/>
                <w:lang w:val="fr-FR"/>
              </w:rPr>
            </w:pPr>
            <w:r w:rsidRPr="004B2881">
              <w:rPr>
                <w:rFonts w:asciiTheme="majorBidi" w:hAnsiTheme="majorBidi" w:cstheme="majorBidi"/>
                <w:szCs w:val="22"/>
                <w:lang w:val="fr-FR"/>
              </w:rPr>
              <w:t>2</w:t>
            </w:r>
            <w:r w:rsidRPr="004B2881">
              <w:rPr>
                <w:rFonts w:asciiTheme="majorBidi" w:hAnsiTheme="majorBidi" w:cstheme="majorBidi"/>
                <w:sz w:val="16"/>
                <w:szCs w:val="16"/>
                <w:lang w:val="fr-FR"/>
              </w:rPr>
              <w:t xml:space="preserve"> </w:t>
            </w:r>
            <w:r w:rsidR="00C148EA" w:rsidRPr="004B2881">
              <w:rPr>
                <w:rFonts w:asciiTheme="majorBidi" w:hAnsiTheme="majorBidi" w:cstheme="majorBidi"/>
                <w:szCs w:val="22"/>
                <w:lang w:val="fr-FR"/>
              </w:rPr>
              <w:t>000 pour Abu Dhabi ou Dubaï</w:t>
            </w:r>
          </w:p>
          <w:p w:rsidR="00C148EA" w:rsidRPr="004B2881" w:rsidRDefault="00C148EA"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1</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 pour les autres Emirats</w:t>
            </w:r>
          </w:p>
        </w:tc>
        <w:tc>
          <w:tcPr>
            <w:tcW w:w="1433" w:type="dxa"/>
            <w:tcBorders>
              <w:top w:val="single" w:sz="8" w:space="0" w:color="000000"/>
              <w:left w:val="single" w:sz="8" w:space="0" w:color="000000"/>
              <w:bottom w:val="single" w:sz="8" w:space="0" w:color="000000"/>
              <w:right w:val="single" w:sz="8" w:space="0" w:color="000000"/>
            </w:tcBorders>
          </w:tcPr>
          <w:p w:rsidR="00C148EA" w:rsidRPr="004B2881" w:rsidRDefault="00C148EA"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w:t>
            </w:r>
          </w:p>
        </w:tc>
      </w:tr>
    </w:tbl>
    <w:p w:rsidR="00C148EA" w:rsidRPr="004B2881" w:rsidRDefault="00C148EA" w:rsidP="00C148EA">
      <w:pPr>
        <w:ind w:left="720" w:hanging="720"/>
        <w:rPr>
          <w:lang w:val="fr-FR"/>
        </w:rPr>
      </w:pPr>
    </w:p>
    <w:p w:rsidR="002D4365" w:rsidRPr="004B2881" w:rsidRDefault="002D4365">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p w:rsidR="00B51759" w:rsidRPr="004B2881" w:rsidRDefault="00B51759" w:rsidP="00B04A90">
      <w:pPr>
        <w:ind w:left="720" w:hanging="720"/>
        <w:rPr>
          <w:lang w:val="fr-FR"/>
        </w:rPr>
      </w:pPr>
      <w:r w:rsidRPr="004B2881">
        <w:rPr>
          <w:lang w:val="fr-FR"/>
        </w:rPr>
        <w:lastRenderedPageBreak/>
        <w:t>12.3</w:t>
      </w:r>
      <w:r w:rsidRPr="004B2881">
        <w:rPr>
          <w:lang w:val="fr-FR"/>
        </w:rPr>
        <w:tab/>
        <w:t xml:space="preserve">Le montant annuel des droits d'utilisation du spectre pour les radiocommunications mobiles privées (à bord de véhicules uniquement) qui ne sont pas localisées est calculé comme suit: </w:t>
      </w:r>
    </w:p>
    <w:p w:rsidR="00B51759" w:rsidRPr="004B2881" w:rsidRDefault="00B51759" w:rsidP="00B51759">
      <w:pPr>
        <w:ind w:firstLine="720"/>
        <w:jc w:val="center"/>
        <w:rPr>
          <w:color w:val="000000"/>
          <w:lang w:val="fr-FR"/>
        </w:rPr>
      </w:pPr>
      <w:r w:rsidRPr="004B2881">
        <w:rPr>
          <w:b/>
          <w:color w:val="000000"/>
          <w:lang w:val="fr-FR"/>
        </w:rPr>
        <w:t>Droits à acquitter = NC x CF</w:t>
      </w:r>
    </w:p>
    <w:p w:rsidR="00B51759" w:rsidRPr="004B2881" w:rsidRDefault="00B51759" w:rsidP="00127B11">
      <w:pPr>
        <w:ind w:left="720"/>
        <w:rPr>
          <w:color w:val="000000"/>
          <w:lang w:val="fr-FR"/>
        </w:rPr>
      </w:pPr>
      <w:r w:rsidRPr="004B2881">
        <w:rPr>
          <w:color w:val="000000"/>
          <w:lang w:val="fr-FR"/>
        </w:rPr>
        <w:t xml:space="preserve">où: </w:t>
      </w:r>
    </w:p>
    <w:p w:rsidR="00B51759" w:rsidRPr="004B2881" w:rsidRDefault="00B51759" w:rsidP="00127B11">
      <w:pPr>
        <w:ind w:left="720"/>
        <w:rPr>
          <w:color w:val="000000"/>
          <w:lang w:val="fr-FR"/>
        </w:rPr>
      </w:pPr>
      <w:r w:rsidRPr="004B2881">
        <w:rPr>
          <w:b/>
          <w:bCs/>
          <w:color w:val="000000"/>
          <w:lang w:val="fr-FR"/>
        </w:rPr>
        <w:t>NC</w:t>
      </w:r>
      <w:r w:rsidRPr="004B2881">
        <w:rPr>
          <w:color w:val="000000"/>
          <w:lang w:val="fr-FR"/>
        </w:rPr>
        <w:t xml:space="preserve"> = Le nombre de canaux (dont chacun a une largeur de bande équivalente de 12,5 kHz) qui seront attribués à l'utilisateur. </w:t>
      </w:r>
    </w:p>
    <w:p w:rsidR="00B51759" w:rsidRPr="004B2881" w:rsidRDefault="00B51759" w:rsidP="00127B11">
      <w:pPr>
        <w:ind w:left="720"/>
        <w:rPr>
          <w:color w:val="000000"/>
          <w:lang w:val="fr-FR"/>
        </w:rPr>
      </w:pPr>
      <w:r w:rsidRPr="004B2881">
        <w:rPr>
          <w:b/>
          <w:bCs/>
          <w:color w:val="000000"/>
          <w:lang w:val="fr-FR"/>
        </w:rPr>
        <w:t>CF</w:t>
      </w:r>
      <w:r w:rsidRPr="004B2881">
        <w:rPr>
          <w:color w:val="000000"/>
          <w:lang w:val="fr-FR"/>
        </w:rPr>
        <w:t xml:space="preserve"> = C</w:t>
      </w:r>
      <w:r w:rsidR="00C95B09" w:rsidRPr="004B2881">
        <w:rPr>
          <w:color w:val="000000"/>
          <w:lang w:val="fr-FR"/>
        </w:rPr>
        <w:t>oe</w:t>
      </w:r>
      <w:r w:rsidRPr="004B2881">
        <w:rPr>
          <w:color w:val="000000"/>
          <w:lang w:val="fr-FR"/>
        </w:rPr>
        <w:t xml:space="preserve">fficient de desserte, en fonction de la zone géographique, qui est déterminé comme suit: </w:t>
      </w:r>
    </w:p>
    <w:p w:rsidR="00127B11" w:rsidRPr="004B2881" w:rsidRDefault="00127B11" w:rsidP="00127B11">
      <w:pPr>
        <w:rPr>
          <w:lang w:val="fr-FR"/>
        </w:rPr>
      </w:pPr>
    </w:p>
    <w:tbl>
      <w:tblPr>
        <w:tblW w:w="0" w:type="auto"/>
        <w:jc w:val="center"/>
        <w:tblInd w:w="900" w:type="dxa"/>
        <w:tblBorders>
          <w:top w:val="nil"/>
          <w:left w:val="nil"/>
          <w:bottom w:val="nil"/>
          <w:right w:val="nil"/>
        </w:tblBorders>
        <w:tblLook w:val="0000"/>
      </w:tblPr>
      <w:tblGrid>
        <w:gridCol w:w="1057"/>
        <w:gridCol w:w="1442"/>
        <w:gridCol w:w="1218"/>
        <w:gridCol w:w="3107"/>
        <w:gridCol w:w="1456"/>
      </w:tblGrid>
      <w:tr w:rsidR="00127B11" w:rsidRPr="004F63CA" w:rsidTr="00F84A9A">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w:t>
            </w:r>
          </w:p>
        </w:tc>
        <w:tc>
          <w:tcPr>
            <w:tcW w:w="1442"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Zone rurale ou à l'intérieur de locaux</w:t>
            </w:r>
          </w:p>
        </w:tc>
        <w:tc>
          <w:tcPr>
            <w:tcW w:w="1218"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urbaine </w:t>
            </w:r>
          </w:p>
        </w:tc>
        <w:tc>
          <w:tcPr>
            <w:tcW w:w="3107"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Ensemble des Emirats</w:t>
            </w:r>
          </w:p>
        </w:tc>
        <w:tc>
          <w:tcPr>
            <w:tcW w:w="1456"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Totalité des Emirats arabes unis </w:t>
            </w:r>
          </w:p>
        </w:tc>
      </w:tr>
      <w:tr w:rsidR="00127B11" w:rsidRPr="004B2881" w:rsidTr="00F84A9A">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CF</w:t>
            </w:r>
          </w:p>
        </w:tc>
        <w:tc>
          <w:tcPr>
            <w:tcW w:w="1442"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100</w:t>
            </w:r>
          </w:p>
        </w:tc>
        <w:tc>
          <w:tcPr>
            <w:tcW w:w="1218"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500</w:t>
            </w:r>
          </w:p>
        </w:tc>
        <w:tc>
          <w:tcPr>
            <w:tcW w:w="3107"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2</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 pour Abu Dhabi ou Dubaï</w:t>
            </w:r>
          </w:p>
          <w:p w:rsidR="00127B11" w:rsidRPr="004B2881" w:rsidRDefault="00127B11"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1</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 pour les autres Emirats</w:t>
            </w:r>
          </w:p>
        </w:tc>
        <w:tc>
          <w:tcPr>
            <w:tcW w:w="1456" w:type="dxa"/>
            <w:tcBorders>
              <w:top w:val="single" w:sz="8" w:space="0" w:color="000000"/>
              <w:left w:val="single" w:sz="8" w:space="0" w:color="000000"/>
              <w:bottom w:val="single" w:sz="8" w:space="0" w:color="000000"/>
              <w:right w:val="single" w:sz="8" w:space="0" w:color="000000"/>
            </w:tcBorders>
          </w:tcPr>
          <w:p w:rsidR="00127B11" w:rsidRPr="004B2881" w:rsidRDefault="00127B11"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w:t>
            </w:r>
          </w:p>
        </w:tc>
      </w:tr>
    </w:tbl>
    <w:p w:rsidR="00127B11" w:rsidRPr="004B2881" w:rsidRDefault="00127B11" w:rsidP="00127B11">
      <w:pPr>
        <w:suppressAutoHyphens/>
        <w:rPr>
          <w:szCs w:val="19"/>
          <w:lang w:val="fr-FR"/>
        </w:rPr>
      </w:pPr>
    </w:p>
    <w:p w:rsidR="00B51759" w:rsidRPr="004B2881" w:rsidRDefault="00B51759" w:rsidP="00793073">
      <w:pPr>
        <w:pStyle w:val="enumlev1"/>
        <w:rPr>
          <w:rFonts w:asciiTheme="majorBidi" w:hAnsiTheme="majorBidi" w:cstheme="majorBidi"/>
          <w:szCs w:val="22"/>
          <w:lang w:val="fr-FR"/>
        </w:rPr>
      </w:pPr>
      <w:r w:rsidRPr="004B2881">
        <w:rPr>
          <w:rFonts w:asciiTheme="majorBidi" w:hAnsiTheme="majorBidi" w:cstheme="majorBidi"/>
          <w:szCs w:val="22"/>
          <w:lang w:val="fr-FR"/>
        </w:rPr>
        <w:t>12.4</w:t>
      </w:r>
      <w:r w:rsidRPr="004B2881">
        <w:rPr>
          <w:rFonts w:asciiTheme="majorBidi" w:hAnsiTheme="majorBidi" w:cstheme="majorBidi"/>
          <w:szCs w:val="22"/>
          <w:lang w:val="fr-FR"/>
        </w:rPr>
        <w:tab/>
        <w:t xml:space="preserve">Le montant annuel des droits d'utilisation du spectre pour les radiocommunications mobiles privées utilisées par les compagnies de taxi est calculé, pour la station de base, conformément à l'Article 12.1, une taxe distincte de 300 AED s'appliquant à chaque taxi équipé d'une radio. </w:t>
      </w:r>
    </w:p>
    <w:p w:rsidR="00B51759" w:rsidRPr="004B2881" w:rsidRDefault="00B51759" w:rsidP="00793073">
      <w:pPr>
        <w:pStyle w:val="enumlev1"/>
        <w:rPr>
          <w:rFonts w:asciiTheme="majorBidi" w:hAnsiTheme="majorBidi" w:cstheme="majorBidi"/>
          <w:szCs w:val="22"/>
          <w:lang w:val="fr-FR"/>
        </w:rPr>
      </w:pPr>
      <w:r w:rsidRPr="004B2881">
        <w:rPr>
          <w:rFonts w:asciiTheme="majorBidi" w:hAnsiTheme="majorBidi" w:cstheme="majorBidi"/>
          <w:szCs w:val="22"/>
          <w:lang w:val="fr-FR"/>
        </w:rPr>
        <w:t>12.5</w:t>
      </w:r>
      <w:r w:rsidRPr="004B2881">
        <w:rPr>
          <w:rFonts w:asciiTheme="majorBidi" w:hAnsiTheme="majorBidi" w:cstheme="majorBidi"/>
          <w:szCs w:val="22"/>
          <w:lang w:val="fr-FR"/>
        </w:rPr>
        <w:tab/>
        <w:t xml:space="preserve">Les droits annuels d'utilisation du spectre pour la radiomessagerie publique et au domicile sont calculés pour la station de base conformément à l'Article 12.1, aucune taxe supplémentaire n'étant facturée pour les appareils portables. </w:t>
      </w:r>
    </w:p>
    <w:p w:rsidR="00B51759" w:rsidRPr="004B2881" w:rsidRDefault="00B51759" w:rsidP="00793073">
      <w:pPr>
        <w:pStyle w:val="enumlev1"/>
        <w:rPr>
          <w:rFonts w:asciiTheme="majorBidi" w:hAnsiTheme="majorBidi" w:cstheme="majorBidi"/>
          <w:szCs w:val="22"/>
          <w:lang w:val="fr-FR"/>
        </w:rPr>
      </w:pPr>
      <w:r w:rsidRPr="004B2881">
        <w:rPr>
          <w:rFonts w:asciiTheme="majorBidi" w:hAnsiTheme="majorBidi" w:cstheme="majorBidi"/>
          <w:szCs w:val="22"/>
          <w:lang w:val="fr-FR"/>
        </w:rPr>
        <w:t>12.6</w:t>
      </w:r>
      <w:r w:rsidRPr="004B2881">
        <w:rPr>
          <w:rFonts w:asciiTheme="majorBidi" w:hAnsiTheme="majorBidi" w:cstheme="majorBidi"/>
          <w:szCs w:val="22"/>
          <w:lang w:val="fr-FR"/>
        </w:rPr>
        <w:tab/>
        <w:t xml:space="preserve">Les droits annuels d'utilisation du spectre pour les systèmes analogiques à ressources partagées (du type MPT 1327) sont calculés conformément à l'Article 12.1 ci-dessus. </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12.7</w:t>
      </w:r>
      <w:r w:rsidRPr="004B2881">
        <w:rPr>
          <w:rFonts w:asciiTheme="majorBidi" w:hAnsiTheme="majorBidi" w:cstheme="majorBidi"/>
          <w:szCs w:val="22"/>
          <w:lang w:val="fr-FR"/>
        </w:rPr>
        <w:tab/>
        <w:t>Les droits annuels d'utilisation du spectre pour les systèmes numériques à ressources partagées (du type TETRA, TETRAPOL, EDACS, APCO, etc.) sont calculés comme suit:</w:t>
      </w:r>
    </w:p>
    <w:p w:rsidR="00B51759" w:rsidRPr="004B2881" w:rsidRDefault="00B51759" w:rsidP="00B51759">
      <w:pPr>
        <w:ind w:left="720"/>
        <w:jc w:val="center"/>
        <w:rPr>
          <w:color w:val="000000"/>
          <w:lang w:val="fr-FR"/>
        </w:rPr>
      </w:pPr>
      <w:r w:rsidRPr="004B2881">
        <w:rPr>
          <w:b/>
          <w:color w:val="000000"/>
          <w:lang w:val="fr-FR"/>
        </w:rPr>
        <w:t>Droits à acquitter = NC x CF x 2,5</w:t>
      </w:r>
    </w:p>
    <w:p w:rsidR="00B51759" w:rsidRPr="004B2881" w:rsidRDefault="00B51759" w:rsidP="00CA590E">
      <w:pPr>
        <w:ind w:left="720"/>
        <w:rPr>
          <w:color w:val="000000"/>
          <w:lang w:val="fr-FR"/>
        </w:rPr>
      </w:pPr>
      <w:r w:rsidRPr="004B2881">
        <w:rPr>
          <w:color w:val="000000"/>
          <w:szCs w:val="19"/>
          <w:lang w:val="fr-FR"/>
        </w:rPr>
        <w:t>où</w:t>
      </w:r>
      <w:r w:rsidRPr="004B2881">
        <w:rPr>
          <w:color w:val="000000"/>
          <w:lang w:val="fr-FR"/>
        </w:rPr>
        <w:t xml:space="preserve">: </w:t>
      </w:r>
    </w:p>
    <w:p w:rsidR="00B51759" w:rsidRPr="004B2881" w:rsidRDefault="00B51759" w:rsidP="00CA590E">
      <w:pPr>
        <w:ind w:left="720"/>
        <w:rPr>
          <w:color w:val="000000"/>
          <w:szCs w:val="19"/>
          <w:lang w:val="fr-FR"/>
        </w:rPr>
      </w:pPr>
      <w:r w:rsidRPr="004B2881">
        <w:rPr>
          <w:b/>
          <w:bCs/>
          <w:color w:val="000000"/>
          <w:szCs w:val="19"/>
          <w:lang w:val="fr-FR"/>
        </w:rPr>
        <w:t>NC</w:t>
      </w:r>
      <w:r w:rsidRPr="004B2881">
        <w:rPr>
          <w:color w:val="000000"/>
          <w:szCs w:val="19"/>
          <w:lang w:val="fr-FR"/>
        </w:rPr>
        <w:t xml:space="preserve"> = Le nombre de canaux (dont chacun a une largeur de bande équivalente de 12,5 kHz) qui seront attribués à l'utilisateur. </w:t>
      </w:r>
    </w:p>
    <w:p w:rsidR="00B51759" w:rsidRPr="004B2881" w:rsidRDefault="00B51759" w:rsidP="00CA590E">
      <w:pPr>
        <w:ind w:left="720"/>
        <w:rPr>
          <w:color w:val="000000"/>
          <w:szCs w:val="19"/>
          <w:lang w:val="fr-FR"/>
        </w:rPr>
      </w:pPr>
      <w:r w:rsidRPr="004B2881">
        <w:rPr>
          <w:b/>
          <w:bCs/>
          <w:color w:val="000000"/>
          <w:szCs w:val="19"/>
          <w:lang w:val="fr-FR"/>
        </w:rPr>
        <w:t>CF</w:t>
      </w:r>
      <w:r w:rsidRPr="004B2881">
        <w:rPr>
          <w:color w:val="000000"/>
          <w:szCs w:val="19"/>
          <w:lang w:val="fr-FR"/>
        </w:rPr>
        <w:t xml:space="preserve"> = C</w:t>
      </w:r>
      <w:r w:rsidR="00C95B09" w:rsidRPr="004B2881">
        <w:rPr>
          <w:color w:val="000000"/>
          <w:szCs w:val="19"/>
          <w:lang w:val="fr-FR"/>
        </w:rPr>
        <w:t>oe</w:t>
      </w:r>
      <w:r w:rsidRPr="004B2881">
        <w:rPr>
          <w:color w:val="000000"/>
          <w:szCs w:val="19"/>
          <w:lang w:val="fr-FR"/>
        </w:rPr>
        <w:t xml:space="preserve">fficient de desserte, en fonction de la zone géographique, qui est déterminé comme suit: </w:t>
      </w:r>
    </w:p>
    <w:p w:rsidR="004216E7" w:rsidRPr="004B2881" w:rsidRDefault="004216E7" w:rsidP="004216E7">
      <w:pPr>
        <w:rPr>
          <w:lang w:val="fr-FR"/>
        </w:rPr>
      </w:pPr>
    </w:p>
    <w:tbl>
      <w:tblPr>
        <w:tblW w:w="0" w:type="auto"/>
        <w:jc w:val="center"/>
        <w:tblInd w:w="925" w:type="dxa"/>
        <w:tblBorders>
          <w:top w:val="nil"/>
          <w:left w:val="nil"/>
          <w:bottom w:val="nil"/>
          <w:right w:val="nil"/>
        </w:tblBorders>
        <w:tblLook w:val="0000"/>
      </w:tblPr>
      <w:tblGrid>
        <w:gridCol w:w="866"/>
        <w:gridCol w:w="1462"/>
        <w:gridCol w:w="1382"/>
        <w:gridCol w:w="3268"/>
        <w:gridCol w:w="1401"/>
      </w:tblGrid>
      <w:tr w:rsidR="004216E7" w:rsidRPr="004F63CA" w:rsidTr="00F84A9A">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w:t>
            </w:r>
          </w:p>
        </w:tc>
        <w:tc>
          <w:tcPr>
            <w:tcW w:w="1462"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Zone rurale ou à l'intérieur de locaux</w:t>
            </w:r>
          </w:p>
        </w:tc>
        <w:tc>
          <w:tcPr>
            <w:tcW w:w="1382"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Totalité des Emirats arabes unis </w:t>
            </w:r>
          </w:p>
        </w:tc>
      </w:tr>
      <w:tr w:rsidR="004216E7" w:rsidRPr="004B2881" w:rsidTr="00F84A9A">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b w:val="0"/>
                <w:bCs/>
                <w:szCs w:val="22"/>
                <w:lang w:val="fr-FR"/>
              </w:rPr>
            </w:pPr>
            <w:r w:rsidRPr="004B2881">
              <w:rPr>
                <w:rFonts w:asciiTheme="majorBidi" w:hAnsiTheme="majorBidi" w:cstheme="majorBidi"/>
                <w:b w:val="0"/>
                <w:bCs/>
                <w:szCs w:val="22"/>
                <w:lang w:val="fr-FR"/>
              </w:rPr>
              <w:t xml:space="preserve">CF </w:t>
            </w:r>
          </w:p>
        </w:tc>
        <w:tc>
          <w:tcPr>
            <w:tcW w:w="1462"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b w:val="0"/>
                <w:bCs/>
                <w:szCs w:val="22"/>
                <w:lang w:val="fr-FR"/>
              </w:rPr>
            </w:pPr>
            <w:r w:rsidRPr="004B2881">
              <w:rPr>
                <w:rFonts w:asciiTheme="majorBidi" w:hAnsiTheme="majorBidi" w:cstheme="majorBidi"/>
                <w:b w:val="0"/>
                <w:bCs/>
                <w:szCs w:val="22"/>
                <w:lang w:val="fr-FR"/>
              </w:rPr>
              <w:t xml:space="preserve">100 </w:t>
            </w:r>
          </w:p>
        </w:tc>
        <w:tc>
          <w:tcPr>
            <w:tcW w:w="1382"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b w:val="0"/>
                <w:bCs/>
                <w:szCs w:val="22"/>
                <w:lang w:val="fr-FR"/>
              </w:rPr>
            </w:pPr>
            <w:r w:rsidRPr="004B2881">
              <w:rPr>
                <w:rFonts w:asciiTheme="majorBidi" w:hAnsiTheme="majorBidi" w:cstheme="majorBidi"/>
                <w:b w:val="0"/>
                <w:bCs/>
                <w:szCs w:val="22"/>
                <w:lang w:val="fr-FR"/>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jc w:val="left"/>
              <w:rPr>
                <w:rFonts w:asciiTheme="majorBidi" w:hAnsiTheme="majorBidi" w:cstheme="majorBidi"/>
                <w:b w:val="0"/>
                <w:bCs/>
                <w:szCs w:val="22"/>
                <w:lang w:val="fr-FR"/>
              </w:rPr>
            </w:pPr>
            <w:r w:rsidRPr="004B2881">
              <w:rPr>
                <w:rFonts w:asciiTheme="majorBidi" w:hAnsiTheme="majorBidi" w:cstheme="majorBidi"/>
                <w:b w:val="0"/>
                <w:bCs/>
                <w:szCs w:val="22"/>
                <w:lang w:val="fr-FR"/>
              </w:rPr>
              <w:t>2</w:t>
            </w:r>
            <w:r w:rsidRPr="004B2881">
              <w:rPr>
                <w:rFonts w:asciiTheme="majorBidi" w:hAnsiTheme="majorBidi" w:cstheme="majorBidi"/>
                <w:b w:val="0"/>
                <w:bCs/>
                <w:sz w:val="16"/>
                <w:szCs w:val="16"/>
                <w:lang w:val="fr-FR"/>
              </w:rPr>
              <w:t xml:space="preserve"> </w:t>
            </w:r>
            <w:r w:rsidRPr="004B2881">
              <w:rPr>
                <w:rFonts w:asciiTheme="majorBidi" w:hAnsiTheme="majorBidi" w:cstheme="majorBidi"/>
                <w:b w:val="0"/>
                <w:bCs/>
                <w:szCs w:val="22"/>
                <w:lang w:val="fr-FR"/>
              </w:rPr>
              <w:t>000 pour Abu Dhabi ou Dubaï</w:t>
            </w:r>
          </w:p>
          <w:p w:rsidR="004216E7" w:rsidRPr="004B2881" w:rsidRDefault="004216E7" w:rsidP="00F84A9A">
            <w:pPr>
              <w:pStyle w:val="Tablehead"/>
              <w:jc w:val="left"/>
              <w:rPr>
                <w:rFonts w:asciiTheme="majorBidi" w:hAnsiTheme="majorBidi" w:cstheme="majorBidi"/>
                <w:b w:val="0"/>
                <w:bCs/>
                <w:szCs w:val="22"/>
                <w:lang w:val="fr-FR"/>
              </w:rPr>
            </w:pPr>
            <w:r w:rsidRPr="004B2881">
              <w:rPr>
                <w:rFonts w:asciiTheme="majorBidi" w:hAnsiTheme="majorBidi" w:cstheme="majorBidi"/>
                <w:b w:val="0"/>
                <w:bCs/>
                <w:szCs w:val="22"/>
                <w:lang w:val="fr-FR"/>
              </w:rPr>
              <w:t>1</w:t>
            </w:r>
            <w:r w:rsidRPr="004B2881">
              <w:rPr>
                <w:rFonts w:asciiTheme="majorBidi" w:hAnsiTheme="majorBidi" w:cstheme="majorBidi"/>
                <w:b w:val="0"/>
                <w:bCs/>
                <w:sz w:val="16"/>
                <w:szCs w:val="16"/>
                <w:lang w:val="fr-FR"/>
              </w:rPr>
              <w:t xml:space="preserve"> </w:t>
            </w:r>
            <w:r w:rsidRPr="004B2881">
              <w:rPr>
                <w:rFonts w:asciiTheme="majorBidi" w:hAnsiTheme="majorBidi" w:cstheme="majorBidi"/>
                <w:b w:val="0"/>
                <w:bCs/>
                <w:szCs w:val="22"/>
                <w:lang w:val="fr-FR"/>
              </w:rPr>
              <w:t>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4216E7" w:rsidRPr="004B2881" w:rsidRDefault="004216E7" w:rsidP="00F84A9A">
            <w:pPr>
              <w:pStyle w:val="Tablehead"/>
              <w:rPr>
                <w:rFonts w:asciiTheme="majorBidi" w:hAnsiTheme="majorBidi" w:cstheme="majorBidi"/>
                <w:b w:val="0"/>
                <w:bCs/>
                <w:szCs w:val="22"/>
                <w:lang w:val="fr-FR"/>
              </w:rPr>
            </w:pPr>
            <w:r w:rsidRPr="004B2881">
              <w:rPr>
                <w:rFonts w:asciiTheme="majorBidi" w:hAnsiTheme="majorBidi" w:cstheme="majorBidi"/>
                <w:b w:val="0"/>
                <w:bCs/>
                <w:szCs w:val="22"/>
                <w:lang w:val="fr-FR"/>
              </w:rPr>
              <w:t>4</w:t>
            </w:r>
            <w:r w:rsidRPr="004B2881">
              <w:rPr>
                <w:rFonts w:asciiTheme="majorBidi" w:hAnsiTheme="majorBidi" w:cstheme="majorBidi"/>
                <w:b w:val="0"/>
                <w:bCs/>
                <w:sz w:val="16"/>
                <w:szCs w:val="16"/>
                <w:lang w:val="fr-FR"/>
              </w:rPr>
              <w:t xml:space="preserve"> </w:t>
            </w:r>
            <w:r w:rsidRPr="004B2881">
              <w:rPr>
                <w:rFonts w:asciiTheme="majorBidi" w:hAnsiTheme="majorBidi" w:cstheme="majorBidi"/>
                <w:b w:val="0"/>
                <w:bCs/>
                <w:szCs w:val="22"/>
                <w:lang w:val="fr-FR"/>
              </w:rPr>
              <w:t xml:space="preserve">000 </w:t>
            </w:r>
          </w:p>
        </w:tc>
      </w:tr>
    </w:tbl>
    <w:p w:rsidR="00B617C2" w:rsidRPr="004B2881" w:rsidRDefault="00B617C2" w:rsidP="00B617C2">
      <w:pPr>
        <w:pStyle w:val="Normalaftertitle"/>
        <w:rPr>
          <w:sz w:val="28"/>
          <w:lang w:val="fr-FR"/>
        </w:rPr>
      </w:pPr>
      <w:bookmarkStart w:id="659" w:name="_Toc225739482"/>
      <w:bookmarkStart w:id="660" w:name="_Toc225739826"/>
      <w:bookmarkStart w:id="661" w:name="_Toc280262370"/>
      <w:bookmarkStart w:id="662" w:name="_Toc280272764"/>
      <w:bookmarkStart w:id="663" w:name="_Toc280272943"/>
      <w:bookmarkStart w:id="664" w:name="_Toc284419458"/>
      <w:r w:rsidRPr="004B2881">
        <w:rPr>
          <w:lang w:val="fr-FR"/>
        </w:rPr>
        <w:br w:type="page"/>
      </w:r>
    </w:p>
    <w:p w:rsidR="00B51759" w:rsidRPr="004B2881" w:rsidRDefault="00B51759" w:rsidP="00C70783">
      <w:pPr>
        <w:pStyle w:val="Arttitle"/>
        <w:spacing w:before="400"/>
        <w:rPr>
          <w:lang w:val="fr-FR"/>
        </w:rPr>
      </w:pPr>
      <w:bookmarkStart w:id="665" w:name="_Toc286315775"/>
      <w:r w:rsidRPr="004B2881">
        <w:rPr>
          <w:lang w:val="fr-FR"/>
        </w:rPr>
        <w:lastRenderedPageBreak/>
        <w:t>Article 13</w:t>
      </w:r>
      <w:bookmarkEnd w:id="659"/>
      <w:bookmarkEnd w:id="660"/>
      <w:r w:rsidRPr="004B2881">
        <w:rPr>
          <w:lang w:val="fr-FR"/>
        </w:rPr>
        <w:br/>
      </w:r>
      <w:r w:rsidRPr="004B2881">
        <w:rPr>
          <w:lang w:val="fr-FR"/>
        </w:rPr>
        <w:br/>
      </w:r>
      <w:bookmarkStart w:id="666" w:name="_Toc225739483"/>
      <w:bookmarkStart w:id="667" w:name="_Toc225739827"/>
      <w:r w:rsidRPr="004B2881">
        <w:rPr>
          <w:lang w:val="fr-FR"/>
        </w:rPr>
        <w:t>Droits à acquitter pour l'utilisation du spectre</w:t>
      </w:r>
      <w:r w:rsidR="00336F26" w:rsidRPr="004B2881">
        <w:rPr>
          <w:lang w:val="fr-FR"/>
        </w:rPr>
        <w:br/>
      </w:r>
      <w:r w:rsidRPr="004B2881">
        <w:rPr>
          <w:lang w:val="fr-FR"/>
        </w:rPr>
        <w:t>pour des liaisons fixes (point à point)</w:t>
      </w:r>
      <w:bookmarkEnd w:id="661"/>
      <w:bookmarkEnd w:id="662"/>
      <w:bookmarkEnd w:id="663"/>
      <w:bookmarkEnd w:id="664"/>
      <w:bookmarkEnd w:id="665"/>
      <w:bookmarkEnd w:id="666"/>
      <w:bookmarkEnd w:id="667"/>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13.1</w:t>
      </w:r>
      <w:r w:rsidRPr="004B2881">
        <w:rPr>
          <w:rFonts w:asciiTheme="majorBidi" w:hAnsiTheme="majorBidi" w:cstheme="majorBidi"/>
          <w:szCs w:val="22"/>
          <w:lang w:val="fr-FR"/>
        </w:rPr>
        <w:tab/>
        <w:t xml:space="preserve">Les droits annuels à acquitter pour chaque liaison fixe point à point au-dessus de 2 GHz sont calculés comme suit: </w:t>
      </w:r>
    </w:p>
    <w:p w:rsidR="00B51759" w:rsidRPr="004B2881" w:rsidRDefault="00B51759" w:rsidP="00B51759">
      <w:pPr>
        <w:jc w:val="center"/>
        <w:rPr>
          <w:lang w:val="fr-FR"/>
        </w:rPr>
      </w:pPr>
      <w:r w:rsidRPr="004B2881">
        <w:rPr>
          <w:b/>
          <w:lang w:val="fr-FR"/>
        </w:rPr>
        <w:t>Droits à acquitter = F x 2000 + BW x 1000</w:t>
      </w:r>
    </w:p>
    <w:p w:rsidR="00B51759" w:rsidRPr="004B2881" w:rsidRDefault="00B51759" w:rsidP="00151874">
      <w:pPr>
        <w:ind w:left="720"/>
        <w:rPr>
          <w:lang w:val="fr-FR"/>
        </w:rPr>
      </w:pPr>
      <w:r w:rsidRPr="004B2881">
        <w:rPr>
          <w:lang w:val="fr-FR"/>
        </w:rPr>
        <w:t xml:space="preserve">où: </w:t>
      </w:r>
    </w:p>
    <w:p w:rsidR="00B51759" w:rsidRPr="004B2881" w:rsidRDefault="00B51759" w:rsidP="00151874">
      <w:pPr>
        <w:ind w:left="720"/>
        <w:rPr>
          <w:lang w:val="fr-FR"/>
        </w:rPr>
      </w:pPr>
      <w:r w:rsidRPr="004B2881">
        <w:rPr>
          <w:b/>
          <w:bCs/>
          <w:lang w:val="fr-FR"/>
        </w:rPr>
        <w:t>F</w:t>
      </w:r>
      <w:r w:rsidRPr="004B2881">
        <w:rPr>
          <w:lang w:val="fr-FR"/>
        </w:rPr>
        <w:t xml:space="preserve"> = Le c</w:t>
      </w:r>
      <w:r w:rsidR="00C95B09" w:rsidRPr="004B2881">
        <w:rPr>
          <w:lang w:val="fr-FR"/>
        </w:rPr>
        <w:t>oe</w:t>
      </w:r>
      <w:r w:rsidRPr="004B2881">
        <w:rPr>
          <w:lang w:val="fr-FR"/>
        </w:rPr>
        <w:t xml:space="preserve">fficient de gamme de </w:t>
      </w:r>
      <w:r w:rsidRPr="004B2881">
        <w:rPr>
          <w:lang w:val="fr-FR"/>
        </w:rPr>
        <w:tab/>
      </w:r>
      <w:r w:rsidRPr="004B2881">
        <w:rPr>
          <w:lang w:val="fr-FR"/>
        </w:rPr>
        <w:tab/>
      </w:r>
      <w:r w:rsidRPr="004B2881">
        <w:rPr>
          <w:lang w:val="fr-FR"/>
        </w:rPr>
        <w:tab/>
      </w:r>
      <w:r w:rsidRPr="004B2881">
        <w:rPr>
          <w:lang w:val="fr-FR"/>
        </w:rPr>
        <w:tab/>
      </w:r>
      <w:r w:rsidRPr="004B2881">
        <w:rPr>
          <w:b/>
          <w:bCs/>
          <w:lang w:val="fr-FR"/>
        </w:rPr>
        <w:t>BW</w:t>
      </w:r>
      <w:r w:rsidRPr="004B2881">
        <w:rPr>
          <w:lang w:val="fr-FR"/>
        </w:rPr>
        <w:t xml:space="preserve"> = Le c</w:t>
      </w:r>
      <w:r w:rsidR="00C95B09" w:rsidRPr="004B2881">
        <w:rPr>
          <w:lang w:val="fr-FR"/>
        </w:rPr>
        <w:t>oe</w:t>
      </w:r>
      <w:r w:rsidRPr="004B2881">
        <w:rPr>
          <w:lang w:val="fr-FR"/>
        </w:rPr>
        <w:t>fficient de largeur de bande,</w:t>
      </w:r>
      <w:r w:rsidRPr="004B2881">
        <w:rPr>
          <w:lang w:val="fr-FR"/>
        </w:rPr>
        <w:br/>
        <w:t>fréquence</w:t>
      </w:r>
      <w:r w:rsidR="009C59C0" w:rsidRPr="004B2881">
        <w:rPr>
          <w:lang w:val="fr-FR"/>
        </w:rPr>
        <w:t xml:space="preserve">s, comme suit: </w:t>
      </w:r>
      <w:r w:rsidR="009C59C0" w:rsidRPr="004B2881">
        <w:rPr>
          <w:lang w:val="fr-FR"/>
        </w:rPr>
        <w:tab/>
      </w:r>
      <w:r w:rsidR="009C59C0" w:rsidRPr="004B2881">
        <w:rPr>
          <w:lang w:val="fr-FR"/>
        </w:rPr>
        <w:tab/>
      </w:r>
      <w:r w:rsidR="009C59C0" w:rsidRPr="004B2881">
        <w:rPr>
          <w:lang w:val="fr-FR"/>
        </w:rPr>
        <w:tab/>
      </w:r>
      <w:r w:rsidR="009C59C0" w:rsidRPr="004B2881">
        <w:rPr>
          <w:lang w:val="fr-FR"/>
        </w:rPr>
        <w:tab/>
      </w:r>
      <w:r w:rsidR="009C59C0" w:rsidRPr="004B2881">
        <w:rPr>
          <w:lang w:val="fr-FR"/>
        </w:rPr>
        <w:tab/>
        <w:t>comme suit:</w:t>
      </w:r>
    </w:p>
    <w:p w:rsidR="009C59C0" w:rsidRPr="004B2881" w:rsidRDefault="009C59C0" w:rsidP="009C59C0">
      <w:pPr>
        <w:ind w:left="720"/>
        <w:rPr>
          <w:szCs w:val="19"/>
          <w:lang w:val="fr-FR"/>
        </w:rPr>
      </w:pPr>
    </w:p>
    <w:tbl>
      <w:tblPr>
        <w:tblW w:w="0" w:type="auto"/>
        <w:tblInd w:w="675" w:type="dxa"/>
        <w:tblBorders>
          <w:top w:val="nil"/>
          <w:left w:val="nil"/>
          <w:bottom w:val="nil"/>
          <w:right w:val="nil"/>
        </w:tblBorders>
        <w:tblLook w:val="0000"/>
      </w:tblPr>
      <w:tblGrid>
        <w:gridCol w:w="2410"/>
        <w:gridCol w:w="1491"/>
        <w:gridCol w:w="1247"/>
        <w:gridCol w:w="2127"/>
        <w:gridCol w:w="1769"/>
      </w:tblGrid>
      <w:tr w:rsidR="009C59C0" w:rsidRPr="004B2881" w:rsidTr="00F84A9A">
        <w:trPr>
          <w:trHeight w:val="608"/>
        </w:trPr>
        <w:tc>
          <w:tcPr>
            <w:tcW w:w="2410"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Bande de fréquences</w:t>
            </w:r>
          </w:p>
        </w:tc>
        <w:tc>
          <w:tcPr>
            <w:tcW w:w="1491" w:type="dxa"/>
            <w:tcBorders>
              <w:top w:val="single" w:sz="8" w:space="0" w:color="000000"/>
              <w:left w:val="single" w:sz="8" w:space="0" w:color="000000"/>
              <w:bottom w:val="single" w:sz="8" w:space="0" w:color="000000"/>
              <w:right w:val="single" w:sz="4" w:space="0" w:color="auto"/>
            </w:tcBorders>
          </w:tcPr>
          <w:p w:rsidR="009C59C0" w:rsidRPr="004B2881" w:rsidRDefault="009C59C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C</w:t>
            </w:r>
            <w:r w:rsidR="00C95B09" w:rsidRPr="004B2881">
              <w:rPr>
                <w:rFonts w:asciiTheme="majorBidi" w:hAnsiTheme="majorBidi" w:cstheme="majorBidi"/>
                <w:szCs w:val="22"/>
                <w:lang w:val="fr-FR"/>
              </w:rPr>
              <w:t>oe</w:t>
            </w:r>
            <w:r w:rsidRPr="004B2881">
              <w:rPr>
                <w:rFonts w:asciiTheme="majorBidi" w:hAnsiTheme="majorBidi" w:cstheme="majorBidi"/>
                <w:szCs w:val="22"/>
                <w:lang w:val="fr-FR"/>
              </w:rPr>
              <w:t xml:space="preserve">fficient F </w:t>
            </w:r>
          </w:p>
        </w:tc>
        <w:tc>
          <w:tcPr>
            <w:tcW w:w="1247" w:type="dxa"/>
            <w:tcBorders>
              <w:top w:val="nil"/>
              <w:left w:val="single" w:sz="4" w:space="0" w:color="auto"/>
              <w:bottom w:val="nil"/>
              <w:right w:val="single" w:sz="4" w:space="0" w:color="auto"/>
            </w:tcBorders>
          </w:tcPr>
          <w:p w:rsidR="009C59C0" w:rsidRPr="004B2881" w:rsidRDefault="009C59C0" w:rsidP="00F84A9A">
            <w:pPr>
              <w:pStyle w:val="Tablehead"/>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4B2881" w:rsidRDefault="009C59C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Largeur de bande </w:t>
            </w:r>
          </w:p>
        </w:tc>
        <w:tc>
          <w:tcPr>
            <w:tcW w:w="1769"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C</w:t>
            </w:r>
            <w:r w:rsidR="00C95B09" w:rsidRPr="004B2881">
              <w:rPr>
                <w:rFonts w:asciiTheme="majorBidi" w:hAnsiTheme="majorBidi" w:cstheme="majorBidi"/>
                <w:szCs w:val="22"/>
                <w:lang w:val="fr-FR"/>
              </w:rPr>
              <w:t>oe</w:t>
            </w:r>
            <w:r w:rsidRPr="004B2881">
              <w:rPr>
                <w:rFonts w:asciiTheme="majorBidi" w:hAnsiTheme="majorBidi" w:cstheme="majorBidi"/>
                <w:szCs w:val="22"/>
                <w:lang w:val="fr-FR"/>
              </w:rPr>
              <w:t xml:space="preserve">fficient BW </w:t>
            </w:r>
          </w:p>
        </w:tc>
      </w:tr>
      <w:tr w:rsidR="009C59C0" w:rsidRPr="004B2881"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2 GHz-3 GHz </w:t>
            </w:r>
          </w:p>
        </w:tc>
        <w:tc>
          <w:tcPr>
            <w:tcW w:w="1491" w:type="dxa"/>
            <w:tcBorders>
              <w:top w:val="single" w:sz="8" w:space="0" w:color="000000"/>
              <w:left w:val="single" w:sz="8" w:space="0" w:color="000000"/>
              <w:bottom w:val="single" w:sz="8" w:space="0" w:color="000000"/>
              <w:right w:val="single" w:sz="4" w:space="0" w:color="auto"/>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w:t>
            </w:r>
          </w:p>
        </w:tc>
        <w:tc>
          <w:tcPr>
            <w:tcW w:w="1247" w:type="dxa"/>
            <w:tcBorders>
              <w:top w:val="nil"/>
              <w:left w:val="single" w:sz="4" w:space="0" w:color="auto"/>
              <w:bottom w:val="nil"/>
              <w:right w:val="single" w:sz="4" w:space="0" w:color="auto"/>
            </w:tcBorders>
          </w:tcPr>
          <w:p w:rsidR="009C59C0" w:rsidRPr="004B2881"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7 MHz ou moins</w:t>
            </w:r>
          </w:p>
        </w:tc>
        <w:tc>
          <w:tcPr>
            <w:tcW w:w="1769"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w:t>
            </w:r>
          </w:p>
        </w:tc>
      </w:tr>
      <w:tr w:rsidR="009C59C0" w:rsidRPr="004B2881"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&gt;3 GHz-14 GHz </w:t>
            </w:r>
          </w:p>
        </w:tc>
        <w:tc>
          <w:tcPr>
            <w:tcW w:w="1491" w:type="dxa"/>
            <w:tcBorders>
              <w:top w:val="single" w:sz="8" w:space="0" w:color="000000"/>
              <w:left w:val="single" w:sz="8" w:space="0" w:color="000000"/>
              <w:bottom w:val="single" w:sz="8" w:space="0" w:color="000000"/>
              <w:right w:val="single" w:sz="4" w:space="0" w:color="auto"/>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3</w:t>
            </w:r>
          </w:p>
        </w:tc>
        <w:tc>
          <w:tcPr>
            <w:tcW w:w="1247" w:type="dxa"/>
            <w:tcBorders>
              <w:top w:val="nil"/>
              <w:left w:val="single" w:sz="4" w:space="0" w:color="auto"/>
              <w:bottom w:val="nil"/>
              <w:right w:val="single" w:sz="4" w:space="0" w:color="auto"/>
            </w:tcBorders>
          </w:tcPr>
          <w:p w:rsidR="009C59C0" w:rsidRPr="004B2881"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&gt;7 MHz-28 MHz </w:t>
            </w:r>
          </w:p>
        </w:tc>
        <w:tc>
          <w:tcPr>
            <w:tcW w:w="1769"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2</w:t>
            </w:r>
          </w:p>
        </w:tc>
      </w:tr>
      <w:tr w:rsidR="009C59C0" w:rsidRPr="004B2881"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&gt;14 GHz-40 GHz </w:t>
            </w:r>
          </w:p>
        </w:tc>
        <w:tc>
          <w:tcPr>
            <w:tcW w:w="1491" w:type="dxa"/>
            <w:tcBorders>
              <w:top w:val="single" w:sz="8" w:space="0" w:color="000000"/>
              <w:left w:val="single" w:sz="8" w:space="0" w:color="000000"/>
              <w:bottom w:val="single" w:sz="8" w:space="0" w:color="000000"/>
              <w:right w:val="single" w:sz="4" w:space="0" w:color="auto"/>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2</w:t>
            </w:r>
          </w:p>
        </w:tc>
        <w:tc>
          <w:tcPr>
            <w:tcW w:w="1247" w:type="dxa"/>
            <w:tcBorders>
              <w:top w:val="nil"/>
              <w:left w:val="single" w:sz="4" w:space="0" w:color="auto"/>
              <w:bottom w:val="nil"/>
              <w:right w:val="single" w:sz="4" w:space="0" w:color="auto"/>
            </w:tcBorders>
          </w:tcPr>
          <w:p w:rsidR="009C59C0" w:rsidRPr="004B2881"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&gt;28 MHz-56 MHz </w:t>
            </w:r>
          </w:p>
        </w:tc>
        <w:tc>
          <w:tcPr>
            <w:tcW w:w="1769"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3</w:t>
            </w:r>
          </w:p>
        </w:tc>
      </w:tr>
      <w:tr w:rsidR="009C59C0" w:rsidRPr="004B2881" w:rsidTr="00F84A9A">
        <w:trPr>
          <w:trHeight w:val="319"/>
        </w:trPr>
        <w:tc>
          <w:tcPr>
            <w:tcW w:w="2410"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Au-dessus de 40 GHz </w:t>
            </w:r>
          </w:p>
        </w:tc>
        <w:tc>
          <w:tcPr>
            <w:tcW w:w="1491" w:type="dxa"/>
            <w:tcBorders>
              <w:top w:val="single" w:sz="8" w:space="0" w:color="000000"/>
              <w:left w:val="single" w:sz="8" w:space="0" w:color="000000"/>
              <w:bottom w:val="single" w:sz="8" w:space="0" w:color="000000"/>
              <w:right w:val="single" w:sz="4" w:space="0" w:color="auto"/>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w:t>
            </w:r>
          </w:p>
        </w:tc>
        <w:tc>
          <w:tcPr>
            <w:tcW w:w="1247" w:type="dxa"/>
            <w:tcBorders>
              <w:top w:val="nil"/>
              <w:left w:val="single" w:sz="4" w:space="0" w:color="auto"/>
              <w:bottom w:val="nil"/>
              <w:right w:val="single" w:sz="4" w:space="0" w:color="auto"/>
            </w:tcBorders>
          </w:tcPr>
          <w:p w:rsidR="009C59C0" w:rsidRPr="004B2881" w:rsidRDefault="009C59C0" w:rsidP="00F84A9A">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9C59C0" w:rsidRPr="004B2881" w:rsidRDefault="009C59C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Supérieure à 56 MHz </w:t>
            </w:r>
          </w:p>
        </w:tc>
        <w:tc>
          <w:tcPr>
            <w:tcW w:w="1769" w:type="dxa"/>
            <w:tcBorders>
              <w:top w:val="single" w:sz="8" w:space="0" w:color="000000"/>
              <w:left w:val="single" w:sz="8" w:space="0" w:color="000000"/>
              <w:bottom w:val="single" w:sz="8" w:space="0" w:color="000000"/>
              <w:right w:val="single" w:sz="8" w:space="0" w:color="000000"/>
            </w:tcBorders>
          </w:tcPr>
          <w:p w:rsidR="009C59C0" w:rsidRPr="004B2881" w:rsidRDefault="009C59C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w:t>
            </w:r>
          </w:p>
        </w:tc>
      </w:tr>
    </w:tbl>
    <w:p w:rsidR="009C59C0" w:rsidRPr="004B2881" w:rsidRDefault="009C59C0" w:rsidP="009C59C0">
      <w:pPr>
        <w:pStyle w:val="enumlev1"/>
        <w:rPr>
          <w:rFonts w:ascii="Verdana" w:hAnsi="Verdana"/>
          <w:sz w:val="19"/>
          <w:szCs w:val="19"/>
          <w:lang w:val="fr-FR"/>
        </w:rPr>
      </w:pP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13.2</w:t>
      </w:r>
      <w:r w:rsidRPr="004B2881">
        <w:rPr>
          <w:rFonts w:asciiTheme="majorBidi" w:hAnsiTheme="majorBidi" w:cstheme="majorBidi"/>
          <w:szCs w:val="22"/>
          <w:lang w:val="fr-FR"/>
        </w:rPr>
        <w:tab/>
        <w:t>La largeur de bande pour chaque liaison fixe point à point au-dessus de 2 GHz est calculée sur la base de la largeur de bande du canal (par exemple, pour deux bandes de fréquences de 3,5 MHz chacune, soit 7 MHz, on a un c</w:t>
      </w:r>
      <w:r w:rsidR="00C95B09" w:rsidRPr="004B2881">
        <w:rPr>
          <w:rFonts w:asciiTheme="majorBidi" w:hAnsiTheme="majorBidi" w:cstheme="majorBidi"/>
          <w:szCs w:val="22"/>
          <w:lang w:val="fr-FR"/>
        </w:rPr>
        <w:t>oe</w:t>
      </w:r>
      <w:r w:rsidRPr="004B2881">
        <w:rPr>
          <w:rFonts w:asciiTheme="majorBidi" w:hAnsiTheme="majorBidi" w:cstheme="majorBidi"/>
          <w:szCs w:val="22"/>
          <w:lang w:val="fr-FR"/>
        </w:rPr>
        <w:t>fficient de largeur de bande de 1). La diversité de fréquence est facturée comme une liaison séparée, mais sans supplément pour la diversité d'espace et l'exploitation en mode réserve active.</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13.3</w:t>
      </w:r>
      <w:r w:rsidRPr="004B2881">
        <w:rPr>
          <w:rFonts w:asciiTheme="majorBidi" w:hAnsiTheme="majorBidi" w:cstheme="majorBidi"/>
          <w:szCs w:val="22"/>
          <w:lang w:val="fr-FR"/>
        </w:rPr>
        <w:tab/>
        <w:t>Dans des cas exceptionnels, lorsque deux bandes de fréquences sont assignées à toutes les liaisons point à point des Emirats arabes unis, au-dessus de 2 GHz, le montant annuel des droits d'utilisation du spectre est dix fois supérieur au montant fixé pour une seule liaison (en supposant que les mêmes paramètres s'appliquent), sur la base d'un c</w:t>
      </w:r>
      <w:r w:rsidR="00C95B09" w:rsidRPr="004B2881">
        <w:rPr>
          <w:rFonts w:asciiTheme="majorBidi" w:hAnsiTheme="majorBidi" w:cstheme="majorBidi"/>
          <w:szCs w:val="22"/>
          <w:lang w:val="fr-FR"/>
        </w:rPr>
        <w:t>oe</w:t>
      </w:r>
      <w:r w:rsidRPr="004B2881">
        <w:rPr>
          <w:rFonts w:asciiTheme="majorBidi" w:hAnsiTheme="majorBidi" w:cstheme="majorBidi"/>
          <w:szCs w:val="22"/>
          <w:lang w:val="fr-FR"/>
        </w:rPr>
        <w:t>fficient de réutilisation égal à 10.</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13.4</w:t>
      </w:r>
      <w:r w:rsidRPr="004B2881">
        <w:rPr>
          <w:rFonts w:asciiTheme="majorBidi" w:hAnsiTheme="majorBidi" w:cstheme="majorBidi"/>
          <w:szCs w:val="22"/>
          <w:lang w:val="fr-FR"/>
        </w:rPr>
        <w:tab/>
        <w:t xml:space="preserve">Le montant annuel des droits d'utilisation du spectre pour chaque liaison fixe point à point en ondes décamétriques au-dessous de 30 MHz est calculé comme suit: </w:t>
      </w:r>
    </w:p>
    <w:p w:rsidR="00B51759" w:rsidRPr="004B2881" w:rsidRDefault="00B51759" w:rsidP="00B51759">
      <w:pPr>
        <w:jc w:val="center"/>
        <w:rPr>
          <w:b/>
          <w:bCs/>
          <w:lang w:val="fr-FR"/>
        </w:rPr>
      </w:pPr>
      <w:r w:rsidRPr="004B2881">
        <w:rPr>
          <w:b/>
          <w:lang w:val="fr-FR"/>
        </w:rPr>
        <w:t>Droits à acquitter = BW x 1000</w:t>
      </w:r>
    </w:p>
    <w:p w:rsidR="00B51759" w:rsidRPr="004B2881" w:rsidRDefault="00B51759" w:rsidP="00B51759">
      <w:pPr>
        <w:ind w:left="794" w:hanging="794"/>
        <w:rPr>
          <w:lang w:val="fr-FR"/>
        </w:rPr>
      </w:pPr>
      <w:r w:rsidRPr="004B2881">
        <w:rPr>
          <w:lang w:val="fr-FR"/>
        </w:rPr>
        <w:tab/>
        <w:t>Le c</w:t>
      </w:r>
      <w:r w:rsidR="00C95B09" w:rsidRPr="004B2881">
        <w:rPr>
          <w:lang w:val="fr-FR"/>
        </w:rPr>
        <w:t>oe</w:t>
      </w:r>
      <w:r w:rsidRPr="004B2881">
        <w:rPr>
          <w:lang w:val="fr-FR"/>
        </w:rPr>
        <w:t>fficient BW étant exprimé en kHz pour tous les canaux sur cette liaison</w:t>
      </w:r>
      <w:r w:rsidR="00FB4DE5" w:rsidRPr="004B2881">
        <w:rPr>
          <w:lang w:val="fr-FR"/>
        </w:rPr>
        <w:t>.</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13.5</w:t>
      </w:r>
      <w:r w:rsidRPr="004B2881">
        <w:rPr>
          <w:rFonts w:asciiTheme="majorBidi" w:hAnsiTheme="majorBidi" w:cstheme="majorBidi"/>
          <w:szCs w:val="22"/>
          <w:lang w:val="fr-FR"/>
        </w:rPr>
        <w:tab/>
        <w:t xml:space="preserve">Le montant annuel des droits d'utilisation du spectre pour chaque liaison fixe point à point en ondes métriques et décimétriques au-dessous de 2 GHz est calculé comme suit: </w:t>
      </w:r>
    </w:p>
    <w:p w:rsidR="00B51759" w:rsidRPr="004B2881" w:rsidRDefault="00B51759" w:rsidP="00B51759">
      <w:pPr>
        <w:pStyle w:val="Headingb"/>
        <w:jc w:val="center"/>
        <w:rPr>
          <w:lang w:val="fr-FR"/>
        </w:rPr>
      </w:pPr>
      <w:bookmarkStart w:id="668" w:name="_Toc225739484"/>
      <w:bookmarkStart w:id="669" w:name="_Toc225739828"/>
      <w:r w:rsidRPr="004B2881">
        <w:rPr>
          <w:lang w:val="fr-FR"/>
        </w:rPr>
        <w:t>Droits à acquitter = BW x 500</w:t>
      </w:r>
      <w:bookmarkEnd w:id="668"/>
      <w:bookmarkEnd w:id="669"/>
    </w:p>
    <w:p w:rsidR="00B51759" w:rsidRPr="004B2881" w:rsidRDefault="00B51759" w:rsidP="00B51759">
      <w:pPr>
        <w:ind w:left="794" w:hanging="794"/>
        <w:rPr>
          <w:lang w:val="fr-FR"/>
        </w:rPr>
      </w:pPr>
      <w:r w:rsidRPr="004B2881">
        <w:rPr>
          <w:lang w:val="fr-FR"/>
        </w:rPr>
        <w:tab/>
        <w:t>Le c</w:t>
      </w:r>
      <w:r w:rsidR="00C95B09" w:rsidRPr="004B2881">
        <w:rPr>
          <w:lang w:val="fr-FR"/>
        </w:rPr>
        <w:t>oe</w:t>
      </w:r>
      <w:r w:rsidRPr="004B2881">
        <w:rPr>
          <w:lang w:val="fr-FR"/>
        </w:rPr>
        <w:t>fficient BW étant exprimé en kHz pour tous les canaux sur cette liaison</w:t>
      </w:r>
      <w:r w:rsidR="00FB4DE5" w:rsidRPr="004B2881">
        <w:rPr>
          <w:lang w:val="fr-FR"/>
        </w:rPr>
        <w:t>.</w:t>
      </w:r>
    </w:p>
    <w:p w:rsidR="00FB4DE5" w:rsidRPr="004B2881" w:rsidRDefault="00FB4DE5">
      <w:pPr>
        <w:tabs>
          <w:tab w:val="clear" w:pos="794"/>
          <w:tab w:val="clear" w:pos="1191"/>
          <w:tab w:val="clear" w:pos="1588"/>
          <w:tab w:val="clear" w:pos="1985"/>
        </w:tabs>
        <w:overflowPunct/>
        <w:autoSpaceDE/>
        <w:autoSpaceDN/>
        <w:adjustRightInd/>
        <w:spacing w:before="0"/>
        <w:jc w:val="left"/>
        <w:textAlignment w:val="auto"/>
        <w:rPr>
          <w:b/>
          <w:sz w:val="28"/>
          <w:lang w:val="fr-FR"/>
        </w:rPr>
      </w:pPr>
      <w:bookmarkStart w:id="670" w:name="_Toc225739485"/>
      <w:bookmarkStart w:id="671" w:name="_Toc225739829"/>
      <w:bookmarkStart w:id="672" w:name="_Toc280262371"/>
      <w:bookmarkStart w:id="673" w:name="_Toc280272765"/>
      <w:bookmarkStart w:id="674" w:name="_Toc280272944"/>
      <w:bookmarkStart w:id="675" w:name="_Toc284419459"/>
      <w:r w:rsidRPr="004B2881">
        <w:rPr>
          <w:lang w:val="fr-FR"/>
        </w:rPr>
        <w:br w:type="page"/>
      </w:r>
    </w:p>
    <w:p w:rsidR="00B51759" w:rsidRPr="004B2881" w:rsidRDefault="00C70783" w:rsidP="00C70783">
      <w:pPr>
        <w:pStyle w:val="Arttitle"/>
        <w:spacing w:before="400"/>
        <w:rPr>
          <w:lang w:val="fr-FR"/>
        </w:rPr>
      </w:pPr>
      <w:bookmarkStart w:id="676" w:name="_Toc286315776"/>
      <w:r w:rsidRPr="004B2881">
        <w:rPr>
          <w:lang w:val="fr-FR"/>
        </w:rPr>
        <w:lastRenderedPageBreak/>
        <w:t xml:space="preserve">Article </w:t>
      </w:r>
      <w:r w:rsidR="00B51759" w:rsidRPr="004B2881">
        <w:rPr>
          <w:lang w:val="fr-FR"/>
        </w:rPr>
        <w:t>14</w:t>
      </w:r>
      <w:bookmarkEnd w:id="670"/>
      <w:bookmarkEnd w:id="671"/>
      <w:r w:rsidR="00B51759" w:rsidRPr="004B2881">
        <w:rPr>
          <w:lang w:val="fr-FR"/>
        </w:rPr>
        <w:br/>
      </w:r>
      <w:r w:rsidR="00B51759" w:rsidRPr="004B2881">
        <w:rPr>
          <w:lang w:val="fr-FR"/>
        </w:rPr>
        <w:br/>
      </w:r>
      <w:bookmarkStart w:id="677" w:name="_Toc225739486"/>
      <w:bookmarkStart w:id="678" w:name="_Toc225739830"/>
      <w:r w:rsidR="00B51759" w:rsidRPr="004B2881">
        <w:rPr>
          <w:lang w:val="fr-FR"/>
        </w:rPr>
        <w:t xml:space="preserve">Droits d'utilisation du spectre à acquitter pour l'accès hertzien fixe, </w:t>
      </w:r>
      <w:r w:rsidR="00B51759" w:rsidRPr="004B2881">
        <w:rPr>
          <w:lang w:val="fr-FR"/>
        </w:rPr>
        <w:br/>
        <w:t>les systèmes de surveillance et d'acquisition de données (SCADA),</w:t>
      </w:r>
      <w:r w:rsidR="00B51759" w:rsidRPr="004B2881">
        <w:rPr>
          <w:lang w:val="fr-FR"/>
        </w:rPr>
        <w:br/>
        <w:t>la télémesure et les réseaux maillés</w:t>
      </w:r>
      <w:bookmarkEnd w:id="672"/>
      <w:bookmarkEnd w:id="673"/>
      <w:bookmarkEnd w:id="674"/>
      <w:bookmarkEnd w:id="675"/>
      <w:bookmarkEnd w:id="676"/>
      <w:bookmarkEnd w:id="677"/>
      <w:bookmarkEnd w:id="678"/>
    </w:p>
    <w:p w:rsidR="00B51759" w:rsidRPr="004B2881" w:rsidRDefault="00B51759" w:rsidP="007B0403">
      <w:pPr>
        <w:pStyle w:val="enumlev1"/>
        <w:rPr>
          <w:rFonts w:asciiTheme="majorBidi" w:hAnsiTheme="majorBidi" w:cstheme="majorBidi"/>
          <w:szCs w:val="22"/>
          <w:lang w:val="fr-FR"/>
        </w:rPr>
      </w:pPr>
      <w:r w:rsidRPr="004B2881">
        <w:rPr>
          <w:rFonts w:asciiTheme="majorBidi" w:hAnsiTheme="majorBidi" w:cstheme="majorBidi"/>
          <w:szCs w:val="22"/>
          <w:lang w:val="fr-FR"/>
        </w:rPr>
        <w:t>14.1</w:t>
      </w:r>
      <w:r w:rsidRPr="004B2881">
        <w:rPr>
          <w:rFonts w:asciiTheme="majorBidi" w:hAnsiTheme="majorBidi" w:cstheme="majorBidi"/>
          <w:szCs w:val="22"/>
          <w:lang w:val="fr-FR"/>
        </w:rPr>
        <w:tab/>
        <w:t xml:space="preserve">Le montant annuel des droits d'utilisation du spectre à acquitter pour l'accès hertzien fixe (y compris l'accès à la boucle locale hertzienne et l'accès point à multipoint), les systèmes SCADA, la télémesure et les réseaux maillés, au-dessous de 1 GHz, est calculé comme suit: </w:t>
      </w:r>
    </w:p>
    <w:p w:rsidR="00B51759" w:rsidRPr="004B2881" w:rsidRDefault="00B51759" w:rsidP="00B51759">
      <w:pPr>
        <w:pStyle w:val="Headingb"/>
        <w:jc w:val="center"/>
        <w:rPr>
          <w:lang w:val="fr-FR"/>
        </w:rPr>
      </w:pPr>
      <w:bookmarkStart w:id="679" w:name="_Toc225739487"/>
      <w:bookmarkStart w:id="680" w:name="_Toc225739831"/>
      <w:r w:rsidRPr="004B2881">
        <w:rPr>
          <w:lang w:val="fr-FR"/>
        </w:rPr>
        <w:t>Droits à acquitter = BW x 2000</w:t>
      </w:r>
      <w:bookmarkEnd w:id="679"/>
      <w:bookmarkEnd w:id="680"/>
    </w:p>
    <w:p w:rsidR="00B51759" w:rsidRPr="004B2881" w:rsidRDefault="00B51759" w:rsidP="002654C0">
      <w:pPr>
        <w:rPr>
          <w:rFonts w:asciiTheme="majorBidi" w:hAnsiTheme="majorBidi" w:cstheme="majorBidi"/>
          <w:szCs w:val="22"/>
          <w:lang w:val="fr-FR"/>
        </w:rPr>
      </w:pPr>
      <w:r w:rsidRPr="004B2881">
        <w:rPr>
          <w:rFonts w:asciiTheme="majorBidi" w:hAnsiTheme="majorBidi" w:cstheme="majorBidi"/>
          <w:szCs w:val="22"/>
          <w:lang w:val="fr-FR"/>
        </w:rPr>
        <w:tab/>
      </w:r>
      <w:r w:rsidRPr="004B2881">
        <w:rPr>
          <w:rFonts w:asciiTheme="majorBidi" w:hAnsiTheme="majorBidi" w:cstheme="majorBidi"/>
          <w:b/>
          <w:bCs/>
          <w:szCs w:val="22"/>
          <w:lang w:val="fr-FR"/>
        </w:rPr>
        <w:t>BW</w:t>
      </w:r>
      <w:r w:rsidRPr="004B2881">
        <w:rPr>
          <w:rFonts w:asciiTheme="majorBidi" w:hAnsiTheme="majorBidi" w:cstheme="majorBidi"/>
          <w:szCs w:val="22"/>
          <w:lang w:val="fr-FR"/>
        </w:rPr>
        <w:t xml:space="preserve"> étant la largeur de bande totale en kHz</w:t>
      </w:r>
      <w:r w:rsidR="00FB4DE5" w:rsidRPr="004B2881">
        <w:rPr>
          <w:rFonts w:asciiTheme="majorBidi" w:hAnsiTheme="majorBidi" w:cstheme="majorBidi"/>
          <w:szCs w:val="22"/>
          <w:lang w:val="fr-FR"/>
        </w:rPr>
        <w:t>.</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14.2</w:t>
      </w:r>
      <w:r w:rsidRPr="004B2881">
        <w:rPr>
          <w:rFonts w:asciiTheme="majorBidi" w:hAnsiTheme="majorBidi" w:cstheme="majorBidi"/>
          <w:szCs w:val="22"/>
          <w:lang w:val="fr-FR"/>
        </w:rPr>
        <w:tab/>
        <w:t xml:space="preserve">Le montant annuel des droits d'utilisation du spectre à acquitter pour l'accès hertzien fixe (y compris l'accès à la boucle locale hertzienne et les liaisons point à multipoint), les systèmes SCADA, l'accès fixe large bande et les réseaux maillés, entre 1 GHz et 4 GHz, est calculé comme suit: </w:t>
      </w:r>
    </w:p>
    <w:p w:rsidR="00B51759" w:rsidRPr="004B2881" w:rsidRDefault="00B51759" w:rsidP="00B51759">
      <w:pPr>
        <w:jc w:val="center"/>
        <w:rPr>
          <w:color w:val="000000"/>
          <w:lang w:val="fr-FR"/>
        </w:rPr>
      </w:pPr>
      <w:r w:rsidRPr="004B2881">
        <w:rPr>
          <w:b/>
          <w:lang w:val="fr-FR"/>
        </w:rPr>
        <w:t>Droits à acquitter</w:t>
      </w:r>
      <w:r w:rsidRPr="004B2881">
        <w:rPr>
          <w:b/>
          <w:color w:val="000000"/>
          <w:lang w:val="fr-FR"/>
        </w:rPr>
        <w:t xml:space="preserve"> = BW x CF x 5</w:t>
      </w:r>
    </w:p>
    <w:p w:rsidR="00B51759" w:rsidRPr="004B2881" w:rsidRDefault="00B51759" w:rsidP="00B51759">
      <w:pPr>
        <w:ind w:firstLine="720"/>
        <w:rPr>
          <w:color w:val="000000"/>
          <w:lang w:val="fr-FR"/>
        </w:rPr>
      </w:pPr>
      <w:r w:rsidRPr="004B2881">
        <w:rPr>
          <w:b/>
          <w:color w:val="000000"/>
          <w:lang w:val="fr-FR"/>
        </w:rPr>
        <w:t>BW</w:t>
      </w:r>
      <w:r w:rsidRPr="004B2881">
        <w:rPr>
          <w:color w:val="000000"/>
          <w:lang w:val="fr-FR"/>
        </w:rPr>
        <w:t xml:space="preserve"> étant la l</w:t>
      </w:r>
      <w:r w:rsidRPr="004B2881">
        <w:rPr>
          <w:lang w:val="fr-FR"/>
        </w:rPr>
        <w:t>argeur de bande totale en MHz</w:t>
      </w:r>
      <w:r w:rsidR="00FB4DE5" w:rsidRPr="004B2881">
        <w:rPr>
          <w:lang w:val="fr-FR"/>
        </w:rPr>
        <w:t>.</w:t>
      </w:r>
    </w:p>
    <w:p w:rsidR="00B51759" w:rsidRPr="004B2881" w:rsidRDefault="00B51759" w:rsidP="00B51759">
      <w:pPr>
        <w:spacing w:after="360"/>
        <w:ind w:left="720"/>
        <w:rPr>
          <w:color w:val="000000"/>
          <w:lang w:val="fr-FR"/>
        </w:rPr>
      </w:pPr>
      <w:r w:rsidRPr="004B2881">
        <w:rPr>
          <w:b/>
          <w:color w:val="000000"/>
          <w:lang w:val="fr-FR"/>
        </w:rPr>
        <w:t>CF</w:t>
      </w:r>
      <w:r w:rsidRPr="004B2881">
        <w:rPr>
          <w:color w:val="000000"/>
          <w:lang w:val="fr-FR"/>
        </w:rPr>
        <w:t xml:space="preserve"> étant le</w:t>
      </w:r>
      <w:r w:rsidRPr="004B2881">
        <w:rPr>
          <w:b/>
          <w:color w:val="000000"/>
          <w:lang w:val="fr-FR"/>
        </w:rPr>
        <w:t xml:space="preserve"> </w:t>
      </w:r>
      <w:r w:rsidRPr="004B2881">
        <w:rPr>
          <w:color w:val="000000"/>
          <w:lang w:val="fr-FR"/>
        </w:rPr>
        <w:t>c</w:t>
      </w:r>
      <w:r w:rsidR="00C95B09" w:rsidRPr="004B2881">
        <w:rPr>
          <w:color w:val="000000"/>
          <w:lang w:val="fr-FR"/>
        </w:rPr>
        <w:t>oe</w:t>
      </w:r>
      <w:r w:rsidRPr="004B2881">
        <w:rPr>
          <w:color w:val="000000"/>
          <w:lang w:val="fr-FR"/>
        </w:rPr>
        <w:t>fficient de couverture, en fonction de la zone géographique, déterminé</w:t>
      </w:r>
      <w:r w:rsidR="00083040" w:rsidRPr="004B2881">
        <w:rPr>
          <w:color w:val="000000"/>
          <w:lang w:val="fr-FR"/>
        </w:rPr>
        <w:t xml:space="preserve"> comme suit:</w:t>
      </w:r>
    </w:p>
    <w:p w:rsidR="00083040" w:rsidRPr="004B2881" w:rsidRDefault="00083040" w:rsidP="00083040">
      <w:pPr>
        <w:ind w:left="720"/>
        <w:rPr>
          <w:color w:val="000000"/>
          <w:szCs w:val="19"/>
          <w:lang w:val="fr-FR"/>
        </w:rPr>
      </w:pPr>
    </w:p>
    <w:tbl>
      <w:tblPr>
        <w:tblW w:w="0" w:type="auto"/>
        <w:jc w:val="center"/>
        <w:tblInd w:w="925" w:type="dxa"/>
        <w:tblBorders>
          <w:top w:val="nil"/>
          <w:left w:val="nil"/>
          <w:bottom w:val="nil"/>
          <w:right w:val="nil"/>
        </w:tblBorders>
        <w:tblLook w:val="0000"/>
      </w:tblPr>
      <w:tblGrid>
        <w:gridCol w:w="693"/>
        <w:gridCol w:w="1475"/>
        <w:gridCol w:w="1107"/>
        <w:gridCol w:w="3119"/>
        <w:gridCol w:w="1555"/>
      </w:tblGrid>
      <w:tr w:rsidR="00083040" w:rsidRPr="004F63CA"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Zone rurale ou à l'intérieur de locaux</w:t>
            </w:r>
          </w:p>
        </w:tc>
        <w:tc>
          <w:tcPr>
            <w:tcW w:w="1107" w:type="dxa"/>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urbaine </w:t>
            </w:r>
          </w:p>
        </w:tc>
        <w:tc>
          <w:tcPr>
            <w:tcW w:w="3119" w:type="dxa"/>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Ensemble des Emirats</w:t>
            </w:r>
          </w:p>
        </w:tc>
        <w:tc>
          <w:tcPr>
            <w:tcW w:w="1555" w:type="dxa"/>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Totalité des Emirats arabes unis </w:t>
            </w:r>
          </w:p>
        </w:tc>
      </w:tr>
      <w:tr w:rsidR="00083040"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100</w:t>
            </w:r>
          </w:p>
        </w:tc>
        <w:tc>
          <w:tcPr>
            <w:tcW w:w="1107" w:type="dxa"/>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500</w:t>
            </w:r>
          </w:p>
        </w:tc>
        <w:tc>
          <w:tcPr>
            <w:tcW w:w="3119" w:type="dxa"/>
            <w:tcBorders>
              <w:top w:val="single" w:sz="8" w:space="0" w:color="000000"/>
              <w:left w:val="single" w:sz="8" w:space="0" w:color="000000"/>
              <w:bottom w:val="single" w:sz="8" w:space="0" w:color="000000"/>
              <w:right w:val="single" w:sz="8" w:space="0" w:color="000000"/>
            </w:tcBorders>
          </w:tcPr>
          <w:p w:rsidR="00083040" w:rsidRPr="004B2881" w:rsidRDefault="0008304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2</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 pour Abu Dhabi ou Dubaï</w:t>
            </w:r>
          </w:p>
          <w:p w:rsidR="00083040" w:rsidRPr="004B2881" w:rsidRDefault="00083040"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1</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 pour les autres Emirats</w:t>
            </w:r>
          </w:p>
        </w:tc>
        <w:tc>
          <w:tcPr>
            <w:tcW w:w="1555" w:type="dxa"/>
            <w:tcBorders>
              <w:top w:val="single" w:sz="8" w:space="0" w:color="000000"/>
              <w:left w:val="single" w:sz="8" w:space="0" w:color="000000"/>
              <w:bottom w:val="single" w:sz="8" w:space="0" w:color="000000"/>
              <w:right w:val="single" w:sz="8" w:space="0" w:color="000000"/>
            </w:tcBorders>
          </w:tcPr>
          <w:p w:rsidR="00083040" w:rsidRPr="004B2881" w:rsidRDefault="00083040" w:rsidP="00F04CA8">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w:t>
            </w:r>
          </w:p>
        </w:tc>
      </w:tr>
    </w:tbl>
    <w:p w:rsidR="00B51759" w:rsidRPr="004B2881" w:rsidRDefault="00B51759" w:rsidP="00283311">
      <w:pPr>
        <w:pStyle w:val="Arttitle"/>
        <w:spacing w:before="400"/>
        <w:rPr>
          <w:lang w:val="fr-FR"/>
        </w:rPr>
      </w:pPr>
      <w:bookmarkStart w:id="681" w:name="_Toc225739488"/>
      <w:bookmarkStart w:id="682" w:name="_Toc225739832"/>
      <w:bookmarkStart w:id="683" w:name="_Toc280262372"/>
      <w:bookmarkStart w:id="684" w:name="_Toc280272766"/>
      <w:bookmarkStart w:id="685" w:name="_Toc280272945"/>
      <w:bookmarkStart w:id="686" w:name="_Toc284419460"/>
      <w:bookmarkStart w:id="687" w:name="_Toc286315777"/>
      <w:r w:rsidRPr="004B2881">
        <w:rPr>
          <w:lang w:val="fr-FR"/>
        </w:rPr>
        <w:t>Article 15</w:t>
      </w:r>
      <w:bookmarkEnd w:id="681"/>
      <w:bookmarkEnd w:id="682"/>
      <w:r w:rsidRPr="004B2881">
        <w:rPr>
          <w:lang w:val="fr-FR"/>
        </w:rPr>
        <w:br/>
      </w:r>
      <w:r w:rsidRPr="004B2881">
        <w:rPr>
          <w:lang w:val="fr-FR"/>
        </w:rPr>
        <w:br/>
      </w:r>
      <w:bookmarkStart w:id="688" w:name="_Toc225739489"/>
      <w:bookmarkStart w:id="689" w:name="_Toc225739833"/>
      <w:r w:rsidRPr="004B2881">
        <w:rPr>
          <w:lang w:val="fr-FR"/>
        </w:rPr>
        <w:t>Droits d'utilisation du spectre à acquitter pour l'accès hertzien</w:t>
      </w:r>
      <w:r w:rsidRPr="004B2881">
        <w:rPr>
          <w:lang w:val="fr-FR"/>
        </w:rPr>
        <w:br/>
        <w:t>large bande mobile</w:t>
      </w:r>
      <w:bookmarkEnd w:id="683"/>
      <w:bookmarkEnd w:id="684"/>
      <w:bookmarkEnd w:id="685"/>
      <w:bookmarkEnd w:id="686"/>
      <w:bookmarkEnd w:id="687"/>
      <w:bookmarkEnd w:id="688"/>
      <w:bookmarkEnd w:id="689"/>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15.1</w:t>
      </w:r>
      <w:r w:rsidRPr="004B2881">
        <w:rPr>
          <w:rFonts w:asciiTheme="majorBidi" w:hAnsiTheme="majorBidi" w:cstheme="majorBidi"/>
          <w:szCs w:val="22"/>
          <w:lang w:val="fr-FR"/>
        </w:rPr>
        <w:tab/>
        <w:t xml:space="preserve">Le montant annuel des droits d'utilisation du spectre à acquitter pour l'accès hertzien large bande mobile, entre 2 GHz et 4 GHz, est calculé comme suit: </w:t>
      </w:r>
    </w:p>
    <w:p w:rsidR="00B51759" w:rsidRPr="004B2881" w:rsidRDefault="00B51759" w:rsidP="00B51759">
      <w:pPr>
        <w:jc w:val="center"/>
        <w:rPr>
          <w:color w:val="000000"/>
          <w:lang w:val="fr-FR"/>
        </w:rPr>
      </w:pPr>
      <w:r w:rsidRPr="004B2881">
        <w:rPr>
          <w:b/>
          <w:lang w:val="fr-FR"/>
        </w:rPr>
        <w:t>Droits à acquitter</w:t>
      </w:r>
      <w:r w:rsidRPr="004B2881">
        <w:rPr>
          <w:b/>
          <w:color w:val="000000"/>
          <w:lang w:val="fr-FR"/>
        </w:rPr>
        <w:t xml:space="preserve"> = BW x CF x 10</w:t>
      </w:r>
    </w:p>
    <w:p w:rsidR="00B51759" w:rsidRPr="004B2881" w:rsidRDefault="00B51759" w:rsidP="00B51759">
      <w:pPr>
        <w:ind w:firstLine="720"/>
        <w:rPr>
          <w:color w:val="000000"/>
          <w:lang w:val="fr-FR"/>
        </w:rPr>
      </w:pPr>
      <w:r w:rsidRPr="004B2881">
        <w:rPr>
          <w:b/>
          <w:color w:val="000000"/>
          <w:lang w:val="fr-FR"/>
        </w:rPr>
        <w:t xml:space="preserve">BW </w:t>
      </w:r>
      <w:r w:rsidRPr="004B2881">
        <w:rPr>
          <w:color w:val="000000"/>
          <w:lang w:val="fr-FR"/>
        </w:rPr>
        <w:t>étant la l</w:t>
      </w:r>
      <w:r w:rsidRPr="004B2881">
        <w:rPr>
          <w:lang w:val="fr-FR"/>
        </w:rPr>
        <w:t>argeur de bande totale en MHz</w:t>
      </w:r>
      <w:r w:rsidR="00FB4DE5" w:rsidRPr="004B2881">
        <w:rPr>
          <w:lang w:val="fr-FR"/>
        </w:rPr>
        <w:t>.</w:t>
      </w:r>
    </w:p>
    <w:p w:rsidR="00B51759" w:rsidRPr="004B2881" w:rsidRDefault="00B51759" w:rsidP="00D01AD4">
      <w:pPr>
        <w:spacing w:after="120"/>
        <w:ind w:left="720"/>
        <w:rPr>
          <w:color w:val="000000"/>
          <w:lang w:val="fr-FR"/>
        </w:rPr>
      </w:pPr>
      <w:r w:rsidRPr="004B2881">
        <w:rPr>
          <w:b/>
          <w:color w:val="000000"/>
          <w:lang w:val="fr-FR"/>
        </w:rPr>
        <w:t>CF</w:t>
      </w:r>
      <w:r w:rsidRPr="004B2881">
        <w:rPr>
          <w:color w:val="000000"/>
          <w:lang w:val="fr-FR"/>
        </w:rPr>
        <w:t xml:space="preserve"> étant le c</w:t>
      </w:r>
      <w:r w:rsidR="00C95B09" w:rsidRPr="004B2881">
        <w:rPr>
          <w:color w:val="000000"/>
          <w:lang w:val="fr-FR"/>
        </w:rPr>
        <w:t>oe</w:t>
      </w:r>
      <w:r w:rsidRPr="004B2881">
        <w:rPr>
          <w:color w:val="000000"/>
          <w:lang w:val="fr-FR"/>
        </w:rPr>
        <w:t>fficient de couverture, en fonction de la zone géographique, déterminé comme suit:</w:t>
      </w:r>
    </w:p>
    <w:p w:rsidR="00D01AD4" w:rsidRPr="004B2881" w:rsidRDefault="00D01AD4" w:rsidP="00D01AD4">
      <w:pPr>
        <w:spacing w:before="0"/>
        <w:rPr>
          <w:lang w:val="fr-FR"/>
        </w:rPr>
      </w:pPr>
    </w:p>
    <w:tbl>
      <w:tblPr>
        <w:tblW w:w="0" w:type="auto"/>
        <w:jc w:val="center"/>
        <w:tblInd w:w="925" w:type="dxa"/>
        <w:tblBorders>
          <w:top w:val="nil"/>
          <w:left w:val="nil"/>
          <w:bottom w:val="nil"/>
          <w:right w:val="nil"/>
        </w:tblBorders>
        <w:tblLook w:val="0000"/>
      </w:tblPr>
      <w:tblGrid>
        <w:gridCol w:w="850"/>
        <w:gridCol w:w="1470"/>
        <w:gridCol w:w="1390"/>
        <w:gridCol w:w="3268"/>
        <w:gridCol w:w="1401"/>
      </w:tblGrid>
      <w:tr w:rsidR="00D01AD4" w:rsidRPr="004F63CA" w:rsidTr="00F84A9A">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w:t>
            </w:r>
          </w:p>
        </w:tc>
        <w:tc>
          <w:tcPr>
            <w:tcW w:w="1470"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Zone rurale ou à l'intérieur de locaux</w:t>
            </w:r>
          </w:p>
        </w:tc>
        <w:tc>
          <w:tcPr>
            <w:tcW w:w="1390"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 xml:space="preserve">Totalité des Emirats arabes unis </w:t>
            </w:r>
          </w:p>
        </w:tc>
      </w:tr>
      <w:tr w:rsidR="00D01AD4" w:rsidRPr="004B2881" w:rsidTr="00F84A9A">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CF</w:t>
            </w:r>
          </w:p>
        </w:tc>
        <w:tc>
          <w:tcPr>
            <w:tcW w:w="1470"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100</w:t>
            </w:r>
          </w:p>
        </w:tc>
        <w:tc>
          <w:tcPr>
            <w:tcW w:w="1390"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500</w:t>
            </w:r>
          </w:p>
        </w:tc>
        <w:tc>
          <w:tcPr>
            <w:tcW w:w="3268"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2</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 pour Abu Dhabi ou Dubaï</w:t>
            </w:r>
          </w:p>
          <w:p w:rsidR="00D01AD4" w:rsidRPr="004B2881" w:rsidRDefault="00D01AD4"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1</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D01AD4" w:rsidRPr="004B2881" w:rsidRDefault="00D01AD4"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w:t>
            </w:r>
            <w:r w:rsidRPr="004B2881">
              <w:rPr>
                <w:rFonts w:asciiTheme="majorBidi" w:hAnsiTheme="majorBidi" w:cstheme="majorBidi"/>
                <w:sz w:val="16"/>
                <w:szCs w:val="16"/>
                <w:lang w:val="fr-FR"/>
              </w:rPr>
              <w:t xml:space="preserve"> </w:t>
            </w:r>
            <w:r w:rsidRPr="004B2881">
              <w:rPr>
                <w:rFonts w:asciiTheme="majorBidi" w:hAnsiTheme="majorBidi" w:cstheme="majorBidi"/>
                <w:szCs w:val="22"/>
                <w:lang w:val="fr-FR"/>
              </w:rPr>
              <w:t>000</w:t>
            </w:r>
          </w:p>
        </w:tc>
      </w:tr>
    </w:tbl>
    <w:p w:rsidR="00B51759" w:rsidRPr="004B2881" w:rsidRDefault="00283311" w:rsidP="00283311">
      <w:pPr>
        <w:pStyle w:val="Arttitle"/>
        <w:spacing w:before="400"/>
        <w:rPr>
          <w:lang w:val="fr-FR"/>
        </w:rPr>
      </w:pPr>
      <w:bookmarkStart w:id="690" w:name="_Toc225739490"/>
      <w:bookmarkStart w:id="691" w:name="_Toc225739834"/>
      <w:bookmarkStart w:id="692" w:name="_Toc280262373"/>
      <w:bookmarkStart w:id="693" w:name="_Toc280272767"/>
      <w:bookmarkStart w:id="694" w:name="_Toc280272946"/>
      <w:bookmarkStart w:id="695" w:name="_Toc284419461"/>
      <w:bookmarkStart w:id="696" w:name="_Toc286315778"/>
      <w:r w:rsidRPr="004B2881">
        <w:rPr>
          <w:lang w:val="fr-FR"/>
        </w:rPr>
        <w:lastRenderedPageBreak/>
        <w:t xml:space="preserve">Article </w:t>
      </w:r>
      <w:r w:rsidR="00B51759" w:rsidRPr="004B2881">
        <w:rPr>
          <w:lang w:val="fr-FR"/>
        </w:rPr>
        <w:t>16</w:t>
      </w:r>
      <w:bookmarkEnd w:id="690"/>
      <w:bookmarkEnd w:id="691"/>
      <w:r w:rsidR="00B51759" w:rsidRPr="004B2881">
        <w:rPr>
          <w:lang w:val="fr-FR"/>
        </w:rPr>
        <w:br/>
      </w:r>
      <w:r w:rsidR="00B51759" w:rsidRPr="004B2881">
        <w:rPr>
          <w:lang w:val="fr-FR"/>
        </w:rPr>
        <w:br/>
      </w:r>
      <w:bookmarkStart w:id="697" w:name="_Toc225739491"/>
      <w:bookmarkStart w:id="698" w:name="_Toc225739835"/>
      <w:r w:rsidR="00B51759" w:rsidRPr="004B2881">
        <w:rPr>
          <w:lang w:val="fr-FR"/>
        </w:rPr>
        <w:t>Droits d'utilisation du spectre pour les liaisons à fibre optique et les liaisons laser</w:t>
      </w:r>
      <w:bookmarkEnd w:id="692"/>
      <w:bookmarkEnd w:id="693"/>
      <w:bookmarkEnd w:id="694"/>
      <w:bookmarkEnd w:id="695"/>
      <w:bookmarkEnd w:id="696"/>
      <w:bookmarkEnd w:id="697"/>
      <w:bookmarkEnd w:id="698"/>
    </w:p>
    <w:p w:rsidR="00B51759" w:rsidRPr="004B2881" w:rsidRDefault="00B51759" w:rsidP="00B51759">
      <w:pPr>
        <w:rPr>
          <w:b/>
          <w:bCs/>
          <w:color w:val="000000"/>
          <w:lang w:val="fr-FR"/>
        </w:rPr>
      </w:pPr>
      <w:r w:rsidRPr="004B2881">
        <w:rPr>
          <w:lang w:val="fr-FR"/>
        </w:rPr>
        <w:t xml:space="preserve">Le montant annuel des droits à acquitter pour ces liaisons est de cinquante </w:t>
      </w:r>
      <w:r w:rsidRPr="004B2881">
        <w:rPr>
          <w:color w:val="000000"/>
          <w:lang w:val="fr-FR"/>
        </w:rPr>
        <w:t>(50) dirhams.</w:t>
      </w:r>
      <w:r w:rsidRPr="004B2881">
        <w:rPr>
          <w:b/>
          <w:color w:val="000000"/>
          <w:lang w:val="fr-FR"/>
        </w:rPr>
        <w:t xml:space="preserve"> </w:t>
      </w:r>
    </w:p>
    <w:p w:rsidR="00B51759" w:rsidRPr="004B2881" w:rsidRDefault="00283311" w:rsidP="00283311">
      <w:pPr>
        <w:pStyle w:val="Arttitle"/>
        <w:spacing w:before="400"/>
        <w:rPr>
          <w:lang w:val="fr-FR"/>
        </w:rPr>
      </w:pPr>
      <w:bookmarkStart w:id="699" w:name="_Toc225739492"/>
      <w:bookmarkStart w:id="700" w:name="_Toc225739836"/>
      <w:bookmarkStart w:id="701" w:name="_Toc280262374"/>
      <w:bookmarkStart w:id="702" w:name="_Toc280272768"/>
      <w:bookmarkStart w:id="703" w:name="_Toc280272947"/>
      <w:bookmarkStart w:id="704" w:name="_Toc284419462"/>
      <w:bookmarkStart w:id="705" w:name="_Toc286315779"/>
      <w:r w:rsidRPr="004B2881">
        <w:rPr>
          <w:lang w:val="fr-FR"/>
        </w:rPr>
        <w:t xml:space="preserve">Article </w:t>
      </w:r>
      <w:r w:rsidR="00B51759" w:rsidRPr="004B2881">
        <w:rPr>
          <w:lang w:val="fr-FR"/>
        </w:rPr>
        <w:t>17</w:t>
      </w:r>
      <w:bookmarkEnd w:id="699"/>
      <w:bookmarkEnd w:id="700"/>
      <w:r w:rsidR="00B51759" w:rsidRPr="004B2881">
        <w:rPr>
          <w:lang w:val="fr-FR"/>
        </w:rPr>
        <w:br/>
      </w:r>
      <w:r w:rsidR="00B51759" w:rsidRPr="004B2881">
        <w:rPr>
          <w:lang w:val="fr-FR"/>
        </w:rPr>
        <w:br/>
      </w:r>
      <w:bookmarkStart w:id="706" w:name="_Toc225739493"/>
      <w:bookmarkStart w:id="707" w:name="_Toc225739837"/>
      <w:r w:rsidR="00B51759" w:rsidRPr="004B2881">
        <w:rPr>
          <w:lang w:val="fr-FR"/>
        </w:rPr>
        <w:t>Droits d'utilisation du spectre pour les réseaux WLAN et la téléphonie sans fil</w:t>
      </w:r>
      <w:bookmarkEnd w:id="701"/>
      <w:bookmarkEnd w:id="702"/>
      <w:bookmarkEnd w:id="703"/>
      <w:bookmarkEnd w:id="704"/>
      <w:bookmarkEnd w:id="705"/>
      <w:bookmarkEnd w:id="706"/>
      <w:bookmarkEnd w:id="707"/>
    </w:p>
    <w:p w:rsidR="00B51759" w:rsidRPr="004B2881" w:rsidRDefault="00B51759" w:rsidP="00B51759">
      <w:pPr>
        <w:rPr>
          <w:b/>
          <w:bCs/>
          <w:color w:val="000000"/>
          <w:lang w:val="fr-FR"/>
        </w:rPr>
      </w:pPr>
      <w:r w:rsidRPr="004B2881">
        <w:rPr>
          <w:lang w:val="fr-FR"/>
        </w:rPr>
        <w:t>L'utilisation à l'intérieur de la téléphonie sans fil sur réseau WLAN et utilisant le système DECT est exemptée de droits.</w:t>
      </w:r>
      <w:r w:rsidRPr="004B2881">
        <w:rPr>
          <w:b/>
          <w:color w:val="000000"/>
          <w:lang w:val="fr-FR"/>
        </w:rPr>
        <w:t xml:space="preserve"> </w:t>
      </w:r>
    </w:p>
    <w:p w:rsidR="00B51759" w:rsidRPr="004B2881" w:rsidRDefault="00283311" w:rsidP="00283311">
      <w:pPr>
        <w:pStyle w:val="Arttitle"/>
        <w:spacing w:before="400"/>
        <w:rPr>
          <w:lang w:val="fr-FR"/>
        </w:rPr>
      </w:pPr>
      <w:bookmarkStart w:id="708" w:name="_Toc225739494"/>
      <w:bookmarkStart w:id="709" w:name="_Toc225739838"/>
      <w:bookmarkStart w:id="710" w:name="_Toc280262375"/>
      <w:bookmarkStart w:id="711" w:name="_Toc280272769"/>
      <w:bookmarkStart w:id="712" w:name="_Toc280272948"/>
      <w:bookmarkStart w:id="713" w:name="_Toc284419463"/>
      <w:bookmarkStart w:id="714" w:name="_Toc286315780"/>
      <w:r w:rsidRPr="004B2881">
        <w:rPr>
          <w:lang w:val="fr-FR"/>
        </w:rPr>
        <w:t xml:space="preserve">Article </w:t>
      </w:r>
      <w:r w:rsidR="00B51759" w:rsidRPr="004B2881">
        <w:rPr>
          <w:lang w:val="fr-FR"/>
        </w:rPr>
        <w:t>18</w:t>
      </w:r>
      <w:bookmarkEnd w:id="708"/>
      <w:bookmarkEnd w:id="709"/>
      <w:r w:rsidR="00B51759" w:rsidRPr="004B2881">
        <w:rPr>
          <w:lang w:val="fr-FR"/>
        </w:rPr>
        <w:br/>
      </w:r>
      <w:r w:rsidR="00B51759" w:rsidRPr="004B2881">
        <w:rPr>
          <w:lang w:val="fr-FR"/>
        </w:rPr>
        <w:br/>
      </w:r>
      <w:bookmarkStart w:id="715" w:name="_Toc225739495"/>
      <w:bookmarkStart w:id="716" w:name="_Toc225739839"/>
      <w:r w:rsidR="00B51759" w:rsidRPr="004B2881">
        <w:rPr>
          <w:lang w:val="fr-FR"/>
        </w:rPr>
        <w:t>Droits d'utilisation du spectre pour les systèmes GMPCS</w:t>
      </w:r>
      <w:bookmarkEnd w:id="710"/>
      <w:bookmarkEnd w:id="711"/>
      <w:bookmarkEnd w:id="712"/>
      <w:bookmarkEnd w:id="713"/>
      <w:bookmarkEnd w:id="714"/>
      <w:bookmarkEnd w:id="715"/>
      <w:bookmarkEnd w:id="716"/>
    </w:p>
    <w:p w:rsidR="00B51759" w:rsidRPr="004B2881" w:rsidRDefault="00B51759" w:rsidP="00B51759">
      <w:pPr>
        <w:rPr>
          <w:lang w:val="fr-FR"/>
        </w:rPr>
      </w:pPr>
      <w:r w:rsidRPr="004B2881">
        <w:rPr>
          <w:lang w:val="fr-FR"/>
        </w:rPr>
        <w:t xml:space="preserve">Le montant annuel des droits d'utilisation du spectre pour les systèmes mobiles mondiaux de communications personnelles (GMPCS) est calculé comme suit: </w:t>
      </w:r>
    </w:p>
    <w:p w:rsidR="00B51759" w:rsidRPr="004B2881" w:rsidRDefault="00B51759" w:rsidP="00B51759">
      <w:pPr>
        <w:jc w:val="center"/>
        <w:rPr>
          <w:b/>
          <w:bCs/>
          <w:color w:val="000000"/>
          <w:lang w:val="fr-FR"/>
        </w:rPr>
      </w:pPr>
      <w:r w:rsidRPr="004B2881">
        <w:rPr>
          <w:b/>
          <w:lang w:val="fr-FR"/>
        </w:rPr>
        <w:t>Droits à acquitter</w:t>
      </w:r>
      <w:r w:rsidRPr="004B2881">
        <w:rPr>
          <w:b/>
          <w:color w:val="000000"/>
          <w:lang w:val="fr-FR"/>
        </w:rPr>
        <w:t xml:space="preserve"> = BW x 5000</w:t>
      </w:r>
    </w:p>
    <w:p w:rsidR="00B51759" w:rsidRPr="004B2881" w:rsidRDefault="00B51759" w:rsidP="00B51759">
      <w:pPr>
        <w:ind w:left="567" w:hanging="567"/>
        <w:rPr>
          <w:color w:val="000000"/>
          <w:lang w:val="fr-FR"/>
        </w:rPr>
      </w:pPr>
      <w:r w:rsidRPr="004B2881">
        <w:rPr>
          <w:color w:val="000000"/>
          <w:lang w:val="fr-FR"/>
        </w:rPr>
        <w:tab/>
      </w:r>
      <w:r w:rsidRPr="004B2881">
        <w:rPr>
          <w:b/>
          <w:color w:val="000000"/>
          <w:lang w:val="fr-FR"/>
        </w:rPr>
        <w:t xml:space="preserve">BW </w:t>
      </w:r>
      <w:r w:rsidRPr="004B2881">
        <w:rPr>
          <w:color w:val="000000"/>
          <w:lang w:val="fr-FR"/>
        </w:rPr>
        <w:t>étant le c</w:t>
      </w:r>
      <w:r w:rsidR="00C95B09" w:rsidRPr="004B2881">
        <w:rPr>
          <w:color w:val="000000"/>
          <w:lang w:val="fr-FR"/>
        </w:rPr>
        <w:t>oe</w:t>
      </w:r>
      <w:r w:rsidRPr="004B2881">
        <w:rPr>
          <w:color w:val="000000"/>
          <w:lang w:val="fr-FR"/>
        </w:rPr>
        <w:t>fficient de largeur de bande, fondé sur l'utilisatio</w:t>
      </w:r>
      <w:r w:rsidR="00883244" w:rsidRPr="004B2881">
        <w:rPr>
          <w:color w:val="000000"/>
          <w:lang w:val="fr-FR"/>
        </w:rPr>
        <w:t>n 2 x 1 MHz de largeur de bande.</w:t>
      </w:r>
    </w:p>
    <w:p w:rsidR="0087278C" w:rsidRPr="004B2881" w:rsidRDefault="0087278C" w:rsidP="00B51759">
      <w:pPr>
        <w:ind w:left="567" w:hanging="567"/>
        <w:rPr>
          <w:color w:val="000000"/>
          <w:lang w:val="fr-FR"/>
        </w:rPr>
      </w:pPr>
    </w:p>
    <w:tbl>
      <w:tblPr>
        <w:tblW w:w="0" w:type="auto"/>
        <w:jc w:val="center"/>
        <w:tblInd w:w="1440" w:type="dxa"/>
        <w:tblBorders>
          <w:top w:val="nil"/>
          <w:left w:val="nil"/>
          <w:bottom w:val="nil"/>
          <w:right w:val="nil"/>
        </w:tblBorders>
        <w:tblLook w:val="0000"/>
      </w:tblPr>
      <w:tblGrid>
        <w:gridCol w:w="3711"/>
        <w:gridCol w:w="2219"/>
      </w:tblGrid>
      <w:tr w:rsidR="0087278C" w:rsidRPr="004B2881" w:rsidTr="00F84A9A">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Largeur de bande</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C</w:t>
            </w:r>
            <w:r w:rsidR="00C95B09" w:rsidRPr="004B2881">
              <w:rPr>
                <w:rFonts w:asciiTheme="majorBidi" w:hAnsiTheme="majorBidi" w:cstheme="majorBidi"/>
                <w:szCs w:val="22"/>
                <w:lang w:val="fr-FR"/>
              </w:rPr>
              <w:t>oe</w:t>
            </w:r>
            <w:r w:rsidRPr="004B2881">
              <w:rPr>
                <w:rFonts w:asciiTheme="majorBidi" w:hAnsiTheme="majorBidi" w:cstheme="majorBidi"/>
                <w:szCs w:val="22"/>
                <w:lang w:val="fr-FR"/>
              </w:rPr>
              <w:t>fficient BW</w:t>
            </w:r>
          </w:p>
        </w:tc>
      </w:tr>
      <w:tr w:rsidR="0087278C"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Moins de 2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3</w:t>
            </w:r>
          </w:p>
        </w:tc>
      </w:tr>
      <w:tr w:rsidR="0087278C"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2 x 1 MHz - Moins de 4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6</w:t>
            </w:r>
          </w:p>
        </w:tc>
      </w:tr>
      <w:tr w:rsidR="0087278C"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4 x 1 MHz - Moins de 6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9</w:t>
            </w:r>
          </w:p>
        </w:tc>
      </w:tr>
      <w:tr w:rsidR="0087278C"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6 x 1 MHz - Moins de 8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12</w:t>
            </w:r>
          </w:p>
        </w:tc>
      </w:tr>
      <w:tr w:rsidR="0087278C"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8 x 1 MHz - Moins de 10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15</w:t>
            </w:r>
          </w:p>
        </w:tc>
      </w:tr>
      <w:tr w:rsidR="0087278C"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10 x 1 MHz </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18</w:t>
            </w:r>
          </w:p>
        </w:tc>
      </w:tr>
      <w:tr w:rsidR="0087278C" w:rsidRPr="004B2881" w:rsidTr="00F84A9A">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 xml:space="preserve">Pour chaque 2 x 1 MHz supplémentaire </w:t>
            </w:r>
          </w:p>
        </w:tc>
        <w:tc>
          <w:tcPr>
            <w:tcW w:w="2219" w:type="dxa"/>
            <w:tcBorders>
              <w:top w:val="single" w:sz="8" w:space="0" w:color="000000"/>
              <w:left w:val="single" w:sz="8" w:space="0" w:color="000000"/>
              <w:bottom w:val="single" w:sz="8" w:space="0" w:color="000000"/>
              <w:right w:val="single" w:sz="8" w:space="0" w:color="000000"/>
            </w:tcBorders>
          </w:tcPr>
          <w:p w:rsidR="0087278C" w:rsidRPr="004B2881" w:rsidRDefault="0087278C"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3</w:t>
            </w:r>
          </w:p>
        </w:tc>
      </w:tr>
    </w:tbl>
    <w:p w:rsidR="00B51759" w:rsidRPr="004B2881" w:rsidRDefault="00283311" w:rsidP="00283311">
      <w:pPr>
        <w:pStyle w:val="Arttitle"/>
        <w:spacing w:before="400"/>
        <w:rPr>
          <w:lang w:val="fr-FR"/>
        </w:rPr>
      </w:pPr>
      <w:bookmarkStart w:id="717" w:name="_Toc225739496"/>
      <w:bookmarkStart w:id="718" w:name="_Toc225739840"/>
      <w:bookmarkStart w:id="719" w:name="_Toc280262376"/>
      <w:bookmarkStart w:id="720" w:name="_Toc280272770"/>
      <w:bookmarkStart w:id="721" w:name="_Toc280272949"/>
      <w:bookmarkStart w:id="722" w:name="_Toc284419464"/>
      <w:bookmarkStart w:id="723" w:name="_Toc286315781"/>
      <w:r w:rsidRPr="004B2881">
        <w:rPr>
          <w:lang w:val="fr-FR"/>
        </w:rPr>
        <w:t xml:space="preserve">Article </w:t>
      </w:r>
      <w:r w:rsidR="00B51759" w:rsidRPr="004B2881">
        <w:rPr>
          <w:lang w:val="fr-FR"/>
        </w:rPr>
        <w:t>19</w:t>
      </w:r>
      <w:bookmarkEnd w:id="717"/>
      <w:bookmarkEnd w:id="718"/>
      <w:r w:rsidR="00B51759" w:rsidRPr="004B2881">
        <w:rPr>
          <w:lang w:val="fr-FR"/>
        </w:rPr>
        <w:br/>
      </w:r>
      <w:r w:rsidR="00B51759" w:rsidRPr="004B2881">
        <w:rPr>
          <w:lang w:val="fr-FR"/>
        </w:rPr>
        <w:br/>
      </w:r>
      <w:bookmarkStart w:id="724" w:name="_Toc225739497"/>
      <w:bookmarkStart w:id="725" w:name="_Toc225739841"/>
      <w:r w:rsidR="00B51759" w:rsidRPr="004B2881">
        <w:rPr>
          <w:lang w:val="fr-FR"/>
        </w:rPr>
        <w:t>Droits d'utilisation du spectre pour le Service d'amateur</w:t>
      </w:r>
      <w:bookmarkEnd w:id="719"/>
      <w:bookmarkEnd w:id="720"/>
      <w:bookmarkEnd w:id="721"/>
      <w:bookmarkEnd w:id="722"/>
      <w:bookmarkEnd w:id="723"/>
      <w:bookmarkEnd w:id="724"/>
      <w:bookmarkEnd w:id="725"/>
    </w:p>
    <w:p w:rsidR="00B51759" w:rsidRPr="004B2881" w:rsidRDefault="00B51759" w:rsidP="006E6D40">
      <w:pPr>
        <w:rPr>
          <w:szCs w:val="19"/>
          <w:lang w:val="fr-FR"/>
        </w:rPr>
      </w:pPr>
      <w:r w:rsidRPr="004B2881">
        <w:rPr>
          <w:szCs w:val="19"/>
          <w:lang w:val="fr-FR"/>
        </w:rPr>
        <w:t>Le montant annuel des droits à acquitter pour obtenir une licence d'amateur est de deux cents (200) AED par équipement hertzien, payable à l'avance.</w:t>
      </w:r>
    </w:p>
    <w:p w:rsidR="00C5460D" w:rsidRPr="004B2881" w:rsidRDefault="00C5460D">
      <w:pPr>
        <w:tabs>
          <w:tab w:val="clear" w:pos="794"/>
          <w:tab w:val="clear" w:pos="1191"/>
          <w:tab w:val="clear" w:pos="1588"/>
          <w:tab w:val="clear" w:pos="1985"/>
        </w:tabs>
        <w:overflowPunct/>
        <w:autoSpaceDE/>
        <w:autoSpaceDN/>
        <w:adjustRightInd/>
        <w:spacing w:before="0"/>
        <w:jc w:val="left"/>
        <w:textAlignment w:val="auto"/>
        <w:rPr>
          <w:b/>
          <w:sz w:val="28"/>
          <w:lang w:val="fr-FR"/>
        </w:rPr>
      </w:pPr>
      <w:bookmarkStart w:id="726" w:name="_Toc225739498"/>
      <w:bookmarkStart w:id="727" w:name="_Toc225739842"/>
      <w:bookmarkStart w:id="728" w:name="_Toc280262377"/>
      <w:bookmarkStart w:id="729" w:name="_Toc280272771"/>
      <w:bookmarkStart w:id="730" w:name="_Toc280272950"/>
      <w:bookmarkStart w:id="731" w:name="_Toc284419465"/>
      <w:r w:rsidRPr="004B2881">
        <w:rPr>
          <w:lang w:val="fr-FR"/>
        </w:rPr>
        <w:br w:type="page"/>
      </w:r>
    </w:p>
    <w:p w:rsidR="00B51759" w:rsidRPr="004B2881" w:rsidRDefault="00283311" w:rsidP="00283311">
      <w:pPr>
        <w:pStyle w:val="Arttitle"/>
        <w:spacing w:before="400"/>
        <w:rPr>
          <w:lang w:val="fr-FR"/>
        </w:rPr>
      </w:pPr>
      <w:bookmarkStart w:id="732" w:name="_Toc286315782"/>
      <w:r w:rsidRPr="004B2881">
        <w:rPr>
          <w:lang w:val="fr-FR"/>
        </w:rPr>
        <w:lastRenderedPageBreak/>
        <w:t xml:space="preserve">Article </w:t>
      </w:r>
      <w:r w:rsidR="00B51759" w:rsidRPr="004B2881">
        <w:rPr>
          <w:lang w:val="fr-FR"/>
        </w:rPr>
        <w:t>20</w:t>
      </w:r>
      <w:bookmarkEnd w:id="726"/>
      <w:bookmarkEnd w:id="727"/>
      <w:r w:rsidR="00B51759" w:rsidRPr="004B2881">
        <w:rPr>
          <w:lang w:val="fr-FR"/>
        </w:rPr>
        <w:br/>
      </w:r>
      <w:r w:rsidR="00B51759" w:rsidRPr="004B2881">
        <w:rPr>
          <w:lang w:val="fr-FR"/>
        </w:rPr>
        <w:br/>
      </w:r>
      <w:bookmarkStart w:id="733" w:name="_Toc225739499"/>
      <w:bookmarkStart w:id="734" w:name="_Toc225739843"/>
      <w:r w:rsidR="00B51759" w:rsidRPr="004B2881">
        <w:rPr>
          <w:lang w:val="fr-FR"/>
        </w:rPr>
        <w:t xml:space="preserve">Droits d'utilisation du spectre à acquitter pour les stations </w:t>
      </w:r>
      <w:r w:rsidR="00B51759" w:rsidRPr="004B2881">
        <w:rPr>
          <w:lang w:val="fr-FR"/>
        </w:rPr>
        <w:br/>
        <w:t>de radiocommunication aéronautiques</w:t>
      </w:r>
      <w:bookmarkEnd w:id="728"/>
      <w:bookmarkEnd w:id="729"/>
      <w:bookmarkEnd w:id="730"/>
      <w:bookmarkEnd w:id="731"/>
      <w:bookmarkEnd w:id="732"/>
      <w:bookmarkEnd w:id="733"/>
      <w:bookmarkEnd w:id="734"/>
    </w:p>
    <w:p w:rsidR="00B51759" w:rsidRPr="004B2881" w:rsidRDefault="00B51759" w:rsidP="00DC4F21">
      <w:pPr>
        <w:pStyle w:val="enumlev1"/>
        <w:rPr>
          <w:rFonts w:asciiTheme="majorBidi" w:hAnsiTheme="majorBidi" w:cstheme="majorBidi"/>
          <w:szCs w:val="22"/>
          <w:lang w:val="fr-FR"/>
        </w:rPr>
      </w:pPr>
      <w:r w:rsidRPr="004B2881">
        <w:rPr>
          <w:rFonts w:asciiTheme="majorBidi" w:hAnsiTheme="majorBidi" w:cstheme="majorBidi"/>
          <w:szCs w:val="22"/>
          <w:lang w:val="fr-FR"/>
        </w:rPr>
        <w:t>20.1</w:t>
      </w:r>
      <w:r w:rsidRPr="004B2881">
        <w:rPr>
          <w:rFonts w:asciiTheme="majorBidi" w:hAnsiTheme="majorBidi" w:cstheme="majorBidi"/>
          <w:szCs w:val="22"/>
          <w:lang w:val="fr-FR"/>
        </w:rPr>
        <w:tab/>
        <w:t>Le montant annuel à acquitter pour chaque licence d'aéronef e</w:t>
      </w:r>
      <w:r w:rsidR="00DA1077" w:rsidRPr="004B2881">
        <w:rPr>
          <w:rFonts w:asciiTheme="majorBidi" w:hAnsiTheme="majorBidi" w:cstheme="majorBidi"/>
          <w:szCs w:val="22"/>
          <w:lang w:val="fr-FR"/>
        </w:rPr>
        <w:t>t d'hélicoptère est de mille (1</w:t>
      </w:r>
      <w:r w:rsidR="00DC4F21" w:rsidRPr="004B2881">
        <w:rPr>
          <w:rFonts w:asciiTheme="majorBidi" w:hAnsiTheme="majorBidi" w:cstheme="majorBidi"/>
          <w:sz w:val="12"/>
          <w:szCs w:val="12"/>
          <w:lang w:val="fr-FR"/>
        </w:rPr>
        <w:t> </w:t>
      </w:r>
      <w:r w:rsidRPr="004B2881">
        <w:rPr>
          <w:rFonts w:asciiTheme="majorBidi" w:hAnsiTheme="majorBidi" w:cstheme="majorBidi"/>
          <w:szCs w:val="22"/>
          <w:lang w:val="fr-FR"/>
        </w:rPr>
        <w:t>000) dirhams. Ce montant inclut tous les équipements hertziens à bord.</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20.2</w:t>
      </w:r>
      <w:r w:rsidRPr="004B2881">
        <w:rPr>
          <w:rFonts w:asciiTheme="majorBidi" w:hAnsiTheme="majorBidi" w:cstheme="majorBidi"/>
          <w:szCs w:val="22"/>
          <w:lang w:val="fr-FR"/>
        </w:rPr>
        <w:tab/>
        <w:t xml:space="preserve">Le montant annuel des droits à acquitter pour les planeurs et les ballons est de trois cents (300) dirhams. </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20.3</w:t>
      </w:r>
      <w:r w:rsidRPr="004B2881">
        <w:rPr>
          <w:rFonts w:asciiTheme="majorBidi" w:hAnsiTheme="majorBidi" w:cstheme="majorBidi"/>
          <w:szCs w:val="22"/>
          <w:lang w:val="fr-FR"/>
        </w:rPr>
        <w:tab/>
        <w:t>Le montant annuel des droits à acquitter pour les liaisons sol-air est fixé conformément à celui du service des radiocommunications mobiles privées. Les liaisons sol</w:t>
      </w:r>
      <w:r w:rsidRPr="004B2881">
        <w:rPr>
          <w:rFonts w:asciiTheme="majorBidi" w:hAnsiTheme="majorBidi" w:cstheme="majorBidi"/>
          <w:szCs w:val="22"/>
          <w:lang w:val="fr-FR"/>
        </w:rPr>
        <w:noBreakHyphen/>
        <w:t>air en ondes décamétriques sont facturées comme les liaisons point à point du service fixe en ondes décamétriques.</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20.4</w:t>
      </w:r>
      <w:r w:rsidRPr="004B2881">
        <w:rPr>
          <w:rFonts w:asciiTheme="majorBidi" w:hAnsiTheme="majorBidi" w:cstheme="majorBidi"/>
          <w:szCs w:val="22"/>
          <w:lang w:val="fr-FR"/>
        </w:rPr>
        <w:tab/>
        <w:t>Le montant annuel des droits à acquitter pour les stations placées sur des plates</w:t>
      </w:r>
      <w:r w:rsidRPr="004B2881">
        <w:rPr>
          <w:rFonts w:asciiTheme="majorBidi" w:hAnsiTheme="majorBidi" w:cstheme="majorBidi"/>
          <w:szCs w:val="22"/>
          <w:lang w:val="fr-FR"/>
        </w:rPr>
        <w:noBreakHyphen/>
        <w:t>formes à haute altitude (HAPS) relève de la rubrique services par satellite.</w:t>
      </w:r>
    </w:p>
    <w:p w:rsidR="00B51759" w:rsidRPr="004B2881" w:rsidRDefault="00283311" w:rsidP="004655EA">
      <w:pPr>
        <w:pStyle w:val="Arttitle"/>
        <w:spacing w:before="400"/>
        <w:rPr>
          <w:lang w:val="fr-FR"/>
        </w:rPr>
      </w:pPr>
      <w:bookmarkStart w:id="735" w:name="_Toc225739500"/>
      <w:bookmarkStart w:id="736" w:name="_Toc225739844"/>
      <w:bookmarkStart w:id="737" w:name="_Toc280262378"/>
      <w:bookmarkStart w:id="738" w:name="_Toc280272772"/>
      <w:bookmarkStart w:id="739" w:name="_Toc280272951"/>
      <w:bookmarkStart w:id="740" w:name="_Toc284419466"/>
      <w:bookmarkStart w:id="741" w:name="_Toc286315783"/>
      <w:r w:rsidRPr="004B2881">
        <w:rPr>
          <w:lang w:val="fr-FR"/>
        </w:rPr>
        <w:t xml:space="preserve">Article </w:t>
      </w:r>
      <w:r w:rsidR="00B51759" w:rsidRPr="004B2881">
        <w:rPr>
          <w:lang w:val="fr-FR"/>
        </w:rPr>
        <w:t>21</w:t>
      </w:r>
      <w:bookmarkEnd w:id="735"/>
      <w:bookmarkEnd w:id="736"/>
      <w:r w:rsidR="00B51759" w:rsidRPr="004B2881">
        <w:rPr>
          <w:lang w:val="fr-FR"/>
        </w:rPr>
        <w:br/>
      </w:r>
      <w:r w:rsidR="00B51759" w:rsidRPr="004B2881">
        <w:rPr>
          <w:lang w:val="fr-FR"/>
        </w:rPr>
        <w:br/>
      </w:r>
      <w:bookmarkStart w:id="742" w:name="_Toc225739501"/>
      <w:bookmarkStart w:id="743" w:name="_Toc225739845"/>
      <w:r w:rsidR="00B51759" w:rsidRPr="004B2881">
        <w:rPr>
          <w:lang w:val="fr-FR"/>
        </w:rPr>
        <w:t>Droits d'utilisation du spectre pour les services de radiocommunication</w:t>
      </w:r>
      <w:r w:rsidR="004655EA" w:rsidRPr="004B2881">
        <w:rPr>
          <w:lang w:val="fr-FR"/>
        </w:rPr>
        <w:t> </w:t>
      </w:r>
      <w:r w:rsidR="00B51759" w:rsidRPr="004B2881">
        <w:rPr>
          <w:lang w:val="fr-FR"/>
        </w:rPr>
        <w:t>maritimes</w:t>
      </w:r>
      <w:bookmarkEnd w:id="737"/>
      <w:bookmarkEnd w:id="738"/>
      <w:bookmarkEnd w:id="739"/>
      <w:bookmarkEnd w:id="740"/>
      <w:bookmarkEnd w:id="741"/>
      <w:bookmarkEnd w:id="742"/>
      <w:bookmarkEnd w:id="743"/>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21.1</w:t>
      </w:r>
      <w:r w:rsidRPr="004B2881">
        <w:rPr>
          <w:rFonts w:asciiTheme="majorBidi" w:hAnsiTheme="majorBidi" w:cstheme="majorBidi"/>
          <w:szCs w:val="22"/>
          <w:lang w:val="fr-FR"/>
        </w:rPr>
        <w:tab/>
        <w:t xml:space="preserve">Le montant annuel de chaque licence pour une petite embarcation est de deux cents (200) dirhams. </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21.2</w:t>
      </w:r>
      <w:r w:rsidRPr="004B2881">
        <w:rPr>
          <w:rFonts w:asciiTheme="majorBidi" w:hAnsiTheme="majorBidi" w:cstheme="majorBidi"/>
          <w:szCs w:val="22"/>
          <w:lang w:val="fr-FR"/>
        </w:rPr>
        <w:tab/>
        <w:t xml:space="preserve">Le montant annuel des droits à acquitter pour chaque caboteur (naviguant dans les limites des eaux territoriales et sans identité MMSI) est de cinq cent cinquante (550) dirhams. </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21.3</w:t>
      </w:r>
      <w:r w:rsidRPr="004B2881">
        <w:rPr>
          <w:rFonts w:asciiTheme="majorBidi" w:hAnsiTheme="majorBidi" w:cstheme="majorBidi"/>
          <w:szCs w:val="22"/>
          <w:lang w:val="fr-FR"/>
        </w:rPr>
        <w:tab/>
        <w:t>Le montant annuel des droits à acquitter pour chaque navire (naviguant hors des eaux territoriales et avec identité MMSI) est de mille (1</w:t>
      </w:r>
      <w:r w:rsidR="0000430C" w:rsidRPr="004B2881">
        <w:rPr>
          <w:rFonts w:asciiTheme="majorBidi" w:hAnsiTheme="majorBidi" w:cstheme="majorBidi"/>
          <w:sz w:val="12"/>
          <w:szCs w:val="12"/>
          <w:lang w:val="fr-FR"/>
        </w:rPr>
        <w:t> </w:t>
      </w:r>
      <w:r w:rsidRPr="004B2881">
        <w:rPr>
          <w:rFonts w:asciiTheme="majorBidi" w:hAnsiTheme="majorBidi" w:cstheme="majorBidi"/>
          <w:szCs w:val="22"/>
          <w:lang w:val="fr-FR"/>
        </w:rPr>
        <w:t xml:space="preserve">000) dirhams. </w:t>
      </w:r>
    </w:p>
    <w:p w:rsidR="00B51759" w:rsidRPr="004B2881" w:rsidRDefault="00283311" w:rsidP="00283311">
      <w:pPr>
        <w:pStyle w:val="Arttitle"/>
        <w:spacing w:before="400"/>
        <w:rPr>
          <w:lang w:val="fr-FR"/>
        </w:rPr>
      </w:pPr>
      <w:bookmarkStart w:id="744" w:name="_Toc225739502"/>
      <w:bookmarkStart w:id="745" w:name="_Toc225739846"/>
      <w:bookmarkStart w:id="746" w:name="_Toc280262379"/>
      <w:bookmarkStart w:id="747" w:name="_Toc280272773"/>
      <w:bookmarkStart w:id="748" w:name="_Toc280272952"/>
      <w:bookmarkStart w:id="749" w:name="_Toc284419467"/>
      <w:bookmarkStart w:id="750" w:name="_Toc286315784"/>
      <w:r w:rsidRPr="004B2881">
        <w:rPr>
          <w:lang w:val="fr-FR"/>
        </w:rPr>
        <w:t xml:space="preserve">Article </w:t>
      </w:r>
      <w:r w:rsidR="00B51759" w:rsidRPr="004B2881">
        <w:rPr>
          <w:lang w:val="fr-FR"/>
        </w:rPr>
        <w:t>22</w:t>
      </w:r>
      <w:bookmarkEnd w:id="744"/>
      <w:bookmarkEnd w:id="745"/>
      <w:r w:rsidR="00B51759" w:rsidRPr="004B2881">
        <w:rPr>
          <w:lang w:val="fr-FR"/>
        </w:rPr>
        <w:br/>
      </w:r>
      <w:r w:rsidR="00B51759" w:rsidRPr="004B2881">
        <w:rPr>
          <w:lang w:val="fr-FR"/>
        </w:rPr>
        <w:br/>
      </w:r>
      <w:bookmarkStart w:id="751" w:name="_Toc225739503"/>
      <w:bookmarkStart w:id="752" w:name="_Toc225739847"/>
      <w:r w:rsidR="00B51759" w:rsidRPr="004B2881">
        <w:rPr>
          <w:lang w:val="fr-FR"/>
        </w:rPr>
        <w:t xml:space="preserve">Droits d'utilisation du spectre à acquitter pour les services spatiaux </w:t>
      </w:r>
      <w:r w:rsidR="00B51759" w:rsidRPr="004B2881">
        <w:rPr>
          <w:lang w:val="fr-FR"/>
        </w:rPr>
        <w:br/>
        <w:t>et les services auxiliaires</w:t>
      </w:r>
      <w:bookmarkEnd w:id="746"/>
      <w:bookmarkEnd w:id="747"/>
      <w:bookmarkEnd w:id="748"/>
      <w:bookmarkEnd w:id="749"/>
      <w:bookmarkEnd w:id="750"/>
      <w:bookmarkEnd w:id="751"/>
      <w:bookmarkEnd w:id="752"/>
    </w:p>
    <w:p w:rsidR="00B51759" w:rsidRPr="004B2881" w:rsidRDefault="00B51759" w:rsidP="0000430C">
      <w:pPr>
        <w:pStyle w:val="enumlev1"/>
        <w:rPr>
          <w:rFonts w:asciiTheme="majorBidi" w:hAnsiTheme="majorBidi" w:cstheme="majorBidi"/>
          <w:szCs w:val="22"/>
          <w:lang w:val="fr-FR"/>
        </w:rPr>
      </w:pPr>
      <w:r w:rsidRPr="004B2881">
        <w:rPr>
          <w:rFonts w:asciiTheme="majorBidi" w:hAnsiTheme="majorBidi" w:cstheme="majorBidi"/>
          <w:szCs w:val="22"/>
          <w:lang w:val="fr-FR"/>
        </w:rPr>
        <w:t>22.1</w:t>
      </w:r>
      <w:r w:rsidRPr="004B2881">
        <w:rPr>
          <w:rFonts w:asciiTheme="majorBidi" w:hAnsiTheme="majorBidi" w:cstheme="majorBidi"/>
          <w:szCs w:val="22"/>
          <w:lang w:val="fr-FR"/>
        </w:rPr>
        <w:tab/>
        <w:t>Le montant annuel à acquitter pour chaque microstation est de cinq mille (5</w:t>
      </w:r>
      <w:r w:rsidR="0000430C" w:rsidRPr="004B2881">
        <w:rPr>
          <w:rFonts w:asciiTheme="majorBidi" w:hAnsiTheme="majorBidi" w:cstheme="majorBidi"/>
          <w:sz w:val="12"/>
          <w:szCs w:val="12"/>
          <w:lang w:val="fr-FR"/>
        </w:rPr>
        <w:t> </w:t>
      </w:r>
      <w:r w:rsidRPr="004B2881">
        <w:rPr>
          <w:rFonts w:asciiTheme="majorBidi" w:hAnsiTheme="majorBidi" w:cstheme="majorBidi"/>
          <w:szCs w:val="22"/>
          <w:lang w:val="fr-FR"/>
        </w:rPr>
        <w:t xml:space="preserve">000) dirhams. </w:t>
      </w:r>
    </w:p>
    <w:p w:rsidR="00B51759" w:rsidRPr="004B2881" w:rsidRDefault="00B51759" w:rsidP="004655EA">
      <w:pPr>
        <w:pStyle w:val="enumlev1"/>
        <w:rPr>
          <w:rFonts w:asciiTheme="majorBidi" w:hAnsiTheme="majorBidi" w:cstheme="majorBidi"/>
          <w:szCs w:val="22"/>
          <w:lang w:val="fr-FR"/>
        </w:rPr>
      </w:pPr>
      <w:r w:rsidRPr="004B2881">
        <w:rPr>
          <w:rFonts w:asciiTheme="majorBidi" w:hAnsiTheme="majorBidi" w:cstheme="majorBidi"/>
          <w:szCs w:val="22"/>
          <w:lang w:val="fr-FR"/>
        </w:rPr>
        <w:t>22.2</w:t>
      </w:r>
      <w:r w:rsidRPr="004B2881">
        <w:rPr>
          <w:rFonts w:asciiTheme="majorBidi" w:hAnsiTheme="majorBidi" w:cstheme="majorBidi"/>
          <w:szCs w:val="22"/>
          <w:lang w:val="fr-FR"/>
        </w:rPr>
        <w:tab/>
        <w:t>Le montant annuel à acquitter pour chaque antenne de station terri</w:t>
      </w:r>
      <w:r w:rsidR="004655EA" w:rsidRPr="004B2881">
        <w:rPr>
          <w:rFonts w:asciiTheme="majorBidi" w:hAnsiTheme="majorBidi" w:cstheme="majorBidi"/>
          <w:szCs w:val="22"/>
          <w:lang w:val="fr-FR"/>
        </w:rPr>
        <w:t>enne est d</w:t>
      </w:r>
      <w:r w:rsidR="0000430C" w:rsidRPr="004B2881">
        <w:rPr>
          <w:rFonts w:asciiTheme="majorBidi" w:hAnsiTheme="majorBidi" w:cstheme="majorBidi"/>
          <w:szCs w:val="22"/>
          <w:lang w:val="fr-FR"/>
        </w:rPr>
        <w:t>e cinquante mille (50</w:t>
      </w:r>
      <w:r w:rsidR="0000430C" w:rsidRPr="004B2881">
        <w:rPr>
          <w:rFonts w:asciiTheme="majorBidi" w:hAnsiTheme="majorBidi" w:cstheme="majorBidi"/>
          <w:sz w:val="12"/>
          <w:szCs w:val="12"/>
          <w:lang w:val="fr-FR"/>
        </w:rPr>
        <w:t> </w:t>
      </w:r>
      <w:r w:rsidRPr="004B2881">
        <w:rPr>
          <w:rFonts w:asciiTheme="majorBidi" w:hAnsiTheme="majorBidi" w:cstheme="majorBidi"/>
          <w:szCs w:val="22"/>
          <w:lang w:val="fr-FR"/>
        </w:rPr>
        <w:t xml:space="preserve">000) dirhams. </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22.3</w:t>
      </w:r>
      <w:r w:rsidRPr="004B2881">
        <w:rPr>
          <w:rFonts w:asciiTheme="majorBidi" w:hAnsiTheme="majorBidi" w:cstheme="majorBidi"/>
          <w:szCs w:val="22"/>
          <w:lang w:val="fr-FR"/>
        </w:rPr>
        <w:tab/>
        <w:t xml:space="preserve">La télévision uniquement réceptrice est gratuite. </w:t>
      </w:r>
    </w:p>
    <w:p w:rsidR="00B51759" w:rsidRPr="004B2881" w:rsidRDefault="00B51759" w:rsidP="0000430C">
      <w:pPr>
        <w:pStyle w:val="enumlev1"/>
        <w:rPr>
          <w:rFonts w:asciiTheme="majorBidi" w:hAnsiTheme="majorBidi" w:cstheme="majorBidi"/>
          <w:szCs w:val="22"/>
          <w:lang w:val="fr-FR"/>
        </w:rPr>
      </w:pPr>
      <w:r w:rsidRPr="004B2881">
        <w:rPr>
          <w:rFonts w:asciiTheme="majorBidi" w:hAnsiTheme="majorBidi" w:cstheme="majorBidi"/>
          <w:szCs w:val="22"/>
          <w:lang w:val="fr-FR"/>
        </w:rPr>
        <w:t>22.4</w:t>
      </w:r>
      <w:r w:rsidRPr="004B2881">
        <w:rPr>
          <w:rFonts w:asciiTheme="majorBidi" w:hAnsiTheme="majorBidi" w:cstheme="majorBidi"/>
          <w:szCs w:val="22"/>
          <w:lang w:val="fr-FR"/>
        </w:rPr>
        <w:tab/>
        <w:t>Le montant annuel à acquitter pour chaque reportage d'actualités par satellite numérique est de cinq mille (5</w:t>
      </w:r>
      <w:r w:rsidR="0000430C" w:rsidRPr="004B2881">
        <w:rPr>
          <w:rFonts w:asciiTheme="majorBidi" w:hAnsiTheme="majorBidi" w:cstheme="majorBidi"/>
          <w:sz w:val="12"/>
          <w:szCs w:val="12"/>
          <w:lang w:val="fr-FR"/>
        </w:rPr>
        <w:t> </w:t>
      </w:r>
      <w:r w:rsidRPr="004B2881">
        <w:rPr>
          <w:rFonts w:asciiTheme="majorBidi" w:hAnsiTheme="majorBidi" w:cstheme="majorBidi"/>
          <w:szCs w:val="22"/>
          <w:lang w:val="fr-FR"/>
        </w:rPr>
        <w:t>000) dirhams.</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22.5</w:t>
      </w:r>
      <w:r w:rsidRPr="004B2881">
        <w:rPr>
          <w:rFonts w:asciiTheme="majorBidi" w:hAnsiTheme="majorBidi" w:cstheme="majorBidi"/>
          <w:szCs w:val="22"/>
          <w:lang w:val="fr-FR"/>
        </w:rPr>
        <w:tab/>
        <w:t>Le montant annuel à acquitter pour le service mobile aéronautique par</w:t>
      </w:r>
      <w:r w:rsidR="0000430C" w:rsidRPr="004B2881">
        <w:rPr>
          <w:rFonts w:asciiTheme="majorBidi" w:hAnsiTheme="majorBidi" w:cstheme="majorBidi"/>
          <w:szCs w:val="22"/>
          <w:lang w:val="fr-FR"/>
        </w:rPr>
        <w:t xml:space="preserve"> satellite est de dix mille (10</w:t>
      </w:r>
      <w:r w:rsidR="0000430C" w:rsidRPr="004B2881">
        <w:rPr>
          <w:rFonts w:asciiTheme="majorBidi" w:hAnsiTheme="majorBidi" w:cstheme="majorBidi"/>
          <w:sz w:val="12"/>
          <w:szCs w:val="12"/>
          <w:lang w:val="fr-FR"/>
        </w:rPr>
        <w:t> </w:t>
      </w:r>
      <w:r w:rsidRPr="004B2881">
        <w:rPr>
          <w:rFonts w:asciiTheme="majorBidi" w:hAnsiTheme="majorBidi" w:cstheme="majorBidi"/>
          <w:szCs w:val="22"/>
          <w:lang w:val="fr-FR"/>
        </w:rPr>
        <w:t>000) dirhams.</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22.6</w:t>
      </w:r>
      <w:r w:rsidRPr="004B2881">
        <w:rPr>
          <w:rFonts w:asciiTheme="majorBidi" w:hAnsiTheme="majorBidi" w:cstheme="majorBidi"/>
          <w:szCs w:val="22"/>
          <w:lang w:val="fr-FR"/>
        </w:rPr>
        <w:tab/>
        <w:t>Le montant annuel à acquitter pour le service mobile maritime par</w:t>
      </w:r>
      <w:r w:rsidR="0000430C" w:rsidRPr="004B2881">
        <w:rPr>
          <w:rFonts w:asciiTheme="majorBidi" w:hAnsiTheme="majorBidi" w:cstheme="majorBidi"/>
          <w:szCs w:val="22"/>
          <w:lang w:val="fr-FR"/>
        </w:rPr>
        <w:t xml:space="preserve"> satellite est de dix mille (10</w:t>
      </w:r>
      <w:r w:rsidR="0000430C" w:rsidRPr="004B2881">
        <w:rPr>
          <w:rFonts w:asciiTheme="majorBidi" w:hAnsiTheme="majorBidi" w:cstheme="majorBidi"/>
          <w:sz w:val="12"/>
          <w:szCs w:val="12"/>
          <w:lang w:val="fr-FR"/>
        </w:rPr>
        <w:t> </w:t>
      </w:r>
      <w:r w:rsidRPr="004B2881">
        <w:rPr>
          <w:rFonts w:asciiTheme="majorBidi" w:hAnsiTheme="majorBidi" w:cstheme="majorBidi"/>
          <w:szCs w:val="22"/>
          <w:lang w:val="fr-FR"/>
        </w:rPr>
        <w:t>000) dirhams.</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22.7</w:t>
      </w:r>
      <w:r w:rsidRPr="004B2881">
        <w:rPr>
          <w:rFonts w:asciiTheme="majorBidi" w:hAnsiTheme="majorBidi" w:cstheme="majorBidi"/>
          <w:szCs w:val="22"/>
          <w:lang w:val="fr-FR"/>
        </w:rPr>
        <w:tab/>
        <w:t>Le montant annuel à acquitter pour les services d'exploration de la Terre par</w:t>
      </w:r>
      <w:r w:rsidR="0000430C" w:rsidRPr="004B2881">
        <w:rPr>
          <w:rFonts w:asciiTheme="majorBidi" w:hAnsiTheme="majorBidi" w:cstheme="majorBidi"/>
          <w:szCs w:val="22"/>
          <w:lang w:val="fr-FR"/>
        </w:rPr>
        <w:t xml:space="preserve"> satellite est de dix mille (10</w:t>
      </w:r>
      <w:r w:rsidR="0000430C" w:rsidRPr="004B2881">
        <w:rPr>
          <w:rFonts w:asciiTheme="majorBidi" w:hAnsiTheme="majorBidi" w:cstheme="majorBidi"/>
          <w:sz w:val="12"/>
          <w:szCs w:val="12"/>
          <w:lang w:val="fr-FR"/>
        </w:rPr>
        <w:t> </w:t>
      </w:r>
      <w:r w:rsidRPr="004B2881">
        <w:rPr>
          <w:rFonts w:asciiTheme="majorBidi" w:hAnsiTheme="majorBidi" w:cstheme="majorBidi"/>
          <w:szCs w:val="22"/>
          <w:lang w:val="fr-FR"/>
        </w:rPr>
        <w:t>000) dirhams.</w:t>
      </w:r>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22.8</w:t>
      </w:r>
      <w:r w:rsidRPr="004B2881">
        <w:rPr>
          <w:rFonts w:asciiTheme="majorBidi" w:hAnsiTheme="majorBidi" w:cstheme="majorBidi"/>
          <w:szCs w:val="22"/>
          <w:lang w:val="fr-FR"/>
        </w:rPr>
        <w:tab/>
        <w:t>Le montant annuel à acquitter pour les stations HAPS est déterminé par la TRA, en fonction de la finalité de l'utilisation.</w:t>
      </w:r>
    </w:p>
    <w:p w:rsidR="00B51759" w:rsidRPr="004B2881" w:rsidRDefault="00283311" w:rsidP="00283311">
      <w:pPr>
        <w:pStyle w:val="Arttitle"/>
        <w:spacing w:before="400"/>
        <w:rPr>
          <w:lang w:val="fr-FR"/>
        </w:rPr>
      </w:pPr>
      <w:bookmarkStart w:id="753" w:name="_Toc225739504"/>
      <w:bookmarkStart w:id="754" w:name="_Toc225739848"/>
      <w:bookmarkStart w:id="755" w:name="_Toc280262380"/>
      <w:bookmarkStart w:id="756" w:name="_Toc280272774"/>
      <w:bookmarkStart w:id="757" w:name="_Toc280272953"/>
      <w:bookmarkStart w:id="758" w:name="_Toc284419468"/>
      <w:bookmarkStart w:id="759" w:name="_Toc286315785"/>
      <w:r w:rsidRPr="004B2881">
        <w:rPr>
          <w:lang w:val="fr-FR"/>
        </w:rPr>
        <w:lastRenderedPageBreak/>
        <w:t xml:space="preserve">Article </w:t>
      </w:r>
      <w:r w:rsidR="00B51759" w:rsidRPr="004B2881">
        <w:rPr>
          <w:lang w:val="fr-FR"/>
        </w:rPr>
        <w:t>23</w:t>
      </w:r>
      <w:bookmarkEnd w:id="753"/>
      <w:bookmarkEnd w:id="754"/>
      <w:r w:rsidR="00B51759" w:rsidRPr="004B2881">
        <w:rPr>
          <w:lang w:val="fr-FR"/>
        </w:rPr>
        <w:br/>
      </w:r>
      <w:r w:rsidR="00B51759" w:rsidRPr="004B2881">
        <w:rPr>
          <w:lang w:val="fr-FR"/>
        </w:rPr>
        <w:br/>
      </w:r>
      <w:bookmarkStart w:id="760" w:name="_Toc225739505"/>
      <w:bookmarkStart w:id="761" w:name="_Toc225739849"/>
      <w:r w:rsidR="00B51759" w:rsidRPr="004B2881">
        <w:rPr>
          <w:lang w:val="fr-FR"/>
        </w:rPr>
        <w:t>Droits à acquitter pour les stations de radionavigation</w:t>
      </w:r>
      <w:bookmarkEnd w:id="755"/>
      <w:bookmarkEnd w:id="756"/>
      <w:bookmarkEnd w:id="757"/>
      <w:bookmarkEnd w:id="758"/>
      <w:bookmarkEnd w:id="759"/>
      <w:bookmarkEnd w:id="760"/>
      <w:bookmarkEnd w:id="761"/>
    </w:p>
    <w:p w:rsidR="00B51759" w:rsidRPr="004B2881" w:rsidRDefault="00B51759" w:rsidP="00C700A1">
      <w:pPr>
        <w:rPr>
          <w:color w:val="000000"/>
          <w:lang w:val="fr-FR"/>
        </w:rPr>
      </w:pPr>
      <w:r w:rsidRPr="004B2881">
        <w:rPr>
          <w:lang w:val="fr-FR"/>
        </w:rPr>
        <w:t>Le montant annuel à acquitter pour chaque station de radionavigation est de mille (1</w:t>
      </w:r>
      <w:r w:rsidR="00C700A1" w:rsidRPr="004B2881">
        <w:rPr>
          <w:rFonts w:asciiTheme="majorBidi" w:hAnsiTheme="majorBidi" w:cstheme="majorBidi"/>
          <w:sz w:val="12"/>
          <w:szCs w:val="12"/>
          <w:lang w:val="fr-FR"/>
        </w:rPr>
        <w:t> </w:t>
      </w:r>
      <w:r w:rsidRPr="004B2881">
        <w:rPr>
          <w:lang w:val="fr-FR"/>
        </w:rPr>
        <w:t>000) dirhams.</w:t>
      </w:r>
    </w:p>
    <w:p w:rsidR="00B51759" w:rsidRPr="004B2881" w:rsidRDefault="00C70783" w:rsidP="00C70783">
      <w:pPr>
        <w:pStyle w:val="Arttitle"/>
        <w:spacing w:before="400"/>
        <w:rPr>
          <w:lang w:val="fr-FR"/>
        </w:rPr>
      </w:pPr>
      <w:bookmarkStart w:id="762" w:name="_Toc225739506"/>
      <w:bookmarkStart w:id="763" w:name="_Toc225739850"/>
      <w:bookmarkStart w:id="764" w:name="_Toc280262381"/>
      <w:bookmarkStart w:id="765" w:name="_Toc280272775"/>
      <w:bookmarkStart w:id="766" w:name="_Toc280272954"/>
      <w:bookmarkStart w:id="767" w:name="_Toc284419469"/>
      <w:bookmarkStart w:id="768" w:name="_Toc286315786"/>
      <w:r w:rsidRPr="004B2881">
        <w:rPr>
          <w:lang w:val="fr-FR"/>
        </w:rPr>
        <w:t xml:space="preserve">Article </w:t>
      </w:r>
      <w:r w:rsidR="00B51759" w:rsidRPr="004B2881">
        <w:rPr>
          <w:lang w:val="fr-FR"/>
        </w:rPr>
        <w:t>24</w:t>
      </w:r>
      <w:bookmarkEnd w:id="762"/>
      <w:bookmarkEnd w:id="763"/>
      <w:r w:rsidR="00B51759" w:rsidRPr="004B2881">
        <w:rPr>
          <w:lang w:val="fr-FR"/>
        </w:rPr>
        <w:br/>
      </w:r>
      <w:r w:rsidR="00B51759" w:rsidRPr="004B2881">
        <w:rPr>
          <w:lang w:val="fr-FR"/>
        </w:rPr>
        <w:br/>
      </w:r>
      <w:bookmarkStart w:id="769" w:name="_Toc225739507"/>
      <w:bookmarkStart w:id="770" w:name="_Toc225739851"/>
      <w:r w:rsidR="00B51759" w:rsidRPr="004B2881">
        <w:rPr>
          <w:lang w:val="fr-FR"/>
        </w:rPr>
        <w:t>Droits à acquitter pour les stations de radioastronomie</w:t>
      </w:r>
      <w:bookmarkEnd w:id="764"/>
      <w:bookmarkEnd w:id="765"/>
      <w:bookmarkEnd w:id="766"/>
      <w:bookmarkEnd w:id="767"/>
      <w:bookmarkEnd w:id="768"/>
      <w:bookmarkEnd w:id="769"/>
      <w:bookmarkEnd w:id="770"/>
    </w:p>
    <w:p w:rsidR="00B51759" w:rsidRPr="004B2881" w:rsidRDefault="00B51759" w:rsidP="00B51759">
      <w:pPr>
        <w:rPr>
          <w:color w:val="000000"/>
          <w:lang w:val="fr-FR"/>
        </w:rPr>
      </w:pPr>
      <w:r w:rsidRPr="004B2881">
        <w:rPr>
          <w:lang w:val="fr-FR"/>
        </w:rPr>
        <w:t>Le montant annuel à acquitter pour chaque station de radioastronomie est de cinq cents (500) dirhams.</w:t>
      </w:r>
    </w:p>
    <w:p w:rsidR="00B51759" w:rsidRPr="004B2881" w:rsidRDefault="00C70783" w:rsidP="00C70783">
      <w:pPr>
        <w:pStyle w:val="Arttitle"/>
        <w:spacing w:before="400"/>
        <w:rPr>
          <w:lang w:val="fr-FR"/>
        </w:rPr>
      </w:pPr>
      <w:bookmarkStart w:id="771" w:name="_Toc225739508"/>
      <w:bookmarkStart w:id="772" w:name="_Toc225739852"/>
      <w:bookmarkStart w:id="773" w:name="_Toc280262382"/>
      <w:bookmarkStart w:id="774" w:name="_Toc280272776"/>
      <w:bookmarkStart w:id="775" w:name="_Toc280272955"/>
      <w:bookmarkStart w:id="776" w:name="_Toc284419470"/>
      <w:bookmarkStart w:id="777" w:name="_Toc286315787"/>
      <w:r w:rsidRPr="004B2881">
        <w:rPr>
          <w:lang w:val="fr-FR"/>
        </w:rPr>
        <w:t xml:space="preserve">Article </w:t>
      </w:r>
      <w:r w:rsidR="00B51759" w:rsidRPr="004B2881">
        <w:rPr>
          <w:lang w:val="fr-FR"/>
        </w:rPr>
        <w:t>25</w:t>
      </w:r>
      <w:bookmarkEnd w:id="771"/>
      <w:bookmarkEnd w:id="772"/>
      <w:r w:rsidR="00B51759" w:rsidRPr="004B2881">
        <w:rPr>
          <w:lang w:val="fr-FR"/>
        </w:rPr>
        <w:br/>
      </w:r>
      <w:r w:rsidR="00B51759" w:rsidRPr="004B2881">
        <w:rPr>
          <w:lang w:val="fr-FR"/>
        </w:rPr>
        <w:br/>
      </w:r>
      <w:bookmarkStart w:id="778" w:name="_Toc225739509"/>
      <w:bookmarkStart w:id="779" w:name="_Toc225739853"/>
      <w:r w:rsidR="00B51759" w:rsidRPr="004B2881">
        <w:rPr>
          <w:lang w:val="fr-FR"/>
        </w:rPr>
        <w:t>Droits à acquitter pour les stations de radiolocalisation</w:t>
      </w:r>
      <w:bookmarkEnd w:id="773"/>
      <w:bookmarkEnd w:id="774"/>
      <w:bookmarkEnd w:id="775"/>
      <w:bookmarkEnd w:id="776"/>
      <w:bookmarkEnd w:id="777"/>
      <w:bookmarkEnd w:id="778"/>
      <w:bookmarkEnd w:id="779"/>
    </w:p>
    <w:p w:rsidR="00B51759" w:rsidRPr="004B2881" w:rsidRDefault="00B51759" w:rsidP="00B15380">
      <w:pPr>
        <w:rPr>
          <w:lang w:val="fr-FR"/>
        </w:rPr>
      </w:pPr>
      <w:r w:rsidRPr="004B2881">
        <w:rPr>
          <w:lang w:val="fr-FR"/>
        </w:rPr>
        <w:t>Le montant annuel des droits à acquitter pour chaque radar côtier maritime, radar météorologique, radar au sol, station de surveillance aéronautique, station de contrôle d'approche, station d'observation des océans, des mouvements en surface et de localisation est de cinq mille (5</w:t>
      </w:r>
      <w:r w:rsidR="00C700A1" w:rsidRPr="004B2881">
        <w:rPr>
          <w:rFonts w:asciiTheme="majorBidi" w:hAnsiTheme="majorBidi" w:cstheme="majorBidi"/>
          <w:sz w:val="12"/>
          <w:szCs w:val="12"/>
          <w:lang w:val="fr-FR"/>
        </w:rPr>
        <w:t> </w:t>
      </w:r>
      <w:r w:rsidRPr="004B2881">
        <w:rPr>
          <w:lang w:val="fr-FR"/>
        </w:rPr>
        <w:t>000) dirhams.</w:t>
      </w:r>
    </w:p>
    <w:p w:rsidR="00B51759" w:rsidRPr="004B2881" w:rsidRDefault="00C70783" w:rsidP="00C70783">
      <w:pPr>
        <w:pStyle w:val="Arttitle"/>
        <w:spacing w:before="400"/>
        <w:rPr>
          <w:lang w:val="fr-FR"/>
        </w:rPr>
      </w:pPr>
      <w:bookmarkStart w:id="780" w:name="_Toc225739510"/>
      <w:bookmarkStart w:id="781" w:name="_Toc225739854"/>
      <w:bookmarkStart w:id="782" w:name="_Toc280262383"/>
      <w:bookmarkStart w:id="783" w:name="_Toc280272777"/>
      <w:bookmarkStart w:id="784" w:name="_Toc280272956"/>
      <w:bookmarkStart w:id="785" w:name="_Toc284419471"/>
      <w:bookmarkStart w:id="786" w:name="_Toc286315788"/>
      <w:r w:rsidRPr="004B2881">
        <w:rPr>
          <w:lang w:val="fr-FR"/>
        </w:rPr>
        <w:t xml:space="preserve">Article </w:t>
      </w:r>
      <w:r w:rsidR="00B51759" w:rsidRPr="004B2881">
        <w:rPr>
          <w:lang w:val="fr-FR"/>
        </w:rPr>
        <w:t>26</w:t>
      </w:r>
      <w:bookmarkEnd w:id="780"/>
      <w:bookmarkEnd w:id="781"/>
      <w:r w:rsidR="00B51759" w:rsidRPr="004B2881">
        <w:rPr>
          <w:lang w:val="fr-FR"/>
        </w:rPr>
        <w:br/>
      </w:r>
      <w:r w:rsidR="00B51759" w:rsidRPr="004B2881">
        <w:rPr>
          <w:lang w:val="fr-FR"/>
        </w:rPr>
        <w:br/>
      </w:r>
      <w:bookmarkStart w:id="787" w:name="_Toc225739511"/>
      <w:bookmarkStart w:id="788" w:name="_Toc225739855"/>
      <w:r w:rsidR="00B51759" w:rsidRPr="004B2881">
        <w:rPr>
          <w:lang w:val="fr-FR"/>
        </w:rPr>
        <w:t>Droits à acquitter pour le service de radiodiffusion</w:t>
      </w:r>
      <w:bookmarkEnd w:id="782"/>
      <w:bookmarkEnd w:id="783"/>
      <w:bookmarkEnd w:id="784"/>
      <w:bookmarkEnd w:id="785"/>
      <w:bookmarkEnd w:id="786"/>
      <w:bookmarkEnd w:id="787"/>
      <w:bookmarkEnd w:id="788"/>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26.1</w:t>
      </w:r>
      <w:r w:rsidRPr="004B2881">
        <w:rPr>
          <w:rFonts w:asciiTheme="majorBidi" w:hAnsiTheme="majorBidi" w:cstheme="majorBidi"/>
          <w:szCs w:val="22"/>
          <w:lang w:val="fr-FR"/>
        </w:rPr>
        <w:tab/>
        <w:t>Radiodiffusion et télévision de Terre</w:t>
      </w:r>
    </w:p>
    <w:p w:rsidR="00B51759" w:rsidRPr="004B2881" w:rsidRDefault="00B51759" w:rsidP="00943301">
      <w:pPr>
        <w:ind w:left="794" w:hanging="794"/>
        <w:rPr>
          <w:b/>
          <w:lang w:val="fr-FR"/>
        </w:rPr>
      </w:pPr>
      <w:r w:rsidRPr="004B2881">
        <w:rPr>
          <w:lang w:val="fr-FR"/>
        </w:rPr>
        <w:tab/>
        <w:t>Le montant annuel des droits à acquitter pour une station de radiodiffusion individuelle est calculé comme suit:</w:t>
      </w:r>
    </w:p>
    <w:p w:rsidR="00B51759" w:rsidRPr="004B2881" w:rsidRDefault="00B51759" w:rsidP="005C2BFC">
      <w:pPr>
        <w:tabs>
          <w:tab w:val="left" w:pos="851"/>
        </w:tabs>
        <w:suppressAutoHyphens/>
        <w:jc w:val="center"/>
        <w:rPr>
          <w:b/>
          <w:szCs w:val="19"/>
          <w:lang w:val="fr-FR"/>
        </w:rPr>
      </w:pPr>
      <w:r w:rsidRPr="004B2881">
        <w:rPr>
          <w:b/>
          <w:szCs w:val="19"/>
          <w:lang w:val="fr-FR"/>
        </w:rPr>
        <w:t>Montant à acquitter (par station) = A + B * C * D * E * F</w:t>
      </w:r>
    </w:p>
    <w:p w:rsidR="00B51759" w:rsidRPr="004B2881" w:rsidRDefault="00B51759" w:rsidP="00B51759">
      <w:pPr>
        <w:tabs>
          <w:tab w:val="left" w:pos="851"/>
        </w:tabs>
        <w:rPr>
          <w:lang w:val="fr-FR"/>
        </w:rPr>
      </w:pPr>
      <w:r w:rsidRPr="004B2881">
        <w:rPr>
          <w:b/>
          <w:lang w:val="fr-FR"/>
        </w:rPr>
        <w:tab/>
        <w:t>A = Montant de base</w:t>
      </w:r>
      <w:r w:rsidRPr="004B2881">
        <w:rPr>
          <w:lang w:val="fr-FR"/>
        </w:rPr>
        <w:t xml:space="preserve"> = 30 000 AED.</w:t>
      </w:r>
    </w:p>
    <w:p w:rsidR="00B51759" w:rsidRPr="004B2881" w:rsidRDefault="00B51759" w:rsidP="00B51759">
      <w:pPr>
        <w:tabs>
          <w:tab w:val="left" w:pos="851"/>
        </w:tabs>
        <w:ind w:left="851" w:hanging="851"/>
        <w:rPr>
          <w:lang w:val="fr-FR"/>
        </w:rPr>
      </w:pPr>
      <w:r w:rsidRPr="004B2881">
        <w:rPr>
          <w:lang w:val="fr-FR"/>
        </w:rPr>
        <w:tab/>
        <w:t>NOTE – Dans le cas d'un réseau à fréquence unique (RFU), le réseau complet est considéré comme étant un seul émetteur et le montant de base est facturé une fois pour ce réseau, tandis que le reste des droits à acquitter est facturé pour chaque station.</w:t>
      </w:r>
    </w:p>
    <w:p w:rsidR="00B51759" w:rsidRPr="004B2881" w:rsidRDefault="00B51759" w:rsidP="00B51759">
      <w:pPr>
        <w:tabs>
          <w:tab w:val="left" w:pos="851"/>
        </w:tabs>
        <w:ind w:left="851" w:hanging="851"/>
        <w:rPr>
          <w:lang w:val="fr-FR"/>
        </w:rPr>
      </w:pPr>
      <w:r w:rsidRPr="004B2881">
        <w:rPr>
          <w:b/>
          <w:lang w:val="fr-FR"/>
        </w:rPr>
        <w:tab/>
        <w:t xml:space="preserve">B = Facteur de puissance = </w:t>
      </w:r>
      <w:r w:rsidRPr="004B2881">
        <w:rPr>
          <w:lang w:val="fr-FR"/>
        </w:rPr>
        <w:t>La puissance, exprimée en kilowatts [kW], égale à la puissance émise par l'émetteur (en cas d'émission en ondes longues, moyennes ou courtes) et à la puissance apparente rayonnée (p.a.r.) dans tous les autres cas.</w:t>
      </w:r>
    </w:p>
    <w:p w:rsidR="005C2BFC" w:rsidRPr="004B2881" w:rsidRDefault="005C2BFC">
      <w:pPr>
        <w:tabs>
          <w:tab w:val="clear" w:pos="794"/>
          <w:tab w:val="clear" w:pos="1191"/>
          <w:tab w:val="clear" w:pos="1588"/>
          <w:tab w:val="clear" w:pos="1985"/>
        </w:tabs>
        <w:overflowPunct/>
        <w:autoSpaceDE/>
        <w:autoSpaceDN/>
        <w:adjustRightInd/>
        <w:spacing w:before="0"/>
        <w:jc w:val="left"/>
        <w:textAlignment w:val="auto"/>
        <w:rPr>
          <w:b/>
          <w:lang w:val="fr-FR"/>
        </w:rPr>
      </w:pPr>
      <w:r w:rsidRPr="004B2881">
        <w:rPr>
          <w:b/>
          <w:lang w:val="fr-FR"/>
        </w:rPr>
        <w:br w:type="page"/>
      </w:r>
    </w:p>
    <w:p w:rsidR="00B51759" w:rsidRPr="004B2881" w:rsidRDefault="00B51759" w:rsidP="00414AD5">
      <w:pPr>
        <w:tabs>
          <w:tab w:val="left" w:pos="851"/>
        </w:tabs>
        <w:spacing w:after="360"/>
        <w:rPr>
          <w:lang w:val="fr-FR"/>
        </w:rPr>
      </w:pPr>
      <w:r w:rsidRPr="004B2881">
        <w:rPr>
          <w:b/>
          <w:lang w:val="fr-FR"/>
        </w:rPr>
        <w:lastRenderedPageBreak/>
        <w:tab/>
        <w:t>C = C</w:t>
      </w:r>
      <w:r w:rsidR="00414AD5" w:rsidRPr="004B2881">
        <w:rPr>
          <w:b/>
          <w:lang w:val="fr-FR"/>
        </w:rPr>
        <w:t>oe</w:t>
      </w:r>
      <w:r w:rsidRPr="004B2881">
        <w:rPr>
          <w:b/>
          <w:lang w:val="fr-FR"/>
        </w:rPr>
        <w:t>fficient de type de service</w:t>
      </w:r>
      <w:r w:rsidRPr="004B2881">
        <w:rPr>
          <w:lang w:val="fr-FR"/>
        </w:rPr>
        <w:t>,</w:t>
      </w:r>
      <w:r w:rsidRPr="004B2881">
        <w:rPr>
          <w:b/>
          <w:lang w:val="fr-FR"/>
        </w:rPr>
        <w:t xml:space="preserve"> </w:t>
      </w:r>
      <w:r w:rsidR="00752E7F" w:rsidRPr="004B2881">
        <w:rPr>
          <w:lang w:val="fr-FR"/>
        </w:rPr>
        <w:t>comme suit:</w:t>
      </w:r>
    </w:p>
    <w:p w:rsidR="00752E7F" w:rsidRPr="004B2881" w:rsidRDefault="00752E7F" w:rsidP="00752E7F">
      <w:pPr>
        <w:pStyle w:val="FigureTitle"/>
        <w:rPr>
          <w:lang w:val="fr-FR"/>
        </w:rPr>
      </w:pPr>
      <w:r w:rsidRPr="004B2881">
        <w:rPr>
          <w:lang w:val="fr-FR"/>
        </w:rPr>
        <w:t>Table</w:t>
      </w:r>
      <w:r w:rsidR="00200C50" w:rsidRPr="004B2881">
        <w:rPr>
          <w:lang w:val="fr-FR"/>
        </w:rPr>
        <w:t>au</w:t>
      </w:r>
      <w:r w:rsidRPr="004B2881">
        <w:rPr>
          <w:lang w:val="fr-FR"/>
        </w:rPr>
        <w:t xml:space="preserve"> </w:t>
      </w:r>
      <w:r w:rsidR="0084368D" w:rsidRPr="004B2881">
        <w:rPr>
          <w:lang w:val="fr-FR"/>
        </w:rPr>
        <w:fldChar w:fldCharType="begin"/>
      </w:r>
      <w:r w:rsidR="00A53D32" w:rsidRPr="004B2881">
        <w:rPr>
          <w:lang w:val="fr-FR"/>
        </w:rPr>
        <w:instrText xml:space="preserve"> SEQ Figure \* ARABIC </w:instrText>
      </w:r>
      <w:r w:rsidR="0084368D" w:rsidRPr="004B2881">
        <w:rPr>
          <w:lang w:val="fr-FR"/>
        </w:rPr>
        <w:fldChar w:fldCharType="separate"/>
      </w:r>
      <w:r w:rsidR="003301EC" w:rsidRPr="004B2881">
        <w:rPr>
          <w:noProof/>
          <w:lang w:val="fr-FR"/>
        </w:rPr>
        <w:t>5</w:t>
      </w:r>
      <w:r w:rsidR="0084368D" w:rsidRPr="004B2881">
        <w:rPr>
          <w:lang w:val="fr-FR"/>
        </w:rPr>
        <w:fldChar w:fldCharType="end"/>
      </w:r>
      <w:r w:rsidRPr="004B2881">
        <w:rPr>
          <w:lang w:val="fr-FR"/>
        </w:rPr>
        <w:t xml:space="preserve"> – Définition des c</w:t>
      </w:r>
      <w:r w:rsidR="00516D75" w:rsidRPr="004B2881">
        <w:rPr>
          <w:lang w:val="fr-FR"/>
        </w:rPr>
        <w:t>oe</w:t>
      </w:r>
      <w:r w:rsidRPr="004B2881">
        <w:rPr>
          <w:lang w:val="fr-FR"/>
        </w:rPr>
        <w:t xml:space="preserve">fficients de type de service (C) pour les services de radiodiffusion sonore </w:t>
      </w:r>
    </w:p>
    <w:p w:rsidR="00752E7F" w:rsidRPr="004B2881" w:rsidRDefault="00752E7F" w:rsidP="00752E7F">
      <w:pPr>
        <w:rPr>
          <w:lang w:val="fr-FR"/>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752E7F" w:rsidRPr="004B2881" w:rsidTr="00F84A9A">
        <w:trPr>
          <w:trHeight w:val="397"/>
          <w:jc w:val="center"/>
        </w:trPr>
        <w:tc>
          <w:tcPr>
            <w:tcW w:w="7517" w:type="dxa"/>
            <w:gridSpan w:val="4"/>
            <w:tcBorders>
              <w:bottom w:val="single" w:sz="4" w:space="0" w:color="auto"/>
            </w:tcBorders>
            <w:shd w:val="clear" w:color="auto" w:fill="E6E6E6"/>
            <w:vAlign w:val="center"/>
          </w:tcPr>
          <w:p w:rsidR="00752E7F" w:rsidRPr="004B2881" w:rsidRDefault="00200C5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Service de radiodiffusion sonore</w:t>
            </w:r>
          </w:p>
        </w:tc>
      </w:tr>
      <w:tr w:rsidR="00752E7F" w:rsidRPr="004F63CA" w:rsidTr="00F84A9A">
        <w:trPr>
          <w:trHeight w:val="397"/>
          <w:jc w:val="center"/>
        </w:trPr>
        <w:tc>
          <w:tcPr>
            <w:tcW w:w="1572" w:type="dxa"/>
            <w:shd w:val="clear" w:color="auto" w:fill="E6E6E6"/>
            <w:vAlign w:val="center"/>
          </w:tcPr>
          <w:p w:rsidR="00752E7F" w:rsidRPr="004B2881" w:rsidRDefault="00200C5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Type de service</w:t>
            </w:r>
          </w:p>
        </w:tc>
        <w:tc>
          <w:tcPr>
            <w:tcW w:w="2496" w:type="dxa"/>
            <w:shd w:val="clear" w:color="auto" w:fill="E6E6E6"/>
            <w:vAlign w:val="center"/>
          </w:tcPr>
          <w:p w:rsidR="00752E7F" w:rsidRPr="004B2881" w:rsidRDefault="00200C5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Gamme de fréquences</w:t>
            </w:r>
          </w:p>
        </w:tc>
        <w:tc>
          <w:tcPr>
            <w:tcW w:w="1620" w:type="dxa"/>
            <w:shd w:val="clear" w:color="auto" w:fill="E6E6E6"/>
            <w:vAlign w:val="center"/>
          </w:tcPr>
          <w:p w:rsidR="00752E7F" w:rsidRPr="004B2881" w:rsidRDefault="00200C5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Largeur de bande</w:t>
            </w:r>
          </w:p>
        </w:tc>
        <w:tc>
          <w:tcPr>
            <w:tcW w:w="1829" w:type="dxa"/>
            <w:shd w:val="clear" w:color="auto" w:fill="E6E6E6"/>
            <w:vAlign w:val="center"/>
          </w:tcPr>
          <w:p w:rsidR="00752E7F" w:rsidRPr="004B2881" w:rsidRDefault="00200C50"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C</w:t>
            </w:r>
            <w:r w:rsidR="00516D75" w:rsidRPr="004B2881">
              <w:rPr>
                <w:rFonts w:asciiTheme="majorBidi" w:hAnsiTheme="majorBidi" w:cstheme="majorBidi"/>
                <w:szCs w:val="22"/>
                <w:lang w:val="fr-FR"/>
              </w:rPr>
              <w:t>oe</w:t>
            </w:r>
            <w:r w:rsidRPr="004B2881">
              <w:rPr>
                <w:rFonts w:asciiTheme="majorBidi" w:hAnsiTheme="majorBidi" w:cstheme="majorBidi"/>
                <w:szCs w:val="22"/>
                <w:lang w:val="fr-FR"/>
              </w:rPr>
              <w:t>fficient de type de service (C)</w:t>
            </w:r>
          </w:p>
        </w:tc>
      </w:tr>
      <w:tr w:rsidR="00752E7F" w:rsidRPr="004B2881" w:rsidTr="00F84A9A">
        <w:trPr>
          <w:trHeight w:val="368"/>
          <w:jc w:val="center"/>
        </w:trPr>
        <w:tc>
          <w:tcPr>
            <w:tcW w:w="1572" w:type="dxa"/>
            <w:vMerge w:val="restart"/>
          </w:tcPr>
          <w:p w:rsidR="00752E7F" w:rsidRPr="004B2881" w:rsidRDefault="00200C5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Ondes kilométriques/</w:t>
            </w:r>
            <w:r w:rsidRPr="004B2881">
              <w:rPr>
                <w:rFonts w:asciiTheme="majorBidi" w:hAnsiTheme="majorBidi" w:cstheme="majorBidi"/>
                <w:szCs w:val="22"/>
                <w:lang w:val="fr-FR"/>
              </w:rPr>
              <w:br/>
              <w:t>hectométriques</w:t>
            </w:r>
          </w:p>
        </w:tc>
        <w:tc>
          <w:tcPr>
            <w:tcW w:w="2496" w:type="dxa"/>
            <w:shd w:val="clear" w:color="auto" w:fill="auto"/>
          </w:tcPr>
          <w:p w:rsidR="00752E7F" w:rsidRPr="004B2881" w:rsidRDefault="00200C5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148,5-283,5 kHz</w:t>
            </w:r>
          </w:p>
        </w:tc>
        <w:tc>
          <w:tcPr>
            <w:tcW w:w="1620" w:type="dxa"/>
            <w:shd w:val="clear" w:color="auto" w:fill="auto"/>
          </w:tcPr>
          <w:p w:rsidR="00752E7F" w:rsidRPr="004B2881" w:rsidRDefault="00752E7F"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9 kHz</w:t>
            </w:r>
          </w:p>
        </w:tc>
        <w:tc>
          <w:tcPr>
            <w:tcW w:w="1829" w:type="dxa"/>
            <w:vMerge w:val="restart"/>
            <w:vAlign w:val="center"/>
          </w:tcPr>
          <w:p w:rsidR="00752E7F" w:rsidRPr="004B2881" w:rsidRDefault="00752E7F"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8</w:t>
            </w:r>
          </w:p>
        </w:tc>
      </w:tr>
      <w:tr w:rsidR="00752E7F" w:rsidRPr="004B2881" w:rsidTr="00F84A9A">
        <w:trPr>
          <w:jc w:val="center"/>
        </w:trPr>
        <w:tc>
          <w:tcPr>
            <w:tcW w:w="1572" w:type="dxa"/>
            <w:vMerge/>
          </w:tcPr>
          <w:p w:rsidR="00752E7F" w:rsidRPr="004B2881" w:rsidRDefault="00752E7F" w:rsidP="00F84A9A">
            <w:pPr>
              <w:pStyle w:val="Tabletext"/>
              <w:jc w:val="center"/>
              <w:rPr>
                <w:rFonts w:asciiTheme="majorBidi" w:hAnsiTheme="majorBidi" w:cstheme="majorBidi"/>
                <w:szCs w:val="22"/>
                <w:lang w:val="fr-FR"/>
              </w:rPr>
            </w:pPr>
          </w:p>
        </w:tc>
        <w:tc>
          <w:tcPr>
            <w:tcW w:w="2496" w:type="dxa"/>
            <w:shd w:val="clear" w:color="auto" w:fill="auto"/>
          </w:tcPr>
          <w:p w:rsidR="00752E7F" w:rsidRPr="004B2881" w:rsidRDefault="00200C5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526,5-1 606,5 kHz</w:t>
            </w:r>
          </w:p>
        </w:tc>
        <w:tc>
          <w:tcPr>
            <w:tcW w:w="1620" w:type="dxa"/>
            <w:shd w:val="clear" w:color="auto" w:fill="auto"/>
          </w:tcPr>
          <w:p w:rsidR="00752E7F" w:rsidRPr="004B2881" w:rsidRDefault="00752E7F"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9 kHz</w:t>
            </w:r>
          </w:p>
        </w:tc>
        <w:tc>
          <w:tcPr>
            <w:tcW w:w="1829" w:type="dxa"/>
            <w:vMerge/>
            <w:vAlign w:val="center"/>
          </w:tcPr>
          <w:p w:rsidR="00752E7F" w:rsidRPr="004B2881" w:rsidRDefault="00752E7F" w:rsidP="00F84A9A">
            <w:pPr>
              <w:pStyle w:val="Tabletext"/>
              <w:jc w:val="center"/>
              <w:rPr>
                <w:rFonts w:asciiTheme="majorBidi" w:hAnsiTheme="majorBidi" w:cstheme="majorBidi"/>
                <w:szCs w:val="22"/>
                <w:lang w:val="fr-FR"/>
              </w:rPr>
            </w:pPr>
          </w:p>
        </w:tc>
      </w:tr>
      <w:tr w:rsidR="00752E7F" w:rsidRPr="004B2881" w:rsidTr="00F84A9A">
        <w:trPr>
          <w:trHeight w:val="233"/>
          <w:jc w:val="center"/>
        </w:trPr>
        <w:tc>
          <w:tcPr>
            <w:tcW w:w="1572" w:type="dxa"/>
            <w:vMerge w:val="restart"/>
          </w:tcPr>
          <w:p w:rsidR="00752E7F" w:rsidRPr="004B2881" w:rsidRDefault="00200C5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Ondes métriques</w:t>
            </w:r>
          </w:p>
        </w:tc>
        <w:tc>
          <w:tcPr>
            <w:tcW w:w="2496" w:type="dxa"/>
            <w:shd w:val="clear" w:color="auto" w:fill="auto"/>
          </w:tcPr>
          <w:p w:rsidR="00752E7F" w:rsidRPr="004B2881" w:rsidRDefault="00200C5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87,5-108 MHz</w:t>
            </w:r>
          </w:p>
        </w:tc>
        <w:tc>
          <w:tcPr>
            <w:tcW w:w="1620" w:type="dxa"/>
            <w:shd w:val="clear" w:color="auto" w:fill="auto"/>
          </w:tcPr>
          <w:p w:rsidR="00752E7F" w:rsidRPr="004B2881" w:rsidRDefault="00752E7F"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200 kHz</w:t>
            </w:r>
          </w:p>
        </w:tc>
        <w:tc>
          <w:tcPr>
            <w:tcW w:w="1829" w:type="dxa"/>
          </w:tcPr>
          <w:p w:rsidR="00752E7F" w:rsidRPr="004B2881" w:rsidRDefault="00752E7F"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16</w:t>
            </w:r>
          </w:p>
        </w:tc>
      </w:tr>
      <w:tr w:rsidR="00752E7F" w:rsidRPr="004B2881" w:rsidTr="00F84A9A">
        <w:trPr>
          <w:trHeight w:val="305"/>
          <w:jc w:val="center"/>
        </w:trPr>
        <w:tc>
          <w:tcPr>
            <w:tcW w:w="1572" w:type="dxa"/>
            <w:vMerge/>
          </w:tcPr>
          <w:p w:rsidR="00752E7F" w:rsidRPr="004B2881" w:rsidDel="00192A8E" w:rsidRDefault="00752E7F" w:rsidP="00F84A9A">
            <w:pPr>
              <w:pStyle w:val="Tabletext"/>
              <w:jc w:val="center"/>
              <w:rPr>
                <w:rFonts w:asciiTheme="majorBidi" w:hAnsiTheme="majorBidi" w:cstheme="majorBidi"/>
                <w:szCs w:val="22"/>
                <w:lang w:val="fr-FR"/>
              </w:rPr>
            </w:pPr>
          </w:p>
        </w:tc>
        <w:tc>
          <w:tcPr>
            <w:tcW w:w="2496" w:type="dxa"/>
            <w:shd w:val="clear" w:color="auto" w:fill="auto"/>
          </w:tcPr>
          <w:p w:rsidR="00752E7F" w:rsidRPr="004B2881" w:rsidRDefault="00200C5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174-230 MHz</w:t>
            </w:r>
          </w:p>
        </w:tc>
        <w:tc>
          <w:tcPr>
            <w:tcW w:w="1620" w:type="dxa"/>
            <w:shd w:val="clear" w:color="auto" w:fill="auto"/>
          </w:tcPr>
          <w:p w:rsidR="00752E7F" w:rsidRPr="004B2881" w:rsidRDefault="00200C50"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1,536 MHz</w:t>
            </w:r>
          </w:p>
        </w:tc>
        <w:tc>
          <w:tcPr>
            <w:tcW w:w="1829" w:type="dxa"/>
          </w:tcPr>
          <w:p w:rsidR="00752E7F" w:rsidRPr="004B2881" w:rsidRDefault="00752E7F"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18</w:t>
            </w:r>
          </w:p>
        </w:tc>
      </w:tr>
    </w:tbl>
    <w:p w:rsidR="00752E7F" w:rsidRPr="004B2881" w:rsidRDefault="00752E7F" w:rsidP="00752E7F">
      <w:pPr>
        <w:pStyle w:val="FigureSource"/>
        <w:rPr>
          <w:lang w:val="fr-FR"/>
        </w:rPr>
      </w:pPr>
    </w:p>
    <w:p w:rsidR="00424D52" w:rsidRPr="004B2881" w:rsidRDefault="00424D52" w:rsidP="00424D52">
      <w:pPr>
        <w:rPr>
          <w:lang w:val="fr-FR"/>
        </w:rPr>
      </w:pPr>
    </w:p>
    <w:p w:rsidR="00424D52" w:rsidRPr="004B2881" w:rsidRDefault="00424D52" w:rsidP="00424D52">
      <w:pPr>
        <w:pStyle w:val="FigureTitle"/>
        <w:rPr>
          <w:lang w:val="fr-FR"/>
        </w:rPr>
      </w:pPr>
      <w:r w:rsidRPr="004B2881">
        <w:rPr>
          <w:lang w:val="fr-FR"/>
        </w:rPr>
        <w:t xml:space="preserve">Tableau </w:t>
      </w:r>
      <w:r w:rsidR="0084368D" w:rsidRPr="004B2881">
        <w:rPr>
          <w:lang w:val="fr-FR"/>
        </w:rPr>
        <w:fldChar w:fldCharType="begin"/>
      </w:r>
      <w:r w:rsidR="00A53D32" w:rsidRPr="004B2881">
        <w:rPr>
          <w:lang w:val="fr-FR"/>
        </w:rPr>
        <w:instrText xml:space="preserve"> SEQ Figure \* ARABIC </w:instrText>
      </w:r>
      <w:r w:rsidR="0084368D" w:rsidRPr="004B2881">
        <w:rPr>
          <w:lang w:val="fr-FR"/>
        </w:rPr>
        <w:fldChar w:fldCharType="separate"/>
      </w:r>
      <w:r w:rsidR="003301EC" w:rsidRPr="004B2881">
        <w:rPr>
          <w:noProof/>
          <w:lang w:val="fr-FR"/>
        </w:rPr>
        <w:t>6</w:t>
      </w:r>
      <w:r w:rsidR="0084368D" w:rsidRPr="004B2881">
        <w:rPr>
          <w:lang w:val="fr-FR"/>
        </w:rPr>
        <w:fldChar w:fldCharType="end"/>
      </w:r>
      <w:r w:rsidRPr="004B2881">
        <w:rPr>
          <w:lang w:val="fr-FR"/>
        </w:rPr>
        <w:t xml:space="preserve"> – Définition des c</w:t>
      </w:r>
      <w:r w:rsidR="00516D75" w:rsidRPr="004B2881">
        <w:rPr>
          <w:lang w:val="fr-FR"/>
        </w:rPr>
        <w:t>oe</w:t>
      </w:r>
      <w:r w:rsidRPr="004B2881">
        <w:rPr>
          <w:lang w:val="fr-FR"/>
        </w:rPr>
        <w:t>fficients de type de service (C) pour les services de radiodiffusion télévisuelle</w:t>
      </w:r>
    </w:p>
    <w:p w:rsidR="00424D52" w:rsidRPr="004B2881" w:rsidRDefault="00424D52" w:rsidP="00424D52">
      <w:pPr>
        <w:rPr>
          <w:lang w:val="fr-FR"/>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515"/>
        <w:gridCol w:w="1443"/>
        <w:gridCol w:w="2117"/>
      </w:tblGrid>
      <w:tr w:rsidR="0066622E" w:rsidRPr="004B2881" w:rsidTr="00F84A9A">
        <w:trPr>
          <w:trHeight w:val="397"/>
          <w:jc w:val="center"/>
        </w:trPr>
        <w:tc>
          <w:tcPr>
            <w:tcW w:w="7631" w:type="dxa"/>
            <w:gridSpan w:val="4"/>
            <w:tcBorders>
              <w:bottom w:val="single" w:sz="4" w:space="0" w:color="auto"/>
            </w:tcBorders>
            <w:shd w:val="clear" w:color="auto" w:fill="E6E6E6"/>
            <w:vAlign w:val="center"/>
          </w:tcPr>
          <w:p w:rsidR="0066622E" w:rsidRPr="004B2881" w:rsidRDefault="0066622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Service de radiodiffusion télévisuelle</w:t>
            </w:r>
          </w:p>
        </w:tc>
      </w:tr>
      <w:tr w:rsidR="0066622E" w:rsidRPr="004F63CA" w:rsidTr="00F84A9A">
        <w:trPr>
          <w:trHeight w:val="397"/>
          <w:jc w:val="center"/>
        </w:trPr>
        <w:tc>
          <w:tcPr>
            <w:tcW w:w="1556" w:type="dxa"/>
            <w:shd w:val="clear" w:color="auto" w:fill="E6E6E6"/>
            <w:vAlign w:val="center"/>
          </w:tcPr>
          <w:p w:rsidR="0066622E" w:rsidRPr="004B2881" w:rsidRDefault="0066622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Type de service</w:t>
            </w:r>
          </w:p>
        </w:tc>
        <w:tc>
          <w:tcPr>
            <w:tcW w:w="2515" w:type="dxa"/>
            <w:shd w:val="clear" w:color="auto" w:fill="E6E6E6"/>
            <w:vAlign w:val="center"/>
          </w:tcPr>
          <w:p w:rsidR="0066622E" w:rsidRPr="004B2881" w:rsidRDefault="0066622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Gamme de fréquences</w:t>
            </w:r>
          </w:p>
        </w:tc>
        <w:tc>
          <w:tcPr>
            <w:tcW w:w="1443" w:type="dxa"/>
            <w:shd w:val="clear" w:color="auto" w:fill="E6E6E6"/>
            <w:vAlign w:val="center"/>
          </w:tcPr>
          <w:p w:rsidR="0066622E" w:rsidRPr="004B2881" w:rsidRDefault="0066622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Largeur de bande</w:t>
            </w:r>
          </w:p>
        </w:tc>
        <w:tc>
          <w:tcPr>
            <w:tcW w:w="2117" w:type="dxa"/>
            <w:shd w:val="clear" w:color="auto" w:fill="E6E6E6"/>
            <w:vAlign w:val="center"/>
          </w:tcPr>
          <w:p w:rsidR="0066622E" w:rsidRPr="004B2881" w:rsidRDefault="0066622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C</w:t>
            </w:r>
            <w:r w:rsidR="00516D75" w:rsidRPr="004B2881">
              <w:rPr>
                <w:rFonts w:asciiTheme="majorBidi" w:hAnsiTheme="majorBidi" w:cstheme="majorBidi"/>
                <w:szCs w:val="22"/>
                <w:lang w:val="fr-FR"/>
              </w:rPr>
              <w:t>oe</w:t>
            </w:r>
            <w:r w:rsidRPr="004B2881">
              <w:rPr>
                <w:rFonts w:asciiTheme="majorBidi" w:hAnsiTheme="majorBidi" w:cstheme="majorBidi"/>
                <w:szCs w:val="22"/>
                <w:lang w:val="fr-FR"/>
              </w:rPr>
              <w:t>fficient de type de service (C)</w:t>
            </w:r>
          </w:p>
        </w:tc>
      </w:tr>
      <w:tr w:rsidR="0066622E" w:rsidRPr="004B2881" w:rsidTr="00F84A9A">
        <w:trPr>
          <w:jc w:val="center"/>
        </w:trPr>
        <w:tc>
          <w:tcPr>
            <w:tcW w:w="1556" w:type="dxa"/>
            <w:vMerge w:val="restart"/>
            <w:shd w:val="clear" w:color="auto" w:fill="auto"/>
            <w:vAlign w:val="center"/>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Ondes métriques</w:t>
            </w:r>
          </w:p>
        </w:tc>
        <w:tc>
          <w:tcPr>
            <w:tcW w:w="2515" w:type="dxa"/>
            <w:shd w:val="clear" w:color="auto" w:fill="auto"/>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47-68 MHz</w:t>
            </w:r>
          </w:p>
        </w:tc>
        <w:tc>
          <w:tcPr>
            <w:tcW w:w="1443" w:type="dxa"/>
            <w:vMerge w:val="restart"/>
            <w:shd w:val="clear" w:color="auto" w:fill="auto"/>
            <w:vAlign w:val="center"/>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7 MHz</w:t>
            </w:r>
          </w:p>
        </w:tc>
        <w:tc>
          <w:tcPr>
            <w:tcW w:w="2117" w:type="dxa"/>
            <w:vMerge w:val="restart"/>
            <w:vAlign w:val="center"/>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24</w:t>
            </w:r>
          </w:p>
        </w:tc>
      </w:tr>
      <w:tr w:rsidR="0066622E" w:rsidRPr="004B2881" w:rsidTr="00F84A9A">
        <w:trPr>
          <w:trHeight w:val="377"/>
          <w:jc w:val="center"/>
        </w:trPr>
        <w:tc>
          <w:tcPr>
            <w:tcW w:w="1556" w:type="dxa"/>
            <w:vMerge/>
            <w:shd w:val="clear" w:color="auto" w:fill="auto"/>
          </w:tcPr>
          <w:p w:rsidR="0066622E" w:rsidRPr="004B2881" w:rsidRDefault="0066622E" w:rsidP="00F84A9A">
            <w:pPr>
              <w:pStyle w:val="Tabletext"/>
              <w:jc w:val="center"/>
              <w:rPr>
                <w:rFonts w:asciiTheme="majorBidi" w:hAnsiTheme="majorBidi" w:cstheme="majorBidi"/>
                <w:szCs w:val="22"/>
                <w:lang w:val="fr-FR"/>
              </w:rPr>
            </w:pPr>
          </w:p>
        </w:tc>
        <w:tc>
          <w:tcPr>
            <w:tcW w:w="2515" w:type="dxa"/>
            <w:shd w:val="clear" w:color="auto" w:fill="auto"/>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174-230 MHz</w:t>
            </w:r>
          </w:p>
        </w:tc>
        <w:tc>
          <w:tcPr>
            <w:tcW w:w="1443" w:type="dxa"/>
            <w:vMerge/>
            <w:shd w:val="clear" w:color="auto" w:fill="auto"/>
            <w:vAlign w:val="center"/>
          </w:tcPr>
          <w:p w:rsidR="0066622E" w:rsidRPr="004B2881" w:rsidRDefault="0066622E" w:rsidP="00F84A9A">
            <w:pPr>
              <w:pStyle w:val="Tabletext"/>
              <w:jc w:val="center"/>
              <w:rPr>
                <w:rFonts w:asciiTheme="majorBidi" w:hAnsiTheme="majorBidi" w:cstheme="majorBidi"/>
                <w:szCs w:val="22"/>
                <w:lang w:val="fr-FR"/>
              </w:rPr>
            </w:pPr>
          </w:p>
        </w:tc>
        <w:tc>
          <w:tcPr>
            <w:tcW w:w="2117" w:type="dxa"/>
            <w:vMerge/>
          </w:tcPr>
          <w:p w:rsidR="0066622E" w:rsidRPr="004B2881" w:rsidRDefault="0066622E" w:rsidP="00F84A9A">
            <w:pPr>
              <w:pStyle w:val="Tabletext"/>
              <w:jc w:val="center"/>
              <w:rPr>
                <w:rFonts w:asciiTheme="majorBidi" w:hAnsiTheme="majorBidi" w:cstheme="majorBidi"/>
                <w:szCs w:val="22"/>
                <w:lang w:val="fr-FR"/>
              </w:rPr>
            </w:pPr>
          </w:p>
        </w:tc>
      </w:tr>
      <w:tr w:rsidR="0066622E" w:rsidRPr="004B2881" w:rsidTr="00F84A9A">
        <w:trPr>
          <w:trHeight w:val="485"/>
          <w:jc w:val="center"/>
        </w:trPr>
        <w:tc>
          <w:tcPr>
            <w:tcW w:w="1556" w:type="dxa"/>
            <w:shd w:val="clear" w:color="auto" w:fill="auto"/>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Ondes décimétriques</w:t>
            </w:r>
          </w:p>
        </w:tc>
        <w:tc>
          <w:tcPr>
            <w:tcW w:w="2515" w:type="dxa"/>
            <w:shd w:val="clear" w:color="auto" w:fill="auto"/>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470-862 MHz</w:t>
            </w:r>
          </w:p>
        </w:tc>
        <w:tc>
          <w:tcPr>
            <w:tcW w:w="1443" w:type="dxa"/>
            <w:shd w:val="clear" w:color="auto" w:fill="auto"/>
            <w:vAlign w:val="center"/>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8 MHz</w:t>
            </w:r>
          </w:p>
        </w:tc>
        <w:tc>
          <w:tcPr>
            <w:tcW w:w="2117" w:type="dxa"/>
          </w:tcPr>
          <w:p w:rsidR="0066622E" w:rsidRPr="004B2881" w:rsidRDefault="0066622E"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36</w:t>
            </w:r>
          </w:p>
        </w:tc>
      </w:tr>
    </w:tbl>
    <w:p w:rsidR="00424D52" w:rsidRPr="004B2881" w:rsidRDefault="00424D52" w:rsidP="00424D52">
      <w:pPr>
        <w:pStyle w:val="FigureSource"/>
        <w:rPr>
          <w:lang w:val="fr-FR"/>
        </w:rPr>
      </w:pPr>
    </w:p>
    <w:p w:rsidR="00120BFC" w:rsidRPr="004B2881" w:rsidRDefault="00120BFC">
      <w:pPr>
        <w:tabs>
          <w:tab w:val="clear" w:pos="794"/>
          <w:tab w:val="clear" w:pos="1191"/>
          <w:tab w:val="clear" w:pos="1588"/>
          <w:tab w:val="clear" w:pos="1985"/>
        </w:tabs>
        <w:overflowPunct/>
        <w:autoSpaceDE/>
        <w:autoSpaceDN/>
        <w:adjustRightInd/>
        <w:spacing w:before="0"/>
        <w:jc w:val="left"/>
        <w:textAlignment w:val="auto"/>
        <w:rPr>
          <w:b/>
          <w:lang w:val="fr-FR"/>
        </w:rPr>
      </w:pPr>
      <w:r w:rsidRPr="004B2881">
        <w:rPr>
          <w:b/>
          <w:lang w:val="fr-FR"/>
        </w:rPr>
        <w:br w:type="page"/>
      </w:r>
    </w:p>
    <w:p w:rsidR="00B51759" w:rsidRPr="004B2881" w:rsidRDefault="00B51759" w:rsidP="00120BFC">
      <w:pPr>
        <w:spacing w:after="120"/>
        <w:ind w:left="1599" w:hanging="159"/>
        <w:rPr>
          <w:b/>
          <w:lang w:val="fr-FR"/>
        </w:rPr>
      </w:pPr>
      <w:r w:rsidRPr="004B2881">
        <w:rPr>
          <w:b/>
          <w:lang w:val="fr-FR"/>
        </w:rPr>
        <w:lastRenderedPageBreak/>
        <w:t>D = C</w:t>
      </w:r>
      <w:r w:rsidR="00516D75" w:rsidRPr="004B2881">
        <w:rPr>
          <w:b/>
          <w:lang w:val="fr-FR"/>
        </w:rPr>
        <w:t>oe</w:t>
      </w:r>
      <w:r w:rsidRPr="004B2881">
        <w:rPr>
          <w:b/>
          <w:lang w:val="fr-FR"/>
        </w:rPr>
        <w:t>fficient de zone de service, comme suit:</w:t>
      </w:r>
    </w:p>
    <w:p w:rsidR="00E17384" w:rsidRPr="004B2881" w:rsidRDefault="00E17384" w:rsidP="00C50A49">
      <w:pPr>
        <w:pStyle w:val="FigureTitle"/>
        <w:rPr>
          <w:lang w:val="fr-FR"/>
        </w:rPr>
      </w:pPr>
      <w:r w:rsidRPr="004B2881">
        <w:rPr>
          <w:lang w:val="fr-FR"/>
        </w:rPr>
        <w:t xml:space="preserve">Tableau </w:t>
      </w:r>
      <w:r w:rsidR="0084368D" w:rsidRPr="004B2881">
        <w:rPr>
          <w:lang w:val="fr-FR"/>
        </w:rPr>
        <w:fldChar w:fldCharType="begin"/>
      </w:r>
      <w:r w:rsidR="00A53D32" w:rsidRPr="004B2881">
        <w:rPr>
          <w:lang w:val="fr-FR"/>
        </w:rPr>
        <w:instrText xml:space="preserve"> SEQ Figure \* ARABIC </w:instrText>
      </w:r>
      <w:r w:rsidR="0084368D" w:rsidRPr="004B2881">
        <w:rPr>
          <w:lang w:val="fr-FR"/>
        </w:rPr>
        <w:fldChar w:fldCharType="separate"/>
      </w:r>
      <w:r w:rsidR="003301EC" w:rsidRPr="004B2881">
        <w:rPr>
          <w:noProof/>
          <w:lang w:val="fr-FR"/>
        </w:rPr>
        <w:t>7</w:t>
      </w:r>
      <w:r w:rsidR="0084368D" w:rsidRPr="004B2881">
        <w:rPr>
          <w:lang w:val="fr-FR"/>
        </w:rPr>
        <w:fldChar w:fldCharType="end"/>
      </w:r>
      <w:r w:rsidRPr="004B2881">
        <w:rPr>
          <w:lang w:val="fr-FR"/>
        </w:rPr>
        <w:t xml:space="preserve"> – </w:t>
      </w:r>
      <w:r w:rsidR="00C50A49" w:rsidRPr="004B2881">
        <w:rPr>
          <w:lang w:val="fr-FR"/>
        </w:rPr>
        <w:t>Définition des c</w:t>
      </w:r>
      <w:r w:rsidR="00516D75" w:rsidRPr="004B2881">
        <w:rPr>
          <w:lang w:val="fr-FR"/>
        </w:rPr>
        <w:t>oe</w:t>
      </w:r>
      <w:r w:rsidR="00C50A49" w:rsidRPr="004B2881">
        <w:rPr>
          <w:lang w:val="fr-FR"/>
        </w:rPr>
        <w:t>fficients de zone de service (D)</w:t>
      </w:r>
    </w:p>
    <w:p w:rsidR="00E17384" w:rsidRPr="004B2881" w:rsidRDefault="00E17384" w:rsidP="00E17384">
      <w:pPr>
        <w:rPr>
          <w:lang w:val="fr-FR"/>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2C76FE" w:rsidRPr="004B2881" w:rsidTr="00F84A9A">
        <w:trPr>
          <w:trHeight w:val="680"/>
        </w:trPr>
        <w:tc>
          <w:tcPr>
            <w:tcW w:w="1713" w:type="dxa"/>
            <w:shd w:val="clear" w:color="auto" w:fill="E6E6E6"/>
            <w:vAlign w:val="center"/>
          </w:tcPr>
          <w:p w:rsidR="002C76FE" w:rsidRPr="004B2881" w:rsidRDefault="002C76F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C</w:t>
            </w:r>
            <w:r w:rsidR="00516D75" w:rsidRPr="004B2881">
              <w:rPr>
                <w:rFonts w:asciiTheme="majorBidi" w:hAnsiTheme="majorBidi" w:cstheme="majorBidi"/>
                <w:szCs w:val="22"/>
                <w:lang w:val="fr-FR"/>
              </w:rPr>
              <w:t>oe</w:t>
            </w:r>
            <w:r w:rsidRPr="004B2881">
              <w:rPr>
                <w:rFonts w:asciiTheme="majorBidi" w:hAnsiTheme="majorBidi" w:cstheme="majorBidi"/>
                <w:szCs w:val="22"/>
                <w:lang w:val="fr-FR"/>
              </w:rPr>
              <w:t>fficient de zone de service (D)</w:t>
            </w:r>
          </w:p>
        </w:tc>
        <w:tc>
          <w:tcPr>
            <w:tcW w:w="2807" w:type="dxa"/>
            <w:shd w:val="clear" w:color="auto" w:fill="E6E6E6"/>
            <w:vAlign w:val="center"/>
          </w:tcPr>
          <w:p w:rsidR="002C76FE" w:rsidRPr="004B2881" w:rsidRDefault="002C76F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Zone de service</w:t>
            </w:r>
          </w:p>
        </w:tc>
        <w:tc>
          <w:tcPr>
            <w:tcW w:w="2628" w:type="dxa"/>
            <w:shd w:val="clear" w:color="auto" w:fill="E6E6E6"/>
            <w:vAlign w:val="center"/>
          </w:tcPr>
          <w:p w:rsidR="002C76FE" w:rsidRPr="004B2881" w:rsidRDefault="002C76FE" w:rsidP="00F84A9A">
            <w:pPr>
              <w:pStyle w:val="Tablehead"/>
              <w:rPr>
                <w:rFonts w:asciiTheme="majorBidi" w:hAnsiTheme="majorBidi" w:cstheme="majorBidi"/>
                <w:szCs w:val="22"/>
                <w:lang w:val="fr-FR"/>
              </w:rPr>
            </w:pPr>
            <w:r w:rsidRPr="004B2881">
              <w:rPr>
                <w:rFonts w:asciiTheme="majorBidi" w:hAnsiTheme="majorBidi" w:cstheme="majorBidi"/>
                <w:szCs w:val="22"/>
                <w:lang w:val="fr-FR"/>
              </w:rPr>
              <w:t>Coordonnées</w:t>
            </w:r>
          </w:p>
        </w:tc>
      </w:tr>
      <w:tr w:rsidR="002C76FE" w:rsidRPr="004B2881" w:rsidTr="00F84A9A">
        <w:trPr>
          <w:trHeight w:val="1142"/>
        </w:trPr>
        <w:tc>
          <w:tcPr>
            <w:tcW w:w="1713" w:type="dxa"/>
            <w:vMerge w:val="restart"/>
          </w:tcPr>
          <w:p w:rsidR="002C76FE" w:rsidRPr="004B2881" w:rsidRDefault="002C76FE" w:rsidP="00F84A9A">
            <w:pPr>
              <w:pStyle w:val="Tabletext"/>
              <w:rPr>
                <w:rFonts w:asciiTheme="majorBidi" w:hAnsiTheme="majorBidi" w:cstheme="majorBidi"/>
                <w:b/>
                <w:bCs/>
                <w:szCs w:val="22"/>
                <w:lang w:val="fr-FR" w:eastAsia="de-DE"/>
              </w:rPr>
            </w:pPr>
            <w:r w:rsidRPr="004B2881">
              <w:rPr>
                <w:rFonts w:asciiTheme="majorBidi" w:hAnsiTheme="majorBidi" w:cstheme="majorBidi"/>
                <w:b/>
                <w:bCs/>
                <w:szCs w:val="22"/>
                <w:lang w:val="fr-FR" w:eastAsia="de-DE"/>
              </w:rPr>
              <w:t>1,00 (élevé)</w:t>
            </w:r>
          </w:p>
        </w:tc>
        <w:tc>
          <w:tcPr>
            <w:tcW w:w="2807" w:type="dxa"/>
          </w:tcPr>
          <w:p w:rsidR="002C76FE" w:rsidRPr="004B2881" w:rsidRDefault="002C76FE" w:rsidP="002C76FE">
            <w:pPr>
              <w:pStyle w:val="Tabletext"/>
              <w:jc w:val="left"/>
              <w:rPr>
                <w:rFonts w:asciiTheme="majorBidi" w:hAnsiTheme="majorBidi" w:cstheme="majorBidi"/>
                <w:szCs w:val="22"/>
                <w:lang w:val="fr-FR" w:eastAsia="de-DE"/>
              </w:rPr>
            </w:pPr>
            <w:r w:rsidRPr="004B2881">
              <w:rPr>
                <w:rFonts w:asciiTheme="majorBidi" w:hAnsiTheme="majorBidi" w:cstheme="majorBidi"/>
                <w:szCs w:val="22"/>
                <w:lang w:val="fr-FR" w:eastAsia="de-DE"/>
              </w:rPr>
              <w:t>Ville d'Abu Dhabi et environs</w:t>
            </w:r>
          </w:p>
        </w:tc>
        <w:tc>
          <w:tcPr>
            <w:tcW w:w="2628" w:type="dxa"/>
          </w:tcPr>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54° 30' E – 24° 45'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45'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05' N</w:t>
            </w:r>
          </w:p>
          <w:p w:rsidR="002C76FE" w:rsidRPr="004B2881" w:rsidRDefault="002C76FE"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54° 00' E – 24° 20' N</w:t>
            </w:r>
          </w:p>
        </w:tc>
      </w:tr>
      <w:tr w:rsidR="002C76FE" w:rsidRPr="004B2881" w:rsidTr="00F84A9A">
        <w:trPr>
          <w:trHeight w:val="1250"/>
        </w:trPr>
        <w:tc>
          <w:tcPr>
            <w:tcW w:w="1713" w:type="dxa"/>
            <w:vMerge/>
          </w:tcPr>
          <w:p w:rsidR="002C76FE" w:rsidRPr="004B2881" w:rsidRDefault="002C76FE" w:rsidP="00F84A9A">
            <w:pPr>
              <w:pStyle w:val="Tabletext"/>
              <w:rPr>
                <w:rFonts w:asciiTheme="majorBidi" w:hAnsiTheme="majorBidi" w:cstheme="majorBidi"/>
                <w:szCs w:val="22"/>
                <w:lang w:val="fr-FR"/>
              </w:rPr>
            </w:pPr>
          </w:p>
        </w:tc>
        <w:tc>
          <w:tcPr>
            <w:tcW w:w="2807" w:type="dxa"/>
          </w:tcPr>
          <w:p w:rsidR="002C76FE" w:rsidRPr="004B2881" w:rsidRDefault="002C76FE" w:rsidP="002C76FE">
            <w:pPr>
              <w:pStyle w:val="Tabletext"/>
              <w:jc w:val="left"/>
              <w:rPr>
                <w:rFonts w:asciiTheme="majorBidi" w:hAnsiTheme="majorBidi" w:cstheme="majorBidi"/>
                <w:szCs w:val="22"/>
                <w:lang w:val="fr-FR"/>
              </w:rPr>
            </w:pPr>
            <w:r w:rsidRPr="004B2881">
              <w:rPr>
                <w:rFonts w:asciiTheme="majorBidi" w:hAnsiTheme="majorBidi" w:cstheme="majorBidi"/>
                <w:szCs w:val="22"/>
                <w:lang w:val="fr-FR"/>
              </w:rPr>
              <w:t>Villes de Dubaï, Sharjah, Ajman et Umm Al Qaiwain et environs</w:t>
            </w:r>
          </w:p>
        </w:tc>
        <w:tc>
          <w:tcPr>
            <w:tcW w:w="2628" w:type="dxa"/>
          </w:tcPr>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25° 40'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55' E – 25° 20'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45' N</w:t>
            </w:r>
          </w:p>
          <w:p w:rsidR="002C76FE" w:rsidRPr="004B2881" w:rsidRDefault="002C76FE"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54° 30' E – 24° 45' N</w:t>
            </w:r>
          </w:p>
        </w:tc>
      </w:tr>
      <w:tr w:rsidR="002C76FE" w:rsidRPr="004B2881" w:rsidTr="00F84A9A">
        <w:trPr>
          <w:trHeight w:val="1250"/>
        </w:trPr>
        <w:tc>
          <w:tcPr>
            <w:tcW w:w="1713" w:type="dxa"/>
            <w:vMerge/>
          </w:tcPr>
          <w:p w:rsidR="002C76FE" w:rsidRPr="004B2881" w:rsidRDefault="002C76FE" w:rsidP="00F84A9A">
            <w:pPr>
              <w:pStyle w:val="Tabletext"/>
              <w:rPr>
                <w:rFonts w:asciiTheme="majorBidi" w:hAnsiTheme="majorBidi" w:cstheme="majorBidi"/>
                <w:szCs w:val="22"/>
                <w:lang w:val="fr-FR"/>
              </w:rPr>
            </w:pPr>
          </w:p>
        </w:tc>
        <w:tc>
          <w:tcPr>
            <w:tcW w:w="2807" w:type="dxa"/>
          </w:tcPr>
          <w:p w:rsidR="002C76FE" w:rsidRPr="004B2881" w:rsidRDefault="002C76FE" w:rsidP="002C76FE">
            <w:pPr>
              <w:pStyle w:val="Tabletext"/>
              <w:jc w:val="left"/>
              <w:rPr>
                <w:rFonts w:asciiTheme="majorBidi" w:hAnsiTheme="majorBidi" w:cstheme="majorBidi"/>
                <w:szCs w:val="22"/>
                <w:lang w:val="fr-FR"/>
              </w:rPr>
            </w:pPr>
            <w:r w:rsidRPr="004B2881">
              <w:rPr>
                <w:rFonts w:asciiTheme="majorBidi" w:hAnsiTheme="majorBidi" w:cstheme="majorBidi"/>
                <w:szCs w:val="22"/>
                <w:lang w:val="fr-FR" w:eastAsia="de-DE"/>
              </w:rPr>
              <w:t>Ville de Al Ain et environs</w:t>
            </w:r>
          </w:p>
        </w:tc>
        <w:tc>
          <w:tcPr>
            <w:tcW w:w="2628" w:type="dxa"/>
          </w:tcPr>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24° 20'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50' E – 24° 20'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50' E – 24° 00' N</w:t>
            </w:r>
          </w:p>
          <w:p w:rsidR="002C76FE" w:rsidRPr="004B2881" w:rsidRDefault="002C76FE"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55° 30' E – 24° 00' N</w:t>
            </w:r>
          </w:p>
        </w:tc>
      </w:tr>
      <w:tr w:rsidR="002C76FE" w:rsidRPr="004B2881" w:rsidTr="00F84A9A">
        <w:trPr>
          <w:trHeight w:val="1250"/>
        </w:trPr>
        <w:tc>
          <w:tcPr>
            <w:tcW w:w="1713" w:type="dxa"/>
            <w:vMerge w:val="restart"/>
          </w:tcPr>
          <w:p w:rsidR="002C76FE" w:rsidRPr="004B2881" w:rsidRDefault="002C76FE" w:rsidP="00F84A9A">
            <w:pPr>
              <w:pStyle w:val="Tabletext"/>
              <w:rPr>
                <w:rFonts w:asciiTheme="majorBidi" w:hAnsiTheme="majorBidi" w:cstheme="majorBidi"/>
                <w:b/>
                <w:bCs/>
                <w:szCs w:val="22"/>
                <w:lang w:val="fr-FR"/>
              </w:rPr>
            </w:pPr>
            <w:r w:rsidRPr="004B2881">
              <w:rPr>
                <w:rFonts w:asciiTheme="majorBidi" w:hAnsiTheme="majorBidi" w:cstheme="majorBidi"/>
                <w:b/>
                <w:bCs/>
                <w:szCs w:val="22"/>
                <w:lang w:val="fr-FR"/>
              </w:rPr>
              <w:t>0,75 (moyen)</w:t>
            </w:r>
          </w:p>
        </w:tc>
        <w:tc>
          <w:tcPr>
            <w:tcW w:w="2807" w:type="dxa"/>
          </w:tcPr>
          <w:p w:rsidR="002C76FE" w:rsidRPr="004B2881" w:rsidRDefault="002C76FE" w:rsidP="002C76FE">
            <w:pPr>
              <w:pStyle w:val="Tabletext"/>
              <w:jc w:val="left"/>
              <w:rPr>
                <w:rFonts w:asciiTheme="majorBidi" w:hAnsiTheme="majorBidi" w:cstheme="majorBidi"/>
                <w:szCs w:val="22"/>
                <w:lang w:val="fr-FR"/>
              </w:rPr>
            </w:pPr>
            <w:r w:rsidRPr="004B2881">
              <w:rPr>
                <w:rFonts w:asciiTheme="majorBidi" w:hAnsiTheme="majorBidi" w:cstheme="majorBidi"/>
                <w:szCs w:val="22"/>
                <w:lang w:val="fr-FR"/>
              </w:rPr>
              <w:t xml:space="preserve">Zone entre Abu Dhabi et Al Ain </w:t>
            </w:r>
          </w:p>
        </w:tc>
        <w:tc>
          <w:tcPr>
            <w:tcW w:w="2628" w:type="dxa"/>
          </w:tcPr>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00' E – 24° 20'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24° 20'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24° 00' N</w:t>
            </w:r>
          </w:p>
          <w:p w:rsidR="002C76FE" w:rsidRPr="004B2881" w:rsidRDefault="002C76FE"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55° 00' E – 24° 05' N</w:t>
            </w:r>
          </w:p>
        </w:tc>
      </w:tr>
      <w:tr w:rsidR="002C76FE" w:rsidRPr="004B2881" w:rsidTr="00F84A9A">
        <w:trPr>
          <w:trHeight w:val="1430"/>
        </w:trPr>
        <w:tc>
          <w:tcPr>
            <w:tcW w:w="1713" w:type="dxa"/>
            <w:vMerge/>
          </w:tcPr>
          <w:p w:rsidR="002C76FE" w:rsidRPr="004B2881" w:rsidRDefault="002C76FE" w:rsidP="00F84A9A">
            <w:pPr>
              <w:pStyle w:val="Tabletext"/>
              <w:rPr>
                <w:rFonts w:asciiTheme="majorBidi" w:hAnsiTheme="majorBidi" w:cstheme="majorBidi"/>
                <w:szCs w:val="22"/>
                <w:lang w:val="fr-FR"/>
              </w:rPr>
            </w:pPr>
          </w:p>
        </w:tc>
        <w:tc>
          <w:tcPr>
            <w:tcW w:w="2807" w:type="dxa"/>
          </w:tcPr>
          <w:p w:rsidR="002C76FE" w:rsidRPr="004B2881" w:rsidRDefault="002C76FE" w:rsidP="002C76FE">
            <w:pPr>
              <w:pStyle w:val="Tabletext"/>
              <w:jc w:val="left"/>
              <w:rPr>
                <w:rFonts w:asciiTheme="majorBidi" w:hAnsiTheme="majorBidi" w:cstheme="majorBidi"/>
                <w:szCs w:val="22"/>
                <w:lang w:val="fr-FR" w:eastAsia="de-DE"/>
              </w:rPr>
            </w:pPr>
            <w:r w:rsidRPr="004B2881">
              <w:rPr>
                <w:rFonts w:asciiTheme="majorBidi" w:hAnsiTheme="majorBidi" w:cstheme="majorBidi"/>
                <w:szCs w:val="22"/>
                <w:lang w:val="fr-FR" w:eastAsia="de-DE"/>
              </w:rPr>
              <w:t xml:space="preserve">Ville de Fujairah </w:t>
            </w:r>
            <w:r w:rsidRPr="004B2881">
              <w:rPr>
                <w:rFonts w:asciiTheme="majorBidi" w:hAnsiTheme="majorBidi" w:cstheme="majorBidi"/>
                <w:szCs w:val="22"/>
                <w:lang w:val="fr-FR"/>
              </w:rPr>
              <w:t>et environs</w:t>
            </w:r>
          </w:p>
        </w:tc>
        <w:tc>
          <w:tcPr>
            <w:tcW w:w="2628" w:type="dxa"/>
            <w:vAlign w:val="center"/>
          </w:tcPr>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15' E – 25° 15'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25' E – 25° 15'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25' E – 25° 00' N</w:t>
            </w:r>
          </w:p>
          <w:p w:rsidR="002C76FE" w:rsidRPr="004B2881" w:rsidRDefault="002C76FE"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56° 15' E – 25° 00' N</w:t>
            </w:r>
          </w:p>
        </w:tc>
      </w:tr>
      <w:tr w:rsidR="002C76FE" w:rsidRPr="004B2881" w:rsidTr="00F84A9A">
        <w:trPr>
          <w:trHeight w:val="1250"/>
        </w:trPr>
        <w:tc>
          <w:tcPr>
            <w:tcW w:w="1713" w:type="dxa"/>
            <w:vMerge/>
          </w:tcPr>
          <w:p w:rsidR="002C76FE" w:rsidRPr="004B2881" w:rsidRDefault="002C76FE" w:rsidP="00F84A9A">
            <w:pPr>
              <w:pStyle w:val="Tabletext"/>
              <w:rPr>
                <w:rFonts w:asciiTheme="majorBidi" w:hAnsiTheme="majorBidi" w:cstheme="majorBidi"/>
                <w:szCs w:val="22"/>
                <w:lang w:val="fr-FR"/>
              </w:rPr>
            </w:pPr>
          </w:p>
        </w:tc>
        <w:tc>
          <w:tcPr>
            <w:tcW w:w="2807" w:type="dxa"/>
          </w:tcPr>
          <w:p w:rsidR="002C76FE" w:rsidRPr="004B2881" w:rsidRDefault="002C76FE" w:rsidP="002C76FE">
            <w:pPr>
              <w:pStyle w:val="Tabletext"/>
              <w:jc w:val="left"/>
              <w:rPr>
                <w:rFonts w:asciiTheme="majorBidi" w:hAnsiTheme="majorBidi" w:cstheme="majorBidi"/>
                <w:szCs w:val="22"/>
                <w:lang w:val="fr-FR" w:eastAsia="de-DE"/>
              </w:rPr>
            </w:pPr>
            <w:r w:rsidRPr="004B2881">
              <w:rPr>
                <w:rFonts w:asciiTheme="majorBidi" w:hAnsiTheme="majorBidi" w:cstheme="majorBidi"/>
                <w:szCs w:val="22"/>
                <w:lang w:val="fr-FR" w:eastAsia="de-DE"/>
              </w:rPr>
              <w:t>Ville de Ras Al Khaimah</w:t>
            </w:r>
            <w:r w:rsidRPr="004B2881">
              <w:rPr>
                <w:rFonts w:asciiTheme="majorBidi" w:hAnsiTheme="majorBidi" w:cstheme="majorBidi"/>
                <w:szCs w:val="22"/>
                <w:lang w:val="fr-FR"/>
              </w:rPr>
              <w:t xml:space="preserve"> et environs</w:t>
            </w:r>
          </w:p>
        </w:tc>
        <w:tc>
          <w:tcPr>
            <w:tcW w:w="2628" w:type="dxa"/>
            <w:vAlign w:val="center"/>
          </w:tcPr>
          <w:p w:rsidR="002C76FE" w:rsidRPr="004F63CA" w:rsidRDefault="002C76FE" w:rsidP="00F84A9A">
            <w:pPr>
              <w:pStyle w:val="Tabletext"/>
              <w:rPr>
                <w:rFonts w:asciiTheme="majorBidi" w:hAnsiTheme="majorBidi" w:cstheme="majorBidi"/>
                <w:szCs w:val="22"/>
                <w:lang w:val="es-ES_tradnl" w:eastAsia="de-DE"/>
              </w:rPr>
            </w:pPr>
            <w:r w:rsidRPr="004F63CA">
              <w:rPr>
                <w:rFonts w:asciiTheme="majorBidi" w:hAnsiTheme="majorBidi" w:cstheme="majorBidi"/>
                <w:szCs w:val="22"/>
                <w:lang w:val="es-ES_tradnl" w:eastAsia="de-DE"/>
              </w:rPr>
              <w:t>55° 50' E – 25° 55' N</w:t>
            </w:r>
          </w:p>
          <w:p w:rsidR="002C76FE" w:rsidRPr="004F63CA" w:rsidRDefault="002C76FE" w:rsidP="00F84A9A">
            <w:pPr>
              <w:pStyle w:val="Tabletext"/>
              <w:rPr>
                <w:rFonts w:asciiTheme="majorBidi" w:hAnsiTheme="majorBidi" w:cstheme="majorBidi"/>
                <w:szCs w:val="22"/>
                <w:lang w:val="es-ES_tradnl" w:eastAsia="de-DE"/>
              </w:rPr>
            </w:pPr>
            <w:r w:rsidRPr="004F63CA">
              <w:rPr>
                <w:rFonts w:asciiTheme="majorBidi" w:hAnsiTheme="majorBidi" w:cstheme="majorBidi"/>
                <w:szCs w:val="22"/>
                <w:lang w:val="es-ES_tradnl" w:eastAsia="de-DE"/>
              </w:rPr>
              <w:t>56° 05' E – 25° 55' N</w:t>
            </w:r>
          </w:p>
          <w:p w:rsidR="002C76FE" w:rsidRPr="004F63CA" w:rsidRDefault="002C76FE" w:rsidP="00F84A9A">
            <w:pPr>
              <w:pStyle w:val="Tabletext"/>
              <w:rPr>
                <w:rFonts w:asciiTheme="majorBidi" w:hAnsiTheme="majorBidi" w:cstheme="majorBidi"/>
                <w:szCs w:val="22"/>
                <w:lang w:val="es-ES_tradnl" w:eastAsia="de-DE"/>
              </w:rPr>
            </w:pPr>
            <w:r w:rsidRPr="004F63CA">
              <w:rPr>
                <w:rFonts w:asciiTheme="majorBidi" w:hAnsiTheme="majorBidi" w:cstheme="majorBidi"/>
                <w:szCs w:val="22"/>
                <w:lang w:val="es-ES_tradnl" w:eastAsia="de-DE"/>
              </w:rPr>
              <w:t>56° 05' E – 25° 40' N</w:t>
            </w:r>
          </w:p>
          <w:p w:rsidR="002C76FE" w:rsidRPr="004B2881" w:rsidRDefault="002C76FE" w:rsidP="00F84A9A">
            <w:pPr>
              <w:pStyle w:val="Tabletext"/>
              <w:rPr>
                <w:rFonts w:asciiTheme="majorBidi" w:hAnsiTheme="majorBidi" w:cstheme="majorBidi"/>
                <w:szCs w:val="22"/>
                <w:lang w:val="fr-FR" w:eastAsia="de-DE"/>
              </w:rPr>
            </w:pPr>
            <w:r w:rsidRPr="004B2881">
              <w:rPr>
                <w:rFonts w:asciiTheme="majorBidi" w:hAnsiTheme="majorBidi" w:cstheme="majorBidi"/>
                <w:szCs w:val="22"/>
                <w:lang w:val="fr-FR" w:eastAsia="de-DE"/>
              </w:rPr>
              <w:t>55° 50' E – 25° 40' N</w:t>
            </w:r>
          </w:p>
        </w:tc>
      </w:tr>
      <w:tr w:rsidR="002C76FE" w:rsidRPr="004F63CA" w:rsidTr="00F84A9A">
        <w:trPr>
          <w:trHeight w:val="1070"/>
        </w:trPr>
        <w:tc>
          <w:tcPr>
            <w:tcW w:w="1713" w:type="dxa"/>
            <w:vMerge/>
          </w:tcPr>
          <w:p w:rsidR="002C76FE" w:rsidRPr="004B2881" w:rsidRDefault="002C76FE" w:rsidP="00F84A9A">
            <w:pPr>
              <w:pStyle w:val="Tabletext"/>
              <w:rPr>
                <w:rFonts w:asciiTheme="majorBidi" w:hAnsiTheme="majorBidi" w:cstheme="majorBidi"/>
                <w:szCs w:val="22"/>
                <w:lang w:val="fr-FR"/>
              </w:rPr>
            </w:pPr>
          </w:p>
        </w:tc>
        <w:tc>
          <w:tcPr>
            <w:tcW w:w="2807" w:type="dxa"/>
            <w:vAlign w:val="center"/>
          </w:tcPr>
          <w:p w:rsidR="002C76FE" w:rsidRPr="004B2881" w:rsidRDefault="002C76FE" w:rsidP="002C76FE">
            <w:pPr>
              <w:pStyle w:val="Tabletext"/>
              <w:jc w:val="left"/>
              <w:rPr>
                <w:rFonts w:asciiTheme="majorBidi" w:hAnsiTheme="majorBidi" w:cstheme="majorBidi"/>
                <w:szCs w:val="22"/>
                <w:lang w:val="fr-FR" w:eastAsia="de-DE"/>
              </w:rPr>
            </w:pPr>
            <w:r w:rsidRPr="004B2881">
              <w:rPr>
                <w:rFonts w:asciiTheme="majorBidi" w:hAnsiTheme="majorBidi" w:cstheme="majorBidi"/>
                <w:szCs w:val="22"/>
                <w:lang w:val="fr-FR" w:eastAsia="de-DE"/>
              </w:rPr>
              <w:t xml:space="preserve">Zone entre </w:t>
            </w:r>
            <w:r w:rsidRPr="004B2881">
              <w:rPr>
                <w:rFonts w:asciiTheme="majorBidi" w:hAnsiTheme="majorBidi" w:cstheme="majorBidi"/>
                <w:szCs w:val="22"/>
                <w:lang w:val="fr-FR"/>
              </w:rPr>
              <w:t xml:space="preserve">Umm Al Qaiwain et </w:t>
            </w:r>
            <w:r w:rsidRPr="004B2881">
              <w:rPr>
                <w:rFonts w:asciiTheme="majorBidi" w:hAnsiTheme="majorBidi" w:cstheme="majorBidi"/>
                <w:szCs w:val="22"/>
                <w:lang w:val="fr-FR" w:eastAsia="de-DE"/>
              </w:rPr>
              <w:t>Ras Al Khaimah</w:t>
            </w:r>
            <w:r w:rsidRPr="004B2881">
              <w:rPr>
                <w:rFonts w:asciiTheme="majorBidi" w:hAnsiTheme="majorBidi" w:cstheme="majorBidi"/>
                <w:szCs w:val="22"/>
                <w:lang w:val="fr-FR"/>
              </w:rPr>
              <w:t xml:space="preserve"> </w:t>
            </w:r>
          </w:p>
        </w:tc>
        <w:tc>
          <w:tcPr>
            <w:tcW w:w="2628" w:type="dxa"/>
          </w:tcPr>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30' E – 25° 40'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56° 05' E – 25° 40' N</w:t>
            </w:r>
          </w:p>
          <w:p w:rsidR="002C76FE" w:rsidRPr="004F63CA" w:rsidRDefault="002C76FE" w:rsidP="00F84A9A">
            <w:pPr>
              <w:pStyle w:val="Tabletext"/>
              <w:rPr>
                <w:rFonts w:asciiTheme="majorBidi" w:hAnsiTheme="majorBidi" w:cstheme="majorBidi"/>
                <w:szCs w:val="22"/>
                <w:lang w:val="es-ES_tradnl"/>
              </w:rPr>
            </w:pPr>
            <w:r w:rsidRPr="004F63CA">
              <w:rPr>
                <w:rFonts w:asciiTheme="majorBidi" w:hAnsiTheme="majorBidi" w:cstheme="majorBidi"/>
                <w:szCs w:val="22"/>
                <w:lang w:val="es-ES_tradnl"/>
              </w:rPr>
              <w:t>55° 55' E – 25° 20' N</w:t>
            </w:r>
          </w:p>
        </w:tc>
      </w:tr>
      <w:tr w:rsidR="002C76FE" w:rsidRPr="004B2881" w:rsidTr="00F84A9A">
        <w:trPr>
          <w:trHeight w:val="350"/>
        </w:trPr>
        <w:tc>
          <w:tcPr>
            <w:tcW w:w="1713" w:type="dxa"/>
            <w:vAlign w:val="center"/>
          </w:tcPr>
          <w:p w:rsidR="002C76FE" w:rsidRPr="004B2881" w:rsidRDefault="002C76FE" w:rsidP="00F84A9A">
            <w:pPr>
              <w:pStyle w:val="Tabletext"/>
              <w:rPr>
                <w:rFonts w:asciiTheme="majorBidi" w:hAnsiTheme="majorBidi" w:cstheme="majorBidi"/>
                <w:b/>
                <w:bCs/>
                <w:szCs w:val="22"/>
                <w:lang w:val="fr-FR" w:eastAsia="de-DE"/>
              </w:rPr>
            </w:pPr>
            <w:r w:rsidRPr="004B2881">
              <w:rPr>
                <w:rFonts w:asciiTheme="majorBidi" w:hAnsiTheme="majorBidi" w:cstheme="majorBidi"/>
                <w:b/>
                <w:bCs/>
                <w:szCs w:val="22"/>
                <w:lang w:val="fr-FR" w:eastAsia="de-DE"/>
              </w:rPr>
              <w:t>0,50 (faible)</w:t>
            </w:r>
          </w:p>
        </w:tc>
        <w:tc>
          <w:tcPr>
            <w:tcW w:w="5435" w:type="dxa"/>
            <w:gridSpan w:val="2"/>
            <w:vAlign w:val="center"/>
          </w:tcPr>
          <w:p w:rsidR="002C76FE" w:rsidRPr="004B2881" w:rsidRDefault="002C76FE" w:rsidP="00F84A9A">
            <w:pPr>
              <w:pStyle w:val="Tabletext"/>
              <w:rPr>
                <w:rFonts w:asciiTheme="majorBidi" w:hAnsiTheme="majorBidi" w:cstheme="majorBidi"/>
                <w:szCs w:val="22"/>
                <w:lang w:val="fr-FR" w:eastAsia="de-DE"/>
              </w:rPr>
            </w:pPr>
            <w:r w:rsidRPr="004B2881">
              <w:rPr>
                <w:rFonts w:asciiTheme="majorBidi" w:hAnsiTheme="majorBidi" w:cstheme="majorBidi"/>
                <w:szCs w:val="22"/>
                <w:lang w:val="fr-FR" w:eastAsia="de-DE"/>
              </w:rPr>
              <w:t>Toutes les zones restantes</w:t>
            </w:r>
          </w:p>
        </w:tc>
      </w:tr>
    </w:tbl>
    <w:p w:rsidR="00E17384" w:rsidRPr="004B2881" w:rsidRDefault="00E17384" w:rsidP="00E17384">
      <w:pPr>
        <w:pStyle w:val="FigureSource"/>
        <w:rPr>
          <w:lang w:val="fr-FR"/>
        </w:rPr>
      </w:pPr>
    </w:p>
    <w:p w:rsidR="00E05829" w:rsidRPr="004B2881" w:rsidRDefault="00E05829" w:rsidP="00E05829">
      <w:pPr>
        <w:pStyle w:val="FigureTitle"/>
        <w:rPr>
          <w:lang w:val="fr-FR"/>
        </w:rPr>
      </w:pPr>
    </w:p>
    <w:p w:rsidR="00E05829" w:rsidRPr="004B2881" w:rsidRDefault="00E05829" w:rsidP="00E05829">
      <w:pPr>
        <w:ind w:left="1599" w:hanging="902"/>
        <w:jc w:val="center"/>
        <w:rPr>
          <w:szCs w:val="19"/>
          <w:lang w:val="fr-FR"/>
        </w:rPr>
      </w:pPr>
      <w:r w:rsidRPr="004B2881">
        <w:rPr>
          <w:noProof/>
          <w:szCs w:val="19"/>
          <w:lang w:val="en-US" w:eastAsia="zh-CN"/>
        </w:rPr>
        <w:drawing>
          <wp:inline distT="0" distB="0" distL="0" distR="0">
            <wp:extent cx="4933950" cy="4267200"/>
            <wp:effectExtent l="19050" t="0" r="0" b="0"/>
            <wp:docPr id="5" name="Picture 3"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E-TRA"/>
                    <pic:cNvPicPr>
                      <a:picLocks noChangeAspect="1" noChangeArrowheads="1"/>
                    </pic:cNvPicPr>
                  </pic:nvPicPr>
                  <pic:blipFill>
                    <a:blip r:embed="rId21"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E05829" w:rsidRPr="004B2881" w:rsidRDefault="00E05829" w:rsidP="00E05829">
      <w:pPr>
        <w:pStyle w:val="TableNotitle"/>
        <w:rPr>
          <w:sz w:val="19"/>
          <w:szCs w:val="19"/>
          <w:lang w:val="fr-FR"/>
        </w:rPr>
      </w:pPr>
      <w:r w:rsidRPr="004B2881">
        <w:rPr>
          <w:sz w:val="19"/>
          <w:szCs w:val="19"/>
          <w:lang w:val="fr-FR"/>
        </w:rPr>
        <w:t>Vue par satellite des Emirats arabes unis, avec indication des zones de service</w:t>
      </w:r>
    </w:p>
    <w:p w:rsidR="00E05829" w:rsidRPr="004B2881" w:rsidRDefault="00E05829" w:rsidP="00E05829">
      <w:pPr>
        <w:ind w:left="3800" w:hanging="2200"/>
        <w:rPr>
          <w:b/>
          <w:lang w:val="fr-FR"/>
        </w:rPr>
      </w:pPr>
      <w:r w:rsidRPr="004B2881">
        <w:rPr>
          <w:b/>
          <w:lang w:val="fr-FR"/>
        </w:rPr>
        <w:t>En rouge:</w:t>
      </w:r>
      <w:r w:rsidRPr="004B2881">
        <w:rPr>
          <w:b/>
          <w:lang w:val="fr-FR"/>
        </w:rPr>
        <w:tab/>
        <w:t>Zone de service avec c</w:t>
      </w:r>
      <w:r w:rsidR="00516D75" w:rsidRPr="004B2881">
        <w:rPr>
          <w:b/>
          <w:lang w:val="fr-FR"/>
        </w:rPr>
        <w:t>oe</w:t>
      </w:r>
      <w:r w:rsidRPr="004B2881">
        <w:rPr>
          <w:b/>
          <w:lang w:val="fr-FR"/>
        </w:rPr>
        <w:t>fficient D élevé (1,00)</w:t>
      </w:r>
    </w:p>
    <w:p w:rsidR="00E05829" w:rsidRPr="004B2881" w:rsidRDefault="00E05829" w:rsidP="00E05829">
      <w:pPr>
        <w:ind w:left="3800" w:hanging="2200"/>
        <w:rPr>
          <w:b/>
          <w:lang w:val="fr-FR"/>
        </w:rPr>
      </w:pPr>
      <w:r w:rsidRPr="004B2881">
        <w:rPr>
          <w:b/>
          <w:lang w:val="fr-FR"/>
        </w:rPr>
        <w:t>En vert:</w:t>
      </w:r>
      <w:r w:rsidRPr="004B2881">
        <w:rPr>
          <w:b/>
          <w:lang w:val="fr-FR"/>
        </w:rPr>
        <w:tab/>
        <w:t>Zone de service avec c</w:t>
      </w:r>
      <w:r w:rsidR="00516D75" w:rsidRPr="004B2881">
        <w:rPr>
          <w:b/>
          <w:lang w:val="fr-FR"/>
        </w:rPr>
        <w:t>oe</w:t>
      </w:r>
      <w:r w:rsidRPr="004B2881">
        <w:rPr>
          <w:b/>
          <w:lang w:val="fr-FR"/>
        </w:rPr>
        <w:t>fficient D moyen (0,75)</w:t>
      </w:r>
    </w:p>
    <w:p w:rsidR="00E05829" w:rsidRPr="004B2881" w:rsidRDefault="00E05829" w:rsidP="00E05829">
      <w:pPr>
        <w:ind w:left="3800" w:hanging="2200"/>
        <w:rPr>
          <w:b/>
          <w:lang w:val="fr-FR"/>
        </w:rPr>
      </w:pPr>
      <w:r w:rsidRPr="004B2881">
        <w:rPr>
          <w:b/>
          <w:lang w:val="fr-FR"/>
        </w:rPr>
        <w:t>Autres zones:</w:t>
      </w:r>
      <w:r w:rsidRPr="004B2881">
        <w:rPr>
          <w:b/>
          <w:lang w:val="fr-FR"/>
        </w:rPr>
        <w:tab/>
        <w:t>Zone de service avec c</w:t>
      </w:r>
      <w:r w:rsidR="00516D75" w:rsidRPr="004B2881">
        <w:rPr>
          <w:b/>
          <w:lang w:val="fr-FR"/>
        </w:rPr>
        <w:t>oe</w:t>
      </w:r>
      <w:r w:rsidRPr="004B2881">
        <w:rPr>
          <w:b/>
          <w:lang w:val="fr-FR"/>
        </w:rPr>
        <w:t>fficient D faible (0,50)</w:t>
      </w:r>
    </w:p>
    <w:p w:rsidR="00E05829" w:rsidRPr="004B2881" w:rsidRDefault="00E05829" w:rsidP="00E05829">
      <w:pPr>
        <w:pStyle w:val="FigureSource"/>
        <w:rPr>
          <w:lang w:val="fr-FR"/>
        </w:rPr>
      </w:pPr>
    </w:p>
    <w:p w:rsidR="00B51759" w:rsidRPr="004B2881" w:rsidRDefault="003B6BCC" w:rsidP="003B6BCC">
      <w:pPr>
        <w:ind w:left="1191" w:hanging="1191"/>
        <w:rPr>
          <w:lang w:val="fr-FR"/>
        </w:rPr>
      </w:pPr>
      <w:r w:rsidRPr="004B2881">
        <w:rPr>
          <w:b/>
          <w:lang w:val="fr-FR"/>
        </w:rPr>
        <w:tab/>
      </w:r>
      <w:r w:rsidR="00B51759" w:rsidRPr="004B2881">
        <w:rPr>
          <w:b/>
          <w:lang w:val="fr-FR"/>
        </w:rPr>
        <w:tab/>
      </w:r>
      <w:r w:rsidR="00B51759" w:rsidRPr="004B2881">
        <w:rPr>
          <w:b/>
          <w:bCs/>
          <w:lang w:val="fr-FR"/>
        </w:rPr>
        <w:t>N</w:t>
      </w:r>
      <w:r w:rsidRPr="004B2881">
        <w:rPr>
          <w:b/>
          <w:bCs/>
          <w:lang w:val="fr-FR"/>
        </w:rPr>
        <w:t>ote</w:t>
      </w:r>
      <w:r w:rsidR="00B51759" w:rsidRPr="004B2881">
        <w:rPr>
          <w:b/>
          <w:bCs/>
          <w:lang w:val="fr-FR"/>
        </w:rPr>
        <w:t xml:space="preserve"> 1</w:t>
      </w:r>
      <w:r w:rsidRPr="004B2881">
        <w:rPr>
          <w:lang w:val="fr-FR"/>
        </w:rPr>
        <w:t>:</w:t>
      </w:r>
      <w:r w:rsidRPr="004B2881">
        <w:rPr>
          <w:lang w:val="fr-FR"/>
        </w:rPr>
        <w:tab/>
      </w:r>
      <w:r w:rsidR="00B51759" w:rsidRPr="004B2881">
        <w:rPr>
          <w:lang w:val="fr-FR"/>
        </w:rPr>
        <w:t>En cas d'émission depuis une station située dans une zone de service à c</w:t>
      </w:r>
      <w:r w:rsidR="00516D75" w:rsidRPr="004B2881">
        <w:rPr>
          <w:lang w:val="fr-FR"/>
        </w:rPr>
        <w:t>oe</w:t>
      </w:r>
      <w:r w:rsidR="00B51759" w:rsidRPr="004B2881">
        <w:rPr>
          <w:lang w:val="fr-FR"/>
        </w:rPr>
        <w:t>fficient moyen ou faible et à destination (en partie ou en totalité) d'une zone de service à c</w:t>
      </w:r>
      <w:r w:rsidR="00516D75" w:rsidRPr="004B2881">
        <w:rPr>
          <w:lang w:val="fr-FR"/>
        </w:rPr>
        <w:t>oe</w:t>
      </w:r>
      <w:r w:rsidR="00B51759" w:rsidRPr="004B2881">
        <w:rPr>
          <w:lang w:val="fr-FR"/>
        </w:rPr>
        <w:t xml:space="preserve">fficient plus élevé, la station concernée </w:t>
      </w:r>
      <w:r w:rsidR="00B51759" w:rsidRPr="004B2881">
        <w:rPr>
          <w:szCs w:val="19"/>
          <w:lang w:val="fr-FR"/>
        </w:rPr>
        <w:t>sera</w:t>
      </w:r>
      <w:r w:rsidR="00B51759" w:rsidRPr="004B2881">
        <w:rPr>
          <w:lang w:val="fr-FR"/>
        </w:rPr>
        <w:t xml:space="preserve"> considérée comme appartenant à la zone de service à c</w:t>
      </w:r>
      <w:r w:rsidR="00516D75" w:rsidRPr="004B2881">
        <w:rPr>
          <w:lang w:val="fr-FR"/>
        </w:rPr>
        <w:t>oe</w:t>
      </w:r>
      <w:r w:rsidR="00B51759" w:rsidRPr="004B2881">
        <w:rPr>
          <w:lang w:val="fr-FR"/>
        </w:rPr>
        <w:t>fficient plus élevé.</w:t>
      </w:r>
    </w:p>
    <w:p w:rsidR="00B51759" w:rsidRPr="004B2881" w:rsidRDefault="003B6BCC" w:rsidP="003B6BCC">
      <w:pPr>
        <w:ind w:left="1191" w:hanging="1191"/>
        <w:rPr>
          <w:lang w:val="fr-FR"/>
        </w:rPr>
      </w:pPr>
      <w:r w:rsidRPr="004B2881">
        <w:rPr>
          <w:b/>
          <w:lang w:val="fr-FR"/>
        </w:rPr>
        <w:tab/>
      </w:r>
      <w:r w:rsidR="00B51759" w:rsidRPr="004B2881">
        <w:rPr>
          <w:b/>
          <w:lang w:val="fr-FR"/>
        </w:rPr>
        <w:tab/>
      </w:r>
      <w:r w:rsidRPr="004B2881">
        <w:rPr>
          <w:b/>
          <w:bCs/>
          <w:lang w:val="fr-FR"/>
        </w:rPr>
        <w:t>Note</w:t>
      </w:r>
      <w:r w:rsidR="00B51759" w:rsidRPr="004B2881">
        <w:rPr>
          <w:b/>
          <w:bCs/>
          <w:lang w:val="fr-FR"/>
        </w:rPr>
        <w:t xml:space="preserve"> 2</w:t>
      </w:r>
      <w:r w:rsidRPr="004B2881">
        <w:rPr>
          <w:lang w:val="fr-FR"/>
        </w:rPr>
        <w:t>:</w:t>
      </w:r>
      <w:r w:rsidRPr="004B2881">
        <w:rPr>
          <w:lang w:val="fr-FR"/>
        </w:rPr>
        <w:tab/>
      </w:r>
      <w:r w:rsidR="00B51759" w:rsidRPr="004B2881">
        <w:rPr>
          <w:lang w:val="fr-FR"/>
        </w:rPr>
        <w:t>Pour les services de radiodiffusion dans la bande des ondes décamétriques et dans les bandes de fréquences inférieures, le c</w:t>
      </w:r>
      <w:r w:rsidR="00516D75" w:rsidRPr="004B2881">
        <w:rPr>
          <w:lang w:val="fr-FR"/>
        </w:rPr>
        <w:t>oe</w:t>
      </w:r>
      <w:r w:rsidR="00B51759" w:rsidRPr="004B2881">
        <w:rPr>
          <w:lang w:val="fr-FR"/>
        </w:rPr>
        <w:t>fficient d</w:t>
      </w:r>
      <w:r w:rsidRPr="004B2881">
        <w:rPr>
          <w:lang w:val="fr-FR"/>
        </w:rPr>
        <w:t>e zone de service est égal à 1.</w:t>
      </w:r>
    </w:p>
    <w:p w:rsidR="00B51759" w:rsidRPr="004B2881" w:rsidRDefault="00B51759" w:rsidP="00B51759">
      <w:pPr>
        <w:ind w:left="1191" w:hanging="1191"/>
        <w:rPr>
          <w:b/>
          <w:bCs/>
          <w:lang w:val="fr-FR"/>
        </w:rPr>
      </w:pPr>
      <w:r w:rsidRPr="004B2881">
        <w:rPr>
          <w:b/>
          <w:lang w:val="fr-FR"/>
        </w:rPr>
        <w:tab/>
      </w:r>
      <w:r w:rsidR="00D922B9" w:rsidRPr="004B2881">
        <w:rPr>
          <w:b/>
          <w:lang w:val="fr-FR"/>
        </w:rPr>
        <w:tab/>
      </w:r>
      <w:r w:rsidRPr="004B2881">
        <w:rPr>
          <w:b/>
          <w:lang w:val="fr-FR"/>
        </w:rPr>
        <w:t>E = C</w:t>
      </w:r>
      <w:r w:rsidR="00516D75" w:rsidRPr="004B2881">
        <w:rPr>
          <w:b/>
          <w:lang w:val="fr-FR"/>
        </w:rPr>
        <w:t>oe</w:t>
      </w:r>
      <w:r w:rsidRPr="004B2881">
        <w:rPr>
          <w:b/>
          <w:lang w:val="fr-FR"/>
        </w:rPr>
        <w:t>fficient de hauteur de l'antenne, calculé comme suit:</w:t>
      </w:r>
    </w:p>
    <w:p w:rsidR="00B51759" w:rsidRPr="004B2881" w:rsidRDefault="00B51759" w:rsidP="005268E2">
      <w:pPr>
        <w:tabs>
          <w:tab w:val="clear" w:pos="1191"/>
          <w:tab w:val="left" w:pos="1204"/>
        </w:tabs>
        <w:ind w:left="2160" w:hanging="1463"/>
        <w:jc w:val="center"/>
        <w:rPr>
          <w:b/>
          <w:bCs/>
          <w:vertAlign w:val="subscript"/>
          <w:lang w:val="fr-FR"/>
        </w:rPr>
      </w:pPr>
      <w:r w:rsidRPr="004B2881">
        <w:rPr>
          <w:b/>
          <w:lang w:val="fr-FR"/>
        </w:rPr>
        <w:t>E = H</w:t>
      </w:r>
      <w:r w:rsidRPr="004B2881">
        <w:rPr>
          <w:b/>
          <w:vertAlign w:val="subscript"/>
          <w:lang w:val="fr-FR"/>
        </w:rPr>
        <w:t>ASL</w:t>
      </w:r>
      <w:r w:rsidRPr="004B2881">
        <w:rPr>
          <w:b/>
          <w:lang w:val="fr-FR"/>
        </w:rPr>
        <w:t xml:space="preserve"> + H</w:t>
      </w:r>
      <w:r w:rsidRPr="004B2881">
        <w:rPr>
          <w:b/>
          <w:vertAlign w:val="subscript"/>
          <w:lang w:val="fr-FR"/>
        </w:rPr>
        <w:t>AGL</w:t>
      </w:r>
    </w:p>
    <w:p w:rsidR="00B51759" w:rsidRPr="004B2881" w:rsidRDefault="00B51759" w:rsidP="00B51759">
      <w:pPr>
        <w:ind w:left="1191" w:hanging="1191"/>
        <w:rPr>
          <w:lang w:val="fr-FR"/>
        </w:rPr>
      </w:pPr>
      <w:r w:rsidRPr="004B2881">
        <w:rPr>
          <w:lang w:val="fr-FR"/>
        </w:rPr>
        <w:tab/>
      </w:r>
      <w:r w:rsidR="009774C4" w:rsidRPr="004B2881">
        <w:rPr>
          <w:lang w:val="fr-FR"/>
        </w:rPr>
        <w:tab/>
      </w:r>
      <w:r w:rsidRPr="004B2881">
        <w:rPr>
          <w:b/>
          <w:lang w:val="fr-FR"/>
        </w:rPr>
        <w:t>H</w:t>
      </w:r>
      <w:r w:rsidRPr="004B2881">
        <w:rPr>
          <w:b/>
          <w:vertAlign w:val="subscript"/>
          <w:lang w:val="fr-FR"/>
        </w:rPr>
        <w:t>ASL</w:t>
      </w:r>
      <w:r w:rsidRPr="004B2881">
        <w:rPr>
          <w:lang w:val="fr-FR"/>
        </w:rPr>
        <w:t xml:space="preserve"> étant la hauteur par rapport au niveau de la mer exprimée en mètres et </w:t>
      </w:r>
      <w:r w:rsidRPr="004B2881">
        <w:rPr>
          <w:b/>
          <w:lang w:val="fr-FR"/>
        </w:rPr>
        <w:t>H</w:t>
      </w:r>
      <w:r w:rsidRPr="004B2881">
        <w:rPr>
          <w:b/>
          <w:vertAlign w:val="subscript"/>
          <w:lang w:val="fr-FR"/>
        </w:rPr>
        <w:t>AGL</w:t>
      </w:r>
      <w:r w:rsidRPr="004B2881">
        <w:rPr>
          <w:lang w:val="fr-FR"/>
        </w:rPr>
        <w:t xml:space="preserve"> étant la hauteur par rapport au niveau du sol, exprimée en mètres.</w:t>
      </w:r>
    </w:p>
    <w:p w:rsidR="00B51759" w:rsidRPr="004B2881" w:rsidRDefault="00B51759" w:rsidP="00B51759">
      <w:pPr>
        <w:ind w:left="1191" w:hanging="1191"/>
        <w:rPr>
          <w:lang w:val="fr-FR"/>
        </w:rPr>
      </w:pPr>
      <w:r w:rsidRPr="004B2881">
        <w:rPr>
          <w:lang w:val="fr-FR"/>
        </w:rPr>
        <w:tab/>
      </w:r>
      <w:r w:rsidR="009774C4" w:rsidRPr="004B2881">
        <w:rPr>
          <w:lang w:val="fr-FR"/>
        </w:rPr>
        <w:tab/>
      </w:r>
      <w:r w:rsidRPr="004B2881">
        <w:rPr>
          <w:b/>
          <w:lang w:val="fr-FR"/>
        </w:rPr>
        <w:t>F = C</w:t>
      </w:r>
      <w:r w:rsidR="00516D75" w:rsidRPr="004B2881">
        <w:rPr>
          <w:b/>
          <w:lang w:val="fr-FR"/>
        </w:rPr>
        <w:t>oe</w:t>
      </w:r>
      <w:r w:rsidRPr="004B2881">
        <w:rPr>
          <w:b/>
          <w:lang w:val="fr-FR"/>
        </w:rPr>
        <w:t xml:space="preserve">fficient de correction </w:t>
      </w:r>
      <w:r w:rsidRPr="004B2881">
        <w:rPr>
          <w:lang w:val="fr-FR"/>
        </w:rPr>
        <w:t>exprimé comme suit:</w:t>
      </w:r>
    </w:p>
    <w:p w:rsidR="00B51759" w:rsidRPr="004B2881" w:rsidRDefault="00B51759" w:rsidP="00B51759">
      <w:pPr>
        <w:pStyle w:val="enumlev1"/>
        <w:ind w:left="1588" w:hanging="1588"/>
        <w:rPr>
          <w:rFonts w:asciiTheme="majorBidi" w:hAnsiTheme="majorBidi" w:cstheme="majorBidi"/>
          <w:szCs w:val="22"/>
          <w:lang w:val="fr-FR"/>
        </w:rPr>
      </w:pPr>
      <w:r w:rsidRPr="004B2881">
        <w:rPr>
          <w:rFonts w:asciiTheme="majorBidi" w:hAnsiTheme="majorBidi" w:cstheme="majorBidi"/>
          <w:szCs w:val="22"/>
          <w:lang w:val="fr-FR"/>
        </w:rPr>
        <w:tab/>
      </w:r>
      <w:r w:rsidR="009774C4" w:rsidRPr="004B2881">
        <w:rPr>
          <w:rFonts w:asciiTheme="majorBidi" w:hAnsiTheme="majorBidi" w:cstheme="majorBidi"/>
          <w:szCs w:val="22"/>
          <w:lang w:val="fr-FR"/>
        </w:rPr>
        <w:tab/>
      </w:r>
      <w:r w:rsidRPr="004B2881">
        <w:rPr>
          <w:rFonts w:asciiTheme="majorBidi" w:hAnsiTheme="majorBidi" w:cstheme="majorBidi"/>
          <w:szCs w:val="22"/>
          <w:lang w:val="fr-FR"/>
        </w:rPr>
        <w:t>a)</w:t>
      </w:r>
      <w:r w:rsidRPr="004B2881">
        <w:rPr>
          <w:rFonts w:asciiTheme="majorBidi" w:hAnsiTheme="majorBidi" w:cstheme="majorBidi"/>
          <w:szCs w:val="22"/>
          <w:lang w:val="fr-FR"/>
        </w:rPr>
        <w:tab/>
        <w:t>Pour les stations de radiodiffusion publique exploitées sur une base non commerciale, on applique un c</w:t>
      </w:r>
      <w:r w:rsidR="00516D75" w:rsidRPr="004B2881">
        <w:rPr>
          <w:rFonts w:asciiTheme="majorBidi" w:hAnsiTheme="majorBidi" w:cstheme="majorBidi"/>
          <w:szCs w:val="22"/>
          <w:lang w:val="fr-FR"/>
        </w:rPr>
        <w:t>oe</w:t>
      </w:r>
      <w:r w:rsidRPr="004B2881">
        <w:rPr>
          <w:rFonts w:asciiTheme="majorBidi" w:hAnsiTheme="majorBidi" w:cstheme="majorBidi"/>
          <w:szCs w:val="22"/>
          <w:lang w:val="fr-FR"/>
        </w:rPr>
        <w:t>fficient de correction (F) de 0,5.</w:t>
      </w:r>
    </w:p>
    <w:p w:rsidR="00B51759" w:rsidRPr="004B2881" w:rsidRDefault="00043339" w:rsidP="00B51759">
      <w:pPr>
        <w:pStyle w:val="enumlev1"/>
        <w:ind w:left="1588" w:hanging="1588"/>
        <w:rPr>
          <w:rFonts w:asciiTheme="majorBidi" w:hAnsiTheme="majorBidi" w:cstheme="majorBidi"/>
          <w:szCs w:val="22"/>
          <w:lang w:val="fr-FR"/>
        </w:rPr>
      </w:pPr>
      <w:r w:rsidRPr="004B2881">
        <w:rPr>
          <w:rFonts w:asciiTheme="majorBidi" w:hAnsiTheme="majorBidi" w:cstheme="majorBidi"/>
          <w:szCs w:val="22"/>
          <w:lang w:val="fr-FR"/>
        </w:rPr>
        <w:lastRenderedPageBreak/>
        <w:tab/>
      </w:r>
      <w:r w:rsidR="00B51759" w:rsidRPr="004B2881">
        <w:rPr>
          <w:rFonts w:asciiTheme="majorBidi" w:hAnsiTheme="majorBidi" w:cstheme="majorBidi"/>
          <w:szCs w:val="22"/>
          <w:lang w:val="fr-FR"/>
        </w:rPr>
        <w:tab/>
        <w:t>b)</w:t>
      </w:r>
      <w:r w:rsidR="00B51759" w:rsidRPr="004B2881">
        <w:rPr>
          <w:rFonts w:asciiTheme="majorBidi" w:hAnsiTheme="majorBidi" w:cstheme="majorBidi"/>
          <w:szCs w:val="22"/>
          <w:lang w:val="fr-FR"/>
        </w:rPr>
        <w:tab/>
        <w:t>Pour encourager les nouvelles technologies de radiodiffusion audio et vidéo numérique de Terre, on applique jusqu'à 2015 une réduction de 25% (soit un c</w:t>
      </w:r>
      <w:r w:rsidR="00516D75" w:rsidRPr="004B2881">
        <w:rPr>
          <w:rFonts w:asciiTheme="majorBidi" w:hAnsiTheme="majorBidi" w:cstheme="majorBidi"/>
          <w:szCs w:val="22"/>
          <w:lang w:val="fr-FR"/>
        </w:rPr>
        <w:t>oe</w:t>
      </w:r>
      <w:r w:rsidR="00B51759" w:rsidRPr="004B2881">
        <w:rPr>
          <w:rFonts w:asciiTheme="majorBidi" w:hAnsiTheme="majorBidi" w:cstheme="majorBidi"/>
          <w:szCs w:val="22"/>
          <w:lang w:val="fr-FR"/>
        </w:rPr>
        <w:t>fficient de correction de 0,75). Cette réduction ne vaut que pour la période indiquée et peut être accompagnée d'autres conditions énoncées par la TRA.</w:t>
      </w:r>
    </w:p>
    <w:p w:rsidR="00B51759" w:rsidRPr="004B2881" w:rsidRDefault="00043339" w:rsidP="00B51759">
      <w:pPr>
        <w:pStyle w:val="enumlev1"/>
        <w:ind w:left="1588" w:hanging="1588"/>
        <w:rPr>
          <w:rFonts w:asciiTheme="majorBidi" w:hAnsiTheme="majorBidi" w:cstheme="majorBidi"/>
          <w:szCs w:val="22"/>
          <w:lang w:val="fr-FR"/>
        </w:rPr>
      </w:pPr>
      <w:r w:rsidRPr="004B2881">
        <w:rPr>
          <w:rFonts w:asciiTheme="majorBidi" w:hAnsiTheme="majorBidi" w:cstheme="majorBidi"/>
          <w:szCs w:val="22"/>
          <w:lang w:val="fr-FR"/>
        </w:rPr>
        <w:tab/>
      </w:r>
      <w:r w:rsidR="00B51759" w:rsidRPr="004B2881">
        <w:rPr>
          <w:rFonts w:asciiTheme="majorBidi" w:hAnsiTheme="majorBidi" w:cstheme="majorBidi"/>
          <w:szCs w:val="22"/>
          <w:lang w:val="fr-FR"/>
        </w:rPr>
        <w:tab/>
        <w:t>c)</w:t>
      </w:r>
      <w:r w:rsidR="00B51759" w:rsidRPr="004B2881">
        <w:rPr>
          <w:rFonts w:asciiTheme="majorBidi" w:hAnsiTheme="majorBidi" w:cstheme="majorBidi"/>
          <w:szCs w:val="22"/>
          <w:lang w:val="fr-FR"/>
        </w:rPr>
        <w:tab/>
        <w:t>Pour toutes les autres assignations, la valeur du c</w:t>
      </w:r>
      <w:r w:rsidR="00516D75" w:rsidRPr="004B2881">
        <w:rPr>
          <w:rFonts w:asciiTheme="majorBidi" w:hAnsiTheme="majorBidi" w:cstheme="majorBidi"/>
          <w:szCs w:val="22"/>
          <w:lang w:val="fr-FR"/>
        </w:rPr>
        <w:t>oe</w:t>
      </w:r>
      <w:r w:rsidR="00B51759" w:rsidRPr="004B2881">
        <w:rPr>
          <w:rFonts w:asciiTheme="majorBidi" w:hAnsiTheme="majorBidi" w:cstheme="majorBidi"/>
          <w:szCs w:val="22"/>
          <w:lang w:val="fr-FR"/>
        </w:rPr>
        <w:t>fficient de correction est de 1.</w:t>
      </w:r>
    </w:p>
    <w:p w:rsidR="00B51759" w:rsidRPr="004B2881" w:rsidRDefault="00B51759" w:rsidP="00C3585C">
      <w:pPr>
        <w:pStyle w:val="Heading2"/>
        <w:rPr>
          <w:b w:val="0"/>
          <w:bCs/>
          <w:lang w:val="fr-FR"/>
        </w:rPr>
      </w:pPr>
      <w:bookmarkStart w:id="789" w:name="_Toc280260049"/>
      <w:bookmarkStart w:id="790" w:name="_Toc280272510"/>
      <w:bookmarkStart w:id="791" w:name="_Toc284414181"/>
      <w:bookmarkStart w:id="792" w:name="_Toc286314925"/>
      <w:r w:rsidRPr="004B2881">
        <w:rPr>
          <w:b w:val="0"/>
          <w:bCs/>
          <w:lang w:val="fr-FR"/>
        </w:rPr>
        <w:t>26.2</w:t>
      </w:r>
      <w:r w:rsidRPr="004B2881">
        <w:rPr>
          <w:b w:val="0"/>
          <w:bCs/>
          <w:lang w:val="fr-FR"/>
        </w:rPr>
        <w:tab/>
        <w:t>Service saisonnier de radiodiffusion sonore en ondes décamétriques</w:t>
      </w:r>
      <w:bookmarkEnd w:id="789"/>
      <w:bookmarkEnd w:id="790"/>
      <w:bookmarkEnd w:id="791"/>
      <w:bookmarkEnd w:id="792"/>
    </w:p>
    <w:p w:rsidR="00B51759" w:rsidRPr="004B2881" w:rsidRDefault="008E7386" w:rsidP="008E7386">
      <w:pPr>
        <w:ind w:left="794" w:hanging="794"/>
        <w:rPr>
          <w:lang w:val="fr-FR"/>
        </w:rPr>
      </w:pPr>
      <w:r w:rsidRPr="004B2881">
        <w:rPr>
          <w:lang w:val="fr-FR"/>
        </w:rPr>
        <w:tab/>
      </w:r>
      <w:r w:rsidR="00B51759" w:rsidRPr="004B2881">
        <w:rPr>
          <w:lang w:val="fr-FR"/>
        </w:rPr>
        <w:t xml:space="preserve">Pour ce service, les droits à acquitter sont facturés en fonction du nombre d'émetteurs, le montant annuel pour chaque émetteur étant de 30 000 AED. </w:t>
      </w:r>
    </w:p>
    <w:p w:rsidR="00B51759" w:rsidRPr="004B2881" w:rsidRDefault="00B51759" w:rsidP="00C3585C">
      <w:pPr>
        <w:pStyle w:val="Heading2"/>
        <w:rPr>
          <w:b w:val="0"/>
          <w:bCs/>
          <w:lang w:val="fr-FR"/>
        </w:rPr>
      </w:pPr>
      <w:bookmarkStart w:id="793" w:name="_Toc280260050"/>
      <w:bookmarkStart w:id="794" w:name="_Toc280272511"/>
      <w:bookmarkStart w:id="795" w:name="_Toc284414182"/>
      <w:bookmarkStart w:id="796" w:name="_Toc286314926"/>
      <w:r w:rsidRPr="004B2881">
        <w:rPr>
          <w:b w:val="0"/>
          <w:bCs/>
          <w:lang w:val="fr-FR"/>
        </w:rPr>
        <w:t>26.3</w:t>
      </w:r>
      <w:r w:rsidRPr="004B2881">
        <w:rPr>
          <w:b w:val="0"/>
          <w:bCs/>
          <w:lang w:val="fr-FR"/>
        </w:rPr>
        <w:tab/>
        <w:t>Radiodiffusion et télévision par satellite</w:t>
      </w:r>
      <w:bookmarkEnd w:id="793"/>
      <w:bookmarkEnd w:id="794"/>
      <w:bookmarkEnd w:id="795"/>
      <w:bookmarkEnd w:id="796"/>
    </w:p>
    <w:p w:rsidR="00B51759" w:rsidRPr="004B2881" w:rsidRDefault="008E7386" w:rsidP="008E7386">
      <w:pPr>
        <w:ind w:left="794" w:hanging="794"/>
        <w:rPr>
          <w:lang w:val="fr-FR"/>
        </w:rPr>
      </w:pPr>
      <w:r w:rsidRPr="004B2881">
        <w:rPr>
          <w:lang w:val="fr-FR"/>
        </w:rPr>
        <w:tab/>
      </w:r>
      <w:r w:rsidR="00B51759" w:rsidRPr="004B2881">
        <w:rPr>
          <w:lang w:val="fr-FR"/>
        </w:rPr>
        <w:t>L'établissement de liaisons montantes de radiodiffusion DAB et DVB-SH est facturé à 200 000 AED par unité multiplex, et à 400 000 AED par unité multiplex pour la DVB</w:t>
      </w:r>
      <w:r w:rsidR="00B51759" w:rsidRPr="004B2881">
        <w:rPr>
          <w:lang w:val="fr-FR"/>
        </w:rPr>
        <w:noBreakHyphen/>
        <w:t>S et la DVB-RCS.</w:t>
      </w:r>
    </w:p>
    <w:p w:rsidR="00B51759" w:rsidRPr="004B2881" w:rsidRDefault="008E7386" w:rsidP="008E7386">
      <w:pPr>
        <w:ind w:left="794" w:hanging="794"/>
        <w:rPr>
          <w:lang w:val="fr-FR"/>
        </w:rPr>
      </w:pPr>
      <w:r w:rsidRPr="004B2881">
        <w:rPr>
          <w:lang w:val="fr-FR"/>
        </w:rPr>
        <w:tab/>
      </w:r>
      <w:r w:rsidR="00B51759" w:rsidRPr="004B2881">
        <w:rPr>
          <w:lang w:val="fr-FR"/>
        </w:rPr>
        <w:t>On entend par unité multiplex un canal (signal) avec une largeur de bande appropriée contenant plusieurs programmes associés par multiplexage et compression numériques.</w:t>
      </w:r>
    </w:p>
    <w:p w:rsidR="00B51759" w:rsidRPr="004B2881" w:rsidRDefault="00C70783" w:rsidP="00C70783">
      <w:pPr>
        <w:pStyle w:val="Arttitle"/>
        <w:spacing w:before="400"/>
        <w:rPr>
          <w:lang w:val="fr-FR"/>
        </w:rPr>
      </w:pPr>
      <w:bookmarkStart w:id="797" w:name="_Toc225739512"/>
      <w:bookmarkStart w:id="798" w:name="_Toc225739856"/>
      <w:bookmarkStart w:id="799" w:name="_Toc280262384"/>
      <w:bookmarkStart w:id="800" w:name="_Toc280272778"/>
      <w:bookmarkStart w:id="801" w:name="_Toc280272957"/>
      <w:bookmarkStart w:id="802" w:name="_Toc284419472"/>
      <w:bookmarkStart w:id="803" w:name="_Toc286315789"/>
      <w:r w:rsidRPr="004B2881">
        <w:rPr>
          <w:lang w:val="fr-FR"/>
        </w:rPr>
        <w:t xml:space="preserve">Article </w:t>
      </w:r>
      <w:r w:rsidR="00B51759" w:rsidRPr="004B2881">
        <w:rPr>
          <w:lang w:val="fr-FR"/>
        </w:rPr>
        <w:t>27</w:t>
      </w:r>
      <w:bookmarkEnd w:id="797"/>
      <w:bookmarkEnd w:id="798"/>
      <w:r w:rsidR="00B51759" w:rsidRPr="004B2881">
        <w:rPr>
          <w:lang w:val="fr-FR"/>
        </w:rPr>
        <w:br/>
      </w:r>
      <w:r w:rsidR="00B51759" w:rsidRPr="004B2881">
        <w:rPr>
          <w:lang w:val="fr-FR"/>
        </w:rPr>
        <w:br/>
      </w:r>
      <w:bookmarkStart w:id="804" w:name="_Toc225739513"/>
      <w:bookmarkStart w:id="805" w:name="_Toc225739857"/>
      <w:r w:rsidR="00B51759" w:rsidRPr="004B2881">
        <w:rPr>
          <w:lang w:val="fr-FR"/>
        </w:rPr>
        <w:t>Systèmes à courte portée</w:t>
      </w:r>
      <w:bookmarkEnd w:id="799"/>
      <w:bookmarkEnd w:id="800"/>
      <w:bookmarkEnd w:id="801"/>
      <w:bookmarkEnd w:id="802"/>
      <w:bookmarkEnd w:id="803"/>
      <w:bookmarkEnd w:id="804"/>
      <w:bookmarkEnd w:id="805"/>
    </w:p>
    <w:p w:rsidR="00B51759" w:rsidRPr="004B2881" w:rsidRDefault="00B51759" w:rsidP="00B51759">
      <w:pPr>
        <w:pStyle w:val="enumlev1"/>
        <w:rPr>
          <w:rFonts w:asciiTheme="majorBidi" w:hAnsiTheme="majorBidi" w:cstheme="majorBidi"/>
          <w:szCs w:val="22"/>
          <w:lang w:val="fr-FR"/>
        </w:rPr>
      </w:pPr>
      <w:r w:rsidRPr="004B2881">
        <w:rPr>
          <w:rFonts w:asciiTheme="majorBidi" w:hAnsiTheme="majorBidi" w:cstheme="majorBidi"/>
          <w:szCs w:val="22"/>
          <w:lang w:val="fr-FR"/>
        </w:rPr>
        <w:t>27.1</w:t>
      </w:r>
      <w:r w:rsidRPr="004B2881">
        <w:rPr>
          <w:rFonts w:asciiTheme="majorBidi" w:hAnsiTheme="majorBidi" w:cstheme="majorBidi"/>
          <w:szCs w:val="22"/>
          <w:lang w:val="fr-FR"/>
        </w:rPr>
        <w:tab/>
        <w:t>Tous les équipements de transmission sans fil pouvant être considérés comme systèmes à courte portée, selon les critères définis par la TRA, sont exemptés du paiement de droits annuels. Ces équipements font l'objet d'une autorisation catégorielle.</w:t>
      </w:r>
    </w:p>
    <w:p w:rsidR="00B51759" w:rsidRPr="004B2881" w:rsidRDefault="00B51759" w:rsidP="00A86C2E">
      <w:pPr>
        <w:pStyle w:val="enumlev1"/>
        <w:rPr>
          <w:rFonts w:asciiTheme="majorBidi" w:hAnsiTheme="majorBidi" w:cstheme="majorBidi"/>
          <w:szCs w:val="22"/>
          <w:lang w:val="fr-FR"/>
        </w:rPr>
      </w:pPr>
      <w:r w:rsidRPr="004B2881">
        <w:rPr>
          <w:rFonts w:asciiTheme="majorBidi" w:hAnsiTheme="majorBidi" w:cstheme="majorBidi"/>
          <w:szCs w:val="22"/>
          <w:lang w:val="fr-FR"/>
        </w:rPr>
        <w:t>27.2</w:t>
      </w:r>
      <w:r w:rsidRPr="004B2881">
        <w:rPr>
          <w:rFonts w:asciiTheme="majorBidi" w:hAnsiTheme="majorBidi" w:cstheme="majorBidi"/>
          <w:szCs w:val="22"/>
          <w:lang w:val="fr-FR"/>
        </w:rPr>
        <w:tab/>
        <w:t>Pour les équipements de transmission de faible puissance prévus pour être utilisés exclusivement à l'intérieur et ayant une puissance apparente rayonnée de moins de 1 W et n'étant pas classés comme systèmes à courte portée, les droits à acquitter sont les suivants:</w:t>
      </w:r>
    </w:p>
    <w:p w:rsidR="006671B1" w:rsidRPr="004B2881" w:rsidRDefault="006671B1" w:rsidP="006671B1">
      <w:pPr>
        <w:rPr>
          <w:lang w:val="fr-FR"/>
        </w:rPr>
      </w:pPr>
    </w:p>
    <w:p w:rsidR="006671B1" w:rsidRPr="004B2881" w:rsidRDefault="006671B1" w:rsidP="00A27EBA">
      <w:pPr>
        <w:pStyle w:val="FigureTitle"/>
        <w:rPr>
          <w:lang w:val="fr-FR"/>
        </w:rPr>
      </w:pPr>
      <w:r w:rsidRPr="004B2881">
        <w:rPr>
          <w:lang w:val="fr-FR"/>
        </w:rPr>
        <w:t xml:space="preserve">Tableau </w:t>
      </w:r>
      <w:r w:rsidR="0084368D" w:rsidRPr="004B2881">
        <w:rPr>
          <w:lang w:val="fr-FR"/>
        </w:rPr>
        <w:fldChar w:fldCharType="begin"/>
      </w:r>
      <w:r w:rsidR="00A53D32" w:rsidRPr="004B2881">
        <w:rPr>
          <w:lang w:val="fr-FR"/>
        </w:rPr>
        <w:instrText xml:space="preserve"> SEQ Figure \* ARABIC </w:instrText>
      </w:r>
      <w:r w:rsidR="0084368D" w:rsidRPr="004B2881">
        <w:rPr>
          <w:lang w:val="fr-FR"/>
        </w:rPr>
        <w:fldChar w:fldCharType="separate"/>
      </w:r>
      <w:r w:rsidR="003301EC" w:rsidRPr="004B2881">
        <w:rPr>
          <w:noProof/>
          <w:lang w:val="fr-FR"/>
        </w:rPr>
        <w:t>8</w:t>
      </w:r>
      <w:r w:rsidR="0084368D" w:rsidRPr="004B2881">
        <w:rPr>
          <w:lang w:val="fr-FR"/>
        </w:rPr>
        <w:fldChar w:fldCharType="end"/>
      </w:r>
      <w:r w:rsidRPr="004B2881">
        <w:rPr>
          <w:lang w:val="fr-FR"/>
        </w:rPr>
        <w:t xml:space="preserve"> – </w:t>
      </w:r>
      <w:r w:rsidR="00A27EBA" w:rsidRPr="004B2881">
        <w:rPr>
          <w:lang w:val="fr-FR"/>
        </w:rPr>
        <w:t>Montant annuel des droits à acquitter pour les équipements à faible puissance</w:t>
      </w:r>
    </w:p>
    <w:p w:rsidR="006671B1" w:rsidRPr="004B2881" w:rsidRDefault="006671B1" w:rsidP="006671B1">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272"/>
      </w:tblGrid>
      <w:tr w:rsidR="006671B1" w:rsidRPr="004B2881" w:rsidTr="006671B1">
        <w:trPr>
          <w:jc w:val="center"/>
        </w:trPr>
        <w:tc>
          <w:tcPr>
            <w:tcW w:w="2470" w:type="dxa"/>
            <w:shd w:val="clear" w:color="auto" w:fill="E6E6E6"/>
          </w:tcPr>
          <w:p w:rsidR="006671B1" w:rsidRPr="004B2881" w:rsidRDefault="006671B1" w:rsidP="006671B1">
            <w:pPr>
              <w:pStyle w:val="Tablehead"/>
              <w:spacing w:before="120" w:after="120"/>
              <w:rPr>
                <w:rFonts w:asciiTheme="majorBidi" w:hAnsiTheme="majorBidi" w:cstheme="majorBidi"/>
                <w:szCs w:val="22"/>
                <w:lang w:val="fr-FR"/>
              </w:rPr>
            </w:pPr>
            <w:r w:rsidRPr="004B2881">
              <w:rPr>
                <w:rFonts w:asciiTheme="majorBidi" w:hAnsiTheme="majorBidi" w:cstheme="majorBidi"/>
                <w:szCs w:val="22"/>
                <w:lang w:val="fr-FR"/>
              </w:rPr>
              <w:t>Puissance émise</w:t>
            </w:r>
          </w:p>
        </w:tc>
        <w:tc>
          <w:tcPr>
            <w:tcW w:w="2272" w:type="dxa"/>
            <w:shd w:val="clear" w:color="auto" w:fill="E6E6E6"/>
          </w:tcPr>
          <w:p w:rsidR="006671B1" w:rsidRPr="004B2881" w:rsidRDefault="006671B1" w:rsidP="006671B1">
            <w:pPr>
              <w:pStyle w:val="Tablehead"/>
              <w:spacing w:before="120" w:after="120"/>
              <w:rPr>
                <w:rFonts w:asciiTheme="majorBidi" w:hAnsiTheme="majorBidi" w:cstheme="majorBidi"/>
                <w:szCs w:val="22"/>
                <w:lang w:val="fr-FR"/>
              </w:rPr>
            </w:pPr>
            <w:r w:rsidRPr="004B2881">
              <w:rPr>
                <w:rFonts w:asciiTheme="majorBidi" w:hAnsiTheme="majorBidi" w:cstheme="majorBidi"/>
                <w:szCs w:val="22"/>
                <w:lang w:val="fr-FR"/>
              </w:rPr>
              <w:t>Droits annuels</w:t>
            </w:r>
          </w:p>
        </w:tc>
      </w:tr>
      <w:tr w:rsidR="006671B1" w:rsidRPr="004B2881" w:rsidTr="006671B1">
        <w:trPr>
          <w:trHeight w:hRule="exact" w:val="340"/>
          <w:jc w:val="center"/>
        </w:trPr>
        <w:tc>
          <w:tcPr>
            <w:tcW w:w="2470" w:type="dxa"/>
            <w:vAlign w:val="center"/>
          </w:tcPr>
          <w:p w:rsidR="006671B1" w:rsidRPr="004B2881" w:rsidRDefault="006671B1"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Jusqu'à 10 mW</w:t>
            </w:r>
          </w:p>
        </w:tc>
        <w:tc>
          <w:tcPr>
            <w:tcW w:w="2272" w:type="dxa"/>
            <w:vAlign w:val="center"/>
          </w:tcPr>
          <w:p w:rsidR="006671B1" w:rsidRPr="004B2881" w:rsidRDefault="006671B1"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100 AED</w:t>
            </w:r>
          </w:p>
        </w:tc>
      </w:tr>
      <w:tr w:rsidR="006671B1" w:rsidRPr="004B2881" w:rsidTr="006671B1">
        <w:trPr>
          <w:trHeight w:hRule="exact" w:val="340"/>
          <w:jc w:val="center"/>
        </w:trPr>
        <w:tc>
          <w:tcPr>
            <w:tcW w:w="2470" w:type="dxa"/>
            <w:vAlign w:val="center"/>
          </w:tcPr>
          <w:p w:rsidR="006671B1" w:rsidRPr="004B2881" w:rsidRDefault="006671B1"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De 10 mW à 100 mW</w:t>
            </w:r>
          </w:p>
        </w:tc>
        <w:tc>
          <w:tcPr>
            <w:tcW w:w="2272" w:type="dxa"/>
            <w:vAlign w:val="center"/>
          </w:tcPr>
          <w:p w:rsidR="006671B1" w:rsidRPr="004B2881" w:rsidRDefault="006671B1"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200 AED</w:t>
            </w:r>
          </w:p>
        </w:tc>
      </w:tr>
      <w:tr w:rsidR="006671B1" w:rsidRPr="004B2881" w:rsidTr="006671B1">
        <w:trPr>
          <w:trHeight w:hRule="exact" w:val="340"/>
          <w:jc w:val="center"/>
        </w:trPr>
        <w:tc>
          <w:tcPr>
            <w:tcW w:w="2470" w:type="dxa"/>
            <w:vAlign w:val="center"/>
          </w:tcPr>
          <w:p w:rsidR="006671B1" w:rsidRPr="004B2881" w:rsidRDefault="006671B1" w:rsidP="00F84A9A">
            <w:pPr>
              <w:pStyle w:val="Tabletext"/>
              <w:rPr>
                <w:rFonts w:asciiTheme="majorBidi" w:hAnsiTheme="majorBidi" w:cstheme="majorBidi"/>
                <w:szCs w:val="22"/>
                <w:lang w:val="fr-FR"/>
              </w:rPr>
            </w:pPr>
            <w:r w:rsidRPr="004B2881">
              <w:rPr>
                <w:rFonts w:asciiTheme="majorBidi" w:hAnsiTheme="majorBidi" w:cstheme="majorBidi"/>
                <w:szCs w:val="22"/>
                <w:lang w:val="fr-FR"/>
              </w:rPr>
              <w:t>De 100 mW à 1 W</w:t>
            </w:r>
          </w:p>
        </w:tc>
        <w:tc>
          <w:tcPr>
            <w:tcW w:w="2272" w:type="dxa"/>
            <w:vAlign w:val="center"/>
          </w:tcPr>
          <w:p w:rsidR="006671B1" w:rsidRPr="004B2881" w:rsidRDefault="006671B1" w:rsidP="00F84A9A">
            <w:pPr>
              <w:pStyle w:val="Tabletext"/>
              <w:jc w:val="center"/>
              <w:rPr>
                <w:rFonts w:asciiTheme="majorBidi" w:hAnsiTheme="majorBidi" w:cstheme="majorBidi"/>
                <w:szCs w:val="22"/>
                <w:lang w:val="fr-FR"/>
              </w:rPr>
            </w:pPr>
            <w:r w:rsidRPr="004B2881">
              <w:rPr>
                <w:rFonts w:asciiTheme="majorBidi" w:hAnsiTheme="majorBidi" w:cstheme="majorBidi"/>
                <w:szCs w:val="22"/>
                <w:lang w:val="fr-FR"/>
              </w:rPr>
              <w:t>400 AED</w:t>
            </w:r>
          </w:p>
        </w:tc>
      </w:tr>
    </w:tbl>
    <w:p w:rsidR="006671B1" w:rsidRPr="004B2881" w:rsidRDefault="006671B1" w:rsidP="006671B1">
      <w:pPr>
        <w:pStyle w:val="FigureSource"/>
        <w:rPr>
          <w:lang w:val="fr-FR"/>
        </w:rPr>
      </w:pPr>
    </w:p>
    <w:p w:rsidR="006671B1" w:rsidRPr="004B2881" w:rsidRDefault="006671B1" w:rsidP="00A86C2E">
      <w:pPr>
        <w:pStyle w:val="enumlev1"/>
        <w:rPr>
          <w:rFonts w:asciiTheme="majorBidi" w:hAnsiTheme="majorBidi" w:cstheme="majorBidi"/>
          <w:szCs w:val="22"/>
          <w:lang w:val="fr-FR"/>
        </w:rPr>
      </w:pPr>
    </w:p>
    <w:p w:rsidR="00B51759" w:rsidRPr="004B2881" w:rsidRDefault="00C70783" w:rsidP="00C70783">
      <w:pPr>
        <w:pStyle w:val="Arttitle"/>
        <w:spacing w:before="400"/>
        <w:rPr>
          <w:lang w:val="fr-FR"/>
        </w:rPr>
      </w:pPr>
      <w:bookmarkStart w:id="806" w:name="_Toc280262385"/>
      <w:bookmarkStart w:id="807" w:name="_Toc280272779"/>
      <w:bookmarkStart w:id="808" w:name="_Toc280272958"/>
      <w:bookmarkStart w:id="809" w:name="_Toc284419473"/>
      <w:bookmarkStart w:id="810" w:name="_Toc286315790"/>
      <w:r w:rsidRPr="004B2881">
        <w:rPr>
          <w:lang w:val="fr-FR"/>
        </w:rPr>
        <w:t xml:space="preserve">Article </w:t>
      </w:r>
      <w:r w:rsidR="00B51759" w:rsidRPr="004B2881">
        <w:rPr>
          <w:lang w:val="fr-FR"/>
        </w:rPr>
        <w:t>28</w:t>
      </w:r>
      <w:r w:rsidR="00B51759" w:rsidRPr="004B2881">
        <w:rPr>
          <w:lang w:val="fr-FR"/>
        </w:rPr>
        <w:br/>
      </w:r>
      <w:r w:rsidR="00B51759" w:rsidRPr="004B2881">
        <w:rPr>
          <w:lang w:val="fr-FR"/>
        </w:rPr>
        <w:br/>
      </w:r>
      <w:bookmarkStart w:id="811" w:name="_Toc225739858"/>
      <w:r w:rsidR="00B51759" w:rsidRPr="004B2881">
        <w:rPr>
          <w:lang w:val="fr-FR"/>
        </w:rPr>
        <w:t>Fréquences à utiliser en cas d'urgence et de catastrophe</w:t>
      </w:r>
      <w:bookmarkEnd w:id="806"/>
      <w:bookmarkEnd w:id="807"/>
      <w:bookmarkEnd w:id="808"/>
      <w:bookmarkEnd w:id="809"/>
      <w:bookmarkEnd w:id="810"/>
      <w:bookmarkEnd w:id="811"/>
    </w:p>
    <w:p w:rsidR="00B51759" w:rsidRPr="004B2881" w:rsidRDefault="00B51759" w:rsidP="00B51759">
      <w:pPr>
        <w:rPr>
          <w:lang w:val="fr-FR"/>
        </w:rPr>
      </w:pPr>
      <w:r w:rsidRPr="004B2881">
        <w:rPr>
          <w:lang w:val="fr-FR"/>
        </w:rPr>
        <w:t xml:space="preserve">L'utilisation de toutes les fréquences identifiées dans le Plan national des fréquences et dans le Tableau national d'attribution des bandes de fréquences comme utilisées pour les secours d'urgence, les appels de détresse et la sécurité de la vie humaine est exempte de droits. Tous les équipements de transmission sans fil fabriqués exclusivement pour assurer la sécurité de la vie humaine et agréés par le </w:t>
      </w:r>
      <w:r w:rsidRPr="004B2881">
        <w:rPr>
          <w:szCs w:val="24"/>
          <w:lang w:val="fr-FR"/>
        </w:rPr>
        <w:t>Directeur</w:t>
      </w:r>
      <w:r w:rsidRPr="004B2881">
        <w:rPr>
          <w:lang w:val="fr-FR"/>
        </w:rPr>
        <w:t xml:space="preserve"> général de la TRA comme relevant de cette catégorie sont exempts de droits. </w:t>
      </w:r>
    </w:p>
    <w:p w:rsidR="00B51759" w:rsidRPr="004B2881" w:rsidRDefault="00C70783" w:rsidP="00C70783">
      <w:pPr>
        <w:pStyle w:val="Arttitle"/>
        <w:spacing w:before="400"/>
        <w:rPr>
          <w:lang w:val="fr-FR"/>
        </w:rPr>
      </w:pPr>
      <w:bookmarkStart w:id="812" w:name="_Toc225739514"/>
      <w:bookmarkStart w:id="813" w:name="_Toc225739859"/>
      <w:bookmarkStart w:id="814" w:name="_Toc280262386"/>
      <w:bookmarkStart w:id="815" w:name="_Toc280272780"/>
      <w:bookmarkStart w:id="816" w:name="_Toc280272959"/>
      <w:bookmarkStart w:id="817" w:name="_Toc284419474"/>
      <w:bookmarkStart w:id="818" w:name="_Toc286315791"/>
      <w:r w:rsidRPr="004B2881">
        <w:rPr>
          <w:lang w:val="fr-FR"/>
        </w:rPr>
        <w:lastRenderedPageBreak/>
        <w:t xml:space="preserve">Article </w:t>
      </w:r>
      <w:r w:rsidR="00B51759" w:rsidRPr="004B2881">
        <w:rPr>
          <w:lang w:val="fr-FR"/>
        </w:rPr>
        <w:t>29</w:t>
      </w:r>
      <w:bookmarkEnd w:id="812"/>
      <w:bookmarkEnd w:id="813"/>
      <w:r w:rsidR="00B51759" w:rsidRPr="004B2881">
        <w:rPr>
          <w:lang w:val="fr-FR"/>
        </w:rPr>
        <w:br/>
      </w:r>
      <w:r w:rsidR="00B51759" w:rsidRPr="004B2881">
        <w:rPr>
          <w:lang w:val="fr-FR"/>
        </w:rPr>
        <w:br/>
      </w:r>
      <w:bookmarkStart w:id="819" w:name="_Toc225739515"/>
      <w:bookmarkStart w:id="820" w:name="_Toc225739860"/>
      <w:r w:rsidR="00B51759" w:rsidRPr="004B2881">
        <w:rPr>
          <w:lang w:val="fr-FR"/>
        </w:rPr>
        <w:t>Autorisation temporaire</w:t>
      </w:r>
      <w:bookmarkEnd w:id="814"/>
      <w:bookmarkEnd w:id="815"/>
      <w:bookmarkEnd w:id="816"/>
      <w:bookmarkEnd w:id="817"/>
      <w:bookmarkEnd w:id="818"/>
      <w:bookmarkEnd w:id="819"/>
      <w:bookmarkEnd w:id="820"/>
    </w:p>
    <w:p w:rsidR="00B51759" w:rsidRPr="004B2881" w:rsidRDefault="00B51759" w:rsidP="00B51759">
      <w:pPr>
        <w:rPr>
          <w:lang w:val="fr-FR"/>
        </w:rPr>
      </w:pPr>
      <w:r w:rsidRPr="004B2881">
        <w:rPr>
          <w:lang w:val="fr-FR"/>
        </w:rPr>
        <w:t xml:space="preserve">Le montant des droits pour une autorisation temporaire est calculé au prorata du montant des droits annuels perçus pour les services de radiocommunication. Néanmoins, un montant minimal de 100 AED est perçu dans tous les cas. Les droits d'utilisation temporaire des fréquences radioélectriques s'ajoutent aux droits de traitement des demandes. </w:t>
      </w:r>
    </w:p>
    <w:p w:rsidR="00B51759" w:rsidRPr="004B2881" w:rsidRDefault="00C70783" w:rsidP="00C70783">
      <w:pPr>
        <w:pStyle w:val="Arttitle"/>
        <w:spacing w:before="400"/>
        <w:rPr>
          <w:lang w:val="fr-FR"/>
        </w:rPr>
      </w:pPr>
      <w:bookmarkStart w:id="821" w:name="_Toc225739516"/>
      <w:bookmarkStart w:id="822" w:name="_Toc225739861"/>
      <w:bookmarkStart w:id="823" w:name="_Toc280262387"/>
      <w:bookmarkStart w:id="824" w:name="_Toc280272781"/>
      <w:bookmarkStart w:id="825" w:name="_Toc280272960"/>
      <w:bookmarkStart w:id="826" w:name="_Toc284419475"/>
      <w:bookmarkStart w:id="827" w:name="_Toc286315792"/>
      <w:r w:rsidRPr="004B2881">
        <w:rPr>
          <w:lang w:val="fr-FR"/>
        </w:rPr>
        <w:t xml:space="preserve">Article </w:t>
      </w:r>
      <w:r w:rsidR="00B51759" w:rsidRPr="004B2881">
        <w:rPr>
          <w:lang w:val="fr-FR"/>
        </w:rPr>
        <w:t>30</w:t>
      </w:r>
      <w:bookmarkEnd w:id="821"/>
      <w:bookmarkEnd w:id="822"/>
      <w:r w:rsidR="00B51759" w:rsidRPr="004B2881">
        <w:rPr>
          <w:lang w:val="fr-FR"/>
        </w:rPr>
        <w:br/>
      </w:r>
      <w:r w:rsidR="00B51759" w:rsidRPr="004B2881">
        <w:rPr>
          <w:lang w:val="fr-FR"/>
        </w:rPr>
        <w:br/>
      </w:r>
      <w:bookmarkStart w:id="828" w:name="_Toc225739517"/>
      <w:bookmarkStart w:id="829" w:name="_Toc225739862"/>
      <w:r w:rsidR="00B51759" w:rsidRPr="004B2881">
        <w:rPr>
          <w:lang w:val="fr-FR"/>
        </w:rPr>
        <w:t>Autres services de radiocommunication</w:t>
      </w:r>
      <w:bookmarkEnd w:id="823"/>
      <w:bookmarkEnd w:id="824"/>
      <w:bookmarkEnd w:id="825"/>
      <w:bookmarkEnd w:id="826"/>
      <w:bookmarkEnd w:id="827"/>
      <w:bookmarkEnd w:id="828"/>
      <w:bookmarkEnd w:id="829"/>
    </w:p>
    <w:p w:rsidR="00B51759" w:rsidRPr="004B2881" w:rsidRDefault="00B51759" w:rsidP="003E69DA">
      <w:pPr>
        <w:rPr>
          <w:lang w:val="fr-FR"/>
        </w:rPr>
      </w:pPr>
      <w:r w:rsidRPr="004B2881">
        <w:rPr>
          <w:lang w:val="fr-FR"/>
        </w:rPr>
        <w:t xml:space="preserve">Le montant annuel des droits à acquitter pour l'autorisation d'utiliser d'autres services de radiocommunication non mentionnés </w:t>
      </w:r>
      <w:r w:rsidR="004B2881" w:rsidRPr="004B2881">
        <w:rPr>
          <w:lang w:val="fr-FR"/>
        </w:rPr>
        <w:t>ci-dessus</w:t>
      </w:r>
      <w:r w:rsidRPr="004B2881">
        <w:rPr>
          <w:lang w:val="fr-FR"/>
        </w:rPr>
        <w:t xml:space="preserve"> est déterminé par la TRA et son application prend effet dès approbation du Directeur général, avant même que soit publiée une version révisée de la présente directive. </w:t>
      </w:r>
    </w:p>
    <w:p w:rsidR="00B51759" w:rsidRPr="004B2881" w:rsidRDefault="00C70783" w:rsidP="00C70783">
      <w:pPr>
        <w:pStyle w:val="Arttitle"/>
        <w:spacing w:before="400"/>
        <w:rPr>
          <w:lang w:val="fr-FR"/>
        </w:rPr>
      </w:pPr>
      <w:bookmarkStart w:id="830" w:name="_Toc225739518"/>
      <w:bookmarkStart w:id="831" w:name="_Toc225739863"/>
      <w:bookmarkStart w:id="832" w:name="_Toc280262388"/>
      <w:bookmarkStart w:id="833" w:name="_Toc280272782"/>
      <w:bookmarkStart w:id="834" w:name="_Toc280272961"/>
      <w:bookmarkStart w:id="835" w:name="_Toc284419476"/>
      <w:bookmarkStart w:id="836" w:name="_Toc286315793"/>
      <w:r w:rsidRPr="004B2881">
        <w:rPr>
          <w:lang w:val="fr-FR"/>
        </w:rPr>
        <w:t xml:space="preserve">Article </w:t>
      </w:r>
      <w:r w:rsidR="00B51759" w:rsidRPr="004B2881">
        <w:rPr>
          <w:lang w:val="fr-FR"/>
        </w:rPr>
        <w:t>31</w:t>
      </w:r>
      <w:bookmarkEnd w:id="830"/>
      <w:bookmarkEnd w:id="831"/>
      <w:r w:rsidR="00B51759" w:rsidRPr="004B2881">
        <w:rPr>
          <w:lang w:val="fr-FR"/>
        </w:rPr>
        <w:br/>
      </w:r>
      <w:r w:rsidR="00B51759" w:rsidRPr="004B2881">
        <w:rPr>
          <w:lang w:val="fr-FR"/>
        </w:rPr>
        <w:br/>
      </w:r>
      <w:bookmarkStart w:id="837" w:name="_Toc225739519"/>
      <w:bookmarkStart w:id="838" w:name="_Toc225739864"/>
      <w:r w:rsidR="00B51759" w:rsidRPr="004B2881">
        <w:rPr>
          <w:lang w:val="fr-FR"/>
        </w:rPr>
        <w:t>Traitement des plaintes pour brouillages et droits applicables</w:t>
      </w:r>
      <w:bookmarkEnd w:id="832"/>
      <w:bookmarkEnd w:id="833"/>
      <w:bookmarkEnd w:id="834"/>
      <w:bookmarkEnd w:id="835"/>
      <w:bookmarkEnd w:id="836"/>
      <w:bookmarkEnd w:id="837"/>
      <w:bookmarkEnd w:id="838"/>
    </w:p>
    <w:p w:rsidR="00B51759" w:rsidRPr="004B2881" w:rsidRDefault="00B51759" w:rsidP="003E69DA">
      <w:pPr>
        <w:rPr>
          <w:lang w:val="fr-FR"/>
        </w:rPr>
      </w:pPr>
      <w:r w:rsidRPr="004B2881">
        <w:rPr>
          <w:lang w:val="fr-FR"/>
        </w:rPr>
        <w:t>La TRA détermine le montant des droits à acquitter en cas de plainte pour brouillages ainsi que le montant des droits applicables au cas par cas, sous réserve de l'approbation du Directeur général.</w:t>
      </w:r>
    </w:p>
    <w:p w:rsidR="00B51759" w:rsidRPr="004B2881" w:rsidRDefault="00C70783" w:rsidP="00C70783">
      <w:pPr>
        <w:pStyle w:val="Arttitle"/>
        <w:spacing w:before="400"/>
        <w:rPr>
          <w:lang w:val="fr-FR"/>
        </w:rPr>
      </w:pPr>
      <w:bookmarkStart w:id="839" w:name="_Toc225739520"/>
      <w:bookmarkStart w:id="840" w:name="_Toc225739865"/>
      <w:bookmarkStart w:id="841" w:name="_Toc280262389"/>
      <w:bookmarkStart w:id="842" w:name="_Toc280272783"/>
      <w:bookmarkStart w:id="843" w:name="_Toc280272962"/>
      <w:bookmarkStart w:id="844" w:name="_Toc284419477"/>
      <w:bookmarkStart w:id="845" w:name="_Toc286315794"/>
      <w:r w:rsidRPr="004B2881">
        <w:rPr>
          <w:lang w:val="fr-FR"/>
        </w:rPr>
        <w:t xml:space="preserve">Article </w:t>
      </w:r>
      <w:r w:rsidR="00B51759" w:rsidRPr="004B2881">
        <w:rPr>
          <w:lang w:val="fr-FR"/>
        </w:rPr>
        <w:t>32</w:t>
      </w:r>
      <w:bookmarkEnd w:id="839"/>
      <w:bookmarkEnd w:id="840"/>
      <w:r w:rsidR="00B51759" w:rsidRPr="004B2881">
        <w:rPr>
          <w:lang w:val="fr-FR"/>
        </w:rPr>
        <w:br/>
      </w:r>
      <w:r w:rsidR="00B51759" w:rsidRPr="004B2881">
        <w:rPr>
          <w:lang w:val="fr-FR"/>
        </w:rPr>
        <w:br/>
      </w:r>
      <w:bookmarkStart w:id="846" w:name="_Toc225739521"/>
      <w:bookmarkStart w:id="847" w:name="_Toc225739866"/>
      <w:r w:rsidR="00B51759" w:rsidRPr="004B2881">
        <w:rPr>
          <w:lang w:val="fr-FR"/>
        </w:rPr>
        <w:t xml:space="preserve">Droits à acquitter par les ambassades et consulats de pays étrangers </w:t>
      </w:r>
      <w:r w:rsidR="00B51759" w:rsidRPr="004B2881">
        <w:rPr>
          <w:lang w:val="fr-FR"/>
        </w:rPr>
        <w:br/>
        <w:t>et par les missions diplomatiques</w:t>
      </w:r>
      <w:bookmarkEnd w:id="841"/>
      <w:bookmarkEnd w:id="842"/>
      <w:bookmarkEnd w:id="843"/>
      <w:bookmarkEnd w:id="844"/>
      <w:bookmarkEnd w:id="845"/>
      <w:bookmarkEnd w:id="846"/>
      <w:bookmarkEnd w:id="847"/>
    </w:p>
    <w:p w:rsidR="00B51759" w:rsidRPr="004B2881" w:rsidRDefault="00B51759" w:rsidP="003E69DA">
      <w:pPr>
        <w:rPr>
          <w:lang w:val="fr-FR"/>
        </w:rPr>
      </w:pPr>
      <w:r w:rsidRPr="004B2881">
        <w:rPr>
          <w:lang w:val="fr-FR"/>
        </w:rPr>
        <w:t>Les ambassades et consulats de pays étrangers ainsi que les missions diplomatiques et les visites d'Etat de hautes personnalités sont exemptés du paiement des droits d'utilisation du spectre, pour autant que la même exemption s'applique aux ambassades, consulats et missions des Emirats arabes unis dans le pays d'origine. Cette exemption s'applique également à la correspondance officielle qui relève de la Convention de Vienne sur les relations diplomatiques et qui passe par le Ministère des affaires étrangères des Emirats arabes unis.</w:t>
      </w:r>
    </w:p>
    <w:p w:rsidR="00B51759" w:rsidRPr="004B2881" w:rsidRDefault="00C70783" w:rsidP="00C70783">
      <w:pPr>
        <w:pStyle w:val="Arttitle"/>
        <w:spacing w:before="400"/>
        <w:rPr>
          <w:lang w:val="fr-FR"/>
        </w:rPr>
      </w:pPr>
      <w:bookmarkStart w:id="848" w:name="_Toc225739522"/>
      <w:bookmarkStart w:id="849" w:name="_Toc225739867"/>
      <w:bookmarkStart w:id="850" w:name="_Toc280262390"/>
      <w:bookmarkStart w:id="851" w:name="_Toc280272784"/>
      <w:bookmarkStart w:id="852" w:name="_Toc280272963"/>
      <w:bookmarkStart w:id="853" w:name="_Toc284419478"/>
      <w:bookmarkStart w:id="854" w:name="_Toc286315795"/>
      <w:r w:rsidRPr="004B2881">
        <w:rPr>
          <w:lang w:val="fr-FR"/>
        </w:rPr>
        <w:t xml:space="preserve">Article </w:t>
      </w:r>
      <w:r w:rsidR="00B51759" w:rsidRPr="004B2881">
        <w:rPr>
          <w:lang w:val="fr-FR"/>
        </w:rPr>
        <w:t>33</w:t>
      </w:r>
      <w:bookmarkEnd w:id="848"/>
      <w:bookmarkEnd w:id="849"/>
      <w:r w:rsidR="00B51759" w:rsidRPr="004B2881">
        <w:rPr>
          <w:lang w:val="fr-FR"/>
        </w:rPr>
        <w:br/>
      </w:r>
      <w:r w:rsidR="00B51759" w:rsidRPr="004B2881">
        <w:rPr>
          <w:lang w:val="fr-FR"/>
        </w:rPr>
        <w:br/>
      </w:r>
      <w:bookmarkStart w:id="855" w:name="_Toc225739523"/>
      <w:bookmarkStart w:id="856" w:name="_Toc225739868"/>
      <w:r w:rsidR="00B51759" w:rsidRPr="004B2881">
        <w:rPr>
          <w:lang w:val="fr-FR"/>
        </w:rPr>
        <w:t>Droits à acquitter pour la visite des emplacements</w:t>
      </w:r>
      <w:bookmarkEnd w:id="850"/>
      <w:bookmarkEnd w:id="851"/>
      <w:bookmarkEnd w:id="852"/>
      <w:bookmarkEnd w:id="853"/>
      <w:bookmarkEnd w:id="854"/>
      <w:bookmarkEnd w:id="855"/>
      <w:bookmarkEnd w:id="856"/>
    </w:p>
    <w:p w:rsidR="00B51759" w:rsidRPr="004B2881" w:rsidRDefault="00B51759" w:rsidP="003E69DA">
      <w:pPr>
        <w:rPr>
          <w:lang w:val="fr-FR"/>
        </w:rPr>
      </w:pPr>
      <w:r w:rsidRPr="004B2881">
        <w:rPr>
          <w:lang w:val="fr-FR"/>
        </w:rPr>
        <w:t>Les droits suivants sont à acquitter pour la visite des emplacements sous la conduite de l'Autorité responsable, à la demande de l'utilisateur agréé et à des fins d'assistance technique:</w:t>
      </w:r>
    </w:p>
    <w:p w:rsidR="00B51759" w:rsidRPr="004B2881" w:rsidRDefault="00B51759" w:rsidP="00734661">
      <w:pPr>
        <w:tabs>
          <w:tab w:val="left" w:pos="567"/>
        </w:tabs>
        <w:ind w:left="1191" w:hanging="1191"/>
        <w:jc w:val="center"/>
        <w:rPr>
          <w:lang w:val="fr-FR"/>
        </w:rPr>
      </w:pPr>
      <w:r w:rsidRPr="004B2881">
        <w:rPr>
          <w:lang w:val="fr-FR"/>
        </w:rPr>
        <w:t>Droits à acquitter pour la visite des emplacements = 5</w:t>
      </w:r>
      <w:r w:rsidR="008C1228" w:rsidRPr="004B2881">
        <w:rPr>
          <w:rFonts w:asciiTheme="majorBidi" w:hAnsiTheme="majorBidi" w:cstheme="majorBidi"/>
          <w:sz w:val="12"/>
          <w:szCs w:val="12"/>
          <w:lang w:val="fr-FR"/>
        </w:rPr>
        <w:t> </w:t>
      </w:r>
      <w:r w:rsidRPr="004B2881">
        <w:rPr>
          <w:lang w:val="fr-FR"/>
        </w:rPr>
        <w:t>000 AED par jour et par visite</w:t>
      </w:r>
    </w:p>
    <w:p w:rsidR="00B51759" w:rsidRPr="004B2881" w:rsidRDefault="00C70783" w:rsidP="00C70783">
      <w:pPr>
        <w:pStyle w:val="Arttitle"/>
        <w:spacing w:before="400"/>
        <w:rPr>
          <w:lang w:val="fr-FR"/>
        </w:rPr>
      </w:pPr>
      <w:bookmarkStart w:id="857" w:name="_Toc225739524"/>
      <w:bookmarkStart w:id="858" w:name="_Toc225739869"/>
      <w:bookmarkStart w:id="859" w:name="_Toc280262391"/>
      <w:bookmarkStart w:id="860" w:name="_Toc280272785"/>
      <w:bookmarkStart w:id="861" w:name="_Toc280272964"/>
      <w:bookmarkStart w:id="862" w:name="_Toc284419479"/>
      <w:bookmarkStart w:id="863" w:name="_Toc286315796"/>
      <w:r w:rsidRPr="004B2881">
        <w:rPr>
          <w:lang w:val="fr-FR"/>
        </w:rPr>
        <w:t xml:space="preserve">Article </w:t>
      </w:r>
      <w:r w:rsidR="00B51759" w:rsidRPr="004B2881">
        <w:rPr>
          <w:lang w:val="fr-FR"/>
        </w:rPr>
        <w:t>34</w:t>
      </w:r>
      <w:bookmarkEnd w:id="857"/>
      <w:bookmarkEnd w:id="858"/>
      <w:r w:rsidR="00B51759" w:rsidRPr="004B2881">
        <w:rPr>
          <w:lang w:val="fr-FR"/>
        </w:rPr>
        <w:br/>
      </w:r>
      <w:r w:rsidR="00B51759" w:rsidRPr="004B2881">
        <w:rPr>
          <w:lang w:val="fr-FR"/>
        </w:rPr>
        <w:br/>
      </w:r>
      <w:bookmarkStart w:id="864" w:name="_Toc225739525"/>
      <w:bookmarkStart w:id="865" w:name="_Toc225739870"/>
      <w:r w:rsidR="00B51759" w:rsidRPr="004B2881">
        <w:rPr>
          <w:lang w:val="fr-FR"/>
        </w:rPr>
        <w:t>Obligation de paiement</w:t>
      </w:r>
      <w:bookmarkEnd w:id="859"/>
      <w:bookmarkEnd w:id="860"/>
      <w:bookmarkEnd w:id="861"/>
      <w:bookmarkEnd w:id="862"/>
      <w:bookmarkEnd w:id="863"/>
      <w:bookmarkEnd w:id="864"/>
      <w:bookmarkEnd w:id="865"/>
    </w:p>
    <w:p w:rsidR="00B51759" w:rsidRPr="004B2881" w:rsidRDefault="00B51759" w:rsidP="003E69DA">
      <w:pPr>
        <w:rPr>
          <w:lang w:val="fr-FR"/>
        </w:rPr>
      </w:pPr>
      <w:r w:rsidRPr="004B2881">
        <w:rPr>
          <w:lang w:val="fr-FR"/>
        </w:rPr>
        <w:t xml:space="preserve">Les droits à acquitter pour l'utilisation du spectre sont payables à l'avance, par tous, sans exception, sauf indication contraire dans la présente directive. Ces droits ne sont pas considérés comme constituant une taxe </w:t>
      </w:r>
      <w:r w:rsidRPr="004B2881">
        <w:rPr>
          <w:lang w:val="fr-FR"/>
        </w:rPr>
        <w:lastRenderedPageBreak/>
        <w:t xml:space="preserve">fédérale ou locale mais comme une redevance perçue pour l'utilisation d'une ressource nationale limitée. Les utilisateurs agréés doivent s'acquitter de la totalité des droits dans les délais impartis, même dans les cas où ils contestent le montant, en totalité ou en partie. En cas de contestation du montant et si un remboursement est dû à l'utilisateur agréé, la somme est versée par la TRA dans un délai d'un mois après règlement du différend. </w:t>
      </w:r>
    </w:p>
    <w:p w:rsidR="00B51759" w:rsidRPr="004B2881" w:rsidRDefault="00C70783" w:rsidP="00C70783">
      <w:pPr>
        <w:pStyle w:val="Arttitle"/>
        <w:spacing w:before="400"/>
        <w:rPr>
          <w:lang w:val="fr-FR"/>
        </w:rPr>
      </w:pPr>
      <w:bookmarkStart w:id="866" w:name="_Toc280262392"/>
      <w:bookmarkStart w:id="867" w:name="_Toc280272786"/>
      <w:bookmarkStart w:id="868" w:name="_Toc280272965"/>
      <w:bookmarkStart w:id="869" w:name="_Toc284419480"/>
      <w:bookmarkStart w:id="870" w:name="_Toc286315797"/>
      <w:r w:rsidRPr="004B2881">
        <w:rPr>
          <w:lang w:val="fr-FR"/>
        </w:rPr>
        <w:t xml:space="preserve">Article </w:t>
      </w:r>
      <w:r w:rsidR="00B51759" w:rsidRPr="004B2881">
        <w:rPr>
          <w:lang w:val="fr-FR"/>
        </w:rPr>
        <w:t>35</w:t>
      </w:r>
      <w:r w:rsidR="00B51759" w:rsidRPr="004B2881">
        <w:rPr>
          <w:lang w:val="fr-FR"/>
        </w:rPr>
        <w:br/>
      </w:r>
      <w:r w:rsidR="00B51759" w:rsidRPr="004B2881">
        <w:rPr>
          <w:lang w:val="fr-FR"/>
        </w:rPr>
        <w:br/>
      </w:r>
      <w:bookmarkStart w:id="871" w:name="_Toc225739871"/>
      <w:r w:rsidR="00B51759" w:rsidRPr="004B2881">
        <w:rPr>
          <w:lang w:val="fr-FR"/>
        </w:rPr>
        <w:t>Méthodes de paiement</w:t>
      </w:r>
      <w:bookmarkEnd w:id="866"/>
      <w:bookmarkEnd w:id="867"/>
      <w:bookmarkEnd w:id="868"/>
      <w:bookmarkEnd w:id="869"/>
      <w:bookmarkEnd w:id="870"/>
      <w:bookmarkEnd w:id="871"/>
    </w:p>
    <w:p w:rsidR="00B51759" w:rsidRPr="004B2881" w:rsidRDefault="00B51759" w:rsidP="003E69DA">
      <w:pPr>
        <w:rPr>
          <w:lang w:val="fr-FR"/>
        </w:rPr>
      </w:pPr>
      <w:r w:rsidRPr="004B2881">
        <w:rPr>
          <w:lang w:val="fr-FR"/>
        </w:rPr>
        <w:t xml:space="preserve">La TRA ne peut accepter de paiements en espèces et les droits à acquitter pour l'utilisation du spectre et autres droits associés sont payables selon l'une des méthodes suivantes: </w:t>
      </w:r>
    </w:p>
    <w:p w:rsidR="00B51759" w:rsidRPr="004B2881" w:rsidRDefault="00E77B72" w:rsidP="00E77B72">
      <w:pPr>
        <w:pStyle w:val="enumlev1"/>
        <w:rPr>
          <w:lang w:val="fr-FR"/>
        </w:rPr>
      </w:pPr>
      <w:r w:rsidRPr="004B2881">
        <w:rPr>
          <w:lang w:val="fr-FR"/>
        </w:rPr>
        <w:t>–</w:t>
      </w:r>
      <w:r w:rsidRPr="004B2881">
        <w:rPr>
          <w:lang w:val="fr-FR"/>
        </w:rPr>
        <w:tab/>
      </w:r>
      <w:r w:rsidR="001E3411" w:rsidRPr="004B2881">
        <w:rPr>
          <w:lang w:val="fr-FR"/>
        </w:rPr>
        <w:t>Paiement électronique.</w:t>
      </w:r>
    </w:p>
    <w:p w:rsidR="00B51759" w:rsidRPr="004B2881" w:rsidRDefault="00E77B72" w:rsidP="00E77B72">
      <w:pPr>
        <w:pStyle w:val="enumlev1"/>
        <w:rPr>
          <w:lang w:val="fr-FR"/>
        </w:rPr>
      </w:pPr>
      <w:r w:rsidRPr="004B2881">
        <w:rPr>
          <w:lang w:val="fr-FR"/>
        </w:rPr>
        <w:t>–</w:t>
      </w:r>
      <w:r w:rsidRPr="004B2881">
        <w:rPr>
          <w:lang w:val="fr-FR"/>
        </w:rPr>
        <w:tab/>
      </w:r>
      <w:r w:rsidR="00B51759" w:rsidRPr="004B2881">
        <w:rPr>
          <w:lang w:val="fr-FR"/>
        </w:rPr>
        <w:t>Chèque</w:t>
      </w:r>
      <w:r w:rsidR="001E3411" w:rsidRPr="004B2881">
        <w:rPr>
          <w:lang w:val="fr-FR"/>
        </w:rPr>
        <w:t>.</w:t>
      </w:r>
    </w:p>
    <w:p w:rsidR="00B51759" w:rsidRPr="004B2881" w:rsidRDefault="00E77B72" w:rsidP="00E77B72">
      <w:pPr>
        <w:pStyle w:val="enumlev1"/>
        <w:rPr>
          <w:lang w:val="fr-FR"/>
        </w:rPr>
      </w:pPr>
      <w:r w:rsidRPr="004B2881">
        <w:rPr>
          <w:lang w:val="fr-FR"/>
        </w:rPr>
        <w:t>–</w:t>
      </w:r>
      <w:r w:rsidRPr="004B2881">
        <w:rPr>
          <w:lang w:val="fr-FR"/>
        </w:rPr>
        <w:tab/>
      </w:r>
      <w:r w:rsidR="00B51759" w:rsidRPr="004B2881">
        <w:rPr>
          <w:lang w:val="fr-FR"/>
        </w:rPr>
        <w:t>Virement sur le c</w:t>
      </w:r>
      <w:r w:rsidR="001E3411" w:rsidRPr="004B2881">
        <w:rPr>
          <w:lang w:val="fr-FR"/>
        </w:rPr>
        <w:t>ompte bancaire de la TRA.</w:t>
      </w:r>
    </w:p>
    <w:p w:rsidR="00B51759" w:rsidRPr="004B2881" w:rsidRDefault="00C70783" w:rsidP="00C70783">
      <w:pPr>
        <w:pStyle w:val="Arttitle"/>
        <w:spacing w:before="400"/>
        <w:rPr>
          <w:lang w:val="fr-FR"/>
        </w:rPr>
      </w:pPr>
      <w:bookmarkStart w:id="872" w:name="_Toc225739526"/>
      <w:bookmarkStart w:id="873" w:name="_Toc225739872"/>
      <w:bookmarkStart w:id="874" w:name="_Toc280262393"/>
      <w:bookmarkStart w:id="875" w:name="_Toc280272787"/>
      <w:bookmarkStart w:id="876" w:name="_Toc280272966"/>
      <w:bookmarkStart w:id="877" w:name="_Toc284419481"/>
      <w:bookmarkStart w:id="878" w:name="_Toc286315798"/>
      <w:r w:rsidRPr="004B2881">
        <w:rPr>
          <w:lang w:val="fr-FR"/>
        </w:rPr>
        <w:t xml:space="preserve">Article </w:t>
      </w:r>
      <w:r w:rsidR="00B51759" w:rsidRPr="004B2881">
        <w:rPr>
          <w:lang w:val="fr-FR"/>
        </w:rPr>
        <w:t>36</w:t>
      </w:r>
      <w:bookmarkEnd w:id="872"/>
      <w:bookmarkEnd w:id="873"/>
      <w:r w:rsidR="00B51759" w:rsidRPr="004B2881">
        <w:rPr>
          <w:lang w:val="fr-FR"/>
        </w:rPr>
        <w:br/>
      </w:r>
      <w:r w:rsidR="00B51759" w:rsidRPr="004B2881">
        <w:rPr>
          <w:lang w:val="fr-FR"/>
        </w:rPr>
        <w:br/>
      </w:r>
      <w:bookmarkStart w:id="879" w:name="_Toc225739527"/>
      <w:bookmarkStart w:id="880" w:name="_Toc225739873"/>
      <w:r w:rsidR="00B51759" w:rsidRPr="004B2881">
        <w:rPr>
          <w:lang w:val="fr-FR"/>
        </w:rPr>
        <w:t>Sanctions</w:t>
      </w:r>
      <w:bookmarkEnd w:id="874"/>
      <w:bookmarkEnd w:id="875"/>
      <w:bookmarkEnd w:id="876"/>
      <w:bookmarkEnd w:id="877"/>
      <w:bookmarkEnd w:id="878"/>
      <w:bookmarkEnd w:id="879"/>
      <w:bookmarkEnd w:id="880"/>
    </w:p>
    <w:p w:rsidR="00B51759" w:rsidRPr="004B2881" w:rsidRDefault="00B51759" w:rsidP="009B52A0">
      <w:pPr>
        <w:rPr>
          <w:lang w:val="fr-FR"/>
        </w:rPr>
      </w:pPr>
      <w:r w:rsidRPr="004B2881">
        <w:rPr>
          <w:lang w:val="fr-FR"/>
        </w:rPr>
        <w:t xml:space="preserve">La TRA est habilitée à sanctionner la </w:t>
      </w:r>
      <w:r w:rsidR="004B2881" w:rsidRPr="004B2881">
        <w:rPr>
          <w:lang w:val="fr-FR"/>
        </w:rPr>
        <w:t>non-observation</w:t>
      </w:r>
      <w:r w:rsidRPr="004B2881">
        <w:rPr>
          <w:lang w:val="fr-FR"/>
        </w:rPr>
        <w:t xml:space="preserve"> des modalités et conditions énoncées dans la présente directive et dans tout autre instrument réglementaire qu'elle publie. Les modalités et circonstances d'exécution de cette sanction, ainsi que son montant, sont précisées dans les articles de la Loi fédérale (Décret N° 3 de 2003), telle qu'elle a été modifiée. </w:t>
      </w:r>
    </w:p>
    <w:p w:rsidR="00B51759" w:rsidRPr="004B2881" w:rsidRDefault="00C70783" w:rsidP="00C70783">
      <w:pPr>
        <w:pStyle w:val="Arttitle"/>
        <w:spacing w:before="400"/>
        <w:rPr>
          <w:lang w:val="fr-FR"/>
        </w:rPr>
      </w:pPr>
      <w:bookmarkStart w:id="881" w:name="_Toc225739528"/>
      <w:bookmarkStart w:id="882" w:name="_Toc225739874"/>
      <w:bookmarkStart w:id="883" w:name="_Toc280262394"/>
      <w:bookmarkStart w:id="884" w:name="_Toc280272788"/>
      <w:bookmarkStart w:id="885" w:name="_Toc280272967"/>
      <w:bookmarkStart w:id="886" w:name="_Toc284419482"/>
      <w:bookmarkStart w:id="887" w:name="_Toc286315799"/>
      <w:r w:rsidRPr="004B2881">
        <w:rPr>
          <w:lang w:val="fr-FR"/>
        </w:rPr>
        <w:t xml:space="preserve">Article </w:t>
      </w:r>
      <w:r w:rsidR="00B51759" w:rsidRPr="004B2881">
        <w:rPr>
          <w:lang w:val="fr-FR"/>
        </w:rPr>
        <w:t>37</w:t>
      </w:r>
      <w:bookmarkStart w:id="888" w:name="_Toc225739529"/>
      <w:bookmarkStart w:id="889" w:name="_Toc225739875"/>
      <w:bookmarkEnd w:id="881"/>
      <w:bookmarkEnd w:id="882"/>
      <w:r w:rsidR="00B51759" w:rsidRPr="004B2881">
        <w:rPr>
          <w:lang w:val="fr-FR"/>
        </w:rPr>
        <w:br/>
      </w:r>
      <w:r w:rsidR="00B51759" w:rsidRPr="004B2881">
        <w:rPr>
          <w:lang w:val="fr-FR"/>
        </w:rPr>
        <w:br/>
        <w:t>Mise en application</w:t>
      </w:r>
      <w:bookmarkEnd w:id="883"/>
      <w:bookmarkEnd w:id="884"/>
      <w:bookmarkEnd w:id="885"/>
      <w:bookmarkEnd w:id="886"/>
      <w:bookmarkEnd w:id="887"/>
      <w:bookmarkEnd w:id="888"/>
      <w:bookmarkEnd w:id="889"/>
    </w:p>
    <w:p w:rsidR="00B51759" w:rsidRPr="004B2881" w:rsidRDefault="00B51759" w:rsidP="009B52A0">
      <w:pPr>
        <w:rPr>
          <w:lang w:val="fr-FR"/>
        </w:rPr>
      </w:pPr>
      <w:r w:rsidRPr="004B2881">
        <w:rPr>
          <w:lang w:val="fr-FR"/>
        </w:rPr>
        <w:t>Toutes les factures portant sur la période débutant au 1</w:t>
      </w:r>
      <w:r w:rsidRPr="004B2881">
        <w:rPr>
          <w:vertAlign w:val="superscript"/>
          <w:lang w:val="fr-FR"/>
        </w:rPr>
        <w:t>er</w:t>
      </w:r>
      <w:r w:rsidRPr="004B2881">
        <w:rPr>
          <w:lang w:val="fr-FR"/>
        </w:rPr>
        <w:t> janvier 2009 doivent être conformes à la présente directive. Les factures portant sur une période qui débute avant le 1</w:t>
      </w:r>
      <w:r w:rsidRPr="004B2881">
        <w:rPr>
          <w:vertAlign w:val="superscript"/>
          <w:lang w:val="fr-FR"/>
        </w:rPr>
        <w:t>er</w:t>
      </w:r>
      <w:r w:rsidRPr="004B2881">
        <w:rPr>
          <w:lang w:val="fr-FR"/>
        </w:rPr>
        <w:t> janvier 2009 doivent être conformes à la version 1.0 de la directive sur les droits à acquitter pour l'utilisation du spectre.</w:t>
      </w:r>
    </w:p>
    <w:p w:rsidR="00930F5D" w:rsidRPr="004B2881" w:rsidRDefault="00930F5D">
      <w:pPr>
        <w:tabs>
          <w:tab w:val="clear" w:pos="794"/>
          <w:tab w:val="clear" w:pos="1191"/>
          <w:tab w:val="clear" w:pos="1588"/>
          <w:tab w:val="clear" w:pos="1985"/>
        </w:tabs>
        <w:overflowPunct/>
        <w:autoSpaceDE/>
        <w:autoSpaceDN/>
        <w:adjustRightInd/>
        <w:spacing w:before="0"/>
        <w:jc w:val="left"/>
        <w:textAlignment w:val="auto"/>
        <w:rPr>
          <w:b/>
          <w:lang w:val="fr-FR"/>
        </w:rPr>
      </w:pPr>
      <w:r w:rsidRPr="004B2881">
        <w:rPr>
          <w:b/>
          <w:lang w:val="fr-FR"/>
        </w:rPr>
        <w:br w:type="page"/>
      </w:r>
    </w:p>
    <w:p w:rsidR="00140E6C" w:rsidRPr="00C95435" w:rsidRDefault="00140E6C" w:rsidP="002C5D85">
      <w:pPr>
        <w:pStyle w:val="AppendixNotitle"/>
        <w:rPr>
          <w:b w:val="0"/>
          <w:bCs/>
        </w:rPr>
      </w:pPr>
      <w:bookmarkStart w:id="890" w:name="_Toc280260051"/>
      <w:bookmarkStart w:id="891" w:name="_Toc280260905"/>
      <w:bookmarkStart w:id="892" w:name="_Toc280272512"/>
      <w:bookmarkStart w:id="893" w:name="_Toc284414183"/>
      <w:bookmarkStart w:id="894" w:name="_Toc286314927"/>
      <w:r w:rsidRPr="004F63CA">
        <w:rPr>
          <w:lang w:val="en-US"/>
        </w:rPr>
        <w:lastRenderedPageBreak/>
        <w:t>Appendi</w:t>
      </w:r>
      <w:r w:rsidR="001E3411" w:rsidRPr="004F63CA">
        <w:rPr>
          <w:lang w:val="en-US"/>
        </w:rPr>
        <w:t>ce</w:t>
      </w:r>
      <w:r w:rsidRPr="004F63CA">
        <w:rPr>
          <w:lang w:val="en-US"/>
        </w:rPr>
        <w:t xml:space="preserve"> 2.1</w:t>
      </w:r>
      <w:r w:rsidR="00DB5E51" w:rsidRPr="004F63CA">
        <w:rPr>
          <w:lang w:val="en-US"/>
        </w:rPr>
        <w:t xml:space="preserve"> (</w:t>
      </w:r>
      <w:r w:rsidR="00A22BB2" w:rsidRPr="004F63CA">
        <w:rPr>
          <w:lang w:val="en-US"/>
        </w:rPr>
        <w:t>a</w:t>
      </w:r>
      <w:r w:rsidR="001E3411" w:rsidRPr="004F63CA">
        <w:rPr>
          <w:lang w:val="en-US"/>
        </w:rPr>
        <w:t>nglais</w:t>
      </w:r>
      <w:r w:rsidR="00DB5E51" w:rsidRPr="004F63CA">
        <w:rPr>
          <w:lang w:val="en-US"/>
        </w:rPr>
        <w:t>)</w:t>
      </w:r>
      <w:r w:rsidR="00811092" w:rsidRPr="004F63CA">
        <w:rPr>
          <w:lang w:val="en-US"/>
        </w:rPr>
        <w:br/>
      </w:r>
      <w:r w:rsidR="00811092" w:rsidRPr="004F63CA">
        <w:rPr>
          <w:lang w:val="en-US"/>
        </w:rPr>
        <w:br/>
      </w:r>
      <w:r w:rsidR="00811092" w:rsidRPr="00C95435">
        <w:t>Switzerland</w:t>
      </w:r>
      <w:r w:rsidR="00FD1457" w:rsidRPr="00C95435">
        <w:br/>
      </w:r>
      <w:r w:rsidR="00FD1457" w:rsidRPr="00C95435">
        <w:br/>
      </w:r>
      <w:r w:rsidRPr="00C95435">
        <w:t>Financing of spectrum management activities in Switzerland: Abstract</w:t>
      </w:r>
      <w:bookmarkEnd w:id="890"/>
      <w:bookmarkEnd w:id="891"/>
      <w:bookmarkEnd w:id="892"/>
      <w:bookmarkEnd w:id="893"/>
      <w:bookmarkEnd w:id="894"/>
    </w:p>
    <w:p w:rsidR="00E87B66" w:rsidRPr="00C95435" w:rsidRDefault="00E87B66" w:rsidP="00140E6C"/>
    <w:p w:rsidR="00140E6C" w:rsidRPr="00C95435" w:rsidRDefault="00140E6C" w:rsidP="00140E6C">
      <w:r w:rsidRPr="00C95435">
        <w:t>The feature that probably sets apart the Swiss system for financing spectrum management from that of many other administrations is that the funding comes from mixed sources.</w:t>
      </w:r>
    </w:p>
    <w:p w:rsidR="00140E6C" w:rsidRPr="00C95435" w:rsidRDefault="00140E6C" w:rsidP="00140E6C">
      <w:r w:rsidRPr="00C95435">
        <w:t>The sources of financing for the state's spectrum management activity can be grouped into two main categories, namely: (i) taxes, which are set without reference to the individual benefit the taxpayer derives from the state's activities, and (ii) fees, whereby services provided to users are billed to the user on the basis of their cost.</w:t>
      </w:r>
    </w:p>
    <w:p w:rsidR="00140E6C" w:rsidRPr="00C95435" w:rsidRDefault="00140E6C" w:rsidP="00140E6C">
      <w:r w:rsidRPr="00C95435">
        <w:t xml:space="preserve">Switzerland's approach to levies for spectrum management is to employ both these types of contributions to the state coffers. </w:t>
      </w:r>
    </w:p>
    <w:p w:rsidR="00140E6C" w:rsidRPr="00C95435" w:rsidRDefault="00140E6C" w:rsidP="00140E6C">
      <w:r w:rsidRPr="00C95435">
        <w:t>The first source, income from spectrum utilization charges (which are categorized as taxes, and not fees) is calculated so as to cover at least the balance of spectrum management costs which is not met through income from fees. This d</w:t>
      </w:r>
      <w:r w:rsidR="00516D75" w:rsidRPr="00C95435">
        <w:t>oe</w:t>
      </w:r>
      <w:r w:rsidRPr="00C95435">
        <w:t>s not prevent us from using spectrum pricing as an incentive tool.</w:t>
      </w:r>
    </w:p>
    <w:p w:rsidR="00140E6C" w:rsidRPr="00C95435" w:rsidRDefault="00140E6C" w:rsidP="00140E6C">
      <w:r w:rsidRPr="00C95435">
        <w:t xml:space="preserve">The second source is fees. These may be one-time fees, such as, for example, for the award of radiocommunication licences, modification of licences, revocation of licences or detection of interference (costs caused by the interfering party when identified); or periodical fees levied to cover ongoing costs of spectrum management and monitoring activities which do not result from a specific action on the part of the various players but can nevertheless be clearly ascribed to them as immediate beneficiaries. </w:t>
      </w:r>
    </w:p>
    <w:p w:rsidR="00140E6C" w:rsidRPr="00C95435" w:rsidRDefault="00140E6C" w:rsidP="00140E6C">
      <w:r w:rsidRPr="00C95435">
        <w:t>With this mixed approach, we are able to cover all spectrum management costs equitably, in line with the law (principle of covering costs) and flexibly.</w:t>
      </w:r>
    </w:p>
    <w:p w:rsidR="009B3560" w:rsidRPr="004F63CA" w:rsidRDefault="009B3560">
      <w:pPr>
        <w:tabs>
          <w:tab w:val="clear" w:pos="794"/>
          <w:tab w:val="clear" w:pos="1191"/>
          <w:tab w:val="clear" w:pos="1588"/>
          <w:tab w:val="clear" w:pos="1985"/>
        </w:tabs>
        <w:overflowPunct/>
        <w:autoSpaceDE/>
        <w:autoSpaceDN/>
        <w:adjustRightInd/>
        <w:spacing w:before="0"/>
        <w:jc w:val="left"/>
        <w:textAlignment w:val="auto"/>
        <w:rPr>
          <w:lang w:val="en-US"/>
        </w:rPr>
      </w:pPr>
      <w:r w:rsidRPr="004F63CA">
        <w:rPr>
          <w:lang w:val="en-US"/>
        </w:rPr>
        <w:br w:type="page"/>
      </w:r>
    </w:p>
    <w:p w:rsidR="0048142C" w:rsidRPr="004B2881" w:rsidRDefault="000C3912" w:rsidP="002C5D85">
      <w:pPr>
        <w:pStyle w:val="AppendixNotitle"/>
        <w:rPr>
          <w:lang w:val="fr-FR"/>
        </w:rPr>
      </w:pPr>
      <w:bookmarkStart w:id="895" w:name="_Toc280260052"/>
      <w:bookmarkStart w:id="896" w:name="_Toc280260906"/>
      <w:bookmarkStart w:id="897" w:name="_Toc280272513"/>
      <w:bookmarkStart w:id="898" w:name="_Toc284414184"/>
      <w:bookmarkStart w:id="899" w:name="_Toc286314928"/>
      <w:r w:rsidRPr="004B2881">
        <w:rPr>
          <w:lang w:val="fr-FR"/>
        </w:rPr>
        <w:lastRenderedPageBreak/>
        <w:t>Appendice 2.1</w:t>
      </w:r>
      <w:r w:rsidR="0048142C" w:rsidRPr="004B2881">
        <w:rPr>
          <w:lang w:val="fr-FR"/>
        </w:rPr>
        <w:br/>
      </w:r>
      <w:r w:rsidR="00D06174" w:rsidRPr="004B2881">
        <w:rPr>
          <w:lang w:val="fr-FR"/>
        </w:rPr>
        <w:br/>
        <w:t>Suisse</w:t>
      </w:r>
      <w:r w:rsidR="00D06174" w:rsidRPr="004B2881">
        <w:rPr>
          <w:lang w:val="fr-FR"/>
        </w:rPr>
        <w:br/>
      </w:r>
      <w:r w:rsidR="0048142C" w:rsidRPr="004B2881">
        <w:rPr>
          <w:lang w:val="fr-FR"/>
        </w:rPr>
        <w:br/>
        <w:t>Financement des activités de gestion du spectre en Suisse: Résumé</w:t>
      </w:r>
      <w:bookmarkEnd w:id="895"/>
      <w:bookmarkEnd w:id="896"/>
      <w:bookmarkEnd w:id="897"/>
      <w:bookmarkEnd w:id="898"/>
      <w:bookmarkEnd w:id="899"/>
    </w:p>
    <w:p w:rsidR="001178FD" w:rsidRPr="004B2881" w:rsidRDefault="001178FD" w:rsidP="001178FD">
      <w:pPr>
        <w:rPr>
          <w:lang w:val="fr-FR"/>
        </w:rPr>
      </w:pPr>
    </w:p>
    <w:p w:rsidR="0048142C" w:rsidRPr="004B2881" w:rsidRDefault="0048142C" w:rsidP="0048142C">
      <w:pPr>
        <w:rPr>
          <w:lang w:val="fr-FR"/>
        </w:rPr>
      </w:pPr>
      <w:r w:rsidRPr="004B2881">
        <w:rPr>
          <w:lang w:val="fr-FR"/>
        </w:rPr>
        <w:t>Le point qui distingue sans doute le système suisse de financement de la gestion du spectre de celui de beaucoup d’autres administrations est qu’il provient de sources mixtes.</w:t>
      </w:r>
    </w:p>
    <w:p w:rsidR="0048142C" w:rsidRPr="004B2881" w:rsidRDefault="0048142C" w:rsidP="0048142C">
      <w:pPr>
        <w:rPr>
          <w:lang w:val="fr-FR"/>
        </w:rPr>
      </w:pPr>
      <w:r w:rsidRPr="004B2881">
        <w:rPr>
          <w:lang w:val="fr-FR"/>
        </w:rPr>
        <w:t>Les sources de financement de l’activité étatique peuvent être regroupées dans deux groupes principaux que sont (i) les impôts (ou taxes) dont la fixation sans rapport avec le bénéfice individuel que le contribuable retire des activités de l’Etat et (ii) les redevances où les prestations fournies aux usagers leur sont facturés à hauteur de leurs coûts.</w:t>
      </w:r>
    </w:p>
    <w:p w:rsidR="0048142C" w:rsidRPr="004B2881" w:rsidRDefault="0048142C" w:rsidP="0048142C">
      <w:pPr>
        <w:rPr>
          <w:lang w:val="fr-FR"/>
        </w:rPr>
      </w:pPr>
      <w:r w:rsidRPr="004B2881">
        <w:rPr>
          <w:lang w:val="fr-FR"/>
        </w:rPr>
        <w:t xml:space="preserve">L’approche de la Suisse concernant les prélèvements dans le domaine de la gestion du spectre est d’avoir recours à ces deux types de contributions au profit de l’État. </w:t>
      </w:r>
    </w:p>
    <w:p w:rsidR="0048142C" w:rsidRPr="004B2881" w:rsidRDefault="0048142C" w:rsidP="0048142C">
      <w:pPr>
        <w:rPr>
          <w:lang w:val="fr-FR"/>
        </w:rPr>
      </w:pPr>
      <w:r w:rsidRPr="004B2881">
        <w:rPr>
          <w:lang w:val="fr-FR"/>
        </w:rPr>
        <w:t>Pour une part les revenus provenant de la perception des taxes d’utilisation du spectre (ces dernières sont à qualifier d’impôt – et non de redevances) couvrent d’un point de vue calculatoire au moins le solde des coûts de la gestion du spectre qui ne sont pas couverts par les revenus provenant des redevances. Ceci n’empêche pas d’utiliser la fonction incitative des taxes d’utilisation du spectre (</w:t>
      </w:r>
      <w:r w:rsidRPr="004B2881">
        <w:rPr>
          <w:i/>
          <w:lang w:val="fr-FR"/>
        </w:rPr>
        <w:t>spectrum pricing</w:t>
      </w:r>
      <w:r w:rsidRPr="004B2881">
        <w:rPr>
          <w:lang w:val="fr-FR"/>
        </w:rPr>
        <w:t>).</w:t>
      </w:r>
    </w:p>
    <w:p w:rsidR="0048142C" w:rsidRPr="004B2881" w:rsidRDefault="0048142C" w:rsidP="0048142C">
      <w:pPr>
        <w:rPr>
          <w:lang w:val="fr-FR"/>
        </w:rPr>
      </w:pPr>
      <w:r w:rsidRPr="004B2881">
        <w:rPr>
          <w:lang w:val="fr-FR"/>
        </w:rPr>
        <w:t>D’autre part sont prélevées des redevances. Certaines sont des redevances uniques, comme par exemple pour les prestations d’octroi de licences de radiocommunication, de modification de licences, de révocation de licences ou de recherche de perturbations (coûts engendrés par le perturbateur lorsqu’il est identifié). D’autres sont des redevances périodiques qui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médiats.</w:t>
      </w:r>
    </w:p>
    <w:p w:rsidR="0048142C" w:rsidRPr="004B2881" w:rsidRDefault="0048142C" w:rsidP="0048142C">
      <w:pPr>
        <w:rPr>
          <w:lang w:val="fr-FR"/>
        </w:rPr>
      </w:pPr>
      <w:r w:rsidRPr="004B2881">
        <w:rPr>
          <w:lang w:val="fr-FR"/>
        </w:rPr>
        <w:t>Cette mixité donne la faculté de couvrir la totalité des coûts afférant à la gestion du spectre avec équité, dans le respect du droit (principe de la couverture des coûts) et avec souplesse.</w:t>
      </w:r>
    </w:p>
    <w:p w:rsidR="009B3560" w:rsidRPr="004B2881" w:rsidRDefault="009B3560">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p w:rsidR="0030198E" w:rsidRPr="004B2881" w:rsidRDefault="0030198E" w:rsidP="0030198E">
      <w:pPr>
        <w:pStyle w:val="AppendixNotitle"/>
        <w:rPr>
          <w:lang w:val="fr-FR"/>
        </w:rPr>
      </w:pPr>
      <w:bookmarkStart w:id="900" w:name="_Toc280260053"/>
      <w:bookmarkStart w:id="901" w:name="_Toc280260907"/>
      <w:bookmarkStart w:id="902" w:name="_Toc280272514"/>
      <w:bookmarkStart w:id="903" w:name="_Toc284414185"/>
      <w:bookmarkStart w:id="904" w:name="_Toc286314929"/>
      <w:r w:rsidRPr="004B2881">
        <w:rPr>
          <w:lang w:val="fr-FR"/>
        </w:rPr>
        <w:lastRenderedPageBreak/>
        <w:t>Appendice 2.2</w:t>
      </w:r>
      <w:r w:rsidRPr="004B2881">
        <w:rPr>
          <w:lang w:val="fr-FR"/>
        </w:rPr>
        <w:br/>
      </w:r>
      <w:r w:rsidRPr="004B2881">
        <w:rPr>
          <w:lang w:val="fr-FR"/>
        </w:rPr>
        <w:br/>
        <w:t>Financement des activités de gestion du spectre en Suisse</w:t>
      </w:r>
      <w:bookmarkEnd w:id="900"/>
      <w:bookmarkEnd w:id="901"/>
      <w:bookmarkEnd w:id="902"/>
      <w:bookmarkEnd w:id="903"/>
      <w:bookmarkEnd w:id="904"/>
    </w:p>
    <w:p w:rsidR="0030198E" w:rsidRPr="004B2881" w:rsidRDefault="001B1D06" w:rsidP="001B1D06">
      <w:pPr>
        <w:pStyle w:val="Heading1"/>
        <w:rPr>
          <w:lang w:val="fr-FR"/>
        </w:rPr>
      </w:pPr>
      <w:bookmarkStart w:id="905" w:name="_Toc280260054"/>
      <w:bookmarkStart w:id="906" w:name="_Toc280260908"/>
      <w:bookmarkStart w:id="907" w:name="_Toc280272515"/>
      <w:bookmarkStart w:id="908" w:name="_Toc284414186"/>
      <w:bookmarkStart w:id="909" w:name="_Toc286314930"/>
      <w:r w:rsidRPr="004B2881">
        <w:rPr>
          <w:lang w:val="fr-FR"/>
        </w:rPr>
        <w:t>1</w:t>
      </w:r>
      <w:r w:rsidRPr="004B2881">
        <w:rPr>
          <w:lang w:val="fr-FR"/>
        </w:rPr>
        <w:tab/>
      </w:r>
      <w:r w:rsidR="0030198E" w:rsidRPr="004B2881">
        <w:rPr>
          <w:lang w:val="fr-FR"/>
        </w:rPr>
        <w:t>Introduction</w:t>
      </w:r>
      <w:bookmarkEnd w:id="905"/>
      <w:bookmarkEnd w:id="906"/>
      <w:bookmarkEnd w:id="907"/>
      <w:bookmarkEnd w:id="908"/>
      <w:bookmarkEnd w:id="909"/>
    </w:p>
    <w:p w:rsidR="0030198E" w:rsidRPr="004B2881" w:rsidRDefault="0030198E" w:rsidP="001B1D06">
      <w:pPr>
        <w:rPr>
          <w:lang w:val="fr-FR"/>
        </w:rPr>
      </w:pPr>
      <w:r w:rsidRPr="004B2881">
        <w:rPr>
          <w:lang w:val="fr-FR"/>
        </w:rPr>
        <w:t>Assurer une gestion durable et une utilisation efficace du spectre requiert la mise à disposition de moyens financiers conséquents par l’État. En particulier, la masse salariale du personnel employé par une autorité de gestion du spectre possède une très grande importance tant par sa montant total que par la nécessité d’assurer son attractivité pour un personnel compétent et engagé par le biais des salaires offerts. En outre, les outils de planification et les équipements destinés à la surveillance du spectre nécessitent de lourds investissements. Le mode de financement des activités étatiques de gestion du spectre ainsi que la hauteur de ce financement sont donc cruciaux.</w:t>
      </w:r>
    </w:p>
    <w:p w:rsidR="0030198E" w:rsidRPr="004B2881" w:rsidRDefault="0030198E" w:rsidP="0030198E">
      <w:pPr>
        <w:rPr>
          <w:lang w:val="fr-FR"/>
        </w:rPr>
      </w:pPr>
      <w:r w:rsidRPr="004B2881">
        <w:rPr>
          <w:lang w:val="fr-FR"/>
        </w:rPr>
        <w:t xml:space="preserve">Le présent document a pour objectif de présenter la méthodologie appliquée en Suisse afin de pourvoir aux besoins financiers de la gestion nationale du spectre. A première lecture le système présenté paraîtra complexe. Ceci est en bonne partie dû au cadre juridique très contraignant découlant du droit général des contributions publiques. Ce cadre a le but très louable d'assurer la transparence des contributions payées à l'Etat. En cas de litige le contrôle postérieur par le pouvoir judiciaire en est également facilité. Le point qui distingue sans doute le système suisse de financement de la gestion du spectre de celui de beaucoup d’autres administrations est qu’il provient de sources </w:t>
      </w:r>
      <w:r w:rsidRPr="004B2881">
        <w:rPr>
          <w:i/>
          <w:lang w:val="fr-FR"/>
        </w:rPr>
        <w:t>mixtes</w:t>
      </w:r>
      <w:r w:rsidRPr="004B2881">
        <w:rPr>
          <w:lang w:val="fr-FR"/>
        </w:rPr>
        <w:t>.</w:t>
      </w:r>
    </w:p>
    <w:p w:rsidR="0030198E" w:rsidRPr="004B2881" w:rsidRDefault="001B1D06" w:rsidP="001B1D06">
      <w:pPr>
        <w:pStyle w:val="Heading1"/>
        <w:rPr>
          <w:lang w:val="fr-FR"/>
        </w:rPr>
      </w:pPr>
      <w:bookmarkStart w:id="910" w:name="_Toc280260055"/>
      <w:bookmarkStart w:id="911" w:name="_Toc280260909"/>
      <w:bookmarkStart w:id="912" w:name="_Toc280272516"/>
      <w:bookmarkStart w:id="913" w:name="_Toc284414187"/>
      <w:bookmarkStart w:id="914" w:name="_Toc286314931"/>
      <w:r w:rsidRPr="004B2881">
        <w:rPr>
          <w:lang w:val="fr-FR"/>
        </w:rPr>
        <w:t>2</w:t>
      </w:r>
      <w:r w:rsidRPr="004B2881">
        <w:rPr>
          <w:lang w:val="fr-FR"/>
        </w:rPr>
        <w:tab/>
      </w:r>
      <w:r w:rsidR="0030198E" w:rsidRPr="004B2881">
        <w:rPr>
          <w:lang w:val="fr-FR"/>
        </w:rPr>
        <w:t>Considérations générales sur le mode de financement de l’activité étatique</w:t>
      </w:r>
      <w:bookmarkEnd w:id="910"/>
      <w:bookmarkEnd w:id="911"/>
      <w:bookmarkEnd w:id="912"/>
      <w:bookmarkEnd w:id="913"/>
      <w:bookmarkEnd w:id="914"/>
    </w:p>
    <w:p w:rsidR="0030198E" w:rsidRPr="004B2881" w:rsidRDefault="0030198E" w:rsidP="0055248C">
      <w:pPr>
        <w:rPr>
          <w:lang w:val="fr-FR"/>
        </w:rPr>
      </w:pPr>
      <w:r w:rsidRPr="004B2881">
        <w:rPr>
          <w:lang w:val="fr-FR"/>
        </w:rPr>
        <w:t>Il existe un nombre considérable de modèles pour assurer le financement d’une activité administrative. Cependant, sur le plan de la théorie juridique les sources de financement peuvent être regroupées dans deux groupes principaux : (i) l’</w:t>
      </w:r>
      <w:r w:rsidRPr="004B2881">
        <w:rPr>
          <w:b/>
          <w:lang w:val="fr-FR"/>
        </w:rPr>
        <w:t>impôt</w:t>
      </w:r>
      <w:r w:rsidR="00EB1601" w:rsidRPr="004B2881">
        <w:rPr>
          <w:rStyle w:val="FootnoteReference"/>
          <w:bCs/>
          <w:lang w:val="fr-FR"/>
        </w:rPr>
        <w:footnoteReference w:customMarkFollows="1" w:id="1"/>
        <w:t>1</w:t>
      </w:r>
      <w:r w:rsidRPr="004B2881">
        <w:rPr>
          <w:lang w:val="fr-FR"/>
        </w:rPr>
        <w:t xml:space="preserve"> qui fait supporter le poids de la dépense à l’ensemble ou à des groupes définis de contribuables et (ii) les </w:t>
      </w:r>
      <w:r w:rsidRPr="004B2881">
        <w:rPr>
          <w:b/>
          <w:lang w:val="fr-FR"/>
        </w:rPr>
        <w:t>redevances</w:t>
      </w:r>
      <w:r w:rsidR="00BA1216" w:rsidRPr="004B2881">
        <w:rPr>
          <w:rStyle w:val="FootnoteReference"/>
          <w:bCs/>
          <w:lang w:val="fr-FR"/>
        </w:rPr>
        <w:footnoteReference w:customMarkFollows="1" w:id="2"/>
        <w:t>2</w:t>
      </w:r>
      <w:r w:rsidRPr="004B2881">
        <w:rPr>
          <w:lang w:val="fr-FR"/>
        </w:rPr>
        <w:t xml:space="preserve"> qui pèsent sur les seuls usagers d’un service de l’administration. Naturellement, ces deux instruments de financement font l’objet de nombreuses variantes dans la pratique. La qualification juridique du mode de financement par les administrés</w:t>
      </w:r>
      <w:r w:rsidR="0055248C" w:rsidRPr="004B2881">
        <w:rPr>
          <w:rStyle w:val="FootnoteReference"/>
          <w:lang w:val="fr-FR"/>
        </w:rPr>
        <w:footnoteReference w:customMarkFollows="1" w:id="3"/>
        <w:t>3</w:t>
      </w:r>
      <w:r w:rsidRPr="004B2881">
        <w:rPr>
          <w:lang w:val="fr-FR"/>
        </w:rPr>
        <w:t xml:space="preserve"> des activités étatiques peut néanmoins toujours être ramenée aux deux sources que sont l’impôt et la redevance. D’une perspective un peu différente, la qualification du financement d’une activité étatique peut être faite en déterminant le mode de transfert des coûts de cette dernière aux bénéficiaires: la gratuité totale (par exemple pour certains services publics essentiels comme la police ou l’éducation) est généralement le signe d’un financement par le biais de l’impôt alors que l’imputation individuelle des coûts (par exemple pour l’eau ou l’électricité) va de pair avec le prélèvement d’une redevance. Dans la pratique une combinaison des deux assure le financement d’une activité.</w:t>
      </w:r>
    </w:p>
    <w:p w:rsidR="0030198E" w:rsidRPr="004B2881" w:rsidRDefault="0030198E" w:rsidP="00902F94">
      <w:pPr>
        <w:pStyle w:val="Heading2"/>
        <w:rPr>
          <w:lang w:val="fr-FR"/>
        </w:rPr>
      </w:pPr>
      <w:bookmarkStart w:id="915" w:name="_Toc280260056"/>
      <w:bookmarkStart w:id="916" w:name="_Toc280272517"/>
      <w:bookmarkStart w:id="917" w:name="_Toc284414188"/>
      <w:bookmarkStart w:id="918" w:name="_Toc286314932"/>
      <w:r w:rsidRPr="004B2881">
        <w:rPr>
          <w:lang w:val="fr-FR"/>
        </w:rPr>
        <w:t>2.1</w:t>
      </w:r>
      <w:r w:rsidRPr="004B2881">
        <w:rPr>
          <w:lang w:val="fr-FR"/>
        </w:rPr>
        <w:tab/>
        <w:t>Impôt (ou taxe): fixation sans rapport avec le bénéfice individuel que le contribuable retire des activités de l’Etat</w:t>
      </w:r>
      <w:bookmarkEnd w:id="915"/>
      <w:bookmarkEnd w:id="916"/>
      <w:bookmarkEnd w:id="917"/>
      <w:bookmarkEnd w:id="918"/>
    </w:p>
    <w:p w:rsidR="0030198E" w:rsidRPr="004B2881" w:rsidRDefault="0030198E" w:rsidP="0030198E">
      <w:pPr>
        <w:rPr>
          <w:lang w:val="fr-FR"/>
        </w:rPr>
      </w:pPr>
      <w:r w:rsidRPr="004B2881">
        <w:rPr>
          <w:snapToGrid w:val="0"/>
          <w:lang w:val="fr-FR" w:eastAsia="de-DE"/>
        </w:rPr>
        <w:t xml:space="preserve">La taxe est une contribution publique due par l’administré sans qu’il ait droit à ce titre à aucune contre-prestation spécifique. La taxe est un prélèvement pécuniaire abstrait au profit de l’Etat sans contrepartie directe pour le contribuable. </w:t>
      </w:r>
      <w:r w:rsidRPr="004B2881">
        <w:rPr>
          <w:lang w:val="fr-FR"/>
        </w:rPr>
        <w:t xml:space="preserve">La taxe est la contribution de chacun à un projet collectif définit par les institutions politiques de l’Etat. En payant, le contribuable laisse ces institutions libres de décider de </w:t>
      </w:r>
      <w:r w:rsidRPr="004B2881">
        <w:rPr>
          <w:lang w:val="fr-FR"/>
        </w:rPr>
        <w:lastRenderedPageBreak/>
        <w:t>l’affectation optimale pour la collectivité des ressources financières ainsi mises à leur disposition. Les taxes alimentent le budget général et sont destinées à couvrir les dépenses générales de l’Etat.</w:t>
      </w:r>
    </w:p>
    <w:p w:rsidR="0030198E" w:rsidRPr="004B2881" w:rsidRDefault="0030198E" w:rsidP="0030198E">
      <w:pPr>
        <w:rPr>
          <w:lang w:val="fr-FR"/>
        </w:rPr>
      </w:pPr>
      <w:r w:rsidRPr="004B2881">
        <w:rPr>
          <w:lang w:val="fr-FR"/>
        </w:rPr>
        <w:t>L’instauration d’une taxe et la fixation de son régime (barème, périodicité, etc.) relèvent de la compétence et à la libre discrétion du législateur. En bref, il peut être dit que la législation fiscale est régie par des normes très strictes sur le plan formel, c’est-à-dire que les procédures d’adoption de celle-ci ne sont pas flexibles. Par contre, quant au contenu de cette législation, la liberté du pouvoir législatif est « totale », c’est-à-dire que matériellement le législateur peut agir à sa guise.</w:t>
      </w:r>
    </w:p>
    <w:p w:rsidR="0030198E" w:rsidRPr="004B2881" w:rsidRDefault="0030198E" w:rsidP="00650335">
      <w:pPr>
        <w:pStyle w:val="Heading2"/>
        <w:rPr>
          <w:lang w:val="fr-FR"/>
        </w:rPr>
      </w:pPr>
      <w:bookmarkStart w:id="919" w:name="_Toc280260057"/>
      <w:bookmarkStart w:id="920" w:name="_Toc280272518"/>
      <w:bookmarkStart w:id="921" w:name="_Toc284414189"/>
      <w:bookmarkStart w:id="922" w:name="_Toc286314933"/>
      <w:r w:rsidRPr="004B2881">
        <w:rPr>
          <w:lang w:val="fr-FR"/>
        </w:rPr>
        <w:t>2.2</w:t>
      </w:r>
      <w:r w:rsidRPr="004B2881">
        <w:rPr>
          <w:lang w:val="fr-FR"/>
        </w:rPr>
        <w:tab/>
        <w:t>Redevance: tarification à l’usager de la prestation fournie à hauteur de son coût</w:t>
      </w:r>
      <w:bookmarkEnd w:id="919"/>
      <w:bookmarkEnd w:id="920"/>
      <w:bookmarkEnd w:id="921"/>
      <w:bookmarkEnd w:id="922"/>
    </w:p>
    <w:p w:rsidR="0030198E" w:rsidRPr="004B2881" w:rsidRDefault="0030198E" w:rsidP="0030198E">
      <w:pPr>
        <w:rPr>
          <w:lang w:val="fr-FR"/>
        </w:rPr>
      </w:pPr>
      <w:r w:rsidRPr="004B2881">
        <w:rPr>
          <w:lang w:val="fr-FR"/>
        </w:rPr>
        <w:t>La redeva</w:t>
      </w:r>
      <w:r w:rsidR="001E2E19" w:rsidRPr="004B2881">
        <w:rPr>
          <w:lang w:val="fr-FR"/>
        </w:rPr>
        <w:t>nce (qui est appelée «émolument»</w:t>
      </w:r>
      <w:r w:rsidRPr="004B2881">
        <w:rPr>
          <w:lang w:val="fr-FR"/>
        </w:rPr>
        <w:t xml:space="preserve"> en Suisse) est due à raison d’une prestation que l’administration fournit au redevable, prestation qui a entraîné des coûts pour l’administration. La recette d’une redevance a une affectation précise, c’est-à-dire que l’administration doit en faire l’usage spécifique qui est de rendre le service requis par le redevable.</w:t>
      </w:r>
    </w:p>
    <w:p w:rsidR="0030198E" w:rsidRPr="004B2881" w:rsidRDefault="0030198E" w:rsidP="00485652">
      <w:pPr>
        <w:rPr>
          <w:lang w:val="fr-FR"/>
        </w:rPr>
      </w:pPr>
      <w:r w:rsidRPr="004B2881">
        <w:rPr>
          <w:lang w:val="fr-FR"/>
        </w:rPr>
        <w:t>Ce lien direct – qui découle d’une requête de l’administré ou d’une action de l’administré ayant conduit l’administration à agir – implique que le montant du prélèvement auprès d’un administré et la valeur prestation qui lui est fournie par l’Etat doivent être corrélés. Premièrement, la redevance constitue une rémunération pour services rendus par l’administration couvrant au maximum les frais correspondant au coûts directs et indirects qui peuvent être mis à la charge du demandeur. Ainsi, le montant total des recettes est au plus égal au montant total des charges afférant à l’administration dans le secteur de l’administration concerné. C’est-à-dire que la hauteur de la redevance demandée aux usagers couvre en tout (au maximum) ou en partie les charges du service dont a bénéficié l’usager</w:t>
      </w:r>
      <w:r w:rsidR="00D7535D" w:rsidRPr="004B2881">
        <w:rPr>
          <w:rStyle w:val="FootnoteReference"/>
          <w:lang w:val="fr-FR"/>
        </w:rPr>
        <w:footnoteReference w:customMarkFollows="1" w:id="4"/>
        <w:t>4</w:t>
      </w:r>
      <w:r w:rsidRPr="004B2881">
        <w:rPr>
          <w:lang w:val="fr-FR"/>
        </w:rPr>
        <w:t>. Deuxièmement, la proportionnalité est exigée en matière de redevances. Ceci implique que le montant de la redevance doit être adaptée au bénéfice que le redevable retire du service obtenu de l’Etat</w:t>
      </w:r>
      <w:r w:rsidR="00485652" w:rsidRPr="004B2881">
        <w:rPr>
          <w:rStyle w:val="FootnoteReference"/>
          <w:lang w:val="fr-FR"/>
        </w:rPr>
        <w:footnoteReference w:customMarkFollows="1" w:id="5"/>
        <w:t>5</w:t>
      </w:r>
      <w:r w:rsidRPr="004B2881">
        <w:rPr>
          <w:lang w:val="fr-FR"/>
        </w:rPr>
        <w:t>.</w:t>
      </w:r>
    </w:p>
    <w:p w:rsidR="0030198E" w:rsidRPr="004B2881" w:rsidRDefault="0030198E" w:rsidP="0030198E">
      <w:pPr>
        <w:rPr>
          <w:lang w:val="fr-FR"/>
        </w:rPr>
      </w:pPr>
      <w:r w:rsidRPr="004B2881">
        <w:rPr>
          <w:lang w:val="fr-FR"/>
        </w:rPr>
        <w:t>La décision de financer une activité étatique partiellement ou complètement avec des redevances revient au législateur. En revanche, la fixation de la hauteur des redevances individuelles et leur mode de calcul (barème) devrait être du ressort d’instances inférieures car celles-ci sont plus informées sur les détails de leurs comptabilités. Une délégation du pouvoir réglementaire est également judicieuse du fait de la nécessité de réviser, adapter régulièrement les dispositions relatives aux redevances. Les processus d’adoption de la réglementation fixant le régime des redevances doivent donc être assez flexibles – ce qui n’est généralement pas donné au niveau parlementaire. Par contre, les principes juridiques applicables au contenu de cette réglementation forment des contraintes extrêmement strictes où l’autorité chargée de l’adopter n’a qu’une latitude très limitée (p.ex. la hauteur maximale des différentes redevances est plafonnée de par le droit).</w:t>
      </w:r>
    </w:p>
    <w:p w:rsidR="0030198E" w:rsidRPr="004B2881" w:rsidRDefault="0030198E" w:rsidP="0030198E">
      <w:pPr>
        <w:rPr>
          <w:lang w:val="fr-FR"/>
        </w:rPr>
      </w:pPr>
      <w:r w:rsidRPr="004B2881">
        <w:rPr>
          <w:lang w:val="fr-FR"/>
        </w:rPr>
        <w:t xml:space="preserve">Le principe de la couverture des coûts requiert un recensement et une évaluation des montants financiers employés pour faire fonctionner un secteur d’activité de l’administration afin de pouvoir soutenir un contrôle juridique (en cas de litige). Ceci ne peut être accompli que grâce à une comptabilité financière suffisamment précise – et, si possible, une comptabilité analytique. </w:t>
      </w:r>
    </w:p>
    <w:p w:rsidR="0030198E" w:rsidRPr="004B2881" w:rsidRDefault="00484EC3" w:rsidP="00484EC3">
      <w:pPr>
        <w:pStyle w:val="Heading1"/>
        <w:rPr>
          <w:lang w:val="fr-FR"/>
        </w:rPr>
      </w:pPr>
      <w:bookmarkStart w:id="923" w:name="_Toc280260058"/>
      <w:bookmarkStart w:id="924" w:name="_Toc280260910"/>
      <w:bookmarkStart w:id="925" w:name="_Toc280272519"/>
      <w:bookmarkStart w:id="926" w:name="_Toc284414190"/>
      <w:bookmarkStart w:id="927" w:name="_Toc286314934"/>
      <w:r w:rsidRPr="004B2881">
        <w:rPr>
          <w:lang w:val="fr-FR"/>
        </w:rPr>
        <w:t>3</w:t>
      </w:r>
      <w:r w:rsidRPr="004B2881">
        <w:rPr>
          <w:lang w:val="fr-FR"/>
        </w:rPr>
        <w:tab/>
      </w:r>
      <w:r w:rsidR="0030198E" w:rsidRPr="004B2881">
        <w:rPr>
          <w:lang w:val="fr-FR"/>
        </w:rPr>
        <w:t>L’approche de la Suisse concernant les prélèvements dans le domaine de la gestion du spectre</w:t>
      </w:r>
      <w:bookmarkEnd w:id="923"/>
      <w:bookmarkEnd w:id="924"/>
      <w:bookmarkEnd w:id="925"/>
      <w:bookmarkEnd w:id="926"/>
      <w:bookmarkEnd w:id="927"/>
    </w:p>
    <w:p w:rsidR="0030198E" w:rsidRPr="004B2881" w:rsidRDefault="0030198E" w:rsidP="00484EC3">
      <w:pPr>
        <w:pStyle w:val="Heading2"/>
        <w:rPr>
          <w:lang w:val="fr-FR"/>
        </w:rPr>
      </w:pPr>
      <w:bookmarkStart w:id="928" w:name="_Toc280260059"/>
      <w:bookmarkStart w:id="929" w:name="_Toc280272520"/>
      <w:bookmarkStart w:id="930" w:name="_Toc284414191"/>
      <w:bookmarkStart w:id="931" w:name="_Toc286314935"/>
      <w:r w:rsidRPr="004B2881">
        <w:rPr>
          <w:lang w:val="fr-FR"/>
        </w:rPr>
        <w:t>3.1</w:t>
      </w:r>
      <w:r w:rsidRPr="004B2881">
        <w:rPr>
          <w:lang w:val="fr-FR"/>
        </w:rPr>
        <w:tab/>
        <w:t>Recours aux deux types de contributions au profit de l’État</w:t>
      </w:r>
      <w:bookmarkEnd w:id="928"/>
      <w:bookmarkEnd w:id="929"/>
      <w:bookmarkEnd w:id="930"/>
      <w:bookmarkEnd w:id="931"/>
    </w:p>
    <w:p w:rsidR="0030198E" w:rsidRPr="004B2881" w:rsidRDefault="0030198E" w:rsidP="0030198E">
      <w:pPr>
        <w:rPr>
          <w:lang w:val="fr-FR"/>
        </w:rPr>
      </w:pPr>
      <w:r w:rsidRPr="004B2881">
        <w:rPr>
          <w:lang w:val="fr-FR"/>
        </w:rPr>
        <w:t xml:space="preserve">Pour le financement de la gestion nationale du spectre, les institutions politiques suisses ont décidé de recourir à des redevances afin d’alléger la charge pour le budget général de l’État – et donc les contribuables. Dans ce domaine les bénéficiaires des prestations de l’administration peuvent en règle générale être aisément </w:t>
      </w:r>
      <w:r w:rsidRPr="004B2881">
        <w:rPr>
          <w:lang w:val="fr-FR"/>
        </w:rPr>
        <w:lastRenderedPageBreak/>
        <w:t xml:space="preserve">être identifiés car il s’agit des utilisateurs du spectre. Il est équitable que ceux-ci portent une bonne partie des coûts d’une activité étatique dont ils sont les bénéficiaires immédiats. Cependant, l’identification de tous les utilisateurs du spectre n’est pas possible. En outre, l’imputation de certains coûts découlant de l’exécution des tâches liées à la gestion du spectre à la charge des utilisateurs aurait été injuste, voire politiquement inopportune. Il en résulte que la totalité des coûts de la gestion du spectre des fréquences afférant à l’administration suisse n’est pas couverte par les revenus de redevances prélevées auprès des utilisateurs du spectre. Il a été décidé par lesdites institutions politiques que sur le plan calculatoire les revenus provenant des taxes d’utilisation du spectre assureraient au minimum le financement du solde. </w:t>
      </w:r>
    </w:p>
    <w:p w:rsidR="0030198E" w:rsidRPr="004B2881" w:rsidRDefault="0030198E" w:rsidP="00C61AD0">
      <w:pPr>
        <w:rPr>
          <w:lang w:val="fr-FR"/>
        </w:rPr>
      </w:pPr>
      <w:r w:rsidRPr="004B2881">
        <w:rPr>
          <w:lang w:val="fr-FR"/>
        </w:rPr>
        <w:t>La voie choisie en Suisse est donc d’avoir recours aux deux types de contributions au profit de l’Etat pour financer la gestion du spectre, soit des taxes et des redevances. Ont donc été édictées, au niveau gouvernemental, l’Ordonnance</w:t>
      </w:r>
      <w:r w:rsidRPr="004B2881">
        <w:rPr>
          <w:snapToGrid w:val="0"/>
          <w:lang w:val="fr-FR" w:eastAsia="de-DE"/>
        </w:rPr>
        <w:t xml:space="preserve"> du Conseil fédéral</w:t>
      </w:r>
      <w:r w:rsidRPr="004B2881">
        <w:rPr>
          <w:lang w:val="fr-FR"/>
        </w:rPr>
        <w:t xml:space="preserve"> du 7 décembre 2007 sur les redevances et émoluments dans le domaine des télécommunications (OREDT)</w:t>
      </w:r>
      <w:r w:rsidR="00C61AD0" w:rsidRPr="004B2881">
        <w:rPr>
          <w:rStyle w:val="FootnoteReference"/>
          <w:lang w:val="fr-FR"/>
        </w:rPr>
        <w:footnoteReference w:customMarkFollows="1" w:id="6"/>
        <w:t>6</w:t>
      </w:r>
      <w:r w:rsidRPr="004B2881">
        <w:rPr>
          <w:snapToGrid w:val="0"/>
          <w:lang w:val="fr-FR" w:eastAsia="de-DE"/>
        </w:rPr>
        <w:t xml:space="preserve"> </w:t>
      </w:r>
      <w:r w:rsidRPr="004B2881">
        <w:rPr>
          <w:lang w:val="fr-FR"/>
        </w:rPr>
        <w:t xml:space="preserve">arrêtant les taxes d’utilisation du spectre et, au niveau ministériel, l’Ordonnance du </w:t>
      </w:r>
      <w:r w:rsidRPr="004B2881">
        <w:rPr>
          <w:snapToGrid w:val="0"/>
          <w:lang w:val="fr-FR" w:eastAsia="de-DE"/>
        </w:rPr>
        <w:t>Département fédéral de l’environnement, des transports, de l’énergie et de la communication</w:t>
      </w:r>
      <w:r w:rsidRPr="004B2881">
        <w:rPr>
          <w:lang w:val="fr-FR"/>
        </w:rPr>
        <w:t xml:space="preserve"> du 7 décembre 2007 sur les tarifs des émoluments dans le domaine des télécommunications</w:t>
      </w:r>
      <w:r w:rsidR="00C61AD0" w:rsidRPr="004B2881">
        <w:rPr>
          <w:rStyle w:val="FootnoteReference"/>
          <w:lang w:val="fr-FR"/>
        </w:rPr>
        <w:footnoteReference w:customMarkFollows="1" w:id="7"/>
        <w:t>7</w:t>
      </w:r>
      <w:r w:rsidRPr="004B2881">
        <w:rPr>
          <w:lang w:val="fr-FR"/>
        </w:rPr>
        <w:t xml:space="preserve"> déterminant la hauteur des redevances pour les différentes prestations de l’autorité en charge de la gestion du spectre.</w:t>
      </w:r>
    </w:p>
    <w:p w:rsidR="0030198E" w:rsidRPr="004B2881" w:rsidRDefault="0030198E" w:rsidP="00C61AD0">
      <w:pPr>
        <w:pStyle w:val="Heading2"/>
        <w:rPr>
          <w:lang w:val="fr-FR"/>
        </w:rPr>
      </w:pPr>
      <w:bookmarkStart w:id="932" w:name="_Toc280260060"/>
      <w:bookmarkStart w:id="933" w:name="_Toc280272521"/>
      <w:bookmarkStart w:id="934" w:name="_Toc284414192"/>
      <w:bookmarkStart w:id="935" w:name="_Toc286314936"/>
      <w:r w:rsidRPr="004B2881">
        <w:rPr>
          <w:lang w:val="fr-FR"/>
        </w:rPr>
        <w:t>3.2</w:t>
      </w:r>
      <w:r w:rsidRPr="004B2881">
        <w:rPr>
          <w:lang w:val="fr-FR"/>
        </w:rPr>
        <w:tab/>
        <w:t>Les taxes d’utilisation du spectre</w:t>
      </w:r>
      <w:bookmarkEnd w:id="932"/>
      <w:bookmarkEnd w:id="933"/>
      <w:bookmarkEnd w:id="934"/>
      <w:bookmarkEnd w:id="935"/>
    </w:p>
    <w:p w:rsidR="0030198E" w:rsidRPr="004B2881" w:rsidRDefault="0030198E" w:rsidP="00C61AD0">
      <w:pPr>
        <w:pStyle w:val="Heading3"/>
        <w:rPr>
          <w:lang w:val="fr-FR"/>
        </w:rPr>
      </w:pPr>
      <w:r w:rsidRPr="004B2881">
        <w:rPr>
          <w:lang w:val="fr-FR"/>
        </w:rPr>
        <w:t>3.2.1</w:t>
      </w:r>
      <w:r w:rsidRPr="004B2881">
        <w:rPr>
          <w:lang w:val="fr-FR"/>
        </w:rPr>
        <w:tab/>
        <w:t>Les taxes d’utilisation du spectre sont à qualifier d’impôt (et non de redevances)</w:t>
      </w:r>
    </w:p>
    <w:p w:rsidR="0030198E" w:rsidRPr="004B2881" w:rsidRDefault="0030198E" w:rsidP="00EF66F5">
      <w:pPr>
        <w:rPr>
          <w:lang w:val="fr-FR"/>
        </w:rPr>
      </w:pPr>
      <w:r w:rsidRPr="004B2881">
        <w:rPr>
          <w:snapToGrid w:val="0"/>
          <w:lang w:val="fr-FR" w:eastAsia="de-DE"/>
        </w:rPr>
        <w:t xml:space="preserve">En Suisse, les droits d’utilisation dont s’acquittent les utilisateurs du spectre sont à qualifier de taxes. En effet, ils ont les caractéristiques des taxes en ce qu’ils sont dus par l’usager du spectre sans qu’il puisse prétendre à aucune contre-prestation spécifique de la part de l’administration si ce n’est le droit d’exercer le droit régalien d’utiliser le spectre. De plus, ils ne sont pas affectés à un usage défini mais versé au budget général de l’Etat. Le Parlement a fixé les conditions-cadre pour le prélèvement de cette taxe à l’article 39 de la </w:t>
      </w:r>
      <w:r w:rsidRPr="004B2881">
        <w:rPr>
          <w:lang w:val="fr-FR"/>
        </w:rPr>
        <w:t>Loi du 30 avril 1997 sur les télécommunications (LTC)</w:t>
      </w:r>
      <w:r w:rsidR="00EF66F5" w:rsidRPr="004B2881">
        <w:rPr>
          <w:rStyle w:val="FootnoteReference"/>
          <w:lang w:val="fr-FR"/>
        </w:rPr>
        <w:footnoteReference w:customMarkFollows="1" w:id="8"/>
        <w:t>8</w:t>
      </w:r>
      <w:r w:rsidRPr="004B2881">
        <w:rPr>
          <w:snapToGrid w:val="0"/>
          <w:lang w:val="fr-FR" w:eastAsia="de-DE"/>
        </w:rPr>
        <w:t>. Dans cet article il a également délégué la fixation du montant et la spécification du mode de calcul de la taxe au gouvernement</w:t>
      </w:r>
      <w:r w:rsidR="00EF66F5" w:rsidRPr="004B2881">
        <w:rPr>
          <w:rStyle w:val="FootnoteReference"/>
          <w:snapToGrid w:val="0"/>
          <w:lang w:val="fr-FR" w:eastAsia="de-DE"/>
        </w:rPr>
        <w:footnoteReference w:customMarkFollows="1" w:id="9"/>
        <w:t>9</w:t>
      </w:r>
      <w:r w:rsidRPr="004B2881">
        <w:rPr>
          <w:snapToGrid w:val="0"/>
          <w:lang w:val="fr-FR" w:eastAsia="de-DE"/>
        </w:rPr>
        <w:t>.</w:t>
      </w:r>
      <w:r w:rsidRPr="004B2881">
        <w:rPr>
          <w:lang w:val="fr-FR"/>
        </w:rPr>
        <w:t xml:space="preserve"> </w:t>
      </w:r>
    </w:p>
    <w:p w:rsidR="0030198E" w:rsidRPr="004B2881" w:rsidRDefault="0030198E" w:rsidP="0030198E">
      <w:pPr>
        <w:rPr>
          <w:lang w:val="fr-FR"/>
        </w:rPr>
      </w:pPr>
      <w:r w:rsidRPr="004B2881">
        <w:rPr>
          <w:lang w:val="fr-FR"/>
        </w:rPr>
        <w:t>Comme mentionnée ci-dessus, le montant demandé par l’Etat aux utilisateurs pour pouvoir accéder au spectre est une taxe car il n’y a pas de fourniture de prestations par l’Etat aux parties concernées par ces prélèvements. En effet, les ondes électromagnétiques sont présentes à l’état naturel, c’est-à-dire sans qu’aucun organe de l’Etat n’ait été actif dans une quelconque mesure. Ce montant est tout spécialement conforme aux particularités d’une taxe car le produit des droits d’utilisation du spectre ne fait pas l’objet d’une affectation et alimente le budget général.</w:t>
      </w:r>
    </w:p>
    <w:p w:rsidR="0030198E" w:rsidRPr="004B2881" w:rsidRDefault="0030198E" w:rsidP="00C61AD0">
      <w:pPr>
        <w:pStyle w:val="Heading3"/>
        <w:rPr>
          <w:lang w:val="fr-FR"/>
        </w:rPr>
      </w:pPr>
      <w:r w:rsidRPr="004B2881">
        <w:rPr>
          <w:lang w:val="fr-FR"/>
        </w:rPr>
        <w:t>3.2.2</w:t>
      </w:r>
      <w:r w:rsidRPr="004B2881">
        <w:rPr>
          <w:lang w:val="fr-FR"/>
        </w:rPr>
        <w:tab/>
        <w:t xml:space="preserve">Fonction incitative de </w:t>
      </w:r>
      <w:bookmarkStart w:id="936" w:name="OLE_LINK6"/>
      <w:r w:rsidRPr="004B2881">
        <w:rPr>
          <w:lang w:val="fr-FR"/>
        </w:rPr>
        <w:t xml:space="preserve">la taxe d’utilisation du spectre </w:t>
      </w:r>
      <w:bookmarkEnd w:id="936"/>
      <w:r w:rsidRPr="004B2881">
        <w:rPr>
          <w:lang w:val="fr-FR"/>
        </w:rPr>
        <w:t>(spectrum pricing)</w:t>
      </w:r>
    </w:p>
    <w:p w:rsidR="0030198E" w:rsidRPr="004B2881" w:rsidRDefault="0030198E" w:rsidP="0030198E">
      <w:pPr>
        <w:rPr>
          <w:lang w:val="fr-FR"/>
        </w:rPr>
      </w:pPr>
      <w:r w:rsidRPr="004B2881">
        <w:rPr>
          <w:lang w:val="fr-FR"/>
        </w:rPr>
        <w:t xml:space="preserve">Pour les taxes d’utilisation du spectre, l’administration suisse a tenté d’appliquer certains principes découlant du </w:t>
      </w:r>
      <w:r w:rsidRPr="004B2881">
        <w:rPr>
          <w:i/>
          <w:lang w:val="fr-FR"/>
        </w:rPr>
        <w:t>spectrum pricing</w:t>
      </w:r>
      <w:r w:rsidRPr="004B2881">
        <w:rPr>
          <w:lang w:val="fr-FR"/>
        </w:rPr>
        <w:t>. Une telle politique ne serait juridiquement pas permissible si l’on avait été en présence de redevances. En effet, pour la fixation de la hauteur des redevances le respect des contraintes juridiques en la forme des principes de la couverture des coûts et d’équivalence est déterminant. Ces contraintes ne permettent pas à l’administration de disposer de la flexibilité qui est nécessaire pour donner un caractère incitatif à une contribution. Or une taxe incitative, qui est un instrument dans l’éventail des moyens d’une politique publique cherchant à infléchir, guider les comportements des administrés, requiert justement passablement de flexibilité.</w:t>
      </w:r>
    </w:p>
    <w:p w:rsidR="0030198E" w:rsidRPr="004B2881" w:rsidRDefault="0030198E" w:rsidP="001E2E19">
      <w:pPr>
        <w:rPr>
          <w:lang w:val="fr-FR"/>
        </w:rPr>
      </w:pPr>
      <w:r w:rsidRPr="004B2881">
        <w:rPr>
          <w:lang w:val="fr-FR"/>
        </w:rPr>
        <w:t xml:space="preserve">Pour les bandes de fréquences où l'assignation se fait sur la base du principe du «premier venu, premier servi» ou par le biais de concours de beauté (en d’autres mots : l’allocation ne se fait pas par la voie d’enchères), l'administration suisse a développé un système de valorisation du spectre. Ce système se fonde </w:t>
      </w:r>
      <w:r w:rsidRPr="004B2881">
        <w:rPr>
          <w:lang w:val="fr-FR"/>
        </w:rPr>
        <w:lastRenderedPageBreak/>
        <w:t>sur une formule générale qui est applicable à toutes les applications de radiocommunication à condition de l'adapter aux spécificités de chacune d'entre elles.</w:t>
      </w:r>
    </w:p>
    <w:p w:rsidR="0030198E" w:rsidRPr="004B2881" w:rsidRDefault="0030198E" w:rsidP="0030198E">
      <w:pPr>
        <w:rPr>
          <w:lang w:val="fr-FR"/>
        </w:rPr>
      </w:pPr>
      <w:r w:rsidRPr="004B2881">
        <w:rPr>
          <w:lang w:val="fr-FR"/>
        </w:rPr>
        <w:t>La formule générale de calcul des taxes d’utilisation du spectre est:</w:t>
      </w:r>
    </w:p>
    <w:p w:rsidR="0030198E" w:rsidRPr="004B2881" w:rsidRDefault="0030198E" w:rsidP="0030198E">
      <w:pPr>
        <w:pBdr>
          <w:top w:val="single" w:sz="4" w:space="1" w:color="auto"/>
          <w:left w:val="single" w:sz="4" w:space="4" w:color="auto"/>
          <w:bottom w:val="single" w:sz="4" w:space="1" w:color="auto"/>
          <w:right w:val="single" w:sz="4" w:space="4" w:color="auto"/>
        </w:pBdr>
        <w:rPr>
          <w:lang w:val="fr-FR"/>
        </w:rPr>
      </w:pPr>
      <w:r w:rsidRPr="004B2881">
        <w:rPr>
          <w:lang w:val="fr-FR"/>
        </w:rPr>
        <w:t>Unité de compte * c</w:t>
      </w:r>
      <w:r w:rsidR="00516D75" w:rsidRPr="004B2881">
        <w:rPr>
          <w:lang w:val="fr-FR"/>
        </w:rPr>
        <w:t>oe</w:t>
      </w:r>
      <w:r w:rsidRPr="004B2881">
        <w:rPr>
          <w:lang w:val="fr-FR"/>
        </w:rPr>
        <w:t>fficient de largeur de bande * c</w:t>
      </w:r>
      <w:r w:rsidR="00516D75" w:rsidRPr="004B2881">
        <w:rPr>
          <w:lang w:val="fr-FR"/>
        </w:rPr>
        <w:t>oe</w:t>
      </w:r>
      <w:r w:rsidRPr="004B2881">
        <w:rPr>
          <w:lang w:val="fr-FR"/>
        </w:rPr>
        <w:t>fficient de réutilisation * c</w:t>
      </w:r>
      <w:r w:rsidR="00516D75" w:rsidRPr="004B2881">
        <w:rPr>
          <w:lang w:val="fr-FR"/>
        </w:rPr>
        <w:t>oe</w:t>
      </w:r>
      <w:r w:rsidRPr="004B2881">
        <w:rPr>
          <w:lang w:val="fr-FR"/>
        </w:rPr>
        <w:t>fficient de gamme de fréquences * c</w:t>
      </w:r>
      <w:r w:rsidR="00516D75" w:rsidRPr="004B2881">
        <w:rPr>
          <w:lang w:val="fr-FR"/>
        </w:rPr>
        <w:t>oe</w:t>
      </w:r>
      <w:r w:rsidRPr="004B2881">
        <w:rPr>
          <w:lang w:val="fr-FR"/>
        </w:rPr>
        <w:t>fficient d'exclusivité * c</w:t>
      </w:r>
      <w:r w:rsidR="00516D75" w:rsidRPr="004B2881">
        <w:rPr>
          <w:lang w:val="fr-FR"/>
        </w:rPr>
        <w:t>oe</w:t>
      </w:r>
      <w:r w:rsidRPr="004B2881">
        <w:rPr>
          <w:lang w:val="fr-FR"/>
        </w:rPr>
        <w:t>fficient de saturation/de zone * c</w:t>
      </w:r>
      <w:r w:rsidR="00516D75" w:rsidRPr="004B2881">
        <w:rPr>
          <w:lang w:val="fr-FR"/>
        </w:rPr>
        <w:t>oe</w:t>
      </w:r>
      <w:r w:rsidRPr="004B2881">
        <w:rPr>
          <w:lang w:val="fr-FR"/>
        </w:rPr>
        <w:t>fficient de temps</w:t>
      </w:r>
    </w:p>
    <w:p w:rsidR="0030198E" w:rsidRPr="004B2881" w:rsidRDefault="0030198E" w:rsidP="0030198E">
      <w:pPr>
        <w:rPr>
          <w:lang w:val="fr-FR"/>
        </w:rPr>
      </w:pPr>
      <w:r w:rsidRPr="004B2881">
        <w:rPr>
          <w:lang w:val="fr-FR"/>
        </w:rPr>
        <w:t>Les différents éléments de la formule requièrent quelques explicitations:</w:t>
      </w:r>
    </w:p>
    <w:p w:rsidR="0030198E" w:rsidRPr="004B2881" w:rsidRDefault="00ED5F9A" w:rsidP="00ED5F9A">
      <w:pPr>
        <w:pStyle w:val="enumlev1"/>
        <w:rPr>
          <w:lang w:val="fr-FR"/>
        </w:rPr>
      </w:pPr>
      <w:r w:rsidRPr="004B2881">
        <w:rPr>
          <w:lang w:val="fr-FR"/>
        </w:rPr>
        <w:t>–</w:t>
      </w:r>
      <w:r w:rsidRPr="004B2881">
        <w:rPr>
          <w:lang w:val="fr-FR"/>
        </w:rPr>
        <w:tab/>
      </w:r>
      <w:r w:rsidR="0030198E" w:rsidRPr="004B2881">
        <w:rPr>
          <w:lang w:val="fr-FR"/>
        </w:rPr>
        <w:t>L'</w:t>
      </w:r>
      <w:r w:rsidR="0030198E" w:rsidRPr="004B2881">
        <w:rPr>
          <w:i/>
          <w:lang w:val="fr-FR"/>
        </w:rPr>
        <w:t>unité de compte</w:t>
      </w:r>
      <w:r w:rsidR="0030198E" w:rsidRPr="004B2881">
        <w:rPr>
          <w:lang w:val="fr-FR"/>
        </w:rPr>
        <w:t xml:space="preserve"> reflète la valorisation économique de l'utilisation de la ressource spectre par une application de radiocommunication déterminée. Naturellement, elle variera d'une application à l'autre. </w:t>
      </w:r>
    </w:p>
    <w:p w:rsidR="0030198E" w:rsidRPr="004B2881" w:rsidRDefault="00ED5F9A" w:rsidP="00ED5F9A">
      <w:pPr>
        <w:pStyle w:val="enumlev1"/>
        <w:rPr>
          <w:lang w:val="fr-FR"/>
        </w:rPr>
      </w:pPr>
      <w:r w:rsidRPr="004B2881">
        <w:rPr>
          <w:lang w:val="fr-FR"/>
        </w:rPr>
        <w:t>–</w:t>
      </w:r>
      <w:r w:rsidRPr="004B2881">
        <w:rPr>
          <w:lang w:val="fr-FR"/>
        </w:rPr>
        <w:tab/>
      </w:r>
      <w:r w:rsidR="0030198E" w:rsidRPr="004B2881">
        <w:rPr>
          <w:lang w:val="fr-FR"/>
        </w:rPr>
        <w:t xml:space="preserve">Le </w:t>
      </w:r>
      <w:r w:rsidR="0030198E" w:rsidRPr="004B2881">
        <w:rPr>
          <w:i/>
          <w:lang w:val="fr-FR"/>
        </w:rPr>
        <w:t>c</w:t>
      </w:r>
      <w:r w:rsidR="00516D75" w:rsidRPr="004B2881">
        <w:rPr>
          <w:i/>
          <w:lang w:val="fr-FR"/>
        </w:rPr>
        <w:t>oe</w:t>
      </w:r>
      <w:r w:rsidR="0030198E" w:rsidRPr="004B2881">
        <w:rPr>
          <w:i/>
          <w:lang w:val="fr-FR"/>
        </w:rPr>
        <w:t xml:space="preserve">fficient de largeur de bande </w:t>
      </w:r>
      <w:r w:rsidR="0030198E" w:rsidRPr="004B2881">
        <w:rPr>
          <w:lang w:val="fr-FR"/>
        </w:rPr>
        <w:t>reflète combien d'unités de compte sont allouée du fait de la largeur de la bande assignée. Par exemple, si l'unité de compte est fixée pour 25 kHz et que la largeur de bande du système de radiocommunication est 2 MHz, alors ce c</w:t>
      </w:r>
      <w:r w:rsidR="00516D75" w:rsidRPr="004B2881">
        <w:rPr>
          <w:lang w:val="fr-FR"/>
        </w:rPr>
        <w:t>oe</w:t>
      </w:r>
      <w:r w:rsidR="0030198E" w:rsidRPr="004B2881">
        <w:rPr>
          <w:lang w:val="fr-FR"/>
        </w:rPr>
        <w:t xml:space="preserve">fficient de largeur de bande sera de 80. </w:t>
      </w:r>
    </w:p>
    <w:p w:rsidR="0030198E" w:rsidRPr="004B2881" w:rsidRDefault="00ED5F9A" w:rsidP="001E2E19">
      <w:pPr>
        <w:pStyle w:val="enumlev1"/>
        <w:rPr>
          <w:lang w:val="fr-FR"/>
        </w:rPr>
      </w:pPr>
      <w:r w:rsidRPr="004B2881">
        <w:rPr>
          <w:lang w:val="fr-FR"/>
        </w:rPr>
        <w:t>–</w:t>
      </w:r>
      <w:r w:rsidRPr="004B2881">
        <w:rPr>
          <w:lang w:val="fr-FR"/>
        </w:rPr>
        <w:tab/>
      </w:r>
      <w:r w:rsidR="0030198E" w:rsidRPr="004B2881">
        <w:rPr>
          <w:lang w:val="fr-FR"/>
        </w:rPr>
        <w:t xml:space="preserve">Le </w:t>
      </w:r>
      <w:r w:rsidR="0030198E" w:rsidRPr="004B2881">
        <w:rPr>
          <w:i/>
          <w:lang w:val="fr-FR"/>
        </w:rPr>
        <w:t>c</w:t>
      </w:r>
      <w:r w:rsidR="00516D75" w:rsidRPr="004B2881">
        <w:rPr>
          <w:i/>
          <w:lang w:val="fr-FR"/>
        </w:rPr>
        <w:t>oe</w:t>
      </w:r>
      <w:r w:rsidR="0030198E" w:rsidRPr="004B2881">
        <w:rPr>
          <w:i/>
          <w:lang w:val="fr-FR"/>
        </w:rPr>
        <w:t>fficient de réutilisation</w:t>
      </w:r>
      <w:r w:rsidR="0030198E" w:rsidRPr="004B2881">
        <w:rPr>
          <w:lang w:val="fr-FR"/>
        </w:rPr>
        <w:t xml:space="preserve"> (en Suisse il a été appelé «c</w:t>
      </w:r>
      <w:r w:rsidR="00516D75" w:rsidRPr="004B2881">
        <w:rPr>
          <w:lang w:val="fr-FR"/>
        </w:rPr>
        <w:t>oe</w:t>
      </w:r>
      <w:r w:rsidR="0030198E" w:rsidRPr="004B2881">
        <w:rPr>
          <w:lang w:val="fr-FR"/>
        </w:rPr>
        <w:t xml:space="preserve">fficient de territoire») reflète le nombre de fois que la fréquence en cause pourrait être réemployée dans une zone donnée ou sur le territoire du pays. </w:t>
      </w:r>
    </w:p>
    <w:p w:rsidR="0030198E" w:rsidRPr="004B2881" w:rsidRDefault="00ED5F9A" w:rsidP="00ED5F9A">
      <w:pPr>
        <w:pStyle w:val="enumlev1"/>
        <w:rPr>
          <w:lang w:val="fr-FR"/>
        </w:rPr>
      </w:pPr>
      <w:r w:rsidRPr="004B2881">
        <w:rPr>
          <w:lang w:val="fr-FR"/>
        </w:rPr>
        <w:t>–</w:t>
      </w:r>
      <w:r w:rsidRPr="004B2881">
        <w:rPr>
          <w:lang w:val="fr-FR"/>
        </w:rPr>
        <w:tab/>
      </w:r>
      <w:r w:rsidR="0030198E" w:rsidRPr="004B2881">
        <w:rPr>
          <w:lang w:val="fr-FR"/>
        </w:rPr>
        <w:t xml:space="preserve">Le </w:t>
      </w:r>
      <w:r w:rsidR="0030198E" w:rsidRPr="004B2881">
        <w:rPr>
          <w:i/>
          <w:lang w:val="fr-FR"/>
        </w:rPr>
        <w:t>c</w:t>
      </w:r>
      <w:r w:rsidR="00516D75" w:rsidRPr="004B2881">
        <w:rPr>
          <w:i/>
          <w:lang w:val="fr-FR"/>
        </w:rPr>
        <w:t>oe</w:t>
      </w:r>
      <w:r w:rsidR="0030198E" w:rsidRPr="004B2881">
        <w:rPr>
          <w:i/>
          <w:lang w:val="fr-FR"/>
        </w:rPr>
        <w:t>fficient de gamme de fréquences</w:t>
      </w:r>
      <w:r w:rsidR="0030198E" w:rsidRPr="004B2881">
        <w:rPr>
          <w:lang w:val="fr-FR"/>
        </w:rPr>
        <w:t xml:space="preserve"> peut être utilisé pour les systèmes de radiocommunication qui disposent d'attributions de fréquences dans plusieurs parties du spectre des fréquences. Ce c</w:t>
      </w:r>
      <w:r w:rsidR="00516D75" w:rsidRPr="004B2881">
        <w:rPr>
          <w:lang w:val="fr-FR"/>
        </w:rPr>
        <w:t>oe</w:t>
      </w:r>
      <w:r w:rsidR="0030198E" w:rsidRPr="004B2881">
        <w:rPr>
          <w:lang w:val="fr-FR"/>
        </w:rPr>
        <w:t xml:space="preserve">fficient traduit les préférences de l'administration en charge de la gestion des fréquences concernant l'emploi de certaines bandes de fréquences par ces systèmes. Des tarifs préférentiels pourraient par exemple être appliqués aux bandes de fréquences élevées où la technologie est moins mûre et qui sont moins congestionnées. </w:t>
      </w:r>
    </w:p>
    <w:p w:rsidR="0030198E" w:rsidRPr="004B2881" w:rsidRDefault="00ED5F9A" w:rsidP="00ED5F9A">
      <w:pPr>
        <w:pStyle w:val="enumlev1"/>
        <w:rPr>
          <w:lang w:val="fr-FR"/>
        </w:rPr>
      </w:pPr>
      <w:r w:rsidRPr="004B2881">
        <w:rPr>
          <w:lang w:val="fr-FR"/>
        </w:rPr>
        <w:t>–</w:t>
      </w:r>
      <w:r w:rsidRPr="004B2881">
        <w:rPr>
          <w:lang w:val="fr-FR"/>
        </w:rPr>
        <w:tab/>
      </w:r>
      <w:r w:rsidR="0030198E" w:rsidRPr="004B2881">
        <w:rPr>
          <w:lang w:val="fr-FR"/>
        </w:rPr>
        <w:t xml:space="preserve">Le </w:t>
      </w:r>
      <w:r w:rsidR="0030198E" w:rsidRPr="004B2881">
        <w:rPr>
          <w:i/>
          <w:lang w:val="fr-FR"/>
        </w:rPr>
        <w:t>c</w:t>
      </w:r>
      <w:r w:rsidR="00516D75" w:rsidRPr="004B2881">
        <w:rPr>
          <w:i/>
          <w:lang w:val="fr-FR"/>
        </w:rPr>
        <w:t>oe</w:t>
      </w:r>
      <w:r w:rsidR="0030198E" w:rsidRPr="004B2881">
        <w:rPr>
          <w:i/>
          <w:lang w:val="fr-FR"/>
        </w:rPr>
        <w:t>fficient d'exclusivité</w:t>
      </w:r>
      <w:r w:rsidR="0030198E" w:rsidRPr="004B2881">
        <w:rPr>
          <w:lang w:val="fr-FR"/>
        </w:rPr>
        <w:t xml:space="preserve"> reflète le degré de partage</w:t>
      </w:r>
      <w:r w:rsidR="00516D75" w:rsidRPr="004B2881">
        <w:rPr>
          <w:lang w:val="fr-FR"/>
        </w:rPr>
        <w:t xml:space="preserve"> et de disponibilité du spectre</w:t>
      </w:r>
      <w:r w:rsidR="0030198E" w:rsidRPr="004B2881">
        <w:rPr>
          <w:lang w:val="fr-FR"/>
        </w:rPr>
        <w:t>: Ce c</w:t>
      </w:r>
      <w:r w:rsidR="00516D75" w:rsidRPr="004B2881">
        <w:rPr>
          <w:lang w:val="fr-FR"/>
        </w:rPr>
        <w:t>oe</w:t>
      </w:r>
      <w:r w:rsidR="0030198E" w:rsidRPr="004B2881">
        <w:rPr>
          <w:lang w:val="fr-FR"/>
        </w:rPr>
        <w:t>fficient est élevé pour un usage exclusif et plus bas dans le cas d’un usage partagé. On peut également imaginer un système où, dans une bande à usage partagé, le facteur applicable aux utilisateurs opérant une flotte nombreuse d'équipements de radiocommunication serait plus élevé que celui applicable aux utilisateurs n'employant qu'un faible nombre d'appareils.</w:t>
      </w:r>
    </w:p>
    <w:p w:rsidR="0030198E" w:rsidRPr="004B2881" w:rsidRDefault="00ED5F9A" w:rsidP="00ED5F9A">
      <w:pPr>
        <w:pStyle w:val="enumlev1"/>
        <w:rPr>
          <w:lang w:val="fr-FR"/>
        </w:rPr>
      </w:pPr>
      <w:r w:rsidRPr="004B2881">
        <w:rPr>
          <w:lang w:val="fr-FR"/>
        </w:rPr>
        <w:t>–</w:t>
      </w:r>
      <w:r w:rsidRPr="004B2881">
        <w:rPr>
          <w:lang w:val="fr-FR"/>
        </w:rPr>
        <w:tab/>
      </w:r>
      <w:r w:rsidR="0030198E" w:rsidRPr="004B2881">
        <w:rPr>
          <w:lang w:val="fr-FR"/>
        </w:rPr>
        <w:t xml:space="preserve">Le </w:t>
      </w:r>
      <w:r w:rsidR="0030198E" w:rsidRPr="004B2881">
        <w:rPr>
          <w:i/>
          <w:lang w:val="fr-FR"/>
        </w:rPr>
        <w:t>c</w:t>
      </w:r>
      <w:r w:rsidR="00516D75" w:rsidRPr="004B2881">
        <w:rPr>
          <w:i/>
          <w:lang w:val="fr-FR"/>
        </w:rPr>
        <w:t>oe</w:t>
      </w:r>
      <w:r w:rsidR="0030198E" w:rsidRPr="004B2881">
        <w:rPr>
          <w:i/>
          <w:lang w:val="fr-FR"/>
        </w:rPr>
        <w:t>fficient de saturation/de zone</w:t>
      </w:r>
      <w:r w:rsidR="0030198E" w:rsidRPr="004B2881">
        <w:rPr>
          <w:lang w:val="fr-FR"/>
        </w:rPr>
        <w:t xml:space="preserve"> reflète la densité des utilisateurs potentiels dans différentes parties du territoire national. Il indique la pénurie de la ressource spectre, qui est généralement plus forte dans les zones urbaines que dans les zones rurales. On peut, par exemple, considérer 3 zones (grandes agglomérations, banlieues, zones rurales).</w:t>
      </w:r>
    </w:p>
    <w:p w:rsidR="0030198E" w:rsidRPr="004B2881" w:rsidRDefault="00ED5F9A" w:rsidP="00ED5F9A">
      <w:pPr>
        <w:pStyle w:val="enumlev1"/>
        <w:rPr>
          <w:lang w:val="fr-FR"/>
        </w:rPr>
      </w:pPr>
      <w:r w:rsidRPr="004B2881">
        <w:rPr>
          <w:lang w:val="fr-FR"/>
        </w:rPr>
        <w:t>–</w:t>
      </w:r>
      <w:r w:rsidRPr="004B2881">
        <w:rPr>
          <w:lang w:val="fr-FR"/>
        </w:rPr>
        <w:tab/>
      </w:r>
      <w:r w:rsidR="0030198E" w:rsidRPr="004B2881">
        <w:rPr>
          <w:lang w:val="fr-FR"/>
        </w:rPr>
        <w:t xml:space="preserve">Le </w:t>
      </w:r>
      <w:r w:rsidR="0030198E" w:rsidRPr="004B2881">
        <w:rPr>
          <w:i/>
          <w:lang w:val="fr-FR"/>
        </w:rPr>
        <w:t>c</w:t>
      </w:r>
      <w:r w:rsidR="00516D75" w:rsidRPr="004B2881">
        <w:rPr>
          <w:i/>
          <w:lang w:val="fr-FR"/>
        </w:rPr>
        <w:t>oe</w:t>
      </w:r>
      <w:r w:rsidR="0030198E" w:rsidRPr="004B2881">
        <w:rPr>
          <w:i/>
          <w:lang w:val="fr-FR"/>
        </w:rPr>
        <w:t>fficient de temps</w:t>
      </w:r>
      <w:r w:rsidR="0030198E" w:rsidRPr="004B2881">
        <w:rPr>
          <w:lang w:val="fr-FR"/>
        </w:rPr>
        <w:t xml:space="preserve"> reflète le nombre total d'unités de temps (qui sont à la base de l'unité de compte, p.ex. un mois ou un an) que couvre l'autorisation d'utiliser le spectre. Le cas échéant une adaptation de ce c</w:t>
      </w:r>
      <w:r w:rsidR="00516D75" w:rsidRPr="004B2881">
        <w:rPr>
          <w:lang w:val="fr-FR"/>
        </w:rPr>
        <w:t>oe</w:t>
      </w:r>
      <w:r w:rsidR="0030198E" w:rsidRPr="004B2881">
        <w:rPr>
          <w:lang w:val="fr-FR"/>
        </w:rPr>
        <w:t>fficient pourrait avoir lieu entre la phase d'introduction d'une nouvelle technologie (c</w:t>
      </w:r>
      <w:r w:rsidR="00516D75" w:rsidRPr="004B2881">
        <w:rPr>
          <w:lang w:val="fr-FR"/>
        </w:rPr>
        <w:t>oe</w:t>
      </w:r>
      <w:r w:rsidR="0030198E" w:rsidRPr="004B2881">
        <w:rPr>
          <w:lang w:val="fr-FR"/>
        </w:rPr>
        <w:t>fficient plus bas) et la phase de maturité de la technologie (c</w:t>
      </w:r>
      <w:r w:rsidR="00516D75" w:rsidRPr="004B2881">
        <w:rPr>
          <w:lang w:val="fr-FR"/>
        </w:rPr>
        <w:t>oe</w:t>
      </w:r>
      <w:r w:rsidR="0030198E" w:rsidRPr="004B2881">
        <w:rPr>
          <w:lang w:val="fr-FR"/>
        </w:rPr>
        <w:t>fficient plus élevé).</w:t>
      </w:r>
    </w:p>
    <w:p w:rsidR="0030198E" w:rsidRPr="004B2881" w:rsidRDefault="0030198E" w:rsidP="0030198E">
      <w:pPr>
        <w:rPr>
          <w:lang w:val="fr-FR"/>
        </w:rPr>
      </w:pPr>
      <w:r w:rsidRPr="004B2881">
        <w:rPr>
          <w:lang w:val="fr-FR"/>
        </w:rPr>
        <w:t>Il faut souligner que tous les c</w:t>
      </w:r>
      <w:r w:rsidR="00516D75" w:rsidRPr="004B2881">
        <w:rPr>
          <w:lang w:val="fr-FR"/>
        </w:rPr>
        <w:t>oe</w:t>
      </w:r>
      <w:r w:rsidRPr="004B2881">
        <w:rPr>
          <w:lang w:val="fr-FR"/>
        </w:rPr>
        <w:t>fficients ne sont pas pertinents pour toutes les applications de radiocommunication. Lorsqu’un c</w:t>
      </w:r>
      <w:r w:rsidR="00516D75" w:rsidRPr="004B2881">
        <w:rPr>
          <w:lang w:val="fr-FR"/>
        </w:rPr>
        <w:t>oe</w:t>
      </w:r>
      <w:r w:rsidRPr="004B2881">
        <w:rPr>
          <w:lang w:val="fr-FR"/>
        </w:rPr>
        <w:t>fficient n’est pas pertinent pour un type d'application de radiocommunication, il ne devrait pas être pris en considération pour le calcul de la taxe (ou alors toujours avoir la valeur 1 neutre dans une multiplication). De plus, la valorisation des c</w:t>
      </w:r>
      <w:r w:rsidR="00516D75" w:rsidRPr="004B2881">
        <w:rPr>
          <w:lang w:val="fr-FR"/>
        </w:rPr>
        <w:t>oe</w:t>
      </w:r>
      <w:r w:rsidRPr="004B2881">
        <w:rPr>
          <w:lang w:val="fr-FR"/>
        </w:rPr>
        <w:t>fficients demande des études économiques et techniques. Finalement, les proportions entre les valeurs d’un c</w:t>
      </w:r>
      <w:r w:rsidR="00516D75" w:rsidRPr="004B2881">
        <w:rPr>
          <w:lang w:val="fr-FR"/>
        </w:rPr>
        <w:t>oe</w:t>
      </w:r>
      <w:r w:rsidRPr="004B2881">
        <w:rPr>
          <w:lang w:val="fr-FR"/>
        </w:rPr>
        <w:t>fficient ne s'appliquent pas nécessairement de façon identique pour chacune des applications et requièrent donc également une réflexion approfondie.</w:t>
      </w:r>
    </w:p>
    <w:p w:rsidR="0030198E" w:rsidRPr="004B2881" w:rsidRDefault="0030198E" w:rsidP="0030198E">
      <w:pPr>
        <w:rPr>
          <w:lang w:val="fr-FR"/>
        </w:rPr>
      </w:pPr>
      <w:r w:rsidRPr="004B2881">
        <w:rPr>
          <w:lang w:val="fr-FR"/>
        </w:rPr>
        <w:t>Un système de tarification du spectre basé sur la formule générale doit permettre aux utilisateurs confrontés au choix entre plusieurs solutions techniques de facilement comparer les taxes et d’identifier, lorsqu'ils comparent des applications concurrentes, laquelle impliquerait le paiement de la taxe la moins lourde. Ils prendraient conscience que la ressource spectre est rare et que son prix varie selon l’efficacité spectrale des différents usages envisagés.</w:t>
      </w:r>
    </w:p>
    <w:p w:rsidR="0030198E" w:rsidRPr="004B2881" w:rsidRDefault="0030198E" w:rsidP="00E52404">
      <w:pPr>
        <w:pStyle w:val="Heading3"/>
        <w:rPr>
          <w:lang w:val="fr-FR"/>
        </w:rPr>
      </w:pPr>
      <w:r w:rsidRPr="004B2881">
        <w:rPr>
          <w:lang w:val="fr-FR"/>
        </w:rPr>
        <w:lastRenderedPageBreak/>
        <w:t>3.2.3</w:t>
      </w:r>
      <w:r w:rsidRPr="004B2881">
        <w:rPr>
          <w:lang w:val="fr-FR"/>
        </w:rPr>
        <w:tab/>
        <w:t>Observation concernant les adjudications publiques par voie d’enchères</w:t>
      </w:r>
    </w:p>
    <w:p w:rsidR="0030198E" w:rsidRPr="004B2881" w:rsidRDefault="0030198E" w:rsidP="001B74DD">
      <w:pPr>
        <w:rPr>
          <w:lang w:val="fr-FR"/>
        </w:rPr>
      </w:pPr>
      <w:r w:rsidRPr="004B2881">
        <w:rPr>
          <w:lang w:val="fr-FR"/>
        </w:rPr>
        <w:t>Dans les rares cas où les conditions pour l’emploi d’adjudications publiques par voie d’enchères comme méthode d’assignation de fréquences sont remplies (cela suppose, entre autres, qu'il y ait plus de demande pour des licences de radiocommunication que l'Etat n'a à en offrir à un moment bien spécifique), ces adjudications sont un moyen commode pour taxer l’utilisation du bien public qu’est le spectre des fréquences</w:t>
      </w:r>
      <w:r w:rsidR="001B74DD" w:rsidRPr="004B2881">
        <w:rPr>
          <w:rStyle w:val="FootnoteReference"/>
          <w:lang w:val="fr-FR"/>
        </w:rPr>
        <w:footnoteReference w:customMarkFollows="1" w:id="10"/>
        <w:t>10</w:t>
      </w:r>
      <w:r w:rsidRPr="004B2881">
        <w:rPr>
          <w:lang w:val="fr-FR"/>
        </w:rPr>
        <w:t>. En effet, c’est l’usager lui-même qui fixe le prix qu’il est prêt à payer à l’Etat pour avoir cette exclusivité. Le(s) gagnant(s) des enchères aura(ont) déterminé le montant de la taxe d'utilisation du spectre (qui sera équivalente à l'offre la plus élevée). Pour les applications de radiocommunication qui permettent l’organisation d’enchères, les complexes réflexions au sein de l'administration sur un système de taxation/valorisation du spectre sont dans une certaine mesure rendues redondantes – le secteur privé s'en charge lui-même.</w:t>
      </w:r>
    </w:p>
    <w:p w:rsidR="0030198E" w:rsidRPr="004B2881" w:rsidRDefault="0030198E" w:rsidP="00E52404">
      <w:pPr>
        <w:pStyle w:val="Heading2"/>
        <w:rPr>
          <w:lang w:val="fr-FR"/>
        </w:rPr>
      </w:pPr>
      <w:bookmarkStart w:id="937" w:name="_Toc280260061"/>
      <w:bookmarkStart w:id="938" w:name="_Toc280272522"/>
      <w:bookmarkStart w:id="939" w:name="_Toc284414193"/>
      <w:bookmarkStart w:id="940" w:name="_Toc286314937"/>
      <w:r w:rsidRPr="004B2881">
        <w:rPr>
          <w:lang w:val="fr-FR"/>
        </w:rPr>
        <w:t>3.3</w:t>
      </w:r>
      <w:r w:rsidRPr="004B2881">
        <w:rPr>
          <w:lang w:val="fr-FR"/>
        </w:rPr>
        <w:tab/>
        <w:t>Les redevances</w:t>
      </w:r>
      <w:bookmarkEnd w:id="937"/>
      <w:bookmarkEnd w:id="938"/>
      <w:bookmarkEnd w:id="939"/>
      <w:bookmarkEnd w:id="940"/>
    </w:p>
    <w:p w:rsidR="0030198E" w:rsidRPr="004B2881" w:rsidRDefault="0030198E" w:rsidP="001B74DD">
      <w:pPr>
        <w:rPr>
          <w:lang w:val="fr-FR"/>
        </w:rPr>
      </w:pPr>
      <w:r w:rsidRPr="004B2881">
        <w:rPr>
          <w:lang w:val="fr-FR"/>
        </w:rPr>
        <w:t xml:space="preserve">La redevance est due à raison d’une prestation que l’administration fournit au redevable ou d’une activité occasionnée par les agissements de celui-ci. La redevance est la conséquence directe du service requis ou occasionné par l’administré. </w:t>
      </w:r>
      <w:r w:rsidRPr="004B2881">
        <w:rPr>
          <w:snapToGrid w:val="0"/>
          <w:lang w:val="fr-FR" w:eastAsia="de-DE"/>
        </w:rPr>
        <w:t>Le parlement a fixé le principe du prélèvement de redevances à l’article 40 LTC. Il a délégué la fixation du montant des redevances à l’article 41 LTC à l’exécutif.</w:t>
      </w:r>
      <w:r w:rsidRPr="004B2881">
        <w:rPr>
          <w:lang w:val="fr-FR"/>
        </w:rPr>
        <w:t xml:space="preserve"> Les coûts afférant dans le cadre de poursuites pénales administratives sont mis à la charge des personnes sanctionnées sur la base de l’Ordonnance du 25 novembre 1974 sur les frais et indemnités en procédure pénale administrative</w:t>
      </w:r>
      <w:r w:rsidR="001B74DD" w:rsidRPr="004B2881">
        <w:rPr>
          <w:rStyle w:val="FootnoteReference"/>
          <w:lang w:val="fr-FR"/>
        </w:rPr>
        <w:footnoteReference w:customMarkFollows="1" w:id="11"/>
        <w:t>11</w:t>
      </w:r>
      <w:r w:rsidRPr="004B2881">
        <w:rPr>
          <w:lang w:val="fr-FR"/>
        </w:rPr>
        <w:t>, et non pas des ordonnances d’exécution de la LTC.</w:t>
      </w:r>
    </w:p>
    <w:p w:rsidR="0030198E" w:rsidRPr="004B2881" w:rsidRDefault="0030198E" w:rsidP="0030198E">
      <w:pPr>
        <w:rPr>
          <w:lang w:val="fr-FR"/>
        </w:rPr>
      </w:pPr>
      <w:r w:rsidRPr="004B2881">
        <w:rPr>
          <w:lang w:val="fr-FR"/>
        </w:rPr>
        <w:t>En Suisse, on distingue deux types de redevances en fonction de l’occurrence du moment du prélèvement.</w:t>
      </w:r>
    </w:p>
    <w:p w:rsidR="0030198E" w:rsidRPr="004B2881" w:rsidRDefault="0030198E" w:rsidP="003633DF">
      <w:pPr>
        <w:pStyle w:val="Heading3"/>
        <w:rPr>
          <w:lang w:val="fr-FR"/>
        </w:rPr>
      </w:pPr>
      <w:r w:rsidRPr="004B2881">
        <w:rPr>
          <w:lang w:val="fr-FR"/>
        </w:rPr>
        <w:t>3.3.1</w:t>
      </w:r>
      <w:r w:rsidRPr="004B2881">
        <w:rPr>
          <w:lang w:val="fr-FR"/>
        </w:rPr>
        <w:tab/>
        <w:t>Redevances uniques</w:t>
      </w:r>
    </w:p>
    <w:p w:rsidR="0030198E" w:rsidRPr="004B2881" w:rsidRDefault="0030198E" w:rsidP="001E2E19">
      <w:pPr>
        <w:rPr>
          <w:lang w:val="fr-FR"/>
        </w:rPr>
      </w:pPr>
      <w:r w:rsidRPr="004B2881">
        <w:rPr>
          <w:lang w:val="fr-FR"/>
        </w:rPr>
        <w:t>Dans le domaine de la gestion du spectre des fréquences des redevance uniques peuvent être prélevées pour les prestations suivantes de l’autorité compétente et dont les utilisateurs du spectre sont les bénéficiaires immédiats. Ces redevances couvrent par exemple les prestations suivantes:</w:t>
      </w:r>
    </w:p>
    <w:p w:rsidR="0030198E" w:rsidRPr="004B2881" w:rsidRDefault="006C21CD" w:rsidP="006C21CD">
      <w:pPr>
        <w:pStyle w:val="enumlev1"/>
        <w:rPr>
          <w:lang w:val="fr-FR"/>
        </w:rPr>
      </w:pPr>
      <w:r w:rsidRPr="004B2881">
        <w:rPr>
          <w:lang w:val="fr-FR"/>
        </w:rPr>
        <w:t>–</w:t>
      </w:r>
      <w:r w:rsidRPr="004B2881">
        <w:rPr>
          <w:lang w:val="fr-FR"/>
        </w:rPr>
        <w:tab/>
      </w:r>
      <w:r w:rsidR="0030198E" w:rsidRPr="004B2881">
        <w:rPr>
          <w:lang w:val="fr-FR"/>
        </w:rPr>
        <w:t>Octroi de licences de radiocommunication (autorisations d’accéder au spectre)</w:t>
      </w:r>
      <w:r w:rsidR="00C77AC0" w:rsidRPr="004B2881">
        <w:rPr>
          <w:lang w:val="fr-FR"/>
        </w:rPr>
        <w:t>.</w:t>
      </w:r>
    </w:p>
    <w:p w:rsidR="0030198E" w:rsidRPr="004B2881" w:rsidRDefault="006C21CD" w:rsidP="006C21CD">
      <w:pPr>
        <w:pStyle w:val="enumlev1"/>
        <w:rPr>
          <w:lang w:val="fr-FR"/>
        </w:rPr>
      </w:pPr>
      <w:r w:rsidRPr="004B2881">
        <w:rPr>
          <w:lang w:val="fr-FR"/>
        </w:rPr>
        <w:t>–</w:t>
      </w:r>
      <w:r w:rsidRPr="004B2881">
        <w:rPr>
          <w:lang w:val="fr-FR"/>
        </w:rPr>
        <w:tab/>
      </w:r>
      <w:r w:rsidR="0030198E" w:rsidRPr="004B2881">
        <w:rPr>
          <w:lang w:val="fr-FR"/>
        </w:rPr>
        <w:t>Modification d’une licence de radiocommunication</w:t>
      </w:r>
      <w:r w:rsidR="00C77AC0" w:rsidRPr="004B2881">
        <w:rPr>
          <w:lang w:val="fr-FR"/>
        </w:rPr>
        <w:t>.</w:t>
      </w:r>
    </w:p>
    <w:p w:rsidR="0030198E" w:rsidRPr="004B2881" w:rsidRDefault="006C21CD" w:rsidP="006C21CD">
      <w:pPr>
        <w:pStyle w:val="enumlev1"/>
        <w:rPr>
          <w:lang w:val="fr-FR"/>
        </w:rPr>
      </w:pPr>
      <w:r w:rsidRPr="004B2881">
        <w:rPr>
          <w:lang w:val="fr-FR"/>
        </w:rPr>
        <w:t>–</w:t>
      </w:r>
      <w:r w:rsidRPr="004B2881">
        <w:rPr>
          <w:lang w:val="fr-FR"/>
        </w:rPr>
        <w:tab/>
      </w:r>
      <w:r w:rsidR="0030198E" w:rsidRPr="004B2881">
        <w:rPr>
          <w:lang w:val="fr-FR"/>
        </w:rPr>
        <w:t>Révocation, respectivement annulation, de licence de radiocommunication</w:t>
      </w:r>
      <w:r w:rsidR="00C77AC0" w:rsidRPr="004B2881">
        <w:rPr>
          <w:lang w:val="fr-FR"/>
        </w:rPr>
        <w:t>.</w:t>
      </w:r>
    </w:p>
    <w:p w:rsidR="0030198E" w:rsidRPr="004B2881" w:rsidRDefault="006C21CD" w:rsidP="006C21CD">
      <w:pPr>
        <w:pStyle w:val="enumlev1"/>
        <w:rPr>
          <w:lang w:val="fr-FR"/>
        </w:rPr>
      </w:pPr>
      <w:r w:rsidRPr="004B2881">
        <w:rPr>
          <w:lang w:val="fr-FR"/>
        </w:rPr>
        <w:t>–</w:t>
      </w:r>
      <w:r w:rsidRPr="004B2881">
        <w:rPr>
          <w:lang w:val="fr-FR"/>
        </w:rPr>
        <w:tab/>
      </w:r>
      <w:r w:rsidR="0030198E" w:rsidRPr="004B2881">
        <w:rPr>
          <w:lang w:val="fr-FR"/>
        </w:rPr>
        <w:t>Recherche de perturbations (coûts engendrés par le perturbateur lorsqu’il est identifié)</w:t>
      </w:r>
      <w:r w:rsidR="00C77AC0" w:rsidRPr="004B2881">
        <w:rPr>
          <w:lang w:val="fr-FR"/>
        </w:rPr>
        <w:t>.</w:t>
      </w:r>
    </w:p>
    <w:p w:rsidR="0030198E" w:rsidRPr="004B2881" w:rsidRDefault="0030198E" w:rsidP="003633DF">
      <w:pPr>
        <w:pStyle w:val="Heading3"/>
        <w:rPr>
          <w:lang w:val="fr-FR"/>
        </w:rPr>
      </w:pPr>
      <w:r w:rsidRPr="004B2881">
        <w:rPr>
          <w:lang w:val="fr-FR"/>
        </w:rPr>
        <w:t>3.3.2</w:t>
      </w:r>
      <w:r w:rsidRPr="004B2881">
        <w:rPr>
          <w:lang w:val="fr-FR"/>
        </w:rPr>
        <w:tab/>
        <w:t>Redevances périodiques</w:t>
      </w:r>
    </w:p>
    <w:p w:rsidR="0030198E" w:rsidRPr="004B2881" w:rsidRDefault="0030198E" w:rsidP="001E2E19">
      <w:pPr>
        <w:rPr>
          <w:lang w:val="fr-FR"/>
        </w:rPr>
      </w:pPr>
      <w:r w:rsidRPr="004B2881">
        <w:rPr>
          <w:lang w:val="fr-FR"/>
        </w:rPr>
        <w:t xml:space="preserve">Cette redevance qui est appelée «émolument pour la gestion et le contrôle technique du spectre des fréquences» a un rôle central pour la couverture des coûts afférant dans le domaine de la gestion du spectre. Les utilisateurs du spectre sont appelés à participer au financement d’activités de l’autorité gérant le spectre dont ils sont les bénéficiaires médiats. </w:t>
      </w:r>
    </w:p>
    <w:p w:rsidR="0030198E" w:rsidRPr="004B2881" w:rsidRDefault="0030198E" w:rsidP="0030198E">
      <w:pPr>
        <w:rPr>
          <w:lang w:val="fr-FR"/>
        </w:rPr>
      </w:pPr>
      <w:r w:rsidRPr="004B2881">
        <w:rPr>
          <w:lang w:val="fr-FR"/>
        </w:rPr>
        <w:t>Les redevances périodiques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Les coûts de ces prestations sont répercutés sur les membres du groupe concerné sous la forme d’émoluments forfaitaires périodiques.</w:t>
      </w:r>
    </w:p>
    <w:p w:rsidR="0030198E" w:rsidRPr="004B2881" w:rsidRDefault="0030198E" w:rsidP="0030198E">
      <w:pPr>
        <w:rPr>
          <w:lang w:val="fr-FR"/>
        </w:rPr>
      </w:pPr>
      <w:r w:rsidRPr="004B2881">
        <w:rPr>
          <w:lang w:val="fr-FR"/>
        </w:rPr>
        <w:t>Afin d’être légale et conforme au principe de la couverture des coûts, la mise en place d’une comptabilité analytique a été nécessaire.</w:t>
      </w:r>
    </w:p>
    <w:p w:rsidR="0030198E" w:rsidRPr="004B2881" w:rsidRDefault="0030198E" w:rsidP="00E408F2">
      <w:pPr>
        <w:pStyle w:val="Heading3"/>
        <w:rPr>
          <w:lang w:val="fr-FR"/>
        </w:rPr>
      </w:pPr>
      <w:r w:rsidRPr="004B2881">
        <w:rPr>
          <w:lang w:val="fr-FR"/>
        </w:rPr>
        <w:t>3.3.3</w:t>
      </w:r>
      <w:r w:rsidRPr="004B2881">
        <w:rPr>
          <w:lang w:val="fr-FR"/>
        </w:rPr>
        <w:tab/>
        <w:t>Prestations fournies gratuitement</w:t>
      </w:r>
    </w:p>
    <w:p w:rsidR="0030198E" w:rsidRPr="004B2881" w:rsidRDefault="0030198E" w:rsidP="0030198E">
      <w:pPr>
        <w:rPr>
          <w:lang w:val="fr-FR"/>
        </w:rPr>
      </w:pPr>
      <w:r w:rsidRPr="004B2881">
        <w:rPr>
          <w:lang w:val="fr-FR"/>
        </w:rPr>
        <w:t xml:space="preserve">Les prestations pour lesquelles il n’est pas procédé à l’encaissement d’une redevance – ou où le montant de la redevance est « soldé » – doivent explicitement figurer dans la loi ou dans l'ordonnance. </w:t>
      </w:r>
    </w:p>
    <w:p w:rsidR="0030198E" w:rsidRPr="004B2881" w:rsidRDefault="0030198E" w:rsidP="0030198E">
      <w:pPr>
        <w:rPr>
          <w:lang w:val="fr-FR"/>
        </w:rPr>
      </w:pPr>
      <w:r w:rsidRPr="004B2881">
        <w:rPr>
          <w:lang w:val="fr-FR"/>
        </w:rPr>
        <w:lastRenderedPageBreak/>
        <w:t xml:space="preserve">Il mérite d’être relevé que pour des raisons pratiques la redevance périodique pour la gestion et contrôle technique du spectre des fréquences ne peut être prélevée auprès des utilisateurs qui sont exemptés de l’obtention d’une autorisation pour avoir accès au spectre. Comme ils ne sont pas connus individuellement de l’autorité, aucune facture ne peut leur être adressée. </w:t>
      </w:r>
    </w:p>
    <w:p w:rsidR="0030198E" w:rsidRPr="004B2881" w:rsidRDefault="004E24DF" w:rsidP="004E24DF">
      <w:pPr>
        <w:pStyle w:val="Heading1"/>
        <w:rPr>
          <w:lang w:val="fr-FR"/>
        </w:rPr>
      </w:pPr>
      <w:bookmarkStart w:id="941" w:name="_Toc280260062"/>
      <w:bookmarkStart w:id="942" w:name="_Toc280260911"/>
      <w:bookmarkStart w:id="943" w:name="_Toc280272523"/>
      <w:bookmarkStart w:id="944" w:name="_Toc284414194"/>
      <w:bookmarkStart w:id="945" w:name="_Toc286314938"/>
      <w:r w:rsidRPr="004B2881">
        <w:rPr>
          <w:lang w:val="fr-FR"/>
        </w:rPr>
        <w:t>4</w:t>
      </w:r>
      <w:r w:rsidRPr="004B2881">
        <w:rPr>
          <w:lang w:val="fr-FR"/>
        </w:rPr>
        <w:tab/>
      </w:r>
      <w:r w:rsidR="0030198E" w:rsidRPr="004B2881">
        <w:rPr>
          <w:lang w:val="fr-FR"/>
        </w:rPr>
        <w:t>Conclusion</w:t>
      </w:r>
      <w:bookmarkEnd w:id="941"/>
      <w:bookmarkEnd w:id="942"/>
      <w:bookmarkEnd w:id="943"/>
      <w:bookmarkEnd w:id="944"/>
      <w:bookmarkEnd w:id="945"/>
    </w:p>
    <w:p w:rsidR="0030198E" w:rsidRPr="004B2881" w:rsidRDefault="0030198E" w:rsidP="0030198E">
      <w:pPr>
        <w:rPr>
          <w:lang w:val="fr-FR"/>
        </w:rPr>
      </w:pPr>
      <w:r w:rsidRPr="004B2881">
        <w:rPr>
          <w:lang w:val="fr-FR"/>
        </w:rPr>
        <w:t xml:space="preserve">Le système </w:t>
      </w:r>
      <w:r w:rsidRPr="004B2881">
        <w:rPr>
          <w:i/>
          <w:lang w:val="fr-FR"/>
        </w:rPr>
        <w:t>mixte</w:t>
      </w:r>
      <w:r w:rsidRPr="004B2881">
        <w:rPr>
          <w:lang w:val="fr-FR"/>
        </w:rPr>
        <w:t xml:space="preserve"> appliqué en Suisse permet à l’autorité de gestion des fréquences d’avoir recours aux deux types de contributions au profit de l’Etat (taxes et redevances) pour son financement. Cette combinaison donne la faculté de couvrir la totalité des coûts afférant avec équité, dans le respect du droit (principe de la couverture des coûts) et avec souplesse. </w:t>
      </w:r>
    </w:p>
    <w:p w:rsidR="0030198E" w:rsidRPr="004B2881" w:rsidRDefault="0030198E" w:rsidP="0030198E">
      <w:pPr>
        <w:rPr>
          <w:lang w:val="fr-FR"/>
        </w:rPr>
      </w:pPr>
      <w:r w:rsidRPr="004B2881">
        <w:rPr>
          <w:lang w:val="fr-FR"/>
        </w:rPr>
        <w:t>Pour finir, voici un schéma décrivant l’approche mixte:</w:t>
      </w:r>
    </w:p>
    <w:p w:rsidR="004E2CF1" w:rsidRPr="00190938" w:rsidRDefault="004E2CF1" w:rsidP="004E2CF1">
      <w:pPr>
        <w:rPr>
          <w:lang w:val="fr-FR"/>
        </w:rPr>
      </w:pPr>
    </w:p>
    <w:p w:rsidR="004E2CF1" w:rsidRPr="00B97E80" w:rsidRDefault="004E2CF1" w:rsidP="004E2CF1">
      <w:pPr>
        <w:tabs>
          <w:tab w:val="clear" w:pos="794"/>
          <w:tab w:val="clear" w:pos="1191"/>
          <w:tab w:val="clear" w:pos="1588"/>
          <w:tab w:val="clear" w:pos="1985"/>
        </w:tabs>
        <w:overflowPunct/>
        <w:autoSpaceDE/>
        <w:autoSpaceDN/>
        <w:adjustRightInd/>
        <w:spacing w:before="0"/>
        <w:jc w:val="left"/>
        <w:textAlignment w:val="auto"/>
        <w:rPr>
          <w:lang w:val="fr-CH"/>
        </w:rPr>
      </w:pPr>
      <w:r w:rsidRPr="00C14B03">
        <w:rPr>
          <w:highlight w:val="yellow"/>
          <w:lang w:val="fr-FR"/>
        </w:rPr>
      </w:r>
      <w:r w:rsidRPr="00C14B03">
        <w:rPr>
          <w:highlight w:val="yellow"/>
          <w:lang w:val="fr-FR"/>
        </w:rPr>
        <w:pict>
          <v:group id="_x0000_s1027" editas="canvas" style="width:491.35pt;height:253.2pt;mso-position-horizontal-relative:char;mso-position-vertical-relative:line" coordorigin="1345,7776" coordsize="9827,5064">
            <o:lock v:ext="edit" aspectratio="t"/>
            <v:shape id="_x0000_s1028" type="#_x0000_t75" style="position:absolute;left:1345;top:7776;width:9827;height:5064" o:preferrelative="f">
              <v:fill o:detectmouseclick="t"/>
              <v:path o:extrusionok="t" o:connecttype="none"/>
              <o:lock v:ext="edit" text="t"/>
            </v:shape>
            <v:rect id="_x0000_s1029" style="position:absolute;left:7510;top:10502;width:3491;height:1543;mso-wrap-style:none;v-text-anchor:middle" fillcolor="silver" stroked="f">
              <v:fill r:id="rId22" o:title="Diagonal weit nach oben" type="pattern"/>
            </v:rect>
            <v:rect id="_x0000_s1030" style="position:absolute;left:3931;top:8958;width:3579;height:1544;mso-wrap-style:none;v-text-anchor:middle" fillcolor="silver" stroked="f">
              <v:fill r:id="rId22" o:title="Diagonal weit nach oben" type="pattern"/>
            </v:rect>
            <v:line id="_x0000_s1031" style="position:absolute;mso-wrap-style:none;v-text-anchor:middle" from="1461,10502" to="10991,10503"/>
            <v:line id="_x0000_s1032" style="position:absolute;mso-wrap-style:none;v-text-anchor:middle" from="1461,8958" to="10991,8959"/>
            <v:line id="_x0000_s1033" style="position:absolute;mso-wrap-style:none;v-text-anchor:middle" from="1521,12038" to="11001,12045"/>
            <v:line id="_x0000_s1034" style="position:absolute;flip:y;mso-wrap-style:none;v-text-anchor:middle" from="3931,7826" to="3932,12045"/>
            <v:line id="_x0000_s1035" style="position:absolute;flip:y;mso-wrap-style:none;v-text-anchor:middle" from="11001,7826" to="11002,12045"/>
            <v:line id="_x0000_s1036" style="position:absolute;flip:y;mso-wrap-style:none;v-text-anchor:middle" from="7510,8186" to="7511,12045"/>
            <v:shapetype id="_x0000_t202" coordsize="21600,21600" o:spt="202" path="m,l,21600r21600,l21600,xe">
              <v:stroke joinstyle="miter"/>
              <v:path gradientshapeok="t" o:connecttype="rect"/>
            </v:shapetype>
            <v:shape id="_x0000_s1037" type="#_x0000_t202" style="position:absolute;left:1499;top:9228;width:2302;height:770" filled="f" fillcolor="silver" stroked="f">
              <v:textbox style="mso-next-textbox:#_x0000_s1037;mso-fit-shape-to-text:t">
                <w:txbxContent>
                  <w:p w:rsidR="004E2CF1" w:rsidRPr="008D5FB5" w:rsidRDefault="004E2CF1" w:rsidP="004E2CF1">
                    <w:pPr>
                      <w:jc w:val="left"/>
                      <w:rPr>
                        <w:bCs/>
                        <w:color w:val="000000"/>
                      </w:rPr>
                    </w:pPr>
                    <w:r w:rsidRPr="00671F66">
                      <w:rPr>
                        <w:b/>
                        <w:bCs/>
                        <w:color w:val="000000"/>
                      </w:rPr>
                      <w:t>Redevances</w:t>
                    </w:r>
                    <w:r w:rsidRPr="008D5FB5">
                      <w:rPr>
                        <w:bCs/>
                        <w:color w:val="000000"/>
                      </w:rPr>
                      <w:t xml:space="preserve"> – pleine couverture des coûts</w:t>
                    </w:r>
                  </w:p>
                </w:txbxContent>
              </v:textbox>
            </v:shape>
            <v:shape id="_x0000_s1038" type="#_x0000_t202" style="position:absolute;left:1461;top:10706;width:2385;height:821" filled="f" fillcolor="#bbe0e3" stroked="f">
              <v:textbox style="mso-next-textbox:#_x0000_s1038">
                <w:txbxContent>
                  <w:p w:rsidR="004E2CF1" w:rsidRPr="00573358" w:rsidRDefault="004E2CF1" w:rsidP="004E2CF1">
                    <w:pPr>
                      <w:jc w:val="left"/>
                      <w:rPr>
                        <w:bCs/>
                        <w:color w:val="000000"/>
                      </w:rPr>
                    </w:pPr>
                    <w:r w:rsidRPr="00573358">
                      <w:rPr>
                        <w:bCs/>
                        <w:color w:val="000000"/>
                      </w:rPr>
                      <w:t>Budget général de l’État</w:t>
                    </w:r>
                    <w:r>
                      <w:rPr>
                        <w:bCs/>
                        <w:color w:val="000000"/>
                      </w:rPr>
                      <w:t xml:space="preserve"> </w:t>
                    </w:r>
                    <w:r w:rsidRPr="00573358">
                      <w:rPr>
                        <w:bCs/>
                        <w:color w:val="000000"/>
                      </w:rPr>
                      <w:t>*</w:t>
                    </w:r>
                  </w:p>
                </w:txbxContent>
              </v:textbox>
            </v:shape>
            <v:line id="_x0000_s1039" style="position:absolute;mso-wrap-style:none;v-text-anchor:middle" from="3931,8185" to="11001,8186"/>
            <v:shape id="_x0000_s1040" type="#_x0000_t202" style="position:absolute;left:5781;top:7776;width:3954;height:408" filled="f" fillcolor="#bbe0e3" stroked="f">
              <v:textbox style="mso-next-textbox:#_x0000_s1040">
                <w:txbxContent>
                  <w:p w:rsidR="004E2CF1" w:rsidRPr="00C912C1" w:rsidRDefault="004E2CF1" w:rsidP="004E2CF1">
                    <w:pPr>
                      <w:spacing w:before="0"/>
                      <w:rPr>
                        <w:color w:val="000000"/>
                        <w:lang w:val="fr-CH"/>
                      </w:rPr>
                    </w:pPr>
                    <w:r w:rsidRPr="00C912C1">
                      <w:rPr>
                        <w:color w:val="000000"/>
                        <w:lang w:val="fr-CH"/>
                      </w:rPr>
                      <w:t>Nature du récipiendaire du “service”</w:t>
                    </w:r>
                  </w:p>
                </w:txbxContent>
              </v:textbox>
            </v:shape>
            <v:shape id="_x0000_s1041" type="#_x0000_t202" style="position:absolute;left:7476;top:8313;width:3505;height:823" filled="f" fillcolor="#bbe0e3" stroked="f">
              <v:textbox style="mso-next-textbox:#_x0000_s1041">
                <w:txbxContent>
                  <w:p w:rsidR="004E2CF1" w:rsidRPr="00190938" w:rsidRDefault="004E2CF1" w:rsidP="004E2CF1">
                    <w:pPr>
                      <w:spacing w:before="0"/>
                      <w:jc w:val="center"/>
                      <w:rPr>
                        <w:bCs/>
                        <w:color w:val="000000"/>
                        <w:lang w:val="fr-FR"/>
                      </w:rPr>
                    </w:pPr>
                    <w:r w:rsidRPr="00190938">
                      <w:rPr>
                        <w:bCs/>
                        <w:color w:val="000000"/>
                        <w:lang w:val="fr-FR"/>
                      </w:rPr>
                      <w:t>Parlement, gouvernement, autres entités de l’administration</w:t>
                    </w:r>
                  </w:p>
                </w:txbxContent>
              </v:textbox>
            </v:shape>
            <v:shape id="_x0000_s1042" type="#_x0000_t202" style="position:absolute;left:4506;top:8368;width:2535;height:598" filled="f" fillcolor="#bbe0e3" stroked="f">
              <v:textbox style="mso-next-textbox:#_x0000_s1042">
                <w:txbxContent>
                  <w:p w:rsidR="004E2CF1" w:rsidRPr="00573358" w:rsidRDefault="004E2CF1" w:rsidP="004E2CF1">
                    <w:pPr>
                      <w:spacing w:before="0"/>
                      <w:rPr>
                        <w:bCs/>
                        <w:color w:val="000000"/>
                      </w:rPr>
                    </w:pPr>
                    <w:r w:rsidRPr="00573358">
                      <w:rPr>
                        <w:bCs/>
                        <w:color w:val="000000"/>
                      </w:rPr>
                      <w:t>Partie tierce privée</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3" type="#_x0000_t172" style="position:absolute;left:4701;top:9266;width:2115;height:892" adj="7802" fillcolor="black">
              <v:shadow color="#868686"/>
              <v:textpath style="font-family:&quot;Verdana&quot;;font-size:12pt;v-text-kern:t" trim="t" fitpath="t" string="Précepte pour financer &#10;les &quot;services&quot;"/>
            </v:shape>
            <v:shape id="_x0000_s1044" type="#_x0000_t172" style="position:absolute;left:8166;top:10886;width:2115;height:892" adj="7802" fillcolor="black">
              <v:shadow color="#868686"/>
              <v:textpath style="font-family:&quot;Verdana&quot;;font-size:12pt;v-text-kern:t" trim="t" fitpath="t" string="Précepte pour financer &#10;les &quot;services&quot;"/>
            </v:shape>
            <v:shape id="_x0000_s1045" type="#_x0000_t202" style="position:absolute;left:7849;top:9086;width:2896;height:1080" filled="f" fillcolor="#bbe0e3" stroked="f">
              <v:textbox style="mso-next-textbox:#_x0000_s1045">
                <w:txbxContent>
                  <w:p w:rsidR="004E2CF1" w:rsidRPr="00190938" w:rsidRDefault="004E2CF1" w:rsidP="004E2CF1">
                    <w:pPr>
                      <w:spacing w:before="0"/>
                      <w:rPr>
                        <w:bCs/>
                        <w:color w:val="000000"/>
                        <w:lang w:val="fr-FR"/>
                      </w:rPr>
                    </w:pPr>
                    <w:r w:rsidRPr="00190938">
                      <w:rPr>
                        <w:bCs/>
                        <w:color w:val="000000"/>
                        <w:lang w:val="fr-FR"/>
                      </w:rPr>
                      <w:t>Lorsque le récipiendaire peut être considéré comme une partie tierce privée</w:t>
                    </w:r>
                  </w:p>
                </w:txbxContent>
              </v:textbox>
            </v:shape>
            <v:shape id="_x0000_s1046" type="#_x0000_t202" style="position:absolute;left:4016;top:10706;width:3408;height:899" filled="f" fillcolor="#bbe0e3" stroked="f">
              <v:textbox style="mso-next-textbox:#_x0000_s1046">
                <w:txbxContent>
                  <w:p w:rsidR="004E2CF1" w:rsidRPr="00190938" w:rsidRDefault="004E2CF1" w:rsidP="004E2CF1">
                    <w:pPr>
                      <w:jc w:val="center"/>
                      <w:rPr>
                        <w:bCs/>
                        <w:color w:val="000000"/>
                        <w:lang w:val="fr-FR"/>
                      </w:rPr>
                    </w:pPr>
                    <w:r w:rsidRPr="00190938">
                      <w:rPr>
                        <w:bCs/>
                        <w:color w:val="000000"/>
                        <w:lang w:val="fr-FR"/>
                      </w:rPr>
                      <w:t>Lorsque la loi prévoit qu’une facturation n’a pas lieu</w:t>
                    </w:r>
                  </w:p>
                </w:txbxContent>
              </v:textbox>
            </v:shape>
            <v:shape id="_x0000_s1047" type="#_x0000_t202" style="position:absolute;left:1812;top:12026;width:9360;height:814" filled="f" stroked="f">
              <v:textbox style="mso-next-textbox:#_x0000_s1047">
                <w:txbxContent>
                  <w:p w:rsidR="004E2CF1" w:rsidRPr="006012EE" w:rsidRDefault="004E2CF1" w:rsidP="004E2CF1">
                    <w:pPr>
                      <w:pStyle w:val="CEORevision2"/>
                      <w:tabs>
                        <w:tab w:val="left" w:pos="-5245"/>
                        <w:tab w:val="left" w:pos="284"/>
                      </w:tabs>
                      <w:ind w:left="284" w:hanging="284"/>
                      <w:rPr>
                        <w:lang w:val="fr-FR"/>
                      </w:rPr>
                    </w:pPr>
                    <w:r w:rsidRPr="006012EE">
                      <w:rPr>
                        <w:lang w:val="fr-FR"/>
                      </w:rPr>
                      <w:t>*</w:t>
                    </w:r>
                    <w:r w:rsidRPr="006012EE">
                      <w:rPr>
                        <w:lang w:val="fr-FR"/>
                      </w:rPr>
                      <w:tab/>
                      <w:t xml:space="preserve">En Suisse, la part requise du budget général est couverte d’un point de vue calculatoire par les revenus totaux provenant de la perception des </w:t>
                    </w:r>
                    <w:r w:rsidRPr="006012EE">
                      <w:rPr>
                        <w:b/>
                        <w:lang w:val="fr-FR"/>
                      </w:rPr>
                      <w:t>taxes d’utilisation du spectre</w:t>
                    </w:r>
                  </w:p>
                </w:txbxContent>
              </v:textbox>
            </v:shape>
            <w10:wrap type="none"/>
            <w10:anchorlock/>
          </v:group>
        </w:pict>
      </w:r>
    </w:p>
    <w:p w:rsidR="004E2CF1" w:rsidRDefault="004E2CF1" w:rsidP="004E2CF1">
      <w:pPr>
        <w:tabs>
          <w:tab w:val="clear" w:pos="794"/>
          <w:tab w:val="clear" w:pos="1191"/>
          <w:tab w:val="clear" w:pos="1588"/>
          <w:tab w:val="clear" w:pos="1985"/>
        </w:tabs>
        <w:overflowPunct/>
        <w:autoSpaceDE/>
        <w:autoSpaceDN/>
        <w:adjustRightInd/>
        <w:spacing w:before="0"/>
        <w:jc w:val="left"/>
        <w:textAlignment w:val="auto"/>
        <w:rPr>
          <w:lang w:val="fr-CH"/>
        </w:rPr>
      </w:pPr>
    </w:p>
    <w:p w:rsidR="004E2CF1" w:rsidRPr="00B97E80" w:rsidRDefault="004E2CF1" w:rsidP="004E2CF1">
      <w:pPr>
        <w:tabs>
          <w:tab w:val="clear" w:pos="794"/>
          <w:tab w:val="clear" w:pos="1191"/>
          <w:tab w:val="clear" w:pos="1588"/>
          <w:tab w:val="clear" w:pos="1985"/>
        </w:tabs>
        <w:overflowPunct/>
        <w:autoSpaceDE/>
        <w:autoSpaceDN/>
        <w:adjustRightInd/>
        <w:spacing w:before="0"/>
        <w:jc w:val="left"/>
        <w:textAlignment w:val="auto"/>
        <w:rPr>
          <w:lang w:val="fr-CH"/>
        </w:rPr>
      </w:pPr>
    </w:p>
    <w:p w:rsidR="00F7590E" w:rsidRDefault="00F7590E" w:rsidP="001E3EFE">
      <w:pPr>
        <w:rPr>
          <w:lang w:val="fr-FR"/>
        </w:rPr>
      </w:pPr>
    </w:p>
    <w:p w:rsidR="004E2CF1" w:rsidRDefault="004E2CF1" w:rsidP="001E3EFE">
      <w:pPr>
        <w:rPr>
          <w:lang w:val="fr-FR"/>
        </w:rPr>
      </w:pPr>
    </w:p>
    <w:p w:rsidR="004E2CF1" w:rsidRPr="004B2881" w:rsidRDefault="004E2CF1" w:rsidP="001E3EFE">
      <w:pPr>
        <w:rPr>
          <w:lang w:val="fr-FR"/>
        </w:rPr>
      </w:pPr>
    </w:p>
    <w:p w:rsidR="00F7590E" w:rsidRPr="004B2881" w:rsidRDefault="00F7590E">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p w:rsidR="009B3560" w:rsidRPr="00C95435" w:rsidRDefault="009B3560" w:rsidP="00763E9C">
      <w:pPr>
        <w:pStyle w:val="AppendixNotitle"/>
        <w:rPr>
          <w:b w:val="0"/>
          <w:bCs/>
        </w:rPr>
      </w:pPr>
      <w:bookmarkStart w:id="946" w:name="_Toc280260063"/>
      <w:bookmarkStart w:id="947" w:name="_Toc280260912"/>
      <w:bookmarkStart w:id="948" w:name="_Toc280272524"/>
      <w:bookmarkStart w:id="949" w:name="_Toc284414195"/>
      <w:bookmarkStart w:id="950" w:name="_Toc286314939"/>
      <w:r w:rsidRPr="004F63CA">
        <w:rPr>
          <w:lang w:val="en-US"/>
        </w:rPr>
        <w:lastRenderedPageBreak/>
        <w:t>Appendi</w:t>
      </w:r>
      <w:r w:rsidR="00763E9C" w:rsidRPr="004F63CA">
        <w:rPr>
          <w:lang w:val="en-US"/>
        </w:rPr>
        <w:t>ce</w:t>
      </w:r>
      <w:r w:rsidRPr="004F63CA">
        <w:rPr>
          <w:lang w:val="en-US"/>
        </w:rPr>
        <w:t xml:space="preserve"> 3.1</w:t>
      </w:r>
      <w:r w:rsidR="001A360B" w:rsidRPr="004F63CA">
        <w:rPr>
          <w:lang w:val="en-US"/>
        </w:rPr>
        <w:t xml:space="preserve"> (</w:t>
      </w:r>
      <w:r w:rsidR="00763E9C" w:rsidRPr="004F63CA">
        <w:rPr>
          <w:lang w:val="en-US"/>
        </w:rPr>
        <w:t>anglais</w:t>
      </w:r>
      <w:r w:rsidR="001A360B" w:rsidRPr="004F63CA">
        <w:rPr>
          <w:lang w:val="en-US"/>
        </w:rPr>
        <w:t>)</w:t>
      </w:r>
      <w:r w:rsidRPr="004F63CA">
        <w:rPr>
          <w:lang w:val="en-US"/>
        </w:rPr>
        <w:br/>
      </w:r>
      <w:r w:rsidRPr="004F63CA">
        <w:rPr>
          <w:lang w:val="en-US"/>
        </w:rPr>
        <w:br/>
      </w:r>
      <w:r w:rsidRPr="00C95435">
        <w:rPr>
          <w:bCs/>
        </w:rPr>
        <w:t>Example of fee system for frequency utilization in Côte d'Ivoire</w:t>
      </w:r>
      <w:bookmarkEnd w:id="946"/>
      <w:bookmarkEnd w:id="947"/>
      <w:bookmarkEnd w:id="948"/>
      <w:bookmarkEnd w:id="949"/>
      <w:bookmarkEnd w:id="950"/>
    </w:p>
    <w:p w:rsidR="00406ED4" w:rsidRPr="00C95435" w:rsidRDefault="00406ED4" w:rsidP="00406ED4"/>
    <w:p w:rsidR="009B3560" w:rsidRPr="00C95435" w:rsidRDefault="0023709E" w:rsidP="0023709E">
      <w:pPr>
        <w:pStyle w:val="Heading1"/>
      </w:pPr>
      <w:bookmarkStart w:id="951" w:name="_Toc280260064"/>
      <w:bookmarkStart w:id="952" w:name="_Toc280260913"/>
      <w:bookmarkStart w:id="953" w:name="_Toc280272525"/>
      <w:bookmarkStart w:id="954" w:name="_Toc284414196"/>
      <w:bookmarkStart w:id="955" w:name="_Toc286314940"/>
      <w:r w:rsidRPr="00C95435">
        <w:t>I</w:t>
      </w:r>
      <w:r w:rsidRPr="00C95435">
        <w:rPr>
          <w:i/>
          <w:iCs/>
        </w:rPr>
        <w:tab/>
      </w:r>
      <w:r w:rsidR="009B3560" w:rsidRPr="00C95435">
        <w:t>INTRODUCTION</w:t>
      </w:r>
      <w:bookmarkEnd w:id="951"/>
      <w:bookmarkEnd w:id="952"/>
      <w:bookmarkEnd w:id="953"/>
      <w:bookmarkEnd w:id="954"/>
      <w:bookmarkEnd w:id="955"/>
    </w:p>
    <w:p w:rsidR="009B3560" w:rsidRPr="00C95435" w:rsidRDefault="009B3560" w:rsidP="00406ED4">
      <w:r w:rsidRPr="00C95435">
        <w:t xml:space="preserve">It is important for the administration to identify how to ensure that it receives sufficient income to cover the costs of an effective spectrum management programme. The sound financing of spectrum management may prove decisive in the successful introduction of new spectrum-using services, and their harmful interference-free operation. </w:t>
      </w:r>
    </w:p>
    <w:p w:rsidR="009B3560" w:rsidRPr="00C95435" w:rsidRDefault="009B3560" w:rsidP="00406ED4">
      <w:r w:rsidRPr="00C95435">
        <w:t>In addition, a properly financed national spectrum management programme offers opportunities to service providers and equipment manufacturers, thus greatly contributing to economic growth.</w:t>
      </w:r>
    </w:p>
    <w:p w:rsidR="009B3560" w:rsidRPr="00C95435" w:rsidRDefault="009B3560" w:rsidP="00406ED4">
      <w:r w:rsidRPr="00C95435">
        <w:t>On the contrary, poor financing can mean the failure or delayed implementation of important radiocommunication services.</w:t>
      </w:r>
    </w:p>
    <w:p w:rsidR="009B3560" w:rsidRPr="00C95435" w:rsidRDefault="009B3560" w:rsidP="00406ED4">
      <w:r w:rsidRPr="00C95435">
        <w:t>To provide for this financing, charges and fees for licences are charged to spectrum users. The amount charged depends on the extent of spectrum utilization and the economic advantage deriving therefrom.</w:t>
      </w:r>
    </w:p>
    <w:p w:rsidR="009B3560" w:rsidRPr="00C95435" w:rsidRDefault="009B3560" w:rsidP="0023709E">
      <w:pPr>
        <w:pStyle w:val="Heading1"/>
      </w:pPr>
      <w:bookmarkStart w:id="956" w:name="_Toc280260065"/>
      <w:bookmarkStart w:id="957" w:name="_Toc280260914"/>
      <w:bookmarkStart w:id="958" w:name="_Toc280272526"/>
      <w:bookmarkStart w:id="959" w:name="_Toc284414197"/>
      <w:bookmarkStart w:id="960" w:name="_Toc286314941"/>
      <w:r w:rsidRPr="00C95435">
        <w:t>II</w:t>
      </w:r>
      <w:r w:rsidRPr="00C95435">
        <w:tab/>
        <w:t>RADIO NETWORK INVOICING SYSTEM</w:t>
      </w:r>
      <w:bookmarkEnd w:id="956"/>
      <w:bookmarkEnd w:id="957"/>
      <w:bookmarkEnd w:id="958"/>
      <w:bookmarkEnd w:id="959"/>
      <w:bookmarkEnd w:id="960"/>
    </w:p>
    <w:p w:rsidR="009B3560" w:rsidRPr="00C95435" w:rsidRDefault="009B3560" w:rsidP="0023709E">
      <w:r w:rsidRPr="00C95435">
        <w:t>Charging in Côte d'Ivoire is based on the following:</w:t>
      </w:r>
    </w:p>
    <w:p w:rsidR="009B3560" w:rsidRPr="00C95435" w:rsidRDefault="003309ED" w:rsidP="0023709E">
      <w:pPr>
        <w:pStyle w:val="enumlev1"/>
      </w:pPr>
      <w:r w:rsidRPr="00C95435">
        <w:t>a)</w:t>
      </w:r>
      <w:r w:rsidRPr="00C95435">
        <w:tab/>
      </w:r>
      <w:r w:rsidR="009B3560" w:rsidRPr="00C95435">
        <w:t>the radio frequency;</w:t>
      </w:r>
    </w:p>
    <w:p w:rsidR="009B3560" w:rsidRPr="00C95435" w:rsidRDefault="003309ED" w:rsidP="0023709E">
      <w:pPr>
        <w:pStyle w:val="enumlev1"/>
      </w:pPr>
      <w:r w:rsidRPr="00C95435">
        <w:t>b)</w:t>
      </w:r>
      <w:r w:rsidRPr="00C95435">
        <w:tab/>
      </w:r>
      <w:r w:rsidR="009B3560" w:rsidRPr="00C95435">
        <w:t>the amount of spectrum assigned, e.g. bandwidth;</w:t>
      </w:r>
    </w:p>
    <w:p w:rsidR="009B3560" w:rsidRPr="00C95435" w:rsidRDefault="003309ED" w:rsidP="0023709E">
      <w:pPr>
        <w:pStyle w:val="enumlev1"/>
      </w:pPr>
      <w:r w:rsidRPr="00C95435">
        <w:t>c)</w:t>
      </w:r>
      <w:r w:rsidRPr="00C95435">
        <w:tab/>
      </w:r>
      <w:r w:rsidR="009B3560" w:rsidRPr="00C95435">
        <w:t>the channels or links;</w:t>
      </w:r>
    </w:p>
    <w:p w:rsidR="009B3560" w:rsidRPr="00C95435" w:rsidRDefault="003309ED" w:rsidP="0023709E">
      <w:pPr>
        <w:pStyle w:val="enumlev1"/>
      </w:pPr>
      <w:r w:rsidRPr="00C95435">
        <w:t>d)</w:t>
      </w:r>
      <w:r w:rsidRPr="00C95435">
        <w:tab/>
      </w:r>
      <w:r w:rsidR="009B3560" w:rsidRPr="00C95435">
        <w:t>the load level of the channels (or links) (bit rate, capacity);</w:t>
      </w:r>
    </w:p>
    <w:p w:rsidR="009B3560" w:rsidRPr="00C95435" w:rsidRDefault="003309ED" w:rsidP="0023709E">
      <w:pPr>
        <w:pStyle w:val="enumlev1"/>
      </w:pPr>
      <w:r w:rsidRPr="00C95435">
        <w:t>e)</w:t>
      </w:r>
      <w:r w:rsidRPr="00C95435">
        <w:tab/>
      </w:r>
      <w:r w:rsidR="009B3560" w:rsidRPr="00C95435">
        <w:t>the spectrum efficiency of equipment used;</w:t>
      </w:r>
    </w:p>
    <w:p w:rsidR="009B3560" w:rsidRPr="00C95435" w:rsidRDefault="003309ED" w:rsidP="0023709E">
      <w:pPr>
        <w:pStyle w:val="enumlev1"/>
      </w:pPr>
      <w:r w:rsidRPr="00C95435">
        <w:t>f)</w:t>
      </w:r>
      <w:r w:rsidRPr="00C95435">
        <w:tab/>
      </w:r>
      <w:r w:rsidR="009B3560" w:rsidRPr="00C95435">
        <w:t>power and coverage area;</w:t>
      </w:r>
    </w:p>
    <w:p w:rsidR="009B3560" w:rsidRPr="00C95435" w:rsidRDefault="003309ED" w:rsidP="0023709E">
      <w:pPr>
        <w:pStyle w:val="enumlev1"/>
      </w:pPr>
      <w:r w:rsidRPr="00C95435">
        <w:t>g)</w:t>
      </w:r>
      <w:r w:rsidRPr="00C95435">
        <w:tab/>
      </w:r>
      <w:r w:rsidR="009B3560" w:rsidRPr="00C95435">
        <w:t>nature of frequency utilization (private or commercial);</w:t>
      </w:r>
    </w:p>
    <w:p w:rsidR="009B3560" w:rsidRPr="00C95435" w:rsidRDefault="003309ED" w:rsidP="003309ED">
      <w:pPr>
        <w:pStyle w:val="enumlev1"/>
      </w:pPr>
      <w:r w:rsidRPr="00C95435">
        <w:t>h)</w:t>
      </w:r>
      <w:r w:rsidRPr="00C95435">
        <w:tab/>
      </w:r>
      <w:r w:rsidR="009B3560" w:rsidRPr="00C95435">
        <w:t>geographical location.</w:t>
      </w:r>
    </w:p>
    <w:p w:rsidR="009B3560" w:rsidRPr="00C95435" w:rsidRDefault="009B3560" w:rsidP="009B3560">
      <w:pPr>
        <w:pStyle w:val="CEONormal"/>
        <w:rPr>
          <w:rFonts w:asciiTheme="majorBidi" w:hAnsiTheme="majorBidi" w:cstheme="majorBidi"/>
          <w:sz w:val="22"/>
          <w:szCs w:val="22"/>
        </w:rPr>
      </w:pPr>
      <w:r w:rsidRPr="00C95435">
        <w:rPr>
          <w:rFonts w:asciiTheme="majorBidi" w:hAnsiTheme="majorBidi" w:cstheme="majorBidi"/>
          <w:sz w:val="22"/>
          <w:szCs w:val="22"/>
        </w:rPr>
        <w:t>Given the complexity of the frequency assignment operations, fees are calculated for each type of licence.</w:t>
      </w:r>
    </w:p>
    <w:p w:rsidR="009B3560" w:rsidRPr="00C95435" w:rsidRDefault="009B3560" w:rsidP="009B3560">
      <w:pPr>
        <w:pStyle w:val="CEONormal"/>
        <w:rPr>
          <w:rFonts w:asciiTheme="majorBidi" w:hAnsiTheme="majorBidi" w:cstheme="majorBidi"/>
          <w:sz w:val="22"/>
          <w:szCs w:val="22"/>
        </w:rPr>
      </w:pPr>
      <w:r w:rsidRPr="00C95435">
        <w:rPr>
          <w:rFonts w:asciiTheme="majorBidi" w:hAnsiTheme="majorBidi" w:cstheme="majorBidi"/>
          <w:sz w:val="22"/>
          <w:szCs w:val="22"/>
        </w:rPr>
        <w:t>Côte d'Ivoire legislation (decree 97-173 of 19 March 1997) thus establishes five (05) items for invoicing the various different networks, as follows:</w:t>
      </w:r>
    </w:p>
    <w:p w:rsidR="009B3560" w:rsidRPr="00C95435" w:rsidRDefault="003276B7" w:rsidP="003276B7">
      <w:pPr>
        <w:pStyle w:val="enumlev1"/>
      </w:pPr>
      <w:r w:rsidRPr="00C95435">
        <w:t>–</w:t>
      </w:r>
      <w:r w:rsidRPr="00C95435">
        <w:tab/>
      </w:r>
      <w:r w:rsidR="009B3560" w:rsidRPr="00C95435">
        <w:t>file fee;</w:t>
      </w:r>
    </w:p>
    <w:p w:rsidR="009B3560" w:rsidRPr="00C95435" w:rsidRDefault="003276B7" w:rsidP="003276B7">
      <w:pPr>
        <w:pStyle w:val="enumlev1"/>
      </w:pPr>
      <w:r w:rsidRPr="00C95435">
        <w:t>–</w:t>
      </w:r>
      <w:r w:rsidRPr="00C95435">
        <w:tab/>
      </w:r>
      <w:r w:rsidR="009B3560" w:rsidRPr="00C95435">
        <w:t>radio station control fee;</w:t>
      </w:r>
    </w:p>
    <w:p w:rsidR="009B3560" w:rsidRPr="00C95435" w:rsidRDefault="003276B7" w:rsidP="003276B7">
      <w:pPr>
        <w:pStyle w:val="enumlev1"/>
      </w:pPr>
      <w:r w:rsidRPr="00C95435">
        <w:t>–</w:t>
      </w:r>
      <w:r w:rsidRPr="00C95435">
        <w:tab/>
      </w:r>
      <w:r w:rsidR="009B3560" w:rsidRPr="00C95435">
        <w:t>contribution to offsetting management costs;</w:t>
      </w:r>
    </w:p>
    <w:p w:rsidR="009B3560" w:rsidRPr="00C95435" w:rsidRDefault="003276B7" w:rsidP="003276B7">
      <w:pPr>
        <w:pStyle w:val="enumlev1"/>
      </w:pPr>
      <w:r w:rsidRPr="00C95435">
        <w:t>–</w:t>
      </w:r>
      <w:r w:rsidRPr="00C95435">
        <w:tab/>
      </w:r>
      <w:r w:rsidR="009B3560" w:rsidRPr="00C95435">
        <w:t>radio frequency utilization fee;</w:t>
      </w:r>
    </w:p>
    <w:p w:rsidR="009B3560" w:rsidRPr="00C95435" w:rsidRDefault="003276B7" w:rsidP="003276B7">
      <w:pPr>
        <w:pStyle w:val="enumlev1"/>
      </w:pPr>
      <w:r w:rsidRPr="00C95435">
        <w:t>–</w:t>
      </w:r>
      <w:r w:rsidRPr="00C95435">
        <w:tab/>
      </w:r>
      <w:r w:rsidR="009B3560" w:rsidRPr="00C95435">
        <w:t>sticker fee.</w:t>
      </w:r>
    </w:p>
    <w:p w:rsidR="009B3560" w:rsidRPr="00C95435" w:rsidRDefault="009B3560" w:rsidP="003276B7">
      <w:r w:rsidRPr="00C95435">
        <w:t>All the amounts are established on a lump-sum basis.</w:t>
      </w:r>
    </w:p>
    <w:p w:rsidR="00F1631E" w:rsidRPr="00C95435" w:rsidRDefault="00F1631E" w:rsidP="003276B7"/>
    <w:p w:rsidR="009B3560" w:rsidRPr="00C95435" w:rsidRDefault="009B3560" w:rsidP="00F1631E">
      <w:pPr>
        <w:spacing w:before="0"/>
        <w:rPr>
          <w:b/>
          <w:bCs/>
        </w:rPr>
      </w:pPr>
      <w:r w:rsidRPr="00C95435">
        <w:rPr>
          <w:b/>
          <w:bCs/>
        </w:rPr>
        <w:t>File fee</w:t>
      </w:r>
    </w:p>
    <w:p w:rsidR="009B3560" w:rsidRPr="00C95435" w:rsidRDefault="009B3560" w:rsidP="000D128F">
      <w:r w:rsidRPr="00C95435">
        <w:t>The file fee covers the costs of studying and opening a file.</w:t>
      </w:r>
    </w:p>
    <w:p w:rsidR="009B3560" w:rsidRPr="00C95435" w:rsidRDefault="009B3560" w:rsidP="000D128F">
      <w:r w:rsidRPr="00C95435">
        <w:t>It is payable once only when files are submitted and is not refundable.</w:t>
      </w:r>
    </w:p>
    <w:p w:rsidR="00F1631E" w:rsidRPr="00C95435" w:rsidRDefault="00F1631E">
      <w:pPr>
        <w:tabs>
          <w:tab w:val="clear" w:pos="794"/>
          <w:tab w:val="clear" w:pos="1191"/>
          <w:tab w:val="clear" w:pos="1588"/>
          <w:tab w:val="clear" w:pos="1985"/>
        </w:tabs>
        <w:overflowPunct/>
        <w:autoSpaceDE/>
        <w:autoSpaceDN/>
        <w:adjustRightInd/>
        <w:spacing w:before="0"/>
        <w:jc w:val="left"/>
        <w:textAlignment w:val="auto"/>
        <w:rPr>
          <w:b/>
          <w:bCs/>
        </w:rPr>
      </w:pPr>
      <w:r w:rsidRPr="00C95435">
        <w:rPr>
          <w:b/>
          <w:bCs/>
        </w:rPr>
        <w:br w:type="page"/>
      </w:r>
    </w:p>
    <w:p w:rsidR="009B3560" w:rsidRPr="00C95435" w:rsidRDefault="009B3560" w:rsidP="00F1631E">
      <w:pPr>
        <w:rPr>
          <w:b/>
          <w:bCs/>
        </w:rPr>
      </w:pPr>
      <w:r w:rsidRPr="00C95435">
        <w:rPr>
          <w:b/>
          <w:bCs/>
        </w:rPr>
        <w:lastRenderedPageBreak/>
        <w:t>Control fee</w:t>
      </w:r>
    </w:p>
    <w:p w:rsidR="009B3560" w:rsidRPr="00C95435" w:rsidRDefault="009B3560" w:rsidP="00F1631E">
      <w:r w:rsidRPr="00C95435">
        <w:t>The control fee represents the cost of controlling the operator</w:t>
      </w:r>
      <w:r w:rsidR="00F1631E" w:rsidRPr="00C95435">
        <w:t>’</w:t>
      </w:r>
      <w:r w:rsidRPr="00C95435">
        <w:t>s or licensees</w:t>
      </w:r>
      <w:r w:rsidR="00F1631E" w:rsidRPr="00C95435">
        <w:t>’</w:t>
      </w:r>
      <w:r w:rsidRPr="00C95435">
        <w:t xml:space="preserve"> equipment.</w:t>
      </w:r>
    </w:p>
    <w:p w:rsidR="009B3560" w:rsidRPr="00C95435" w:rsidRDefault="009B3560" w:rsidP="000D128F">
      <w:r w:rsidRPr="00C95435">
        <w:t>It takes account of transmitter power or station type (relay or terminal). It is payable for the entire year, regardless of the date of bringing into service of network.</w:t>
      </w:r>
    </w:p>
    <w:p w:rsidR="001C64B9" w:rsidRPr="00C95435" w:rsidRDefault="001C64B9" w:rsidP="000D128F"/>
    <w:p w:rsidR="009B3560" w:rsidRPr="00C95435" w:rsidRDefault="009B3560" w:rsidP="001C64B9">
      <w:pPr>
        <w:spacing w:before="0"/>
        <w:rPr>
          <w:b/>
          <w:bCs/>
        </w:rPr>
      </w:pPr>
      <w:r w:rsidRPr="00C95435">
        <w:rPr>
          <w:b/>
          <w:bCs/>
        </w:rPr>
        <w:t>Contribution to offsetting management costs</w:t>
      </w:r>
    </w:p>
    <w:p w:rsidR="009B3560" w:rsidRPr="00C95435" w:rsidRDefault="009B3560" w:rsidP="000D128F">
      <w:r w:rsidRPr="00C95435">
        <w:t>The contribution to offsetting management costs represents the fees related to management of the licence or network, for example in the case of settlement of disputes between operators or between operators and the public, and licence renewal.</w:t>
      </w:r>
    </w:p>
    <w:p w:rsidR="009B3560" w:rsidRPr="00C95435" w:rsidRDefault="009B3560" w:rsidP="000D128F">
      <w:r w:rsidRPr="00C95435">
        <w:t>It is payable for the entire year regardless of the date on which the network is established. It is not refundable, and is calculated based on network size and coverage area (local, regional or national).</w:t>
      </w:r>
    </w:p>
    <w:p w:rsidR="001C64B9" w:rsidRPr="00C95435" w:rsidRDefault="001C64B9" w:rsidP="000D128F"/>
    <w:p w:rsidR="009B3560" w:rsidRPr="00C95435" w:rsidRDefault="009B3560" w:rsidP="001C64B9">
      <w:pPr>
        <w:spacing w:before="0"/>
        <w:rPr>
          <w:b/>
          <w:bCs/>
        </w:rPr>
      </w:pPr>
      <w:r w:rsidRPr="00C95435">
        <w:rPr>
          <w:b/>
          <w:bCs/>
        </w:rPr>
        <w:t>Radio frequency utilization fee</w:t>
      </w:r>
    </w:p>
    <w:p w:rsidR="009B3560" w:rsidRPr="00C95435" w:rsidRDefault="009B3560" w:rsidP="000D128F">
      <w:r w:rsidRPr="00C95435">
        <w:t>This depends:</w:t>
      </w:r>
    </w:p>
    <w:p w:rsidR="009B3560" w:rsidRPr="00C95435" w:rsidRDefault="00474C02" w:rsidP="00474C02">
      <w:pPr>
        <w:pStyle w:val="enumlev1"/>
      </w:pPr>
      <w:r w:rsidRPr="00C95435">
        <w:rPr>
          <w:rFonts w:eastAsia="SimSun"/>
        </w:rPr>
        <w:t>–</w:t>
      </w:r>
      <w:r w:rsidRPr="00C95435">
        <w:rPr>
          <w:rFonts w:eastAsia="SimSun"/>
        </w:rPr>
        <w:tab/>
      </w:r>
      <w:r w:rsidR="009B3560" w:rsidRPr="00C95435">
        <w:rPr>
          <w:rFonts w:eastAsia="SimSun"/>
        </w:rPr>
        <w:t>on the number of links establishable in the network or the network size, as for example in the</w:t>
      </w:r>
      <w:r w:rsidR="009B3560" w:rsidRPr="00C95435">
        <w:t xml:space="preserve"> case of conventional networks, or</w:t>
      </w:r>
    </w:p>
    <w:p w:rsidR="009B3560" w:rsidRPr="00C95435" w:rsidRDefault="00474C02" w:rsidP="00474C02">
      <w:pPr>
        <w:pStyle w:val="enumlev1"/>
      </w:pPr>
      <w:r w:rsidRPr="00C95435">
        <w:t>–</w:t>
      </w:r>
      <w:r w:rsidRPr="00C95435">
        <w:tab/>
      </w:r>
      <w:r w:rsidR="009B3560" w:rsidRPr="00C95435">
        <w:t>on the coverage area of the network, amount of spectrum allocated, number of channels, capacity or rate of the link, or</w:t>
      </w:r>
    </w:p>
    <w:p w:rsidR="009B3560" w:rsidRPr="00C95435" w:rsidRDefault="00474C02" w:rsidP="00474C02">
      <w:pPr>
        <w:pStyle w:val="enumlev1"/>
      </w:pPr>
      <w:r w:rsidRPr="00C95435">
        <w:t>–</w:t>
      </w:r>
      <w:r w:rsidRPr="00C95435">
        <w:tab/>
      </w:r>
      <w:r w:rsidR="009B3560" w:rsidRPr="00C95435">
        <w:t>on tonnage in the case of fishing vessels.</w:t>
      </w:r>
    </w:p>
    <w:p w:rsidR="001C64B9" w:rsidRPr="00C95435" w:rsidRDefault="001C64B9" w:rsidP="00474C02">
      <w:pPr>
        <w:rPr>
          <w:b/>
          <w:bCs/>
        </w:rPr>
      </w:pPr>
    </w:p>
    <w:p w:rsidR="009B3560" w:rsidRPr="00C95435" w:rsidRDefault="009B3560" w:rsidP="001C64B9">
      <w:pPr>
        <w:spacing w:before="0"/>
        <w:rPr>
          <w:b/>
          <w:bCs/>
        </w:rPr>
      </w:pPr>
      <w:r w:rsidRPr="00C95435">
        <w:rPr>
          <w:b/>
          <w:bCs/>
        </w:rPr>
        <w:t>Radio sticker</w:t>
      </w:r>
    </w:p>
    <w:p w:rsidR="009B3560" w:rsidRPr="00C95435" w:rsidRDefault="009B3560" w:rsidP="00474C02">
      <w:r w:rsidRPr="00C95435">
        <w:t>The sticker is a label affixed to radio equipment to identify stations authorized following controls.</w:t>
      </w:r>
    </w:p>
    <w:p w:rsidR="009B3560" w:rsidRPr="00C95435" w:rsidRDefault="009B3560" w:rsidP="00474C02">
      <w:r w:rsidRPr="00C95435">
        <w:t>The cost of the sticker depends on the type of station (fixed, mobile, transportable).</w:t>
      </w:r>
    </w:p>
    <w:p w:rsidR="009B3560" w:rsidRPr="00C95435" w:rsidRDefault="009B3560" w:rsidP="00481B1C">
      <w:pPr>
        <w:pStyle w:val="Heading1"/>
      </w:pPr>
      <w:bookmarkStart w:id="961" w:name="_Toc280260066"/>
      <w:bookmarkStart w:id="962" w:name="_Toc280260915"/>
      <w:bookmarkStart w:id="963" w:name="_Toc280272527"/>
      <w:bookmarkStart w:id="964" w:name="_Toc284414198"/>
      <w:bookmarkStart w:id="965" w:name="_Toc286314942"/>
      <w:r w:rsidRPr="00C95435">
        <w:t>III</w:t>
      </w:r>
      <w:r w:rsidRPr="00C95435">
        <w:tab/>
        <w:t>OTHER RADIO TAXES</w:t>
      </w:r>
      <w:bookmarkEnd w:id="961"/>
      <w:bookmarkEnd w:id="962"/>
      <w:bookmarkEnd w:id="963"/>
      <w:bookmarkEnd w:id="964"/>
      <w:bookmarkEnd w:id="965"/>
    </w:p>
    <w:p w:rsidR="009B3560" w:rsidRPr="00C95435" w:rsidRDefault="009B3560" w:rsidP="00C8756F">
      <w:r w:rsidRPr="00C95435">
        <w:t>Over and above the radio fees charged every two months, the following charges are also levied:</w:t>
      </w:r>
    </w:p>
    <w:p w:rsidR="001C64B9" w:rsidRPr="00C95435" w:rsidRDefault="001C64B9" w:rsidP="00D57F66">
      <w:pPr>
        <w:rPr>
          <w:b/>
          <w:bCs/>
        </w:rPr>
      </w:pPr>
    </w:p>
    <w:p w:rsidR="009B3560" w:rsidRPr="00C95435" w:rsidRDefault="009B3560" w:rsidP="001C64B9">
      <w:pPr>
        <w:spacing w:before="0"/>
        <w:rPr>
          <w:b/>
          <w:bCs/>
        </w:rPr>
      </w:pPr>
      <w:r w:rsidRPr="00C95435">
        <w:rPr>
          <w:b/>
          <w:bCs/>
        </w:rPr>
        <w:t>Type approval or authorization fees</w:t>
      </w:r>
    </w:p>
    <w:p w:rsidR="009B3560" w:rsidRPr="00C95435" w:rsidRDefault="009B3560" w:rsidP="00D57F66">
      <w:r w:rsidRPr="00C95435">
        <w:t>This is a fee charged when radio equipment is tested for conformity. Authorizations issued to radio equipment installers constitute proof of their competence to install radio equipment.</w:t>
      </w:r>
    </w:p>
    <w:p w:rsidR="009B3560" w:rsidRPr="00C95435" w:rsidRDefault="009B3560" w:rsidP="00D57F66">
      <w:r w:rsidRPr="00C95435">
        <w:t>Terminal equipment authorization and the approval of radio equipment installers give rise to payment of the following lump-sum, non-refundable fees:</w:t>
      </w:r>
    </w:p>
    <w:p w:rsidR="009B3560" w:rsidRPr="00C95435" w:rsidRDefault="00D57F66" w:rsidP="00D57F66">
      <w:pPr>
        <w:pStyle w:val="enumlev1"/>
      </w:pPr>
      <w:r w:rsidRPr="00C95435">
        <w:t>1)</w:t>
      </w:r>
      <w:r w:rsidRPr="00C95435">
        <w:tab/>
      </w:r>
      <w:r w:rsidR="009B3560" w:rsidRPr="00C95435">
        <w:t>For equipment: a file fee and technical control fee per item of equipment.</w:t>
      </w:r>
    </w:p>
    <w:p w:rsidR="009B3560" w:rsidRPr="00C95435" w:rsidRDefault="00D57F66" w:rsidP="00D57F66">
      <w:pPr>
        <w:pStyle w:val="enumlev1"/>
      </w:pPr>
      <w:r w:rsidRPr="00C95435">
        <w:t>2)</w:t>
      </w:r>
      <w:r w:rsidRPr="00C95435">
        <w:tab/>
      </w:r>
      <w:r w:rsidR="009B3560" w:rsidRPr="00C95435">
        <w:t>For installers: a file fee and authorization fee are charged when the authorization is delivered or renewed</w:t>
      </w:r>
      <w:r w:rsidR="001C64B9" w:rsidRPr="00C95435">
        <w:t>.</w:t>
      </w:r>
    </w:p>
    <w:p w:rsidR="001C64B9" w:rsidRPr="00C95435" w:rsidRDefault="001C64B9" w:rsidP="00D57F66">
      <w:pPr>
        <w:rPr>
          <w:b/>
          <w:bCs/>
        </w:rPr>
      </w:pPr>
    </w:p>
    <w:p w:rsidR="009B3560" w:rsidRPr="00C95435" w:rsidRDefault="009B3560" w:rsidP="001C64B9">
      <w:pPr>
        <w:spacing w:before="0"/>
        <w:rPr>
          <w:b/>
          <w:bCs/>
        </w:rPr>
      </w:pPr>
      <w:r w:rsidRPr="00C95435">
        <w:rPr>
          <w:b/>
          <w:bCs/>
        </w:rPr>
        <w:t>Fee for handling complaints of interference</w:t>
      </w:r>
    </w:p>
    <w:p w:rsidR="009B3560" w:rsidRPr="00C95435" w:rsidRDefault="009B3560" w:rsidP="00D57F66">
      <w:r w:rsidRPr="00C95435">
        <w:t>This fee is charged to and paid by the licensees or concession holders at fault, and covers administrative costs or costs related to the interventions effected by the Agency's staff.</w:t>
      </w:r>
    </w:p>
    <w:p w:rsidR="001C64B9" w:rsidRPr="00C95435" w:rsidRDefault="001C64B9" w:rsidP="00D57F66">
      <w:pPr>
        <w:rPr>
          <w:b/>
          <w:bCs/>
        </w:rPr>
      </w:pPr>
    </w:p>
    <w:p w:rsidR="009B3560" w:rsidRPr="00C95435" w:rsidRDefault="009B3560" w:rsidP="001C64B9">
      <w:pPr>
        <w:spacing w:before="0"/>
        <w:rPr>
          <w:b/>
          <w:bCs/>
        </w:rPr>
      </w:pPr>
      <w:r w:rsidRPr="00C95435">
        <w:rPr>
          <w:b/>
          <w:bCs/>
        </w:rPr>
        <w:t>Examination fees</w:t>
      </w:r>
    </w:p>
    <w:p w:rsidR="009B3560" w:rsidRPr="00C95435" w:rsidRDefault="009B3560" w:rsidP="00D57F66">
      <w:r w:rsidRPr="00C95435">
        <w:t>For the delivery of a radiotelegraph operator's certificate, radiotelephone operator's certificate or dual operator's certificate, examination fees are charged before the tests commence. Fees for the same amount are payable for the delivery of the certificate(s) to military operators.</w:t>
      </w:r>
    </w:p>
    <w:p w:rsidR="009B3560" w:rsidRPr="00C95435" w:rsidRDefault="009B3560" w:rsidP="00D57F66">
      <w:r w:rsidRPr="00C95435">
        <w:lastRenderedPageBreak/>
        <w:t xml:space="preserve">For the delivery, renewal or issue of a duplicate of an amateur, aircraft or ship station licence, and that of an operator's certificate, a lump-sum, non-refundable fee is charged. </w:t>
      </w:r>
    </w:p>
    <w:p w:rsidR="001C64B9" w:rsidRPr="00C95435" w:rsidRDefault="001C64B9" w:rsidP="00D57F66">
      <w:pPr>
        <w:rPr>
          <w:b/>
          <w:bCs/>
        </w:rPr>
      </w:pPr>
    </w:p>
    <w:p w:rsidR="009B3560" w:rsidRPr="00C95435" w:rsidRDefault="009B3560" w:rsidP="001C64B9">
      <w:pPr>
        <w:spacing w:before="0"/>
        <w:rPr>
          <w:b/>
          <w:bCs/>
        </w:rPr>
      </w:pPr>
      <w:r w:rsidRPr="00C95435">
        <w:rPr>
          <w:b/>
          <w:bCs/>
        </w:rPr>
        <w:t>Intervention fees</w:t>
      </w:r>
    </w:p>
    <w:p w:rsidR="009B3560" w:rsidRPr="00C95435" w:rsidRDefault="009B3560" w:rsidP="00D57F66">
      <w:r w:rsidRPr="00C95435">
        <w:t>Exceptional fees incurred for the investigating interference caused to a regularly used radio frequency or due to the non-conformity of installations give rise to the payment of a lump-sum fee per intervention. This fee is payable by the owner of the station causing interference or of the non-complying installations.</w:t>
      </w:r>
    </w:p>
    <w:p w:rsidR="005F7F80" w:rsidRPr="004F63CA" w:rsidRDefault="005F7F80">
      <w:pPr>
        <w:tabs>
          <w:tab w:val="clear" w:pos="794"/>
          <w:tab w:val="clear" w:pos="1191"/>
          <w:tab w:val="clear" w:pos="1588"/>
          <w:tab w:val="clear" w:pos="1985"/>
        </w:tabs>
        <w:overflowPunct/>
        <w:autoSpaceDE/>
        <w:autoSpaceDN/>
        <w:adjustRightInd/>
        <w:spacing w:before="0"/>
        <w:jc w:val="left"/>
        <w:textAlignment w:val="auto"/>
        <w:rPr>
          <w:lang w:val="en-US"/>
        </w:rPr>
      </w:pPr>
      <w:r w:rsidRPr="004F63CA">
        <w:rPr>
          <w:lang w:val="en-US"/>
        </w:rPr>
        <w:br w:type="page"/>
      </w:r>
    </w:p>
    <w:p w:rsidR="00B73255" w:rsidRPr="004B2881" w:rsidRDefault="000C3912" w:rsidP="00B73255">
      <w:pPr>
        <w:pStyle w:val="AppendixNotitle"/>
        <w:rPr>
          <w:lang w:val="fr-FR"/>
        </w:rPr>
      </w:pPr>
      <w:bookmarkStart w:id="966" w:name="_Toc280260916"/>
      <w:bookmarkStart w:id="967" w:name="_Toc280272528"/>
      <w:bookmarkStart w:id="968" w:name="_Toc284414199"/>
      <w:bookmarkStart w:id="969" w:name="_Toc286314943"/>
      <w:r w:rsidRPr="004B2881">
        <w:rPr>
          <w:lang w:val="fr-FR"/>
        </w:rPr>
        <w:lastRenderedPageBreak/>
        <w:t>Appendice 3.1</w:t>
      </w:r>
      <w:r w:rsidR="00B73255" w:rsidRPr="004B2881">
        <w:rPr>
          <w:lang w:val="fr-FR"/>
        </w:rPr>
        <w:br/>
      </w:r>
      <w:r w:rsidR="00B73255" w:rsidRPr="004B2881">
        <w:rPr>
          <w:lang w:val="fr-FR"/>
        </w:rPr>
        <w:br/>
        <w:t>Exemple de système de redevances liées à l'utilisation</w:t>
      </w:r>
      <w:r w:rsidR="00B73255" w:rsidRPr="004B2881">
        <w:rPr>
          <w:lang w:val="fr-FR"/>
        </w:rPr>
        <w:br/>
        <w:t>des fréquences en Côte d'Ivoire</w:t>
      </w:r>
      <w:bookmarkEnd w:id="966"/>
      <w:bookmarkEnd w:id="967"/>
      <w:bookmarkEnd w:id="968"/>
      <w:bookmarkEnd w:id="969"/>
    </w:p>
    <w:p w:rsidR="00B73255" w:rsidRPr="004B2881" w:rsidRDefault="00B73255" w:rsidP="003A5151">
      <w:pPr>
        <w:pStyle w:val="Heading1"/>
        <w:rPr>
          <w:lang w:val="fr-FR"/>
        </w:rPr>
      </w:pPr>
      <w:bookmarkStart w:id="970" w:name="_Toc280260917"/>
      <w:bookmarkStart w:id="971" w:name="_Toc280272529"/>
      <w:bookmarkStart w:id="972" w:name="_Toc284414200"/>
      <w:bookmarkStart w:id="973" w:name="_Toc286314944"/>
      <w:r w:rsidRPr="004B2881">
        <w:rPr>
          <w:lang w:val="fr-FR"/>
        </w:rPr>
        <w:t>I</w:t>
      </w:r>
      <w:r w:rsidRPr="004B2881">
        <w:rPr>
          <w:lang w:val="fr-FR"/>
        </w:rPr>
        <w:tab/>
        <w:t>INTRODUCTION</w:t>
      </w:r>
      <w:bookmarkEnd w:id="970"/>
      <w:bookmarkEnd w:id="971"/>
      <w:bookmarkEnd w:id="972"/>
      <w:bookmarkEnd w:id="973"/>
    </w:p>
    <w:p w:rsidR="00B73255" w:rsidRPr="004B2881" w:rsidRDefault="00B73255" w:rsidP="003A5151">
      <w:pPr>
        <w:rPr>
          <w:lang w:val="fr-FR"/>
        </w:rPr>
      </w:pPr>
      <w:r w:rsidRPr="004B2881">
        <w:rPr>
          <w:lang w:val="fr-FR"/>
        </w:rPr>
        <w:t>Il importe que l’administration trouve le moyen de garantir l’obtention de recettes suffisantes pour couvrir les coûts d’un programme effectif de gestion du spectre. Un financement judicieux de la gestion du spectre peut s’avérer décisif pour le succès de la mise en œuvre de nouveaux services utilisateurs du spectre, comme pour leur exploitation en l’absence d’un niveau de brouillage préjudiciable.</w:t>
      </w:r>
    </w:p>
    <w:p w:rsidR="00B73255" w:rsidRPr="004B2881" w:rsidRDefault="00B73255" w:rsidP="003A5151">
      <w:pPr>
        <w:rPr>
          <w:lang w:val="fr-FR"/>
        </w:rPr>
      </w:pPr>
      <w:r w:rsidRPr="004B2881">
        <w:rPr>
          <w:lang w:val="fr-FR"/>
        </w:rPr>
        <w:t>De plus, un programme de gestion nationale du spectre correctement financé, offre des possibilités aux fournisseurs de services et aux constructeurs d’équipements, contribuant ainsi largement à la croissance de l’économie.</w:t>
      </w:r>
    </w:p>
    <w:p w:rsidR="00B73255" w:rsidRPr="004B2881" w:rsidRDefault="00B73255" w:rsidP="003A5151">
      <w:pPr>
        <w:rPr>
          <w:lang w:val="fr-FR"/>
        </w:rPr>
      </w:pPr>
      <w:r w:rsidRPr="004B2881">
        <w:rPr>
          <w:lang w:val="fr-FR"/>
        </w:rPr>
        <w:t>En revanche, un financement inadéquat risque de faire échouer ou de retarder la mise en œuvre de précieux services de radiocommunications.</w:t>
      </w:r>
    </w:p>
    <w:p w:rsidR="00B73255" w:rsidRPr="004B2881" w:rsidRDefault="00B73255" w:rsidP="003A5151">
      <w:pPr>
        <w:rPr>
          <w:lang w:val="fr-FR"/>
        </w:rPr>
      </w:pPr>
      <w:r w:rsidRPr="004B2881">
        <w:rPr>
          <w:lang w:val="fr-FR"/>
        </w:rPr>
        <w:t>Pour faire face à ce financement, des taxes et des redevances au titre des licences sont prélevées auprès des utilisateurs du spectre. Elles sont fonction du degré d’utilisation du spectre et de l’avantage économique retiré de cette utilisation.</w:t>
      </w:r>
    </w:p>
    <w:p w:rsidR="00B73255" w:rsidRPr="004B2881" w:rsidRDefault="00B73255" w:rsidP="000764C7">
      <w:pPr>
        <w:pStyle w:val="Heading1"/>
        <w:rPr>
          <w:lang w:val="fr-FR"/>
        </w:rPr>
      </w:pPr>
      <w:bookmarkStart w:id="974" w:name="_Toc280260918"/>
      <w:bookmarkStart w:id="975" w:name="_Toc280272530"/>
      <w:bookmarkStart w:id="976" w:name="_Toc284414201"/>
      <w:bookmarkStart w:id="977" w:name="_Toc286314945"/>
      <w:r w:rsidRPr="004B2881">
        <w:rPr>
          <w:lang w:val="fr-FR"/>
        </w:rPr>
        <w:t>II</w:t>
      </w:r>
      <w:r w:rsidRPr="004B2881">
        <w:rPr>
          <w:lang w:val="fr-FR"/>
        </w:rPr>
        <w:tab/>
        <w:t>SYSTEME DE FACTURATION DES RESEAUX RADI</w:t>
      </w:r>
      <w:r w:rsidR="00C95B09" w:rsidRPr="004B2881">
        <w:rPr>
          <w:lang w:val="fr-FR"/>
        </w:rPr>
        <w:t>OE</w:t>
      </w:r>
      <w:r w:rsidRPr="004B2881">
        <w:rPr>
          <w:lang w:val="fr-FR"/>
        </w:rPr>
        <w:t>LCTRIQUES</w:t>
      </w:r>
      <w:bookmarkEnd w:id="974"/>
      <w:bookmarkEnd w:id="975"/>
      <w:bookmarkEnd w:id="976"/>
      <w:bookmarkEnd w:id="977"/>
    </w:p>
    <w:p w:rsidR="00B73255" w:rsidRPr="004B2881" w:rsidRDefault="00B73255" w:rsidP="000764C7">
      <w:pPr>
        <w:rPr>
          <w:lang w:val="fr-FR"/>
        </w:rPr>
      </w:pPr>
      <w:r w:rsidRPr="004B2881">
        <w:rPr>
          <w:lang w:val="fr-FR"/>
        </w:rPr>
        <w:t>La taxation en Côte d’Ivoire est fonction des éléments suivants:</w:t>
      </w:r>
    </w:p>
    <w:p w:rsidR="00B73255" w:rsidRPr="004B2881" w:rsidRDefault="003961F7" w:rsidP="003961F7">
      <w:pPr>
        <w:pStyle w:val="enumlev1"/>
        <w:rPr>
          <w:lang w:val="fr-FR"/>
        </w:rPr>
      </w:pPr>
      <w:r w:rsidRPr="004B2881">
        <w:rPr>
          <w:lang w:val="fr-FR"/>
        </w:rPr>
        <w:t>a)</w:t>
      </w:r>
      <w:r w:rsidRPr="004B2881">
        <w:rPr>
          <w:lang w:val="fr-FR"/>
        </w:rPr>
        <w:tab/>
      </w:r>
      <w:r w:rsidR="00B73255" w:rsidRPr="004B2881">
        <w:rPr>
          <w:lang w:val="fr-FR"/>
        </w:rPr>
        <w:t>la fréquence radioélectrique;</w:t>
      </w:r>
    </w:p>
    <w:p w:rsidR="00B73255" w:rsidRPr="004B2881" w:rsidRDefault="003961F7" w:rsidP="003961F7">
      <w:pPr>
        <w:pStyle w:val="enumlev1"/>
        <w:rPr>
          <w:lang w:val="fr-FR"/>
        </w:rPr>
      </w:pPr>
      <w:r w:rsidRPr="004B2881">
        <w:rPr>
          <w:lang w:val="fr-FR"/>
        </w:rPr>
        <w:t>b)</w:t>
      </w:r>
      <w:r w:rsidRPr="004B2881">
        <w:rPr>
          <w:lang w:val="fr-FR"/>
        </w:rPr>
        <w:tab/>
      </w:r>
      <w:r w:rsidR="00B73255" w:rsidRPr="004B2881">
        <w:rPr>
          <w:lang w:val="fr-FR"/>
        </w:rPr>
        <w:t>la quantité du spectre assignée, par exemple la largeur de bande;</w:t>
      </w:r>
    </w:p>
    <w:p w:rsidR="00B73255" w:rsidRPr="004B2881" w:rsidRDefault="003961F7" w:rsidP="003961F7">
      <w:pPr>
        <w:pStyle w:val="enumlev1"/>
        <w:rPr>
          <w:lang w:val="fr-FR"/>
        </w:rPr>
      </w:pPr>
      <w:r w:rsidRPr="004B2881">
        <w:rPr>
          <w:lang w:val="fr-FR"/>
        </w:rPr>
        <w:t>c)</w:t>
      </w:r>
      <w:r w:rsidRPr="004B2881">
        <w:rPr>
          <w:lang w:val="fr-FR"/>
        </w:rPr>
        <w:tab/>
      </w:r>
      <w:r w:rsidR="00B73255" w:rsidRPr="004B2881">
        <w:rPr>
          <w:lang w:val="fr-FR"/>
        </w:rPr>
        <w:t>les canaux ou les liaisons;</w:t>
      </w:r>
    </w:p>
    <w:p w:rsidR="00B73255" w:rsidRPr="004B2881" w:rsidRDefault="003961F7" w:rsidP="003961F7">
      <w:pPr>
        <w:pStyle w:val="enumlev1"/>
        <w:rPr>
          <w:lang w:val="fr-FR"/>
        </w:rPr>
      </w:pPr>
      <w:r w:rsidRPr="004B2881">
        <w:rPr>
          <w:lang w:val="fr-FR"/>
        </w:rPr>
        <w:t>d)</w:t>
      </w:r>
      <w:r w:rsidRPr="004B2881">
        <w:rPr>
          <w:lang w:val="fr-FR"/>
        </w:rPr>
        <w:tab/>
      </w:r>
      <w:r w:rsidR="00B73255" w:rsidRPr="004B2881">
        <w:rPr>
          <w:lang w:val="fr-FR"/>
        </w:rPr>
        <w:t>le niveau de charge des canaux (ou des liaisons), (débit binaire, capacité);</w:t>
      </w:r>
    </w:p>
    <w:p w:rsidR="00B73255" w:rsidRPr="004B2881" w:rsidRDefault="003961F7" w:rsidP="003961F7">
      <w:pPr>
        <w:pStyle w:val="enumlev1"/>
        <w:rPr>
          <w:lang w:val="fr-FR"/>
        </w:rPr>
      </w:pPr>
      <w:r w:rsidRPr="004B2881">
        <w:rPr>
          <w:lang w:val="fr-FR"/>
        </w:rPr>
        <w:t>e)</w:t>
      </w:r>
      <w:r w:rsidRPr="004B2881">
        <w:rPr>
          <w:lang w:val="fr-FR"/>
        </w:rPr>
        <w:tab/>
      </w:r>
      <w:r w:rsidR="00B73255" w:rsidRPr="004B2881">
        <w:rPr>
          <w:lang w:val="fr-FR"/>
        </w:rPr>
        <w:t>l’efficacité spectrale des équipements utilisés;</w:t>
      </w:r>
    </w:p>
    <w:p w:rsidR="00B73255" w:rsidRPr="004B2881" w:rsidRDefault="003961F7" w:rsidP="003961F7">
      <w:pPr>
        <w:pStyle w:val="enumlev1"/>
        <w:rPr>
          <w:lang w:val="fr-FR"/>
        </w:rPr>
      </w:pPr>
      <w:r w:rsidRPr="004B2881">
        <w:rPr>
          <w:lang w:val="fr-FR"/>
        </w:rPr>
        <w:t>f)</w:t>
      </w:r>
      <w:r w:rsidRPr="004B2881">
        <w:rPr>
          <w:lang w:val="fr-FR"/>
        </w:rPr>
        <w:tab/>
      </w:r>
      <w:r w:rsidR="00B73255" w:rsidRPr="004B2881">
        <w:rPr>
          <w:lang w:val="fr-FR"/>
        </w:rPr>
        <w:t>la puissance et la zone de couverture;</w:t>
      </w:r>
    </w:p>
    <w:p w:rsidR="00B73255" w:rsidRPr="004B2881" w:rsidRDefault="003961F7" w:rsidP="003961F7">
      <w:pPr>
        <w:pStyle w:val="enumlev1"/>
        <w:rPr>
          <w:lang w:val="fr-FR"/>
        </w:rPr>
      </w:pPr>
      <w:r w:rsidRPr="004B2881">
        <w:rPr>
          <w:lang w:val="fr-FR"/>
        </w:rPr>
        <w:t>g)</w:t>
      </w:r>
      <w:r w:rsidRPr="004B2881">
        <w:rPr>
          <w:lang w:val="fr-FR"/>
        </w:rPr>
        <w:tab/>
      </w:r>
      <w:r w:rsidR="00B73255" w:rsidRPr="004B2881">
        <w:rPr>
          <w:lang w:val="fr-FR"/>
        </w:rPr>
        <w:t>la nature de l’utilisation des fréquences (usage privé ou à des fins commerciales);</w:t>
      </w:r>
    </w:p>
    <w:p w:rsidR="00B73255" w:rsidRPr="004B2881" w:rsidRDefault="003961F7" w:rsidP="003961F7">
      <w:pPr>
        <w:pStyle w:val="enumlev1"/>
        <w:rPr>
          <w:lang w:val="fr-FR"/>
        </w:rPr>
      </w:pPr>
      <w:r w:rsidRPr="004B2881">
        <w:rPr>
          <w:lang w:val="fr-FR"/>
        </w:rPr>
        <w:t>h)</w:t>
      </w:r>
      <w:r w:rsidRPr="004B2881">
        <w:rPr>
          <w:lang w:val="fr-FR"/>
        </w:rPr>
        <w:tab/>
      </w:r>
      <w:r w:rsidR="00B73255" w:rsidRPr="004B2881">
        <w:rPr>
          <w:lang w:val="fr-FR"/>
        </w:rPr>
        <w:t>l’emplacement géographique.</w:t>
      </w:r>
    </w:p>
    <w:p w:rsidR="00B73255" w:rsidRPr="004B2881" w:rsidRDefault="00B73255" w:rsidP="003961F7">
      <w:pPr>
        <w:rPr>
          <w:lang w:val="fr-FR"/>
        </w:rPr>
      </w:pPr>
      <w:r w:rsidRPr="004B2881">
        <w:rPr>
          <w:lang w:val="fr-FR"/>
        </w:rPr>
        <w:t>Pour tenir compte de la complexité des opérations d’assignation des fréquences, les redevances sont calculées pour chaque type de licences.</w:t>
      </w:r>
    </w:p>
    <w:p w:rsidR="00B73255" w:rsidRPr="004B2881" w:rsidRDefault="00B73255" w:rsidP="003961F7">
      <w:pPr>
        <w:rPr>
          <w:lang w:val="fr-FR"/>
        </w:rPr>
      </w:pPr>
      <w:r w:rsidRPr="004B2881">
        <w:rPr>
          <w:lang w:val="fr-FR"/>
        </w:rPr>
        <w:t>Ainsi, la réglementation en Côte d’Ivoire (ordonnance 97-173 du 19 mars 1997) prévoit cinq (05) rubriques de facturation des différents réseaux radioélectriques qui sont:</w:t>
      </w:r>
    </w:p>
    <w:p w:rsidR="00B73255" w:rsidRPr="004B2881" w:rsidRDefault="003A39BA" w:rsidP="003A39BA">
      <w:pPr>
        <w:pStyle w:val="enumlev1"/>
        <w:rPr>
          <w:lang w:val="fr-FR"/>
        </w:rPr>
      </w:pPr>
      <w:r w:rsidRPr="004B2881">
        <w:rPr>
          <w:lang w:val="fr-FR"/>
        </w:rPr>
        <w:t>–</w:t>
      </w:r>
      <w:r w:rsidRPr="004B2881">
        <w:rPr>
          <w:lang w:val="fr-FR"/>
        </w:rPr>
        <w:tab/>
      </w:r>
      <w:r w:rsidR="00B73255" w:rsidRPr="004B2881">
        <w:rPr>
          <w:lang w:val="fr-FR"/>
        </w:rPr>
        <w:t>la taxe de constitution de dossier;</w:t>
      </w:r>
    </w:p>
    <w:p w:rsidR="00B73255" w:rsidRPr="004B2881" w:rsidRDefault="003A39BA" w:rsidP="003A39BA">
      <w:pPr>
        <w:pStyle w:val="enumlev1"/>
        <w:rPr>
          <w:lang w:val="fr-FR"/>
        </w:rPr>
      </w:pPr>
      <w:r w:rsidRPr="004B2881">
        <w:rPr>
          <w:lang w:val="fr-FR"/>
        </w:rPr>
        <w:t>–</w:t>
      </w:r>
      <w:r w:rsidRPr="004B2881">
        <w:rPr>
          <w:lang w:val="fr-FR"/>
        </w:rPr>
        <w:tab/>
      </w:r>
      <w:r w:rsidR="00B73255" w:rsidRPr="004B2881">
        <w:rPr>
          <w:lang w:val="fr-FR"/>
        </w:rPr>
        <w:t>la taxe de contrôle des stations radioélectriques;</w:t>
      </w:r>
    </w:p>
    <w:p w:rsidR="00B73255" w:rsidRPr="004B2881" w:rsidRDefault="003A39BA" w:rsidP="003A39BA">
      <w:pPr>
        <w:pStyle w:val="enumlev1"/>
        <w:rPr>
          <w:lang w:val="fr-FR"/>
        </w:rPr>
      </w:pPr>
      <w:r w:rsidRPr="004B2881">
        <w:rPr>
          <w:lang w:val="fr-FR"/>
        </w:rPr>
        <w:t>–</w:t>
      </w:r>
      <w:r w:rsidRPr="004B2881">
        <w:rPr>
          <w:lang w:val="fr-FR"/>
        </w:rPr>
        <w:tab/>
      </w:r>
      <w:r w:rsidR="00B73255" w:rsidRPr="004B2881">
        <w:rPr>
          <w:lang w:val="fr-FR"/>
        </w:rPr>
        <w:t>la contribution pour frais de gestion;</w:t>
      </w:r>
    </w:p>
    <w:p w:rsidR="00B73255" w:rsidRPr="004B2881" w:rsidRDefault="003A39BA" w:rsidP="0000308F">
      <w:pPr>
        <w:pStyle w:val="enumlev1"/>
        <w:rPr>
          <w:lang w:val="fr-FR"/>
        </w:rPr>
      </w:pPr>
      <w:r w:rsidRPr="004B2881">
        <w:rPr>
          <w:lang w:val="fr-FR"/>
        </w:rPr>
        <w:t>–</w:t>
      </w:r>
      <w:r w:rsidRPr="004B2881">
        <w:rPr>
          <w:lang w:val="fr-FR"/>
        </w:rPr>
        <w:tab/>
      </w:r>
      <w:r w:rsidR="00B73255" w:rsidRPr="004B2881">
        <w:rPr>
          <w:lang w:val="fr-FR"/>
        </w:rPr>
        <w:t>la redevance due pour l'utilisation de fréquences radioélectriques;</w:t>
      </w:r>
    </w:p>
    <w:p w:rsidR="00B73255" w:rsidRPr="004B2881" w:rsidRDefault="003A39BA" w:rsidP="003A39BA">
      <w:pPr>
        <w:pStyle w:val="enumlev1"/>
        <w:rPr>
          <w:lang w:val="fr-FR"/>
        </w:rPr>
      </w:pPr>
      <w:r w:rsidRPr="004B2881">
        <w:rPr>
          <w:lang w:val="fr-FR"/>
        </w:rPr>
        <w:t>–</w:t>
      </w:r>
      <w:r w:rsidRPr="004B2881">
        <w:rPr>
          <w:lang w:val="fr-FR"/>
        </w:rPr>
        <w:tab/>
      </w:r>
      <w:r w:rsidR="00B73255" w:rsidRPr="004B2881">
        <w:rPr>
          <w:lang w:val="fr-FR"/>
        </w:rPr>
        <w:t>la taxe de vignette.</w:t>
      </w:r>
    </w:p>
    <w:p w:rsidR="00B73255" w:rsidRPr="004B2881" w:rsidRDefault="00B73255" w:rsidP="003A39BA">
      <w:pPr>
        <w:rPr>
          <w:lang w:val="fr-FR"/>
        </w:rPr>
      </w:pPr>
      <w:r w:rsidRPr="004B2881">
        <w:rPr>
          <w:lang w:val="fr-FR"/>
        </w:rPr>
        <w:t>Tous les montants  sont fixés de façon forfaitaire.</w:t>
      </w:r>
    </w:p>
    <w:p w:rsidR="0000308F" w:rsidRPr="004B2881" w:rsidRDefault="0000308F" w:rsidP="003A39BA">
      <w:pPr>
        <w:rPr>
          <w:lang w:val="fr-FR"/>
        </w:rPr>
      </w:pPr>
    </w:p>
    <w:p w:rsidR="00B73255" w:rsidRPr="004B2881" w:rsidRDefault="00B73255" w:rsidP="0000308F">
      <w:pPr>
        <w:spacing w:before="0"/>
        <w:rPr>
          <w:b/>
          <w:bCs/>
          <w:lang w:val="fr-FR"/>
        </w:rPr>
      </w:pPr>
      <w:r w:rsidRPr="004B2881">
        <w:rPr>
          <w:b/>
          <w:bCs/>
          <w:lang w:val="fr-FR"/>
        </w:rPr>
        <w:t>La taxe de constitution de dossier</w:t>
      </w:r>
    </w:p>
    <w:p w:rsidR="00B73255" w:rsidRPr="004B2881" w:rsidRDefault="00B73255" w:rsidP="003A39BA">
      <w:pPr>
        <w:rPr>
          <w:lang w:val="fr-FR"/>
        </w:rPr>
      </w:pPr>
      <w:r w:rsidRPr="004B2881">
        <w:rPr>
          <w:lang w:val="fr-FR"/>
        </w:rPr>
        <w:t>La taxe de constitution constitue les frais d’études d’un dossier ou d’ouverture de dossier.</w:t>
      </w:r>
    </w:p>
    <w:p w:rsidR="00B73255" w:rsidRPr="004B2881" w:rsidRDefault="00B73255" w:rsidP="003A39BA">
      <w:pPr>
        <w:rPr>
          <w:lang w:val="fr-FR"/>
        </w:rPr>
      </w:pPr>
      <w:r w:rsidRPr="004B2881">
        <w:rPr>
          <w:lang w:val="fr-FR"/>
        </w:rPr>
        <w:t>Elle est payable une seule fois lors du dépôt des dossiers et est non remboursable.</w:t>
      </w:r>
    </w:p>
    <w:p w:rsidR="003A39BA" w:rsidRPr="004B2881" w:rsidRDefault="003A39BA">
      <w:pPr>
        <w:tabs>
          <w:tab w:val="clear" w:pos="794"/>
          <w:tab w:val="clear" w:pos="1191"/>
          <w:tab w:val="clear" w:pos="1588"/>
          <w:tab w:val="clear" w:pos="1985"/>
        </w:tabs>
        <w:overflowPunct/>
        <w:autoSpaceDE/>
        <w:autoSpaceDN/>
        <w:adjustRightInd/>
        <w:spacing w:before="0"/>
        <w:jc w:val="left"/>
        <w:textAlignment w:val="auto"/>
        <w:rPr>
          <w:b/>
          <w:bCs/>
          <w:lang w:val="fr-FR"/>
        </w:rPr>
      </w:pPr>
      <w:r w:rsidRPr="004B2881">
        <w:rPr>
          <w:b/>
          <w:bCs/>
          <w:lang w:val="fr-FR"/>
        </w:rPr>
        <w:br w:type="page"/>
      </w:r>
    </w:p>
    <w:p w:rsidR="00B73255" w:rsidRPr="004B2881" w:rsidRDefault="00B73255" w:rsidP="003A39BA">
      <w:pPr>
        <w:rPr>
          <w:b/>
          <w:bCs/>
          <w:lang w:val="fr-FR"/>
        </w:rPr>
      </w:pPr>
      <w:r w:rsidRPr="004B2881">
        <w:rPr>
          <w:b/>
          <w:bCs/>
          <w:lang w:val="fr-FR"/>
        </w:rPr>
        <w:lastRenderedPageBreak/>
        <w:t>La taxe de contrôle</w:t>
      </w:r>
    </w:p>
    <w:p w:rsidR="00B73255" w:rsidRPr="004B2881" w:rsidRDefault="00B73255" w:rsidP="003A39BA">
      <w:pPr>
        <w:rPr>
          <w:lang w:val="fr-FR"/>
        </w:rPr>
      </w:pPr>
      <w:r w:rsidRPr="004B2881">
        <w:rPr>
          <w:lang w:val="fr-FR"/>
        </w:rPr>
        <w:t>La taxe de contrôle représente les frais de contrôle des équipements de l’opérateur ou des permissionnaires.</w:t>
      </w:r>
    </w:p>
    <w:p w:rsidR="00B73255" w:rsidRPr="004B2881" w:rsidRDefault="00B73255" w:rsidP="003A39BA">
      <w:pPr>
        <w:rPr>
          <w:lang w:val="fr-FR"/>
        </w:rPr>
      </w:pPr>
      <w:r w:rsidRPr="004B2881">
        <w:rPr>
          <w:lang w:val="fr-FR"/>
        </w:rPr>
        <w:t>Elle tient compte de la puissance de l’émetteur ou du type de station (relais ou terminale). Elle est due pour l’année entière, quelque soit la date de mise en service du réseau.</w:t>
      </w:r>
    </w:p>
    <w:p w:rsidR="006D3043" w:rsidRPr="004B2881" w:rsidRDefault="006D3043" w:rsidP="003A39BA">
      <w:pPr>
        <w:rPr>
          <w:lang w:val="fr-FR"/>
        </w:rPr>
      </w:pPr>
    </w:p>
    <w:p w:rsidR="00B73255" w:rsidRPr="004B2881" w:rsidRDefault="00B73255" w:rsidP="006D3043">
      <w:pPr>
        <w:spacing w:before="0"/>
        <w:rPr>
          <w:b/>
          <w:bCs/>
          <w:lang w:val="fr-FR"/>
        </w:rPr>
      </w:pPr>
      <w:r w:rsidRPr="004B2881">
        <w:rPr>
          <w:b/>
          <w:bCs/>
          <w:lang w:val="fr-FR"/>
        </w:rPr>
        <w:t>La contribution pour frais de gestion</w:t>
      </w:r>
    </w:p>
    <w:p w:rsidR="00B73255" w:rsidRPr="004B2881" w:rsidRDefault="00B73255" w:rsidP="003A39BA">
      <w:pPr>
        <w:rPr>
          <w:lang w:val="fr-FR"/>
        </w:rPr>
      </w:pPr>
      <w:r w:rsidRPr="004B2881">
        <w:rPr>
          <w:lang w:val="fr-FR"/>
        </w:rPr>
        <w:t>La contribution pour frais de gestion représente les redevances liées à la gestion de la licence ou du réseau tels que le règlement des litiges entre operateurs ou entre opérateurs et  population, et le renouvellement de la licence.</w:t>
      </w:r>
    </w:p>
    <w:p w:rsidR="00B73255" w:rsidRPr="004B2881" w:rsidRDefault="00B73255" w:rsidP="003A39BA">
      <w:pPr>
        <w:rPr>
          <w:lang w:val="fr-FR"/>
        </w:rPr>
      </w:pPr>
      <w:r w:rsidRPr="004B2881">
        <w:rPr>
          <w:lang w:val="fr-FR"/>
        </w:rPr>
        <w:t>Elle est due pour l’année entière quelque soit la date d’établissement du réseau. Elle est non remboursable et calculée en fonction de la taille du réseau et de la zone de couverture (locale, régionale ou nationale).</w:t>
      </w:r>
    </w:p>
    <w:p w:rsidR="006D3043" w:rsidRPr="004B2881" w:rsidRDefault="006D3043" w:rsidP="003A39BA">
      <w:pPr>
        <w:rPr>
          <w:lang w:val="fr-FR"/>
        </w:rPr>
      </w:pPr>
    </w:p>
    <w:p w:rsidR="00B73255" w:rsidRPr="004B2881" w:rsidRDefault="00B73255" w:rsidP="006D3043">
      <w:pPr>
        <w:spacing w:before="0"/>
        <w:rPr>
          <w:b/>
          <w:bCs/>
          <w:lang w:val="fr-FR"/>
        </w:rPr>
      </w:pPr>
      <w:r w:rsidRPr="004B2881">
        <w:rPr>
          <w:b/>
          <w:bCs/>
          <w:lang w:val="fr-FR"/>
        </w:rPr>
        <w:t>La redevance due pour l’utilisation de fréquences radioélectriques</w:t>
      </w:r>
    </w:p>
    <w:p w:rsidR="00B73255" w:rsidRPr="004B2881" w:rsidRDefault="00B73255" w:rsidP="003A39BA">
      <w:pPr>
        <w:rPr>
          <w:lang w:val="fr-FR"/>
        </w:rPr>
      </w:pPr>
      <w:r w:rsidRPr="004B2881">
        <w:rPr>
          <w:lang w:val="fr-FR"/>
        </w:rPr>
        <w:t>Elle dépend:</w:t>
      </w:r>
    </w:p>
    <w:p w:rsidR="00B73255" w:rsidRPr="004B2881" w:rsidRDefault="003A39BA" w:rsidP="003A39BA">
      <w:pPr>
        <w:pStyle w:val="enumlev1"/>
        <w:rPr>
          <w:lang w:val="fr-FR"/>
        </w:rPr>
      </w:pPr>
      <w:r w:rsidRPr="004B2881">
        <w:rPr>
          <w:lang w:val="fr-FR"/>
        </w:rPr>
        <w:t>–</w:t>
      </w:r>
      <w:r w:rsidRPr="004B2881">
        <w:rPr>
          <w:lang w:val="fr-FR"/>
        </w:rPr>
        <w:tab/>
      </w:r>
      <w:r w:rsidR="00B73255" w:rsidRPr="004B2881">
        <w:rPr>
          <w:lang w:val="fr-FR"/>
        </w:rPr>
        <w:t>soit du nombre de liaisons pouvant être établies dans le réseau ou de la taille du réseau, c’est le cas par exemple des réseaux conventionnels,</w:t>
      </w:r>
    </w:p>
    <w:p w:rsidR="00B73255" w:rsidRPr="004B2881" w:rsidRDefault="003A39BA" w:rsidP="003A39BA">
      <w:pPr>
        <w:pStyle w:val="enumlev1"/>
        <w:rPr>
          <w:lang w:val="fr-FR"/>
        </w:rPr>
      </w:pPr>
      <w:r w:rsidRPr="004B2881">
        <w:rPr>
          <w:lang w:val="fr-FR"/>
        </w:rPr>
        <w:t>–</w:t>
      </w:r>
      <w:r w:rsidRPr="004B2881">
        <w:rPr>
          <w:lang w:val="fr-FR"/>
        </w:rPr>
        <w:tab/>
      </w:r>
      <w:r w:rsidR="00B73255" w:rsidRPr="004B2881">
        <w:rPr>
          <w:lang w:val="fr-FR"/>
        </w:rPr>
        <w:t>soit de la zone de  couverture du réseau, de la quantité de spectre allouée ou du nombre de canaux ou de la capacité ou du débit de la liaison,</w:t>
      </w:r>
    </w:p>
    <w:p w:rsidR="00B73255" w:rsidRPr="004B2881" w:rsidRDefault="003A39BA" w:rsidP="003A39BA">
      <w:pPr>
        <w:pStyle w:val="enumlev1"/>
        <w:rPr>
          <w:lang w:val="fr-FR"/>
        </w:rPr>
      </w:pPr>
      <w:r w:rsidRPr="004B2881">
        <w:rPr>
          <w:lang w:val="fr-FR"/>
        </w:rPr>
        <w:t>–</w:t>
      </w:r>
      <w:r w:rsidRPr="004B2881">
        <w:rPr>
          <w:lang w:val="fr-FR"/>
        </w:rPr>
        <w:tab/>
      </w:r>
      <w:r w:rsidR="00B73255" w:rsidRPr="004B2881">
        <w:rPr>
          <w:lang w:val="fr-FR"/>
        </w:rPr>
        <w:t>soit du tonnage pour les navires de pêche.</w:t>
      </w:r>
    </w:p>
    <w:p w:rsidR="006D3043" w:rsidRPr="004B2881" w:rsidRDefault="006D3043" w:rsidP="003A39BA">
      <w:pPr>
        <w:pStyle w:val="enumlev1"/>
        <w:rPr>
          <w:lang w:val="fr-FR"/>
        </w:rPr>
      </w:pPr>
    </w:p>
    <w:p w:rsidR="00B73255" w:rsidRPr="004B2881" w:rsidRDefault="00B73255" w:rsidP="006D3043">
      <w:pPr>
        <w:spacing w:before="0"/>
        <w:rPr>
          <w:b/>
          <w:bCs/>
          <w:lang w:val="fr-FR"/>
        </w:rPr>
      </w:pPr>
      <w:r w:rsidRPr="004B2881">
        <w:rPr>
          <w:b/>
          <w:bCs/>
          <w:lang w:val="fr-FR"/>
        </w:rPr>
        <w:t xml:space="preserve">La vignette radioélectrique </w:t>
      </w:r>
    </w:p>
    <w:p w:rsidR="00B73255" w:rsidRPr="004B2881" w:rsidRDefault="00B73255" w:rsidP="003A39BA">
      <w:pPr>
        <w:rPr>
          <w:lang w:val="fr-FR"/>
        </w:rPr>
      </w:pPr>
      <w:r w:rsidRPr="004B2881">
        <w:rPr>
          <w:lang w:val="fr-FR"/>
        </w:rPr>
        <w:t>La vignette est un macaron apposé sur les équipements radio, qui a pour objet d’identifier les stations autorisées lors des contrôles.</w:t>
      </w:r>
    </w:p>
    <w:p w:rsidR="00B73255" w:rsidRPr="004B2881" w:rsidRDefault="00B73255" w:rsidP="003A39BA">
      <w:pPr>
        <w:rPr>
          <w:lang w:val="fr-FR"/>
        </w:rPr>
      </w:pPr>
      <w:r w:rsidRPr="004B2881">
        <w:rPr>
          <w:lang w:val="fr-FR"/>
        </w:rPr>
        <w:t>Le montant de cette vignette varie en fonction du type de stations (postes fixes, mobiles ou portatifs).</w:t>
      </w:r>
    </w:p>
    <w:p w:rsidR="00B73255" w:rsidRPr="004B2881" w:rsidRDefault="00B73255" w:rsidP="00EF4052">
      <w:pPr>
        <w:pStyle w:val="Heading1"/>
        <w:rPr>
          <w:lang w:val="fr-FR"/>
        </w:rPr>
      </w:pPr>
      <w:bookmarkStart w:id="978" w:name="_Toc280260919"/>
      <w:bookmarkStart w:id="979" w:name="_Toc280272531"/>
      <w:bookmarkStart w:id="980" w:name="_Toc284414202"/>
      <w:bookmarkStart w:id="981" w:name="_Toc286314946"/>
      <w:r w:rsidRPr="004B2881">
        <w:rPr>
          <w:lang w:val="fr-FR"/>
        </w:rPr>
        <w:t>III</w:t>
      </w:r>
      <w:r w:rsidRPr="004B2881">
        <w:rPr>
          <w:lang w:val="fr-FR"/>
        </w:rPr>
        <w:tab/>
      </w:r>
      <w:r w:rsidR="004468B1" w:rsidRPr="004B2881">
        <w:rPr>
          <w:lang w:val="fr-FR"/>
        </w:rPr>
        <w:t>AUTRES TAXES RADIOELECTRIQUES</w:t>
      </w:r>
      <w:bookmarkEnd w:id="978"/>
      <w:bookmarkEnd w:id="979"/>
      <w:bookmarkEnd w:id="980"/>
      <w:bookmarkEnd w:id="981"/>
    </w:p>
    <w:p w:rsidR="00B73255" w:rsidRPr="004B2881" w:rsidRDefault="00B73255" w:rsidP="00EF4052">
      <w:pPr>
        <w:rPr>
          <w:lang w:val="fr-FR"/>
        </w:rPr>
      </w:pPr>
      <w:r w:rsidRPr="004B2881">
        <w:rPr>
          <w:lang w:val="fr-FR"/>
        </w:rPr>
        <w:t>Outres les taxes radioélectriques perçues par bimestres, les impositions suivantes sont demandées:</w:t>
      </w:r>
    </w:p>
    <w:p w:rsidR="00A91F77" w:rsidRPr="004B2881" w:rsidRDefault="00A91F77" w:rsidP="00EF4052">
      <w:pPr>
        <w:rPr>
          <w:lang w:val="fr-FR"/>
        </w:rPr>
      </w:pPr>
    </w:p>
    <w:p w:rsidR="00B73255" w:rsidRPr="004B2881" w:rsidRDefault="00B73255" w:rsidP="00A91F77">
      <w:pPr>
        <w:spacing w:before="0"/>
        <w:rPr>
          <w:b/>
          <w:bCs/>
          <w:lang w:val="fr-FR"/>
        </w:rPr>
      </w:pPr>
      <w:r w:rsidRPr="004B2881">
        <w:rPr>
          <w:b/>
          <w:bCs/>
          <w:lang w:val="fr-FR"/>
        </w:rPr>
        <w:t>Taxes d’homologation ou d’agreement</w:t>
      </w:r>
    </w:p>
    <w:p w:rsidR="00B73255" w:rsidRPr="004B2881" w:rsidRDefault="00B73255" w:rsidP="00EF4052">
      <w:pPr>
        <w:rPr>
          <w:lang w:val="fr-FR"/>
        </w:rPr>
      </w:pPr>
      <w:r w:rsidRPr="004B2881">
        <w:rPr>
          <w:lang w:val="fr-FR"/>
        </w:rPr>
        <w:t xml:space="preserve">Il s’agit d’une taxe perçue lors des tests effectués sur les équipements  radioélectriques afin de s’assurer de leur conformité. L’agrément délivré aux installateurs radioélectriques est une preuve de leur capacité à installer des équipements radioélectriques. </w:t>
      </w:r>
    </w:p>
    <w:p w:rsidR="00B73255" w:rsidRPr="004B2881" w:rsidRDefault="00B73255" w:rsidP="00EF4052">
      <w:pPr>
        <w:rPr>
          <w:lang w:val="fr-FR"/>
        </w:rPr>
      </w:pPr>
      <w:r w:rsidRPr="004B2881">
        <w:rPr>
          <w:lang w:val="fr-FR"/>
        </w:rPr>
        <w:t>L'agrément des équipements terminaux et l'admission des installateurs en radiocommunications donnent lieu à la perception des taxes forfaitaires et non remboursables suivantes:</w:t>
      </w:r>
    </w:p>
    <w:p w:rsidR="00B73255" w:rsidRPr="004B2881" w:rsidRDefault="00C047A7" w:rsidP="00EF4052">
      <w:pPr>
        <w:pStyle w:val="enumlev1"/>
        <w:rPr>
          <w:lang w:val="fr-FR"/>
        </w:rPr>
      </w:pPr>
      <w:r w:rsidRPr="004B2881">
        <w:rPr>
          <w:lang w:val="fr-FR"/>
        </w:rPr>
        <w:t>1)</w:t>
      </w:r>
      <w:r w:rsidRPr="004B2881">
        <w:rPr>
          <w:lang w:val="fr-FR"/>
        </w:rPr>
        <w:tab/>
      </w:r>
      <w:r w:rsidR="00B73255" w:rsidRPr="004B2881">
        <w:rPr>
          <w:lang w:val="fr-FR"/>
        </w:rPr>
        <w:t>Pour les équipements: une taxe de constitution de dossier et une taxe de contrôle technique par équipement.</w:t>
      </w:r>
    </w:p>
    <w:p w:rsidR="00B73255" w:rsidRPr="004B2881" w:rsidRDefault="00C047A7" w:rsidP="00EF4052">
      <w:pPr>
        <w:pStyle w:val="enumlev1"/>
        <w:rPr>
          <w:lang w:val="fr-FR"/>
        </w:rPr>
      </w:pPr>
      <w:r w:rsidRPr="004B2881">
        <w:rPr>
          <w:lang w:val="fr-FR"/>
        </w:rPr>
        <w:t>2)</w:t>
      </w:r>
      <w:r w:rsidRPr="004B2881">
        <w:rPr>
          <w:lang w:val="fr-FR"/>
        </w:rPr>
        <w:tab/>
      </w:r>
      <w:r w:rsidR="00B73255" w:rsidRPr="004B2881">
        <w:rPr>
          <w:lang w:val="fr-FR"/>
        </w:rPr>
        <w:t>Pour les installateurs: une taxe de constitution de dossier et une taxe d'agrément sont perçues à la délivrance ou au renouvellement de l'autorisation.</w:t>
      </w:r>
    </w:p>
    <w:p w:rsidR="00A91F77" w:rsidRPr="004B2881" w:rsidRDefault="00A91F77" w:rsidP="00C047A7">
      <w:pPr>
        <w:rPr>
          <w:b/>
          <w:bCs/>
          <w:lang w:val="fr-FR"/>
        </w:rPr>
      </w:pPr>
    </w:p>
    <w:p w:rsidR="00B73255" w:rsidRPr="004B2881" w:rsidRDefault="00B73255" w:rsidP="00A91F77">
      <w:pPr>
        <w:spacing w:before="0"/>
        <w:rPr>
          <w:b/>
          <w:bCs/>
          <w:lang w:val="fr-FR"/>
        </w:rPr>
      </w:pPr>
      <w:r w:rsidRPr="004B2881">
        <w:rPr>
          <w:b/>
          <w:bCs/>
          <w:lang w:val="fr-FR"/>
        </w:rPr>
        <w:t>Taxe de traitement des plaintes pour brouillages</w:t>
      </w:r>
    </w:p>
    <w:p w:rsidR="00B73255" w:rsidRPr="004B2881" w:rsidRDefault="00B73255" w:rsidP="00C047A7">
      <w:pPr>
        <w:rPr>
          <w:lang w:val="fr-FR"/>
        </w:rPr>
      </w:pPr>
      <w:r w:rsidRPr="004B2881">
        <w:rPr>
          <w:lang w:val="fr-FR"/>
        </w:rPr>
        <w:t xml:space="preserve">Il s’agit d’une taxe perçue et payée par les permissionnaires ou concessionnaires fautifs, qui couvre les frais administratifs ou liés au déplacement des agents de l’Agence. </w:t>
      </w:r>
    </w:p>
    <w:p w:rsidR="00A91F77" w:rsidRPr="004B2881" w:rsidRDefault="00A91F77">
      <w:pPr>
        <w:tabs>
          <w:tab w:val="clear" w:pos="794"/>
          <w:tab w:val="clear" w:pos="1191"/>
          <w:tab w:val="clear" w:pos="1588"/>
          <w:tab w:val="clear" w:pos="1985"/>
        </w:tabs>
        <w:overflowPunct/>
        <w:autoSpaceDE/>
        <w:autoSpaceDN/>
        <w:adjustRightInd/>
        <w:spacing w:before="0"/>
        <w:jc w:val="left"/>
        <w:textAlignment w:val="auto"/>
        <w:rPr>
          <w:b/>
          <w:bCs/>
          <w:lang w:val="fr-FR"/>
        </w:rPr>
      </w:pPr>
      <w:r w:rsidRPr="004B2881">
        <w:rPr>
          <w:b/>
          <w:bCs/>
          <w:lang w:val="fr-FR"/>
        </w:rPr>
        <w:br w:type="page"/>
      </w:r>
    </w:p>
    <w:p w:rsidR="00B73255" w:rsidRPr="004B2881" w:rsidRDefault="00B73255" w:rsidP="00C047A7">
      <w:pPr>
        <w:rPr>
          <w:b/>
          <w:bCs/>
          <w:lang w:val="fr-FR"/>
        </w:rPr>
      </w:pPr>
      <w:r w:rsidRPr="004B2881">
        <w:rPr>
          <w:b/>
          <w:bCs/>
          <w:lang w:val="fr-FR"/>
        </w:rPr>
        <w:lastRenderedPageBreak/>
        <w:t>Droits d'examen</w:t>
      </w:r>
    </w:p>
    <w:p w:rsidR="00B73255" w:rsidRPr="004B2881" w:rsidRDefault="00B73255" w:rsidP="00C047A7">
      <w:pPr>
        <w:rPr>
          <w:lang w:val="fr-FR"/>
        </w:rPr>
      </w:pPr>
      <w:r w:rsidRPr="004B2881">
        <w:rPr>
          <w:lang w:val="fr-FR"/>
        </w:rPr>
        <w:t>Pour l'obtention du certificat d'opérateur radiotélégraphiste, du certificat d'opérateur radiotéléphoniste ou du certificat comportant la double mention, des droits d'examen sont perçus avant le début des épreuves. Des droits de même montant sont dus pour la délivrance du ou desdits certificats aux titulaires d'une attestation militaire de capacité d'opérateur.</w:t>
      </w:r>
    </w:p>
    <w:p w:rsidR="00B73255" w:rsidRPr="004B2881" w:rsidRDefault="00B73255" w:rsidP="00C047A7">
      <w:pPr>
        <w:rPr>
          <w:lang w:val="fr-FR"/>
        </w:rPr>
      </w:pPr>
      <w:r w:rsidRPr="004B2881">
        <w:rPr>
          <w:lang w:val="fr-FR"/>
        </w:rPr>
        <w:t>Lors de la délivrance, du renouvellement ou de l'établissement d'un duplicata de licence de station d'amateur, d'aéronef ou de navire, et d'un certificat d'opérateur, il est perçu une taxe forfaitaire et non remboursable.</w:t>
      </w:r>
    </w:p>
    <w:p w:rsidR="00804B8B" w:rsidRPr="004B2881" w:rsidRDefault="00804B8B" w:rsidP="00C047A7">
      <w:pPr>
        <w:rPr>
          <w:b/>
          <w:bCs/>
          <w:lang w:val="fr-FR"/>
        </w:rPr>
      </w:pPr>
    </w:p>
    <w:p w:rsidR="00B73255" w:rsidRPr="004B2881" w:rsidRDefault="00B73255" w:rsidP="00804B8B">
      <w:pPr>
        <w:spacing w:before="0"/>
        <w:rPr>
          <w:b/>
          <w:bCs/>
          <w:lang w:val="fr-FR"/>
        </w:rPr>
      </w:pPr>
      <w:r w:rsidRPr="004B2881">
        <w:rPr>
          <w:b/>
          <w:bCs/>
          <w:lang w:val="fr-FR"/>
        </w:rPr>
        <w:t>Taxes d'intervention</w:t>
      </w:r>
    </w:p>
    <w:p w:rsidR="00B73255" w:rsidRPr="004B2881" w:rsidRDefault="00B73255" w:rsidP="00C047A7">
      <w:pPr>
        <w:rPr>
          <w:lang w:val="fr-FR"/>
        </w:rPr>
      </w:pPr>
      <w:r w:rsidRPr="004B2881">
        <w:rPr>
          <w:lang w:val="fr-FR"/>
        </w:rPr>
        <w:t xml:space="preserve">Les frais exceptionnels occasionnés pour le </w:t>
      </w:r>
      <w:r w:rsidR="004B2881" w:rsidRPr="004B2881">
        <w:rPr>
          <w:lang w:val="fr-FR"/>
        </w:rPr>
        <w:t>relèvement</w:t>
      </w:r>
      <w:r w:rsidRPr="004B2881">
        <w:rPr>
          <w:lang w:val="fr-FR"/>
        </w:rPr>
        <w:t xml:space="preserve"> du brouillage d'une fréquence radioélectrique régulièrement utilisée ou par la non conformité des installations donnent lieu au paiement d'une taxe forfaitaire par intervention. Cette taxe est due par le propriétaire de la station brouilleuse ou des Installations non conformes.</w:t>
      </w:r>
    </w:p>
    <w:p w:rsidR="00062CD6" w:rsidRPr="004B2881" w:rsidRDefault="00062CD6">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p w:rsidR="00A64A09" w:rsidRPr="004B2881" w:rsidRDefault="00ED6371" w:rsidP="009D36C9">
      <w:pPr>
        <w:pStyle w:val="AppendixNotitle"/>
        <w:rPr>
          <w:lang w:val="fr-FR"/>
        </w:rPr>
      </w:pPr>
      <w:bookmarkStart w:id="982" w:name="_Toc280260067"/>
      <w:bookmarkStart w:id="983" w:name="_Toc280260920"/>
      <w:bookmarkStart w:id="984" w:name="_Toc280272532"/>
      <w:bookmarkStart w:id="985" w:name="_Toc284414203"/>
      <w:bookmarkStart w:id="986" w:name="_Toc286314947"/>
      <w:r w:rsidRPr="004B2881">
        <w:rPr>
          <w:lang w:val="fr-FR"/>
        </w:rPr>
        <w:lastRenderedPageBreak/>
        <w:t>Appendi</w:t>
      </w:r>
      <w:r w:rsidR="009D36C9" w:rsidRPr="004B2881">
        <w:rPr>
          <w:lang w:val="fr-FR"/>
        </w:rPr>
        <w:t>ce</w:t>
      </w:r>
      <w:r w:rsidRPr="004B2881">
        <w:rPr>
          <w:lang w:val="fr-FR"/>
        </w:rPr>
        <w:t xml:space="preserve"> 3.2</w:t>
      </w:r>
      <w:bookmarkEnd w:id="982"/>
      <w:bookmarkEnd w:id="983"/>
      <w:bookmarkEnd w:id="984"/>
      <w:bookmarkEnd w:id="985"/>
      <w:bookmarkEnd w:id="986"/>
    </w:p>
    <w:p w:rsidR="00A64A09" w:rsidRPr="004B2881" w:rsidRDefault="00A64A09" w:rsidP="00A64A09">
      <w:pPr>
        <w:pStyle w:val="Normalaftertitle"/>
        <w:rPr>
          <w:lang w:val="fr-FR"/>
        </w:rPr>
      </w:pPr>
    </w:p>
    <w:p w:rsidR="005B0868" w:rsidRPr="004B2881" w:rsidRDefault="005B0868" w:rsidP="00D92958">
      <w:pPr>
        <w:rPr>
          <w:lang w:val="fr-FR"/>
        </w:rPr>
      </w:pPr>
      <w:r w:rsidRPr="004B2881">
        <w:rPr>
          <w:lang w:val="fr-FR"/>
        </w:rPr>
        <w:t xml:space="preserve">ORDONNANCE N° 97/173 du 19 mars 1997 </w:t>
      </w:r>
    </w:p>
    <w:p w:rsidR="00D92958" w:rsidRPr="004B2881" w:rsidRDefault="00D92958" w:rsidP="00D92958">
      <w:pPr>
        <w:rPr>
          <w:lang w:val="fr-FR"/>
        </w:rPr>
      </w:pPr>
    </w:p>
    <w:p w:rsidR="005B0868" w:rsidRPr="004B2881" w:rsidRDefault="005B0868" w:rsidP="009D36C9">
      <w:pPr>
        <w:rPr>
          <w:lang w:val="fr-FR"/>
        </w:rPr>
      </w:pPr>
      <w:r w:rsidRPr="004B2881">
        <w:rPr>
          <w:lang w:val="fr-FR"/>
        </w:rPr>
        <w:t xml:space="preserve">Relative aux </w:t>
      </w:r>
      <w:r w:rsidR="009D36C9" w:rsidRPr="004B2881">
        <w:rPr>
          <w:lang w:val="fr-FR"/>
        </w:rPr>
        <w:t>d</w:t>
      </w:r>
      <w:r w:rsidRPr="004B2881">
        <w:rPr>
          <w:lang w:val="fr-FR"/>
        </w:rPr>
        <w:t xml:space="preserve">roits, </w:t>
      </w:r>
      <w:r w:rsidR="009D36C9" w:rsidRPr="004B2881">
        <w:rPr>
          <w:lang w:val="fr-FR"/>
        </w:rPr>
        <w:t>t</w:t>
      </w:r>
      <w:r w:rsidRPr="004B2881">
        <w:rPr>
          <w:lang w:val="fr-FR"/>
        </w:rPr>
        <w:t xml:space="preserve">axe et </w:t>
      </w:r>
      <w:r w:rsidR="009D36C9" w:rsidRPr="004B2881">
        <w:rPr>
          <w:lang w:val="fr-FR"/>
        </w:rPr>
        <w:t>r</w:t>
      </w:r>
      <w:r w:rsidRPr="004B2881">
        <w:rPr>
          <w:lang w:val="fr-FR"/>
        </w:rPr>
        <w:t xml:space="preserve">edevances </w:t>
      </w:r>
      <w:r w:rsidR="009D36C9" w:rsidRPr="004B2881">
        <w:rPr>
          <w:lang w:val="fr-FR"/>
        </w:rPr>
        <w:t>s</w:t>
      </w:r>
      <w:r w:rsidRPr="004B2881">
        <w:rPr>
          <w:lang w:val="fr-FR"/>
        </w:rPr>
        <w:t xml:space="preserve">ur les </w:t>
      </w:r>
      <w:r w:rsidR="009D36C9" w:rsidRPr="004B2881">
        <w:rPr>
          <w:lang w:val="fr-FR"/>
        </w:rPr>
        <w:t>r</w:t>
      </w:r>
      <w:r w:rsidRPr="004B2881">
        <w:rPr>
          <w:lang w:val="fr-FR"/>
        </w:rPr>
        <w:t xml:space="preserve">adiocommunications </w:t>
      </w:r>
    </w:p>
    <w:p w:rsidR="005B0868" w:rsidRPr="004B2881" w:rsidRDefault="005B0868" w:rsidP="00D92958">
      <w:pPr>
        <w:rPr>
          <w:lang w:val="fr-FR"/>
        </w:rPr>
      </w:pPr>
    </w:p>
    <w:p w:rsidR="005B0868" w:rsidRPr="004B2881" w:rsidRDefault="005B0868" w:rsidP="005B0868">
      <w:pPr>
        <w:pStyle w:val="CM10"/>
        <w:spacing w:after="300" w:line="303" w:lineRule="atLeast"/>
        <w:jc w:val="both"/>
        <w:rPr>
          <w:rFonts w:asciiTheme="majorBidi" w:hAnsiTheme="majorBidi" w:cstheme="majorBidi"/>
          <w:color w:val="000000"/>
          <w:lang w:val="fr-FR"/>
        </w:rPr>
      </w:pPr>
      <w:r w:rsidRPr="004B2881">
        <w:rPr>
          <w:rFonts w:asciiTheme="majorBidi" w:hAnsiTheme="majorBidi" w:cstheme="majorBidi"/>
          <w:b/>
          <w:bCs/>
          <w:color w:val="000000"/>
          <w:lang w:val="fr-FR"/>
        </w:rPr>
        <w:t xml:space="preserve">LE PRESIDENT DE LA REPUBLIQUE </w:t>
      </w:r>
    </w:p>
    <w:p w:rsidR="005B0868" w:rsidRPr="004B2881" w:rsidRDefault="005B0868" w:rsidP="009D36C9">
      <w:pPr>
        <w:rPr>
          <w:lang w:val="fr-FR"/>
        </w:rPr>
      </w:pPr>
      <w:r w:rsidRPr="004B2881">
        <w:rPr>
          <w:lang w:val="fr-FR"/>
        </w:rPr>
        <w:t xml:space="preserve">Sur rapport conjoint du Ministre de </w:t>
      </w:r>
      <w:r w:rsidR="009D36C9" w:rsidRPr="004B2881">
        <w:rPr>
          <w:lang w:val="fr-FR"/>
        </w:rPr>
        <w:t>l</w:t>
      </w:r>
      <w:r w:rsidRPr="004B2881">
        <w:rPr>
          <w:lang w:val="fr-FR"/>
        </w:rPr>
        <w:t>’</w:t>
      </w:r>
      <w:r w:rsidR="009D36C9" w:rsidRPr="004B2881">
        <w:rPr>
          <w:lang w:val="fr-FR"/>
        </w:rPr>
        <w:t>é</w:t>
      </w:r>
      <w:r w:rsidRPr="004B2881">
        <w:rPr>
          <w:lang w:val="fr-FR"/>
        </w:rPr>
        <w:t xml:space="preserve">conomie et des </w:t>
      </w:r>
      <w:r w:rsidR="009D36C9" w:rsidRPr="004B2881">
        <w:rPr>
          <w:lang w:val="fr-FR"/>
        </w:rPr>
        <w:t>f</w:t>
      </w:r>
      <w:r w:rsidRPr="004B2881">
        <w:rPr>
          <w:lang w:val="fr-FR"/>
        </w:rPr>
        <w:t xml:space="preserve">inances et du </w:t>
      </w:r>
      <w:r w:rsidR="00AC2B33" w:rsidRPr="004B2881">
        <w:rPr>
          <w:lang w:val="fr-FR"/>
        </w:rPr>
        <w:t>M</w:t>
      </w:r>
      <w:r w:rsidRPr="004B2881">
        <w:rPr>
          <w:lang w:val="fr-FR"/>
        </w:rPr>
        <w:t xml:space="preserve">inistre des </w:t>
      </w:r>
      <w:r w:rsidR="009D36C9" w:rsidRPr="004B2881">
        <w:rPr>
          <w:lang w:val="fr-FR"/>
        </w:rPr>
        <w:t>i</w:t>
      </w:r>
      <w:r w:rsidRPr="004B2881">
        <w:rPr>
          <w:lang w:val="fr-FR"/>
        </w:rPr>
        <w:t xml:space="preserve">nfrastructures </w:t>
      </w:r>
      <w:r w:rsidR="009D36C9" w:rsidRPr="004B2881">
        <w:rPr>
          <w:lang w:val="fr-FR"/>
        </w:rPr>
        <w:t>é</w:t>
      </w:r>
      <w:r w:rsidRPr="004B2881">
        <w:rPr>
          <w:lang w:val="fr-FR"/>
        </w:rPr>
        <w:t xml:space="preserve">conomiques; </w:t>
      </w:r>
    </w:p>
    <w:p w:rsidR="005B0868" w:rsidRPr="004B2881" w:rsidRDefault="00A16BD9" w:rsidP="00A16BD9">
      <w:pPr>
        <w:rPr>
          <w:lang w:val="fr-FR"/>
        </w:rPr>
      </w:pPr>
      <w:r w:rsidRPr="004B2881">
        <w:rPr>
          <w:lang w:val="fr-FR"/>
        </w:rPr>
        <w:t>Vu la constitution;</w:t>
      </w:r>
    </w:p>
    <w:p w:rsidR="005B0868" w:rsidRPr="004B2881" w:rsidRDefault="005B0868" w:rsidP="00A16BD9">
      <w:pPr>
        <w:rPr>
          <w:lang w:val="fr-FR"/>
        </w:rPr>
      </w:pPr>
      <w:r w:rsidRPr="004B2881">
        <w:rPr>
          <w:lang w:val="fr-FR"/>
        </w:rPr>
        <w:t xml:space="preserve">Vu la loi n° 95-526 du7 juillet 1995 portant Code des </w:t>
      </w:r>
      <w:r w:rsidR="00A16BD9" w:rsidRPr="004B2881">
        <w:rPr>
          <w:lang w:val="fr-FR"/>
        </w:rPr>
        <w:t>t</w:t>
      </w:r>
      <w:r w:rsidRPr="004B2881">
        <w:rPr>
          <w:lang w:val="fr-FR"/>
        </w:rPr>
        <w:t>élécommunications</w:t>
      </w:r>
      <w:r w:rsidR="00A16BD9" w:rsidRPr="004B2881">
        <w:rPr>
          <w:lang w:val="fr-FR"/>
        </w:rPr>
        <w:t>;</w:t>
      </w:r>
      <w:r w:rsidRPr="004B2881">
        <w:rPr>
          <w:lang w:val="fr-FR"/>
        </w:rPr>
        <w:t xml:space="preserve"> </w:t>
      </w:r>
    </w:p>
    <w:p w:rsidR="005B0868" w:rsidRPr="004B2881" w:rsidRDefault="00AC2B33" w:rsidP="00FF3F72">
      <w:pPr>
        <w:rPr>
          <w:lang w:val="fr-FR"/>
        </w:rPr>
      </w:pPr>
      <w:r w:rsidRPr="004B2881">
        <w:rPr>
          <w:lang w:val="fr-FR"/>
        </w:rPr>
        <w:t>Vu le Décret n° 85-1089 du 16 o</w:t>
      </w:r>
      <w:r w:rsidR="005B0868" w:rsidRPr="004B2881">
        <w:rPr>
          <w:lang w:val="fr-FR"/>
        </w:rPr>
        <w:t xml:space="preserve">ctobre 1985 portant réglementation de la Radioélectricité </w:t>
      </w:r>
      <w:r w:rsidR="00FF3F72" w:rsidRPr="004B2881">
        <w:rPr>
          <w:lang w:val="fr-FR"/>
        </w:rPr>
        <w:t>p</w:t>
      </w:r>
      <w:r w:rsidR="005B0868" w:rsidRPr="004B2881">
        <w:rPr>
          <w:lang w:val="fr-FR"/>
        </w:rPr>
        <w:t>rivée en C</w:t>
      </w:r>
      <w:r w:rsidR="00FF3F72" w:rsidRPr="004B2881">
        <w:rPr>
          <w:lang w:val="fr-FR"/>
        </w:rPr>
        <w:t>ôte d’Ivoire</w:t>
      </w:r>
      <w:r w:rsidR="005B0868" w:rsidRPr="004B2881">
        <w:rPr>
          <w:lang w:val="fr-FR"/>
        </w:rPr>
        <w:t xml:space="preserve">; </w:t>
      </w:r>
    </w:p>
    <w:p w:rsidR="005B0868" w:rsidRPr="004B2881" w:rsidRDefault="005B0868" w:rsidP="00FF3F72">
      <w:pPr>
        <w:rPr>
          <w:lang w:val="fr-FR"/>
        </w:rPr>
      </w:pPr>
      <w:r w:rsidRPr="004B2881">
        <w:rPr>
          <w:lang w:val="fr-FR"/>
        </w:rPr>
        <w:t xml:space="preserve">Vu le Décret n° 95-554 du 19 juillet 1995 portant organisation et fonctionnement de l’Etablissement </w:t>
      </w:r>
      <w:r w:rsidR="00FF3F72" w:rsidRPr="004B2881">
        <w:rPr>
          <w:lang w:val="fr-FR"/>
        </w:rPr>
        <w:t>p</w:t>
      </w:r>
      <w:r w:rsidRPr="004B2881">
        <w:rPr>
          <w:lang w:val="fr-FR"/>
        </w:rPr>
        <w:t xml:space="preserve">ublic de catégorie particulière dénommé Agence des </w:t>
      </w:r>
      <w:r w:rsidR="00FF3F72" w:rsidRPr="004B2881">
        <w:rPr>
          <w:lang w:val="fr-FR"/>
        </w:rPr>
        <w:t>t</w:t>
      </w:r>
      <w:r w:rsidRPr="004B2881">
        <w:rPr>
          <w:lang w:val="fr-FR"/>
        </w:rPr>
        <w:t xml:space="preserve">élécommunications de </w:t>
      </w:r>
      <w:r w:rsidR="00FF3F72" w:rsidRPr="004B2881">
        <w:rPr>
          <w:lang w:val="fr-FR"/>
        </w:rPr>
        <w:t>C</w:t>
      </w:r>
      <w:r w:rsidRPr="004B2881">
        <w:rPr>
          <w:lang w:val="fr-FR"/>
        </w:rPr>
        <w:t xml:space="preserve">ôte d’Ivoire; </w:t>
      </w:r>
    </w:p>
    <w:p w:rsidR="005B0868" w:rsidRPr="004B2881" w:rsidRDefault="005B0868" w:rsidP="00760EBA">
      <w:pPr>
        <w:rPr>
          <w:lang w:val="fr-FR"/>
        </w:rPr>
      </w:pPr>
      <w:r w:rsidRPr="004B2881">
        <w:rPr>
          <w:lang w:val="fr-FR"/>
        </w:rPr>
        <w:t xml:space="preserve">Vu le Décret n° 96-PR/002 du 26 janvier portant nomination des membres du </w:t>
      </w:r>
      <w:r w:rsidR="00760EBA" w:rsidRPr="004B2881">
        <w:rPr>
          <w:lang w:val="fr-FR"/>
        </w:rPr>
        <w:t>g</w:t>
      </w:r>
      <w:r w:rsidRPr="004B2881">
        <w:rPr>
          <w:lang w:val="fr-FR"/>
        </w:rPr>
        <w:t>ouvernement; tel que modifié p</w:t>
      </w:r>
      <w:r w:rsidR="00AC2B33" w:rsidRPr="004B2881">
        <w:rPr>
          <w:lang w:val="fr-FR"/>
        </w:rPr>
        <w:t>ar le décret n° 96-PR/10 du 10 a</w:t>
      </w:r>
      <w:r w:rsidRPr="004B2881">
        <w:rPr>
          <w:lang w:val="fr-FR"/>
        </w:rPr>
        <w:t xml:space="preserve">oût 1996; </w:t>
      </w:r>
    </w:p>
    <w:p w:rsidR="005B0868" w:rsidRPr="004B2881" w:rsidRDefault="005B0868" w:rsidP="00760EBA">
      <w:pPr>
        <w:rPr>
          <w:lang w:val="fr-FR"/>
        </w:rPr>
      </w:pPr>
      <w:r w:rsidRPr="004B2881">
        <w:rPr>
          <w:lang w:val="fr-FR"/>
        </w:rPr>
        <w:t>Vu le Décret n° 96-179 du 1</w:t>
      </w:r>
      <w:r w:rsidR="007033AC" w:rsidRPr="004B2881">
        <w:rPr>
          <w:vertAlign w:val="superscript"/>
          <w:lang w:val="fr-FR"/>
        </w:rPr>
        <w:t>er</w:t>
      </w:r>
      <w:r w:rsidR="007033AC" w:rsidRPr="004B2881">
        <w:rPr>
          <w:lang w:val="fr-FR"/>
        </w:rPr>
        <w:t xml:space="preserve"> </w:t>
      </w:r>
      <w:r w:rsidR="00760EBA" w:rsidRPr="004B2881">
        <w:rPr>
          <w:lang w:val="fr-FR"/>
        </w:rPr>
        <w:t>m</w:t>
      </w:r>
      <w:r w:rsidRPr="004B2881">
        <w:rPr>
          <w:lang w:val="fr-FR"/>
        </w:rPr>
        <w:t xml:space="preserve">ars 1996 portant attributions des membres du </w:t>
      </w:r>
      <w:r w:rsidR="00760EBA" w:rsidRPr="004B2881">
        <w:rPr>
          <w:lang w:val="fr-FR"/>
        </w:rPr>
        <w:t>g</w:t>
      </w:r>
      <w:r w:rsidRPr="004B2881">
        <w:rPr>
          <w:lang w:val="fr-FR"/>
        </w:rPr>
        <w:t xml:space="preserve">ouvernement; </w:t>
      </w:r>
    </w:p>
    <w:p w:rsidR="005B0868" w:rsidRPr="004B2881" w:rsidRDefault="005B0868" w:rsidP="00D92958">
      <w:pPr>
        <w:pStyle w:val="heading0"/>
        <w:rPr>
          <w:lang w:val="fr-FR"/>
        </w:rPr>
      </w:pPr>
      <w:r w:rsidRPr="004B2881">
        <w:rPr>
          <w:lang w:val="fr-FR"/>
        </w:rPr>
        <w:t xml:space="preserve">LE CONSEIL DES MINISTRES ENTENDU ORDONNE </w:t>
      </w:r>
    </w:p>
    <w:p w:rsidR="005B0868" w:rsidRPr="004B2881" w:rsidRDefault="005B0868" w:rsidP="00EE4F56">
      <w:pPr>
        <w:pStyle w:val="ChapNo"/>
        <w:rPr>
          <w:lang w:val="fr-FR"/>
        </w:rPr>
      </w:pPr>
      <w:bookmarkStart w:id="987" w:name="_Toc280261074"/>
      <w:r w:rsidRPr="004B2881">
        <w:rPr>
          <w:lang w:val="fr-FR"/>
        </w:rPr>
        <w:t>CHAPITRE 1</w:t>
      </w:r>
      <w:r w:rsidR="00EE4F56" w:rsidRPr="004B2881">
        <w:rPr>
          <w:lang w:val="fr-FR"/>
        </w:rPr>
        <w:br/>
      </w:r>
      <w:r w:rsidR="00EE4F56" w:rsidRPr="004B2881">
        <w:rPr>
          <w:lang w:val="fr-FR"/>
        </w:rPr>
        <w:br/>
      </w:r>
      <w:r w:rsidR="00ED376F" w:rsidRPr="004B2881">
        <w:rPr>
          <w:lang w:val="fr-FR"/>
        </w:rPr>
        <w:t>DISPOSITIONS GENERALES:</w:t>
      </w:r>
      <w:r w:rsidR="00EE4F56" w:rsidRPr="004B2881">
        <w:rPr>
          <w:lang w:val="fr-FR"/>
        </w:rPr>
        <w:br/>
      </w:r>
      <w:r w:rsidRPr="004B2881">
        <w:rPr>
          <w:lang w:val="fr-FR"/>
        </w:rPr>
        <w:t>CHAMP D’APPLICATION</w:t>
      </w:r>
      <w:bookmarkEnd w:id="987"/>
      <w:r w:rsidRPr="004B2881">
        <w:rPr>
          <w:lang w:val="fr-FR"/>
        </w:rPr>
        <w:t xml:space="preserve"> </w:t>
      </w:r>
    </w:p>
    <w:p w:rsidR="005B0868" w:rsidRPr="004B2881" w:rsidRDefault="005B0868" w:rsidP="000F10E2">
      <w:pPr>
        <w:rPr>
          <w:lang w:val="fr-FR"/>
        </w:rPr>
      </w:pPr>
      <w:r w:rsidRPr="004B2881">
        <w:rPr>
          <w:b/>
          <w:bCs/>
          <w:u w:val="single"/>
          <w:lang w:val="fr-FR"/>
        </w:rPr>
        <w:t>Article 1</w:t>
      </w:r>
      <w:r w:rsidR="009F06C9" w:rsidRPr="004B2881">
        <w:rPr>
          <w:b/>
          <w:bCs/>
          <w:u w:val="single"/>
          <w:vertAlign w:val="superscript"/>
          <w:lang w:val="fr-FR"/>
        </w:rPr>
        <w:t>er</w:t>
      </w:r>
      <w:r w:rsidRPr="004B2881">
        <w:rPr>
          <w:lang w:val="fr-FR"/>
        </w:rPr>
        <w:t>:</w:t>
      </w:r>
      <w:r w:rsidRPr="004B2881">
        <w:rPr>
          <w:b/>
          <w:bCs/>
          <w:lang w:val="fr-FR"/>
        </w:rPr>
        <w:t xml:space="preserve"> </w:t>
      </w:r>
      <w:r w:rsidRPr="004B2881">
        <w:rPr>
          <w:lang w:val="fr-FR"/>
        </w:rPr>
        <w:t xml:space="preserve">Les dispositions qui vont suivre définissent les droits, taxes, redevances et contributions perçu par l’Agence des Télécommunications de Côte d’Ivoire(ATCI) et en fixent les montants. </w:t>
      </w:r>
    </w:p>
    <w:p w:rsidR="005B0868" w:rsidRPr="004B2881" w:rsidRDefault="005B0868" w:rsidP="00E91E32">
      <w:pPr>
        <w:pStyle w:val="ChapNo"/>
        <w:rPr>
          <w:lang w:val="fr-FR"/>
        </w:rPr>
      </w:pPr>
      <w:bookmarkStart w:id="988" w:name="_Toc280261075"/>
      <w:r w:rsidRPr="004B2881">
        <w:rPr>
          <w:lang w:val="fr-FR"/>
        </w:rPr>
        <w:lastRenderedPageBreak/>
        <w:t>CHAPITRE I</w:t>
      </w:r>
      <w:r w:rsidR="00E91E32" w:rsidRPr="004B2881">
        <w:rPr>
          <w:lang w:val="fr-FR"/>
        </w:rPr>
        <w:t>I</w:t>
      </w:r>
      <w:bookmarkEnd w:id="988"/>
    </w:p>
    <w:p w:rsidR="005B0868" w:rsidRPr="004B2881" w:rsidRDefault="005B0868" w:rsidP="00E91E32">
      <w:pPr>
        <w:pStyle w:val="Chaptitle"/>
        <w:rPr>
          <w:lang w:val="fr-FR"/>
        </w:rPr>
      </w:pPr>
      <w:r w:rsidRPr="004B2881">
        <w:rPr>
          <w:lang w:val="fr-FR"/>
        </w:rPr>
        <w:t>TAXES REDEVANCES ET CONTRIBUTIONS APPLICABLE AUX RESEAUX ET STATIONS RADI</w:t>
      </w:r>
      <w:r w:rsidR="00BC7CD9" w:rsidRPr="004B2881">
        <w:rPr>
          <w:lang w:val="fr-FR"/>
        </w:rPr>
        <w:t>OÉ</w:t>
      </w:r>
      <w:r w:rsidRPr="004B2881">
        <w:rPr>
          <w:lang w:val="fr-FR"/>
        </w:rPr>
        <w:t xml:space="preserve">LECTRIQUES </w:t>
      </w:r>
    </w:p>
    <w:p w:rsidR="005B0868" w:rsidRPr="004B2881" w:rsidRDefault="00EB6A07" w:rsidP="00EB6A07">
      <w:pPr>
        <w:pStyle w:val="SectionNo"/>
        <w:rPr>
          <w:b/>
          <w:bCs/>
          <w:lang w:val="fr-FR"/>
        </w:rPr>
      </w:pPr>
      <w:bookmarkStart w:id="989" w:name="_Toc280261076"/>
      <w:r w:rsidRPr="004B2881">
        <w:rPr>
          <w:lang w:val="fr-FR"/>
        </w:rPr>
        <w:t>SECTION 1</w:t>
      </w:r>
      <w:r w:rsidRPr="004B2881">
        <w:rPr>
          <w:lang w:val="fr-FR"/>
        </w:rPr>
        <w:br/>
      </w:r>
      <w:r w:rsidRPr="004B2881">
        <w:rPr>
          <w:lang w:val="fr-FR"/>
        </w:rPr>
        <w:br/>
      </w:r>
      <w:r w:rsidRPr="004B2881">
        <w:rPr>
          <w:b/>
          <w:bCs/>
          <w:caps w:val="0"/>
          <w:lang w:val="fr-FR"/>
        </w:rPr>
        <w:t>Réseaux radioélectriques des services fixes et mobiles, réseaux et stations terriennes des services fixes par satellite et mobile par satellite</w:t>
      </w:r>
      <w:bookmarkEnd w:id="989"/>
    </w:p>
    <w:p w:rsidR="005B0868" w:rsidRPr="004B2881" w:rsidRDefault="005B0868" w:rsidP="00362A5F">
      <w:pPr>
        <w:rPr>
          <w:lang w:val="fr-FR"/>
        </w:rPr>
      </w:pPr>
      <w:r w:rsidRPr="004B2881">
        <w:rPr>
          <w:b/>
          <w:bCs/>
          <w:u w:val="single"/>
          <w:lang w:val="fr-FR"/>
        </w:rPr>
        <w:t>Art.2</w:t>
      </w:r>
      <w:r w:rsidRPr="004B2881">
        <w:rPr>
          <w:lang w:val="fr-FR"/>
        </w:rPr>
        <w:t>:</w:t>
      </w:r>
      <w:r w:rsidR="008057FF" w:rsidRPr="004B2881">
        <w:rPr>
          <w:lang w:val="fr-FR"/>
        </w:rPr>
        <w:t xml:space="preserve"> </w:t>
      </w:r>
      <w:r w:rsidRPr="004B2881">
        <w:rPr>
          <w:lang w:val="fr-FR"/>
        </w:rPr>
        <w:t>Les demandes ou les titulaires d’autorisation relatives à des réseaux radioélectriques des services fixes et mobiles de terre, ainsi qu’à des réseaux et stations terriennes des services fixes par satellite et mobiles par satellites sont assujettis au paiement des taxes, redevan</w:t>
      </w:r>
      <w:r w:rsidR="00362A5F" w:rsidRPr="004B2881">
        <w:rPr>
          <w:lang w:val="fr-FR"/>
        </w:rPr>
        <w:t>ces et contributions Ci-après:</w:t>
      </w:r>
    </w:p>
    <w:p w:rsidR="005B0868" w:rsidRPr="004B2881" w:rsidRDefault="008057FF" w:rsidP="009D13C7">
      <w:pPr>
        <w:pStyle w:val="enumlev1"/>
        <w:rPr>
          <w:lang w:val="fr-FR"/>
        </w:rPr>
      </w:pPr>
      <w:r w:rsidRPr="004B2881">
        <w:rPr>
          <w:lang w:val="fr-FR"/>
        </w:rPr>
        <w:t>–</w:t>
      </w:r>
      <w:r w:rsidRPr="004B2881">
        <w:rPr>
          <w:lang w:val="fr-FR"/>
        </w:rPr>
        <w:tab/>
      </w:r>
      <w:r w:rsidR="009D13C7" w:rsidRPr="004B2881">
        <w:rPr>
          <w:lang w:val="fr-FR"/>
        </w:rPr>
        <w:t>l</w:t>
      </w:r>
      <w:r w:rsidR="005B0868" w:rsidRPr="004B2881">
        <w:rPr>
          <w:lang w:val="fr-FR"/>
        </w:rPr>
        <w:t>a taxe de contribution de dossier</w:t>
      </w:r>
      <w:r w:rsidR="009D13C7" w:rsidRPr="004B2881">
        <w:rPr>
          <w:lang w:val="fr-FR"/>
        </w:rPr>
        <w:t>;</w:t>
      </w:r>
      <w:r w:rsidR="005B0868" w:rsidRPr="004B2881">
        <w:rPr>
          <w:lang w:val="fr-FR"/>
        </w:rPr>
        <w:t xml:space="preserve"> </w:t>
      </w:r>
    </w:p>
    <w:p w:rsidR="005B0868" w:rsidRPr="004B2881" w:rsidRDefault="008057FF" w:rsidP="009D13C7">
      <w:pPr>
        <w:pStyle w:val="enumlev1"/>
        <w:rPr>
          <w:lang w:val="fr-FR"/>
        </w:rPr>
      </w:pPr>
      <w:r w:rsidRPr="004B2881">
        <w:rPr>
          <w:lang w:val="fr-FR"/>
        </w:rPr>
        <w:t>–</w:t>
      </w:r>
      <w:r w:rsidRPr="004B2881">
        <w:rPr>
          <w:lang w:val="fr-FR"/>
        </w:rPr>
        <w:tab/>
      </w:r>
      <w:r w:rsidR="009D13C7" w:rsidRPr="004B2881">
        <w:rPr>
          <w:lang w:val="fr-FR"/>
        </w:rPr>
        <w:t>l</w:t>
      </w:r>
      <w:r w:rsidR="005B0868" w:rsidRPr="004B2881">
        <w:rPr>
          <w:lang w:val="fr-FR"/>
        </w:rPr>
        <w:t xml:space="preserve">a taxe de contrôle des stations radioélectriques; </w:t>
      </w:r>
    </w:p>
    <w:p w:rsidR="005B0868" w:rsidRPr="004B2881" w:rsidRDefault="008057FF" w:rsidP="009D13C7">
      <w:pPr>
        <w:pStyle w:val="enumlev1"/>
        <w:rPr>
          <w:lang w:val="fr-FR"/>
        </w:rPr>
      </w:pPr>
      <w:r w:rsidRPr="004B2881">
        <w:rPr>
          <w:lang w:val="fr-FR"/>
        </w:rPr>
        <w:t>–</w:t>
      </w:r>
      <w:r w:rsidRPr="004B2881">
        <w:rPr>
          <w:lang w:val="fr-FR"/>
        </w:rPr>
        <w:tab/>
      </w:r>
      <w:r w:rsidR="009D13C7" w:rsidRPr="004B2881">
        <w:rPr>
          <w:lang w:val="fr-FR"/>
        </w:rPr>
        <w:t>l</w:t>
      </w:r>
      <w:r w:rsidR="005B0868" w:rsidRPr="004B2881">
        <w:rPr>
          <w:lang w:val="fr-FR"/>
        </w:rPr>
        <w:t>a contribution par frais de gestion</w:t>
      </w:r>
      <w:r w:rsidR="009D13C7" w:rsidRPr="004B2881">
        <w:rPr>
          <w:lang w:val="fr-FR"/>
        </w:rPr>
        <w:t>;</w:t>
      </w:r>
    </w:p>
    <w:p w:rsidR="005B0868" w:rsidRPr="004B2881" w:rsidRDefault="008057FF" w:rsidP="009D13C7">
      <w:pPr>
        <w:pStyle w:val="enumlev1"/>
        <w:rPr>
          <w:lang w:val="fr-FR"/>
        </w:rPr>
      </w:pPr>
      <w:r w:rsidRPr="004B2881">
        <w:rPr>
          <w:lang w:val="fr-FR"/>
        </w:rPr>
        <w:t>–</w:t>
      </w:r>
      <w:r w:rsidRPr="004B2881">
        <w:rPr>
          <w:lang w:val="fr-FR"/>
        </w:rPr>
        <w:tab/>
      </w:r>
      <w:r w:rsidR="009D13C7" w:rsidRPr="004B2881">
        <w:rPr>
          <w:lang w:val="fr-FR"/>
        </w:rPr>
        <w:t>l</w:t>
      </w:r>
      <w:r w:rsidR="005B0868" w:rsidRPr="004B2881">
        <w:rPr>
          <w:lang w:val="fr-FR"/>
        </w:rPr>
        <w:t>a redevance due pour l’utilisation de fréquences radioélectriques</w:t>
      </w:r>
      <w:r w:rsidR="009D13C7" w:rsidRPr="004B2881">
        <w:rPr>
          <w:lang w:val="fr-FR"/>
        </w:rPr>
        <w:t>.</w:t>
      </w:r>
      <w:r w:rsidR="005B0868" w:rsidRPr="004B2881">
        <w:rPr>
          <w:lang w:val="fr-FR"/>
        </w:rPr>
        <w:t xml:space="preserve"> </w:t>
      </w:r>
    </w:p>
    <w:p w:rsidR="005B0868" w:rsidRPr="004B2881" w:rsidRDefault="003F001E" w:rsidP="00EB6A07">
      <w:pPr>
        <w:pStyle w:val="SectionNo"/>
        <w:rPr>
          <w:lang w:val="fr-FR"/>
        </w:rPr>
      </w:pPr>
      <w:bookmarkStart w:id="990" w:name="_Toc280261077"/>
      <w:r w:rsidRPr="004B2881">
        <w:rPr>
          <w:lang w:val="fr-FR"/>
        </w:rPr>
        <w:t>SECTION II</w:t>
      </w:r>
      <w:r w:rsidR="00EB6A07" w:rsidRPr="004B2881">
        <w:rPr>
          <w:lang w:val="fr-FR"/>
        </w:rPr>
        <w:br/>
      </w:r>
      <w:r w:rsidR="00EB6A07" w:rsidRPr="004B2881">
        <w:rPr>
          <w:lang w:val="fr-FR"/>
        </w:rPr>
        <w:br/>
      </w:r>
      <w:r w:rsidR="00EB6A07" w:rsidRPr="004B2881">
        <w:rPr>
          <w:b/>
          <w:bCs/>
          <w:caps w:val="0"/>
          <w:lang w:val="fr-FR"/>
        </w:rPr>
        <w:t>Stations terriennes de réception communautaire</w:t>
      </w:r>
      <w:bookmarkEnd w:id="990"/>
    </w:p>
    <w:p w:rsidR="005B0868" w:rsidRPr="004B2881" w:rsidRDefault="005B0868" w:rsidP="00362A5F">
      <w:pPr>
        <w:rPr>
          <w:lang w:val="fr-FR"/>
        </w:rPr>
      </w:pPr>
      <w:r w:rsidRPr="004B2881">
        <w:rPr>
          <w:b/>
          <w:bCs/>
          <w:u w:val="single"/>
          <w:lang w:val="fr-FR"/>
        </w:rPr>
        <w:t>Art.3</w:t>
      </w:r>
      <w:r w:rsidRPr="004B2881">
        <w:rPr>
          <w:lang w:val="fr-FR"/>
        </w:rPr>
        <w:t>: Les demandeurs ou les titulaires d’autorisations relatives à des installations de radiodiffusion pour la réception collective ou de réception aux fins de redistribution conformément à l’article 20 de la loi n°</w:t>
      </w:r>
      <w:r w:rsidR="00362A5F" w:rsidRPr="004B2881">
        <w:rPr>
          <w:lang w:val="fr-FR"/>
        </w:rPr>
        <w:t> </w:t>
      </w:r>
      <w:r w:rsidRPr="004B2881">
        <w:rPr>
          <w:lang w:val="fr-FR"/>
        </w:rPr>
        <w:t>95-526 du 07 Juillet 1995 portant Code des Télécommunications, sont soumis au paiement des taxes, redevances et contributions p</w:t>
      </w:r>
      <w:r w:rsidR="00362A5F" w:rsidRPr="004B2881">
        <w:rPr>
          <w:lang w:val="fr-FR"/>
        </w:rPr>
        <w:t>révues à l’article 2 ci-dessus.</w:t>
      </w:r>
    </w:p>
    <w:p w:rsidR="005B0868" w:rsidRPr="004B2881" w:rsidRDefault="008057FF" w:rsidP="00EB6A07">
      <w:pPr>
        <w:pStyle w:val="SectionNo"/>
        <w:rPr>
          <w:b/>
          <w:bCs/>
          <w:lang w:val="fr-FR"/>
        </w:rPr>
      </w:pPr>
      <w:bookmarkStart w:id="991" w:name="_Toc280261078"/>
      <w:r w:rsidRPr="004B2881">
        <w:rPr>
          <w:lang w:val="fr-FR"/>
        </w:rPr>
        <w:t>SECTION III</w:t>
      </w:r>
      <w:r w:rsidR="00EB6A07" w:rsidRPr="004B2881">
        <w:rPr>
          <w:lang w:val="fr-FR"/>
        </w:rPr>
        <w:br/>
      </w:r>
      <w:r w:rsidR="00EB6A07" w:rsidRPr="004B2881">
        <w:rPr>
          <w:lang w:val="fr-FR"/>
        </w:rPr>
        <w:br/>
      </w:r>
      <w:r w:rsidR="00EB6A07" w:rsidRPr="004B2881">
        <w:rPr>
          <w:b/>
          <w:bCs/>
          <w:caps w:val="0"/>
          <w:lang w:val="fr-FR"/>
        </w:rPr>
        <w:t>Station d’animateur</w:t>
      </w:r>
      <w:bookmarkEnd w:id="991"/>
    </w:p>
    <w:p w:rsidR="005B0868" w:rsidRPr="004B2881" w:rsidRDefault="005B0868" w:rsidP="00FA791D">
      <w:pPr>
        <w:rPr>
          <w:lang w:val="fr-FR"/>
        </w:rPr>
      </w:pPr>
      <w:r w:rsidRPr="004B2881">
        <w:rPr>
          <w:b/>
          <w:bCs/>
          <w:u w:val="single"/>
          <w:lang w:val="fr-FR"/>
        </w:rPr>
        <w:t>Art 4</w:t>
      </w:r>
      <w:r w:rsidRPr="004B2881">
        <w:rPr>
          <w:lang w:val="fr-FR"/>
        </w:rPr>
        <w:t xml:space="preserve">: Les demandeurs ou les titulaires d’autorisation relatives à des stations d’animateurs sont soumis au paiement des taxes ci-après: </w:t>
      </w:r>
    </w:p>
    <w:p w:rsidR="00BF0022" w:rsidRPr="004B2881" w:rsidRDefault="008057FF" w:rsidP="00A27AC0">
      <w:pPr>
        <w:pStyle w:val="enumlev1"/>
        <w:rPr>
          <w:lang w:val="fr-FR"/>
        </w:rPr>
      </w:pPr>
      <w:r w:rsidRPr="004B2881">
        <w:rPr>
          <w:lang w:val="fr-FR"/>
        </w:rPr>
        <w:t>–</w:t>
      </w:r>
      <w:r w:rsidRPr="004B2881">
        <w:rPr>
          <w:lang w:val="fr-FR"/>
        </w:rPr>
        <w:tab/>
      </w:r>
      <w:r w:rsidR="005B0868" w:rsidRPr="004B2881">
        <w:rPr>
          <w:lang w:val="fr-FR"/>
        </w:rPr>
        <w:t>la taxe de constitution des dossiers</w:t>
      </w:r>
      <w:r w:rsidR="00A27AC0" w:rsidRPr="004B2881">
        <w:rPr>
          <w:lang w:val="fr-FR"/>
        </w:rPr>
        <w:t>;</w:t>
      </w:r>
    </w:p>
    <w:p w:rsidR="005B0868" w:rsidRPr="004B2881" w:rsidRDefault="00BF0022" w:rsidP="00A27AC0">
      <w:pPr>
        <w:pStyle w:val="enumlev1"/>
        <w:rPr>
          <w:lang w:val="fr-FR"/>
        </w:rPr>
      </w:pPr>
      <w:r w:rsidRPr="004B2881">
        <w:rPr>
          <w:lang w:val="fr-FR"/>
        </w:rPr>
        <w:t>–</w:t>
      </w:r>
      <w:r w:rsidRPr="004B2881">
        <w:rPr>
          <w:lang w:val="fr-FR"/>
        </w:rPr>
        <w:tab/>
      </w:r>
      <w:r w:rsidR="005B0868" w:rsidRPr="004B2881">
        <w:rPr>
          <w:lang w:val="fr-FR"/>
        </w:rPr>
        <w:t>la taxe de visite et de contrôle des stations</w:t>
      </w:r>
      <w:r w:rsidR="00A27AC0" w:rsidRPr="004B2881">
        <w:rPr>
          <w:lang w:val="fr-FR"/>
        </w:rPr>
        <w:t>.</w:t>
      </w:r>
    </w:p>
    <w:p w:rsidR="005B0868" w:rsidRPr="004B2881" w:rsidRDefault="00362A5F" w:rsidP="00BF0022">
      <w:pPr>
        <w:pStyle w:val="SectionNo"/>
        <w:rPr>
          <w:lang w:val="fr-FR"/>
        </w:rPr>
      </w:pPr>
      <w:bookmarkStart w:id="992" w:name="_Toc280261079"/>
      <w:r w:rsidRPr="004B2881">
        <w:rPr>
          <w:lang w:val="fr-FR"/>
        </w:rPr>
        <w:t>SECTION IV</w:t>
      </w:r>
      <w:bookmarkEnd w:id="992"/>
    </w:p>
    <w:p w:rsidR="005B0868" w:rsidRPr="004B2881" w:rsidRDefault="005B0868" w:rsidP="00AB7154">
      <w:pPr>
        <w:rPr>
          <w:lang w:val="fr-FR"/>
        </w:rPr>
      </w:pPr>
      <w:r w:rsidRPr="004B2881">
        <w:rPr>
          <w:lang w:val="fr-FR"/>
        </w:rPr>
        <w:t xml:space="preserve">Utilisation radioélectrique des services de terre, ainsi que les relations terriennes des services spatiaux, temporairement utilisées, donnent lieu à la perception des taxes redevances et contribution ci-après: </w:t>
      </w:r>
    </w:p>
    <w:p w:rsidR="005B0868" w:rsidRPr="004B2881" w:rsidRDefault="00650A8B" w:rsidP="00650A8B">
      <w:pPr>
        <w:pStyle w:val="SectionNo"/>
        <w:rPr>
          <w:lang w:val="fr-FR"/>
        </w:rPr>
      </w:pPr>
      <w:bookmarkStart w:id="993" w:name="_Toc280261080"/>
      <w:r w:rsidRPr="004B2881">
        <w:rPr>
          <w:lang w:val="fr-FR"/>
        </w:rPr>
        <w:lastRenderedPageBreak/>
        <w:t>SECTION V</w:t>
      </w:r>
      <w:r w:rsidRPr="004B2881">
        <w:rPr>
          <w:lang w:val="fr-FR"/>
        </w:rPr>
        <w:br/>
      </w:r>
      <w:r w:rsidRPr="004B2881">
        <w:rPr>
          <w:lang w:val="fr-FR"/>
        </w:rPr>
        <w:br/>
      </w:r>
      <w:r w:rsidRPr="004B2881">
        <w:rPr>
          <w:b/>
          <w:bCs/>
          <w:caps w:val="0"/>
          <w:lang w:val="fr-FR"/>
        </w:rPr>
        <w:t>Emetteur-récepteur de faible puissance ou postes «CB»</w:t>
      </w:r>
      <w:bookmarkEnd w:id="993"/>
    </w:p>
    <w:p w:rsidR="005B0868" w:rsidRPr="004B2881" w:rsidRDefault="005B0868" w:rsidP="003F001E">
      <w:pPr>
        <w:rPr>
          <w:lang w:val="fr-FR"/>
        </w:rPr>
      </w:pPr>
      <w:r w:rsidRPr="004B2881">
        <w:rPr>
          <w:b/>
          <w:bCs/>
          <w:u w:val="single"/>
          <w:lang w:val="fr-FR"/>
        </w:rPr>
        <w:t>Art. 6</w:t>
      </w:r>
      <w:r w:rsidRPr="004B2881">
        <w:rPr>
          <w:lang w:val="fr-FR"/>
        </w:rPr>
        <w:t xml:space="preserve">: L’utilisation de poste émetteur-récepteur fonctionnant sur les canaux banalisés, dits postes CH, est soumise au paiement d’une redevance forfaitaire, non remboursable au moment de la délivrance de l’autorisation. </w:t>
      </w:r>
    </w:p>
    <w:p w:rsidR="005B0868" w:rsidRPr="004B2881" w:rsidRDefault="005B0868" w:rsidP="0096072F">
      <w:pPr>
        <w:rPr>
          <w:lang w:val="fr-FR"/>
        </w:rPr>
      </w:pPr>
      <w:r w:rsidRPr="004B2881">
        <w:rPr>
          <w:lang w:val="fr-FR"/>
        </w:rPr>
        <w:t xml:space="preserve">Ne sont pas assujettis à cette redevance, les postes CH ayant au maximum 40 canaux fonctionnant exclusivement en modulation angulaire avec une puissance en crête de modulation de 4 watts maxima. </w:t>
      </w:r>
    </w:p>
    <w:p w:rsidR="005B0868" w:rsidRPr="004B2881" w:rsidRDefault="005B0868" w:rsidP="00650A8B">
      <w:pPr>
        <w:pStyle w:val="SectionNo"/>
        <w:rPr>
          <w:b/>
          <w:bCs/>
          <w:lang w:val="fr-FR"/>
        </w:rPr>
      </w:pPr>
      <w:bookmarkStart w:id="994" w:name="_Toc280261081"/>
      <w:r w:rsidRPr="004B2881">
        <w:rPr>
          <w:lang w:val="fr-FR"/>
        </w:rPr>
        <w:t>SECTION VI</w:t>
      </w:r>
      <w:r w:rsidR="00650A8B" w:rsidRPr="004B2881">
        <w:rPr>
          <w:lang w:val="fr-FR"/>
        </w:rPr>
        <w:br/>
      </w:r>
      <w:r w:rsidR="00650A8B" w:rsidRPr="004B2881">
        <w:rPr>
          <w:lang w:val="fr-FR"/>
        </w:rPr>
        <w:br/>
      </w:r>
      <w:r w:rsidR="00650A8B" w:rsidRPr="004B2881">
        <w:rPr>
          <w:b/>
          <w:bCs/>
          <w:caps w:val="0"/>
          <w:lang w:val="fr-FR"/>
        </w:rPr>
        <w:t>Installation de radiocommunications de modèles réduits</w:t>
      </w:r>
      <w:bookmarkEnd w:id="994"/>
    </w:p>
    <w:p w:rsidR="005B0868" w:rsidRPr="004B2881" w:rsidRDefault="005B0868" w:rsidP="003F001E">
      <w:pPr>
        <w:rPr>
          <w:lang w:val="fr-FR"/>
        </w:rPr>
      </w:pPr>
      <w:r w:rsidRPr="004B2881">
        <w:rPr>
          <w:b/>
          <w:bCs/>
          <w:u w:val="single"/>
          <w:lang w:val="fr-FR"/>
        </w:rPr>
        <w:t>Art. 7</w:t>
      </w:r>
      <w:r w:rsidRPr="004B2881">
        <w:rPr>
          <w:lang w:val="fr-FR"/>
        </w:rPr>
        <w:t>: L’utilisation de postes émetteurs de modèles réduits et d’une puissance n’excédant pas cinq (5) watts, destinés à la radiocommande, à l’exception de deux autorisés de plein droit, est soumise au paiement d’un</w:t>
      </w:r>
      <w:r w:rsidR="0096072F" w:rsidRPr="004B2881">
        <w:rPr>
          <w:lang w:val="fr-FR"/>
        </w:rPr>
        <w:t>e redevance et non remboursable.</w:t>
      </w:r>
    </w:p>
    <w:p w:rsidR="005B0868" w:rsidRPr="004B2881" w:rsidRDefault="005B0868" w:rsidP="0096072F">
      <w:pPr>
        <w:pStyle w:val="SectionNo"/>
        <w:rPr>
          <w:lang w:val="fr-FR"/>
        </w:rPr>
      </w:pPr>
      <w:bookmarkStart w:id="995" w:name="_Toc280261082"/>
      <w:r w:rsidRPr="004B2881">
        <w:rPr>
          <w:lang w:val="fr-FR"/>
        </w:rPr>
        <w:t>SECTION VII</w:t>
      </w:r>
      <w:r w:rsidR="00650A8B" w:rsidRPr="004B2881">
        <w:rPr>
          <w:lang w:val="fr-FR"/>
        </w:rPr>
        <w:br/>
      </w:r>
      <w:r w:rsidR="00650A8B" w:rsidRPr="004B2881">
        <w:rPr>
          <w:lang w:val="fr-FR"/>
        </w:rPr>
        <w:br/>
      </w:r>
      <w:r w:rsidR="00650A8B" w:rsidRPr="004B2881">
        <w:rPr>
          <w:rFonts w:asciiTheme="majorBidi" w:hAnsiTheme="majorBidi" w:cstheme="majorBidi"/>
          <w:b/>
          <w:bCs/>
          <w:caps w:val="0"/>
          <w:lang w:val="fr-FR"/>
        </w:rPr>
        <w:t xml:space="preserve">Taux et modalités de paiement des droits, taxes et </w:t>
      </w:r>
      <w:r w:rsidR="0096072F" w:rsidRPr="004B2881">
        <w:rPr>
          <w:rFonts w:asciiTheme="majorBidi" w:hAnsiTheme="majorBidi" w:cstheme="majorBidi"/>
          <w:b/>
          <w:bCs/>
          <w:caps w:val="0"/>
          <w:lang w:val="fr-FR"/>
        </w:rPr>
        <w:t>r</w:t>
      </w:r>
      <w:r w:rsidR="00650A8B" w:rsidRPr="004B2881">
        <w:rPr>
          <w:rFonts w:asciiTheme="majorBidi" w:hAnsiTheme="majorBidi" w:cstheme="majorBidi"/>
          <w:b/>
          <w:bCs/>
          <w:caps w:val="0"/>
          <w:lang w:val="fr-FR"/>
        </w:rPr>
        <w:t>edevances radioélectriques</w:t>
      </w:r>
      <w:bookmarkEnd w:id="995"/>
    </w:p>
    <w:p w:rsidR="005B0868" w:rsidRPr="004B2881" w:rsidRDefault="005B0868" w:rsidP="0096072F">
      <w:pPr>
        <w:rPr>
          <w:lang w:val="fr-FR"/>
        </w:rPr>
      </w:pPr>
      <w:r w:rsidRPr="004B2881">
        <w:rPr>
          <w:b/>
          <w:bCs/>
          <w:u w:val="single"/>
          <w:lang w:val="fr-FR"/>
        </w:rPr>
        <w:t>Art. 8</w:t>
      </w:r>
      <w:r w:rsidRPr="004B2881">
        <w:rPr>
          <w:lang w:val="fr-FR"/>
        </w:rPr>
        <w:t xml:space="preserve">: Les modalités de paiement des droits, taxes, redevances et contributions fixés dans les sections I à IV ci-dessus, sont les suivantes: </w:t>
      </w:r>
    </w:p>
    <w:p w:rsidR="005B0868" w:rsidRPr="004B2881" w:rsidRDefault="003F001E" w:rsidP="0096072F">
      <w:pPr>
        <w:pStyle w:val="enumlev1"/>
        <w:rPr>
          <w:lang w:val="fr-FR"/>
        </w:rPr>
      </w:pPr>
      <w:r w:rsidRPr="004B2881">
        <w:rPr>
          <w:lang w:val="fr-FR"/>
        </w:rPr>
        <w:t>–</w:t>
      </w:r>
      <w:r w:rsidRPr="004B2881">
        <w:rPr>
          <w:lang w:val="fr-FR"/>
        </w:rPr>
        <w:tab/>
      </w:r>
      <w:r w:rsidR="005B0868" w:rsidRPr="004B2881">
        <w:rPr>
          <w:lang w:val="fr-FR"/>
        </w:rPr>
        <w:t xml:space="preserve">la taxe de constitution de dossier, forfaitaire et non remboursable est due avant </w:t>
      </w:r>
      <w:r w:rsidR="0096072F" w:rsidRPr="004B2881">
        <w:rPr>
          <w:lang w:val="fr-FR"/>
        </w:rPr>
        <w:t>la délivrance de l’autorisation;</w:t>
      </w:r>
    </w:p>
    <w:p w:rsidR="005B0868" w:rsidRPr="004B2881" w:rsidRDefault="003F001E" w:rsidP="0096072F">
      <w:pPr>
        <w:pStyle w:val="enumlev1"/>
        <w:rPr>
          <w:lang w:val="fr-FR"/>
        </w:rPr>
      </w:pPr>
      <w:r w:rsidRPr="004B2881">
        <w:rPr>
          <w:lang w:val="fr-FR"/>
        </w:rPr>
        <w:t>–</w:t>
      </w:r>
      <w:r w:rsidRPr="004B2881">
        <w:rPr>
          <w:lang w:val="fr-FR"/>
        </w:rPr>
        <w:tab/>
      </w:r>
      <w:r w:rsidR="005B0868" w:rsidRPr="004B2881">
        <w:rPr>
          <w:lang w:val="fr-FR"/>
        </w:rPr>
        <w:t>la taxe de contrôle des stations et la contribution pour frais de gestion, perçues d’avance, sont dues pour l’année en cours et ne sont pas remboursables</w:t>
      </w:r>
      <w:r w:rsidR="0096072F" w:rsidRPr="004B2881">
        <w:rPr>
          <w:lang w:val="fr-FR"/>
        </w:rPr>
        <w:t>;</w:t>
      </w:r>
    </w:p>
    <w:p w:rsidR="005B0868" w:rsidRPr="004B2881" w:rsidRDefault="003F001E" w:rsidP="00DE57F3">
      <w:pPr>
        <w:pStyle w:val="enumlev1"/>
        <w:rPr>
          <w:lang w:val="fr-FR"/>
        </w:rPr>
      </w:pPr>
      <w:r w:rsidRPr="004B2881">
        <w:rPr>
          <w:lang w:val="fr-FR"/>
        </w:rPr>
        <w:t>–</w:t>
      </w:r>
      <w:r w:rsidRPr="004B2881">
        <w:rPr>
          <w:lang w:val="fr-FR"/>
        </w:rPr>
        <w:tab/>
      </w:r>
      <w:r w:rsidR="00DE57F3" w:rsidRPr="004B2881">
        <w:rPr>
          <w:lang w:val="fr-FR"/>
        </w:rPr>
        <w:t>l</w:t>
      </w:r>
      <w:r w:rsidR="005B0868" w:rsidRPr="004B2881">
        <w:rPr>
          <w:lang w:val="fr-FR"/>
        </w:rPr>
        <w:t>a redevance due pour l’utilisation de fréquence radioélectrique est annuelle ; la première année à partir de la date de mise en service des stations, et les années suivantes à partir du 1</w:t>
      </w:r>
      <w:r w:rsidRPr="004B2881">
        <w:rPr>
          <w:vertAlign w:val="superscript"/>
          <w:lang w:val="fr-FR"/>
        </w:rPr>
        <w:t>er</w:t>
      </w:r>
      <w:r w:rsidR="005B0868" w:rsidRPr="004B2881">
        <w:rPr>
          <w:position w:val="12"/>
          <w:vertAlign w:val="superscript"/>
          <w:lang w:val="fr-FR"/>
        </w:rPr>
        <w:t xml:space="preserve"> </w:t>
      </w:r>
      <w:r w:rsidR="005B0868" w:rsidRPr="004B2881">
        <w:rPr>
          <w:lang w:val="fr-FR"/>
        </w:rPr>
        <w:t>janvier</w:t>
      </w:r>
      <w:r w:rsidR="00BC7F11" w:rsidRPr="004B2881">
        <w:rPr>
          <w:lang w:val="fr-FR"/>
        </w:rPr>
        <w:t>.</w:t>
      </w:r>
    </w:p>
    <w:p w:rsidR="005B0868" w:rsidRPr="004B2881" w:rsidRDefault="005B0868" w:rsidP="003F001E">
      <w:pPr>
        <w:rPr>
          <w:lang w:val="fr-FR"/>
        </w:rPr>
      </w:pPr>
      <w:r w:rsidRPr="004B2881">
        <w:rPr>
          <w:b/>
          <w:bCs/>
          <w:u w:val="single"/>
          <w:lang w:val="fr-FR"/>
        </w:rPr>
        <w:t>Art. 9</w:t>
      </w:r>
      <w:r w:rsidRPr="004B2881">
        <w:rPr>
          <w:lang w:val="fr-FR"/>
        </w:rPr>
        <w:t xml:space="preserve">: Le paiement des taxes et redevances est constaté par la délivrance de vignettes obligatoirement apposés sur les appareils, les véhicules et les navires de plaisance dans le cas des stations mobiles. </w:t>
      </w:r>
    </w:p>
    <w:p w:rsidR="005B0868" w:rsidRPr="004B2881" w:rsidRDefault="005B0868" w:rsidP="00427FE4">
      <w:pPr>
        <w:pStyle w:val="ChapNo"/>
        <w:rPr>
          <w:lang w:val="fr-FR"/>
        </w:rPr>
      </w:pPr>
      <w:bookmarkStart w:id="996" w:name="_Toc280261083"/>
      <w:r w:rsidRPr="004B2881">
        <w:rPr>
          <w:lang w:val="fr-FR"/>
        </w:rPr>
        <w:t>CHAPITRE III</w:t>
      </w:r>
      <w:r w:rsidR="00427FE4" w:rsidRPr="004B2881">
        <w:rPr>
          <w:lang w:val="fr-FR"/>
        </w:rPr>
        <w:br/>
      </w:r>
      <w:r w:rsidR="00427FE4" w:rsidRPr="004B2881">
        <w:rPr>
          <w:lang w:val="fr-FR"/>
        </w:rPr>
        <w:br/>
      </w:r>
      <w:r w:rsidRPr="004B2881">
        <w:rPr>
          <w:lang w:val="fr-FR"/>
        </w:rPr>
        <w:t>DROITS ET TAXES DIVERS</w:t>
      </w:r>
      <w:bookmarkEnd w:id="996"/>
      <w:r w:rsidRPr="004B2881">
        <w:rPr>
          <w:lang w:val="fr-FR"/>
        </w:rPr>
        <w:t xml:space="preserve"> </w:t>
      </w:r>
    </w:p>
    <w:p w:rsidR="005B0868" w:rsidRPr="004B2881" w:rsidRDefault="005B0868" w:rsidP="007260D4">
      <w:pPr>
        <w:pStyle w:val="SectionNo"/>
        <w:rPr>
          <w:rFonts w:asciiTheme="majorBidi" w:hAnsiTheme="majorBidi" w:cstheme="majorBidi"/>
          <w:lang w:val="fr-FR"/>
        </w:rPr>
      </w:pPr>
      <w:bookmarkStart w:id="997" w:name="_Toc280261084"/>
      <w:r w:rsidRPr="004B2881">
        <w:rPr>
          <w:lang w:val="fr-FR"/>
        </w:rPr>
        <w:t>SECTION I</w:t>
      </w:r>
      <w:r w:rsidR="00650A8B" w:rsidRPr="004B2881">
        <w:rPr>
          <w:lang w:val="fr-FR"/>
        </w:rPr>
        <w:br/>
      </w:r>
      <w:r w:rsidR="00650A8B" w:rsidRPr="004B2881">
        <w:rPr>
          <w:lang w:val="fr-FR"/>
        </w:rPr>
        <w:br/>
      </w:r>
      <w:r w:rsidR="00650A8B" w:rsidRPr="004B2881">
        <w:rPr>
          <w:b/>
          <w:bCs/>
          <w:caps w:val="0"/>
          <w:lang w:val="fr-FR"/>
        </w:rPr>
        <w:t>Droits d’examen</w:t>
      </w:r>
      <w:bookmarkEnd w:id="997"/>
    </w:p>
    <w:p w:rsidR="005B0868" w:rsidRPr="004B2881" w:rsidRDefault="005B0868" w:rsidP="004A3000">
      <w:pPr>
        <w:rPr>
          <w:lang w:val="fr-FR"/>
        </w:rPr>
      </w:pPr>
      <w:r w:rsidRPr="004B2881">
        <w:rPr>
          <w:b/>
          <w:bCs/>
          <w:u w:val="single"/>
          <w:lang w:val="fr-FR"/>
        </w:rPr>
        <w:t>Art. 10</w:t>
      </w:r>
      <w:r w:rsidRPr="004B2881">
        <w:rPr>
          <w:lang w:val="fr-FR"/>
        </w:rPr>
        <w:t xml:space="preserve">: Pour l’obtention du certificat d’opérateur radiotélégraphiste, du certificat d’opérateur radiotéléphonique ou du certificat comportant la double mention, des droits d’examen sont perçus avant le début des épreuves. Des droits de même montant sont dus pour la délivrance du ou desdits certificats aux titulaires d’une attestation militaire de capacité d’opérateur. </w:t>
      </w:r>
    </w:p>
    <w:p w:rsidR="005B0868" w:rsidRPr="004B2881" w:rsidRDefault="005B0868" w:rsidP="007B46AC">
      <w:pPr>
        <w:rPr>
          <w:lang w:val="fr-FR"/>
        </w:rPr>
      </w:pPr>
      <w:r w:rsidRPr="004B2881">
        <w:rPr>
          <w:b/>
          <w:bCs/>
          <w:u w:val="single"/>
          <w:lang w:val="fr-FR"/>
        </w:rPr>
        <w:lastRenderedPageBreak/>
        <w:t>Art. 11</w:t>
      </w:r>
      <w:r w:rsidRPr="004B2881">
        <w:rPr>
          <w:lang w:val="fr-FR"/>
        </w:rPr>
        <w:t xml:space="preserve">: Lors de délivrance, du renouvellement ou de l’établissement d’un duplicata de licence de station d’amateur, d’aéronef ou de navire, et d’un certificat d’opérateur, il est perçu un droit forfaitaire et non remboursable. </w:t>
      </w:r>
    </w:p>
    <w:p w:rsidR="005B0868" w:rsidRPr="004B2881" w:rsidRDefault="007260D4" w:rsidP="007260D4">
      <w:pPr>
        <w:pStyle w:val="SectionNo"/>
        <w:rPr>
          <w:b/>
          <w:bCs/>
          <w:lang w:val="fr-FR"/>
        </w:rPr>
      </w:pPr>
      <w:bookmarkStart w:id="998" w:name="_Toc280261085"/>
      <w:r w:rsidRPr="004B2881">
        <w:rPr>
          <w:lang w:val="fr-FR"/>
        </w:rPr>
        <w:t>SECTION II</w:t>
      </w:r>
      <w:r w:rsidRPr="004B2881">
        <w:rPr>
          <w:lang w:val="fr-FR"/>
        </w:rPr>
        <w:br/>
      </w:r>
      <w:r w:rsidRPr="004B2881">
        <w:rPr>
          <w:lang w:val="fr-FR"/>
        </w:rPr>
        <w:br/>
      </w:r>
      <w:r w:rsidRPr="004B2881">
        <w:rPr>
          <w:b/>
          <w:bCs/>
          <w:caps w:val="0"/>
          <w:lang w:val="fr-FR"/>
        </w:rPr>
        <w:t>Taxe d’intervention</w:t>
      </w:r>
      <w:bookmarkEnd w:id="998"/>
      <w:r w:rsidRPr="004B2881">
        <w:rPr>
          <w:b/>
          <w:bCs/>
          <w:caps w:val="0"/>
          <w:lang w:val="fr-FR"/>
        </w:rPr>
        <w:t xml:space="preserve"> </w:t>
      </w:r>
    </w:p>
    <w:p w:rsidR="005B0868" w:rsidRPr="004B2881" w:rsidRDefault="003B7A9A" w:rsidP="003B7A9A">
      <w:pPr>
        <w:rPr>
          <w:lang w:val="fr-FR"/>
        </w:rPr>
      </w:pPr>
      <w:r w:rsidRPr="004B2881">
        <w:rPr>
          <w:b/>
          <w:bCs/>
          <w:u w:val="single"/>
          <w:lang w:val="fr-FR"/>
        </w:rPr>
        <w:t>Art. 12</w:t>
      </w:r>
      <w:r w:rsidR="005B0868" w:rsidRPr="004B2881">
        <w:rPr>
          <w:lang w:val="fr-FR"/>
        </w:rPr>
        <w:t xml:space="preserve">: Les frais exceptionnels occasionnés par le brouillage d’une fréquence radioélectrique régulièrement utilisée ou par la non-conformité des installations visées au chapitre II ci-dessus donnent lieu au paiement d’une contribution forfaitaire par intervention. Cette contribution est due par le propriétaire de la station brouille use ou des installations non conformes. </w:t>
      </w:r>
    </w:p>
    <w:p w:rsidR="005B0868" w:rsidRPr="004B2881" w:rsidRDefault="005B0868" w:rsidP="007260D4">
      <w:pPr>
        <w:pStyle w:val="SectionNo"/>
        <w:rPr>
          <w:b/>
          <w:bCs/>
          <w:lang w:val="fr-FR"/>
        </w:rPr>
      </w:pPr>
      <w:bookmarkStart w:id="999" w:name="_Toc280261086"/>
      <w:r w:rsidRPr="004B2881">
        <w:rPr>
          <w:lang w:val="fr-FR"/>
        </w:rPr>
        <w:t xml:space="preserve">SECTION III </w:t>
      </w:r>
      <w:r w:rsidR="007260D4" w:rsidRPr="004B2881">
        <w:rPr>
          <w:lang w:val="fr-FR"/>
        </w:rPr>
        <w:br/>
      </w:r>
      <w:r w:rsidR="007260D4" w:rsidRPr="004B2881">
        <w:rPr>
          <w:lang w:val="fr-FR"/>
        </w:rPr>
        <w:br/>
      </w:r>
      <w:r w:rsidR="007260D4" w:rsidRPr="004B2881">
        <w:rPr>
          <w:b/>
          <w:bCs/>
          <w:caps w:val="0"/>
          <w:lang w:val="fr-FR"/>
        </w:rPr>
        <w:t>Taxe d’agrément</w:t>
      </w:r>
      <w:bookmarkEnd w:id="999"/>
      <w:r w:rsidR="007260D4" w:rsidRPr="004B2881">
        <w:rPr>
          <w:b/>
          <w:bCs/>
          <w:caps w:val="0"/>
          <w:lang w:val="fr-FR"/>
        </w:rPr>
        <w:t xml:space="preserve"> </w:t>
      </w:r>
    </w:p>
    <w:p w:rsidR="005B0868" w:rsidRPr="004B2881" w:rsidRDefault="005B0868" w:rsidP="005416B7">
      <w:pPr>
        <w:rPr>
          <w:lang w:val="fr-FR"/>
        </w:rPr>
      </w:pPr>
      <w:r w:rsidRPr="004B2881">
        <w:rPr>
          <w:b/>
          <w:bCs/>
          <w:u w:val="single"/>
          <w:lang w:val="fr-FR"/>
        </w:rPr>
        <w:t>Art. 13</w:t>
      </w:r>
      <w:r w:rsidRPr="004B2881">
        <w:rPr>
          <w:lang w:val="fr-FR"/>
        </w:rPr>
        <w:t>: L’agrément des équipements terminaux et l’admission des installateurs en radiocommunications donnent li</w:t>
      </w:r>
      <w:r w:rsidR="004B2881">
        <w:rPr>
          <w:lang w:val="fr-FR"/>
        </w:rPr>
        <w:t>eu à la</w:t>
      </w:r>
      <w:r w:rsidRPr="004B2881">
        <w:rPr>
          <w:lang w:val="fr-FR"/>
        </w:rPr>
        <w:t xml:space="preserve"> perception des redevances forfaitaires et non remboursables suivantes: </w:t>
      </w:r>
    </w:p>
    <w:p w:rsidR="005B0868" w:rsidRPr="004B2881" w:rsidRDefault="00406C3E" w:rsidP="00406C3E">
      <w:pPr>
        <w:pStyle w:val="enumlev1"/>
        <w:rPr>
          <w:lang w:val="fr-FR"/>
        </w:rPr>
      </w:pPr>
      <w:r w:rsidRPr="004B2881">
        <w:rPr>
          <w:lang w:val="fr-FR"/>
        </w:rPr>
        <w:t>1)</w:t>
      </w:r>
      <w:r w:rsidRPr="004B2881">
        <w:rPr>
          <w:lang w:val="fr-FR"/>
        </w:rPr>
        <w:tab/>
      </w:r>
      <w:r w:rsidR="005B0868" w:rsidRPr="004B2881">
        <w:rPr>
          <w:b/>
          <w:bCs/>
          <w:lang w:val="fr-FR"/>
        </w:rPr>
        <w:t>Pour les équipements</w:t>
      </w:r>
      <w:r w:rsidR="005B0868" w:rsidRPr="004B2881">
        <w:rPr>
          <w:lang w:val="fr-FR"/>
        </w:rPr>
        <w:t xml:space="preserve">: une taxe de contribution de dossier et une taxe de dossier et une taxe contrôle technique par équipement. </w:t>
      </w:r>
    </w:p>
    <w:p w:rsidR="005B0868" w:rsidRPr="004B2881" w:rsidRDefault="00406C3E" w:rsidP="00D6174B">
      <w:pPr>
        <w:pStyle w:val="enumlev1"/>
        <w:rPr>
          <w:lang w:val="fr-FR"/>
        </w:rPr>
      </w:pPr>
      <w:r w:rsidRPr="004B2881">
        <w:rPr>
          <w:lang w:val="fr-FR"/>
        </w:rPr>
        <w:t>2)</w:t>
      </w:r>
      <w:r w:rsidRPr="004B2881">
        <w:rPr>
          <w:lang w:val="fr-FR"/>
        </w:rPr>
        <w:tab/>
      </w:r>
      <w:r w:rsidR="005B0868" w:rsidRPr="004B2881">
        <w:rPr>
          <w:b/>
          <w:bCs/>
          <w:lang w:val="fr-FR"/>
        </w:rPr>
        <w:t>Pour les installateurs</w:t>
      </w:r>
      <w:r w:rsidR="005B0868" w:rsidRPr="004B2881">
        <w:rPr>
          <w:lang w:val="fr-FR"/>
        </w:rPr>
        <w:t xml:space="preserve">: une taxe de constitution de dossier et une taxe d’agrément perçu à la délivrance ou au renouvellement de l’autorisation. </w:t>
      </w:r>
    </w:p>
    <w:p w:rsidR="00813681" w:rsidRPr="004B2881" w:rsidRDefault="00813681">
      <w:pPr>
        <w:tabs>
          <w:tab w:val="clear" w:pos="794"/>
          <w:tab w:val="clear" w:pos="1191"/>
          <w:tab w:val="clear" w:pos="1588"/>
          <w:tab w:val="clear" w:pos="1985"/>
        </w:tabs>
        <w:overflowPunct/>
        <w:autoSpaceDE/>
        <w:autoSpaceDN/>
        <w:adjustRightInd/>
        <w:spacing w:before="0"/>
        <w:jc w:val="left"/>
        <w:textAlignment w:val="auto"/>
        <w:rPr>
          <w:b/>
          <w:caps/>
          <w:sz w:val="28"/>
          <w:lang w:val="fr-FR"/>
        </w:rPr>
      </w:pPr>
      <w:r w:rsidRPr="004B2881">
        <w:rPr>
          <w:lang w:val="fr-FR"/>
        </w:rPr>
        <w:br w:type="page"/>
      </w:r>
    </w:p>
    <w:p w:rsidR="005B0868" w:rsidRPr="004B2881" w:rsidRDefault="00AF4045" w:rsidP="002F71C2">
      <w:pPr>
        <w:pStyle w:val="ChapNo"/>
        <w:rPr>
          <w:lang w:val="fr-FR"/>
        </w:rPr>
      </w:pPr>
      <w:bookmarkStart w:id="1000" w:name="_Toc280261087"/>
      <w:r w:rsidRPr="004B2881">
        <w:rPr>
          <w:lang w:val="fr-FR"/>
        </w:rPr>
        <w:lastRenderedPageBreak/>
        <w:t>CHAPITRE IV</w:t>
      </w:r>
      <w:bookmarkEnd w:id="1000"/>
    </w:p>
    <w:p w:rsidR="005B0868" w:rsidRPr="004B2881" w:rsidRDefault="005B0868" w:rsidP="002F71C2">
      <w:pPr>
        <w:rPr>
          <w:lang w:val="fr-FR"/>
        </w:rPr>
      </w:pPr>
      <w:r w:rsidRPr="004B2881">
        <w:rPr>
          <w:b/>
          <w:bCs/>
          <w:u w:val="single"/>
          <w:lang w:val="fr-FR"/>
        </w:rPr>
        <w:t>Art. 14</w:t>
      </w:r>
      <w:r w:rsidRPr="004B2881">
        <w:rPr>
          <w:lang w:val="fr-FR"/>
        </w:rPr>
        <w:t>: Les montants des droits, taxes, redevances et cont</w:t>
      </w:r>
      <w:r w:rsidR="00BE1329" w:rsidRPr="004B2881">
        <w:rPr>
          <w:lang w:val="fr-FR"/>
        </w:rPr>
        <w:t>ributions sont fixés comme suit</w:t>
      </w:r>
      <w:r w:rsidRPr="004B2881">
        <w:rPr>
          <w:lang w:val="fr-FR"/>
        </w:rPr>
        <w:t>:</w:t>
      </w:r>
    </w:p>
    <w:p w:rsidR="005B0868" w:rsidRPr="004B2881" w:rsidRDefault="005B0868" w:rsidP="005B0868">
      <w:pPr>
        <w:pStyle w:val="Default"/>
        <w:rPr>
          <w:rFonts w:asciiTheme="majorBidi" w:hAnsiTheme="majorBidi" w:cstheme="majorBidi"/>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230"/>
        <w:gridCol w:w="1134"/>
        <w:gridCol w:w="1276"/>
        <w:gridCol w:w="1264"/>
      </w:tblGrid>
      <w:tr w:rsidR="0006154D" w:rsidRPr="004B2881" w:rsidTr="00EC3779">
        <w:trPr>
          <w:jc w:val="center"/>
        </w:trPr>
        <w:tc>
          <w:tcPr>
            <w:tcW w:w="4536" w:type="dxa"/>
          </w:tcPr>
          <w:p w:rsidR="0006154D"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B1. R</w:t>
            </w:r>
            <w:r w:rsidR="0006154D" w:rsidRPr="004B2881">
              <w:rPr>
                <w:rFonts w:asciiTheme="majorBidi" w:hAnsiTheme="majorBidi" w:cstheme="majorBidi"/>
                <w:sz w:val="20"/>
                <w:szCs w:val="20"/>
                <w:lang w:val="fr-FR"/>
              </w:rPr>
              <w:t>égional (moyenne de 100km)</w:t>
            </w:r>
          </w:p>
          <w:p w:rsidR="0006154D" w:rsidRPr="004B2881" w:rsidRDefault="0006154D"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 xml:space="preserve">B2. </w:t>
            </w:r>
            <w:r w:rsidR="00471A34" w:rsidRPr="004B2881">
              <w:rPr>
                <w:rFonts w:asciiTheme="majorBidi" w:hAnsiTheme="majorBidi" w:cstheme="majorBidi"/>
                <w:sz w:val="20"/>
                <w:szCs w:val="20"/>
                <w:lang w:val="fr-FR"/>
              </w:rPr>
              <w:t>R</w:t>
            </w:r>
            <w:r w:rsidRPr="004B2881">
              <w:rPr>
                <w:rFonts w:asciiTheme="majorBidi" w:hAnsiTheme="majorBidi" w:cstheme="majorBidi"/>
                <w:sz w:val="20"/>
                <w:szCs w:val="20"/>
                <w:lang w:val="fr-FR"/>
              </w:rPr>
              <w:t xml:space="preserve">éseau </w:t>
            </w:r>
            <w:r w:rsidR="004B2881" w:rsidRPr="004B2881">
              <w:rPr>
                <w:rFonts w:asciiTheme="majorBidi" w:hAnsiTheme="majorBidi" w:cstheme="majorBidi"/>
                <w:sz w:val="20"/>
                <w:szCs w:val="20"/>
                <w:lang w:val="fr-FR"/>
              </w:rPr>
              <w:t>interrégional</w:t>
            </w:r>
            <w:r w:rsidR="00965277" w:rsidRPr="004B2881">
              <w:rPr>
                <w:rFonts w:asciiTheme="majorBidi" w:hAnsiTheme="majorBidi" w:cstheme="majorBidi"/>
                <w:sz w:val="20"/>
                <w:szCs w:val="20"/>
                <w:lang w:val="fr-FR"/>
              </w:rPr>
              <w:t xml:space="preserve"> (moyenne</w:t>
            </w:r>
            <w:r w:rsidR="00965277" w:rsidRPr="004B2881">
              <w:rPr>
                <w:rFonts w:asciiTheme="majorBidi" w:hAnsiTheme="majorBidi" w:cstheme="majorBidi"/>
                <w:sz w:val="20"/>
                <w:szCs w:val="20"/>
                <w:lang w:val="fr-FR"/>
              </w:rPr>
              <w:br/>
            </w:r>
            <w:r w:rsidR="00B267F0" w:rsidRPr="004B2881">
              <w:rPr>
                <w:rFonts w:asciiTheme="majorBidi" w:hAnsiTheme="majorBidi" w:cstheme="majorBidi"/>
                <w:sz w:val="20"/>
                <w:szCs w:val="20"/>
                <w:lang w:val="fr-FR"/>
              </w:rPr>
              <w:t>de 250 km)</w:t>
            </w:r>
          </w:p>
          <w:p w:rsidR="0006154D"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B3. R</w:t>
            </w:r>
            <w:r w:rsidR="0006154D" w:rsidRPr="004B2881">
              <w:rPr>
                <w:rFonts w:asciiTheme="majorBidi" w:hAnsiTheme="majorBidi" w:cstheme="majorBidi"/>
                <w:sz w:val="20"/>
                <w:szCs w:val="20"/>
                <w:lang w:val="fr-FR"/>
              </w:rPr>
              <w:t>ése</w:t>
            </w:r>
            <w:r w:rsidR="00B267F0" w:rsidRPr="004B2881">
              <w:rPr>
                <w:rFonts w:asciiTheme="majorBidi" w:hAnsiTheme="majorBidi" w:cstheme="majorBidi"/>
                <w:sz w:val="20"/>
                <w:szCs w:val="20"/>
                <w:lang w:val="fr-FR"/>
              </w:rPr>
              <w:t>au national (moyenne de 500 km)</w:t>
            </w:r>
          </w:p>
          <w:p w:rsidR="00B267F0" w:rsidRPr="004B2881" w:rsidRDefault="00B267F0" w:rsidP="004420B4">
            <w:pPr>
              <w:pStyle w:val="Default"/>
              <w:spacing w:before="60" w:after="60"/>
              <w:rPr>
                <w:rFonts w:asciiTheme="majorBidi" w:hAnsiTheme="majorBidi" w:cstheme="majorBidi"/>
                <w:sz w:val="20"/>
                <w:szCs w:val="20"/>
                <w:lang w:val="fr-FR"/>
              </w:rPr>
            </w:pPr>
          </w:p>
          <w:p w:rsidR="0006154D" w:rsidRPr="004B2881" w:rsidRDefault="0006154D"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 xml:space="preserve">C1. </w:t>
            </w:r>
            <w:r w:rsidR="00471A34" w:rsidRPr="004B2881">
              <w:rPr>
                <w:rFonts w:asciiTheme="majorBidi" w:hAnsiTheme="majorBidi" w:cstheme="majorBidi"/>
                <w:sz w:val="20"/>
                <w:szCs w:val="20"/>
                <w:lang w:val="fr-FR"/>
              </w:rPr>
              <w:t>R</w:t>
            </w:r>
            <w:r w:rsidRPr="004B2881">
              <w:rPr>
                <w:rFonts w:asciiTheme="majorBidi" w:hAnsiTheme="majorBidi" w:cstheme="majorBidi"/>
                <w:sz w:val="20"/>
                <w:szCs w:val="20"/>
                <w:lang w:val="fr-FR"/>
              </w:rPr>
              <w:t>éseau</w:t>
            </w:r>
            <w:r w:rsidR="00B267F0" w:rsidRPr="004B2881">
              <w:rPr>
                <w:rFonts w:asciiTheme="majorBidi" w:hAnsiTheme="majorBidi" w:cstheme="majorBidi"/>
                <w:sz w:val="20"/>
                <w:szCs w:val="20"/>
                <w:lang w:val="fr-FR"/>
              </w:rPr>
              <w:t xml:space="preserve"> comportant moins de 5 stations</w:t>
            </w:r>
          </w:p>
          <w:p w:rsidR="0006154D" w:rsidRPr="004B2881" w:rsidRDefault="0006154D"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C2.</w:t>
            </w:r>
            <w:r w:rsidR="00471A34" w:rsidRPr="004B2881">
              <w:rPr>
                <w:rFonts w:asciiTheme="majorBidi" w:hAnsiTheme="majorBidi" w:cstheme="majorBidi"/>
                <w:sz w:val="20"/>
                <w:szCs w:val="20"/>
                <w:lang w:val="fr-FR"/>
              </w:rPr>
              <w:t xml:space="preserve"> R</w:t>
            </w:r>
            <w:r w:rsidRPr="004B2881">
              <w:rPr>
                <w:rFonts w:asciiTheme="majorBidi" w:hAnsiTheme="majorBidi" w:cstheme="majorBidi"/>
                <w:sz w:val="20"/>
                <w:szCs w:val="20"/>
                <w:lang w:val="fr-FR"/>
              </w:rPr>
              <w:t>éseau de 5 à 10 stations</w:t>
            </w:r>
          </w:p>
          <w:p w:rsidR="0006154D" w:rsidRPr="004B2881" w:rsidRDefault="0006154D"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C3</w:t>
            </w:r>
            <w:r w:rsidR="00471A34" w:rsidRPr="004B2881">
              <w:rPr>
                <w:rFonts w:asciiTheme="majorBidi" w:hAnsiTheme="majorBidi" w:cstheme="majorBidi"/>
                <w:sz w:val="20"/>
                <w:szCs w:val="20"/>
                <w:lang w:val="fr-FR"/>
              </w:rPr>
              <w:t>. R</w:t>
            </w:r>
            <w:r w:rsidRPr="004B2881">
              <w:rPr>
                <w:rFonts w:asciiTheme="majorBidi" w:hAnsiTheme="majorBidi" w:cstheme="majorBidi"/>
                <w:sz w:val="20"/>
                <w:szCs w:val="20"/>
                <w:lang w:val="fr-FR"/>
              </w:rPr>
              <w:t>éseau de plus de 10 stations</w:t>
            </w:r>
          </w:p>
          <w:p w:rsidR="0006154D" w:rsidRPr="004B2881" w:rsidRDefault="0006154D" w:rsidP="004420B4">
            <w:pPr>
              <w:pStyle w:val="Default"/>
              <w:spacing w:before="60" w:after="60"/>
              <w:rPr>
                <w:rFonts w:asciiTheme="majorBidi" w:hAnsiTheme="majorBidi" w:cstheme="majorBidi"/>
                <w:sz w:val="20"/>
                <w:szCs w:val="20"/>
                <w:lang w:val="fr-FR"/>
              </w:rPr>
            </w:pPr>
          </w:p>
          <w:p w:rsidR="00B267F0"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 xml:space="preserve">1.3 </w:t>
            </w:r>
            <w:r w:rsidR="0006154D" w:rsidRPr="004B2881">
              <w:rPr>
                <w:rFonts w:asciiTheme="majorBidi" w:hAnsiTheme="majorBidi" w:cstheme="majorBidi"/>
                <w:sz w:val="20"/>
                <w:szCs w:val="20"/>
                <w:lang w:val="fr-FR"/>
              </w:rPr>
              <w:t>Réseau de rad</w:t>
            </w:r>
            <w:r w:rsidR="004C001B" w:rsidRPr="004B2881">
              <w:rPr>
                <w:rFonts w:asciiTheme="majorBidi" w:hAnsiTheme="majorBidi" w:cstheme="majorBidi"/>
                <w:sz w:val="20"/>
                <w:szCs w:val="20"/>
                <w:lang w:val="fr-FR"/>
              </w:rPr>
              <w:t>io recherche/ radiomessagerie (p</w:t>
            </w:r>
            <w:r w:rsidR="0006154D" w:rsidRPr="004B2881">
              <w:rPr>
                <w:rFonts w:asciiTheme="majorBidi" w:hAnsiTheme="majorBidi" w:cstheme="majorBidi"/>
                <w:sz w:val="20"/>
                <w:szCs w:val="20"/>
                <w:lang w:val="fr-FR"/>
              </w:rPr>
              <w:t>agi</w:t>
            </w:r>
            <w:r w:rsidR="00B267F0" w:rsidRPr="004B2881">
              <w:rPr>
                <w:rFonts w:asciiTheme="majorBidi" w:hAnsiTheme="majorBidi" w:cstheme="majorBidi"/>
                <w:sz w:val="20"/>
                <w:szCs w:val="20"/>
                <w:lang w:val="fr-FR"/>
              </w:rPr>
              <w:t>ng) largeur du canal = 12,5 KHz</w:t>
            </w:r>
          </w:p>
          <w:p w:rsidR="00B267F0" w:rsidRPr="004B2881" w:rsidRDefault="00B267F0" w:rsidP="004420B4">
            <w:pPr>
              <w:pStyle w:val="Default"/>
              <w:spacing w:before="60" w:after="60"/>
              <w:rPr>
                <w:rFonts w:asciiTheme="majorBidi" w:hAnsiTheme="majorBidi" w:cstheme="majorBidi"/>
                <w:sz w:val="20"/>
                <w:szCs w:val="20"/>
                <w:lang w:val="fr-FR"/>
              </w:rPr>
            </w:pPr>
          </w:p>
          <w:p w:rsidR="00B267F0" w:rsidRPr="004B2881" w:rsidRDefault="00471A34" w:rsidP="00B267F0">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A1. R</w:t>
            </w:r>
            <w:r w:rsidR="0006154D" w:rsidRPr="004B2881">
              <w:rPr>
                <w:rFonts w:asciiTheme="majorBidi" w:hAnsiTheme="majorBidi" w:cstheme="majorBidi"/>
                <w:sz w:val="20"/>
                <w:szCs w:val="20"/>
                <w:lang w:val="fr-FR"/>
              </w:rPr>
              <w:t>éseau local (urbain)</w:t>
            </w:r>
          </w:p>
          <w:p w:rsidR="00B267F0" w:rsidRPr="004B2881" w:rsidRDefault="0006154D" w:rsidP="00B267F0">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A2</w:t>
            </w:r>
            <w:r w:rsidR="00471A34" w:rsidRPr="004B2881">
              <w:rPr>
                <w:rFonts w:asciiTheme="majorBidi" w:hAnsiTheme="majorBidi" w:cstheme="majorBidi"/>
                <w:sz w:val="20"/>
                <w:szCs w:val="20"/>
                <w:lang w:val="fr-FR"/>
              </w:rPr>
              <w:t>. R</w:t>
            </w:r>
            <w:r w:rsidR="00B267F0" w:rsidRPr="004B2881">
              <w:rPr>
                <w:rFonts w:asciiTheme="majorBidi" w:hAnsiTheme="majorBidi" w:cstheme="majorBidi"/>
                <w:sz w:val="20"/>
                <w:szCs w:val="20"/>
                <w:lang w:val="fr-FR"/>
              </w:rPr>
              <w:t>éseau régional (interurbain)</w:t>
            </w:r>
          </w:p>
          <w:p w:rsidR="00B267F0" w:rsidRPr="004B2881" w:rsidRDefault="00471A34" w:rsidP="00B267F0">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A3. R</w:t>
            </w:r>
            <w:r w:rsidR="0006154D" w:rsidRPr="004B2881">
              <w:rPr>
                <w:rFonts w:asciiTheme="majorBidi" w:hAnsiTheme="majorBidi" w:cstheme="majorBidi"/>
                <w:sz w:val="20"/>
                <w:szCs w:val="20"/>
                <w:lang w:val="fr-FR"/>
              </w:rPr>
              <w:t>éseau national</w:t>
            </w:r>
          </w:p>
          <w:p w:rsidR="00B267F0" w:rsidRPr="004B2881" w:rsidRDefault="00B267F0" w:rsidP="00B267F0">
            <w:pPr>
              <w:pStyle w:val="Default"/>
              <w:spacing w:before="60" w:after="60"/>
              <w:rPr>
                <w:rFonts w:asciiTheme="majorBidi" w:hAnsiTheme="majorBidi" w:cstheme="majorBidi"/>
                <w:sz w:val="20"/>
                <w:szCs w:val="20"/>
                <w:lang w:val="fr-FR"/>
              </w:rPr>
            </w:pPr>
          </w:p>
          <w:p w:rsidR="00B267F0" w:rsidRPr="004B2881" w:rsidRDefault="0006154D" w:rsidP="00B267F0">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B1. Station de base</w:t>
            </w:r>
          </w:p>
          <w:p w:rsidR="00471A34" w:rsidRPr="004B2881" w:rsidRDefault="00471A34" w:rsidP="00B267F0">
            <w:pPr>
              <w:pStyle w:val="Default"/>
              <w:spacing w:before="60" w:after="60"/>
              <w:rPr>
                <w:rFonts w:asciiTheme="majorBidi" w:hAnsiTheme="majorBidi" w:cstheme="majorBidi"/>
                <w:sz w:val="20"/>
                <w:szCs w:val="20"/>
                <w:lang w:val="fr-FR"/>
              </w:rPr>
            </w:pPr>
          </w:p>
          <w:p w:rsidR="00B267F0" w:rsidRPr="004B2881" w:rsidRDefault="00471A34" w:rsidP="00B267F0">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C1. F</w:t>
            </w:r>
            <w:r w:rsidR="0006154D" w:rsidRPr="004B2881">
              <w:rPr>
                <w:rFonts w:asciiTheme="majorBidi" w:hAnsiTheme="majorBidi" w:cstheme="majorBidi"/>
                <w:sz w:val="20"/>
                <w:szCs w:val="20"/>
                <w:lang w:val="fr-FR"/>
              </w:rPr>
              <w:t>réqu</w:t>
            </w:r>
            <w:r w:rsidR="00B267F0" w:rsidRPr="004B2881">
              <w:rPr>
                <w:rFonts w:asciiTheme="majorBidi" w:hAnsiTheme="majorBidi" w:cstheme="majorBidi"/>
                <w:sz w:val="20"/>
                <w:szCs w:val="20"/>
                <w:lang w:val="fr-FR"/>
              </w:rPr>
              <w:t>ence disponible localement</w:t>
            </w:r>
          </w:p>
          <w:p w:rsidR="00B267F0" w:rsidRPr="004B2881" w:rsidRDefault="00471A34" w:rsidP="00B267F0">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C2. F</w:t>
            </w:r>
            <w:r w:rsidR="0006154D" w:rsidRPr="004B2881">
              <w:rPr>
                <w:rFonts w:asciiTheme="majorBidi" w:hAnsiTheme="majorBidi" w:cstheme="majorBidi"/>
                <w:sz w:val="20"/>
                <w:szCs w:val="20"/>
                <w:lang w:val="fr-FR"/>
              </w:rPr>
              <w:t>réque</w:t>
            </w:r>
            <w:r w:rsidR="00B267F0" w:rsidRPr="004B2881">
              <w:rPr>
                <w:rFonts w:asciiTheme="majorBidi" w:hAnsiTheme="majorBidi" w:cstheme="majorBidi"/>
                <w:sz w:val="20"/>
                <w:szCs w:val="20"/>
                <w:lang w:val="fr-FR"/>
              </w:rPr>
              <w:t>nce disponible au plan régional</w:t>
            </w:r>
          </w:p>
          <w:p w:rsidR="0006154D" w:rsidRPr="004B2881" w:rsidRDefault="00471A34" w:rsidP="00B267F0">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C3. F</w:t>
            </w:r>
            <w:r w:rsidR="0006154D" w:rsidRPr="004B2881">
              <w:rPr>
                <w:rFonts w:asciiTheme="majorBidi" w:hAnsiTheme="majorBidi" w:cstheme="majorBidi"/>
                <w:sz w:val="20"/>
                <w:szCs w:val="20"/>
                <w:lang w:val="fr-FR"/>
              </w:rPr>
              <w:t>réquence sur l’</w:t>
            </w:r>
            <w:r w:rsidR="00B267F0" w:rsidRPr="004B2881">
              <w:rPr>
                <w:rFonts w:asciiTheme="majorBidi" w:hAnsiTheme="majorBidi" w:cstheme="majorBidi"/>
                <w:sz w:val="20"/>
                <w:szCs w:val="20"/>
                <w:lang w:val="fr-FR"/>
              </w:rPr>
              <w:t>ensemble du territoire national</w:t>
            </w:r>
          </w:p>
          <w:p w:rsidR="0006154D" w:rsidRPr="004B2881" w:rsidRDefault="0006154D" w:rsidP="00471A3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14.</w:t>
            </w:r>
            <w:r w:rsidR="00B267F0" w:rsidRPr="004B2881">
              <w:rPr>
                <w:rFonts w:asciiTheme="majorBidi" w:hAnsiTheme="majorBidi" w:cstheme="majorBidi"/>
                <w:sz w:val="20"/>
                <w:szCs w:val="20"/>
                <w:lang w:val="fr-FR"/>
              </w:rPr>
              <w:t xml:space="preserve"> </w:t>
            </w:r>
            <w:r w:rsidR="00471A34" w:rsidRPr="004B2881">
              <w:rPr>
                <w:rFonts w:asciiTheme="majorBidi" w:hAnsiTheme="majorBidi" w:cstheme="majorBidi"/>
                <w:sz w:val="20"/>
                <w:szCs w:val="20"/>
                <w:lang w:val="fr-FR"/>
              </w:rPr>
              <w:t>R</w:t>
            </w:r>
            <w:r w:rsidRPr="004B2881">
              <w:rPr>
                <w:rFonts w:asciiTheme="majorBidi" w:hAnsiTheme="majorBidi" w:cstheme="majorBidi"/>
                <w:sz w:val="20"/>
                <w:szCs w:val="20"/>
                <w:lang w:val="fr-FR"/>
              </w:rPr>
              <w:t xml:space="preserve">éseau à </w:t>
            </w:r>
            <w:r w:rsidR="00B233AF" w:rsidRPr="004B2881">
              <w:rPr>
                <w:rFonts w:asciiTheme="majorBidi" w:hAnsiTheme="majorBidi" w:cstheme="majorBidi"/>
                <w:sz w:val="20"/>
                <w:szCs w:val="20"/>
                <w:lang w:val="fr-FR"/>
              </w:rPr>
              <w:t>ressources partagées (t</w:t>
            </w:r>
            <w:r w:rsidR="00B267F0" w:rsidRPr="004B2881">
              <w:rPr>
                <w:rFonts w:asciiTheme="majorBidi" w:hAnsiTheme="majorBidi" w:cstheme="majorBidi"/>
                <w:sz w:val="20"/>
                <w:szCs w:val="20"/>
                <w:lang w:val="fr-FR"/>
              </w:rPr>
              <w:t>runking)</w:t>
            </w:r>
            <w:r w:rsidR="00471A34" w:rsidRPr="004B2881">
              <w:rPr>
                <w:rFonts w:asciiTheme="majorBidi" w:hAnsiTheme="majorBidi" w:cstheme="majorBidi"/>
                <w:sz w:val="20"/>
                <w:szCs w:val="20"/>
                <w:lang w:val="fr-FR"/>
              </w:rPr>
              <w:t xml:space="preserve"> </w:t>
            </w:r>
            <w:r w:rsidR="00B267F0" w:rsidRPr="004B2881">
              <w:rPr>
                <w:rFonts w:asciiTheme="majorBidi" w:hAnsiTheme="majorBidi" w:cstheme="majorBidi"/>
                <w:sz w:val="20"/>
                <w:szCs w:val="20"/>
                <w:lang w:val="fr-FR"/>
              </w:rPr>
              <w:t>(largeur du canal = 12,5 KHZ)</w:t>
            </w:r>
          </w:p>
          <w:p w:rsidR="00B267F0" w:rsidRPr="004B2881" w:rsidRDefault="00B267F0" w:rsidP="004420B4">
            <w:pPr>
              <w:pStyle w:val="Default"/>
              <w:spacing w:before="60" w:after="60"/>
              <w:rPr>
                <w:rFonts w:asciiTheme="majorBidi" w:hAnsiTheme="majorBidi" w:cstheme="majorBidi"/>
                <w:sz w:val="20"/>
                <w:szCs w:val="20"/>
                <w:lang w:val="fr-FR"/>
              </w:rPr>
            </w:pPr>
          </w:p>
          <w:p w:rsidR="0006154D" w:rsidRPr="004B2881" w:rsidRDefault="00B267F0" w:rsidP="00471A3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 xml:space="preserve">A1. </w:t>
            </w:r>
            <w:r w:rsidR="00471A34" w:rsidRPr="004B2881">
              <w:rPr>
                <w:rFonts w:asciiTheme="majorBidi" w:hAnsiTheme="majorBidi" w:cstheme="majorBidi"/>
                <w:sz w:val="20"/>
                <w:szCs w:val="20"/>
                <w:lang w:val="fr-FR"/>
              </w:rPr>
              <w:t>R</w:t>
            </w:r>
            <w:r w:rsidRPr="004B2881">
              <w:rPr>
                <w:rFonts w:asciiTheme="majorBidi" w:hAnsiTheme="majorBidi" w:cstheme="majorBidi"/>
                <w:sz w:val="20"/>
                <w:szCs w:val="20"/>
                <w:lang w:val="fr-FR"/>
              </w:rPr>
              <w:t>éseau local (urbain)</w:t>
            </w:r>
          </w:p>
          <w:p w:rsidR="0006154D"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A2. R</w:t>
            </w:r>
            <w:r w:rsidR="003F2A2E" w:rsidRPr="004B2881">
              <w:rPr>
                <w:rFonts w:asciiTheme="majorBidi" w:hAnsiTheme="majorBidi" w:cstheme="majorBidi"/>
                <w:sz w:val="20"/>
                <w:szCs w:val="20"/>
                <w:lang w:val="fr-FR"/>
              </w:rPr>
              <w:t>éseau interurbain</w:t>
            </w:r>
          </w:p>
          <w:p w:rsidR="00B267F0"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A3. R</w:t>
            </w:r>
            <w:r w:rsidR="00B267F0" w:rsidRPr="004B2881">
              <w:rPr>
                <w:rFonts w:asciiTheme="majorBidi" w:hAnsiTheme="majorBidi" w:cstheme="majorBidi"/>
                <w:sz w:val="20"/>
                <w:szCs w:val="20"/>
                <w:lang w:val="fr-FR"/>
              </w:rPr>
              <w:t>éseau national</w:t>
            </w:r>
          </w:p>
          <w:p w:rsidR="00B267F0" w:rsidRPr="004B2881" w:rsidRDefault="00B267F0" w:rsidP="004420B4">
            <w:pPr>
              <w:pStyle w:val="Default"/>
              <w:spacing w:before="60" w:after="60"/>
              <w:rPr>
                <w:rFonts w:asciiTheme="majorBidi" w:hAnsiTheme="majorBidi" w:cstheme="majorBidi"/>
                <w:sz w:val="20"/>
                <w:szCs w:val="20"/>
                <w:lang w:val="fr-FR"/>
              </w:rPr>
            </w:pPr>
          </w:p>
          <w:p w:rsidR="00B267F0"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B1. S</w:t>
            </w:r>
            <w:r w:rsidR="00B267F0" w:rsidRPr="004B2881">
              <w:rPr>
                <w:rFonts w:asciiTheme="majorBidi" w:hAnsiTheme="majorBidi" w:cstheme="majorBidi"/>
                <w:sz w:val="20"/>
                <w:szCs w:val="20"/>
                <w:lang w:val="fr-FR"/>
              </w:rPr>
              <w:t>tation de base</w:t>
            </w:r>
          </w:p>
          <w:p w:rsidR="00B267F0" w:rsidRPr="004B2881" w:rsidRDefault="00B267F0" w:rsidP="004420B4">
            <w:pPr>
              <w:pStyle w:val="Default"/>
              <w:spacing w:before="60" w:after="60"/>
              <w:rPr>
                <w:rFonts w:asciiTheme="majorBidi" w:hAnsiTheme="majorBidi" w:cstheme="majorBidi"/>
                <w:sz w:val="20"/>
                <w:szCs w:val="20"/>
                <w:lang w:val="fr-FR"/>
              </w:rPr>
            </w:pPr>
          </w:p>
          <w:p w:rsidR="00B267F0"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C1. C</w:t>
            </w:r>
            <w:r w:rsidR="0006154D" w:rsidRPr="004B2881">
              <w:rPr>
                <w:rFonts w:asciiTheme="majorBidi" w:hAnsiTheme="majorBidi" w:cstheme="majorBidi"/>
                <w:sz w:val="20"/>
                <w:szCs w:val="20"/>
                <w:lang w:val="fr-FR"/>
              </w:rPr>
              <w:t>an</w:t>
            </w:r>
            <w:r w:rsidR="00B267F0" w:rsidRPr="004B2881">
              <w:rPr>
                <w:rFonts w:asciiTheme="majorBidi" w:hAnsiTheme="majorBidi" w:cstheme="majorBidi"/>
                <w:sz w:val="20"/>
                <w:szCs w:val="20"/>
                <w:lang w:val="fr-FR"/>
              </w:rPr>
              <w:t>al duplex disponible localement</w:t>
            </w:r>
          </w:p>
          <w:p w:rsidR="00B267F0"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C2. C</w:t>
            </w:r>
            <w:r w:rsidR="00B267F0" w:rsidRPr="004B2881">
              <w:rPr>
                <w:rFonts w:asciiTheme="majorBidi" w:hAnsiTheme="majorBidi" w:cstheme="majorBidi"/>
                <w:sz w:val="20"/>
                <w:szCs w:val="20"/>
                <w:lang w:val="fr-FR"/>
              </w:rPr>
              <w:t>anal duplex disponible</w:t>
            </w:r>
          </w:p>
          <w:p w:rsidR="0006154D" w:rsidRPr="004B2881" w:rsidRDefault="00471A34" w:rsidP="004420B4">
            <w:pPr>
              <w:pStyle w:val="Default"/>
              <w:spacing w:before="60" w:after="60"/>
              <w:rPr>
                <w:rFonts w:asciiTheme="majorBidi" w:hAnsiTheme="majorBidi" w:cstheme="majorBidi"/>
                <w:sz w:val="20"/>
                <w:szCs w:val="20"/>
                <w:lang w:val="fr-FR"/>
              </w:rPr>
            </w:pPr>
            <w:r w:rsidRPr="004B2881">
              <w:rPr>
                <w:rFonts w:asciiTheme="majorBidi" w:hAnsiTheme="majorBidi" w:cstheme="majorBidi"/>
                <w:sz w:val="20"/>
                <w:szCs w:val="20"/>
                <w:lang w:val="fr-FR"/>
              </w:rPr>
              <w:t>C3. C</w:t>
            </w:r>
            <w:r w:rsidR="0006154D" w:rsidRPr="004B2881">
              <w:rPr>
                <w:rFonts w:asciiTheme="majorBidi" w:hAnsiTheme="majorBidi" w:cstheme="majorBidi"/>
                <w:sz w:val="20"/>
                <w:szCs w:val="20"/>
                <w:lang w:val="fr-FR"/>
              </w:rPr>
              <w:t xml:space="preserve">anal duplex disponible sur l’ensemble du territoire national </w:t>
            </w:r>
          </w:p>
        </w:tc>
        <w:tc>
          <w:tcPr>
            <w:tcW w:w="1230" w:type="dxa"/>
          </w:tcPr>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br/>
            </w: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br/>
            </w:r>
            <w:r w:rsidRPr="004B2881">
              <w:rPr>
                <w:rFonts w:asciiTheme="majorBidi" w:hAnsiTheme="majorBidi" w:cstheme="majorBidi"/>
                <w:sz w:val="20"/>
                <w:szCs w:val="20"/>
                <w:lang w:val="fr-FR"/>
              </w:rPr>
              <w:br/>
            </w:r>
          </w:p>
          <w:p w:rsidR="00FA765B" w:rsidRPr="004B2881" w:rsidRDefault="0006154D"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116 000</w:t>
            </w:r>
          </w:p>
          <w:p w:rsidR="00FA765B" w:rsidRPr="004B2881" w:rsidRDefault="0006154D"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290 000</w:t>
            </w:r>
          </w:p>
          <w:p w:rsidR="00FA765B" w:rsidRPr="004B2881" w:rsidRDefault="0006154D"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580 000</w:t>
            </w: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721E08" w:rsidRPr="004B2881" w:rsidRDefault="00721E08" w:rsidP="00E81BA9">
            <w:pPr>
              <w:pStyle w:val="Default"/>
              <w:spacing w:before="60" w:after="60"/>
              <w:jc w:val="center"/>
              <w:rPr>
                <w:rFonts w:asciiTheme="majorBidi" w:hAnsiTheme="majorBidi" w:cstheme="majorBidi"/>
                <w:sz w:val="20"/>
                <w:szCs w:val="20"/>
                <w:lang w:val="fr-FR"/>
              </w:rPr>
            </w:pPr>
          </w:p>
          <w:p w:rsidR="00A51DC7" w:rsidRPr="004B2881" w:rsidRDefault="00A51DC7" w:rsidP="00E81BA9">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FA765B" w:rsidRPr="004B2881" w:rsidRDefault="00FA765B"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06154D" w:rsidRPr="004B2881" w:rsidRDefault="00FA765B"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FA765B" w:rsidRPr="004B2881" w:rsidRDefault="00FA765B" w:rsidP="00A51DC7">
            <w:pPr>
              <w:pStyle w:val="Default"/>
              <w:spacing w:before="60" w:after="60"/>
              <w:jc w:val="center"/>
              <w:rPr>
                <w:rFonts w:asciiTheme="majorBidi" w:hAnsiTheme="majorBidi" w:cstheme="majorBidi"/>
                <w:sz w:val="20"/>
                <w:szCs w:val="20"/>
                <w:lang w:val="fr-FR"/>
              </w:rPr>
            </w:pPr>
          </w:p>
          <w:p w:rsidR="00FA765B" w:rsidRPr="004B2881" w:rsidRDefault="00FA765B" w:rsidP="00E81BA9">
            <w:pPr>
              <w:pStyle w:val="Default"/>
              <w:spacing w:before="60" w:after="60"/>
              <w:jc w:val="center"/>
              <w:rPr>
                <w:rFonts w:asciiTheme="majorBidi" w:hAnsiTheme="majorBidi" w:cstheme="majorBidi"/>
                <w:sz w:val="20"/>
                <w:szCs w:val="20"/>
                <w:lang w:val="fr-FR"/>
              </w:rPr>
            </w:pPr>
          </w:p>
          <w:p w:rsidR="0006154D" w:rsidRPr="004B2881" w:rsidRDefault="0006154D"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116 000</w:t>
            </w:r>
          </w:p>
          <w:p w:rsidR="00E81BA9" w:rsidRPr="004B2881" w:rsidRDefault="0006154D" w:rsidP="00E81BA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290 000</w:t>
            </w:r>
          </w:p>
          <w:p w:rsidR="0006154D" w:rsidRPr="004B2881" w:rsidRDefault="0006154D" w:rsidP="00E81BA9">
            <w:pPr>
              <w:pStyle w:val="Default"/>
              <w:spacing w:before="60" w:after="60"/>
              <w:jc w:val="center"/>
              <w:rPr>
                <w:rFonts w:asciiTheme="majorBidi" w:hAnsiTheme="majorBidi" w:cstheme="majorBidi"/>
                <w:color w:val="auto"/>
                <w:sz w:val="20"/>
                <w:szCs w:val="20"/>
                <w:lang w:val="fr-FR"/>
              </w:rPr>
            </w:pPr>
            <w:r w:rsidRPr="004B2881">
              <w:rPr>
                <w:rFonts w:asciiTheme="majorBidi" w:hAnsiTheme="majorBidi" w:cstheme="majorBidi"/>
                <w:sz w:val="20"/>
                <w:szCs w:val="20"/>
                <w:lang w:val="fr-FR"/>
              </w:rPr>
              <w:t>580 000</w:t>
            </w:r>
          </w:p>
        </w:tc>
        <w:tc>
          <w:tcPr>
            <w:tcW w:w="1134" w:type="dxa"/>
          </w:tcPr>
          <w:p w:rsidR="004C5E36" w:rsidRPr="004B2881" w:rsidRDefault="004C5E36" w:rsidP="00F601D3">
            <w:pPr>
              <w:pStyle w:val="Default"/>
              <w:spacing w:before="60" w:after="60"/>
              <w:jc w:val="center"/>
              <w:rPr>
                <w:rFonts w:asciiTheme="majorBidi" w:hAnsiTheme="majorBidi" w:cstheme="majorBidi"/>
                <w:sz w:val="20"/>
                <w:szCs w:val="20"/>
                <w:lang w:val="fr-FR"/>
              </w:rPr>
            </w:pPr>
          </w:p>
          <w:p w:rsidR="004C5E36" w:rsidRPr="004B2881" w:rsidRDefault="004C5E36" w:rsidP="00F601D3">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br/>
            </w:r>
          </w:p>
          <w:p w:rsidR="004C5E36" w:rsidRPr="004B2881" w:rsidRDefault="004C5E36" w:rsidP="00F601D3">
            <w:pPr>
              <w:pStyle w:val="Default"/>
              <w:spacing w:before="60" w:after="60"/>
              <w:jc w:val="center"/>
              <w:rPr>
                <w:rFonts w:asciiTheme="majorBidi" w:hAnsiTheme="majorBidi" w:cstheme="majorBidi"/>
                <w:sz w:val="20"/>
                <w:szCs w:val="20"/>
                <w:lang w:val="fr-FR"/>
              </w:rPr>
            </w:pPr>
          </w:p>
          <w:p w:rsidR="004C5E36" w:rsidRPr="004B2881" w:rsidRDefault="004C5E36" w:rsidP="00F601D3">
            <w:pPr>
              <w:pStyle w:val="Default"/>
              <w:spacing w:before="60" w:after="60"/>
              <w:jc w:val="center"/>
              <w:rPr>
                <w:rFonts w:asciiTheme="majorBidi" w:hAnsiTheme="majorBidi" w:cstheme="majorBidi"/>
                <w:sz w:val="20"/>
                <w:szCs w:val="20"/>
                <w:lang w:val="fr-FR"/>
              </w:rPr>
            </w:pPr>
          </w:p>
          <w:p w:rsidR="004C5E36" w:rsidRPr="004B2881" w:rsidRDefault="004C5E36" w:rsidP="00F601D3">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4C5E36" w:rsidRPr="004B2881" w:rsidRDefault="004C5E36" w:rsidP="00F601D3">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721E08" w:rsidRPr="004B2881" w:rsidRDefault="004C5E36" w:rsidP="00721E08">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B72ED2" w:rsidRPr="004B2881" w:rsidRDefault="00B72ED2" w:rsidP="00721E08">
            <w:pPr>
              <w:pStyle w:val="Default"/>
              <w:spacing w:before="60" w:after="60"/>
              <w:jc w:val="center"/>
              <w:rPr>
                <w:rFonts w:asciiTheme="majorBidi" w:hAnsiTheme="majorBidi" w:cstheme="majorBidi"/>
                <w:sz w:val="20"/>
                <w:szCs w:val="20"/>
                <w:lang w:val="fr-FR"/>
              </w:rPr>
            </w:pPr>
          </w:p>
          <w:p w:rsidR="00FB0FF6" w:rsidRPr="004B2881" w:rsidRDefault="00721E08" w:rsidP="00721E08">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br/>
            </w:r>
            <w:r w:rsidRPr="004B2881">
              <w:rPr>
                <w:rFonts w:asciiTheme="majorBidi" w:hAnsiTheme="majorBidi" w:cstheme="majorBidi"/>
                <w:sz w:val="20"/>
                <w:szCs w:val="20"/>
                <w:lang w:val="fr-FR"/>
              </w:rPr>
              <w:br/>
            </w:r>
          </w:p>
          <w:p w:rsidR="00FB0FF6" w:rsidRPr="004B2881" w:rsidRDefault="00FB0FF6" w:rsidP="00F601D3">
            <w:pPr>
              <w:pStyle w:val="Default"/>
              <w:spacing w:before="60" w:after="60"/>
              <w:jc w:val="center"/>
              <w:rPr>
                <w:rFonts w:asciiTheme="majorBidi" w:hAnsiTheme="majorBidi" w:cstheme="majorBidi"/>
                <w:sz w:val="20"/>
                <w:szCs w:val="20"/>
                <w:lang w:val="fr-FR"/>
              </w:rPr>
            </w:pPr>
          </w:p>
          <w:p w:rsidR="007A03FE" w:rsidRPr="004B2881" w:rsidRDefault="007A03FE" w:rsidP="00F601D3">
            <w:pPr>
              <w:pStyle w:val="Default"/>
              <w:spacing w:before="60" w:after="60"/>
              <w:jc w:val="center"/>
              <w:rPr>
                <w:rFonts w:asciiTheme="majorBidi" w:hAnsiTheme="majorBidi" w:cstheme="majorBidi"/>
                <w:sz w:val="20"/>
                <w:szCs w:val="20"/>
                <w:lang w:val="fr-FR"/>
              </w:rPr>
            </w:pPr>
          </w:p>
          <w:p w:rsidR="007A03FE" w:rsidRPr="004B2881" w:rsidRDefault="007A03FE" w:rsidP="00F601D3">
            <w:pPr>
              <w:pStyle w:val="Default"/>
              <w:spacing w:before="60" w:after="60"/>
              <w:jc w:val="center"/>
              <w:rPr>
                <w:rFonts w:asciiTheme="majorBidi" w:hAnsiTheme="majorBidi" w:cstheme="majorBidi"/>
                <w:sz w:val="20"/>
                <w:szCs w:val="20"/>
                <w:lang w:val="fr-FR"/>
              </w:rPr>
            </w:pPr>
          </w:p>
          <w:p w:rsidR="00721E08" w:rsidRPr="004B2881" w:rsidRDefault="00721E08" w:rsidP="00F601D3">
            <w:pPr>
              <w:pStyle w:val="Default"/>
              <w:spacing w:before="60" w:after="60"/>
              <w:jc w:val="center"/>
              <w:rPr>
                <w:rFonts w:asciiTheme="majorBidi" w:hAnsiTheme="majorBidi" w:cstheme="majorBidi"/>
                <w:sz w:val="20"/>
                <w:szCs w:val="20"/>
                <w:lang w:val="fr-FR"/>
              </w:rPr>
            </w:pPr>
          </w:p>
          <w:p w:rsidR="0006154D" w:rsidRPr="004B2881" w:rsidRDefault="0006154D" w:rsidP="00F601D3">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34 800</w:t>
            </w:r>
          </w:p>
          <w:p w:rsidR="00471A34" w:rsidRPr="004B2881" w:rsidRDefault="00471A34"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721E08" w:rsidRPr="004B2881" w:rsidRDefault="00721E08"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721E08" w:rsidRPr="004B2881" w:rsidRDefault="00721E08"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p>
          <w:p w:rsidR="00B72ED2" w:rsidRPr="004B2881" w:rsidRDefault="0006154D" w:rsidP="00F601D3">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34 800</w:t>
            </w:r>
          </w:p>
          <w:p w:rsidR="00A51DC7" w:rsidRPr="004B2881" w:rsidRDefault="00A51DC7" w:rsidP="00F601D3">
            <w:pPr>
              <w:pStyle w:val="Default"/>
              <w:spacing w:before="60" w:after="60"/>
              <w:jc w:val="center"/>
              <w:rPr>
                <w:rFonts w:asciiTheme="majorBidi" w:hAnsiTheme="majorBidi" w:cstheme="majorBidi"/>
                <w:sz w:val="20"/>
                <w:szCs w:val="20"/>
                <w:lang w:val="fr-FR"/>
              </w:rPr>
            </w:pPr>
          </w:p>
          <w:p w:rsidR="00B72ED2" w:rsidRPr="004B2881" w:rsidRDefault="00B72ED2" w:rsidP="00F601D3">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B72ED2" w:rsidRPr="004B2881" w:rsidRDefault="00B72ED2" w:rsidP="00F601D3">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06154D" w:rsidRPr="004B2881" w:rsidRDefault="00B72ED2" w:rsidP="00F601D3">
            <w:pPr>
              <w:pStyle w:val="Default"/>
              <w:spacing w:before="60" w:after="60"/>
              <w:jc w:val="center"/>
              <w:rPr>
                <w:rFonts w:asciiTheme="majorBidi" w:hAnsiTheme="majorBidi" w:cstheme="majorBidi"/>
                <w:color w:val="auto"/>
                <w:sz w:val="20"/>
                <w:szCs w:val="20"/>
                <w:lang w:val="fr-FR"/>
              </w:rPr>
            </w:pPr>
            <w:r w:rsidRPr="004B2881">
              <w:rPr>
                <w:rFonts w:asciiTheme="majorBidi" w:hAnsiTheme="majorBidi" w:cstheme="majorBidi"/>
                <w:sz w:val="20"/>
                <w:szCs w:val="20"/>
                <w:lang w:val="fr-FR"/>
              </w:rPr>
              <w:t>–</w:t>
            </w:r>
          </w:p>
        </w:tc>
        <w:tc>
          <w:tcPr>
            <w:tcW w:w="1276" w:type="dxa"/>
          </w:tcPr>
          <w:p w:rsidR="00B80109" w:rsidRPr="004B2881" w:rsidRDefault="00B80109" w:rsidP="004420B4">
            <w:pPr>
              <w:pStyle w:val="Default"/>
              <w:spacing w:before="60" w:after="60"/>
              <w:jc w:val="center"/>
              <w:rPr>
                <w:rFonts w:asciiTheme="majorBidi" w:hAnsiTheme="majorBidi" w:cstheme="majorBidi"/>
                <w:sz w:val="20"/>
                <w:szCs w:val="20"/>
                <w:lang w:val="fr-FR"/>
              </w:rPr>
            </w:pPr>
          </w:p>
          <w:p w:rsidR="00B80109" w:rsidRPr="004B2881" w:rsidRDefault="00B80109" w:rsidP="004420B4">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br/>
            </w:r>
          </w:p>
          <w:p w:rsidR="00B80109" w:rsidRPr="004B2881" w:rsidRDefault="00B80109" w:rsidP="004420B4">
            <w:pPr>
              <w:pStyle w:val="Default"/>
              <w:spacing w:before="60" w:after="60"/>
              <w:jc w:val="center"/>
              <w:rPr>
                <w:rFonts w:asciiTheme="majorBidi" w:hAnsiTheme="majorBidi" w:cstheme="majorBidi"/>
                <w:sz w:val="20"/>
                <w:szCs w:val="20"/>
                <w:lang w:val="fr-FR"/>
              </w:rPr>
            </w:pPr>
          </w:p>
          <w:p w:rsidR="00B80109" w:rsidRPr="004B2881" w:rsidRDefault="00B80109" w:rsidP="004420B4">
            <w:pPr>
              <w:pStyle w:val="Default"/>
              <w:spacing w:before="60" w:after="60"/>
              <w:jc w:val="center"/>
              <w:rPr>
                <w:rFonts w:asciiTheme="majorBidi" w:hAnsiTheme="majorBidi" w:cstheme="majorBidi"/>
                <w:sz w:val="20"/>
                <w:szCs w:val="20"/>
                <w:lang w:val="fr-FR"/>
              </w:rPr>
            </w:pPr>
          </w:p>
          <w:p w:rsidR="0006154D" w:rsidRPr="004B2881" w:rsidRDefault="00B80109" w:rsidP="004420B4">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58 000</w:t>
            </w:r>
          </w:p>
          <w:p w:rsidR="00B80109" w:rsidRPr="004B2881" w:rsidRDefault="0006154D" w:rsidP="00B8010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87 000</w:t>
            </w:r>
          </w:p>
          <w:p w:rsidR="00B80109" w:rsidRPr="004B2881" w:rsidRDefault="00B80109" w:rsidP="00B8010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145 000</w:t>
            </w:r>
          </w:p>
          <w:p w:rsidR="00B80109" w:rsidRPr="004B2881" w:rsidRDefault="00B80109" w:rsidP="00B80109">
            <w:pPr>
              <w:pStyle w:val="Default"/>
              <w:spacing w:before="60" w:after="60"/>
              <w:jc w:val="center"/>
              <w:rPr>
                <w:rFonts w:asciiTheme="majorBidi" w:hAnsiTheme="majorBidi" w:cstheme="majorBidi"/>
                <w:sz w:val="20"/>
                <w:szCs w:val="20"/>
                <w:lang w:val="fr-FR"/>
              </w:rPr>
            </w:pPr>
          </w:p>
          <w:p w:rsidR="00B80109" w:rsidRPr="004B2881" w:rsidRDefault="00B80109" w:rsidP="00B8010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br/>
            </w:r>
            <w:r w:rsidRPr="004B2881">
              <w:rPr>
                <w:rFonts w:asciiTheme="majorBidi" w:hAnsiTheme="majorBidi" w:cstheme="majorBidi"/>
                <w:sz w:val="20"/>
                <w:szCs w:val="20"/>
                <w:lang w:val="fr-FR"/>
              </w:rPr>
              <w:br/>
            </w:r>
          </w:p>
          <w:p w:rsidR="00B80109" w:rsidRPr="004B2881" w:rsidRDefault="00B80109" w:rsidP="00B80109">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580 000</w:t>
            </w:r>
          </w:p>
          <w:p w:rsidR="0092148C" w:rsidRPr="004B2881" w:rsidRDefault="0006154D" w:rsidP="0092148C">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870 000</w:t>
            </w:r>
          </w:p>
          <w:p w:rsidR="0006154D" w:rsidRPr="004B2881" w:rsidRDefault="0092148C" w:rsidP="0092148C">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1 450 000</w:t>
            </w:r>
          </w:p>
          <w:p w:rsidR="0092148C" w:rsidRPr="004B2881" w:rsidRDefault="0092148C" w:rsidP="0092148C">
            <w:pPr>
              <w:pStyle w:val="Default"/>
              <w:spacing w:before="60" w:after="60"/>
              <w:jc w:val="center"/>
              <w:rPr>
                <w:rFonts w:asciiTheme="majorBidi" w:hAnsiTheme="majorBidi" w:cstheme="majorBidi"/>
                <w:sz w:val="20"/>
                <w:szCs w:val="20"/>
                <w:lang w:val="fr-FR"/>
              </w:rPr>
            </w:pPr>
          </w:p>
          <w:p w:rsidR="00D43F9E" w:rsidRPr="004B2881" w:rsidRDefault="00D43F9E" w:rsidP="0092148C">
            <w:pPr>
              <w:pStyle w:val="Default"/>
              <w:spacing w:before="60" w:after="60"/>
              <w:jc w:val="center"/>
              <w:rPr>
                <w:rFonts w:asciiTheme="majorBidi" w:hAnsiTheme="majorBidi" w:cstheme="majorBidi"/>
                <w:sz w:val="20"/>
                <w:szCs w:val="20"/>
                <w:lang w:val="fr-FR"/>
              </w:rPr>
            </w:pPr>
          </w:p>
          <w:p w:rsidR="00471A34" w:rsidRPr="004B2881" w:rsidRDefault="00471A34" w:rsidP="0092148C">
            <w:pPr>
              <w:pStyle w:val="Default"/>
              <w:spacing w:before="60" w:after="60"/>
              <w:jc w:val="center"/>
              <w:rPr>
                <w:rFonts w:asciiTheme="majorBidi" w:hAnsiTheme="majorBidi" w:cstheme="majorBidi"/>
                <w:sz w:val="20"/>
                <w:szCs w:val="20"/>
                <w:lang w:val="fr-FR"/>
              </w:rPr>
            </w:pPr>
          </w:p>
          <w:p w:rsidR="0006154D" w:rsidRPr="004B2881" w:rsidRDefault="00D43F9E" w:rsidP="004420B4">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580 000</w:t>
            </w:r>
          </w:p>
          <w:p w:rsidR="0006154D" w:rsidRPr="004B2881" w:rsidRDefault="0006154D" w:rsidP="00D43F9E">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870 000</w:t>
            </w:r>
          </w:p>
          <w:p w:rsidR="00721E08" w:rsidRPr="004B2881" w:rsidRDefault="0006154D" w:rsidP="00CA1B56">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1 450 000</w:t>
            </w:r>
          </w:p>
          <w:p w:rsidR="00D43F9E" w:rsidRPr="004B2881" w:rsidRDefault="00D43F9E" w:rsidP="00CA1B56">
            <w:pPr>
              <w:pStyle w:val="Default"/>
              <w:spacing w:before="60" w:after="60"/>
              <w:jc w:val="center"/>
              <w:rPr>
                <w:rFonts w:asciiTheme="majorBidi" w:hAnsiTheme="majorBidi" w:cstheme="majorBidi"/>
                <w:sz w:val="20"/>
                <w:szCs w:val="20"/>
                <w:lang w:val="fr-FR"/>
              </w:rPr>
            </w:pPr>
          </w:p>
          <w:p w:rsidR="00D43F9E" w:rsidRPr="004B2881" w:rsidRDefault="00D43F9E" w:rsidP="004420B4">
            <w:pPr>
              <w:pStyle w:val="Default"/>
              <w:spacing w:before="60" w:after="60"/>
              <w:jc w:val="center"/>
              <w:rPr>
                <w:rFonts w:asciiTheme="majorBidi" w:hAnsiTheme="majorBidi" w:cstheme="majorBidi"/>
                <w:sz w:val="20"/>
                <w:szCs w:val="20"/>
                <w:lang w:val="fr-FR"/>
              </w:rPr>
            </w:pPr>
          </w:p>
          <w:p w:rsidR="00D43F9E" w:rsidRPr="004B2881" w:rsidRDefault="00D43F9E" w:rsidP="004420B4">
            <w:pPr>
              <w:pStyle w:val="Default"/>
              <w:spacing w:before="60" w:after="60"/>
              <w:jc w:val="center"/>
              <w:rPr>
                <w:rFonts w:asciiTheme="majorBidi" w:hAnsiTheme="majorBidi" w:cstheme="majorBidi"/>
                <w:sz w:val="20"/>
                <w:szCs w:val="20"/>
                <w:lang w:val="fr-FR"/>
              </w:rPr>
            </w:pPr>
          </w:p>
          <w:p w:rsidR="00D43F9E" w:rsidRPr="004B2881" w:rsidRDefault="00D43F9E" w:rsidP="004420B4">
            <w:pPr>
              <w:pStyle w:val="Default"/>
              <w:spacing w:before="60" w:after="60"/>
              <w:jc w:val="center"/>
              <w:rPr>
                <w:rFonts w:asciiTheme="majorBidi" w:hAnsiTheme="majorBidi" w:cstheme="majorBidi"/>
                <w:sz w:val="20"/>
                <w:szCs w:val="20"/>
                <w:lang w:val="fr-FR"/>
              </w:rPr>
            </w:pPr>
          </w:p>
          <w:p w:rsidR="00D43F9E" w:rsidRPr="004B2881" w:rsidRDefault="00D43F9E" w:rsidP="004420B4">
            <w:pPr>
              <w:pStyle w:val="Default"/>
              <w:spacing w:before="60" w:after="60"/>
              <w:jc w:val="center"/>
              <w:rPr>
                <w:rFonts w:asciiTheme="majorBidi" w:hAnsiTheme="majorBidi" w:cstheme="majorBidi"/>
                <w:sz w:val="20"/>
                <w:szCs w:val="20"/>
                <w:lang w:val="fr-FR"/>
              </w:rPr>
            </w:pPr>
          </w:p>
          <w:p w:rsidR="00CA1B56" w:rsidRPr="004B2881" w:rsidRDefault="00CA1B56" w:rsidP="004420B4">
            <w:pPr>
              <w:pStyle w:val="Default"/>
              <w:spacing w:before="60" w:after="60"/>
              <w:jc w:val="center"/>
              <w:rPr>
                <w:rFonts w:asciiTheme="majorBidi" w:hAnsiTheme="majorBidi" w:cstheme="majorBidi"/>
                <w:sz w:val="20"/>
                <w:szCs w:val="20"/>
                <w:lang w:val="fr-FR"/>
              </w:rPr>
            </w:pPr>
          </w:p>
          <w:p w:rsidR="00CA1B56" w:rsidRPr="004B2881" w:rsidRDefault="00CA1B56" w:rsidP="004420B4">
            <w:pPr>
              <w:pStyle w:val="Default"/>
              <w:spacing w:before="60" w:after="60"/>
              <w:jc w:val="center"/>
              <w:rPr>
                <w:rFonts w:asciiTheme="majorBidi" w:hAnsiTheme="majorBidi" w:cstheme="majorBidi"/>
                <w:sz w:val="20"/>
                <w:szCs w:val="20"/>
                <w:lang w:val="fr-FR"/>
              </w:rPr>
            </w:pPr>
          </w:p>
          <w:p w:rsidR="00CA1B56" w:rsidRPr="004B2881" w:rsidRDefault="00CA1B56" w:rsidP="004420B4">
            <w:pPr>
              <w:pStyle w:val="Default"/>
              <w:spacing w:before="60" w:after="60"/>
              <w:jc w:val="center"/>
              <w:rPr>
                <w:rFonts w:asciiTheme="majorBidi" w:hAnsiTheme="majorBidi" w:cstheme="majorBidi"/>
                <w:sz w:val="20"/>
                <w:szCs w:val="20"/>
                <w:lang w:val="fr-FR"/>
              </w:rPr>
            </w:pPr>
          </w:p>
          <w:p w:rsidR="00CA1B56" w:rsidRPr="004B2881" w:rsidRDefault="00CA1B56" w:rsidP="004420B4">
            <w:pPr>
              <w:pStyle w:val="Default"/>
              <w:spacing w:before="60" w:after="60"/>
              <w:jc w:val="center"/>
              <w:rPr>
                <w:rFonts w:asciiTheme="majorBidi" w:hAnsiTheme="majorBidi" w:cstheme="majorBidi"/>
                <w:sz w:val="20"/>
                <w:szCs w:val="20"/>
                <w:lang w:val="fr-FR"/>
              </w:rPr>
            </w:pPr>
          </w:p>
          <w:p w:rsidR="00D43F9E" w:rsidRPr="004B2881" w:rsidRDefault="00D43F9E" w:rsidP="004420B4">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06154D" w:rsidRPr="004B2881" w:rsidRDefault="00D43F9E" w:rsidP="004420B4">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w:t>
            </w:r>
          </w:p>
          <w:p w:rsidR="0006154D" w:rsidRPr="004B2881" w:rsidRDefault="00D43F9E" w:rsidP="00A51DC7">
            <w:pPr>
              <w:pStyle w:val="Default"/>
              <w:spacing w:before="60" w:after="60"/>
              <w:jc w:val="center"/>
              <w:rPr>
                <w:rFonts w:asciiTheme="majorBidi" w:hAnsiTheme="majorBidi" w:cstheme="majorBidi"/>
                <w:color w:val="auto"/>
                <w:sz w:val="20"/>
                <w:szCs w:val="20"/>
                <w:lang w:val="fr-FR"/>
              </w:rPr>
            </w:pPr>
            <w:r w:rsidRPr="004B2881">
              <w:rPr>
                <w:rFonts w:asciiTheme="majorBidi" w:hAnsiTheme="majorBidi" w:cstheme="majorBidi"/>
                <w:sz w:val="20"/>
                <w:szCs w:val="20"/>
                <w:lang w:val="fr-FR"/>
              </w:rPr>
              <w:t>–</w:t>
            </w:r>
          </w:p>
        </w:tc>
        <w:tc>
          <w:tcPr>
            <w:tcW w:w="1264" w:type="dxa"/>
          </w:tcPr>
          <w:p w:rsidR="0006154D" w:rsidRPr="004B2881" w:rsidRDefault="0006154D" w:rsidP="00E0356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348 000</w:t>
            </w:r>
          </w:p>
          <w:p w:rsidR="0006154D" w:rsidRPr="004B2881" w:rsidRDefault="0006154D" w:rsidP="00E0356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870 000</w:t>
            </w:r>
            <w:r w:rsidR="00A51DC7" w:rsidRPr="004B2881">
              <w:rPr>
                <w:rFonts w:asciiTheme="majorBidi" w:hAnsiTheme="majorBidi" w:cstheme="majorBidi"/>
                <w:sz w:val="20"/>
                <w:szCs w:val="20"/>
                <w:lang w:val="fr-FR"/>
              </w:rPr>
              <w:br/>
            </w:r>
          </w:p>
          <w:p w:rsidR="0006154D" w:rsidRPr="004B2881" w:rsidRDefault="0006154D" w:rsidP="00E0356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1 740</w:t>
            </w:r>
            <w:r w:rsidR="00E03567" w:rsidRPr="004B2881">
              <w:rPr>
                <w:rFonts w:asciiTheme="majorBidi" w:hAnsiTheme="majorBidi" w:cstheme="majorBidi"/>
                <w:sz w:val="20"/>
                <w:szCs w:val="20"/>
                <w:lang w:val="fr-FR"/>
              </w:rPr>
              <w:t xml:space="preserve"> </w:t>
            </w:r>
            <w:r w:rsidRPr="004B2881">
              <w:rPr>
                <w:rFonts w:asciiTheme="majorBidi" w:hAnsiTheme="majorBidi" w:cstheme="majorBidi"/>
                <w:sz w:val="20"/>
                <w:szCs w:val="20"/>
                <w:lang w:val="fr-FR"/>
              </w:rPr>
              <w:t>000</w:t>
            </w: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B71210">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br/>
            </w:r>
            <w:r w:rsidRPr="004B2881">
              <w:rPr>
                <w:rFonts w:asciiTheme="majorBidi" w:hAnsiTheme="majorBidi" w:cstheme="majorBidi"/>
                <w:sz w:val="20"/>
                <w:szCs w:val="20"/>
                <w:lang w:val="fr-FR"/>
              </w:rPr>
              <w:br/>
            </w: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A51DC7" w:rsidRPr="004B2881" w:rsidRDefault="00A51DC7" w:rsidP="004420B4">
            <w:pPr>
              <w:pStyle w:val="Default"/>
              <w:spacing w:before="60" w:after="60"/>
              <w:jc w:val="center"/>
              <w:rPr>
                <w:rFonts w:asciiTheme="majorBidi" w:hAnsiTheme="majorBidi" w:cstheme="majorBidi"/>
                <w:sz w:val="20"/>
                <w:szCs w:val="20"/>
                <w:lang w:val="fr-FR"/>
              </w:rPr>
            </w:pPr>
          </w:p>
          <w:p w:rsidR="00471A34" w:rsidRPr="004B2881" w:rsidRDefault="00471A34" w:rsidP="004420B4">
            <w:pPr>
              <w:pStyle w:val="Default"/>
              <w:spacing w:before="60" w:after="60"/>
              <w:jc w:val="center"/>
              <w:rPr>
                <w:rFonts w:asciiTheme="majorBidi" w:hAnsiTheme="majorBidi" w:cstheme="majorBidi"/>
                <w:sz w:val="20"/>
                <w:szCs w:val="20"/>
                <w:lang w:val="fr-FR"/>
              </w:rPr>
            </w:pPr>
          </w:p>
          <w:p w:rsidR="00721E08" w:rsidRPr="004B2881" w:rsidRDefault="00721E08" w:rsidP="004420B4">
            <w:pPr>
              <w:pStyle w:val="Default"/>
              <w:spacing w:before="60" w:after="60"/>
              <w:jc w:val="center"/>
              <w:rPr>
                <w:rFonts w:asciiTheme="majorBidi" w:hAnsiTheme="majorBidi" w:cstheme="majorBidi"/>
                <w:sz w:val="20"/>
                <w:szCs w:val="20"/>
                <w:lang w:val="fr-FR"/>
              </w:rPr>
            </w:pPr>
          </w:p>
          <w:p w:rsidR="0006154D" w:rsidRPr="004B2881" w:rsidRDefault="0006154D" w:rsidP="00A51DC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1 004 000</w:t>
            </w:r>
          </w:p>
          <w:p w:rsidR="0006154D" w:rsidRPr="004B2881" w:rsidRDefault="0006154D" w:rsidP="00A51DC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 xml:space="preserve">3 480 </w:t>
            </w:r>
            <w:r w:rsidR="00A51DC7" w:rsidRPr="004B2881">
              <w:rPr>
                <w:rFonts w:asciiTheme="majorBidi" w:hAnsiTheme="majorBidi" w:cstheme="majorBidi"/>
                <w:sz w:val="20"/>
                <w:szCs w:val="20"/>
                <w:lang w:val="fr-FR"/>
              </w:rPr>
              <w:t>000</w:t>
            </w:r>
          </w:p>
          <w:p w:rsidR="00F720D3" w:rsidRPr="004B2881" w:rsidRDefault="0006154D" w:rsidP="00A51DC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 xml:space="preserve">5 800 </w:t>
            </w:r>
            <w:r w:rsidR="00A51DC7" w:rsidRPr="004B2881">
              <w:rPr>
                <w:rFonts w:asciiTheme="majorBidi" w:hAnsiTheme="majorBidi" w:cstheme="majorBidi"/>
                <w:sz w:val="20"/>
                <w:szCs w:val="20"/>
                <w:lang w:val="fr-FR"/>
              </w:rPr>
              <w:t>000</w:t>
            </w: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A51DC7" w:rsidRPr="004B2881" w:rsidRDefault="00A51DC7" w:rsidP="00A51DC7">
            <w:pPr>
              <w:pStyle w:val="Default"/>
              <w:spacing w:before="60" w:after="60"/>
              <w:jc w:val="center"/>
              <w:rPr>
                <w:rFonts w:asciiTheme="majorBidi" w:hAnsiTheme="majorBidi" w:cstheme="majorBidi"/>
                <w:sz w:val="20"/>
                <w:szCs w:val="20"/>
                <w:lang w:val="fr-FR"/>
              </w:rPr>
            </w:pPr>
          </w:p>
          <w:p w:rsidR="0006154D" w:rsidRPr="004B2881" w:rsidRDefault="0006154D" w:rsidP="00A51DC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 xml:space="preserve">1 740 000 </w:t>
            </w:r>
          </w:p>
          <w:p w:rsidR="0006154D" w:rsidRPr="004B2881" w:rsidRDefault="0006154D" w:rsidP="00A51DC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 xml:space="preserve">5 800 000 </w:t>
            </w:r>
          </w:p>
          <w:p w:rsidR="0006154D" w:rsidRPr="004B2881" w:rsidRDefault="0006154D" w:rsidP="00A51DC7">
            <w:pPr>
              <w:pStyle w:val="Default"/>
              <w:spacing w:before="60"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 xml:space="preserve">8 700 000 </w:t>
            </w:r>
          </w:p>
        </w:tc>
      </w:tr>
    </w:tbl>
    <w:p w:rsidR="005B0868" w:rsidRPr="004B2881" w:rsidRDefault="005B0868" w:rsidP="00401ECE">
      <w:pPr>
        <w:rPr>
          <w:lang w:val="fr-FR"/>
        </w:rPr>
      </w:pPr>
    </w:p>
    <w:p w:rsidR="00B267F0" w:rsidRPr="004B2881" w:rsidRDefault="00B267F0" w:rsidP="00401ECE">
      <w:pPr>
        <w:rPr>
          <w:lang w:val="fr-FR"/>
        </w:rPr>
      </w:pPr>
    </w:p>
    <w:p w:rsidR="00401ECE" w:rsidRPr="004B2881" w:rsidRDefault="00401ECE">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p w:rsidR="00401ECE" w:rsidRPr="004B2881" w:rsidRDefault="002A0DFA" w:rsidP="00B80466">
      <w:pPr>
        <w:pStyle w:val="AnnexNotitle"/>
        <w:rPr>
          <w:rFonts w:asciiTheme="majorBidi" w:hAnsiTheme="majorBidi" w:cstheme="majorBidi"/>
          <w:bCs/>
          <w:lang w:val="fr-FR"/>
        </w:rPr>
      </w:pPr>
      <w:bookmarkStart w:id="1001" w:name="_Toc280260068"/>
      <w:bookmarkStart w:id="1002" w:name="_Toc280272533"/>
      <w:bookmarkStart w:id="1003" w:name="_Toc284414204"/>
      <w:bookmarkStart w:id="1004" w:name="_Toc286314948"/>
      <w:r w:rsidRPr="004B2881">
        <w:rPr>
          <w:lang w:val="fr-FR"/>
        </w:rPr>
        <w:lastRenderedPageBreak/>
        <w:t>ANNEXE</w:t>
      </w:r>
      <w:r w:rsidRPr="004B2881">
        <w:rPr>
          <w:lang w:val="fr-FR"/>
        </w:rPr>
        <w:br/>
      </w:r>
      <w:r w:rsidRPr="004B2881">
        <w:rPr>
          <w:lang w:val="fr-FR"/>
        </w:rPr>
        <w:br/>
      </w:r>
      <w:r w:rsidR="00401ECE" w:rsidRPr="004B2881">
        <w:rPr>
          <w:rFonts w:asciiTheme="majorBidi" w:hAnsiTheme="majorBidi" w:cstheme="majorBidi"/>
          <w:bCs/>
          <w:lang w:val="fr-FR"/>
        </w:rPr>
        <w:t>ORDONNANCE N° 97-173 DU 19 MARS 1</w:t>
      </w:r>
      <w:r w:rsidR="004C001B" w:rsidRPr="004B2881">
        <w:rPr>
          <w:rFonts w:asciiTheme="majorBidi" w:hAnsiTheme="majorBidi" w:cstheme="majorBidi"/>
          <w:bCs/>
          <w:lang w:val="fr-FR"/>
        </w:rPr>
        <w:t>997</w:t>
      </w:r>
      <w:r w:rsidR="004C001B" w:rsidRPr="004B2881">
        <w:rPr>
          <w:rFonts w:asciiTheme="majorBidi" w:hAnsiTheme="majorBidi" w:cstheme="majorBidi"/>
          <w:bCs/>
          <w:lang w:val="fr-FR"/>
        </w:rPr>
        <w:br/>
      </w:r>
      <w:r w:rsidR="00401ECE" w:rsidRPr="004B2881">
        <w:rPr>
          <w:rFonts w:asciiTheme="majorBidi" w:hAnsiTheme="majorBidi" w:cstheme="majorBidi"/>
          <w:bCs/>
          <w:lang w:val="fr-FR"/>
        </w:rPr>
        <w:t>MONTANT DES DROITS, TAXES ET REDEVANCES RADI</w:t>
      </w:r>
      <w:r w:rsidR="00BC7CD9" w:rsidRPr="004B2881">
        <w:rPr>
          <w:rFonts w:asciiTheme="majorBidi" w:hAnsiTheme="majorBidi" w:cstheme="majorBidi"/>
          <w:bCs/>
          <w:lang w:val="fr-FR"/>
        </w:rPr>
        <w:t>OÉ</w:t>
      </w:r>
      <w:r w:rsidR="00401ECE" w:rsidRPr="004B2881">
        <w:rPr>
          <w:rFonts w:asciiTheme="majorBidi" w:hAnsiTheme="majorBidi" w:cstheme="majorBidi"/>
          <w:bCs/>
          <w:lang w:val="fr-FR"/>
        </w:rPr>
        <w:t>LECTRIQUES</w:t>
      </w:r>
      <w:bookmarkEnd w:id="1001"/>
      <w:bookmarkEnd w:id="1002"/>
      <w:bookmarkEnd w:id="1003"/>
      <w:bookmarkEnd w:id="1004"/>
    </w:p>
    <w:p w:rsidR="00D42557" w:rsidRPr="004B2881" w:rsidRDefault="00B80466" w:rsidP="004D5981">
      <w:pPr>
        <w:pStyle w:val="Heading1"/>
        <w:tabs>
          <w:tab w:val="clear" w:pos="794"/>
          <w:tab w:val="left" w:pos="426"/>
        </w:tabs>
        <w:rPr>
          <w:lang w:val="fr-FR"/>
        </w:rPr>
      </w:pPr>
      <w:bookmarkStart w:id="1005" w:name="_Toc280260069"/>
      <w:bookmarkStart w:id="1006" w:name="_Toc280260921"/>
      <w:bookmarkStart w:id="1007" w:name="_Toc280272534"/>
      <w:bookmarkStart w:id="1008" w:name="_Toc284414205"/>
      <w:bookmarkStart w:id="1009" w:name="_Toc286314949"/>
      <w:r w:rsidRPr="004B2881">
        <w:rPr>
          <w:lang w:val="fr-FR"/>
        </w:rPr>
        <w:t>A</w:t>
      </w:r>
      <w:r w:rsidR="004D5981" w:rsidRPr="004B2881">
        <w:rPr>
          <w:lang w:val="fr-FR"/>
        </w:rPr>
        <w:tab/>
      </w:r>
      <w:r w:rsidRPr="004B2881">
        <w:rPr>
          <w:lang w:val="fr-FR"/>
        </w:rPr>
        <w:t>SERVICES DE RADIOCOMMUNICATION DE TERRE</w:t>
      </w:r>
      <w:bookmarkEnd w:id="1005"/>
      <w:bookmarkEnd w:id="1006"/>
      <w:bookmarkEnd w:id="1007"/>
      <w:bookmarkEnd w:id="1008"/>
      <w:bookmarkEnd w:id="1009"/>
    </w:p>
    <w:p w:rsidR="00B80466" w:rsidRPr="004B2881" w:rsidRDefault="00B80466" w:rsidP="00184497">
      <w:pPr>
        <w:spacing w:before="0"/>
        <w:rPr>
          <w:lang w:val="fr-FR"/>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771F95" w:rsidRPr="004E2CF1" w:rsidTr="001C1DE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A83C44" w:rsidP="00A83C44">
            <w:pPr>
              <w:pStyle w:val="TableNotitle"/>
              <w:spacing w:before="120"/>
              <w:rPr>
                <w:sz w:val="20"/>
                <w:lang w:val="fr-FR"/>
              </w:rPr>
            </w:pPr>
            <w:r w:rsidRPr="004B2881">
              <w:rPr>
                <w:sz w:val="20"/>
                <w:lang w:val="fr-FR"/>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A83C44" w:rsidP="00A83C44">
            <w:pPr>
              <w:pStyle w:val="TableNotitle"/>
              <w:spacing w:before="120"/>
              <w:rPr>
                <w:sz w:val="20"/>
                <w:lang w:val="fr-FR"/>
              </w:rPr>
            </w:pPr>
            <w:r w:rsidRPr="004B2881">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A83C44" w:rsidP="004E0765">
            <w:pPr>
              <w:pStyle w:val="TableNotitle"/>
              <w:spacing w:before="120"/>
              <w:rPr>
                <w:sz w:val="20"/>
                <w:lang w:val="fr-FR"/>
              </w:rPr>
            </w:pPr>
            <w:r w:rsidRPr="004B2881">
              <w:rPr>
                <w:sz w:val="20"/>
                <w:lang w:val="fr-FR"/>
              </w:rPr>
              <w:t xml:space="preserve">Taxe de visite ou de </w:t>
            </w:r>
            <w:r w:rsidR="004B2881" w:rsidRPr="004B2881">
              <w:rPr>
                <w:sz w:val="20"/>
                <w:lang w:val="fr-FR"/>
              </w:rPr>
              <w:t>contrôle</w:t>
            </w:r>
            <w:r w:rsidRPr="004B2881">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4E0765" w:rsidP="004E0765">
            <w:pPr>
              <w:pStyle w:val="TableNotitle"/>
              <w:spacing w:before="120"/>
              <w:ind w:leftChars="-50" w:left="-110" w:rightChars="-50" w:right="-110"/>
              <w:rPr>
                <w:sz w:val="20"/>
                <w:lang w:val="fr-FR"/>
              </w:rPr>
            </w:pPr>
            <w:r w:rsidRPr="004B2881">
              <w:rPr>
                <w:sz w:val="20"/>
                <w:lang w:val="fr-FR"/>
              </w:rPr>
              <w:t>C</w:t>
            </w:r>
            <w:r w:rsidR="00A83C44" w:rsidRPr="004B2881">
              <w:rPr>
                <w:sz w:val="20"/>
                <w:lang w:val="fr-FR"/>
              </w:rPr>
              <w:t xml:space="preserve">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4B2881" w:rsidP="0014475F">
            <w:pPr>
              <w:pStyle w:val="TableNotitle"/>
              <w:spacing w:before="120"/>
              <w:ind w:leftChars="-50" w:left="-110" w:rightChars="-50" w:right="-110"/>
              <w:rPr>
                <w:sz w:val="20"/>
                <w:lang w:val="fr-FR"/>
              </w:rPr>
            </w:pPr>
            <w:r w:rsidRPr="004B2881">
              <w:rPr>
                <w:sz w:val="20"/>
                <w:lang w:val="fr-FR"/>
              </w:rPr>
              <w:t>Redevance</w:t>
            </w:r>
            <w:r w:rsidR="004E0765" w:rsidRPr="004B2881">
              <w:rPr>
                <w:sz w:val="20"/>
                <w:lang w:val="fr-FR"/>
              </w:rPr>
              <w:t xml:space="preserve"> </w:t>
            </w:r>
            <w:r w:rsidR="00A83C44" w:rsidRPr="004B2881">
              <w:rPr>
                <w:sz w:val="20"/>
                <w:lang w:val="fr-FR"/>
              </w:rPr>
              <w:t xml:space="preserve">pour l’utilisation d’une </w:t>
            </w:r>
            <w:r w:rsidRPr="004B2881">
              <w:rPr>
                <w:sz w:val="20"/>
                <w:lang w:val="fr-FR"/>
              </w:rPr>
              <w:t>fréquence</w:t>
            </w:r>
            <w:r w:rsidR="00A83C44" w:rsidRPr="004B2881">
              <w:rPr>
                <w:sz w:val="20"/>
                <w:lang w:val="fr-FR"/>
              </w:rPr>
              <w:t xml:space="preserve"> ou d’un canal radi</w:t>
            </w:r>
            <w:r w:rsidR="00AF5A30" w:rsidRPr="004B2881">
              <w:rPr>
                <w:sz w:val="20"/>
                <w:lang w:val="fr-FR"/>
              </w:rPr>
              <w:t>oé</w:t>
            </w:r>
            <w:r w:rsidR="00A83C44" w:rsidRPr="004B2881">
              <w:rPr>
                <w:sz w:val="20"/>
                <w:lang w:val="fr-FR"/>
              </w:rPr>
              <w:t xml:space="preserve">lectrique </w:t>
            </w:r>
          </w:p>
        </w:tc>
      </w:tr>
      <w:tr w:rsidR="00771F95" w:rsidRPr="004E2CF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151785" w:rsidP="004C001B">
            <w:pPr>
              <w:pStyle w:val="TableText0"/>
              <w:ind w:left="284" w:hanging="284"/>
              <w:rPr>
                <w:sz w:val="20"/>
                <w:lang w:val="fr-FR"/>
              </w:rPr>
            </w:pPr>
            <w:r w:rsidRPr="004B2881">
              <w:rPr>
                <w:sz w:val="20"/>
                <w:lang w:val="fr-FR"/>
              </w:rPr>
              <w:t>I</w:t>
            </w:r>
            <w:r w:rsidR="004C001B" w:rsidRPr="004B2881">
              <w:rPr>
                <w:sz w:val="20"/>
                <w:lang w:val="fr-FR"/>
              </w:rPr>
              <w:tab/>
            </w:r>
            <w:r w:rsidR="00771F95" w:rsidRPr="004B2881">
              <w:rPr>
                <w:sz w:val="20"/>
                <w:lang w:val="fr-FR"/>
              </w:rPr>
              <w:t xml:space="preserve">RESEAU FIXE ET MOBILES TERRESTRES INDEPENDANTS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7912AB" w:rsidP="00151785">
            <w:pPr>
              <w:pStyle w:val="TableText0"/>
              <w:ind w:left="851" w:hanging="851"/>
              <w:rPr>
                <w:sz w:val="20"/>
                <w:lang w:val="fr-FR"/>
              </w:rPr>
            </w:pPr>
            <w:r w:rsidRPr="004B2881">
              <w:rPr>
                <w:sz w:val="20"/>
                <w:lang w:val="fr-FR"/>
              </w:rPr>
              <w:tab/>
            </w:r>
            <w:r w:rsidR="00151785" w:rsidRPr="004B2881">
              <w:rPr>
                <w:sz w:val="20"/>
                <w:lang w:val="fr-FR"/>
              </w:rPr>
              <w:t>I</w:t>
            </w:r>
            <w:r w:rsidR="00771F95" w:rsidRPr="004B2881">
              <w:rPr>
                <w:sz w:val="20"/>
                <w:lang w:val="fr-FR"/>
              </w:rPr>
              <w:t>.1</w:t>
            </w:r>
            <w:r w:rsidRPr="004B2881">
              <w:rPr>
                <w:sz w:val="20"/>
                <w:lang w:val="fr-FR"/>
              </w:rPr>
              <w:tab/>
            </w:r>
            <w:r w:rsidR="00A83C44" w:rsidRPr="004B2881">
              <w:rPr>
                <w:sz w:val="20"/>
                <w:lang w:val="fr-FR"/>
              </w:rPr>
              <w:tab/>
            </w:r>
            <w:r w:rsidR="00771F95" w:rsidRPr="004B2881">
              <w:rPr>
                <w:sz w:val="20"/>
                <w:lang w:val="fr-FR"/>
              </w:rPr>
              <w:t>Réseau de radiotéléphonie VHF/UHF (largeur du canal</w:t>
            </w:r>
            <w:r w:rsidR="00B30F87" w:rsidRPr="004B2881">
              <w:rPr>
                <w:sz w:val="20"/>
                <w:lang w:val="fr-FR"/>
              </w:rPr>
              <w:t xml:space="preserve"> = 12,5 </w:t>
            </w:r>
            <w:r w:rsidR="00771F95" w:rsidRPr="004B2881">
              <w:rPr>
                <w:sz w:val="20"/>
                <w:lang w:val="fr-FR"/>
              </w:rPr>
              <w:t xml:space="preserve">kHz </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7912AB" w:rsidP="00921625">
            <w:pPr>
              <w:pStyle w:val="TableText0"/>
              <w:tabs>
                <w:tab w:val="clear" w:pos="567"/>
                <w:tab w:val="clear" w:pos="851"/>
                <w:tab w:val="left" w:pos="444"/>
                <w:tab w:val="left" w:pos="833"/>
              </w:tabs>
              <w:ind w:left="851" w:hanging="851"/>
              <w:rPr>
                <w:sz w:val="20"/>
                <w:lang w:val="fr-FR"/>
              </w:rPr>
            </w:pPr>
            <w:r w:rsidRPr="004B2881">
              <w:rPr>
                <w:sz w:val="20"/>
                <w:lang w:val="fr-FR"/>
              </w:rPr>
              <w:tab/>
            </w:r>
            <w:r w:rsidRPr="004B2881">
              <w:rPr>
                <w:sz w:val="20"/>
                <w:lang w:val="fr-FR"/>
              </w:rPr>
              <w:tab/>
            </w:r>
            <w:r w:rsidR="00921625" w:rsidRPr="004B2881">
              <w:rPr>
                <w:sz w:val="20"/>
                <w:lang w:val="fr-FR"/>
              </w:rPr>
              <w:t>A</w:t>
            </w:r>
            <w:r w:rsidRPr="004B2881">
              <w:rPr>
                <w:sz w:val="20"/>
                <w:lang w:val="fr-FR"/>
              </w:rPr>
              <w:t>1</w:t>
            </w:r>
            <w:r w:rsidRPr="004B2881">
              <w:rPr>
                <w:sz w:val="20"/>
                <w:lang w:val="fr-FR"/>
              </w:rPr>
              <w:tab/>
            </w:r>
            <w:r w:rsidR="00771F95" w:rsidRPr="004B2881">
              <w:rPr>
                <w:sz w:val="20"/>
                <w:lang w:val="fr-FR"/>
              </w:rPr>
              <w:t xml:space="preserve">Puissance de l’émetteur inférieur ou égal à 10 w </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8 700</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r>
      <w:tr w:rsidR="00771F95" w:rsidRPr="004B2881" w:rsidTr="002A3FD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4B2881" w:rsidRDefault="007912AB" w:rsidP="00921625">
            <w:pPr>
              <w:pStyle w:val="TableText0"/>
              <w:tabs>
                <w:tab w:val="clear" w:pos="567"/>
                <w:tab w:val="clear" w:pos="851"/>
                <w:tab w:val="left" w:pos="444"/>
                <w:tab w:val="left" w:pos="833"/>
              </w:tabs>
              <w:ind w:left="851" w:hanging="851"/>
              <w:rPr>
                <w:sz w:val="20"/>
                <w:lang w:val="fr-FR"/>
              </w:rPr>
            </w:pPr>
            <w:r w:rsidRPr="004B2881">
              <w:rPr>
                <w:sz w:val="20"/>
                <w:lang w:val="fr-FR"/>
              </w:rPr>
              <w:tab/>
            </w:r>
            <w:r w:rsidRPr="004B2881">
              <w:rPr>
                <w:sz w:val="20"/>
                <w:lang w:val="fr-FR"/>
              </w:rPr>
              <w:tab/>
            </w:r>
            <w:r w:rsidR="00921625" w:rsidRPr="004B2881">
              <w:rPr>
                <w:sz w:val="20"/>
                <w:lang w:val="fr-FR"/>
              </w:rPr>
              <w:t>A</w:t>
            </w:r>
            <w:r w:rsidRPr="004B2881">
              <w:rPr>
                <w:sz w:val="20"/>
                <w:lang w:val="fr-FR"/>
              </w:rPr>
              <w:t>2</w:t>
            </w:r>
            <w:r w:rsidRPr="004B2881">
              <w:rPr>
                <w:sz w:val="20"/>
                <w:lang w:val="fr-FR"/>
              </w:rPr>
              <w:tab/>
            </w:r>
            <w:r w:rsidR="00771F95" w:rsidRPr="004B2881">
              <w:rPr>
                <w:sz w:val="20"/>
                <w:lang w:val="fr-FR"/>
              </w:rPr>
              <w:t xml:space="preserve">Puissance de l’émetteur comprise entre 10 et 25 w </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145 000</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r>
      <w:tr w:rsidR="00771F95" w:rsidRPr="004B2881" w:rsidTr="002A3FDB">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771F95" w:rsidRPr="004B2881" w:rsidRDefault="007912AB" w:rsidP="00921625">
            <w:pPr>
              <w:pStyle w:val="TableText0"/>
              <w:tabs>
                <w:tab w:val="clear" w:pos="567"/>
                <w:tab w:val="clear" w:pos="851"/>
                <w:tab w:val="left" w:pos="444"/>
                <w:tab w:val="left" w:pos="833"/>
              </w:tabs>
              <w:ind w:left="851" w:hanging="851"/>
              <w:rPr>
                <w:sz w:val="20"/>
                <w:lang w:val="fr-FR"/>
              </w:rPr>
            </w:pPr>
            <w:r w:rsidRPr="004B2881">
              <w:rPr>
                <w:sz w:val="20"/>
                <w:lang w:val="fr-FR"/>
              </w:rPr>
              <w:tab/>
            </w:r>
            <w:r w:rsidRPr="004B2881">
              <w:rPr>
                <w:sz w:val="20"/>
                <w:lang w:val="fr-FR"/>
              </w:rPr>
              <w:tab/>
            </w:r>
            <w:r w:rsidR="00921625" w:rsidRPr="004B2881">
              <w:rPr>
                <w:sz w:val="20"/>
                <w:lang w:val="fr-FR"/>
              </w:rPr>
              <w:t>A</w:t>
            </w:r>
            <w:r w:rsidRPr="004B2881">
              <w:rPr>
                <w:sz w:val="20"/>
                <w:lang w:val="fr-FR"/>
              </w:rPr>
              <w:t>3</w:t>
            </w:r>
            <w:r w:rsidRPr="004B2881">
              <w:rPr>
                <w:sz w:val="20"/>
                <w:lang w:val="fr-FR"/>
              </w:rPr>
              <w:tab/>
            </w:r>
            <w:r w:rsidR="00771F95" w:rsidRPr="004B2881">
              <w:rPr>
                <w:sz w:val="20"/>
                <w:lang w:val="fr-FR"/>
              </w:rPr>
              <w:t xml:space="preserve">Puissance de l’émetteur supérieur à 25 km </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58 000</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r>
      <w:tr w:rsidR="00771F95"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7912AB" w:rsidP="00921625">
            <w:pPr>
              <w:pStyle w:val="TableText0"/>
              <w:tabs>
                <w:tab w:val="clear" w:pos="567"/>
                <w:tab w:val="clear" w:pos="851"/>
                <w:tab w:val="left" w:pos="444"/>
                <w:tab w:val="left" w:pos="833"/>
              </w:tabs>
              <w:ind w:left="851" w:hanging="851"/>
              <w:rPr>
                <w:sz w:val="20"/>
                <w:lang w:val="fr-FR"/>
              </w:rPr>
            </w:pPr>
            <w:r w:rsidRPr="004B2881">
              <w:rPr>
                <w:sz w:val="20"/>
                <w:lang w:val="fr-FR"/>
              </w:rPr>
              <w:tab/>
            </w:r>
            <w:r w:rsidRPr="004B2881">
              <w:rPr>
                <w:sz w:val="20"/>
                <w:lang w:val="fr-FR"/>
              </w:rPr>
              <w:tab/>
            </w:r>
            <w:r w:rsidR="00921625" w:rsidRPr="004B2881">
              <w:rPr>
                <w:sz w:val="20"/>
                <w:lang w:val="fr-FR"/>
              </w:rPr>
              <w:t>B</w:t>
            </w:r>
            <w:r w:rsidRPr="004B2881">
              <w:rPr>
                <w:sz w:val="20"/>
                <w:lang w:val="fr-FR"/>
              </w:rPr>
              <w:t>1</w:t>
            </w:r>
            <w:r w:rsidRPr="004B2881">
              <w:rPr>
                <w:sz w:val="20"/>
                <w:lang w:val="fr-FR"/>
              </w:rPr>
              <w:tab/>
            </w:r>
            <w:r w:rsidR="00771F95" w:rsidRPr="004B2881">
              <w:rPr>
                <w:sz w:val="20"/>
                <w:lang w:val="fr-FR"/>
              </w:rPr>
              <w:t xml:space="preserve">Réseau local sans relais (moyenne de 10 km) </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145 000</w:t>
            </w:r>
          </w:p>
        </w:tc>
      </w:tr>
      <w:tr w:rsidR="00771F95" w:rsidRPr="004B2881" w:rsidTr="002A3FD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4B2881" w:rsidRDefault="007912AB" w:rsidP="00921625">
            <w:pPr>
              <w:pStyle w:val="TableText0"/>
              <w:tabs>
                <w:tab w:val="clear" w:pos="567"/>
                <w:tab w:val="clear" w:pos="851"/>
                <w:tab w:val="left" w:pos="444"/>
                <w:tab w:val="left" w:pos="833"/>
              </w:tabs>
              <w:ind w:left="851" w:hanging="851"/>
              <w:rPr>
                <w:sz w:val="20"/>
                <w:lang w:val="fr-FR"/>
              </w:rPr>
            </w:pPr>
            <w:r w:rsidRPr="004B2881">
              <w:rPr>
                <w:sz w:val="20"/>
                <w:lang w:val="fr-FR"/>
              </w:rPr>
              <w:tab/>
            </w:r>
            <w:r w:rsidRPr="004B2881">
              <w:rPr>
                <w:sz w:val="20"/>
                <w:lang w:val="fr-FR"/>
              </w:rPr>
              <w:tab/>
            </w:r>
            <w:r w:rsidR="00921625" w:rsidRPr="004B2881">
              <w:rPr>
                <w:sz w:val="20"/>
                <w:lang w:val="fr-FR"/>
              </w:rPr>
              <w:t>B</w:t>
            </w:r>
            <w:r w:rsidRPr="004B2881">
              <w:rPr>
                <w:sz w:val="20"/>
                <w:lang w:val="fr-FR"/>
              </w:rPr>
              <w:t>2</w:t>
            </w:r>
            <w:r w:rsidRPr="004B2881">
              <w:rPr>
                <w:sz w:val="20"/>
                <w:lang w:val="fr-FR"/>
              </w:rPr>
              <w:tab/>
            </w:r>
            <w:r w:rsidR="00771F95" w:rsidRPr="004B2881">
              <w:rPr>
                <w:sz w:val="20"/>
                <w:lang w:val="fr-FR"/>
              </w:rPr>
              <w:t xml:space="preserve">Réseau local sans relais (moyenne de 25 km) </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362 500</w:t>
            </w:r>
          </w:p>
        </w:tc>
      </w:tr>
      <w:tr w:rsidR="00771F95" w:rsidRPr="004E2CF1" w:rsidTr="002A3FDB">
        <w:trPr>
          <w:jc w:val="center"/>
        </w:trPr>
        <w:tc>
          <w:tcPr>
            <w:tcW w:w="3969" w:type="dxa"/>
            <w:tcBorders>
              <w:top w:val="single" w:sz="4" w:space="0" w:color="000000"/>
              <w:left w:val="single" w:sz="4" w:space="0" w:color="000000"/>
              <w:bottom w:val="single" w:sz="6" w:space="0" w:color="000000"/>
              <w:right w:val="single" w:sz="4" w:space="0" w:color="000000"/>
            </w:tcBorders>
          </w:tcPr>
          <w:p w:rsidR="00771F95" w:rsidRPr="004B2881" w:rsidRDefault="007912AB" w:rsidP="00921625">
            <w:pPr>
              <w:pStyle w:val="TableText0"/>
              <w:tabs>
                <w:tab w:val="clear" w:pos="567"/>
                <w:tab w:val="clear" w:pos="851"/>
                <w:tab w:val="left" w:pos="444"/>
                <w:tab w:val="left" w:pos="833"/>
              </w:tabs>
              <w:rPr>
                <w:sz w:val="20"/>
                <w:lang w:val="fr-FR"/>
              </w:rPr>
            </w:pPr>
            <w:r w:rsidRPr="004B2881">
              <w:rPr>
                <w:sz w:val="20"/>
                <w:lang w:val="fr-FR"/>
              </w:rPr>
              <w:tab/>
            </w:r>
            <w:r w:rsidRPr="004B2881">
              <w:rPr>
                <w:sz w:val="20"/>
                <w:lang w:val="fr-FR"/>
              </w:rPr>
              <w:tab/>
            </w:r>
            <w:r w:rsidR="00921625" w:rsidRPr="004B2881">
              <w:rPr>
                <w:sz w:val="20"/>
                <w:lang w:val="fr-FR"/>
              </w:rPr>
              <w:t>B</w:t>
            </w:r>
            <w:r w:rsidRPr="004B2881">
              <w:rPr>
                <w:sz w:val="20"/>
                <w:lang w:val="fr-FR"/>
              </w:rPr>
              <w:t>3</w:t>
            </w:r>
            <w:r w:rsidRPr="004B2881">
              <w:rPr>
                <w:sz w:val="20"/>
                <w:lang w:val="fr-FR"/>
              </w:rPr>
              <w:tab/>
            </w:r>
            <w:r w:rsidR="00771F95" w:rsidRPr="004B2881">
              <w:rPr>
                <w:sz w:val="20"/>
                <w:lang w:val="fr-FR"/>
              </w:rPr>
              <w:t xml:space="preserve">Réseau local à Abidjan </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921625" w:rsidP="00B30F87">
            <w:pPr>
              <w:pStyle w:val="TableText0"/>
              <w:jc w:val="center"/>
              <w:rPr>
                <w:sz w:val="20"/>
                <w:lang w:val="fr-FR"/>
              </w:rPr>
            </w:pPr>
            <w:r w:rsidRPr="004B2881">
              <w:rPr>
                <w:sz w:val="20"/>
                <w:lang w:val="fr-FR"/>
              </w:rPr>
              <w:t>Double des tarifs ci</w:t>
            </w:r>
            <w:r w:rsidR="00B30F87" w:rsidRPr="004B2881">
              <w:rPr>
                <w:sz w:val="20"/>
                <w:lang w:val="fr-FR"/>
              </w:rPr>
              <w:t>-</w:t>
            </w:r>
            <w:r w:rsidR="00771F95" w:rsidRPr="004B2881">
              <w:rPr>
                <w:sz w:val="20"/>
                <w:lang w:val="fr-FR"/>
              </w:rPr>
              <w:t>dessus</w:t>
            </w:r>
          </w:p>
        </w:tc>
      </w:tr>
      <w:tr w:rsidR="00771F95" w:rsidRPr="004B2881" w:rsidTr="002A3FD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4B2881" w:rsidRDefault="00921625" w:rsidP="00921625">
            <w:pPr>
              <w:pStyle w:val="TableText0"/>
              <w:tabs>
                <w:tab w:val="clear" w:pos="567"/>
                <w:tab w:val="left" w:pos="444"/>
              </w:tabs>
              <w:ind w:left="851" w:hanging="851"/>
              <w:rPr>
                <w:sz w:val="20"/>
                <w:lang w:val="fr-FR"/>
              </w:rPr>
            </w:pPr>
            <w:r w:rsidRPr="004B2881">
              <w:rPr>
                <w:sz w:val="20"/>
                <w:lang w:val="fr-FR"/>
              </w:rPr>
              <w:tab/>
            </w:r>
            <w:r w:rsidRPr="004B2881">
              <w:rPr>
                <w:sz w:val="20"/>
                <w:lang w:val="fr-FR"/>
              </w:rPr>
              <w:tab/>
            </w:r>
            <w:r w:rsidR="00771F95" w:rsidRPr="004B2881">
              <w:rPr>
                <w:sz w:val="20"/>
                <w:lang w:val="fr-FR"/>
              </w:rPr>
              <w:t>C1</w:t>
            </w:r>
            <w:r w:rsidRPr="004B2881">
              <w:rPr>
                <w:sz w:val="20"/>
                <w:lang w:val="fr-FR"/>
              </w:rPr>
              <w:tab/>
            </w:r>
            <w:r w:rsidR="00B30F87" w:rsidRPr="004B2881">
              <w:rPr>
                <w:sz w:val="20"/>
                <w:lang w:val="fr-FR"/>
              </w:rPr>
              <w:t>Réseau comportant moins de 10 </w:t>
            </w:r>
            <w:r w:rsidR="00771F95" w:rsidRPr="004B2881">
              <w:rPr>
                <w:sz w:val="20"/>
                <w:lang w:val="fr-FR"/>
              </w:rPr>
              <w:t xml:space="preserve">postes à Abidjan </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290 000</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771F95" w:rsidRPr="004B2881" w:rsidRDefault="00921625" w:rsidP="00921625">
            <w:pPr>
              <w:pStyle w:val="TableText0"/>
              <w:tabs>
                <w:tab w:val="clear" w:pos="567"/>
                <w:tab w:val="left" w:pos="444"/>
              </w:tabs>
              <w:ind w:left="851" w:hanging="851"/>
              <w:rPr>
                <w:sz w:val="20"/>
                <w:lang w:val="fr-FR"/>
              </w:rPr>
            </w:pPr>
            <w:r w:rsidRPr="004B2881">
              <w:rPr>
                <w:sz w:val="20"/>
                <w:lang w:val="fr-FR"/>
              </w:rPr>
              <w:tab/>
            </w:r>
            <w:r w:rsidRPr="004B2881">
              <w:rPr>
                <w:sz w:val="20"/>
                <w:lang w:val="fr-FR"/>
              </w:rPr>
              <w:tab/>
            </w:r>
            <w:r w:rsidR="00771F95" w:rsidRPr="004B2881">
              <w:rPr>
                <w:sz w:val="20"/>
                <w:lang w:val="fr-FR"/>
              </w:rPr>
              <w:t>C2</w:t>
            </w:r>
            <w:r w:rsidRPr="004B2881">
              <w:rPr>
                <w:sz w:val="20"/>
                <w:lang w:val="fr-FR"/>
              </w:rPr>
              <w:tab/>
            </w:r>
            <w:r w:rsidR="00771F95" w:rsidRPr="004B2881">
              <w:rPr>
                <w:sz w:val="20"/>
                <w:lang w:val="fr-FR"/>
              </w:rPr>
              <w:t xml:space="preserve">Réseau de 10 à 50 postes à Abidjan </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145 000</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921625" w:rsidP="00921625">
            <w:pPr>
              <w:pStyle w:val="TableText0"/>
              <w:tabs>
                <w:tab w:val="clear" w:pos="567"/>
                <w:tab w:val="left" w:pos="444"/>
              </w:tabs>
              <w:ind w:left="851" w:hanging="851"/>
              <w:rPr>
                <w:sz w:val="20"/>
                <w:lang w:val="fr-FR"/>
              </w:rPr>
            </w:pPr>
            <w:r w:rsidRPr="004B2881">
              <w:rPr>
                <w:sz w:val="20"/>
                <w:lang w:val="fr-FR"/>
              </w:rPr>
              <w:tab/>
            </w:r>
            <w:r w:rsidRPr="004B2881">
              <w:rPr>
                <w:sz w:val="20"/>
                <w:lang w:val="fr-FR"/>
              </w:rPr>
              <w:tab/>
            </w:r>
            <w:r w:rsidR="00771F95" w:rsidRPr="004B2881">
              <w:rPr>
                <w:sz w:val="20"/>
                <w:lang w:val="fr-FR"/>
              </w:rPr>
              <w:t>C3</w:t>
            </w:r>
            <w:r w:rsidRPr="004B2881">
              <w:rPr>
                <w:sz w:val="20"/>
                <w:lang w:val="fr-FR"/>
              </w:rPr>
              <w:tab/>
            </w:r>
            <w:r w:rsidR="00771F95" w:rsidRPr="004B2881">
              <w:rPr>
                <w:sz w:val="20"/>
                <w:lang w:val="fr-FR"/>
              </w:rPr>
              <w:t xml:space="preserve">Réseau de plus de 50 postes à Abidjan </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771F95" w:rsidRPr="004B2881" w:rsidRDefault="00921625" w:rsidP="00921625">
            <w:pPr>
              <w:pStyle w:val="TableText0"/>
              <w:tabs>
                <w:tab w:val="clear" w:pos="567"/>
                <w:tab w:val="left" w:pos="444"/>
              </w:tabs>
              <w:rPr>
                <w:sz w:val="20"/>
                <w:lang w:val="fr-FR"/>
              </w:rPr>
            </w:pPr>
            <w:r w:rsidRPr="004B2881">
              <w:rPr>
                <w:sz w:val="20"/>
                <w:lang w:val="fr-FR"/>
              </w:rPr>
              <w:tab/>
            </w:r>
            <w:r w:rsidRPr="004B2881">
              <w:rPr>
                <w:sz w:val="20"/>
                <w:lang w:val="fr-FR"/>
              </w:rPr>
              <w:tab/>
            </w:r>
            <w:r w:rsidR="00771F95" w:rsidRPr="004B2881">
              <w:rPr>
                <w:sz w:val="20"/>
                <w:lang w:val="fr-FR"/>
              </w:rPr>
              <w:t>C4</w:t>
            </w:r>
            <w:r w:rsidRPr="004B2881">
              <w:rPr>
                <w:sz w:val="20"/>
                <w:lang w:val="fr-FR"/>
              </w:rPr>
              <w:tab/>
            </w:r>
            <w:r w:rsidR="00771F95" w:rsidRPr="004B2881">
              <w:rPr>
                <w:sz w:val="20"/>
                <w:lang w:val="fr-FR"/>
              </w:rPr>
              <w:t xml:space="preserve">Réseau situé hors Abidjan </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AD79A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771F95" w:rsidRPr="004B2881" w:rsidRDefault="00921625" w:rsidP="00151785">
            <w:pPr>
              <w:pStyle w:val="TableText0"/>
              <w:ind w:left="851" w:hanging="851"/>
              <w:rPr>
                <w:sz w:val="20"/>
                <w:lang w:val="fr-FR"/>
              </w:rPr>
            </w:pPr>
            <w:r w:rsidRPr="004B2881">
              <w:rPr>
                <w:sz w:val="20"/>
                <w:lang w:val="fr-FR"/>
              </w:rPr>
              <w:tab/>
            </w:r>
            <w:r w:rsidR="00151785" w:rsidRPr="004B2881">
              <w:rPr>
                <w:sz w:val="20"/>
                <w:lang w:val="fr-FR"/>
              </w:rPr>
              <w:t>I</w:t>
            </w:r>
            <w:r w:rsidRPr="004B2881">
              <w:rPr>
                <w:sz w:val="20"/>
                <w:lang w:val="fr-FR"/>
              </w:rPr>
              <w:t>.</w:t>
            </w:r>
            <w:r w:rsidR="00771F95" w:rsidRPr="004B2881">
              <w:rPr>
                <w:sz w:val="20"/>
                <w:lang w:val="fr-FR"/>
              </w:rPr>
              <w:t>2</w:t>
            </w:r>
            <w:r w:rsidRPr="004B2881">
              <w:rPr>
                <w:sz w:val="20"/>
                <w:lang w:val="fr-FR"/>
              </w:rPr>
              <w:tab/>
            </w:r>
            <w:r w:rsidRPr="004B2881">
              <w:rPr>
                <w:sz w:val="20"/>
                <w:lang w:val="fr-FR"/>
              </w:rPr>
              <w:tab/>
            </w:r>
            <w:r w:rsidR="00771F95" w:rsidRPr="004B2881">
              <w:rPr>
                <w:sz w:val="20"/>
                <w:lang w:val="fr-FR"/>
              </w:rPr>
              <w:t>Réseau de radiotéléphonie MF/HF (largeur du canal = 3</w:t>
            </w:r>
            <w:r w:rsidRPr="004B2881">
              <w:rPr>
                <w:sz w:val="20"/>
                <w:lang w:val="fr-FR"/>
              </w:rPr>
              <w:t> </w:t>
            </w:r>
            <w:r w:rsidR="00771F95" w:rsidRPr="004B2881">
              <w:rPr>
                <w:sz w:val="20"/>
                <w:lang w:val="fr-FR"/>
              </w:rPr>
              <w:t xml:space="preserve">khz) </w:t>
            </w:r>
          </w:p>
        </w:tc>
        <w:tc>
          <w:tcPr>
            <w:tcW w:w="1418" w:type="dxa"/>
            <w:tcBorders>
              <w:top w:val="single" w:sz="4"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11 600</w:t>
            </w:r>
          </w:p>
        </w:tc>
        <w:tc>
          <w:tcPr>
            <w:tcW w:w="1418" w:type="dxa"/>
            <w:tcBorders>
              <w:top w:val="single" w:sz="4"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771F95" w:rsidRPr="004B2881" w:rsidRDefault="00921625" w:rsidP="00921625">
            <w:pPr>
              <w:pStyle w:val="TableText0"/>
              <w:tabs>
                <w:tab w:val="clear" w:pos="567"/>
                <w:tab w:val="left" w:pos="444"/>
              </w:tabs>
              <w:ind w:left="851" w:hanging="851"/>
              <w:rPr>
                <w:sz w:val="20"/>
                <w:lang w:val="fr-FR"/>
              </w:rPr>
            </w:pPr>
            <w:r w:rsidRPr="004B2881">
              <w:rPr>
                <w:sz w:val="20"/>
                <w:lang w:val="fr-FR"/>
              </w:rPr>
              <w:tab/>
            </w:r>
            <w:r w:rsidRPr="004B2881">
              <w:rPr>
                <w:sz w:val="20"/>
                <w:lang w:val="fr-FR"/>
              </w:rPr>
              <w:tab/>
              <w:t>A</w:t>
            </w:r>
            <w:r w:rsidR="00771F95" w:rsidRPr="004B2881">
              <w:rPr>
                <w:sz w:val="20"/>
                <w:lang w:val="fr-FR"/>
              </w:rPr>
              <w:t>1</w:t>
            </w:r>
            <w:r w:rsidRPr="004B2881">
              <w:rPr>
                <w:sz w:val="20"/>
                <w:lang w:val="fr-FR"/>
              </w:rPr>
              <w:tab/>
              <w:t>P</w:t>
            </w:r>
            <w:r w:rsidR="00771F95" w:rsidRPr="004B2881">
              <w:rPr>
                <w:sz w:val="20"/>
                <w:lang w:val="fr-FR"/>
              </w:rPr>
              <w:t xml:space="preserve">uissance de l’émetteur inférieur à 50 w </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14 500</w:t>
            </w: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4"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970F08" w:rsidP="00970F08">
            <w:pPr>
              <w:pStyle w:val="TableText0"/>
              <w:tabs>
                <w:tab w:val="clear" w:pos="567"/>
                <w:tab w:val="left" w:pos="444"/>
              </w:tabs>
              <w:ind w:left="851" w:hanging="851"/>
              <w:rPr>
                <w:sz w:val="20"/>
                <w:lang w:val="fr-FR"/>
              </w:rPr>
            </w:pPr>
            <w:r w:rsidRPr="004B2881">
              <w:rPr>
                <w:sz w:val="20"/>
                <w:lang w:val="fr-FR"/>
              </w:rPr>
              <w:tab/>
            </w:r>
            <w:r w:rsidRPr="004B2881">
              <w:rPr>
                <w:sz w:val="20"/>
                <w:lang w:val="fr-FR"/>
              </w:rPr>
              <w:tab/>
              <w:t>A2</w:t>
            </w:r>
            <w:r w:rsidRPr="004B2881">
              <w:rPr>
                <w:sz w:val="20"/>
                <w:lang w:val="fr-FR"/>
              </w:rPr>
              <w:tab/>
              <w:t>P</w:t>
            </w:r>
            <w:r w:rsidR="00771F95" w:rsidRPr="004B2881">
              <w:rPr>
                <w:sz w:val="20"/>
                <w:lang w:val="fr-FR"/>
              </w:rPr>
              <w:t xml:space="preserve">uissance de l’émetteur comprise entre 50 et 150 w </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r>
      <w:tr w:rsidR="00771F95"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771F95" w:rsidRPr="004B2881" w:rsidRDefault="00970F08" w:rsidP="00970F08">
            <w:pPr>
              <w:pStyle w:val="TableText0"/>
              <w:tabs>
                <w:tab w:val="clear" w:pos="567"/>
                <w:tab w:val="left" w:pos="444"/>
              </w:tabs>
              <w:ind w:left="851" w:hanging="851"/>
              <w:rPr>
                <w:sz w:val="20"/>
                <w:lang w:val="fr-FR"/>
              </w:rPr>
            </w:pPr>
            <w:r w:rsidRPr="004B2881">
              <w:rPr>
                <w:sz w:val="20"/>
                <w:lang w:val="fr-FR"/>
              </w:rPr>
              <w:tab/>
            </w:r>
            <w:r w:rsidRPr="004B2881">
              <w:rPr>
                <w:sz w:val="20"/>
                <w:lang w:val="fr-FR"/>
              </w:rPr>
              <w:tab/>
              <w:t>A</w:t>
            </w:r>
            <w:r w:rsidR="00771F95" w:rsidRPr="004B2881">
              <w:rPr>
                <w:sz w:val="20"/>
                <w:lang w:val="fr-FR"/>
              </w:rPr>
              <w:t>3</w:t>
            </w:r>
            <w:r w:rsidRPr="004B2881">
              <w:rPr>
                <w:sz w:val="20"/>
                <w:lang w:val="fr-FR"/>
              </w:rPr>
              <w:tab/>
              <w:t>P</w:t>
            </w:r>
            <w:r w:rsidR="00771F95" w:rsidRPr="004B2881">
              <w:rPr>
                <w:sz w:val="20"/>
                <w:lang w:val="fr-FR"/>
              </w:rPr>
              <w:t xml:space="preserve">uissance de l’émetteur supérieur à 150 w </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771F95" w:rsidRPr="004B2881" w:rsidRDefault="00771F95" w:rsidP="00C61F64">
            <w:pPr>
              <w:pStyle w:val="TableText0"/>
              <w:jc w:val="center"/>
              <w:rPr>
                <w:sz w:val="20"/>
                <w:lang w:val="fr-FR"/>
              </w:rPr>
            </w:pPr>
          </w:p>
        </w:tc>
      </w:tr>
      <w:tr w:rsidR="00151785" w:rsidRPr="004E2CF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151785" w:rsidRPr="004B2881" w:rsidRDefault="00151785" w:rsidP="00B30F87">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t>I.3</w:t>
            </w:r>
            <w:r w:rsidRPr="004B2881">
              <w:rPr>
                <w:rFonts w:asciiTheme="majorBidi" w:hAnsiTheme="majorBidi" w:cstheme="majorBidi"/>
                <w:sz w:val="20"/>
                <w:lang w:val="fr-FR"/>
              </w:rPr>
              <w:tab/>
              <w:t xml:space="preserve">Faisceau </w:t>
            </w:r>
            <w:r w:rsidR="00B30F87" w:rsidRPr="004B2881">
              <w:rPr>
                <w:rFonts w:asciiTheme="majorBidi" w:hAnsiTheme="majorBidi" w:cstheme="majorBidi"/>
                <w:sz w:val="20"/>
                <w:lang w:val="fr-FR"/>
              </w:rPr>
              <w:t>h</w:t>
            </w:r>
            <w:r w:rsidRPr="004B2881">
              <w:rPr>
                <w:rFonts w:asciiTheme="majorBidi" w:hAnsiTheme="majorBidi" w:cstheme="majorBidi"/>
                <w:sz w:val="20"/>
                <w:lang w:val="fr-FR"/>
              </w:rPr>
              <w:t>ertziens au dessus de 1 GHz</w:t>
            </w: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15178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15178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151785"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151785" w:rsidP="00C61F64">
            <w:pPr>
              <w:pStyle w:val="TableText0"/>
              <w:jc w:val="center"/>
              <w:rPr>
                <w:sz w:val="20"/>
                <w:lang w:val="fr-FR"/>
              </w:rPr>
            </w:pPr>
          </w:p>
        </w:tc>
      </w:tr>
      <w:tr w:rsidR="00151785"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151785" w:rsidRPr="004B2881" w:rsidRDefault="005A1E5A" w:rsidP="005A1E5A">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BB3CD2" w:rsidP="00C61F64">
            <w:pPr>
              <w:pStyle w:val="TableText0"/>
              <w:jc w:val="center"/>
              <w:rPr>
                <w:sz w:val="20"/>
                <w:lang w:val="fr-FR"/>
              </w:rPr>
            </w:pPr>
            <w:r w:rsidRPr="004B2881">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BB3CD2"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BB3CD2" w:rsidP="00C61F64">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151785" w:rsidRPr="004B2881" w:rsidRDefault="00151785" w:rsidP="00C61F64">
            <w:pPr>
              <w:pStyle w:val="TableText0"/>
              <w:jc w:val="center"/>
              <w:rPr>
                <w:sz w:val="20"/>
                <w:lang w:val="fr-FR"/>
              </w:rPr>
            </w:pPr>
          </w:p>
        </w:tc>
      </w:tr>
      <w:tr w:rsidR="00910C1D" w:rsidRPr="004B2881" w:rsidTr="002A3FD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10C1D" w:rsidRPr="004B2881" w:rsidRDefault="00910C1D" w:rsidP="005A1E5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lastRenderedPageBreak/>
              <w:tab/>
            </w:r>
            <w:r w:rsidRPr="004B2881">
              <w:rPr>
                <w:rFonts w:asciiTheme="majorBidi" w:hAnsiTheme="majorBidi" w:cstheme="majorBidi"/>
                <w:sz w:val="20"/>
                <w:lang w:val="fr-FR"/>
              </w:rPr>
              <w:tab/>
              <w:t>A2</w:t>
            </w:r>
            <w:r w:rsidRPr="004B2881">
              <w:rPr>
                <w:rFonts w:asciiTheme="majorBidi" w:hAnsiTheme="majorBidi" w:cstheme="majorBidi"/>
                <w:sz w:val="20"/>
                <w:lang w:val="fr-FR"/>
              </w:rPr>
              <w:tab/>
              <w:t>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910C1D" w:rsidRPr="004B2881" w:rsidRDefault="00910C1D" w:rsidP="00C61F64">
            <w:pPr>
              <w:pStyle w:val="TableText0"/>
              <w:jc w:val="center"/>
              <w:rPr>
                <w:sz w:val="20"/>
                <w:lang w:val="fr-FR"/>
              </w:rPr>
            </w:pPr>
            <w:r w:rsidRPr="004B2881">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910C1D" w:rsidRPr="004B2881" w:rsidRDefault="00910C1D"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910C1D" w:rsidRPr="004B2881" w:rsidRDefault="00910C1D" w:rsidP="00C61F64">
            <w:pPr>
              <w:pStyle w:val="TableText0"/>
              <w:jc w:val="center"/>
              <w:rPr>
                <w:sz w:val="20"/>
                <w:lang w:val="fr-FR"/>
              </w:rPr>
            </w:pPr>
            <w:r w:rsidRPr="004B2881">
              <w:rPr>
                <w:sz w:val="20"/>
                <w:lang w:val="fr-FR"/>
              </w:rPr>
              <w:t>870 000</w:t>
            </w:r>
          </w:p>
        </w:tc>
        <w:tc>
          <w:tcPr>
            <w:tcW w:w="1418" w:type="dxa"/>
            <w:tcBorders>
              <w:top w:val="single" w:sz="6" w:space="0" w:color="000000"/>
              <w:left w:val="single" w:sz="4" w:space="0" w:color="000000"/>
              <w:bottom w:val="single" w:sz="6" w:space="0" w:color="000000"/>
              <w:right w:val="single" w:sz="4" w:space="0" w:color="000000"/>
            </w:tcBorders>
          </w:tcPr>
          <w:p w:rsidR="00910C1D" w:rsidRPr="004B2881" w:rsidRDefault="00910C1D" w:rsidP="00C61F64">
            <w:pPr>
              <w:pStyle w:val="TableText0"/>
              <w:jc w:val="center"/>
              <w:rPr>
                <w:sz w:val="20"/>
                <w:lang w:val="fr-FR"/>
              </w:rPr>
            </w:pPr>
          </w:p>
        </w:tc>
      </w:tr>
      <w:tr w:rsidR="00330B91" w:rsidRPr="004E2CF1" w:rsidTr="00556FC3">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56FC3">
            <w:pPr>
              <w:pStyle w:val="TableNotitle"/>
              <w:spacing w:before="120"/>
              <w:rPr>
                <w:sz w:val="20"/>
                <w:lang w:val="fr-FR"/>
              </w:rPr>
            </w:pPr>
            <w:r w:rsidRPr="004B2881">
              <w:rPr>
                <w:sz w:val="20"/>
                <w:lang w:val="fr-FR"/>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56FC3">
            <w:pPr>
              <w:pStyle w:val="TableNotitle"/>
              <w:spacing w:before="120"/>
              <w:rPr>
                <w:sz w:val="20"/>
                <w:lang w:val="fr-FR"/>
              </w:rPr>
            </w:pPr>
            <w:r w:rsidRPr="004B2881">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56FC3">
            <w:pPr>
              <w:pStyle w:val="TableNotitle"/>
              <w:spacing w:before="120"/>
              <w:rPr>
                <w:sz w:val="20"/>
                <w:lang w:val="fr-FR"/>
              </w:rPr>
            </w:pPr>
            <w:r w:rsidRPr="004B2881">
              <w:rPr>
                <w:sz w:val="20"/>
                <w:lang w:val="fr-FR"/>
              </w:rPr>
              <w:t xml:space="preserve">Taxe de visite ou de </w:t>
            </w:r>
            <w:r w:rsidR="004B2881" w:rsidRPr="004B2881">
              <w:rPr>
                <w:sz w:val="20"/>
                <w:lang w:val="fr-FR"/>
              </w:rPr>
              <w:t>contrôle</w:t>
            </w:r>
            <w:r w:rsidRPr="004B2881">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56FC3">
            <w:pPr>
              <w:pStyle w:val="TableNotitle"/>
              <w:spacing w:before="120"/>
              <w:ind w:leftChars="-50" w:left="-110" w:rightChars="-50" w:right="-110"/>
              <w:rPr>
                <w:sz w:val="20"/>
                <w:lang w:val="fr-FR"/>
              </w:rPr>
            </w:pPr>
            <w:r w:rsidRPr="004B2881">
              <w:rPr>
                <w:sz w:val="20"/>
                <w:lang w:val="fr-FR"/>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4B2881" w:rsidP="00556FC3">
            <w:pPr>
              <w:pStyle w:val="TableNotitle"/>
              <w:spacing w:before="120"/>
              <w:ind w:leftChars="-50" w:left="-110" w:rightChars="-50" w:right="-110"/>
              <w:rPr>
                <w:sz w:val="20"/>
                <w:lang w:val="fr-FR"/>
              </w:rPr>
            </w:pPr>
            <w:r w:rsidRPr="004B2881">
              <w:rPr>
                <w:sz w:val="20"/>
                <w:lang w:val="fr-FR"/>
              </w:rPr>
              <w:t>Redevance</w:t>
            </w:r>
            <w:r w:rsidR="00330B91" w:rsidRPr="004B2881">
              <w:rPr>
                <w:sz w:val="20"/>
                <w:lang w:val="fr-FR"/>
              </w:rPr>
              <w:t xml:space="preserve"> pour l’utilisation d’une </w:t>
            </w:r>
            <w:r w:rsidRPr="004B2881">
              <w:rPr>
                <w:sz w:val="20"/>
                <w:lang w:val="fr-FR"/>
              </w:rPr>
              <w:t>fréquence</w:t>
            </w:r>
            <w:r w:rsidR="00330B91" w:rsidRPr="004B2881">
              <w:rPr>
                <w:sz w:val="20"/>
                <w:lang w:val="fr-FR"/>
              </w:rPr>
              <w:t xml:space="preserve"> ou d’un canal radi</w:t>
            </w:r>
            <w:r w:rsidR="00AF5A30" w:rsidRPr="004B2881">
              <w:rPr>
                <w:sz w:val="20"/>
                <w:lang w:val="fr-FR"/>
              </w:rPr>
              <w:t>oé</w:t>
            </w:r>
            <w:r w:rsidR="00330B91" w:rsidRPr="004B2881">
              <w:rPr>
                <w:sz w:val="20"/>
                <w:lang w:val="fr-FR"/>
              </w:rPr>
              <w:t xml:space="preserve">lectrique </w:t>
            </w:r>
          </w:p>
        </w:tc>
      </w:tr>
      <w:tr w:rsidR="00330B91" w:rsidRPr="004B2881"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BA406F">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B1</w:t>
            </w:r>
            <w:r w:rsidRPr="004B2881">
              <w:rPr>
                <w:rFonts w:asciiTheme="majorBidi" w:hAnsiTheme="majorBidi" w:cstheme="majorBidi"/>
                <w:sz w:val="20"/>
                <w:lang w:val="fr-FR"/>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1 450 000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r>
      <w:tr w:rsidR="00330B91" w:rsidRPr="004B2881"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BA406F">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B2</w:t>
            </w:r>
            <w:r w:rsidRPr="004B2881">
              <w:rPr>
                <w:rFonts w:asciiTheme="majorBidi" w:hAnsiTheme="majorBidi" w:cstheme="majorBidi"/>
                <w:sz w:val="20"/>
                <w:lang w:val="fr-FR"/>
              </w:rPr>
              <w:tab/>
              <w:t>Station relais</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r>
      <w:tr w:rsidR="00330B91" w:rsidRPr="004B2881"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2E4725">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C1</w:t>
            </w:r>
            <w:r w:rsidRPr="004B2881">
              <w:rPr>
                <w:rFonts w:asciiTheme="majorBidi" w:hAnsiTheme="majorBidi" w:cstheme="majorBidi"/>
                <w:sz w:val="20"/>
                <w:lang w:val="fr-FR"/>
              </w:rPr>
              <w:tab/>
              <w:t>Liaison de 1 à 24 voies téléphoniques ou 2</w:t>
            </w:r>
            <w:r w:rsidR="002E4725" w:rsidRPr="004B2881">
              <w:rPr>
                <w:rFonts w:asciiTheme="majorBidi" w:hAnsiTheme="majorBidi" w:cstheme="majorBidi"/>
                <w:sz w:val="20"/>
                <w:lang w:val="fr-FR"/>
              </w:rPr>
              <w:t xml:space="preserve"> </w:t>
            </w:r>
            <w:r w:rsidRPr="004B2881">
              <w:rPr>
                <w:rFonts w:asciiTheme="majorBidi" w:hAnsiTheme="majorBidi" w:cstheme="majorBidi"/>
                <w:sz w:val="20"/>
                <w:lang w:val="fr-FR"/>
              </w:rPr>
              <w:t>Mbits/</w:t>
            </w:r>
            <w:r w:rsidR="002E4725" w:rsidRPr="004B2881">
              <w:rPr>
                <w:rFonts w:asciiTheme="majorBidi" w:hAnsiTheme="majorBidi" w:cstheme="majorBidi"/>
                <w:sz w:val="20"/>
                <w:lang w:val="fr-FR"/>
              </w:rPr>
              <w:t>s</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1 160 000</w:t>
            </w:r>
          </w:p>
        </w:tc>
      </w:tr>
      <w:tr w:rsidR="00330B91" w:rsidRPr="004B2881"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BA406F">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C2</w:t>
            </w:r>
            <w:r w:rsidRPr="004B2881">
              <w:rPr>
                <w:rFonts w:asciiTheme="majorBidi" w:hAnsiTheme="majorBidi" w:cstheme="majorBidi"/>
                <w:sz w:val="20"/>
                <w:lang w:val="fr-FR"/>
              </w:rPr>
              <w:tab/>
              <w:t>Liaison de 25 à 120 voies téléphonique de 2,1 à 8 Mbits/</w:t>
            </w:r>
            <w:r w:rsidR="002E4725" w:rsidRPr="004B2881">
              <w:rPr>
                <w:rFonts w:asciiTheme="majorBidi" w:hAnsiTheme="majorBidi" w:cstheme="majorBidi"/>
                <w:sz w:val="20"/>
                <w:lang w:val="fr-FR"/>
              </w:rPr>
              <w:t>s</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1 450 000</w:t>
            </w:r>
          </w:p>
        </w:tc>
      </w:tr>
      <w:tr w:rsidR="00330B91" w:rsidRPr="004B2881" w:rsidTr="0015178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2E4725">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C3</w:t>
            </w:r>
            <w:r w:rsidRPr="004B2881">
              <w:rPr>
                <w:rFonts w:asciiTheme="majorBidi" w:hAnsiTheme="majorBidi" w:cstheme="majorBidi"/>
                <w:sz w:val="20"/>
                <w:lang w:val="fr-FR"/>
              </w:rPr>
              <w:tab/>
              <w:t>Liaison de 121 à 600 voies téléphoniques ou 8 à 34 Mbits/</w:t>
            </w:r>
            <w:r w:rsidR="002E4725" w:rsidRPr="004B2881">
              <w:rPr>
                <w:rFonts w:asciiTheme="majorBidi" w:hAnsiTheme="majorBidi" w:cstheme="majorBidi"/>
                <w:sz w:val="20"/>
                <w:lang w:val="fr-FR"/>
              </w:rPr>
              <w:t>s</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1 740 000</w:t>
            </w: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BA406F">
            <w:pPr>
              <w:pStyle w:val="TableText0"/>
              <w:tabs>
                <w:tab w:val="clear" w:pos="567"/>
                <w:tab w:val="left" w:pos="444"/>
              </w:tabs>
              <w:ind w:left="851" w:hanging="851"/>
              <w:rPr>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C4</w:t>
            </w:r>
            <w:r w:rsidRPr="004B2881">
              <w:rPr>
                <w:rFonts w:asciiTheme="majorBidi" w:hAnsiTheme="majorBidi" w:cstheme="majorBidi"/>
                <w:sz w:val="20"/>
                <w:lang w:val="fr-FR"/>
              </w:rPr>
              <w:tab/>
              <w:t>Liaison de plus de 600 voies téléphoniques ou plus de 34 Mbits/</w:t>
            </w:r>
            <w:r w:rsidR="002E4725" w:rsidRPr="004B2881">
              <w:rPr>
                <w:rFonts w:asciiTheme="majorBidi" w:hAnsiTheme="majorBidi" w:cstheme="majorBidi"/>
                <w:sz w:val="20"/>
                <w:lang w:val="fr-FR"/>
              </w:rPr>
              <w:t>s</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2 900 000</w:t>
            </w:r>
          </w:p>
        </w:tc>
      </w:tr>
      <w:tr w:rsidR="00330B91" w:rsidRPr="004E2CF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2E4725">
            <w:pPr>
              <w:pStyle w:val="TableText0"/>
              <w:tabs>
                <w:tab w:val="clear" w:pos="567"/>
                <w:tab w:val="left" w:pos="444"/>
              </w:tabs>
              <w:ind w:left="284" w:hanging="284"/>
              <w:rPr>
                <w:rFonts w:asciiTheme="majorBidi" w:hAnsiTheme="majorBidi" w:cstheme="majorBidi"/>
                <w:sz w:val="20"/>
                <w:lang w:val="fr-FR"/>
              </w:rPr>
            </w:pPr>
            <w:r w:rsidRPr="004B2881">
              <w:rPr>
                <w:rFonts w:asciiTheme="majorBidi" w:hAnsiTheme="majorBidi" w:cstheme="majorBidi"/>
                <w:sz w:val="20"/>
                <w:lang w:val="fr-FR"/>
              </w:rPr>
              <w:t>II</w:t>
            </w:r>
            <w:r w:rsidR="002E4725" w:rsidRPr="004B2881">
              <w:rPr>
                <w:rFonts w:asciiTheme="majorBidi" w:hAnsiTheme="majorBidi" w:cstheme="majorBidi"/>
                <w:sz w:val="20"/>
                <w:lang w:val="fr-FR"/>
              </w:rPr>
              <w:tab/>
            </w:r>
            <w:r w:rsidRPr="004B2881">
              <w:rPr>
                <w:rFonts w:asciiTheme="majorBidi" w:hAnsiTheme="majorBidi" w:cstheme="majorBidi"/>
                <w:sz w:val="20"/>
                <w:lang w:val="fr-FR"/>
              </w:rPr>
              <w:t>RESEAU FIXES ET MOBILES TERRESTRE OUVERTES AU PUBLIC (service commercial)</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E2CF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2E472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II.1</w:t>
            </w:r>
            <w:r w:rsidRPr="004B2881">
              <w:rPr>
                <w:rFonts w:asciiTheme="majorBidi" w:hAnsiTheme="majorBidi" w:cstheme="majorBidi"/>
                <w:sz w:val="20"/>
                <w:lang w:val="fr-FR"/>
              </w:rPr>
              <w:tab/>
              <w:t>Réseau de recherche et de messagerie (</w:t>
            </w:r>
            <w:r w:rsidR="002E4725" w:rsidRPr="004B2881">
              <w:rPr>
                <w:rFonts w:asciiTheme="majorBidi" w:hAnsiTheme="majorBidi" w:cstheme="majorBidi"/>
                <w:sz w:val="20"/>
                <w:lang w:val="fr-FR"/>
              </w:rPr>
              <w:t>p</w:t>
            </w:r>
            <w:r w:rsidRPr="004B2881">
              <w:rPr>
                <w:rFonts w:asciiTheme="majorBidi" w:hAnsiTheme="majorBidi" w:cstheme="majorBidi"/>
                <w:sz w:val="20"/>
                <w:lang w:val="fr-FR"/>
              </w:rPr>
              <w:t>aging)</w:t>
            </w:r>
            <w:r w:rsidRPr="004B2881">
              <w:rPr>
                <w:rFonts w:asciiTheme="majorBidi" w:hAnsiTheme="majorBidi" w:cstheme="majorBidi"/>
                <w:sz w:val="20"/>
                <w:lang w:val="fr-FR"/>
              </w:rPr>
              <w:br/>
              <w:t>(</w:t>
            </w:r>
            <w:r w:rsidR="002E4725" w:rsidRPr="004B2881">
              <w:rPr>
                <w:rFonts w:asciiTheme="majorBidi" w:hAnsiTheme="majorBidi" w:cstheme="majorBidi"/>
                <w:sz w:val="20"/>
                <w:lang w:val="fr-FR"/>
              </w:rPr>
              <w:t>l</w:t>
            </w:r>
            <w:r w:rsidRPr="004B2881">
              <w:rPr>
                <w:rFonts w:asciiTheme="majorBidi" w:hAnsiTheme="majorBidi" w:cstheme="majorBidi"/>
                <w:sz w:val="20"/>
                <w:lang w:val="fr-FR"/>
              </w:rPr>
              <w:t xml:space="preserve">argeur du canal = 12,5 </w:t>
            </w:r>
            <w:r w:rsidR="002E4725" w:rsidRPr="004B2881">
              <w:rPr>
                <w:rFonts w:asciiTheme="majorBidi" w:hAnsiTheme="majorBidi" w:cstheme="majorBidi"/>
                <w:sz w:val="20"/>
                <w:lang w:val="fr-FR"/>
              </w:rPr>
              <w:t>k</w:t>
            </w:r>
            <w:r w:rsidRPr="004B2881">
              <w:rPr>
                <w:rFonts w:asciiTheme="majorBidi" w:hAnsiTheme="majorBidi" w:cstheme="majorBidi"/>
                <w:sz w:val="20"/>
                <w:lang w:val="fr-FR"/>
              </w:rPr>
              <w:t>Hz)</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7468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7468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5 500 000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7468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A3</w:t>
            </w:r>
            <w:r w:rsidRPr="004B2881">
              <w:rPr>
                <w:rFonts w:asciiTheme="majorBidi" w:hAnsiTheme="majorBidi" w:cstheme="majorBidi"/>
                <w:sz w:val="20"/>
                <w:lang w:val="fr-FR"/>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14 500 000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7468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B1</w:t>
            </w:r>
            <w:r w:rsidRPr="004B2881">
              <w:rPr>
                <w:rFonts w:asciiTheme="majorBidi" w:hAnsiTheme="majorBidi" w:cstheme="majorBidi"/>
                <w:sz w:val="20"/>
                <w:lang w:val="fr-FR"/>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7468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C1</w:t>
            </w:r>
            <w:r w:rsidRPr="004B2881">
              <w:rPr>
                <w:rFonts w:asciiTheme="majorBidi" w:hAnsiTheme="majorBidi" w:cstheme="majorBidi"/>
                <w:sz w:val="20"/>
                <w:lang w:val="fr-FR"/>
              </w:rPr>
              <w:tab/>
              <w:t>Fréquence disponible localement</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7468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C2</w:t>
            </w:r>
            <w:r w:rsidRPr="004B2881">
              <w:rPr>
                <w:rFonts w:asciiTheme="majorBidi" w:hAnsiTheme="majorBidi" w:cstheme="majorBidi"/>
                <w:sz w:val="20"/>
                <w:lang w:val="fr-FR"/>
              </w:rPr>
              <w:tab/>
              <w:t>Fréquence disponible au plan régional</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3 480 000</w:t>
            </w: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57468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C3</w:t>
            </w:r>
            <w:r w:rsidRPr="004B2881">
              <w:rPr>
                <w:rFonts w:asciiTheme="majorBidi" w:hAnsiTheme="majorBidi" w:cstheme="majorBidi"/>
                <w:sz w:val="20"/>
                <w:lang w:val="fr-FR"/>
              </w:rPr>
              <w:tab/>
              <w:t>Fréquence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5 800 000</w:t>
            </w: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2E472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II.2</w:t>
            </w:r>
            <w:r w:rsidRPr="004B2881">
              <w:rPr>
                <w:rFonts w:asciiTheme="majorBidi" w:hAnsiTheme="majorBidi" w:cstheme="majorBidi"/>
                <w:sz w:val="20"/>
                <w:lang w:val="fr-FR"/>
              </w:rPr>
              <w:tab/>
              <w:t>Réseau à ressources partagées (</w:t>
            </w:r>
            <w:r w:rsidR="002E4725" w:rsidRPr="004B2881">
              <w:rPr>
                <w:rFonts w:asciiTheme="majorBidi" w:hAnsiTheme="majorBidi" w:cstheme="majorBidi"/>
                <w:sz w:val="20"/>
                <w:lang w:val="fr-FR"/>
              </w:rPr>
              <w:t>t</w:t>
            </w:r>
            <w:r w:rsidRPr="004B2881">
              <w:rPr>
                <w:rFonts w:asciiTheme="majorBidi" w:hAnsiTheme="majorBidi" w:cstheme="majorBidi"/>
                <w:sz w:val="20"/>
                <w:lang w:val="fr-FR"/>
              </w:rPr>
              <w:t>run</w:t>
            </w:r>
            <w:r w:rsidR="002E4725" w:rsidRPr="004B2881">
              <w:rPr>
                <w:rFonts w:asciiTheme="majorBidi" w:hAnsiTheme="majorBidi" w:cstheme="majorBidi"/>
                <w:sz w:val="20"/>
                <w:lang w:val="fr-FR"/>
              </w:rPr>
              <w:t>k</w:t>
            </w:r>
            <w:r w:rsidRPr="004B2881">
              <w:rPr>
                <w:rFonts w:asciiTheme="majorBidi" w:hAnsiTheme="majorBidi" w:cstheme="majorBidi"/>
                <w:sz w:val="20"/>
                <w:lang w:val="fr-FR"/>
              </w:rPr>
              <w:t>ing)</w:t>
            </w:r>
            <w:r w:rsidRPr="004B2881">
              <w:rPr>
                <w:rFonts w:asciiTheme="majorBidi" w:hAnsiTheme="majorBidi" w:cstheme="majorBidi"/>
                <w:sz w:val="20"/>
                <w:lang w:val="fr-FR"/>
              </w:rPr>
              <w:br/>
              <w:t>(</w:t>
            </w:r>
            <w:r w:rsidR="002E4725" w:rsidRPr="004B2881">
              <w:rPr>
                <w:rFonts w:asciiTheme="majorBidi" w:hAnsiTheme="majorBidi" w:cstheme="majorBidi"/>
                <w:sz w:val="20"/>
                <w:lang w:val="fr-FR"/>
              </w:rPr>
              <w:t>l</w:t>
            </w:r>
            <w:r w:rsidRPr="004B2881">
              <w:rPr>
                <w:rFonts w:asciiTheme="majorBidi" w:hAnsiTheme="majorBidi" w:cstheme="majorBidi"/>
                <w:sz w:val="20"/>
                <w:lang w:val="fr-FR"/>
              </w:rPr>
              <w:t xml:space="preserve">argeur du local = 12,5 </w:t>
            </w:r>
            <w:r w:rsidR="002E4725" w:rsidRPr="004B2881">
              <w:rPr>
                <w:rFonts w:asciiTheme="majorBidi" w:hAnsiTheme="majorBidi" w:cstheme="majorBidi"/>
                <w:sz w:val="20"/>
                <w:lang w:val="fr-FR"/>
              </w:rPr>
              <w:t>k</w:t>
            </w:r>
            <w:r w:rsidRPr="004B2881">
              <w:rPr>
                <w:rFonts w:asciiTheme="majorBidi" w:hAnsiTheme="majorBidi" w:cstheme="majorBidi"/>
                <w:sz w:val="20"/>
                <w:lang w:val="fr-FR"/>
              </w:rPr>
              <w:t xml:space="preserve">Hz) </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8 700 000</w:t>
            </w: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952DB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51725D">
            <w:pPr>
              <w:pStyle w:val="TableText0"/>
              <w:jc w:val="center"/>
              <w:rPr>
                <w:sz w:val="20"/>
                <w:lang w:val="fr-FR"/>
              </w:rPr>
            </w:pPr>
            <w:r w:rsidRPr="004B2881">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51725D">
            <w:pPr>
              <w:pStyle w:val="TableText0"/>
              <w:jc w:val="center"/>
              <w:rPr>
                <w:sz w:val="20"/>
                <w:lang w:val="fr-FR"/>
              </w:rPr>
            </w:pPr>
            <w:r w:rsidRPr="004B2881">
              <w:rPr>
                <w:sz w:val="20"/>
                <w:lang w:val="fr-FR"/>
              </w:rPr>
              <w:t>5 500 000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952DB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51725D">
            <w:pPr>
              <w:pStyle w:val="TableText0"/>
              <w:jc w:val="center"/>
              <w:rPr>
                <w:sz w:val="20"/>
                <w:lang w:val="fr-FR"/>
              </w:rPr>
            </w:pPr>
            <w:r w:rsidRPr="004B2881">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51725D">
            <w:pPr>
              <w:pStyle w:val="TableText0"/>
              <w:jc w:val="center"/>
              <w:rPr>
                <w:sz w:val="20"/>
                <w:lang w:val="fr-FR"/>
              </w:rPr>
            </w:pPr>
            <w:r w:rsidRPr="004B2881">
              <w:rPr>
                <w:sz w:val="20"/>
                <w:lang w:val="fr-FR"/>
              </w:rPr>
              <w:t>14 500 000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952DB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A3</w:t>
            </w:r>
            <w:r w:rsidRPr="004B2881">
              <w:rPr>
                <w:rFonts w:asciiTheme="majorBidi" w:hAnsiTheme="majorBidi" w:cstheme="majorBidi"/>
                <w:sz w:val="20"/>
                <w:lang w:val="fr-FR"/>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51725D">
            <w:pPr>
              <w:pStyle w:val="TableText0"/>
              <w:jc w:val="center"/>
              <w:rPr>
                <w:sz w:val="20"/>
                <w:lang w:val="fr-FR"/>
              </w:rPr>
            </w:pPr>
            <w:r w:rsidRPr="004B2881">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51725D">
            <w:pPr>
              <w:pStyle w:val="TableText0"/>
              <w:jc w:val="center"/>
              <w:rPr>
                <w:sz w:val="20"/>
                <w:lang w:val="fr-FR"/>
              </w:rPr>
            </w:pPr>
            <w:r w:rsidRPr="004B2881">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BA406F">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952DB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B1</w:t>
            </w:r>
            <w:r w:rsidRPr="004B2881">
              <w:rPr>
                <w:rFonts w:asciiTheme="majorBidi" w:hAnsiTheme="majorBidi" w:cstheme="majorBidi"/>
                <w:sz w:val="20"/>
                <w:lang w:val="fr-FR"/>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30B91" w:rsidRPr="004B2881" w:rsidRDefault="00330B91" w:rsidP="00952DB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C1</w:t>
            </w:r>
            <w:r w:rsidRPr="004B2881">
              <w:rPr>
                <w:rFonts w:asciiTheme="majorBidi" w:hAnsiTheme="majorBidi" w:cstheme="majorBidi"/>
                <w:sz w:val="20"/>
                <w:lang w:val="fr-FR"/>
              </w:rPr>
              <w:tab/>
              <w:t>Canal duplex disponible localement</w:t>
            </w: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5 800 000</w:t>
            </w:r>
          </w:p>
        </w:tc>
      </w:tr>
      <w:tr w:rsidR="00330B91" w:rsidRPr="004B2881" w:rsidTr="00D42557">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30B91" w:rsidRPr="004B2881" w:rsidRDefault="00330B91" w:rsidP="00952DB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C2</w:t>
            </w:r>
            <w:r w:rsidRPr="004B2881">
              <w:rPr>
                <w:rFonts w:asciiTheme="majorBidi" w:hAnsiTheme="majorBidi" w:cstheme="majorBidi"/>
                <w:sz w:val="20"/>
                <w:lang w:val="fr-FR"/>
              </w:rPr>
              <w:tab/>
              <w:t>Canal duplex disponible au plan régional</w:t>
            </w: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4"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8 700 000</w:t>
            </w:r>
          </w:p>
        </w:tc>
      </w:tr>
      <w:tr w:rsidR="00330B91" w:rsidRPr="004B2881"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952DB4">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C3</w:t>
            </w:r>
            <w:r w:rsidRPr="004B2881">
              <w:rPr>
                <w:rFonts w:asciiTheme="majorBidi" w:hAnsiTheme="majorBidi" w:cstheme="majorBidi"/>
                <w:sz w:val="20"/>
                <w:lang w:val="fr-FR"/>
              </w:rPr>
              <w:tab/>
              <w:t>Canal duplex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10 440 000</w:t>
            </w:r>
          </w:p>
        </w:tc>
      </w:tr>
      <w:tr w:rsidR="00330B91" w:rsidRPr="004B2881"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91446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II.3</w:t>
            </w:r>
            <w:r w:rsidRPr="004B2881">
              <w:rPr>
                <w:rFonts w:asciiTheme="majorBidi" w:hAnsiTheme="majorBidi" w:cstheme="majorBidi"/>
                <w:sz w:val="20"/>
                <w:lang w:val="fr-FR"/>
              </w:rPr>
              <w:tab/>
              <w:t>Réseau cellulaire</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91446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r>
      <w:tr w:rsidR="00330B91" w:rsidRPr="004B2881" w:rsidTr="0091446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2E472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B1</w:t>
            </w:r>
            <w:r w:rsidRPr="004B2881">
              <w:rPr>
                <w:rFonts w:asciiTheme="majorBidi" w:hAnsiTheme="majorBidi" w:cstheme="majorBidi"/>
                <w:sz w:val="20"/>
                <w:lang w:val="fr-FR"/>
              </w:rPr>
              <w:tab/>
              <w:t>Par canal duplexe disponible sur l’ensemble de territoire national</w:t>
            </w:r>
            <w:r w:rsidRPr="004B2881">
              <w:rPr>
                <w:rFonts w:asciiTheme="majorBidi" w:hAnsiTheme="majorBidi" w:cstheme="majorBidi"/>
                <w:sz w:val="20"/>
                <w:lang w:val="fr-FR"/>
              </w:rPr>
              <w:br/>
              <w:t xml:space="preserve">(Largeur du canal) = 200 </w:t>
            </w:r>
            <w:r w:rsidR="002E4725" w:rsidRPr="004B2881">
              <w:rPr>
                <w:rFonts w:asciiTheme="majorBidi" w:hAnsiTheme="majorBidi" w:cstheme="majorBidi"/>
                <w:sz w:val="20"/>
                <w:lang w:val="fr-FR"/>
              </w:rPr>
              <w:t>k</w:t>
            </w:r>
            <w:r w:rsidRPr="004B2881">
              <w:rPr>
                <w:rFonts w:asciiTheme="majorBidi" w:hAnsiTheme="majorBidi" w:cstheme="majorBidi"/>
                <w:sz w:val="20"/>
                <w:lang w:val="fr-FR"/>
              </w:rPr>
              <w:t>Hz</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0B91" w:rsidRPr="004B2881" w:rsidRDefault="00330B91" w:rsidP="00C61F64">
            <w:pPr>
              <w:pStyle w:val="TableText0"/>
              <w:jc w:val="center"/>
              <w:rPr>
                <w:sz w:val="20"/>
                <w:lang w:val="fr-FR"/>
              </w:rPr>
            </w:pPr>
            <w:r w:rsidRPr="004B2881">
              <w:rPr>
                <w:sz w:val="20"/>
                <w:lang w:val="fr-FR"/>
              </w:rPr>
              <w:t>10 440 000</w:t>
            </w:r>
          </w:p>
        </w:tc>
      </w:tr>
      <w:tr w:rsidR="00330B91" w:rsidRPr="004E2CF1" w:rsidTr="00556FC3">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A971AC">
            <w:pPr>
              <w:pStyle w:val="TableNotitle"/>
              <w:spacing w:before="100" w:after="100"/>
              <w:rPr>
                <w:sz w:val="20"/>
                <w:lang w:val="fr-FR"/>
              </w:rPr>
            </w:pPr>
            <w:r w:rsidRPr="004B2881">
              <w:rPr>
                <w:sz w:val="20"/>
                <w:lang w:val="fr-FR"/>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A971AC">
            <w:pPr>
              <w:pStyle w:val="TableNotitle"/>
              <w:spacing w:before="100" w:after="100"/>
              <w:rPr>
                <w:sz w:val="20"/>
                <w:lang w:val="fr-FR"/>
              </w:rPr>
            </w:pPr>
            <w:r w:rsidRPr="004B2881">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A971AC">
            <w:pPr>
              <w:pStyle w:val="TableNotitle"/>
              <w:spacing w:before="100" w:after="100"/>
              <w:rPr>
                <w:sz w:val="20"/>
                <w:lang w:val="fr-FR"/>
              </w:rPr>
            </w:pPr>
            <w:r w:rsidRPr="004B2881">
              <w:rPr>
                <w:sz w:val="20"/>
                <w:lang w:val="fr-FR"/>
              </w:rPr>
              <w:t xml:space="preserve">Taxe de visite ou de </w:t>
            </w:r>
            <w:r w:rsidR="004B2881" w:rsidRPr="004B2881">
              <w:rPr>
                <w:sz w:val="20"/>
                <w:lang w:val="fr-FR"/>
              </w:rPr>
              <w:t>contrôle</w:t>
            </w:r>
            <w:r w:rsidRPr="004B2881">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330B91" w:rsidP="00A971AC">
            <w:pPr>
              <w:pStyle w:val="TableNotitle"/>
              <w:spacing w:before="100" w:after="100"/>
              <w:ind w:leftChars="-50" w:left="-110" w:rightChars="-50" w:right="-110"/>
              <w:rPr>
                <w:sz w:val="20"/>
                <w:lang w:val="fr-FR"/>
              </w:rPr>
            </w:pPr>
            <w:r w:rsidRPr="004B2881">
              <w:rPr>
                <w:sz w:val="20"/>
                <w:lang w:val="fr-FR"/>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330B91" w:rsidRPr="004B2881" w:rsidRDefault="004B2881" w:rsidP="00A971AC">
            <w:pPr>
              <w:pStyle w:val="TableNotitle"/>
              <w:spacing w:before="100" w:after="100"/>
              <w:ind w:leftChars="-50" w:left="-110" w:rightChars="-50" w:right="-110"/>
              <w:rPr>
                <w:sz w:val="20"/>
                <w:lang w:val="fr-FR"/>
              </w:rPr>
            </w:pPr>
            <w:r w:rsidRPr="004B2881">
              <w:rPr>
                <w:sz w:val="20"/>
                <w:lang w:val="fr-FR"/>
              </w:rPr>
              <w:t>Redevance</w:t>
            </w:r>
            <w:r w:rsidR="00330B91" w:rsidRPr="004B2881">
              <w:rPr>
                <w:sz w:val="20"/>
                <w:lang w:val="fr-FR"/>
              </w:rPr>
              <w:t xml:space="preserve"> pour l’utilisation d’une </w:t>
            </w:r>
            <w:r w:rsidRPr="004B2881">
              <w:rPr>
                <w:sz w:val="20"/>
                <w:lang w:val="fr-FR"/>
              </w:rPr>
              <w:t>fréquence</w:t>
            </w:r>
            <w:r w:rsidR="00330B91" w:rsidRPr="004B2881">
              <w:rPr>
                <w:sz w:val="20"/>
                <w:lang w:val="fr-FR"/>
              </w:rPr>
              <w:t xml:space="preserve"> ou d’un canal radi</w:t>
            </w:r>
            <w:r w:rsidR="00AF5A30" w:rsidRPr="004B2881">
              <w:rPr>
                <w:sz w:val="20"/>
                <w:lang w:val="fr-FR"/>
              </w:rPr>
              <w:t>oé</w:t>
            </w:r>
            <w:r w:rsidR="00330B91" w:rsidRPr="004B2881">
              <w:rPr>
                <w:sz w:val="20"/>
                <w:lang w:val="fr-FR"/>
              </w:rPr>
              <w:t xml:space="preserve">lectrique </w:t>
            </w:r>
          </w:p>
        </w:tc>
      </w:tr>
      <w:tr w:rsidR="00633D2A" w:rsidRPr="004E2CF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633D2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II.4</w:t>
            </w:r>
            <w:r w:rsidRPr="004B2881">
              <w:rPr>
                <w:rFonts w:asciiTheme="majorBidi" w:hAnsiTheme="majorBidi" w:cstheme="majorBidi"/>
                <w:sz w:val="20"/>
                <w:lang w:val="fr-FR"/>
              </w:rPr>
              <w:tab/>
              <w:t>Faisceau hertzien au dessus de 1 GHz</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3301E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r w:rsidRPr="004B2881">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r w:rsidRPr="004B2881">
              <w:rPr>
                <w:sz w:val="20"/>
                <w:lang w:val="fr-FR"/>
              </w:rPr>
              <w:t>5 800 000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3301EC">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6001C0">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t>Artère ou réseau régional</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14 500 000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6001C0">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A3</w:t>
            </w:r>
            <w:r w:rsidRPr="004B2881">
              <w:rPr>
                <w:rFonts w:asciiTheme="majorBidi" w:hAnsiTheme="majorBidi" w:cstheme="majorBidi"/>
                <w:sz w:val="20"/>
                <w:lang w:val="fr-FR"/>
              </w:rPr>
              <w:tab/>
              <w:t>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6001C0">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B1</w:t>
            </w:r>
            <w:r w:rsidRPr="004B2881">
              <w:rPr>
                <w:rFonts w:asciiTheme="majorBidi" w:hAnsiTheme="majorBidi" w:cstheme="majorBidi"/>
                <w:sz w:val="20"/>
                <w:lang w:val="fr-FR"/>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6001C0">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B2</w:t>
            </w:r>
            <w:r w:rsidRPr="004B2881">
              <w:rPr>
                <w:rFonts w:asciiTheme="majorBidi" w:hAnsiTheme="majorBidi" w:cstheme="majorBidi"/>
                <w:sz w:val="20"/>
                <w:lang w:val="fr-FR"/>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633D2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C1</w:t>
            </w:r>
            <w:r w:rsidRPr="004B2881">
              <w:rPr>
                <w:rFonts w:asciiTheme="majorBidi" w:hAnsiTheme="majorBidi" w:cstheme="majorBidi"/>
                <w:sz w:val="20"/>
                <w:lang w:val="fr-FR"/>
              </w:rPr>
              <w:tab/>
              <w:t>Liaison de 120 voies téléphoniques ou de 8 Mbits/s</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5 800 000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633D2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C2</w:t>
            </w:r>
            <w:r w:rsidRPr="004B2881">
              <w:rPr>
                <w:rFonts w:asciiTheme="majorBidi" w:hAnsiTheme="majorBidi" w:cstheme="majorBidi"/>
                <w:sz w:val="20"/>
                <w:lang w:val="fr-FR"/>
              </w:rPr>
              <w:tab/>
              <w:t>Liaison de121 voies téléphoniques ou de 2 ,1 a 8 Mbits/s</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10 440 000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E459F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C3</w:t>
            </w:r>
            <w:r w:rsidRPr="004B2881">
              <w:rPr>
                <w:rFonts w:asciiTheme="majorBidi" w:hAnsiTheme="majorBidi" w:cstheme="majorBidi"/>
                <w:sz w:val="20"/>
                <w:lang w:val="fr-FR"/>
              </w:rPr>
              <w:tab/>
              <w:t>Liaison de 601 a 1</w:t>
            </w:r>
            <w:r w:rsidRPr="004B2881">
              <w:rPr>
                <w:rFonts w:asciiTheme="majorBidi" w:hAnsiTheme="majorBidi" w:cstheme="majorBidi"/>
                <w:sz w:val="16"/>
                <w:szCs w:val="16"/>
                <w:lang w:val="fr-FR"/>
              </w:rPr>
              <w:t xml:space="preserve"> </w:t>
            </w:r>
            <w:r w:rsidRPr="004B2881">
              <w:rPr>
                <w:rFonts w:asciiTheme="majorBidi" w:hAnsiTheme="majorBidi" w:cstheme="majorBidi"/>
                <w:sz w:val="20"/>
                <w:lang w:val="fr-FR"/>
              </w:rPr>
              <w:t>200 voi</w:t>
            </w:r>
            <w:r w:rsidR="00CF2E35" w:rsidRPr="004B2881">
              <w:rPr>
                <w:rFonts w:asciiTheme="majorBidi" w:hAnsiTheme="majorBidi" w:cstheme="majorBidi"/>
                <w:sz w:val="20"/>
                <w:lang w:val="fr-FR"/>
              </w:rPr>
              <w:t>es téléphoniques ou de 34 a 70 M</w:t>
            </w:r>
            <w:r w:rsidRPr="004B2881">
              <w:rPr>
                <w:rFonts w:asciiTheme="majorBidi" w:hAnsiTheme="majorBidi" w:cstheme="majorBidi"/>
                <w:sz w:val="20"/>
                <w:lang w:val="fr-FR"/>
              </w:rPr>
              <w:t>bits/s</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14 500 000</w:t>
            </w:r>
          </w:p>
        </w:tc>
      </w:tr>
      <w:tr w:rsidR="00633D2A" w:rsidRPr="004E2CF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C4</w:t>
            </w:r>
            <w:r w:rsidRPr="004B2881">
              <w:rPr>
                <w:rFonts w:asciiTheme="majorBidi" w:hAnsiTheme="majorBidi" w:cstheme="majorBidi"/>
                <w:sz w:val="20"/>
                <w:lang w:val="fr-FR"/>
              </w:rPr>
              <w:tab/>
              <w:t>Liaison plus de 1</w:t>
            </w:r>
            <w:r w:rsidRPr="004B2881">
              <w:rPr>
                <w:rFonts w:asciiTheme="majorBidi" w:hAnsiTheme="majorBidi" w:cstheme="majorBidi"/>
                <w:sz w:val="16"/>
                <w:szCs w:val="16"/>
                <w:lang w:val="fr-FR"/>
              </w:rPr>
              <w:t xml:space="preserve"> </w:t>
            </w:r>
            <w:r w:rsidRPr="004B2881">
              <w:rPr>
                <w:rFonts w:asciiTheme="majorBidi" w:hAnsiTheme="majorBidi" w:cstheme="majorBidi"/>
                <w:sz w:val="20"/>
                <w:lang w:val="fr-FR"/>
              </w:rPr>
              <w:t>200 voies télé</w:t>
            </w:r>
            <w:r w:rsidR="00A971AC" w:rsidRPr="004B2881">
              <w:rPr>
                <w:rFonts w:asciiTheme="majorBidi" w:hAnsiTheme="majorBidi" w:cstheme="majorBidi"/>
                <w:sz w:val="20"/>
                <w:lang w:val="fr-FR"/>
              </w:rPr>
              <w:softHyphen/>
            </w:r>
            <w:r w:rsidRPr="004B2881">
              <w:rPr>
                <w:rFonts w:asciiTheme="majorBidi" w:hAnsiTheme="majorBidi" w:cstheme="majorBidi"/>
                <w:sz w:val="20"/>
                <w:lang w:val="fr-FR"/>
              </w:rPr>
              <w:t>phoniques ou de plus de 70 </w:t>
            </w:r>
            <w:r w:rsidR="00CF2E35" w:rsidRPr="004B2881">
              <w:rPr>
                <w:rFonts w:asciiTheme="majorBidi" w:hAnsiTheme="majorBidi" w:cstheme="majorBidi"/>
                <w:sz w:val="20"/>
                <w:lang w:val="fr-FR"/>
              </w:rPr>
              <w:t>M</w:t>
            </w:r>
            <w:r w:rsidRPr="004B2881">
              <w:rPr>
                <w:rFonts w:asciiTheme="majorBidi" w:hAnsiTheme="majorBidi" w:cstheme="majorBidi"/>
                <w:sz w:val="20"/>
                <w:lang w:val="fr-FR"/>
              </w:rPr>
              <w:t>bits/s</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284" w:hanging="284"/>
              <w:rPr>
                <w:rFonts w:asciiTheme="majorBidi" w:hAnsiTheme="majorBidi" w:cstheme="majorBidi"/>
                <w:sz w:val="20"/>
                <w:lang w:val="fr-FR"/>
              </w:rPr>
            </w:pPr>
            <w:r w:rsidRPr="004B2881">
              <w:rPr>
                <w:rFonts w:asciiTheme="majorBidi" w:hAnsiTheme="majorBidi" w:cstheme="majorBidi"/>
                <w:sz w:val="20"/>
                <w:lang w:val="fr-FR"/>
              </w:rPr>
              <w:t>III</w:t>
            </w:r>
            <w:r w:rsidR="00CF2E35" w:rsidRPr="004B2881">
              <w:rPr>
                <w:rFonts w:asciiTheme="majorBidi" w:hAnsiTheme="majorBidi" w:cstheme="majorBidi"/>
                <w:sz w:val="20"/>
                <w:lang w:val="fr-FR"/>
              </w:rPr>
              <w:tab/>
            </w:r>
            <w:r w:rsidRPr="004B2881">
              <w:rPr>
                <w:rFonts w:asciiTheme="majorBidi" w:hAnsiTheme="majorBidi" w:cstheme="majorBidi"/>
                <w:sz w:val="20"/>
                <w:lang w:val="fr-FR"/>
              </w:rPr>
              <w:t>SERVICE RADIOMARITIME TERRESTRE</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0F5097">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b/>
                <w:bCs/>
                <w:sz w:val="20"/>
                <w:lang w:val="fr-FR"/>
              </w:rPr>
              <w:tab/>
            </w:r>
            <w:r w:rsidRPr="004B2881">
              <w:rPr>
                <w:rFonts w:asciiTheme="majorBidi" w:hAnsiTheme="majorBidi" w:cstheme="majorBidi"/>
                <w:sz w:val="20"/>
                <w:lang w:val="fr-FR"/>
              </w:rPr>
              <w:t>III.1</w:t>
            </w:r>
            <w:r w:rsidRPr="004B2881">
              <w:rPr>
                <w:rFonts w:asciiTheme="majorBidi" w:hAnsiTheme="majorBidi" w:cstheme="majorBidi"/>
                <w:sz w:val="20"/>
                <w:lang w:val="fr-FR"/>
              </w:rPr>
              <w:tab/>
              <w:t xml:space="preserve">Station côtière privée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3 480 000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r>
            <w:r w:rsidR="00CF2E35" w:rsidRPr="004B2881">
              <w:rPr>
                <w:rFonts w:asciiTheme="majorBidi" w:hAnsiTheme="majorBidi" w:cstheme="majorBidi"/>
                <w:sz w:val="20"/>
                <w:lang w:val="fr-FR"/>
              </w:rPr>
              <w:t>L</w:t>
            </w:r>
            <w:r w:rsidRPr="004B2881">
              <w:rPr>
                <w:rFonts w:asciiTheme="majorBidi" w:hAnsiTheme="majorBidi" w:cstheme="majorBidi"/>
                <w:sz w:val="20"/>
                <w:lang w:val="fr-FR"/>
              </w:rPr>
              <w:t xml:space="preserve">iaison radio téléphonique VHF (25 </w:t>
            </w:r>
            <w:r w:rsidR="00CF2E35" w:rsidRPr="004B2881">
              <w:rPr>
                <w:rFonts w:asciiTheme="majorBidi" w:hAnsiTheme="majorBidi" w:cstheme="majorBidi"/>
                <w:sz w:val="20"/>
                <w:lang w:val="fr-FR"/>
              </w:rPr>
              <w:t>k</w:t>
            </w:r>
            <w:r w:rsidRPr="004B2881">
              <w:rPr>
                <w:rFonts w:asciiTheme="majorBidi" w:hAnsiTheme="majorBidi" w:cstheme="majorBidi"/>
                <w:sz w:val="20"/>
                <w:lang w:val="fr-FR"/>
              </w:rPr>
              <w:t xml:space="preserve">Hz)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174 000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r>
            <w:r w:rsidR="00CF2E35" w:rsidRPr="004B2881">
              <w:rPr>
                <w:rFonts w:asciiTheme="majorBidi" w:hAnsiTheme="majorBidi" w:cstheme="majorBidi"/>
                <w:sz w:val="20"/>
                <w:lang w:val="fr-FR"/>
              </w:rPr>
              <w:t>L</w:t>
            </w:r>
            <w:r w:rsidRPr="004B2881">
              <w:rPr>
                <w:rFonts w:asciiTheme="majorBidi" w:hAnsiTheme="majorBidi" w:cstheme="majorBidi"/>
                <w:sz w:val="20"/>
                <w:lang w:val="fr-FR"/>
              </w:rPr>
              <w:t xml:space="preserve">iaison radio téléphonique MF/HF (moins de 1 </w:t>
            </w:r>
            <w:r w:rsidR="00CF2E35" w:rsidRPr="004B2881">
              <w:rPr>
                <w:rFonts w:asciiTheme="majorBidi" w:hAnsiTheme="majorBidi" w:cstheme="majorBidi"/>
                <w:sz w:val="20"/>
                <w:lang w:val="fr-FR"/>
              </w:rPr>
              <w:t>k</w:t>
            </w:r>
            <w:r w:rsidRPr="004B2881">
              <w:rPr>
                <w:rFonts w:asciiTheme="majorBidi" w:hAnsiTheme="majorBidi" w:cstheme="majorBidi"/>
                <w:sz w:val="20"/>
                <w:lang w:val="fr-FR"/>
              </w:rPr>
              <w:t xml:space="preserve">Hz)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139 200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A3</w:t>
            </w:r>
            <w:r w:rsidRPr="004B2881">
              <w:rPr>
                <w:rFonts w:asciiTheme="majorBidi" w:hAnsiTheme="majorBidi" w:cstheme="majorBidi"/>
                <w:sz w:val="20"/>
                <w:lang w:val="fr-FR"/>
              </w:rPr>
              <w:tab/>
            </w:r>
            <w:r w:rsidR="00CF2E35" w:rsidRPr="004B2881">
              <w:rPr>
                <w:rFonts w:asciiTheme="majorBidi" w:hAnsiTheme="majorBidi" w:cstheme="majorBidi"/>
                <w:sz w:val="20"/>
                <w:lang w:val="fr-FR"/>
              </w:rPr>
              <w:t>L</w:t>
            </w:r>
            <w:r w:rsidRPr="004B2881">
              <w:rPr>
                <w:rFonts w:asciiTheme="majorBidi" w:hAnsiTheme="majorBidi" w:cstheme="majorBidi"/>
                <w:sz w:val="20"/>
                <w:lang w:val="fr-FR"/>
              </w:rPr>
              <w:t xml:space="preserve">iaison radiotéléphonique MH/HF (3 </w:t>
            </w:r>
            <w:r w:rsidR="00CF2E35" w:rsidRPr="004B2881">
              <w:rPr>
                <w:rFonts w:asciiTheme="majorBidi" w:hAnsiTheme="majorBidi" w:cstheme="majorBidi"/>
                <w:sz w:val="20"/>
                <w:lang w:val="fr-FR"/>
              </w:rPr>
              <w:t>k</w:t>
            </w:r>
            <w:r w:rsidRPr="004B2881">
              <w:rPr>
                <w:rFonts w:asciiTheme="majorBidi" w:hAnsiTheme="majorBidi" w:cstheme="majorBidi"/>
                <w:sz w:val="20"/>
                <w:lang w:val="fr-FR"/>
              </w:rPr>
              <w:t>Hz)</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417 600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BC57C6">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III.2</w:t>
            </w:r>
            <w:r w:rsidRPr="004B2881">
              <w:rPr>
                <w:rFonts w:asciiTheme="majorBidi" w:hAnsiTheme="majorBidi" w:cstheme="majorBidi"/>
                <w:sz w:val="20"/>
                <w:lang w:val="fr-FR"/>
              </w:rPr>
              <w:tab/>
              <w:t xml:space="preserve">Station côtière ouverte à la correspondance publique (service commercial)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1 450 000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8 700 000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r>
            <w:r w:rsidR="00CF2E35" w:rsidRPr="004B2881">
              <w:rPr>
                <w:rFonts w:asciiTheme="majorBidi" w:hAnsiTheme="majorBidi" w:cstheme="majorBidi"/>
                <w:sz w:val="20"/>
                <w:lang w:val="fr-FR"/>
              </w:rPr>
              <w:t>L</w:t>
            </w:r>
            <w:r w:rsidRPr="004B2881">
              <w:rPr>
                <w:rFonts w:asciiTheme="majorBidi" w:hAnsiTheme="majorBidi" w:cstheme="majorBidi"/>
                <w:sz w:val="20"/>
                <w:lang w:val="fr-FR"/>
              </w:rPr>
              <w:t xml:space="preserve">iaison radio téléphonique VHF (25 </w:t>
            </w:r>
            <w:r w:rsidR="00CF2E35" w:rsidRPr="004B2881">
              <w:rPr>
                <w:rFonts w:asciiTheme="majorBidi" w:hAnsiTheme="majorBidi" w:cstheme="majorBidi"/>
                <w:sz w:val="20"/>
                <w:lang w:val="fr-FR"/>
              </w:rPr>
              <w:t>k</w:t>
            </w:r>
            <w:r w:rsidRPr="004B2881">
              <w:rPr>
                <w:rFonts w:asciiTheme="majorBidi" w:hAnsiTheme="majorBidi" w:cstheme="majorBidi"/>
                <w:sz w:val="20"/>
                <w:lang w:val="fr-FR"/>
              </w:rPr>
              <w:t xml:space="preserve">Hz)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174 000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r>
            <w:r w:rsidR="00CF2E35" w:rsidRPr="004B2881">
              <w:rPr>
                <w:rFonts w:asciiTheme="majorBidi" w:hAnsiTheme="majorBidi" w:cstheme="majorBidi"/>
                <w:sz w:val="20"/>
                <w:lang w:val="fr-FR"/>
              </w:rPr>
              <w:t>L</w:t>
            </w:r>
            <w:r w:rsidRPr="004B2881">
              <w:rPr>
                <w:rFonts w:asciiTheme="majorBidi" w:hAnsiTheme="majorBidi" w:cstheme="majorBidi"/>
                <w:sz w:val="20"/>
                <w:lang w:val="fr-FR"/>
              </w:rPr>
              <w:t xml:space="preserve">iaison radio téléphonique MF/HF (moins de 1 </w:t>
            </w:r>
            <w:r w:rsidR="00CF2E35" w:rsidRPr="004B2881">
              <w:rPr>
                <w:rFonts w:asciiTheme="majorBidi" w:hAnsiTheme="majorBidi" w:cstheme="majorBidi"/>
                <w:sz w:val="20"/>
                <w:lang w:val="fr-FR"/>
              </w:rPr>
              <w:t>k</w:t>
            </w:r>
            <w:r w:rsidRPr="004B2881">
              <w:rPr>
                <w:rFonts w:asciiTheme="majorBidi" w:hAnsiTheme="majorBidi" w:cstheme="majorBidi"/>
                <w:sz w:val="20"/>
                <w:lang w:val="fr-FR"/>
              </w:rPr>
              <w:t xml:space="preserve">Hz)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139 000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F2E3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A3</w:t>
            </w:r>
            <w:r w:rsidRPr="004B2881">
              <w:rPr>
                <w:rFonts w:asciiTheme="majorBidi" w:hAnsiTheme="majorBidi" w:cstheme="majorBidi"/>
                <w:sz w:val="20"/>
                <w:lang w:val="fr-FR"/>
              </w:rPr>
              <w:tab/>
            </w:r>
            <w:r w:rsidR="00CF2E35" w:rsidRPr="004B2881">
              <w:rPr>
                <w:rFonts w:asciiTheme="majorBidi" w:hAnsiTheme="majorBidi" w:cstheme="majorBidi"/>
                <w:sz w:val="20"/>
                <w:lang w:val="fr-FR"/>
              </w:rPr>
              <w:t>L</w:t>
            </w:r>
            <w:r w:rsidRPr="004B2881">
              <w:rPr>
                <w:rFonts w:asciiTheme="majorBidi" w:hAnsiTheme="majorBidi" w:cstheme="majorBidi"/>
                <w:sz w:val="20"/>
                <w:lang w:val="fr-FR"/>
              </w:rPr>
              <w:t xml:space="preserve">iaison radiotéléphonique MH/HF (3 </w:t>
            </w:r>
            <w:r w:rsidR="00CF2E35" w:rsidRPr="004B2881">
              <w:rPr>
                <w:rFonts w:asciiTheme="majorBidi" w:hAnsiTheme="majorBidi" w:cstheme="majorBidi"/>
                <w:sz w:val="20"/>
                <w:lang w:val="fr-FR"/>
              </w:rPr>
              <w:t>k</w:t>
            </w:r>
            <w:r w:rsidRPr="004B2881">
              <w:rPr>
                <w:rFonts w:asciiTheme="majorBidi" w:hAnsiTheme="majorBidi" w:cstheme="majorBidi"/>
                <w:sz w:val="20"/>
                <w:lang w:val="fr-FR"/>
              </w:rPr>
              <w:t xml:space="preserve">Hz)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417 600</w:t>
            </w: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BC57C6">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III.3</w:t>
            </w:r>
            <w:r w:rsidRPr="004B2881">
              <w:rPr>
                <w:rFonts w:asciiTheme="majorBidi" w:hAnsiTheme="majorBidi" w:cstheme="majorBidi"/>
                <w:sz w:val="20"/>
                <w:lang w:val="fr-FR"/>
              </w:rPr>
              <w:tab/>
              <w:t xml:space="preserve">Station de navire de commerce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BC57C6">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Opérations portuaires</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174 000</w:t>
            </w:r>
          </w:p>
        </w:tc>
      </w:tr>
      <w:tr w:rsidR="00633D2A" w:rsidRPr="004E2CF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07132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III.4</w:t>
            </w:r>
            <w:r w:rsidRPr="004B2881">
              <w:rPr>
                <w:rFonts w:asciiTheme="majorBidi" w:hAnsiTheme="majorBidi" w:cstheme="majorBidi"/>
                <w:sz w:val="20"/>
                <w:lang w:val="fr-FR"/>
              </w:rPr>
              <w:tab/>
              <w:t>Station de navire de pêche</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51725D">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0260D">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Moins de 150 tonneaux</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C0260D">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t>Plus de 150 tonneaux</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34 000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174 000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p>
        </w:tc>
      </w:tr>
      <w:tr w:rsidR="00633D2A"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2901EF">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B1</w:t>
            </w:r>
            <w:r w:rsidRPr="004B2881">
              <w:rPr>
                <w:rFonts w:asciiTheme="majorBidi" w:hAnsiTheme="majorBidi" w:cstheme="majorBidi"/>
                <w:sz w:val="20"/>
                <w:lang w:val="fr-FR"/>
              </w:rPr>
              <w:tab/>
              <w:t xml:space="preserve">Opérations portuaires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174 000</w:t>
            </w:r>
          </w:p>
        </w:tc>
      </w:tr>
      <w:tr w:rsidR="00633D2A"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2901EF">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III.5</w:t>
            </w:r>
            <w:r w:rsidRPr="004B2881">
              <w:rPr>
                <w:rFonts w:asciiTheme="majorBidi" w:hAnsiTheme="majorBidi" w:cstheme="majorBidi"/>
                <w:sz w:val="20"/>
                <w:lang w:val="fr-FR"/>
              </w:rPr>
              <w:tab/>
              <w:t xml:space="preserve">Navire de plaisance </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NEANT</w:t>
            </w:r>
          </w:p>
        </w:tc>
      </w:tr>
      <w:tr w:rsidR="00633D2A"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2901EF">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III.6</w:t>
            </w:r>
            <w:r w:rsidRPr="004B2881">
              <w:rPr>
                <w:rFonts w:asciiTheme="majorBidi" w:hAnsiTheme="majorBidi" w:cstheme="majorBidi"/>
                <w:sz w:val="20"/>
                <w:lang w:val="fr-FR"/>
              </w:rPr>
              <w:tab/>
              <w:t>Emetteur-récepteur gamme marine 55 canaux</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633D2A" w:rsidRPr="004B2881" w:rsidRDefault="00633D2A" w:rsidP="00C61F64">
            <w:pPr>
              <w:pStyle w:val="TableText0"/>
              <w:jc w:val="center"/>
              <w:rPr>
                <w:sz w:val="20"/>
                <w:lang w:val="fr-FR"/>
              </w:rPr>
            </w:pPr>
            <w:r w:rsidRPr="004B2881">
              <w:rPr>
                <w:sz w:val="20"/>
                <w:lang w:val="fr-FR"/>
              </w:rPr>
              <w:t>Forfait = 696 000</w:t>
            </w:r>
          </w:p>
        </w:tc>
      </w:tr>
      <w:tr w:rsidR="00633D2A" w:rsidRPr="004E2CF1" w:rsidTr="00556FC3">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556FC3">
            <w:pPr>
              <w:pStyle w:val="TableNotitle"/>
              <w:spacing w:before="120"/>
              <w:rPr>
                <w:sz w:val="20"/>
                <w:lang w:val="fr-FR"/>
              </w:rPr>
            </w:pPr>
            <w:r w:rsidRPr="004B2881">
              <w:rPr>
                <w:sz w:val="20"/>
                <w:lang w:val="fr-FR"/>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556FC3">
            <w:pPr>
              <w:pStyle w:val="TableNotitle"/>
              <w:spacing w:before="120"/>
              <w:rPr>
                <w:sz w:val="20"/>
                <w:lang w:val="fr-FR"/>
              </w:rPr>
            </w:pPr>
            <w:r w:rsidRPr="004B2881">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556FC3">
            <w:pPr>
              <w:pStyle w:val="TableNotitle"/>
              <w:spacing w:before="120"/>
              <w:rPr>
                <w:sz w:val="20"/>
                <w:lang w:val="fr-FR"/>
              </w:rPr>
            </w:pPr>
            <w:r w:rsidRPr="004B2881">
              <w:rPr>
                <w:sz w:val="20"/>
                <w:lang w:val="fr-FR"/>
              </w:rPr>
              <w:t xml:space="preserve">Taxe de visite ou de </w:t>
            </w:r>
            <w:r w:rsidR="004B2881" w:rsidRPr="004B2881">
              <w:rPr>
                <w:sz w:val="20"/>
                <w:lang w:val="fr-FR"/>
              </w:rPr>
              <w:t>contrôle</w:t>
            </w:r>
            <w:r w:rsidRPr="004B2881">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633D2A" w:rsidP="00556FC3">
            <w:pPr>
              <w:pStyle w:val="TableNotitle"/>
              <w:spacing w:before="120"/>
              <w:ind w:leftChars="-50" w:left="-110" w:rightChars="-50" w:right="-110"/>
              <w:rPr>
                <w:sz w:val="20"/>
                <w:lang w:val="fr-FR"/>
              </w:rPr>
            </w:pPr>
            <w:r w:rsidRPr="004B2881">
              <w:rPr>
                <w:sz w:val="20"/>
                <w:lang w:val="fr-FR"/>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633D2A" w:rsidRPr="004B2881" w:rsidRDefault="004B2881" w:rsidP="00556FC3">
            <w:pPr>
              <w:pStyle w:val="TableNotitle"/>
              <w:spacing w:before="120"/>
              <w:ind w:leftChars="-50" w:left="-110" w:rightChars="-50" w:right="-110"/>
              <w:rPr>
                <w:sz w:val="20"/>
                <w:lang w:val="fr-FR"/>
              </w:rPr>
            </w:pPr>
            <w:r w:rsidRPr="004B2881">
              <w:rPr>
                <w:sz w:val="20"/>
                <w:lang w:val="fr-FR"/>
              </w:rPr>
              <w:t>Redevance</w:t>
            </w:r>
            <w:r w:rsidR="00633D2A" w:rsidRPr="004B2881">
              <w:rPr>
                <w:sz w:val="20"/>
                <w:lang w:val="fr-FR"/>
              </w:rPr>
              <w:t xml:space="preserve"> pour l’utilisation d’une </w:t>
            </w:r>
            <w:r w:rsidRPr="004B2881">
              <w:rPr>
                <w:sz w:val="20"/>
                <w:lang w:val="fr-FR"/>
              </w:rPr>
              <w:t>fréquence</w:t>
            </w:r>
            <w:r w:rsidR="00633D2A" w:rsidRPr="004B2881">
              <w:rPr>
                <w:sz w:val="20"/>
                <w:lang w:val="fr-FR"/>
              </w:rPr>
              <w:t xml:space="preserve"> ou d’un canal radi</w:t>
            </w:r>
            <w:r w:rsidR="00AF5A30" w:rsidRPr="004B2881">
              <w:rPr>
                <w:sz w:val="20"/>
                <w:lang w:val="fr-FR"/>
              </w:rPr>
              <w:t>oé</w:t>
            </w:r>
            <w:r w:rsidR="00633D2A" w:rsidRPr="004B2881">
              <w:rPr>
                <w:sz w:val="20"/>
                <w:lang w:val="fr-FR"/>
              </w:rPr>
              <w:t xml:space="preserve">lectrique </w:t>
            </w:r>
          </w:p>
        </w:tc>
      </w:tr>
      <w:tr w:rsidR="00962AED" w:rsidRPr="004E2CF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A2598C" w:rsidP="00A2598C">
            <w:pPr>
              <w:pStyle w:val="TableText0"/>
              <w:tabs>
                <w:tab w:val="clear" w:pos="567"/>
                <w:tab w:val="left" w:pos="444"/>
              </w:tabs>
              <w:ind w:left="284" w:hanging="284"/>
              <w:rPr>
                <w:rFonts w:asciiTheme="majorBidi" w:hAnsiTheme="majorBidi" w:cstheme="majorBidi"/>
                <w:sz w:val="20"/>
                <w:lang w:val="fr-FR"/>
              </w:rPr>
            </w:pPr>
            <w:r w:rsidRPr="004B2881">
              <w:rPr>
                <w:rFonts w:asciiTheme="majorBidi" w:hAnsiTheme="majorBidi" w:cstheme="majorBidi"/>
                <w:sz w:val="20"/>
                <w:lang w:val="fr-FR"/>
              </w:rPr>
              <w:t>IV</w:t>
            </w:r>
            <w:r w:rsidR="00962AED" w:rsidRPr="004B2881">
              <w:rPr>
                <w:rFonts w:asciiTheme="majorBidi" w:hAnsiTheme="majorBidi" w:cstheme="majorBidi"/>
                <w:sz w:val="20"/>
                <w:lang w:val="fr-FR"/>
              </w:rPr>
              <w:tab/>
            </w:r>
            <w:r w:rsidRPr="004B2881">
              <w:rPr>
                <w:rFonts w:asciiTheme="majorBidi" w:hAnsiTheme="majorBidi" w:cstheme="majorBidi"/>
                <w:sz w:val="20"/>
                <w:lang w:val="fr-FR"/>
              </w:rPr>
              <w:t>STATION DU SERVICE MOBILE AERONAUTIQUE</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p>
        </w:tc>
      </w:tr>
      <w:tr w:rsidR="00962AED"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962AED" w:rsidP="003301E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1.</w:t>
            </w:r>
            <w:r w:rsidRPr="004B2881">
              <w:rPr>
                <w:rFonts w:asciiTheme="majorBidi" w:hAnsiTheme="majorBidi" w:cstheme="majorBidi"/>
                <w:sz w:val="20"/>
                <w:lang w:val="fr-FR"/>
              </w:rPr>
              <w:tab/>
              <w:t>Station aéronautique privée (service non officiel)</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r w:rsidRPr="004B2881">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r w:rsidRPr="004B2881">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3301EC">
            <w:pPr>
              <w:pStyle w:val="TableText0"/>
              <w:jc w:val="center"/>
              <w:rPr>
                <w:sz w:val="20"/>
                <w:lang w:val="fr-FR"/>
              </w:rPr>
            </w:pPr>
            <w:r w:rsidRPr="004B2881">
              <w:rPr>
                <w:sz w:val="20"/>
                <w:lang w:val="fr-FR"/>
              </w:rPr>
              <w:t>116 000</w:t>
            </w:r>
          </w:p>
        </w:tc>
      </w:tr>
      <w:tr w:rsidR="00962AED"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962AED" w:rsidP="00CB70DB">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r>
            <w:r w:rsidRPr="004B2881">
              <w:rPr>
                <w:rFonts w:asciiTheme="majorBidi" w:hAnsiTheme="majorBidi" w:cstheme="majorBidi"/>
                <w:sz w:val="20"/>
                <w:lang w:val="fr-FR"/>
              </w:rPr>
              <w:tab/>
              <w:t>liaison sol-air</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145 000</w:t>
            </w:r>
          </w:p>
        </w:tc>
      </w:tr>
      <w:tr w:rsidR="00962AED"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962AED" w:rsidP="006C00B9">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b/>
                <w:bCs/>
                <w:sz w:val="20"/>
                <w:lang w:val="fr-FR"/>
              </w:rPr>
              <w:tab/>
            </w:r>
            <w:r w:rsidRPr="004B2881">
              <w:rPr>
                <w:rFonts w:asciiTheme="majorBidi" w:hAnsiTheme="majorBidi" w:cstheme="majorBidi"/>
                <w:b/>
                <w:bCs/>
                <w:sz w:val="20"/>
                <w:lang w:val="fr-FR"/>
              </w:rPr>
              <w:tab/>
            </w:r>
            <w:r w:rsidRPr="004B2881">
              <w:rPr>
                <w:rFonts w:asciiTheme="majorBidi" w:hAnsiTheme="majorBidi" w:cstheme="majorBidi"/>
                <w:b/>
                <w:bCs/>
                <w:sz w:val="20"/>
                <w:lang w:val="fr-FR"/>
              </w:rPr>
              <w:tab/>
            </w:r>
            <w:r w:rsidRPr="004B2881">
              <w:rPr>
                <w:rFonts w:asciiTheme="majorBidi" w:hAnsiTheme="majorBidi" w:cstheme="majorBidi"/>
                <w:sz w:val="20"/>
                <w:lang w:val="fr-FR"/>
              </w:rPr>
              <w:t>A2</w:t>
            </w:r>
            <w:r w:rsidRPr="004B2881">
              <w:rPr>
                <w:rFonts w:asciiTheme="majorBidi" w:hAnsiTheme="majorBidi" w:cstheme="majorBidi"/>
                <w:sz w:val="20"/>
                <w:lang w:val="fr-FR"/>
              </w:rPr>
              <w:tab/>
            </w:r>
            <w:r w:rsidRPr="004B2881">
              <w:rPr>
                <w:rFonts w:asciiTheme="majorBidi" w:hAnsiTheme="majorBidi" w:cstheme="majorBidi"/>
                <w:sz w:val="20"/>
                <w:lang w:val="fr-FR"/>
              </w:rPr>
              <w:tab/>
              <w:t xml:space="preserve">liaison sol-sol </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r>
      <w:tr w:rsidR="00962AED"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962AED" w:rsidP="00F038D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2.</w:t>
            </w:r>
            <w:r w:rsidRPr="004B2881">
              <w:rPr>
                <w:rFonts w:asciiTheme="majorBidi" w:hAnsiTheme="majorBidi" w:cstheme="majorBidi"/>
                <w:sz w:val="20"/>
                <w:lang w:val="fr-FR"/>
              </w:rPr>
              <w:tab/>
              <w:t>Station d’aéronef civil de transport public</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Néant</w:t>
            </w:r>
          </w:p>
        </w:tc>
      </w:tr>
      <w:tr w:rsidR="00962AED"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962AED" w:rsidP="00C0260D">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3.</w:t>
            </w:r>
            <w:r w:rsidRPr="004B2881">
              <w:rPr>
                <w:rFonts w:asciiTheme="majorBidi" w:hAnsiTheme="majorBidi" w:cstheme="majorBidi"/>
                <w:sz w:val="20"/>
                <w:lang w:val="fr-FR"/>
              </w:rPr>
              <w:tab/>
              <w:t>Station d’aéronef privée</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Néant</w:t>
            </w:r>
          </w:p>
        </w:tc>
      </w:tr>
      <w:tr w:rsidR="00962AED"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24089E" w:rsidP="00113338">
            <w:pPr>
              <w:pStyle w:val="TableText0"/>
              <w:tabs>
                <w:tab w:val="clear" w:pos="567"/>
                <w:tab w:val="left" w:pos="444"/>
              </w:tabs>
              <w:ind w:left="284" w:hanging="284"/>
              <w:rPr>
                <w:rFonts w:asciiTheme="majorBidi" w:hAnsiTheme="majorBidi" w:cstheme="majorBidi"/>
                <w:sz w:val="20"/>
                <w:lang w:val="fr-FR"/>
              </w:rPr>
            </w:pPr>
            <w:r w:rsidRPr="004B2881">
              <w:rPr>
                <w:rFonts w:asciiTheme="majorBidi" w:hAnsiTheme="majorBidi" w:cstheme="majorBidi"/>
                <w:sz w:val="20"/>
                <w:lang w:val="fr-FR"/>
              </w:rPr>
              <w:t>V</w:t>
            </w:r>
            <w:r w:rsidRPr="004B2881">
              <w:rPr>
                <w:rFonts w:asciiTheme="majorBidi" w:hAnsiTheme="majorBidi" w:cstheme="majorBidi"/>
                <w:sz w:val="20"/>
                <w:lang w:val="fr-FR"/>
              </w:rPr>
              <w:tab/>
            </w:r>
            <w:r w:rsidR="00962AED" w:rsidRPr="004B2881">
              <w:rPr>
                <w:rFonts w:asciiTheme="majorBidi" w:hAnsiTheme="majorBidi" w:cstheme="majorBidi"/>
                <w:sz w:val="20"/>
                <w:lang w:val="fr-FR"/>
              </w:rPr>
              <w:t>STATIONS DE SERVICE AMATEUR</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Néant</w:t>
            </w:r>
          </w:p>
        </w:tc>
      </w:tr>
      <w:tr w:rsidR="00962AED" w:rsidRPr="004B2881" w:rsidTr="00DB0C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962AED" w:rsidP="006C00B9">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Stat</w:t>
            </w:r>
            <w:r w:rsidR="0024089E" w:rsidRPr="004B2881">
              <w:rPr>
                <w:rFonts w:asciiTheme="majorBidi" w:hAnsiTheme="majorBidi" w:cstheme="majorBidi"/>
                <w:sz w:val="20"/>
                <w:lang w:val="fr-FR"/>
              </w:rPr>
              <w:t>ion de radiotéléphonie VHF/UMF</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5 800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8 700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Néant</w:t>
            </w:r>
          </w:p>
        </w:tc>
      </w:tr>
      <w:tr w:rsidR="00962AED" w:rsidRPr="004B2881" w:rsidTr="007110FB">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962AED" w:rsidRPr="004B2881" w:rsidRDefault="00962AED" w:rsidP="00CB70DB">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t>Station de radiotéléphonie et radiotélégraphie MF/HF</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5 800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962AED" w:rsidRPr="004B2881" w:rsidRDefault="00962AED" w:rsidP="00C61F64">
            <w:pPr>
              <w:pStyle w:val="TableText0"/>
              <w:jc w:val="center"/>
              <w:rPr>
                <w:sz w:val="20"/>
                <w:lang w:val="fr-FR"/>
              </w:rPr>
            </w:pPr>
            <w:r w:rsidRPr="004B2881">
              <w:rPr>
                <w:sz w:val="20"/>
                <w:lang w:val="fr-FR"/>
              </w:rPr>
              <w:t>Néant</w:t>
            </w:r>
          </w:p>
        </w:tc>
      </w:tr>
    </w:tbl>
    <w:p w:rsidR="00771F95" w:rsidRPr="004B2881" w:rsidRDefault="00771F95" w:rsidP="00474E50">
      <w:pPr>
        <w:spacing w:before="0"/>
        <w:rPr>
          <w:sz w:val="18"/>
          <w:lang w:val="fr-FR"/>
        </w:rPr>
      </w:pPr>
    </w:p>
    <w:p w:rsidR="00151785" w:rsidRPr="004B2881" w:rsidRDefault="006C56D4" w:rsidP="00D475AF">
      <w:pPr>
        <w:pStyle w:val="Heading1"/>
        <w:tabs>
          <w:tab w:val="clear" w:pos="794"/>
          <w:tab w:val="left" w:pos="426"/>
        </w:tabs>
        <w:rPr>
          <w:lang w:val="fr-FR"/>
        </w:rPr>
      </w:pPr>
      <w:bookmarkStart w:id="1010" w:name="_Toc280260070"/>
      <w:bookmarkStart w:id="1011" w:name="_Toc280260922"/>
      <w:bookmarkStart w:id="1012" w:name="_Toc280272535"/>
      <w:bookmarkStart w:id="1013" w:name="_Toc284414206"/>
      <w:bookmarkStart w:id="1014" w:name="_Toc286314950"/>
      <w:r w:rsidRPr="004B2881">
        <w:rPr>
          <w:lang w:val="fr-FR"/>
        </w:rPr>
        <w:t>B</w:t>
      </w:r>
      <w:r w:rsidR="00D475AF" w:rsidRPr="004B2881">
        <w:rPr>
          <w:lang w:val="fr-FR"/>
        </w:rPr>
        <w:tab/>
      </w:r>
      <w:r w:rsidR="00184497" w:rsidRPr="004B2881">
        <w:rPr>
          <w:lang w:val="fr-FR"/>
        </w:rPr>
        <w:t>SERVICE DE RADIOCOMMUNICATION PAR SATELITE</w:t>
      </w:r>
      <w:bookmarkEnd w:id="1010"/>
      <w:bookmarkEnd w:id="1011"/>
      <w:bookmarkEnd w:id="1012"/>
      <w:bookmarkEnd w:id="1013"/>
      <w:bookmarkEnd w:id="1014"/>
    </w:p>
    <w:p w:rsidR="00151785" w:rsidRPr="004B2881" w:rsidRDefault="00151785" w:rsidP="00D65924">
      <w:pPr>
        <w:spacing w:before="0"/>
        <w:rPr>
          <w:lang w:val="fr-FR"/>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BB6445" w:rsidRPr="004E2CF1" w:rsidTr="00860521">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BB6445" w:rsidRPr="004B2881" w:rsidRDefault="00BB6445" w:rsidP="00F84A9A">
            <w:pPr>
              <w:pStyle w:val="TableNotitle"/>
              <w:spacing w:before="120"/>
              <w:rPr>
                <w:sz w:val="20"/>
                <w:lang w:val="fr-FR"/>
              </w:rPr>
            </w:pPr>
            <w:r w:rsidRPr="004B2881">
              <w:rPr>
                <w:sz w:val="20"/>
                <w:lang w:val="fr-FR"/>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4B2881" w:rsidRDefault="00BB6445" w:rsidP="00F84A9A">
            <w:pPr>
              <w:pStyle w:val="TableNotitle"/>
              <w:spacing w:before="120"/>
              <w:rPr>
                <w:sz w:val="20"/>
                <w:lang w:val="fr-FR"/>
              </w:rPr>
            </w:pPr>
            <w:r w:rsidRPr="004B2881">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4B2881" w:rsidRDefault="00BB6445" w:rsidP="00F84A9A">
            <w:pPr>
              <w:pStyle w:val="TableNotitle"/>
              <w:spacing w:before="120"/>
              <w:rPr>
                <w:sz w:val="20"/>
                <w:lang w:val="fr-FR"/>
              </w:rPr>
            </w:pPr>
            <w:r w:rsidRPr="004B2881">
              <w:rPr>
                <w:sz w:val="20"/>
                <w:lang w:val="fr-FR"/>
              </w:rPr>
              <w:t xml:space="preserve">Taxe de visite ou de </w:t>
            </w:r>
            <w:r w:rsidR="004B2881" w:rsidRPr="004B2881">
              <w:rPr>
                <w:sz w:val="20"/>
                <w:lang w:val="fr-FR"/>
              </w:rPr>
              <w:t>contrôle</w:t>
            </w:r>
            <w:r w:rsidRPr="004B2881">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4B2881" w:rsidRDefault="004B2881" w:rsidP="005F38C6">
            <w:pPr>
              <w:pStyle w:val="TableNotitle"/>
              <w:spacing w:before="120"/>
              <w:ind w:leftChars="-50" w:left="-110" w:rightChars="-50" w:right="-110"/>
              <w:rPr>
                <w:sz w:val="20"/>
                <w:lang w:val="fr-FR"/>
              </w:rPr>
            </w:pPr>
            <w:r>
              <w:rPr>
                <w:sz w:val="20"/>
                <w:lang w:val="fr-FR"/>
              </w:rPr>
              <w:t>Redev</w:t>
            </w:r>
            <w:r w:rsidR="004C6B3D" w:rsidRPr="004B2881">
              <w:rPr>
                <w:sz w:val="20"/>
                <w:lang w:val="fr-FR"/>
              </w:rPr>
              <w:t>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BB6445" w:rsidRPr="004B2881" w:rsidRDefault="004B2881" w:rsidP="006C56D4">
            <w:pPr>
              <w:pStyle w:val="TableNotitle"/>
              <w:spacing w:before="120"/>
              <w:rPr>
                <w:sz w:val="20"/>
                <w:lang w:val="fr-FR"/>
              </w:rPr>
            </w:pPr>
            <w:r w:rsidRPr="004B2881">
              <w:rPr>
                <w:sz w:val="20"/>
                <w:lang w:val="fr-FR"/>
              </w:rPr>
              <w:t>Redevance</w:t>
            </w:r>
            <w:r w:rsidR="00BB6445" w:rsidRPr="004B2881">
              <w:rPr>
                <w:sz w:val="20"/>
                <w:lang w:val="fr-FR"/>
              </w:rPr>
              <w:t xml:space="preserve"> pour l’utilisation d’un canal radi</w:t>
            </w:r>
            <w:r w:rsidR="00AF5A30" w:rsidRPr="004B2881">
              <w:rPr>
                <w:sz w:val="20"/>
                <w:lang w:val="fr-FR"/>
              </w:rPr>
              <w:t>o</w:t>
            </w:r>
            <w:r w:rsidR="00AF5A30" w:rsidRPr="004B2881">
              <w:rPr>
                <w:sz w:val="20"/>
                <w:lang w:val="fr-FR"/>
              </w:rPr>
              <w:softHyphen/>
              <w:t>é</w:t>
            </w:r>
            <w:r w:rsidR="00BB6445" w:rsidRPr="004B2881">
              <w:rPr>
                <w:sz w:val="20"/>
                <w:lang w:val="fr-FR"/>
              </w:rPr>
              <w:t xml:space="preserve">lectrique </w:t>
            </w:r>
          </w:p>
        </w:tc>
      </w:tr>
      <w:tr w:rsidR="00FD5B82" w:rsidRPr="004E2CF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D5B82" w:rsidRPr="004B2881" w:rsidRDefault="00113338" w:rsidP="006A5192">
            <w:pPr>
              <w:pStyle w:val="TableText0"/>
              <w:tabs>
                <w:tab w:val="clear" w:pos="567"/>
                <w:tab w:val="left" w:pos="444"/>
              </w:tabs>
              <w:ind w:left="284" w:hanging="284"/>
              <w:rPr>
                <w:rFonts w:asciiTheme="majorBidi" w:hAnsiTheme="majorBidi" w:cstheme="majorBidi"/>
                <w:sz w:val="20"/>
                <w:lang w:val="fr-FR"/>
              </w:rPr>
            </w:pPr>
            <w:r w:rsidRPr="004B2881">
              <w:rPr>
                <w:rFonts w:asciiTheme="majorBidi" w:hAnsiTheme="majorBidi" w:cstheme="majorBidi"/>
                <w:sz w:val="20"/>
                <w:lang w:val="fr-FR"/>
              </w:rPr>
              <w:t>I</w:t>
            </w:r>
            <w:r w:rsidR="006C56D4" w:rsidRPr="004B2881">
              <w:rPr>
                <w:rFonts w:asciiTheme="majorBidi" w:hAnsiTheme="majorBidi" w:cstheme="majorBidi"/>
                <w:sz w:val="20"/>
                <w:lang w:val="fr-FR"/>
              </w:rPr>
              <w:tab/>
            </w:r>
            <w:r w:rsidR="00826E49" w:rsidRPr="004B2881">
              <w:rPr>
                <w:rFonts w:asciiTheme="majorBidi" w:hAnsiTheme="majorBidi" w:cstheme="majorBidi"/>
                <w:sz w:val="20"/>
                <w:lang w:val="fr-FR"/>
              </w:rPr>
              <w:t xml:space="preserve">RESEAU ET STATION TERRIENNES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FD5B82"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FD5B82"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FD5B82"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FD5B82" w:rsidP="00F84A9A">
            <w:pPr>
              <w:pStyle w:val="TableText0"/>
              <w:jc w:val="center"/>
              <w:rPr>
                <w:sz w:val="20"/>
                <w:lang w:val="fr-FR"/>
              </w:rPr>
            </w:pPr>
          </w:p>
        </w:tc>
      </w:tr>
      <w:tr w:rsidR="002F360B"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4B2881" w:rsidRDefault="00902FFA" w:rsidP="00826E49">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00826E49" w:rsidRPr="004B2881">
              <w:rPr>
                <w:rFonts w:asciiTheme="majorBidi" w:hAnsiTheme="majorBidi" w:cstheme="majorBidi"/>
                <w:sz w:val="20"/>
                <w:lang w:val="fr-FR"/>
              </w:rPr>
              <w:t>I.1</w:t>
            </w:r>
            <w:r w:rsidRPr="004B2881">
              <w:rPr>
                <w:rFonts w:asciiTheme="majorBidi" w:hAnsiTheme="majorBidi" w:cstheme="majorBidi"/>
                <w:sz w:val="20"/>
                <w:lang w:val="fr-FR"/>
              </w:rPr>
              <w:tab/>
            </w:r>
            <w:r w:rsidR="00826E49" w:rsidRPr="004B2881">
              <w:rPr>
                <w:rFonts w:asciiTheme="majorBidi" w:hAnsiTheme="majorBidi" w:cstheme="majorBidi"/>
                <w:sz w:val="20"/>
                <w:lang w:val="fr-FR"/>
              </w:rPr>
              <w:t xml:space="preserve">Réseau national (fixe ou mobile) </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1 044 000</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061811"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8 700 000</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061811" w:rsidP="00F84A9A">
            <w:pPr>
              <w:pStyle w:val="TableText0"/>
              <w:jc w:val="center"/>
              <w:rPr>
                <w:sz w:val="20"/>
                <w:lang w:val="fr-FR"/>
              </w:rPr>
            </w:pPr>
            <w:r w:rsidRPr="004B2881">
              <w:rPr>
                <w:sz w:val="20"/>
                <w:lang w:val="fr-FR"/>
              </w:rPr>
              <w:t>–</w:t>
            </w:r>
          </w:p>
        </w:tc>
      </w:tr>
      <w:tr w:rsidR="002F360B"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4B2881" w:rsidRDefault="00902FFA" w:rsidP="00902F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826E49" w:rsidRPr="004B2881">
              <w:rPr>
                <w:rFonts w:asciiTheme="majorBidi" w:hAnsiTheme="majorBidi" w:cstheme="majorBidi"/>
                <w:sz w:val="20"/>
                <w:lang w:val="fr-FR"/>
              </w:rPr>
              <w:t>A1</w:t>
            </w:r>
            <w:r w:rsidRPr="004B2881">
              <w:rPr>
                <w:rFonts w:asciiTheme="majorBidi" w:hAnsiTheme="majorBidi" w:cstheme="majorBidi"/>
                <w:sz w:val="20"/>
                <w:lang w:val="fr-FR"/>
              </w:rPr>
              <w:tab/>
            </w:r>
            <w:r w:rsidR="00826E49" w:rsidRPr="004B2881">
              <w:rPr>
                <w:rFonts w:asciiTheme="majorBidi" w:hAnsiTheme="majorBidi" w:cstheme="majorBidi"/>
                <w:sz w:val="20"/>
                <w:lang w:val="fr-FR"/>
              </w:rPr>
              <w:t xml:space="preserve">Station maîtresse </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061811" w:rsidP="00F84A9A">
            <w:pPr>
              <w:pStyle w:val="TableText0"/>
              <w:jc w:val="center"/>
              <w:rPr>
                <w:sz w:val="20"/>
                <w:lang w:val="fr-FR"/>
              </w:rPr>
            </w:pPr>
            <w:r w:rsidRPr="004B2881">
              <w:rPr>
                <w:sz w:val="20"/>
                <w:lang w:val="fr-FR"/>
              </w:rPr>
              <w:t>–</w:t>
            </w:r>
          </w:p>
        </w:tc>
      </w:tr>
      <w:tr w:rsidR="002F360B"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4B2881" w:rsidRDefault="00902FFA" w:rsidP="00902F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826E49" w:rsidRPr="004B2881">
              <w:rPr>
                <w:rFonts w:asciiTheme="majorBidi" w:hAnsiTheme="majorBidi" w:cstheme="majorBidi"/>
                <w:sz w:val="20"/>
                <w:lang w:val="fr-FR"/>
              </w:rPr>
              <w:t>A2</w:t>
            </w:r>
            <w:r w:rsidRPr="004B2881">
              <w:rPr>
                <w:rFonts w:asciiTheme="majorBidi" w:hAnsiTheme="majorBidi" w:cstheme="majorBidi"/>
                <w:sz w:val="20"/>
                <w:lang w:val="fr-FR"/>
              </w:rPr>
              <w:tab/>
            </w:r>
            <w:r w:rsidR="00826E49" w:rsidRPr="004B2881">
              <w:rPr>
                <w:rFonts w:asciiTheme="majorBidi" w:hAnsiTheme="majorBidi" w:cstheme="majorBidi"/>
                <w:sz w:val="20"/>
                <w:lang w:val="fr-FR"/>
              </w:rPr>
              <w:t xml:space="preserve">Station dépendante </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061811" w:rsidP="00F84A9A">
            <w:pPr>
              <w:pStyle w:val="TableText0"/>
              <w:jc w:val="center"/>
              <w:rPr>
                <w:sz w:val="20"/>
                <w:lang w:val="fr-FR"/>
              </w:rPr>
            </w:pPr>
            <w:r w:rsidRPr="004B2881">
              <w:rPr>
                <w:sz w:val="20"/>
                <w:lang w:val="fr-FR"/>
              </w:rPr>
              <w:t>–</w:t>
            </w:r>
          </w:p>
        </w:tc>
      </w:tr>
      <w:tr w:rsidR="002F360B"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4B2881" w:rsidRDefault="00902FFA" w:rsidP="00902F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826E49" w:rsidRPr="004B2881">
              <w:rPr>
                <w:rFonts w:asciiTheme="majorBidi" w:hAnsiTheme="majorBidi" w:cstheme="majorBidi"/>
                <w:sz w:val="20"/>
                <w:lang w:val="fr-FR"/>
              </w:rPr>
              <w:t>B1</w:t>
            </w:r>
            <w:r w:rsidRPr="004B2881">
              <w:rPr>
                <w:rFonts w:asciiTheme="majorBidi" w:hAnsiTheme="majorBidi" w:cstheme="majorBidi"/>
                <w:sz w:val="20"/>
                <w:lang w:val="fr-FR"/>
              </w:rPr>
              <w:tab/>
            </w:r>
            <w:r w:rsidR="00826E49" w:rsidRPr="004B2881">
              <w:rPr>
                <w:rFonts w:asciiTheme="majorBidi" w:hAnsiTheme="majorBidi" w:cstheme="majorBidi"/>
                <w:sz w:val="20"/>
                <w:lang w:val="fr-FR"/>
              </w:rPr>
              <w:t>Liaison de 1 à 24 voies</w:t>
            </w:r>
            <w:r w:rsidR="00C575E8" w:rsidRPr="004B2881">
              <w:rPr>
                <w:rFonts w:asciiTheme="majorBidi" w:hAnsiTheme="majorBidi" w:cstheme="majorBidi"/>
                <w:sz w:val="20"/>
                <w:lang w:val="fr-FR"/>
              </w:rPr>
              <w:t xml:space="preserve"> téléphoniques ou moins de 2,</w:t>
            </w:r>
            <w:r w:rsidRPr="004B2881">
              <w:rPr>
                <w:rFonts w:asciiTheme="majorBidi" w:hAnsiTheme="majorBidi" w:cstheme="majorBidi"/>
                <w:sz w:val="20"/>
                <w:lang w:val="fr-FR"/>
              </w:rPr>
              <w:t>1 </w:t>
            </w:r>
            <w:r w:rsidR="00826E49" w:rsidRPr="004B2881">
              <w:rPr>
                <w:rFonts w:asciiTheme="majorBidi" w:hAnsiTheme="majorBidi" w:cstheme="majorBidi"/>
                <w:sz w:val="20"/>
                <w:lang w:val="fr-FR"/>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1 160 000</w:t>
            </w:r>
          </w:p>
        </w:tc>
      </w:tr>
      <w:tr w:rsidR="002F360B"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4B2881" w:rsidRDefault="00902FFA" w:rsidP="00902F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826E49" w:rsidRPr="004B2881">
              <w:rPr>
                <w:rFonts w:asciiTheme="majorBidi" w:hAnsiTheme="majorBidi" w:cstheme="majorBidi"/>
                <w:sz w:val="20"/>
                <w:lang w:val="fr-FR"/>
              </w:rPr>
              <w:t>B2</w:t>
            </w:r>
            <w:r w:rsidRPr="004B2881">
              <w:rPr>
                <w:rFonts w:asciiTheme="majorBidi" w:hAnsiTheme="majorBidi" w:cstheme="majorBidi"/>
                <w:sz w:val="20"/>
                <w:lang w:val="fr-FR"/>
              </w:rPr>
              <w:tab/>
            </w:r>
            <w:r w:rsidR="00826E49" w:rsidRPr="004B2881">
              <w:rPr>
                <w:rFonts w:asciiTheme="majorBidi" w:hAnsiTheme="majorBidi" w:cstheme="majorBidi"/>
                <w:sz w:val="20"/>
                <w:lang w:val="fr-FR"/>
              </w:rPr>
              <w:t>Liaison de 25à 120 voies té</w:t>
            </w:r>
            <w:r w:rsidR="00C575E8" w:rsidRPr="004B2881">
              <w:rPr>
                <w:rFonts w:asciiTheme="majorBidi" w:hAnsiTheme="majorBidi" w:cstheme="majorBidi"/>
                <w:sz w:val="20"/>
                <w:lang w:val="fr-FR"/>
              </w:rPr>
              <w:t>léphoniques ou moins de 2,1 à 8 </w:t>
            </w:r>
            <w:r w:rsidR="00826E49" w:rsidRPr="004B2881">
              <w:rPr>
                <w:rFonts w:asciiTheme="majorBidi" w:hAnsiTheme="majorBidi" w:cstheme="majorBidi"/>
                <w:sz w:val="20"/>
                <w:lang w:val="fr-FR"/>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1 450 000</w:t>
            </w:r>
          </w:p>
        </w:tc>
      </w:tr>
      <w:tr w:rsidR="002F360B"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4B2881" w:rsidRDefault="00902FFA" w:rsidP="00902F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826E49" w:rsidRPr="004B2881">
              <w:rPr>
                <w:rFonts w:asciiTheme="majorBidi" w:hAnsiTheme="majorBidi" w:cstheme="majorBidi"/>
                <w:sz w:val="20"/>
                <w:lang w:val="fr-FR"/>
              </w:rPr>
              <w:t>B3</w:t>
            </w:r>
            <w:r w:rsidRPr="004B2881">
              <w:rPr>
                <w:rFonts w:asciiTheme="majorBidi" w:hAnsiTheme="majorBidi" w:cstheme="majorBidi"/>
                <w:sz w:val="20"/>
                <w:lang w:val="fr-FR"/>
              </w:rPr>
              <w:tab/>
            </w:r>
            <w:r w:rsidR="00826E49" w:rsidRPr="004B2881">
              <w:rPr>
                <w:rFonts w:asciiTheme="majorBidi" w:hAnsiTheme="majorBidi" w:cstheme="majorBidi"/>
                <w:sz w:val="20"/>
                <w:lang w:val="fr-FR"/>
              </w:rPr>
              <w:t xml:space="preserve">Liaison de 121 à 600 voies téléphoniques ou </w:t>
            </w:r>
            <w:r w:rsidR="00C575E8" w:rsidRPr="004B2881">
              <w:rPr>
                <w:rFonts w:asciiTheme="majorBidi" w:hAnsiTheme="majorBidi" w:cstheme="majorBidi"/>
                <w:sz w:val="20"/>
                <w:lang w:val="fr-FR"/>
              </w:rPr>
              <w:t>moins de 8 à 34 </w:t>
            </w:r>
            <w:r w:rsidR="00826E49" w:rsidRPr="004B2881">
              <w:rPr>
                <w:rFonts w:asciiTheme="majorBidi" w:hAnsiTheme="majorBidi" w:cstheme="majorBidi"/>
                <w:sz w:val="20"/>
                <w:lang w:val="fr-FR"/>
              </w:rPr>
              <w:t>Mbits</w:t>
            </w:r>
            <w:r w:rsidR="00C575E8" w:rsidRPr="004B2881">
              <w:rPr>
                <w:rFonts w:asciiTheme="majorBidi" w:hAnsiTheme="majorBidi" w:cstheme="majorBidi"/>
                <w:sz w:val="20"/>
                <w:lang w:val="fr-FR"/>
              </w:rPr>
              <w:t>/s</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1 740 000</w:t>
            </w:r>
          </w:p>
        </w:tc>
      </w:tr>
      <w:tr w:rsidR="002F360B"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2F360B" w:rsidRPr="004B2881" w:rsidRDefault="00A51E65" w:rsidP="00A51E6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826E49" w:rsidRPr="004B2881">
              <w:rPr>
                <w:rFonts w:asciiTheme="majorBidi" w:hAnsiTheme="majorBidi" w:cstheme="majorBidi"/>
                <w:sz w:val="20"/>
                <w:lang w:val="fr-FR"/>
              </w:rPr>
              <w:t>B4</w:t>
            </w:r>
            <w:r w:rsidRPr="004B2881">
              <w:rPr>
                <w:rFonts w:asciiTheme="majorBidi" w:hAnsiTheme="majorBidi" w:cstheme="majorBidi"/>
                <w:sz w:val="20"/>
                <w:lang w:val="fr-FR"/>
              </w:rPr>
              <w:tab/>
            </w:r>
            <w:r w:rsidR="00826E49" w:rsidRPr="004B2881">
              <w:rPr>
                <w:rFonts w:asciiTheme="majorBidi" w:hAnsiTheme="majorBidi" w:cstheme="majorBidi"/>
                <w:sz w:val="20"/>
                <w:lang w:val="fr-FR"/>
              </w:rPr>
              <w:t>Liaison de plus de 600 voies</w:t>
            </w:r>
            <w:r w:rsidRPr="004B2881">
              <w:rPr>
                <w:rFonts w:asciiTheme="majorBidi" w:hAnsiTheme="majorBidi" w:cstheme="majorBidi"/>
                <w:sz w:val="20"/>
                <w:lang w:val="fr-FR"/>
              </w:rPr>
              <w:t xml:space="preserve"> téléphoniques ou de plus de 34 </w:t>
            </w:r>
            <w:r w:rsidR="00826E49" w:rsidRPr="004B2881">
              <w:rPr>
                <w:rFonts w:asciiTheme="majorBidi" w:hAnsiTheme="majorBidi" w:cstheme="majorBidi"/>
                <w:sz w:val="20"/>
                <w:lang w:val="fr-FR"/>
              </w:rPr>
              <w:t>Mbits</w:t>
            </w:r>
            <w:r w:rsidR="00C575E8" w:rsidRPr="004B2881">
              <w:rPr>
                <w:rFonts w:asciiTheme="majorBidi" w:hAnsiTheme="majorBidi" w:cstheme="majorBidi"/>
                <w:sz w:val="20"/>
                <w:lang w:val="fr-FR"/>
              </w:rPr>
              <w:t>/s</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3356D7"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3356D7"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2F360B" w:rsidRPr="004B2881" w:rsidRDefault="005F52FF" w:rsidP="00F84A9A">
            <w:pPr>
              <w:pStyle w:val="TableText0"/>
              <w:jc w:val="center"/>
              <w:rPr>
                <w:sz w:val="20"/>
                <w:lang w:val="fr-FR"/>
              </w:rPr>
            </w:pPr>
            <w:r w:rsidRPr="004B2881">
              <w:rPr>
                <w:sz w:val="20"/>
                <w:lang w:val="fr-FR"/>
              </w:rPr>
              <w:t>2 900 000</w:t>
            </w:r>
          </w:p>
        </w:tc>
      </w:tr>
      <w:tr w:rsidR="00FD5B82"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D5B82" w:rsidRPr="004B2881" w:rsidRDefault="00A51E65" w:rsidP="002223A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w:t>
            </w:r>
            <w:r w:rsidR="00826E49" w:rsidRPr="004B2881">
              <w:rPr>
                <w:rFonts w:asciiTheme="majorBidi" w:hAnsiTheme="majorBidi" w:cstheme="majorBidi"/>
                <w:sz w:val="20"/>
                <w:lang w:val="fr-FR"/>
              </w:rPr>
              <w:t>.2</w:t>
            </w:r>
            <w:r w:rsidRPr="004B2881">
              <w:rPr>
                <w:rFonts w:asciiTheme="majorBidi" w:hAnsiTheme="majorBidi" w:cstheme="majorBidi"/>
                <w:sz w:val="20"/>
                <w:lang w:val="fr-FR"/>
              </w:rPr>
              <w:tab/>
            </w:r>
            <w:r w:rsidR="002223A5" w:rsidRPr="004B2881">
              <w:rPr>
                <w:rFonts w:asciiTheme="majorBidi" w:hAnsiTheme="majorBidi" w:cstheme="majorBidi"/>
                <w:sz w:val="20"/>
                <w:lang w:val="fr-FR"/>
              </w:rPr>
              <w:t>R</w:t>
            </w:r>
            <w:r w:rsidR="00826E49" w:rsidRPr="004B2881">
              <w:rPr>
                <w:rFonts w:asciiTheme="majorBidi" w:hAnsiTheme="majorBidi" w:cstheme="majorBidi"/>
                <w:sz w:val="20"/>
                <w:lang w:val="fr-FR"/>
              </w:rPr>
              <w:t xml:space="preserve">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6A7D24" w:rsidP="00F84A9A">
            <w:pPr>
              <w:pStyle w:val="TableText0"/>
              <w:jc w:val="center"/>
              <w:rPr>
                <w:sz w:val="20"/>
                <w:lang w:val="fr-FR"/>
              </w:rPr>
            </w:pPr>
            <w:r w:rsidRPr="004B2881">
              <w:rPr>
                <w:sz w:val="20"/>
                <w:lang w:val="fr-FR"/>
              </w:rPr>
              <w:t>116 000</w:t>
            </w: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6A7D24" w:rsidP="00F84A9A">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6A7D24" w:rsidP="00F84A9A">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FD5B82" w:rsidRPr="004B2881" w:rsidRDefault="006A7D24" w:rsidP="00F84A9A">
            <w:pPr>
              <w:pStyle w:val="TableText0"/>
              <w:jc w:val="center"/>
              <w:rPr>
                <w:sz w:val="20"/>
                <w:lang w:val="fr-FR"/>
              </w:rPr>
            </w:pPr>
            <w:r w:rsidRPr="004B2881">
              <w:rPr>
                <w:sz w:val="20"/>
                <w:lang w:val="fr-FR"/>
              </w:rPr>
              <w:t>348 000</w:t>
            </w:r>
          </w:p>
        </w:tc>
      </w:tr>
      <w:tr w:rsidR="00826E49"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4B2881" w:rsidRDefault="00A51E65" w:rsidP="00A51E6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00826E49" w:rsidRPr="004B2881">
              <w:rPr>
                <w:rFonts w:asciiTheme="majorBidi" w:hAnsiTheme="majorBidi" w:cstheme="majorBidi"/>
                <w:sz w:val="20"/>
                <w:lang w:val="fr-FR"/>
              </w:rPr>
              <w:t>I.3</w:t>
            </w:r>
            <w:r w:rsidRPr="004B2881">
              <w:rPr>
                <w:rFonts w:asciiTheme="majorBidi" w:hAnsiTheme="majorBidi" w:cstheme="majorBidi"/>
                <w:sz w:val="20"/>
                <w:lang w:val="fr-FR"/>
              </w:rPr>
              <w:tab/>
            </w:r>
            <w:r w:rsidR="00826E49" w:rsidRPr="004B2881">
              <w:rPr>
                <w:rFonts w:asciiTheme="majorBidi" w:hAnsiTheme="majorBidi" w:cstheme="majorBidi"/>
                <w:sz w:val="20"/>
                <w:lang w:val="fr-FR"/>
              </w:rPr>
              <w:t xml:space="preserve">Micro station terrienne (VSAT) internationale dépendant </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174 000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145 000</w:t>
            </w:r>
          </w:p>
        </w:tc>
      </w:tr>
      <w:tr w:rsidR="00860521" w:rsidRPr="004E2CF1" w:rsidTr="00556FC3">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60521" w:rsidRPr="004B2881" w:rsidRDefault="00860521" w:rsidP="00556FC3">
            <w:pPr>
              <w:pStyle w:val="TableNotitle"/>
              <w:spacing w:before="120"/>
              <w:rPr>
                <w:sz w:val="20"/>
                <w:lang w:val="fr-FR"/>
              </w:rPr>
            </w:pPr>
            <w:r w:rsidRPr="004B2881">
              <w:rPr>
                <w:sz w:val="20"/>
                <w:lang w:val="fr-FR"/>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4B2881" w:rsidRDefault="00860521" w:rsidP="00556FC3">
            <w:pPr>
              <w:pStyle w:val="TableNotitle"/>
              <w:spacing w:before="120"/>
              <w:rPr>
                <w:sz w:val="20"/>
                <w:lang w:val="fr-FR"/>
              </w:rPr>
            </w:pPr>
            <w:r w:rsidRPr="004B2881">
              <w:rPr>
                <w:sz w:val="20"/>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4B2881" w:rsidRDefault="00860521" w:rsidP="00556FC3">
            <w:pPr>
              <w:pStyle w:val="TableNotitle"/>
              <w:spacing w:before="120"/>
              <w:rPr>
                <w:sz w:val="20"/>
                <w:lang w:val="fr-FR"/>
              </w:rPr>
            </w:pPr>
            <w:r w:rsidRPr="004B2881">
              <w:rPr>
                <w:sz w:val="20"/>
                <w:lang w:val="fr-FR"/>
              </w:rPr>
              <w:t xml:space="preserve">Taxe de visite ou de </w:t>
            </w:r>
            <w:r w:rsidR="004B2881" w:rsidRPr="004B2881">
              <w:rPr>
                <w:sz w:val="20"/>
                <w:lang w:val="fr-FR"/>
              </w:rPr>
              <w:t>contrôle</w:t>
            </w:r>
            <w:r w:rsidRPr="004B2881">
              <w:rPr>
                <w:sz w:val="20"/>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4B2881" w:rsidRDefault="004B2881" w:rsidP="00556FC3">
            <w:pPr>
              <w:pStyle w:val="TableNotitle"/>
              <w:spacing w:before="120"/>
              <w:ind w:leftChars="-50" w:left="-110" w:rightChars="-50" w:right="-110"/>
              <w:rPr>
                <w:sz w:val="20"/>
                <w:lang w:val="fr-FR"/>
              </w:rPr>
            </w:pPr>
            <w:r>
              <w:rPr>
                <w:sz w:val="20"/>
                <w:lang w:val="fr-FR"/>
              </w:rPr>
              <w:t>Redev</w:t>
            </w:r>
            <w:r w:rsidR="00860521" w:rsidRPr="004B2881">
              <w:rPr>
                <w:sz w:val="20"/>
                <w:lang w:val="fr-FR"/>
              </w:rPr>
              <w:t>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860521" w:rsidRPr="004B2881" w:rsidRDefault="004B2881" w:rsidP="00677BED">
            <w:pPr>
              <w:pStyle w:val="TableNotitle"/>
              <w:spacing w:before="120"/>
              <w:rPr>
                <w:sz w:val="20"/>
                <w:lang w:val="fr-FR"/>
              </w:rPr>
            </w:pPr>
            <w:r w:rsidRPr="004B2881">
              <w:rPr>
                <w:sz w:val="20"/>
                <w:lang w:val="fr-FR"/>
              </w:rPr>
              <w:t>Redevance</w:t>
            </w:r>
            <w:r w:rsidR="00860521" w:rsidRPr="004B2881">
              <w:rPr>
                <w:sz w:val="20"/>
                <w:lang w:val="fr-FR"/>
              </w:rPr>
              <w:t xml:space="preserve"> pour l’utilisation d’un canal radi</w:t>
            </w:r>
            <w:r w:rsidR="00AF5A30" w:rsidRPr="004B2881">
              <w:rPr>
                <w:sz w:val="20"/>
                <w:lang w:val="fr-FR"/>
              </w:rPr>
              <w:t>o</w:t>
            </w:r>
            <w:r w:rsidR="00C21B60" w:rsidRPr="004B2881">
              <w:rPr>
                <w:sz w:val="20"/>
                <w:lang w:val="fr-FR"/>
              </w:rPr>
              <w:softHyphen/>
            </w:r>
            <w:r w:rsidR="00AF5A30" w:rsidRPr="004B2881">
              <w:rPr>
                <w:sz w:val="20"/>
                <w:lang w:val="fr-FR"/>
              </w:rPr>
              <w:t>é</w:t>
            </w:r>
            <w:r w:rsidR="00860521" w:rsidRPr="004B2881">
              <w:rPr>
                <w:sz w:val="20"/>
                <w:lang w:val="fr-FR"/>
              </w:rPr>
              <w:t xml:space="preserve">lectrique </w:t>
            </w:r>
          </w:p>
        </w:tc>
      </w:tr>
      <w:tr w:rsidR="00826E49"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4B2881" w:rsidRDefault="00A51E65" w:rsidP="00A51E6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00826E49" w:rsidRPr="004B2881">
              <w:rPr>
                <w:rFonts w:asciiTheme="majorBidi" w:hAnsiTheme="majorBidi" w:cstheme="majorBidi"/>
                <w:sz w:val="20"/>
                <w:lang w:val="fr-FR"/>
              </w:rPr>
              <w:t>I.4</w:t>
            </w:r>
            <w:r w:rsidRPr="004B2881">
              <w:rPr>
                <w:rFonts w:asciiTheme="majorBidi" w:hAnsiTheme="majorBidi" w:cstheme="majorBidi"/>
                <w:sz w:val="20"/>
                <w:lang w:val="fr-FR"/>
              </w:rPr>
              <w:tab/>
            </w:r>
            <w:r w:rsidR="00826E49" w:rsidRPr="004B2881">
              <w:rPr>
                <w:rFonts w:asciiTheme="majorBidi" w:hAnsiTheme="majorBidi" w:cstheme="majorBidi"/>
                <w:sz w:val="20"/>
                <w:lang w:val="fr-FR"/>
              </w:rPr>
              <w:t xml:space="preserve">Station terrienne portable ou mobile </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145 000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116 000</w:t>
            </w:r>
          </w:p>
        </w:tc>
      </w:tr>
      <w:tr w:rsidR="00826E49"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4B2881" w:rsidRDefault="00A51E65" w:rsidP="00A51E65">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00826E49" w:rsidRPr="004B2881">
              <w:rPr>
                <w:rFonts w:asciiTheme="majorBidi" w:hAnsiTheme="majorBidi" w:cstheme="majorBidi"/>
                <w:sz w:val="20"/>
                <w:lang w:val="fr-FR"/>
              </w:rPr>
              <w:t>I.5</w:t>
            </w:r>
            <w:r w:rsidRPr="004B2881">
              <w:rPr>
                <w:rFonts w:asciiTheme="majorBidi" w:hAnsiTheme="majorBidi" w:cstheme="majorBidi"/>
                <w:sz w:val="20"/>
                <w:lang w:val="fr-FR"/>
              </w:rPr>
              <w:tab/>
            </w:r>
            <w:r w:rsidR="00826E49" w:rsidRPr="004B2881">
              <w:rPr>
                <w:rFonts w:asciiTheme="majorBidi" w:hAnsiTheme="majorBidi" w:cstheme="majorBidi"/>
                <w:sz w:val="20"/>
                <w:lang w:val="fr-FR"/>
              </w:rPr>
              <w:t>Station terrienne de réception individuelle</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14 500</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6A7D24" w:rsidP="00F84A9A">
            <w:pPr>
              <w:pStyle w:val="TableText0"/>
              <w:jc w:val="center"/>
              <w:rPr>
                <w:sz w:val="20"/>
                <w:lang w:val="fr-FR"/>
              </w:rPr>
            </w:pPr>
            <w:r w:rsidRPr="004B2881">
              <w:rPr>
                <w:sz w:val="20"/>
                <w:lang w:val="fr-FR"/>
              </w:rPr>
              <w:t>Néant</w:t>
            </w:r>
          </w:p>
        </w:tc>
      </w:tr>
      <w:tr w:rsidR="00826E49" w:rsidRPr="004E2CF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4B2881" w:rsidRDefault="00F1563A" w:rsidP="00C318F4">
            <w:pPr>
              <w:pStyle w:val="TableText0"/>
              <w:tabs>
                <w:tab w:val="clear" w:pos="567"/>
                <w:tab w:val="left" w:pos="444"/>
              </w:tabs>
              <w:ind w:left="284" w:hanging="284"/>
              <w:rPr>
                <w:rFonts w:asciiTheme="majorBidi" w:hAnsiTheme="majorBidi" w:cstheme="majorBidi"/>
                <w:sz w:val="20"/>
                <w:lang w:val="fr-FR"/>
              </w:rPr>
            </w:pPr>
            <w:r w:rsidRPr="004B2881">
              <w:rPr>
                <w:rFonts w:asciiTheme="majorBidi" w:hAnsiTheme="majorBidi" w:cstheme="majorBidi"/>
                <w:sz w:val="20"/>
                <w:lang w:val="fr-FR"/>
              </w:rPr>
              <w:t>II</w:t>
            </w:r>
            <w:r w:rsidR="00C318F4" w:rsidRPr="004B2881">
              <w:rPr>
                <w:rFonts w:asciiTheme="majorBidi" w:hAnsiTheme="majorBidi" w:cstheme="majorBidi"/>
                <w:sz w:val="20"/>
                <w:lang w:val="fr-FR"/>
              </w:rPr>
              <w:tab/>
            </w:r>
            <w:r w:rsidRPr="004B2881">
              <w:rPr>
                <w:rFonts w:asciiTheme="majorBidi" w:hAnsiTheme="majorBidi" w:cstheme="majorBidi"/>
                <w:sz w:val="20"/>
                <w:lang w:val="fr-FR"/>
              </w:rPr>
              <w:t xml:space="preserve">RESEAU ET STATIONS TERRIENNES OUVERTS AU PUBLIC (service commercial) </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26E49"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26E49"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26E49"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26E49" w:rsidP="00F84A9A">
            <w:pPr>
              <w:pStyle w:val="TableText0"/>
              <w:jc w:val="center"/>
              <w:rPr>
                <w:sz w:val="20"/>
                <w:lang w:val="fr-FR"/>
              </w:rPr>
            </w:pPr>
          </w:p>
        </w:tc>
      </w:tr>
      <w:tr w:rsidR="00F1563A"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00F1563A" w:rsidRPr="004B2881">
              <w:rPr>
                <w:rFonts w:asciiTheme="majorBidi" w:hAnsiTheme="majorBidi" w:cstheme="majorBidi"/>
                <w:sz w:val="20"/>
                <w:lang w:val="fr-FR"/>
              </w:rPr>
              <w:t>II.1</w:t>
            </w:r>
            <w:r w:rsidRPr="004B2881">
              <w:rPr>
                <w:rFonts w:asciiTheme="majorBidi" w:hAnsiTheme="majorBidi" w:cstheme="majorBidi"/>
                <w:sz w:val="20"/>
                <w:lang w:val="fr-FR"/>
              </w:rPr>
              <w:tab/>
            </w:r>
            <w:r w:rsidR="00F1563A" w:rsidRPr="004B2881">
              <w:rPr>
                <w:rFonts w:asciiTheme="majorBidi" w:hAnsiTheme="majorBidi" w:cstheme="majorBidi"/>
                <w:sz w:val="20"/>
                <w:lang w:val="fr-FR"/>
              </w:rPr>
              <w:t>Réseau national ouvert au public</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3 770 000</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29 000 000</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22402B" w:rsidP="00F84A9A">
            <w:pPr>
              <w:pStyle w:val="TableText0"/>
              <w:jc w:val="center"/>
              <w:rPr>
                <w:sz w:val="20"/>
                <w:lang w:val="fr-FR"/>
              </w:rPr>
            </w:pPr>
            <w:r w:rsidRPr="004B2881">
              <w:rPr>
                <w:sz w:val="20"/>
                <w:lang w:val="fr-FR"/>
              </w:rPr>
              <w:t>–</w:t>
            </w:r>
          </w:p>
        </w:tc>
      </w:tr>
      <w:tr w:rsidR="00F1563A"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F1563A" w:rsidRPr="004B2881">
              <w:rPr>
                <w:rFonts w:asciiTheme="majorBidi" w:hAnsiTheme="majorBidi" w:cstheme="majorBidi"/>
                <w:sz w:val="20"/>
                <w:lang w:val="fr-FR"/>
              </w:rPr>
              <w:t>A1</w:t>
            </w:r>
            <w:r w:rsidRPr="004B2881">
              <w:rPr>
                <w:rFonts w:asciiTheme="majorBidi" w:hAnsiTheme="majorBidi" w:cstheme="majorBidi"/>
                <w:sz w:val="20"/>
                <w:lang w:val="fr-FR"/>
              </w:rPr>
              <w:tab/>
            </w:r>
            <w:r w:rsidR="00F1563A" w:rsidRPr="004B2881">
              <w:rPr>
                <w:rFonts w:asciiTheme="majorBidi" w:hAnsiTheme="majorBidi" w:cstheme="majorBidi"/>
                <w:sz w:val="20"/>
                <w:lang w:val="fr-FR"/>
              </w:rPr>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882A4D"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B604A1"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A42F9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22402B" w:rsidP="00F84A9A">
            <w:pPr>
              <w:pStyle w:val="TableText0"/>
              <w:jc w:val="center"/>
              <w:rPr>
                <w:sz w:val="20"/>
                <w:lang w:val="fr-FR"/>
              </w:rPr>
            </w:pPr>
            <w:r w:rsidRPr="004B2881">
              <w:rPr>
                <w:sz w:val="20"/>
                <w:lang w:val="fr-FR"/>
              </w:rPr>
              <w:t>–</w:t>
            </w:r>
          </w:p>
        </w:tc>
      </w:tr>
      <w:tr w:rsidR="00F1563A"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F1563A" w:rsidRPr="004B2881">
              <w:rPr>
                <w:rFonts w:asciiTheme="majorBidi" w:hAnsiTheme="majorBidi" w:cstheme="majorBidi"/>
                <w:sz w:val="20"/>
                <w:lang w:val="fr-FR"/>
              </w:rPr>
              <w:t>A2</w:t>
            </w:r>
            <w:r w:rsidRPr="004B2881">
              <w:rPr>
                <w:rFonts w:asciiTheme="majorBidi" w:hAnsiTheme="majorBidi" w:cstheme="majorBidi"/>
                <w:sz w:val="20"/>
                <w:lang w:val="fr-FR"/>
              </w:rPr>
              <w:tab/>
            </w:r>
            <w:r w:rsidR="00F1563A" w:rsidRPr="004B2881">
              <w:rPr>
                <w:rFonts w:asciiTheme="majorBidi" w:hAnsiTheme="majorBidi" w:cstheme="majorBidi"/>
                <w:sz w:val="20"/>
                <w:lang w:val="fr-FR"/>
              </w:rPr>
              <w:t xml:space="preserve">Station terrienne d’aéronef de navire et terrestre </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882A4D"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B604A1" w:rsidP="00F84A9A">
            <w:pPr>
              <w:pStyle w:val="TableText0"/>
              <w:jc w:val="center"/>
              <w:rPr>
                <w:sz w:val="20"/>
                <w:lang w:val="fr-FR"/>
              </w:rPr>
            </w:pPr>
            <w:r w:rsidRPr="004B2881">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A42F9F"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22402B" w:rsidP="00F84A9A">
            <w:pPr>
              <w:pStyle w:val="TableText0"/>
              <w:jc w:val="center"/>
              <w:rPr>
                <w:sz w:val="20"/>
                <w:lang w:val="fr-FR"/>
              </w:rPr>
            </w:pPr>
            <w:r w:rsidRPr="004B2881">
              <w:rPr>
                <w:sz w:val="20"/>
                <w:lang w:val="fr-FR"/>
              </w:rPr>
              <w:t>–</w:t>
            </w:r>
          </w:p>
        </w:tc>
      </w:tr>
      <w:tr w:rsidR="00F1563A"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F1563A" w:rsidRPr="004B2881">
              <w:rPr>
                <w:rFonts w:asciiTheme="majorBidi" w:hAnsiTheme="majorBidi" w:cstheme="majorBidi"/>
                <w:sz w:val="20"/>
                <w:lang w:val="fr-FR"/>
              </w:rPr>
              <w:t>B1</w:t>
            </w:r>
            <w:r w:rsidRPr="004B2881">
              <w:rPr>
                <w:rFonts w:asciiTheme="majorBidi" w:hAnsiTheme="majorBidi" w:cstheme="majorBidi"/>
                <w:sz w:val="20"/>
                <w:lang w:val="fr-FR"/>
              </w:rPr>
              <w:tab/>
            </w:r>
            <w:r w:rsidR="00F1563A" w:rsidRPr="004B2881">
              <w:rPr>
                <w:rFonts w:asciiTheme="majorBidi" w:hAnsiTheme="majorBidi" w:cstheme="majorBidi"/>
                <w:sz w:val="20"/>
                <w:lang w:val="fr-FR"/>
              </w:rPr>
              <w:t xml:space="preserve">Liaison de 1 à 120 </w:t>
            </w:r>
            <w:r w:rsidRPr="004B2881">
              <w:rPr>
                <w:rFonts w:asciiTheme="majorBidi" w:hAnsiTheme="majorBidi" w:cstheme="majorBidi"/>
                <w:sz w:val="20"/>
                <w:lang w:val="fr-FR"/>
              </w:rPr>
              <w:t>voies téléphoniques ou de 2 à 8 </w:t>
            </w:r>
            <w:r w:rsidR="00F1563A" w:rsidRPr="004B2881">
              <w:rPr>
                <w:rFonts w:asciiTheme="majorBidi" w:hAnsiTheme="majorBidi" w:cstheme="majorBidi"/>
                <w:sz w:val="20"/>
                <w:lang w:val="fr-FR"/>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B604A1" w:rsidP="00F84A9A">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844643" w:rsidP="00F84A9A">
            <w:pPr>
              <w:pStyle w:val="TableText0"/>
              <w:jc w:val="center"/>
              <w:rPr>
                <w:sz w:val="20"/>
                <w:lang w:val="fr-FR"/>
              </w:rPr>
            </w:pPr>
            <w:r w:rsidRPr="004B2881">
              <w:rPr>
                <w:sz w:val="20"/>
                <w:lang w:val="fr-FR"/>
              </w:rPr>
              <w:t>–</w:t>
            </w:r>
          </w:p>
        </w:tc>
      </w:tr>
      <w:tr w:rsidR="00F1563A"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F1563A" w:rsidRPr="004B2881">
              <w:rPr>
                <w:rFonts w:asciiTheme="majorBidi" w:hAnsiTheme="majorBidi" w:cstheme="majorBidi"/>
                <w:sz w:val="20"/>
                <w:lang w:val="fr-FR"/>
              </w:rPr>
              <w:t>B2</w:t>
            </w:r>
            <w:r w:rsidRPr="004B2881">
              <w:rPr>
                <w:rFonts w:asciiTheme="majorBidi" w:hAnsiTheme="majorBidi" w:cstheme="majorBidi"/>
                <w:sz w:val="20"/>
                <w:lang w:val="fr-FR"/>
              </w:rPr>
              <w:tab/>
            </w:r>
            <w:r w:rsidR="00F1563A" w:rsidRPr="004B2881">
              <w:rPr>
                <w:rFonts w:asciiTheme="majorBidi" w:hAnsiTheme="majorBidi" w:cstheme="majorBidi"/>
                <w:sz w:val="20"/>
                <w:lang w:val="fr-FR"/>
              </w:rPr>
              <w:t>Liaison de 121 à 600 voies téléphonique</w:t>
            </w:r>
            <w:r w:rsidRPr="004B2881">
              <w:rPr>
                <w:rFonts w:asciiTheme="majorBidi" w:hAnsiTheme="majorBidi" w:cstheme="majorBidi"/>
                <w:sz w:val="20"/>
                <w:lang w:val="fr-FR"/>
              </w:rPr>
              <w:t>s ou de 8 à 34 </w:t>
            </w:r>
            <w:r w:rsidR="00F1563A" w:rsidRPr="004B2881">
              <w:rPr>
                <w:rFonts w:asciiTheme="majorBidi" w:hAnsiTheme="majorBidi" w:cstheme="majorBidi"/>
                <w:sz w:val="20"/>
                <w:lang w:val="fr-FR"/>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312EEE"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844643" w:rsidP="00F84A9A">
            <w:pPr>
              <w:pStyle w:val="TableText0"/>
              <w:jc w:val="center"/>
              <w:rPr>
                <w:sz w:val="20"/>
                <w:lang w:val="fr-FR"/>
              </w:rPr>
            </w:pPr>
            <w:r w:rsidRPr="004B2881">
              <w:rPr>
                <w:sz w:val="20"/>
                <w:lang w:val="fr-FR"/>
              </w:rPr>
              <w:t>5 800 000</w:t>
            </w:r>
          </w:p>
        </w:tc>
      </w:tr>
      <w:tr w:rsidR="00F1563A"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F1563A" w:rsidRPr="004B2881">
              <w:rPr>
                <w:rFonts w:asciiTheme="majorBidi" w:hAnsiTheme="majorBidi" w:cstheme="majorBidi"/>
                <w:sz w:val="20"/>
                <w:lang w:val="fr-FR"/>
              </w:rPr>
              <w:t>B3</w:t>
            </w:r>
            <w:r w:rsidRPr="004B2881">
              <w:rPr>
                <w:rFonts w:asciiTheme="majorBidi" w:hAnsiTheme="majorBidi" w:cstheme="majorBidi"/>
                <w:sz w:val="20"/>
                <w:lang w:val="fr-FR"/>
              </w:rPr>
              <w:tab/>
            </w:r>
            <w:r w:rsidR="00F1563A" w:rsidRPr="004B2881">
              <w:rPr>
                <w:rFonts w:asciiTheme="majorBidi" w:hAnsiTheme="majorBidi" w:cstheme="majorBidi"/>
                <w:sz w:val="20"/>
                <w:lang w:val="fr-FR"/>
              </w:rPr>
              <w:t>Liaison de 601 à 1200 vo</w:t>
            </w:r>
            <w:r w:rsidRPr="004B2881">
              <w:rPr>
                <w:rFonts w:asciiTheme="majorBidi" w:hAnsiTheme="majorBidi" w:cstheme="majorBidi"/>
                <w:sz w:val="20"/>
                <w:lang w:val="fr-FR"/>
              </w:rPr>
              <w:t>ies téléphoniques ou de 34 à 70 </w:t>
            </w:r>
            <w:r w:rsidR="00F1563A" w:rsidRPr="004B2881">
              <w:rPr>
                <w:rFonts w:asciiTheme="majorBidi" w:hAnsiTheme="majorBidi" w:cstheme="majorBidi"/>
                <w:sz w:val="20"/>
                <w:lang w:val="fr-FR"/>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2A778B"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2A778B"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2A778B"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844643" w:rsidP="00F84A9A">
            <w:pPr>
              <w:pStyle w:val="TableText0"/>
              <w:jc w:val="center"/>
              <w:rPr>
                <w:sz w:val="20"/>
                <w:lang w:val="fr-FR"/>
              </w:rPr>
            </w:pPr>
            <w:r w:rsidRPr="004B2881">
              <w:rPr>
                <w:sz w:val="20"/>
                <w:lang w:val="fr-FR"/>
              </w:rPr>
              <w:t>10 440 000</w:t>
            </w:r>
          </w:p>
        </w:tc>
      </w:tr>
      <w:tr w:rsidR="00F1563A"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F1563A"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F1563A" w:rsidRPr="004B2881">
              <w:rPr>
                <w:rFonts w:asciiTheme="majorBidi" w:hAnsiTheme="majorBidi" w:cstheme="majorBidi"/>
                <w:sz w:val="20"/>
                <w:lang w:val="fr-FR"/>
              </w:rPr>
              <w:t>B4</w:t>
            </w:r>
            <w:r w:rsidRPr="004B2881">
              <w:rPr>
                <w:rFonts w:asciiTheme="majorBidi" w:hAnsiTheme="majorBidi" w:cstheme="majorBidi"/>
                <w:sz w:val="20"/>
                <w:lang w:val="fr-FR"/>
              </w:rPr>
              <w:tab/>
            </w:r>
            <w:r w:rsidR="00F1563A" w:rsidRPr="004B2881">
              <w:rPr>
                <w:rFonts w:asciiTheme="majorBidi" w:hAnsiTheme="majorBidi" w:cstheme="majorBidi"/>
                <w:sz w:val="20"/>
                <w:lang w:val="fr-FR"/>
              </w:rPr>
              <w:t>Liaison de plus de 1 200 vo</w:t>
            </w:r>
            <w:r w:rsidRPr="004B2881">
              <w:rPr>
                <w:rFonts w:asciiTheme="majorBidi" w:hAnsiTheme="majorBidi" w:cstheme="majorBidi"/>
                <w:sz w:val="20"/>
                <w:lang w:val="fr-FR"/>
              </w:rPr>
              <w:t>ies téléphoniques ou plus de 70 </w:t>
            </w:r>
            <w:r w:rsidR="00F1563A" w:rsidRPr="004B2881">
              <w:rPr>
                <w:rFonts w:asciiTheme="majorBidi" w:hAnsiTheme="majorBidi" w:cstheme="majorBidi"/>
                <w:sz w:val="20"/>
                <w:lang w:val="fr-FR"/>
              </w:rPr>
              <w:t xml:space="preserve">Mbits/s </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FE05F5"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FE05F5"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FE05F5"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F1563A" w:rsidRPr="004B2881" w:rsidRDefault="00844643" w:rsidP="00F84A9A">
            <w:pPr>
              <w:pStyle w:val="TableText0"/>
              <w:jc w:val="center"/>
              <w:rPr>
                <w:sz w:val="20"/>
                <w:lang w:val="fr-FR"/>
              </w:rPr>
            </w:pPr>
            <w:r w:rsidRPr="004B2881">
              <w:rPr>
                <w:sz w:val="20"/>
                <w:lang w:val="fr-FR"/>
              </w:rPr>
              <w:t>14 500 000</w:t>
            </w:r>
          </w:p>
        </w:tc>
      </w:tr>
      <w:tr w:rsidR="00826E49"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26E49" w:rsidRPr="004B2881" w:rsidRDefault="00234CFA"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00F1563A" w:rsidRPr="004B2881">
              <w:rPr>
                <w:rFonts w:asciiTheme="majorBidi" w:hAnsiTheme="majorBidi" w:cstheme="majorBidi"/>
                <w:sz w:val="20"/>
                <w:lang w:val="fr-FR"/>
              </w:rPr>
              <w:t>II</w:t>
            </w:r>
            <w:r w:rsidRPr="004B2881">
              <w:rPr>
                <w:rFonts w:asciiTheme="majorBidi" w:hAnsiTheme="majorBidi" w:cstheme="majorBidi"/>
                <w:sz w:val="20"/>
                <w:lang w:val="fr-FR"/>
              </w:rPr>
              <w:t>.</w:t>
            </w:r>
            <w:r w:rsidR="00F1563A" w:rsidRPr="004B2881">
              <w:rPr>
                <w:rFonts w:asciiTheme="majorBidi" w:hAnsiTheme="majorBidi" w:cstheme="majorBidi"/>
                <w:sz w:val="20"/>
                <w:lang w:val="fr-FR"/>
              </w:rPr>
              <w:t>2</w:t>
            </w:r>
            <w:r w:rsidRPr="004B2881">
              <w:rPr>
                <w:rFonts w:asciiTheme="majorBidi" w:hAnsiTheme="majorBidi" w:cstheme="majorBidi"/>
                <w:sz w:val="20"/>
                <w:lang w:val="fr-FR"/>
              </w:rPr>
              <w:tab/>
            </w:r>
            <w:r w:rsidR="00F1563A" w:rsidRPr="004B2881">
              <w:rPr>
                <w:rFonts w:asciiTheme="majorBidi" w:hAnsiTheme="majorBidi" w:cstheme="majorBidi"/>
                <w:sz w:val="20"/>
                <w:lang w:val="fr-FR"/>
              </w:rPr>
              <w:t>Station terrienne reliée au réseau public international</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82A4D"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82A4D"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82A4D" w:rsidP="00F84A9A">
            <w:pPr>
              <w:pStyle w:val="TableText0"/>
              <w:jc w:val="center"/>
              <w:rPr>
                <w:sz w:val="20"/>
                <w:lang w:val="fr-FR"/>
              </w:rPr>
            </w:pPr>
            <w:r w:rsidRPr="004B2881">
              <w:rPr>
                <w:sz w:val="20"/>
                <w:lang w:val="fr-FR"/>
              </w:rPr>
              <w:t>–</w:t>
            </w:r>
          </w:p>
        </w:tc>
        <w:tc>
          <w:tcPr>
            <w:tcW w:w="1418" w:type="dxa"/>
            <w:tcBorders>
              <w:top w:val="single" w:sz="6" w:space="0" w:color="000000"/>
              <w:left w:val="single" w:sz="4" w:space="0" w:color="000000"/>
              <w:bottom w:val="single" w:sz="6" w:space="0" w:color="000000"/>
              <w:right w:val="single" w:sz="4" w:space="0" w:color="000000"/>
            </w:tcBorders>
          </w:tcPr>
          <w:p w:rsidR="00826E49" w:rsidRPr="004B2881" w:rsidRDefault="00844643" w:rsidP="00F84A9A">
            <w:pPr>
              <w:pStyle w:val="TableText0"/>
              <w:jc w:val="center"/>
              <w:rPr>
                <w:sz w:val="20"/>
                <w:lang w:val="fr-FR"/>
              </w:rPr>
            </w:pPr>
            <w:r w:rsidRPr="004B2881">
              <w:rPr>
                <w:sz w:val="20"/>
                <w:lang w:val="fr-FR"/>
              </w:rPr>
              <w:t>17 400 000</w:t>
            </w:r>
          </w:p>
        </w:tc>
      </w:tr>
      <w:tr w:rsidR="00882A4D"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4B2881" w:rsidRDefault="00882A4D"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II.3</w:t>
            </w:r>
            <w:r w:rsidRPr="004B2881">
              <w:rPr>
                <w:rFonts w:asciiTheme="majorBidi" w:hAnsiTheme="majorBidi" w:cstheme="majorBidi"/>
                <w:sz w:val="20"/>
                <w:lang w:val="fr-FR"/>
              </w:rPr>
              <w:tab/>
              <w:t xml:space="preserve">Station terrienne 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1 740 000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87 000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11 600 000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3 480 000</w:t>
            </w:r>
          </w:p>
        </w:tc>
      </w:tr>
      <w:tr w:rsidR="00882A4D"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4B2881" w:rsidRDefault="00C318F4"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II.4</w:t>
            </w:r>
            <w:r w:rsidRPr="004B2881">
              <w:rPr>
                <w:rFonts w:asciiTheme="majorBidi" w:hAnsiTheme="majorBidi" w:cstheme="majorBidi"/>
                <w:sz w:val="20"/>
                <w:lang w:val="fr-FR"/>
              </w:rPr>
              <w:tab/>
              <w:t>Station VSAT i</w:t>
            </w:r>
            <w:r w:rsidR="00882A4D" w:rsidRPr="004B2881">
              <w:rPr>
                <w:rFonts w:asciiTheme="majorBidi" w:hAnsiTheme="majorBidi" w:cstheme="majorBidi"/>
                <w:sz w:val="20"/>
                <w:lang w:val="fr-FR"/>
              </w:rPr>
              <w:t xml:space="preserve">nternationale indépendant </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870 000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34 800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5 800 000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1 740 000</w:t>
            </w:r>
          </w:p>
        </w:tc>
      </w:tr>
      <w:tr w:rsidR="00882A4D"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4B2881" w:rsidRDefault="00882A4D"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t>II.5</w:t>
            </w:r>
            <w:r w:rsidRPr="004B2881">
              <w:rPr>
                <w:rFonts w:asciiTheme="majorBidi" w:hAnsiTheme="majorBidi" w:cstheme="majorBidi"/>
                <w:sz w:val="20"/>
                <w:lang w:val="fr-FR"/>
              </w:rPr>
              <w:tab/>
              <w:t xml:space="preserve">Station terrienne de réception communautaire </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34 000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2 900 000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580 000</w:t>
            </w:r>
          </w:p>
        </w:tc>
      </w:tr>
      <w:tr w:rsidR="00882A4D"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4B2881" w:rsidRDefault="00882A4D"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 xml:space="preserve">Réception de moins de 5 programmes </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14 500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290 000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1 450 000</w:t>
            </w:r>
          </w:p>
        </w:tc>
      </w:tr>
      <w:tr w:rsidR="00882A4D"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4B2881" w:rsidRDefault="00882A4D"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t xml:space="preserve">Réception de moins de 5 à 10 programmes </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580 000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5 800 000</w:t>
            </w:r>
          </w:p>
        </w:tc>
      </w:tr>
      <w:tr w:rsidR="00882A4D"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882A4D" w:rsidRPr="004B2881" w:rsidRDefault="00882A4D" w:rsidP="00234CFA">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A3</w:t>
            </w:r>
            <w:r w:rsidRPr="004B2881">
              <w:rPr>
                <w:rFonts w:asciiTheme="majorBidi" w:hAnsiTheme="majorBidi" w:cstheme="majorBidi"/>
                <w:sz w:val="20"/>
                <w:lang w:val="fr-FR"/>
              </w:rPr>
              <w:tab/>
              <w:t>Réception de plus de 10 programmes</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145 000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58 000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1 160 000</w:t>
            </w:r>
          </w:p>
        </w:tc>
        <w:tc>
          <w:tcPr>
            <w:tcW w:w="1418" w:type="dxa"/>
            <w:tcBorders>
              <w:top w:val="single" w:sz="6" w:space="0" w:color="000000"/>
              <w:left w:val="single" w:sz="4" w:space="0" w:color="000000"/>
              <w:bottom w:val="single" w:sz="6" w:space="0" w:color="000000"/>
              <w:right w:val="single" w:sz="4" w:space="0" w:color="000000"/>
            </w:tcBorders>
          </w:tcPr>
          <w:p w:rsidR="00882A4D" w:rsidRPr="004B2881" w:rsidRDefault="00882A4D" w:rsidP="00F84A9A">
            <w:pPr>
              <w:pStyle w:val="TableText0"/>
              <w:jc w:val="center"/>
              <w:rPr>
                <w:sz w:val="20"/>
                <w:lang w:val="fr-FR"/>
              </w:rPr>
            </w:pPr>
            <w:r w:rsidRPr="004B2881">
              <w:rPr>
                <w:sz w:val="20"/>
                <w:lang w:val="fr-FR"/>
              </w:rPr>
              <w:t>11 600 000</w:t>
            </w:r>
          </w:p>
        </w:tc>
      </w:tr>
    </w:tbl>
    <w:p w:rsidR="00151785" w:rsidRPr="004B2881" w:rsidRDefault="00151785" w:rsidP="00151785">
      <w:pPr>
        <w:rPr>
          <w:lang w:val="fr-FR"/>
        </w:rPr>
      </w:pPr>
    </w:p>
    <w:p w:rsidR="000036F4" w:rsidRPr="004B2881" w:rsidRDefault="000036F4">
      <w:pPr>
        <w:tabs>
          <w:tab w:val="clear" w:pos="794"/>
          <w:tab w:val="clear" w:pos="1191"/>
          <w:tab w:val="clear" w:pos="1588"/>
          <w:tab w:val="clear" w:pos="1985"/>
        </w:tabs>
        <w:overflowPunct/>
        <w:autoSpaceDE/>
        <w:autoSpaceDN/>
        <w:adjustRightInd/>
        <w:spacing w:before="0"/>
        <w:jc w:val="left"/>
        <w:textAlignment w:val="auto"/>
        <w:rPr>
          <w:b/>
          <w:lang w:val="fr-FR"/>
        </w:rPr>
      </w:pPr>
      <w:bookmarkStart w:id="1015" w:name="_Toc280260071"/>
      <w:bookmarkStart w:id="1016" w:name="_Toc280260923"/>
      <w:r w:rsidRPr="004B2881">
        <w:rPr>
          <w:lang w:val="fr-FR"/>
        </w:rPr>
        <w:br w:type="page"/>
      </w:r>
    </w:p>
    <w:p w:rsidR="00336471" w:rsidRPr="004B2881" w:rsidRDefault="00336471" w:rsidP="00355CB2">
      <w:pPr>
        <w:pStyle w:val="Heading1"/>
        <w:tabs>
          <w:tab w:val="clear" w:pos="794"/>
          <w:tab w:val="left" w:pos="426"/>
        </w:tabs>
        <w:rPr>
          <w:lang w:val="fr-FR"/>
        </w:rPr>
      </w:pPr>
      <w:bookmarkStart w:id="1017" w:name="_Toc280272536"/>
      <w:bookmarkStart w:id="1018" w:name="_Toc284414207"/>
      <w:bookmarkStart w:id="1019" w:name="_Toc286314951"/>
      <w:r w:rsidRPr="004B2881">
        <w:rPr>
          <w:lang w:val="fr-FR"/>
        </w:rPr>
        <w:lastRenderedPageBreak/>
        <w:t>C</w:t>
      </w:r>
      <w:r w:rsidR="00355CB2" w:rsidRPr="004B2881">
        <w:rPr>
          <w:lang w:val="fr-FR"/>
        </w:rPr>
        <w:tab/>
      </w:r>
      <w:r w:rsidRPr="004B2881">
        <w:rPr>
          <w:lang w:val="fr-FR"/>
        </w:rPr>
        <w:t>UTILISATION TEMPORAIRE DE STATIONS RADI</w:t>
      </w:r>
      <w:r w:rsidR="00BC7CD9" w:rsidRPr="004B2881">
        <w:rPr>
          <w:lang w:val="fr-FR"/>
        </w:rPr>
        <w:t>OÉ</w:t>
      </w:r>
      <w:r w:rsidRPr="004B2881">
        <w:rPr>
          <w:lang w:val="fr-FR"/>
        </w:rPr>
        <w:t>LESTRIQUES</w:t>
      </w:r>
      <w:bookmarkEnd w:id="1015"/>
      <w:bookmarkEnd w:id="1016"/>
      <w:bookmarkEnd w:id="1017"/>
      <w:bookmarkEnd w:id="1018"/>
      <w:bookmarkEnd w:id="1019"/>
      <w:r w:rsidRPr="004B2881">
        <w:rPr>
          <w:lang w:val="fr-FR"/>
        </w:rPr>
        <w:t xml:space="preserve"> </w:t>
      </w:r>
    </w:p>
    <w:p w:rsidR="00336471" w:rsidRPr="004B2881" w:rsidRDefault="00336471" w:rsidP="00336471">
      <w:pPr>
        <w:spacing w:before="0"/>
        <w:rPr>
          <w:lang w:val="fr-FR"/>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336471" w:rsidRPr="004E2CF1" w:rsidTr="00F84A9A">
        <w:trPr>
          <w:jc w:val="center"/>
        </w:trPr>
        <w:tc>
          <w:tcPr>
            <w:tcW w:w="3969" w:type="dxa"/>
            <w:tcBorders>
              <w:top w:val="single" w:sz="6" w:space="0" w:color="000000"/>
              <w:left w:val="single" w:sz="4" w:space="0" w:color="000000"/>
              <w:bottom w:val="single" w:sz="6" w:space="0" w:color="000000"/>
              <w:right w:val="single" w:sz="4" w:space="0" w:color="000000"/>
            </w:tcBorders>
          </w:tcPr>
          <w:p w:rsidR="00336471" w:rsidRPr="004B2881" w:rsidRDefault="00336471" w:rsidP="00F84A9A">
            <w:pPr>
              <w:pStyle w:val="TableNotitle"/>
              <w:spacing w:before="120"/>
              <w:rPr>
                <w:lang w:val="fr-FR"/>
              </w:rPr>
            </w:pPr>
            <w:r w:rsidRPr="004B2881">
              <w:rPr>
                <w:lang w:val="fr-FR"/>
              </w:rPr>
              <w:t>Réseaux ou stations</w:t>
            </w: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336471" w:rsidP="00F84A9A">
            <w:pPr>
              <w:pStyle w:val="TableNotitle"/>
              <w:spacing w:before="120"/>
              <w:rPr>
                <w:lang w:val="fr-FR"/>
              </w:rPr>
            </w:pPr>
            <w:r w:rsidRPr="004B2881">
              <w:rPr>
                <w:lang w:val="fr-FR"/>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336471" w:rsidP="00F84A9A">
            <w:pPr>
              <w:pStyle w:val="TableNotitle"/>
              <w:spacing w:before="120"/>
              <w:rPr>
                <w:lang w:val="fr-FR"/>
              </w:rPr>
            </w:pPr>
            <w:r w:rsidRPr="004B2881">
              <w:rPr>
                <w:lang w:val="fr-FR"/>
              </w:rPr>
              <w:t xml:space="preserve">Taxe de visite ou de </w:t>
            </w:r>
            <w:r w:rsidR="004B2881" w:rsidRPr="004B2881">
              <w:rPr>
                <w:lang w:val="fr-FR"/>
              </w:rPr>
              <w:t>contrôle</w:t>
            </w:r>
            <w:r w:rsidRPr="004B2881">
              <w:rPr>
                <w:lang w:val="fr-FR"/>
              </w:rPr>
              <w:t xml:space="preserve"> des stations</w:t>
            </w: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4B2881" w:rsidP="00F84A9A">
            <w:pPr>
              <w:pStyle w:val="TableNotitle"/>
              <w:spacing w:before="120"/>
              <w:ind w:leftChars="-50" w:left="-110" w:rightChars="-50" w:right="-110"/>
              <w:rPr>
                <w:lang w:val="fr-FR"/>
              </w:rPr>
            </w:pPr>
            <w:r>
              <w:rPr>
                <w:lang w:val="fr-FR"/>
              </w:rPr>
              <w:t>Redev</w:t>
            </w:r>
            <w:r w:rsidR="00336471" w:rsidRPr="004B2881">
              <w:rPr>
                <w:lang w:val="fr-FR"/>
              </w:rPr>
              <w:t>ance pour frais de gestion</w:t>
            </w: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4B2881" w:rsidP="000900E3">
            <w:pPr>
              <w:pStyle w:val="TableNotitle"/>
              <w:spacing w:before="120"/>
              <w:rPr>
                <w:lang w:val="fr-FR"/>
              </w:rPr>
            </w:pPr>
            <w:r w:rsidRPr="004B2881">
              <w:rPr>
                <w:lang w:val="fr-FR"/>
              </w:rPr>
              <w:t>Redevance</w:t>
            </w:r>
            <w:r w:rsidR="00336471" w:rsidRPr="004B2881">
              <w:rPr>
                <w:lang w:val="fr-FR"/>
              </w:rPr>
              <w:t xml:space="preserve"> </w:t>
            </w:r>
            <w:r w:rsidR="000900E3" w:rsidRPr="004B2881">
              <w:rPr>
                <w:lang w:val="fr-FR"/>
              </w:rPr>
              <w:t xml:space="preserve">pour </w:t>
            </w:r>
            <w:r w:rsidR="00336471" w:rsidRPr="004B2881">
              <w:rPr>
                <w:lang w:val="fr-FR"/>
              </w:rPr>
              <w:t xml:space="preserve">utilisation </w:t>
            </w:r>
            <w:r w:rsidR="000900E3" w:rsidRPr="004B2881">
              <w:rPr>
                <w:lang w:val="fr-FR"/>
              </w:rPr>
              <w:t>de fréquence</w:t>
            </w:r>
          </w:p>
        </w:tc>
      </w:tr>
      <w:tr w:rsidR="00336471"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36471" w:rsidRPr="004B2881" w:rsidRDefault="00E23211" w:rsidP="00E23211">
            <w:pPr>
              <w:pStyle w:val="TableText0"/>
              <w:tabs>
                <w:tab w:val="clear" w:pos="567"/>
                <w:tab w:val="left" w:pos="444"/>
              </w:tabs>
              <w:ind w:left="284" w:hanging="284"/>
              <w:rPr>
                <w:rFonts w:asciiTheme="majorBidi" w:hAnsiTheme="majorBidi" w:cstheme="majorBidi"/>
                <w:sz w:val="20"/>
                <w:lang w:val="fr-FR"/>
              </w:rPr>
            </w:pPr>
            <w:r w:rsidRPr="004B2881">
              <w:rPr>
                <w:rFonts w:asciiTheme="majorBidi" w:hAnsiTheme="majorBidi" w:cstheme="majorBidi"/>
                <w:b/>
                <w:bCs/>
                <w:sz w:val="20"/>
                <w:lang w:val="fr-FR"/>
              </w:rPr>
              <w:t xml:space="preserve">1 – Services de terre </w:t>
            </w: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336471"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336471"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336471"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336471" w:rsidRPr="004B2881" w:rsidRDefault="00336471" w:rsidP="00F84A9A">
            <w:pPr>
              <w:pStyle w:val="TableText0"/>
              <w:jc w:val="center"/>
              <w:rPr>
                <w:sz w:val="20"/>
                <w:lang w:val="fr-FR"/>
              </w:rPr>
            </w:pPr>
          </w:p>
        </w:tc>
      </w:tr>
      <w:tr w:rsidR="0045326D" w:rsidRPr="004E2CF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45326D" w:rsidRPr="004B2881" w:rsidRDefault="0045326D" w:rsidP="0042317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A1</w:t>
            </w:r>
            <w:r w:rsidRPr="004B2881">
              <w:rPr>
                <w:rFonts w:asciiTheme="majorBidi" w:hAnsiTheme="majorBidi" w:cstheme="majorBidi"/>
                <w:sz w:val="20"/>
                <w:lang w:val="fr-FR"/>
              </w:rPr>
              <w:tab/>
              <w:t xml:space="preserve">Station fixe ou de base </w:t>
            </w:r>
          </w:p>
        </w:tc>
        <w:tc>
          <w:tcPr>
            <w:tcW w:w="1418" w:type="dxa"/>
            <w:tcBorders>
              <w:top w:val="single" w:sz="6" w:space="0" w:color="000000"/>
              <w:left w:val="single" w:sz="4" w:space="0" w:color="000000"/>
              <w:bottom w:val="single" w:sz="6" w:space="0" w:color="000000"/>
              <w:right w:val="single" w:sz="4" w:space="0" w:color="000000"/>
            </w:tcBorders>
          </w:tcPr>
          <w:p w:rsidR="0045326D" w:rsidRPr="004B2881" w:rsidRDefault="0045326D" w:rsidP="00F84A9A">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45326D" w:rsidRPr="004B2881" w:rsidRDefault="0045326D" w:rsidP="00F84A9A">
            <w:pPr>
              <w:pStyle w:val="TableText0"/>
              <w:jc w:val="center"/>
              <w:rPr>
                <w:sz w:val="20"/>
                <w:lang w:val="fr-FR"/>
              </w:rPr>
            </w:pPr>
            <w:r w:rsidRPr="004B2881">
              <w:rPr>
                <w:sz w:val="20"/>
                <w:lang w:val="fr-FR"/>
              </w:rPr>
              <w:t>11 600</w:t>
            </w:r>
          </w:p>
        </w:tc>
        <w:tc>
          <w:tcPr>
            <w:tcW w:w="1418" w:type="dxa"/>
            <w:vMerge w:val="restart"/>
            <w:tcBorders>
              <w:top w:val="single" w:sz="6" w:space="0" w:color="000000"/>
              <w:left w:val="single" w:sz="4" w:space="0" w:color="000000"/>
              <w:right w:val="single" w:sz="4" w:space="0" w:color="000000"/>
            </w:tcBorders>
          </w:tcPr>
          <w:p w:rsidR="0045326D" w:rsidRPr="004B2881" w:rsidRDefault="0045326D" w:rsidP="00F84A9A">
            <w:pPr>
              <w:pStyle w:val="TableText0"/>
              <w:jc w:val="center"/>
              <w:rPr>
                <w:sz w:val="20"/>
                <w:lang w:val="fr-FR"/>
              </w:rPr>
            </w:pPr>
            <w:r w:rsidRPr="004B2881">
              <w:rPr>
                <w:sz w:val="20"/>
                <w:lang w:val="fr-FR"/>
              </w:rPr>
              <w:t>Calculée au mois entier, au prorata du temps d’utilisation</w:t>
            </w:r>
          </w:p>
        </w:tc>
        <w:tc>
          <w:tcPr>
            <w:tcW w:w="1418" w:type="dxa"/>
            <w:vMerge w:val="restart"/>
            <w:tcBorders>
              <w:top w:val="single" w:sz="6" w:space="0" w:color="000000"/>
              <w:left w:val="single" w:sz="4" w:space="0" w:color="000000"/>
              <w:right w:val="single" w:sz="4" w:space="0" w:color="000000"/>
            </w:tcBorders>
          </w:tcPr>
          <w:p w:rsidR="0045326D" w:rsidRPr="004B2881" w:rsidRDefault="0045326D" w:rsidP="00F84A9A">
            <w:pPr>
              <w:pStyle w:val="TableText0"/>
              <w:jc w:val="center"/>
              <w:rPr>
                <w:sz w:val="20"/>
                <w:lang w:val="fr-FR"/>
              </w:rPr>
            </w:pPr>
            <w:r w:rsidRPr="004B2881">
              <w:rPr>
                <w:sz w:val="20"/>
                <w:lang w:val="fr-FR"/>
              </w:rPr>
              <w:t>Calculée au mois entier, au prorata du temps d’utilisation</w:t>
            </w:r>
          </w:p>
        </w:tc>
      </w:tr>
      <w:tr w:rsidR="0045326D"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45326D" w:rsidRPr="004B2881" w:rsidRDefault="0045326D" w:rsidP="00944A9E">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A2</w:t>
            </w:r>
            <w:r w:rsidRPr="004B2881">
              <w:rPr>
                <w:rFonts w:asciiTheme="majorBidi" w:hAnsiTheme="majorBidi" w:cstheme="majorBidi"/>
                <w:sz w:val="20"/>
                <w:lang w:val="fr-FR"/>
              </w:rPr>
              <w:tab/>
              <w:t xml:space="preserve">Station mobile </w:t>
            </w:r>
          </w:p>
        </w:tc>
        <w:tc>
          <w:tcPr>
            <w:tcW w:w="1418" w:type="dxa"/>
            <w:tcBorders>
              <w:top w:val="single" w:sz="6" w:space="0" w:color="000000"/>
              <w:left w:val="single" w:sz="4" w:space="0" w:color="000000"/>
              <w:bottom w:val="single" w:sz="6" w:space="0" w:color="000000"/>
              <w:right w:val="single" w:sz="4" w:space="0" w:color="000000"/>
            </w:tcBorders>
          </w:tcPr>
          <w:p w:rsidR="0045326D" w:rsidRPr="004B2881" w:rsidRDefault="0045326D" w:rsidP="00944A9E">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45326D" w:rsidRPr="004B2881" w:rsidRDefault="0045326D" w:rsidP="00F84A9A">
            <w:pPr>
              <w:pStyle w:val="TableText0"/>
              <w:jc w:val="center"/>
              <w:rPr>
                <w:sz w:val="20"/>
                <w:lang w:val="fr-FR"/>
              </w:rPr>
            </w:pPr>
            <w:r w:rsidRPr="004B2881">
              <w:rPr>
                <w:sz w:val="20"/>
                <w:lang w:val="fr-FR"/>
              </w:rPr>
              <w:t>8 700</w:t>
            </w:r>
          </w:p>
        </w:tc>
        <w:tc>
          <w:tcPr>
            <w:tcW w:w="1418" w:type="dxa"/>
            <w:vMerge/>
            <w:tcBorders>
              <w:left w:val="single" w:sz="4" w:space="0" w:color="000000"/>
              <w:right w:val="single" w:sz="4" w:space="0" w:color="000000"/>
            </w:tcBorders>
          </w:tcPr>
          <w:p w:rsidR="0045326D" w:rsidRPr="004B2881" w:rsidRDefault="0045326D" w:rsidP="00F84A9A">
            <w:pPr>
              <w:pStyle w:val="TableText0"/>
              <w:jc w:val="center"/>
              <w:rPr>
                <w:sz w:val="20"/>
                <w:lang w:val="fr-FR"/>
              </w:rPr>
            </w:pPr>
          </w:p>
        </w:tc>
        <w:tc>
          <w:tcPr>
            <w:tcW w:w="1418" w:type="dxa"/>
            <w:vMerge/>
            <w:tcBorders>
              <w:left w:val="single" w:sz="4" w:space="0" w:color="000000"/>
              <w:right w:val="single" w:sz="4" w:space="0" w:color="000000"/>
            </w:tcBorders>
          </w:tcPr>
          <w:p w:rsidR="0045326D" w:rsidRPr="004B2881" w:rsidRDefault="0045326D" w:rsidP="00F84A9A">
            <w:pPr>
              <w:pStyle w:val="TableText0"/>
              <w:jc w:val="center"/>
              <w:rPr>
                <w:sz w:val="20"/>
                <w:lang w:val="fr-FR"/>
              </w:rPr>
            </w:pPr>
          </w:p>
        </w:tc>
      </w:tr>
      <w:tr w:rsidR="0045326D" w:rsidRPr="004B2881" w:rsidTr="003F3516">
        <w:trPr>
          <w:jc w:val="center"/>
        </w:trPr>
        <w:tc>
          <w:tcPr>
            <w:tcW w:w="3969" w:type="dxa"/>
            <w:tcBorders>
              <w:top w:val="single" w:sz="6" w:space="0" w:color="000000"/>
              <w:left w:val="single" w:sz="4" w:space="0" w:color="000000"/>
              <w:bottom w:val="single" w:sz="6" w:space="0" w:color="000000"/>
              <w:right w:val="single" w:sz="4" w:space="0" w:color="000000"/>
            </w:tcBorders>
          </w:tcPr>
          <w:p w:rsidR="0045326D" w:rsidRPr="004B2881" w:rsidRDefault="0045326D" w:rsidP="003F3516">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t>A3</w:t>
            </w:r>
            <w:r w:rsidRPr="004B2881">
              <w:rPr>
                <w:rFonts w:asciiTheme="majorBidi" w:hAnsiTheme="majorBidi" w:cstheme="majorBidi"/>
                <w:sz w:val="20"/>
                <w:lang w:val="fr-FR"/>
              </w:rPr>
              <w:tab/>
              <w:t>Station portable ou portative</w:t>
            </w:r>
          </w:p>
        </w:tc>
        <w:tc>
          <w:tcPr>
            <w:tcW w:w="1418" w:type="dxa"/>
            <w:tcBorders>
              <w:top w:val="single" w:sz="6" w:space="0" w:color="000000"/>
              <w:left w:val="single" w:sz="4" w:space="0" w:color="000000"/>
              <w:bottom w:val="single" w:sz="6" w:space="0" w:color="000000"/>
              <w:right w:val="single" w:sz="4" w:space="0" w:color="000000"/>
            </w:tcBorders>
          </w:tcPr>
          <w:p w:rsidR="0045326D" w:rsidRPr="004B2881" w:rsidRDefault="0045326D" w:rsidP="00944A9E">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45326D" w:rsidRPr="004B2881" w:rsidRDefault="0045326D" w:rsidP="00F84A9A">
            <w:pPr>
              <w:pStyle w:val="TableText0"/>
              <w:jc w:val="center"/>
              <w:rPr>
                <w:sz w:val="20"/>
                <w:lang w:val="fr-FR"/>
              </w:rPr>
            </w:pPr>
            <w:r w:rsidRPr="004B2881">
              <w:rPr>
                <w:sz w:val="20"/>
                <w:lang w:val="fr-FR"/>
              </w:rPr>
              <w:t>5 800</w:t>
            </w:r>
          </w:p>
        </w:tc>
        <w:tc>
          <w:tcPr>
            <w:tcW w:w="1418" w:type="dxa"/>
            <w:vMerge/>
            <w:tcBorders>
              <w:left w:val="single" w:sz="4" w:space="0" w:color="000000"/>
              <w:bottom w:val="single" w:sz="6" w:space="0" w:color="000000"/>
              <w:right w:val="single" w:sz="4" w:space="0" w:color="000000"/>
            </w:tcBorders>
          </w:tcPr>
          <w:p w:rsidR="0045326D" w:rsidRPr="004B2881" w:rsidRDefault="0045326D" w:rsidP="00F84A9A">
            <w:pPr>
              <w:pStyle w:val="TableText0"/>
              <w:jc w:val="center"/>
              <w:rPr>
                <w:sz w:val="20"/>
                <w:lang w:val="fr-FR"/>
              </w:rPr>
            </w:pPr>
          </w:p>
        </w:tc>
        <w:tc>
          <w:tcPr>
            <w:tcW w:w="1418" w:type="dxa"/>
            <w:vMerge/>
            <w:tcBorders>
              <w:left w:val="single" w:sz="4" w:space="0" w:color="000000"/>
              <w:bottom w:val="single" w:sz="6" w:space="0" w:color="000000"/>
              <w:right w:val="single" w:sz="4" w:space="0" w:color="000000"/>
            </w:tcBorders>
          </w:tcPr>
          <w:p w:rsidR="0045326D" w:rsidRPr="004B2881" w:rsidRDefault="0045326D" w:rsidP="00F84A9A">
            <w:pPr>
              <w:pStyle w:val="TableText0"/>
              <w:jc w:val="center"/>
              <w:rPr>
                <w:sz w:val="20"/>
                <w:lang w:val="fr-FR"/>
              </w:rPr>
            </w:pPr>
          </w:p>
        </w:tc>
      </w:tr>
      <w:tr w:rsidR="00085B2E"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4B2881" w:rsidRDefault="00E23211" w:rsidP="00E23211">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b/>
                <w:bCs/>
                <w:sz w:val="20"/>
                <w:lang w:val="fr-FR"/>
              </w:rPr>
              <w:t xml:space="preserve">2 – Service spatiaux </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r>
      <w:tr w:rsidR="00085B2E"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4B2881" w:rsidRDefault="0042317C" w:rsidP="0042317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E23211" w:rsidRPr="004B2881">
              <w:rPr>
                <w:rFonts w:asciiTheme="majorBidi" w:hAnsiTheme="majorBidi" w:cstheme="majorBidi"/>
                <w:sz w:val="20"/>
                <w:lang w:val="fr-FR"/>
              </w:rPr>
              <w:t>A1</w:t>
            </w:r>
            <w:r w:rsidRPr="004B2881">
              <w:rPr>
                <w:rFonts w:asciiTheme="majorBidi" w:hAnsiTheme="majorBidi" w:cstheme="majorBidi"/>
                <w:sz w:val="20"/>
                <w:lang w:val="fr-FR"/>
              </w:rPr>
              <w:tab/>
            </w:r>
            <w:r w:rsidR="00E23211" w:rsidRPr="004B2881">
              <w:rPr>
                <w:rFonts w:asciiTheme="majorBidi" w:hAnsiTheme="majorBidi" w:cstheme="majorBidi"/>
                <w:sz w:val="20"/>
                <w:lang w:val="fr-FR"/>
              </w:rPr>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944A9E" w:rsidP="00F84A9A">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C326EA" w:rsidP="00F84A9A">
            <w:pPr>
              <w:pStyle w:val="TableText0"/>
              <w:jc w:val="center"/>
              <w:rPr>
                <w:sz w:val="20"/>
                <w:lang w:val="fr-FR"/>
              </w:rPr>
            </w:pPr>
            <w:r w:rsidRPr="004B2881">
              <w:rPr>
                <w:sz w:val="20"/>
                <w:lang w:val="fr-FR"/>
              </w:rPr>
              <w:t>29 000</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r>
      <w:tr w:rsidR="00085B2E"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4B2881" w:rsidRDefault="0042317C" w:rsidP="0042317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E23211" w:rsidRPr="004B2881">
              <w:rPr>
                <w:rFonts w:asciiTheme="majorBidi" w:hAnsiTheme="majorBidi" w:cstheme="majorBidi"/>
                <w:sz w:val="20"/>
                <w:lang w:val="fr-FR"/>
              </w:rPr>
              <w:t>A2</w:t>
            </w:r>
            <w:r w:rsidRPr="004B2881">
              <w:rPr>
                <w:rFonts w:asciiTheme="majorBidi" w:hAnsiTheme="majorBidi" w:cstheme="majorBidi"/>
                <w:sz w:val="20"/>
                <w:lang w:val="fr-FR"/>
              </w:rPr>
              <w:tab/>
            </w:r>
            <w:r w:rsidR="00E23211" w:rsidRPr="004B2881">
              <w:rPr>
                <w:rFonts w:asciiTheme="majorBidi" w:hAnsiTheme="majorBidi" w:cstheme="majorBidi"/>
                <w:sz w:val="20"/>
                <w:lang w:val="fr-FR"/>
              </w:rPr>
              <w:t xml:space="preserve">Station terrienne mobile </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944A9E" w:rsidP="00F84A9A">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C326EA" w:rsidP="00F84A9A">
            <w:pPr>
              <w:pStyle w:val="TableText0"/>
              <w:jc w:val="center"/>
              <w:rPr>
                <w:sz w:val="20"/>
                <w:lang w:val="fr-FR"/>
              </w:rPr>
            </w:pPr>
            <w:r w:rsidRPr="004B2881">
              <w:rPr>
                <w:sz w:val="20"/>
                <w:lang w:val="fr-FR"/>
              </w:rPr>
              <w:t>17 400</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r>
      <w:tr w:rsidR="00085B2E" w:rsidRPr="004B2881" w:rsidTr="00F84A9A">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085B2E" w:rsidRPr="004B2881" w:rsidRDefault="0042317C" w:rsidP="0042317C">
            <w:pPr>
              <w:pStyle w:val="TableText0"/>
              <w:tabs>
                <w:tab w:val="clear" w:pos="567"/>
                <w:tab w:val="left" w:pos="444"/>
              </w:tabs>
              <w:ind w:left="851" w:hanging="851"/>
              <w:rPr>
                <w:rFonts w:asciiTheme="majorBidi" w:hAnsiTheme="majorBidi" w:cstheme="majorBidi"/>
                <w:sz w:val="20"/>
                <w:lang w:val="fr-FR"/>
              </w:rPr>
            </w:pPr>
            <w:r w:rsidRPr="004B2881">
              <w:rPr>
                <w:rFonts w:asciiTheme="majorBidi" w:hAnsiTheme="majorBidi" w:cstheme="majorBidi"/>
                <w:sz w:val="20"/>
                <w:lang w:val="fr-FR"/>
              </w:rPr>
              <w:tab/>
            </w:r>
            <w:r w:rsidRPr="004B2881">
              <w:rPr>
                <w:rFonts w:asciiTheme="majorBidi" w:hAnsiTheme="majorBidi" w:cstheme="majorBidi"/>
                <w:sz w:val="20"/>
                <w:lang w:val="fr-FR"/>
              </w:rPr>
              <w:tab/>
            </w:r>
            <w:r w:rsidR="00E23211" w:rsidRPr="004B2881">
              <w:rPr>
                <w:rFonts w:asciiTheme="majorBidi" w:hAnsiTheme="majorBidi" w:cstheme="majorBidi"/>
                <w:sz w:val="20"/>
                <w:lang w:val="fr-FR"/>
              </w:rPr>
              <w:t>A3</w:t>
            </w:r>
            <w:r w:rsidRPr="004B2881">
              <w:rPr>
                <w:rFonts w:asciiTheme="majorBidi" w:hAnsiTheme="majorBidi" w:cstheme="majorBidi"/>
                <w:sz w:val="20"/>
                <w:lang w:val="fr-FR"/>
              </w:rPr>
              <w:tab/>
            </w:r>
            <w:r w:rsidR="00E23211" w:rsidRPr="004B2881">
              <w:rPr>
                <w:rFonts w:asciiTheme="majorBidi" w:hAnsiTheme="majorBidi" w:cstheme="majorBidi"/>
                <w:sz w:val="20"/>
                <w:lang w:val="fr-FR"/>
              </w:rPr>
              <w:t>Station terrienne portable ou portative</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944A9E" w:rsidP="00F84A9A">
            <w:pPr>
              <w:pStyle w:val="TableText0"/>
              <w:jc w:val="center"/>
              <w:rPr>
                <w:sz w:val="20"/>
                <w:lang w:val="fr-FR"/>
              </w:rPr>
            </w:pPr>
            <w:r w:rsidRPr="004B2881">
              <w:rPr>
                <w:sz w:val="20"/>
                <w:lang w:val="fr-FR"/>
              </w:rPr>
              <w:t>Néant</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C326EA" w:rsidP="00F84A9A">
            <w:pPr>
              <w:pStyle w:val="TableText0"/>
              <w:jc w:val="center"/>
              <w:rPr>
                <w:sz w:val="20"/>
                <w:lang w:val="fr-FR"/>
              </w:rPr>
            </w:pPr>
            <w:r w:rsidRPr="004B2881">
              <w:rPr>
                <w:sz w:val="20"/>
                <w:lang w:val="fr-FR"/>
              </w:rPr>
              <w:t>11 600</w:t>
            </w: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c>
          <w:tcPr>
            <w:tcW w:w="1418" w:type="dxa"/>
            <w:tcBorders>
              <w:top w:val="single" w:sz="6" w:space="0" w:color="000000"/>
              <w:left w:val="single" w:sz="4" w:space="0" w:color="000000"/>
              <w:bottom w:val="single" w:sz="6" w:space="0" w:color="000000"/>
              <w:right w:val="single" w:sz="4" w:space="0" w:color="000000"/>
            </w:tcBorders>
          </w:tcPr>
          <w:p w:rsidR="00085B2E" w:rsidRPr="004B2881" w:rsidRDefault="00085B2E" w:rsidP="00F84A9A">
            <w:pPr>
              <w:pStyle w:val="TableText0"/>
              <w:jc w:val="center"/>
              <w:rPr>
                <w:sz w:val="20"/>
                <w:lang w:val="fr-FR"/>
              </w:rPr>
            </w:pPr>
          </w:p>
        </w:tc>
      </w:tr>
    </w:tbl>
    <w:p w:rsidR="00336471" w:rsidRPr="004B2881" w:rsidRDefault="00336471" w:rsidP="00151785">
      <w:pPr>
        <w:rPr>
          <w:lang w:val="fr-FR"/>
        </w:rPr>
      </w:pPr>
    </w:p>
    <w:p w:rsidR="00234904" w:rsidRPr="004B2881" w:rsidRDefault="00C415E4" w:rsidP="001E0BE9">
      <w:pPr>
        <w:pStyle w:val="Heading1"/>
        <w:rPr>
          <w:lang w:val="fr-FR"/>
        </w:rPr>
      </w:pPr>
      <w:bookmarkStart w:id="1020" w:name="_Toc280260072"/>
      <w:bookmarkStart w:id="1021" w:name="_Toc280260924"/>
      <w:bookmarkStart w:id="1022" w:name="_Toc280272537"/>
      <w:bookmarkStart w:id="1023" w:name="_Toc284414208"/>
      <w:bookmarkStart w:id="1024" w:name="_Toc286314952"/>
      <w:r w:rsidRPr="004B2881">
        <w:rPr>
          <w:lang w:val="fr-FR"/>
        </w:rPr>
        <w:t xml:space="preserve">I – </w:t>
      </w:r>
      <w:r w:rsidR="00234904" w:rsidRPr="004B2881">
        <w:rPr>
          <w:lang w:val="fr-FR"/>
        </w:rPr>
        <w:t>DROITS ET TAXES DIVERS EQUIPEMENTS SPECIAUX</w:t>
      </w:r>
      <w:bookmarkEnd w:id="1020"/>
      <w:bookmarkEnd w:id="1021"/>
      <w:bookmarkEnd w:id="1022"/>
      <w:bookmarkEnd w:id="1023"/>
      <w:bookmarkEnd w:id="1024"/>
    </w:p>
    <w:p w:rsidR="009B4089" w:rsidRPr="004B2881" w:rsidRDefault="009B4089" w:rsidP="009B4089">
      <w:pPr>
        <w:rPr>
          <w:lang w:val="fr-FR"/>
        </w:rPr>
      </w:pPr>
    </w:p>
    <w:tbl>
      <w:tblPr>
        <w:tblStyle w:val="TableGrid"/>
        <w:tblW w:w="0" w:type="auto"/>
        <w:tblLook w:val="04A0"/>
      </w:tblPr>
      <w:tblGrid>
        <w:gridCol w:w="9855"/>
      </w:tblGrid>
      <w:tr w:rsidR="009B4089" w:rsidRPr="004B2881" w:rsidTr="009B4089">
        <w:tc>
          <w:tcPr>
            <w:tcW w:w="9855" w:type="dxa"/>
          </w:tcPr>
          <w:p w:rsidR="009B4089" w:rsidRPr="004B2881" w:rsidRDefault="009B4089" w:rsidP="00253205">
            <w:pPr>
              <w:pStyle w:val="enumlev1"/>
              <w:rPr>
                <w:sz w:val="20"/>
                <w:lang w:val="fr-FR"/>
              </w:rPr>
            </w:pPr>
            <w:r w:rsidRPr="004B2881">
              <w:rPr>
                <w:sz w:val="20"/>
                <w:lang w:val="fr-FR"/>
              </w:rPr>
              <w:t>1.</w:t>
            </w:r>
            <w:r w:rsidRPr="004B2881">
              <w:rPr>
                <w:sz w:val="20"/>
                <w:lang w:val="fr-FR"/>
              </w:rPr>
              <w:tab/>
              <w:t>Emetteurs – Récepteur</w:t>
            </w:r>
            <w:r w:rsidR="00253205" w:rsidRPr="004B2881">
              <w:rPr>
                <w:sz w:val="20"/>
                <w:lang w:val="fr-FR"/>
              </w:rPr>
              <w:t xml:space="preserve"> de faible puissance ou poste «</w:t>
            </w:r>
            <w:r w:rsidRPr="004B2881">
              <w:rPr>
                <w:sz w:val="20"/>
                <w:lang w:val="fr-FR"/>
              </w:rPr>
              <w:t xml:space="preserve">CB» Taxes annuelles forfaitaires </w:t>
            </w:r>
            <w:r w:rsidRPr="004B2881">
              <w:rPr>
                <w:b/>
                <w:bCs/>
                <w:sz w:val="20"/>
                <w:lang w:val="fr-FR"/>
              </w:rPr>
              <w:t xml:space="preserve">23 200 F </w:t>
            </w:r>
          </w:p>
          <w:p w:rsidR="00D36E04" w:rsidRPr="004B2881" w:rsidRDefault="009B4089" w:rsidP="00D36E04">
            <w:pPr>
              <w:rPr>
                <w:sz w:val="20"/>
                <w:lang w:val="fr-FR"/>
              </w:rPr>
            </w:pPr>
            <w:r w:rsidRPr="004B2881">
              <w:rPr>
                <w:sz w:val="20"/>
                <w:lang w:val="fr-FR"/>
              </w:rPr>
              <w:t>2.</w:t>
            </w:r>
            <w:r w:rsidRPr="004B2881">
              <w:rPr>
                <w:sz w:val="20"/>
                <w:lang w:val="fr-FR"/>
              </w:rPr>
              <w:tab/>
              <w:t>Installations de</w:t>
            </w:r>
            <w:r w:rsidR="00D36E04" w:rsidRPr="004B2881">
              <w:rPr>
                <w:sz w:val="20"/>
                <w:lang w:val="fr-FR"/>
              </w:rPr>
              <w:t xml:space="preserve"> radiocommande de modèle réduit</w:t>
            </w:r>
            <w:r w:rsidR="00253205" w:rsidRPr="004B2881">
              <w:rPr>
                <w:sz w:val="20"/>
                <w:lang w:val="fr-FR"/>
              </w:rPr>
              <w:t>.</w:t>
            </w:r>
          </w:p>
          <w:p w:rsidR="009B4089" w:rsidRPr="004B2881" w:rsidRDefault="00D36E04" w:rsidP="00D36E04">
            <w:pPr>
              <w:spacing w:after="80"/>
              <w:rPr>
                <w:sz w:val="20"/>
                <w:lang w:val="fr-FR"/>
              </w:rPr>
            </w:pPr>
            <w:r w:rsidRPr="004B2881">
              <w:rPr>
                <w:sz w:val="20"/>
                <w:lang w:val="fr-FR"/>
              </w:rPr>
              <w:t xml:space="preserve">Taxes spéciale (5 ans ) </w:t>
            </w:r>
            <w:r w:rsidRPr="004B2881">
              <w:rPr>
                <w:b/>
                <w:bCs/>
                <w:sz w:val="20"/>
                <w:lang w:val="fr-FR"/>
              </w:rPr>
              <w:t>29 000 F</w:t>
            </w:r>
          </w:p>
        </w:tc>
      </w:tr>
    </w:tbl>
    <w:p w:rsidR="00336471" w:rsidRPr="004B2881" w:rsidRDefault="008458E3" w:rsidP="00D879BE">
      <w:pPr>
        <w:pStyle w:val="Heading1"/>
        <w:rPr>
          <w:lang w:val="fr-FR"/>
        </w:rPr>
      </w:pPr>
      <w:bookmarkStart w:id="1025" w:name="_Toc280260073"/>
      <w:bookmarkStart w:id="1026" w:name="_Toc280260925"/>
      <w:bookmarkStart w:id="1027" w:name="_Toc280272538"/>
      <w:bookmarkStart w:id="1028" w:name="_Toc284414209"/>
      <w:bookmarkStart w:id="1029" w:name="_Toc286314953"/>
      <w:r w:rsidRPr="004B2881">
        <w:rPr>
          <w:lang w:val="fr-FR"/>
        </w:rPr>
        <w:t>II – DROIT DE LICENCE/</w:t>
      </w:r>
      <w:r w:rsidR="00234904" w:rsidRPr="004B2881">
        <w:rPr>
          <w:lang w:val="fr-FR"/>
        </w:rPr>
        <w:t>CERTIFICAT</w:t>
      </w:r>
      <w:bookmarkEnd w:id="1025"/>
      <w:bookmarkEnd w:id="1026"/>
      <w:bookmarkEnd w:id="1027"/>
      <w:bookmarkEnd w:id="1028"/>
      <w:bookmarkEnd w:id="1029"/>
    </w:p>
    <w:p w:rsidR="00336471" w:rsidRPr="004B2881" w:rsidRDefault="00336471" w:rsidP="00151785">
      <w:pPr>
        <w:rPr>
          <w:lang w:val="fr-FR"/>
        </w:rPr>
      </w:pPr>
    </w:p>
    <w:tbl>
      <w:tblPr>
        <w:tblW w:w="0" w:type="auto"/>
        <w:jc w:val="center"/>
        <w:tblBorders>
          <w:top w:val="nil"/>
          <w:left w:val="nil"/>
          <w:bottom w:val="nil"/>
          <w:right w:val="nil"/>
        </w:tblBorders>
        <w:tblLayout w:type="fixed"/>
        <w:tblLook w:val="0000"/>
      </w:tblPr>
      <w:tblGrid>
        <w:gridCol w:w="3686"/>
        <w:gridCol w:w="1985"/>
        <w:gridCol w:w="1985"/>
        <w:gridCol w:w="1985"/>
      </w:tblGrid>
      <w:tr w:rsidR="000A08DF" w:rsidRPr="004B2881" w:rsidTr="000036F4">
        <w:trPr>
          <w:jc w:val="center"/>
        </w:trPr>
        <w:tc>
          <w:tcPr>
            <w:tcW w:w="3686" w:type="dxa"/>
            <w:tcBorders>
              <w:top w:val="single" w:sz="4" w:space="0" w:color="000000"/>
              <w:left w:val="single" w:sz="4" w:space="0" w:color="000000"/>
              <w:right w:val="single" w:sz="4" w:space="0" w:color="000000"/>
            </w:tcBorders>
          </w:tcPr>
          <w:p w:rsidR="000A08DF" w:rsidRPr="004B2881" w:rsidRDefault="000A08DF" w:rsidP="000A08DF">
            <w:pPr>
              <w:pStyle w:val="TableNotitle"/>
              <w:spacing w:before="120"/>
              <w:rPr>
                <w:sz w:val="20"/>
                <w:lang w:val="fr-FR"/>
              </w:rPr>
            </w:pPr>
          </w:p>
        </w:tc>
        <w:tc>
          <w:tcPr>
            <w:tcW w:w="1985" w:type="dxa"/>
            <w:tcBorders>
              <w:top w:val="single" w:sz="4" w:space="0" w:color="000000"/>
              <w:left w:val="single" w:sz="4" w:space="0" w:color="000000"/>
              <w:right w:val="single" w:sz="4" w:space="0" w:color="000000"/>
            </w:tcBorders>
            <w:vAlign w:val="bottom"/>
          </w:tcPr>
          <w:p w:rsidR="000A08DF" w:rsidRPr="004B2881" w:rsidRDefault="00550437" w:rsidP="000A08DF">
            <w:pPr>
              <w:pStyle w:val="TableNotitle"/>
              <w:spacing w:before="120"/>
              <w:rPr>
                <w:sz w:val="20"/>
                <w:lang w:val="fr-FR"/>
              </w:rPr>
            </w:pPr>
            <w:r w:rsidRPr="004B2881">
              <w:rPr>
                <w:bCs/>
                <w:sz w:val="20"/>
                <w:lang w:val="fr-FR"/>
              </w:rPr>
              <w:t>É</w:t>
            </w:r>
            <w:r w:rsidR="000A08DF" w:rsidRPr="004B2881">
              <w:rPr>
                <w:bCs/>
                <w:sz w:val="20"/>
                <w:lang w:val="fr-FR"/>
              </w:rPr>
              <w:t xml:space="preserve">tablissement </w:t>
            </w:r>
          </w:p>
        </w:tc>
        <w:tc>
          <w:tcPr>
            <w:tcW w:w="1985" w:type="dxa"/>
            <w:tcBorders>
              <w:top w:val="single" w:sz="4" w:space="0" w:color="000000"/>
              <w:left w:val="single" w:sz="4" w:space="0" w:color="000000"/>
              <w:right w:val="single" w:sz="4" w:space="0" w:color="000000"/>
            </w:tcBorders>
            <w:vAlign w:val="bottom"/>
          </w:tcPr>
          <w:p w:rsidR="000A08DF" w:rsidRPr="004B2881" w:rsidRDefault="000A08DF" w:rsidP="000A08DF">
            <w:pPr>
              <w:pStyle w:val="TableNotitle"/>
              <w:spacing w:before="120"/>
              <w:rPr>
                <w:sz w:val="20"/>
                <w:lang w:val="fr-FR"/>
              </w:rPr>
            </w:pPr>
            <w:r w:rsidRPr="004B2881">
              <w:rPr>
                <w:bCs/>
                <w:sz w:val="20"/>
                <w:lang w:val="fr-FR"/>
              </w:rPr>
              <w:t xml:space="preserve">Renouvellement </w:t>
            </w:r>
          </w:p>
        </w:tc>
        <w:tc>
          <w:tcPr>
            <w:tcW w:w="1985" w:type="dxa"/>
            <w:tcBorders>
              <w:top w:val="single" w:sz="4" w:space="0" w:color="000000"/>
              <w:left w:val="single" w:sz="4" w:space="0" w:color="000000"/>
              <w:right w:val="single" w:sz="4" w:space="0" w:color="000000"/>
            </w:tcBorders>
            <w:vAlign w:val="bottom"/>
          </w:tcPr>
          <w:p w:rsidR="000A08DF" w:rsidRPr="004B2881" w:rsidRDefault="000A08DF" w:rsidP="000A08DF">
            <w:pPr>
              <w:pStyle w:val="TableNotitle"/>
              <w:spacing w:before="120"/>
              <w:rPr>
                <w:sz w:val="20"/>
                <w:lang w:val="fr-FR"/>
              </w:rPr>
            </w:pPr>
            <w:r w:rsidRPr="004B2881">
              <w:rPr>
                <w:bCs/>
                <w:sz w:val="20"/>
                <w:lang w:val="fr-FR"/>
              </w:rPr>
              <w:t xml:space="preserve">DUPLICATA </w:t>
            </w:r>
          </w:p>
        </w:tc>
      </w:tr>
      <w:tr w:rsidR="000A08DF" w:rsidRPr="004B2881" w:rsidTr="000036F4">
        <w:trPr>
          <w:jc w:val="center"/>
        </w:trPr>
        <w:tc>
          <w:tcPr>
            <w:tcW w:w="3686" w:type="dxa"/>
            <w:tcBorders>
              <w:left w:val="single" w:sz="4" w:space="0" w:color="000000"/>
              <w:right w:val="single" w:sz="4" w:space="0" w:color="000000"/>
            </w:tcBorders>
          </w:tcPr>
          <w:p w:rsidR="000A08DF" w:rsidRPr="004B2881" w:rsidRDefault="000A08DF" w:rsidP="00DA0D78">
            <w:pPr>
              <w:pStyle w:val="Default"/>
              <w:tabs>
                <w:tab w:val="left" w:pos="420"/>
              </w:tabs>
              <w:ind w:left="420" w:hanging="420"/>
              <w:rPr>
                <w:rFonts w:asciiTheme="majorBidi" w:hAnsiTheme="majorBidi" w:cstheme="majorBidi"/>
                <w:sz w:val="20"/>
                <w:lang w:val="fr-FR"/>
              </w:rPr>
            </w:pPr>
            <w:r w:rsidRPr="004B2881">
              <w:rPr>
                <w:rFonts w:asciiTheme="majorBidi" w:hAnsiTheme="majorBidi" w:cstheme="majorBidi"/>
                <w:sz w:val="20"/>
                <w:lang w:val="fr-FR"/>
              </w:rPr>
              <w:t>1</w:t>
            </w:r>
            <w:r w:rsidR="00DA0D78" w:rsidRPr="004B2881">
              <w:rPr>
                <w:rFonts w:asciiTheme="majorBidi" w:hAnsiTheme="majorBidi" w:cstheme="majorBidi"/>
                <w:sz w:val="20"/>
                <w:lang w:val="fr-FR"/>
              </w:rPr>
              <w:tab/>
            </w:r>
            <w:r w:rsidRPr="004B2881">
              <w:rPr>
                <w:rFonts w:asciiTheme="majorBidi" w:hAnsiTheme="majorBidi" w:cstheme="majorBidi"/>
                <w:sz w:val="20"/>
                <w:lang w:val="fr-FR"/>
              </w:rPr>
              <w:t xml:space="preserve">Station d’amateur d’aéronef ou de navire </w:t>
            </w:r>
          </w:p>
        </w:tc>
        <w:tc>
          <w:tcPr>
            <w:tcW w:w="1985" w:type="dxa"/>
            <w:tcBorders>
              <w:left w:val="single" w:sz="4" w:space="0" w:color="000000"/>
              <w:right w:val="single" w:sz="4" w:space="0" w:color="000000"/>
            </w:tcBorders>
            <w:vAlign w:val="center"/>
          </w:tcPr>
          <w:p w:rsidR="000A08DF" w:rsidRPr="004B2881" w:rsidRDefault="000A08DF" w:rsidP="00DA0D78">
            <w:pPr>
              <w:pStyle w:val="Default"/>
              <w:jc w:val="center"/>
              <w:rPr>
                <w:rFonts w:asciiTheme="majorBidi" w:hAnsiTheme="majorBidi" w:cstheme="majorBidi"/>
                <w:sz w:val="20"/>
                <w:lang w:val="fr-FR"/>
              </w:rPr>
            </w:pPr>
            <w:r w:rsidRPr="004B2881">
              <w:rPr>
                <w:rFonts w:asciiTheme="majorBidi" w:hAnsiTheme="majorBidi" w:cstheme="majorBidi"/>
                <w:sz w:val="20"/>
                <w:lang w:val="fr-FR"/>
              </w:rPr>
              <w:t>5 800</w:t>
            </w:r>
          </w:p>
        </w:tc>
        <w:tc>
          <w:tcPr>
            <w:tcW w:w="1985" w:type="dxa"/>
            <w:tcBorders>
              <w:left w:val="single" w:sz="4" w:space="0" w:color="000000"/>
              <w:right w:val="single" w:sz="4" w:space="0" w:color="000000"/>
            </w:tcBorders>
            <w:vAlign w:val="center"/>
          </w:tcPr>
          <w:p w:rsidR="000A08DF" w:rsidRPr="004B2881" w:rsidRDefault="000A08DF" w:rsidP="00DA0D78">
            <w:pPr>
              <w:pStyle w:val="Default"/>
              <w:jc w:val="center"/>
              <w:rPr>
                <w:rFonts w:asciiTheme="majorBidi" w:hAnsiTheme="majorBidi" w:cstheme="majorBidi"/>
                <w:sz w:val="20"/>
                <w:lang w:val="fr-FR"/>
              </w:rPr>
            </w:pPr>
            <w:r w:rsidRPr="004B2881">
              <w:rPr>
                <w:rFonts w:asciiTheme="majorBidi" w:hAnsiTheme="majorBidi" w:cstheme="majorBidi"/>
                <w:sz w:val="20"/>
                <w:lang w:val="fr-FR"/>
              </w:rPr>
              <w:t>5 800</w:t>
            </w:r>
          </w:p>
        </w:tc>
        <w:tc>
          <w:tcPr>
            <w:tcW w:w="1985" w:type="dxa"/>
            <w:tcBorders>
              <w:left w:val="single" w:sz="4" w:space="0" w:color="000000"/>
              <w:right w:val="single" w:sz="4" w:space="0" w:color="000000"/>
            </w:tcBorders>
            <w:vAlign w:val="center"/>
          </w:tcPr>
          <w:p w:rsidR="000A08DF" w:rsidRPr="004B2881" w:rsidRDefault="000A08DF" w:rsidP="00DA0D78">
            <w:pPr>
              <w:pStyle w:val="Default"/>
              <w:jc w:val="center"/>
              <w:rPr>
                <w:rFonts w:asciiTheme="majorBidi" w:hAnsiTheme="majorBidi" w:cstheme="majorBidi"/>
                <w:sz w:val="20"/>
                <w:lang w:val="fr-FR"/>
              </w:rPr>
            </w:pPr>
            <w:r w:rsidRPr="004B2881">
              <w:rPr>
                <w:rFonts w:asciiTheme="majorBidi" w:hAnsiTheme="majorBidi" w:cstheme="majorBidi"/>
                <w:sz w:val="20"/>
                <w:lang w:val="fr-FR"/>
              </w:rPr>
              <w:t>11 600</w:t>
            </w:r>
          </w:p>
        </w:tc>
      </w:tr>
      <w:tr w:rsidR="000A08DF" w:rsidRPr="004B2881" w:rsidTr="000036F4">
        <w:trPr>
          <w:jc w:val="center"/>
        </w:trPr>
        <w:tc>
          <w:tcPr>
            <w:tcW w:w="3686" w:type="dxa"/>
            <w:tcBorders>
              <w:left w:val="single" w:sz="4" w:space="0" w:color="000000"/>
              <w:right w:val="single" w:sz="4" w:space="0" w:color="000000"/>
            </w:tcBorders>
          </w:tcPr>
          <w:p w:rsidR="000A08DF" w:rsidRPr="004B2881" w:rsidRDefault="000A08DF" w:rsidP="00DA0D78">
            <w:pPr>
              <w:pStyle w:val="Default"/>
              <w:tabs>
                <w:tab w:val="left" w:pos="420"/>
              </w:tabs>
              <w:ind w:left="420" w:hanging="420"/>
              <w:rPr>
                <w:rFonts w:asciiTheme="majorBidi" w:hAnsiTheme="majorBidi" w:cstheme="majorBidi"/>
                <w:sz w:val="20"/>
                <w:lang w:val="fr-FR"/>
              </w:rPr>
            </w:pPr>
            <w:r w:rsidRPr="004B2881">
              <w:rPr>
                <w:rFonts w:asciiTheme="majorBidi" w:hAnsiTheme="majorBidi" w:cstheme="majorBidi"/>
                <w:sz w:val="20"/>
                <w:lang w:val="fr-FR"/>
              </w:rPr>
              <w:t>2</w:t>
            </w:r>
            <w:r w:rsidR="00DA0D78" w:rsidRPr="004B2881">
              <w:rPr>
                <w:rFonts w:asciiTheme="majorBidi" w:hAnsiTheme="majorBidi" w:cstheme="majorBidi"/>
                <w:sz w:val="20"/>
                <w:lang w:val="fr-FR"/>
              </w:rPr>
              <w:tab/>
            </w:r>
            <w:r w:rsidRPr="004B2881">
              <w:rPr>
                <w:rFonts w:asciiTheme="majorBidi" w:hAnsiTheme="majorBidi" w:cstheme="majorBidi"/>
                <w:sz w:val="20"/>
                <w:lang w:val="fr-FR"/>
              </w:rPr>
              <w:t xml:space="preserve">Station terrienne d’amateur, d’aéronef ou de navire </w:t>
            </w:r>
          </w:p>
        </w:tc>
        <w:tc>
          <w:tcPr>
            <w:tcW w:w="1985" w:type="dxa"/>
            <w:tcBorders>
              <w:left w:val="single" w:sz="4" w:space="0" w:color="000000"/>
              <w:right w:val="single" w:sz="4" w:space="0" w:color="000000"/>
            </w:tcBorders>
            <w:vAlign w:val="center"/>
          </w:tcPr>
          <w:p w:rsidR="000A08DF" w:rsidRPr="004B2881" w:rsidRDefault="000A08DF" w:rsidP="00DA0D78">
            <w:pPr>
              <w:pStyle w:val="Default"/>
              <w:jc w:val="center"/>
              <w:rPr>
                <w:rFonts w:asciiTheme="majorBidi" w:hAnsiTheme="majorBidi" w:cstheme="majorBidi"/>
                <w:sz w:val="20"/>
                <w:lang w:val="fr-FR"/>
              </w:rPr>
            </w:pPr>
            <w:r w:rsidRPr="004B2881">
              <w:rPr>
                <w:rFonts w:asciiTheme="majorBidi" w:hAnsiTheme="majorBidi" w:cstheme="majorBidi"/>
                <w:sz w:val="20"/>
                <w:lang w:val="fr-FR"/>
              </w:rPr>
              <w:t>11 600</w:t>
            </w:r>
          </w:p>
        </w:tc>
        <w:tc>
          <w:tcPr>
            <w:tcW w:w="1985" w:type="dxa"/>
            <w:tcBorders>
              <w:left w:val="single" w:sz="4" w:space="0" w:color="000000"/>
              <w:right w:val="single" w:sz="4" w:space="0" w:color="000000"/>
            </w:tcBorders>
            <w:vAlign w:val="center"/>
          </w:tcPr>
          <w:p w:rsidR="000A08DF" w:rsidRPr="004B2881" w:rsidRDefault="000A08DF" w:rsidP="00DA0D78">
            <w:pPr>
              <w:pStyle w:val="Default"/>
              <w:jc w:val="center"/>
              <w:rPr>
                <w:rFonts w:asciiTheme="majorBidi" w:hAnsiTheme="majorBidi" w:cstheme="majorBidi"/>
                <w:sz w:val="20"/>
                <w:lang w:val="fr-FR"/>
              </w:rPr>
            </w:pPr>
            <w:r w:rsidRPr="004B2881">
              <w:rPr>
                <w:rFonts w:asciiTheme="majorBidi" w:hAnsiTheme="majorBidi" w:cstheme="majorBidi"/>
                <w:sz w:val="20"/>
                <w:lang w:val="fr-FR"/>
              </w:rPr>
              <w:t>11 600</w:t>
            </w:r>
          </w:p>
        </w:tc>
        <w:tc>
          <w:tcPr>
            <w:tcW w:w="1985" w:type="dxa"/>
            <w:tcBorders>
              <w:left w:val="single" w:sz="4" w:space="0" w:color="000000"/>
              <w:right w:val="single" w:sz="4" w:space="0" w:color="000000"/>
            </w:tcBorders>
            <w:vAlign w:val="center"/>
          </w:tcPr>
          <w:p w:rsidR="000A08DF" w:rsidRPr="004B2881" w:rsidRDefault="000A08DF" w:rsidP="00DA0D78">
            <w:pPr>
              <w:pStyle w:val="Default"/>
              <w:jc w:val="center"/>
              <w:rPr>
                <w:rFonts w:asciiTheme="majorBidi" w:hAnsiTheme="majorBidi" w:cstheme="majorBidi"/>
                <w:sz w:val="20"/>
                <w:lang w:val="fr-FR"/>
              </w:rPr>
            </w:pPr>
            <w:r w:rsidRPr="004B2881">
              <w:rPr>
                <w:rFonts w:asciiTheme="majorBidi" w:hAnsiTheme="majorBidi" w:cstheme="majorBidi"/>
                <w:sz w:val="20"/>
                <w:lang w:val="fr-FR"/>
              </w:rPr>
              <w:t>23 200</w:t>
            </w:r>
          </w:p>
        </w:tc>
      </w:tr>
      <w:tr w:rsidR="000A08DF" w:rsidRPr="004B2881" w:rsidTr="000036F4">
        <w:trPr>
          <w:jc w:val="center"/>
        </w:trPr>
        <w:tc>
          <w:tcPr>
            <w:tcW w:w="3686" w:type="dxa"/>
            <w:tcBorders>
              <w:left w:val="single" w:sz="4" w:space="0" w:color="000000"/>
              <w:bottom w:val="single" w:sz="6" w:space="0" w:color="000000"/>
              <w:right w:val="single" w:sz="4" w:space="0" w:color="000000"/>
            </w:tcBorders>
          </w:tcPr>
          <w:p w:rsidR="000A08DF" w:rsidRPr="004B2881" w:rsidRDefault="00DA0D78" w:rsidP="007B745C">
            <w:pPr>
              <w:pStyle w:val="Default"/>
              <w:tabs>
                <w:tab w:val="left" w:pos="420"/>
              </w:tabs>
              <w:spacing w:after="60"/>
              <w:ind w:left="420" w:hanging="420"/>
              <w:rPr>
                <w:rFonts w:asciiTheme="majorBidi" w:hAnsiTheme="majorBidi" w:cstheme="majorBidi"/>
                <w:sz w:val="20"/>
                <w:lang w:val="fr-FR"/>
              </w:rPr>
            </w:pPr>
            <w:r w:rsidRPr="004B2881">
              <w:rPr>
                <w:rFonts w:asciiTheme="majorBidi" w:hAnsiTheme="majorBidi" w:cstheme="majorBidi"/>
                <w:sz w:val="20"/>
                <w:lang w:val="fr-FR"/>
              </w:rPr>
              <w:t>3</w:t>
            </w:r>
            <w:r w:rsidRPr="004B2881">
              <w:rPr>
                <w:rFonts w:asciiTheme="majorBidi" w:hAnsiTheme="majorBidi" w:cstheme="majorBidi"/>
                <w:sz w:val="20"/>
                <w:lang w:val="fr-FR"/>
              </w:rPr>
              <w:tab/>
            </w:r>
            <w:r w:rsidR="000A08DF" w:rsidRPr="004B2881">
              <w:rPr>
                <w:rFonts w:asciiTheme="majorBidi" w:hAnsiTheme="majorBidi" w:cstheme="majorBidi"/>
                <w:sz w:val="20"/>
                <w:lang w:val="fr-FR"/>
              </w:rPr>
              <w:t xml:space="preserve">Certificat d’opérateur </w:t>
            </w:r>
          </w:p>
        </w:tc>
        <w:tc>
          <w:tcPr>
            <w:tcW w:w="1985" w:type="dxa"/>
            <w:tcBorders>
              <w:left w:val="single" w:sz="4" w:space="0" w:color="000000"/>
              <w:bottom w:val="single" w:sz="6" w:space="0" w:color="000000"/>
              <w:right w:val="single" w:sz="4" w:space="0" w:color="000000"/>
            </w:tcBorders>
          </w:tcPr>
          <w:p w:rsidR="000A08DF" w:rsidRPr="004B2881" w:rsidRDefault="000A08DF" w:rsidP="007B745C">
            <w:pPr>
              <w:pStyle w:val="Default"/>
              <w:spacing w:after="60"/>
              <w:jc w:val="center"/>
              <w:rPr>
                <w:rFonts w:asciiTheme="majorBidi" w:hAnsiTheme="majorBidi" w:cstheme="majorBidi"/>
                <w:sz w:val="20"/>
                <w:lang w:val="fr-FR"/>
              </w:rPr>
            </w:pPr>
            <w:r w:rsidRPr="004B2881">
              <w:rPr>
                <w:rFonts w:asciiTheme="majorBidi" w:hAnsiTheme="majorBidi" w:cstheme="majorBidi"/>
                <w:sz w:val="20"/>
                <w:lang w:val="fr-FR"/>
              </w:rPr>
              <w:t>5 800</w:t>
            </w:r>
          </w:p>
        </w:tc>
        <w:tc>
          <w:tcPr>
            <w:tcW w:w="1985" w:type="dxa"/>
            <w:tcBorders>
              <w:left w:val="single" w:sz="4" w:space="0" w:color="000000"/>
              <w:bottom w:val="single" w:sz="6" w:space="0" w:color="000000"/>
              <w:right w:val="single" w:sz="4" w:space="0" w:color="000000"/>
            </w:tcBorders>
          </w:tcPr>
          <w:p w:rsidR="000A08DF" w:rsidRPr="004B2881" w:rsidRDefault="000A08DF" w:rsidP="007B745C">
            <w:pPr>
              <w:pStyle w:val="Default"/>
              <w:spacing w:after="60"/>
              <w:jc w:val="center"/>
              <w:rPr>
                <w:rFonts w:asciiTheme="majorBidi" w:hAnsiTheme="majorBidi" w:cstheme="majorBidi"/>
                <w:color w:val="auto"/>
                <w:sz w:val="20"/>
                <w:lang w:val="fr-FR"/>
              </w:rPr>
            </w:pPr>
          </w:p>
        </w:tc>
        <w:tc>
          <w:tcPr>
            <w:tcW w:w="1985" w:type="dxa"/>
            <w:tcBorders>
              <w:left w:val="single" w:sz="4" w:space="0" w:color="000000"/>
              <w:bottom w:val="single" w:sz="6" w:space="0" w:color="000000"/>
              <w:right w:val="single" w:sz="4" w:space="0" w:color="000000"/>
            </w:tcBorders>
          </w:tcPr>
          <w:p w:rsidR="000A08DF" w:rsidRPr="004B2881" w:rsidRDefault="000A08DF" w:rsidP="007B745C">
            <w:pPr>
              <w:pStyle w:val="Default"/>
              <w:spacing w:after="60"/>
              <w:jc w:val="center"/>
              <w:rPr>
                <w:rFonts w:asciiTheme="majorBidi" w:hAnsiTheme="majorBidi" w:cstheme="majorBidi"/>
                <w:sz w:val="20"/>
                <w:lang w:val="fr-FR"/>
              </w:rPr>
            </w:pPr>
            <w:r w:rsidRPr="004B2881">
              <w:rPr>
                <w:rFonts w:asciiTheme="majorBidi" w:hAnsiTheme="majorBidi" w:cstheme="majorBidi"/>
                <w:sz w:val="20"/>
                <w:lang w:val="fr-FR"/>
              </w:rPr>
              <w:t>11 600</w:t>
            </w:r>
          </w:p>
        </w:tc>
      </w:tr>
    </w:tbl>
    <w:p w:rsidR="00336471" w:rsidRPr="004B2881" w:rsidRDefault="00336471" w:rsidP="00151785">
      <w:pPr>
        <w:rPr>
          <w:lang w:val="fr-FR"/>
        </w:rPr>
      </w:pPr>
    </w:p>
    <w:tbl>
      <w:tblPr>
        <w:tblW w:w="0" w:type="auto"/>
        <w:jc w:val="center"/>
        <w:tblBorders>
          <w:top w:val="nil"/>
          <w:left w:val="nil"/>
          <w:bottom w:val="nil"/>
          <w:right w:val="nil"/>
        </w:tblBorders>
        <w:tblLayout w:type="fixed"/>
        <w:tblLook w:val="0000"/>
      </w:tblPr>
      <w:tblGrid>
        <w:gridCol w:w="5670"/>
        <w:gridCol w:w="3969"/>
      </w:tblGrid>
      <w:tr w:rsidR="00BD5774" w:rsidRPr="004B2881" w:rsidTr="000036F4">
        <w:trPr>
          <w:jc w:val="center"/>
        </w:trPr>
        <w:tc>
          <w:tcPr>
            <w:tcW w:w="5670" w:type="dxa"/>
            <w:tcBorders>
              <w:top w:val="single" w:sz="4" w:space="0" w:color="000000"/>
              <w:left w:val="single" w:sz="4" w:space="0" w:color="000000"/>
              <w:bottom w:val="single" w:sz="6" w:space="0" w:color="000000"/>
              <w:right w:val="single" w:sz="4" w:space="0" w:color="000000"/>
            </w:tcBorders>
          </w:tcPr>
          <w:p w:rsidR="00C710D9" w:rsidRPr="004B2881" w:rsidRDefault="00BD5774" w:rsidP="00BF00B0">
            <w:pPr>
              <w:pStyle w:val="Default"/>
              <w:tabs>
                <w:tab w:val="left" w:pos="390"/>
              </w:tabs>
              <w:spacing w:before="60" w:after="60"/>
              <w:rPr>
                <w:rFonts w:asciiTheme="majorBidi" w:hAnsiTheme="majorBidi" w:cstheme="majorBidi"/>
                <w:b/>
                <w:bCs/>
                <w:sz w:val="20"/>
                <w:lang w:val="fr-FR"/>
              </w:rPr>
            </w:pPr>
            <w:r w:rsidRPr="004B2881">
              <w:rPr>
                <w:rFonts w:asciiTheme="majorBidi" w:hAnsiTheme="majorBidi" w:cstheme="majorBidi"/>
                <w:b/>
                <w:bCs/>
                <w:sz w:val="20"/>
                <w:lang w:val="fr-FR"/>
              </w:rPr>
              <w:t>1</w:t>
            </w:r>
            <w:r w:rsidR="00C710D9" w:rsidRPr="004B2881">
              <w:rPr>
                <w:rFonts w:asciiTheme="majorBidi" w:hAnsiTheme="majorBidi" w:cstheme="majorBidi"/>
                <w:b/>
                <w:bCs/>
                <w:sz w:val="20"/>
                <w:lang w:val="fr-FR"/>
              </w:rPr>
              <w:tab/>
              <w:t>Cert</w:t>
            </w:r>
            <w:r w:rsidRPr="004B2881">
              <w:rPr>
                <w:rFonts w:asciiTheme="majorBidi" w:hAnsiTheme="majorBidi" w:cstheme="majorBidi"/>
                <w:b/>
                <w:bCs/>
                <w:sz w:val="20"/>
                <w:lang w:val="fr-FR"/>
              </w:rPr>
              <w:t>ificat d’opérateur radiotélégraphique de station de navire</w:t>
            </w:r>
          </w:p>
          <w:p w:rsidR="00C710D9" w:rsidRPr="004B2881" w:rsidRDefault="00C710D9" w:rsidP="00C710D9">
            <w:pPr>
              <w:pStyle w:val="Default"/>
              <w:tabs>
                <w:tab w:val="left" w:pos="390"/>
              </w:tabs>
              <w:ind w:left="720" w:hanging="720"/>
              <w:rPr>
                <w:rFonts w:asciiTheme="majorBidi" w:hAnsiTheme="majorBidi" w:cstheme="majorBidi"/>
                <w:sz w:val="20"/>
                <w:lang w:val="fr-FR"/>
              </w:rPr>
            </w:pPr>
            <w:r w:rsidRPr="004B2881">
              <w:rPr>
                <w:rFonts w:asciiTheme="majorBidi" w:hAnsiTheme="majorBidi" w:cstheme="majorBidi"/>
                <w:sz w:val="20"/>
                <w:lang w:val="fr-FR"/>
              </w:rPr>
              <w:tab/>
              <w:t>a.</w:t>
            </w:r>
            <w:r w:rsidRPr="004B2881">
              <w:rPr>
                <w:rFonts w:asciiTheme="majorBidi" w:hAnsiTheme="majorBidi" w:cstheme="majorBidi"/>
                <w:sz w:val="20"/>
                <w:lang w:val="fr-FR"/>
              </w:rPr>
              <w:tab/>
            </w:r>
            <w:r w:rsidR="00BD5774" w:rsidRPr="004B2881">
              <w:rPr>
                <w:rFonts w:asciiTheme="majorBidi" w:hAnsiTheme="majorBidi" w:cstheme="majorBidi"/>
                <w:sz w:val="20"/>
                <w:lang w:val="fr-FR"/>
              </w:rPr>
              <w:t>Certificat général d’opérateur des radiocommunications</w:t>
            </w:r>
          </w:p>
          <w:p w:rsidR="00C710D9" w:rsidRPr="004B2881" w:rsidRDefault="00C710D9" w:rsidP="00C710D9">
            <w:pPr>
              <w:pStyle w:val="Default"/>
              <w:tabs>
                <w:tab w:val="left" w:pos="390"/>
              </w:tabs>
              <w:ind w:left="720" w:hanging="720"/>
              <w:rPr>
                <w:rFonts w:asciiTheme="majorBidi" w:hAnsiTheme="majorBidi" w:cstheme="majorBidi"/>
                <w:sz w:val="20"/>
                <w:lang w:val="fr-FR"/>
              </w:rPr>
            </w:pPr>
            <w:r w:rsidRPr="004B2881">
              <w:rPr>
                <w:rFonts w:asciiTheme="majorBidi" w:hAnsiTheme="majorBidi" w:cstheme="majorBidi"/>
                <w:sz w:val="20"/>
                <w:lang w:val="fr-FR"/>
              </w:rPr>
              <w:tab/>
              <w:t>b.</w:t>
            </w:r>
            <w:r w:rsidRPr="004B2881">
              <w:rPr>
                <w:rFonts w:asciiTheme="majorBidi" w:hAnsiTheme="majorBidi" w:cstheme="majorBidi"/>
                <w:sz w:val="20"/>
                <w:lang w:val="fr-FR"/>
              </w:rPr>
              <w:tab/>
            </w:r>
            <w:r w:rsidR="00BD5774" w:rsidRPr="004B2881">
              <w:rPr>
                <w:rFonts w:asciiTheme="majorBidi" w:hAnsiTheme="majorBidi" w:cstheme="majorBidi"/>
                <w:sz w:val="20"/>
                <w:lang w:val="fr-FR"/>
              </w:rPr>
              <w:t>Certificat d’opérateur radiotélégraphiste de première classe</w:t>
            </w:r>
          </w:p>
          <w:p w:rsidR="00C710D9" w:rsidRPr="004B2881" w:rsidRDefault="00C710D9" w:rsidP="00C710D9">
            <w:pPr>
              <w:pStyle w:val="Default"/>
              <w:tabs>
                <w:tab w:val="left" w:pos="390"/>
              </w:tabs>
              <w:ind w:left="720" w:hanging="720"/>
              <w:rPr>
                <w:rFonts w:asciiTheme="majorBidi" w:hAnsiTheme="majorBidi" w:cstheme="majorBidi"/>
                <w:sz w:val="20"/>
                <w:lang w:val="fr-FR"/>
              </w:rPr>
            </w:pPr>
            <w:r w:rsidRPr="004B2881">
              <w:rPr>
                <w:rFonts w:asciiTheme="majorBidi" w:hAnsiTheme="majorBidi" w:cstheme="majorBidi"/>
                <w:sz w:val="20"/>
                <w:lang w:val="fr-FR"/>
              </w:rPr>
              <w:tab/>
              <w:t>c.</w:t>
            </w:r>
            <w:r w:rsidRPr="004B2881">
              <w:rPr>
                <w:rFonts w:asciiTheme="majorBidi" w:hAnsiTheme="majorBidi" w:cstheme="majorBidi"/>
                <w:sz w:val="20"/>
                <w:lang w:val="fr-FR"/>
              </w:rPr>
              <w:tab/>
            </w:r>
            <w:r w:rsidR="00BD5774" w:rsidRPr="004B2881">
              <w:rPr>
                <w:rFonts w:asciiTheme="majorBidi" w:hAnsiTheme="majorBidi" w:cstheme="majorBidi"/>
                <w:sz w:val="20"/>
                <w:lang w:val="fr-FR"/>
              </w:rPr>
              <w:t>Certificat d’opérateur radiotélégraphiste de deuxième classe</w:t>
            </w:r>
          </w:p>
          <w:p w:rsidR="00BD5774" w:rsidRPr="004B2881" w:rsidRDefault="00C710D9" w:rsidP="00D936F2">
            <w:pPr>
              <w:pStyle w:val="Default"/>
              <w:tabs>
                <w:tab w:val="left" w:pos="390"/>
              </w:tabs>
              <w:spacing w:after="60"/>
              <w:rPr>
                <w:rFonts w:asciiTheme="majorBidi" w:hAnsiTheme="majorBidi" w:cstheme="majorBidi"/>
                <w:sz w:val="20"/>
                <w:lang w:val="fr-FR"/>
              </w:rPr>
            </w:pPr>
            <w:r w:rsidRPr="004B2881">
              <w:rPr>
                <w:rFonts w:asciiTheme="majorBidi" w:hAnsiTheme="majorBidi" w:cstheme="majorBidi"/>
                <w:sz w:val="20"/>
                <w:lang w:val="fr-FR"/>
              </w:rPr>
              <w:tab/>
              <w:t>d.</w:t>
            </w:r>
            <w:r w:rsidRPr="004B2881">
              <w:rPr>
                <w:rFonts w:asciiTheme="majorBidi" w:hAnsiTheme="majorBidi" w:cstheme="majorBidi"/>
                <w:sz w:val="20"/>
                <w:lang w:val="fr-FR"/>
              </w:rPr>
              <w:tab/>
            </w:r>
            <w:r w:rsidR="00BD5774" w:rsidRPr="004B2881">
              <w:rPr>
                <w:rFonts w:asciiTheme="majorBidi" w:hAnsiTheme="majorBidi" w:cstheme="majorBidi"/>
                <w:sz w:val="20"/>
                <w:lang w:val="fr-FR"/>
              </w:rPr>
              <w:t xml:space="preserve">Certificat spécial d’opérateur radiotélégraphiste </w:t>
            </w:r>
          </w:p>
        </w:tc>
        <w:tc>
          <w:tcPr>
            <w:tcW w:w="3969" w:type="dxa"/>
            <w:tcBorders>
              <w:top w:val="single" w:sz="4" w:space="0" w:color="000000"/>
              <w:left w:val="single" w:sz="4" w:space="0" w:color="000000"/>
              <w:bottom w:val="single" w:sz="6" w:space="0" w:color="000000"/>
              <w:right w:val="single" w:sz="4" w:space="0" w:color="000000"/>
            </w:tcBorders>
          </w:tcPr>
          <w:p w:rsidR="0043474A" w:rsidRPr="004B2881" w:rsidRDefault="0043474A" w:rsidP="0043474A">
            <w:pPr>
              <w:pStyle w:val="Default"/>
              <w:jc w:val="center"/>
              <w:rPr>
                <w:rFonts w:asciiTheme="majorBidi" w:hAnsiTheme="majorBidi" w:cstheme="majorBidi"/>
                <w:sz w:val="20"/>
                <w:lang w:val="fr-FR"/>
              </w:rPr>
            </w:pPr>
            <w:r w:rsidRPr="004B2881">
              <w:rPr>
                <w:rFonts w:asciiTheme="majorBidi" w:hAnsiTheme="majorBidi" w:cstheme="majorBidi"/>
                <w:sz w:val="20"/>
                <w:lang w:val="fr-FR"/>
              </w:rPr>
              <w:br/>
            </w:r>
          </w:p>
          <w:p w:rsidR="0043474A" w:rsidRPr="004B2881" w:rsidRDefault="00BD5774" w:rsidP="0043474A">
            <w:pPr>
              <w:pStyle w:val="Default"/>
              <w:jc w:val="center"/>
              <w:rPr>
                <w:rFonts w:asciiTheme="majorBidi" w:hAnsiTheme="majorBidi" w:cstheme="majorBidi"/>
                <w:sz w:val="20"/>
                <w:lang w:val="fr-FR"/>
              </w:rPr>
            </w:pPr>
            <w:r w:rsidRPr="004B2881">
              <w:rPr>
                <w:rFonts w:asciiTheme="majorBidi" w:hAnsiTheme="majorBidi" w:cstheme="majorBidi"/>
                <w:sz w:val="20"/>
                <w:lang w:val="fr-FR"/>
              </w:rPr>
              <w:t>58 000 F</w:t>
            </w:r>
          </w:p>
          <w:p w:rsidR="0043474A" w:rsidRPr="004B2881" w:rsidRDefault="0043474A" w:rsidP="0043474A">
            <w:pPr>
              <w:pStyle w:val="Default"/>
              <w:jc w:val="center"/>
              <w:rPr>
                <w:rFonts w:asciiTheme="majorBidi" w:hAnsiTheme="majorBidi" w:cstheme="majorBidi"/>
                <w:sz w:val="20"/>
                <w:lang w:val="fr-FR"/>
              </w:rPr>
            </w:pPr>
            <w:r w:rsidRPr="004B2881">
              <w:rPr>
                <w:rFonts w:asciiTheme="majorBidi" w:hAnsiTheme="majorBidi" w:cstheme="majorBidi"/>
                <w:sz w:val="20"/>
                <w:lang w:val="fr-FR"/>
              </w:rPr>
              <w:br/>
              <w:t>29 000 F</w:t>
            </w:r>
          </w:p>
          <w:p w:rsidR="0043474A" w:rsidRPr="004B2881" w:rsidRDefault="0043474A" w:rsidP="0043474A">
            <w:pPr>
              <w:pStyle w:val="Default"/>
              <w:jc w:val="center"/>
              <w:rPr>
                <w:rFonts w:asciiTheme="majorBidi" w:hAnsiTheme="majorBidi" w:cstheme="majorBidi"/>
                <w:sz w:val="20"/>
                <w:lang w:val="fr-FR"/>
              </w:rPr>
            </w:pPr>
            <w:r w:rsidRPr="004B2881">
              <w:rPr>
                <w:rFonts w:asciiTheme="majorBidi" w:hAnsiTheme="majorBidi" w:cstheme="majorBidi"/>
                <w:sz w:val="20"/>
                <w:lang w:val="fr-FR"/>
              </w:rPr>
              <w:br/>
              <w:t>29 000 F</w:t>
            </w:r>
          </w:p>
          <w:p w:rsidR="00BD5774" w:rsidRPr="004B2881" w:rsidRDefault="0043474A" w:rsidP="00D936F2">
            <w:pPr>
              <w:pStyle w:val="Default"/>
              <w:spacing w:after="60"/>
              <w:jc w:val="center"/>
              <w:rPr>
                <w:rFonts w:asciiTheme="majorBidi" w:hAnsiTheme="majorBidi" w:cstheme="majorBidi"/>
                <w:sz w:val="20"/>
                <w:lang w:val="fr-FR"/>
              </w:rPr>
            </w:pPr>
            <w:r w:rsidRPr="004B2881">
              <w:rPr>
                <w:rFonts w:asciiTheme="majorBidi" w:hAnsiTheme="majorBidi" w:cstheme="majorBidi"/>
                <w:sz w:val="20"/>
                <w:lang w:val="fr-FR"/>
              </w:rPr>
              <w:br/>
            </w:r>
            <w:r w:rsidR="00BD5774" w:rsidRPr="004B2881">
              <w:rPr>
                <w:rFonts w:asciiTheme="majorBidi" w:hAnsiTheme="majorBidi" w:cstheme="majorBidi"/>
                <w:sz w:val="20"/>
                <w:lang w:val="fr-FR"/>
              </w:rPr>
              <w:t>29 000 F</w:t>
            </w:r>
          </w:p>
        </w:tc>
      </w:tr>
    </w:tbl>
    <w:p w:rsidR="004870D0" w:rsidRPr="004B2881" w:rsidRDefault="004870D0">
      <w:pPr>
        <w:rPr>
          <w:lang w:val="fr-FR"/>
        </w:rPr>
      </w:pPr>
    </w:p>
    <w:p w:rsidR="004870D0" w:rsidRPr="004B2881" w:rsidRDefault="004870D0">
      <w:pPr>
        <w:tabs>
          <w:tab w:val="clear" w:pos="794"/>
          <w:tab w:val="clear" w:pos="1191"/>
          <w:tab w:val="clear" w:pos="1588"/>
          <w:tab w:val="clear" w:pos="1985"/>
        </w:tabs>
        <w:overflowPunct/>
        <w:autoSpaceDE/>
        <w:autoSpaceDN/>
        <w:adjustRightInd/>
        <w:spacing w:before="0"/>
        <w:jc w:val="left"/>
        <w:textAlignment w:val="auto"/>
        <w:rPr>
          <w:lang w:val="fr-FR"/>
        </w:rPr>
      </w:pPr>
      <w:r w:rsidRPr="004B2881">
        <w:rPr>
          <w:lang w:val="fr-FR"/>
        </w:rPr>
        <w:br w:type="page"/>
      </w:r>
    </w:p>
    <w:tbl>
      <w:tblPr>
        <w:tblW w:w="0" w:type="auto"/>
        <w:jc w:val="center"/>
        <w:tblBorders>
          <w:top w:val="nil"/>
          <w:left w:val="nil"/>
          <w:bottom w:val="nil"/>
          <w:right w:val="nil"/>
        </w:tblBorders>
        <w:tblLayout w:type="fixed"/>
        <w:tblLook w:val="0000"/>
      </w:tblPr>
      <w:tblGrid>
        <w:gridCol w:w="5670"/>
        <w:gridCol w:w="3969"/>
      </w:tblGrid>
      <w:tr w:rsidR="00BD5774" w:rsidRPr="004B2881" w:rsidTr="000036F4">
        <w:trPr>
          <w:jc w:val="center"/>
        </w:trPr>
        <w:tc>
          <w:tcPr>
            <w:tcW w:w="5670" w:type="dxa"/>
            <w:tcBorders>
              <w:top w:val="single" w:sz="6" w:space="0" w:color="000000"/>
              <w:left w:val="single" w:sz="4" w:space="0" w:color="000000"/>
              <w:bottom w:val="single" w:sz="6" w:space="0" w:color="000000"/>
              <w:right w:val="single" w:sz="4" w:space="0" w:color="000000"/>
            </w:tcBorders>
          </w:tcPr>
          <w:p w:rsidR="00AC0F92" w:rsidRPr="004B2881" w:rsidRDefault="00AC0F92" w:rsidP="00BF00B0">
            <w:pPr>
              <w:pStyle w:val="Default"/>
              <w:tabs>
                <w:tab w:val="left" w:pos="390"/>
              </w:tabs>
              <w:spacing w:before="60" w:after="60"/>
              <w:rPr>
                <w:rFonts w:asciiTheme="majorBidi" w:hAnsiTheme="majorBidi" w:cstheme="majorBidi"/>
                <w:b/>
                <w:bCs/>
                <w:sz w:val="20"/>
                <w:lang w:val="fr-FR"/>
              </w:rPr>
            </w:pPr>
            <w:r w:rsidRPr="004B2881">
              <w:rPr>
                <w:rFonts w:asciiTheme="majorBidi" w:hAnsiTheme="majorBidi" w:cstheme="majorBidi"/>
                <w:b/>
                <w:bCs/>
                <w:sz w:val="20"/>
                <w:lang w:val="fr-FR"/>
              </w:rPr>
              <w:lastRenderedPageBreak/>
              <w:t>2</w:t>
            </w:r>
            <w:r w:rsidRPr="004B2881">
              <w:rPr>
                <w:rFonts w:asciiTheme="majorBidi" w:hAnsiTheme="majorBidi" w:cstheme="majorBidi"/>
                <w:b/>
                <w:bCs/>
                <w:sz w:val="20"/>
                <w:lang w:val="fr-FR"/>
              </w:rPr>
              <w:tab/>
            </w:r>
            <w:r w:rsidR="00BD5774" w:rsidRPr="004B2881">
              <w:rPr>
                <w:rFonts w:asciiTheme="majorBidi" w:hAnsiTheme="majorBidi" w:cstheme="majorBidi"/>
                <w:b/>
                <w:bCs/>
                <w:sz w:val="20"/>
                <w:lang w:val="fr-FR"/>
              </w:rPr>
              <w:t>Certificat d’opérateur radiotélégraphiste de station d’aéronef ou de navire</w:t>
            </w:r>
          </w:p>
          <w:p w:rsidR="00AC0F92" w:rsidRPr="004B2881" w:rsidRDefault="00AC0F92" w:rsidP="00AC0F92">
            <w:pPr>
              <w:pStyle w:val="Default"/>
              <w:tabs>
                <w:tab w:val="left" w:pos="390"/>
              </w:tabs>
              <w:ind w:left="720" w:hanging="720"/>
              <w:rPr>
                <w:rFonts w:asciiTheme="majorBidi" w:hAnsiTheme="majorBidi" w:cstheme="majorBidi"/>
                <w:sz w:val="20"/>
                <w:lang w:val="fr-FR"/>
              </w:rPr>
            </w:pPr>
            <w:r w:rsidRPr="004B2881">
              <w:rPr>
                <w:rFonts w:asciiTheme="majorBidi" w:hAnsiTheme="majorBidi" w:cstheme="majorBidi"/>
                <w:sz w:val="20"/>
                <w:lang w:val="fr-FR"/>
              </w:rPr>
              <w:tab/>
              <w:t>a.</w:t>
            </w:r>
            <w:r w:rsidRPr="004B2881">
              <w:rPr>
                <w:rFonts w:asciiTheme="majorBidi" w:hAnsiTheme="majorBidi" w:cstheme="majorBidi"/>
                <w:sz w:val="20"/>
                <w:lang w:val="fr-FR"/>
              </w:rPr>
              <w:tab/>
              <w:t>C</w:t>
            </w:r>
            <w:r w:rsidR="00BD5774" w:rsidRPr="004B2881">
              <w:rPr>
                <w:rFonts w:asciiTheme="majorBidi" w:hAnsiTheme="majorBidi" w:cstheme="majorBidi"/>
                <w:sz w:val="20"/>
                <w:lang w:val="fr-FR"/>
              </w:rPr>
              <w:t>ertificat général</w:t>
            </w:r>
          </w:p>
          <w:p w:rsidR="00BD5774" w:rsidRPr="004B2881" w:rsidRDefault="00AC0F92" w:rsidP="00D936F2">
            <w:pPr>
              <w:pStyle w:val="Default"/>
              <w:tabs>
                <w:tab w:val="left" w:pos="390"/>
              </w:tabs>
              <w:spacing w:after="60"/>
              <w:ind w:left="720" w:hanging="720"/>
              <w:rPr>
                <w:rFonts w:asciiTheme="majorBidi" w:hAnsiTheme="majorBidi" w:cstheme="majorBidi"/>
                <w:b/>
                <w:bCs/>
                <w:sz w:val="20"/>
                <w:lang w:val="fr-FR"/>
              </w:rPr>
            </w:pPr>
            <w:r w:rsidRPr="004B2881">
              <w:rPr>
                <w:rFonts w:asciiTheme="majorBidi" w:hAnsiTheme="majorBidi" w:cstheme="majorBidi"/>
                <w:sz w:val="20"/>
                <w:lang w:val="fr-FR"/>
              </w:rPr>
              <w:tab/>
            </w:r>
            <w:r w:rsidR="00BD5774" w:rsidRPr="004B2881">
              <w:rPr>
                <w:rFonts w:asciiTheme="majorBidi" w:hAnsiTheme="majorBidi" w:cstheme="majorBidi"/>
                <w:sz w:val="20"/>
                <w:lang w:val="fr-FR"/>
              </w:rPr>
              <w:t>b</w:t>
            </w:r>
            <w:r w:rsidRPr="004B2881">
              <w:rPr>
                <w:rFonts w:asciiTheme="majorBidi" w:hAnsiTheme="majorBidi" w:cstheme="majorBidi"/>
                <w:sz w:val="20"/>
                <w:lang w:val="fr-FR"/>
              </w:rPr>
              <w:t>.</w:t>
            </w:r>
            <w:r w:rsidRPr="004B2881">
              <w:rPr>
                <w:rFonts w:asciiTheme="majorBidi" w:hAnsiTheme="majorBidi" w:cstheme="majorBidi"/>
                <w:sz w:val="20"/>
                <w:lang w:val="fr-FR"/>
              </w:rPr>
              <w:tab/>
            </w:r>
            <w:r w:rsidR="00BD5774" w:rsidRPr="004B2881">
              <w:rPr>
                <w:rFonts w:asciiTheme="majorBidi" w:hAnsiTheme="majorBidi" w:cstheme="majorBidi"/>
                <w:sz w:val="20"/>
                <w:lang w:val="fr-FR"/>
              </w:rPr>
              <w:t>Certificat restreint</w:t>
            </w:r>
          </w:p>
        </w:tc>
        <w:tc>
          <w:tcPr>
            <w:tcW w:w="3969" w:type="dxa"/>
            <w:tcBorders>
              <w:top w:val="single" w:sz="6" w:space="0" w:color="000000"/>
              <w:left w:val="single" w:sz="4" w:space="0" w:color="000000"/>
              <w:bottom w:val="single" w:sz="6" w:space="0" w:color="000000"/>
              <w:right w:val="single" w:sz="4" w:space="0" w:color="000000"/>
            </w:tcBorders>
            <w:vAlign w:val="bottom"/>
          </w:tcPr>
          <w:p w:rsidR="00BF00B0" w:rsidRPr="004B2881" w:rsidRDefault="00BF00B0" w:rsidP="00BF00B0">
            <w:pPr>
              <w:pStyle w:val="Default"/>
              <w:spacing w:before="60" w:after="60"/>
              <w:jc w:val="center"/>
              <w:rPr>
                <w:rFonts w:asciiTheme="majorBidi" w:hAnsiTheme="majorBidi" w:cstheme="majorBidi"/>
                <w:sz w:val="20"/>
                <w:lang w:val="fr-FR"/>
              </w:rPr>
            </w:pPr>
            <w:r w:rsidRPr="004B2881">
              <w:rPr>
                <w:rFonts w:asciiTheme="majorBidi" w:hAnsiTheme="majorBidi" w:cstheme="majorBidi"/>
                <w:sz w:val="20"/>
                <w:lang w:val="fr-FR"/>
              </w:rPr>
              <w:br/>
            </w:r>
          </w:p>
          <w:p w:rsidR="00BF00B0" w:rsidRPr="004B2881" w:rsidRDefault="00BD5774" w:rsidP="00BF00B0">
            <w:pPr>
              <w:pStyle w:val="Default"/>
              <w:jc w:val="center"/>
              <w:rPr>
                <w:rFonts w:asciiTheme="majorBidi" w:hAnsiTheme="majorBidi" w:cstheme="majorBidi"/>
                <w:sz w:val="20"/>
                <w:lang w:val="fr-FR"/>
              </w:rPr>
            </w:pPr>
            <w:r w:rsidRPr="004B2881">
              <w:rPr>
                <w:rFonts w:asciiTheme="majorBidi" w:hAnsiTheme="majorBidi" w:cstheme="majorBidi"/>
                <w:sz w:val="20"/>
                <w:lang w:val="fr-FR"/>
              </w:rPr>
              <w:t>14 500 F</w:t>
            </w:r>
          </w:p>
          <w:p w:rsidR="00BD5774" w:rsidRPr="004B2881" w:rsidRDefault="00BD5774" w:rsidP="00D936F2">
            <w:pPr>
              <w:pStyle w:val="Default"/>
              <w:spacing w:after="60"/>
              <w:jc w:val="center"/>
              <w:rPr>
                <w:rFonts w:asciiTheme="majorBidi" w:hAnsiTheme="majorBidi" w:cstheme="majorBidi"/>
                <w:sz w:val="20"/>
                <w:lang w:val="fr-FR"/>
              </w:rPr>
            </w:pPr>
            <w:r w:rsidRPr="004B2881">
              <w:rPr>
                <w:rFonts w:asciiTheme="majorBidi" w:hAnsiTheme="majorBidi" w:cstheme="majorBidi"/>
                <w:sz w:val="20"/>
                <w:lang w:val="fr-FR"/>
              </w:rPr>
              <w:t>14 500 F</w:t>
            </w:r>
          </w:p>
        </w:tc>
      </w:tr>
      <w:tr w:rsidR="00BD5774" w:rsidRPr="004B2881" w:rsidTr="000036F4">
        <w:trPr>
          <w:jc w:val="center"/>
        </w:trPr>
        <w:tc>
          <w:tcPr>
            <w:tcW w:w="5670" w:type="dxa"/>
            <w:tcBorders>
              <w:top w:val="single" w:sz="6" w:space="0" w:color="000000"/>
              <w:left w:val="single" w:sz="4" w:space="0" w:color="000000"/>
              <w:bottom w:val="single" w:sz="4" w:space="0" w:color="000000"/>
              <w:right w:val="single" w:sz="4" w:space="0" w:color="000000"/>
            </w:tcBorders>
          </w:tcPr>
          <w:p w:rsidR="00D936F2" w:rsidRPr="004B2881" w:rsidRDefault="00D936F2" w:rsidP="00D936F2">
            <w:pPr>
              <w:pStyle w:val="Default"/>
              <w:tabs>
                <w:tab w:val="left" w:pos="390"/>
              </w:tabs>
              <w:spacing w:before="60" w:after="60"/>
              <w:rPr>
                <w:rFonts w:asciiTheme="majorBidi" w:hAnsiTheme="majorBidi" w:cstheme="majorBidi"/>
                <w:b/>
                <w:bCs/>
                <w:sz w:val="20"/>
                <w:lang w:val="fr-FR"/>
              </w:rPr>
            </w:pPr>
            <w:r w:rsidRPr="004B2881">
              <w:rPr>
                <w:rFonts w:asciiTheme="majorBidi" w:hAnsiTheme="majorBidi" w:cstheme="majorBidi"/>
                <w:b/>
                <w:bCs/>
                <w:sz w:val="20"/>
                <w:lang w:val="fr-FR"/>
              </w:rPr>
              <w:t>3</w:t>
            </w:r>
            <w:r w:rsidRPr="004B2881">
              <w:rPr>
                <w:rFonts w:asciiTheme="majorBidi" w:hAnsiTheme="majorBidi" w:cstheme="majorBidi"/>
                <w:b/>
                <w:bCs/>
                <w:sz w:val="20"/>
                <w:lang w:val="fr-FR"/>
              </w:rPr>
              <w:tab/>
            </w:r>
            <w:r w:rsidR="00BD5774" w:rsidRPr="004B2881">
              <w:rPr>
                <w:rFonts w:asciiTheme="majorBidi" w:hAnsiTheme="majorBidi" w:cstheme="majorBidi"/>
                <w:b/>
                <w:bCs/>
                <w:sz w:val="20"/>
                <w:lang w:val="fr-FR"/>
              </w:rPr>
              <w:t>Certificat d</w:t>
            </w:r>
            <w:r w:rsidRPr="004B2881">
              <w:rPr>
                <w:rFonts w:asciiTheme="majorBidi" w:hAnsiTheme="majorBidi" w:cstheme="majorBidi"/>
                <w:b/>
                <w:bCs/>
                <w:sz w:val="20"/>
                <w:lang w:val="fr-FR"/>
              </w:rPr>
              <w:t>’opérateur de station d’amateur</w:t>
            </w:r>
          </w:p>
          <w:p w:rsidR="00D936F2" w:rsidRPr="004B2881" w:rsidRDefault="00D936F2" w:rsidP="00D936F2">
            <w:pPr>
              <w:pStyle w:val="Default"/>
              <w:tabs>
                <w:tab w:val="left" w:pos="390"/>
              </w:tabs>
              <w:ind w:left="720" w:hanging="720"/>
              <w:rPr>
                <w:rFonts w:asciiTheme="majorBidi" w:hAnsiTheme="majorBidi" w:cstheme="majorBidi"/>
                <w:sz w:val="20"/>
                <w:lang w:val="fr-FR"/>
              </w:rPr>
            </w:pPr>
            <w:r w:rsidRPr="004B2881">
              <w:rPr>
                <w:rFonts w:asciiTheme="majorBidi" w:hAnsiTheme="majorBidi" w:cstheme="majorBidi"/>
                <w:sz w:val="20"/>
                <w:lang w:val="fr-FR"/>
              </w:rPr>
              <w:tab/>
            </w:r>
            <w:r w:rsidR="00BD5774" w:rsidRPr="004B2881">
              <w:rPr>
                <w:rFonts w:asciiTheme="majorBidi" w:hAnsiTheme="majorBidi" w:cstheme="majorBidi"/>
                <w:sz w:val="20"/>
                <w:lang w:val="fr-FR"/>
              </w:rPr>
              <w:t>a.</w:t>
            </w:r>
            <w:r w:rsidRPr="004B2881">
              <w:rPr>
                <w:rFonts w:asciiTheme="majorBidi" w:hAnsiTheme="majorBidi" w:cstheme="majorBidi"/>
                <w:sz w:val="20"/>
                <w:lang w:val="fr-FR"/>
              </w:rPr>
              <w:tab/>
              <w:t>Radiotélégraphiste</w:t>
            </w:r>
          </w:p>
          <w:p w:rsidR="00BD5774" w:rsidRPr="004B2881" w:rsidRDefault="00D936F2" w:rsidP="00D936F2">
            <w:pPr>
              <w:pStyle w:val="Default"/>
              <w:tabs>
                <w:tab w:val="left" w:pos="390"/>
              </w:tabs>
              <w:spacing w:after="60"/>
              <w:ind w:left="720" w:hanging="720"/>
              <w:rPr>
                <w:rFonts w:asciiTheme="majorBidi" w:hAnsiTheme="majorBidi" w:cstheme="majorBidi"/>
                <w:b/>
                <w:bCs/>
                <w:sz w:val="20"/>
                <w:lang w:val="fr-FR"/>
              </w:rPr>
            </w:pPr>
            <w:r w:rsidRPr="004B2881">
              <w:rPr>
                <w:rFonts w:asciiTheme="majorBidi" w:hAnsiTheme="majorBidi" w:cstheme="majorBidi"/>
                <w:sz w:val="20"/>
                <w:lang w:val="fr-FR"/>
              </w:rPr>
              <w:tab/>
            </w:r>
            <w:r w:rsidR="00BD5774" w:rsidRPr="004B2881">
              <w:rPr>
                <w:rFonts w:asciiTheme="majorBidi" w:hAnsiTheme="majorBidi" w:cstheme="majorBidi"/>
                <w:sz w:val="20"/>
                <w:lang w:val="fr-FR"/>
              </w:rPr>
              <w:t>b.</w:t>
            </w:r>
            <w:r w:rsidRPr="004B2881">
              <w:rPr>
                <w:rFonts w:asciiTheme="majorBidi" w:hAnsiTheme="majorBidi" w:cstheme="majorBidi"/>
                <w:sz w:val="20"/>
                <w:lang w:val="fr-FR"/>
              </w:rPr>
              <w:tab/>
            </w:r>
            <w:r w:rsidR="00BD5774" w:rsidRPr="004B2881">
              <w:rPr>
                <w:rFonts w:asciiTheme="majorBidi" w:hAnsiTheme="majorBidi" w:cstheme="majorBidi"/>
                <w:sz w:val="20"/>
                <w:lang w:val="fr-FR"/>
              </w:rPr>
              <w:t xml:space="preserve">Radiotélégraphiste </w:t>
            </w:r>
          </w:p>
        </w:tc>
        <w:tc>
          <w:tcPr>
            <w:tcW w:w="3969" w:type="dxa"/>
            <w:tcBorders>
              <w:top w:val="single" w:sz="6" w:space="0" w:color="000000"/>
              <w:left w:val="single" w:sz="4" w:space="0" w:color="000000"/>
              <w:bottom w:val="single" w:sz="4" w:space="0" w:color="000000"/>
              <w:right w:val="single" w:sz="4" w:space="0" w:color="000000"/>
            </w:tcBorders>
          </w:tcPr>
          <w:p w:rsidR="00D936F2" w:rsidRPr="004B2881" w:rsidRDefault="00D936F2" w:rsidP="00D936F2">
            <w:pPr>
              <w:pStyle w:val="Default"/>
              <w:spacing w:before="60"/>
              <w:jc w:val="center"/>
              <w:rPr>
                <w:rFonts w:asciiTheme="majorBidi" w:hAnsiTheme="majorBidi" w:cstheme="majorBidi"/>
                <w:sz w:val="20"/>
                <w:lang w:val="fr-FR"/>
              </w:rPr>
            </w:pPr>
          </w:p>
          <w:p w:rsidR="00D936F2" w:rsidRPr="004B2881" w:rsidRDefault="00BD5774" w:rsidP="00D936F2">
            <w:pPr>
              <w:pStyle w:val="Default"/>
              <w:spacing w:before="60"/>
              <w:jc w:val="center"/>
              <w:rPr>
                <w:rFonts w:asciiTheme="majorBidi" w:hAnsiTheme="majorBidi" w:cstheme="majorBidi"/>
                <w:sz w:val="20"/>
                <w:lang w:val="fr-FR"/>
              </w:rPr>
            </w:pPr>
            <w:r w:rsidRPr="004B2881">
              <w:rPr>
                <w:rFonts w:asciiTheme="majorBidi" w:hAnsiTheme="majorBidi" w:cstheme="majorBidi"/>
                <w:sz w:val="20"/>
                <w:lang w:val="fr-FR"/>
              </w:rPr>
              <w:t>14 500 F</w:t>
            </w:r>
          </w:p>
          <w:p w:rsidR="00BD5774" w:rsidRPr="004B2881" w:rsidRDefault="00BD5774" w:rsidP="00D936F2">
            <w:pPr>
              <w:pStyle w:val="Default"/>
              <w:spacing w:after="60"/>
              <w:jc w:val="center"/>
              <w:rPr>
                <w:rFonts w:asciiTheme="majorBidi" w:hAnsiTheme="majorBidi" w:cstheme="majorBidi"/>
                <w:sz w:val="20"/>
                <w:lang w:val="fr-FR"/>
              </w:rPr>
            </w:pPr>
            <w:r w:rsidRPr="004B2881">
              <w:rPr>
                <w:rFonts w:asciiTheme="majorBidi" w:hAnsiTheme="majorBidi" w:cstheme="majorBidi"/>
                <w:sz w:val="20"/>
                <w:lang w:val="fr-FR"/>
              </w:rPr>
              <w:t>14 500 F</w:t>
            </w:r>
          </w:p>
        </w:tc>
      </w:tr>
    </w:tbl>
    <w:p w:rsidR="00BD5774" w:rsidRPr="004B2881" w:rsidRDefault="00BD5774" w:rsidP="00BD5774">
      <w:pPr>
        <w:pStyle w:val="Default"/>
        <w:rPr>
          <w:rFonts w:asciiTheme="majorBidi" w:hAnsiTheme="majorBidi" w:cstheme="majorBidi"/>
          <w:color w:val="auto"/>
          <w:lang w:val="fr-FR"/>
        </w:rPr>
      </w:pPr>
    </w:p>
    <w:p w:rsidR="007C5653" w:rsidRPr="004B2881" w:rsidRDefault="007C5653" w:rsidP="00D879BE">
      <w:pPr>
        <w:pStyle w:val="Heading1"/>
        <w:rPr>
          <w:lang w:val="fr-FR"/>
        </w:rPr>
      </w:pPr>
      <w:bookmarkStart w:id="1030" w:name="_Toc280260074"/>
      <w:bookmarkStart w:id="1031" w:name="_Toc280260926"/>
      <w:bookmarkStart w:id="1032" w:name="_Toc280272539"/>
      <w:bookmarkStart w:id="1033" w:name="_Toc284414210"/>
      <w:bookmarkStart w:id="1034" w:name="_Toc286314954"/>
      <w:r w:rsidRPr="004B2881">
        <w:rPr>
          <w:lang w:val="fr-FR"/>
        </w:rPr>
        <w:t>IV – DR</w:t>
      </w:r>
      <w:r w:rsidR="00B537AF" w:rsidRPr="004B2881">
        <w:rPr>
          <w:lang w:val="fr-FR"/>
        </w:rPr>
        <w:t>OIT DE DELIVRANCE DES AGREMENTS</w:t>
      </w:r>
      <w:bookmarkEnd w:id="1030"/>
      <w:bookmarkEnd w:id="1031"/>
      <w:bookmarkEnd w:id="1032"/>
      <w:bookmarkEnd w:id="1033"/>
      <w:bookmarkEnd w:id="1034"/>
    </w:p>
    <w:p w:rsidR="00B537AF" w:rsidRPr="004B2881" w:rsidRDefault="00B537AF" w:rsidP="00B537AF">
      <w:pPr>
        <w:spacing w:before="0"/>
        <w:rPr>
          <w:b/>
          <w:bCs/>
          <w:lang w:val="fr-FR"/>
        </w:rPr>
      </w:pPr>
    </w:p>
    <w:tbl>
      <w:tblPr>
        <w:tblW w:w="0" w:type="auto"/>
        <w:jc w:val="center"/>
        <w:tblBorders>
          <w:top w:val="nil"/>
          <w:left w:val="nil"/>
          <w:bottom w:val="nil"/>
          <w:right w:val="nil"/>
        </w:tblBorders>
        <w:tblLayout w:type="fixed"/>
        <w:tblLook w:val="0000"/>
      </w:tblPr>
      <w:tblGrid>
        <w:gridCol w:w="3969"/>
        <w:gridCol w:w="2835"/>
        <w:gridCol w:w="2835"/>
      </w:tblGrid>
      <w:tr w:rsidR="00FE4083" w:rsidRPr="004B2881" w:rsidTr="004A1F54">
        <w:trPr>
          <w:jc w:val="center"/>
        </w:trPr>
        <w:tc>
          <w:tcPr>
            <w:tcW w:w="6804" w:type="dxa"/>
            <w:gridSpan w:val="2"/>
            <w:tcBorders>
              <w:top w:val="single" w:sz="4" w:space="0" w:color="000000"/>
              <w:left w:val="single" w:sz="4" w:space="0" w:color="000000"/>
              <w:bottom w:val="single" w:sz="6" w:space="0" w:color="000000"/>
              <w:right w:val="single" w:sz="4" w:space="0" w:color="000000"/>
            </w:tcBorders>
          </w:tcPr>
          <w:p w:rsidR="00FE4083" w:rsidRPr="004B2881" w:rsidRDefault="00FE4083" w:rsidP="00137E50">
            <w:pPr>
              <w:pStyle w:val="TableNotitle"/>
              <w:spacing w:before="120"/>
              <w:rPr>
                <w:sz w:val="20"/>
                <w:lang w:val="fr-FR"/>
              </w:rPr>
            </w:pPr>
            <w:r w:rsidRPr="004B2881">
              <w:rPr>
                <w:sz w:val="20"/>
                <w:lang w:val="fr-FR"/>
              </w:rPr>
              <w:t xml:space="preserve">Taxe de constitution de dossier </w:t>
            </w:r>
          </w:p>
        </w:tc>
        <w:tc>
          <w:tcPr>
            <w:tcW w:w="2835" w:type="dxa"/>
            <w:tcBorders>
              <w:top w:val="single" w:sz="4" w:space="0" w:color="000000"/>
              <w:left w:val="single" w:sz="4" w:space="0" w:color="000000"/>
              <w:bottom w:val="single" w:sz="6" w:space="0" w:color="000000"/>
              <w:right w:val="single" w:sz="4" w:space="0" w:color="000000"/>
            </w:tcBorders>
          </w:tcPr>
          <w:p w:rsidR="00FE4083" w:rsidRPr="004B2881" w:rsidRDefault="00FE4083" w:rsidP="00137E50">
            <w:pPr>
              <w:pStyle w:val="TableNotitle"/>
              <w:spacing w:before="120"/>
              <w:rPr>
                <w:sz w:val="20"/>
                <w:lang w:val="fr-FR"/>
              </w:rPr>
            </w:pPr>
            <w:r w:rsidRPr="004B2881">
              <w:rPr>
                <w:sz w:val="20"/>
                <w:lang w:val="fr-FR"/>
              </w:rPr>
              <w:t xml:space="preserve">Agrément </w:t>
            </w:r>
          </w:p>
        </w:tc>
      </w:tr>
      <w:tr w:rsidR="00DF5FFA" w:rsidRPr="004B2881" w:rsidTr="000036F4">
        <w:trPr>
          <w:jc w:val="center"/>
        </w:trPr>
        <w:tc>
          <w:tcPr>
            <w:tcW w:w="3969" w:type="dxa"/>
            <w:tcBorders>
              <w:top w:val="single" w:sz="6" w:space="0" w:color="000000"/>
              <w:left w:val="single" w:sz="4" w:space="0" w:color="000000"/>
              <w:bottom w:val="single" w:sz="6" w:space="0" w:color="000000"/>
              <w:right w:val="single" w:sz="4" w:space="0" w:color="000000"/>
            </w:tcBorders>
          </w:tcPr>
          <w:p w:rsidR="00DF5FFA" w:rsidRPr="004B2881" w:rsidRDefault="00DF5FFA" w:rsidP="00F60598">
            <w:pPr>
              <w:pStyle w:val="Default"/>
              <w:spacing w:before="60"/>
              <w:rPr>
                <w:rFonts w:asciiTheme="majorBidi" w:hAnsiTheme="majorBidi" w:cstheme="majorBidi"/>
                <w:sz w:val="20"/>
                <w:szCs w:val="20"/>
                <w:lang w:val="fr-FR"/>
              </w:rPr>
            </w:pPr>
            <w:r w:rsidRPr="004B2881">
              <w:rPr>
                <w:rFonts w:asciiTheme="majorBidi" w:hAnsiTheme="majorBidi" w:cstheme="majorBidi"/>
                <w:sz w:val="20"/>
                <w:szCs w:val="20"/>
                <w:lang w:val="fr-FR"/>
              </w:rPr>
              <w:t>1 – Installateur</w:t>
            </w:r>
          </w:p>
          <w:p w:rsidR="00DF5FFA" w:rsidRPr="004B2881" w:rsidRDefault="00DF5FFA" w:rsidP="00A0645F">
            <w:pPr>
              <w:pStyle w:val="Default"/>
              <w:rPr>
                <w:rFonts w:asciiTheme="majorBidi" w:hAnsiTheme="majorBidi" w:cstheme="majorBidi"/>
                <w:sz w:val="20"/>
                <w:szCs w:val="20"/>
                <w:lang w:val="fr-FR"/>
              </w:rPr>
            </w:pPr>
            <w:r w:rsidRPr="004B2881">
              <w:rPr>
                <w:rFonts w:asciiTheme="majorBidi" w:hAnsiTheme="majorBidi" w:cstheme="majorBidi"/>
                <w:sz w:val="20"/>
                <w:szCs w:val="20"/>
                <w:lang w:val="fr-FR"/>
              </w:rPr>
              <w:t>2 – Vendeur</w:t>
            </w:r>
          </w:p>
          <w:p w:rsidR="00DF5FFA" w:rsidRPr="004B2881" w:rsidRDefault="00DF5FFA" w:rsidP="00A0645F">
            <w:pPr>
              <w:pStyle w:val="Default"/>
              <w:rPr>
                <w:rFonts w:asciiTheme="majorBidi" w:hAnsiTheme="majorBidi" w:cstheme="majorBidi"/>
                <w:sz w:val="20"/>
                <w:szCs w:val="20"/>
                <w:lang w:val="fr-FR"/>
              </w:rPr>
            </w:pPr>
            <w:r w:rsidRPr="004B2881">
              <w:rPr>
                <w:rFonts w:asciiTheme="majorBidi" w:hAnsiTheme="majorBidi" w:cstheme="majorBidi"/>
                <w:sz w:val="20"/>
                <w:szCs w:val="20"/>
                <w:lang w:val="fr-FR"/>
              </w:rPr>
              <w:t>3 – Equipement terminal simple</w:t>
            </w:r>
          </w:p>
          <w:p w:rsidR="00DF5FFA" w:rsidRPr="004B2881" w:rsidRDefault="00DF5FFA" w:rsidP="0022203F">
            <w:pPr>
              <w:pStyle w:val="Default"/>
              <w:spacing w:after="60"/>
              <w:rPr>
                <w:rFonts w:asciiTheme="majorBidi" w:hAnsiTheme="majorBidi" w:cstheme="majorBidi"/>
                <w:sz w:val="20"/>
                <w:szCs w:val="20"/>
                <w:lang w:val="fr-FR"/>
              </w:rPr>
            </w:pPr>
            <w:r w:rsidRPr="004B2881">
              <w:rPr>
                <w:rFonts w:asciiTheme="majorBidi" w:hAnsiTheme="majorBidi" w:cstheme="majorBidi"/>
                <w:sz w:val="20"/>
                <w:szCs w:val="20"/>
                <w:lang w:val="fr-FR"/>
              </w:rPr>
              <w:t xml:space="preserve">4 – Equipement terminal complexe </w:t>
            </w:r>
          </w:p>
        </w:tc>
        <w:tc>
          <w:tcPr>
            <w:tcW w:w="2835" w:type="dxa"/>
            <w:tcBorders>
              <w:top w:val="single" w:sz="6" w:space="0" w:color="000000"/>
              <w:left w:val="single" w:sz="4" w:space="0" w:color="000000"/>
              <w:bottom w:val="single" w:sz="6" w:space="0" w:color="000000"/>
              <w:right w:val="single" w:sz="4" w:space="0" w:color="000000"/>
            </w:tcBorders>
          </w:tcPr>
          <w:p w:rsidR="00DF5FFA" w:rsidRPr="004B2881" w:rsidRDefault="00DF5FFA" w:rsidP="00BD38F0">
            <w:pPr>
              <w:pStyle w:val="Default"/>
              <w:spacing w:before="60"/>
              <w:jc w:val="center"/>
              <w:rPr>
                <w:rFonts w:asciiTheme="majorBidi" w:hAnsiTheme="majorBidi" w:cstheme="majorBidi"/>
                <w:sz w:val="20"/>
                <w:szCs w:val="20"/>
                <w:lang w:val="fr-FR"/>
              </w:rPr>
            </w:pPr>
            <w:r w:rsidRPr="004B2881">
              <w:rPr>
                <w:rFonts w:asciiTheme="majorBidi" w:hAnsiTheme="majorBidi" w:cstheme="majorBidi"/>
                <w:sz w:val="20"/>
                <w:szCs w:val="20"/>
                <w:lang w:val="fr-FR"/>
              </w:rPr>
              <w:t>58 000</w:t>
            </w:r>
          </w:p>
          <w:p w:rsidR="00DF5FFA" w:rsidRPr="004B2881" w:rsidRDefault="00DF5FFA" w:rsidP="00BD38F0">
            <w:pPr>
              <w:pStyle w:val="Default"/>
              <w:jc w:val="center"/>
              <w:rPr>
                <w:rFonts w:asciiTheme="majorBidi" w:hAnsiTheme="majorBidi" w:cstheme="majorBidi"/>
                <w:sz w:val="20"/>
                <w:szCs w:val="20"/>
                <w:lang w:val="fr-FR"/>
              </w:rPr>
            </w:pPr>
            <w:r w:rsidRPr="004B2881">
              <w:rPr>
                <w:rFonts w:asciiTheme="majorBidi" w:hAnsiTheme="majorBidi" w:cstheme="majorBidi"/>
                <w:sz w:val="20"/>
                <w:szCs w:val="20"/>
                <w:lang w:val="fr-FR"/>
              </w:rPr>
              <w:t>58 000</w:t>
            </w:r>
          </w:p>
          <w:p w:rsidR="00DF5FFA" w:rsidRPr="004B2881" w:rsidRDefault="00DF5FFA" w:rsidP="00BD38F0">
            <w:pPr>
              <w:pStyle w:val="Default"/>
              <w:jc w:val="center"/>
              <w:rPr>
                <w:rFonts w:asciiTheme="majorBidi" w:hAnsiTheme="majorBidi" w:cstheme="majorBidi"/>
                <w:sz w:val="20"/>
                <w:szCs w:val="20"/>
                <w:lang w:val="fr-FR"/>
              </w:rPr>
            </w:pPr>
            <w:r w:rsidRPr="004B2881">
              <w:rPr>
                <w:rFonts w:asciiTheme="majorBidi" w:hAnsiTheme="majorBidi" w:cstheme="majorBidi"/>
                <w:sz w:val="20"/>
                <w:szCs w:val="20"/>
                <w:lang w:val="fr-FR"/>
              </w:rPr>
              <w:t>5 800</w:t>
            </w:r>
          </w:p>
          <w:p w:rsidR="00DF5FFA" w:rsidRPr="004B2881" w:rsidRDefault="00DF5FFA" w:rsidP="00BD38F0">
            <w:pPr>
              <w:pStyle w:val="Default"/>
              <w:spacing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11 600</w:t>
            </w:r>
          </w:p>
        </w:tc>
        <w:tc>
          <w:tcPr>
            <w:tcW w:w="2835" w:type="dxa"/>
            <w:tcBorders>
              <w:top w:val="single" w:sz="6" w:space="0" w:color="000000"/>
              <w:left w:val="single" w:sz="4" w:space="0" w:color="000000"/>
              <w:bottom w:val="single" w:sz="4" w:space="0" w:color="000000"/>
              <w:right w:val="single" w:sz="4" w:space="0" w:color="000000"/>
            </w:tcBorders>
          </w:tcPr>
          <w:p w:rsidR="00DF5FFA" w:rsidRPr="004B2881" w:rsidRDefault="00DF5FFA" w:rsidP="00507086">
            <w:pPr>
              <w:pStyle w:val="Default"/>
              <w:spacing w:before="60"/>
              <w:jc w:val="center"/>
              <w:rPr>
                <w:rFonts w:asciiTheme="majorBidi" w:hAnsiTheme="majorBidi" w:cstheme="majorBidi"/>
                <w:sz w:val="20"/>
                <w:szCs w:val="20"/>
                <w:lang w:val="fr-FR"/>
              </w:rPr>
            </w:pPr>
            <w:r w:rsidRPr="004B2881">
              <w:rPr>
                <w:rFonts w:asciiTheme="majorBidi" w:hAnsiTheme="majorBidi" w:cstheme="majorBidi"/>
                <w:sz w:val="20"/>
                <w:szCs w:val="20"/>
                <w:lang w:val="fr-FR"/>
              </w:rPr>
              <w:t>348 000 F</w:t>
            </w:r>
          </w:p>
          <w:p w:rsidR="00DF5FFA" w:rsidRPr="004B2881" w:rsidRDefault="00DF5FFA" w:rsidP="00DF5FFA">
            <w:pPr>
              <w:pStyle w:val="Default"/>
              <w:jc w:val="center"/>
              <w:rPr>
                <w:rFonts w:asciiTheme="majorBidi" w:hAnsiTheme="majorBidi" w:cstheme="majorBidi"/>
                <w:sz w:val="20"/>
                <w:szCs w:val="20"/>
                <w:lang w:val="fr-FR"/>
              </w:rPr>
            </w:pPr>
            <w:r w:rsidRPr="004B2881">
              <w:rPr>
                <w:rFonts w:asciiTheme="majorBidi" w:hAnsiTheme="majorBidi" w:cstheme="majorBidi"/>
                <w:sz w:val="20"/>
                <w:szCs w:val="20"/>
                <w:lang w:val="fr-FR"/>
              </w:rPr>
              <w:t>145 000 F</w:t>
            </w:r>
          </w:p>
          <w:p w:rsidR="00DF5FFA" w:rsidRPr="004B2881" w:rsidRDefault="00DF5FFA" w:rsidP="00DF5FFA">
            <w:pPr>
              <w:pStyle w:val="Default"/>
              <w:jc w:val="center"/>
              <w:rPr>
                <w:rFonts w:asciiTheme="majorBidi" w:hAnsiTheme="majorBidi" w:cstheme="majorBidi"/>
                <w:sz w:val="20"/>
                <w:szCs w:val="20"/>
                <w:lang w:val="fr-FR"/>
              </w:rPr>
            </w:pPr>
            <w:r w:rsidRPr="004B2881">
              <w:rPr>
                <w:rFonts w:asciiTheme="majorBidi" w:hAnsiTheme="majorBidi" w:cstheme="majorBidi"/>
                <w:sz w:val="20"/>
                <w:szCs w:val="20"/>
                <w:lang w:val="fr-FR"/>
              </w:rPr>
              <w:t>58 500 F</w:t>
            </w:r>
          </w:p>
          <w:p w:rsidR="00DF5FFA" w:rsidRPr="004B2881" w:rsidRDefault="00DF5FFA" w:rsidP="00507086">
            <w:pPr>
              <w:pStyle w:val="Default"/>
              <w:spacing w:after="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116 000 F</w:t>
            </w:r>
          </w:p>
        </w:tc>
      </w:tr>
    </w:tbl>
    <w:p w:rsidR="00771CA0" w:rsidRPr="004B2881" w:rsidRDefault="00771CA0" w:rsidP="00771CA0">
      <w:pPr>
        <w:pStyle w:val="Default"/>
        <w:spacing w:before="60" w:after="60"/>
        <w:rPr>
          <w:rFonts w:asciiTheme="majorBidi" w:hAnsiTheme="majorBidi" w:cstheme="majorBidi"/>
          <w:b/>
          <w:bCs/>
          <w:sz w:val="20"/>
          <w:szCs w:val="20"/>
          <w:lang w:val="fr-FR"/>
        </w:rPr>
      </w:pPr>
    </w:p>
    <w:p w:rsidR="00771CA0" w:rsidRPr="004B2881" w:rsidRDefault="00771CA0" w:rsidP="00771CA0">
      <w:pPr>
        <w:pStyle w:val="Heading1"/>
        <w:rPr>
          <w:lang w:val="fr-FR"/>
        </w:rPr>
      </w:pPr>
      <w:bookmarkStart w:id="1035" w:name="_Toc286314955"/>
      <w:r w:rsidRPr="004B2881">
        <w:rPr>
          <w:lang w:val="fr-FR"/>
        </w:rPr>
        <w:t>V – TAXES D’INTERVENTIONS</w:t>
      </w:r>
      <w:bookmarkEnd w:id="1035"/>
    </w:p>
    <w:p w:rsidR="004A1F54" w:rsidRPr="004B2881" w:rsidRDefault="004A1F54" w:rsidP="00771CA0">
      <w:pPr>
        <w:spacing w:before="0"/>
        <w:rPr>
          <w:lang w:val="fr-FR"/>
        </w:rPr>
      </w:pPr>
    </w:p>
    <w:tbl>
      <w:tblPr>
        <w:tblW w:w="0" w:type="auto"/>
        <w:jc w:val="center"/>
        <w:tblBorders>
          <w:top w:val="nil"/>
          <w:left w:val="nil"/>
          <w:bottom w:val="nil"/>
          <w:right w:val="nil"/>
        </w:tblBorders>
        <w:tblLayout w:type="fixed"/>
        <w:tblLook w:val="0000"/>
      </w:tblPr>
      <w:tblGrid>
        <w:gridCol w:w="3969"/>
        <w:gridCol w:w="2835"/>
        <w:gridCol w:w="2835"/>
      </w:tblGrid>
      <w:tr w:rsidR="00DF5FFA" w:rsidRPr="004B2881" w:rsidTr="000036F4">
        <w:trPr>
          <w:jc w:val="center"/>
        </w:trPr>
        <w:tc>
          <w:tcPr>
            <w:tcW w:w="3969" w:type="dxa"/>
            <w:tcBorders>
              <w:top w:val="single" w:sz="6" w:space="0" w:color="000000"/>
              <w:left w:val="single" w:sz="4" w:space="0" w:color="000000"/>
              <w:bottom w:val="single" w:sz="4" w:space="0" w:color="000000"/>
              <w:right w:val="single" w:sz="4" w:space="0" w:color="000000"/>
            </w:tcBorders>
          </w:tcPr>
          <w:p w:rsidR="00DF5FFA" w:rsidRPr="004B2881" w:rsidRDefault="00DF5FFA" w:rsidP="0022203F">
            <w:pPr>
              <w:pStyle w:val="Default"/>
              <w:spacing w:before="60"/>
              <w:rPr>
                <w:rFonts w:asciiTheme="majorBidi" w:hAnsiTheme="majorBidi" w:cstheme="majorBidi"/>
                <w:sz w:val="20"/>
                <w:szCs w:val="20"/>
                <w:lang w:val="fr-FR"/>
              </w:rPr>
            </w:pPr>
            <w:r w:rsidRPr="004B2881">
              <w:rPr>
                <w:rFonts w:asciiTheme="majorBidi" w:hAnsiTheme="majorBidi" w:cstheme="majorBidi"/>
                <w:sz w:val="20"/>
                <w:szCs w:val="20"/>
                <w:lang w:val="fr-FR"/>
              </w:rPr>
              <w:t>1 – Cas de brouillages</w:t>
            </w:r>
          </w:p>
          <w:p w:rsidR="00DF5FFA" w:rsidRPr="004B2881" w:rsidRDefault="00DF5FFA" w:rsidP="0022203F">
            <w:pPr>
              <w:pStyle w:val="Default"/>
              <w:rPr>
                <w:rFonts w:asciiTheme="majorBidi" w:hAnsiTheme="majorBidi" w:cstheme="majorBidi"/>
                <w:sz w:val="20"/>
                <w:szCs w:val="20"/>
                <w:lang w:val="fr-FR"/>
              </w:rPr>
            </w:pPr>
            <w:r w:rsidRPr="004B2881">
              <w:rPr>
                <w:rFonts w:asciiTheme="majorBidi" w:hAnsiTheme="majorBidi" w:cstheme="majorBidi"/>
                <w:sz w:val="20"/>
                <w:szCs w:val="20"/>
                <w:lang w:val="fr-FR"/>
              </w:rPr>
              <w:t>2 – Cas de non-conformité des installations</w:t>
            </w:r>
          </w:p>
          <w:p w:rsidR="00DF5FFA" w:rsidRPr="004B2881" w:rsidRDefault="00DF5FFA" w:rsidP="0022203F">
            <w:pPr>
              <w:pStyle w:val="Default"/>
              <w:spacing w:after="60"/>
              <w:rPr>
                <w:rFonts w:asciiTheme="majorBidi" w:hAnsiTheme="majorBidi" w:cstheme="majorBidi"/>
                <w:sz w:val="20"/>
                <w:szCs w:val="20"/>
                <w:lang w:val="fr-FR"/>
              </w:rPr>
            </w:pPr>
            <w:r w:rsidRPr="004B2881">
              <w:rPr>
                <w:rFonts w:asciiTheme="majorBidi" w:hAnsiTheme="majorBidi" w:cstheme="majorBidi"/>
                <w:sz w:val="20"/>
                <w:szCs w:val="20"/>
                <w:lang w:val="fr-FR"/>
              </w:rPr>
              <w:t>3 – Divers</w:t>
            </w:r>
          </w:p>
        </w:tc>
        <w:tc>
          <w:tcPr>
            <w:tcW w:w="2835" w:type="dxa"/>
            <w:tcBorders>
              <w:top w:val="single" w:sz="6" w:space="0" w:color="000000"/>
              <w:left w:val="single" w:sz="4" w:space="0" w:color="000000"/>
              <w:bottom w:val="single" w:sz="4" w:space="0" w:color="000000"/>
              <w:right w:val="single" w:sz="4" w:space="0" w:color="000000"/>
            </w:tcBorders>
          </w:tcPr>
          <w:p w:rsidR="00DF5FFA" w:rsidRPr="004B2881" w:rsidRDefault="00DF5FFA" w:rsidP="00F15BC1">
            <w:pPr>
              <w:pStyle w:val="Default"/>
              <w:jc w:val="center"/>
              <w:rPr>
                <w:rFonts w:asciiTheme="majorBidi" w:hAnsiTheme="majorBidi" w:cstheme="majorBidi"/>
                <w:color w:val="auto"/>
                <w:sz w:val="20"/>
                <w:szCs w:val="20"/>
                <w:lang w:val="fr-FR"/>
              </w:rPr>
            </w:pPr>
          </w:p>
        </w:tc>
        <w:tc>
          <w:tcPr>
            <w:tcW w:w="2835" w:type="dxa"/>
            <w:tcBorders>
              <w:top w:val="single" w:sz="4" w:space="0" w:color="000000"/>
              <w:left w:val="single" w:sz="4" w:space="0" w:color="000000"/>
              <w:bottom w:val="single" w:sz="4" w:space="0" w:color="000000"/>
              <w:right w:val="single" w:sz="4" w:space="0" w:color="000000"/>
            </w:tcBorders>
          </w:tcPr>
          <w:p w:rsidR="00507086" w:rsidRPr="004B2881" w:rsidRDefault="00DF5FFA" w:rsidP="00507086">
            <w:pPr>
              <w:pStyle w:val="Default"/>
              <w:spacing w:before="60"/>
              <w:jc w:val="center"/>
              <w:rPr>
                <w:rFonts w:asciiTheme="majorBidi" w:hAnsiTheme="majorBidi" w:cstheme="majorBidi"/>
                <w:sz w:val="20"/>
                <w:szCs w:val="20"/>
                <w:lang w:val="fr-FR"/>
              </w:rPr>
            </w:pPr>
            <w:r w:rsidRPr="004B2881">
              <w:rPr>
                <w:rFonts w:asciiTheme="majorBidi" w:hAnsiTheme="majorBidi" w:cstheme="majorBidi"/>
                <w:sz w:val="20"/>
                <w:szCs w:val="20"/>
                <w:lang w:val="fr-FR"/>
              </w:rPr>
              <w:t>116 000 F</w:t>
            </w:r>
          </w:p>
          <w:p w:rsidR="00507086" w:rsidRPr="004B2881" w:rsidRDefault="00507086" w:rsidP="00507086">
            <w:pPr>
              <w:pStyle w:val="Default"/>
              <w:jc w:val="center"/>
              <w:rPr>
                <w:rFonts w:asciiTheme="majorBidi" w:hAnsiTheme="majorBidi" w:cstheme="majorBidi"/>
                <w:sz w:val="20"/>
                <w:szCs w:val="20"/>
                <w:lang w:val="fr-FR"/>
              </w:rPr>
            </w:pPr>
            <w:r w:rsidRPr="004B2881">
              <w:rPr>
                <w:rFonts w:asciiTheme="majorBidi" w:hAnsiTheme="majorBidi" w:cstheme="majorBidi"/>
                <w:sz w:val="20"/>
                <w:szCs w:val="20"/>
                <w:lang w:val="fr-FR"/>
              </w:rPr>
              <w:t>145 000 F</w:t>
            </w:r>
          </w:p>
          <w:p w:rsidR="00DF5FFA" w:rsidRPr="004B2881" w:rsidRDefault="00DF5FFA" w:rsidP="00507086">
            <w:pPr>
              <w:pStyle w:val="Default"/>
              <w:jc w:val="center"/>
              <w:rPr>
                <w:rFonts w:asciiTheme="majorBidi" w:hAnsiTheme="majorBidi" w:cstheme="majorBidi"/>
                <w:sz w:val="20"/>
                <w:szCs w:val="20"/>
                <w:lang w:val="fr-FR"/>
              </w:rPr>
            </w:pPr>
            <w:r w:rsidRPr="004B2881">
              <w:rPr>
                <w:rFonts w:asciiTheme="majorBidi" w:hAnsiTheme="majorBidi" w:cstheme="majorBidi"/>
                <w:sz w:val="20"/>
                <w:szCs w:val="20"/>
                <w:lang w:val="fr-FR"/>
              </w:rPr>
              <w:t>58 000 F</w:t>
            </w:r>
          </w:p>
        </w:tc>
      </w:tr>
    </w:tbl>
    <w:p w:rsidR="00771CA0" w:rsidRPr="004B2881" w:rsidRDefault="00771CA0" w:rsidP="00771CA0">
      <w:pPr>
        <w:pStyle w:val="Default"/>
        <w:spacing w:before="60" w:after="60"/>
        <w:rPr>
          <w:rFonts w:asciiTheme="majorBidi" w:hAnsiTheme="majorBidi" w:cstheme="majorBidi"/>
          <w:b/>
          <w:bCs/>
          <w:sz w:val="20"/>
          <w:szCs w:val="20"/>
          <w:lang w:val="fr-FR"/>
        </w:rPr>
      </w:pPr>
    </w:p>
    <w:p w:rsidR="00771CA0" w:rsidRPr="004B2881" w:rsidRDefault="00771CA0" w:rsidP="00771CA0">
      <w:pPr>
        <w:pStyle w:val="Heading1"/>
        <w:rPr>
          <w:lang w:val="fr-FR"/>
        </w:rPr>
      </w:pPr>
      <w:bookmarkStart w:id="1036" w:name="_Toc286314956"/>
      <w:r w:rsidRPr="004B2881">
        <w:rPr>
          <w:lang w:val="fr-FR"/>
        </w:rPr>
        <w:t>VI – VIGNETTES</w:t>
      </w:r>
      <w:bookmarkEnd w:id="1036"/>
    </w:p>
    <w:p w:rsidR="004A1F54" w:rsidRPr="004B2881" w:rsidRDefault="004A1F54" w:rsidP="00771CA0">
      <w:pPr>
        <w:spacing w:before="0"/>
        <w:rPr>
          <w:lang w:val="fr-FR"/>
        </w:rPr>
      </w:pPr>
    </w:p>
    <w:tbl>
      <w:tblPr>
        <w:tblW w:w="0" w:type="auto"/>
        <w:jc w:val="center"/>
        <w:tblBorders>
          <w:top w:val="nil"/>
          <w:left w:val="nil"/>
          <w:bottom w:val="nil"/>
          <w:right w:val="nil"/>
        </w:tblBorders>
        <w:tblLayout w:type="fixed"/>
        <w:tblLook w:val="0000"/>
      </w:tblPr>
      <w:tblGrid>
        <w:gridCol w:w="3969"/>
        <w:gridCol w:w="2835"/>
        <w:gridCol w:w="2835"/>
      </w:tblGrid>
      <w:tr w:rsidR="00DF5FFA" w:rsidRPr="004B2881" w:rsidTr="000036F4">
        <w:trPr>
          <w:jc w:val="center"/>
        </w:trPr>
        <w:tc>
          <w:tcPr>
            <w:tcW w:w="3969" w:type="dxa"/>
            <w:tcBorders>
              <w:top w:val="single" w:sz="4" w:space="0" w:color="000000"/>
              <w:left w:val="single" w:sz="4" w:space="0" w:color="000000"/>
              <w:bottom w:val="single" w:sz="4" w:space="0" w:color="000000"/>
              <w:right w:val="single" w:sz="4" w:space="0" w:color="000000"/>
            </w:tcBorders>
            <w:vAlign w:val="bottom"/>
          </w:tcPr>
          <w:p w:rsidR="00DF5FFA" w:rsidRPr="004B2881" w:rsidRDefault="00DF5FFA" w:rsidP="00F60598">
            <w:pPr>
              <w:pStyle w:val="Default"/>
              <w:spacing w:before="60"/>
              <w:rPr>
                <w:rFonts w:asciiTheme="majorBidi" w:hAnsiTheme="majorBidi" w:cstheme="majorBidi"/>
                <w:sz w:val="20"/>
                <w:szCs w:val="20"/>
                <w:lang w:val="fr-FR"/>
              </w:rPr>
            </w:pPr>
            <w:r w:rsidRPr="004B2881">
              <w:rPr>
                <w:rFonts w:asciiTheme="majorBidi" w:hAnsiTheme="majorBidi" w:cstheme="majorBidi"/>
                <w:sz w:val="20"/>
                <w:szCs w:val="20"/>
                <w:lang w:val="fr-FR"/>
              </w:rPr>
              <w:t>1 – Poste fixe</w:t>
            </w:r>
          </w:p>
          <w:p w:rsidR="00DF5FFA" w:rsidRPr="004B2881" w:rsidRDefault="00DF5FFA" w:rsidP="00F84A9A">
            <w:pPr>
              <w:pStyle w:val="Default"/>
              <w:rPr>
                <w:rFonts w:asciiTheme="majorBidi" w:hAnsiTheme="majorBidi" w:cstheme="majorBidi"/>
                <w:sz w:val="20"/>
                <w:szCs w:val="20"/>
                <w:lang w:val="fr-FR"/>
              </w:rPr>
            </w:pPr>
            <w:r w:rsidRPr="004B2881">
              <w:rPr>
                <w:rFonts w:asciiTheme="majorBidi" w:hAnsiTheme="majorBidi" w:cstheme="majorBidi"/>
                <w:sz w:val="20"/>
                <w:szCs w:val="20"/>
                <w:lang w:val="fr-FR"/>
              </w:rPr>
              <w:t>2 – Poste mobile</w:t>
            </w:r>
          </w:p>
          <w:p w:rsidR="00DF5FFA" w:rsidRPr="004B2881" w:rsidRDefault="00DF5FFA" w:rsidP="0022203F">
            <w:pPr>
              <w:pStyle w:val="Default"/>
              <w:spacing w:after="60"/>
              <w:rPr>
                <w:rFonts w:asciiTheme="majorBidi" w:hAnsiTheme="majorBidi" w:cstheme="majorBidi"/>
                <w:sz w:val="20"/>
                <w:szCs w:val="20"/>
                <w:lang w:val="fr-FR"/>
              </w:rPr>
            </w:pPr>
            <w:r w:rsidRPr="004B2881">
              <w:rPr>
                <w:rFonts w:asciiTheme="majorBidi" w:hAnsiTheme="majorBidi" w:cstheme="majorBidi"/>
                <w:sz w:val="20"/>
                <w:szCs w:val="20"/>
                <w:lang w:val="fr-FR"/>
              </w:rPr>
              <w:t xml:space="preserve">3 – Portatif </w:t>
            </w:r>
          </w:p>
        </w:tc>
        <w:tc>
          <w:tcPr>
            <w:tcW w:w="2835" w:type="dxa"/>
            <w:tcBorders>
              <w:top w:val="single" w:sz="4" w:space="0" w:color="000000"/>
              <w:left w:val="single" w:sz="4" w:space="0" w:color="000000"/>
              <w:bottom w:val="single" w:sz="4" w:space="0" w:color="000000"/>
              <w:right w:val="single" w:sz="4" w:space="0" w:color="000000"/>
            </w:tcBorders>
          </w:tcPr>
          <w:p w:rsidR="00DF5FFA" w:rsidRPr="004B2881" w:rsidRDefault="00DF5FFA" w:rsidP="00F15BC1">
            <w:pPr>
              <w:pStyle w:val="Default"/>
              <w:jc w:val="center"/>
              <w:rPr>
                <w:rFonts w:asciiTheme="majorBidi" w:hAnsiTheme="majorBidi" w:cstheme="majorBidi"/>
                <w:color w:val="auto"/>
                <w:sz w:val="20"/>
                <w:szCs w:val="20"/>
                <w:lang w:val="fr-FR"/>
              </w:rPr>
            </w:pPr>
          </w:p>
        </w:tc>
        <w:tc>
          <w:tcPr>
            <w:tcW w:w="2835" w:type="dxa"/>
            <w:tcBorders>
              <w:top w:val="single" w:sz="4" w:space="0" w:color="000000"/>
              <w:left w:val="single" w:sz="4" w:space="0" w:color="000000"/>
              <w:bottom w:val="single" w:sz="4" w:space="0" w:color="000000"/>
              <w:right w:val="single" w:sz="4" w:space="0" w:color="000000"/>
            </w:tcBorders>
          </w:tcPr>
          <w:p w:rsidR="00F15BC1" w:rsidRPr="004B2881" w:rsidRDefault="00DF5FFA" w:rsidP="00F15BC1">
            <w:pPr>
              <w:pStyle w:val="Default"/>
              <w:spacing w:before="60"/>
              <w:jc w:val="center"/>
              <w:rPr>
                <w:rFonts w:asciiTheme="majorBidi" w:hAnsiTheme="majorBidi" w:cstheme="majorBidi"/>
                <w:sz w:val="20"/>
                <w:szCs w:val="20"/>
                <w:lang w:val="fr-FR"/>
              </w:rPr>
            </w:pPr>
            <w:r w:rsidRPr="004B2881">
              <w:rPr>
                <w:rFonts w:asciiTheme="majorBidi" w:hAnsiTheme="majorBidi" w:cstheme="majorBidi"/>
                <w:sz w:val="20"/>
                <w:szCs w:val="20"/>
                <w:lang w:val="fr-FR"/>
              </w:rPr>
              <w:t>2 900 F</w:t>
            </w:r>
          </w:p>
          <w:p w:rsidR="00F15BC1" w:rsidRPr="004B2881" w:rsidRDefault="00DF5FFA" w:rsidP="00F15BC1">
            <w:pPr>
              <w:pStyle w:val="Default"/>
              <w:jc w:val="center"/>
              <w:rPr>
                <w:rFonts w:asciiTheme="majorBidi" w:hAnsiTheme="majorBidi" w:cstheme="majorBidi"/>
                <w:sz w:val="20"/>
                <w:szCs w:val="20"/>
                <w:lang w:val="fr-FR"/>
              </w:rPr>
            </w:pPr>
            <w:r w:rsidRPr="004B2881">
              <w:rPr>
                <w:rFonts w:asciiTheme="majorBidi" w:hAnsiTheme="majorBidi" w:cstheme="majorBidi"/>
                <w:sz w:val="20"/>
                <w:szCs w:val="20"/>
                <w:lang w:val="fr-FR"/>
              </w:rPr>
              <w:t>1 740 F</w:t>
            </w:r>
          </w:p>
          <w:p w:rsidR="00DF5FFA" w:rsidRPr="004B2881" w:rsidRDefault="00DF5FFA" w:rsidP="00F15BC1">
            <w:pPr>
              <w:pStyle w:val="Default"/>
              <w:spacing w:after="60"/>
              <w:jc w:val="center"/>
              <w:rPr>
                <w:rFonts w:asciiTheme="majorBidi" w:hAnsiTheme="majorBidi" w:cstheme="majorBidi"/>
                <w:color w:val="auto"/>
                <w:sz w:val="20"/>
                <w:szCs w:val="20"/>
                <w:lang w:val="fr-FR"/>
              </w:rPr>
            </w:pPr>
            <w:r w:rsidRPr="004B2881">
              <w:rPr>
                <w:rFonts w:asciiTheme="majorBidi" w:hAnsiTheme="majorBidi" w:cstheme="majorBidi"/>
                <w:sz w:val="20"/>
                <w:szCs w:val="20"/>
                <w:lang w:val="fr-FR"/>
              </w:rPr>
              <w:t>1 160 F</w:t>
            </w:r>
          </w:p>
        </w:tc>
      </w:tr>
    </w:tbl>
    <w:p w:rsidR="00336471" w:rsidRPr="004B2881" w:rsidRDefault="00336471" w:rsidP="00151785">
      <w:pPr>
        <w:rPr>
          <w:lang w:val="fr-FR"/>
        </w:rPr>
      </w:pPr>
    </w:p>
    <w:p w:rsidR="005B0868" w:rsidRPr="004B2881" w:rsidRDefault="005B0868" w:rsidP="00BF6139">
      <w:pPr>
        <w:pStyle w:val="ChapNo"/>
        <w:rPr>
          <w:rFonts w:asciiTheme="majorBidi" w:hAnsiTheme="majorBidi" w:cstheme="majorBidi"/>
          <w:color w:val="000000"/>
          <w:lang w:val="fr-FR"/>
        </w:rPr>
      </w:pPr>
      <w:bookmarkStart w:id="1037" w:name="_Toc280261088"/>
      <w:r w:rsidRPr="004B2881">
        <w:rPr>
          <w:lang w:val="fr-FR"/>
        </w:rPr>
        <w:t>CHAPITRE V</w:t>
      </w:r>
      <w:r w:rsidR="00BF6139" w:rsidRPr="004B2881">
        <w:rPr>
          <w:lang w:val="fr-FR"/>
        </w:rPr>
        <w:br/>
      </w:r>
      <w:r w:rsidR="00BF6139" w:rsidRPr="004B2881">
        <w:rPr>
          <w:lang w:val="fr-FR"/>
        </w:rPr>
        <w:br/>
      </w:r>
      <w:r w:rsidRPr="004B2881">
        <w:rPr>
          <w:rFonts w:asciiTheme="majorBidi" w:hAnsiTheme="majorBidi" w:cstheme="majorBidi"/>
          <w:bCs/>
          <w:color w:val="000000"/>
          <w:lang w:val="fr-FR"/>
        </w:rPr>
        <w:t>DISPOSITION PENALES</w:t>
      </w:r>
      <w:bookmarkEnd w:id="1037"/>
    </w:p>
    <w:p w:rsidR="005B0868" w:rsidRPr="004B2881" w:rsidRDefault="005B0868" w:rsidP="00D772FE">
      <w:pPr>
        <w:rPr>
          <w:rFonts w:asciiTheme="majorBidi" w:hAnsiTheme="majorBidi" w:cstheme="majorBidi"/>
          <w:color w:val="000000"/>
          <w:lang w:val="fr-FR"/>
        </w:rPr>
      </w:pPr>
      <w:r w:rsidRPr="004B2881">
        <w:rPr>
          <w:rFonts w:asciiTheme="majorBidi" w:hAnsiTheme="majorBidi" w:cstheme="majorBidi"/>
          <w:b/>
          <w:bCs/>
          <w:color w:val="000000"/>
          <w:u w:val="single"/>
          <w:lang w:val="fr-FR"/>
        </w:rPr>
        <w:t>A</w:t>
      </w:r>
      <w:r w:rsidR="0044719B" w:rsidRPr="004B2881">
        <w:rPr>
          <w:rFonts w:asciiTheme="majorBidi" w:hAnsiTheme="majorBidi" w:cstheme="majorBidi"/>
          <w:b/>
          <w:bCs/>
          <w:color w:val="000000"/>
          <w:u w:val="single"/>
          <w:lang w:val="fr-FR"/>
        </w:rPr>
        <w:t>rt. 15</w:t>
      </w:r>
      <w:r w:rsidRPr="004B2881">
        <w:rPr>
          <w:rFonts w:asciiTheme="majorBidi" w:hAnsiTheme="majorBidi" w:cstheme="majorBidi"/>
          <w:color w:val="000000"/>
          <w:lang w:val="fr-FR"/>
        </w:rPr>
        <w:t xml:space="preserve">: Les </w:t>
      </w:r>
      <w:r w:rsidRPr="004B2881">
        <w:rPr>
          <w:lang w:val="fr-FR"/>
        </w:rPr>
        <w:t>infractions</w:t>
      </w:r>
      <w:r w:rsidRPr="004B2881">
        <w:rPr>
          <w:rFonts w:asciiTheme="majorBidi" w:hAnsiTheme="majorBidi" w:cstheme="majorBidi"/>
          <w:color w:val="000000"/>
          <w:lang w:val="fr-FR"/>
        </w:rPr>
        <w:t xml:space="preserve"> aux dispositions de la présente ordonnance sont sanctionnées par les articles 14 et 35de la loi N°95-526 du 7 juillet 1995, porta</w:t>
      </w:r>
      <w:r w:rsidR="0044719B" w:rsidRPr="004B2881">
        <w:rPr>
          <w:rFonts w:asciiTheme="majorBidi" w:hAnsiTheme="majorBidi" w:cstheme="majorBidi"/>
          <w:color w:val="000000"/>
          <w:lang w:val="fr-FR"/>
        </w:rPr>
        <w:t>nt code des télécommunications.</w:t>
      </w:r>
    </w:p>
    <w:p w:rsidR="005B0868" w:rsidRPr="004B2881" w:rsidRDefault="0044719B" w:rsidP="00D772FE">
      <w:pPr>
        <w:rPr>
          <w:rFonts w:asciiTheme="majorBidi" w:hAnsiTheme="majorBidi" w:cstheme="majorBidi"/>
          <w:color w:val="000000"/>
          <w:lang w:val="fr-FR"/>
        </w:rPr>
      </w:pPr>
      <w:r w:rsidRPr="004B2881">
        <w:rPr>
          <w:rFonts w:asciiTheme="majorBidi" w:hAnsiTheme="majorBidi" w:cstheme="majorBidi"/>
          <w:b/>
          <w:bCs/>
          <w:color w:val="000000"/>
          <w:u w:val="single"/>
          <w:lang w:val="fr-FR"/>
        </w:rPr>
        <w:t>Art. 16</w:t>
      </w:r>
      <w:r w:rsidR="005B0868" w:rsidRPr="004B2881">
        <w:rPr>
          <w:rFonts w:asciiTheme="majorBidi" w:hAnsiTheme="majorBidi" w:cstheme="majorBidi"/>
          <w:color w:val="000000"/>
          <w:lang w:val="fr-FR"/>
        </w:rPr>
        <w:t>:</w:t>
      </w:r>
      <w:r w:rsidRPr="004B2881">
        <w:rPr>
          <w:rFonts w:asciiTheme="majorBidi" w:hAnsiTheme="majorBidi" w:cstheme="majorBidi"/>
          <w:color w:val="000000"/>
          <w:lang w:val="fr-FR"/>
        </w:rPr>
        <w:t xml:space="preserve"> </w:t>
      </w:r>
      <w:r w:rsidR="00D772FE" w:rsidRPr="004B2881">
        <w:rPr>
          <w:rFonts w:asciiTheme="majorBidi" w:hAnsiTheme="majorBidi" w:cstheme="majorBidi"/>
          <w:color w:val="000000"/>
          <w:lang w:val="fr-FR"/>
        </w:rPr>
        <w:t>E</w:t>
      </w:r>
      <w:r w:rsidR="005B0868" w:rsidRPr="004B2881">
        <w:rPr>
          <w:rFonts w:asciiTheme="majorBidi" w:hAnsiTheme="majorBidi" w:cstheme="majorBidi"/>
          <w:color w:val="000000"/>
          <w:lang w:val="fr-FR"/>
        </w:rPr>
        <w:t xml:space="preserve">n outre, le non-paiement des taxes, redevances et contributions entraîne la suspension des autorisation et la </w:t>
      </w:r>
      <w:r w:rsidR="00D772FE" w:rsidRPr="004B2881">
        <w:rPr>
          <w:rFonts w:asciiTheme="majorBidi" w:hAnsiTheme="majorBidi" w:cstheme="majorBidi"/>
          <w:color w:val="000000"/>
          <w:lang w:val="fr-FR"/>
        </w:rPr>
        <w:t>m</w:t>
      </w:r>
      <w:r w:rsidR="005B0868" w:rsidRPr="004B2881">
        <w:rPr>
          <w:rFonts w:asciiTheme="majorBidi" w:hAnsiTheme="majorBidi" w:cstheme="majorBidi"/>
          <w:color w:val="000000"/>
          <w:lang w:val="fr-FR"/>
        </w:rPr>
        <w:t xml:space="preserve">ise sous scellés du matériel radioélectrique. </w:t>
      </w:r>
    </w:p>
    <w:p w:rsidR="005B0868" w:rsidRPr="004B2881" w:rsidRDefault="003718F9" w:rsidP="003718F9">
      <w:pPr>
        <w:pStyle w:val="ChapNo"/>
        <w:rPr>
          <w:rFonts w:asciiTheme="majorBidi" w:hAnsiTheme="majorBidi" w:cstheme="majorBidi"/>
          <w:lang w:val="fr-FR"/>
        </w:rPr>
      </w:pPr>
      <w:bookmarkStart w:id="1038" w:name="_Toc280261089"/>
      <w:r w:rsidRPr="004B2881">
        <w:rPr>
          <w:lang w:val="fr-FR"/>
        </w:rPr>
        <w:t>CHAPITRE VI</w:t>
      </w:r>
      <w:r w:rsidRPr="004B2881">
        <w:rPr>
          <w:lang w:val="fr-FR"/>
        </w:rPr>
        <w:br/>
      </w:r>
      <w:r w:rsidRPr="004B2881">
        <w:rPr>
          <w:lang w:val="fr-FR"/>
        </w:rPr>
        <w:br/>
      </w:r>
      <w:r w:rsidR="005B0868" w:rsidRPr="004B2881">
        <w:rPr>
          <w:rFonts w:asciiTheme="majorBidi" w:hAnsiTheme="majorBidi" w:cstheme="majorBidi"/>
          <w:bCs/>
          <w:lang w:val="fr-FR"/>
        </w:rPr>
        <w:t>DISPOSITION FINALES</w:t>
      </w:r>
      <w:bookmarkEnd w:id="1038"/>
      <w:r w:rsidR="005B0868" w:rsidRPr="004B2881">
        <w:rPr>
          <w:rFonts w:asciiTheme="majorBidi" w:hAnsiTheme="majorBidi" w:cstheme="majorBidi"/>
          <w:bCs/>
          <w:lang w:val="fr-FR"/>
        </w:rPr>
        <w:t xml:space="preserve"> </w:t>
      </w:r>
    </w:p>
    <w:p w:rsidR="005B0868" w:rsidRPr="004B2881" w:rsidRDefault="000B259F" w:rsidP="000B259F">
      <w:pPr>
        <w:rPr>
          <w:rFonts w:asciiTheme="majorBidi" w:hAnsiTheme="majorBidi" w:cstheme="majorBidi"/>
          <w:lang w:val="fr-FR"/>
        </w:rPr>
      </w:pPr>
      <w:r w:rsidRPr="004B2881">
        <w:rPr>
          <w:rFonts w:asciiTheme="majorBidi" w:hAnsiTheme="majorBidi" w:cstheme="majorBidi"/>
          <w:b/>
          <w:bCs/>
          <w:u w:val="single"/>
          <w:lang w:val="fr-FR"/>
        </w:rPr>
        <w:t>Art. 17</w:t>
      </w:r>
      <w:r w:rsidR="005B0868" w:rsidRPr="004B2881">
        <w:rPr>
          <w:rFonts w:asciiTheme="majorBidi" w:hAnsiTheme="majorBidi" w:cstheme="majorBidi"/>
          <w:lang w:val="fr-FR"/>
        </w:rPr>
        <w:t xml:space="preserve">: </w:t>
      </w:r>
      <w:r w:rsidR="005B0868" w:rsidRPr="004B2881">
        <w:rPr>
          <w:rFonts w:asciiTheme="majorBidi" w:hAnsiTheme="majorBidi" w:cstheme="majorBidi"/>
          <w:color w:val="000000"/>
          <w:lang w:val="fr-FR"/>
        </w:rPr>
        <w:t>sont</w:t>
      </w:r>
      <w:r w:rsidR="005B0868" w:rsidRPr="004B2881">
        <w:rPr>
          <w:rFonts w:asciiTheme="majorBidi" w:hAnsiTheme="majorBidi" w:cstheme="majorBidi"/>
          <w:lang w:val="fr-FR"/>
        </w:rPr>
        <w:t xml:space="preserve"> abrogées toutes les dispositions antérieures contraires </w:t>
      </w:r>
      <w:r w:rsidR="004B2881" w:rsidRPr="004B2881">
        <w:rPr>
          <w:rFonts w:asciiTheme="majorBidi" w:hAnsiTheme="majorBidi" w:cstheme="majorBidi"/>
          <w:lang w:val="fr-FR"/>
        </w:rPr>
        <w:t>à</w:t>
      </w:r>
      <w:r w:rsidR="005B0868" w:rsidRPr="004B2881">
        <w:rPr>
          <w:rFonts w:asciiTheme="majorBidi" w:hAnsiTheme="majorBidi" w:cstheme="majorBidi"/>
          <w:lang w:val="fr-FR"/>
        </w:rPr>
        <w:t xml:space="preserve"> c</w:t>
      </w:r>
      <w:r w:rsidR="00FB686C" w:rsidRPr="004B2881">
        <w:rPr>
          <w:rFonts w:asciiTheme="majorBidi" w:hAnsiTheme="majorBidi" w:cstheme="majorBidi"/>
          <w:lang w:val="fr-FR"/>
        </w:rPr>
        <w:t>elles de la présente ordonnance.</w:t>
      </w:r>
    </w:p>
    <w:p w:rsidR="005B0868" w:rsidRPr="004B2881" w:rsidRDefault="000B259F" w:rsidP="002C32FD">
      <w:pPr>
        <w:rPr>
          <w:rFonts w:asciiTheme="majorBidi" w:hAnsiTheme="majorBidi" w:cstheme="majorBidi"/>
          <w:lang w:val="fr-FR"/>
        </w:rPr>
      </w:pPr>
      <w:r w:rsidRPr="004B2881">
        <w:rPr>
          <w:rFonts w:asciiTheme="majorBidi" w:hAnsiTheme="majorBidi" w:cstheme="majorBidi"/>
          <w:b/>
          <w:bCs/>
          <w:u w:val="single"/>
          <w:lang w:val="fr-FR"/>
        </w:rPr>
        <w:lastRenderedPageBreak/>
        <w:t>Art.18</w:t>
      </w:r>
      <w:r w:rsidR="005B0868" w:rsidRPr="004B2881">
        <w:rPr>
          <w:rFonts w:asciiTheme="majorBidi" w:hAnsiTheme="majorBidi" w:cstheme="majorBidi"/>
          <w:lang w:val="fr-FR"/>
        </w:rPr>
        <w:t>:</w:t>
      </w:r>
      <w:r w:rsidRPr="004B2881">
        <w:rPr>
          <w:rFonts w:asciiTheme="majorBidi" w:hAnsiTheme="majorBidi" w:cstheme="majorBidi"/>
          <w:lang w:val="fr-FR"/>
        </w:rPr>
        <w:t xml:space="preserve"> </w:t>
      </w:r>
      <w:r w:rsidR="002C32FD" w:rsidRPr="004B2881">
        <w:rPr>
          <w:rFonts w:asciiTheme="majorBidi" w:hAnsiTheme="majorBidi" w:cstheme="majorBidi"/>
          <w:lang w:val="fr-FR"/>
        </w:rPr>
        <w:t>L</w:t>
      </w:r>
      <w:r w:rsidR="005B0868" w:rsidRPr="004B2881">
        <w:rPr>
          <w:rFonts w:asciiTheme="majorBidi" w:hAnsiTheme="majorBidi" w:cstheme="majorBidi"/>
          <w:lang w:val="fr-FR"/>
        </w:rPr>
        <w:t xml:space="preserve">e </w:t>
      </w:r>
      <w:r w:rsidR="002C32FD" w:rsidRPr="004B2881">
        <w:rPr>
          <w:rFonts w:asciiTheme="majorBidi" w:hAnsiTheme="majorBidi" w:cstheme="majorBidi"/>
          <w:lang w:val="fr-FR"/>
        </w:rPr>
        <w:t>M</w:t>
      </w:r>
      <w:r w:rsidR="005B0868" w:rsidRPr="004B2881">
        <w:rPr>
          <w:rFonts w:asciiTheme="majorBidi" w:hAnsiTheme="majorBidi" w:cstheme="majorBidi"/>
          <w:lang w:val="fr-FR"/>
        </w:rPr>
        <w:t>inistre de l’</w:t>
      </w:r>
      <w:r w:rsidR="002C32FD" w:rsidRPr="004B2881">
        <w:rPr>
          <w:rFonts w:asciiTheme="majorBidi" w:hAnsiTheme="majorBidi" w:cstheme="majorBidi"/>
          <w:lang w:val="fr-FR"/>
        </w:rPr>
        <w:t>é</w:t>
      </w:r>
      <w:r w:rsidR="005B0868" w:rsidRPr="004B2881">
        <w:rPr>
          <w:rFonts w:asciiTheme="majorBidi" w:hAnsiTheme="majorBidi" w:cstheme="majorBidi"/>
          <w:lang w:val="fr-FR"/>
        </w:rPr>
        <w:t xml:space="preserve">conomie et des </w:t>
      </w:r>
      <w:r w:rsidR="002C32FD" w:rsidRPr="004B2881">
        <w:rPr>
          <w:rFonts w:asciiTheme="majorBidi" w:hAnsiTheme="majorBidi" w:cstheme="majorBidi"/>
          <w:lang w:val="fr-FR"/>
        </w:rPr>
        <w:t>f</w:t>
      </w:r>
      <w:r w:rsidR="005B0868" w:rsidRPr="004B2881">
        <w:rPr>
          <w:rFonts w:asciiTheme="majorBidi" w:hAnsiTheme="majorBidi" w:cstheme="majorBidi"/>
          <w:lang w:val="fr-FR"/>
        </w:rPr>
        <w:t xml:space="preserve">inances et le Ministre des infrastructures </w:t>
      </w:r>
      <w:r w:rsidR="002C32FD" w:rsidRPr="004B2881">
        <w:rPr>
          <w:rFonts w:asciiTheme="majorBidi" w:hAnsiTheme="majorBidi" w:cstheme="majorBidi"/>
          <w:lang w:val="fr-FR"/>
        </w:rPr>
        <w:t>é</w:t>
      </w:r>
      <w:r w:rsidR="005B0868" w:rsidRPr="004B2881">
        <w:rPr>
          <w:rFonts w:asciiTheme="majorBidi" w:hAnsiTheme="majorBidi" w:cstheme="majorBidi"/>
          <w:lang w:val="fr-FR"/>
        </w:rPr>
        <w:t xml:space="preserve">conomiques </w:t>
      </w:r>
      <w:r w:rsidR="005B0868" w:rsidRPr="004B2881">
        <w:rPr>
          <w:rFonts w:asciiTheme="majorBidi" w:hAnsiTheme="majorBidi" w:cstheme="majorBidi"/>
          <w:color w:val="000000"/>
          <w:lang w:val="fr-FR"/>
        </w:rPr>
        <w:t>sont</w:t>
      </w:r>
      <w:r w:rsidR="005B0868" w:rsidRPr="004B2881">
        <w:rPr>
          <w:rFonts w:asciiTheme="majorBidi" w:hAnsiTheme="majorBidi" w:cstheme="majorBidi"/>
          <w:lang w:val="fr-FR"/>
        </w:rPr>
        <w:t xml:space="preserve"> chargés, en ce qui le concerne, de l’application de la présente ordonnance qui sera exécutée comme loi de l’Etat, publiée selon la procédure d’urgence et au journal </w:t>
      </w:r>
      <w:r w:rsidR="002C32FD" w:rsidRPr="004B2881">
        <w:rPr>
          <w:rFonts w:asciiTheme="majorBidi" w:hAnsiTheme="majorBidi" w:cstheme="majorBidi"/>
          <w:lang w:val="fr-FR"/>
        </w:rPr>
        <w:t>o</w:t>
      </w:r>
      <w:r w:rsidR="005B0868" w:rsidRPr="004B2881">
        <w:rPr>
          <w:rFonts w:asciiTheme="majorBidi" w:hAnsiTheme="majorBidi" w:cstheme="majorBidi"/>
          <w:lang w:val="fr-FR"/>
        </w:rPr>
        <w:t xml:space="preserve">fficiel de la République de Côte d’Ivoire. </w:t>
      </w:r>
    </w:p>
    <w:p w:rsidR="00301A6E" w:rsidRPr="004B2881" w:rsidRDefault="00301A6E" w:rsidP="00301A6E">
      <w:pPr>
        <w:rPr>
          <w:lang w:val="fr-FR"/>
        </w:rPr>
      </w:pPr>
    </w:p>
    <w:p w:rsidR="00301A6E" w:rsidRPr="004B2881" w:rsidRDefault="00301A6E" w:rsidP="00301A6E">
      <w:pPr>
        <w:rPr>
          <w:lang w:val="fr-FR"/>
        </w:rPr>
      </w:pPr>
    </w:p>
    <w:p w:rsidR="005B0868" w:rsidRPr="004B2881" w:rsidRDefault="005B0868" w:rsidP="005B0868">
      <w:pPr>
        <w:pStyle w:val="Default"/>
        <w:spacing w:line="303" w:lineRule="atLeast"/>
        <w:ind w:left="5367"/>
        <w:jc w:val="both"/>
        <w:rPr>
          <w:rFonts w:asciiTheme="majorBidi" w:hAnsiTheme="majorBidi" w:cstheme="majorBidi"/>
          <w:lang w:val="fr-FR"/>
        </w:rPr>
      </w:pPr>
      <w:r w:rsidRPr="004B2881">
        <w:rPr>
          <w:rFonts w:asciiTheme="majorBidi" w:hAnsiTheme="majorBidi" w:cstheme="majorBidi"/>
          <w:color w:val="auto"/>
          <w:lang w:val="fr-FR"/>
        </w:rPr>
        <w:t xml:space="preserve">Fait à Abidjan, le 19 mars 1997 </w:t>
      </w:r>
    </w:p>
    <w:p w:rsidR="005B0868" w:rsidRPr="004B2881" w:rsidRDefault="005B0868" w:rsidP="005B0868">
      <w:pPr>
        <w:pStyle w:val="Default"/>
        <w:rPr>
          <w:rFonts w:asciiTheme="majorBidi" w:hAnsiTheme="majorBidi" w:cstheme="majorBidi"/>
          <w:color w:val="auto"/>
          <w:lang w:val="fr-FR"/>
        </w:rPr>
      </w:pPr>
    </w:p>
    <w:p w:rsidR="005F7F80" w:rsidRPr="004B2881" w:rsidRDefault="005F7F80" w:rsidP="00996B72">
      <w:pPr>
        <w:rPr>
          <w:rFonts w:asciiTheme="majorBidi" w:hAnsiTheme="majorBidi" w:cstheme="majorBidi"/>
          <w:sz w:val="24"/>
          <w:szCs w:val="24"/>
          <w:lang w:val="fr-FR"/>
        </w:rPr>
      </w:pPr>
    </w:p>
    <w:p w:rsidR="0085493C" w:rsidRPr="004B2881" w:rsidRDefault="0085493C" w:rsidP="00996B72">
      <w:pPr>
        <w:rPr>
          <w:rFonts w:asciiTheme="majorBidi" w:hAnsiTheme="majorBidi" w:cstheme="majorBidi"/>
          <w:sz w:val="24"/>
          <w:szCs w:val="24"/>
          <w:lang w:val="fr-FR"/>
        </w:rPr>
      </w:pPr>
    </w:p>
    <w:bookmarkEnd w:id="16"/>
    <w:p w:rsidR="006051A7" w:rsidRPr="004B2881" w:rsidRDefault="006051A7" w:rsidP="00BD0061">
      <w:pPr>
        <w:pStyle w:val="AnnexNotitle"/>
        <w:rPr>
          <w:rFonts w:asciiTheme="majorBidi" w:hAnsiTheme="majorBidi" w:cstheme="majorBidi"/>
          <w:sz w:val="24"/>
          <w:szCs w:val="24"/>
          <w:lang w:val="fr-FR"/>
        </w:rPr>
      </w:pPr>
    </w:p>
    <w:sectPr w:rsidR="006051A7" w:rsidRPr="004B2881" w:rsidSect="00311736">
      <w:headerReference w:type="even" r:id="rId23"/>
      <w:headerReference w:type="first" r:id="rId24"/>
      <w:type w:val="oddPage"/>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81" w:rsidRDefault="004B2881">
      <w:r>
        <w:separator/>
      </w:r>
    </w:p>
  </w:endnote>
  <w:endnote w:type="continuationSeparator" w:id="0">
    <w:p w:rsidR="004B2881" w:rsidRDefault="004B2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tarSymbol">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4B2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4B2881"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4B2881">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4B2881" w:rsidP="00115571">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4B2881"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81" w:rsidRDefault="004B2881">
      <w:r>
        <w:t>____________________</w:t>
      </w:r>
    </w:p>
  </w:footnote>
  <w:footnote w:type="continuationSeparator" w:id="0">
    <w:p w:rsidR="004B2881" w:rsidRDefault="004B2881">
      <w:r>
        <w:continuationSeparator/>
      </w:r>
    </w:p>
  </w:footnote>
  <w:footnote w:id="1">
    <w:p w:rsidR="004B2881" w:rsidRPr="004F63CA" w:rsidRDefault="004B2881" w:rsidP="001E2E19">
      <w:pPr>
        <w:pStyle w:val="FootnoteText"/>
        <w:rPr>
          <w:lang w:val="fr-CH"/>
        </w:rPr>
      </w:pPr>
      <w:r w:rsidRPr="004F63CA">
        <w:rPr>
          <w:rStyle w:val="FootnoteReference"/>
          <w:lang w:val="fr-CH"/>
        </w:rPr>
        <w:t>1</w:t>
      </w:r>
      <w:r w:rsidRPr="004F63CA">
        <w:rPr>
          <w:lang w:val="fr-CH"/>
        </w:rPr>
        <w:tab/>
      </w:r>
      <w:r w:rsidRPr="001C4644">
        <w:rPr>
          <w:lang w:val="fr-FR"/>
        </w:rPr>
        <w:t xml:space="preserve">Le terme de «taxe» (ou «impôt») employé dans ce document est à comprendre dans le sens en usage dans la lange </w:t>
      </w:r>
      <w:r w:rsidRPr="001C4644">
        <w:rPr>
          <w:i/>
          <w:lang w:val="fr-FR"/>
        </w:rPr>
        <w:t>juridique</w:t>
      </w:r>
      <w:r w:rsidRPr="001C4644">
        <w:rPr>
          <w:lang w:val="fr-FR"/>
        </w:rPr>
        <w:t xml:space="preserve"> française. Voir également Chapitre 2.1 ci-dessous. Le Rapport UIT-R SM.2012-1 sur les aspects économiques de la gestio</w:t>
      </w:r>
      <w:r>
        <w:rPr>
          <w:lang w:val="fr-FR"/>
        </w:rPr>
        <w:t>n du spectre emploie le terme «taxes d’utilisation du spectre</w:t>
      </w:r>
      <w:r w:rsidRPr="001C4644">
        <w:rPr>
          <w:lang w:val="fr-FR"/>
        </w:rPr>
        <w:t>» (Chapitre 2.2.1.2).</w:t>
      </w:r>
    </w:p>
  </w:footnote>
  <w:footnote w:id="2">
    <w:p w:rsidR="004B2881" w:rsidRPr="004F63CA" w:rsidRDefault="004B2881" w:rsidP="001E2E19">
      <w:pPr>
        <w:pStyle w:val="FootnoteText"/>
        <w:rPr>
          <w:lang w:val="fr-CH"/>
        </w:rPr>
      </w:pPr>
      <w:r w:rsidRPr="004F63CA">
        <w:rPr>
          <w:rStyle w:val="FootnoteReference"/>
          <w:lang w:val="fr-CH"/>
        </w:rPr>
        <w:t>2</w:t>
      </w:r>
      <w:r w:rsidRPr="004F63CA">
        <w:rPr>
          <w:lang w:val="fr-CH"/>
        </w:rPr>
        <w:tab/>
      </w:r>
      <w:r>
        <w:rPr>
          <w:lang w:val="fr-FR"/>
        </w:rPr>
        <w:t>Le terme de «</w:t>
      </w:r>
      <w:r w:rsidRPr="001C4644">
        <w:rPr>
          <w:lang w:val="fr-FR"/>
        </w:rPr>
        <w:t xml:space="preserve">redevance» employé dans ce document est à comprendre dans le sens en usage dans la lange </w:t>
      </w:r>
      <w:r w:rsidRPr="001C4644">
        <w:rPr>
          <w:i/>
          <w:lang w:val="fr-FR"/>
        </w:rPr>
        <w:t>juridique</w:t>
      </w:r>
      <w:r w:rsidRPr="001C4644">
        <w:rPr>
          <w:lang w:val="fr-FR"/>
        </w:rPr>
        <w:t xml:space="preserve"> française. Voir également Chapitre 2.2 ci-dessous. Le terme employé dans le Rapport UIT-R SM.2012-1 sur les aspects économiques de la gestion du spectre est «taxes calculées en fonction des c</w:t>
      </w:r>
      <w:r>
        <w:rPr>
          <w:lang w:val="fr-FR"/>
        </w:rPr>
        <w:t>oûts de gestion du spectre</w:t>
      </w:r>
      <w:r w:rsidRPr="001C4644">
        <w:rPr>
          <w:lang w:val="fr-FR"/>
        </w:rPr>
        <w:t>» (Chapitre 2.3.4.1).</w:t>
      </w:r>
    </w:p>
  </w:footnote>
  <w:footnote w:id="3">
    <w:p w:rsidR="004B2881" w:rsidRPr="004F63CA" w:rsidRDefault="004B2881">
      <w:pPr>
        <w:pStyle w:val="FootnoteText"/>
        <w:rPr>
          <w:lang w:val="fr-CH"/>
        </w:rPr>
      </w:pPr>
      <w:r w:rsidRPr="004F63CA">
        <w:rPr>
          <w:rStyle w:val="FootnoteReference"/>
          <w:lang w:val="fr-CH"/>
        </w:rPr>
        <w:t>3</w:t>
      </w:r>
      <w:r w:rsidRPr="004F63CA">
        <w:rPr>
          <w:lang w:val="fr-CH"/>
        </w:rPr>
        <w:tab/>
      </w:r>
      <w:r w:rsidRPr="001C4644">
        <w:rPr>
          <w:lang w:val="fr-FR"/>
        </w:rPr>
        <w:t>L’administré est défini comme toute personne physique ou morale (société) qui est dans un rapport de dépendance vis-à-vis de l’administration.</w:t>
      </w:r>
    </w:p>
  </w:footnote>
  <w:footnote w:id="4">
    <w:p w:rsidR="004B2881" w:rsidRPr="004F63CA" w:rsidRDefault="004B2881">
      <w:pPr>
        <w:pStyle w:val="FootnoteText"/>
        <w:rPr>
          <w:lang w:val="fr-CH"/>
        </w:rPr>
      </w:pPr>
      <w:r w:rsidRPr="004F63CA">
        <w:rPr>
          <w:rStyle w:val="FootnoteReference"/>
          <w:lang w:val="fr-CH"/>
        </w:rPr>
        <w:t>4</w:t>
      </w:r>
      <w:r w:rsidRPr="004F63CA">
        <w:rPr>
          <w:lang w:val="fr-CH"/>
        </w:rPr>
        <w:tab/>
      </w:r>
      <w:r w:rsidRPr="001C4644">
        <w:rPr>
          <w:lang w:val="fr-FR"/>
        </w:rPr>
        <w:t xml:space="preserve">Principe appelé dans le jargon juridique </w:t>
      </w:r>
      <w:r w:rsidRPr="001C4644">
        <w:rPr>
          <w:i/>
          <w:lang w:val="fr-FR"/>
        </w:rPr>
        <w:t>principe de la couverture des coûts</w:t>
      </w:r>
      <w:r w:rsidRPr="001C4644">
        <w:rPr>
          <w:lang w:val="fr-FR"/>
        </w:rPr>
        <w:t>. Celui-ci arrête que le produit total des redevances ne doit pas dépasser la charge financière de la branche de l’administration concernée. Dans le cas où l’usager ne supporte qu’une partie des coûts, le reste est pris en charge par les budgets publics financés par les impôts ou d’autres revenus de l’État. Même si une participation est demandée pour le service obtenu, la part que supporte en fin de compte l’usager ne couvre pas nécessairement l’ensemble des coûts engendrés.</w:t>
      </w:r>
    </w:p>
  </w:footnote>
  <w:footnote w:id="5">
    <w:p w:rsidR="004B2881" w:rsidRPr="004F63CA" w:rsidRDefault="004B2881">
      <w:pPr>
        <w:pStyle w:val="FootnoteText"/>
        <w:rPr>
          <w:lang w:val="fr-CH"/>
        </w:rPr>
      </w:pPr>
      <w:r w:rsidRPr="004F63CA">
        <w:rPr>
          <w:rStyle w:val="FootnoteReference"/>
          <w:lang w:val="fr-CH"/>
        </w:rPr>
        <w:t>5</w:t>
      </w:r>
      <w:r w:rsidRPr="004F63CA">
        <w:rPr>
          <w:lang w:val="fr-CH"/>
        </w:rPr>
        <w:tab/>
      </w:r>
      <w:r w:rsidRPr="001C4644">
        <w:rPr>
          <w:lang w:val="fr-FR"/>
        </w:rPr>
        <w:t xml:space="preserve">Appelé dans le jargon juridique le </w:t>
      </w:r>
      <w:r w:rsidRPr="001C4644">
        <w:rPr>
          <w:i/>
          <w:lang w:val="fr-FR"/>
        </w:rPr>
        <w:t>principe de l’équivalence</w:t>
      </w:r>
      <w:r w:rsidRPr="001C4644">
        <w:rPr>
          <w:lang w:val="fr-FR"/>
        </w:rPr>
        <w:t>. Celui-ci dispose que le montant d’une redevance ne doit pas être en disproportion manifeste avec la valeur objective de la prestation. Cette valeur peut se déterminer par référence à l’utilité qu’en retire l’administré.</w:t>
      </w:r>
    </w:p>
  </w:footnote>
  <w:footnote w:id="6">
    <w:p w:rsidR="004B2881" w:rsidRPr="004F63CA" w:rsidRDefault="004B2881">
      <w:pPr>
        <w:pStyle w:val="FootnoteText"/>
        <w:rPr>
          <w:lang w:val="fr-CH"/>
        </w:rPr>
      </w:pPr>
      <w:r w:rsidRPr="004F63CA">
        <w:rPr>
          <w:rStyle w:val="FootnoteReference"/>
          <w:lang w:val="fr-CH"/>
        </w:rPr>
        <w:t>6</w:t>
      </w:r>
      <w:r w:rsidRPr="004F63CA">
        <w:rPr>
          <w:lang w:val="fr-CH"/>
        </w:rPr>
        <w:tab/>
      </w:r>
      <w:r w:rsidRPr="00BD6343">
        <w:rPr>
          <w:lang w:val="fr-FR"/>
        </w:rPr>
        <w:t>V</w:t>
      </w:r>
      <w:r w:rsidRPr="00BD6343">
        <w:rPr>
          <w:snapToGrid w:val="0"/>
          <w:lang w:val="fr-FR" w:eastAsia="de-DE"/>
        </w:rPr>
        <w:t>oir</w:t>
      </w:r>
      <w:r w:rsidRPr="00BD6343">
        <w:rPr>
          <w:lang w:val="fr-FR"/>
        </w:rPr>
        <w:t xml:space="preserve"> </w:t>
      </w:r>
      <w:hyperlink r:id="rId1" w:history="1">
        <w:r w:rsidRPr="00190938">
          <w:rPr>
            <w:rStyle w:val="Hyperlink"/>
            <w:lang w:val="fr-FR"/>
          </w:rPr>
          <w:t>http://www.admin.ch/ch/f/rs/7/784.106.fr.pdf</w:t>
        </w:r>
      </w:hyperlink>
    </w:p>
  </w:footnote>
  <w:footnote w:id="7">
    <w:p w:rsidR="004B2881" w:rsidRPr="004F63CA" w:rsidRDefault="004B2881">
      <w:pPr>
        <w:pStyle w:val="FootnoteText"/>
        <w:rPr>
          <w:lang w:val="fr-CH"/>
        </w:rPr>
      </w:pPr>
      <w:r w:rsidRPr="004F63CA">
        <w:rPr>
          <w:rStyle w:val="FootnoteReference"/>
          <w:lang w:val="fr-CH"/>
        </w:rPr>
        <w:t>7</w:t>
      </w:r>
      <w:r w:rsidRPr="004F63CA">
        <w:rPr>
          <w:lang w:val="fr-CH"/>
        </w:rPr>
        <w:tab/>
      </w:r>
      <w:r w:rsidRPr="00BD6343">
        <w:rPr>
          <w:lang w:val="fr-FR"/>
        </w:rPr>
        <w:t xml:space="preserve">Voir </w:t>
      </w:r>
      <w:hyperlink r:id="rId2" w:history="1">
        <w:r w:rsidRPr="00190938">
          <w:rPr>
            <w:rStyle w:val="Hyperlink"/>
            <w:lang w:val="fr-FR"/>
          </w:rPr>
          <w:t>http://www.admin.ch/ch/f/rs/7/784.106.12.fr.pdf</w:t>
        </w:r>
      </w:hyperlink>
    </w:p>
  </w:footnote>
  <w:footnote w:id="8">
    <w:p w:rsidR="004B2881" w:rsidRPr="004F63CA" w:rsidRDefault="004B2881">
      <w:pPr>
        <w:pStyle w:val="FootnoteText"/>
        <w:rPr>
          <w:lang w:val="fr-CH"/>
        </w:rPr>
      </w:pPr>
      <w:r w:rsidRPr="004F63CA">
        <w:rPr>
          <w:rStyle w:val="FootnoteReference"/>
          <w:lang w:val="fr-CH"/>
        </w:rPr>
        <w:t>8</w:t>
      </w:r>
      <w:r w:rsidRPr="004F63CA">
        <w:rPr>
          <w:lang w:val="fr-CH"/>
        </w:rPr>
        <w:tab/>
      </w:r>
      <w:r w:rsidRPr="001C4644">
        <w:rPr>
          <w:lang w:val="fr-FR"/>
        </w:rPr>
        <w:t xml:space="preserve">Voir </w:t>
      </w:r>
      <w:hyperlink r:id="rId3" w:history="1">
        <w:r w:rsidRPr="00190938">
          <w:rPr>
            <w:rStyle w:val="Hyperlink"/>
            <w:lang w:val="fr-FR"/>
          </w:rPr>
          <w:t>http://www.admin.ch/ch/f/rs/7/784.10.fr.pdf</w:t>
        </w:r>
      </w:hyperlink>
    </w:p>
  </w:footnote>
  <w:footnote w:id="9">
    <w:p w:rsidR="004B2881" w:rsidRPr="004F63CA" w:rsidRDefault="004B2881">
      <w:pPr>
        <w:pStyle w:val="FootnoteText"/>
        <w:rPr>
          <w:lang w:val="fr-CH"/>
        </w:rPr>
      </w:pPr>
      <w:r w:rsidRPr="004F63CA">
        <w:rPr>
          <w:rStyle w:val="FootnoteReference"/>
          <w:lang w:val="fr-CH"/>
        </w:rPr>
        <w:t>9</w:t>
      </w:r>
      <w:r w:rsidRPr="004F63CA">
        <w:rPr>
          <w:lang w:val="fr-CH"/>
        </w:rPr>
        <w:tab/>
      </w:r>
      <w:r w:rsidRPr="001C4644">
        <w:rPr>
          <w:lang w:val="fr-FR"/>
        </w:rPr>
        <w:t>En Suisse le gouvernement porte le nom de Conseil fédéral. Sur la base de ce pouvoir réglementaire, il a édicté l’OREDT mentionnée ci-dessus.</w:t>
      </w:r>
    </w:p>
  </w:footnote>
  <w:footnote w:id="10">
    <w:p w:rsidR="004B2881" w:rsidRPr="004F63CA" w:rsidRDefault="004B2881">
      <w:pPr>
        <w:pStyle w:val="FootnoteText"/>
        <w:rPr>
          <w:lang w:val="fr-CH"/>
        </w:rPr>
      </w:pPr>
      <w:r w:rsidRPr="004F63CA">
        <w:rPr>
          <w:rStyle w:val="FootnoteReference"/>
          <w:lang w:val="fr-CH"/>
        </w:rPr>
        <w:t>10</w:t>
      </w:r>
      <w:r w:rsidRPr="004F63CA">
        <w:rPr>
          <w:lang w:val="fr-CH"/>
        </w:rPr>
        <w:tab/>
      </w:r>
      <w:r w:rsidRPr="001C4644">
        <w:rPr>
          <w:lang w:val="fr-FR"/>
        </w:rPr>
        <w:t>Voir également le Chapitre 2.2.1.3 du Rapport UIT-R SM.2012-1 sur les aspects économiques de la gestion du spectre.</w:t>
      </w:r>
    </w:p>
  </w:footnote>
  <w:footnote w:id="11">
    <w:p w:rsidR="004B2881" w:rsidRPr="004F63CA" w:rsidRDefault="004B2881" w:rsidP="004A5A45">
      <w:pPr>
        <w:pStyle w:val="FootnoteText"/>
        <w:rPr>
          <w:lang w:val="fr-CH"/>
        </w:rPr>
      </w:pPr>
      <w:r w:rsidRPr="004F63CA">
        <w:rPr>
          <w:rStyle w:val="FootnoteReference"/>
          <w:lang w:val="fr-CH"/>
        </w:rPr>
        <w:t>11</w:t>
      </w:r>
      <w:r w:rsidRPr="004F63CA">
        <w:rPr>
          <w:lang w:val="fr-CH"/>
        </w:rPr>
        <w:tab/>
      </w:r>
      <w:r w:rsidRPr="00190938">
        <w:rPr>
          <w:rStyle w:val="FooterChar"/>
          <w:lang w:val="fr-FR"/>
        </w:rPr>
        <w:t>V</w:t>
      </w:r>
      <w:r w:rsidRPr="001C4644">
        <w:rPr>
          <w:lang w:val="fr-FR"/>
        </w:rPr>
        <w:t>oir</w:t>
      </w:r>
      <w:r w:rsidRPr="00190938">
        <w:rPr>
          <w:rStyle w:val="FooterChar"/>
          <w:lang w:val="fr-FR"/>
        </w:rPr>
        <w:t xml:space="preserve"> </w:t>
      </w:r>
      <w:hyperlink r:id="rId4" w:history="1">
        <w:r w:rsidRPr="00FD744E">
          <w:rPr>
            <w:rStyle w:val="Hyperlink"/>
            <w:lang w:val="fr-FR"/>
          </w:rPr>
          <w:t>http://www.admin.ch/ch/f/rs/3/313.32.fr.pd</w:t>
        </w:r>
        <w:r w:rsidRPr="00BD6343">
          <w:rPr>
            <w:rStyle w:val="Hyperlink"/>
            <w:lang w:val="fr-FR"/>
          </w:rPr>
          <w:t>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84368D" w:rsidP="00747593">
    <w:pPr>
      <w:pStyle w:val="Header"/>
      <w:tabs>
        <w:tab w:val="left" w:pos="1122"/>
      </w:tabs>
      <w:jc w:val="left"/>
      <w:rPr>
        <w:lang w:val="fr-CH"/>
      </w:rPr>
    </w:pPr>
    <w:r>
      <w:rPr>
        <w:rStyle w:val="PageNumber"/>
      </w:rPr>
      <w:fldChar w:fldCharType="begin"/>
    </w:r>
    <w:r w:rsidR="004B2881">
      <w:rPr>
        <w:rStyle w:val="PageNumber"/>
      </w:rPr>
      <w:instrText xml:space="preserve"> PAGE </w:instrText>
    </w:r>
    <w:r>
      <w:rPr>
        <w:rStyle w:val="PageNumber"/>
      </w:rPr>
      <w:fldChar w:fldCharType="separate"/>
    </w:r>
    <w:r w:rsidR="004F63CA">
      <w:rPr>
        <w:rStyle w:val="PageNumber"/>
        <w:noProof/>
      </w:rPr>
      <w:t>ii</w:t>
    </w:r>
    <w:r>
      <w:rPr>
        <w:rStyle w:val="PageNumber"/>
      </w:rPr>
      <w:fldChar w:fldCharType="end"/>
    </w:r>
    <w:r w:rsidR="004B2881">
      <w:rPr>
        <w:rStyle w:val="PageNumber"/>
        <w:lang w:val="fr-CH"/>
      </w:rPr>
      <w:tab/>
    </w:r>
    <w:r w:rsidR="004B2881">
      <w:rPr>
        <w:rStyle w:val="PageNumber"/>
        <w:lang w:val="fr-CH"/>
      </w:rPr>
      <w:tab/>
      <w:t>Q</w:t>
    </w:r>
    <w:r w:rsidR="004B2881" w:rsidRPr="002D4FCA">
      <w:rPr>
        <w:bCs/>
        <w:szCs w:val="22"/>
        <w:lang w:val="fr-CH"/>
      </w:rPr>
      <w:t>uestion</w:t>
    </w:r>
    <w:r w:rsidR="004B2881">
      <w:rPr>
        <w:b w:val="0"/>
        <w:bCs/>
        <w:szCs w:val="22"/>
        <w:lang w:val="fr-CH"/>
      </w:rPr>
      <w:t xml:space="preserve"> </w:t>
    </w:r>
    <w:r w:rsidR="004B2881">
      <w:rPr>
        <w:bCs/>
        <w:szCs w:val="22"/>
        <w:lang w:val="fr-CH"/>
      </w:rPr>
      <w:t>22</w:t>
    </w:r>
    <w:r w:rsidR="004B2881" w:rsidRPr="00DB09F2">
      <w:rPr>
        <w:bCs/>
        <w:szCs w:val="22"/>
        <w:lang w:val="fr-CH"/>
      </w:rPr>
      <w:t>/</w:t>
    </w:r>
    <w:r w:rsidR="004B2881">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Pr="005729A0" w:rsidRDefault="004B2881" w:rsidP="00E228FA">
    <w:pPr>
      <w:pStyle w:val="Header"/>
      <w:tabs>
        <w:tab w:val="clear" w:pos="4820"/>
        <w:tab w:val="clear" w:pos="9639"/>
        <w:tab w:val="center" w:pos="4849"/>
        <w:tab w:val="right" w:pos="8789"/>
        <w:tab w:val="right" w:pos="9730"/>
      </w:tabs>
      <w:spacing w:before="240"/>
      <w:ind w:left="-567"/>
      <w:rPr>
        <w:rFonts w:ascii="Univers BoldExt" w:hAnsi="Univers BoldExt"/>
        <w:b w:val="0"/>
        <w:bCs/>
        <w:color w:val="999999"/>
        <w:spacing w:val="88"/>
        <w:sz w:val="24"/>
        <w:szCs w:val="24"/>
        <w:lang w:val="fr-CH"/>
      </w:rPr>
    </w:pPr>
    <w:r>
      <w:rPr>
        <w:rFonts w:ascii="Univers BoldExt" w:hAnsi="Univers BoldExt"/>
        <w:b w:val="0"/>
        <w:bCs/>
        <w:color w:val="999999"/>
        <w:spacing w:val="88"/>
        <w:sz w:val="24"/>
        <w:szCs w:val="24"/>
        <w:lang w:val="fr-CH"/>
      </w:rPr>
      <w:t>Union internationale des téléc</w:t>
    </w:r>
    <w:r w:rsidRPr="005729A0">
      <w:rPr>
        <w:rFonts w:ascii="Univers BoldExt" w:hAnsi="Univers BoldExt"/>
        <w:b w:val="0"/>
        <w:bCs/>
        <w:color w:val="999999"/>
        <w:spacing w:val="88"/>
        <w:sz w:val="24"/>
        <w:szCs w:val="24"/>
        <w:lang w:val="fr-CH"/>
      </w:rPr>
      <w:t>ommunications</w:t>
    </w:r>
  </w:p>
  <w:p w:rsidR="004B2881" w:rsidRPr="0062594A" w:rsidRDefault="004B2881"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Pr="00E87C8C" w:rsidRDefault="004B2881"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84368D">
      <w:rPr>
        <w:rStyle w:val="PageNumber"/>
      </w:rPr>
      <w:fldChar w:fldCharType="begin"/>
    </w:r>
    <w:r>
      <w:rPr>
        <w:rStyle w:val="PageNumber"/>
      </w:rPr>
      <w:instrText xml:space="preserve"> PAGE </w:instrText>
    </w:r>
    <w:r w:rsidR="0084368D">
      <w:rPr>
        <w:rStyle w:val="PageNumber"/>
      </w:rPr>
      <w:fldChar w:fldCharType="separate"/>
    </w:r>
    <w:r>
      <w:rPr>
        <w:rStyle w:val="PageNumber"/>
        <w:noProof/>
      </w:rPr>
      <w:t>4</w:t>
    </w:r>
    <w:r w:rsidR="0084368D">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Pr="0093317B" w:rsidRDefault="004B2881"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Pr="00237D3E" w:rsidRDefault="004B2881" w:rsidP="00237D3E">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84368D" w:rsidP="006B0B0E">
    <w:pPr>
      <w:pStyle w:val="Header"/>
      <w:tabs>
        <w:tab w:val="left" w:pos="1122"/>
      </w:tabs>
      <w:jc w:val="left"/>
      <w:rPr>
        <w:lang w:val="fr-CH"/>
      </w:rPr>
    </w:pPr>
    <w:r>
      <w:rPr>
        <w:rStyle w:val="PageNumber"/>
      </w:rPr>
      <w:fldChar w:fldCharType="begin"/>
    </w:r>
    <w:r w:rsidR="004B2881">
      <w:rPr>
        <w:rStyle w:val="PageNumber"/>
      </w:rPr>
      <w:instrText xml:space="preserve"> PAGE </w:instrText>
    </w:r>
    <w:r>
      <w:rPr>
        <w:rStyle w:val="PageNumber"/>
      </w:rPr>
      <w:fldChar w:fldCharType="separate"/>
    </w:r>
    <w:r w:rsidR="004E2CF1">
      <w:rPr>
        <w:rStyle w:val="PageNumber"/>
        <w:noProof/>
      </w:rPr>
      <w:t>ii</w:t>
    </w:r>
    <w:r>
      <w:rPr>
        <w:rStyle w:val="PageNumber"/>
      </w:rPr>
      <w:fldChar w:fldCharType="end"/>
    </w:r>
    <w:r w:rsidR="004B2881">
      <w:rPr>
        <w:rStyle w:val="PageNumber"/>
        <w:lang w:val="fr-CH"/>
      </w:rPr>
      <w:tab/>
    </w:r>
    <w:r w:rsidR="004B2881">
      <w:rPr>
        <w:rStyle w:val="PageNumber"/>
        <w:lang w:val="fr-CH"/>
      </w:rPr>
      <w:tab/>
      <w:t>Résolution</w:t>
    </w:r>
    <w:r w:rsidR="004B2881">
      <w:rPr>
        <w:b w:val="0"/>
        <w:bCs/>
        <w:szCs w:val="22"/>
        <w:lang w:val="fr-CH"/>
      </w:rPr>
      <w:t xml:space="preserve"> </w:t>
    </w:r>
    <w:r w:rsidR="004B2881" w:rsidRPr="00A562C1">
      <w:rPr>
        <w:szCs w:val="22"/>
        <w:lang w:val="fr-CH"/>
      </w:rPr>
      <w:t>9</w:t>
    </w:r>
    <w:r w:rsidR="004B2881">
      <w:rPr>
        <w:szCs w:val="22"/>
        <w:lang w:val="fr-CH"/>
      </w:rPr>
      <w:t xml:space="preserve"> – </w:t>
    </w:r>
    <w:r w:rsidR="004B2881" w:rsidRPr="006B0B0E">
      <w:rPr>
        <w:szCs w:val="22"/>
        <w:lang w:val="fr-CH"/>
      </w:rPr>
      <w:t>Lignes directrices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4B2881" w:rsidP="0086133D">
    <w:pPr>
      <w:pStyle w:val="Header"/>
      <w:tabs>
        <w:tab w:val="left" w:pos="1122"/>
      </w:tabs>
      <w:jc w:val="left"/>
      <w:rPr>
        <w:lang w:val="fr-CH"/>
      </w:rPr>
    </w:pPr>
    <w:r>
      <w:rPr>
        <w:rStyle w:val="PageNumber"/>
        <w:lang w:val="fr-CH"/>
      </w:rPr>
      <w:tab/>
    </w:r>
    <w:r>
      <w:rPr>
        <w:rStyle w:val="PageNumber"/>
        <w:lang w:val="fr-CH"/>
      </w:rPr>
      <w:tab/>
      <w:t>Résolution</w:t>
    </w:r>
    <w:r>
      <w:rPr>
        <w:b w:val="0"/>
        <w:bCs/>
        <w:szCs w:val="22"/>
        <w:lang w:val="fr-CH"/>
      </w:rPr>
      <w:t xml:space="preserve"> </w:t>
    </w:r>
    <w:r w:rsidRPr="00A562C1">
      <w:rPr>
        <w:szCs w:val="22"/>
        <w:lang w:val="fr-CH"/>
      </w:rPr>
      <w:t>9</w:t>
    </w:r>
    <w:r>
      <w:rPr>
        <w:szCs w:val="22"/>
        <w:lang w:val="fr-CH"/>
      </w:rPr>
      <w:t xml:space="preserve"> – Lignes directrices</w:t>
    </w:r>
    <w:r>
      <w:rPr>
        <w:bCs/>
        <w:szCs w:val="22"/>
        <w:lang w:val="fr-CH"/>
      </w:rPr>
      <w:tab/>
    </w:r>
    <w:r w:rsidR="0084368D">
      <w:rPr>
        <w:rStyle w:val="PageNumber"/>
      </w:rPr>
      <w:fldChar w:fldCharType="begin"/>
    </w:r>
    <w:r>
      <w:rPr>
        <w:rStyle w:val="PageNumber"/>
      </w:rPr>
      <w:instrText xml:space="preserve"> PAGE </w:instrText>
    </w:r>
    <w:r w:rsidR="0084368D">
      <w:rPr>
        <w:rStyle w:val="PageNumber"/>
      </w:rPr>
      <w:fldChar w:fldCharType="separate"/>
    </w:r>
    <w:r w:rsidR="004E2CF1">
      <w:rPr>
        <w:rStyle w:val="PageNumber"/>
        <w:noProof/>
      </w:rPr>
      <w:t>67</w:t>
    </w:r>
    <w:r w:rsidR="0084368D">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Default="0084368D" w:rsidP="006B0B0E">
    <w:pPr>
      <w:pStyle w:val="Header"/>
      <w:tabs>
        <w:tab w:val="left" w:pos="1122"/>
      </w:tabs>
      <w:jc w:val="left"/>
      <w:rPr>
        <w:lang w:val="fr-CH"/>
      </w:rPr>
    </w:pPr>
    <w:r>
      <w:rPr>
        <w:rStyle w:val="PageNumber"/>
      </w:rPr>
      <w:fldChar w:fldCharType="begin"/>
    </w:r>
    <w:r w:rsidR="004B2881">
      <w:rPr>
        <w:rStyle w:val="PageNumber"/>
      </w:rPr>
      <w:instrText xml:space="preserve"> PAGE </w:instrText>
    </w:r>
    <w:r>
      <w:rPr>
        <w:rStyle w:val="PageNumber"/>
      </w:rPr>
      <w:fldChar w:fldCharType="separate"/>
    </w:r>
    <w:r w:rsidR="004E2CF1">
      <w:rPr>
        <w:rStyle w:val="PageNumber"/>
        <w:noProof/>
      </w:rPr>
      <w:t>86</w:t>
    </w:r>
    <w:r>
      <w:rPr>
        <w:rStyle w:val="PageNumber"/>
      </w:rPr>
      <w:fldChar w:fldCharType="end"/>
    </w:r>
    <w:r w:rsidR="004B2881">
      <w:rPr>
        <w:rStyle w:val="PageNumber"/>
        <w:lang w:val="fr-CH"/>
      </w:rPr>
      <w:tab/>
    </w:r>
    <w:r w:rsidR="004B2881">
      <w:rPr>
        <w:rStyle w:val="PageNumber"/>
        <w:lang w:val="fr-CH"/>
      </w:rPr>
      <w:tab/>
      <w:t xml:space="preserve">Résolution 9 – </w:t>
    </w:r>
    <w:r w:rsidR="004B2881" w:rsidRPr="006B0B0E">
      <w:rPr>
        <w:rStyle w:val="PageNumber"/>
        <w:lang w:val="fr-CH"/>
      </w:rPr>
      <w:t>Lignes directrices</w:t>
    </w:r>
    <w:r w:rsidR="004B2881">
      <w:rPr>
        <w:bCs/>
        <w:szCs w:val="22"/>
        <w:lang w:val="fr-CH"/>
      </w:rPr>
      <w:tab/>
    </w:r>
    <w:r>
      <w:rPr>
        <w:noProof/>
        <w:lang w:val="en-US" w:eastAsia="zh-CN"/>
      </w:rPr>
      <w:pict>
        <v:shapetype id="_x0000_t202" coordsize="21600,21600" o:spt="202" path="m,l,21600r21600,l21600,xe">
          <v:stroke joinstyle="miter"/>
          <v:path gradientshapeok="t" o:connecttype="rect"/>
        </v:shapetype>
        <v:shape id="_x0000_s2065" type="#_x0000_t202" style="position:absolute;margin-left:721.1pt;margin-top:20.25pt;width:30pt;height:482.25pt;z-index:251668480;mso-position-horizontal-relative:text;mso-position-vertical-relative:text" stroked="f">
          <v:textbox style="layout-flow:vertical;mso-next-textbox:#_x0000_s2065">
            <w:txbxContent>
              <w:p w:rsidR="004B2881" w:rsidRPr="00761109" w:rsidRDefault="0084368D" w:rsidP="00761109">
                <w:pPr>
                  <w:spacing w:before="0"/>
                  <w:rPr>
                    <w:b/>
                    <w:bCs/>
                  </w:rPr>
                </w:pPr>
                <w:r w:rsidRPr="00761109">
                  <w:rPr>
                    <w:rStyle w:val="PageNumber"/>
                    <w:b/>
                    <w:bCs/>
                  </w:rPr>
                  <w:fldChar w:fldCharType="begin"/>
                </w:r>
                <w:r w:rsidR="004B2881" w:rsidRPr="00761109">
                  <w:rPr>
                    <w:rStyle w:val="PageNumber"/>
                    <w:b/>
                    <w:bCs/>
                  </w:rPr>
                  <w:instrText xml:space="preserve"> PAGE </w:instrText>
                </w:r>
                <w:r w:rsidRPr="00761109">
                  <w:rPr>
                    <w:rStyle w:val="PageNumber"/>
                    <w:b/>
                    <w:bCs/>
                  </w:rPr>
                  <w:fldChar w:fldCharType="separate"/>
                </w:r>
                <w:r w:rsidR="004E2CF1">
                  <w:rPr>
                    <w:rStyle w:val="PageNumber"/>
                    <w:b/>
                    <w:bCs/>
                    <w:noProof/>
                  </w:rPr>
                  <w:t>86</w:t>
                </w:r>
                <w:r w:rsidRPr="00761109">
                  <w:rPr>
                    <w:rStyle w:val="PageNumber"/>
                    <w:b/>
                    <w:bCs/>
                  </w:rPr>
                  <w:fldChar w:fldCharType="end"/>
                </w:r>
                <w:r w:rsidR="004B2881" w:rsidRPr="00761109">
                  <w:rPr>
                    <w:rStyle w:val="PageNumber"/>
                    <w:b/>
                    <w:bCs/>
                    <w:lang w:val="fr-CH"/>
                  </w:rPr>
                  <w:tab/>
                </w:r>
                <w:r w:rsidR="004B2881" w:rsidRPr="00761109">
                  <w:rPr>
                    <w:rStyle w:val="PageNumber"/>
                    <w:b/>
                    <w:bCs/>
                    <w:lang w:val="fr-CH"/>
                  </w:rPr>
                  <w:tab/>
                </w:r>
                <w:r w:rsidR="004B2881">
                  <w:rPr>
                    <w:rStyle w:val="PageNumber"/>
                    <w:b/>
                    <w:bCs/>
                    <w:lang w:val="fr-CH"/>
                  </w:rPr>
                  <w:tab/>
                </w:r>
                <w:r w:rsidR="004B2881">
                  <w:rPr>
                    <w:rStyle w:val="PageNumber"/>
                    <w:b/>
                    <w:bCs/>
                    <w:lang w:val="fr-CH"/>
                  </w:rPr>
                  <w:tab/>
                </w:r>
                <w:r w:rsidR="004B2881">
                  <w:rPr>
                    <w:rStyle w:val="PageNumber"/>
                    <w:b/>
                    <w:bCs/>
                    <w:lang w:val="fr-CH"/>
                  </w:rPr>
                  <w:tab/>
                </w:r>
                <w:r w:rsidR="004B2881">
                  <w:rPr>
                    <w:rStyle w:val="PageNumber"/>
                    <w:b/>
                    <w:bCs/>
                    <w:lang w:val="fr-CH"/>
                  </w:rPr>
                  <w:tab/>
                </w:r>
                <w:r w:rsidR="004B2881">
                  <w:rPr>
                    <w:rStyle w:val="PageNumber"/>
                    <w:b/>
                    <w:bCs/>
                    <w:lang w:val="fr-CH"/>
                  </w:rPr>
                  <w:tab/>
                </w:r>
                <w:r w:rsidR="004B2881" w:rsidRPr="00761109">
                  <w:rPr>
                    <w:rStyle w:val="PageNumber"/>
                    <w:b/>
                    <w:bCs/>
                    <w:lang w:val="fr-CH"/>
                  </w:rPr>
                  <w:t>Report on Resolution 9</w:t>
                </w: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81" w:rsidRPr="00761109" w:rsidRDefault="0084368D" w:rsidP="00761109">
    <w:pPr>
      <w:pStyle w:val="Header"/>
    </w:pPr>
    <w:r>
      <w:rPr>
        <w:noProof/>
        <w:lang w:val="en-US" w:eastAsia="zh-CN"/>
      </w:rPr>
      <w:pict>
        <v:shapetype id="_x0000_t202" coordsize="21600,21600" o:spt="202" path="m,l,21600r21600,l21600,xe">
          <v:stroke joinstyle="miter"/>
          <v:path gradientshapeok="t" o:connecttype="rect"/>
        </v:shapetype>
        <v:shape id="_x0000_s2056" type="#_x0000_t202" style="position:absolute;left:0;text-align:left;margin-left:727.1pt;margin-top:20.25pt;width:30pt;height:495.75pt;z-index:251666432" stroked="f">
          <v:textbox style="layout-flow:vertical;mso-next-textbox:#_x0000_s2056">
            <w:txbxContent>
              <w:p w:rsidR="004B2881" w:rsidRPr="00761109" w:rsidRDefault="004B2881" w:rsidP="00761109">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lang w:val="fr-CH"/>
                  </w:rPr>
                  <w:t>Report on Resolution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84368D" w:rsidRPr="00761109">
                  <w:rPr>
                    <w:rStyle w:val="PageNumber"/>
                    <w:b/>
                    <w:bCs/>
                  </w:rPr>
                  <w:fldChar w:fldCharType="begin"/>
                </w:r>
                <w:r w:rsidRPr="00761109">
                  <w:rPr>
                    <w:rStyle w:val="PageNumber"/>
                    <w:b/>
                    <w:bCs/>
                  </w:rPr>
                  <w:instrText xml:space="preserve"> PAGE </w:instrText>
                </w:r>
                <w:r w:rsidR="0084368D" w:rsidRPr="00761109">
                  <w:rPr>
                    <w:rStyle w:val="PageNumber"/>
                    <w:b/>
                    <w:bCs/>
                  </w:rPr>
                  <w:fldChar w:fldCharType="separate"/>
                </w:r>
                <w:r>
                  <w:rPr>
                    <w:rStyle w:val="PageNumber"/>
                    <w:b/>
                    <w:bCs/>
                    <w:noProof/>
                  </w:rPr>
                  <w:t>57</w:t>
                </w:r>
                <w:r w:rsidR="0084368D"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84368D" w:rsidRPr="00761109">
                  <w:rPr>
                    <w:rStyle w:val="PageNumber"/>
                    <w:b/>
                    <w:bCs/>
                  </w:rPr>
                  <w:fldChar w:fldCharType="begin"/>
                </w:r>
                <w:r w:rsidRPr="00761109">
                  <w:rPr>
                    <w:rStyle w:val="PageNumber"/>
                    <w:b/>
                    <w:bCs/>
                  </w:rPr>
                  <w:instrText xml:space="preserve"> PAGE </w:instrText>
                </w:r>
                <w:r w:rsidR="0084368D" w:rsidRPr="00761109">
                  <w:rPr>
                    <w:rStyle w:val="PageNumber"/>
                    <w:b/>
                    <w:bCs/>
                  </w:rPr>
                  <w:fldChar w:fldCharType="separate"/>
                </w:r>
                <w:r>
                  <w:rPr>
                    <w:rStyle w:val="PageNumber"/>
                    <w:b/>
                    <w:bCs/>
                    <w:noProof/>
                  </w:rPr>
                  <w:t>57</w:t>
                </w:r>
                <w:r w:rsidR="0084368D" w:rsidRPr="00761109">
                  <w:rPr>
                    <w:rStyle w:val="PageNumber"/>
                    <w:b/>
                    <w:bCs/>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8.85pt" o:bullet="t">
        <v:imagedata r:id="rId1" o:title="BD10267_"/>
      </v:shape>
    </w:pict>
  </w:numPicBullet>
  <w:abstractNum w:abstractNumId="0">
    <w:nsid w:val="8EC7C007"/>
    <w:multiLevelType w:val="hybridMultilevel"/>
    <w:tmpl w:val="0EEDAF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896D33E"/>
    <w:lvl w:ilvl="0">
      <w:start w:val="1"/>
      <w:numFmt w:val="decimal"/>
      <w:lvlText w:val="%1."/>
      <w:lvlJc w:val="left"/>
      <w:pPr>
        <w:tabs>
          <w:tab w:val="num" w:pos="1492"/>
        </w:tabs>
        <w:ind w:left="1492" w:hanging="360"/>
      </w:pPr>
    </w:lvl>
  </w:abstractNum>
  <w:abstractNum w:abstractNumId="2">
    <w:nsid w:val="FFFFFF7D"/>
    <w:multiLevelType w:val="singleLevel"/>
    <w:tmpl w:val="E6341ACE"/>
    <w:lvl w:ilvl="0">
      <w:start w:val="1"/>
      <w:numFmt w:val="decimal"/>
      <w:lvlText w:val="%1."/>
      <w:lvlJc w:val="left"/>
      <w:pPr>
        <w:tabs>
          <w:tab w:val="num" w:pos="1209"/>
        </w:tabs>
        <w:ind w:left="1209" w:hanging="360"/>
      </w:pPr>
    </w:lvl>
  </w:abstractNum>
  <w:abstractNum w:abstractNumId="3">
    <w:nsid w:val="FFFFFF7E"/>
    <w:multiLevelType w:val="singleLevel"/>
    <w:tmpl w:val="3E3262C0"/>
    <w:lvl w:ilvl="0">
      <w:start w:val="1"/>
      <w:numFmt w:val="decimal"/>
      <w:lvlText w:val="%1."/>
      <w:lvlJc w:val="left"/>
      <w:pPr>
        <w:tabs>
          <w:tab w:val="num" w:pos="926"/>
        </w:tabs>
        <w:ind w:left="926" w:hanging="360"/>
      </w:pPr>
    </w:lvl>
  </w:abstractNum>
  <w:abstractNum w:abstractNumId="4">
    <w:nsid w:val="FFFFFF7F"/>
    <w:multiLevelType w:val="singleLevel"/>
    <w:tmpl w:val="E7E010EA"/>
    <w:lvl w:ilvl="0">
      <w:start w:val="1"/>
      <w:numFmt w:val="decimal"/>
      <w:lvlText w:val="%1."/>
      <w:lvlJc w:val="left"/>
      <w:pPr>
        <w:tabs>
          <w:tab w:val="num" w:pos="643"/>
        </w:tabs>
        <w:ind w:left="643" w:hanging="360"/>
      </w:pPr>
    </w:lvl>
  </w:abstractNum>
  <w:abstractNum w:abstractNumId="5">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165284"/>
    <w:lvl w:ilvl="0">
      <w:start w:val="1"/>
      <w:numFmt w:val="decimal"/>
      <w:lvlText w:val="%1."/>
      <w:lvlJc w:val="left"/>
      <w:pPr>
        <w:tabs>
          <w:tab w:val="num" w:pos="360"/>
        </w:tabs>
        <w:ind w:left="360" w:hanging="360"/>
      </w:pPr>
    </w:lvl>
  </w:abstractNum>
  <w:abstractNum w:abstractNumId="1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A8B037"/>
    <w:multiLevelType w:val="hybridMultilevel"/>
    <w:tmpl w:val="339E52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63401E"/>
    <w:multiLevelType w:val="singleLevel"/>
    <w:tmpl w:val="B700F934"/>
    <w:lvl w:ilvl="0">
      <w:start w:val="1"/>
      <w:numFmt w:val="decimal"/>
      <w:lvlText w:val="%1)"/>
      <w:lvlJc w:val="left"/>
      <w:pPr>
        <w:tabs>
          <w:tab w:val="num" w:pos="360"/>
        </w:tabs>
        <w:ind w:left="360" w:hanging="360"/>
      </w:pPr>
    </w:lvl>
  </w:abstractNum>
  <w:abstractNum w:abstractNumId="15">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0D006C79"/>
    <w:multiLevelType w:val="hybridMultilevel"/>
    <w:tmpl w:val="CD582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DC66F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nsid w:val="54B15ABD"/>
    <w:multiLevelType w:val="multilevel"/>
    <w:tmpl w:val="A094DA1C"/>
    <w:lvl w:ilvl="0">
      <w:start w:val="15"/>
      <w:numFmt w:val="decimal"/>
      <w:lvlText w:val="%1"/>
      <w:lvlJc w:val="left"/>
      <w:pPr>
        <w:tabs>
          <w:tab w:val="num" w:pos="2970"/>
        </w:tabs>
        <w:ind w:left="2970" w:hanging="2970"/>
      </w:pPr>
      <w:rPr>
        <w:rFonts w:hint="default"/>
        <w:b/>
        <w:color w:val="auto"/>
      </w:rPr>
    </w:lvl>
    <w:lvl w:ilvl="1">
      <w:start w:val="7"/>
      <w:numFmt w:val="decimal"/>
      <w:lvlText w:val="%1.%2"/>
      <w:lvlJc w:val="left"/>
      <w:pPr>
        <w:tabs>
          <w:tab w:val="num" w:pos="2970"/>
        </w:tabs>
        <w:ind w:left="2970" w:hanging="2970"/>
      </w:pPr>
      <w:rPr>
        <w:rFonts w:hint="default"/>
        <w:b/>
        <w:color w:val="auto"/>
      </w:rPr>
    </w:lvl>
    <w:lvl w:ilvl="2">
      <w:start w:val="16"/>
      <w:numFmt w:val="decimal"/>
      <w:lvlText w:val="%1.%2-%3"/>
      <w:lvlJc w:val="left"/>
      <w:pPr>
        <w:tabs>
          <w:tab w:val="num" w:pos="2970"/>
        </w:tabs>
        <w:ind w:left="2970" w:hanging="2970"/>
      </w:pPr>
      <w:rPr>
        <w:rFonts w:hint="default"/>
        <w:b/>
        <w:color w:val="auto"/>
      </w:rPr>
    </w:lvl>
    <w:lvl w:ilvl="3">
      <w:start w:val="6"/>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4">
    <w:nsid w:val="5B505F91"/>
    <w:multiLevelType w:val="hybridMultilevel"/>
    <w:tmpl w:val="4EEC26AE"/>
    <w:lvl w:ilvl="0" w:tplc="02C49AFE">
      <w:numFmt w:val="bullet"/>
      <w:lvlText w:val=""/>
      <w:lvlJc w:val="left"/>
      <w:pPr>
        <w:tabs>
          <w:tab w:val="num" w:pos="284"/>
        </w:tabs>
        <w:ind w:left="284" w:hanging="284"/>
      </w:pPr>
      <w:rPr>
        <w:rFonts w:ascii="Symbol" w:hAnsi="Symbol" w:hint="default"/>
      </w:rPr>
    </w:lvl>
    <w:lvl w:ilvl="1" w:tplc="767E5784" w:tentative="1">
      <w:start w:val="1"/>
      <w:numFmt w:val="bullet"/>
      <w:lvlText w:val="o"/>
      <w:lvlJc w:val="left"/>
      <w:pPr>
        <w:tabs>
          <w:tab w:val="num" w:pos="1440"/>
        </w:tabs>
        <w:ind w:left="1440" w:hanging="360"/>
      </w:pPr>
      <w:rPr>
        <w:rFonts w:ascii="Courier New" w:hAnsi="Courier New" w:cs="Courier New" w:hint="default"/>
      </w:rPr>
    </w:lvl>
    <w:lvl w:ilvl="2" w:tplc="F4E8F910" w:tentative="1">
      <w:start w:val="1"/>
      <w:numFmt w:val="bullet"/>
      <w:lvlText w:val=""/>
      <w:lvlJc w:val="left"/>
      <w:pPr>
        <w:tabs>
          <w:tab w:val="num" w:pos="2160"/>
        </w:tabs>
        <w:ind w:left="2160" w:hanging="360"/>
      </w:pPr>
      <w:rPr>
        <w:rFonts w:ascii="Wingdings" w:hAnsi="Wingdings" w:hint="default"/>
      </w:rPr>
    </w:lvl>
    <w:lvl w:ilvl="3" w:tplc="74566D30" w:tentative="1">
      <w:start w:val="1"/>
      <w:numFmt w:val="bullet"/>
      <w:lvlText w:val=""/>
      <w:lvlJc w:val="left"/>
      <w:pPr>
        <w:tabs>
          <w:tab w:val="num" w:pos="2880"/>
        </w:tabs>
        <w:ind w:left="2880" w:hanging="360"/>
      </w:pPr>
      <w:rPr>
        <w:rFonts w:ascii="Symbol" w:hAnsi="Symbol" w:hint="default"/>
      </w:rPr>
    </w:lvl>
    <w:lvl w:ilvl="4" w:tplc="2878CA84" w:tentative="1">
      <w:start w:val="1"/>
      <w:numFmt w:val="bullet"/>
      <w:lvlText w:val="o"/>
      <w:lvlJc w:val="left"/>
      <w:pPr>
        <w:tabs>
          <w:tab w:val="num" w:pos="3600"/>
        </w:tabs>
        <w:ind w:left="3600" w:hanging="360"/>
      </w:pPr>
      <w:rPr>
        <w:rFonts w:ascii="Courier New" w:hAnsi="Courier New" w:cs="Courier New" w:hint="default"/>
      </w:rPr>
    </w:lvl>
    <w:lvl w:ilvl="5" w:tplc="9D38104E" w:tentative="1">
      <w:start w:val="1"/>
      <w:numFmt w:val="bullet"/>
      <w:lvlText w:val=""/>
      <w:lvlJc w:val="left"/>
      <w:pPr>
        <w:tabs>
          <w:tab w:val="num" w:pos="4320"/>
        </w:tabs>
        <w:ind w:left="4320" w:hanging="360"/>
      </w:pPr>
      <w:rPr>
        <w:rFonts w:ascii="Wingdings" w:hAnsi="Wingdings" w:hint="default"/>
      </w:rPr>
    </w:lvl>
    <w:lvl w:ilvl="6" w:tplc="C770A6BC" w:tentative="1">
      <w:start w:val="1"/>
      <w:numFmt w:val="bullet"/>
      <w:lvlText w:val=""/>
      <w:lvlJc w:val="left"/>
      <w:pPr>
        <w:tabs>
          <w:tab w:val="num" w:pos="5040"/>
        </w:tabs>
        <w:ind w:left="5040" w:hanging="360"/>
      </w:pPr>
      <w:rPr>
        <w:rFonts w:ascii="Symbol" w:hAnsi="Symbol" w:hint="default"/>
      </w:rPr>
    </w:lvl>
    <w:lvl w:ilvl="7" w:tplc="1A5A632C" w:tentative="1">
      <w:start w:val="1"/>
      <w:numFmt w:val="bullet"/>
      <w:lvlText w:val="o"/>
      <w:lvlJc w:val="left"/>
      <w:pPr>
        <w:tabs>
          <w:tab w:val="num" w:pos="5760"/>
        </w:tabs>
        <w:ind w:left="5760" w:hanging="360"/>
      </w:pPr>
      <w:rPr>
        <w:rFonts w:ascii="Courier New" w:hAnsi="Courier New" w:cs="Courier New" w:hint="default"/>
      </w:rPr>
    </w:lvl>
    <w:lvl w:ilvl="8" w:tplc="F5E29532" w:tentative="1">
      <w:start w:val="1"/>
      <w:numFmt w:val="bullet"/>
      <w:lvlText w:val=""/>
      <w:lvlJc w:val="left"/>
      <w:pPr>
        <w:tabs>
          <w:tab w:val="num" w:pos="6480"/>
        </w:tabs>
        <w:ind w:left="6480" w:hanging="360"/>
      </w:pPr>
      <w:rPr>
        <w:rFonts w:ascii="Wingdings" w:hAnsi="Wingdings" w:hint="default"/>
      </w:rPr>
    </w:lvl>
  </w:abstractNum>
  <w:abstractNum w:abstractNumId="35">
    <w:nsid w:val="61536E0C"/>
    <w:multiLevelType w:val="hybridMultilevel"/>
    <w:tmpl w:val="3A12123E"/>
    <w:lvl w:ilvl="0" w:tplc="4B1E25F4">
      <w:start w:val="1"/>
      <w:numFmt w:val="decimal"/>
      <w:lvlText w:val="%1."/>
      <w:lvlJc w:val="left"/>
      <w:pPr>
        <w:tabs>
          <w:tab w:val="num" w:pos="360"/>
        </w:tabs>
        <w:ind w:left="360" w:hanging="360"/>
      </w:pPr>
    </w:lvl>
    <w:lvl w:ilvl="1" w:tplc="47B43CD4">
      <w:start w:val="1"/>
      <w:numFmt w:val="lowerLetter"/>
      <w:lvlText w:val="%2."/>
      <w:lvlJc w:val="left"/>
      <w:pPr>
        <w:tabs>
          <w:tab w:val="num" w:pos="1080"/>
        </w:tabs>
        <w:ind w:left="1080" w:hanging="360"/>
      </w:pPr>
    </w:lvl>
    <w:lvl w:ilvl="2" w:tplc="F9E8DC3E">
      <w:start w:val="1"/>
      <w:numFmt w:val="lowerRoman"/>
      <w:lvlText w:val="%3."/>
      <w:lvlJc w:val="right"/>
      <w:pPr>
        <w:tabs>
          <w:tab w:val="num" w:pos="1800"/>
        </w:tabs>
        <w:ind w:left="1800" w:hanging="180"/>
      </w:pPr>
    </w:lvl>
    <w:lvl w:ilvl="3" w:tplc="B6EAB58A" w:tentative="1">
      <w:start w:val="1"/>
      <w:numFmt w:val="decimal"/>
      <w:lvlText w:val="%4."/>
      <w:lvlJc w:val="left"/>
      <w:pPr>
        <w:tabs>
          <w:tab w:val="num" w:pos="2520"/>
        </w:tabs>
        <w:ind w:left="2520" w:hanging="360"/>
      </w:pPr>
    </w:lvl>
    <w:lvl w:ilvl="4" w:tplc="0A10755E" w:tentative="1">
      <w:start w:val="1"/>
      <w:numFmt w:val="lowerLetter"/>
      <w:lvlText w:val="%5."/>
      <w:lvlJc w:val="left"/>
      <w:pPr>
        <w:tabs>
          <w:tab w:val="num" w:pos="3240"/>
        </w:tabs>
        <w:ind w:left="3240" w:hanging="360"/>
      </w:pPr>
    </w:lvl>
    <w:lvl w:ilvl="5" w:tplc="0A3AA60A" w:tentative="1">
      <w:start w:val="1"/>
      <w:numFmt w:val="lowerRoman"/>
      <w:lvlText w:val="%6."/>
      <w:lvlJc w:val="right"/>
      <w:pPr>
        <w:tabs>
          <w:tab w:val="num" w:pos="3960"/>
        </w:tabs>
        <w:ind w:left="3960" w:hanging="180"/>
      </w:pPr>
    </w:lvl>
    <w:lvl w:ilvl="6" w:tplc="7296460C" w:tentative="1">
      <w:start w:val="1"/>
      <w:numFmt w:val="decimal"/>
      <w:lvlText w:val="%7."/>
      <w:lvlJc w:val="left"/>
      <w:pPr>
        <w:tabs>
          <w:tab w:val="num" w:pos="4680"/>
        </w:tabs>
        <w:ind w:left="4680" w:hanging="360"/>
      </w:pPr>
    </w:lvl>
    <w:lvl w:ilvl="7" w:tplc="C5D2AF22" w:tentative="1">
      <w:start w:val="1"/>
      <w:numFmt w:val="lowerLetter"/>
      <w:lvlText w:val="%8."/>
      <w:lvlJc w:val="left"/>
      <w:pPr>
        <w:tabs>
          <w:tab w:val="num" w:pos="5400"/>
        </w:tabs>
        <w:ind w:left="5400" w:hanging="360"/>
      </w:pPr>
    </w:lvl>
    <w:lvl w:ilvl="8" w:tplc="414A3A38" w:tentative="1">
      <w:start w:val="1"/>
      <w:numFmt w:val="lowerRoman"/>
      <w:lvlText w:val="%9."/>
      <w:lvlJc w:val="right"/>
      <w:pPr>
        <w:tabs>
          <w:tab w:val="num" w:pos="6120"/>
        </w:tabs>
        <w:ind w:left="6120" w:hanging="180"/>
      </w:pPr>
    </w:lvl>
  </w:abstractNum>
  <w:abstractNum w:abstractNumId="36">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D96243"/>
    <w:multiLevelType w:val="hybridMultilevel"/>
    <w:tmpl w:val="68D4E2BE"/>
    <w:lvl w:ilvl="0" w:tplc="6FD26526">
      <w:start w:val="1"/>
      <w:numFmt w:val="lowerLetter"/>
      <w:pStyle w:val="CEOIndent1-abc"/>
      <w:lvlText w:val="%1."/>
      <w:lvlJc w:val="left"/>
      <w:pPr>
        <w:tabs>
          <w:tab w:val="num" w:pos="1494"/>
        </w:tabs>
        <w:ind w:left="1494" w:hanging="360"/>
      </w:pPr>
      <w:rPr>
        <w:rFonts w:ascii="Verdana" w:hAnsi="Verdana" w:hint="default"/>
        <w:b w:val="0"/>
        <w:i w:val="0"/>
        <w:sz w:val="18"/>
      </w:rPr>
    </w:lvl>
    <w:lvl w:ilvl="1" w:tplc="FD02B8AC" w:tentative="1">
      <w:start w:val="1"/>
      <w:numFmt w:val="lowerLetter"/>
      <w:lvlText w:val="%2."/>
      <w:lvlJc w:val="left"/>
      <w:pPr>
        <w:tabs>
          <w:tab w:val="num" w:pos="1440"/>
        </w:tabs>
        <w:ind w:left="1440" w:hanging="360"/>
      </w:pPr>
    </w:lvl>
    <w:lvl w:ilvl="2" w:tplc="577A386A" w:tentative="1">
      <w:start w:val="1"/>
      <w:numFmt w:val="lowerRoman"/>
      <w:lvlText w:val="%3."/>
      <w:lvlJc w:val="right"/>
      <w:pPr>
        <w:tabs>
          <w:tab w:val="num" w:pos="2160"/>
        </w:tabs>
        <w:ind w:left="2160" w:hanging="180"/>
      </w:pPr>
    </w:lvl>
    <w:lvl w:ilvl="3" w:tplc="C43CA7D0" w:tentative="1">
      <w:start w:val="1"/>
      <w:numFmt w:val="decimal"/>
      <w:lvlText w:val="%4."/>
      <w:lvlJc w:val="left"/>
      <w:pPr>
        <w:tabs>
          <w:tab w:val="num" w:pos="2880"/>
        </w:tabs>
        <w:ind w:left="2880" w:hanging="360"/>
      </w:pPr>
    </w:lvl>
    <w:lvl w:ilvl="4" w:tplc="75DA9C20" w:tentative="1">
      <w:start w:val="1"/>
      <w:numFmt w:val="lowerLetter"/>
      <w:lvlText w:val="%5."/>
      <w:lvlJc w:val="left"/>
      <w:pPr>
        <w:tabs>
          <w:tab w:val="num" w:pos="3600"/>
        </w:tabs>
        <w:ind w:left="3600" w:hanging="360"/>
      </w:pPr>
    </w:lvl>
    <w:lvl w:ilvl="5" w:tplc="21A4050C" w:tentative="1">
      <w:start w:val="1"/>
      <w:numFmt w:val="lowerRoman"/>
      <w:lvlText w:val="%6."/>
      <w:lvlJc w:val="right"/>
      <w:pPr>
        <w:tabs>
          <w:tab w:val="num" w:pos="4320"/>
        </w:tabs>
        <w:ind w:left="4320" w:hanging="180"/>
      </w:pPr>
    </w:lvl>
    <w:lvl w:ilvl="6" w:tplc="EFA2D4EE" w:tentative="1">
      <w:start w:val="1"/>
      <w:numFmt w:val="decimal"/>
      <w:lvlText w:val="%7."/>
      <w:lvlJc w:val="left"/>
      <w:pPr>
        <w:tabs>
          <w:tab w:val="num" w:pos="5040"/>
        </w:tabs>
        <w:ind w:left="5040" w:hanging="360"/>
      </w:pPr>
    </w:lvl>
    <w:lvl w:ilvl="7" w:tplc="3F447978" w:tentative="1">
      <w:start w:val="1"/>
      <w:numFmt w:val="lowerLetter"/>
      <w:lvlText w:val="%8."/>
      <w:lvlJc w:val="left"/>
      <w:pPr>
        <w:tabs>
          <w:tab w:val="num" w:pos="5760"/>
        </w:tabs>
        <w:ind w:left="5760" w:hanging="360"/>
      </w:pPr>
    </w:lvl>
    <w:lvl w:ilvl="8" w:tplc="4BE62E22" w:tentative="1">
      <w:start w:val="1"/>
      <w:numFmt w:val="lowerRoman"/>
      <w:lvlText w:val="%9."/>
      <w:lvlJc w:val="right"/>
      <w:pPr>
        <w:tabs>
          <w:tab w:val="num" w:pos="6480"/>
        </w:tabs>
        <w:ind w:left="6480" w:hanging="180"/>
      </w:pPr>
    </w:lvl>
  </w:abstractNum>
  <w:abstractNum w:abstractNumId="38">
    <w:nsid w:val="70CB61D4"/>
    <w:multiLevelType w:val="multilevel"/>
    <w:tmpl w:val="B3821D76"/>
    <w:lvl w:ilvl="0">
      <w:start w:val="15"/>
      <w:numFmt w:val="decimal"/>
      <w:lvlText w:val="%1"/>
      <w:lvlJc w:val="left"/>
      <w:pPr>
        <w:tabs>
          <w:tab w:val="num" w:pos="2970"/>
        </w:tabs>
        <w:ind w:left="2970" w:hanging="2970"/>
      </w:pPr>
      <w:rPr>
        <w:rFonts w:hint="default"/>
        <w:b/>
        <w:color w:val="auto"/>
      </w:rPr>
    </w:lvl>
    <w:lvl w:ilvl="1">
      <w:start w:val="63"/>
      <w:numFmt w:val="decimal"/>
      <w:lvlText w:val="%1.%2"/>
      <w:lvlJc w:val="left"/>
      <w:pPr>
        <w:tabs>
          <w:tab w:val="num" w:pos="2970"/>
        </w:tabs>
        <w:ind w:left="2970" w:hanging="2970"/>
      </w:pPr>
      <w:rPr>
        <w:rFonts w:hint="default"/>
        <w:b/>
        <w:color w:val="auto"/>
      </w:rPr>
    </w:lvl>
    <w:lvl w:ilvl="2">
      <w:start w:val="15"/>
      <w:numFmt w:val="decimal"/>
      <w:lvlText w:val="%1.%2-%3"/>
      <w:lvlJc w:val="left"/>
      <w:pPr>
        <w:tabs>
          <w:tab w:val="num" w:pos="2970"/>
        </w:tabs>
        <w:ind w:left="2970" w:hanging="2970"/>
      </w:pPr>
      <w:rPr>
        <w:rFonts w:hint="default"/>
        <w:b/>
        <w:color w:val="auto"/>
      </w:rPr>
    </w:lvl>
    <w:lvl w:ilvl="3">
      <w:start w:val="7"/>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9">
    <w:nsid w:val="79306EEA"/>
    <w:multiLevelType w:val="multilevel"/>
    <w:tmpl w:val="12C42EE4"/>
    <w:lvl w:ilvl="0">
      <w:start w:val="1"/>
      <w:numFmt w:val="decimal"/>
      <w:lvlText w:val="%1"/>
      <w:lvlJc w:val="left"/>
      <w:pPr>
        <w:tabs>
          <w:tab w:val="num" w:pos="795"/>
        </w:tabs>
        <w:ind w:left="795" w:hanging="795"/>
      </w:pPr>
      <w:rPr>
        <w:rFonts w:hint="default"/>
      </w:rPr>
    </w:lvl>
    <w:lvl w:ilvl="1">
      <w:start w:val="1"/>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A2E094F"/>
    <w:multiLevelType w:val="hybridMultilevel"/>
    <w:tmpl w:val="B4A0EF7E"/>
    <w:lvl w:ilvl="0" w:tplc="D9B0D9B4">
      <w:start w:val="1"/>
      <w:numFmt w:val="bullet"/>
      <w:lvlText w:val=""/>
      <w:lvlJc w:val="left"/>
      <w:pPr>
        <w:tabs>
          <w:tab w:val="num" w:pos="360"/>
        </w:tabs>
        <w:ind w:left="360" w:hanging="360"/>
      </w:pPr>
      <w:rPr>
        <w:rFonts w:ascii="Symbol" w:hAnsi="Symbol" w:hint="default"/>
      </w:rPr>
    </w:lvl>
    <w:lvl w:ilvl="1" w:tplc="8F949AD4" w:tentative="1">
      <w:start w:val="1"/>
      <w:numFmt w:val="bullet"/>
      <w:lvlText w:val="o"/>
      <w:lvlJc w:val="left"/>
      <w:pPr>
        <w:tabs>
          <w:tab w:val="num" w:pos="1080"/>
        </w:tabs>
        <w:ind w:left="1080" w:hanging="360"/>
      </w:pPr>
      <w:rPr>
        <w:rFonts w:ascii="Courier New" w:hAnsi="Courier New" w:cs="Courier New" w:hint="default"/>
      </w:rPr>
    </w:lvl>
    <w:lvl w:ilvl="2" w:tplc="48623DC4" w:tentative="1">
      <w:start w:val="1"/>
      <w:numFmt w:val="bullet"/>
      <w:lvlText w:val=""/>
      <w:lvlJc w:val="left"/>
      <w:pPr>
        <w:tabs>
          <w:tab w:val="num" w:pos="1800"/>
        </w:tabs>
        <w:ind w:left="1800" w:hanging="360"/>
      </w:pPr>
      <w:rPr>
        <w:rFonts w:ascii="Wingdings" w:hAnsi="Wingdings" w:hint="default"/>
      </w:rPr>
    </w:lvl>
    <w:lvl w:ilvl="3" w:tplc="EABE2744" w:tentative="1">
      <w:start w:val="1"/>
      <w:numFmt w:val="bullet"/>
      <w:lvlText w:val=""/>
      <w:lvlJc w:val="left"/>
      <w:pPr>
        <w:tabs>
          <w:tab w:val="num" w:pos="2520"/>
        </w:tabs>
        <w:ind w:left="2520" w:hanging="360"/>
      </w:pPr>
      <w:rPr>
        <w:rFonts w:ascii="Symbol" w:hAnsi="Symbol" w:hint="default"/>
      </w:rPr>
    </w:lvl>
    <w:lvl w:ilvl="4" w:tplc="AE187604" w:tentative="1">
      <w:start w:val="1"/>
      <w:numFmt w:val="bullet"/>
      <w:lvlText w:val="o"/>
      <w:lvlJc w:val="left"/>
      <w:pPr>
        <w:tabs>
          <w:tab w:val="num" w:pos="3240"/>
        </w:tabs>
        <w:ind w:left="3240" w:hanging="360"/>
      </w:pPr>
      <w:rPr>
        <w:rFonts w:ascii="Courier New" w:hAnsi="Courier New" w:cs="Courier New" w:hint="default"/>
      </w:rPr>
    </w:lvl>
    <w:lvl w:ilvl="5" w:tplc="E61EB78C" w:tentative="1">
      <w:start w:val="1"/>
      <w:numFmt w:val="bullet"/>
      <w:lvlText w:val=""/>
      <w:lvlJc w:val="left"/>
      <w:pPr>
        <w:tabs>
          <w:tab w:val="num" w:pos="3960"/>
        </w:tabs>
        <w:ind w:left="3960" w:hanging="360"/>
      </w:pPr>
      <w:rPr>
        <w:rFonts w:ascii="Wingdings" w:hAnsi="Wingdings" w:hint="default"/>
      </w:rPr>
    </w:lvl>
    <w:lvl w:ilvl="6" w:tplc="FB5A45D0" w:tentative="1">
      <w:start w:val="1"/>
      <w:numFmt w:val="bullet"/>
      <w:lvlText w:val=""/>
      <w:lvlJc w:val="left"/>
      <w:pPr>
        <w:tabs>
          <w:tab w:val="num" w:pos="4680"/>
        </w:tabs>
        <w:ind w:left="4680" w:hanging="360"/>
      </w:pPr>
      <w:rPr>
        <w:rFonts w:ascii="Symbol" w:hAnsi="Symbol" w:hint="default"/>
      </w:rPr>
    </w:lvl>
    <w:lvl w:ilvl="7" w:tplc="AFEA5A1C" w:tentative="1">
      <w:start w:val="1"/>
      <w:numFmt w:val="bullet"/>
      <w:lvlText w:val="o"/>
      <w:lvlJc w:val="left"/>
      <w:pPr>
        <w:tabs>
          <w:tab w:val="num" w:pos="5400"/>
        </w:tabs>
        <w:ind w:left="5400" w:hanging="360"/>
      </w:pPr>
      <w:rPr>
        <w:rFonts w:ascii="Courier New" w:hAnsi="Courier New" w:cs="Courier New" w:hint="default"/>
      </w:rPr>
    </w:lvl>
    <w:lvl w:ilvl="8" w:tplc="3B4638A4" w:tentative="1">
      <w:start w:val="1"/>
      <w:numFmt w:val="bullet"/>
      <w:lvlText w:val=""/>
      <w:lvlJc w:val="left"/>
      <w:pPr>
        <w:tabs>
          <w:tab w:val="num" w:pos="6120"/>
        </w:tabs>
        <w:ind w:left="6120" w:hanging="360"/>
      </w:pPr>
      <w:rPr>
        <w:rFonts w:ascii="Wingdings" w:hAnsi="Wingdings" w:hint="default"/>
      </w:rPr>
    </w:lvl>
  </w:abstractNum>
  <w:abstractNum w:abstractNumId="41">
    <w:nsid w:val="7AF8608A"/>
    <w:multiLevelType w:val="multilevel"/>
    <w:tmpl w:val="9BDAA224"/>
    <w:lvl w:ilvl="0">
      <w:start w:val="17"/>
      <w:numFmt w:val="decimal"/>
      <w:lvlText w:val="%1"/>
      <w:lvlJc w:val="left"/>
      <w:pPr>
        <w:tabs>
          <w:tab w:val="num" w:pos="2970"/>
        </w:tabs>
        <w:ind w:left="2970" w:hanging="2970"/>
      </w:pPr>
      <w:rPr>
        <w:rFonts w:hint="default"/>
        <w:b/>
        <w:color w:val="auto"/>
      </w:rPr>
    </w:lvl>
    <w:lvl w:ilvl="1">
      <w:start w:val="1"/>
      <w:numFmt w:val="decimal"/>
      <w:lvlText w:val="%1.%2"/>
      <w:lvlJc w:val="left"/>
      <w:pPr>
        <w:tabs>
          <w:tab w:val="num" w:pos="2970"/>
        </w:tabs>
        <w:ind w:left="2970" w:hanging="2970"/>
      </w:pPr>
      <w:rPr>
        <w:rFonts w:hint="default"/>
        <w:b/>
        <w:color w:val="auto"/>
      </w:rPr>
    </w:lvl>
    <w:lvl w:ilvl="2">
      <w:start w:val="17"/>
      <w:numFmt w:val="decimal"/>
      <w:lvlText w:val="%1.%2-%3"/>
      <w:lvlJc w:val="left"/>
      <w:pPr>
        <w:tabs>
          <w:tab w:val="num" w:pos="2970"/>
        </w:tabs>
        <w:ind w:left="2970" w:hanging="2970"/>
      </w:pPr>
      <w:rPr>
        <w:rFonts w:hint="default"/>
        <w:b/>
        <w:color w:val="auto"/>
      </w:rPr>
    </w:lvl>
    <w:lvl w:ilvl="3">
      <w:start w:val="2"/>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42">
    <w:nsid w:val="7B803F8C"/>
    <w:multiLevelType w:val="hybridMultilevel"/>
    <w:tmpl w:val="29843874"/>
    <w:lvl w:ilvl="0" w:tplc="132CEE2C">
      <w:start w:val="1"/>
      <w:numFmt w:val="lowerLetter"/>
      <w:lvlText w:val="%1."/>
      <w:lvlJc w:val="left"/>
      <w:pPr>
        <w:tabs>
          <w:tab w:val="num" w:pos="1440"/>
        </w:tabs>
        <w:ind w:left="1440" w:hanging="360"/>
      </w:pPr>
      <w:rPr>
        <w:rFonts w:hint="default"/>
      </w:rPr>
    </w:lvl>
    <w:lvl w:ilvl="1" w:tplc="ADDEC79E">
      <w:start w:val="1"/>
      <w:numFmt w:val="lowerLetter"/>
      <w:pStyle w:val="CEOindent-abc"/>
      <w:lvlText w:val="%2."/>
      <w:lvlJc w:val="left"/>
      <w:pPr>
        <w:tabs>
          <w:tab w:val="num" w:pos="1440"/>
        </w:tabs>
        <w:ind w:left="1440" w:hanging="360"/>
      </w:pPr>
      <w:rPr>
        <w:rFonts w:hint="default"/>
      </w:rPr>
    </w:lvl>
    <w:lvl w:ilvl="2" w:tplc="90B27922" w:tentative="1">
      <w:start w:val="1"/>
      <w:numFmt w:val="lowerRoman"/>
      <w:lvlText w:val="%3."/>
      <w:lvlJc w:val="right"/>
      <w:pPr>
        <w:tabs>
          <w:tab w:val="num" w:pos="2160"/>
        </w:tabs>
        <w:ind w:left="2160" w:hanging="180"/>
      </w:pPr>
    </w:lvl>
    <w:lvl w:ilvl="3" w:tplc="AC8849EA" w:tentative="1">
      <w:start w:val="1"/>
      <w:numFmt w:val="decimal"/>
      <w:lvlText w:val="%4."/>
      <w:lvlJc w:val="left"/>
      <w:pPr>
        <w:tabs>
          <w:tab w:val="num" w:pos="2880"/>
        </w:tabs>
        <w:ind w:left="2880" w:hanging="360"/>
      </w:pPr>
    </w:lvl>
    <w:lvl w:ilvl="4" w:tplc="0F628072" w:tentative="1">
      <w:start w:val="1"/>
      <w:numFmt w:val="lowerLetter"/>
      <w:lvlText w:val="%5."/>
      <w:lvlJc w:val="left"/>
      <w:pPr>
        <w:tabs>
          <w:tab w:val="num" w:pos="3600"/>
        </w:tabs>
        <w:ind w:left="3600" w:hanging="360"/>
      </w:pPr>
    </w:lvl>
    <w:lvl w:ilvl="5" w:tplc="1BEC95EA" w:tentative="1">
      <w:start w:val="1"/>
      <w:numFmt w:val="lowerRoman"/>
      <w:lvlText w:val="%6."/>
      <w:lvlJc w:val="right"/>
      <w:pPr>
        <w:tabs>
          <w:tab w:val="num" w:pos="4320"/>
        </w:tabs>
        <w:ind w:left="4320" w:hanging="180"/>
      </w:pPr>
    </w:lvl>
    <w:lvl w:ilvl="6" w:tplc="BFF21CA8" w:tentative="1">
      <w:start w:val="1"/>
      <w:numFmt w:val="decimal"/>
      <w:lvlText w:val="%7."/>
      <w:lvlJc w:val="left"/>
      <w:pPr>
        <w:tabs>
          <w:tab w:val="num" w:pos="5040"/>
        </w:tabs>
        <w:ind w:left="5040" w:hanging="360"/>
      </w:pPr>
    </w:lvl>
    <w:lvl w:ilvl="7" w:tplc="9DC62A5E" w:tentative="1">
      <w:start w:val="1"/>
      <w:numFmt w:val="lowerLetter"/>
      <w:lvlText w:val="%8."/>
      <w:lvlJc w:val="left"/>
      <w:pPr>
        <w:tabs>
          <w:tab w:val="num" w:pos="5760"/>
        </w:tabs>
        <w:ind w:left="5760" w:hanging="360"/>
      </w:pPr>
    </w:lvl>
    <w:lvl w:ilvl="8" w:tplc="CB7497D4" w:tentative="1">
      <w:start w:val="1"/>
      <w:numFmt w:val="lowerRoman"/>
      <w:lvlText w:val="%9."/>
      <w:lvlJc w:val="right"/>
      <w:pPr>
        <w:tabs>
          <w:tab w:val="num" w:pos="6480"/>
        </w:tabs>
        <w:ind w:left="6480" w:hanging="180"/>
      </w:pPr>
    </w:lvl>
  </w:abstractNum>
  <w:abstractNum w:abstractNumId="43">
    <w:nsid w:val="7FA10C87"/>
    <w:multiLevelType w:val="hybridMultilevel"/>
    <w:tmpl w:val="FC7E00C2"/>
    <w:lvl w:ilvl="0" w:tplc="040C0017">
      <w:start w:val="5"/>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4"/>
  </w:num>
  <w:num w:numId="4">
    <w:abstractNumId w:val="27"/>
  </w:num>
  <w:num w:numId="5">
    <w:abstractNumId w:val="11"/>
    <w:lvlOverride w:ilvl="0">
      <w:lvl w:ilvl="0">
        <w:numFmt w:val="bullet"/>
        <w:lvlText w:val=""/>
        <w:legacy w:legacy="1" w:legacySpace="0" w:legacyIndent="0"/>
        <w:lvlJc w:val="left"/>
        <w:rPr>
          <w:rFonts w:ascii="Symbol" w:hAnsi="Symbol" w:hint="default"/>
        </w:rPr>
      </w:lvl>
    </w:lvlOverride>
  </w:num>
  <w:num w:numId="6">
    <w:abstractNumId w:val="32"/>
  </w:num>
  <w:num w:numId="7">
    <w:abstractNumId w:val="8"/>
  </w:num>
  <w:num w:numId="8">
    <w:abstractNumId w:val="7"/>
  </w:num>
  <w:num w:numId="9">
    <w:abstractNumId w:val="16"/>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9"/>
  </w:num>
  <w:num w:numId="18">
    <w:abstractNumId w:val="34"/>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5"/>
  </w:num>
  <w:num w:numId="23">
    <w:abstractNumId w:val="28"/>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6"/>
  </w:num>
  <w:num w:numId="27">
    <w:abstractNumId w:val="21"/>
  </w:num>
  <w:num w:numId="28">
    <w:abstractNumId w:val="36"/>
  </w:num>
  <w:num w:numId="29">
    <w:abstractNumId w:val="20"/>
  </w:num>
  <w:num w:numId="30">
    <w:abstractNumId w:val="40"/>
  </w:num>
  <w:num w:numId="31">
    <w:abstractNumId w:val="24"/>
  </w:num>
  <w:num w:numId="32">
    <w:abstractNumId w:val="22"/>
  </w:num>
  <w:num w:numId="33">
    <w:abstractNumId w:val="37"/>
  </w:num>
  <w:num w:numId="34">
    <w:abstractNumId w:val="42"/>
  </w:num>
  <w:num w:numId="35">
    <w:abstractNumId w:val="17"/>
  </w:num>
  <w:num w:numId="36">
    <w:abstractNumId w:val="23"/>
  </w:num>
  <w:num w:numId="37">
    <w:abstractNumId w:val="12"/>
  </w:num>
  <w:num w:numId="38">
    <w:abstractNumId w:val="38"/>
  </w:num>
  <w:num w:numId="39">
    <w:abstractNumId w:val="33"/>
  </w:num>
  <w:num w:numId="40">
    <w:abstractNumId w:val="41"/>
  </w:num>
  <w:num w:numId="41">
    <w:abstractNumId w:val="43"/>
  </w:num>
  <w:num w:numId="42">
    <w:abstractNumId w:val="18"/>
  </w:num>
  <w:num w:numId="43">
    <w:abstractNumId w:val="13"/>
  </w:num>
  <w:num w:numId="44">
    <w:abstractNumId w:val="0"/>
  </w:num>
  <w:num w:numId="45">
    <w:abstractNumId w:val="31"/>
  </w:num>
  <w:num w:numId="46">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F97148"/>
    <w:rsid w:val="000003AA"/>
    <w:rsid w:val="00000A4F"/>
    <w:rsid w:val="00001EC1"/>
    <w:rsid w:val="00002558"/>
    <w:rsid w:val="0000308F"/>
    <w:rsid w:val="000032CF"/>
    <w:rsid w:val="0000365F"/>
    <w:rsid w:val="000036F4"/>
    <w:rsid w:val="000038A5"/>
    <w:rsid w:val="00003B4C"/>
    <w:rsid w:val="0000430C"/>
    <w:rsid w:val="000104A0"/>
    <w:rsid w:val="00010B79"/>
    <w:rsid w:val="00010FE6"/>
    <w:rsid w:val="00011887"/>
    <w:rsid w:val="000118E2"/>
    <w:rsid w:val="00013DC1"/>
    <w:rsid w:val="00015535"/>
    <w:rsid w:val="0001651E"/>
    <w:rsid w:val="00016903"/>
    <w:rsid w:val="00016BF5"/>
    <w:rsid w:val="00020045"/>
    <w:rsid w:val="000231E5"/>
    <w:rsid w:val="00025314"/>
    <w:rsid w:val="0002641B"/>
    <w:rsid w:val="00026A4A"/>
    <w:rsid w:val="00027602"/>
    <w:rsid w:val="00027D03"/>
    <w:rsid w:val="0003039B"/>
    <w:rsid w:val="00030629"/>
    <w:rsid w:val="0003188E"/>
    <w:rsid w:val="00032CDA"/>
    <w:rsid w:val="000332F8"/>
    <w:rsid w:val="0003433B"/>
    <w:rsid w:val="000343B3"/>
    <w:rsid w:val="00035700"/>
    <w:rsid w:val="00036303"/>
    <w:rsid w:val="0003633E"/>
    <w:rsid w:val="000377CD"/>
    <w:rsid w:val="00041985"/>
    <w:rsid w:val="00043339"/>
    <w:rsid w:val="000438AD"/>
    <w:rsid w:val="0004485F"/>
    <w:rsid w:val="00047026"/>
    <w:rsid w:val="000475D2"/>
    <w:rsid w:val="0004791C"/>
    <w:rsid w:val="00052702"/>
    <w:rsid w:val="00055999"/>
    <w:rsid w:val="00055C69"/>
    <w:rsid w:val="00055EE2"/>
    <w:rsid w:val="00056078"/>
    <w:rsid w:val="000575AF"/>
    <w:rsid w:val="00057B18"/>
    <w:rsid w:val="00060820"/>
    <w:rsid w:val="000608A2"/>
    <w:rsid w:val="00061064"/>
    <w:rsid w:val="0006154D"/>
    <w:rsid w:val="000615C2"/>
    <w:rsid w:val="00061811"/>
    <w:rsid w:val="00062CD6"/>
    <w:rsid w:val="0006325B"/>
    <w:rsid w:val="00064F42"/>
    <w:rsid w:val="00065262"/>
    <w:rsid w:val="00065683"/>
    <w:rsid w:val="00065692"/>
    <w:rsid w:val="0006684C"/>
    <w:rsid w:val="00067022"/>
    <w:rsid w:val="00070BBB"/>
    <w:rsid w:val="0007132A"/>
    <w:rsid w:val="00072C88"/>
    <w:rsid w:val="00073A0C"/>
    <w:rsid w:val="00074E1B"/>
    <w:rsid w:val="000764C7"/>
    <w:rsid w:val="00077525"/>
    <w:rsid w:val="00077691"/>
    <w:rsid w:val="00077D5D"/>
    <w:rsid w:val="00080501"/>
    <w:rsid w:val="00080564"/>
    <w:rsid w:val="00080641"/>
    <w:rsid w:val="00080B99"/>
    <w:rsid w:val="00081F9F"/>
    <w:rsid w:val="0008208D"/>
    <w:rsid w:val="00083040"/>
    <w:rsid w:val="0008342F"/>
    <w:rsid w:val="000845FD"/>
    <w:rsid w:val="00084875"/>
    <w:rsid w:val="00084C48"/>
    <w:rsid w:val="0008570C"/>
    <w:rsid w:val="00085B2E"/>
    <w:rsid w:val="00086956"/>
    <w:rsid w:val="000900E3"/>
    <w:rsid w:val="00090F26"/>
    <w:rsid w:val="000915D1"/>
    <w:rsid w:val="000921F8"/>
    <w:rsid w:val="000968A9"/>
    <w:rsid w:val="00096FCD"/>
    <w:rsid w:val="000A068B"/>
    <w:rsid w:val="000A08DF"/>
    <w:rsid w:val="000A0926"/>
    <w:rsid w:val="000A0BAE"/>
    <w:rsid w:val="000A1098"/>
    <w:rsid w:val="000A1C7E"/>
    <w:rsid w:val="000A1CB8"/>
    <w:rsid w:val="000A2861"/>
    <w:rsid w:val="000A3545"/>
    <w:rsid w:val="000A39EC"/>
    <w:rsid w:val="000A4005"/>
    <w:rsid w:val="000A596D"/>
    <w:rsid w:val="000A6EEF"/>
    <w:rsid w:val="000B146C"/>
    <w:rsid w:val="000B1E86"/>
    <w:rsid w:val="000B259F"/>
    <w:rsid w:val="000B2CFB"/>
    <w:rsid w:val="000B3024"/>
    <w:rsid w:val="000B30A2"/>
    <w:rsid w:val="000B30AE"/>
    <w:rsid w:val="000B33D5"/>
    <w:rsid w:val="000B403C"/>
    <w:rsid w:val="000B54BE"/>
    <w:rsid w:val="000B5B9C"/>
    <w:rsid w:val="000B5C27"/>
    <w:rsid w:val="000B61AC"/>
    <w:rsid w:val="000B647E"/>
    <w:rsid w:val="000B736B"/>
    <w:rsid w:val="000C0DA9"/>
    <w:rsid w:val="000C1194"/>
    <w:rsid w:val="000C1A79"/>
    <w:rsid w:val="000C1AD2"/>
    <w:rsid w:val="000C1B1A"/>
    <w:rsid w:val="000C2E7C"/>
    <w:rsid w:val="000C3613"/>
    <w:rsid w:val="000C3912"/>
    <w:rsid w:val="000C469D"/>
    <w:rsid w:val="000C523A"/>
    <w:rsid w:val="000C5CBD"/>
    <w:rsid w:val="000C680E"/>
    <w:rsid w:val="000C6E3D"/>
    <w:rsid w:val="000C7F20"/>
    <w:rsid w:val="000D128F"/>
    <w:rsid w:val="000D1657"/>
    <w:rsid w:val="000D476E"/>
    <w:rsid w:val="000D4A85"/>
    <w:rsid w:val="000D5603"/>
    <w:rsid w:val="000D5C10"/>
    <w:rsid w:val="000D6596"/>
    <w:rsid w:val="000D7851"/>
    <w:rsid w:val="000E0367"/>
    <w:rsid w:val="000E1977"/>
    <w:rsid w:val="000E2E20"/>
    <w:rsid w:val="000E36DD"/>
    <w:rsid w:val="000E405B"/>
    <w:rsid w:val="000E4E0E"/>
    <w:rsid w:val="000E6C26"/>
    <w:rsid w:val="000E7C4A"/>
    <w:rsid w:val="000E7D2A"/>
    <w:rsid w:val="000F00FF"/>
    <w:rsid w:val="000F0928"/>
    <w:rsid w:val="000F10E2"/>
    <w:rsid w:val="000F126E"/>
    <w:rsid w:val="000F375A"/>
    <w:rsid w:val="000F486E"/>
    <w:rsid w:val="000F5097"/>
    <w:rsid w:val="000F52F3"/>
    <w:rsid w:val="000F5B29"/>
    <w:rsid w:val="000F6A2A"/>
    <w:rsid w:val="0010045E"/>
    <w:rsid w:val="00100534"/>
    <w:rsid w:val="0010310F"/>
    <w:rsid w:val="001035E3"/>
    <w:rsid w:val="0010386F"/>
    <w:rsid w:val="0010499F"/>
    <w:rsid w:val="00105CFB"/>
    <w:rsid w:val="0010646A"/>
    <w:rsid w:val="00106CFA"/>
    <w:rsid w:val="00110F70"/>
    <w:rsid w:val="00112903"/>
    <w:rsid w:val="00113338"/>
    <w:rsid w:val="001134F9"/>
    <w:rsid w:val="0011440A"/>
    <w:rsid w:val="0011451F"/>
    <w:rsid w:val="00114AA7"/>
    <w:rsid w:val="00115571"/>
    <w:rsid w:val="00115E2D"/>
    <w:rsid w:val="001162EB"/>
    <w:rsid w:val="0011645C"/>
    <w:rsid w:val="00116C09"/>
    <w:rsid w:val="001178FD"/>
    <w:rsid w:val="00117A21"/>
    <w:rsid w:val="00120BFC"/>
    <w:rsid w:val="00122957"/>
    <w:rsid w:val="001229D0"/>
    <w:rsid w:val="00124DAD"/>
    <w:rsid w:val="00124FB4"/>
    <w:rsid w:val="00125A27"/>
    <w:rsid w:val="00126ED1"/>
    <w:rsid w:val="0012717E"/>
    <w:rsid w:val="00127B11"/>
    <w:rsid w:val="001308DA"/>
    <w:rsid w:val="00131F4D"/>
    <w:rsid w:val="00132FDF"/>
    <w:rsid w:val="00136260"/>
    <w:rsid w:val="00137449"/>
    <w:rsid w:val="00137E50"/>
    <w:rsid w:val="00137E5A"/>
    <w:rsid w:val="001401C6"/>
    <w:rsid w:val="00140E6C"/>
    <w:rsid w:val="00141100"/>
    <w:rsid w:val="001415A9"/>
    <w:rsid w:val="00141723"/>
    <w:rsid w:val="001426A7"/>
    <w:rsid w:val="0014475F"/>
    <w:rsid w:val="001454D4"/>
    <w:rsid w:val="001460EE"/>
    <w:rsid w:val="0014691A"/>
    <w:rsid w:val="0014746B"/>
    <w:rsid w:val="001476E5"/>
    <w:rsid w:val="00147E69"/>
    <w:rsid w:val="0015035A"/>
    <w:rsid w:val="00151785"/>
    <w:rsid w:val="00151874"/>
    <w:rsid w:val="00151995"/>
    <w:rsid w:val="00152EF8"/>
    <w:rsid w:val="00153922"/>
    <w:rsid w:val="00155A67"/>
    <w:rsid w:val="001560F3"/>
    <w:rsid w:val="0015627E"/>
    <w:rsid w:val="00156988"/>
    <w:rsid w:val="00156DA9"/>
    <w:rsid w:val="00156F94"/>
    <w:rsid w:val="00157474"/>
    <w:rsid w:val="001625C5"/>
    <w:rsid w:val="00162AA1"/>
    <w:rsid w:val="00163F7E"/>
    <w:rsid w:val="001645EE"/>
    <w:rsid w:val="0016569B"/>
    <w:rsid w:val="00166053"/>
    <w:rsid w:val="00166431"/>
    <w:rsid w:val="00166549"/>
    <w:rsid w:val="00170B8D"/>
    <w:rsid w:val="00170FE4"/>
    <w:rsid w:val="0017110E"/>
    <w:rsid w:val="001719C0"/>
    <w:rsid w:val="00171B83"/>
    <w:rsid w:val="00172018"/>
    <w:rsid w:val="00173A63"/>
    <w:rsid w:val="00173ED0"/>
    <w:rsid w:val="001744CA"/>
    <w:rsid w:val="00174E58"/>
    <w:rsid w:val="001757A8"/>
    <w:rsid w:val="0017672F"/>
    <w:rsid w:val="00180BBF"/>
    <w:rsid w:val="00181882"/>
    <w:rsid w:val="001836BF"/>
    <w:rsid w:val="00183F01"/>
    <w:rsid w:val="00184497"/>
    <w:rsid w:val="001906BB"/>
    <w:rsid w:val="00190F06"/>
    <w:rsid w:val="00191E9B"/>
    <w:rsid w:val="001927C0"/>
    <w:rsid w:val="00192AD0"/>
    <w:rsid w:val="0019314C"/>
    <w:rsid w:val="00193445"/>
    <w:rsid w:val="00193CCB"/>
    <w:rsid w:val="0019421A"/>
    <w:rsid w:val="00194F2A"/>
    <w:rsid w:val="00195190"/>
    <w:rsid w:val="0019694A"/>
    <w:rsid w:val="001A0156"/>
    <w:rsid w:val="001A13C0"/>
    <w:rsid w:val="001A1806"/>
    <w:rsid w:val="001A1EBB"/>
    <w:rsid w:val="001A2578"/>
    <w:rsid w:val="001A2678"/>
    <w:rsid w:val="001A30C0"/>
    <w:rsid w:val="001A360B"/>
    <w:rsid w:val="001A3E3C"/>
    <w:rsid w:val="001A4124"/>
    <w:rsid w:val="001A648C"/>
    <w:rsid w:val="001A6CBC"/>
    <w:rsid w:val="001A6F4C"/>
    <w:rsid w:val="001B01AF"/>
    <w:rsid w:val="001B112E"/>
    <w:rsid w:val="001B1BC3"/>
    <w:rsid w:val="001B1CCF"/>
    <w:rsid w:val="001B1D06"/>
    <w:rsid w:val="001B2E2A"/>
    <w:rsid w:val="001B4837"/>
    <w:rsid w:val="001B62CA"/>
    <w:rsid w:val="001B6C2B"/>
    <w:rsid w:val="001B7013"/>
    <w:rsid w:val="001B7231"/>
    <w:rsid w:val="001B74DD"/>
    <w:rsid w:val="001B7F8A"/>
    <w:rsid w:val="001C02E3"/>
    <w:rsid w:val="001C147D"/>
    <w:rsid w:val="001C1DEC"/>
    <w:rsid w:val="001C2DCD"/>
    <w:rsid w:val="001C2FE5"/>
    <w:rsid w:val="001C450B"/>
    <w:rsid w:val="001C4923"/>
    <w:rsid w:val="001C4BA3"/>
    <w:rsid w:val="001C621D"/>
    <w:rsid w:val="001C64B9"/>
    <w:rsid w:val="001C6F27"/>
    <w:rsid w:val="001C7B92"/>
    <w:rsid w:val="001D0543"/>
    <w:rsid w:val="001D1509"/>
    <w:rsid w:val="001D1739"/>
    <w:rsid w:val="001D1B00"/>
    <w:rsid w:val="001D3015"/>
    <w:rsid w:val="001D40DC"/>
    <w:rsid w:val="001D40F5"/>
    <w:rsid w:val="001D411E"/>
    <w:rsid w:val="001D622B"/>
    <w:rsid w:val="001D62B2"/>
    <w:rsid w:val="001D7B29"/>
    <w:rsid w:val="001D7EB3"/>
    <w:rsid w:val="001E0BE9"/>
    <w:rsid w:val="001E111C"/>
    <w:rsid w:val="001E1987"/>
    <w:rsid w:val="001E1D0E"/>
    <w:rsid w:val="001E2C63"/>
    <w:rsid w:val="001E2E19"/>
    <w:rsid w:val="001E3411"/>
    <w:rsid w:val="001E35F8"/>
    <w:rsid w:val="001E393C"/>
    <w:rsid w:val="001E3E82"/>
    <w:rsid w:val="001E3EFE"/>
    <w:rsid w:val="001E4AA6"/>
    <w:rsid w:val="001E4EFC"/>
    <w:rsid w:val="001E5A8B"/>
    <w:rsid w:val="001E6B63"/>
    <w:rsid w:val="001E7CAC"/>
    <w:rsid w:val="001F0534"/>
    <w:rsid w:val="001F05BD"/>
    <w:rsid w:val="001F05EE"/>
    <w:rsid w:val="001F1011"/>
    <w:rsid w:val="001F264F"/>
    <w:rsid w:val="001F2F83"/>
    <w:rsid w:val="001F3325"/>
    <w:rsid w:val="001F3BFE"/>
    <w:rsid w:val="001F632A"/>
    <w:rsid w:val="001F72BA"/>
    <w:rsid w:val="002001C0"/>
    <w:rsid w:val="002009F0"/>
    <w:rsid w:val="00200C50"/>
    <w:rsid w:val="00200D16"/>
    <w:rsid w:val="00202194"/>
    <w:rsid w:val="002024CF"/>
    <w:rsid w:val="00203296"/>
    <w:rsid w:val="002052F0"/>
    <w:rsid w:val="00206C31"/>
    <w:rsid w:val="00206C53"/>
    <w:rsid w:val="00206DD5"/>
    <w:rsid w:val="0020761F"/>
    <w:rsid w:val="00207A8A"/>
    <w:rsid w:val="00210743"/>
    <w:rsid w:val="002107F4"/>
    <w:rsid w:val="00210C72"/>
    <w:rsid w:val="00215528"/>
    <w:rsid w:val="00215C08"/>
    <w:rsid w:val="00217E9F"/>
    <w:rsid w:val="0022203F"/>
    <w:rsid w:val="002223A5"/>
    <w:rsid w:val="00222646"/>
    <w:rsid w:val="0022280B"/>
    <w:rsid w:val="0022402B"/>
    <w:rsid w:val="00224924"/>
    <w:rsid w:val="0022778B"/>
    <w:rsid w:val="00227800"/>
    <w:rsid w:val="002314C9"/>
    <w:rsid w:val="0023295F"/>
    <w:rsid w:val="0023334A"/>
    <w:rsid w:val="002336B5"/>
    <w:rsid w:val="0023394E"/>
    <w:rsid w:val="00233AD1"/>
    <w:rsid w:val="00234059"/>
    <w:rsid w:val="00234904"/>
    <w:rsid w:val="00234CFA"/>
    <w:rsid w:val="00235E81"/>
    <w:rsid w:val="002369FD"/>
    <w:rsid w:val="0023709E"/>
    <w:rsid w:val="0023765F"/>
    <w:rsid w:val="00237D3E"/>
    <w:rsid w:val="0024089E"/>
    <w:rsid w:val="00240C1C"/>
    <w:rsid w:val="00240EA5"/>
    <w:rsid w:val="0024122F"/>
    <w:rsid w:val="002414C9"/>
    <w:rsid w:val="00242DAE"/>
    <w:rsid w:val="00244D9A"/>
    <w:rsid w:val="00244EF3"/>
    <w:rsid w:val="002455FC"/>
    <w:rsid w:val="00245C7B"/>
    <w:rsid w:val="002460E4"/>
    <w:rsid w:val="00246A28"/>
    <w:rsid w:val="00246ABA"/>
    <w:rsid w:val="00247AA5"/>
    <w:rsid w:val="0025069C"/>
    <w:rsid w:val="002528C0"/>
    <w:rsid w:val="00253205"/>
    <w:rsid w:val="00254364"/>
    <w:rsid w:val="002546CC"/>
    <w:rsid w:val="00255736"/>
    <w:rsid w:val="00255FAC"/>
    <w:rsid w:val="00256C4F"/>
    <w:rsid w:val="00257B5D"/>
    <w:rsid w:val="00260AAB"/>
    <w:rsid w:val="00260F99"/>
    <w:rsid w:val="0026248C"/>
    <w:rsid w:val="002634F5"/>
    <w:rsid w:val="00264224"/>
    <w:rsid w:val="002647F0"/>
    <w:rsid w:val="0026535F"/>
    <w:rsid w:val="002654C0"/>
    <w:rsid w:val="00266BB2"/>
    <w:rsid w:val="00267ED8"/>
    <w:rsid w:val="002714E0"/>
    <w:rsid w:val="00272A76"/>
    <w:rsid w:val="00274628"/>
    <w:rsid w:val="0027589D"/>
    <w:rsid w:val="00277B65"/>
    <w:rsid w:val="00280AEE"/>
    <w:rsid w:val="00281436"/>
    <w:rsid w:val="002823CD"/>
    <w:rsid w:val="00282BE9"/>
    <w:rsid w:val="00283311"/>
    <w:rsid w:val="00284032"/>
    <w:rsid w:val="002854EE"/>
    <w:rsid w:val="00285EB6"/>
    <w:rsid w:val="00287100"/>
    <w:rsid w:val="00290099"/>
    <w:rsid w:val="002901EF"/>
    <w:rsid w:val="002904B5"/>
    <w:rsid w:val="00290D1C"/>
    <w:rsid w:val="00291240"/>
    <w:rsid w:val="00291A4D"/>
    <w:rsid w:val="00291B8E"/>
    <w:rsid w:val="00291FEB"/>
    <w:rsid w:val="002949F9"/>
    <w:rsid w:val="00294C26"/>
    <w:rsid w:val="00294C44"/>
    <w:rsid w:val="00295870"/>
    <w:rsid w:val="00296DBD"/>
    <w:rsid w:val="00296EDF"/>
    <w:rsid w:val="0029787C"/>
    <w:rsid w:val="002A063F"/>
    <w:rsid w:val="002A0DFA"/>
    <w:rsid w:val="002A1026"/>
    <w:rsid w:val="002A1617"/>
    <w:rsid w:val="002A27D0"/>
    <w:rsid w:val="002A33A2"/>
    <w:rsid w:val="002A3FDB"/>
    <w:rsid w:val="002A4500"/>
    <w:rsid w:val="002A4BFD"/>
    <w:rsid w:val="002A62A0"/>
    <w:rsid w:val="002A6A17"/>
    <w:rsid w:val="002A778B"/>
    <w:rsid w:val="002A7B5E"/>
    <w:rsid w:val="002B0E45"/>
    <w:rsid w:val="002B2BA5"/>
    <w:rsid w:val="002B347C"/>
    <w:rsid w:val="002B4821"/>
    <w:rsid w:val="002B49B0"/>
    <w:rsid w:val="002B53E2"/>
    <w:rsid w:val="002B62CE"/>
    <w:rsid w:val="002B679F"/>
    <w:rsid w:val="002C225C"/>
    <w:rsid w:val="002C2FC8"/>
    <w:rsid w:val="002C32FD"/>
    <w:rsid w:val="002C37A9"/>
    <w:rsid w:val="002C5D85"/>
    <w:rsid w:val="002C5F86"/>
    <w:rsid w:val="002C67D1"/>
    <w:rsid w:val="002C76FE"/>
    <w:rsid w:val="002C77CC"/>
    <w:rsid w:val="002D0D9A"/>
    <w:rsid w:val="002D122B"/>
    <w:rsid w:val="002D15B4"/>
    <w:rsid w:val="002D18B8"/>
    <w:rsid w:val="002D1A9C"/>
    <w:rsid w:val="002D1D22"/>
    <w:rsid w:val="002D2358"/>
    <w:rsid w:val="002D3849"/>
    <w:rsid w:val="002D39E6"/>
    <w:rsid w:val="002D4365"/>
    <w:rsid w:val="002D4A26"/>
    <w:rsid w:val="002D4FCA"/>
    <w:rsid w:val="002D5285"/>
    <w:rsid w:val="002D528E"/>
    <w:rsid w:val="002D5CEB"/>
    <w:rsid w:val="002D6197"/>
    <w:rsid w:val="002D766F"/>
    <w:rsid w:val="002D7756"/>
    <w:rsid w:val="002D7C01"/>
    <w:rsid w:val="002E060D"/>
    <w:rsid w:val="002E22B6"/>
    <w:rsid w:val="002E2FC7"/>
    <w:rsid w:val="002E410D"/>
    <w:rsid w:val="002E4725"/>
    <w:rsid w:val="002E6A8B"/>
    <w:rsid w:val="002E72B8"/>
    <w:rsid w:val="002F29A6"/>
    <w:rsid w:val="002F30F0"/>
    <w:rsid w:val="002F31A2"/>
    <w:rsid w:val="002F360B"/>
    <w:rsid w:val="002F463C"/>
    <w:rsid w:val="002F49C3"/>
    <w:rsid w:val="002F68AC"/>
    <w:rsid w:val="002F68B0"/>
    <w:rsid w:val="002F71C2"/>
    <w:rsid w:val="002F7CBE"/>
    <w:rsid w:val="002F7CE1"/>
    <w:rsid w:val="00300AAB"/>
    <w:rsid w:val="0030198E"/>
    <w:rsid w:val="00301A6E"/>
    <w:rsid w:val="00301B3B"/>
    <w:rsid w:val="00302D83"/>
    <w:rsid w:val="0030342E"/>
    <w:rsid w:val="003036CC"/>
    <w:rsid w:val="003045D0"/>
    <w:rsid w:val="00306B5E"/>
    <w:rsid w:val="003070F7"/>
    <w:rsid w:val="003072AC"/>
    <w:rsid w:val="0031024C"/>
    <w:rsid w:val="00310994"/>
    <w:rsid w:val="00311736"/>
    <w:rsid w:val="00311A96"/>
    <w:rsid w:val="00311D5D"/>
    <w:rsid w:val="00312595"/>
    <w:rsid w:val="0031285A"/>
    <w:rsid w:val="00312EEE"/>
    <w:rsid w:val="003136AD"/>
    <w:rsid w:val="00314B9D"/>
    <w:rsid w:val="00315411"/>
    <w:rsid w:val="00315567"/>
    <w:rsid w:val="003156AF"/>
    <w:rsid w:val="00315979"/>
    <w:rsid w:val="003160B6"/>
    <w:rsid w:val="00316FFD"/>
    <w:rsid w:val="003175C8"/>
    <w:rsid w:val="00320D72"/>
    <w:rsid w:val="003223F1"/>
    <w:rsid w:val="0032559F"/>
    <w:rsid w:val="003266BD"/>
    <w:rsid w:val="003276B7"/>
    <w:rsid w:val="00327F0F"/>
    <w:rsid w:val="003301EC"/>
    <w:rsid w:val="00330221"/>
    <w:rsid w:val="003309ED"/>
    <w:rsid w:val="00330B91"/>
    <w:rsid w:val="00331292"/>
    <w:rsid w:val="0033427B"/>
    <w:rsid w:val="003356D7"/>
    <w:rsid w:val="00336437"/>
    <w:rsid w:val="00336471"/>
    <w:rsid w:val="00336B59"/>
    <w:rsid w:val="00336F26"/>
    <w:rsid w:val="00337712"/>
    <w:rsid w:val="00337F4F"/>
    <w:rsid w:val="00340618"/>
    <w:rsid w:val="00343171"/>
    <w:rsid w:val="003437E9"/>
    <w:rsid w:val="00343D7F"/>
    <w:rsid w:val="00343DC9"/>
    <w:rsid w:val="003479E0"/>
    <w:rsid w:val="00350544"/>
    <w:rsid w:val="00352084"/>
    <w:rsid w:val="0035434D"/>
    <w:rsid w:val="00355785"/>
    <w:rsid w:val="00355CB2"/>
    <w:rsid w:val="00355E77"/>
    <w:rsid w:val="00356049"/>
    <w:rsid w:val="00356CC2"/>
    <w:rsid w:val="003603B5"/>
    <w:rsid w:val="0036052F"/>
    <w:rsid w:val="00361C23"/>
    <w:rsid w:val="003627B2"/>
    <w:rsid w:val="00362A5F"/>
    <w:rsid w:val="003633DF"/>
    <w:rsid w:val="00364137"/>
    <w:rsid w:val="00364297"/>
    <w:rsid w:val="00364D8D"/>
    <w:rsid w:val="0036541D"/>
    <w:rsid w:val="00366375"/>
    <w:rsid w:val="00370725"/>
    <w:rsid w:val="00370C9A"/>
    <w:rsid w:val="003718F9"/>
    <w:rsid w:val="00372DEF"/>
    <w:rsid w:val="00376745"/>
    <w:rsid w:val="00376E8E"/>
    <w:rsid w:val="00377B49"/>
    <w:rsid w:val="0038021B"/>
    <w:rsid w:val="00381342"/>
    <w:rsid w:val="00381F3F"/>
    <w:rsid w:val="00382736"/>
    <w:rsid w:val="00382983"/>
    <w:rsid w:val="003829E6"/>
    <w:rsid w:val="003839EB"/>
    <w:rsid w:val="00383F84"/>
    <w:rsid w:val="003861C8"/>
    <w:rsid w:val="00387213"/>
    <w:rsid w:val="00387E96"/>
    <w:rsid w:val="00390223"/>
    <w:rsid w:val="003907FB"/>
    <w:rsid w:val="003939D6"/>
    <w:rsid w:val="003946E7"/>
    <w:rsid w:val="00394791"/>
    <w:rsid w:val="0039616F"/>
    <w:rsid w:val="003961F7"/>
    <w:rsid w:val="00396F81"/>
    <w:rsid w:val="00396FB1"/>
    <w:rsid w:val="00397DEF"/>
    <w:rsid w:val="003A04EA"/>
    <w:rsid w:val="003A13CD"/>
    <w:rsid w:val="003A3389"/>
    <w:rsid w:val="003A39BA"/>
    <w:rsid w:val="003A417E"/>
    <w:rsid w:val="003A5151"/>
    <w:rsid w:val="003A5E56"/>
    <w:rsid w:val="003A5EEA"/>
    <w:rsid w:val="003A68F0"/>
    <w:rsid w:val="003A717A"/>
    <w:rsid w:val="003A7C71"/>
    <w:rsid w:val="003A7CA2"/>
    <w:rsid w:val="003B0EFD"/>
    <w:rsid w:val="003B1017"/>
    <w:rsid w:val="003B1AFC"/>
    <w:rsid w:val="003B1CC2"/>
    <w:rsid w:val="003B3AFA"/>
    <w:rsid w:val="003B4129"/>
    <w:rsid w:val="003B5097"/>
    <w:rsid w:val="003B6263"/>
    <w:rsid w:val="003B6BCC"/>
    <w:rsid w:val="003B6E71"/>
    <w:rsid w:val="003B765D"/>
    <w:rsid w:val="003B7A9A"/>
    <w:rsid w:val="003C0856"/>
    <w:rsid w:val="003C0958"/>
    <w:rsid w:val="003C0BF7"/>
    <w:rsid w:val="003C138C"/>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C4"/>
    <w:rsid w:val="003D2DBE"/>
    <w:rsid w:val="003D3377"/>
    <w:rsid w:val="003D59D6"/>
    <w:rsid w:val="003D6BFD"/>
    <w:rsid w:val="003D6DF0"/>
    <w:rsid w:val="003E0EB8"/>
    <w:rsid w:val="003E26DC"/>
    <w:rsid w:val="003E2E93"/>
    <w:rsid w:val="003E4192"/>
    <w:rsid w:val="003E41BF"/>
    <w:rsid w:val="003E4C34"/>
    <w:rsid w:val="003E6203"/>
    <w:rsid w:val="003E656B"/>
    <w:rsid w:val="003E69DA"/>
    <w:rsid w:val="003E6C90"/>
    <w:rsid w:val="003E712A"/>
    <w:rsid w:val="003F001E"/>
    <w:rsid w:val="003F268C"/>
    <w:rsid w:val="003F2A2E"/>
    <w:rsid w:val="003F3516"/>
    <w:rsid w:val="003F4B00"/>
    <w:rsid w:val="003F4B40"/>
    <w:rsid w:val="003F5B1B"/>
    <w:rsid w:val="003F64C1"/>
    <w:rsid w:val="004017B7"/>
    <w:rsid w:val="00401ECE"/>
    <w:rsid w:val="004022EE"/>
    <w:rsid w:val="004022F0"/>
    <w:rsid w:val="004027AB"/>
    <w:rsid w:val="00402CCF"/>
    <w:rsid w:val="00402E74"/>
    <w:rsid w:val="00404F1D"/>
    <w:rsid w:val="00406C3E"/>
    <w:rsid w:val="00406ED4"/>
    <w:rsid w:val="004109A1"/>
    <w:rsid w:val="00412409"/>
    <w:rsid w:val="0041291B"/>
    <w:rsid w:val="00413C8A"/>
    <w:rsid w:val="0041414F"/>
    <w:rsid w:val="00414AD5"/>
    <w:rsid w:val="004152C1"/>
    <w:rsid w:val="00415B1F"/>
    <w:rsid w:val="00416CAB"/>
    <w:rsid w:val="004179BC"/>
    <w:rsid w:val="004204B9"/>
    <w:rsid w:val="00420AF3"/>
    <w:rsid w:val="00420F48"/>
    <w:rsid w:val="004216AE"/>
    <w:rsid w:val="004216E7"/>
    <w:rsid w:val="00422957"/>
    <w:rsid w:val="0042317C"/>
    <w:rsid w:val="00423203"/>
    <w:rsid w:val="00424D52"/>
    <w:rsid w:val="00425EEA"/>
    <w:rsid w:val="00425F5D"/>
    <w:rsid w:val="00427FE4"/>
    <w:rsid w:val="004322D9"/>
    <w:rsid w:val="004325CD"/>
    <w:rsid w:val="00432EAD"/>
    <w:rsid w:val="00433B27"/>
    <w:rsid w:val="00433D6A"/>
    <w:rsid w:val="0043474A"/>
    <w:rsid w:val="00435C38"/>
    <w:rsid w:val="0043625B"/>
    <w:rsid w:val="004367E6"/>
    <w:rsid w:val="004374B1"/>
    <w:rsid w:val="004400F8"/>
    <w:rsid w:val="0044119B"/>
    <w:rsid w:val="00441B71"/>
    <w:rsid w:val="004420B4"/>
    <w:rsid w:val="004424A2"/>
    <w:rsid w:val="00442D03"/>
    <w:rsid w:val="00442FC0"/>
    <w:rsid w:val="00443F05"/>
    <w:rsid w:val="00444069"/>
    <w:rsid w:val="004452B8"/>
    <w:rsid w:val="00445B0E"/>
    <w:rsid w:val="004461A0"/>
    <w:rsid w:val="004468B1"/>
    <w:rsid w:val="0044719B"/>
    <w:rsid w:val="00450D0E"/>
    <w:rsid w:val="00450F5E"/>
    <w:rsid w:val="004518E0"/>
    <w:rsid w:val="00451F70"/>
    <w:rsid w:val="00452F37"/>
    <w:rsid w:val="0045326D"/>
    <w:rsid w:val="00461B11"/>
    <w:rsid w:val="0046306C"/>
    <w:rsid w:val="004632F7"/>
    <w:rsid w:val="00463770"/>
    <w:rsid w:val="00464218"/>
    <w:rsid w:val="00464CC2"/>
    <w:rsid w:val="004655EA"/>
    <w:rsid w:val="00465AC9"/>
    <w:rsid w:val="0046640C"/>
    <w:rsid w:val="00470244"/>
    <w:rsid w:val="0047055F"/>
    <w:rsid w:val="00470C5C"/>
    <w:rsid w:val="00471A34"/>
    <w:rsid w:val="0047229C"/>
    <w:rsid w:val="004735E4"/>
    <w:rsid w:val="00473765"/>
    <w:rsid w:val="00473947"/>
    <w:rsid w:val="00473DED"/>
    <w:rsid w:val="00474C02"/>
    <w:rsid w:val="00474E50"/>
    <w:rsid w:val="00476183"/>
    <w:rsid w:val="0047660C"/>
    <w:rsid w:val="004772F3"/>
    <w:rsid w:val="00477C1A"/>
    <w:rsid w:val="00480196"/>
    <w:rsid w:val="00480D3F"/>
    <w:rsid w:val="0048142C"/>
    <w:rsid w:val="00481B1C"/>
    <w:rsid w:val="004833C0"/>
    <w:rsid w:val="00484089"/>
    <w:rsid w:val="004848FD"/>
    <w:rsid w:val="00484EC3"/>
    <w:rsid w:val="00485128"/>
    <w:rsid w:val="00485652"/>
    <w:rsid w:val="00486AE5"/>
    <w:rsid w:val="00486E6B"/>
    <w:rsid w:val="00486F07"/>
    <w:rsid w:val="004870D0"/>
    <w:rsid w:val="00487898"/>
    <w:rsid w:val="0048795F"/>
    <w:rsid w:val="00487FEE"/>
    <w:rsid w:val="00490187"/>
    <w:rsid w:val="00491CD2"/>
    <w:rsid w:val="00491D2C"/>
    <w:rsid w:val="00493A5F"/>
    <w:rsid w:val="00493B95"/>
    <w:rsid w:val="0049418E"/>
    <w:rsid w:val="00494537"/>
    <w:rsid w:val="004958C8"/>
    <w:rsid w:val="004A1D01"/>
    <w:rsid w:val="004A1F54"/>
    <w:rsid w:val="004A212F"/>
    <w:rsid w:val="004A3000"/>
    <w:rsid w:val="004A3104"/>
    <w:rsid w:val="004A44EB"/>
    <w:rsid w:val="004A4C07"/>
    <w:rsid w:val="004A5A45"/>
    <w:rsid w:val="004A5C70"/>
    <w:rsid w:val="004A7428"/>
    <w:rsid w:val="004A7EFA"/>
    <w:rsid w:val="004B0781"/>
    <w:rsid w:val="004B1877"/>
    <w:rsid w:val="004B2116"/>
    <w:rsid w:val="004B2881"/>
    <w:rsid w:val="004B2DFD"/>
    <w:rsid w:val="004B30C2"/>
    <w:rsid w:val="004B3DB9"/>
    <w:rsid w:val="004B4949"/>
    <w:rsid w:val="004B531A"/>
    <w:rsid w:val="004B589A"/>
    <w:rsid w:val="004B6CDD"/>
    <w:rsid w:val="004B6F23"/>
    <w:rsid w:val="004B7BDA"/>
    <w:rsid w:val="004B7DC2"/>
    <w:rsid w:val="004C001B"/>
    <w:rsid w:val="004C0320"/>
    <w:rsid w:val="004C09E4"/>
    <w:rsid w:val="004C1E49"/>
    <w:rsid w:val="004C1FBA"/>
    <w:rsid w:val="004C228C"/>
    <w:rsid w:val="004C2B34"/>
    <w:rsid w:val="004C366B"/>
    <w:rsid w:val="004C3771"/>
    <w:rsid w:val="004C4F66"/>
    <w:rsid w:val="004C5E36"/>
    <w:rsid w:val="004C6B3D"/>
    <w:rsid w:val="004D0A60"/>
    <w:rsid w:val="004D0D2B"/>
    <w:rsid w:val="004D360D"/>
    <w:rsid w:val="004D4A6A"/>
    <w:rsid w:val="004D5273"/>
    <w:rsid w:val="004D5981"/>
    <w:rsid w:val="004D70BA"/>
    <w:rsid w:val="004E0765"/>
    <w:rsid w:val="004E0D03"/>
    <w:rsid w:val="004E18ED"/>
    <w:rsid w:val="004E1A7F"/>
    <w:rsid w:val="004E24DF"/>
    <w:rsid w:val="004E2CF1"/>
    <w:rsid w:val="004E3BB4"/>
    <w:rsid w:val="004E46AA"/>
    <w:rsid w:val="004E48B6"/>
    <w:rsid w:val="004E4E93"/>
    <w:rsid w:val="004E5BAF"/>
    <w:rsid w:val="004E6529"/>
    <w:rsid w:val="004F0C31"/>
    <w:rsid w:val="004F1055"/>
    <w:rsid w:val="004F1504"/>
    <w:rsid w:val="004F1B62"/>
    <w:rsid w:val="004F22F1"/>
    <w:rsid w:val="004F262E"/>
    <w:rsid w:val="004F26C6"/>
    <w:rsid w:val="004F3149"/>
    <w:rsid w:val="004F334A"/>
    <w:rsid w:val="004F4634"/>
    <w:rsid w:val="004F50C6"/>
    <w:rsid w:val="004F52FD"/>
    <w:rsid w:val="004F5429"/>
    <w:rsid w:val="004F59B8"/>
    <w:rsid w:val="004F63CA"/>
    <w:rsid w:val="004F6E8F"/>
    <w:rsid w:val="00500CD4"/>
    <w:rsid w:val="005028A3"/>
    <w:rsid w:val="005031BF"/>
    <w:rsid w:val="005035A3"/>
    <w:rsid w:val="005054DD"/>
    <w:rsid w:val="0050673A"/>
    <w:rsid w:val="00507086"/>
    <w:rsid w:val="005072C0"/>
    <w:rsid w:val="0050784F"/>
    <w:rsid w:val="005079AE"/>
    <w:rsid w:val="00511555"/>
    <w:rsid w:val="00512CC8"/>
    <w:rsid w:val="005133C3"/>
    <w:rsid w:val="00513AA9"/>
    <w:rsid w:val="00513D5B"/>
    <w:rsid w:val="0051402C"/>
    <w:rsid w:val="005142AF"/>
    <w:rsid w:val="00514547"/>
    <w:rsid w:val="00514B41"/>
    <w:rsid w:val="00516D75"/>
    <w:rsid w:val="0051725D"/>
    <w:rsid w:val="0051765C"/>
    <w:rsid w:val="0052016F"/>
    <w:rsid w:val="00520894"/>
    <w:rsid w:val="005219D2"/>
    <w:rsid w:val="00523F08"/>
    <w:rsid w:val="00524DDD"/>
    <w:rsid w:val="005268E2"/>
    <w:rsid w:val="00526EBB"/>
    <w:rsid w:val="00527073"/>
    <w:rsid w:val="00527465"/>
    <w:rsid w:val="00530357"/>
    <w:rsid w:val="00530994"/>
    <w:rsid w:val="005315B8"/>
    <w:rsid w:val="00534CBB"/>
    <w:rsid w:val="00535489"/>
    <w:rsid w:val="00535C30"/>
    <w:rsid w:val="00536338"/>
    <w:rsid w:val="00537893"/>
    <w:rsid w:val="00537B1C"/>
    <w:rsid w:val="0054008F"/>
    <w:rsid w:val="00541026"/>
    <w:rsid w:val="005416B7"/>
    <w:rsid w:val="00541799"/>
    <w:rsid w:val="005422CE"/>
    <w:rsid w:val="00543384"/>
    <w:rsid w:val="00543677"/>
    <w:rsid w:val="005449F9"/>
    <w:rsid w:val="00545855"/>
    <w:rsid w:val="00546E3D"/>
    <w:rsid w:val="00550437"/>
    <w:rsid w:val="005506F8"/>
    <w:rsid w:val="00551EC8"/>
    <w:rsid w:val="0055248C"/>
    <w:rsid w:val="00553859"/>
    <w:rsid w:val="00553871"/>
    <w:rsid w:val="00553D5A"/>
    <w:rsid w:val="00554C4E"/>
    <w:rsid w:val="0055641B"/>
    <w:rsid w:val="0055685F"/>
    <w:rsid w:val="00556883"/>
    <w:rsid w:val="00556D78"/>
    <w:rsid w:val="00556FC3"/>
    <w:rsid w:val="00560200"/>
    <w:rsid w:val="00560DB3"/>
    <w:rsid w:val="0056101E"/>
    <w:rsid w:val="00561B1E"/>
    <w:rsid w:val="00561E3D"/>
    <w:rsid w:val="005621CE"/>
    <w:rsid w:val="0056350A"/>
    <w:rsid w:val="00566466"/>
    <w:rsid w:val="00566AA8"/>
    <w:rsid w:val="00567410"/>
    <w:rsid w:val="00571538"/>
    <w:rsid w:val="005730D2"/>
    <w:rsid w:val="00574684"/>
    <w:rsid w:val="00574975"/>
    <w:rsid w:val="00574E6B"/>
    <w:rsid w:val="00575EC2"/>
    <w:rsid w:val="00576909"/>
    <w:rsid w:val="00576A3C"/>
    <w:rsid w:val="00577838"/>
    <w:rsid w:val="00577ED5"/>
    <w:rsid w:val="00580DD8"/>
    <w:rsid w:val="00581B91"/>
    <w:rsid w:val="005825D6"/>
    <w:rsid w:val="005829F9"/>
    <w:rsid w:val="00583470"/>
    <w:rsid w:val="005836FD"/>
    <w:rsid w:val="00583865"/>
    <w:rsid w:val="00583A22"/>
    <w:rsid w:val="00583B0F"/>
    <w:rsid w:val="00584E09"/>
    <w:rsid w:val="00585025"/>
    <w:rsid w:val="00585801"/>
    <w:rsid w:val="00585974"/>
    <w:rsid w:val="005933C1"/>
    <w:rsid w:val="0059367C"/>
    <w:rsid w:val="0059369A"/>
    <w:rsid w:val="005941A6"/>
    <w:rsid w:val="00594F8D"/>
    <w:rsid w:val="005958DB"/>
    <w:rsid w:val="00597D24"/>
    <w:rsid w:val="00597EF4"/>
    <w:rsid w:val="005A01F6"/>
    <w:rsid w:val="005A07CE"/>
    <w:rsid w:val="005A131C"/>
    <w:rsid w:val="005A193C"/>
    <w:rsid w:val="005A1E5A"/>
    <w:rsid w:val="005A3678"/>
    <w:rsid w:val="005A396A"/>
    <w:rsid w:val="005A3B2B"/>
    <w:rsid w:val="005A4E35"/>
    <w:rsid w:val="005A4F79"/>
    <w:rsid w:val="005A6417"/>
    <w:rsid w:val="005A6CD8"/>
    <w:rsid w:val="005A76EF"/>
    <w:rsid w:val="005B0547"/>
    <w:rsid w:val="005B0868"/>
    <w:rsid w:val="005B1254"/>
    <w:rsid w:val="005B2E26"/>
    <w:rsid w:val="005B3037"/>
    <w:rsid w:val="005B333D"/>
    <w:rsid w:val="005B38B5"/>
    <w:rsid w:val="005B6841"/>
    <w:rsid w:val="005C2212"/>
    <w:rsid w:val="005C2BFC"/>
    <w:rsid w:val="005C475C"/>
    <w:rsid w:val="005C656B"/>
    <w:rsid w:val="005C6883"/>
    <w:rsid w:val="005C6D5B"/>
    <w:rsid w:val="005C7389"/>
    <w:rsid w:val="005D129C"/>
    <w:rsid w:val="005D3B1E"/>
    <w:rsid w:val="005D3DF4"/>
    <w:rsid w:val="005D4B12"/>
    <w:rsid w:val="005D5873"/>
    <w:rsid w:val="005D5A95"/>
    <w:rsid w:val="005D6BCF"/>
    <w:rsid w:val="005D6F84"/>
    <w:rsid w:val="005E073F"/>
    <w:rsid w:val="005E0A51"/>
    <w:rsid w:val="005E0B26"/>
    <w:rsid w:val="005E108E"/>
    <w:rsid w:val="005E19BA"/>
    <w:rsid w:val="005E2936"/>
    <w:rsid w:val="005E31F9"/>
    <w:rsid w:val="005E33B2"/>
    <w:rsid w:val="005E3627"/>
    <w:rsid w:val="005E3C36"/>
    <w:rsid w:val="005E5408"/>
    <w:rsid w:val="005E69D5"/>
    <w:rsid w:val="005E702A"/>
    <w:rsid w:val="005E76E8"/>
    <w:rsid w:val="005E79BF"/>
    <w:rsid w:val="005F195A"/>
    <w:rsid w:val="005F25E8"/>
    <w:rsid w:val="005F300D"/>
    <w:rsid w:val="005F38C6"/>
    <w:rsid w:val="005F3A1A"/>
    <w:rsid w:val="005F3BA5"/>
    <w:rsid w:val="005F3C1E"/>
    <w:rsid w:val="005F3ED5"/>
    <w:rsid w:val="005F52FF"/>
    <w:rsid w:val="005F62D6"/>
    <w:rsid w:val="005F69E4"/>
    <w:rsid w:val="005F6B21"/>
    <w:rsid w:val="005F7F80"/>
    <w:rsid w:val="006001C0"/>
    <w:rsid w:val="00600310"/>
    <w:rsid w:val="00600376"/>
    <w:rsid w:val="00600A31"/>
    <w:rsid w:val="00601903"/>
    <w:rsid w:val="00601B7B"/>
    <w:rsid w:val="00601FDD"/>
    <w:rsid w:val="0060238B"/>
    <w:rsid w:val="006031CD"/>
    <w:rsid w:val="00604A68"/>
    <w:rsid w:val="00604E5F"/>
    <w:rsid w:val="006051A7"/>
    <w:rsid w:val="006059B6"/>
    <w:rsid w:val="0060625E"/>
    <w:rsid w:val="00606A25"/>
    <w:rsid w:val="006070F7"/>
    <w:rsid w:val="00607BF2"/>
    <w:rsid w:val="00610B9B"/>
    <w:rsid w:val="0061125E"/>
    <w:rsid w:val="006139CD"/>
    <w:rsid w:val="00614008"/>
    <w:rsid w:val="00615BA7"/>
    <w:rsid w:val="00616153"/>
    <w:rsid w:val="0061625A"/>
    <w:rsid w:val="00616940"/>
    <w:rsid w:val="00616A73"/>
    <w:rsid w:val="0061763D"/>
    <w:rsid w:val="00622F67"/>
    <w:rsid w:val="00623DFD"/>
    <w:rsid w:val="00625367"/>
    <w:rsid w:val="0062683D"/>
    <w:rsid w:val="006311D9"/>
    <w:rsid w:val="006336DA"/>
    <w:rsid w:val="00633D2A"/>
    <w:rsid w:val="006345D0"/>
    <w:rsid w:val="00634AB7"/>
    <w:rsid w:val="0063794C"/>
    <w:rsid w:val="00640F60"/>
    <w:rsid w:val="00641555"/>
    <w:rsid w:val="00641684"/>
    <w:rsid w:val="00643C57"/>
    <w:rsid w:val="006445FF"/>
    <w:rsid w:val="0064488D"/>
    <w:rsid w:val="006449E2"/>
    <w:rsid w:val="006451FC"/>
    <w:rsid w:val="00645D4F"/>
    <w:rsid w:val="00650335"/>
    <w:rsid w:val="00650A8B"/>
    <w:rsid w:val="00650D02"/>
    <w:rsid w:val="00651328"/>
    <w:rsid w:val="00651A6E"/>
    <w:rsid w:val="006528A5"/>
    <w:rsid w:val="00653016"/>
    <w:rsid w:val="006531EC"/>
    <w:rsid w:val="006541F7"/>
    <w:rsid w:val="00654857"/>
    <w:rsid w:val="00655CB5"/>
    <w:rsid w:val="00655FB7"/>
    <w:rsid w:val="00656158"/>
    <w:rsid w:val="00656718"/>
    <w:rsid w:val="00657E19"/>
    <w:rsid w:val="00660205"/>
    <w:rsid w:val="00660F9B"/>
    <w:rsid w:val="00661AA1"/>
    <w:rsid w:val="00663715"/>
    <w:rsid w:val="0066436F"/>
    <w:rsid w:val="00665A91"/>
    <w:rsid w:val="0066600F"/>
    <w:rsid w:val="0066622E"/>
    <w:rsid w:val="00666B6F"/>
    <w:rsid w:val="006671B1"/>
    <w:rsid w:val="00667700"/>
    <w:rsid w:val="0067047A"/>
    <w:rsid w:val="0067293B"/>
    <w:rsid w:val="00673D27"/>
    <w:rsid w:val="00675D99"/>
    <w:rsid w:val="00675E66"/>
    <w:rsid w:val="00676486"/>
    <w:rsid w:val="0067693F"/>
    <w:rsid w:val="00677BED"/>
    <w:rsid w:val="00680F50"/>
    <w:rsid w:val="00680FE6"/>
    <w:rsid w:val="0068155E"/>
    <w:rsid w:val="0068303D"/>
    <w:rsid w:val="006835FA"/>
    <w:rsid w:val="00684B73"/>
    <w:rsid w:val="00684CA0"/>
    <w:rsid w:val="0068542F"/>
    <w:rsid w:val="006868D8"/>
    <w:rsid w:val="0068732E"/>
    <w:rsid w:val="0069101F"/>
    <w:rsid w:val="006917E8"/>
    <w:rsid w:val="006918C7"/>
    <w:rsid w:val="006921F3"/>
    <w:rsid w:val="0069247E"/>
    <w:rsid w:val="0069283E"/>
    <w:rsid w:val="0069290C"/>
    <w:rsid w:val="00692EFE"/>
    <w:rsid w:val="006930F0"/>
    <w:rsid w:val="006942DF"/>
    <w:rsid w:val="00694BE3"/>
    <w:rsid w:val="0069504C"/>
    <w:rsid w:val="006955EB"/>
    <w:rsid w:val="006959E2"/>
    <w:rsid w:val="00695CAB"/>
    <w:rsid w:val="006970C6"/>
    <w:rsid w:val="006975D9"/>
    <w:rsid w:val="00697728"/>
    <w:rsid w:val="006A1399"/>
    <w:rsid w:val="006A29C4"/>
    <w:rsid w:val="006A38EE"/>
    <w:rsid w:val="006A3F65"/>
    <w:rsid w:val="006A5192"/>
    <w:rsid w:val="006A53AF"/>
    <w:rsid w:val="006A593A"/>
    <w:rsid w:val="006A7D24"/>
    <w:rsid w:val="006B063A"/>
    <w:rsid w:val="006B0B0E"/>
    <w:rsid w:val="006B0FA8"/>
    <w:rsid w:val="006B1723"/>
    <w:rsid w:val="006B18DC"/>
    <w:rsid w:val="006B2211"/>
    <w:rsid w:val="006B361E"/>
    <w:rsid w:val="006B5879"/>
    <w:rsid w:val="006B709C"/>
    <w:rsid w:val="006B7241"/>
    <w:rsid w:val="006B7646"/>
    <w:rsid w:val="006C00B9"/>
    <w:rsid w:val="006C0726"/>
    <w:rsid w:val="006C21CD"/>
    <w:rsid w:val="006C3C3B"/>
    <w:rsid w:val="006C412F"/>
    <w:rsid w:val="006C4BA5"/>
    <w:rsid w:val="006C5093"/>
    <w:rsid w:val="006C56D4"/>
    <w:rsid w:val="006C59DF"/>
    <w:rsid w:val="006C60C5"/>
    <w:rsid w:val="006C69A9"/>
    <w:rsid w:val="006C6AF7"/>
    <w:rsid w:val="006C755C"/>
    <w:rsid w:val="006D09FA"/>
    <w:rsid w:val="006D1AA6"/>
    <w:rsid w:val="006D3043"/>
    <w:rsid w:val="006D31D9"/>
    <w:rsid w:val="006E0CF1"/>
    <w:rsid w:val="006E1EDC"/>
    <w:rsid w:val="006E244C"/>
    <w:rsid w:val="006E55FD"/>
    <w:rsid w:val="006E5CF2"/>
    <w:rsid w:val="006E6150"/>
    <w:rsid w:val="006E6BD9"/>
    <w:rsid w:val="006E6D40"/>
    <w:rsid w:val="006E713D"/>
    <w:rsid w:val="006F01A1"/>
    <w:rsid w:val="006F0B3D"/>
    <w:rsid w:val="006F2B58"/>
    <w:rsid w:val="006F3DCF"/>
    <w:rsid w:val="006F4487"/>
    <w:rsid w:val="006F46C2"/>
    <w:rsid w:val="006F4A36"/>
    <w:rsid w:val="006F5226"/>
    <w:rsid w:val="006F727B"/>
    <w:rsid w:val="006F73AE"/>
    <w:rsid w:val="006F7432"/>
    <w:rsid w:val="006F7B0E"/>
    <w:rsid w:val="00700B57"/>
    <w:rsid w:val="00702CBA"/>
    <w:rsid w:val="00702D47"/>
    <w:rsid w:val="00703141"/>
    <w:rsid w:val="007033AC"/>
    <w:rsid w:val="00710223"/>
    <w:rsid w:val="007104E8"/>
    <w:rsid w:val="007107E9"/>
    <w:rsid w:val="007110FB"/>
    <w:rsid w:val="0071165A"/>
    <w:rsid w:val="00711687"/>
    <w:rsid w:val="007119F7"/>
    <w:rsid w:val="00713822"/>
    <w:rsid w:val="00715574"/>
    <w:rsid w:val="00715A2A"/>
    <w:rsid w:val="00716600"/>
    <w:rsid w:val="00716936"/>
    <w:rsid w:val="00716F37"/>
    <w:rsid w:val="00716F96"/>
    <w:rsid w:val="007178A1"/>
    <w:rsid w:val="00717B21"/>
    <w:rsid w:val="00717DD7"/>
    <w:rsid w:val="00717F77"/>
    <w:rsid w:val="00720B7B"/>
    <w:rsid w:val="00721D95"/>
    <w:rsid w:val="00721E08"/>
    <w:rsid w:val="0072230F"/>
    <w:rsid w:val="0072267D"/>
    <w:rsid w:val="00723136"/>
    <w:rsid w:val="00723527"/>
    <w:rsid w:val="00724153"/>
    <w:rsid w:val="00724CAD"/>
    <w:rsid w:val="00725F11"/>
    <w:rsid w:val="007260D4"/>
    <w:rsid w:val="00726C48"/>
    <w:rsid w:val="00727A55"/>
    <w:rsid w:val="00732EF0"/>
    <w:rsid w:val="00733044"/>
    <w:rsid w:val="007333AC"/>
    <w:rsid w:val="00733534"/>
    <w:rsid w:val="00734661"/>
    <w:rsid w:val="00734720"/>
    <w:rsid w:val="00734A3E"/>
    <w:rsid w:val="007373B1"/>
    <w:rsid w:val="00737557"/>
    <w:rsid w:val="007400C2"/>
    <w:rsid w:val="00740179"/>
    <w:rsid w:val="007408F0"/>
    <w:rsid w:val="00740D9B"/>
    <w:rsid w:val="007412AC"/>
    <w:rsid w:val="0074140E"/>
    <w:rsid w:val="00741BE0"/>
    <w:rsid w:val="0074387F"/>
    <w:rsid w:val="00747593"/>
    <w:rsid w:val="007479DF"/>
    <w:rsid w:val="00747C94"/>
    <w:rsid w:val="00752E7F"/>
    <w:rsid w:val="007533EC"/>
    <w:rsid w:val="00753E79"/>
    <w:rsid w:val="007549AD"/>
    <w:rsid w:val="00755947"/>
    <w:rsid w:val="00756221"/>
    <w:rsid w:val="00757F2E"/>
    <w:rsid w:val="00760788"/>
    <w:rsid w:val="00760EBA"/>
    <w:rsid w:val="00761109"/>
    <w:rsid w:val="00761BB2"/>
    <w:rsid w:val="00763E9C"/>
    <w:rsid w:val="00764248"/>
    <w:rsid w:val="007642BF"/>
    <w:rsid w:val="00765C45"/>
    <w:rsid w:val="00766F72"/>
    <w:rsid w:val="00771441"/>
    <w:rsid w:val="00771CA0"/>
    <w:rsid w:val="00771F95"/>
    <w:rsid w:val="00773401"/>
    <w:rsid w:val="0077508D"/>
    <w:rsid w:val="00776F4F"/>
    <w:rsid w:val="00777E9B"/>
    <w:rsid w:val="00780601"/>
    <w:rsid w:val="00780862"/>
    <w:rsid w:val="00782520"/>
    <w:rsid w:val="007830E0"/>
    <w:rsid w:val="00783A1F"/>
    <w:rsid w:val="00784C35"/>
    <w:rsid w:val="0078543D"/>
    <w:rsid w:val="007866B5"/>
    <w:rsid w:val="00786D7F"/>
    <w:rsid w:val="00787116"/>
    <w:rsid w:val="00787710"/>
    <w:rsid w:val="00790393"/>
    <w:rsid w:val="007911F3"/>
    <w:rsid w:val="007912AB"/>
    <w:rsid w:val="00791592"/>
    <w:rsid w:val="00791968"/>
    <w:rsid w:val="00793073"/>
    <w:rsid w:val="0079310F"/>
    <w:rsid w:val="0079380D"/>
    <w:rsid w:val="0079591D"/>
    <w:rsid w:val="00795C4D"/>
    <w:rsid w:val="00796467"/>
    <w:rsid w:val="00797D24"/>
    <w:rsid w:val="007A00CC"/>
    <w:rsid w:val="007A03FE"/>
    <w:rsid w:val="007A06FA"/>
    <w:rsid w:val="007A221D"/>
    <w:rsid w:val="007A3BF5"/>
    <w:rsid w:val="007A40E5"/>
    <w:rsid w:val="007A5803"/>
    <w:rsid w:val="007A5A40"/>
    <w:rsid w:val="007A61EF"/>
    <w:rsid w:val="007A76F4"/>
    <w:rsid w:val="007B0403"/>
    <w:rsid w:val="007B04D0"/>
    <w:rsid w:val="007B0F9F"/>
    <w:rsid w:val="007B3444"/>
    <w:rsid w:val="007B46AC"/>
    <w:rsid w:val="007B4B2E"/>
    <w:rsid w:val="007B4F62"/>
    <w:rsid w:val="007B5989"/>
    <w:rsid w:val="007B745C"/>
    <w:rsid w:val="007B75C7"/>
    <w:rsid w:val="007C05DE"/>
    <w:rsid w:val="007C16B3"/>
    <w:rsid w:val="007C22BE"/>
    <w:rsid w:val="007C32B3"/>
    <w:rsid w:val="007C35E3"/>
    <w:rsid w:val="007C3EB3"/>
    <w:rsid w:val="007C4C80"/>
    <w:rsid w:val="007C5653"/>
    <w:rsid w:val="007C5683"/>
    <w:rsid w:val="007C56A1"/>
    <w:rsid w:val="007C6239"/>
    <w:rsid w:val="007C776B"/>
    <w:rsid w:val="007C7A5C"/>
    <w:rsid w:val="007D0CE4"/>
    <w:rsid w:val="007D1D68"/>
    <w:rsid w:val="007D4666"/>
    <w:rsid w:val="007D4C30"/>
    <w:rsid w:val="007D57F9"/>
    <w:rsid w:val="007D752C"/>
    <w:rsid w:val="007D77AC"/>
    <w:rsid w:val="007D7FF4"/>
    <w:rsid w:val="007E1F25"/>
    <w:rsid w:val="007E5853"/>
    <w:rsid w:val="007E5DB8"/>
    <w:rsid w:val="007E720A"/>
    <w:rsid w:val="007E7358"/>
    <w:rsid w:val="007F0553"/>
    <w:rsid w:val="007F0B17"/>
    <w:rsid w:val="007F22CA"/>
    <w:rsid w:val="007F2806"/>
    <w:rsid w:val="007F39F1"/>
    <w:rsid w:val="007F3AC1"/>
    <w:rsid w:val="007F3CF6"/>
    <w:rsid w:val="007F3FEB"/>
    <w:rsid w:val="007F42F1"/>
    <w:rsid w:val="007F473A"/>
    <w:rsid w:val="007F4F32"/>
    <w:rsid w:val="007F5944"/>
    <w:rsid w:val="007F7686"/>
    <w:rsid w:val="007F7FF8"/>
    <w:rsid w:val="008033A9"/>
    <w:rsid w:val="0080423E"/>
    <w:rsid w:val="00804B8B"/>
    <w:rsid w:val="008057FF"/>
    <w:rsid w:val="00805BBB"/>
    <w:rsid w:val="0080634C"/>
    <w:rsid w:val="00806BEA"/>
    <w:rsid w:val="00807F8E"/>
    <w:rsid w:val="00811065"/>
    <w:rsid w:val="00811092"/>
    <w:rsid w:val="008129C6"/>
    <w:rsid w:val="00813681"/>
    <w:rsid w:val="00813B13"/>
    <w:rsid w:val="008154A5"/>
    <w:rsid w:val="008168B7"/>
    <w:rsid w:val="00821B86"/>
    <w:rsid w:val="00822963"/>
    <w:rsid w:val="00822ACE"/>
    <w:rsid w:val="00822D58"/>
    <w:rsid w:val="00822F0A"/>
    <w:rsid w:val="00826E49"/>
    <w:rsid w:val="00830310"/>
    <w:rsid w:val="008310B3"/>
    <w:rsid w:val="00833443"/>
    <w:rsid w:val="008338A2"/>
    <w:rsid w:val="008346BA"/>
    <w:rsid w:val="00834AC8"/>
    <w:rsid w:val="00835EAD"/>
    <w:rsid w:val="008369EB"/>
    <w:rsid w:val="00836CFB"/>
    <w:rsid w:val="00840785"/>
    <w:rsid w:val="0084160D"/>
    <w:rsid w:val="00841BEA"/>
    <w:rsid w:val="008421BA"/>
    <w:rsid w:val="008426A3"/>
    <w:rsid w:val="00842CEB"/>
    <w:rsid w:val="0084368D"/>
    <w:rsid w:val="008442E3"/>
    <w:rsid w:val="00844643"/>
    <w:rsid w:val="008458E3"/>
    <w:rsid w:val="00846F1C"/>
    <w:rsid w:val="0084713C"/>
    <w:rsid w:val="00847206"/>
    <w:rsid w:val="00847A14"/>
    <w:rsid w:val="0085030C"/>
    <w:rsid w:val="008514CE"/>
    <w:rsid w:val="00852D34"/>
    <w:rsid w:val="00853C04"/>
    <w:rsid w:val="008544F5"/>
    <w:rsid w:val="00854680"/>
    <w:rsid w:val="0085493C"/>
    <w:rsid w:val="00854C25"/>
    <w:rsid w:val="00854E60"/>
    <w:rsid w:val="00856579"/>
    <w:rsid w:val="00857BFD"/>
    <w:rsid w:val="00860260"/>
    <w:rsid w:val="00860521"/>
    <w:rsid w:val="00860D01"/>
    <w:rsid w:val="0086133D"/>
    <w:rsid w:val="0086134E"/>
    <w:rsid w:val="0086156A"/>
    <w:rsid w:val="00862904"/>
    <w:rsid w:val="008635B9"/>
    <w:rsid w:val="00864BBD"/>
    <w:rsid w:val="00865758"/>
    <w:rsid w:val="0086580C"/>
    <w:rsid w:val="00867983"/>
    <w:rsid w:val="00867F5D"/>
    <w:rsid w:val="00870B0C"/>
    <w:rsid w:val="0087139B"/>
    <w:rsid w:val="00871D4D"/>
    <w:rsid w:val="00871F70"/>
    <w:rsid w:val="0087278C"/>
    <w:rsid w:val="00873754"/>
    <w:rsid w:val="0087488B"/>
    <w:rsid w:val="008752C9"/>
    <w:rsid w:val="0087551E"/>
    <w:rsid w:val="008771A5"/>
    <w:rsid w:val="00877E09"/>
    <w:rsid w:val="008811ED"/>
    <w:rsid w:val="00882A4D"/>
    <w:rsid w:val="00883244"/>
    <w:rsid w:val="00885074"/>
    <w:rsid w:val="008852D5"/>
    <w:rsid w:val="0088702E"/>
    <w:rsid w:val="008871DE"/>
    <w:rsid w:val="00890458"/>
    <w:rsid w:val="008908E6"/>
    <w:rsid w:val="00891D36"/>
    <w:rsid w:val="00891F35"/>
    <w:rsid w:val="008946E2"/>
    <w:rsid w:val="00895962"/>
    <w:rsid w:val="00895B40"/>
    <w:rsid w:val="00895E9F"/>
    <w:rsid w:val="0089673A"/>
    <w:rsid w:val="00896B55"/>
    <w:rsid w:val="008A0296"/>
    <w:rsid w:val="008A07E9"/>
    <w:rsid w:val="008A0BB2"/>
    <w:rsid w:val="008A14C2"/>
    <w:rsid w:val="008A1A90"/>
    <w:rsid w:val="008A3F59"/>
    <w:rsid w:val="008A4658"/>
    <w:rsid w:val="008A491D"/>
    <w:rsid w:val="008A4AAC"/>
    <w:rsid w:val="008A7B2E"/>
    <w:rsid w:val="008B019B"/>
    <w:rsid w:val="008B0890"/>
    <w:rsid w:val="008B11E8"/>
    <w:rsid w:val="008B280C"/>
    <w:rsid w:val="008B3423"/>
    <w:rsid w:val="008B369F"/>
    <w:rsid w:val="008B509A"/>
    <w:rsid w:val="008B5769"/>
    <w:rsid w:val="008B5832"/>
    <w:rsid w:val="008B6BEE"/>
    <w:rsid w:val="008B6D79"/>
    <w:rsid w:val="008B7030"/>
    <w:rsid w:val="008B7A12"/>
    <w:rsid w:val="008C0414"/>
    <w:rsid w:val="008C1228"/>
    <w:rsid w:val="008C3330"/>
    <w:rsid w:val="008C36B2"/>
    <w:rsid w:val="008C3A4E"/>
    <w:rsid w:val="008C406A"/>
    <w:rsid w:val="008C433C"/>
    <w:rsid w:val="008C45C3"/>
    <w:rsid w:val="008C6180"/>
    <w:rsid w:val="008C6232"/>
    <w:rsid w:val="008C6A31"/>
    <w:rsid w:val="008D1DF2"/>
    <w:rsid w:val="008D355B"/>
    <w:rsid w:val="008D3746"/>
    <w:rsid w:val="008D3C05"/>
    <w:rsid w:val="008D4586"/>
    <w:rsid w:val="008D65AC"/>
    <w:rsid w:val="008D6FE0"/>
    <w:rsid w:val="008D730D"/>
    <w:rsid w:val="008D7320"/>
    <w:rsid w:val="008E0586"/>
    <w:rsid w:val="008E1065"/>
    <w:rsid w:val="008E20C2"/>
    <w:rsid w:val="008E414E"/>
    <w:rsid w:val="008E4A16"/>
    <w:rsid w:val="008E4C99"/>
    <w:rsid w:val="008E4E33"/>
    <w:rsid w:val="008E674B"/>
    <w:rsid w:val="008E6D15"/>
    <w:rsid w:val="008E7386"/>
    <w:rsid w:val="008F01E6"/>
    <w:rsid w:val="008F07D7"/>
    <w:rsid w:val="008F1AEE"/>
    <w:rsid w:val="008F29FE"/>
    <w:rsid w:val="008F3858"/>
    <w:rsid w:val="008F3D4D"/>
    <w:rsid w:val="008F414A"/>
    <w:rsid w:val="008F43E8"/>
    <w:rsid w:val="008F459F"/>
    <w:rsid w:val="008F60B9"/>
    <w:rsid w:val="008F6264"/>
    <w:rsid w:val="008F63E5"/>
    <w:rsid w:val="008F7400"/>
    <w:rsid w:val="009009C3"/>
    <w:rsid w:val="00901955"/>
    <w:rsid w:val="00902981"/>
    <w:rsid w:val="00902F94"/>
    <w:rsid w:val="00902FFA"/>
    <w:rsid w:val="00903797"/>
    <w:rsid w:val="00903D7B"/>
    <w:rsid w:val="00903FF2"/>
    <w:rsid w:val="00904765"/>
    <w:rsid w:val="0090533E"/>
    <w:rsid w:val="00910C1D"/>
    <w:rsid w:val="00911D79"/>
    <w:rsid w:val="00912549"/>
    <w:rsid w:val="00913113"/>
    <w:rsid w:val="00913193"/>
    <w:rsid w:val="0091446C"/>
    <w:rsid w:val="0091546F"/>
    <w:rsid w:val="0091625B"/>
    <w:rsid w:val="00917E34"/>
    <w:rsid w:val="009205FA"/>
    <w:rsid w:val="0092148C"/>
    <w:rsid w:val="00921625"/>
    <w:rsid w:val="0092228F"/>
    <w:rsid w:val="0092277E"/>
    <w:rsid w:val="009227FD"/>
    <w:rsid w:val="0092386B"/>
    <w:rsid w:val="009240F9"/>
    <w:rsid w:val="0092517D"/>
    <w:rsid w:val="00927349"/>
    <w:rsid w:val="0092737A"/>
    <w:rsid w:val="0092741A"/>
    <w:rsid w:val="00927755"/>
    <w:rsid w:val="009301CE"/>
    <w:rsid w:val="00930F5D"/>
    <w:rsid w:val="00931280"/>
    <w:rsid w:val="009322C0"/>
    <w:rsid w:val="009324B9"/>
    <w:rsid w:val="0093317B"/>
    <w:rsid w:val="00933216"/>
    <w:rsid w:val="00934942"/>
    <w:rsid w:val="00934FC0"/>
    <w:rsid w:val="00940A5A"/>
    <w:rsid w:val="00941E75"/>
    <w:rsid w:val="00942DC7"/>
    <w:rsid w:val="00943301"/>
    <w:rsid w:val="0094362C"/>
    <w:rsid w:val="0094369E"/>
    <w:rsid w:val="009439CD"/>
    <w:rsid w:val="009446CB"/>
    <w:rsid w:val="0094485D"/>
    <w:rsid w:val="00944972"/>
    <w:rsid w:val="00944A9E"/>
    <w:rsid w:val="00944BD3"/>
    <w:rsid w:val="00944DD7"/>
    <w:rsid w:val="00945242"/>
    <w:rsid w:val="009454AA"/>
    <w:rsid w:val="009509C1"/>
    <w:rsid w:val="009523CD"/>
    <w:rsid w:val="00952DB4"/>
    <w:rsid w:val="0095312C"/>
    <w:rsid w:val="00953B9C"/>
    <w:rsid w:val="009546BE"/>
    <w:rsid w:val="00954EBA"/>
    <w:rsid w:val="00956525"/>
    <w:rsid w:val="0095653B"/>
    <w:rsid w:val="00956B41"/>
    <w:rsid w:val="00956C8C"/>
    <w:rsid w:val="0095734C"/>
    <w:rsid w:val="009575B0"/>
    <w:rsid w:val="00957D65"/>
    <w:rsid w:val="0096072F"/>
    <w:rsid w:val="009608DA"/>
    <w:rsid w:val="009612AF"/>
    <w:rsid w:val="00961AB8"/>
    <w:rsid w:val="0096232E"/>
    <w:rsid w:val="0096269D"/>
    <w:rsid w:val="00962AED"/>
    <w:rsid w:val="00964050"/>
    <w:rsid w:val="00964347"/>
    <w:rsid w:val="00964627"/>
    <w:rsid w:val="00965277"/>
    <w:rsid w:val="00966477"/>
    <w:rsid w:val="00966FFE"/>
    <w:rsid w:val="00967BF6"/>
    <w:rsid w:val="00967C11"/>
    <w:rsid w:val="00967ED9"/>
    <w:rsid w:val="00970688"/>
    <w:rsid w:val="009709C5"/>
    <w:rsid w:val="00970F08"/>
    <w:rsid w:val="00971186"/>
    <w:rsid w:val="00972786"/>
    <w:rsid w:val="00973CF6"/>
    <w:rsid w:val="00974F1C"/>
    <w:rsid w:val="00975CD6"/>
    <w:rsid w:val="00976867"/>
    <w:rsid w:val="009772EE"/>
    <w:rsid w:val="0097733A"/>
    <w:rsid w:val="009774C4"/>
    <w:rsid w:val="00977B10"/>
    <w:rsid w:val="00977D99"/>
    <w:rsid w:val="00983238"/>
    <w:rsid w:val="009864B6"/>
    <w:rsid w:val="00986821"/>
    <w:rsid w:val="00990C57"/>
    <w:rsid w:val="0099149A"/>
    <w:rsid w:val="00991D8E"/>
    <w:rsid w:val="009923CC"/>
    <w:rsid w:val="0099250A"/>
    <w:rsid w:val="00993733"/>
    <w:rsid w:val="0099384E"/>
    <w:rsid w:val="00993B48"/>
    <w:rsid w:val="00994A02"/>
    <w:rsid w:val="0099520D"/>
    <w:rsid w:val="00996152"/>
    <w:rsid w:val="00996528"/>
    <w:rsid w:val="00996598"/>
    <w:rsid w:val="00996B72"/>
    <w:rsid w:val="00996CC1"/>
    <w:rsid w:val="0099714F"/>
    <w:rsid w:val="0099749E"/>
    <w:rsid w:val="00997574"/>
    <w:rsid w:val="00997694"/>
    <w:rsid w:val="00997A20"/>
    <w:rsid w:val="009A041C"/>
    <w:rsid w:val="009A0AD0"/>
    <w:rsid w:val="009A3CA8"/>
    <w:rsid w:val="009A4344"/>
    <w:rsid w:val="009A479E"/>
    <w:rsid w:val="009A4B27"/>
    <w:rsid w:val="009A4C1C"/>
    <w:rsid w:val="009A56D7"/>
    <w:rsid w:val="009A5BA9"/>
    <w:rsid w:val="009A735B"/>
    <w:rsid w:val="009A758A"/>
    <w:rsid w:val="009A7C5E"/>
    <w:rsid w:val="009A7C74"/>
    <w:rsid w:val="009A7EE9"/>
    <w:rsid w:val="009B0561"/>
    <w:rsid w:val="009B0737"/>
    <w:rsid w:val="009B083E"/>
    <w:rsid w:val="009B32E4"/>
    <w:rsid w:val="009B3560"/>
    <w:rsid w:val="009B3CDA"/>
    <w:rsid w:val="009B4089"/>
    <w:rsid w:val="009B52A0"/>
    <w:rsid w:val="009B73D5"/>
    <w:rsid w:val="009B77C9"/>
    <w:rsid w:val="009B7F27"/>
    <w:rsid w:val="009C27B3"/>
    <w:rsid w:val="009C39CD"/>
    <w:rsid w:val="009C5154"/>
    <w:rsid w:val="009C5764"/>
    <w:rsid w:val="009C59C0"/>
    <w:rsid w:val="009C61C4"/>
    <w:rsid w:val="009D09D6"/>
    <w:rsid w:val="009D13C7"/>
    <w:rsid w:val="009D30D7"/>
    <w:rsid w:val="009D36C9"/>
    <w:rsid w:val="009D4631"/>
    <w:rsid w:val="009D58B3"/>
    <w:rsid w:val="009D70B7"/>
    <w:rsid w:val="009D7153"/>
    <w:rsid w:val="009D75A3"/>
    <w:rsid w:val="009D76D7"/>
    <w:rsid w:val="009E0384"/>
    <w:rsid w:val="009E0C9D"/>
    <w:rsid w:val="009E11F3"/>
    <w:rsid w:val="009E1C41"/>
    <w:rsid w:val="009E28F7"/>
    <w:rsid w:val="009E3002"/>
    <w:rsid w:val="009E3483"/>
    <w:rsid w:val="009E43F0"/>
    <w:rsid w:val="009E5276"/>
    <w:rsid w:val="009E53A2"/>
    <w:rsid w:val="009E5826"/>
    <w:rsid w:val="009E584C"/>
    <w:rsid w:val="009E76BC"/>
    <w:rsid w:val="009E7F03"/>
    <w:rsid w:val="009F06C9"/>
    <w:rsid w:val="009F0C09"/>
    <w:rsid w:val="009F1673"/>
    <w:rsid w:val="009F20DE"/>
    <w:rsid w:val="009F2C74"/>
    <w:rsid w:val="009F4C28"/>
    <w:rsid w:val="009F5668"/>
    <w:rsid w:val="009F6A5A"/>
    <w:rsid w:val="009F6FA8"/>
    <w:rsid w:val="009F71C2"/>
    <w:rsid w:val="00A005D9"/>
    <w:rsid w:val="00A00E0A"/>
    <w:rsid w:val="00A025FD"/>
    <w:rsid w:val="00A04BF1"/>
    <w:rsid w:val="00A0645F"/>
    <w:rsid w:val="00A066A4"/>
    <w:rsid w:val="00A06E48"/>
    <w:rsid w:val="00A109EF"/>
    <w:rsid w:val="00A10FE5"/>
    <w:rsid w:val="00A11A3F"/>
    <w:rsid w:val="00A11ACD"/>
    <w:rsid w:val="00A13C39"/>
    <w:rsid w:val="00A15B9B"/>
    <w:rsid w:val="00A162DA"/>
    <w:rsid w:val="00A16BD9"/>
    <w:rsid w:val="00A172EC"/>
    <w:rsid w:val="00A1756D"/>
    <w:rsid w:val="00A20E1B"/>
    <w:rsid w:val="00A20FD1"/>
    <w:rsid w:val="00A2202A"/>
    <w:rsid w:val="00A22BB2"/>
    <w:rsid w:val="00A22F3C"/>
    <w:rsid w:val="00A23520"/>
    <w:rsid w:val="00A2598C"/>
    <w:rsid w:val="00A25D6A"/>
    <w:rsid w:val="00A26F26"/>
    <w:rsid w:val="00A27640"/>
    <w:rsid w:val="00A27A83"/>
    <w:rsid w:val="00A27AC0"/>
    <w:rsid w:val="00A27EBA"/>
    <w:rsid w:val="00A30B04"/>
    <w:rsid w:val="00A30B66"/>
    <w:rsid w:val="00A313C6"/>
    <w:rsid w:val="00A35350"/>
    <w:rsid w:val="00A36319"/>
    <w:rsid w:val="00A40346"/>
    <w:rsid w:val="00A40639"/>
    <w:rsid w:val="00A407D4"/>
    <w:rsid w:val="00A40A64"/>
    <w:rsid w:val="00A41211"/>
    <w:rsid w:val="00A42F9F"/>
    <w:rsid w:val="00A43685"/>
    <w:rsid w:val="00A436E0"/>
    <w:rsid w:val="00A43F14"/>
    <w:rsid w:val="00A44643"/>
    <w:rsid w:val="00A449B8"/>
    <w:rsid w:val="00A44F55"/>
    <w:rsid w:val="00A45FE8"/>
    <w:rsid w:val="00A50514"/>
    <w:rsid w:val="00A5092F"/>
    <w:rsid w:val="00A515F4"/>
    <w:rsid w:val="00A51DC7"/>
    <w:rsid w:val="00A51E65"/>
    <w:rsid w:val="00A52333"/>
    <w:rsid w:val="00A524FF"/>
    <w:rsid w:val="00A52738"/>
    <w:rsid w:val="00A52E20"/>
    <w:rsid w:val="00A53D32"/>
    <w:rsid w:val="00A562C1"/>
    <w:rsid w:val="00A566B0"/>
    <w:rsid w:val="00A570CD"/>
    <w:rsid w:val="00A60A0B"/>
    <w:rsid w:val="00A61351"/>
    <w:rsid w:val="00A61D95"/>
    <w:rsid w:val="00A64104"/>
    <w:rsid w:val="00A64A09"/>
    <w:rsid w:val="00A64D82"/>
    <w:rsid w:val="00A64FF2"/>
    <w:rsid w:val="00A66033"/>
    <w:rsid w:val="00A666D7"/>
    <w:rsid w:val="00A66933"/>
    <w:rsid w:val="00A66B3C"/>
    <w:rsid w:val="00A67D91"/>
    <w:rsid w:val="00A7120D"/>
    <w:rsid w:val="00A72060"/>
    <w:rsid w:val="00A729DE"/>
    <w:rsid w:val="00A7362E"/>
    <w:rsid w:val="00A73EDC"/>
    <w:rsid w:val="00A77AE4"/>
    <w:rsid w:val="00A81A9F"/>
    <w:rsid w:val="00A82838"/>
    <w:rsid w:val="00A828DD"/>
    <w:rsid w:val="00A83924"/>
    <w:rsid w:val="00A83C44"/>
    <w:rsid w:val="00A83EAF"/>
    <w:rsid w:val="00A851EB"/>
    <w:rsid w:val="00A85AEA"/>
    <w:rsid w:val="00A85D08"/>
    <w:rsid w:val="00A86C2E"/>
    <w:rsid w:val="00A91F77"/>
    <w:rsid w:val="00A92040"/>
    <w:rsid w:val="00A9553B"/>
    <w:rsid w:val="00A96242"/>
    <w:rsid w:val="00A971AC"/>
    <w:rsid w:val="00AA1B34"/>
    <w:rsid w:val="00AA2896"/>
    <w:rsid w:val="00AA2AAC"/>
    <w:rsid w:val="00AA2F70"/>
    <w:rsid w:val="00AA5846"/>
    <w:rsid w:val="00AA5FB6"/>
    <w:rsid w:val="00AA7107"/>
    <w:rsid w:val="00AA7D06"/>
    <w:rsid w:val="00AA7DDE"/>
    <w:rsid w:val="00AB0398"/>
    <w:rsid w:val="00AB15EE"/>
    <w:rsid w:val="00AB23C7"/>
    <w:rsid w:val="00AB26CE"/>
    <w:rsid w:val="00AB2B48"/>
    <w:rsid w:val="00AB39B0"/>
    <w:rsid w:val="00AB4D32"/>
    <w:rsid w:val="00AB7154"/>
    <w:rsid w:val="00AB7451"/>
    <w:rsid w:val="00AB7D47"/>
    <w:rsid w:val="00AC0F92"/>
    <w:rsid w:val="00AC11A6"/>
    <w:rsid w:val="00AC188E"/>
    <w:rsid w:val="00AC263E"/>
    <w:rsid w:val="00AC29B1"/>
    <w:rsid w:val="00AC2A6B"/>
    <w:rsid w:val="00AC2B33"/>
    <w:rsid w:val="00AC581B"/>
    <w:rsid w:val="00AC651A"/>
    <w:rsid w:val="00AC6795"/>
    <w:rsid w:val="00AC67B9"/>
    <w:rsid w:val="00AC7272"/>
    <w:rsid w:val="00AD0555"/>
    <w:rsid w:val="00AD089F"/>
    <w:rsid w:val="00AD0CF1"/>
    <w:rsid w:val="00AD10BA"/>
    <w:rsid w:val="00AD2612"/>
    <w:rsid w:val="00AD3557"/>
    <w:rsid w:val="00AD4FF9"/>
    <w:rsid w:val="00AD552B"/>
    <w:rsid w:val="00AD79AA"/>
    <w:rsid w:val="00AD7C8A"/>
    <w:rsid w:val="00AE0334"/>
    <w:rsid w:val="00AE2562"/>
    <w:rsid w:val="00AE3CCC"/>
    <w:rsid w:val="00AE3FE4"/>
    <w:rsid w:val="00AE42B5"/>
    <w:rsid w:val="00AE5B8E"/>
    <w:rsid w:val="00AE7855"/>
    <w:rsid w:val="00AF2001"/>
    <w:rsid w:val="00AF2564"/>
    <w:rsid w:val="00AF3CFF"/>
    <w:rsid w:val="00AF4045"/>
    <w:rsid w:val="00AF5696"/>
    <w:rsid w:val="00AF5A30"/>
    <w:rsid w:val="00AF6474"/>
    <w:rsid w:val="00AF712B"/>
    <w:rsid w:val="00B0024E"/>
    <w:rsid w:val="00B005E6"/>
    <w:rsid w:val="00B01199"/>
    <w:rsid w:val="00B01EB6"/>
    <w:rsid w:val="00B02614"/>
    <w:rsid w:val="00B0278B"/>
    <w:rsid w:val="00B027AA"/>
    <w:rsid w:val="00B032EC"/>
    <w:rsid w:val="00B03ECA"/>
    <w:rsid w:val="00B04761"/>
    <w:rsid w:val="00B04A90"/>
    <w:rsid w:val="00B04F8B"/>
    <w:rsid w:val="00B05935"/>
    <w:rsid w:val="00B11073"/>
    <w:rsid w:val="00B111A9"/>
    <w:rsid w:val="00B11208"/>
    <w:rsid w:val="00B112A3"/>
    <w:rsid w:val="00B1244B"/>
    <w:rsid w:val="00B12A0A"/>
    <w:rsid w:val="00B131D6"/>
    <w:rsid w:val="00B13FBC"/>
    <w:rsid w:val="00B149EC"/>
    <w:rsid w:val="00B14A2B"/>
    <w:rsid w:val="00B15380"/>
    <w:rsid w:val="00B15C09"/>
    <w:rsid w:val="00B2236D"/>
    <w:rsid w:val="00B22BE0"/>
    <w:rsid w:val="00B233AF"/>
    <w:rsid w:val="00B25DE6"/>
    <w:rsid w:val="00B267F0"/>
    <w:rsid w:val="00B27BCC"/>
    <w:rsid w:val="00B30B2B"/>
    <w:rsid w:val="00B30F87"/>
    <w:rsid w:val="00B31680"/>
    <w:rsid w:val="00B31B23"/>
    <w:rsid w:val="00B32A4C"/>
    <w:rsid w:val="00B3462E"/>
    <w:rsid w:val="00B347F3"/>
    <w:rsid w:val="00B3542E"/>
    <w:rsid w:val="00B36671"/>
    <w:rsid w:val="00B37EBC"/>
    <w:rsid w:val="00B409B6"/>
    <w:rsid w:val="00B45384"/>
    <w:rsid w:val="00B45921"/>
    <w:rsid w:val="00B45D3A"/>
    <w:rsid w:val="00B4669D"/>
    <w:rsid w:val="00B469DD"/>
    <w:rsid w:val="00B46CB9"/>
    <w:rsid w:val="00B5122F"/>
    <w:rsid w:val="00B51759"/>
    <w:rsid w:val="00B519B3"/>
    <w:rsid w:val="00B51E6F"/>
    <w:rsid w:val="00B51E98"/>
    <w:rsid w:val="00B533E9"/>
    <w:rsid w:val="00B5372A"/>
    <w:rsid w:val="00B537AF"/>
    <w:rsid w:val="00B54343"/>
    <w:rsid w:val="00B54900"/>
    <w:rsid w:val="00B5568B"/>
    <w:rsid w:val="00B56936"/>
    <w:rsid w:val="00B5798C"/>
    <w:rsid w:val="00B604A1"/>
    <w:rsid w:val="00B60BCC"/>
    <w:rsid w:val="00B60C0E"/>
    <w:rsid w:val="00B60D26"/>
    <w:rsid w:val="00B61182"/>
    <w:rsid w:val="00B617C2"/>
    <w:rsid w:val="00B626EB"/>
    <w:rsid w:val="00B6310B"/>
    <w:rsid w:val="00B633F9"/>
    <w:rsid w:val="00B6361D"/>
    <w:rsid w:val="00B6478B"/>
    <w:rsid w:val="00B6562D"/>
    <w:rsid w:val="00B70A2E"/>
    <w:rsid w:val="00B71210"/>
    <w:rsid w:val="00B728CD"/>
    <w:rsid w:val="00B72ED2"/>
    <w:rsid w:val="00B73255"/>
    <w:rsid w:val="00B742A5"/>
    <w:rsid w:val="00B74397"/>
    <w:rsid w:val="00B747EF"/>
    <w:rsid w:val="00B76375"/>
    <w:rsid w:val="00B7767D"/>
    <w:rsid w:val="00B77AAD"/>
    <w:rsid w:val="00B77CB7"/>
    <w:rsid w:val="00B80109"/>
    <w:rsid w:val="00B80466"/>
    <w:rsid w:val="00B81098"/>
    <w:rsid w:val="00B81703"/>
    <w:rsid w:val="00B81D10"/>
    <w:rsid w:val="00B81F5C"/>
    <w:rsid w:val="00B84631"/>
    <w:rsid w:val="00B85053"/>
    <w:rsid w:val="00B8559F"/>
    <w:rsid w:val="00B85AB6"/>
    <w:rsid w:val="00B8708E"/>
    <w:rsid w:val="00B87D86"/>
    <w:rsid w:val="00B902FB"/>
    <w:rsid w:val="00B909D3"/>
    <w:rsid w:val="00B91A2E"/>
    <w:rsid w:val="00B925DA"/>
    <w:rsid w:val="00B92E48"/>
    <w:rsid w:val="00B938D8"/>
    <w:rsid w:val="00B93C69"/>
    <w:rsid w:val="00B942BA"/>
    <w:rsid w:val="00B95843"/>
    <w:rsid w:val="00B96B0A"/>
    <w:rsid w:val="00BA1216"/>
    <w:rsid w:val="00BA1418"/>
    <w:rsid w:val="00BA1B4B"/>
    <w:rsid w:val="00BA238E"/>
    <w:rsid w:val="00BA35FC"/>
    <w:rsid w:val="00BA406F"/>
    <w:rsid w:val="00BA4F76"/>
    <w:rsid w:val="00BA59E9"/>
    <w:rsid w:val="00BA5E5A"/>
    <w:rsid w:val="00BA7D6D"/>
    <w:rsid w:val="00BB0293"/>
    <w:rsid w:val="00BB0A0C"/>
    <w:rsid w:val="00BB2920"/>
    <w:rsid w:val="00BB3CD2"/>
    <w:rsid w:val="00BB6445"/>
    <w:rsid w:val="00BB67B0"/>
    <w:rsid w:val="00BB69BC"/>
    <w:rsid w:val="00BB6AA5"/>
    <w:rsid w:val="00BB6C9C"/>
    <w:rsid w:val="00BC1AFE"/>
    <w:rsid w:val="00BC3498"/>
    <w:rsid w:val="00BC3EB4"/>
    <w:rsid w:val="00BC52F5"/>
    <w:rsid w:val="00BC57C6"/>
    <w:rsid w:val="00BC72B7"/>
    <w:rsid w:val="00BC7867"/>
    <w:rsid w:val="00BC7CD9"/>
    <w:rsid w:val="00BC7F11"/>
    <w:rsid w:val="00BD0061"/>
    <w:rsid w:val="00BD0968"/>
    <w:rsid w:val="00BD38F0"/>
    <w:rsid w:val="00BD3C28"/>
    <w:rsid w:val="00BD53B2"/>
    <w:rsid w:val="00BD5621"/>
    <w:rsid w:val="00BD5774"/>
    <w:rsid w:val="00BD5E02"/>
    <w:rsid w:val="00BD6494"/>
    <w:rsid w:val="00BD64C6"/>
    <w:rsid w:val="00BD7355"/>
    <w:rsid w:val="00BD764F"/>
    <w:rsid w:val="00BD7DC4"/>
    <w:rsid w:val="00BE0875"/>
    <w:rsid w:val="00BE1329"/>
    <w:rsid w:val="00BE271A"/>
    <w:rsid w:val="00BE3BE7"/>
    <w:rsid w:val="00BE5BA2"/>
    <w:rsid w:val="00BF0022"/>
    <w:rsid w:val="00BF00B0"/>
    <w:rsid w:val="00BF40B4"/>
    <w:rsid w:val="00BF57C1"/>
    <w:rsid w:val="00BF6139"/>
    <w:rsid w:val="00BF7D99"/>
    <w:rsid w:val="00BF7EF8"/>
    <w:rsid w:val="00C004F9"/>
    <w:rsid w:val="00C023B2"/>
    <w:rsid w:val="00C023E1"/>
    <w:rsid w:val="00C0260D"/>
    <w:rsid w:val="00C02A9A"/>
    <w:rsid w:val="00C02D3D"/>
    <w:rsid w:val="00C03DE1"/>
    <w:rsid w:val="00C047A7"/>
    <w:rsid w:val="00C047BF"/>
    <w:rsid w:val="00C050D4"/>
    <w:rsid w:val="00C0539E"/>
    <w:rsid w:val="00C069D4"/>
    <w:rsid w:val="00C06F9E"/>
    <w:rsid w:val="00C06FF7"/>
    <w:rsid w:val="00C07E1D"/>
    <w:rsid w:val="00C1084A"/>
    <w:rsid w:val="00C11A62"/>
    <w:rsid w:val="00C120B2"/>
    <w:rsid w:val="00C13461"/>
    <w:rsid w:val="00C1358F"/>
    <w:rsid w:val="00C1394B"/>
    <w:rsid w:val="00C144A2"/>
    <w:rsid w:val="00C148EA"/>
    <w:rsid w:val="00C14C21"/>
    <w:rsid w:val="00C15390"/>
    <w:rsid w:val="00C155C6"/>
    <w:rsid w:val="00C15EB2"/>
    <w:rsid w:val="00C16043"/>
    <w:rsid w:val="00C161A6"/>
    <w:rsid w:val="00C20E45"/>
    <w:rsid w:val="00C21B60"/>
    <w:rsid w:val="00C259BF"/>
    <w:rsid w:val="00C27917"/>
    <w:rsid w:val="00C303D6"/>
    <w:rsid w:val="00C307E8"/>
    <w:rsid w:val="00C3104A"/>
    <w:rsid w:val="00C31260"/>
    <w:rsid w:val="00C318F4"/>
    <w:rsid w:val="00C32159"/>
    <w:rsid w:val="00C326EA"/>
    <w:rsid w:val="00C33340"/>
    <w:rsid w:val="00C3585C"/>
    <w:rsid w:val="00C35F2C"/>
    <w:rsid w:val="00C35F4F"/>
    <w:rsid w:val="00C36D0B"/>
    <w:rsid w:val="00C37651"/>
    <w:rsid w:val="00C37CC8"/>
    <w:rsid w:val="00C37E45"/>
    <w:rsid w:val="00C40043"/>
    <w:rsid w:val="00C40115"/>
    <w:rsid w:val="00C40171"/>
    <w:rsid w:val="00C4047D"/>
    <w:rsid w:val="00C415E4"/>
    <w:rsid w:val="00C41792"/>
    <w:rsid w:val="00C43B70"/>
    <w:rsid w:val="00C44206"/>
    <w:rsid w:val="00C454C2"/>
    <w:rsid w:val="00C45DCA"/>
    <w:rsid w:val="00C50A49"/>
    <w:rsid w:val="00C51015"/>
    <w:rsid w:val="00C51F71"/>
    <w:rsid w:val="00C535A3"/>
    <w:rsid w:val="00C5460D"/>
    <w:rsid w:val="00C56C28"/>
    <w:rsid w:val="00C575E8"/>
    <w:rsid w:val="00C61637"/>
    <w:rsid w:val="00C61AD0"/>
    <w:rsid w:val="00C61B66"/>
    <w:rsid w:val="00C61F64"/>
    <w:rsid w:val="00C62BE4"/>
    <w:rsid w:val="00C6354F"/>
    <w:rsid w:val="00C63D35"/>
    <w:rsid w:val="00C6437B"/>
    <w:rsid w:val="00C658EB"/>
    <w:rsid w:val="00C6597A"/>
    <w:rsid w:val="00C663DC"/>
    <w:rsid w:val="00C67536"/>
    <w:rsid w:val="00C700A1"/>
    <w:rsid w:val="00C70783"/>
    <w:rsid w:val="00C70806"/>
    <w:rsid w:val="00C710D9"/>
    <w:rsid w:val="00C72CAC"/>
    <w:rsid w:val="00C74AAD"/>
    <w:rsid w:val="00C74C5F"/>
    <w:rsid w:val="00C75CD6"/>
    <w:rsid w:val="00C761AE"/>
    <w:rsid w:val="00C76ADD"/>
    <w:rsid w:val="00C76B98"/>
    <w:rsid w:val="00C76DB3"/>
    <w:rsid w:val="00C7703C"/>
    <w:rsid w:val="00C77AC0"/>
    <w:rsid w:val="00C77DBB"/>
    <w:rsid w:val="00C842F9"/>
    <w:rsid w:val="00C84EE1"/>
    <w:rsid w:val="00C861B4"/>
    <w:rsid w:val="00C862A2"/>
    <w:rsid w:val="00C8756F"/>
    <w:rsid w:val="00C904CF"/>
    <w:rsid w:val="00C9068A"/>
    <w:rsid w:val="00C91AF3"/>
    <w:rsid w:val="00C92A36"/>
    <w:rsid w:val="00C930D0"/>
    <w:rsid w:val="00C934DD"/>
    <w:rsid w:val="00C93737"/>
    <w:rsid w:val="00C94987"/>
    <w:rsid w:val="00C95304"/>
    <w:rsid w:val="00C95435"/>
    <w:rsid w:val="00C95B09"/>
    <w:rsid w:val="00C974DB"/>
    <w:rsid w:val="00C97A8D"/>
    <w:rsid w:val="00CA1B56"/>
    <w:rsid w:val="00CA32B4"/>
    <w:rsid w:val="00CA3629"/>
    <w:rsid w:val="00CA46FE"/>
    <w:rsid w:val="00CA4845"/>
    <w:rsid w:val="00CA590E"/>
    <w:rsid w:val="00CA615C"/>
    <w:rsid w:val="00CA6FB1"/>
    <w:rsid w:val="00CA6FE9"/>
    <w:rsid w:val="00CA7989"/>
    <w:rsid w:val="00CB0217"/>
    <w:rsid w:val="00CB0A8B"/>
    <w:rsid w:val="00CB158C"/>
    <w:rsid w:val="00CB1F4E"/>
    <w:rsid w:val="00CB3DCB"/>
    <w:rsid w:val="00CB40E7"/>
    <w:rsid w:val="00CB70DB"/>
    <w:rsid w:val="00CB740C"/>
    <w:rsid w:val="00CC10ED"/>
    <w:rsid w:val="00CC2648"/>
    <w:rsid w:val="00CC48A4"/>
    <w:rsid w:val="00CC5008"/>
    <w:rsid w:val="00CC51F8"/>
    <w:rsid w:val="00CC5F10"/>
    <w:rsid w:val="00CC68B2"/>
    <w:rsid w:val="00CC79EB"/>
    <w:rsid w:val="00CD08A5"/>
    <w:rsid w:val="00CD2BA9"/>
    <w:rsid w:val="00CD4694"/>
    <w:rsid w:val="00CD5BBC"/>
    <w:rsid w:val="00CD5FF4"/>
    <w:rsid w:val="00CD7765"/>
    <w:rsid w:val="00CE11A4"/>
    <w:rsid w:val="00CE12BB"/>
    <w:rsid w:val="00CE1F20"/>
    <w:rsid w:val="00CE57F6"/>
    <w:rsid w:val="00CE72B1"/>
    <w:rsid w:val="00CE7324"/>
    <w:rsid w:val="00CE7B26"/>
    <w:rsid w:val="00CF0028"/>
    <w:rsid w:val="00CF0F4D"/>
    <w:rsid w:val="00CF1ADE"/>
    <w:rsid w:val="00CF1C82"/>
    <w:rsid w:val="00CF2E35"/>
    <w:rsid w:val="00CF31EF"/>
    <w:rsid w:val="00CF3737"/>
    <w:rsid w:val="00CF3D3E"/>
    <w:rsid w:val="00CF3E45"/>
    <w:rsid w:val="00CF3F7A"/>
    <w:rsid w:val="00CF469A"/>
    <w:rsid w:val="00CF5859"/>
    <w:rsid w:val="00CF76B1"/>
    <w:rsid w:val="00CF789C"/>
    <w:rsid w:val="00D007A1"/>
    <w:rsid w:val="00D018D4"/>
    <w:rsid w:val="00D01AD4"/>
    <w:rsid w:val="00D01BB3"/>
    <w:rsid w:val="00D02522"/>
    <w:rsid w:val="00D04506"/>
    <w:rsid w:val="00D05415"/>
    <w:rsid w:val="00D06174"/>
    <w:rsid w:val="00D06E34"/>
    <w:rsid w:val="00D07798"/>
    <w:rsid w:val="00D07F2F"/>
    <w:rsid w:val="00D10DAA"/>
    <w:rsid w:val="00D113DF"/>
    <w:rsid w:val="00D125D9"/>
    <w:rsid w:val="00D131E4"/>
    <w:rsid w:val="00D13A3A"/>
    <w:rsid w:val="00D13C3F"/>
    <w:rsid w:val="00D13D51"/>
    <w:rsid w:val="00D14A08"/>
    <w:rsid w:val="00D16363"/>
    <w:rsid w:val="00D16CF4"/>
    <w:rsid w:val="00D17663"/>
    <w:rsid w:val="00D17740"/>
    <w:rsid w:val="00D17BFF"/>
    <w:rsid w:val="00D20936"/>
    <w:rsid w:val="00D21790"/>
    <w:rsid w:val="00D2298B"/>
    <w:rsid w:val="00D24C94"/>
    <w:rsid w:val="00D2674A"/>
    <w:rsid w:val="00D278DE"/>
    <w:rsid w:val="00D308F2"/>
    <w:rsid w:val="00D3099D"/>
    <w:rsid w:val="00D30E90"/>
    <w:rsid w:val="00D34398"/>
    <w:rsid w:val="00D3517C"/>
    <w:rsid w:val="00D35862"/>
    <w:rsid w:val="00D3652A"/>
    <w:rsid w:val="00D36E04"/>
    <w:rsid w:val="00D400DF"/>
    <w:rsid w:val="00D403F8"/>
    <w:rsid w:val="00D40EFB"/>
    <w:rsid w:val="00D42148"/>
    <w:rsid w:val="00D42557"/>
    <w:rsid w:val="00D42ECF"/>
    <w:rsid w:val="00D434BF"/>
    <w:rsid w:val="00D43E5F"/>
    <w:rsid w:val="00D43F9E"/>
    <w:rsid w:val="00D44E5B"/>
    <w:rsid w:val="00D475AF"/>
    <w:rsid w:val="00D47DA6"/>
    <w:rsid w:val="00D50570"/>
    <w:rsid w:val="00D5490C"/>
    <w:rsid w:val="00D55D7D"/>
    <w:rsid w:val="00D565EC"/>
    <w:rsid w:val="00D5669B"/>
    <w:rsid w:val="00D57A43"/>
    <w:rsid w:val="00D57C4D"/>
    <w:rsid w:val="00D57F66"/>
    <w:rsid w:val="00D60711"/>
    <w:rsid w:val="00D6174B"/>
    <w:rsid w:val="00D61858"/>
    <w:rsid w:val="00D629DE"/>
    <w:rsid w:val="00D630F1"/>
    <w:rsid w:val="00D64D12"/>
    <w:rsid w:val="00D64D57"/>
    <w:rsid w:val="00D64E25"/>
    <w:rsid w:val="00D653D6"/>
    <w:rsid w:val="00D65924"/>
    <w:rsid w:val="00D66604"/>
    <w:rsid w:val="00D72438"/>
    <w:rsid w:val="00D72DF5"/>
    <w:rsid w:val="00D73E1B"/>
    <w:rsid w:val="00D74F3F"/>
    <w:rsid w:val="00D7535D"/>
    <w:rsid w:val="00D75BF0"/>
    <w:rsid w:val="00D76966"/>
    <w:rsid w:val="00D772FE"/>
    <w:rsid w:val="00D77E57"/>
    <w:rsid w:val="00D80177"/>
    <w:rsid w:val="00D80DFF"/>
    <w:rsid w:val="00D81BCA"/>
    <w:rsid w:val="00D81C45"/>
    <w:rsid w:val="00D82754"/>
    <w:rsid w:val="00D84416"/>
    <w:rsid w:val="00D849CD"/>
    <w:rsid w:val="00D84B54"/>
    <w:rsid w:val="00D85358"/>
    <w:rsid w:val="00D85EEA"/>
    <w:rsid w:val="00D86694"/>
    <w:rsid w:val="00D86934"/>
    <w:rsid w:val="00D879BE"/>
    <w:rsid w:val="00D907A4"/>
    <w:rsid w:val="00D908B4"/>
    <w:rsid w:val="00D922B9"/>
    <w:rsid w:val="00D92958"/>
    <w:rsid w:val="00D92A1F"/>
    <w:rsid w:val="00D9325E"/>
    <w:rsid w:val="00D9362D"/>
    <w:rsid w:val="00D936F2"/>
    <w:rsid w:val="00D956CD"/>
    <w:rsid w:val="00D95D8B"/>
    <w:rsid w:val="00D9684E"/>
    <w:rsid w:val="00D96DE4"/>
    <w:rsid w:val="00DA0D78"/>
    <w:rsid w:val="00DA1077"/>
    <w:rsid w:val="00DA13B1"/>
    <w:rsid w:val="00DA209B"/>
    <w:rsid w:val="00DA31C2"/>
    <w:rsid w:val="00DA3317"/>
    <w:rsid w:val="00DA3FB7"/>
    <w:rsid w:val="00DA482A"/>
    <w:rsid w:val="00DA6802"/>
    <w:rsid w:val="00DB09F2"/>
    <w:rsid w:val="00DB0CFB"/>
    <w:rsid w:val="00DB2266"/>
    <w:rsid w:val="00DB37DD"/>
    <w:rsid w:val="00DB5E51"/>
    <w:rsid w:val="00DB6D85"/>
    <w:rsid w:val="00DB7E9E"/>
    <w:rsid w:val="00DC01EF"/>
    <w:rsid w:val="00DC08AC"/>
    <w:rsid w:val="00DC0F14"/>
    <w:rsid w:val="00DC0F30"/>
    <w:rsid w:val="00DC1677"/>
    <w:rsid w:val="00DC18F2"/>
    <w:rsid w:val="00DC3952"/>
    <w:rsid w:val="00DC3E69"/>
    <w:rsid w:val="00DC4F21"/>
    <w:rsid w:val="00DC51E7"/>
    <w:rsid w:val="00DC5376"/>
    <w:rsid w:val="00DC5ECF"/>
    <w:rsid w:val="00DC6637"/>
    <w:rsid w:val="00DC688A"/>
    <w:rsid w:val="00DC759C"/>
    <w:rsid w:val="00DD11CC"/>
    <w:rsid w:val="00DD132D"/>
    <w:rsid w:val="00DD227B"/>
    <w:rsid w:val="00DD2AEC"/>
    <w:rsid w:val="00DD2D08"/>
    <w:rsid w:val="00DD33D4"/>
    <w:rsid w:val="00DD34EE"/>
    <w:rsid w:val="00DD35EE"/>
    <w:rsid w:val="00DD44DC"/>
    <w:rsid w:val="00DD4EBB"/>
    <w:rsid w:val="00DD50E9"/>
    <w:rsid w:val="00DD5CDC"/>
    <w:rsid w:val="00DD6497"/>
    <w:rsid w:val="00DD79FB"/>
    <w:rsid w:val="00DE0146"/>
    <w:rsid w:val="00DE167A"/>
    <w:rsid w:val="00DE1E30"/>
    <w:rsid w:val="00DE3322"/>
    <w:rsid w:val="00DE3339"/>
    <w:rsid w:val="00DE34A7"/>
    <w:rsid w:val="00DE567C"/>
    <w:rsid w:val="00DE57F3"/>
    <w:rsid w:val="00DE5826"/>
    <w:rsid w:val="00DE5A26"/>
    <w:rsid w:val="00DF0344"/>
    <w:rsid w:val="00DF0FC7"/>
    <w:rsid w:val="00DF1207"/>
    <w:rsid w:val="00DF5FFA"/>
    <w:rsid w:val="00DF69AC"/>
    <w:rsid w:val="00DF7464"/>
    <w:rsid w:val="00E032B0"/>
    <w:rsid w:val="00E03567"/>
    <w:rsid w:val="00E03724"/>
    <w:rsid w:val="00E03A5B"/>
    <w:rsid w:val="00E0411B"/>
    <w:rsid w:val="00E04915"/>
    <w:rsid w:val="00E05829"/>
    <w:rsid w:val="00E0647F"/>
    <w:rsid w:val="00E066FC"/>
    <w:rsid w:val="00E12076"/>
    <w:rsid w:val="00E123B8"/>
    <w:rsid w:val="00E13BA2"/>
    <w:rsid w:val="00E17384"/>
    <w:rsid w:val="00E20004"/>
    <w:rsid w:val="00E2047A"/>
    <w:rsid w:val="00E213DE"/>
    <w:rsid w:val="00E21765"/>
    <w:rsid w:val="00E21F0F"/>
    <w:rsid w:val="00E224EB"/>
    <w:rsid w:val="00E228FA"/>
    <w:rsid w:val="00E23211"/>
    <w:rsid w:val="00E235BA"/>
    <w:rsid w:val="00E240BE"/>
    <w:rsid w:val="00E24B71"/>
    <w:rsid w:val="00E24C81"/>
    <w:rsid w:val="00E2565B"/>
    <w:rsid w:val="00E261F4"/>
    <w:rsid w:val="00E26B06"/>
    <w:rsid w:val="00E316A3"/>
    <w:rsid w:val="00E31DD7"/>
    <w:rsid w:val="00E341DF"/>
    <w:rsid w:val="00E346BE"/>
    <w:rsid w:val="00E34AAE"/>
    <w:rsid w:val="00E352E0"/>
    <w:rsid w:val="00E3651B"/>
    <w:rsid w:val="00E37388"/>
    <w:rsid w:val="00E408F2"/>
    <w:rsid w:val="00E428A5"/>
    <w:rsid w:val="00E42BE3"/>
    <w:rsid w:val="00E43DBA"/>
    <w:rsid w:val="00E44717"/>
    <w:rsid w:val="00E4479A"/>
    <w:rsid w:val="00E44BD9"/>
    <w:rsid w:val="00E44F71"/>
    <w:rsid w:val="00E4520D"/>
    <w:rsid w:val="00E459FC"/>
    <w:rsid w:val="00E46533"/>
    <w:rsid w:val="00E46AE5"/>
    <w:rsid w:val="00E46DA8"/>
    <w:rsid w:val="00E508E2"/>
    <w:rsid w:val="00E50DB8"/>
    <w:rsid w:val="00E52404"/>
    <w:rsid w:val="00E529B8"/>
    <w:rsid w:val="00E52FAC"/>
    <w:rsid w:val="00E54640"/>
    <w:rsid w:val="00E5487F"/>
    <w:rsid w:val="00E54D9F"/>
    <w:rsid w:val="00E60C8E"/>
    <w:rsid w:val="00E62058"/>
    <w:rsid w:val="00E6310F"/>
    <w:rsid w:val="00E63419"/>
    <w:rsid w:val="00E65F7A"/>
    <w:rsid w:val="00E671B3"/>
    <w:rsid w:val="00E67C5F"/>
    <w:rsid w:val="00E70FF1"/>
    <w:rsid w:val="00E71594"/>
    <w:rsid w:val="00E71FDB"/>
    <w:rsid w:val="00E74FA6"/>
    <w:rsid w:val="00E76562"/>
    <w:rsid w:val="00E76BAC"/>
    <w:rsid w:val="00E77688"/>
    <w:rsid w:val="00E77B72"/>
    <w:rsid w:val="00E819AD"/>
    <w:rsid w:val="00E81BA9"/>
    <w:rsid w:val="00E822BA"/>
    <w:rsid w:val="00E82C77"/>
    <w:rsid w:val="00E83FA2"/>
    <w:rsid w:val="00E8483B"/>
    <w:rsid w:val="00E86AEF"/>
    <w:rsid w:val="00E878CA"/>
    <w:rsid w:val="00E879FE"/>
    <w:rsid w:val="00E87B66"/>
    <w:rsid w:val="00E87C8C"/>
    <w:rsid w:val="00E903A6"/>
    <w:rsid w:val="00E905FA"/>
    <w:rsid w:val="00E906D1"/>
    <w:rsid w:val="00E90B71"/>
    <w:rsid w:val="00E90DA7"/>
    <w:rsid w:val="00E91E32"/>
    <w:rsid w:val="00E92403"/>
    <w:rsid w:val="00E92BBC"/>
    <w:rsid w:val="00E93006"/>
    <w:rsid w:val="00E978B3"/>
    <w:rsid w:val="00EA0692"/>
    <w:rsid w:val="00EA07D0"/>
    <w:rsid w:val="00EA0DF8"/>
    <w:rsid w:val="00EA0F32"/>
    <w:rsid w:val="00EA1DE4"/>
    <w:rsid w:val="00EA49F0"/>
    <w:rsid w:val="00EA5863"/>
    <w:rsid w:val="00EA5D14"/>
    <w:rsid w:val="00EA6DDD"/>
    <w:rsid w:val="00EA7773"/>
    <w:rsid w:val="00EA7EFF"/>
    <w:rsid w:val="00EB0657"/>
    <w:rsid w:val="00EB0987"/>
    <w:rsid w:val="00EB1601"/>
    <w:rsid w:val="00EB19A3"/>
    <w:rsid w:val="00EB1D66"/>
    <w:rsid w:val="00EB1F9F"/>
    <w:rsid w:val="00EB2055"/>
    <w:rsid w:val="00EB33C8"/>
    <w:rsid w:val="00EB3DAF"/>
    <w:rsid w:val="00EB403F"/>
    <w:rsid w:val="00EB57CA"/>
    <w:rsid w:val="00EB6601"/>
    <w:rsid w:val="00EB68AF"/>
    <w:rsid w:val="00EB6A07"/>
    <w:rsid w:val="00EB6A81"/>
    <w:rsid w:val="00EB6E23"/>
    <w:rsid w:val="00EB7F10"/>
    <w:rsid w:val="00EC275F"/>
    <w:rsid w:val="00EC2A2B"/>
    <w:rsid w:val="00EC3579"/>
    <w:rsid w:val="00EC3779"/>
    <w:rsid w:val="00EC4D30"/>
    <w:rsid w:val="00EC6564"/>
    <w:rsid w:val="00EC663B"/>
    <w:rsid w:val="00ED024A"/>
    <w:rsid w:val="00ED0AD0"/>
    <w:rsid w:val="00ED16F0"/>
    <w:rsid w:val="00ED1CC2"/>
    <w:rsid w:val="00ED2E8C"/>
    <w:rsid w:val="00ED3767"/>
    <w:rsid w:val="00ED376F"/>
    <w:rsid w:val="00ED3A4E"/>
    <w:rsid w:val="00ED3D19"/>
    <w:rsid w:val="00ED5F9A"/>
    <w:rsid w:val="00ED6371"/>
    <w:rsid w:val="00EE0B9B"/>
    <w:rsid w:val="00EE2C89"/>
    <w:rsid w:val="00EE3439"/>
    <w:rsid w:val="00EE469B"/>
    <w:rsid w:val="00EE4F56"/>
    <w:rsid w:val="00EE5C11"/>
    <w:rsid w:val="00EE63AF"/>
    <w:rsid w:val="00EE72C6"/>
    <w:rsid w:val="00EE76B9"/>
    <w:rsid w:val="00EE7B4C"/>
    <w:rsid w:val="00EF1608"/>
    <w:rsid w:val="00EF16FF"/>
    <w:rsid w:val="00EF2995"/>
    <w:rsid w:val="00EF330B"/>
    <w:rsid w:val="00EF39E8"/>
    <w:rsid w:val="00EF4052"/>
    <w:rsid w:val="00EF45AD"/>
    <w:rsid w:val="00EF5A1B"/>
    <w:rsid w:val="00EF5FCB"/>
    <w:rsid w:val="00EF66F5"/>
    <w:rsid w:val="00F00AC3"/>
    <w:rsid w:val="00F00D44"/>
    <w:rsid w:val="00F01822"/>
    <w:rsid w:val="00F022EF"/>
    <w:rsid w:val="00F028E4"/>
    <w:rsid w:val="00F02C39"/>
    <w:rsid w:val="00F038DC"/>
    <w:rsid w:val="00F03A4B"/>
    <w:rsid w:val="00F03BD7"/>
    <w:rsid w:val="00F03C37"/>
    <w:rsid w:val="00F04CA8"/>
    <w:rsid w:val="00F0529E"/>
    <w:rsid w:val="00F06B09"/>
    <w:rsid w:val="00F06EC5"/>
    <w:rsid w:val="00F06FBF"/>
    <w:rsid w:val="00F07019"/>
    <w:rsid w:val="00F072AA"/>
    <w:rsid w:val="00F07A93"/>
    <w:rsid w:val="00F107D5"/>
    <w:rsid w:val="00F1086F"/>
    <w:rsid w:val="00F10AB9"/>
    <w:rsid w:val="00F10F4D"/>
    <w:rsid w:val="00F11B71"/>
    <w:rsid w:val="00F1255A"/>
    <w:rsid w:val="00F133CD"/>
    <w:rsid w:val="00F152A2"/>
    <w:rsid w:val="00F15354"/>
    <w:rsid w:val="00F1563A"/>
    <w:rsid w:val="00F15BC1"/>
    <w:rsid w:val="00F1631E"/>
    <w:rsid w:val="00F167D3"/>
    <w:rsid w:val="00F16C3D"/>
    <w:rsid w:val="00F1723E"/>
    <w:rsid w:val="00F1747D"/>
    <w:rsid w:val="00F17D7A"/>
    <w:rsid w:val="00F21571"/>
    <w:rsid w:val="00F21DDF"/>
    <w:rsid w:val="00F21F83"/>
    <w:rsid w:val="00F230ED"/>
    <w:rsid w:val="00F24B62"/>
    <w:rsid w:val="00F25101"/>
    <w:rsid w:val="00F258EF"/>
    <w:rsid w:val="00F25A74"/>
    <w:rsid w:val="00F26143"/>
    <w:rsid w:val="00F316E1"/>
    <w:rsid w:val="00F322EE"/>
    <w:rsid w:val="00F328BF"/>
    <w:rsid w:val="00F329C9"/>
    <w:rsid w:val="00F332B9"/>
    <w:rsid w:val="00F33588"/>
    <w:rsid w:val="00F34C15"/>
    <w:rsid w:val="00F3573E"/>
    <w:rsid w:val="00F36EF4"/>
    <w:rsid w:val="00F375BD"/>
    <w:rsid w:val="00F37AF0"/>
    <w:rsid w:val="00F37E15"/>
    <w:rsid w:val="00F412E5"/>
    <w:rsid w:val="00F41B52"/>
    <w:rsid w:val="00F42D6C"/>
    <w:rsid w:val="00F42E9B"/>
    <w:rsid w:val="00F44B74"/>
    <w:rsid w:val="00F503A8"/>
    <w:rsid w:val="00F511C5"/>
    <w:rsid w:val="00F51884"/>
    <w:rsid w:val="00F51A09"/>
    <w:rsid w:val="00F52136"/>
    <w:rsid w:val="00F5260C"/>
    <w:rsid w:val="00F52C53"/>
    <w:rsid w:val="00F539F9"/>
    <w:rsid w:val="00F540D0"/>
    <w:rsid w:val="00F546A5"/>
    <w:rsid w:val="00F54B93"/>
    <w:rsid w:val="00F554B4"/>
    <w:rsid w:val="00F55D33"/>
    <w:rsid w:val="00F55FFA"/>
    <w:rsid w:val="00F566EC"/>
    <w:rsid w:val="00F57B72"/>
    <w:rsid w:val="00F601D3"/>
    <w:rsid w:val="00F60598"/>
    <w:rsid w:val="00F61542"/>
    <w:rsid w:val="00F61786"/>
    <w:rsid w:val="00F61A6F"/>
    <w:rsid w:val="00F6208C"/>
    <w:rsid w:val="00F629C5"/>
    <w:rsid w:val="00F640A6"/>
    <w:rsid w:val="00F651BA"/>
    <w:rsid w:val="00F65231"/>
    <w:rsid w:val="00F65236"/>
    <w:rsid w:val="00F66849"/>
    <w:rsid w:val="00F67B1A"/>
    <w:rsid w:val="00F70BEF"/>
    <w:rsid w:val="00F720D3"/>
    <w:rsid w:val="00F73B8A"/>
    <w:rsid w:val="00F756E6"/>
    <w:rsid w:val="00F7586C"/>
    <w:rsid w:val="00F7590E"/>
    <w:rsid w:val="00F761A6"/>
    <w:rsid w:val="00F76227"/>
    <w:rsid w:val="00F76A3A"/>
    <w:rsid w:val="00F76A5F"/>
    <w:rsid w:val="00F77EB2"/>
    <w:rsid w:val="00F816EB"/>
    <w:rsid w:val="00F81A7E"/>
    <w:rsid w:val="00F81C67"/>
    <w:rsid w:val="00F823EA"/>
    <w:rsid w:val="00F8278A"/>
    <w:rsid w:val="00F83EE8"/>
    <w:rsid w:val="00F8454D"/>
    <w:rsid w:val="00F84A9A"/>
    <w:rsid w:val="00F8571A"/>
    <w:rsid w:val="00F86594"/>
    <w:rsid w:val="00F86753"/>
    <w:rsid w:val="00F90C4B"/>
    <w:rsid w:val="00F90C92"/>
    <w:rsid w:val="00F90F52"/>
    <w:rsid w:val="00F92E00"/>
    <w:rsid w:val="00F932E9"/>
    <w:rsid w:val="00F9393D"/>
    <w:rsid w:val="00F93C65"/>
    <w:rsid w:val="00F93CBA"/>
    <w:rsid w:val="00F944CE"/>
    <w:rsid w:val="00F95104"/>
    <w:rsid w:val="00F954A5"/>
    <w:rsid w:val="00F96BA5"/>
    <w:rsid w:val="00F96FB6"/>
    <w:rsid w:val="00F97148"/>
    <w:rsid w:val="00FA074B"/>
    <w:rsid w:val="00FA0D23"/>
    <w:rsid w:val="00FA2BA6"/>
    <w:rsid w:val="00FA3F6F"/>
    <w:rsid w:val="00FA46B7"/>
    <w:rsid w:val="00FA49A6"/>
    <w:rsid w:val="00FA4ADA"/>
    <w:rsid w:val="00FA55B5"/>
    <w:rsid w:val="00FA5828"/>
    <w:rsid w:val="00FA5E76"/>
    <w:rsid w:val="00FA765B"/>
    <w:rsid w:val="00FA791D"/>
    <w:rsid w:val="00FA7E5C"/>
    <w:rsid w:val="00FB0808"/>
    <w:rsid w:val="00FB08F9"/>
    <w:rsid w:val="00FB0FF6"/>
    <w:rsid w:val="00FB147F"/>
    <w:rsid w:val="00FB1518"/>
    <w:rsid w:val="00FB18DD"/>
    <w:rsid w:val="00FB1D70"/>
    <w:rsid w:val="00FB38A9"/>
    <w:rsid w:val="00FB4BB5"/>
    <w:rsid w:val="00FB4DE5"/>
    <w:rsid w:val="00FB582D"/>
    <w:rsid w:val="00FB5F1E"/>
    <w:rsid w:val="00FB60C8"/>
    <w:rsid w:val="00FB686C"/>
    <w:rsid w:val="00FC1EF0"/>
    <w:rsid w:val="00FC29B6"/>
    <w:rsid w:val="00FC3AFD"/>
    <w:rsid w:val="00FC4833"/>
    <w:rsid w:val="00FC7377"/>
    <w:rsid w:val="00FC7865"/>
    <w:rsid w:val="00FC794C"/>
    <w:rsid w:val="00FC7A06"/>
    <w:rsid w:val="00FD1457"/>
    <w:rsid w:val="00FD1D12"/>
    <w:rsid w:val="00FD4840"/>
    <w:rsid w:val="00FD4D4D"/>
    <w:rsid w:val="00FD5074"/>
    <w:rsid w:val="00FD5B82"/>
    <w:rsid w:val="00FD66CB"/>
    <w:rsid w:val="00FE05F5"/>
    <w:rsid w:val="00FE08CF"/>
    <w:rsid w:val="00FE21AD"/>
    <w:rsid w:val="00FE2A8D"/>
    <w:rsid w:val="00FE38D5"/>
    <w:rsid w:val="00FE4083"/>
    <w:rsid w:val="00FE5C73"/>
    <w:rsid w:val="00FE6201"/>
    <w:rsid w:val="00FE6326"/>
    <w:rsid w:val="00FF1492"/>
    <w:rsid w:val="00FF192B"/>
    <w:rsid w:val="00FF1C2F"/>
    <w:rsid w:val="00FF1D49"/>
    <w:rsid w:val="00FF2CC2"/>
    <w:rsid w:val="00FF3F72"/>
    <w:rsid w:val="00FF5313"/>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Hyperlink" w:uiPriority="99"/>
    <w:lsdException w:name="Strong"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basedOn w:val="Heading1"/>
    <w:next w:val="Normal"/>
    <w:link w:val="Heading3Char"/>
    <w:qFormat/>
    <w:rsid w:val="00016BF5"/>
    <w:pPr>
      <w:spacing w:before="160"/>
      <w:outlineLvl w:val="2"/>
    </w:p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uiPriority w:val="99"/>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uiPriority w:val="99"/>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link w:val="enumlev1Char"/>
    <w:uiPriority w:val="99"/>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uiPriority w:val="99"/>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link w:val="TableNotitleChar"/>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761109"/>
    <w:pPr>
      <w:keepLines/>
      <w:tabs>
        <w:tab w:val="clear" w:pos="794"/>
        <w:tab w:val="clear" w:pos="1191"/>
        <w:tab w:val="clear" w:pos="1588"/>
        <w:tab w:val="clear" w:pos="1985"/>
        <w:tab w:val="left" w:pos="964"/>
        <w:tab w:val="left" w:leader="dot" w:pos="8789"/>
        <w:tab w:val="right" w:pos="9639"/>
      </w:tabs>
      <w:spacing w:before="240"/>
      <w:ind w:left="567" w:right="851" w:hanging="567"/>
    </w:pPr>
    <w:rPr>
      <w:noProof/>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1164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255FAC"/>
    <w:pPr>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7" w:hanging="567"/>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character" w:customStyle="1" w:styleId="Heading1Char">
    <w:name w:val="Heading 1 Char"/>
    <w:basedOn w:val="DefaultParagraphFont"/>
    <w:link w:val="Heading1"/>
    <w:rsid w:val="00C95304"/>
    <w:rPr>
      <w:rFonts w:ascii="Times New Roman" w:hAnsi="Times New Roman"/>
      <w:b/>
      <w:sz w:val="22"/>
      <w:lang w:val="en-GB" w:eastAsia="en-US"/>
    </w:rPr>
  </w:style>
  <w:style w:type="character" w:customStyle="1" w:styleId="Heading2Char">
    <w:name w:val="Heading 2 Char"/>
    <w:basedOn w:val="DefaultParagraphFont"/>
    <w:link w:val="Heading2"/>
    <w:rsid w:val="00C95304"/>
    <w:rPr>
      <w:rFonts w:ascii="Times New Roman" w:hAnsi="Times New Roman"/>
      <w:b/>
      <w:sz w:val="22"/>
      <w:lang w:val="en-GB" w:eastAsia="en-US"/>
    </w:rPr>
  </w:style>
  <w:style w:type="character" w:customStyle="1" w:styleId="Heading3Char">
    <w:name w:val="Heading 3 Char"/>
    <w:basedOn w:val="DefaultParagraphFont"/>
    <w:link w:val="Heading3"/>
    <w:rsid w:val="00C95304"/>
    <w:rPr>
      <w:rFonts w:ascii="Times New Roman" w:hAnsi="Times New Roman"/>
      <w:b/>
      <w:sz w:val="22"/>
      <w:lang w:val="en-GB" w:eastAsia="en-US"/>
    </w:rPr>
  </w:style>
  <w:style w:type="character" w:customStyle="1" w:styleId="Heading4Char">
    <w:name w:val="Heading 4 Char"/>
    <w:basedOn w:val="DefaultParagraphFont"/>
    <w:link w:val="Heading4"/>
    <w:rsid w:val="00C95304"/>
    <w:rPr>
      <w:rFonts w:ascii="Times New Roman" w:hAnsi="Times New Roman"/>
      <w:b/>
      <w:sz w:val="22"/>
      <w:lang w:val="en-GB" w:eastAsia="en-US"/>
    </w:rPr>
  </w:style>
  <w:style w:type="character" w:customStyle="1" w:styleId="Heading5Char">
    <w:name w:val="Heading 5 Char"/>
    <w:basedOn w:val="DefaultParagraphFont"/>
    <w:link w:val="Heading5"/>
    <w:rsid w:val="00C95304"/>
    <w:rPr>
      <w:rFonts w:ascii="Times New Roman" w:hAnsi="Times New Roman"/>
      <w:b/>
      <w:sz w:val="22"/>
      <w:lang w:val="en-GB" w:eastAsia="en-US"/>
    </w:rPr>
  </w:style>
  <w:style w:type="character" w:customStyle="1" w:styleId="Heading6Char">
    <w:name w:val="Heading 6 Char"/>
    <w:basedOn w:val="DefaultParagraphFont"/>
    <w:link w:val="Heading6"/>
    <w:rsid w:val="00C95304"/>
    <w:rPr>
      <w:rFonts w:ascii="Times New Roman" w:hAnsi="Times New Roman"/>
      <w:b/>
      <w:sz w:val="22"/>
      <w:lang w:val="en-GB" w:eastAsia="en-US"/>
    </w:rPr>
  </w:style>
  <w:style w:type="character" w:customStyle="1" w:styleId="Heading7Char">
    <w:name w:val="Heading 7 Char"/>
    <w:basedOn w:val="DefaultParagraphFont"/>
    <w:link w:val="Heading7"/>
    <w:rsid w:val="00C95304"/>
    <w:rPr>
      <w:rFonts w:ascii="Times New Roman" w:hAnsi="Times New Roman"/>
      <w:b/>
      <w:sz w:val="22"/>
      <w:lang w:val="en-GB" w:eastAsia="en-US"/>
    </w:rPr>
  </w:style>
  <w:style w:type="character" w:customStyle="1" w:styleId="Heading8Char">
    <w:name w:val="Heading 8 Char"/>
    <w:basedOn w:val="DefaultParagraphFont"/>
    <w:link w:val="Heading8"/>
    <w:rsid w:val="00C95304"/>
    <w:rPr>
      <w:rFonts w:ascii="Times New Roman" w:hAnsi="Times New Roman"/>
      <w:b/>
      <w:sz w:val="22"/>
      <w:lang w:val="en-GB" w:eastAsia="en-US"/>
    </w:rPr>
  </w:style>
  <w:style w:type="character" w:customStyle="1" w:styleId="Heading9Char">
    <w:name w:val="Heading 9 Char"/>
    <w:basedOn w:val="DefaultParagraphFont"/>
    <w:link w:val="Heading9"/>
    <w:rsid w:val="00C95304"/>
    <w:rPr>
      <w:rFonts w:ascii="Times New Roman" w:hAnsi="Times New Roman"/>
      <w:b/>
      <w:sz w:val="22"/>
      <w:lang w:val="en-GB" w:eastAsia="en-US"/>
    </w:rPr>
  </w:style>
  <w:style w:type="paragraph" w:customStyle="1" w:styleId="CEONormal">
    <w:name w:val="CEO_Normal"/>
    <w:autoRedefine/>
    <w:rsid w:val="00C95304"/>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C95304"/>
    <w:pPr>
      <w:spacing w:after="120"/>
      <w:ind w:left="743"/>
    </w:pPr>
    <w:rPr>
      <w:b/>
      <w:bCs/>
      <w:iCs/>
    </w:rPr>
  </w:style>
  <w:style w:type="paragraph" w:customStyle="1" w:styleId="CEOSourceTitle">
    <w:name w:val="CEO_Source_Titl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C95304"/>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C9530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C95304"/>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C95304"/>
    <w:pPr>
      <w:tabs>
        <w:tab w:val="left" w:pos="2098"/>
      </w:tabs>
      <w:ind w:left="2098" w:hanging="2098"/>
    </w:pPr>
    <w:rPr>
      <w:lang w:val="fr-CH"/>
    </w:rPr>
  </w:style>
  <w:style w:type="paragraph" w:customStyle="1" w:styleId="CEOSectorName">
    <w:name w:val="CEO_SectorName"/>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C9530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C95304"/>
    <w:pPr>
      <w:spacing w:before="0"/>
      <w:jc w:val="right"/>
    </w:pPr>
  </w:style>
  <w:style w:type="paragraph" w:customStyle="1" w:styleId="CEORevision">
    <w:name w:val="CEO_Revision"/>
    <w:basedOn w:val="CEONormal"/>
    <w:autoRedefine/>
    <w:rsid w:val="00C95304"/>
    <w:pPr>
      <w:tabs>
        <w:tab w:val="left" w:pos="1928"/>
      </w:tabs>
    </w:pPr>
    <w:rPr>
      <w:b/>
      <w:sz w:val="18"/>
      <w:szCs w:val="18"/>
    </w:rPr>
  </w:style>
  <w:style w:type="paragraph" w:customStyle="1" w:styleId="CEOActionRequired">
    <w:name w:val="CEO_ActionRequired"/>
    <w:basedOn w:val="CEONormal"/>
    <w:rsid w:val="00C95304"/>
    <w:pPr>
      <w:tabs>
        <w:tab w:val="left" w:pos="1928"/>
      </w:tabs>
    </w:pPr>
    <w:rPr>
      <w:b/>
    </w:rPr>
  </w:style>
  <w:style w:type="character" w:customStyle="1" w:styleId="HeaderChar">
    <w:name w:val="Header Char"/>
    <w:basedOn w:val="DefaultParagraphFont"/>
    <w:link w:val="Header"/>
    <w:rsid w:val="00C95304"/>
    <w:rPr>
      <w:rFonts w:ascii="Times New Roman" w:hAnsi="Times New Roman"/>
      <w:b/>
      <w:sz w:val="22"/>
      <w:lang w:val="en-GB" w:eastAsia="en-US"/>
    </w:rPr>
  </w:style>
  <w:style w:type="character" w:customStyle="1" w:styleId="FooterChar">
    <w:name w:val="Footer Char"/>
    <w:basedOn w:val="DefaultParagraphFont"/>
    <w:link w:val="Footer"/>
    <w:rsid w:val="00C95304"/>
    <w:rPr>
      <w:rFonts w:ascii="Times New Roman" w:hAnsi="Times New Roman"/>
      <w:caps/>
      <w:noProof/>
      <w:sz w:val="16"/>
      <w:lang w:val="en-GB" w:eastAsia="en-US"/>
    </w:rPr>
  </w:style>
  <w:style w:type="paragraph" w:customStyle="1" w:styleId="CEOFooterContact2-3">
    <w:name w:val="CEO_FooterContact2-3"/>
    <w:basedOn w:val="Normal"/>
    <w:rsid w:val="00C95304"/>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SimSun" w:hAnsi="Verdana"/>
      <w:sz w:val="16"/>
      <w:szCs w:val="16"/>
    </w:rPr>
  </w:style>
  <w:style w:type="paragraph" w:customStyle="1" w:styleId="CEOFooterContact1">
    <w:name w:val="CEO_FooterContact1"/>
    <w:basedOn w:val="Normal"/>
    <w:next w:val="CEOFooterContact2-3"/>
    <w:rsid w:val="00C95304"/>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SimSun" w:hAnsi="Verdana"/>
      <w:sz w:val="16"/>
      <w:szCs w:val="16"/>
    </w:rPr>
  </w:style>
  <w:style w:type="paragraph" w:customStyle="1" w:styleId="CEODocTitle2lines-Second">
    <w:name w:val="CEO_DocTitle2lines-Second"/>
    <w:basedOn w:val="CEODocTitle2lines-First"/>
    <w:rsid w:val="00C95304"/>
    <w:pPr>
      <w:spacing w:before="0" w:after="480"/>
    </w:pPr>
  </w:style>
  <w:style w:type="paragraph" w:customStyle="1" w:styleId="CEODocTitle2lines-First">
    <w:name w:val="CEO_DocTitle2lines-First"/>
    <w:basedOn w:val="CEODocTitle-1line"/>
    <w:next w:val="Normal"/>
    <w:link w:val="CEODocTitle2lines-FirstChar"/>
    <w:rsid w:val="00C95304"/>
    <w:pPr>
      <w:spacing w:after="0"/>
    </w:pPr>
  </w:style>
  <w:style w:type="paragraph" w:customStyle="1" w:styleId="CEODocTitle-1line">
    <w:name w:val="CEO_DocTitle-1line"/>
    <w:basedOn w:val="Normal"/>
    <w:next w:val="Normal"/>
    <w:link w:val="CEODocTitle-1lineChar"/>
    <w:rsid w:val="00C95304"/>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C95304"/>
    <w:pPr>
      <w:keepNext/>
      <w:keepLines/>
      <w:tabs>
        <w:tab w:val="clear" w:pos="720"/>
      </w:tabs>
      <w:spacing w:before="480"/>
      <w:ind w:left="0" w:firstLine="0"/>
    </w:pPr>
  </w:style>
  <w:style w:type="paragraph" w:customStyle="1" w:styleId="CEOcontribution-H123">
    <w:name w:val="CEO_contribution-H123"/>
    <w:basedOn w:val="Normal"/>
    <w:rsid w:val="00C95304"/>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C95304"/>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C95304"/>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C95304"/>
    <w:pPr>
      <w:tabs>
        <w:tab w:val="clear" w:pos="927"/>
      </w:tabs>
      <w:ind w:left="0" w:right="12" w:firstLine="0"/>
      <w:jc w:val="right"/>
    </w:pPr>
  </w:style>
  <w:style w:type="paragraph" w:customStyle="1" w:styleId="CEODocNoDetails">
    <w:name w:val="CEO_DocNoDetails"/>
    <w:basedOn w:val="Normal"/>
    <w:rsid w:val="00C95304"/>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C9530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C95304"/>
    <w:pPr>
      <w:numPr>
        <w:numId w:val="3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C95304"/>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C95304"/>
    <w:pPr>
      <w:tabs>
        <w:tab w:val="clear" w:pos="720"/>
      </w:tabs>
      <w:spacing w:before="360"/>
      <w:ind w:left="0" w:firstLine="0"/>
    </w:pPr>
    <w:rPr>
      <w:b w:val="0"/>
    </w:rPr>
  </w:style>
  <w:style w:type="paragraph" w:customStyle="1" w:styleId="CEOParagraph111">
    <w:name w:val="CEO_Paragraph1.1.1"/>
    <w:basedOn w:val="Heading3"/>
    <w:rsid w:val="00C95304"/>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C95304"/>
    <w:pPr>
      <w:numPr>
        <w:ilvl w:val="1"/>
        <w:numId w:val="34"/>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C95304"/>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C95304"/>
    <w:pPr>
      <w:numPr>
        <w:numId w:val="35"/>
      </w:numPr>
    </w:pPr>
  </w:style>
  <w:style w:type="paragraph" w:customStyle="1" w:styleId="CEOQuestionDetails">
    <w:name w:val="CEO_QuestionDetails"/>
    <w:basedOn w:val="CEOOriginalLanguage"/>
    <w:rsid w:val="00C95304"/>
    <w:rPr>
      <w:b w:val="0"/>
      <w:bCs/>
    </w:rPr>
  </w:style>
  <w:style w:type="paragraph" w:customStyle="1" w:styleId="CEOSignatureName">
    <w:name w:val="CEO_SignatureName"/>
    <w:basedOn w:val="Normal"/>
    <w:rsid w:val="00C9530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C95304"/>
    <w:pPr>
      <w:spacing w:before="0"/>
    </w:pPr>
  </w:style>
  <w:style w:type="paragraph" w:customStyle="1" w:styleId="CEOSTG">
    <w:name w:val="CEO_STG"/>
    <w:basedOn w:val="CEOOriginalLanguage"/>
    <w:rsid w:val="00C95304"/>
    <w:pPr>
      <w:spacing w:before="120"/>
      <w:jc w:val="center"/>
    </w:pPr>
  </w:style>
  <w:style w:type="paragraph" w:customStyle="1" w:styleId="CEOindent-endash">
    <w:name w:val="CEO_indent-endash"/>
    <w:basedOn w:val="CEOEmdashList"/>
    <w:rsid w:val="00C95304"/>
    <w:pPr>
      <w:numPr>
        <w:numId w:val="36"/>
      </w:numPr>
    </w:pPr>
  </w:style>
  <w:style w:type="paragraph" w:customStyle="1" w:styleId="CEOEmdashList">
    <w:name w:val="CEO_EmdashList"/>
    <w:basedOn w:val="CEONormal"/>
    <w:rsid w:val="00C95304"/>
  </w:style>
  <w:style w:type="paragraph" w:customStyle="1" w:styleId="CEOConsidering">
    <w:name w:val="CEO_Considering"/>
    <w:basedOn w:val="CEONormal"/>
    <w:rsid w:val="00C95304"/>
    <w:pPr>
      <w:keepNext/>
      <w:keepLines/>
      <w:spacing w:after="120"/>
      <w:ind w:left="851"/>
    </w:pPr>
    <w:rPr>
      <w:i/>
      <w:iCs/>
    </w:rPr>
  </w:style>
  <w:style w:type="paragraph" w:customStyle="1" w:styleId="CEOEndBar">
    <w:name w:val="CEO_EndBar"/>
    <w:basedOn w:val="CEONormal"/>
    <w:rsid w:val="00C95304"/>
    <w:pPr>
      <w:spacing w:after="120"/>
      <w:jc w:val="center"/>
    </w:pPr>
  </w:style>
  <w:style w:type="paragraph" w:customStyle="1" w:styleId="CEOExtract">
    <w:name w:val="CEO_Extract"/>
    <w:basedOn w:val="CEONormal"/>
    <w:rsid w:val="00C95304"/>
    <w:pPr>
      <w:keepNext/>
      <w:keepLines/>
      <w:spacing w:after="120"/>
    </w:pPr>
  </w:style>
  <w:style w:type="paragraph" w:customStyle="1" w:styleId="CEOHeader">
    <w:name w:val="CEO_Header"/>
    <w:basedOn w:val="Normal"/>
    <w:rsid w:val="00C95304"/>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C95304"/>
    <w:pPr>
      <w:spacing w:after="120"/>
      <w:ind w:left="426"/>
    </w:pPr>
  </w:style>
  <w:style w:type="paragraph" w:customStyle="1" w:styleId="CEOMeetingSTG">
    <w:name w:val="CEO_MeetingSTG"/>
    <w:basedOn w:val="CEOMeetingName"/>
    <w:rsid w:val="00C95304"/>
    <w:pPr>
      <w:spacing w:before="120" w:after="120"/>
    </w:pPr>
  </w:style>
  <w:style w:type="paragraph" w:customStyle="1" w:styleId="CEORevisionNote">
    <w:name w:val="CEO_RevisionNote"/>
    <w:basedOn w:val="CEORevision"/>
    <w:autoRedefine/>
    <w:rsid w:val="00C95304"/>
    <w:pPr>
      <w:spacing w:after="120"/>
    </w:pPr>
    <w:rPr>
      <w:b w:val="0"/>
      <w:i/>
      <w:iCs/>
      <w:lang w:val="en-US"/>
    </w:rPr>
  </w:style>
  <w:style w:type="paragraph" w:customStyle="1" w:styleId="CEORequiredAction">
    <w:name w:val="CEO_RequiredAction"/>
    <w:basedOn w:val="CEONormal"/>
    <w:rsid w:val="00C95304"/>
    <w:pPr>
      <w:tabs>
        <w:tab w:val="left" w:pos="1928"/>
      </w:tabs>
    </w:pPr>
    <w:rPr>
      <w:b/>
    </w:rPr>
  </w:style>
  <w:style w:type="paragraph" w:customStyle="1" w:styleId="CEOAnnex">
    <w:name w:val="CEO_Annex"/>
    <w:basedOn w:val="CEOSignatureTitle"/>
    <w:rsid w:val="00C95304"/>
    <w:pPr>
      <w:spacing w:before="1000"/>
    </w:pPr>
  </w:style>
  <w:style w:type="paragraph" w:customStyle="1" w:styleId="CEOEndashListNoIndent">
    <w:name w:val="CEO_EndashListNoIndent"/>
    <w:basedOn w:val="CEONormal"/>
    <w:rsid w:val="00C95304"/>
    <w:pPr>
      <w:numPr>
        <w:numId w:val="31"/>
      </w:numPr>
    </w:pPr>
  </w:style>
  <w:style w:type="paragraph" w:customStyle="1" w:styleId="CEOFootnoteText">
    <w:name w:val="CEO_Footnote Text"/>
    <w:basedOn w:val="CEONormal"/>
    <w:rsid w:val="00C95304"/>
    <w:pPr>
      <w:tabs>
        <w:tab w:val="left" w:pos="357"/>
      </w:tabs>
      <w:spacing w:before="0"/>
    </w:pPr>
  </w:style>
  <w:style w:type="paragraph" w:customStyle="1" w:styleId="CEOHeading1-Numbered">
    <w:name w:val="CEO_Heading1-Numbered"/>
    <w:basedOn w:val="CEONormal"/>
    <w:rsid w:val="00C95304"/>
    <w:pPr>
      <w:numPr>
        <w:numId w:val="32"/>
      </w:numPr>
      <w:pBdr>
        <w:bottom w:val="single" w:sz="12" w:space="1" w:color="808080"/>
      </w:pBdr>
    </w:pPr>
    <w:rPr>
      <w:b/>
      <w:bCs/>
      <w:color w:val="808080"/>
      <w:sz w:val="20"/>
    </w:rPr>
  </w:style>
  <w:style w:type="paragraph" w:customStyle="1" w:styleId="CEOHeading1">
    <w:name w:val="CEO_Heading1"/>
    <w:basedOn w:val="CEOHeading1-Numbered"/>
    <w:next w:val="CEONormal"/>
    <w:rsid w:val="00C95304"/>
    <w:pPr>
      <w:numPr>
        <w:numId w:val="0"/>
      </w:numPr>
    </w:pPr>
    <w:rPr>
      <w:lang w:val="fr-CH"/>
    </w:rPr>
  </w:style>
  <w:style w:type="paragraph" w:customStyle="1" w:styleId="CEOIndent1-abc">
    <w:name w:val="CEO_Indent1-abc"/>
    <w:basedOn w:val="CEONormal"/>
    <w:rsid w:val="00C95304"/>
    <w:pPr>
      <w:numPr>
        <w:numId w:val="33"/>
      </w:numPr>
      <w:spacing w:before="60" w:after="60"/>
      <w:ind w:right="709"/>
    </w:pPr>
  </w:style>
  <w:style w:type="paragraph" w:customStyle="1" w:styleId="CEOAbstract">
    <w:name w:val="CEOAbstract"/>
    <w:rsid w:val="00C95304"/>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95304"/>
    <w:pPr>
      <w:spacing w:before="720"/>
    </w:pPr>
  </w:style>
  <w:style w:type="paragraph" w:customStyle="1" w:styleId="CEOSmall">
    <w:name w:val="CEO_Small"/>
    <w:basedOn w:val="CEONormal"/>
    <w:rsid w:val="00C95304"/>
  </w:style>
  <w:style w:type="paragraph" w:customStyle="1" w:styleId="CEOStartNextPage">
    <w:name w:val="CEO_StartNextPage"/>
    <w:next w:val="CEONormal"/>
    <w:rsid w:val="00C95304"/>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C95304"/>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C95304"/>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C95304"/>
    <w:pPr>
      <w:spacing w:before="120"/>
    </w:pPr>
    <w:rPr>
      <w:rFonts w:ascii="Verdana" w:eastAsia="SimSun" w:hAnsi="Verdana"/>
      <w:bCs/>
      <w:sz w:val="19"/>
      <w:szCs w:val="19"/>
      <w:lang w:val="en-GB" w:eastAsia="en-US"/>
    </w:rPr>
  </w:style>
  <w:style w:type="paragraph" w:customStyle="1" w:styleId="Band">
    <w:name w:val="Band"/>
    <w:basedOn w:val="ECA"/>
    <w:rsid w:val="00AE42B5"/>
  </w:style>
  <w:style w:type="character" w:customStyle="1" w:styleId="WW-Absatz-Standardschriftart">
    <w:name w:val="WW-Absatz-Standardschriftart"/>
    <w:rsid w:val="00C95304"/>
  </w:style>
  <w:style w:type="character" w:customStyle="1" w:styleId="WW-Absatz-Standardschriftart1">
    <w:name w:val="WW-Absatz-Standardschriftart1"/>
    <w:rsid w:val="00C95304"/>
  </w:style>
  <w:style w:type="character" w:customStyle="1" w:styleId="WW-Absatz-Standardschriftart11">
    <w:name w:val="WW-Absatz-Standardschriftart11"/>
    <w:rsid w:val="00C95304"/>
  </w:style>
  <w:style w:type="character" w:customStyle="1" w:styleId="WW-Absatz-Standardschriftart111">
    <w:name w:val="WW-Absatz-Standardschriftart111"/>
    <w:rsid w:val="00C95304"/>
  </w:style>
  <w:style w:type="character" w:customStyle="1" w:styleId="WW-Absatz-Standardschriftart1111">
    <w:name w:val="WW-Absatz-Standardschriftart1111"/>
    <w:rsid w:val="00C95304"/>
  </w:style>
  <w:style w:type="character" w:customStyle="1" w:styleId="WW-Absatz-Standardschriftart11111">
    <w:name w:val="WW-Absatz-Standardschriftart11111"/>
    <w:rsid w:val="00C95304"/>
  </w:style>
  <w:style w:type="character" w:customStyle="1" w:styleId="WW-Absatz-Standardschriftart111111">
    <w:name w:val="WW-Absatz-Standardschriftart111111"/>
    <w:rsid w:val="00C95304"/>
  </w:style>
  <w:style w:type="character" w:customStyle="1" w:styleId="WW-Absatz-Standardschriftart1111111">
    <w:name w:val="WW-Absatz-Standardschriftart1111111"/>
    <w:rsid w:val="00C95304"/>
  </w:style>
  <w:style w:type="character" w:customStyle="1" w:styleId="WW-Absatz-Standardschriftart11111111">
    <w:name w:val="WW-Absatz-Standardschriftart11111111"/>
    <w:rsid w:val="00C95304"/>
  </w:style>
  <w:style w:type="character" w:customStyle="1" w:styleId="WW-Absatz-Standardschriftart111111111">
    <w:name w:val="WW-Absatz-Standardschriftart111111111"/>
    <w:rsid w:val="00C95304"/>
  </w:style>
  <w:style w:type="character" w:customStyle="1" w:styleId="WW-Absatz-Standardschriftart1111111111">
    <w:name w:val="WW-Absatz-Standardschriftart1111111111"/>
    <w:rsid w:val="00C95304"/>
  </w:style>
  <w:style w:type="character" w:customStyle="1" w:styleId="WW-Absatz-Standardschriftart11111111111">
    <w:name w:val="WW-Absatz-Standardschriftart11111111111"/>
    <w:rsid w:val="00C95304"/>
  </w:style>
  <w:style w:type="character" w:customStyle="1" w:styleId="WW-Absatz-Standardschriftart111111111111">
    <w:name w:val="WW-Absatz-Standardschriftart111111111111"/>
    <w:rsid w:val="00C95304"/>
  </w:style>
  <w:style w:type="character" w:customStyle="1" w:styleId="WW-Absatz-Standardschriftart1111111111111">
    <w:name w:val="WW-Absatz-Standardschriftart1111111111111"/>
    <w:rsid w:val="00C95304"/>
  </w:style>
  <w:style w:type="character" w:customStyle="1" w:styleId="WW-Absatz-Standardschriftart11111111111111">
    <w:name w:val="WW-Absatz-Standardschriftart11111111111111"/>
    <w:rsid w:val="00C95304"/>
  </w:style>
  <w:style w:type="character" w:customStyle="1" w:styleId="WW-Absatz-Standardschriftart1111111111111111">
    <w:name w:val="WW-Absatz-Standardschriftart1111111111111111"/>
    <w:rsid w:val="00C95304"/>
  </w:style>
  <w:style w:type="character" w:customStyle="1" w:styleId="Policepardfaut">
    <w:name w:val="Police par défaut"/>
    <w:rsid w:val="00C95304"/>
  </w:style>
  <w:style w:type="character" w:customStyle="1" w:styleId="WW-Absatz-Standardschriftart11111111111111111">
    <w:name w:val="WW-Absatz-Standardschriftart11111111111111111"/>
    <w:rsid w:val="00C95304"/>
  </w:style>
  <w:style w:type="character" w:customStyle="1" w:styleId="WW-Absatz-Standardschriftart111111111111111111">
    <w:name w:val="WW-Absatz-Standardschriftart111111111111111111"/>
    <w:rsid w:val="00C95304"/>
  </w:style>
  <w:style w:type="character" w:customStyle="1" w:styleId="WW-Absatz-Standardschriftart1111111111111111111">
    <w:name w:val="WW-Absatz-Standardschriftart1111111111111111111"/>
    <w:rsid w:val="00C95304"/>
  </w:style>
  <w:style w:type="character" w:customStyle="1" w:styleId="WW8Num5z0">
    <w:name w:val="WW8Num5z0"/>
    <w:rsid w:val="00C95304"/>
    <w:rPr>
      <w:rFonts w:ascii="Symbol" w:hAnsi="Symbol"/>
    </w:rPr>
  </w:style>
  <w:style w:type="character" w:customStyle="1" w:styleId="WW8Num6z0">
    <w:name w:val="WW8Num6z0"/>
    <w:rsid w:val="00C95304"/>
    <w:rPr>
      <w:rFonts w:ascii="Symbol" w:hAnsi="Symbol"/>
    </w:rPr>
  </w:style>
  <w:style w:type="character" w:customStyle="1" w:styleId="WW8Num7z0">
    <w:name w:val="WW8Num7z0"/>
    <w:rsid w:val="00C95304"/>
    <w:rPr>
      <w:rFonts w:ascii="Symbol" w:hAnsi="Symbol"/>
    </w:rPr>
  </w:style>
  <w:style w:type="character" w:customStyle="1" w:styleId="WW8Num8z0">
    <w:name w:val="WW8Num8z0"/>
    <w:rsid w:val="00C95304"/>
    <w:rPr>
      <w:rFonts w:ascii="Symbol" w:hAnsi="Symbol"/>
    </w:rPr>
  </w:style>
  <w:style w:type="character" w:customStyle="1" w:styleId="WW8Num10z0">
    <w:name w:val="WW8Num10z0"/>
    <w:rsid w:val="00C95304"/>
    <w:rPr>
      <w:rFonts w:ascii="Symbol" w:hAnsi="Symbol"/>
    </w:rPr>
  </w:style>
  <w:style w:type="character" w:customStyle="1" w:styleId="WW8Num13z0">
    <w:name w:val="WW8Num13z0"/>
    <w:rsid w:val="00C95304"/>
    <w:rPr>
      <w:rFonts w:ascii="Verdana" w:hAnsi="Verdana"/>
      <w:b w:val="0"/>
      <w:i w:val="0"/>
      <w:color w:val="auto"/>
      <w:sz w:val="18"/>
    </w:rPr>
  </w:style>
  <w:style w:type="character" w:customStyle="1" w:styleId="WW8NumSt11z0">
    <w:name w:val="WW8NumSt11z0"/>
    <w:rsid w:val="00C95304"/>
    <w:rPr>
      <w:rFonts w:ascii="Symbol" w:hAnsi="Symbol"/>
    </w:rPr>
  </w:style>
  <w:style w:type="character" w:customStyle="1" w:styleId="MOS-NormalChar">
    <w:name w:val="MOS-Normal Char"/>
    <w:basedOn w:val="DefaultParagraphFont"/>
    <w:rsid w:val="00C95304"/>
    <w:rPr>
      <w:rFonts w:ascii="Verdana" w:eastAsia="SimSun" w:hAnsi="Verdana" w:cs="Traditional Arabic"/>
      <w:noProof w:val="0"/>
      <w:sz w:val="18"/>
      <w:szCs w:val="28"/>
      <w:lang w:val="en-GB" w:eastAsia="ar-SA" w:bidi="ar-SA"/>
    </w:rPr>
  </w:style>
  <w:style w:type="character" w:customStyle="1" w:styleId="MOSQuestionNameChar">
    <w:name w:val="MOSQuestionName Char"/>
    <w:basedOn w:val="MOS-NormalChar"/>
    <w:rsid w:val="00C95304"/>
    <w:rPr>
      <w:b/>
      <w:bCs/>
    </w:rPr>
  </w:style>
  <w:style w:type="character" w:customStyle="1" w:styleId="MOSForActionCharChar">
    <w:name w:val="MOSForAction Char Char"/>
    <w:basedOn w:val="MOSQuestionNameChar"/>
    <w:rsid w:val="00C95304"/>
  </w:style>
  <w:style w:type="character" w:customStyle="1" w:styleId="MOSForInfoChar">
    <w:name w:val="MOSForInfo Char"/>
    <w:basedOn w:val="MOSQuestionNameChar"/>
    <w:rsid w:val="00C95304"/>
  </w:style>
  <w:style w:type="character" w:customStyle="1" w:styleId="Mos-NormalBoldChar">
    <w:name w:val="Mos-NormalBold Char"/>
    <w:basedOn w:val="MOS-NormalChar"/>
    <w:rsid w:val="00C95304"/>
    <w:rPr>
      <w:b/>
    </w:rPr>
  </w:style>
  <w:style w:type="character" w:customStyle="1" w:styleId="Puces">
    <w:name w:val="Puces"/>
    <w:rsid w:val="00C95304"/>
    <w:rPr>
      <w:rFonts w:ascii="StarSymbol" w:eastAsia="StarSymbol" w:hAnsi="StarSymbol" w:cs="StarSymbol"/>
      <w:sz w:val="18"/>
      <w:szCs w:val="18"/>
    </w:rPr>
  </w:style>
  <w:style w:type="character" w:customStyle="1" w:styleId="Caractresdenumrotation">
    <w:name w:val="Caractères de numérotation"/>
    <w:rsid w:val="00C95304"/>
  </w:style>
  <w:style w:type="paragraph" w:customStyle="1" w:styleId="Titre">
    <w:name w:val="Titre"/>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character" w:customStyle="1" w:styleId="BodyTextChar">
    <w:name w:val="Body Text Char"/>
    <w:basedOn w:val="DefaultParagraphFont"/>
    <w:link w:val="BodyText"/>
    <w:rsid w:val="00C95304"/>
    <w:rPr>
      <w:rFonts w:ascii="Times New Roman" w:hAnsi="Times New Roman"/>
      <w:bCs/>
      <w:sz w:val="22"/>
      <w:lang w:eastAsia="en-US"/>
    </w:rPr>
  </w:style>
  <w:style w:type="paragraph" w:styleId="List">
    <w:name w:val="List"/>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Lgende">
    <w:name w:val="Légend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sz w:val="20"/>
      <w:lang w:val="en-US" w:eastAsia="ar-SA"/>
    </w:rPr>
  </w:style>
  <w:style w:type="paragraph" w:customStyle="1" w:styleId="Titre1">
    <w:name w:val="Titre1"/>
    <w:basedOn w:val="Normal"/>
    <w:next w:val="BodyText"/>
    <w:rsid w:val="00C9530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C9530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C95304"/>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Address">
    <w:name w:val="envelope address"/>
    <w:basedOn w:val="Normal"/>
    <w:rsid w:val="00C95304"/>
    <w:pPr>
      <w:tabs>
        <w:tab w:val="clear" w:pos="794"/>
        <w:tab w:val="clear" w:pos="1191"/>
        <w:tab w:val="clear" w:pos="1588"/>
        <w:tab w:val="clear" w:pos="1985"/>
      </w:tabs>
      <w:suppressAutoHyphens/>
      <w:overflowPunct/>
      <w:autoSpaceDE/>
      <w:autoSpaceDN/>
      <w:adjustRightInd/>
      <w:spacing w:after="120"/>
      <w:ind w:left="2880"/>
      <w:jc w:val="left"/>
      <w:textAlignment w:val="auto"/>
    </w:pPr>
    <w:rPr>
      <w:rFonts w:ascii="Trebuchet MS" w:eastAsia="SimSun" w:hAnsi="Trebuchet MS" w:cs="Arial"/>
      <w:sz w:val="24"/>
      <w:szCs w:val="24"/>
      <w:lang w:val="en-US" w:eastAsia="ar-SA"/>
    </w:rPr>
  </w:style>
  <w:style w:type="paragraph" w:styleId="EnvelopeReturn">
    <w:name w:val="envelope return"/>
    <w:basedOn w:val="Normal"/>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eastAsia="SimSun" w:hAnsi="Verdana" w:cs="Arial"/>
      <w:sz w:val="20"/>
      <w:lang w:val="en-US" w:eastAsia="ar-SA"/>
    </w:rPr>
  </w:style>
  <w:style w:type="paragraph" w:customStyle="1" w:styleId="MOS-Normal">
    <w:name w:val="MOS-Normal"/>
    <w:rsid w:val="00C95304"/>
    <w:pPr>
      <w:suppressAutoHyphens/>
      <w:spacing w:before="120" w:after="120"/>
    </w:pPr>
    <w:rPr>
      <w:rFonts w:ascii="Verdana" w:eastAsia="SimSun" w:hAnsi="Verdana" w:cs="Traditional Arabic"/>
      <w:sz w:val="18"/>
      <w:szCs w:val="28"/>
      <w:lang w:val="en-GB" w:eastAsia="ar-SA"/>
    </w:rPr>
  </w:style>
  <w:style w:type="paragraph" w:customStyle="1" w:styleId="MOSSignature">
    <w:name w:val="MOSSignature"/>
    <w:basedOn w:val="Normal"/>
    <w:rsid w:val="00C95304"/>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eastAsia="SimSun" w:hAnsi="Verdana"/>
      <w:sz w:val="18"/>
      <w:lang w:eastAsia="ar-SA"/>
    </w:rPr>
  </w:style>
  <w:style w:type="paragraph" w:customStyle="1" w:styleId="MOS-SignatureTitle">
    <w:name w:val="MOS-SignatureTitle"/>
    <w:basedOn w:val="MOSSignature"/>
    <w:rsid w:val="00C95304"/>
    <w:pPr>
      <w:spacing w:before="0"/>
    </w:pPr>
  </w:style>
  <w:style w:type="paragraph" w:customStyle="1" w:styleId="MOSFooter">
    <w:name w:val="MOSFooter"/>
    <w:basedOn w:val="Normal"/>
    <w:rsid w:val="00C95304"/>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eastAsia="SimSun" w:hAnsi="Verdana"/>
      <w:sz w:val="16"/>
      <w:lang w:eastAsia="ar-SA"/>
    </w:rPr>
  </w:style>
  <w:style w:type="paragraph" w:customStyle="1" w:styleId="MOSAnnex">
    <w:name w:val="MOSAnnex"/>
    <w:basedOn w:val="MOS-SignatureTitle"/>
    <w:rsid w:val="00C95304"/>
    <w:pPr>
      <w:spacing w:before="1000"/>
    </w:pPr>
  </w:style>
  <w:style w:type="paragraph" w:customStyle="1" w:styleId="MOSBureau">
    <w:name w:val="MOSBureau"/>
    <w:basedOn w:val="Normal"/>
    <w:rsid w:val="00C95304"/>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hAnsi="Futura Lt BT"/>
      <w:sz w:val="28"/>
      <w:lang w:val="en-US" w:eastAsia="he-IL" w:bidi="he-IL"/>
    </w:rPr>
  </w:style>
  <w:style w:type="paragraph" w:customStyle="1" w:styleId="MOSLetterHead-Contacts">
    <w:name w:val="MOSLetterHead-Contacts"/>
    <w:basedOn w:val="Normal"/>
    <w:next w:val="Normal"/>
    <w:rsid w:val="00C95304"/>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eastAsia="SimSun" w:hAnsi="Futura Lt BT"/>
      <w:spacing w:val="20"/>
      <w:sz w:val="20"/>
      <w:lang w:val="de-DE" w:eastAsia="ar-SA"/>
    </w:rPr>
  </w:style>
  <w:style w:type="paragraph" w:customStyle="1" w:styleId="MOS-Date">
    <w:name w:val="MOS-Date"/>
    <w:basedOn w:val="Normal"/>
    <w:rsid w:val="00C95304"/>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eastAsia="SimSun" w:hAnsi="Verdana"/>
      <w:sz w:val="18"/>
      <w:lang w:eastAsia="ar-SA"/>
    </w:rPr>
  </w:style>
  <w:style w:type="paragraph" w:customStyle="1" w:styleId="MOSAPContacts">
    <w:name w:val="MOSAPContacts"/>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sz w:val="18"/>
      <w:lang w:eastAsia="ar-SA"/>
    </w:rPr>
  </w:style>
  <w:style w:type="paragraph" w:customStyle="1" w:styleId="MOSLetterHead-AddLine12">
    <w:name w:val="MOSLetterHead-AddLine1_2"/>
    <w:basedOn w:val="Normal"/>
    <w:rsid w:val="00C95304"/>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eastAsia="SimSun" w:hAnsi="Futura Lt BT"/>
      <w:b/>
      <w:sz w:val="18"/>
      <w:lang w:eastAsia="ar-SA"/>
    </w:rPr>
  </w:style>
  <w:style w:type="paragraph" w:customStyle="1" w:styleId="MOSLetterHead-AddLine3">
    <w:name w:val="MOSLetterHead-AddLine3"/>
    <w:basedOn w:val="Normal"/>
    <w:rsid w:val="00C95304"/>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eastAsia="SimSun" w:hAnsi="Futura Lt BT"/>
      <w:b/>
      <w:sz w:val="18"/>
      <w:lang w:eastAsia="ar-SA"/>
    </w:rPr>
  </w:style>
  <w:style w:type="paragraph" w:customStyle="1" w:styleId="MOSLetterHead-Addline12Right">
    <w:name w:val="MOSLetterHead-Addline1_2Right"/>
    <w:basedOn w:val="Normal"/>
    <w:rsid w:val="00C95304"/>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eastAsia="SimSun" w:hAnsi="Futura Lt BT"/>
      <w:b/>
      <w:sz w:val="18"/>
      <w:lang w:eastAsia="ar-SA"/>
    </w:rPr>
  </w:style>
  <w:style w:type="paragraph" w:customStyle="1" w:styleId="MOSLetterHead-AddLine3Right">
    <w:name w:val="MOSLetterHead-AddLine3Right"/>
    <w:basedOn w:val="MOSLetterHead-Addline12Right"/>
    <w:rsid w:val="00C95304"/>
  </w:style>
  <w:style w:type="paragraph" w:customStyle="1" w:styleId="MOSSectionBreauCircular">
    <w:name w:val="MOSSectionBreauCircular"/>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eastAsia="SimSun" w:hAnsi="Trebuchet MS"/>
      <w:b/>
      <w:bCs/>
      <w:sz w:val="8"/>
      <w:szCs w:val="8"/>
      <w:lang w:eastAsia="ar-SA"/>
    </w:rPr>
  </w:style>
  <w:style w:type="paragraph" w:customStyle="1" w:styleId="MOSEmdashList">
    <w:name w:val="MOSEmdashList"/>
    <w:basedOn w:val="Normal"/>
    <w:rsid w:val="00C95304"/>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eastAsia="SimSun" w:hAnsi="Verdana"/>
      <w:sz w:val="20"/>
      <w:lang w:val="en-US" w:eastAsia="ar-SA"/>
    </w:rPr>
  </w:style>
  <w:style w:type="paragraph" w:customStyle="1" w:styleId="MOSPage">
    <w:name w:val="MOSPage"/>
    <w:basedOn w:val="MOSFooter"/>
    <w:rsid w:val="00C95304"/>
    <w:pPr>
      <w:jc w:val="right"/>
    </w:pPr>
    <w:rPr>
      <w:smallCaps/>
      <w:spacing w:val="24"/>
      <w:szCs w:val="18"/>
      <w:lang w:val="fr-CH"/>
    </w:rPr>
  </w:style>
  <w:style w:type="paragraph" w:customStyle="1" w:styleId="MOSSourceTitle">
    <w:name w:val="MOSSource_Title"/>
    <w:basedOn w:val="Normal"/>
    <w:rsid w:val="00C95304"/>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eastAsia="SimSun" w:hAnsi="Verdana"/>
      <w:b/>
      <w:bCs/>
      <w:sz w:val="18"/>
      <w:lang w:eastAsia="ar-SA"/>
    </w:rPr>
  </w:style>
  <w:style w:type="paragraph" w:customStyle="1" w:styleId="MOSQuestionName">
    <w:name w:val="MOSQuestionName"/>
    <w:basedOn w:val="MOS-Normal"/>
    <w:rsid w:val="00C95304"/>
    <w:rPr>
      <w:b/>
      <w:bCs/>
    </w:rPr>
  </w:style>
  <w:style w:type="paragraph" w:customStyle="1" w:styleId="MOSMeetingName">
    <w:name w:val="MOSMeetingName"/>
    <w:basedOn w:val="Normal"/>
    <w:rsid w:val="00C95304"/>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eastAsia="SimSun" w:hAnsi="Verdana"/>
      <w:b/>
      <w:sz w:val="20"/>
      <w:lang w:val="en-US" w:eastAsia="ar-SA"/>
    </w:rPr>
  </w:style>
  <w:style w:type="paragraph" w:customStyle="1" w:styleId="MOSDocInfo">
    <w:name w:val="MOSDocInfo"/>
    <w:basedOn w:val="Normal"/>
    <w:rsid w:val="00C95304"/>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eastAsia="SimSun" w:hAnsi="Verdana"/>
      <w:b/>
      <w:sz w:val="20"/>
      <w:lang w:eastAsia="ar-SA"/>
    </w:rPr>
  </w:style>
  <w:style w:type="paragraph" w:customStyle="1" w:styleId="MOSTableDocs">
    <w:name w:val="MOSTableDocs"/>
    <w:basedOn w:val="Normal"/>
    <w:rsid w:val="00C95304"/>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eastAsia="SimSun" w:hAnsi="Verdana"/>
      <w:b/>
      <w:bCs/>
      <w:sz w:val="18"/>
      <w:lang w:eastAsia="ar-SA"/>
    </w:rPr>
  </w:style>
  <w:style w:type="paragraph" w:customStyle="1" w:styleId="MOS-SGFooterAdd">
    <w:name w:val="MOS-SGFooterAdd"/>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Univers Extended"/>
      <w:caps w:val="0"/>
      <w:noProof w:val="0"/>
      <w:szCs w:val="16"/>
      <w:lang w:val="fr-CH" w:eastAsia="ar-SA"/>
    </w:rPr>
  </w:style>
  <w:style w:type="paragraph" w:customStyle="1" w:styleId="MOSNormalCentered">
    <w:name w:val="MOSNormalCentered"/>
    <w:basedOn w:val="MOS-Normal"/>
    <w:rsid w:val="00C95304"/>
    <w:pPr>
      <w:jc w:val="center"/>
    </w:pPr>
  </w:style>
  <w:style w:type="paragraph" w:customStyle="1" w:styleId="MOSFooterAddress">
    <w:name w:val="MOSFooterAddress"/>
    <w:basedOn w:val="Footer"/>
    <w:rsid w:val="00C9530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ar-SA"/>
    </w:rPr>
  </w:style>
  <w:style w:type="paragraph" w:customStyle="1" w:styleId="MOS-TickBox">
    <w:name w:val="MOS-TickBox"/>
    <w:basedOn w:val="MOSQuestionName"/>
    <w:rsid w:val="00C95304"/>
    <w:pPr>
      <w:spacing w:before="40"/>
      <w:ind w:left="51" w:right="851"/>
      <w:jc w:val="right"/>
    </w:pPr>
    <w:rPr>
      <w:bCs w:val="0"/>
      <w:iCs/>
      <w:sz w:val="16"/>
      <w:szCs w:val="16"/>
    </w:rPr>
  </w:style>
  <w:style w:type="paragraph" w:customStyle="1" w:styleId="MOSForAction">
    <w:name w:val="MOSForAction"/>
    <w:basedOn w:val="MOSQuestionName"/>
    <w:rsid w:val="00C95304"/>
    <w:pPr>
      <w:tabs>
        <w:tab w:val="right" w:pos="2596"/>
        <w:tab w:val="right" w:pos="3736"/>
      </w:tabs>
      <w:spacing w:before="200"/>
      <w:ind w:left="193" w:right="142"/>
    </w:pPr>
  </w:style>
  <w:style w:type="paragraph" w:customStyle="1" w:styleId="MOSForInfo">
    <w:name w:val="MOSForInfo"/>
    <w:basedOn w:val="MOSQuestionName"/>
    <w:rsid w:val="00C95304"/>
    <w:pPr>
      <w:tabs>
        <w:tab w:val="right" w:pos="2596"/>
        <w:tab w:val="right" w:pos="3877"/>
      </w:tabs>
      <w:spacing w:after="0"/>
      <w:ind w:left="193"/>
    </w:pPr>
  </w:style>
  <w:style w:type="paragraph" w:customStyle="1" w:styleId="Mos-NormalBold">
    <w:name w:val="Mos-NormalBold"/>
    <w:basedOn w:val="MOS-Normal"/>
    <w:rsid w:val="00C95304"/>
    <w:pPr>
      <w:tabs>
        <w:tab w:val="left" w:pos="3660"/>
        <w:tab w:val="left" w:pos="4253"/>
        <w:tab w:val="left" w:pos="5529"/>
      </w:tabs>
      <w:snapToGrid w:val="0"/>
    </w:pPr>
    <w:rPr>
      <w:b/>
    </w:rPr>
  </w:style>
  <w:style w:type="paragraph" w:customStyle="1" w:styleId="MOSAbstract">
    <w:name w:val="MOSAbstract"/>
    <w:basedOn w:val="Mos-NormalBold"/>
    <w:rsid w:val="00C95304"/>
    <w:pPr>
      <w:jc w:val="center"/>
    </w:pPr>
    <w:rPr>
      <w:sz w:val="22"/>
      <w:szCs w:val="22"/>
    </w:rPr>
  </w:style>
  <w:style w:type="paragraph" w:customStyle="1" w:styleId="MOSAbstractNoteStartDoc">
    <w:name w:val="MOSAbstractNote_StartDoc"/>
    <w:basedOn w:val="MOSFooterAddress"/>
    <w:rsid w:val="00C95304"/>
    <w:pPr>
      <w:spacing w:before="0"/>
    </w:pPr>
    <w:rPr>
      <w:rFonts w:ascii="Arial" w:hAnsi="Arial" w:cs="Arial"/>
      <w:sz w:val="16"/>
      <w:szCs w:val="16"/>
    </w:rPr>
  </w:style>
  <w:style w:type="paragraph" w:customStyle="1" w:styleId="MOSAbstractText">
    <w:name w:val="MOSAbstractText"/>
    <w:basedOn w:val="MOS-Normal"/>
    <w:rsid w:val="00C95304"/>
    <w:pPr>
      <w:ind w:left="142" w:right="284"/>
    </w:pPr>
  </w:style>
  <w:style w:type="paragraph" w:customStyle="1" w:styleId="MOS-BoxText">
    <w:name w:val="MOS-BoxText"/>
    <w:basedOn w:val="MOS-Normal"/>
    <w:rsid w:val="00C95304"/>
    <w:pPr>
      <w:spacing w:before="0" w:after="0"/>
      <w:jc w:val="center"/>
    </w:pPr>
  </w:style>
  <w:style w:type="paragraph" w:customStyle="1" w:styleId="MOS-SquareBox">
    <w:name w:val="MOS-SquareBox"/>
    <w:basedOn w:val="Normal"/>
    <w:rsid w:val="00C9530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cs="Traditional Arabic"/>
      <w:sz w:val="18"/>
      <w:szCs w:val="28"/>
      <w:lang w:eastAsia="ar-SA"/>
    </w:rPr>
  </w:style>
  <w:style w:type="paragraph" w:customStyle="1" w:styleId="Contenudetableau">
    <w:name w:val="Contenu de tableau"/>
    <w:basedOn w:val="Normal"/>
    <w:rsid w:val="00C95304"/>
    <w:pPr>
      <w:suppressLineNumbers/>
      <w:suppressAutoHyphens/>
      <w:autoSpaceDN/>
      <w:adjustRightInd/>
      <w:jc w:val="left"/>
    </w:pPr>
    <w:rPr>
      <w:rFonts w:cs="CG Times"/>
      <w:sz w:val="24"/>
      <w:lang w:val="fr-FR" w:eastAsia="ar-SA"/>
    </w:rPr>
  </w:style>
  <w:style w:type="paragraph" w:customStyle="1" w:styleId="Contenuducadre">
    <w:name w:val="Contenu du cadre"/>
    <w:basedOn w:val="BodyText"/>
    <w:rsid w:val="00C9530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paragraph" w:customStyle="1" w:styleId="Titredetableau">
    <w:name w:val="Titre de tableau"/>
    <w:basedOn w:val="Contenudetableau"/>
    <w:rsid w:val="00C95304"/>
    <w:pPr>
      <w:jc w:val="center"/>
    </w:pPr>
    <w:rPr>
      <w:b/>
      <w:bCs/>
    </w:rPr>
  </w:style>
  <w:style w:type="character" w:customStyle="1" w:styleId="CommentTextChar">
    <w:name w:val="Comment Text Char"/>
    <w:basedOn w:val="DefaultParagraphFont"/>
    <w:link w:val="CommentText"/>
    <w:rsid w:val="00C95304"/>
    <w:rPr>
      <w:rFonts w:ascii="Times New Roman" w:hAnsi="Times New Roman"/>
      <w:lang w:val="en-GB" w:eastAsia="en-US"/>
    </w:rPr>
  </w:style>
  <w:style w:type="character" w:customStyle="1" w:styleId="CommentSubjectChar">
    <w:name w:val="Comment Subject Char"/>
    <w:basedOn w:val="CommentTextChar"/>
    <w:link w:val="CommentSubject"/>
    <w:rsid w:val="00C95304"/>
    <w:rPr>
      <w:b/>
      <w:bCs/>
    </w:rPr>
  </w:style>
  <w:style w:type="character" w:customStyle="1" w:styleId="CEODocTitle-1lineChar">
    <w:name w:val="CEO_DocTitle-1line Char"/>
    <w:basedOn w:val="DefaultParagraphFont"/>
    <w:link w:val="CEODocTitle-1line"/>
    <w:rsid w:val="00F44B74"/>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F44B74"/>
  </w:style>
  <w:style w:type="character" w:customStyle="1" w:styleId="StyleLienhypertextesuivi">
    <w:name w:val="Style Lien hypertexte suivi"/>
    <w:basedOn w:val="FollowedHyperlink"/>
    <w:rsid w:val="003B4129"/>
    <w:rPr>
      <w:rFonts w:ascii="Arial" w:hAnsi="Arial" w:cs="Arial"/>
      <w:noProof w:val="0"/>
      <w:sz w:val="20"/>
      <w:szCs w:val="20"/>
      <w:lang w:val="en-GB"/>
    </w:rPr>
  </w:style>
  <w:style w:type="character" w:styleId="HTMLCite">
    <w:name w:val="HTML Cite"/>
    <w:basedOn w:val="DefaultParagraphFont"/>
    <w:rsid w:val="003B4129"/>
    <w:rPr>
      <w:rFonts w:ascii="Trebuchet MS" w:hAnsi="Trebuchet MS" w:cs="Times New Roman"/>
      <w:i/>
      <w:iCs/>
      <w:noProof w:val="0"/>
      <w:lang w:val="en-GB"/>
    </w:rPr>
  </w:style>
  <w:style w:type="paragraph" w:customStyle="1" w:styleId="ECA">
    <w:name w:val="ECA"/>
    <w:basedOn w:val="Normal"/>
    <w:rsid w:val="00AE42B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character" w:customStyle="1" w:styleId="Freq">
    <w:name w:val="Freq"/>
    <w:basedOn w:val="DefaultParagraphFont"/>
    <w:rsid w:val="00AE42B5"/>
    <w:rPr>
      <w:rFonts w:ascii="Trebuchet MS" w:hAnsi="Trebuchet MS"/>
      <w:noProof w:val="0"/>
      <w:sz w:val="24"/>
      <w:lang w:val="en-GB"/>
    </w:rPr>
  </w:style>
  <w:style w:type="paragraph" w:customStyle="1" w:styleId="CEORevision2">
    <w:name w:val="CEO_Revision2"/>
    <w:basedOn w:val="CEONormal"/>
    <w:next w:val="Normal"/>
    <w:rsid w:val="00AE42B5"/>
    <w:rPr>
      <w:sz w:val="16"/>
      <w:szCs w:val="16"/>
      <w:lang w:val="es-ES"/>
    </w:rPr>
  </w:style>
  <w:style w:type="paragraph" w:customStyle="1" w:styleId="Normalaftertitle0">
    <w:name w:val="Normal after title"/>
    <w:basedOn w:val="Normal"/>
    <w:next w:val="Normal"/>
    <w:rsid w:val="00AE42B5"/>
    <w:pPr>
      <w:spacing w:before="320"/>
      <w:jc w:val="left"/>
      <w:textAlignment w:val="auto"/>
    </w:pPr>
    <w:rPr>
      <w:sz w:val="24"/>
      <w:lang w:val="fr-FR"/>
    </w:rPr>
  </w:style>
  <w:style w:type="character" w:styleId="PlaceholderText">
    <w:name w:val="Placeholder Text"/>
    <w:basedOn w:val="DefaultParagraphFont"/>
    <w:uiPriority w:val="99"/>
    <w:semiHidden/>
    <w:rsid w:val="006A38EE"/>
    <w:rPr>
      <w:color w:val="808080"/>
    </w:rPr>
  </w:style>
  <w:style w:type="character" w:customStyle="1" w:styleId="enumlev1Char">
    <w:name w:val="enumlev1 Char"/>
    <w:basedOn w:val="DefaultParagraphFont"/>
    <w:link w:val="enumlev1"/>
    <w:uiPriority w:val="99"/>
    <w:rsid w:val="006F46C2"/>
    <w:rPr>
      <w:rFonts w:ascii="Times New Roman" w:hAnsi="Times New Roman"/>
      <w:sz w:val="22"/>
      <w:lang w:val="en-GB" w:eastAsia="en-US"/>
    </w:rPr>
  </w:style>
  <w:style w:type="character" w:customStyle="1" w:styleId="TableNotitleChar">
    <w:name w:val="Table_No &amp; title Char"/>
    <w:basedOn w:val="DefaultParagraphFont"/>
    <w:link w:val="TableNotitle"/>
    <w:rsid w:val="006F46C2"/>
    <w:rPr>
      <w:rFonts w:ascii="Times New Roman" w:hAnsi="Times New Roman"/>
      <w:b/>
      <w:sz w:val="22"/>
      <w:lang w:val="en-GB" w:eastAsia="en-US"/>
    </w:rPr>
  </w:style>
  <w:style w:type="paragraph" w:customStyle="1" w:styleId="CM10">
    <w:name w:val="CM10"/>
    <w:basedOn w:val="Default"/>
    <w:next w:val="Default"/>
    <w:uiPriority w:val="99"/>
    <w:rsid w:val="005B0868"/>
    <w:rPr>
      <w:rFonts w:ascii="Times" w:eastAsiaTheme="minorEastAsia" w:hAnsi="Times" w:cstheme="minorBidi"/>
      <w:color w:val="auto"/>
    </w:rPr>
  </w:style>
  <w:style w:type="paragraph" w:customStyle="1" w:styleId="CM1">
    <w:name w:val="CM1"/>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11">
    <w:name w:val="CM11"/>
    <w:basedOn w:val="Default"/>
    <w:next w:val="Default"/>
    <w:uiPriority w:val="99"/>
    <w:rsid w:val="005B0868"/>
    <w:rPr>
      <w:rFonts w:ascii="Times" w:eastAsiaTheme="minorEastAsia" w:hAnsi="Times" w:cstheme="minorBidi"/>
      <w:color w:val="auto"/>
    </w:rPr>
  </w:style>
  <w:style w:type="paragraph" w:customStyle="1" w:styleId="CM2">
    <w:name w:val="CM2"/>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3">
    <w:name w:val="CM3"/>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5">
    <w:name w:val="CM5"/>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8">
    <w:name w:val="CM8"/>
    <w:basedOn w:val="Default"/>
    <w:next w:val="Default"/>
    <w:uiPriority w:val="99"/>
    <w:rsid w:val="005B0868"/>
    <w:pPr>
      <w:spacing w:line="303" w:lineRule="atLeast"/>
    </w:pPr>
    <w:rPr>
      <w:rFonts w:ascii="Times" w:eastAsiaTheme="minorEastAsia" w:hAnsi="Times" w:cstheme="minorBidi"/>
      <w:color w:val="auto"/>
    </w:rPr>
  </w:style>
  <w:style w:type="paragraph" w:customStyle="1" w:styleId="CM4">
    <w:name w:val="CM4"/>
    <w:basedOn w:val="Default"/>
    <w:next w:val="Default"/>
    <w:uiPriority w:val="99"/>
    <w:rsid w:val="005B0868"/>
    <w:pPr>
      <w:spacing w:line="303" w:lineRule="atLeast"/>
    </w:pPr>
    <w:rPr>
      <w:rFonts w:ascii="Times" w:eastAsiaTheme="minorEastAsia" w:hAnsi="Times" w:cstheme="minorBidi"/>
      <w:color w:val="auto"/>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dmin.ch/ch/f/rs/7/784.10.fr.pdf" TargetMode="External"/><Relationship Id="rId2" Type="http://schemas.openxmlformats.org/officeDocument/2006/relationships/hyperlink" Target="http://www.admin.ch/ch/f/rs/7/784.106.12.fr.pdf" TargetMode="External"/><Relationship Id="rId1" Type="http://schemas.openxmlformats.org/officeDocument/2006/relationships/hyperlink" Target="http://www.admin.ch/ch/f/rs/7/784.106.fr.pdf" TargetMode="External"/><Relationship Id="rId4" Type="http://schemas.openxmlformats.org/officeDocument/2006/relationships/hyperlink" Target="http://www.admin.ch/ch/f/rs/3/313.32.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4E6D-41ED-4A7C-B2F7-F474630F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3087</TotalTime>
  <Pages>90</Pages>
  <Words>27477</Words>
  <Characters>157044</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184153</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1194</cp:revision>
  <cp:lastPrinted>2011-02-24T11:05:00Z</cp:lastPrinted>
  <dcterms:created xsi:type="dcterms:W3CDTF">2010-02-09T15:34:00Z</dcterms:created>
  <dcterms:modified xsi:type="dcterms:W3CDTF">2011-03-25T13:47:00Z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