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77" w:rsidRPr="002E7E2B" w:rsidRDefault="002E7E2B" w:rsidP="00F16F71">
      <w:pPr>
        <w:spacing w:before="120"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DPM sources</w:t>
      </w:r>
    </w:p>
    <w:p w:rsidR="002E7E2B" w:rsidRDefault="002E7E2B" w:rsidP="00F16F71">
      <w:pPr>
        <w:spacing w:before="12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37E4B" w:rsidTr="00B37E4B">
        <w:tc>
          <w:tcPr>
            <w:tcW w:w="4819" w:type="dxa"/>
          </w:tcPr>
          <w:p w:rsidR="00B37E4B" w:rsidRDefault="00B37E4B" w:rsidP="00F16F71">
            <w:pPr>
              <w:spacing w:before="120"/>
            </w:pPr>
            <w:r>
              <w:t>Director, Telecommunication Development Bureau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Директор Бюро развития электросвязи</w:t>
            </w:r>
          </w:p>
        </w:tc>
      </w:tr>
      <w:tr w:rsidR="00B37E4B" w:rsidTr="00B37E4B">
        <w:tc>
          <w:tcPr>
            <w:tcW w:w="4819" w:type="dxa"/>
          </w:tcPr>
          <w:p w:rsidR="00B37E4B" w:rsidRDefault="00B37E4B" w:rsidP="00F16F71">
            <w:pPr>
              <w:spacing w:before="120"/>
            </w:pPr>
            <w:r>
              <w:t>Secretary-General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Генеральный секретарь</w:t>
            </w:r>
          </w:p>
        </w:tc>
      </w:tr>
      <w:tr w:rsidR="00B37E4B" w:rsidTr="00B37E4B">
        <w:tc>
          <w:tcPr>
            <w:tcW w:w="4819" w:type="dxa"/>
          </w:tcPr>
          <w:p w:rsidR="00B37E4B" w:rsidRDefault="00B37E4B" w:rsidP="00F16F71">
            <w:pPr>
              <w:spacing w:before="120"/>
            </w:pPr>
            <w:r>
              <w:t>Chairman, ITU-D Study Group 1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Председатель 1-й Исследовательской комисси</w:t>
            </w:r>
            <w:r w:rsidR="000D5E58" w:rsidRPr="00F16F71">
              <w:rPr>
                <w:lang w:val="ru-RU"/>
              </w:rPr>
              <w:t>и</w:t>
            </w:r>
            <w:r w:rsidRPr="00F16F71">
              <w:rPr>
                <w:lang w:val="ru-RU"/>
              </w:rPr>
              <w:t xml:space="preserve"> МСЭ-D</w:t>
            </w:r>
          </w:p>
        </w:tc>
      </w:tr>
      <w:tr w:rsidR="00B37E4B" w:rsidTr="00B37E4B">
        <w:tc>
          <w:tcPr>
            <w:tcW w:w="4819" w:type="dxa"/>
          </w:tcPr>
          <w:p w:rsidR="00B37E4B" w:rsidRDefault="00B37E4B" w:rsidP="00F16F71">
            <w:pPr>
              <w:spacing w:before="120"/>
            </w:pPr>
            <w:r>
              <w:t>Chairman, ITU-D Study Group 2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Председатель 2-й Исследовательской комисси</w:t>
            </w:r>
            <w:r w:rsidR="000D5E58" w:rsidRPr="00F16F71">
              <w:rPr>
                <w:lang w:val="ru-RU"/>
              </w:rPr>
              <w:t>и</w:t>
            </w:r>
            <w:r w:rsidRPr="00F16F71">
              <w:rPr>
                <w:lang w:val="ru-RU"/>
              </w:rPr>
              <w:t xml:space="preserve"> МСЭ-D</w:t>
            </w:r>
          </w:p>
        </w:tc>
      </w:tr>
      <w:tr w:rsidR="00B37E4B" w:rsidTr="00B37E4B">
        <w:tc>
          <w:tcPr>
            <w:tcW w:w="4819" w:type="dxa"/>
          </w:tcPr>
          <w:p w:rsidR="00B37E4B" w:rsidRDefault="00B37E4B" w:rsidP="00F16F71">
            <w:pPr>
              <w:spacing w:before="120"/>
            </w:pPr>
            <w:r>
              <w:t>Chairman, Telecommunication Development Advisory Group (TDAG)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 xml:space="preserve">Председатель Консультативной группы по </w:t>
            </w:r>
            <w:r w:rsidR="000834DB" w:rsidRPr="00F16F71">
              <w:rPr>
                <w:lang w:val="ru-RU"/>
              </w:rPr>
              <w:t>развитию</w:t>
            </w:r>
            <w:r w:rsidRPr="00F16F71">
              <w:rPr>
                <w:lang w:val="ru-RU"/>
              </w:rPr>
              <w:t xml:space="preserve"> электросвязи (КГ</w:t>
            </w:r>
            <w:r w:rsidR="000834DB" w:rsidRPr="00F16F71">
              <w:rPr>
                <w:lang w:val="ru-RU"/>
              </w:rPr>
              <w:t>Р</w:t>
            </w:r>
            <w:r w:rsidRPr="00F16F71">
              <w:rPr>
                <w:lang w:val="ru-RU"/>
              </w:rPr>
              <w:t>Э)</w:t>
            </w:r>
          </w:p>
        </w:tc>
      </w:tr>
      <w:tr w:rsidR="00B37E4B" w:rsidTr="00B37E4B">
        <w:tc>
          <w:tcPr>
            <w:tcW w:w="4819" w:type="dxa"/>
          </w:tcPr>
          <w:p w:rsidR="00B37E4B" w:rsidRDefault="00B37E4B" w:rsidP="00F16F71">
            <w:pPr>
              <w:spacing w:before="120"/>
            </w:pPr>
            <w:r>
              <w:t>Chairman, TDAG Correspondence Group on Strategic Plan, Operational Plan and Declaration (CG-SPOPD)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Председатель работающей по переписке Группы КГРЭ по Стратегическому плану, Оперативному плану и Декларации (ГП-СПОПД)</w:t>
            </w:r>
          </w:p>
        </w:tc>
      </w:tr>
      <w:tr w:rsidR="00B37E4B" w:rsidTr="00B37E4B">
        <w:tc>
          <w:tcPr>
            <w:tcW w:w="4819" w:type="dxa"/>
          </w:tcPr>
          <w:p w:rsidR="00B37E4B" w:rsidRDefault="00B37E4B" w:rsidP="00F16F71">
            <w:pPr>
              <w:spacing w:before="120"/>
            </w:pPr>
            <w:r>
              <w:t>Chairman, TDAG Correspondence Group on Rules of Procedure of ITU-D (WTDC Resolution 1) (CG-Res1)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Председатель работающей по переписке Группы КГРЭ по правилам процедуры МСЭ-D (Резолюция 1 ВКРЭ) (ГП-Рез1)</w:t>
            </w:r>
          </w:p>
        </w:tc>
      </w:tr>
      <w:tr w:rsidR="00B37E4B" w:rsidTr="00B37E4B">
        <w:tc>
          <w:tcPr>
            <w:tcW w:w="4819" w:type="dxa"/>
          </w:tcPr>
          <w:p w:rsidR="00B37E4B" w:rsidRDefault="00B37E4B" w:rsidP="00F16F71">
            <w:pPr>
              <w:spacing w:before="120"/>
            </w:pPr>
            <w:r>
              <w:t>Chairman, TDAG Correspondence Group on Streamlining WTDC Resolutions (CG-SR)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Председатель работающей по переписке Группы КГРЭ по упорядочению Резолюций ВКРЭ (ГП-УР)</w:t>
            </w:r>
          </w:p>
        </w:tc>
      </w:tr>
      <w:tr w:rsidR="00B37E4B" w:rsidTr="00B37E4B">
        <w:tc>
          <w:tcPr>
            <w:tcW w:w="4819" w:type="dxa"/>
          </w:tcPr>
          <w:p w:rsidR="00B37E4B" w:rsidRPr="002E7E2B" w:rsidRDefault="00B37E4B" w:rsidP="00F16F71">
            <w:pPr>
              <w:spacing w:before="120"/>
            </w:pPr>
            <w:r w:rsidRPr="002E7E2B">
              <w:t>Regional Preparatory Meeting for WTDC-17 for Africa</w:t>
            </w:r>
            <w:r>
              <w:t xml:space="preserve"> (RPM-AFR)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Региональное подготовительное собрание к ВКРЭ-17 для Африки (</w:t>
            </w:r>
            <w:r w:rsidRPr="00F16F71">
              <w:rPr>
                <w:color w:val="000000"/>
                <w:lang w:val="ru-RU"/>
              </w:rPr>
              <w:t>РПС-АФР</w:t>
            </w:r>
            <w:r w:rsidRPr="00F16F71">
              <w:rPr>
                <w:lang w:val="ru-RU"/>
              </w:rPr>
              <w:t>)</w:t>
            </w:r>
          </w:p>
        </w:tc>
      </w:tr>
      <w:tr w:rsidR="00B37E4B" w:rsidTr="00B37E4B">
        <w:tc>
          <w:tcPr>
            <w:tcW w:w="4819" w:type="dxa"/>
          </w:tcPr>
          <w:p w:rsidR="00B37E4B" w:rsidRPr="00C32E93" w:rsidRDefault="00B37E4B" w:rsidP="00F16F71">
            <w:pPr>
              <w:spacing w:before="120"/>
            </w:pPr>
            <w:r w:rsidRPr="00C32E93">
              <w:t>Regional Preparatory Meeting for WTDC-17 for CIS</w:t>
            </w:r>
            <w:r>
              <w:t xml:space="preserve"> (RPM-CIS)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Региональное подготовительное собрание к ВКРЭ-17 для стран СНГ (РПС-СНГ)</w:t>
            </w:r>
          </w:p>
        </w:tc>
      </w:tr>
      <w:tr w:rsidR="00B37E4B" w:rsidTr="00B37E4B">
        <w:tc>
          <w:tcPr>
            <w:tcW w:w="4819" w:type="dxa"/>
          </w:tcPr>
          <w:p w:rsidR="00B37E4B" w:rsidRPr="00C32E93" w:rsidRDefault="00B37E4B" w:rsidP="00F16F71">
            <w:pPr>
              <w:spacing w:before="120"/>
            </w:pPr>
            <w:r w:rsidRPr="00C32E93">
              <w:rPr>
                <w:lang w:val="en-US"/>
              </w:rPr>
              <w:t>Regional Preparatory Meeting for WTDC-17 for the Arab States</w:t>
            </w:r>
            <w:r>
              <w:rPr>
                <w:lang w:val="en-US"/>
              </w:rPr>
              <w:t xml:space="preserve"> (RPM-ARB)</w:t>
            </w:r>
          </w:p>
        </w:tc>
        <w:tc>
          <w:tcPr>
            <w:tcW w:w="4819" w:type="dxa"/>
          </w:tcPr>
          <w:p w:rsidR="00B37E4B" w:rsidRPr="00F16F71" w:rsidRDefault="00B37E4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Региональное подготовительное собрание к ВКРЭ-17 для арабских государств (РПС-АРБ)</w:t>
            </w:r>
          </w:p>
        </w:tc>
      </w:tr>
      <w:tr w:rsidR="00B37E4B" w:rsidTr="00B37E4B">
        <w:tc>
          <w:tcPr>
            <w:tcW w:w="4819" w:type="dxa"/>
          </w:tcPr>
          <w:p w:rsidR="00B37E4B" w:rsidRPr="00C32E93" w:rsidRDefault="00B37E4B" w:rsidP="00F16F71">
            <w:pPr>
              <w:spacing w:before="120"/>
            </w:pPr>
            <w:r w:rsidRPr="00C32E93">
              <w:rPr>
                <w:lang w:val="en-US"/>
              </w:rPr>
              <w:t xml:space="preserve">Regional Preparatory Meeting </w:t>
            </w:r>
            <w:r w:rsidRPr="00C32E93">
              <w:t>for WTDC</w:t>
            </w:r>
            <w:r w:rsidRPr="00C32E93">
              <w:noBreakHyphen/>
              <w:t>17 for the Americas</w:t>
            </w:r>
            <w:r>
              <w:t xml:space="preserve"> (RPM-AMS)</w:t>
            </w:r>
          </w:p>
        </w:tc>
        <w:tc>
          <w:tcPr>
            <w:tcW w:w="4819" w:type="dxa"/>
          </w:tcPr>
          <w:p w:rsidR="00B37E4B" w:rsidRPr="00F16F71" w:rsidRDefault="000D5E58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Региональное подготовительное собрание к ВКРЭ-17 для Северной и Южной Америки (РПС</w:t>
            </w:r>
            <w:r w:rsidR="00F16F71" w:rsidRPr="00F16F71">
              <w:rPr>
                <w:lang w:val="ru-RU"/>
              </w:rPr>
              <w:noBreakHyphen/>
            </w:r>
            <w:r w:rsidRPr="00F16F71">
              <w:rPr>
                <w:lang w:val="ru-RU"/>
              </w:rPr>
              <w:t>АМР)</w:t>
            </w:r>
          </w:p>
        </w:tc>
      </w:tr>
      <w:tr w:rsidR="00B37E4B" w:rsidTr="00B37E4B">
        <w:tc>
          <w:tcPr>
            <w:tcW w:w="4819" w:type="dxa"/>
          </w:tcPr>
          <w:p w:rsidR="00B37E4B" w:rsidRPr="00C32E93" w:rsidRDefault="00B37E4B" w:rsidP="00F16F71">
            <w:pPr>
              <w:spacing w:before="120"/>
            </w:pPr>
            <w:r w:rsidRPr="00C32E93">
              <w:rPr>
                <w:lang w:val="en-US"/>
              </w:rPr>
              <w:t>Regional Preparatory Meeting for WTDC</w:t>
            </w:r>
            <w:r w:rsidRPr="00C32E93">
              <w:rPr>
                <w:lang w:val="en-US"/>
              </w:rPr>
              <w:noBreakHyphen/>
              <w:t>17 for Asia-Pacific</w:t>
            </w:r>
            <w:r>
              <w:rPr>
                <w:lang w:val="en-US"/>
              </w:rPr>
              <w:t xml:space="preserve"> (RPM-ASP)</w:t>
            </w:r>
          </w:p>
        </w:tc>
        <w:tc>
          <w:tcPr>
            <w:tcW w:w="4819" w:type="dxa"/>
          </w:tcPr>
          <w:p w:rsidR="00B37E4B" w:rsidRPr="00F16F71" w:rsidRDefault="000D5E58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 xml:space="preserve">Региональное подготовительное собрание </w:t>
            </w:r>
            <w:r w:rsidR="000834DB" w:rsidRPr="00F16F71">
              <w:rPr>
                <w:lang w:val="ru-RU"/>
              </w:rPr>
              <w:t xml:space="preserve">к ВКРЭ-17 </w:t>
            </w:r>
            <w:r w:rsidRPr="00F16F71">
              <w:rPr>
                <w:lang w:val="ru-RU"/>
              </w:rPr>
              <w:t>для Азиатско-Тихоокеанского региона (РПС-АТР)</w:t>
            </w:r>
          </w:p>
        </w:tc>
      </w:tr>
      <w:tr w:rsidR="00B37E4B" w:rsidTr="00B37E4B">
        <w:tc>
          <w:tcPr>
            <w:tcW w:w="4819" w:type="dxa"/>
          </w:tcPr>
          <w:p w:rsidR="00B37E4B" w:rsidRPr="00C32E93" w:rsidRDefault="00B37E4B" w:rsidP="00F16F71">
            <w:pPr>
              <w:spacing w:before="120"/>
            </w:pPr>
            <w:r w:rsidRPr="00C32E93">
              <w:rPr>
                <w:lang w:val="en-US"/>
              </w:rPr>
              <w:t>Regional Preparatory Meeting for WTDC</w:t>
            </w:r>
            <w:r w:rsidRPr="00C32E93">
              <w:rPr>
                <w:lang w:val="en-US"/>
              </w:rPr>
              <w:noBreakHyphen/>
              <w:t xml:space="preserve">17 for </w:t>
            </w:r>
            <w:r>
              <w:rPr>
                <w:lang w:val="en-US"/>
              </w:rPr>
              <w:t>Europe (RPM-EUR)</w:t>
            </w:r>
          </w:p>
        </w:tc>
        <w:tc>
          <w:tcPr>
            <w:tcW w:w="4819" w:type="dxa"/>
          </w:tcPr>
          <w:p w:rsidR="00B37E4B" w:rsidRPr="00F16F71" w:rsidRDefault="000834DB" w:rsidP="00F16F71">
            <w:pPr>
              <w:spacing w:before="120"/>
              <w:rPr>
                <w:lang w:val="ru-RU"/>
              </w:rPr>
            </w:pPr>
            <w:r w:rsidRPr="00F16F71">
              <w:rPr>
                <w:lang w:val="ru-RU"/>
              </w:rPr>
              <w:t>Региональное подготовительное собрание к ВКРЭ-17 для Европы (РПС-ЕВР)</w:t>
            </w:r>
          </w:p>
        </w:tc>
      </w:tr>
    </w:tbl>
    <w:p w:rsidR="002E7E2B" w:rsidRDefault="002E7E2B" w:rsidP="00F16F71">
      <w:pPr>
        <w:spacing w:before="120" w:after="0" w:line="240" w:lineRule="auto"/>
      </w:pPr>
    </w:p>
    <w:sectPr w:rsidR="002E7E2B" w:rsidSect="002E7E2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71" w:rsidRDefault="00F16F71" w:rsidP="00F16F71">
      <w:pPr>
        <w:spacing w:after="0" w:line="240" w:lineRule="auto"/>
      </w:pPr>
      <w:r>
        <w:separator/>
      </w:r>
    </w:p>
  </w:endnote>
  <w:endnote w:type="continuationSeparator" w:id="0">
    <w:p w:rsidR="00F16F71" w:rsidRDefault="00F16F71" w:rsidP="00F1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71" w:rsidRPr="00F16F71" w:rsidRDefault="00F16F71" w:rsidP="00F16F71">
    <w:pPr>
      <w:pStyle w:val="Footer"/>
      <w:tabs>
        <w:tab w:val="clear" w:pos="4513"/>
        <w:tab w:val="clear" w:pos="9026"/>
        <w:tab w:val="left" w:pos="6237"/>
        <w:tab w:val="right" w:pos="9638"/>
      </w:tabs>
      <w:rPr>
        <w:sz w:val="16"/>
        <w:szCs w:val="16"/>
      </w:rPr>
    </w:pP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begin"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instrText xml:space="preserve"> FILENAME  \p  \* MERGEFORMAT </w:instrText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separate"/>
    </w:r>
    <w:r>
      <w:rPr>
        <w:rFonts w:ascii="Calibri" w:eastAsia="Times New Roman" w:hAnsi="Calibri" w:cs="Times New Roman"/>
        <w:noProof/>
        <w:sz w:val="16"/>
        <w:szCs w:val="16"/>
        <w:lang w:eastAsia="en-US"/>
      </w:rPr>
      <w:t>P:\RUS\ITU-D\CONF-D\TDAG17\DIV\415972R.docx</w:t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end"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t xml:space="preserve"> (</w:t>
    </w:r>
    <w:r>
      <w:rPr>
        <w:rFonts w:ascii="Calibri" w:eastAsia="Times New Roman" w:hAnsi="Calibri" w:cs="Times New Roman"/>
        <w:sz w:val="16"/>
        <w:szCs w:val="16"/>
        <w:lang w:val="ru-RU" w:eastAsia="en-US"/>
      </w:rPr>
      <w:t>415972</w:t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t>)</w:t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tab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begin"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instrText xml:space="preserve"> CREATEDATE  \@ "dd.MM.yyyy"  \* MERGEFORMAT </w:instrText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separate"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t>08.11.2016</w:t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end"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tab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begin"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instrText xml:space="preserve"> PRINTDATE  \@ "dd.MM.yyyy"  \* MERGEFORMAT </w:instrText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separate"/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t>08.11.2016</w:t>
    </w:r>
    <w:r w:rsidRPr="00F16F71">
      <w:rPr>
        <w:rFonts w:ascii="Calibri" w:eastAsia="Times New Roman" w:hAnsi="Calibri" w:cs="Times New Roman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71" w:rsidRDefault="00F16F71" w:rsidP="00F16F71">
      <w:pPr>
        <w:spacing w:after="0" w:line="240" w:lineRule="auto"/>
      </w:pPr>
      <w:r>
        <w:separator/>
      </w:r>
    </w:p>
  </w:footnote>
  <w:footnote w:type="continuationSeparator" w:id="0">
    <w:p w:rsidR="00F16F71" w:rsidRDefault="00F16F71" w:rsidP="00F16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2B"/>
    <w:rsid w:val="000834DB"/>
    <w:rsid w:val="000D5E58"/>
    <w:rsid w:val="002E7E2B"/>
    <w:rsid w:val="006F14A6"/>
    <w:rsid w:val="00B37E4B"/>
    <w:rsid w:val="00C06536"/>
    <w:rsid w:val="00C32E93"/>
    <w:rsid w:val="00F16F71"/>
    <w:rsid w:val="00F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343B-5106-4AAF-BAA3-71104425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71"/>
  </w:style>
  <w:style w:type="paragraph" w:styleId="Footer">
    <w:name w:val="footer"/>
    <w:basedOn w:val="Normal"/>
    <w:link w:val="FooterChar"/>
    <w:uiPriority w:val="99"/>
    <w:unhideWhenUsed/>
    <w:rsid w:val="00F16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BDT, mcb</dc:creator>
  <cp:keywords/>
  <dc:description/>
  <cp:lastModifiedBy>Gribkova, Anna</cp:lastModifiedBy>
  <cp:revision>5</cp:revision>
  <dcterms:created xsi:type="dcterms:W3CDTF">2017-04-03T08:13:00Z</dcterms:created>
  <dcterms:modified xsi:type="dcterms:W3CDTF">2017-04-03T13:59:00Z</dcterms:modified>
</cp:coreProperties>
</file>