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12"/>
        <w:gridCol w:w="5542"/>
        <w:gridCol w:w="2835"/>
      </w:tblGrid>
      <w:tr w:rsidR="00E53DCE" w:rsidRPr="007C30F1" w:rsidTr="00306452">
        <w:trPr>
          <w:jc w:val="center"/>
        </w:trPr>
        <w:tc>
          <w:tcPr>
            <w:tcW w:w="9889" w:type="dxa"/>
            <w:gridSpan w:val="3"/>
            <w:shd w:val="clear" w:color="auto" w:fill="auto"/>
          </w:tcPr>
          <w:p w:rsidR="00E53DCE" w:rsidRPr="007C30F1" w:rsidRDefault="00A96D3A" w:rsidP="007E074C">
            <w:pPr>
              <w:spacing w:before="0" w:line="240" w:lineRule="auto"/>
              <w:jc w:val="left"/>
              <w:rPr>
                <w:rFonts w:cstheme="minorHAnsi"/>
                <w:b/>
                <w:bCs/>
                <w:color w:val="808080"/>
                <w:sz w:val="28"/>
                <w:szCs w:val="28"/>
                <w:lang w:val="es-ES_tradnl"/>
              </w:rPr>
            </w:pPr>
            <w:r w:rsidRPr="007C30F1">
              <w:rPr>
                <w:rFonts w:cstheme="minorHAnsi"/>
                <w:b/>
                <w:bCs/>
                <w:color w:val="808080"/>
                <w:sz w:val="28"/>
                <w:szCs w:val="28"/>
                <w:lang w:val="es-ES_tradnl"/>
              </w:rPr>
              <w:t>Oficina de Radiocomunicaciones (BR)</w:t>
            </w:r>
          </w:p>
          <w:p w:rsidR="00E53DCE" w:rsidRPr="007C30F1" w:rsidRDefault="00E53DCE" w:rsidP="007E074C">
            <w:pPr>
              <w:spacing w:before="0" w:line="240" w:lineRule="auto"/>
              <w:jc w:val="left"/>
              <w:rPr>
                <w:rFonts w:cstheme="minorHAnsi"/>
                <w:b/>
                <w:bCs/>
                <w:color w:val="808080"/>
                <w:sz w:val="28"/>
                <w:szCs w:val="28"/>
                <w:lang w:val="es-ES_tradnl"/>
              </w:rPr>
            </w:pPr>
          </w:p>
          <w:p w:rsidR="00E53DCE" w:rsidRPr="007C30F1" w:rsidRDefault="00E53DCE" w:rsidP="007E074C">
            <w:pPr>
              <w:spacing w:before="0" w:line="240" w:lineRule="auto"/>
              <w:jc w:val="left"/>
              <w:rPr>
                <w:rFonts w:cs="Times New Roman Bold"/>
                <w:b/>
                <w:bCs/>
                <w:color w:val="808080"/>
                <w:sz w:val="28"/>
                <w:szCs w:val="28"/>
                <w:lang w:val="es-ES_tradnl"/>
              </w:rPr>
            </w:pPr>
          </w:p>
        </w:tc>
      </w:tr>
      <w:tr w:rsidR="00E53DCE" w:rsidRPr="007C30F1" w:rsidTr="00306452">
        <w:trPr>
          <w:jc w:val="center"/>
        </w:trPr>
        <w:tc>
          <w:tcPr>
            <w:tcW w:w="7054" w:type="dxa"/>
            <w:gridSpan w:val="2"/>
            <w:shd w:val="clear" w:color="auto" w:fill="auto"/>
          </w:tcPr>
          <w:p w:rsidR="00E53DCE" w:rsidRPr="007C30F1" w:rsidRDefault="00A96D3A" w:rsidP="007E074C">
            <w:pPr>
              <w:spacing w:before="0" w:line="240" w:lineRule="auto"/>
              <w:jc w:val="left"/>
              <w:rPr>
                <w:szCs w:val="24"/>
                <w:lang w:val="es-ES_tradnl"/>
              </w:rPr>
            </w:pPr>
            <w:r w:rsidRPr="007C30F1">
              <w:rPr>
                <w:szCs w:val="24"/>
                <w:lang w:val="es-ES_tradnl"/>
              </w:rPr>
              <w:t>Circular Administrativa</w:t>
            </w:r>
          </w:p>
          <w:p w:rsidR="00E53DCE" w:rsidRPr="007C30F1" w:rsidRDefault="00E53DCE" w:rsidP="007E074C">
            <w:pPr>
              <w:spacing w:before="0" w:line="240" w:lineRule="auto"/>
              <w:jc w:val="left"/>
              <w:rPr>
                <w:b/>
                <w:bCs/>
                <w:szCs w:val="24"/>
                <w:lang w:val="es-ES_tradnl"/>
              </w:rPr>
            </w:pPr>
            <w:r w:rsidRPr="007C30F1">
              <w:rPr>
                <w:b/>
                <w:bCs/>
                <w:szCs w:val="24"/>
                <w:lang w:val="es-ES_tradnl"/>
              </w:rPr>
              <w:t>CA/</w:t>
            </w:r>
            <w:r w:rsidR="00A4671D" w:rsidRPr="007C30F1">
              <w:rPr>
                <w:b/>
                <w:bCs/>
                <w:szCs w:val="24"/>
                <w:lang w:val="es-ES_tradnl"/>
              </w:rPr>
              <w:t>233</w:t>
            </w:r>
          </w:p>
        </w:tc>
        <w:tc>
          <w:tcPr>
            <w:tcW w:w="2835" w:type="dxa"/>
            <w:shd w:val="clear" w:color="auto" w:fill="auto"/>
          </w:tcPr>
          <w:p w:rsidR="00E53DCE" w:rsidRPr="007C30F1" w:rsidRDefault="00A96D3A" w:rsidP="007E074C">
            <w:pPr>
              <w:spacing w:before="0" w:line="240" w:lineRule="auto"/>
              <w:jc w:val="right"/>
              <w:rPr>
                <w:szCs w:val="24"/>
                <w:lang w:val="es-ES_tradnl"/>
              </w:rPr>
            </w:pPr>
            <w:r w:rsidRPr="007C30F1">
              <w:rPr>
                <w:bCs/>
                <w:szCs w:val="24"/>
                <w:lang w:val="es-ES_tradnl"/>
              </w:rPr>
              <w:t>1</w:t>
            </w:r>
            <w:r w:rsidR="00A4671D" w:rsidRPr="007C30F1">
              <w:rPr>
                <w:bCs/>
                <w:szCs w:val="24"/>
                <w:lang w:val="es-ES_tradnl"/>
              </w:rPr>
              <w:t>8</w:t>
            </w:r>
            <w:r w:rsidRPr="007C30F1">
              <w:rPr>
                <w:bCs/>
                <w:szCs w:val="24"/>
                <w:lang w:val="es-ES_tradnl"/>
              </w:rPr>
              <w:t xml:space="preserve"> de </w:t>
            </w:r>
            <w:r w:rsidR="00A4671D" w:rsidRPr="007C30F1">
              <w:rPr>
                <w:bCs/>
                <w:szCs w:val="24"/>
                <w:lang w:val="es-ES_tradnl"/>
              </w:rPr>
              <w:t>mayo</w:t>
            </w:r>
            <w:r w:rsidRPr="007C30F1">
              <w:rPr>
                <w:bCs/>
                <w:szCs w:val="24"/>
                <w:lang w:val="es-ES_tradnl"/>
              </w:rPr>
              <w:t xml:space="preserve"> de 201</w:t>
            </w:r>
            <w:r w:rsidR="00A4671D" w:rsidRPr="007C30F1">
              <w:rPr>
                <w:bCs/>
                <w:szCs w:val="24"/>
                <w:lang w:val="es-ES_tradnl"/>
              </w:rPr>
              <w:t>7</w:t>
            </w:r>
          </w:p>
        </w:tc>
      </w:tr>
      <w:tr w:rsidR="00E53DCE" w:rsidRPr="007C30F1" w:rsidTr="00306452">
        <w:trPr>
          <w:jc w:val="center"/>
        </w:trPr>
        <w:tc>
          <w:tcPr>
            <w:tcW w:w="9889" w:type="dxa"/>
            <w:gridSpan w:val="3"/>
            <w:shd w:val="clear" w:color="auto" w:fill="auto"/>
          </w:tcPr>
          <w:p w:rsidR="00E53DCE" w:rsidRPr="007C30F1" w:rsidRDefault="00E53DCE" w:rsidP="007E074C">
            <w:pPr>
              <w:spacing w:before="0" w:line="240" w:lineRule="auto"/>
              <w:jc w:val="left"/>
              <w:rPr>
                <w:rFonts w:cs="Arial"/>
                <w:szCs w:val="24"/>
                <w:lang w:val="es-ES_tradnl"/>
              </w:rPr>
            </w:pPr>
          </w:p>
        </w:tc>
      </w:tr>
      <w:tr w:rsidR="00E53DCE" w:rsidRPr="007C30F1" w:rsidTr="00306452">
        <w:trPr>
          <w:jc w:val="center"/>
        </w:trPr>
        <w:tc>
          <w:tcPr>
            <w:tcW w:w="9889" w:type="dxa"/>
            <w:gridSpan w:val="3"/>
            <w:shd w:val="clear" w:color="auto" w:fill="auto"/>
          </w:tcPr>
          <w:p w:rsidR="00E53DCE" w:rsidRPr="007C30F1" w:rsidRDefault="00E53DCE" w:rsidP="007E074C">
            <w:pPr>
              <w:spacing w:before="0" w:line="240" w:lineRule="auto"/>
              <w:jc w:val="left"/>
              <w:rPr>
                <w:szCs w:val="24"/>
                <w:lang w:val="es-ES_tradnl"/>
              </w:rPr>
            </w:pPr>
          </w:p>
        </w:tc>
      </w:tr>
      <w:tr w:rsidR="00E53DCE" w:rsidRPr="007C30F1" w:rsidTr="00306452">
        <w:trPr>
          <w:jc w:val="center"/>
        </w:trPr>
        <w:tc>
          <w:tcPr>
            <w:tcW w:w="9889" w:type="dxa"/>
            <w:gridSpan w:val="3"/>
            <w:shd w:val="clear" w:color="auto" w:fill="auto"/>
          </w:tcPr>
          <w:p w:rsidR="00E53DCE" w:rsidRPr="007C30F1" w:rsidRDefault="00A4671D" w:rsidP="007E074C">
            <w:pPr>
              <w:spacing w:before="0" w:line="240" w:lineRule="auto"/>
              <w:jc w:val="left"/>
              <w:rPr>
                <w:b/>
                <w:bCs/>
                <w:szCs w:val="24"/>
                <w:lang w:val="es-ES_tradnl"/>
              </w:rPr>
            </w:pPr>
            <w:r w:rsidRPr="007C30F1">
              <w:rPr>
                <w:b/>
                <w:szCs w:val="24"/>
                <w:lang w:val="es-ES_tradnl"/>
              </w:rPr>
              <w:t>A las Administraciones de los Estados Miembros de la UIT y a los Miembros del Sector de Radiocomunicaciones</w:t>
            </w:r>
          </w:p>
          <w:p w:rsidR="00E53DCE" w:rsidRPr="007C30F1" w:rsidRDefault="00E53DCE" w:rsidP="007E074C">
            <w:pPr>
              <w:spacing w:before="0" w:line="240" w:lineRule="auto"/>
              <w:jc w:val="left"/>
              <w:rPr>
                <w:b/>
                <w:bCs/>
                <w:szCs w:val="24"/>
                <w:lang w:val="es-ES_tradnl"/>
              </w:rPr>
            </w:pPr>
          </w:p>
        </w:tc>
      </w:tr>
      <w:tr w:rsidR="00E53DCE" w:rsidRPr="007C30F1" w:rsidTr="00306452">
        <w:trPr>
          <w:jc w:val="center"/>
        </w:trPr>
        <w:tc>
          <w:tcPr>
            <w:tcW w:w="9889" w:type="dxa"/>
            <w:gridSpan w:val="3"/>
            <w:shd w:val="clear" w:color="auto" w:fill="auto"/>
          </w:tcPr>
          <w:p w:rsidR="00E53DCE" w:rsidRPr="007C30F1" w:rsidRDefault="00E53DCE" w:rsidP="007E074C">
            <w:pPr>
              <w:spacing w:before="0" w:line="240" w:lineRule="auto"/>
              <w:jc w:val="left"/>
              <w:rPr>
                <w:szCs w:val="24"/>
                <w:lang w:val="es-ES_tradnl"/>
              </w:rPr>
            </w:pPr>
          </w:p>
        </w:tc>
      </w:tr>
      <w:tr w:rsidR="00E53DCE" w:rsidRPr="007C30F1" w:rsidTr="00306452">
        <w:trPr>
          <w:jc w:val="center"/>
        </w:trPr>
        <w:tc>
          <w:tcPr>
            <w:tcW w:w="9889" w:type="dxa"/>
            <w:gridSpan w:val="3"/>
            <w:shd w:val="clear" w:color="auto" w:fill="auto"/>
          </w:tcPr>
          <w:p w:rsidR="00E53DCE" w:rsidRPr="007C30F1" w:rsidRDefault="00E53DCE" w:rsidP="007E074C">
            <w:pPr>
              <w:spacing w:before="0" w:line="240" w:lineRule="auto"/>
              <w:jc w:val="left"/>
              <w:rPr>
                <w:szCs w:val="24"/>
                <w:lang w:val="es-ES_tradnl"/>
              </w:rPr>
            </w:pPr>
          </w:p>
        </w:tc>
      </w:tr>
      <w:tr w:rsidR="00E53DCE" w:rsidRPr="007C30F1" w:rsidTr="00A4671D">
        <w:trPr>
          <w:jc w:val="center"/>
        </w:trPr>
        <w:tc>
          <w:tcPr>
            <w:tcW w:w="1512" w:type="dxa"/>
            <w:shd w:val="clear" w:color="auto" w:fill="auto"/>
          </w:tcPr>
          <w:p w:rsidR="00E53DCE" w:rsidRPr="007C30F1" w:rsidRDefault="00311970" w:rsidP="007E074C">
            <w:pPr>
              <w:tabs>
                <w:tab w:val="clear" w:pos="1588"/>
                <w:tab w:val="left" w:pos="1560"/>
              </w:tabs>
              <w:spacing w:before="0" w:line="240" w:lineRule="auto"/>
              <w:jc w:val="left"/>
              <w:rPr>
                <w:szCs w:val="24"/>
                <w:lang w:val="es-ES_tradnl"/>
              </w:rPr>
            </w:pPr>
            <w:r w:rsidRPr="007C30F1">
              <w:rPr>
                <w:szCs w:val="24"/>
                <w:lang w:val="es-ES_tradnl"/>
              </w:rPr>
              <w:t>Asunto:</w:t>
            </w:r>
          </w:p>
        </w:tc>
        <w:tc>
          <w:tcPr>
            <w:tcW w:w="8377" w:type="dxa"/>
            <w:gridSpan w:val="2"/>
            <w:vMerge w:val="restart"/>
            <w:shd w:val="clear" w:color="auto" w:fill="auto"/>
          </w:tcPr>
          <w:p w:rsidR="00E53DCE" w:rsidRPr="007C30F1" w:rsidRDefault="00A4671D" w:rsidP="007E074C">
            <w:pPr>
              <w:tabs>
                <w:tab w:val="clear" w:pos="1588"/>
                <w:tab w:val="left" w:pos="1560"/>
              </w:tabs>
              <w:spacing w:before="0" w:line="240" w:lineRule="auto"/>
              <w:rPr>
                <w:b/>
                <w:bCs/>
                <w:szCs w:val="24"/>
                <w:lang w:val="es-ES_tradnl"/>
              </w:rPr>
            </w:pPr>
            <w:r w:rsidRPr="007C30F1">
              <w:rPr>
                <w:b/>
                <w:bCs/>
                <w:szCs w:val="24"/>
                <w:lang w:val="es-ES_tradnl"/>
              </w:rPr>
              <w:t>Resumen de conclusiones de la vigésima cuarta reunión del Grupo Asesor de Radiocomunicaciones</w:t>
            </w:r>
          </w:p>
        </w:tc>
      </w:tr>
      <w:tr w:rsidR="00E53DCE" w:rsidRPr="007C30F1" w:rsidTr="00A4671D">
        <w:trPr>
          <w:jc w:val="center"/>
        </w:trPr>
        <w:tc>
          <w:tcPr>
            <w:tcW w:w="1512" w:type="dxa"/>
            <w:shd w:val="clear" w:color="auto" w:fill="auto"/>
          </w:tcPr>
          <w:p w:rsidR="00E53DCE" w:rsidRPr="007C30F1" w:rsidRDefault="00E53DCE" w:rsidP="007E074C">
            <w:pPr>
              <w:tabs>
                <w:tab w:val="clear" w:pos="1588"/>
                <w:tab w:val="left" w:pos="1560"/>
              </w:tabs>
              <w:spacing w:before="0" w:line="240" w:lineRule="auto"/>
              <w:jc w:val="left"/>
              <w:rPr>
                <w:b/>
                <w:bCs/>
                <w:szCs w:val="24"/>
                <w:lang w:val="es-ES_tradnl"/>
              </w:rPr>
            </w:pPr>
          </w:p>
        </w:tc>
        <w:tc>
          <w:tcPr>
            <w:tcW w:w="8377" w:type="dxa"/>
            <w:gridSpan w:val="2"/>
            <w:vMerge/>
            <w:shd w:val="clear" w:color="auto" w:fill="auto"/>
          </w:tcPr>
          <w:p w:rsidR="00E53DCE" w:rsidRPr="007C30F1" w:rsidRDefault="00E53DCE" w:rsidP="007E074C">
            <w:pPr>
              <w:tabs>
                <w:tab w:val="clear" w:pos="1588"/>
                <w:tab w:val="left" w:pos="1560"/>
              </w:tabs>
              <w:spacing w:before="0" w:line="240" w:lineRule="auto"/>
              <w:rPr>
                <w:b/>
                <w:bCs/>
                <w:szCs w:val="24"/>
                <w:lang w:val="es-ES_tradnl"/>
              </w:rPr>
            </w:pPr>
          </w:p>
        </w:tc>
      </w:tr>
      <w:tr w:rsidR="00E53DCE" w:rsidRPr="007C30F1" w:rsidTr="00A4671D">
        <w:trPr>
          <w:jc w:val="center"/>
        </w:trPr>
        <w:tc>
          <w:tcPr>
            <w:tcW w:w="1512" w:type="dxa"/>
            <w:shd w:val="clear" w:color="auto" w:fill="auto"/>
          </w:tcPr>
          <w:p w:rsidR="00E53DCE" w:rsidRPr="007C30F1" w:rsidRDefault="00E53DCE" w:rsidP="007E074C">
            <w:pPr>
              <w:tabs>
                <w:tab w:val="clear" w:pos="1588"/>
                <w:tab w:val="left" w:pos="1560"/>
              </w:tabs>
              <w:spacing w:before="0" w:line="240" w:lineRule="auto"/>
              <w:jc w:val="left"/>
              <w:rPr>
                <w:b/>
                <w:bCs/>
                <w:szCs w:val="24"/>
                <w:lang w:val="es-ES_tradnl"/>
              </w:rPr>
            </w:pPr>
          </w:p>
        </w:tc>
        <w:tc>
          <w:tcPr>
            <w:tcW w:w="8377" w:type="dxa"/>
            <w:gridSpan w:val="2"/>
            <w:vMerge/>
            <w:shd w:val="clear" w:color="auto" w:fill="auto"/>
          </w:tcPr>
          <w:p w:rsidR="00E53DCE" w:rsidRPr="007C30F1" w:rsidRDefault="00E53DCE" w:rsidP="007E074C">
            <w:pPr>
              <w:tabs>
                <w:tab w:val="clear" w:pos="1588"/>
                <w:tab w:val="left" w:pos="1560"/>
              </w:tabs>
              <w:spacing w:before="0" w:line="240" w:lineRule="auto"/>
              <w:rPr>
                <w:b/>
                <w:bCs/>
                <w:szCs w:val="24"/>
                <w:lang w:val="es-ES_tradnl"/>
              </w:rPr>
            </w:pPr>
          </w:p>
        </w:tc>
      </w:tr>
      <w:tr w:rsidR="00A4671D" w:rsidRPr="007C30F1" w:rsidTr="00A4671D">
        <w:trPr>
          <w:jc w:val="center"/>
        </w:trPr>
        <w:tc>
          <w:tcPr>
            <w:tcW w:w="1512" w:type="dxa"/>
            <w:shd w:val="clear" w:color="auto" w:fill="auto"/>
          </w:tcPr>
          <w:p w:rsidR="00A4671D" w:rsidRPr="007C30F1" w:rsidRDefault="00A4671D" w:rsidP="007E074C">
            <w:pPr>
              <w:tabs>
                <w:tab w:val="clear" w:pos="1588"/>
                <w:tab w:val="left" w:pos="1560"/>
              </w:tabs>
              <w:spacing w:before="0" w:line="240" w:lineRule="auto"/>
              <w:jc w:val="left"/>
              <w:rPr>
                <w:szCs w:val="24"/>
                <w:lang w:val="es-ES_tradnl"/>
              </w:rPr>
            </w:pPr>
            <w:r w:rsidRPr="007C30F1">
              <w:rPr>
                <w:szCs w:val="24"/>
                <w:lang w:val="es-ES_tradnl"/>
              </w:rPr>
              <w:t>Referencia:</w:t>
            </w:r>
          </w:p>
        </w:tc>
        <w:tc>
          <w:tcPr>
            <w:tcW w:w="8377" w:type="dxa"/>
            <w:gridSpan w:val="2"/>
            <w:shd w:val="clear" w:color="auto" w:fill="auto"/>
          </w:tcPr>
          <w:p w:rsidR="00A4671D" w:rsidRPr="007C30F1" w:rsidRDefault="00A4671D" w:rsidP="007E074C">
            <w:pPr>
              <w:tabs>
                <w:tab w:val="clear" w:pos="1588"/>
                <w:tab w:val="left" w:pos="1560"/>
              </w:tabs>
              <w:spacing w:before="0" w:line="240" w:lineRule="auto"/>
              <w:jc w:val="left"/>
              <w:rPr>
                <w:b/>
                <w:bCs/>
                <w:szCs w:val="24"/>
                <w:lang w:val="es-ES_tradnl"/>
              </w:rPr>
            </w:pPr>
            <w:r w:rsidRPr="007C30F1">
              <w:rPr>
                <w:b/>
                <w:bCs/>
                <w:szCs w:val="24"/>
                <w:lang w:val="es-ES_tradnl"/>
              </w:rPr>
              <w:t>Circular Administrativa CA/232 de 2 de diciembre de 2016</w:t>
            </w:r>
          </w:p>
        </w:tc>
      </w:tr>
      <w:tr w:rsidR="00E53DCE" w:rsidRPr="007C30F1" w:rsidTr="00306452">
        <w:trPr>
          <w:jc w:val="center"/>
        </w:trPr>
        <w:tc>
          <w:tcPr>
            <w:tcW w:w="9889" w:type="dxa"/>
            <w:gridSpan w:val="3"/>
            <w:shd w:val="clear" w:color="auto" w:fill="auto"/>
          </w:tcPr>
          <w:p w:rsidR="00E53DCE" w:rsidRPr="007C30F1" w:rsidRDefault="00E53DCE" w:rsidP="007E074C">
            <w:pPr>
              <w:spacing w:before="0" w:line="240" w:lineRule="auto"/>
              <w:jc w:val="left"/>
              <w:rPr>
                <w:b/>
                <w:bCs/>
                <w:szCs w:val="24"/>
                <w:lang w:val="es-ES_tradnl"/>
              </w:rPr>
            </w:pPr>
          </w:p>
        </w:tc>
      </w:tr>
    </w:tbl>
    <w:p w:rsidR="00A4671D" w:rsidRPr="007C30F1" w:rsidRDefault="00A4671D" w:rsidP="007E074C">
      <w:pPr>
        <w:pStyle w:val="Normalaftertitle"/>
        <w:spacing w:line="240" w:lineRule="auto"/>
        <w:rPr>
          <w:lang w:val="es-ES_tradnl"/>
        </w:rPr>
      </w:pPr>
      <w:r w:rsidRPr="007C30F1">
        <w:rPr>
          <w:lang w:val="es-ES_tradnl"/>
        </w:rPr>
        <w:t>La vigésima cuarta reunión del Grupo Asesor de Radiocomunicaciones (GAR) tuvo lugar en Ginebra del 26 al 28 de abril de 2017.</w:t>
      </w:r>
    </w:p>
    <w:p w:rsidR="00A4671D" w:rsidRPr="007C30F1" w:rsidRDefault="00A4671D" w:rsidP="007E074C">
      <w:pPr>
        <w:spacing w:line="240" w:lineRule="auto"/>
        <w:rPr>
          <w:lang w:val="es-ES_tradnl"/>
        </w:rPr>
      </w:pPr>
      <w:r w:rsidRPr="007C30F1">
        <w:rPr>
          <w:lang w:val="es-ES_tradnl"/>
        </w:rPr>
        <w:t>En el Anexo a la presente Circular se adjunta el resumen de conclusiones de la reunión.</w:t>
      </w:r>
    </w:p>
    <w:p w:rsidR="00A4671D" w:rsidRPr="007C30F1" w:rsidRDefault="00A4671D" w:rsidP="007E074C">
      <w:pPr>
        <w:spacing w:line="240" w:lineRule="auto"/>
        <w:rPr>
          <w:lang w:val="es-ES_tradnl"/>
        </w:rPr>
      </w:pPr>
      <w:r w:rsidRPr="007C30F1">
        <w:rPr>
          <w:lang w:val="es-ES_tradnl"/>
        </w:rPr>
        <w:t xml:space="preserve">Véase más información sobre esta reunión en la página web del GAR en </w:t>
      </w:r>
      <w:r w:rsidR="00931B1C" w:rsidRPr="007C30F1">
        <w:fldChar w:fldCharType="begin"/>
      </w:r>
      <w:r w:rsidR="00931B1C" w:rsidRPr="007C30F1">
        <w:rPr>
          <w:lang w:val="es-ES_tradnl"/>
          <w:rPrChange w:id="0" w:author="FHernández" w:date="2017-05-04T16:41:00Z">
            <w:rPr/>
          </w:rPrChange>
        </w:rPr>
        <w:instrText xml:space="preserve"> HYPERLINK "http://www.itu.int/ITU-R/go/RAG" </w:instrText>
      </w:r>
      <w:r w:rsidR="00931B1C" w:rsidRPr="007C30F1">
        <w:fldChar w:fldCharType="separate"/>
      </w:r>
      <w:r w:rsidRPr="007C30F1">
        <w:rPr>
          <w:rStyle w:val="Hyperlink"/>
          <w:szCs w:val="24"/>
          <w:lang w:val="es-ES_tradnl"/>
        </w:rPr>
        <w:t>http://www.itu.int/ITU-R/go/RAG</w:t>
      </w:r>
      <w:r w:rsidR="00931B1C" w:rsidRPr="007C30F1">
        <w:rPr>
          <w:rStyle w:val="Hyperlink"/>
          <w:szCs w:val="24"/>
          <w:lang w:val="es-ES_tradnl"/>
        </w:rPr>
        <w:fldChar w:fldCharType="end"/>
      </w:r>
      <w:r w:rsidRPr="007C30F1">
        <w:rPr>
          <w:lang w:val="es-ES_tradnl"/>
        </w:rPr>
        <w:t>.</w:t>
      </w:r>
    </w:p>
    <w:p w:rsidR="00031E64" w:rsidRPr="007C30F1" w:rsidRDefault="00E53DCE" w:rsidP="007E074C">
      <w:pPr>
        <w:spacing w:before="1080" w:line="240" w:lineRule="auto"/>
        <w:jc w:val="left"/>
        <w:rPr>
          <w:lang w:val="es-ES_tradnl"/>
        </w:rPr>
      </w:pPr>
      <w:r w:rsidRPr="007C30F1">
        <w:rPr>
          <w:lang w:val="es-ES_tradnl"/>
        </w:rPr>
        <w:t>François Rancy</w:t>
      </w:r>
      <w:r w:rsidRPr="007C30F1">
        <w:rPr>
          <w:lang w:val="es-ES_tradnl"/>
        </w:rPr>
        <w:br/>
      </w:r>
      <w:r w:rsidR="00A96D3A" w:rsidRPr="007C30F1">
        <w:rPr>
          <w:lang w:val="es-ES_tradnl"/>
        </w:rPr>
        <w:t xml:space="preserve">Director </w:t>
      </w:r>
    </w:p>
    <w:p w:rsidR="00A4671D" w:rsidRPr="007C30F1" w:rsidRDefault="00A4671D" w:rsidP="007E074C">
      <w:pPr>
        <w:spacing w:before="360" w:line="240" w:lineRule="auto"/>
        <w:rPr>
          <w:lang w:val="es-ES_tradnl"/>
        </w:rPr>
      </w:pPr>
      <w:r w:rsidRPr="007C30F1">
        <w:rPr>
          <w:b/>
          <w:bCs/>
          <w:lang w:val="es-ES_tradnl"/>
        </w:rPr>
        <w:t>Anexo</w:t>
      </w:r>
      <w:r w:rsidRPr="007C30F1">
        <w:rPr>
          <w:lang w:val="es-ES_tradnl"/>
        </w:rPr>
        <w:t>: 1</w:t>
      </w:r>
    </w:p>
    <w:p w:rsidR="00A4671D" w:rsidRPr="007C30F1" w:rsidRDefault="00A4671D" w:rsidP="00AD26DB">
      <w:pPr>
        <w:spacing w:before="1080" w:line="240" w:lineRule="auto"/>
        <w:jc w:val="left"/>
        <w:rPr>
          <w:b/>
          <w:bCs/>
          <w:sz w:val="18"/>
          <w:szCs w:val="18"/>
          <w:lang w:val="es-ES_tradnl"/>
        </w:rPr>
      </w:pPr>
      <w:r w:rsidRPr="007C30F1">
        <w:rPr>
          <w:b/>
          <w:bCs/>
          <w:sz w:val="18"/>
          <w:szCs w:val="18"/>
          <w:lang w:val="es-ES_tradnl"/>
        </w:rPr>
        <w:t>Distribución:</w:t>
      </w:r>
    </w:p>
    <w:p w:rsidR="00A4671D" w:rsidRPr="007C30F1" w:rsidRDefault="00A4671D" w:rsidP="007E074C">
      <w:pPr>
        <w:tabs>
          <w:tab w:val="clear" w:pos="794"/>
          <w:tab w:val="left" w:pos="284"/>
        </w:tabs>
        <w:spacing w:before="80" w:line="240" w:lineRule="auto"/>
        <w:jc w:val="left"/>
        <w:rPr>
          <w:sz w:val="18"/>
          <w:szCs w:val="18"/>
          <w:lang w:val="es-ES_tradnl"/>
        </w:rPr>
      </w:pPr>
      <w:r w:rsidRPr="007C30F1">
        <w:rPr>
          <w:sz w:val="18"/>
          <w:szCs w:val="18"/>
          <w:lang w:val="es-ES_tradnl"/>
        </w:rPr>
        <w:sym w:font="Symbol" w:char="F02D"/>
      </w:r>
      <w:r w:rsidRPr="007C30F1">
        <w:rPr>
          <w:sz w:val="18"/>
          <w:szCs w:val="18"/>
          <w:lang w:val="es-ES_tradnl"/>
        </w:rPr>
        <w:tab/>
        <w:t>Administraciones de los Estados Miembros de la UIT</w:t>
      </w:r>
      <w:r w:rsidRPr="007C30F1">
        <w:rPr>
          <w:sz w:val="18"/>
          <w:szCs w:val="18"/>
          <w:lang w:val="es-ES_tradnl"/>
        </w:rPr>
        <w:br/>
      </w:r>
      <w:r w:rsidRPr="007C30F1">
        <w:rPr>
          <w:sz w:val="18"/>
          <w:szCs w:val="18"/>
          <w:lang w:val="es-ES_tradnl"/>
        </w:rPr>
        <w:sym w:font="Symbol" w:char="F02D"/>
      </w:r>
      <w:r w:rsidRPr="007C30F1">
        <w:rPr>
          <w:sz w:val="18"/>
          <w:szCs w:val="18"/>
          <w:lang w:val="es-ES_tradnl"/>
        </w:rPr>
        <w:tab/>
        <w:t>Miembros del Sector de Radiocomunicaciones</w:t>
      </w:r>
      <w:r w:rsidRPr="007C30F1">
        <w:rPr>
          <w:sz w:val="18"/>
          <w:szCs w:val="18"/>
          <w:lang w:val="es-ES_tradnl"/>
        </w:rPr>
        <w:br/>
      </w:r>
      <w:r w:rsidRPr="007C30F1">
        <w:rPr>
          <w:sz w:val="18"/>
          <w:szCs w:val="18"/>
          <w:lang w:val="es-ES_tradnl"/>
        </w:rPr>
        <w:sym w:font="Symbol" w:char="F02D"/>
      </w:r>
      <w:r w:rsidRPr="007C30F1">
        <w:rPr>
          <w:sz w:val="18"/>
          <w:szCs w:val="18"/>
          <w:lang w:val="es-ES_tradnl"/>
        </w:rPr>
        <w:tab/>
        <w:t>Presidentes y Vicepresident</w:t>
      </w:r>
      <w:r w:rsidR="007E05AC" w:rsidRPr="007C30F1">
        <w:rPr>
          <w:sz w:val="18"/>
          <w:szCs w:val="18"/>
          <w:lang w:val="es-ES_tradnl"/>
        </w:rPr>
        <w:t>es de las Comisiones de Estudio</w:t>
      </w:r>
      <w:r w:rsidR="00047837" w:rsidRPr="007C30F1">
        <w:rPr>
          <w:lang w:val="es-ES_tradnl"/>
        </w:rPr>
        <w:t xml:space="preserve"> </w:t>
      </w:r>
      <w:r w:rsidR="00047837" w:rsidRPr="007C30F1">
        <w:rPr>
          <w:sz w:val="18"/>
          <w:szCs w:val="18"/>
          <w:lang w:val="es-ES_tradnl"/>
        </w:rPr>
        <w:t>de Radiocomunicaciones</w:t>
      </w:r>
      <w:r w:rsidRPr="007C30F1">
        <w:rPr>
          <w:sz w:val="18"/>
          <w:szCs w:val="18"/>
          <w:lang w:val="es-ES_tradnl"/>
        </w:rPr>
        <w:br/>
      </w:r>
      <w:r w:rsidRPr="007C30F1">
        <w:rPr>
          <w:sz w:val="18"/>
          <w:szCs w:val="18"/>
          <w:lang w:val="es-ES_tradnl"/>
        </w:rPr>
        <w:sym w:font="Symbol" w:char="F02D"/>
      </w:r>
      <w:r w:rsidRPr="007C30F1">
        <w:rPr>
          <w:sz w:val="18"/>
          <w:szCs w:val="18"/>
          <w:lang w:val="es-ES_tradnl"/>
        </w:rPr>
        <w:tab/>
        <w:t>Presidente y Vicepresidentes del Grupo Asesor de Radiocomunicaciones</w:t>
      </w:r>
      <w:r w:rsidRPr="007C30F1">
        <w:rPr>
          <w:sz w:val="18"/>
          <w:szCs w:val="18"/>
          <w:lang w:val="es-ES_tradnl"/>
        </w:rPr>
        <w:br/>
      </w:r>
      <w:r w:rsidRPr="007C30F1">
        <w:rPr>
          <w:sz w:val="18"/>
          <w:szCs w:val="18"/>
          <w:lang w:val="es-ES_tradnl"/>
        </w:rPr>
        <w:sym w:font="Symbol" w:char="F02D"/>
      </w:r>
      <w:r w:rsidRPr="007C30F1">
        <w:rPr>
          <w:sz w:val="18"/>
          <w:szCs w:val="18"/>
          <w:lang w:val="es-ES_tradnl"/>
        </w:rPr>
        <w:tab/>
        <w:t>Presidente y Vicepresidentes de la Reunión Preparatoria de la Conferencia</w:t>
      </w:r>
      <w:r w:rsidRPr="007C30F1">
        <w:rPr>
          <w:sz w:val="18"/>
          <w:szCs w:val="18"/>
          <w:lang w:val="es-ES_tradnl"/>
        </w:rPr>
        <w:br/>
      </w:r>
      <w:r w:rsidRPr="007C30F1">
        <w:rPr>
          <w:sz w:val="18"/>
          <w:szCs w:val="18"/>
          <w:lang w:val="es-ES_tradnl"/>
        </w:rPr>
        <w:sym w:font="Symbol" w:char="F02D"/>
      </w:r>
      <w:r w:rsidRPr="007C30F1">
        <w:rPr>
          <w:sz w:val="18"/>
          <w:szCs w:val="18"/>
          <w:lang w:val="es-ES_tradnl"/>
        </w:rPr>
        <w:tab/>
        <w:t>Miembros de la Junta del Reglamento de Radiocomunicaciones</w:t>
      </w:r>
      <w:r w:rsidRPr="007C30F1">
        <w:rPr>
          <w:sz w:val="18"/>
          <w:szCs w:val="18"/>
          <w:lang w:val="es-ES_tradnl"/>
        </w:rPr>
        <w:br/>
      </w:r>
      <w:r w:rsidRPr="007C30F1">
        <w:rPr>
          <w:sz w:val="18"/>
          <w:szCs w:val="18"/>
          <w:lang w:val="es-ES_tradnl"/>
        </w:rPr>
        <w:sym w:font="Symbol" w:char="F02D"/>
      </w:r>
      <w:r w:rsidRPr="007C30F1">
        <w:rPr>
          <w:sz w:val="18"/>
          <w:szCs w:val="18"/>
          <w:lang w:val="es-ES_tradnl"/>
        </w:rPr>
        <w:tab/>
        <w:t xml:space="preserve">Secretario General de la UIT, Director de la Oficina de Normalización de las Telecomunicaciones, Director de la Oficina de </w:t>
      </w:r>
      <w:r w:rsidRPr="007C30F1">
        <w:rPr>
          <w:sz w:val="18"/>
          <w:szCs w:val="18"/>
          <w:lang w:val="es-ES_tradnl"/>
        </w:rPr>
        <w:br/>
      </w:r>
      <w:r w:rsidRPr="007C30F1">
        <w:rPr>
          <w:sz w:val="18"/>
          <w:szCs w:val="18"/>
          <w:lang w:val="es-ES_tradnl"/>
        </w:rPr>
        <w:tab/>
        <w:t>Desarrollo de las Telecomunicaciones</w:t>
      </w:r>
    </w:p>
    <w:p w:rsidR="002D0BE9" w:rsidRPr="007C30F1" w:rsidRDefault="002D0BE9" w:rsidP="007E074C">
      <w:pPr>
        <w:spacing w:before="0" w:line="240" w:lineRule="auto"/>
        <w:rPr>
          <w:lang w:val="es-ES_tradnl"/>
        </w:rPr>
      </w:pPr>
    </w:p>
    <w:p w:rsidR="002D0BE9" w:rsidRPr="007C30F1" w:rsidRDefault="002D0BE9" w:rsidP="007E074C">
      <w:pPr>
        <w:spacing w:before="0" w:line="240" w:lineRule="auto"/>
        <w:rPr>
          <w:lang w:val="es-ES_tradnl"/>
        </w:rPr>
        <w:sectPr w:rsidR="002D0BE9" w:rsidRPr="007C30F1" w:rsidSect="00031E64">
          <w:headerReference w:type="even" r:id="rId8"/>
          <w:headerReference w:type="default" r:id="rId9"/>
          <w:footerReference w:type="even" r:id="rId10"/>
          <w:headerReference w:type="first" r:id="rId11"/>
          <w:footerReference w:type="first" r:id="rId12"/>
          <w:pgSz w:w="11907" w:h="16834" w:code="9"/>
          <w:pgMar w:top="1134" w:right="1134" w:bottom="993" w:left="1134" w:header="567" w:footer="397" w:gutter="0"/>
          <w:cols w:space="720"/>
          <w:titlePg/>
        </w:sectPr>
      </w:pPr>
    </w:p>
    <w:p w:rsidR="00D239B4" w:rsidRPr="007C30F1" w:rsidRDefault="000D7D95" w:rsidP="007E074C">
      <w:pPr>
        <w:pStyle w:val="AnnexNo"/>
      </w:pPr>
      <w:r w:rsidRPr="007C30F1">
        <w:lastRenderedPageBreak/>
        <w:t>ANEXO</w:t>
      </w:r>
    </w:p>
    <w:p w:rsidR="002D0BE9" w:rsidRPr="007C30F1" w:rsidRDefault="000D7D95" w:rsidP="007E074C">
      <w:pPr>
        <w:pStyle w:val="Annextitle"/>
      </w:pPr>
      <w:r w:rsidRPr="007C30F1">
        <w:t xml:space="preserve">Resumen de conclusiones de la vigésima cuarta reunión </w:t>
      </w:r>
      <w:r w:rsidRPr="007C30F1">
        <w:br/>
        <w:t>del Grupo Asesor de Radiocomunicaciones</w:t>
      </w:r>
    </w:p>
    <w:p w:rsidR="002D0BE9" w:rsidRPr="007C30F1" w:rsidRDefault="002D0BE9" w:rsidP="007E074C">
      <w:pPr>
        <w:spacing w:line="240" w:lineRule="auto"/>
        <w:rPr>
          <w:lang w:val="es-ES_tradnl" w:eastAsia="zh-CN"/>
        </w:rPr>
      </w:pPr>
    </w:p>
    <w:tbl>
      <w:tblPr>
        <w:tblW w:w="9889" w:type="dxa"/>
        <w:tblLayout w:type="fixed"/>
        <w:tblLook w:val="0000" w:firstRow="0" w:lastRow="0" w:firstColumn="0" w:lastColumn="0" w:noHBand="0" w:noVBand="0"/>
      </w:tblPr>
      <w:tblGrid>
        <w:gridCol w:w="6271"/>
        <w:gridCol w:w="3618"/>
      </w:tblGrid>
      <w:tr w:rsidR="002D0BE9" w:rsidRPr="007C30F1" w:rsidTr="002D0BE9">
        <w:trPr>
          <w:cantSplit/>
        </w:trPr>
        <w:tc>
          <w:tcPr>
            <w:tcW w:w="6271" w:type="dxa"/>
            <w:vAlign w:val="center"/>
          </w:tcPr>
          <w:p w:rsidR="002D0BE9" w:rsidRPr="007C30F1" w:rsidRDefault="002D0BE9" w:rsidP="007E074C">
            <w:pPr>
              <w:shd w:val="solid" w:color="FFFFFF" w:fill="FFFFFF"/>
              <w:tabs>
                <w:tab w:val="left" w:pos="568"/>
              </w:tabs>
              <w:spacing w:before="360" w:after="240" w:line="240" w:lineRule="auto"/>
              <w:jc w:val="left"/>
              <w:rPr>
                <w:b/>
                <w:caps/>
                <w:sz w:val="32"/>
                <w:lang w:val="es-ES_tradnl"/>
              </w:rPr>
            </w:pPr>
            <w:r w:rsidRPr="007C30F1">
              <w:rPr>
                <w:rFonts w:ascii="Verdana" w:hAnsi="Verdana" w:cs="Times New Roman Bold"/>
                <w:b/>
                <w:sz w:val="26"/>
                <w:szCs w:val="26"/>
                <w:lang w:val="es-ES_tradnl"/>
              </w:rPr>
              <w:t>Grupo Asesor de Radiocomunicaciones</w:t>
            </w:r>
            <w:r w:rsidRPr="007C30F1">
              <w:rPr>
                <w:b/>
                <w:caps/>
                <w:sz w:val="32"/>
                <w:lang w:val="es-ES_tradnl"/>
              </w:rPr>
              <w:br/>
            </w:r>
            <w:r w:rsidRPr="007C30F1">
              <w:rPr>
                <w:rFonts w:ascii="Verdana" w:hAnsi="Verdana" w:cs="Times New Roman Bold"/>
                <w:b/>
                <w:bCs/>
                <w:sz w:val="20"/>
                <w:lang w:val="es-ES_tradnl"/>
              </w:rPr>
              <w:t>Ginebra, 26-28 de abril de 2017</w:t>
            </w:r>
          </w:p>
        </w:tc>
        <w:tc>
          <w:tcPr>
            <w:tcW w:w="3618" w:type="dxa"/>
            <w:vAlign w:val="center"/>
          </w:tcPr>
          <w:p w:rsidR="002D0BE9" w:rsidRPr="007C30F1" w:rsidRDefault="002D0BE9" w:rsidP="007E074C">
            <w:pPr>
              <w:shd w:val="solid" w:color="FFFFFF" w:fill="FFFFFF"/>
              <w:spacing w:before="0" w:line="240" w:lineRule="auto"/>
              <w:jc w:val="right"/>
              <w:rPr>
                <w:lang w:val="es-ES_tradnl"/>
              </w:rPr>
            </w:pPr>
            <w:r w:rsidRPr="007C30F1">
              <w:rPr>
                <w:rFonts w:cstheme="minorHAnsi"/>
                <w:b/>
                <w:bCs/>
                <w:noProof/>
                <w:szCs w:val="24"/>
                <w:lang w:eastAsia="zh-CN"/>
              </w:rPr>
              <w:drawing>
                <wp:anchor distT="0" distB="0" distL="114300" distR="114300" simplePos="0" relativeHeight="251658240" behindDoc="0" locked="0" layoutInCell="1" allowOverlap="1">
                  <wp:simplePos x="0" y="0"/>
                  <wp:positionH relativeFrom="column">
                    <wp:posOffset>386080</wp:posOffset>
                  </wp:positionH>
                  <wp:positionV relativeFrom="paragraph">
                    <wp:posOffset>18415</wp:posOffset>
                  </wp:positionV>
                  <wp:extent cx="1771650" cy="695325"/>
                  <wp:effectExtent l="0" t="0" r="0" b="9525"/>
                  <wp:wrapSquare wrapText="bothSides"/>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D0BE9" w:rsidRPr="007C30F1" w:rsidTr="002D0BE9">
        <w:trPr>
          <w:cantSplit/>
        </w:trPr>
        <w:tc>
          <w:tcPr>
            <w:tcW w:w="6271" w:type="dxa"/>
            <w:tcBorders>
              <w:bottom w:val="single" w:sz="12" w:space="0" w:color="auto"/>
            </w:tcBorders>
          </w:tcPr>
          <w:p w:rsidR="002D0BE9" w:rsidRPr="007C30F1" w:rsidRDefault="002D0BE9" w:rsidP="007E074C">
            <w:pPr>
              <w:shd w:val="solid" w:color="FFFFFF" w:fill="FFFFFF"/>
              <w:spacing w:before="0" w:after="48" w:line="240" w:lineRule="auto"/>
              <w:rPr>
                <w:rFonts w:ascii="Verdana" w:hAnsi="Verdana" w:cs="Times New Roman Bold"/>
                <w:b/>
                <w:sz w:val="22"/>
                <w:lang w:val="es-ES_tradnl"/>
              </w:rPr>
            </w:pPr>
          </w:p>
        </w:tc>
        <w:tc>
          <w:tcPr>
            <w:tcW w:w="3618" w:type="dxa"/>
            <w:tcBorders>
              <w:bottom w:val="single" w:sz="12" w:space="0" w:color="auto"/>
            </w:tcBorders>
          </w:tcPr>
          <w:p w:rsidR="002D0BE9" w:rsidRPr="007C30F1" w:rsidRDefault="002D0BE9" w:rsidP="007E074C">
            <w:pPr>
              <w:shd w:val="solid" w:color="FFFFFF" w:fill="FFFFFF"/>
              <w:spacing w:before="0" w:after="48" w:line="240" w:lineRule="auto"/>
              <w:rPr>
                <w:sz w:val="22"/>
                <w:lang w:val="es-ES_tradnl"/>
              </w:rPr>
            </w:pPr>
          </w:p>
        </w:tc>
      </w:tr>
      <w:tr w:rsidR="002D0BE9" w:rsidRPr="007C30F1" w:rsidTr="002D0BE9">
        <w:trPr>
          <w:cantSplit/>
        </w:trPr>
        <w:tc>
          <w:tcPr>
            <w:tcW w:w="6271" w:type="dxa"/>
            <w:tcBorders>
              <w:top w:val="single" w:sz="12" w:space="0" w:color="auto"/>
            </w:tcBorders>
          </w:tcPr>
          <w:p w:rsidR="002D0BE9" w:rsidRPr="007C30F1" w:rsidRDefault="002D0BE9" w:rsidP="007E074C">
            <w:pPr>
              <w:shd w:val="solid" w:color="FFFFFF" w:fill="FFFFFF"/>
              <w:spacing w:before="0" w:after="48" w:line="240" w:lineRule="auto"/>
              <w:rPr>
                <w:rFonts w:ascii="Verdana" w:hAnsi="Verdana" w:cs="Times New Roman Bold"/>
                <w:bCs/>
                <w:sz w:val="22"/>
                <w:lang w:val="es-ES_tradnl"/>
              </w:rPr>
            </w:pPr>
          </w:p>
        </w:tc>
        <w:tc>
          <w:tcPr>
            <w:tcW w:w="3618" w:type="dxa"/>
            <w:tcBorders>
              <w:top w:val="single" w:sz="12" w:space="0" w:color="auto"/>
            </w:tcBorders>
          </w:tcPr>
          <w:p w:rsidR="002D0BE9" w:rsidRPr="007C30F1" w:rsidRDefault="002D0BE9" w:rsidP="007E074C">
            <w:pPr>
              <w:shd w:val="solid" w:color="FFFFFF" w:fill="FFFFFF"/>
              <w:spacing w:before="0" w:after="48" w:line="240" w:lineRule="auto"/>
              <w:rPr>
                <w:rFonts w:ascii="Verdana" w:hAnsi="Verdana"/>
                <w:sz w:val="22"/>
                <w:lang w:val="es-ES_tradnl"/>
              </w:rPr>
            </w:pPr>
          </w:p>
        </w:tc>
      </w:tr>
      <w:tr w:rsidR="002D0BE9" w:rsidRPr="007C30F1" w:rsidTr="002D0BE9">
        <w:trPr>
          <w:cantSplit/>
        </w:trPr>
        <w:tc>
          <w:tcPr>
            <w:tcW w:w="6271" w:type="dxa"/>
            <w:vMerge w:val="restart"/>
          </w:tcPr>
          <w:p w:rsidR="002D0BE9" w:rsidRPr="007C30F1" w:rsidRDefault="002D0BE9" w:rsidP="007E074C">
            <w:pPr>
              <w:shd w:val="solid" w:color="FFFFFF" w:fill="FFFFFF"/>
              <w:spacing w:after="240" w:line="240" w:lineRule="auto"/>
              <w:rPr>
                <w:sz w:val="20"/>
                <w:lang w:val="es-ES_tradnl"/>
              </w:rPr>
            </w:pPr>
            <w:bookmarkStart w:id="3" w:name="dnum" w:colFirst="1" w:colLast="1"/>
          </w:p>
        </w:tc>
        <w:tc>
          <w:tcPr>
            <w:tcW w:w="3618" w:type="dxa"/>
          </w:tcPr>
          <w:p w:rsidR="002D0BE9" w:rsidRPr="007C30F1" w:rsidRDefault="002D0BE9" w:rsidP="007E074C">
            <w:pPr>
              <w:shd w:val="solid" w:color="FFFFFF" w:fill="FFFFFF"/>
              <w:spacing w:before="0" w:line="240" w:lineRule="auto"/>
              <w:jc w:val="left"/>
              <w:rPr>
                <w:rFonts w:ascii="Verdana" w:hAnsi="Verdana"/>
                <w:sz w:val="20"/>
                <w:lang w:val="es-ES_tradnl"/>
              </w:rPr>
            </w:pPr>
            <w:r w:rsidRPr="007C30F1">
              <w:rPr>
                <w:rFonts w:ascii="Verdana" w:hAnsi="Verdana"/>
                <w:b/>
                <w:sz w:val="20"/>
                <w:lang w:val="es-ES_tradnl"/>
              </w:rPr>
              <w:t xml:space="preserve">Revisión 2 al </w:t>
            </w:r>
            <w:r w:rsidRPr="007C30F1">
              <w:rPr>
                <w:rFonts w:ascii="Verdana" w:hAnsi="Verdana"/>
                <w:b/>
                <w:sz w:val="20"/>
                <w:lang w:val="es-ES_tradnl"/>
              </w:rPr>
              <w:br/>
              <w:t>Documento RAG1</w:t>
            </w:r>
            <w:r w:rsidR="00047837" w:rsidRPr="007C30F1">
              <w:rPr>
                <w:rFonts w:ascii="Verdana" w:hAnsi="Verdana"/>
                <w:b/>
                <w:sz w:val="20"/>
                <w:lang w:val="es-ES_tradnl"/>
              </w:rPr>
              <w:t>7</w:t>
            </w:r>
            <w:r w:rsidRPr="007C30F1">
              <w:rPr>
                <w:rFonts w:ascii="Verdana" w:hAnsi="Verdana"/>
                <w:b/>
                <w:sz w:val="20"/>
                <w:lang w:val="es-ES_tradnl"/>
              </w:rPr>
              <w:t>/TEMP/3-S</w:t>
            </w:r>
          </w:p>
        </w:tc>
      </w:tr>
      <w:tr w:rsidR="002D0BE9" w:rsidRPr="007C30F1" w:rsidTr="002D0BE9">
        <w:trPr>
          <w:cantSplit/>
        </w:trPr>
        <w:tc>
          <w:tcPr>
            <w:tcW w:w="6271" w:type="dxa"/>
            <w:vMerge/>
          </w:tcPr>
          <w:p w:rsidR="002D0BE9" w:rsidRPr="007C30F1" w:rsidRDefault="002D0BE9" w:rsidP="007E074C">
            <w:pPr>
              <w:spacing w:before="60" w:line="240" w:lineRule="auto"/>
              <w:jc w:val="center"/>
              <w:rPr>
                <w:b/>
                <w:smallCaps/>
                <w:sz w:val="32"/>
                <w:lang w:val="es-ES_tradnl"/>
              </w:rPr>
            </w:pPr>
            <w:bookmarkStart w:id="4" w:name="ddate" w:colFirst="1" w:colLast="1"/>
            <w:bookmarkEnd w:id="3"/>
          </w:p>
        </w:tc>
        <w:tc>
          <w:tcPr>
            <w:tcW w:w="3618" w:type="dxa"/>
          </w:tcPr>
          <w:p w:rsidR="002D0BE9" w:rsidRPr="007C30F1" w:rsidRDefault="002D0BE9" w:rsidP="007E074C">
            <w:pPr>
              <w:shd w:val="solid" w:color="FFFFFF" w:fill="FFFFFF"/>
              <w:spacing w:before="0" w:line="240" w:lineRule="auto"/>
              <w:jc w:val="left"/>
              <w:rPr>
                <w:rFonts w:ascii="Verdana" w:hAnsi="Verdana"/>
                <w:sz w:val="20"/>
                <w:lang w:val="es-ES_tradnl"/>
              </w:rPr>
            </w:pPr>
            <w:r w:rsidRPr="007C30F1">
              <w:rPr>
                <w:rFonts w:ascii="Verdana" w:hAnsi="Verdana"/>
                <w:b/>
                <w:sz w:val="20"/>
                <w:lang w:val="es-ES_tradnl"/>
              </w:rPr>
              <w:t>28 de abril de 2017</w:t>
            </w:r>
          </w:p>
        </w:tc>
      </w:tr>
      <w:tr w:rsidR="002D0BE9" w:rsidRPr="007C30F1" w:rsidTr="002D0BE9">
        <w:trPr>
          <w:cantSplit/>
        </w:trPr>
        <w:tc>
          <w:tcPr>
            <w:tcW w:w="6271" w:type="dxa"/>
            <w:vMerge/>
          </w:tcPr>
          <w:p w:rsidR="002D0BE9" w:rsidRPr="007C30F1" w:rsidRDefault="002D0BE9" w:rsidP="007E074C">
            <w:pPr>
              <w:spacing w:before="60" w:line="240" w:lineRule="auto"/>
              <w:jc w:val="center"/>
              <w:rPr>
                <w:b/>
                <w:smallCaps/>
                <w:sz w:val="32"/>
                <w:lang w:val="es-ES_tradnl"/>
              </w:rPr>
            </w:pPr>
            <w:bookmarkStart w:id="5" w:name="dorlang" w:colFirst="1" w:colLast="1"/>
            <w:bookmarkEnd w:id="4"/>
          </w:p>
        </w:tc>
        <w:tc>
          <w:tcPr>
            <w:tcW w:w="3618" w:type="dxa"/>
          </w:tcPr>
          <w:p w:rsidR="002D0BE9" w:rsidRPr="007C30F1" w:rsidRDefault="002D0BE9" w:rsidP="007E074C">
            <w:pPr>
              <w:shd w:val="solid" w:color="FFFFFF" w:fill="FFFFFF"/>
              <w:spacing w:before="0" w:after="120" w:line="240" w:lineRule="auto"/>
              <w:jc w:val="left"/>
              <w:rPr>
                <w:rFonts w:ascii="Verdana" w:hAnsi="Verdana"/>
                <w:sz w:val="20"/>
                <w:lang w:val="es-ES_tradnl"/>
              </w:rPr>
            </w:pPr>
            <w:r w:rsidRPr="007C30F1">
              <w:rPr>
                <w:rFonts w:ascii="Verdana" w:hAnsi="Verdana"/>
                <w:b/>
                <w:sz w:val="20"/>
                <w:lang w:val="es-ES_tradnl"/>
              </w:rPr>
              <w:t>Original: inglés</w:t>
            </w:r>
          </w:p>
        </w:tc>
      </w:tr>
      <w:tr w:rsidR="002D0BE9" w:rsidRPr="007C30F1" w:rsidTr="002D0BE9">
        <w:trPr>
          <w:cantSplit/>
        </w:trPr>
        <w:tc>
          <w:tcPr>
            <w:tcW w:w="9889" w:type="dxa"/>
            <w:gridSpan w:val="2"/>
          </w:tcPr>
          <w:p w:rsidR="002D0BE9" w:rsidRPr="007C30F1" w:rsidRDefault="002D0BE9" w:rsidP="00AB621B">
            <w:pPr>
              <w:pStyle w:val="Source"/>
              <w:rPr>
                <w:lang w:val="es-ES_tradnl"/>
              </w:rPr>
            </w:pPr>
            <w:bookmarkStart w:id="6" w:name="dsource" w:colFirst="0" w:colLast="0"/>
            <w:bookmarkEnd w:id="5"/>
            <w:r w:rsidRPr="007C30F1">
              <w:rPr>
                <w:lang w:val="es-ES_tradnl"/>
              </w:rPr>
              <w:t>Presidente del Grupo Asesor de Radiocomunicaciones</w:t>
            </w:r>
          </w:p>
        </w:tc>
      </w:tr>
      <w:tr w:rsidR="002D0BE9" w:rsidRPr="007C30F1" w:rsidTr="002D0BE9">
        <w:trPr>
          <w:cantSplit/>
        </w:trPr>
        <w:tc>
          <w:tcPr>
            <w:tcW w:w="9889" w:type="dxa"/>
            <w:gridSpan w:val="2"/>
          </w:tcPr>
          <w:p w:rsidR="002D0BE9" w:rsidRPr="007C30F1" w:rsidRDefault="002D0BE9" w:rsidP="00C66ED5">
            <w:pPr>
              <w:pStyle w:val="Title1"/>
              <w:rPr>
                <w:lang w:val="es-ES_tradnl"/>
              </w:rPr>
            </w:pPr>
            <w:bookmarkStart w:id="7" w:name="dtitle1" w:colFirst="0" w:colLast="0"/>
            <w:bookmarkEnd w:id="6"/>
            <w:r w:rsidRPr="007C30F1">
              <w:rPr>
                <w:lang w:val="es-ES_tradnl"/>
              </w:rPr>
              <w:t xml:space="preserve">VIGÉSIMA CUARTA REUNIÓN DEL GRUPO </w:t>
            </w:r>
            <w:r w:rsidRPr="007C30F1">
              <w:rPr>
                <w:lang w:val="es-ES_tradnl"/>
              </w:rPr>
              <w:br/>
              <w:t>ASESOR DE RADIOCOMUNICACIONES</w:t>
            </w:r>
          </w:p>
        </w:tc>
      </w:tr>
    </w:tbl>
    <w:bookmarkEnd w:id="7"/>
    <w:p w:rsidR="002349A2" w:rsidRPr="007D5700" w:rsidRDefault="002349A2" w:rsidP="002349A2">
      <w:pPr>
        <w:pStyle w:val="Title1"/>
        <w:spacing w:before="600" w:line="240" w:lineRule="auto"/>
        <w:rPr>
          <w:lang w:val="es-ES_tradnl"/>
        </w:rPr>
      </w:pPr>
      <w:r w:rsidRPr="007D5700">
        <w:rPr>
          <w:lang w:val="es-ES_tradnl"/>
        </w:rPr>
        <w:t>RESUMEN DE CONCLUSIONES</w:t>
      </w:r>
    </w:p>
    <w:p w:rsidR="002349A2" w:rsidRPr="007C30F1" w:rsidRDefault="002349A2" w:rsidP="007E074C">
      <w:pPr>
        <w:spacing w:line="240" w:lineRule="auto"/>
        <w:rPr>
          <w:lang w:val="es-ES_tradnl" w:eastAsia="zh-CN"/>
        </w:rPr>
      </w:pPr>
    </w:p>
    <w:p w:rsidR="002D0BE9" w:rsidRPr="007C30F1" w:rsidRDefault="002D0BE9" w:rsidP="007E074C">
      <w:pPr>
        <w:spacing w:line="240" w:lineRule="auto"/>
        <w:rPr>
          <w:lang w:val="es-ES_tradnl" w:eastAsia="zh-CN"/>
        </w:rPr>
        <w:sectPr w:rsidR="002D0BE9" w:rsidRPr="007C30F1" w:rsidSect="00821E2A">
          <w:headerReference w:type="default" r:id="rId14"/>
          <w:footerReference w:type="even" r:id="rId15"/>
          <w:footerReference w:type="default" r:id="rId16"/>
          <w:headerReference w:type="first" r:id="rId17"/>
          <w:footerReference w:type="first" r:id="rId18"/>
          <w:pgSz w:w="11906" w:h="16838"/>
          <w:pgMar w:top="1417" w:right="1134" w:bottom="1417" w:left="1134" w:header="720" w:footer="720" w:gutter="0"/>
          <w:paperSrc w:first="15" w:other="15"/>
          <w:cols w:space="708"/>
          <w:titlePg/>
          <w:docGrid w:linePitch="360"/>
        </w:sectPr>
      </w:pPr>
      <w:bookmarkStart w:id="8" w:name="_GoBack"/>
      <w:bookmarkEnd w:id="8"/>
    </w:p>
    <w:p w:rsidR="007D5700" w:rsidRPr="007D5700" w:rsidRDefault="007D5700" w:rsidP="0091727E">
      <w:pPr>
        <w:spacing w:after="120"/>
        <w:jc w:val="center"/>
        <w:rPr>
          <w:lang w:val="fr-FR"/>
        </w:rPr>
      </w:pPr>
      <w:r w:rsidRPr="007D5700">
        <w:rPr>
          <w:lang w:val="fr-FR"/>
        </w:rPr>
        <w:lastRenderedPageBreak/>
        <w:t>RESUMEN DE CONCLUSIONES</w:t>
      </w:r>
    </w:p>
    <w:tbl>
      <w:tblPr>
        <w:tblW w:w="14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3256"/>
        <w:gridCol w:w="9785"/>
      </w:tblGrid>
      <w:tr w:rsidR="002D0BE9" w:rsidRPr="007C30F1" w:rsidTr="00821E2A">
        <w:trPr>
          <w:tblHeader/>
          <w:jc w:val="center"/>
        </w:trPr>
        <w:tc>
          <w:tcPr>
            <w:tcW w:w="1037" w:type="dxa"/>
            <w:vAlign w:val="center"/>
          </w:tcPr>
          <w:p w:rsidR="002D0BE9" w:rsidRPr="007C30F1" w:rsidRDefault="002D0BE9" w:rsidP="00F53A7C">
            <w:pPr>
              <w:pStyle w:val="Tablehead"/>
              <w:rPr>
                <w:lang w:val="es-ES_tradnl"/>
              </w:rPr>
            </w:pPr>
            <w:r w:rsidRPr="007C30F1">
              <w:rPr>
                <w:lang w:val="es-ES_tradnl"/>
              </w:rPr>
              <w:br w:type="page"/>
              <w:t xml:space="preserve">Punto del orden del día </w:t>
            </w:r>
          </w:p>
        </w:tc>
        <w:tc>
          <w:tcPr>
            <w:tcW w:w="3256" w:type="dxa"/>
            <w:vAlign w:val="center"/>
          </w:tcPr>
          <w:p w:rsidR="002D0BE9" w:rsidRPr="007C30F1" w:rsidRDefault="002D0BE9" w:rsidP="00F53A7C">
            <w:pPr>
              <w:pStyle w:val="Tablehead"/>
              <w:rPr>
                <w:lang w:val="es-ES_tradnl"/>
              </w:rPr>
            </w:pPr>
            <w:r w:rsidRPr="007C30F1">
              <w:rPr>
                <w:lang w:val="es-ES_tradnl"/>
              </w:rPr>
              <w:t>Asunto</w:t>
            </w:r>
          </w:p>
        </w:tc>
        <w:tc>
          <w:tcPr>
            <w:tcW w:w="9785" w:type="dxa"/>
            <w:vAlign w:val="center"/>
          </w:tcPr>
          <w:p w:rsidR="002D0BE9" w:rsidRPr="007C30F1" w:rsidRDefault="002D0BE9" w:rsidP="00F53A7C">
            <w:pPr>
              <w:pStyle w:val="Tablehead"/>
              <w:rPr>
                <w:lang w:val="es-ES_tradnl"/>
              </w:rPr>
            </w:pPr>
            <w:r w:rsidRPr="007C30F1">
              <w:rPr>
                <w:lang w:val="es-ES_tradnl"/>
              </w:rPr>
              <w:t>Conclusiones</w:t>
            </w:r>
          </w:p>
        </w:tc>
      </w:tr>
      <w:tr w:rsidR="002D0BE9" w:rsidRPr="007C30F1" w:rsidTr="00821E2A">
        <w:trPr>
          <w:jc w:val="center"/>
        </w:trPr>
        <w:tc>
          <w:tcPr>
            <w:tcW w:w="1037" w:type="dxa"/>
          </w:tcPr>
          <w:p w:rsidR="002D0BE9" w:rsidRPr="007C30F1" w:rsidRDefault="002D0BE9" w:rsidP="007E074C">
            <w:pPr>
              <w:pStyle w:val="Tabletext"/>
              <w:jc w:val="center"/>
              <w:rPr>
                <w:rFonts w:cstheme="majorBidi"/>
                <w:lang w:val="es-ES_tradnl"/>
              </w:rPr>
            </w:pPr>
            <w:r w:rsidRPr="007C30F1">
              <w:rPr>
                <w:rFonts w:cstheme="majorBidi"/>
                <w:lang w:val="es-ES_tradnl"/>
              </w:rPr>
              <w:t>1</w:t>
            </w:r>
          </w:p>
        </w:tc>
        <w:tc>
          <w:tcPr>
            <w:tcW w:w="3256" w:type="dxa"/>
          </w:tcPr>
          <w:p w:rsidR="002D0BE9" w:rsidRPr="007C30F1" w:rsidRDefault="002D0BE9" w:rsidP="007E074C">
            <w:pPr>
              <w:pStyle w:val="Tabletext"/>
              <w:rPr>
                <w:rFonts w:cstheme="majorBidi"/>
                <w:lang w:val="es-ES_tradnl"/>
              </w:rPr>
            </w:pPr>
            <w:r w:rsidRPr="007C30F1">
              <w:rPr>
                <w:rFonts w:cstheme="majorBidi"/>
                <w:lang w:val="es-ES_tradnl"/>
              </w:rPr>
              <w:t xml:space="preserve">Observaciones preliminares </w:t>
            </w:r>
          </w:p>
        </w:tc>
        <w:tc>
          <w:tcPr>
            <w:tcW w:w="9785" w:type="dxa"/>
          </w:tcPr>
          <w:p w:rsidR="002D0BE9" w:rsidRPr="007C30F1" w:rsidRDefault="002D0BE9" w:rsidP="007E074C">
            <w:pPr>
              <w:pStyle w:val="Tabletext"/>
              <w:rPr>
                <w:rFonts w:cstheme="majorBidi"/>
                <w:lang w:val="es-ES_tradnl"/>
              </w:rPr>
            </w:pPr>
            <w:r w:rsidRPr="007C30F1">
              <w:rPr>
                <w:rFonts w:cstheme="majorBidi"/>
                <w:lang w:val="es-ES_tradnl"/>
              </w:rPr>
              <w:t xml:space="preserve">La reunión fue inaugurada oficialmente por el Presidente, Sr. Daniel Obam (Kenya). Con arreglo al orden del día de la reunión, en ausencia del Secretario General, el Director de la BR formuló las observaciones preliminares. El Sr. Obam expresó su agradecimiento a todos los Estados Miembros </w:t>
            </w:r>
            <w:r w:rsidR="003A64D1" w:rsidRPr="007C30F1">
              <w:rPr>
                <w:rFonts w:cstheme="majorBidi"/>
                <w:lang w:val="es-ES_tradnl"/>
              </w:rPr>
              <w:t>y Miembros de Sector por su contribución a los trabajos del GAR.</w:t>
            </w:r>
          </w:p>
        </w:tc>
      </w:tr>
      <w:tr w:rsidR="002D0BE9" w:rsidRPr="007C30F1" w:rsidTr="00821E2A">
        <w:trPr>
          <w:jc w:val="center"/>
        </w:trPr>
        <w:tc>
          <w:tcPr>
            <w:tcW w:w="1037" w:type="dxa"/>
          </w:tcPr>
          <w:p w:rsidR="002D0BE9" w:rsidRPr="007C30F1" w:rsidDel="002A034D" w:rsidRDefault="002D0BE9" w:rsidP="007E074C">
            <w:pPr>
              <w:pStyle w:val="Tabletext"/>
              <w:jc w:val="center"/>
              <w:rPr>
                <w:rFonts w:cstheme="majorBidi"/>
                <w:lang w:val="es-ES_tradnl"/>
              </w:rPr>
            </w:pPr>
            <w:r w:rsidRPr="007C30F1">
              <w:rPr>
                <w:rFonts w:cstheme="majorBidi"/>
                <w:lang w:val="es-ES_tradnl"/>
              </w:rPr>
              <w:t>2</w:t>
            </w:r>
          </w:p>
        </w:tc>
        <w:tc>
          <w:tcPr>
            <w:tcW w:w="3256" w:type="dxa"/>
          </w:tcPr>
          <w:p w:rsidR="002D0BE9" w:rsidRPr="007C30F1" w:rsidRDefault="002D0BE9" w:rsidP="007E074C">
            <w:pPr>
              <w:pStyle w:val="Tabletext"/>
              <w:rPr>
                <w:rFonts w:cstheme="majorBidi"/>
                <w:lang w:val="es-ES_tradnl"/>
              </w:rPr>
            </w:pPr>
            <w:r w:rsidRPr="007C30F1">
              <w:rPr>
                <w:rFonts w:cstheme="majorBidi"/>
                <w:lang w:val="es-ES_tradnl"/>
              </w:rPr>
              <w:t xml:space="preserve">Aprobación del orden del día </w:t>
            </w:r>
          </w:p>
          <w:p w:rsidR="005F55F4" w:rsidRPr="007C30F1" w:rsidRDefault="005F55F4" w:rsidP="007E074C">
            <w:pPr>
              <w:pStyle w:val="Tabletext"/>
              <w:rPr>
                <w:rFonts w:cstheme="majorBidi"/>
                <w:i/>
                <w:iCs/>
                <w:lang w:val="es-ES_tradnl"/>
              </w:rPr>
            </w:pPr>
            <w:r w:rsidRPr="007C30F1">
              <w:rPr>
                <w:rFonts w:cstheme="majorBidi"/>
                <w:i/>
                <w:iCs/>
                <w:lang w:val="es-ES_tradnl"/>
              </w:rPr>
              <w:t>(Doc. RAG17/ADM/1 (Rev.2))</w:t>
            </w:r>
          </w:p>
        </w:tc>
        <w:tc>
          <w:tcPr>
            <w:tcW w:w="9785" w:type="dxa"/>
          </w:tcPr>
          <w:p w:rsidR="002D0BE9" w:rsidRPr="007C30F1" w:rsidRDefault="002D0BE9" w:rsidP="007E074C">
            <w:pPr>
              <w:pStyle w:val="Tabletext"/>
              <w:rPr>
                <w:rFonts w:cstheme="majorBidi"/>
                <w:lang w:val="es-ES_tradnl"/>
              </w:rPr>
            </w:pPr>
            <w:r w:rsidRPr="007C30F1">
              <w:rPr>
                <w:rFonts w:cstheme="majorBidi"/>
                <w:lang w:val="es-ES_tradnl"/>
              </w:rPr>
              <w:t>Se aprobó el proyecto de orden del día contemplado en el Documento RAG1</w:t>
            </w:r>
            <w:r w:rsidR="005F55F4" w:rsidRPr="007C30F1">
              <w:rPr>
                <w:rFonts w:cstheme="majorBidi"/>
                <w:lang w:val="es-ES_tradnl"/>
              </w:rPr>
              <w:t>7</w:t>
            </w:r>
            <w:r w:rsidRPr="007C30F1">
              <w:rPr>
                <w:rFonts w:cstheme="majorBidi"/>
                <w:lang w:val="es-ES_tradnl"/>
              </w:rPr>
              <w:t>/ADM/1</w:t>
            </w:r>
            <w:r w:rsidR="005F55F4" w:rsidRPr="007C30F1">
              <w:rPr>
                <w:rFonts w:cstheme="majorBidi"/>
                <w:lang w:val="es-ES_tradnl"/>
              </w:rPr>
              <w:t>(Rev.2)</w:t>
            </w:r>
            <w:r w:rsidRPr="007C30F1">
              <w:rPr>
                <w:rFonts w:cstheme="majorBidi"/>
                <w:lang w:val="es-ES_tradnl"/>
              </w:rPr>
              <w:t xml:space="preserve"> sin cambios. También se aprobó el Plan de gestión de tiempo propuesto para la reunión.</w:t>
            </w:r>
          </w:p>
        </w:tc>
      </w:tr>
      <w:tr w:rsidR="002D0BE9" w:rsidRPr="007C30F1" w:rsidTr="00821E2A">
        <w:trPr>
          <w:jc w:val="center"/>
        </w:trPr>
        <w:tc>
          <w:tcPr>
            <w:tcW w:w="1037" w:type="dxa"/>
          </w:tcPr>
          <w:p w:rsidR="002D0BE9" w:rsidRPr="007C30F1" w:rsidRDefault="002D0BE9" w:rsidP="007E074C">
            <w:pPr>
              <w:pStyle w:val="Tabletext"/>
              <w:jc w:val="center"/>
              <w:rPr>
                <w:rFonts w:cstheme="majorBidi"/>
                <w:lang w:val="es-ES_tradnl"/>
              </w:rPr>
            </w:pPr>
            <w:r w:rsidRPr="007C30F1">
              <w:rPr>
                <w:rFonts w:cstheme="majorBidi"/>
                <w:lang w:val="es-ES_tradnl"/>
              </w:rPr>
              <w:t>3</w:t>
            </w:r>
          </w:p>
        </w:tc>
        <w:tc>
          <w:tcPr>
            <w:tcW w:w="3256" w:type="dxa"/>
          </w:tcPr>
          <w:p w:rsidR="005F55F4" w:rsidRPr="007C30F1" w:rsidRDefault="008D0422" w:rsidP="007E074C">
            <w:pPr>
              <w:pStyle w:val="Tabletext"/>
              <w:rPr>
                <w:rFonts w:cstheme="majorBidi"/>
                <w:lang w:val="es-ES_tradnl"/>
              </w:rPr>
            </w:pPr>
            <w:r w:rsidRPr="007C30F1">
              <w:rPr>
                <w:rFonts w:cstheme="majorBidi"/>
                <w:lang w:val="es-ES_tradnl"/>
              </w:rPr>
              <w:t>Presidente y Vicepresidente del GAR</w:t>
            </w:r>
          </w:p>
          <w:p w:rsidR="002D0BE9" w:rsidRPr="007C30F1" w:rsidRDefault="005F55F4" w:rsidP="007E074C">
            <w:pPr>
              <w:pStyle w:val="Tabletext"/>
              <w:rPr>
                <w:rFonts w:cstheme="majorBidi"/>
                <w:i/>
                <w:iCs/>
                <w:lang w:val="es-ES_tradnl"/>
              </w:rPr>
            </w:pPr>
            <w:r w:rsidRPr="007C30F1">
              <w:rPr>
                <w:rFonts w:cstheme="majorBidi"/>
                <w:i/>
                <w:iCs/>
                <w:lang w:val="es-ES_tradnl"/>
              </w:rPr>
              <w:t>(Doc. INFO/1)</w:t>
            </w:r>
          </w:p>
        </w:tc>
        <w:tc>
          <w:tcPr>
            <w:tcW w:w="9785" w:type="dxa"/>
          </w:tcPr>
          <w:p w:rsidR="002D0BE9" w:rsidRPr="007C30F1" w:rsidRDefault="003A64D1" w:rsidP="005368E7">
            <w:pPr>
              <w:pStyle w:val="Tabletext"/>
              <w:keepNext/>
              <w:keepLines/>
              <w:rPr>
                <w:rFonts w:cstheme="majorBidi"/>
                <w:lang w:val="es-ES_tradnl"/>
              </w:rPr>
            </w:pPr>
            <w:r w:rsidRPr="007C30F1">
              <w:rPr>
                <w:rFonts w:cstheme="majorBidi"/>
                <w:lang w:val="es-ES_tradnl"/>
              </w:rPr>
              <w:t>El Presidente invitó a los Vicepresidentes</w:t>
            </w:r>
            <w:r w:rsidR="00B208BA">
              <w:rPr>
                <w:rFonts w:cstheme="majorBidi"/>
                <w:lang w:val="es-ES_tradnl"/>
              </w:rPr>
              <w:t xml:space="preserve"> del GAR </w:t>
            </w:r>
            <w:r w:rsidRPr="007C30F1">
              <w:rPr>
                <w:rFonts w:cstheme="majorBidi"/>
                <w:lang w:val="es-ES_tradnl"/>
              </w:rPr>
              <w:t>presentes en la reunión a realizar una breve introducción, después de lo cual explicó que la Sra. Anabel Cisneros (Argentina), elegida Vicepresident</w:t>
            </w:r>
            <w:r w:rsidR="005368E7">
              <w:rPr>
                <w:rFonts w:cstheme="majorBidi"/>
                <w:lang w:val="es-ES_tradnl"/>
              </w:rPr>
              <w:t>a</w:t>
            </w:r>
            <w:r w:rsidRPr="007C30F1">
              <w:rPr>
                <w:rFonts w:cstheme="majorBidi"/>
                <w:lang w:val="es-ES_tradnl"/>
              </w:rPr>
              <w:t xml:space="preserve"> del </w:t>
            </w:r>
            <w:r w:rsidR="00A1118F" w:rsidRPr="007C30F1">
              <w:rPr>
                <w:rFonts w:cstheme="majorBidi"/>
                <w:lang w:val="es-ES_tradnl"/>
              </w:rPr>
              <w:t>GAR durante la AR-15, ya no está</w:t>
            </w:r>
            <w:r w:rsidRPr="007C30F1">
              <w:rPr>
                <w:rFonts w:cstheme="majorBidi"/>
                <w:lang w:val="es-ES_tradnl"/>
              </w:rPr>
              <w:t xml:space="preserve"> disponible. Presentó brevemente al Sr. Oscar González, propuesto por Argentina para reemplazar a la Sra. Cisneros. El GAR aprobó el nombramiento del Sr. Gonz</w:t>
            </w:r>
            <w:r w:rsidR="009C3ED5" w:rsidRPr="007C30F1">
              <w:rPr>
                <w:rFonts w:cstheme="majorBidi"/>
                <w:lang w:val="es-ES_tradnl"/>
              </w:rPr>
              <w:t xml:space="preserve">ález como Vicepresidente del GAR por aclamación. </w:t>
            </w:r>
          </w:p>
        </w:tc>
      </w:tr>
      <w:tr w:rsidR="002D0BE9" w:rsidRPr="007C30F1" w:rsidTr="00821E2A">
        <w:trPr>
          <w:cantSplit/>
          <w:jc w:val="center"/>
        </w:trPr>
        <w:tc>
          <w:tcPr>
            <w:tcW w:w="1037" w:type="dxa"/>
          </w:tcPr>
          <w:p w:rsidR="002D0BE9" w:rsidRPr="007C30F1" w:rsidRDefault="002D0BE9" w:rsidP="007E074C">
            <w:pPr>
              <w:pStyle w:val="Tabletext"/>
              <w:jc w:val="center"/>
              <w:rPr>
                <w:rFonts w:cstheme="majorBidi"/>
                <w:lang w:val="es-ES_tradnl"/>
              </w:rPr>
            </w:pPr>
            <w:r w:rsidRPr="007C30F1">
              <w:rPr>
                <w:rFonts w:cstheme="majorBidi"/>
                <w:lang w:val="es-ES_tradnl"/>
              </w:rPr>
              <w:t>4</w:t>
            </w:r>
          </w:p>
        </w:tc>
        <w:tc>
          <w:tcPr>
            <w:tcW w:w="3256" w:type="dxa"/>
          </w:tcPr>
          <w:p w:rsidR="002D0BE9" w:rsidRPr="007C30F1" w:rsidRDefault="00931B1C" w:rsidP="007E074C">
            <w:pPr>
              <w:pStyle w:val="Tabletext"/>
              <w:rPr>
                <w:rFonts w:cstheme="majorBidi"/>
                <w:lang w:val="es-ES_tradnl"/>
              </w:rPr>
            </w:pPr>
            <w:r w:rsidRPr="007C30F1">
              <w:rPr>
                <w:rFonts w:cstheme="majorBidi"/>
                <w:lang w:val="es-ES_tradnl"/>
              </w:rPr>
              <w:t>Informe a la 24ª reunión del Grupo Asesor de Radiocomunicaciones</w:t>
            </w:r>
          </w:p>
          <w:p w:rsidR="002D0BE9" w:rsidRPr="007C30F1" w:rsidRDefault="00931B1C" w:rsidP="007E074C">
            <w:pPr>
              <w:pStyle w:val="Tabletext"/>
              <w:rPr>
                <w:rFonts w:cstheme="majorBidi"/>
                <w:lang w:val="es-ES_tradnl"/>
              </w:rPr>
            </w:pPr>
            <w:r w:rsidRPr="007C30F1">
              <w:rPr>
                <w:rFonts w:cstheme="majorBidi"/>
                <w:i/>
                <w:lang w:val="es-ES_tradnl"/>
              </w:rPr>
              <w:t>(Doc. RAG17/1(Rev.1))</w:t>
            </w:r>
          </w:p>
        </w:tc>
        <w:tc>
          <w:tcPr>
            <w:tcW w:w="9785" w:type="dxa"/>
          </w:tcPr>
          <w:p w:rsidR="002D0BE9" w:rsidRPr="007C30F1" w:rsidRDefault="009C3ED5" w:rsidP="007E074C">
            <w:pPr>
              <w:pStyle w:val="Tabletext"/>
              <w:rPr>
                <w:rFonts w:cstheme="majorBidi"/>
                <w:lang w:val="es-ES_tradnl"/>
              </w:rPr>
            </w:pPr>
            <w:r w:rsidRPr="007C30F1">
              <w:rPr>
                <w:rFonts w:cstheme="majorBidi"/>
                <w:lang w:val="es-ES_tradnl"/>
              </w:rPr>
              <w:t xml:space="preserve">El GAR tomó nota de la información proporcionada en el Informe del Director sobre el UIT-R, y acordó tratar cada sección del Informe en los puntos respectivos del orden del día. </w:t>
            </w:r>
          </w:p>
        </w:tc>
      </w:tr>
      <w:tr w:rsidR="002D0BE9" w:rsidRPr="007C30F1" w:rsidTr="00821E2A">
        <w:trPr>
          <w:jc w:val="center"/>
        </w:trPr>
        <w:tc>
          <w:tcPr>
            <w:tcW w:w="1037" w:type="dxa"/>
          </w:tcPr>
          <w:p w:rsidR="002D0BE9" w:rsidRPr="007C30F1" w:rsidRDefault="002D0BE9" w:rsidP="007E074C">
            <w:pPr>
              <w:pStyle w:val="Tabletext"/>
              <w:jc w:val="center"/>
              <w:rPr>
                <w:rFonts w:cstheme="majorBidi"/>
                <w:lang w:val="es-ES_tradnl"/>
              </w:rPr>
            </w:pPr>
            <w:r w:rsidRPr="007C30F1">
              <w:rPr>
                <w:rFonts w:cstheme="majorBidi"/>
                <w:lang w:val="es-ES_tradnl"/>
              </w:rPr>
              <w:t>5</w:t>
            </w:r>
          </w:p>
        </w:tc>
        <w:tc>
          <w:tcPr>
            <w:tcW w:w="3256" w:type="dxa"/>
          </w:tcPr>
          <w:p w:rsidR="00C47479" w:rsidRPr="007C30F1" w:rsidRDefault="003A64D1" w:rsidP="007E074C">
            <w:pPr>
              <w:pStyle w:val="Tabletext"/>
              <w:rPr>
                <w:rFonts w:cstheme="majorBidi"/>
                <w:lang w:val="es-ES_tradnl"/>
              </w:rPr>
            </w:pPr>
            <w:r w:rsidRPr="007C30F1">
              <w:rPr>
                <w:rFonts w:cstheme="majorBidi"/>
                <w:lang w:val="es-ES_tradnl"/>
              </w:rPr>
              <w:t xml:space="preserve">Cuestiones relacionadas con el Consejo-17 </w:t>
            </w:r>
          </w:p>
          <w:p w:rsidR="002D0BE9" w:rsidRPr="007C30F1" w:rsidRDefault="00C47479" w:rsidP="007E074C">
            <w:pPr>
              <w:pStyle w:val="Tabletext"/>
              <w:rPr>
                <w:rFonts w:cstheme="majorBidi"/>
                <w:i/>
                <w:iCs/>
                <w:lang w:val="es-ES_tradnl"/>
              </w:rPr>
            </w:pPr>
            <w:r w:rsidRPr="007C30F1">
              <w:rPr>
                <w:rFonts w:cstheme="majorBidi"/>
                <w:i/>
                <w:iCs/>
                <w:lang w:val="es-ES_tradnl"/>
              </w:rPr>
              <w:t>(Docs. RAG17/1(Rev.1), 10, 11)</w:t>
            </w:r>
          </w:p>
        </w:tc>
        <w:tc>
          <w:tcPr>
            <w:tcW w:w="9785" w:type="dxa"/>
          </w:tcPr>
          <w:p w:rsidR="009C3ED5" w:rsidRPr="007C30F1" w:rsidRDefault="009C3ED5" w:rsidP="007E074C">
            <w:pPr>
              <w:pStyle w:val="Tabletext"/>
              <w:rPr>
                <w:rFonts w:cstheme="majorBidi"/>
                <w:lang w:val="es-ES_tradnl"/>
              </w:rPr>
            </w:pPr>
            <w:r w:rsidRPr="007C30F1">
              <w:rPr>
                <w:rFonts w:cstheme="majorBidi"/>
                <w:lang w:val="es-ES_tradnl"/>
              </w:rPr>
              <w:t>El GAR tomó nota con satisfacción de que la política de acceso gratuito en línea sigue proporcionando una plataforma para una amplia difusión de las Recomendaciones del UIT-R y agradeció la iniciativa del Director de extender el acceso gratuito a todos los Manuales del UIT-R.</w:t>
            </w:r>
          </w:p>
          <w:p w:rsidR="009C3ED5" w:rsidRPr="007C30F1" w:rsidRDefault="009C3ED5" w:rsidP="007E074C">
            <w:pPr>
              <w:pStyle w:val="Tabletext"/>
              <w:rPr>
                <w:rFonts w:cstheme="majorBidi"/>
                <w:lang w:val="es-ES_tradnl"/>
              </w:rPr>
            </w:pPr>
            <w:r w:rsidRPr="007C30F1">
              <w:rPr>
                <w:rFonts w:cstheme="majorBidi"/>
                <w:lang w:val="es-ES_tradnl"/>
              </w:rPr>
              <w:t xml:space="preserve">El </w:t>
            </w:r>
            <w:r w:rsidR="00445F07" w:rsidRPr="007C30F1">
              <w:rPr>
                <w:rFonts w:cstheme="majorBidi"/>
                <w:lang w:val="es-ES_tradnl"/>
              </w:rPr>
              <w:t>G</w:t>
            </w:r>
            <w:r w:rsidRPr="007C30F1">
              <w:rPr>
                <w:rFonts w:cstheme="majorBidi"/>
                <w:lang w:val="es-ES_tradnl"/>
              </w:rPr>
              <w:t xml:space="preserve">AR tomó </w:t>
            </w:r>
            <w:r w:rsidR="00E9791B" w:rsidRPr="007C30F1">
              <w:rPr>
                <w:rFonts w:cstheme="majorBidi"/>
                <w:lang w:val="es-ES_tradnl"/>
              </w:rPr>
              <w:t xml:space="preserve">también </w:t>
            </w:r>
            <w:r w:rsidRPr="007C30F1">
              <w:rPr>
                <w:rFonts w:cstheme="majorBidi"/>
                <w:lang w:val="es-ES_tradnl"/>
              </w:rPr>
              <w:t xml:space="preserve">nota de la información proporcionada en el Informe del Director sobre la recuperación de costos aplicada a las notificaciones de redes de satélites y los </w:t>
            </w:r>
            <w:r w:rsidRPr="007C30F1">
              <w:rPr>
                <w:color w:val="000000"/>
                <w:lang w:val="es-ES_tradnl"/>
              </w:rPr>
              <w:t>temas relacionados con el protocolo esp</w:t>
            </w:r>
            <w:r w:rsidR="00A1118F" w:rsidRPr="007C30F1">
              <w:rPr>
                <w:color w:val="000000"/>
                <w:lang w:val="es-ES_tradnl"/>
              </w:rPr>
              <w:t>a</w:t>
            </w:r>
            <w:r w:rsidRPr="007C30F1">
              <w:rPr>
                <w:color w:val="000000"/>
                <w:lang w:val="es-ES_tradnl"/>
              </w:rPr>
              <w:t>cial.</w:t>
            </w:r>
          </w:p>
          <w:p w:rsidR="00445F07" w:rsidRPr="007C30F1" w:rsidRDefault="00445F07" w:rsidP="00A66364">
            <w:pPr>
              <w:pStyle w:val="Tabletext"/>
              <w:rPr>
                <w:rFonts w:cstheme="majorBidi"/>
                <w:lang w:val="es-ES_tradnl"/>
              </w:rPr>
            </w:pPr>
            <w:r w:rsidRPr="007C30F1">
              <w:rPr>
                <w:rFonts w:cstheme="majorBidi"/>
                <w:lang w:val="es-ES_tradnl"/>
              </w:rPr>
              <w:t xml:space="preserve">El GAR consideró el </w:t>
            </w:r>
            <w:r w:rsidR="00987B32" w:rsidRPr="007C30F1">
              <w:rPr>
                <w:rFonts w:cstheme="majorBidi"/>
                <w:lang w:val="es-ES_tradnl"/>
              </w:rPr>
              <w:t xml:space="preserve">Documento </w:t>
            </w:r>
            <w:r w:rsidR="00C47479" w:rsidRPr="007C30F1">
              <w:rPr>
                <w:rFonts w:cstheme="majorBidi"/>
                <w:lang w:val="es-ES_tradnl"/>
              </w:rPr>
              <w:t xml:space="preserve">RAG17/11 </w:t>
            </w:r>
            <w:r w:rsidRPr="007C30F1">
              <w:rPr>
                <w:rFonts w:cstheme="majorBidi"/>
                <w:lang w:val="es-ES_tradnl"/>
              </w:rPr>
              <w:t>de la Federación de Rusia que trata los problemas de l</w:t>
            </w:r>
            <w:r w:rsidR="0056698F" w:rsidRPr="007C30F1">
              <w:rPr>
                <w:rFonts w:cstheme="majorBidi"/>
                <w:lang w:val="es-ES_tradnl"/>
              </w:rPr>
              <w:t>a tramitación de notificaciones</w:t>
            </w:r>
            <w:r w:rsidRPr="007C30F1">
              <w:rPr>
                <w:rFonts w:cstheme="majorBidi"/>
                <w:lang w:val="es-ES_tradnl"/>
              </w:rPr>
              <w:t xml:space="preserve"> de los sistemas no OSG del SFS, la recuperación de costos de estas notificaciones así como posibles acciones </w:t>
            </w:r>
            <w:r w:rsidR="001E37FB" w:rsidRPr="007C30F1">
              <w:rPr>
                <w:rFonts w:cstheme="majorBidi"/>
                <w:lang w:val="es-ES_tradnl"/>
              </w:rPr>
              <w:t>del</w:t>
            </w:r>
            <w:r w:rsidR="00E9791B" w:rsidRPr="007C30F1">
              <w:rPr>
                <w:rFonts w:cstheme="majorBidi"/>
                <w:lang w:val="es-ES_tradnl"/>
              </w:rPr>
              <w:t xml:space="preserve"> Consejo-17 para tratar el aumento del tiempo de tratamiento de las notificaciones de los sistemas no OSG del SFS</w:t>
            </w:r>
            <w:r w:rsidR="008F2596" w:rsidRPr="007C30F1">
              <w:rPr>
                <w:rFonts w:cstheme="majorBidi"/>
                <w:lang w:val="es-ES_tradnl"/>
              </w:rPr>
              <w:t xml:space="preserve"> que ha </w:t>
            </w:r>
            <w:r w:rsidR="001E37FB" w:rsidRPr="007C30F1">
              <w:rPr>
                <w:rFonts w:cstheme="majorBidi"/>
                <w:lang w:val="es-ES_tradnl"/>
              </w:rPr>
              <w:t>provocado</w:t>
            </w:r>
            <w:r w:rsidR="008F2596" w:rsidRPr="007C30F1">
              <w:rPr>
                <w:rFonts w:cstheme="majorBidi"/>
                <w:lang w:val="es-ES_tradnl"/>
              </w:rPr>
              <w:t xml:space="preserve"> </w:t>
            </w:r>
            <w:r w:rsidR="001E37FB" w:rsidRPr="007C30F1">
              <w:rPr>
                <w:rFonts w:cstheme="majorBidi"/>
                <w:lang w:val="es-ES_tradnl"/>
              </w:rPr>
              <w:t xml:space="preserve">también </w:t>
            </w:r>
            <w:r w:rsidR="008F2596" w:rsidRPr="007C30F1">
              <w:rPr>
                <w:rFonts w:cstheme="majorBidi"/>
                <w:lang w:val="es-ES_tradnl"/>
              </w:rPr>
              <w:t>un retraso en la publicación de las notificaciones de sistemas OSG</w:t>
            </w:r>
            <w:r w:rsidR="00A66364">
              <w:rPr>
                <w:rFonts w:cstheme="majorBidi"/>
                <w:lang w:val="es-ES_tradnl"/>
              </w:rPr>
              <w:t xml:space="preserve"> del </w:t>
            </w:r>
            <w:r w:rsidR="00A66364" w:rsidRPr="007C30F1">
              <w:rPr>
                <w:rFonts w:cstheme="majorBidi"/>
                <w:lang w:val="es-ES_tradnl"/>
              </w:rPr>
              <w:t>SFS</w:t>
            </w:r>
            <w:r w:rsidR="008F2596" w:rsidRPr="007C30F1">
              <w:rPr>
                <w:rFonts w:cstheme="majorBidi"/>
                <w:lang w:val="es-ES_tradnl"/>
              </w:rPr>
              <w:t>.</w:t>
            </w:r>
          </w:p>
          <w:p w:rsidR="008F2596" w:rsidRPr="007C30F1" w:rsidRDefault="008F2596" w:rsidP="007E074C">
            <w:pPr>
              <w:pStyle w:val="Tabletext"/>
              <w:rPr>
                <w:rFonts w:cstheme="majorBidi"/>
                <w:lang w:val="es-ES_tradnl"/>
              </w:rPr>
            </w:pPr>
            <w:r w:rsidRPr="007C30F1">
              <w:rPr>
                <w:rFonts w:cstheme="majorBidi"/>
                <w:lang w:val="es-ES_tradnl"/>
              </w:rPr>
              <w:t>El GAR indicó que el Acuerdo 482 del Consejo no incluye toda la recuperación de costos de los sistemas no OSG d</w:t>
            </w:r>
            <w:r w:rsidR="0056698F" w:rsidRPr="007C30F1">
              <w:rPr>
                <w:rFonts w:cstheme="majorBidi"/>
                <w:lang w:val="es-ES_tradnl"/>
              </w:rPr>
              <w:t xml:space="preserve">el </w:t>
            </w:r>
            <w:r w:rsidRPr="007C30F1">
              <w:rPr>
                <w:rFonts w:cstheme="majorBidi"/>
                <w:lang w:val="es-ES_tradnl"/>
              </w:rPr>
              <w:t xml:space="preserve">SFS notificados recientemente a la BR (en los últimos 12 a 18 meses). Existe una diferencia sustancial (en algunos casos </w:t>
            </w:r>
            <w:r w:rsidR="001E37FB" w:rsidRPr="007C30F1">
              <w:rPr>
                <w:rFonts w:cstheme="majorBidi"/>
                <w:lang w:val="es-ES_tradnl"/>
              </w:rPr>
              <w:t xml:space="preserve">de </w:t>
            </w:r>
            <w:r w:rsidRPr="007C30F1">
              <w:rPr>
                <w:rFonts w:cstheme="majorBidi"/>
                <w:lang w:val="es-ES_tradnl"/>
              </w:rPr>
              <w:t xml:space="preserve">más de 10 veces) entre el límite de corte de unidades </w:t>
            </w:r>
            <w:r w:rsidR="00EF463D" w:rsidRPr="007C30F1">
              <w:rPr>
                <w:rFonts w:cstheme="majorBidi"/>
                <w:lang w:val="es-ES_tradnl"/>
              </w:rPr>
              <w:t xml:space="preserve">establecido por el Acuerdo 482 del Consejo y </w:t>
            </w:r>
            <w:r w:rsidR="00365980" w:rsidRPr="007C30F1">
              <w:rPr>
                <w:rFonts w:cstheme="majorBidi"/>
                <w:lang w:val="es-ES_tradnl"/>
              </w:rPr>
              <w:t xml:space="preserve">la cantidad </w:t>
            </w:r>
            <w:r w:rsidR="00EF463D" w:rsidRPr="007C30F1">
              <w:rPr>
                <w:rFonts w:cstheme="majorBidi"/>
                <w:lang w:val="es-ES_tradnl"/>
              </w:rPr>
              <w:t xml:space="preserve">real de unidades necesarias para tramitar las notificaciones de </w:t>
            </w:r>
            <w:r w:rsidR="00365980" w:rsidRPr="007C30F1">
              <w:rPr>
                <w:rFonts w:cstheme="majorBidi"/>
                <w:lang w:val="es-ES_tradnl"/>
              </w:rPr>
              <w:t xml:space="preserve">grandes </w:t>
            </w:r>
            <w:r w:rsidR="00EF463D" w:rsidRPr="007C30F1">
              <w:rPr>
                <w:rFonts w:cstheme="majorBidi"/>
                <w:lang w:val="es-ES_tradnl"/>
              </w:rPr>
              <w:t xml:space="preserve">redes no OSG del SFS. </w:t>
            </w:r>
            <w:r w:rsidR="00365980" w:rsidRPr="007C30F1">
              <w:rPr>
                <w:rFonts w:cstheme="majorBidi"/>
                <w:lang w:val="es-ES_tradnl"/>
              </w:rPr>
              <w:t>Esta diferencia es</w:t>
            </w:r>
            <w:r w:rsidR="00EF463D" w:rsidRPr="007C30F1">
              <w:rPr>
                <w:rFonts w:cstheme="majorBidi"/>
                <w:lang w:val="es-ES_tradnl"/>
              </w:rPr>
              <w:t xml:space="preserve"> una consecuencia, entre otros, de la complejidad de los sistemas no OSG del SFS y de la enorme cantidad y complejidad de los procedimientos </w:t>
            </w:r>
            <w:r w:rsidR="00365980" w:rsidRPr="007C30F1">
              <w:rPr>
                <w:rFonts w:cstheme="majorBidi"/>
                <w:lang w:val="es-ES_tradnl"/>
              </w:rPr>
              <w:t>necesarios para</w:t>
            </w:r>
            <w:r w:rsidR="00EF463D" w:rsidRPr="007C30F1">
              <w:rPr>
                <w:rFonts w:cstheme="majorBidi"/>
                <w:lang w:val="es-ES_tradnl"/>
              </w:rPr>
              <w:t xml:space="preserve"> su examen. E</w:t>
            </w:r>
            <w:r w:rsidR="00365980" w:rsidRPr="007C30F1">
              <w:rPr>
                <w:rFonts w:cstheme="majorBidi"/>
                <w:lang w:val="es-ES_tradnl"/>
              </w:rPr>
              <w:t>l</w:t>
            </w:r>
            <w:r w:rsidR="00EF463D" w:rsidRPr="007C30F1">
              <w:rPr>
                <w:rFonts w:cstheme="majorBidi"/>
                <w:lang w:val="es-ES_tradnl"/>
              </w:rPr>
              <w:t xml:space="preserve"> resultado ha sido no solo un retraso de la publicación de las notificaciones de sistemas no OSG del SFS sino también </w:t>
            </w:r>
            <w:r w:rsidR="004B52EB" w:rsidRPr="007C30F1">
              <w:rPr>
                <w:rFonts w:cstheme="majorBidi"/>
                <w:lang w:val="es-ES_tradnl"/>
              </w:rPr>
              <w:t>de l</w:t>
            </w:r>
            <w:r w:rsidR="0056698F" w:rsidRPr="007C30F1">
              <w:rPr>
                <w:rFonts w:cstheme="majorBidi"/>
                <w:lang w:val="es-ES_tradnl"/>
              </w:rPr>
              <w:t>as de los sistemas OSG del SFS.</w:t>
            </w:r>
          </w:p>
          <w:p w:rsidR="004B52EB" w:rsidRPr="007C30F1" w:rsidRDefault="004B52EB" w:rsidP="007E074C">
            <w:pPr>
              <w:pStyle w:val="Tabletext"/>
              <w:rPr>
                <w:rFonts w:cstheme="majorBidi"/>
                <w:lang w:val="es-ES_tradnl"/>
              </w:rPr>
            </w:pPr>
            <w:r w:rsidRPr="007C30F1">
              <w:rPr>
                <w:rFonts w:cstheme="majorBidi"/>
                <w:lang w:val="es-ES_tradnl"/>
              </w:rPr>
              <w:t xml:space="preserve">El GAR recomendó que el Director de la BR informe al Consejo-17 de esas </w:t>
            </w:r>
            <w:r w:rsidR="00365980" w:rsidRPr="007C30F1">
              <w:rPr>
                <w:rFonts w:cstheme="majorBidi"/>
                <w:lang w:val="es-ES_tradnl"/>
              </w:rPr>
              <w:t>consideraciones</w:t>
            </w:r>
            <w:r w:rsidR="002A05B0" w:rsidRPr="007C30F1">
              <w:rPr>
                <w:rFonts w:cstheme="majorBidi"/>
                <w:lang w:val="es-ES_tradnl"/>
              </w:rPr>
              <w:t>.</w:t>
            </w:r>
          </w:p>
          <w:p w:rsidR="004B52EB" w:rsidRPr="007C30F1" w:rsidRDefault="004B52EB" w:rsidP="007E074C">
            <w:pPr>
              <w:pStyle w:val="Tabletext"/>
              <w:rPr>
                <w:rFonts w:cstheme="majorBidi"/>
                <w:lang w:val="es-ES_tradnl"/>
              </w:rPr>
            </w:pPr>
            <w:r w:rsidRPr="007C30F1">
              <w:rPr>
                <w:rFonts w:cstheme="majorBidi"/>
                <w:lang w:val="es-ES_tradnl"/>
              </w:rPr>
              <w:t xml:space="preserve">El GAR recomendó también que el Director de la BR informe al Consejo sobre las dos posibles opciones para la recuperación de costos del tratamiento de las notificaciones de </w:t>
            </w:r>
            <w:r w:rsidR="00365980" w:rsidRPr="007C30F1">
              <w:rPr>
                <w:rFonts w:cstheme="majorBidi"/>
                <w:lang w:val="es-ES_tradnl"/>
              </w:rPr>
              <w:t xml:space="preserve">grandes </w:t>
            </w:r>
            <w:r w:rsidRPr="007C30F1">
              <w:rPr>
                <w:rFonts w:cstheme="majorBidi"/>
                <w:lang w:val="es-ES_tradnl"/>
              </w:rPr>
              <w:t>sistemas no OSG del SFS por la BR:</w:t>
            </w:r>
          </w:p>
          <w:p w:rsidR="00C47479" w:rsidRPr="007C30F1" w:rsidRDefault="006204E3" w:rsidP="000E7A90">
            <w:pPr>
              <w:pStyle w:val="enumlev1"/>
              <w:jc w:val="left"/>
              <w:rPr>
                <w:rFonts w:asciiTheme="minorHAnsi" w:hAnsiTheme="minorHAnsi"/>
                <w:sz w:val="20"/>
                <w:szCs w:val="20"/>
                <w:lang w:val="es-ES_tradnl"/>
              </w:rPr>
            </w:pPr>
            <w:r w:rsidRPr="007C30F1">
              <w:rPr>
                <w:rFonts w:asciiTheme="minorHAnsi" w:hAnsiTheme="minorHAnsi"/>
                <w:sz w:val="20"/>
                <w:szCs w:val="20"/>
                <w:lang w:val="es-ES_tradnl"/>
              </w:rPr>
              <w:t>–</w:t>
            </w:r>
            <w:r w:rsidR="00C47479" w:rsidRPr="007C30F1">
              <w:rPr>
                <w:rFonts w:asciiTheme="minorHAnsi" w:hAnsiTheme="minorHAnsi"/>
                <w:sz w:val="20"/>
                <w:szCs w:val="20"/>
                <w:lang w:val="es-ES_tradnl"/>
              </w:rPr>
              <w:tab/>
            </w:r>
            <w:r w:rsidR="003911A8" w:rsidRPr="007C30F1">
              <w:rPr>
                <w:rFonts w:asciiTheme="minorHAnsi" w:hAnsiTheme="minorHAnsi"/>
                <w:sz w:val="20"/>
                <w:szCs w:val="20"/>
                <w:lang w:val="es-ES_tradnl"/>
              </w:rPr>
              <w:t xml:space="preserve">que la BR </w:t>
            </w:r>
            <w:r w:rsidR="004B52EB" w:rsidRPr="007C30F1">
              <w:rPr>
                <w:rFonts w:asciiTheme="minorHAnsi" w:hAnsiTheme="minorHAnsi"/>
                <w:sz w:val="20"/>
                <w:szCs w:val="20"/>
                <w:lang w:val="es-ES_tradnl"/>
              </w:rPr>
              <w:t>compens</w:t>
            </w:r>
            <w:r w:rsidR="003911A8" w:rsidRPr="007C30F1">
              <w:rPr>
                <w:rFonts w:asciiTheme="minorHAnsi" w:hAnsiTheme="minorHAnsi"/>
                <w:sz w:val="20"/>
                <w:szCs w:val="20"/>
                <w:lang w:val="es-ES_tradnl"/>
              </w:rPr>
              <w:t>e</w:t>
            </w:r>
            <w:r w:rsidR="004B52EB" w:rsidRPr="007C30F1">
              <w:rPr>
                <w:rFonts w:asciiTheme="minorHAnsi" w:hAnsiTheme="minorHAnsi"/>
                <w:sz w:val="20"/>
                <w:szCs w:val="20"/>
                <w:lang w:val="es-ES_tradnl"/>
              </w:rPr>
              <w:t xml:space="preserve"> los costos de tratamiento de las notificaciones de sistemas no OSG del SFS mediante el presupuesto de la UIT. Con este fin, se invita al Director a evaluar e informar al Consejo-17 </w:t>
            </w:r>
            <w:r w:rsidR="003911A8" w:rsidRPr="007C30F1">
              <w:rPr>
                <w:rFonts w:asciiTheme="minorHAnsi" w:hAnsiTheme="minorHAnsi"/>
                <w:sz w:val="20"/>
                <w:szCs w:val="20"/>
                <w:lang w:val="es-ES_tradnl"/>
              </w:rPr>
              <w:t>sobre</w:t>
            </w:r>
            <w:r w:rsidR="004B52EB" w:rsidRPr="007C30F1">
              <w:rPr>
                <w:rFonts w:asciiTheme="minorHAnsi" w:hAnsiTheme="minorHAnsi"/>
                <w:sz w:val="20"/>
                <w:szCs w:val="20"/>
                <w:lang w:val="es-ES_tradnl"/>
              </w:rPr>
              <w:t xml:space="preserve"> los posibles costos que </w:t>
            </w:r>
            <w:r w:rsidR="003911A8" w:rsidRPr="007C30F1">
              <w:rPr>
                <w:rFonts w:asciiTheme="minorHAnsi" w:hAnsiTheme="minorHAnsi"/>
                <w:sz w:val="20"/>
                <w:szCs w:val="20"/>
                <w:lang w:val="es-ES_tradnl"/>
              </w:rPr>
              <w:t>podrían</w:t>
            </w:r>
            <w:r w:rsidR="004B52EB" w:rsidRPr="007C30F1">
              <w:rPr>
                <w:rFonts w:asciiTheme="minorHAnsi" w:hAnsiTheme="minorHAnsi"/>
                <w:sz w:val="20"/>
                <w:szCs w:val="20"/>
                <w:lang w:val="es-ES_tradnl"/>
              </w:rPr>
              <w:t xml:space="preserve"> recuperar</w:t>
            </w:r>
            <w:r w:rsidR="003911A8" w:rsidRPr="007C30F1">
              <w:rPr>
                <w:rFonts w:asciiTheme="minorHAnsi" w:hAnsiTheme="minorHAnsi"/>
                <w:sz w:val="20"/>
                <w:szCs w:val="20"/>
                <w:lang w:val="es-ES_tradnl"/>
              </w:rPr>
              <w:t>se</w:t>
            </w:r>
            <w:r w:rsidR="004B52EB" w:rsidRPr="007C30F1">
              <w:rPr>
                <w:rFonts w:asciiTheme="minorHAnsi" w:hAnsiTheme="minorHAnsi"/>
                <w:sz w:val="20"/>
                <w:szCs w:val="20"/>
                <w:lang w:val="es-ES_tradnl"/>
              </w:rPr>
              <w:t xml:space="preserve"> </w:t>
            </w:r>
            <w:r w:rsidR="003911A8" w:rsidRPr="007C30F1">
              <w:rPr>
                <w:rFonts w:asciiTheme="minorHAnsi" w:hAnsiTheme="minorHAnsi"/>
                <w:sz w:val="20"/>
                <w:szCs w:val="20"/>
                <w:lang w:val="es-ES_tradnl"/>
              </w:rPr>
              <w:t>en</w:t>
            </w:r>
            <w:r w:rsidR="004B52EB" w:rsidRPr="007C30F1">
              <w:rPr>
                <w:rFonts w:asciiTheme="minorHAnsi" w:hAnsiTheme="minorHAnsi"/>
                <w:sz w:val="20"/>
                <w:szCs w:val="20"/>
                <w:lang w:val="es-ES_tradnl"/>
              </w:rPr>
              <w:t xml:space="preserve"> las notificaciones de sistemas no OSG del SFS cuando se aplica el Acuerdo 482 del Consejo en vigor. </w:t>
            </w:r>
            <w:r w:rsidR="00540A73" w:rsidRPr="007C30F1">
              <w:rPr>
                <w:rFonts w:asciiTheme="minorHAnsi" w:hAnsiTheme="minorHAnsi"/>
                <w:sz w:val="20"/>
                <w:szCs w:val="20"/>
                <w:lang w:val="es-ES_tradnl"/>
              </w:rPr>
              <w:t xml:space="preserve">Se indica que este incremento del presupuesto debería incluir el soporte </w:t>
            </w:r>
            <w:r w:rsidR="003911A8" w:rsidRPr="007C30F1">
              <w:rPr>
                <w:rFonts w:asciiTheme="minorHAnsi" w:hAnsiTheme="minorHAnsi"/>
                <w:sz w:val="20"/>
                <w:szCs w:val="20"/>
                <w:lang w:val="es-ES_tradnl"/>
              </w:rPr>
              <w:t>económico</w:t>
            </w:r>
            <w:r w:rsidR="00540A73" w:rsidRPr="007C30F1">
              <w:rPr>
                <w:rFonts w:asciiTheme="minorHAnsi" w:hAnsiTheme="minorHAnsi"/>
                <w:sz w:val="20"/>
                <w:szCs w:val="20"/>
                <w:lang w:val="es-ES_tradnl"/>
              </w:rPr>
              <w:t xml:space="preserve"> </w:t>
            </w:r>
            <w:r w:rsidR="003911A8" w:rsidRPr="007C30F1">
              <w:rPr>
                <w:rFonts w:asciiTheme="minorHAnsi" w:hAnsiTheme="minorHAnsi"/>
                <w:sz w:val="20"/>
                <w:szCs w:val="20"/>
                <w:lang w:val="es-ES_tradnl"/>
              </w:rPr>
              <w:t>d</w:t>
            </w:r>
            <w:r w:rsidR="00540A73" w:rsidRPr="007C30F1">
              <w:rPr>
                <w:rFonts w:asciiTheme="minorHAnsi" w:hAnsiTheme="minorHAnsi"/>
                <w:sz w:val="20"/>
                <w:szCs w:val="20"/>
                <w:lang w:val="es-ES_tradnl"/>
              </w:rPr>
              <w:t>el futuro desarrollo de un programa informático de validación de la densidad de flujo de potencia equivalente (DFPE) una vez que se finalice la revisión de la Recomendación S.1503-2 del UIT-R</w:t>
            </w:r>
            <w:r w:rsidR="00C47479" w:rsidRPr="007C30F1">
              <w:rPr>
                <w:rFonts w:asciiTheme="minorHAnsi" w:hAnsiTheme="minorHAnsi"/>
                <w:sz w:val="20"/>
                <w:szCs w:val="20"/>
                <w:lang w:val="es-ES_tradnl"/>
              </w:rPr>
              <w:t>;</w:t>
            </w:r>
          </w:p>
          <w:p w:rsidR="00C47479" w:rsidRPr="007C30F1" w:rsidRDefault="006204E3" w:rsidP="000E3544">
            <w:pPr>
              <w:pStyle w:val="enumlev1"/>
              <w:jc w:val="left"/>
              <w:rPr>
                <w:rFonts w:asciiTheme="minorHAnsi" w:hAnsiTheme="minorHAnsi"/>
                <w:sz w:val="20"/>
                <w:szCs w:val="20"/>
                <w:lang w:val="es-ES_tradnl"/>
              </w:rPr>
            </w:pPr>
            <w:r w:rsidRPr="007C30F1">
              <w:rPr>
                <w:rFonts w:asciiTheme="minorHAnsi" w:hAnsiTheme="minorHAnsi"/>
                <w:sz w:val="20"/>
                <w:szCs w:val="20"/>
                <w:lang w:val="es-ES_tradnl"/>
              </w:rPr>
              <w:t>–</w:t>
            </w:r>
            <w:r w:rsidR="00C47479" w:rsidRPr="007C30F1">
              <w:rPr>
                <w:rFonts w:asciiTheme="minorHAnsi" w:hAnsiTheme="minorHAnsi"/>
                <w:sz w:val="20"/>
                <w:szCs w:val="20"/>
                <w:lang w:val="es-ES_tradnl"/>
              </w:rPr>
              <w:tab/>
            </w:r>
            <w:r w:rsidR="00540A73" w:rsidRPr="007C30F1">
              <w:rPr>
                <w:rFonts w:asciiTheme="minorHAnsi" w:hAnsiTheme="minorHAnsi"/>
                <w:sz w:val="20"/>
                <w:szCs w:val="20"/>
                <w:lang w:val="es-ES_tradnl"/>
              </w:rPr>
              <w:t xml:space="preserve">revisar el Acuerdo 482 del Consejo mediante la elaboración de un procedimiento de recuperación de costos específico para las grandes redes no OSG del SFS. Con este fin, se invita al Director de la BR a aclarar los problemas técnicos de un procedimiento de este tipo, en consulta con las Comisiones de Estudio del UIT-R </w:t>
            </w:r>
            <w:r w:rsidR="003911A8" w:rsidRPr="007C30F1">
              <w:rPr>
                <w:rFonts w:asciiTheme="minorHAnsi" w:hAnsiTheme="minorHAnsi"/>
                <w:sz w:val="20"/>
                <w:szCs w:val="20"/>
                <w:lang w:val="es-ES_tradnl"/>
              </w:rPr>
              <w:t>pertinentes</w:t>
            </w:r>
            <w:r w:rsidR="00540A73" w:rsidRPr="007C30F1">
              <w:rPr>
                <w:rFonts w:asciiTheme="minorHAnsi" w:hAnsiTheme="minorHAnsi"/>
                <w:sz w:val="20"/>
                <w:szCs w:val="20"/>
                <w:lang w:val="es-ES_tradnl"/>
              </w:rPr>
              <w:t xml:space="preserve"> y </w:t>
            </w:r>
            <w:r w:rsidR="004D1F72" w:rsidRPr="007C30F1">
              <w:rPr>
                <w:rFonts w:asciiTheme="minorHAnsi" w:hAnsiTheme="minorHAnsi"/>
                <w:sz w:val="20"/>
                <w:szCs w:val="20"/>
                <w:lang w:val="es-ES_tradnl"/>
              </w:rPr>
              <w:t xml:space="preserve">la RRB, en particular cuando existe la posibilidad de dividir </w:t>
            </w:r>
            <w:r w:rsidRPr="007C30F1">
              <w:rPr>
                <w:rFonts w:asciiTheme="minorHAnsi" w:hAnsiTheme="minorHAnsi"/>
                <w:sz w:val="20"/>
                <w:szCs w:val="20"/>
                <w:lang w:val="es-ES_tradnl"/>
              </w:rPr>
              <w:t xml:space="preserve">las notificaciones (información para publicación anticipada/coordinación/notificación) </w:t>
            </w:r>
            <w:r w:rsidR="003911A8" w:rsidRPr="007C30F1">
              <w:rPr>
                <w:rFonts w:asciiTheme="minorHAnsi" w:hAnsiTheme="minorHAnsi"/>
                <w:sz w:val="20"/>
                <w:szCs w:val="20"/>
                <w:lang w:val="es-ES_tradnl"/>
              </w:rPr>
              <w:t>de sistemas no OSG</w:t>
            </w:r>
            <w:r w:rsidR="004D1F72" w:rsidRPr="007C30F1">
              <w:rPr>
                <w:rFonts w:asciiTheme="minorHAnsi" w:hAnsiTheme="minorHAnsi"/>
                <w:sz w:val="20"/>
                <w:szCs w:val="20"/>
                <w:lang w:val="es-ES_tradnl"/>
              </w:rPr>
              <w:t xml:space="preserve"> que contienen</w:t>
            </w:r>
            <w:r w:rsidR="00C47479" w:rsidRPr="007C30F1">
              <w:rPr>
                <w:rFonts w:asciiTheme="minorHAnsi" w:hAnsiTheme="minorHAnsi"/>
                <w:sz w:val="20"/>
                <w:szCs w:val="20"/>
                <w:lang w:val="es-ES_tradnl"/>
              </w:rPr>
              <w:t>:</w:t>
            </w:r>
          </w:p>
          <w:p w:rsidR="00C47479" w:rsidRPr="007C30F1" w:rsidRDefault="00C47479" w:rsidP="00326B40">
            <w:pPr>
              <w:pStyle w:val="enumlev2"/>
              <w:jc w:val="left"/>
              <w:rPr>
                <w:sz w:val="20"/>
                <w:szCs w:val="20"/>
                <w:lang w:val="es-ES_tradnl"/>
              </w:rPr>
            </w:pPr>
            <w:r w:rsidRPr="007C30F1">
              <w:rPr>
                <w:sz w:val="20"/>
                <w:szCs w:val="20"/>
                <w:lang w:val="es-ES_tradnl"/>
              </w:rPr>
              <w:t>a)</w:t>
            </w:r>
            <w:r w:rsidRPr="007C30F1">
              <w:rPr>
                <w:sz w:val="20"/>
                <w:szCs w:val="20"/>
                <w:lang w:val="es-ES_tradnl"/>
              </w:rPr>
              <w:tab/>
            </w:r>
            <w:r w:rsidR="006204E3" w:rsidRPr="007C30F1">
              <w:rPr>
                <w:sz w:val="20"/>
                <w:szCs w:val="20"/>
                <w:lang w:val="es-ES_tradnl"/>
              </w:rPr>
              <w:t>órbitas de satélites no homogéneas con diferentes altitudes e inclinaciones; o</w:t>
            </w:r>
          </w:p>
          <w:p w:rsidR="00C47479" w:rsidRPr="007C30F1" w:rsidRDefault="00C47479" w:rsidP="00244542">
            <w:pPr>
              <w:pStyle w:val="enumlev2"/>
              <w:jc w:val="left"/>
              <w:rPr>
                <w:sz w:val="20"/>
                <w:szCs w:val="20"/>
                <w:lang w:val="es-ES_tradnl"/>
              </w:rPr>
            </w:pPr>
            <w:r w:rsidRPr="007C30F1">
              <w:rPr>
                <w:sz w:val="20"/>
                <w:szCs w:val="20"/>
                <w:lang w:val="es-ES_tradnl"/>
              </w:rPr>
              <w:t>b)</w:t>
            </w:r>
            <w:r w:rsidRPr="007C30F1">
              <w:rPr>
                <w:sz w:val="20"/>
                <w:szCs w:val="20"/>
                <w:lang w:val="es-ES_tradnl"/>
              </w:rPr>
              <w:tab/>
            </w:r>
            <w:r w:rsidR="006204E3" w:rsidRPr="007C30F1">
              <w:rPr>
                <w:sz w:val="20"/>
                <w:szCs w:val="20"/>
                <w:lang w:val="es-ES_tradnl"/>
              </w:rPr>
              <w:t>diferentes configuraciones de la constelación;</w:t>
            </w:r>
            <w:r w:rsidR="00C62DB7" w:rsidRPr="007C30F1">
              <w:rPr>
                <w:sz w:val="20"/>
                <w:szCs w:val="20"/>
                <w:lang w:val="es-ES_tradnl"/>
              </w:rPr>
              <w:t xml:space="preserve"> </w:t>
            </w:r>
            <w:r w:rsidR="006204E3" w:rsidRPr="007C30F1">
              <w:rPr>
                <w:sz w:val="20"/>
                <w:szCs w:val="20"/>
                <w:lang w:val="es-ES_tradnl"/>
              </w:rPr>
              <w:t xml:space="preserve">en </w:t>
            </w:r>
            <w:r w:rsidR="004D1F72" w:rsidRPr="007C30F1">
              <w:rPr>
                <w:sz w:val="20"/>
                <w:szCs w:val="20"/>
                <w:lang w:val="es-ES_tradnl"/>
              </w:rPr>
              <w:t xml:space="preserve">diferentes </w:t>
            </w:r>
            <w:r w:rsidR="006204E3" w:rsidRPr="007C30F1">
              <w:rPr>
                <w:sz w:val="20"/>
                <w:szCs w:val="20"/>
                <w:lang w:val="es-ES_tradnl"/>
              </w:rPr>
              <w:t>notificaciones</w:t>
            </w:r>
            <w:r w:rsidR="004D1F72" w:rsidRPr="007C30F1">
              <w:rPr>
                <w:sz w:val="20"/>
                <w:szCs w:val="20"/>
                <w:lang w:val="es-ES_tradnl"/>
              </w:rPr>
              <w:t xml:space="preserve"> que contengan cada</w:t>
            </w:r>
            <w:r w:rsidR="006204E3" w:rsidRPr="007C30F1">
              <w:rPr>
                <w:sz w:val="20"/>
                <w:szCs w:val="20"/>
                <w:lang w:val="es-ES_tradnl"/>
              </w:rPr>
              <w:t xml:space="preserve"> constelación </w:t>
            </w:r>
            <w:r w:rsidR="004D1F72" w:rsidRPr="007C30F1">
              <w:rPr>
                <w:sz w:val="20"/>
                <w:szCs w:val="20"/>
                <w:lang w:val="es-ES_tradnl"/>
              </w:rPr>
              <w:t xml:space="preserve">independiente </w:t>
            </w:r>
            <w:r w:rsidR="006204E3" w:rsidRPr="007C30F1">
              <w:rPr>
                <w:sz w:val="20"/>
                <w:szCs w:val="20"/>
                <w:lang w:val="es-ES_tradnl"/>
              </w:rPr>
              <w:t xml:space="preserve">o </w:t>
            </w:r>
            <w:r w:rsidR="004D1F72" w:rsidRPr="007C30F1">
              <w:rPr>
                <w:sz w:val="20"/>
                <w:szCs w:val="20"/>
                <w:lang w:val="es-ES_tradnl"/>
              </w:rPr>
              <w:t xml:space="preserve">cada </w:t>
            </w:r>
            <w:r w:rsidR="006204E3" w:rsidRPr="007C30F1">
              <w:rPr>
                <w:sz w:val="20"/>
                <w:szCs w:val="20"/>
                <w:lang w:val="es-ES_tradnl"/>
              </w:rPr>
              <w:t xml:space="preserve">tipo de órbita de satélite, </w:t>
            </w:r>
            <w:r w:rsidR="004D1F72" w:rsidRPr="007C30F1">
              <w:rPr>
                <w:sz w:val="20"/>
                <w:szCs w:val="20"/>
                <w:lang w:val="es-ES_tradnl"/>
              </w:rPr>
              <w:t>para que la BR pueda tramitarlas mejor</w:t>
            </w:r>
            <w:r w:rsidRPr="007C30F1">
              <w:rPr>
                <w:sz w:val="20"/>
                <w:szCs w:val="20"/>
                <w:lang w:val="es-ES_tradnl"/>
              </w:rPr>
              <w:t>.</w:t>
            </w:r>
          </w:p>
          <w:p w:rsidR="00C47479" w:rsidRPr="007C30F1" w:rsidRDefault="004D1F72" w:rsidP="007E074C">
            <w:pPr>
              <w:pStyle w:val="Tabletext"/>
              <w:rPr>
                <w:rFonts w:cstheme="majorBidi"/>
                <w:lang w:val="es-ES_tradnl"/>
              </w:rPr>
            </w:pPr>
            <w:r w:rsidRPr="007C30F1">
              <w:rPr>
                <w:rFonts w:cstheme="majorBidi"/>
                <w:lang w:val="es-ES_tradnl"/>
              </w:rPr>
              <w:t xml:space="preserve">En lo relativo al </w:t>
            </w:r>
            <w:r w:rsidR="003911A8" w:rsidRPr="007C30F1">
              <w:rPr>
                <w:rFonts w:cstheme="majorBidi"/>
                <w:lang w:val="es-ES_tradnl"/>
              </w:rPr>
              <w:t xml:space="preserve">asunto del </w:t>
            </w:r>
            <w:r w:rsidRPr="007C30F1">
              <w:rPr>
                <w:rFonts w:cstheme="majorBidi"/>
                <w:lang w:val="es-ES_tradnl"/>
              </w:rPr>
              <w:t xml:space="preserve">tipo de tramitación </w:t>
            </w:r>
            <w:r w:rsidR="00285312" w:rsidRPr="007C30F1">
              <w:rPr>
                <w:rFonts w:cstheme="majorBidi"/>
                <w:lang w:val="es-ES_tradnl"/>
              </w:rPr>
              <w:t>que debe realizar la</w:t>
            </w:r>
            <w:r w:rsidRPr="007C30F1">
              <w:rPr>
                <w:rFonts w:cstheme="majorBidi"/>
                <w:lang w:val="es-ES_tradnl"/>
              </w:rPr>
              <w:t xml:space="preserve"> BR </w:t>
            </w:r>
            <w:r w:rsidR="003911A8" w:rsidRPr="007C30F1">
              <w:rPr>
                <w:rFonts w:cstheme="majorBidi"/>
                <w:lang w:val="es-ES_tradnl"/>
              </w:rPr>
              <w:t>en el caso de</w:t>
            </w:r>
            <w:r w:rsidRPr="007C30F1">
              <w:rPr>
                <w:rFonts w:cstheme="majorBidi"/>
                <w:lang w:val="es-ES_tradnl"/>
              </w:rPr>
              <w:t xml:space="preserve"> las modificaciones de las notificaciones de sistemas no OSG cuando se cambian características orbitales específicas </w:t>
            </w:r>
            <w:r w:rsidR="00285312" w:rsidRPr="007C30F1">
              <w:rPr>
                <w:rFonts w:cstheme="majorBidi"/>
                <w:lang w:val="es-ES_tradnl"/>
              </w:rPr>
              <w:t xml:space="preserve">(permitir o no una cierta flexibilidad), se indica que esta cuestión está actualmente en estudio en el GT 4A en el punto de la evolución futura de la Recomendación UIT-R S.1503. </w:t>
            </w:r>
          </w:p>
          <w:p w:rsidR="00285312" w:rsidRPr="007C30F1" w:rsidRDefault="00285312" w:rsidP="007E074C">
            <w:pPr>
              <w:pStyle w:val="Tabletext"/>
              <w:rPr>
                <w:rFonts w:cstheme="majorBidi"/>
                <w:lang w:val="es-ES_tradnl"/>
              </w:rPr>
            </w:pPr>
            <w:r w:rsidRPr="007C30F1">
              <w:rPr>
                <w:rFonts w:cstheme="majorBidi"/>
                <w:lang w:val="es-ES_tradnl"/>
              </w:rPr>
              <w:t xml:space="preserve">EL GAR invitó posteriormente al Director a solicitar al Consejo que proporcione orientación en lo relativo al tratamiento de la recuperación de costos de las notificaciones de sistemas no OSG del SFS sin repercutir negativamente en el proceso de notificación de las redes de </w:t>
            </w:r>
            <w:r w:rsidR="0056698F" w:rsidRPr="007C30F1">
              <w:rPr>
                <w:rFonts w:cstheme="majorBidi"/>
                <w:lang w:val="es-ES_tradnl"/>
              </w:rPr>
              <w:t>satélites de la UIT.</w:t>
            </w:r>
          </w:p>
          <w:p w:rsidR="00285312" w:rsidRPr="007C30F1" w:rsidRDefault="00285312" w:rsidP="007E074C">
            <w:pPr>
              <w:pStyle w:val="Tabletext"/>
              <w:rPr>
                <w:rFonts w:cstheme="majorBidi"/>
                <w:lang w:val="es-ES_tradnl"/>
              </w:rPr>
            </w:pPr>
            <w:r w:rsidRPr="007C30F1">
              <w:rPr>
                <w:rFonts w:cstheme="majorBidi"/>
                <w:lang w:val="es-ES_tradnl"/>
              </w:rPr>
              <w:t xml:space="preserve">El GAR tomó nota del </w:t>
            </w:r>
            <w:r w:rsidR="00CC491E" w:rsidRPr="007C30F1">
              <w:rPr>
                <w:rFonts w:cstheme="majorBidi"/>
                <w:lang w:val="es-ES_tradnl"/>
              </w:rPr>
              <w:t>p</w:t>
            </w:r>
            <w:r w:rsidRPr="007C30F1">
              <w:rPr>
                <w:rFonts w:cstheme="majorBidi"/>
                <w:lang w:val="es-ES_tradnl"/>
              </w:rPr>
              <w:t xml:space="preserve">royecto de presupuesto propuesto para el Sector de Radiocomunicaciones para el </w:t>
            </w:r>
            <w:r w:rsidR="00DA64A8" w:rsidRPr="007C30F1">
              <w:rPr>
                <w:rFonts w:cstheme="majorBidi"/>
                <w:lang w:val="es-ES_tradnl"/>
              </w:rPr>
              <w:t>periodo</w:t>
            </w:r>
            <w:r w:rsidRPr="007C30F1">
              <w:rPr>
                <w:rFonts w:cstheme="majorBidi"/>
                <w:lang w:val="es-ES_tradnl"/>
              </w:rPr>
              <w:t xml:space="preserve"> 2018-2019</w:t>
            </w:r>
            <w:r w:rsidR="00DA64A8" w:rsidRPr="007C30F1">
              <w:rPr>
                <w:rFonts w:cstheme="majorBidi"/>
                <w:lang w:val="es-ES_tradnl"/>
              </w:rPr>
              <w:t>,</w:t>
            </w:r>
            <w:r w:rsidRPr="007C30F1">
              <w:rPr>
                <w:rFonts w:cstheme="majorBidi"/>
                <w:lang w:val="es-ES_tradnl"/>
              </w:rPr>
              <w:t xml:space="preserve"> a la espera de la aprobación </w:t>
            </w:r>
            <w:r w:rsidR="00CC491E" w:rsidRPr="007C30F1">
              <w:rPr>
                <w:rFonts w:cstheme="majorBidi"/>
                <w:lang w:val="es-ES_tradnl"/>
              </w:rPr>
              <w:t xml:space="preserve">por el Consejo-17 </w:t>
            </w:r>
            <w:r w:rsidRPr="007C30F1">
              <w:rPr>
                <w:rFonts w:cstheme="majorBidi"/>
                <w:lang w:val="es-ES_tradnl"/>
              </w:rPr>
              <w:t>del presupuesto de la Unión para el periodo 2018-2019</w:t>
            </w:r>
            <w:r w:rsidR="00DA64A8" w:rsidRPr="007C30F1">
              <w:rPr>
                <w:rFonts w:cstheme="majorBidi"/>
                <w:lang w:val="es-ES_tradnl"/>
              </w:rPr>
              <w:t>.</w:t>
            </w:r>
            <w:r w:rsidRPr="007C30F1">
              <w:rPr>
                <w:rFonts w:cstheme="majorBidi"/>
                <w:lang w:val="es-ES_tradnl"/>
              </w:rPr>
              <w:t xml:space="preserve"> </w:t>
            </w:r>
          </w:p>
          <w:p w:rsidR="00C47479" w:rsidRPr="007C30F1" w:rsidRDefault="00DA64A8" w:rsidP="003C6863">
            <w:pPr>
              <w:pStyle w:val="Tabletext"/>
              <w:rPr>
                <w:rFonts w:cstheme="majorBidi"/>
                <w:lang w:val="es-ES_tradnl"/>
              </w:rPr>
            </w:pPr>
            <w:r w:rsidRPr="007C30F1">
              <w:rPr>
                <w:rFonts w:cstheme="majorBidi"/>
                <w:lang w:val="es-ES_tradnl"/>
              </w:rPr>
              <w:t xml:space="preserve">El GAR </w:t>
            </w:r>
            <w:r w:rsidR="00CC491E" w:rsidRPr="007C30F1">
              <w:rPr>
                <w:rFonts w:cstheme="majorBidi"/>
                <w:lang w:val="es-ES_tradnl"/>
              </w:rPr>
              <w:t>consideró</w:t>
            </w:r>
            <w:r w:rsidRPr="007C30F1">
              <w:rPr>
                <w:rFonts w:cstheme="majorBidi"/>
                <w:lang w:val="es-ES_tradnl"/>
              </w:rPr>
              <w:t xml:space="preserve"> e</w:t>
            </w:r>
            <w:r w:rsidR="00CC491E" w:rsidRPr="007C30F1">
              <w:rPr>
                <w:rFonts w:cstheme="majorBidi"/>
                <w:lang w:val="es-ES_tradnl"/>
              </w:rPr>
              <w:t>l</w:t>
            </w:r>
            <w:r w:rsidRPr="007C30F1">
              <w:rPr>
                <w:rFonts w:cstheme="majorBidi"/>
                <w:lang w:val="es-ES_tradnl"/>
              </w:rPr>
              <w:t xml:space="preserve"> </w:t>
            </w:r>
            <w:r w:rsidR="00C47479" w:rsidRPr="007C30F1">
              <w:rPr>
                <w:rFonts w:cstheme="majorBidi"/>
                <w:lang w:val="es-ES_tradnl"/>
                <w:rPrChange w:id="9" w:author="FHernández" w:date="2017-05-04T16:41:00Z">
                  <w:rPr>
                    <w:rFonts w:cstheme="majorBidi"/>
                    <w:lang w:val="en-GB"/>
                  </w:rPr>
                </w:rPrChange>
              </w:rPr>
              <w:t>Doc</w:t>
            </w:r>
            <w:r w:rsidR="003C6863">
              <w:rPr>
                <w:rFonts w:cstheme="majorBidi"/>
                <w:lang w:val="es-ES_tradnl"/>
              </w:rPr>
              <w:t>umento</w:t>
            </w:r>
            <w:r w:rsidR="00C47479" w:rsidRPr="007C30F1">
              <w:rPr>
                <w:rFonts w:cstheme="majorBidi"/>
                <w:lang w:val="es-ES_tradnl"/>
                <w:rPrChange w:id="10" w:author="FHernández" w:date="2017-05-04T16:41:00Z">
                  <w:rPr>
                    <w:rFonts w:cstheme="majorBidi"/>
                    <w:lang w:val="en-GB"/>
                  </w:rPr>
                </w:rPrChange>
              </w:rPr>
              <w:t xml:space="preserve"> </w:t>
            </w:r>
            <w:r w:rsidR="00C47479" w:rsidRPr="007C30F1">
              <w:rPr>
                <w:rFonts w:cstheme="majorBidi"/>
                <w:lang w:val="es-ES_tradnl"/>
              </w:rPr>
              <w:t>RAG17/10</w:t>
            </w:r>
            <w:r w:rsidRPr="007C30F1">
              <w:rPr>
                <w:rFonts w:cstheme="majorBidi"/>
                <w:lang w:val="es-ES_tradnl"/>
              </w:rPr>
              <w:t xml:space="preserve"> de la Federación de Rusia que señala el hecho de que, </w:t>
            </w:r>
            <w:r w:rsidR="006204E3" w:rsidRPr="007C30F1">
              <w:rPr>
                <w:rFonts w:cstheme="majorBidi"/>
                <w:lang w:val="es-ES_tradnl"/>
              </w:rPr>
              <w:t>en los últimos decenios, se viene prestando cada vez más atención a los esfuerzos destinados a aumentar la eficiencia en la utilización del espectro radioeléctrico y de las órbitas de los satélites. Prueba de ello constituye el número siempre creciente de participantes en las Conferencias Mundiales de Radiocomunicaciones (CMR), que ha pasado de unos 2 000 registrados en la CMR-97 (celebra en 1997), a más de 3 300 en la CMR-15 (celebrada en 2015).</w:t>
            </w:r>
            <w:r w:rsidR="00C47479" w:rsidRPr="007C30F1">
              <w:rPr>
                <w:rFonts w:cstheme="majorBidi"/>
                <w:lang w:val="es-ES_tradnl"/>
              </w:rPr>
              <w:t xml:space="preserve"> </w:t>
            </w:r>
            <w:r w:rsidR="006204E3" w:rsidRPr="007C30F1">
              <w:rPr>
                <w:rFonts w:cstheme="majorBidi"/>
                <w:lang w:val="es-ES_tradnl"/>
              </w:rPr>
              <w:t xml:space="preserve">Al mismo tiempo, se observa un aumento </w:t>
            </w:r>
            <w:r w:rsidRPr="007C30F1">
              <w:rPr>
                <w:rFonts w:cstheme="majorBidi"/>
                <w:lang w:val="es-ES_tradnl"/>
              </w:rPr>
              <w:t xml:space="preserve">significativo </w:t>
            </w:r>
            <w:r w:rsidR="006204E3" w:rsidRPr="007C30F1">
              <w:rPr>
                <w:rFonts w:cstheme="majorBidi"/>
                <w:lang w:val="es-ES_tradnl"/>
              </w:rPr>
              <w:t xml:space="preserve">en los tipos, complejidad y volumen de las tareas que realiza el personal de la BR, que constituye </w:t>
            </w:r>
            <w:r w:rsidR="00C066A4" w:rsidRPr="007C30F1">
              <w:rPr>
                <w:rFonts w:cstheme="majorBidi"/>
                <w:lang w:val="es-ES_tradnl"/>
              </w:rPr>
              <w:t>en esencia</w:t>
            </w:r>
            <w:r w:rsidR="006204E3" w:rsidRPr="007C30F1">
              <w:rPr>
                <w:rFonts w:cstheme="majorBidi"/>
                <w:lang w:val="es-ES_tradnl"/>
              </w:rPr>
              <w:t xml:space="preserve"> </w:t>
            </w:r>
            <w:r w:rsidR="00CC491E" w:rsidRPr="007C30F1">
              <w:rPr>
                <w:rFonts w:cstheme="majorBidi"/>
                <w:lang w:val="es-ES_tradnl"/>
              </w:rPr>
              <w:t xml:space="preserve">la maquinaria </w:t>
            </w:r>
            <w:r w:rsidR="00C066A4" w:rsidRPr="007C30F1">
              <w:rPr>
                <w:rFonts w:cstheme="majorBidi"/>
                <w:lang w:val="es-ES_tradnl"/>
              </w:rPr>
              <w:t xml:space="preserve">ejecutiva </w:t>
            </w:r>
            <w:r w:rsidR="00CC491E" w:rsidRPr="007C30F1">
              <w:rPr>
                <w:rFonts w:cstheme="majorBidi"/>
                <w:lang w:val="es-ES_tradnl"/>
              </w:rPr>
              <w:t>encargada de</w:t>
            </w:r>
            <w:r w:rsidR="006204E3" w:rsidRPr="007C30F1">
              <w:rPr>
                <w:rFonts w:cstheme="majorBidi"/>
                <w:lang w:val="es-ES_tradnl"/>
              </w:rPr>
              <w:t>l sistema internacional de gestión del espectro y de las órbitas de los satélites.</w:t>
            </w:r>
          </w:p>
          <w:p w:rsidR="00DA64A8" w:rsidRPr="007C30F1" w:rsidRDefault="00DA64A8" w:rsidP="007E074C">
            <w:pPr>
              <w:pStyle w:val="Tabletext"/>
              <w:rPr>
                <w:rFonts w:cstheme="majorBidi"/>
                <w:lang w:val="es-ES_tradnl"/>
              </w:rPr>
            </w:pPr>
            <w:r w:rsidRPr="007C30F1">
              <w:rPr>
                <w:rFonts w:cstheme="majorBidi"/>
                <w:lang w:val="es-ES_tradnl"/>
              </w:rPr>
              <w:t xml:space="preserve">El documento contiene un análisis de los recursos financieros asignados al UIT-R y </w:t>
            </w:r>
            <w:r w:rsidR="00C066A4" w:rsidRPr="007C30F1">
              <w:rPr>
                <w:rFonts w:cstheme="majorBidi"/>
                <w:lang w:val="es-ES_tradnl"/>
              </w:rPr>
              <w:t xml:space="preserve">de </w:t>
            </w:r>
            <w:r w:rsidRPr="007C30F1">
              <w:rPr>
                <w:rFonts w:cstheme="majorBidi"/>
                <w:lang w:val="es-ES_tradnl"/>
              </w:rPr>
              <w:t xml:space="preserve">los recursos humanos </w:t>
            </w:r>
            <w:r w:rsidR="00C066A4" w:rsidRPr="007C30F1">
              <w:rPr>
                <w:rFonts w:cstheme="majorBidi"/>
                <w:lang w:val="es-ES_tradnl"/>
              </w:rPr>
              <w:t>de</w:t>
            </w:r>
            <w:r w:rsidRPr="007C30F1">
              <w:rPr>
                <w:rFonts w:cstheme="majorBidi"/>
                <w:lang w:val="es-ES_tradnl"/>
              </w:rPr>
              <w:t xml:space="preserve"> la Oficina de Radiocomunicaciones en el periodo 1996-2017. Este análisis destaca la reducción significativa del presupuesto del UIT-R en los últimos años y señala la reducción</w:t>
            </w:r>
            <w:r w:rsidR="00C066A4" w:rsidRPr="007C30F1">
              <w:rPr>
                <w:rFonts w:cstheme="majorBidi"/>
                <w:lang w:val="es-ES_tradnl"/>
              </w:rPr>
              <w:t xml:space="preserve"> adicional</w:t>
            </w:r>
            <w:r w:rsidRPr="007C30F1">
              <w:rPr>
                <w:rFonts w:cstheme="majorBidi"/>
                <w:lang w:val="es-ES_tradnl"/>
              </w:rPr>
              <w:t xml:space="preserve"> propuesta en el proyecto de presupuesto del UIT-R para el periodo 2018-2019. Muestra que </w:t>
            </w:r>
            <w:r w:rsidR="00C066A4" w:rsidRPr="007C30F1">
              <w:rPr>
                <w:rFonts w:cstheme="majorBidi"/>
                <w:lang w:val="es-ES_tradnl"/>
              </w:rPr>
              <w:t xml:space="preserve">se propone, </w:t>
            </w:r>
            <w:r w:rsidRPr="007C30F1">
              <w:rPr>
                <w:rFonts w:cstheme="majorBidi"/>
                <w:lang w:val="es-ES_tradnl"/>
              </w:rPr>
              <w:t>en el presupuesto del UIT-R</w:t>
            </w:r>
            <w:r w:rsidR="00C066A4" w:rsidRPr="007C30F1">
              <w:rPr>
                <w:rFonts w:cstheme="majorBidi"/>
                <w:lang w:val="es-ES_tradnl"/>
              </w:rPr>
              <w:t>,</w:t>
            </w:r>
            <w:r w:rsidRPr="007C30F1">
              <w:rPr>
                <w:rFonts w:cstheme="majorBidi"/>
                <w:lang w:val="es-ES_tradnl"/>
              </w:rPr>
              <w:t xml:space="preserve"> una reducción superior a las reducciones de </w:t>
            </w:r>
            <w:r w:rsidR="007A5233" w:rsidRPr="007C30F1">
              <w:rPr>
                <w:rFonts w:cstheme="majorBidi"/>
                <w:lang w:val="es-ES_tradnl"/>
              </w:rPr>
              <w:t xml:space="preserve">los </w:t>
            </w:r>
            <w:r w:rsidRPr="007C30F1">
              <w:rPr>
                <w:rFonts w:cstheme="majorBidi"/>
                <w:lang w:val="es-ES_tradnl"/>
              </w:rPr>
              <w:t>presupuesto</w:t>
            </w:r>
            <w:r w:rsidR="008306AD">
              <w:rPr>
                <w:rFonts w:cstheme="majorBidi"/>
                <w:lang w:val="es-ES_tradnl"/>
              </w:rPr>
              <w:t>s</w:t>
            </w:r>
            <w:r w:rsidRPr="007C30F1">
              <w:rPr>
                <w:rFonts w:cstheme="majorBidi"/>
                <w:lang w:val="es-ES_tradnl"/>
              </w:rPr>
              <w:t xml:space="preserve"> de </w:t>
            </w:r>
            <w:r w:rsidR="007A5233" w:rsidRPr="007C30F1">
              <w:rPr>
                <w:rFonts w:cstheme="majorBidi"/>
                <w:lang w:val="es-ES_tradnl"/>
              </w:rPr>
              <w:t>otros</w:t>
            </w:r>
            <w:r w:rsidRPr="007C30F1">
              <w:rPr>
                <w:rFonts w:cstheme="majorBidi"/>
                <w:lang w:val="es-ES_tradnl"/>
              </w:rPr>
              <w:t xml:space="preserve"> órgano de la UIT para el mismo periodo. </w:t>
            </w:r>
            <w:r w:rsidR="007A5233" w:rsidRPr="007C30F1">
              <w:rPr>
                <w:rFonts w:cstheme="majorBidi"/>
                <w:lang w:val="es-ES_tradnl"/>
              </w:rPr>
              <w:t xml:space="preserve">También plantea una serie de problemas respecto de la reducción de personal de la BR durante los últimos años que </w:t>
            </w:r>
            <w:r w:rsidR="0060744E" w:rsidRPr="007C30F1">
              <w:rPr>
                <w:rFonts w:cstheme="majorBidi"/>
                <w:lang w:val="es-ES_tradnl"/>
              </w:rPr>
              <w:t>provocan</w:t>
            </w:r>
            <w:r w:rsidR="007A5233" w:rsidRPr="007C30F1">
              <w:rPr>
                <w:rFonts w:cstheme="majorBidi"/>
                <w:lang w:val="es-ES_tradnl"/>
              </w:rPr>
              <w:t xml:space="preserve"> una situación donde la BR ya no puede cumplir </w:t>
            </w:r>
            <w:r w:rsidR="00C066A4" w:rsidRPr="007C30F1">
              <w:rPr>
                <w:rFonts w:cstheme="majorBidi"/>
                <w:lang w:val="es-ES_tradnl"/>
              </w:rPr>
              <w:t xml:space="preserve">con </w:t>
            </w:r>
            <w:r w:rsidR="007A5233" w:rsidRPr="007C30F1">
              <w:rPr>
                <w:rFonts w:cstheme="majorBidi"/>
                <w:lang w:val="es-ES_tradnl"/>
              </w:rPr>
              <w:t>sus obligaciones reglamentarias debido a la falta de recursos financieros y humanos</w:t>
            </w:r>
            <w:r w:rsidR="0060744E" w:rsidRPr="007C30F1">
              <w:rPr>
                <w:rFonts w:cstheme="majorBidi"/>
                <w:lang w:val="es-ES_tradnl"/>
              </w:rPr>
              <w:t>, junto con</w:t>
            </w:r>
            <w:r w:rsidR="007A5233" w:rsidRPr="007C30F1">
              <w:rPr>
                <w:rFonts w:cstheme="majorBidi"/>
                <w:lang w:val="es-ES_tradnl"/>
              </w:rPr>
              <w:t xml:space="preserve"> </w:t>
            </w:r>
            <w:r w:rsidR="0060744E" w:rsidRPr="007C30F1">
              <w:rPr>
                <w:rFonts w:cstheme="majorBidi"/>
                <w:lang w:val="es-ES_tradnl"/>
              </w:rPr>
              <w:t>un</w:t>
            </w:r>
            <w:r w:rsidR="007A5233" w:rsidRPr="007C30F1">
              <w:rPr>
                <w:rFonts w:cstheme="majorBidi"/>
                <w:lang w:val="es-ES_tradnl"/>
              </w:rPr>
              <w:t xml:space="preserve"> aumento de la complejidad de las tareas y un mayor número y complejidad de las notificaciones de redes de satélites que </w:t>
            </w:r>
            <w:r w:rsidR="0060744E" w:rsidRPr="007C30F1">
              <w:rPr>
                <w:rFonts w:cstheme="majorBidi"/>
                <w:lang w:val="es-ES_tradnl"/>
              </w:rPr>
              <w:t xml:space="preserve">provocan un trabajo adicional significativo </w:t>
            </w:r>
            <w:r w:rsidR="007A5233" w:rsidRPr="007C30F1">
              <w:rPr>
                <w:rFonts w:cstheme="majorBidi"/>
                <w:lang w:val="es-ES_tradnl"/>
              </w:rPr>
              <w:t xml:space="preserve">en la BR. </w:t>
            </w:r>
          </w:p>
          <w:p w:rsidR="00DA64A8" w:rsidRPr="007C30F1" w:rsidRDefault="0060744E" w:rsidP="007E074C">
            <w:pPr>
              <w:pStyle w:val="Tabletext"/>
              <w:rPr>
                <w:rFonts w:cstheme="majorBidi"/>
                <w:lang w:val="es-ES_tradnl"/>
              </w:rPr>
            </w:pPr>
            <w:r w:rsidRPr="007C30F1">
              <w:rPr>
                <w:rFonts w:cstheme="majorBidi"/>
                <w:lang w:val="es-ES_tradnl"/>
              </w:rPr>
              <w:t>En la c</w:t>
            </w:r>
            <w:r w:rsidR="007A5233" w:rsidRPr="007C30F1">
              <w:rPr>
                <w:rFonts w:cstheme="majorBidi"/>
                <w:lang w:val="es-ES_tradnl"/>
              </w:rPr>
              <w:t>onclusión</w:t>
            </w:r>
            <w:r w:rsidRPr="007C30F1">
              <w:rPr>
                <w:rFonts w:cstheme="majorBidi"/>
                <w:lang w:val="es-ES_tradnl"/>
              </w:rPr>
              <w:t>, se</w:t>
            </w:r>
            <w:r w:rsidR="007A5233" w:rsidRPr="007C30F1">
              <w:rPr>
                <w:rFonts w:cstheme="majorBidi"/>
                <w:lang w:val="es-ES_tradnl"/>
              </w:rPr>
              <w:t xml:space="preserve"> afirma que los problemas identificados anteriormente se deben en gran parte a la reducción de los recursos financieros y humanos puestos a disposición del Sector de Radiocomunicaciones </w:t>
            </w:r>
            <w:r w:rsidRPr="007C30F1">
              <w:rPr>
                <w:rFonts w:cstheme="majorBidi"/>
                <w:lang w:val="es-ES_tradnl"/>
              </w:rPr>
              <w:t>durante</w:t>
            </w:r>
            <w:r w:rsidR="007A5233" w:rsidRPr="007C30F1">
              <w:rPr>
                <w:rFonts w:cstheme="majorBidi"/>
                <w:lang w:val="es-ES_tradnl"/>
              </w:rPr>
              <w:t xml:space="preserve"> los últimos años (incluida una fuerte reducción de la fuerza laboral de la BR), y que es necesario adoptar </w:t>
            </w:r>
            <w:r w:rsidRPr="007C30F1">
              <w:rPr>
                <w:rFonts w:cstheme="majorBidi"/>
                <w:lang w:val="es-ES_tradnl"/>
              </w:rPr>
              <w:t xml:space="preserve">rápidamente </w:t>
            </w:r>
            <w:r w:rsidR="007A5233" w:rsidRPr="007C30F1">
              <w:rPr>
                <w:rFonts w:cstheme="majorBidi"/>
                <w:lang w:val="es-ES_tradnl"/>
              </w:rPr>
              <w:t xml:space="preserve">medidas para asegurar el cumplimiento de </w:t>
            </w:r>
            <w:r w:rsidR="00AB2003" w:rsidRPr="007C30F1">
              <w:rPr>
                <w:rFonts w:cstheme="majorBidi"/>
                <w:lang w:val="es-ES_tradnl"/>
              </w:rPr>
              <w:t xml:space="preserve">los objetivos cada vez más complejos de la Oficina. Los participantes del GAR apoyaron ampliamente esta posición. </w:t>
            </w:r>
          </w:p>
          <w:p w:rsidR="00AB2003" w:rsidRPr="007C30F1" w:rsidRDefault="00AB2003" w:rsidP="00F95591">
            <w:pPr>
              <w:pStyle w:val="Tabletext"/>
              <w:rPr>
                <w:rFonts w:cstheme="majorBidi"/>
                <w:lang w:val="es-ES_tradnl"/>
              </w:rPr>
            </w:pPr>
            <w:r w:rsidRPr="007C30F1">
              <w:rPr>
                <w:rFonts w:cstheme="majorBidi"/>
                <w:lang w:val="es-ES_tradnl"/>
              </w:rPr>
              <w:t xml:space="preserve">El Director dio una explicación sobre la variación de la cantidad de personal en los últimos años, desde </w:t>
            </w:r>
            <w:r w:rsidR="00E5333C" w:rsidRPr="007C30F1">
              <w:rPr>
                <w:rFonts w:cstheme="majorBidi"/>
                <w:lang w:val="es-ES_tradnl"/>
              </w:rPr>
              <w:t>el principio</w:t>
            </w:r>
            <w:r w:rsidRPr="007C30F1">
              <w:rPr>
                <w:rFonts w:cstheme="majorBidi"/>
                <w:lang w:val="es-ES_tradnl"/>
              </w:rPr>
              <w:t xml:space="preserve"> de los años 90 cuando se produc</w:t>
            </w:r>
            <w:r w:rsidR="00B42F77" w:rsidRPr="007C30F1">
              <w:rPr>
                <w:rFonts w:cstheme="majorBidi"/>
                <w:lang w:val="es-ES_tradnl"/>
              </w:rPr>
              <w:t>ían</w:t>
            </w:r>
            <w:r w:rsidRPr="007C30F1">
              <w:rPr>
                <w:rFonts w:cstheme="majorBidi"/>
                <w:lang w:val="es-ES_tradnl"/>
              </w:rPr>
              <w:t xml:space="preserve"> retrasos de hasta dos años en el tratamiento de las notificaciones frente a un plazo reglamentario definido en el número </w:t>
            </w:r>
            <w:r w:rsidRPr="007C30F1">
              <w:rPr>
                <w:rFonts w:cstheme="majorBidi"/>
                <w:b/>
                <w:lang w:val="es-ES_tradnl"/>
              </w:rPr>
              <w:t xml:space="preserve">9.38 </w:t>
            </w:r>
            <w:r w:rsidRPr="007C30F1">
              <w:rPr>
                <w:rFonts w:cstheme="majorBidi"/>
                <w:lang w:val="es-ES_tradnl"/>
              </w:rPr>
              <w:t xml:space="preserve">del </w:t>
            </w:r>
            <w:r w:rsidR="00B42F77" w:rsidRPr="007C30F1">
              <w:rPr>
                <w:rFonts w:cstheme="majorBidi"/>
                <w:lang w:val="es-ES_tradnl"/>
              </w:rPr>
              <w:t xml:space="preserve">RR </w:t>
            </w:r>
            <w:r w:rsidRPr="007C30F1">
              <w:rPr>
                <w:rFonts w:cstheme="majorBidi"/>
                <w:lang w:val="es-ES_tradnl"/>
              </w:rPr>
              <w:t xml:space="preserve">de cuatro meses para el tratamiento de las notificaciones de CR/R </w:t>
            </w:r>
            <w:r w:rsidR="00B42F77" w:rsidRPr="007C30F1">
              <w:rPr>
                <w:rFonts w:cstheme="majorBidi"/>
                <w:lang w:val="es-ES_tradnl"/>
              </w:rPr>
              <w:t xml:space="preserve">según se </w:t>
            </w:r>
            <w:r w:rsidR="00E5333C" w:rsidRPr="007C30F1">
              <w:rPr>
                <w:rFonts w:cstheme="majorBidi"/>
                <w:lang w:val="es-ES_tradnl"/>
              </w:rPr>
              <w:t>señala</w:t>
            </w:r>
            <w:r w:rsidR="00B42F77" w:rsidRPr="007C30F1">
              <w:rPr>
                <w:rFonts w:cstheme="majorBidi"/>
                <w:lang w:val="es-ES_tradnl"/>
              </w:rPr>
              <w:t xml:space="preserve"> en el Reglamento de Radiocomunicaciones. Explicó que cuando se pusieron en funcionamiento las medidas de recuperación de costos </w:t>
            </w:r>
            <w:r w:rsidR="00454D58" w:rsidRPr="007C30F1">
              <w:rPr>
                <w:rFonts w:cstheme="majorBidi"/>
                <w:lang w:val="es-ES_tradnl"/>
              </w:rPr>
              <w:t xml:space="preserve">se produjo, </w:t>
            </w:r>
            <w:r w:rsidR="00E5333C" w:rsidRPr="007C30F1">
              <w:rPr>
                <w:rFonts w:cstheme="majorBidi"/>
                <w:lang w:val="es-ES_tradnl"/>
              </w:rPr>
              <w:t>en cierta medida</w:t>
            </w:r>
            <w:r w:rsidR="00454D58" w:rsidRPr="007C30F1">
              <w:rPr>
                <w:rFonts w:cstheme="majorBidi"/>
                <w:lang w:val="es-ES_tradnl"/>
              </w:rPr>
              <w:t xml:space="preserve">, una </w:t>
            </w:r>
            <w:r w:rsidR="00E5333C" w:rsidRPr="007C30F1">
              <w:rPr>
                <w:rFonts w:cstheme="majorBidi"/>
                <w:lang w:val="es-ES_tradnl"/>
              </w:rPr>
              <w:t>disminución de</w:t>
            </w:r>
            <w:r w:rsidR="00454D58" w:rsidRPr="007C30F1">
              <w:rPr>
                <w:rFonts w:cstheme="majorBidi"/>
                <w:lang w:val="es-ES_tradnl"/>
              </w:rPr>
              <w:t xml:space="preserve"> la</w:t>
            </w:r>
            <w:r w:rsidR="00E5333C" w:rsidRPr="007C30F1">
              <w:rPr>
                <w:rFonts w:cstheme="majorBidi"/>
                <w:lang w:val="es-ES_tradnl"/>
              </w:rPr>
              <w:t>s</w:t>
            </w:r>
            <w:r w:rsidR="00454D58" w:rsidRPr="007C30F1">
              <w:rPr>
                <w:rFonts w:cstheme="majorBidi"/>
                <w:lang w:val="es-ES_tradnl"/>
              </w:rPr>
              <w:t xml:space="preserve"> presentaci</w:t>
            </w:r>
            <w:r w:rsidR="00E5333C" w:rsidRPr="007C30F1">
              <w:rPr>
                <w:rFonts w:cstheme="majorBidi"/>
                <w:lang w:val="es-ES_tradnl"/>
              </w:rPr>
              <w:t>ones</w:t>
            </w:r>
            <w:r w:rsidR="00454D58" w:rsidRPr="007C30F1">
              <w:rPr>
                <w:rFonts w:cstheme="majorBidi"/>
                <w:lang w:val="es-ES_tradnl"/>
              </w:rPr>
              <w:t xml:space="preserve"> de notificaciones. Esta relativa reducción, junto con nuevas aplicaciones informáticas que hicieron más eficientes los tratamientos, </w:t>
            </w:r>
            <w:r w:rsidR="002A05B0" w:rsidRPr="007C30F1">
              <w:rPr>
                <w:rFonts w:cstheme="majorBidi"/>
                <w:lang w:val="es-ES_tradnl"/>
              </w:rPr>
              <w:t>permitió</w:t>
            </w:r>
            <w:r w:rsidR="00454D58" w:rsidRPr="007C30F1">
              <w:rPr>
                <w:rFonts w:cstheme="majorBidi"/>
                <w:lang w:val="es-ES_tradnl"/>
              </w:rPr>
              <w:t xml:space="preserve"> la reducción de personal realizada en su mandato. Sin embargo, ha ido aumentando el retraso en los últimos 12 a 18 meses, debido al aumento del número y complejidad de las notificaciones tanto de redes de satélites OSG como no-OSG. El GAR concluyó que los Estados Miembros pueden presentar esas </w:t>
            </w:r>
            <w:r w:rsidR="00E5333C" w:rsidRPr="007C30F1">
              <w:rPr>
                <w:rFonts w:cstheme="majorBidi"/>
                <w:lang w:val="es-ES_tradnl"/>
              </w:rPr>
              <w:t>inquietudes</w:t>
            </w:r>
            <w:r w:rsidR="00454D58" w:rsidRPr="007C30F1">
              <w:rPr>
                <w:rFonts w:cstheme="majorBidi"/>
                <w:lang w:val="es-ES_tradnl"/>
              </w:rPr>
              <w:t xml:space="preserve"> en el Con</w:t>
            </w:r>
            <w:r w:rsidR="00F17809" w:rsidRPr="007C30F1">
              <w:rPr>
                <w:rFonts w:cstheme="majorBidi"/>
                <w:lang w:val="es-ES_tradnl"/>
              </w:rPr>
              <w:t>sejo si lo desean, para lo cual se puede hacer referencia</w:t>
            </w:r>
            <w:r w:rsidR="00454D58" w:rsidRPr="007C30F1">
              <w:rPr>
                <w:rFonts w:cstheme="majorBidi"/>
                <w:lang w:val="es-ES_tradnl"/>
              </w:rPr>
              <w:t xml:space="preserve"> </w:t>
            </w:r>
            <w:r w:rsidR="00F95591">
              <w:rPr>
                <w:rFonts w:cstheme="majorBidi"/>
                <w:lang w:val="es-ES_tradnl"/>
              </w:rPr>
              <w:t>a</w:t>
            </w:r>
            <w:r w:rsidR="00454D58" w:rsidRPr="007C30F1">
              <w:rPr>
                <w:rFonts w:cstheme="majorBidi"/>
                <w:lang w:val="es-ES_tradnl"/>
              </w:rPr>
              <w:t xml:space="preserve">l </w:t>
            </w:r>
            <w:r w:rsidR="00AD0D42" w:rsidRPr="007C30F1">
              <w:rPr>
                <w:rFonts w:cstheme="majorBidi"/>
                <w:lang w:val="es-ES_tradnl"/>
              </w:rPr>
              <w:t xml:space="preserve">resumen </w:t>
            </w:r>
            <w:r w:rsidR="00454D58" w:rsidRPr="007C30F1">
              <w:rPr>
                <w:rFonts w:cstheme="majorBidi"/>
                <w:lang w:val="es-ES_tradnl"/>
              </w:rPr>
              <w:t>de conclusiones</w:t>
            </w:r>
            <w:r w:rsidR="00F17809" w:rsidRPr="007C30F1">
              <w:rPr>
                <w:rFonts w:cstheme="majorBidi"/>
                <w:lang w:val="es-ES_tradnl"/>
              </w:rPr>
              <w:t xml:space="preserve"> de la presente reunión del GAR. El GAR también insistió en la necesidad de adoptar un enfoque proporcional y equilibrado para la financiación de los Sectores de la UIT y la Secretaría General que debe tener en cuenta el aumento de la carga de trabajo de la Oficina de Radiocomunicaciones y las expectativas correspondientes de los </w:t>
            </w:r>
            <w:r w:rsidR="002767DD" w:rsidRPr="007C30F1">
              <w:rPr>
                <w:rFonts w:cstheme="majorBidi"/>
                <w:lang w:val="es-ES_tradnl"/>
              </w:rPr>
              <w:t>miembros</w:t>
            </w:r>
            <w:r w:rsidR="00F17809" w:rsidRPr="007C30F1">
              <w:rPr>
                <w:rFonts w:cstheme="majorBidi"/>
                <w:lang w:val="es-ES_tradnl"/>
              </w:rPr>
              <w:t xml:space="preserve">. El GAR también recomendó que el Director informe al Consejo </w:t>
            </w:r>
            <w:r w:rsidR="00BE63F6" w:rsidRPr="007C30F1">
              <w:rPr>
                <w:rFonts w:cstheme="majorBidi"/>
                <w:lang w:val="es-ES_tradnl"/>
              </w:rPr>
              <w:t>de esta</w:t>
            </w:r>
            <w:r w:rsidR="0056698F" w:rsidRPr="007C30F1">
              <w:rPr>
                <w:rFonts w:cstheme="majorBidi"/>
                <w:lang w:val="es-ES_tradnl"/>
              </w:rPr>
              <w:t>s preocupaciones en su Informe.</w:t>
            </w:r>
          </w:p>
          <w:p w:rsidR="00C47479" w:rsidRPr="007C30F1" w:rsidRDefault="00BE63F6" w:rsidP="007E074C">
            <w:pPr>
              <w:pStyle w:val="Tabletext"/>
              <w:rPr>
                <w:rFonts w:cstheme="majorBidi"/>
                <w:lang w:val="es-ES_tradnl"/>
              </w:rPr>
            </w:pPr>
            <w:r w:rsidRPr="007C30F1">
              <w:rPr>
                <w:rFonts w:cstheme="majorBidi"/>
                <w:lang w:val="es-ES_tradnl"/>
              </w:rPr>
              <w:t>El GAR tomó nota de la aprobación por el Consejo-16 de la Resolución 1380 con el lugar, las fechas y el orden del día de la CMR-19</w:t>
            </w:r>
            <w:r w:rsidR="007A73BB" w:rsidRPr="007C30F1">
              <w:rPr>
                <w:rFonts w:cstheme="majorBidi"/>
                <w:lang w:val="es-ES_tradnl"/>
              </w:rPr>
              <w:t>,</w:t>
            </w:r>
            <w:r w:rsidRPr="007C30F1">
              <w:rPr>
                <w:rFonts w:cstheme="majorBidi"/>
                <w:lang w:val="es-ES_tradnl"/>
              </w:rPr>
              <w:t xml:space="preserve"> así como el lugar y las fechas de la AR-19, que fue sometid</w:t>
            </w:r>
            <w:r w:rsidR="007A73BB" w:rsidRPr="007C30F1">
              <w:rPr>
                <w:rFonts w:cstheme="majorBidi"/>
                <w:lang w:val="es-ES_tradnl"/>
              </w:rPr>
              <w:t>a</w:t>
            </w:r>
            <w:r w:rsidRPr="007C30F1">
              <w:rPr>
                <w:rFonts w:cstheme="majorBidi"/>
                <w:lang w:val="es-ES_tradnl"/>
              </w:rPr>
              <w:t xml:space="preserve"> posteriormente a consulta de los Estados Miembros y recibió el acuerdo de la mayoría necesaria </w:t>
            </w:r>
            <w:r w:rsidR="0056698F" w:rsidRPr="007C30F1">
              <w:rPr>
                <w:rFonts w:cstheme="majorBidi"/>
                <w:lang w:val="es-ES_tradnl"/>
              </w:rPr>
              <w:t>de Estados Miembros de la UIT.</w:t>
            </w:r>
          </w:p>
          <w:p w:rsidR="002D0BE9" w:rsidRPr="007C30F1" w:rsidRDefault="00BE63F6" w:rsidP="007E074C">
            <w:pPr>
              <w:pStyle w:val="Tabletext"/>
              <w:rPr>
                <w:rFonts w:cstheme="majorBidi"/>
                <w:lang w:val="es-ES_tradnl"/>
              </w:rPr>
            </w:pPr>
            <w:r w:rsidRPr="007C30F1">
              <w:rPr>
                <w:rFonts w:cstheme="majorBidi"/>
                <w:lang w:val="es-ES_tradnl"/>
              </w:rPr>
              <w:t>El GAR tomó nota además de que la Administración de Egipto ha confirmado recientemente su compromiso de acoger tanto la AR-19 como la CMR-19 en Sharm El-Sheij en las fechas aprobadas por el Consejo.</w:t>
            </w:r>
          </w:p>
        </w:tc>
      </w:tr>
      <w:tr w:rsidR="002D0BE9" w:rsidRPr="007C30F1" w:rsidTr="00821E2A">
        <w:trPr>
          <w:jc w:val="center"/>
        </w:trPr>
        <w:tc>
          <w:tcPr>
            <w:tcW w:w="1037" w:type="dxa"/>
          </w:tcPr>
          <w:p w:rsidR="002D0BE9" w:rsidRPr="007C30F1" w:rsidRDefault="002D0BE9" w:rsidP="007E074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heme="majorBidi"/>
                <w:sz w:val="22"/>
                <w:lang w:val="es-ES_tradnl"/>
              </w:rPr>
            </w:pPr>
            <w:r w:rsidRPr="007C30F1">
              <w:rPr>
                <w:rFonts w:cstheme="majorBidi"/>
                <w:sz w:val="22"/>
                <w:lang w:val="es-ES_tradnl"/>
              </w:rPr>
              <w:t>6</w:t>
            </w:r>
          </w:p>
        </w:tc>
        <w:tc>
          <w:tcPr>
            <w:tcW w:w="3256" w:type="dxa"/>
          </w:tcPr>
          <w:p w:rsidR="002D0BE9" w:rsidRPr="007C30F1" w:rsidRDefault="00CA7880" w:rsidP="007E074C">
            <w:pPr>
              <w:pStyle w:val="Tabletext"/>
              <w:rPr>
                <w:rFonts w:cstheme="majorBidi"/>
                <w:i/>
                <w:iCs/>
                <w:lang w:val="es-ES_tradnl"/>
              </w:rPr>
            </w:pPr>
            <w:r w:rsidRPr="007C30F1">
              <w:rPr>
                <w:rFonts w:cstheme="majorBidi"/>
                <w:lang w:val="es-ES_tradnl"/>
              </w:rPr>
              <w:t xml:space="preserve">Aplicación de las decisiones de la CMR-15 </w:t>
            </w:r>
            <w:r w:rsidR="00C47479" w:rsidRPr="007C30F1">
              <w:rPr>
                <w:rFonts w:cstheme="majorBidi"/>
                <w:i/>
                <w:iCs/>
                <w:lang w:val="es-ES_tradnl"/>
              </w:rPr>
              <w:t>(Docs. RAG17/1(Rev.1), 12)</w:t>
            </w:r>
          </w:p>
        </w:tc>
        <w:tc>
          <w:tcPr>
            <w:tcW w:w="9785" w:type="dxa"/>
          </w:tcPr>
          <w:p w:rsidR="00CA7880" w:rsidRPr="007C30F1" w:rsidRDefault="00CA7880" w:rsidP="007E074C">
            <w:pPr>
              <w:pStyle w:val="Tabletext"/>
              <w:rPr>
                <w:rFonts w:cstheme="majorBidi"/>
                <w:lang w:val="es-ES_tradnl"/>
              </w:rPr>
            </w:pPr>
            <w:r w:rsidRPr="007C30F1">
              <w:rPr>
                <w:rFonts w:cstheme="majorBidi"/>
                <w:lang w:val="es-ES_tradnl"/>
              </w:rPr>
              <w:t>EL GAR tomó nota de las acciones realizadas hasta ahora por la Oficina para la aplicac</w:t>
            </w:r>
            <w:r w:rsidR="00FB32B8">
              <w:rPr>
                <w:rFonts w:cstheme="majorBidi"/>
                <w:lang w:val="es-ES_tradnl"/>
              </w:rPr>
              <w:t>ión de las decisiones de la CMR</w:t>
            </w:r>
            <w:r w:rsidR="00FB32B8">
              <w:rPr>
                <w:rFonts w:cstheme="majorBidi"/>
                <w:lang w:val="es-ES_tradnl"/>
              </w:rPr>
              <w:noBreakHyphen/>
            </w:r>
            <w:r w:rsidRPr="007C30F1">
              <w:rPr>
                <w:rFonts w:cstheme="majorBidi"/>
                <w:lang w:val="es-ES_tradnl"/>
              </w:rPr>
              <w:t xml:space="preserve">15 relativas a los servicios espaciales y terrenales, en particular las actividades de desarrollo de programas informáticos para la aplicación de la Resolución 907 (Rev. CMR-15) sobre Utilización de modernos medios electrónicos de comunicación para la correspondencia administrativa relativa a las redes de satélite y la Resolución 908 (Rev. CMR-15) sobre </w:t>
            </w:r>
            <w:r w:rsidR="007A73BB" w:rsidRPr="007C30F1">
              <w:rPr>
                <w:rFonts w:cstheme="majorBidi"/>
                <w:lang w:val="es-ES_tradnl"/>
              </w:rPr>
              <w:t>p</w:t>
            </w:r>
            <w:r w:rsidRPr="007C30F1">
              <w:rPr>
                <w:rFonts w:cstheme="majorBidi"/>
                <w:lang w:val="es-ES_tradnl"/>
              </w:rPr>
              <w:t xml:space="preserve">resentación en formato electrónico de las notificaciones de redes de satélite. </w:t>
            </w:r>
          </w:p>
          <w:p w:rsidR="00CF31D6" w:rsidRPr="007C30F1" w:rsidRDefault="00CA7880" w:rsidP="007E074C">
            <w:pPr>
              <w:pStyle w:val="Tabletext"/>
              <w:rPr>
                <w:rFonts w:cstheme="majorBidi"/>
                <w:lang w:val="es-ES_tradnl"/>
              </w:rPr>
            </w:pPr>
            <w:r w:rsidRPr="007C30F1">
              <w:rPr>
                <w:rFonts w:cstheme="majorBidi"/>
                <w:lang w:val="es-ES_tradnl"/>
              </w:rPr>
              <w:t xml:space="preserve">El Presidente del Grupo de Relator sobre la aplicación de las Resoluciones 907 y 908 indicó que el Grupo todavía no había </w:t>
            </w:r>
            <w:r w:rsidR="007A73BB" w:rsidRPr="007C30F1">
              <w:rPr>
                <w:rFonts w:cstheme="majorBidi"/>
                <w:lang w:val="es-ES_tradnl"/>
              </w:rPr>
              <w:t>estado</w:t>
            </w:r>
            <w:r w:rsidRPr="007C30F1">
              <w:rPr>
                <w:rFonts w:cstheme="majorBidi"/>
                <w:lang w:val="es-ES_tradnl"/>
              </w:rPr>
              <w:t xml:space="preserve"> muy </w:t>
            </w:r>
            <w:r w:rsidR="002A05B0" w:rsidRPr="007C30F1">
              <w:rPr>
                <w:rFonts w:cstheme="majorBidi"/>
                <w:lang w:val="es-ES_tradnl"/>
              </w:rPr>
              <w:t>activo</w:t>
            </w:r>
            <w:r w:rsidR="007A73BB" w:rsidRPr="007C30F1">
              <w:rPr>
                <w:rFonts w:cstheme="majorBidi"/>
                <w:lang w:val="es-ES_tradnl"/>
              </w:rPr>
              <w:t xml:space="preserve"> hasta ahora</w:t>
            </w:r>
            <w:r w:rsidR="002A05B0" w:rsidRPr="007C30F1">
              <w:rPr>
                <w:rFonts w:cstheme="majorBidi"/>
                <w:lang w:val="es-ES_tradnl"/>
              </w:rPr>
              <w:t>,</w:t>
            </w:r>
            <w:r w:rsidRPr="007C30F1">
              <w:rPr>
                <w:rFonts w:cstheme="majorBidi"/>
                <w:lang w:val="es-ES_tradnl"/>
              </w:rPr>
              <w:t xml:space="preserve"> pero como el pro</w:t>
            </w:r>
            <w:r w:rsidR="00CF31D6" w:rsidRPr="007C30F1">
              <w:rPr>
                <w:rFonts w:cstheme="majorBidi"/>
                <w:lang w:val="es-ES_tradnl"/>
              </w:rPr>
              <w:t>grama informático iba a estar pronto disponible para las pruebas iniciales de los Estados Miembros, el Grupo podía contribuir a esas pruebas. Invitó a las administraciones interesadas a contactarle (Sr. Alexandre Vallet</w:t>
            </w:r>
            <w:r w:rsidR="00C47479" w:rsidRPr="007C30F1">
              <w:rPr>
                <w:rFonts w:cstheme="majorBidi"/>
                <w:lang w:val="es-ES_tradnl"/>
              </w:rPr>
              <w:t xml:space="preserve">, </w:t>
            </w:r>
            <w:hyperlink r:id="rId19" w:history="1">
              <w:r w:rsidR="00C47479" w:rsidRPr="007C30F1">
                <w:rPr>
                  <w:rStyle w:val="Hyperlink"/>
                  <w:rFonts w:cstheme="majorBidi"/>
                  <w:lang w:val="es-ES_tradnl"/>
                </w:rPr>
                <w:t>Alexandre.Vallet@anfr.fr</w:t>
              </w:r>
            </w:hyperlink>
            <w:r w:rsidR="00C47479" w:rsidRPr="007C30F1">
              <w:rPr>
                <w:rFonts w:cstheme="majorBidi"/>
                <w:lang w:val="es-ES_tradnl"/>
              </w:rPr>
              <w:t>)</w:t>
            </w:r>
            <w:r w:rsidR="00CF31D6" w:rsidRPr="007C30F1">
              <w:rPr>
                <w:rFonts w:cstheme="majorBidi"/>
                <w:lang w:val="es-ES_tradnl"/>
              </w:rPr>
              <w:t xml:space="preserve"> para incorporarse al Grupo de Relator y participar en el ejercicio propuesto. </w:t>
            </w:r>
          </w:p>
          <w:p w:rsidR="00CF31D6" w:rsidRPr="007C30F1" w:rsidRDefault="00CF31D6" w:rsidP="007E074C">
            <w:pPr>
              <w:pStyle w:val="Tabletext"/>
              <w:rPr>
                <w:rFonts w:cstheme="majorBidi"/>
                <w:lang w:val="es-ES_tradnl"/>
              </w:rPr>
            </w:pPr>
            <w:r w:rsidRPr="007C30F1">
              <w:rPr>
                <w:rFonts w:cstheme="majorBidi"/>
                <w:lang w:val="es-ES_tradnl"/>
              </w:rPr>
              <w:lastRenderedPageBreak/>
              <w:t xml:space="preserve">El GAR </w:t>
            </w:r>
            <w:r w:rsidR="00D71D87" w:rsidRPr="007C30F1">
              <w:rPr>
                <w:rFonts w:cstheme="majorBidi"/>
                <w:lang w:val="es-ES_tradnl"/>
              </w:rPr>
              <w:t>tomó nota de</w:t>
            </w:r>
            <w:r w:rsidRPr="007C30F1">
              <w:rPr>
                <w:rFonts w:cstheme="majorBidi"/>
                <w:lang w:val="es-ES_tradnl"/>
              </w:rPr>
              <w:t xml:space="preserve"> que el programa que se está desarrollando para la aplicación de la Resolución 907 asegurará un seguimiento adecuado de las comunicaciones entre las administraciones y la Oficina y que generará para el remitente un acuse de recibo por cada comunicación, de manera similar al enfoque empleado en los servicios terrenales donde la recepción de cualquier asignación de frecuencias presentada por una administración a la BR genera automáticamente un acuse de recibo del sistema pertinente. </w:t>
            </w:r>
          </w:p>
          <w:p w:rsidR="002D0BE9" w:rsidRPr="007C30F1" w:rsidRDefault="00A866EA" w:rsidP="007E074C">
            <w:pPr>
              <w:pStyle w:val="Tabletext"/>
              <w:rPr>
                <w:rFonts w:cstheme="majorBidi"/>
                <w:lang w:val="es-ES_tradnl"/>
              </w:rPr>
            </w:pPr>
            <w:r w:rsidRPr="007C30F1">
              <w:rPr>
                <w:rFonts w:cstheme="majorBidi"/>
                <w:lang w:val="es-ES_tradnl"/>
              </w:rPr>
              <w:t xml:space="preserve">El GAR consideró el </w:t>
            </w:r>
            <w:r w:rsidR="00A200D1">
              <w:rPr>
                <w:rFonts w:cstheme="majorBidi"/>
                <w:lang w:val="es-ES_tradnl"/>
              </w:rPr>
              <w:t>Documento</w:t>
            </w:r>
            <w:r w:rsidR="00C47479" w:rsidRPr="007C30F1">
              <w:rPr>
                <w:rFonts w:cstheme="majorBidi"/>
                <w:lang w:val="es-ES_tradnl"/>
              </w:rPr>
              <w:t xml:space="preserve"> RAG17/12 </w:t>
            </w:r>
            <w:r w:rsidRPr="007C30F1">
              <w:rPr>
                <w:rFonts w:cstheme="majorBidi"/>
                <w:lang w:val="es-ES_tradnl"/>
              </w:rPr>
              <w:t xml:space="preserve">de Japón señalando varios aspectos que deben tenerse en cuenta en la aplicación de </w:t>
            </w:r>
            <w:r w:rsidR="002A05B0" w:rsidRPr="007C30F1">
              <w:rPr>
                <w:rFonts w:cstheme="majorBidi"/>
                <w:lang w:val="es-ES_tradnl"/>
              </w:rPr>
              <w:t>la</w:t>
            </w:r>
            <w:r w:rsidRPr="007C30F1">
              <w:rPr>
                <w:rFonts w:cstheme="majorBidi"/>
                <w:lang w:val="es-ES_tradnl"/>
              </w:rPr>
              <w:t xml:space="preserve"> Resolución 908. El GAR agradeció a Japón su contribución y solicitó a la Oficina considerar las propuestas contenidas en el documento. También solicitó a la Oficina presentar un informe del avance de la aplicación de la Resolución 908 en la siguiente reunión del GAR.</w:t>
            </w:r>
          </w:p>
        </w:tc>
      </w:tr>
      <w:tr w:rsidR="00C47479" w:rsidRPr="007C30F1" w:rsidTr="00821E2A">
        <w:trPr>
          <w:jc w:val="center"/>
        </w:trPr>
        <w:tc>
          <w:tcPr>
            <w:tcW w:w="1037" w:type="dxa"/>
          </w:tcPr>
          <w:p w:rsidR="00C47479" w:rsidRPr="007C30F1" w:rsidRDefault="00C47479" w:rsidP="007E074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heme="majorBidi"/>
                <w:sz w:val="22"/>
                <w:lang w:val="es-ES_tradnl"/>
              </w:rPr>
            </w:pPr>
            <w:r w:rsidRPr="007C30F1">
              <w:rPr>
                <w:rFonts w:cstheme="majorBidi"/>
                <w:sz w:val="22"/>
                <w:lang w:val="es-ES_tradnl"/>
              </w:rPr>
              <w:lastRenderedPageBreak/>
              <w:t>7</w:t>
            </w:r>
          </w:p>
        </w:tc>
        <w:tc>
          <w:tcPr>
            <w:tcW w:w="3256" w:type="dxa"/>
          </w:tcPr>
          <w:p w:rsidR="00C47479" w:rsidRPr="007C30F1" w:rsidRDefault="00C47479" w:rsidP="007E074C">
            <w:pPr>
              <w:pStyle w:val="Tabletext"/>
              <w:rPr>
                <w:rFonts w:cstheme="majorBidi"/>
                <w:lang w:val="es-ES_tradnl"/>
              </w:rPr>
            </w:pPr>
            <w:r w:rsidRPr="007C30F1">
              <w:rPr>
                <w:rFonts w:cstheme="majorBidi"/>
                <w:lang w:val="es-ES_tradnl"/>
              </w:rPr>
              <w:t>Preparación de la AR/CMR-19</w:t>
            </w:r>
          </w:p>
          <w:p w:rsidR="00C47479" w:rsidRPr="007C30F1" w:rsidRDefault="00C47479" w:rsidP="007E074C">
            <w:pPr>
              <w:pStyle w:val="Tabletext"/>
              <w:rPr>
                <w:rFonts w:cstheme="majorBidi"/>
                <w:lang w:val="es-ES_tradnl"/>
              </w:rPr>
            </w:pPr>
            <w:r w:rsidRPr="007C30F1">
              <w:rPr>
                <w:rFonts w:cstheme="majorBidi"/>
                <w:i/>
                <w:lang w:val="es-ES_tradnl"/>
              </w:rPr>
              <w:t>(Docs. RAG17/1(Rev.1)+Corr.2, 7, 16)</w:t>
            </w:r>
          </w:p>
        </w:tc>
        <w:tc>
          <w:tcPr>
            <w:tcW w:w="9785" w:type="dxa"/>
          </w:tcPr>
          <w:p w:rsidR="00C47479" w:rsidRPr="007C30F1" w:rsidRDefault="00C47479" w:rsidP="00CA10CB">
            <w:pPr>
              <w:pStyle w:val="Tabletext"/>
              <w:rPr>
                <w:rFonts w:cstheme="majorBidi"/>
                <w:lang w:val="es-ES_tradnl"/>
              </w:rPr>
            </w:pPr>
            <w:r w:rsidRPr="007C30F1">
              <w:rPr>
                <w:rFonts w:cstheme="majorBidi"/>
                <w:lang w:val="es-ES_tradnl"/>
              </w:rPr>
              <w:t xml:space="preserve">El GAR tomó nota del informe sobre la preparación de la AR/CMR-19 </w:t>
            </w:r>
            <w:r w:rsidR="00A866EA" w:rsidRPr="007C30F1">
              <w:rPr>
                <w:rFonts w:cstheme="majorBidi"/>
                <w:lang w:val="es-ES_tradnl"/>
              </w:rPr>
              <w:t>y la RPC19-2</w:t>
            </w:r>
            <w:r w:rsidRPr="007C30F1">
              <w:rPr>
                <w:rFonts w:cstheme="majorBidi"/>
                <w:lang w:val="es-ES_tradnl"/>
              </w:rPr>
              <w:t xml:space="preserve">, </w:t>
            </w:r>
            <w:r w:rsidR="00A866EA" w:rsidRPr="007C30F1">
              <w:rPr>
                <w:rFonts w:cstheme="majorBidi"/>
                <w:lang w:val="es-ES_tradnl"/>
              </w:rPr>
              <w:t xml:space="preserve">en particular en </w:t>
            </w:r>
            <w:r w:rsidR="007A73BB" w:rsidRPr="007C30F1">
              <w:rPr>
                <w:rFonts w:cstheme="majorBidi"/>
                <w:lang w:val="es-ES_tradnl"/>
              </w:rPr>
              <w:t>lo relativo al</w:t>
            </w:r>
            <w:r w:rsidR="00A866EA" w:rsidRPr="007C30F1">
              <w:rPr>
                <w:rFonts w:cstheme="majorBidi"/>
                <w:lang w:val="es-ES_tradnl"/>
              </w:rPr>
              <w:t xml:space="preserve"> avance de la preparación de los textos para el proyecto de Informe de la RPC que debe presentarse a la RPC19-2. También tomó not</w:t>
            </w:r>
            <w:r w:rsidR="007A73BB" w:rsidRPr="007C30F1">
              <w:rPr>
                <w:rFonts w:cstheme="majorBidi"/>
                <w:lang w:val="es-ES_tradnl"/>
              </w:rPr>
              <w:t>a</w:t>
            </w:r>
            <w:r w:rsidR="00A866EA" w:rsidRPr="007C30F1">
              <w:rPr>
                <w:rFonts w:cstheme="majorBidi"/>
                <w:lang w:val="es-ES_tradnl"/>
              </w:rPr>
              <w:t xml:space="preserve"> con satisfacción de </w:t>
            </w:r>
            <w:r w:rsidR="007A73BB" w:rsidRPr="007C30F1">
              <w:rPr>
                <w:rFonts w:cstheme="majorBidi"/>
                <w:lang w:val="es-ES_tradnl"/>
              </w:rPr>
              <w:t>la elaboración de</w:t>
            </w:r>
            <w:r w:rsidR="0056698F" w:rsidRPr="007C30F1">
              <w:rPr>
                <w:rFonts w:cstheme="majorBidi"/>
                <w:lang w:val="es-ES_tradnl"/>
              </w:rPr>
              <w:t xml:space="preserve"> la versión preliminar de la </w:t>
            </w:r>
            <w:r w:rsidR="00A866EA" w:rsidRPr="007C30F1">
              <w:rPr>
                <w:rFonts w:cstheme="majorBidi"/>
                <w:lang w:val="es-ES_tradnl"/>
              </w:rPr>
              <w:t xml:space="preserve">Interfaz de Propuestas a la Conferencia (CPI) para la CMR-19 </w:t>
            </w:r>
            <w:r w:rsidR="007A73BB" w:rsidRPr="007C30F1">
              <w:rPr>
                <w:rFonts w:cstheme="majorBidi"/>
                <w:lang w:val="es-ES_tradnl"/>
              </w:rPr>
              <w:t>que</w:t>
            </w:r>
            <w:r w:rsidR="00A866EA" w:rsidRPr="007C30F1">
              <w:rPr>
                <w:rFonts w:cstheme="majorBidi"/>
                <w:lang w:val="es-ES_tradnl"/>
              </w:rPr>
              <w:t xml:space="preserve"> está disponible en:</w:t>
            </w:r>
            <w:r w:rsidRPr="007C30F1">
              <w:rPr>
                <w:rFonts w:cstheme="majorBidi"/>
                <w:lang w:val="es-ES_tradnl"/>
              </w:rPr>
              <w:t xml:space="preserve"> </w:t>
            </w:r>
            <w:hyperlink r:id="rId20" w:history="1">
              <w:r w:rsidRPr="007C30F1">
                <w:rPr>
                  <w:rStyle w:val="Hyperlink"/>
                  <w:rFonts w:cstheme="majorBidi"/>
                  <w:lang w:val="es-ES_tradnl"/>
                </w:rPr>
                <w:t>www.itu.int/net4/Proposals/CPI/WRC19/Main</w:t>
              </w:r>
            </w:hyperlink>
            <w:r w:rsidRPr="007C30F1">
              <w:rPr>
                <w:rFonts w:cstheme="majorBidi"/>
                <w:lang w:val="es-ES_tradnl"/>
              </w:rPr>
              <w:t xml:space="preserve">, </w:t>
            </w:r>
            <w:r w:rsidR="00A866EA" w:rsidRPr="007C30F1">
              <w:rPr>
                <w:rFonts w:cstheme="majorBidi"/>
                <w:lang w:val="es-ES_tradnl"/>
              </w:rPr>
              <w:t xml:space="preserve">para su utilización por las administraciones para recuperar textos de la edición de 2016 del Reglamento de Radiocomunicaciones en el formato adecuado. </w:t>
            </w:r>
            <w:r w:rsidR="00D71D87" w:rsidRPr="007C30F1">
              <w:rPr>
                <w:rFonts w:cstheme="majorBidi"/>
                <w:lang w:val="es-ES_tradnl"/>
              </w:rPr>
              <w:t xml:space="preserve">El GAR tomó nota de que esta información se ha </w:t>
            </w:r>
            <w:r w:rsidR="00B52EB6" w:rsidRPr="007C30F1">
              <w:rPr>
                <w:rFonts w:cstheme="majorBidi"/>
                <w:lang w:val="es-ES_tradnl"/>
              </w:rPr>
              <w:t xml:space="preserve">señalado a la atención de </w:t>
            </w:r>
            <w:r w:rsidR="00D71D87" w:rsidRPr="007C30F1">
              <w:rPr>
                <w:rFonts w:cstheme="majorBidi"/>
                <w:lang w:val="es-ES_tradnl"/>
              </w:rPr>
              <w:t xml:space="preserve">los grupos del UIT-R responsables de la preparación de los proyectos de texto de la RPC (véase por ejemplo el </w:t>
            </w:r>
            <w:r w:rsidRPr="007C30F1">
              <w:rPr>
                <w:rFonts w:cstheme="majorBidi"/>
                <w:lang w:val="es-ES_tradnl"/>
              </w:rPr>
              <w:t>Doc</w:t>
            </w:r>
            <w:r w:rsidR="00CA10CB" w:rsidRPr="007C30F1">
              <w:rPr>
                <w:rFonts w:cstheme="majorBidi"/>
                <w:lang w:val="es-ES_tradnl"/>
              </w:rPr>
              <w:t>umento</w:t>
            </w:r>
            <w:r w:rsidRPr="007C30F1">
              <w:rPr>
                <w:rFonts w:cstheme="majorBidi"/>
                <w:lang w:val="es-ES_tradnl"/>
              </w:rPr>
              <w:t xml:space="preserve"> </w:t>
            </w:r>
            <w:hyperlink r:id="rId21" w:history="1">
              <w:r w:rsidRPr="007C30F1">
                <w:rPr>
                  <w:rStyle w:val="Hyperlink"/>
                  <w:rFonts w:cstheme="majorBidi"/>
                  <w:lang w:val="es-ES_tradnl"/>
                </w:rPr>
                <w:t>1A/160</w:t>
              </w:r>
            </w:hyperlink>
            <w:r w:rsidRPr="007C30F1">
              <w:rPr>
                <w:rFonts w:cstheme="majorBidi"/>
                <w:lang w:val="es-ES_tradnl"/>
              </w:rPr>
              <w:t xml:space="preserve">). </w:t>
            </w:r>
            <w:r w:rsidR="00D71D87" w:rsidRPr="007C30F1">
              <w:rPr>
                <w:rFonts w:cstheme="majorBidi"/>
                <w:lang w:val="es-ES_tradnl"/>
              </w:rPr>
              <w:t>El GAR solicitó que se m</w:t>
            </w:r>
            <w:r w:rsidR="00B52EB6" w:rsidRPr="007C30F1">
              <w:rPr>
                <w:rFonts w:cstheme="majorBidi"/>
                <w:lang w:val="es-ES_tradnl"/>
              </w:rPr>
              <w:t>ue</w:t>
            </w:r>
            <w:r w:rsidR="00D71D87" w:rsidRPr="007C30F1">
              <w:rPr>
                <w:rFonts w:cstheme="majorBidi"/>
                <w:lang w:val="es-ES_tradnl"/>
              </w:rPr>
              <w:t>str</w:t>
            </w:r>
            <w:r w:rsidR="00B52EB6" w:rsidRPr="007C30F1">
              <w:rPr>
                <w:rFonts w:cstheme="majorBidi"/>
                <w:lang w:val="es-ES_tradnl"/>
              </w:rPr>
              <w:t>e</w:t>
            </w:r>
            <w:r w:rsidR="00D71D87" w:rsidRPr="007C30F1">
              <w:rPr>
                <w:rFonts w:cstheme="majorBidi"/>
                <w:lang w:val="es-ES_tradnl"/>
              </w:rPr>
              <w:t xml:space="preserve"> la herramienta durante el 1er Taller Interregional de la UIT sobre los preparativos de la CMR-19 que se celebrará en Ginebra en noviembre de 2017. El GAR agradeció a la Oficina su apoyo a los Grupos Regionales </w:t>
            </w:r>
            <w:r w:rsidR="00980CFC" w:rsidRPr="007C30F1">
              <w:rPr>
                <w:rFonts w:cstheme="majorBidi"/>
                <w:lang w:val="es-ES_tradnl"/>
              </w:rPr>
              <w:t>en su preparación de la CMR-19, así como la información útil y actualizada incluida en las págin</w:t>
            </w:r>
            <w:r w:rsidR="0056698F" w:rsidRPr="007C30F1">
              <w:rPr>
                <w:rFonts w:cstheme="majorBidi"/>
                <w:lang w:val="es-ES_tradnl"/>
              </w:rPr>
              <w:t>as web del UIT-R para la CMR-19</w:t>
            </w:r>
            <w:r w:rsidRPr="007C30F1">
              <w:rPr>
                <w:rFonts w:cstheme="majorBidi"/>
                <w:lang w:val="es-ES_tradnl"/>
              </w:rPr>
              <w:t xml:space="preserve"> (</w:t>
            </w:r>
            <w:hyperlink r:id="rId22" w:history="1">
              <w:r w:rsidRPr="007C30F1">
                <w:rPr>
                  <w:rStyle w:val="Hyperlink"/>
                  <w:rFonts w:cstheme="majorBidi"/>
                  <w:lang w:val="es-ES_tradnl"/>
                </w:rPr>
                <w:t>www.itu.int/go/wrc-19</w:t>
              </w:r>
            </w:hyperlink>
            <w:r w:rsidRPr="007C30F1">
              <w:rPr>
                <w:rFonts w:cstheme="majorBidi"/>
                <w:lang w:val="es-ES_tradnl"/>
              </w:rPr>
              <w:t xml:space="preserve">) </w:t>
            </w:r>
            <w:r w:rsidR="00980CFC" w:rsidRPr="007C30F1">
              <w:rPr>
                <w:rFonts w:cstheme="majorBidi"/>
                <w:lang w:val="es-ES_tradnl"/>
              </w:rPr>
              <w:t>y la RPC</w:t>
            </w:r>
            <w:r w:rsidRPr="007C30F1">
              <w:rPr>
                <w:rFonts w:cstheme="majorBidi"/>
                <w:lang w:val="es-ES_tradnl"/>
              </w:rPr>
              <w:t xml:space="preserve"> (</w:t>
            </w:r>
            <w:hyperlink r:id="rId23" w:history="1">
              <w:r w:rsidRPr="007C30F1">
                <w:rPr>
                  <w:rStyle w:val="Hyperlink"/>
                  <w:rFonts w:cstheme="majorBidi"/>
                  <w:lang w:val="es-ES_tradnl"/>
                </w:rPr>
                <w:t>www.itu.int/ITU-R/go/rcpm</w:t>
              </w:r>
            </w:hyperlink>
            <w:r w:rsidRPr="007C30F1">
              <w:rPr>
                <w:rFonts w:cstheme="majorBidi"/>
                <w:lang w:val="es-ES_tradnl"/>
              </w:rPr>
              <w:t>).</w:t>
            </w:r>
          </w:p>
          <w:p w:rsidR="00980CFC" w:rsidRPr="007C30F1" w:rsidRDefault="00980CFC" w:rsidP="007E074C">
            <w:pPr>
              <w:pStyle w:val="Tabletext"/>
              <w:rPr>
                <w:rFonts w:cstheme="majorBidi"/>
                <w:lang w:val="es-ES_tradnl"/>
              </w:rPr>
            </w:pPr>
            <w:r w:rsidRPr="007C30F1">
              <w:rPr>
                <w:rFonts w:cstheme="majorBidi"/>
                <w:lang w:val="es-ES_tradnl"/>
              </w:rPr>
              <w:t xml:space="preserve">El GAR tomó nota de la presentación realizada por el equipo de comunicación de la UIT sobre la propuesta de identidad visual de la CMR-19 que es parte de un proyecto en toda la UIT de modernización y armonización de las marcas de la UIT. </w:t>
            </w:r>
          </w:p>
          <w:p w:rsidR="00980CFC" w:rsidRPr="007C30F1" w:rsidRDefault="00980CFC" w:rsidP="007E074C">
            <w:pPr>
              <w:pStyle w:val="Tabletext"/>
              <w:rPr>
                <w:rFonts w:cstheme="majorBidi"/>
                <w:lang w:val="es-ES_tradnl"/>
              </w:rPr>
            </w:pPr>
            <w:r w:rsidRPr="007C30F1">
              <w:rPr>
                <w:rFonts w:cstheme="majorBidi"/>
                <w:lang w:val="es-ES_tradnl"/>
              </w:rPr>
              <w:t xml:space="preserve">El GAR consideró el </w:t>
            </w:r>
            <w:r w:rsidR="00BB3632">
              <w:rPr>
                <w:rFonts w:cstheme="majorBidi"/>
                <w:lang w:val="es-ES_tradnl"/>
              </w:rPr>
              <w:t>Documento</w:t>
            </w:r>
            <w:r w:rsidR="00C47479" w:rsidRPr="007C30F1">
              <w:rPr>
                <w:rFonts w:cstheme="majorBidi"/>
                <w:lang w:val="es-ES_tradnl"/>
              </w:rPr>
              <w:t xml:space="preserve"> RAG17/7</w:t>
            </w:r>
            <w:r w:rsidRPr="007C30F1">
              <w:rPr>
                <w:rFonts w:cstheme="majorBidi"/>
                <w:lang w:val="es-ES_tradnl"/>
              </w:rPr>
              <w:t xml:space="preserve"> de China sobre las decisiones de las Conferencias Regionales de Radiocomunicaciones. El GAR indicó que el tema planteado</w:t>
            </w:r>
            <w:r w:rsidR="00B92227" w:rsidRPr="007C30F1">
              <w:rPr>
                <w:rFonts w:cstheme="majorBidi"/>
                <w:lang w:val="es-ES_tradnl"/>
              </w:rPr>
              <w:t xml:space="preserve"> en el documento no está</w:t>
            </w:r>
            <w:r w:rsidR="00B92227" w:rsidRPr="007C30F1">
              <w:rPr>
                <w:lang w:val="es-ES_tradnl"/>
              </w:rPr>
              <w:t xml:space="preserve"> </w:t>
            </w:r>
            <w:r w:rsidR="00B92227" w:rsidRPr="007C30F1">
              <w:rPr>
                <w:rFonts w:cstheme="majorBidi"/>
                <w:lang w:val="es-ES_tradnl"/>
              </w:rPr>
              <w:t>bajo su responsabilidad, sino en la de la Conferencia de Plenipotenciarios. También indicó que, hasta ahora, no se han planteado problemas prácticos con las decisiones de las Conferencias Regionales de Radiocomunicaciones que hayan podido ser incompatibles con el Reglamento de Radiocomunicaciones y que la RRB ha sido muy eficaz en la gestión de ese tipo de situaciones</w:t>
            </w:r>
            <w:r w:rsidR="002A05B0" w:rsidRPr="007C30F1">
              <w:rPr>
                <w:rFonts w:cstheme="majorBidi"/>
                <w:lang w:val="es-ES_tradnl"/>
              </w:rPr>
              <w:t>.</w:t>
            </w:r>
          </w:p>
          <w:p w:rsidR="00C47479" w:rsidRPr="007C30F1" w:rsidRDefault="00B92227" w:rsidP="007E074C">
            <w:pPr>
              <w:pStyle w:val="Tabletext"/>
              <w:rPr>
                <w:rFonts w:cstheme="majorBidi"/>
                <w:lang w:val="es-ES_tradnl"/>
              </w:rPr>
            </w:pPr>
            <w:r w:rsidRPr="007C30F1">
              <w:rPr>
                <w:rFonts w:cstheme="majorBidi"/>
                <w:lang w:val="es-ES_tradnl"/>
              </w:rPr>
              <w:t xml:space="preserve">El GAR también consideró el </w:t>
            </w:r>
            <w:r w:rsidR="00306183">
              <w:rPr>
                <w:rFonts w:cstheme="majorBidi"/>
                <w:lang w:val="es-ES_tradnl"/>
              </w:rPr>
              <w:t>Documento</w:t>
            </w:r>
            <w:r w:rsidR="00C47479" w:rsidRPr="007C30F1">
              <w:rPr>
                <w:rFonts w:cstheme="majorBidi"/>
                <w:lang w:val="es-ES_tradnl"/>
              </w:rPr>
              <w:t xml:space="preserve"> RAG17/16 </w:t>
            </w:r>
            <w:r w:rsidRPr="007C30F1">
              <w:rPr>
                <w:rFonts w:cstheme="majorBidi"/>
                <w:lang w:val="es-ES_tradnl"/>
              </w:rPr>
              <w:t xml:space="preserve">de Francia sobre una propuesta revisión de la Resolución 2 del UIT-R, apoyando el proceso actual de </w:t>
            </w:r>
            <w:r w:rsidR="004601AE">
              <w:rPr>
                <w:rFonts w:cstheme="majorBidi"/>
                <w:lang w:val="es-ES_tradnl"/>
              </w:rPr>
              <w:t xml:space="preserve">la </w:t>
            </w:r>
            <w:r w:rsidRPr="007C30F1">
              <w:rPr>
                <w:rFonts w:cstheme="majorBidi"/>
                <w:lang w:val="es-ES_tradnl"/>
              </w:rPr>
              <w:t>RPC pero proponiendo cambios en varios aspectos con el fin de proporcionar más tiempo a los Grupos de Trabajo del UIT-R para concluir sus trabajos sobre los proyectos de texto de la PRC</w:t>
            </w:r>
            <w:r w:rsidR="009F2126" w:rsidRPr="007C30F1">
              <w:rPr>
                <w:rFonts w:cstheme="majorBidi"/>
                <w:lang w:val="es-ES_tradnl"/>
              </w:rPr>
              <w:t>,</w:t>
            </w:r>
            <w:r w:rsidRPr="007C30F1">
              <w:rPr>
                <w:rFonts w:cstheme="majorBidi"/>
                <w:lang w:val="es-ES_tradnl"/>
              </w:rPr>
              <w:t xml:space="preserve"> así como para reducir la longitud de </w:t>
            </w:r>
            <w:r w:rsidR="006A0B68" w:rsidRPr="007C30F1">
              <w:rPr>
                <w:rFonts w:cstheme="majorBidi"/>
                <w:lang w:val="es-ES_tradnl"/>
              </w:rPr>
              <w:t xml:space="preserve">la RPC-2 a 8 días laborables, desde un martes hasta un jueves. </w:t>
            </w:r>
            <w:r w:rsidR="002A05B0" w:rsidRPr="007C30F1">
              <w:rPr>
                <w:rFonts w:cstheme="majorBidi"/>
                <w:lang w:val="es-ES_tradnl"/>
              </w:rPr>
              <w:t>El</w:t>
            </w:r>
            <w:r w:rsidR="006A0B68" w:rsidRPr="007C30F1">
              <w:rPr>
                <w:rFonts w:cstheme="majorBidi"/>
                <w:lang w:val="es-ES_tradnl"/>
              </w:rPr>
              <w:t xml:space="preserve"> GAR tomó nota del documento e indicó que los Estados Miembros son libres de presentar sus propuestas para una posible revisión de la Resolución 2 del UIT-R directamente a la AR-19.</w:t>
            </w:r>
          </w:p>
        </w:tc>
      </w:tr>
      <w:tr w:rsidR="00C47479" w:rsidRPr="007C30F1" w:rsidTr="00821E2A">
        <w:trPr>
          <w:jc w:val="center"/>
        </w:trPr>
        <w:tc>
          <w:tcPr>
            <w:tcW w:w="1037" w:type="dxa"/>
          </w:tcPr>
          <w:p w:rsidR="00C47479" w:rsidRPr="007C30F1" w:rsidRDefault="00C47479" w:rsidP="007E074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heme="majorBidi"/>
                <w:sz w:val="22"/>
                <w:lang w:val="es-ES_tradnl"/>
              </w:rPr>
            </w:pPr>
            <w:r w:rsidRPr="007C30F1">
              <w:rPr>
                <w:rFonts w:cstheme="majorBidi"/>
                <w:sz w:val="22"/>
                <w:lang w:val="es-ES_tradnl"/>
              </w:rPr>
              <w:t>8</w:t>
            </w:r>
          </w:p>
        </w:tc>
        <w:tc>
          <w:tcPr>
            <w:tcW w:w="3256" w:type="dxa"/>
          </w:tcPr>
          <w:p w:rsidR="00C47479" w:rsidRPr="007C30F1" w:rsidRDefault="00C47479" w:rsidP="007E074C">
            <w:pPr>
              <w:pStyle w:val="Tabletext"/>
              <w:rPr>
                <w:rFonts w:cstheme="majorBidi"/>
                <w:lang w:val="es-ES_tradnl"/>
              </w:rPr>
            </w:pPr>
            <w:r w:rsidRPr="007C30F1">
              <w:rPr>
                <w:rFonts w:cstheme="majorBidi"/>
                <w:lang w:val="es-ES_tradnl"/>
              </w:rPr>
              <w:t>Actividades de las Comisiones de Estudio</w:t>
            </w:r>
          </w:p>
          <w:p w:rsidR="00C47479" w:rsidRPr="007C30F1" w:rsidRDefault="00C47479" w:rsidP="007E074C">
            <w:pPr>
              <w:pStyle w:val="Tabletext"/>
              <w:rPr>
                <w:rFonts w:cstheme="majorBidi"/>
                <w:i/>
                <w:iCs/>
                <w:lang w:val="es-ES_tradnl"/>
              </w:rPr>
            </w:pPr>
            <w:r w:rsidRPr="007C30F1">
              <w:rPr>
                <w:rFonts w:cstheme="majorBidi"/>
                <w:i/>
                <w:iCs/>
                <w:lang w:val="es-ES_tradnl"/>
              </w:rPr>
              <w:t>(Docs. RAG17/1(Add.1), 2, 13)</w:t>
            </w:r>
          </w:p>
        </w:tc>
        <w:tc>
          <w:tcPr>
            <w:tcW w:w="9785" w:type="dxa"/>
          </w:tcPr>
          <w:p w:rsidR="006A0B68" w:rsidRPr="007C30F1" w:rsidRDefault="00C47479" w:rsidP="007E074C">
            <w:pPr>
              <w:pStyle w:val="Tabletext"/>
              <w:rPr>
                <w:rFonts w:cstheme="majorBidi"/>
                <w:lang w:val="es-ES_tradnl"/>
              </w:rPr>
            </w:pPr>
            <w:r w:rsidRPr="007C30F1">
              <w:rPr>
                <w:rFonts w:cstheme="majorBidi"/>
                <w:lang w:val="es-ES_tradnl"/>
              </w:rPr>
              <w:t>El GAR tomó nota del informe sobre las actividades de las Comisiones de Estudio,</w:t>
            </w:r>
            <w:r w:rsidR="006A0B68" w:rsidRPr="007C30F1">
              <w:rPr>
                <w:rFonts w:cstheme="majorBidi"/>
                <w:lang w:val="es-ES_tradnl"/>
              </w:rPr>
              <w:t xml:space="preserve"> en particular del aumento de participación e</w:t>
            </w:r>
            <w:r w:rsidR="009F2126" w:rsidRPr="007C30F1">
              <w:rPr>
                <w:rFonts w:cstheme="majorBidi"/>
                <w:lang w:val="es-ES_tradnl"/>
              </w:rPr>
              <w:t>n</w:t>
            </w:r>
            <w:r w:rsidR="006A0B68" w:rsidRPr="007C30F1">
              <w:rPr>
                <w:rFonts w:cstheme="majorBidi"/>
                <w:lang w:val="es-ES_tradnl"/>
              </w:rPr>
              <w:t xml:space="preserve"> las reuniones de las Comisiones de Estudio y los problemas logísticos asociados con la disponibilidad de salas de reunión de tamaño adecuado. El GAR recomendó que se estableciera un mecanismo en toda la UIT para </w:t>
            </w:r>
            <w:r w:rsidR="009F2126" w:rsidRPr="007C30F1">
              <w:rPr>
                <w:rFonts w:cstheme="majorBidi"/>
                <w:lang w:val="es-ES_tradnl"/>
              </w:rPr>
              <w:t>asegurar</w:t>
            </w:r>
            <w:r w:rsidR="006A0B68" w:rsidRPr="007C30F1">
              <w:rPr>
                <w:rFonts w:cstheme="majorBidi"/>
                <w:lang w:val="es-ES_tradnl"/>
              </w:rPr>
              <w:t xml:space="preserve"> una </w:t>
            </w:r>
            <w:r w:rsidR="009F2126" w:rsidRPr="007C30F1">
              <w:rPr>
                <w:rFonts w:cstheme="majorBidi"/>
                <w:lang w:val="es-ES_tradnl"/>
              </w:rPr>
              <w:t xml:space="preserve">adecuada </w:t>
            </w:r>
            <w:r w:rsidR="006A0B68" w:rsidRPr="007C30F1">
              <w:rPr>
                <w:rFonts w:cstheme="majorBidi"/>
                <w:lang w:val="es-ES_tradnl"/>
              </w:rPr>
              <w:t xml:space="preserve">disponibilidad de salas para las actividades fundamentales de la UIT. </w:t>
            </w:r>
            <w:r w:rsidR="009F5EDC" w:rsidRPr="007C30F1">
              <w:rPr>
                <w:rFonts w:cstheme="majorBidi"/>
                <w:lang w:val="es-ES_tradnl"/>
              </w:rPr>
              <w:t xml:space="preserve">El problema de la disponibilidad de salas para las reuniones oficiales de la UIT puede ser más acuciante cuando se reconfigure la Sede. Sería importante, por lo tanto, tener en cuenta la necesidad de suficientes salas en los requisitos del nuevo edificio de la UIT. El GAR proporcionó consejos </w:t>
            </w:r>
            <w:r w:rsidR="009F2126" w:rsidRPr="007C30F1">
              <w:rPr>
                <w:rFonts w:cstheme="majorBidi"/>
                <w:lang w:val="es-ES_tradnl"/>
              </w:rPr>
              <w:t xml:space="preserve">adicionales </w:t>
            </w:r>
            <w:r w:rsidR="009F5EDC" w:rsidRPr="007C30F1">
              <w:rPr>
                <w:rFonts w:cstheme="majorBidi"/>
                <w:lang w:val="es-ES_tradnl"/>
              </w:rPr>
              <w:t xml:space="preserve">sobre </w:t>
            </w:r>
            <w:r w:rsidR="00925312">
              <w:rPr>
                <w:rFonts w:cstheme="majorBidi"/>
                <w:lang w:val="es-ES_tradnl"/>
              </w:rPr>
              <w:t xml:space="preserve">aspectos para mejorar </w:t>
            </w:r>
            <w:r w:rsidR="009F5EDC" w:rsidRPr="007C30F1">
              <w:rPr>
                <w:rFonts w:cstheme="majorBidi"/>
                <w:lang w:val="es-ES_tradnl"/>
              </w:rPr>
              <w:t>el trabajo de las Comisiones de Estudio</w:t>
            </w:r>
            <w:r w:rsidR="009F2126" w:rsidRPr="007C30F1">
              <w:rPr>
                <w:rFonts w:cstheme="majorBidi"/>
                <w:lang w:val="es-ES_tradnl"/>
              </w:rPr>
              <w:t>,</w:t>
            </w:r>
            <w:r w:rsidR="009F5EDC" w:rsidRPr="007C30F1">
              <w:rPr>
                <w:rFonts w:cstheme="majorBidi"/>
                <w:lang w:val="es-ES_tradnl"/>
              </w:rPr>
              <w:t xml:space="preserve"> como </w:t>
            </w:r>
            <w:r w:rsidR="009F2126" w:rsidRPr="007C30F1">
              <w:rPr>
                <w:rFonts w:cstheme="majorBidi"/>
                <w:lang w:val="es-ES_tradnl"/>
              </w:rPr>
              <w:t xml:space="preserve">la continuación de la promoción de </w:t>
            </w:r>
            <w:r w:rsidR="009F5EDC" w:rsidRPr="007C30F1">
              <w:rPr>
                <w:rFonts w:cstheme="majorBidi"/>
                <w:lang w:val="es-ES_tradnl"/>
              </w:rPr>
              <w:t xml:space="preserve">la participación a distancia, </w:t>
            </w:r>
            <w:r w:rsidR="009F2126" w:rsidRPr="007C30F1">
              <w:rPr>
                <w:rFonts w:cstheme="majorBidi"/>
                <w:lang w:val="es-ES_tradnl"/>
              </w:rPr>
              <w:t xml:space="preserve">y </w:t>
            </w:r>
            <w:r w:rsidR="009F5EDC" w:rsidRPr="007C30F1">
              <w:rPr>
                <w:rFonts w:cstheme="majorBidi"/>
                <w:lang w:val="es-ES_tradnl"/>
              </w:rPr>
              <w:t>la actualización y armonización de la información del sitio web.</w:t>
            </w:r>
          </w:p>
          <w:p w:rsidR="009F5EDC" w:rsidRPr="007C30F1" w:rsidRDefault="009F5EDC" w:rsidP="007E074C">
            <w:pPr>
              <w:pStyle w:val="Tabletext"/>
              <w:rPr>
                <w:rFonts w:cstheme="majorBidi"/>
                <w:lang w:val="es-ES_tradnl"/>
              </w:rPr>
            </w:pPr>
            <w:r w:rsidRPr="007C30F1">
              <w:rPr>
                <w:rFonts w:cstheme="majorBidi"/>
                <w:lang w:val="es-ES_tradnl"/>
              </w:rPr>
              <w:t xml:space="preserve">El GAR reiteró su posición de que las Comisiones de Estudio del UIT-R y sus </w:t>
            </w:r>
            <w:r w:rsidR="001C09FB" w:rsidRPr="007C30F1">
              <w:rPr>
                <w:rFonts w:cstheme="majorBidi"/>
                <w:lang w:val="es-ES_tradnl"/>
              </w:rPr>
              <w:t xml:space="preserve">Grupos </w:t>
            </w:r>
            <w:r w:rsidR="00BE30C9" w:rsidRPr="007C30F1">
              <w:rPr>
                <w:rFonts w:cstheme="majorBidi"/>
                <w:lang w:val="es-ES_tradnl"/>
              </w:rPr>
              <w:t xml:space="preserve">de Trabajo </w:t>
            </w:r>
            <w:r w:rsidR="001C09FB" w:rsidRPr="007C30F1">
              <w:rPr>
                <w:rFonts w:cstheme="majorBidi"/>
                <w:lang w:val="es-ES_tradnl"/>
              </w:rPr>
              <w:t xml:space="preserve">y </w:t>
            </w:r>
            <w:r w:rsidR="00BE30C9" w:rsidRPr="007C30F1">
              <w:rPr>
                <w:rFonts w:cstheme="majorBidi"/>
                <w:lang w:val="es-ES_tradnl"/>
              </w:rPr>
              <w:t>s</w:t>
            </w:r>
            <w:r w:rsidR="001C09FB" w:rsidRPr="007C30F1">
              <w:rPr>
                <w:rFonts w:cstheme="majorBidi"/>
                <w:lang w:val="es-ES_tradnl"/>
              </w:rPr>
              <w:t xml:space="preserve">ubgrupos </w:t>
            </w:r>
            <w:r w:rsidR="00BE30C9" w:rsidRPr="007C30F1">
              <w:rPr>
                <w:rFonts w:cstheme="majorBidi"/>
                <w:lang w:val="es-ES_tradnl"/>
              </w:rPr>
              <w:t>deben</w:t>
            </w:r>
            <w:r w:rsidR="001C09FB" w:rsidRPr="007C30F1">
              <w:rPr>
                <w:rFonts w:cstheme="majorBidi"/>
                <w:lang w:val="es-ES_tradnl"/>
              </w:rPr>
              <w:t xml:space="preserve"> normalmente celebrar las reuniones dentro del horario de trabajo anunciado al principio de la reunión. Celebrar reuniones fuera de </w:t>
            </w:r>
            <w:r w:rsidR="00BE30C9" w:rsidRPr="007C30F1">
              <w:rPr>
                <w:rFonts w:cstheme="majorBidi"/>
                <w:lang w:val="es-ES_tradnl"/>
              </w:rPr>
              <w:t>ese horario</w:t>
            </w:r>
            <w:r w:rsidR="001C09FB" w:rsidRPr="007C30F1">
              <w:rPr>
                <w:rFonts w:cstheme="majorBidi"/>
                <w:lang w:val="es-ES_tradnl"/>
              </w:rPr>
              <w:t xml:space="preserve"> debe acordarse por consenso. La celebración de reuniones durante el fin de semana, ya sea en sábado o en domingo o</w:t>
            </w:r>
            <w:r w:rsidR="00BE30C9" w:rsidRPr="007C30F1">
              <w:rPr>
                <w:rFonts w:cstheme="majorBidi"/>
                <w:lang w:val="es-ES_tradnl"/>
              </w:rPr>
              <w:t>,</w:t>
            </w:r>
            <w:r w:rsidR="001C09FB" w:rsidRPr="007C30F1">
              <w:rPr>
                <w:rFonts w:cstheme="majorBidi"/>
                <w:lang w:val="es-ES_tradnl"/>
              </w:rPr>
              <w:t xml:space="preserve"> en casos muy excepcionales</w:t>
            </w:r>
            <w:r w:rsidR="00BE30C9" w:rsidRPr="007C30F1">
              <w:rPr>
                <w:rFonts w:cstheme="majorBidi"/>
                <w:lang w:val="es-ES_tradnl"/>
              </w:rPr>
              <w:t>,</w:t>
            </w:r>
            <w:r w:rsidR="001C09FB" w:rsidRPr="007C30F1">
              <w:rPr>
                <w:rFonts w:cstheme="majorBidi"/>
                <w:lang w:val="es-ES_tradnl"/>
              </w:rPr>
              <w:t xml:space="preserve"> en ambos días, si sucede, </w:t>
            </w:r>
            <w:r w:rsidR="00BE30C9" w:rsidRPr="007C30F1">
              <w:rPr>
                <w:rFonts w:cstheme="majorBidi"/>
                <w:lang w:val="es-ES_tradnl"/>
              </w:rPr>
              <w:t>debe</w:t>
            </w:r>
            <w:r w:rsidR="001C09FB" w:rsidRPr="007C30F1">
              <w:rPr>
                <w:rFonts w:cstheme="majorBidi"/>
                <w:lang w:val="es-ES_tradnl"/>
              </w:rPr>
              <w:t>:</w:t>
            </w:r>
          </w:p>
          <w:p w:rsidR="001C09FB" w:rsidRPr="007C30F1" w:rsidRDefault="00696976" w:rsidP="00696976">
            <w:pPr>
              <w:pStyle w:val="enumlev1"/>
              <w:jc w:val="left"/>
              <w:rPr>
                <w:rFonts w:asciiTheme="minorHAnsi" w:hAnsiTheme="minorHAnsi"/>
                <w:sz w:val="20"/>
                <w:szCs w:val="20"/>
                <w:lang w:val="es-ES_tradnl"/>
              </w:rPr>
            </w:pPr>
            <w:r w:rsidRPr="007C30F1">
              <w:rPr>
                <w:rFonts w:asciiTheme="minorHAnsi" w:hAnsiTheme="minorHAnsi"/>
                <w:sz w:val="20"/>
                <w:szCs w:val="20"/>
                <w:lang w:val="es-ES_tradnl"/>
              </w:rPr>
              <w:t>a)</w:t>
            </w:r>
            <w:r w:rsidRPr="007C30F1">
              <w:rPr>
                <w:rFonts w:asciiTheme="minorHAnsi" w:hAnsiTheme="minorHAnsi"/>
                <w:sz w:val="20"/>
                <w:szCs w:val="20"/>
                <w:lang w:val="es-ES_tradnl"/>
              </w:rPr>
              <w:tab/>
            </w:r>
            <w:r w:rsidR="001C09FB" w:rsidRPr="007C30F1">
              <w:rPr>
                <w:rFonts w:asciiTheme="minorHAnsi" w:hAnsiTheme="minorHAnsi"/>
                <w:sz w:val="20"/>
                <w:szCs w:val="20"/>
                <w:lang w:val="es-ES_tradnl"/>
              </w:rPr>
              <w:t>acordarse en la plenaria sobre una base de consenso; y</w:t>
            </w:r>
          </w:p>
          <w:p w:rsidR="001C09FB" w:rsidRPr="007C30F1" w:rsidRDefault="009823ED" w:rsidP="00683F8C">
            <w:pPr>
              <w:pStyle w:val="enumlev1"/>
              <w:jc w:val="left"/>
              <w:rPr>
                <w:rFonts w:asciiTheme="minorHAnsi" w:hAnsiTheme="minorHAnsi"/>
                <w:sz w:val="20"/>
                <w:szCs w:val="20"/>
                <w:lang w:val="es-ES_tradnl"/>
              </w:rPr>
            </w:pPr>
            <w:r w:rsidRPr="007C30F1">
              <w:rPr>
                <w:rFonts w:asciiTheme="minorHAnsi" w:hAnsiTheme="minorHAnsi"/>
                <w:sz w:val="20"/>
                <w:szCs w:val="20"/>
                <w:lang w:val="es-ES_tradnl"/>
              </w:rPr>
              <w:t>b)</w:t>
            </w:r>
            <w:r w:rsidRPr="007C30F1">
              <w:rPr>
                <w:rFonts w:asciiTheme="minorHAnsi" w:hAnsiTheme="minorHAnsi"/>
                <w:sz w:val="20"/>
                <w:szCs w:val="20"/>
                <w:lang w:val="es-ES_tradnl"/>
              </w:rPr>
              <w:tab/>
            </w:r>
            <w:r w:rsidR="001C09FB" w:rsidRPr="007C30F1">
              <w:rPr>
                <w:rFonts w:asciiTheme="minorHAnsi" w:hAnsiTheme="minorHAnsi"/>
                <w:sz w:val="20"/>
                <w:szCs w:val="20"/>
                <w:lang w:val="es-ES_tradnl"/>
              </w:rPr>
              <w:t>no debería extenderse más allá de las 17.00 horas de cualquiera de esos dos días.</w:t>
            </w:r>
          </w:p>
          <w:p w:rsidR="001C09FB" w:rsidRPr="007C30F1" w:rsidRDefault="001C09FB" w:rsidP="007E074C">
            <w:pPr>
              <w:pStyle w:val="Tabletext"/>
              <w:rPr>
                <w:rFonts w:cstheme="majorBidi"/>
                <w:lang w:val="es-ES_tradnl"/>
              </w:rPr>
            </w:pPr>
            <w:r w:rsidRPr="007C30F1">
              <w:rPr>
                <w:rFonts w:cstheme="majorBidi"/>
                <w:lang w:val="es-ES_tradnl"/>
              </w:rPr>
              <w:t>El GAR recomendó al Director que</w:t>
            </w:r>
            <w:r w:rsidR="00BE30C9" w:rsidRPr="007C30F1">
              <w:rPr>
                <w:rFonts w:cstheme="majorBidi"/>
                <w:lang w:val="es-ES_tradnl"/>
              </w:rPr>
              <w:t xml:space="preserve"> armonice</w:t>
            </w:r>
            <w:r w:rsidRPr="007C30F1">
              <w:rPr>
                <w:rFonts w:cstheme="majorBidi"/>
                <w:lang w:val="es-ES_tradnl"/>
              </w:rPr>
              <w:t>, en la medida de lo posible</w:t>
            </w:r>
            <w:r w:rsidR="00BE30C9" w:rsidRPr="007C30F1">
              <w:rPr>
                <w:rFonts w:cstheme="majorBidi"/>
                <w:lang w:val="es-ES_tradnl"/>
              </w:rPr>
              <w:t xml:space="preserve"> y</w:t>
            </w:r>
            <w:r w:rsidRPr="007C30F1">
              <w:rPr>
                <w:rFonts w:cstheme="majorBidi"/>
                <w:lang w:val="es-ES_tradnl"/>
              </w:rPr>
              <w:t xml:space="preserve"> </w:t>
            </w:r>
            <w:r w:rsidR="00E279B8" w:rsidRPr="007C30F1">
              <w:rPr>
                <w:rFonts w:cstheme="majorBidi"/>
                <w:lang w:val="es-ES_tradnl"/>
              </w:rPr>
              <w:t>junto</w:t>
            </w:r>
            <w:r w:rsidRPr="007C30F1">
              <w:rPr>
                <w:rFonts w:cstheme="majorBidi"/>
                <w:lang w:val="es-ES_tradnl"/>
              </w:rPr>
              <w:t xml:space="preserve"> con los Directores de las otras Oficinas y la Secretaría General, la estructura y </w:t>
            </w:r>
            <w:r w:rsidR="00BE30C9" w:rsidRPr="007C30F1">
              <w:rPr>
                <w:rFonts w:cstheme="majorBidi"/>
                <w:lang w:val="es-ES_tradnl"/>
              </w:rPr>
              <w:t>características</w:t>
            </w:r>
            <w:r w:rsidRPr="007C30F1">
              <w:rPr>
                <w:rFonts w:cstheme="majorBidi"/>
                <w:lang w:val="es-ES_tradnl"/>
              </w:rPr>
              <w:t xml:space="preserve"> de </w:t>
            </w:r>
            <w:r w:rsidR="00E279B8" w:rsidRPr="007C30F1">
              <w:rPr>
                <w:rFonts w:cstheme="majorBidi"/>
                <w:lang w:val="es-ES_tradnl"/>
              </w:rPr>
              <w:t>las diferentes</w:t>
            </w:r>
            <w:r w:rsidRPr="007C30F1">
              <w:rPr>
                <w:rFonts w:cstheme="majorBidi"/>
                <w:lang w:val="es-ES_tradnl"/>
              </w:rPr>
              <w:t xml:space="preserve"> páginas web</w:t>
            </w:r>
            <w:r w:rsidR="00BE30C9" w:rsidRPr="007C30F1">
              <w:rPr>
                <w:rFonts w:cstheme="majorBidi"/>
                <w:lang w:val="es-ES_tradnl"/>
              </w:rPr>
              <w:t>,</w:t>
            </w:r>
            <w:r w:rsidRPr="007C30F1">
              <w:rPr>
                <w:rFonts w:cstheme="majorBidi"/>
                <w:lang w:val="es-ES_tradnl"/>
              </w:rPr>
              <w:t xml:space="preserve"> </w:t>
            </w:r>
            <w:r w:rsidR="00E279B8" w:rsidRPr="007C30F1">
              <w:rPr>
                <w:rFonts w:cstheme="majorBidi"/>
                <w:lang w:val="es-ES_tradnl"/>
              </w:rPr>
              <w:t xml:space="preserve">para que sean </w:t>
            </w:r>
            <w:r w:rsidRPr="007C30F1">
              <w:rPr>
                <w:rFonts w:cstheme="majorBidi"/>
                <w:lang w:val="es-ES_tradnl"/>
              </w:rPr>
              <w:t>fácil</w:t>
            </w:r>
            <w:r w:rsidR="00BE30C9" w:rsidRPr="007C30F1">
              <w:rPr>
                <w:rFonts w:cstheme="majorBidi"/>
                <w:lang w:val="es-ES_tradnl"/>
              </w:rPr>
              <w:t>es</w:t>
            </w:r>
            <w:r w:rsidRPr="007C30F1">
              <w:rPr>
                <w:rFonts w:cstheme="majorBidi"/>
                <w:lang w:val="es-ES_tradnl"/>
              </w:rPr>
              <w:t xml:space="preserve"> de utilizar </w:t>
            </w:r>
            <w:r w:rsidR="00E279B8" w:rsidRPr="007C30F1">
              <w:rPr>
                <w:rFonts w:cstheme="majorBidi"/>
                <w:lang w:val="es-ES_tradnl"/>
              </w:rPr>
              <w:t>y permitan</w:t>
            </w:r>
            <w:r w:rsidR="001C3D56" w:rsidRPr="007C30F1">
              <w:rPr>
                <w:rFonts w:cstheme="majorBidi"/>
                <w:lang w:val="es-ES_tradnl"/>
              </w:rPr>
              <w:t xml:space="preserve"> </w:t>
            </w:r>
            <w:r w:rsidR="00BE30C9" w:rsidRPr="007C30F1">
              <w:rPr>
                <w:rFonts w:cstheme="majorBidi"/>
                <w:lang w:val="es-ES_tradnl"/>
              </w:rPr>
              <w:t xml:space="preserve">una </w:t>
            </w:r>
            <w:r w:rsidR="001C3D56" w:rsidRPr="007C30F1">
              <w:rPr>
                <w:rFonts w:cstheme="majorBidi"/>
                <w:lang w:val="es-ES_tradnl"/>
              </w:rPr>
              <w:t>búsqueda sencilla y un acceso rápido</w:t>
            </w:r>
            <w:r w:rsidR="00BE30C9" w:rsidRPr="007C30F1">
              <w:rPr>
                <w:rFonts w:cstheme="majorBidi"/>
                <w:lang w:val="es-ES_tradnl"/>
              </w:rPr>
              <w:t xml:space="preserve"> </w:t>
            </w:r>
            <w:r w:rsidR="00E279B8" w:rsidRPr="007C30F1">
              <w:rPr>
                <w:rFonts w:cstheme="majorBidi"/>
                <w:lang w:val="es-ES_tradnl"/>
              </w:rPr>
              <w:t>a</w:t>
            </w:r>
            <w:r w:rsidR="00BE30C9" w:rsidRPr="007C30F1">
              <w:rPr>
                <w:rFonts w:cstheme="majorBidi"/>
                <w:lang w:val="es-ES_tradnl"/>
              </w:rPr>
              <w:t xml:space="preserve"> los </w:t>
            </w:r>
            <w:r w:rsidR="009C6CEB" w:rsidRPr="007C30F1">
              <w:rPr>
                <w:rFonts w:cstheme="majorBidi"/>
                <w:lang w:val="es-ES_tradnl"/>
              </w:rPr>
              <w:t>miembros</w:t>
            </w:r>
            <w:r w:rsidR="00BE30C9" w:rsidRPr="007C30F1">
              <w:rPr>
                <w:rFonts w:cstheme="majorBidi"/>
                <w:lang w:val="es-ES_tradnl"/>
              </w:rPr>
              <w:t>.</w:t>
            </w:r>
          </w:p>
          <w:p w:rsidR="00D32040" w:rsidRPr="007C30F1" w:rsidRDefault="00D32040" w:rsidP="007E074C">
            <w:pPr>
              <w:pStyle w:val="Tabletext"/>
              <w:rPr>
                <w:rFonts w:cstheme="majorBidi"/>
                <w:lang w:val="es-ES_tradnl"/>
              </w:rPr>
            </w:pPr>
            <w:r w:rsidRPr="007C30F1">
              <w:rPr>
                <w:rFonts w:cstheme="majorBidi"/>
                <w:lang w:val="es-ES_tradnl"/>
              </w:rPr>
              <w:t xml:space="preserve">El GAR confirmó la necesidad de que todos los documentos estén disponibles, siempre que sea posible, en formato Word para permitir a los Miembros utilizar los textos de Word en sus contribuciones y actividades preparatorias de las </w:t>
            </w:r>
            <w:r w:rsidR="00E279B8" w:rsidRPr="007C30F1">
              <w:rPr>
                <w:rFonts w:cstheme="majorBidi"/>
                <w:lang w:val="es-ES_tradnl"/>
              </w:rPr>
              <w:t xml:space="preserve">siguientes </w:t>
            </w:r>
            <w:r w:rsidRPr="007C30F1">
              <w:rPr>
                <w:rFonts w:cstheme="majorBidi"/>
                <w:lang w:val="es-ES_tradnl"/>
              </w:rPr>
              <w:t>reuniones del Sector.</w:t>
            </w:r>
          </w:p>
          <w:p w:rsidR="00D32040" w:rsidRPr="007C30F1" w:rsidRDefault="00D32040" w:rsidP="007E074C">
            <w:pPr>
              <w:pStyle w:val="Tabletext"/>
              <w:rPr>
                <w:rFonts w:cstheme="majorBidi"/>
                <w:lang w:val="es-ES_tradnl"/>
              </w:rPr>
            </w:pPr>
            <w:r w:rsidRPr="007C30F1">
              <w:rPr>
                <w:rFonts w:cstheme="majorBidi"/>
                <w:lang w:val="es-ES_tradnl"/>
              </w:rPr>
              <w:t>El GAR aconsejó al Director mantener los esfuerzos actuales para la mejora de las características y el funcionamiento de los puntos de intercambio (share points) para que las Comisiones de Estudio y los Grupos de Trabajo los utilicen de manera armonizada y fácil e</w:t>
            </w:r>
            <w:r w:rsidR="00045988" w:rsidRPr="007C30F1">
              <w:rPr>
                <w:rFonts w:cstheme="majorBidi"/>
                <w:lang w:val="es-ES_tradnl"/>
              </w:rPr>
              <w:t xml:space="preserve">n </w:t>
            </w:r>
            <w:r w:rsidR="00E279B8" w:rsidRPr="007C30F1">
              <w:rPr>
                <w:rFonts w:cstheme="majorBidi"/>
                <w:lang w:val="es-ES_tradnl"/>
              </w:rPr>
              <w:t>sus</w:t>
            </w:r>
            <w:r w:rsidR="00045988" w:rsidRPr="007C30F1">
              <w:rPr>
                <w:rFonts w:cstheme="majorBidi"/>
                <w:lang w:val="es-ES_tradnl"/>
              </w:rPr>
              <w:t xml:space="preserve"> acciones de seguimiento, en particular </w:t>
            </w:r>
            <w:r w:rsidR="00E279B8" w:rsidRPr="007C30F1">
              <w:rPr>
                <w:rFonts w:cstheme="majorBidi"/>
                <w:lang w:val="es-ES_tradnl"/>
              </w:rPr>
              <w:t xml:space="preserve">cuando se revisan o actualizan </w:t>
            </w:r>
            <w:r w:rsidR="00045988" w:rsidRPr="007C30F1">
              <w:rPr>
                <w:rFonts w:cstheme="majorBidi"/>
                <w:lang w:val="es-ES_tradnl"/>
              </w:rPr>
              <w:t xml:space="preserve">documentos. </w:t>
            </w:r>
          </w:p>
          <w:p w:rsidR="00045988" w:rsidRPr="007C30F1" w:rsidRDefault="00045988" w:rsidP="007E074C">
            <w:pPr>
              <w:pStyle w:val="Tabletext"/>
              <w:rPr>
                <w:rFonts w:cstheme="majorBidi"/>
                <w:lang w:val="es-ES_tradnl"/>
              </w:rPr>
            </w:pPr>
            <w:r w:rsidRPr="007C30F1">
              <w:rPr>
                <w:rFonts w:cstheme="majorBidi"/>
                <w:lang w:val="es-ES_tradnl"/>
              </w:rPr>
              <w:t xml:space="preserve">El GAR confirmó la necesidad de que el orden del día de todas las reuniones de las Comisiones de Estudio, los Grupos de Trabajo, </w:t>
            </w:r>
            <w:r w:rsidR="00A06C18" w:rsidRPr="007C30F1">
              <w:rPr>
                <w:rFonts w:cstheme="majorBidi"/>
                <w:lang w:val="es-ES_tradnl"/>
              </w:rPr>
              <w:t xml:space="preserve">los </w:t>
            </w:r>
            <w:r w:rsidRPr="007C30F1">
              <w:rPr>
                <w:rFonts w:cstheme="majorBidi"/>
                <w:lang w:val="es-ES_tradnl"/>
              </w:rPr>
              <w:t xml:space="preserve">subgrupos y otros grupos se prepare de manera anticipada y se publique en el sitio web o en el punto de intercambio de esos grupos por adelantado (antes del inicio de la reunión). Todos los documentos incluidos en el orden del día deben tener un enlace </w:t>
            </w:r>
            <w:r w:rsidR="00E279B8" w:rsidRPr="007C30F1">
              <w:rPr>
                <w:rFonts w:cstheme="majorBidi"/>
                <w:lang w:val="es-ES_tradnl"/>
              </w:rPr>
              <w:t xml:space="preserve">en el orden del día </w:t>
            </w:r>
            <w:r w:rsidRPr="007C30F1">
              <w:rPr>
                <w:rFonts w:cstheme="majorBidi"/>
                <w:lang w:val="es-ES_tradnl"/>
              </w:rPr>
              <w:t xml:space="preserve">para facilitar un acceso rápido y fácil a los delegados que asisten a las reuniones correspondientes. </w:t>
            </w:r>
          </w:p>
          <w:p w:rsidR="00045988" w:rsidRPr="007C30F1" w:rsidRDefault="00045988" w:rsidP="007E074C">
            <w:pPr>
              <w:pStyle w:val="Tabletext"/>
              <w:rPr>
                <w:rFonts w:cstheme="majorBidi"/>
                <w:lang w:val="es-ES_tradnl"/>
              </w:rPr>
            </w:pPr>
            <w:r w:rsidRPr="007C30F1">
              <w:rPr>
                <w:rFonts w:cstheme="majorBidi"/>
                <w:lang w:val="es-ES_tradnl"/>
              </w:rPr>
              <w:t xml:space="preserve">El GAR </w:t>
            </w:r>
            <w:r w:rsidR="002B6DA8" w:rsidRPr="007C30F1">
              <w:rPr>
                <w:rFonts w:cstheme="majorBidi"/>
                <w:lang w:val="es-ES_tradnl"/>
              </w:rPr>
              <w:t>reafirmó</w:t>
            </w:r>
            <w:r w:rsidRPr="007C30F1">
              <w:rPr>
                <w:rFonts w:cstheme="majorBidi"/>
                <w:lang w:val="es-ES_tradnl"/>
              </w:rPr>
              <w:t xml:space="preserve"> </w:t>
            </w:r>
            <w:r w:rsidR="002B6DA8" w:rsidRPr="007C30F1">
              <w:rPr>
                <w:rFonts w:cstheme="majorBidi"/>
                <w:lang w:val="es-ES_tradnl"/>
              </w:rPr>
              <w:t>la necesidad de</w:t>
            </w:r>
            <w:r w:rsidRPr="007C30F1">
              <w:rPr>
                <w:rFonts w:cstheme="majorBidi"/>
                <w:lang w:val="es-ES_tradnl"/>
              </w:rPr>
              <w:t xml:space="preserve"> realizar todos los esfuerzos </w:t>
            </w:r>
            <w:r w:rsidR="00E279B8" w:rsidRPr="007C30F1">
              <w:rPr>
                <w:rFonts w:cstheme="majorBidi"/>
                <w:lang w:val="es-ES_tradnl"/>
              </w:rPr>
              <w:t xml:space="preserve">posibles </w:t>
            </w:r>
            <w:r w:rsidRPr="007C30F1">
              <w:rPr>
                <w:rFonts w:cstheme="majorBidi"/>
                <w:lang w:val="es-ES_tradnl"/>
              </w:rPr>
              <w:t xml:space="preserve">para evitar </w:t>
            </w:r>
            <w:r w:rsidR="002B6DA8" w:rsidRPr="007C30F1">
              <w:rPr>
                <w:rFonts w:cstheme="majorBidi"/>
                <w:lang w:val="es-ES_tradnl"/>
              </w:rPr>
              <w:t xml:space="preserve">la simultaneidad de las reuniones del GAR con las reuniones de </w:t>
            </w:r>
            <w:r w:rsidR="00E279B8" w:rsidRPr="007C30F1">
              <w:rPr>
                <w:rFonts w:cstheme="majorBidi"/>
                <w:lang w:val="es-ES_tradnl"/>
              </w:rPr>
              <w:t>otras</w:t>
            </w:r>
            <w:r w:rsidR="002B6DA8" w:rsidRPr="007C30F1">
              <w:rPr>
                <w:rFonts w:cstheme="majorBidi"/>
                <w:lang w:val="es-ES_tradnl"/>
              </w:rPr>
              <w:t xml:space="preserve"> Comisiones de Estudio del UIT-R </w:t>
            </w:r>
            <w:r w:rsidR="00E279B8" w:rsidRPr="007C30F1">
              <w:rPr>
                <w:rFonts w:cstheme="majorBidi"/>
                <w:lang w:val="es-ES_tradnl"/>
              </w:rPr>
              <w:t>o</w:t>
            </w:r>
            <w:r w:rsidR="002B6DA8" w:rsidRPr="007C30F1">
              <w:rPr>
                <w:rFonts w:cstheme="majorBidi"/>
                <w:lang w:val="es-ES_tradnl"/>
              </w:rPr>
              <w:t xml:space="preserve"> Grupos de Trabajo para permitir que los </w:t>
            </w:r>
            <w:r w:rsidR="00541EDD" w:rsidRPr="007C30F1">
              <w:rPr>
                <w:rFonts w:cstheme="majorBidi"/>
                <w:lang w:val="es-ES_tradnl"/>
              </w:rPr>
              <w:t xml:space="preserve">miembros </w:t>
            </w:r>
            <w:r w:rsidR="002B6DA8" w:rsidRPr="007C30F1">
              <w:rPr>
                <w:rFonts w:cstheme="majorBidi"/>
                <w:lang w:val="es-ES_tradnl"/>
              </w:rPr>
              <w:t xml:space="preserve">puedan asistir al GAR y a </w:t>
            </w:r>
            <w:r w:rsidR="0056698F" w:rsidRPr="007C30F1">
              <w:rPr>
                <w:rFonts w:cstheme="majorBidi"/>
                <w:lang w:val="es-ES_tradnl"/>
              </w:rPr>
              <w:t>esas otras reuniones del UIT-R.</w:t>
            </w:r>
          </w:p>
          <w:p w:rsidR="002B6DA8" w:rsidRPr="007C30F1" w:rsidRDefault="002B6DA8" w:rsidP="007E074C">
            <w:pPr>
              <w:pStyle w:val="Tabletext"/>
              <w:rPr>
                <w:rFonts w:cstheme="majorBidi"/>
                <w:lang w:val="es-ES_tradnl"/>
              </w:rPr>
            </w:pPr>
            <w:r w:rsidRPr="007C30F1">
              <w:rPr>
                <w:rFonts w:cstheme="majorBidi"/>
                <w:lang w:val="es-ES_tradnl"/>
              </w:rPr>
              <w:t xml:space="preserve">En el caso de que se celebren reuniones del UIT-R fuera de la Sede de la Unión, deben estar abiertos a todos los </w:t>
            </w:r>
            <w:r w:rsidR="00995752" w:rsidRPr="007C30F1">
              <w:rPr>
                <w:rFonts w:cstheme="majorBidi"/>
                <w:lang w:val="es-ES_tradnl"/>
              </w:rPr>
              <w:t xml:space="preserve">miembros </w:t>
            </w:r>
            <w:r w:rsidR="00995752">
              <w:rPr>
                <w:rFonts w:cstheme="majorBidi"/>
                <w:lang w:val="es-ES_tradnl"/>
              </w:rPr>
              <w:t>sin ninguna restricción.</w:t>
            </w:r>
          </w:p>
          <w:p w:rsidR="00C47479" w:rsidRPr="007C30F1" w:rsidRDefault="002B6DA8" w:rsidP="007E074C">
            <w:pPr>
              <w:pStyle w:val="Tabletext"/>
              <w:rPr>
                <w:rFonts w:cstheme="majorBidi"/>
                <w:lang w:val="es-ES_tradnl"/>
              </w:rPr>
            </w:pPr>
            <w:r w:rsidRPr="007C30F1">
              <w:rPr>
                <w:rFonts w:cstheme="majorBidi"/>
                <w:lang w:val="es-ES_tradnl"/>
              </w:rPr>
              <w:t>El GAR reiteró que todas las Comisiones de Estudio, Grupos de Trabajo</w:t>
            </w:r>
            <w:r w:rsidR="0056698F" w:rsidRPr="007C30F1">
              <w:rPr>
                <w:rFonts w:cstheme="majorBidi"/>
                <w:lang w:val="es-ES_tradnl"/>
              </w:rPr>
              <w:t>, subgrupos</w:t>
            </w:r>
            <w:r w:rsidRPr="007C30F1">
              <w:rPr>
                <w:rFonts w:cstheme="majorBidi"/>
                <w:lang w:val="es-ES_tradnl"/>
              </w:rPr>
              <w:t xml:space="preserve"> y otros grupos deben respetar plenamente los métodos de trabajo definidos en la Resoluci</w:t>
            </w:r>
            <w:r w:rsidR="00A06C18" w:rsidRPr="007C30F1">
              <w:rPr>
                <w:rFonts w:cstheme="majorBidi"/>
                <w:lang w:val="es-ES_tradnl"/>
              </w:rPr>
              <w:t xml:space="preserve">ón 1-7 del UIT-R </w:t>
            </w:r>
            <w:r w:rsidRPr="007C30F1">
              <w:rPr>
                <w:rFonts w:cstheme="majorBidi"/>
                <w:lang w:val="es-ES_tradnl"/>
              </w:rPr>
              <w:t>y sus revisiones y actualizaciones posteriores</w:t>
            </w:r>
            <w:r w:rsidR="00A06C18" w:rsidRPr="007C30F1">
              <w:rPr>
                <w:rFonts w:cstheme="majorBidi"/>
                <w:lang w:val="es-ES_tradnl"/>
              </w:rPr>
              <w:t>. En particular, decidir sobre los temas con un enfoque basado en el consenso como se señala en la Resolución 1-7 y sus posteriores actualizaciones, manteniendo el principio de universalidad y consenso como un principio bien establecido e</w:t>
            </w:r>
            <w:r w:rsidR="0056698F" w:rsidRPr="007C30F1">
              <w:rPr>
                <w:rFonts w:cstheme="majorBidi"/>
                <w:lang w:val="es-ES_tradnl"/>
              </w:rPr>
              <w:t>n las Naciones Unidas y la UIT.</w:t>
            </w:r>
          </w:p>
          <w:p w:rsidR="00A06C18" w:rsidRPr="007C30F1" w:rsidRDefault="00A06C18" w:rsidP="007E074C">
            <w:pPr>
              <w:pStyle w:val="Tabletext"/>
              <w:rPr>
                <w:rFonts w:cstheme="majorBidi"/>
                <w:lang w:val="es-ES_tradnl"/>
              </w:rPr>
            </w:pPr>
            <w:r w:rsidRPr="007C30F1">
              <w:rPr>
                <w:rFonts w:cstheme="majorBidi"/>
                <w:lang w:val="es-ES_tradnl"/>
              </w:rPr>
              <w:t>El GAR confirmó también que las Comisiones de Estudio, los Grupos de Trabajo y los otros grupos deben tener en cuenta las conclusiones alcanzadas en</w:t>
            </w:r>
            <w:r w:rsidR="0056698F" w:rsidRPr="007C30F1">
              <w:rPr>
                <w:rFonts w:cstheme="majorBidi"/>
                <w:lang w:val="es-ES_tradnl"/>
              </w:rPr>
              <w:t xml:space="preserve"> las reuniones previas del GAR.</w:t>
            </w:r>
          </w:p>
          <w:p w:rsidR="007B13F0" w:rsidRPr="007C30F1" w:rsidRDefault="00A06C18" w:rsidP="007E074C">
            <w:pPr>
              <w:pStyle w:val="Tabletext"/>
              <w:rPr>
                <w:rFonts w:cstheme="majorBidi"/>
                <w:lang w:val="es-ES_tradnl"/>
              </w:rPr>
            </w:pPr>
            <w:r w:rsidRPr="007C30F1">
              <w:rPr>
                <w:rFonts w:cstheme="majorBidi"/>
                <w:lang w:val="es-ES_tradnl"/>
              </w:rPr>
              <w:t xml:space="preserve">El GAR consideró el </w:t>
            </w:r>
            <w:r w:rsidR="00CF01A7">
              <w:rPr>
                <w:rFonts w:cstheme="majorBidi"/>
                <w:lang w:val="es-ES_tradnl"/>
              </w:rPr>
              <w:t>Documento</w:t>
            </w:r>
            <w:r w:rsidR="00C47479" w:rsidRPr="007C30F1">
              <w:rPr>
                <w:rFonts w:cstheme="majorBidi"/>
                <w:lang w:val="es-ES_tradnl"/>
              </w:rPr>
              <w:t xml:space="preserve"> RAG17/2 </w:t>
            </w:r>
            <w:r w:rsidR="007B13F0" w:rsidRPr="007C30F1">
              <w:rPr>
                <w:rFonts w:cstheme="majorBidi"/>
                <w:lang w:val="es-ES_tradnl"/>
              </w:rPr>
              <w:t xml:space="preserve">de Italia y la Ciudad del Vaticano, que propone combinar en una única Resolución las tres Resoluciones relativas al trabajo del CCV (Resoluciones 34, 35 y 36 del UIT-R). El GAR indicó que la propuesta se </w:t>
            </w:r>
            <w:r w:rsidR="00E279B8" w:rsidRPr="007C30F1">
              <w:rPr>
                <w:rFonts w:cstheme="majorBidi"/>
                <w:lang w:val="es-ES_tradnl"/>
              </w:rPr>
              <w:t xml:space="preserve">había </w:t>
            </w:r>
            <w:r w:rsidR="007B13F0" w:rsidRPr="007C30F1">
              <w:rPr>
                <w:rFonts w:cstheme="majorBidi"/>
                <w:lang w:val="es-ES_tradnl"/>
              </w:rPr>
              <w:t>present</w:t>
            </w:r>
            <w:r w:rsidR="00E279B8" w:rsidRPr="007C30F1">
              <w:rPr>
                <w:rFonts w:cstheme="majorBidi"/>
                <w:lang w:val="es-ES_tradnl"/>
              </w:rPr>
              <w:t>ado</w:t>
            </w:r>
            <w:r w:rsidR="007B13F0" w:rsidRPr="007C30F1">
              <w:rPr>
                <w:rFonts w:cstheme="majorBidi"/>
                <w:lang w:val="es-ES_tradnl"/>
              </w:rPr>
              <w:t xml:space="preserve"> </w:t>
            </w:r>
            <w:r w:rsidR="00E279B8" w:rsidRPr="007C30F1">
              <w:rPr>
                <w:rFonts w:cstheme="majorBidi"/>
                <w:lang w:val="es-ES_tradnl"/>
              </w:rPr>
              <w:t xml:space="preserve">también </w:t>
            </w:r>
            <w:r w:rsidR="007B13F0" w:rsidRPr="007C30F1">
              <w:rPr>
                <w:rFonts w:cstheme="majorBidi"/>
                <w:lang w:val="es-ES_tradnl"/>
              </w:rPr>
              <w:t>en el CCV</w:t>
            </w:r>
            <w:r w:rsidR="00E279B8" w:rsidRPr="007C30F1">
              <w:rPr>
                <w:rFonts w:cstheme="majorBidi"/>
                <w:lang w:val="es-ES_tradnl"/>
              </w:rPr>
              <w:t>,</w:t>
            </w:r>
            <w:r w:rsidR="007B13F0" w:rsidRPr="007C30F1">
              <w:rPr>
                <w:rFonts w:cstheme="majorBidi"/>
                <w:lang w:val="es-ES_tradnl"/>
              </w:rPr>
              <w:t xml:space="preserve"> que está preparando una propuesta de revisión de la Resolución 36 del UIT-R en ese sentido para su presentación a la AR-19. Se mencionó que un Estado Miembro, si así lo desea, puede presentar también una propuesta de est</w:t>
            </w:r>
            <w:r w:rsidR="0056698F" w:rsidRPr="007C30F1">
              <w:rPr>
                <w:rFonts w:cstheme="majorBidi"/>
                <w:lang w:val="es-ES_tradnl"/>
              </w:rPr>
              <w:t>e tipo directamente a la AR-19.</w:t>
            </w:r>
          </w:p>
          <w:p w:rsidR="00C47479" w:rsidRPr="007C30F1" w:rsidRDefault="007B13F0" w:rsidP="006334E1">
            <w:pPr>
              <w:pStyle w:val="Tabletext"/>
              <w:rPr>
                <w:rFonts w:cstheme="majorBidi"/>
                <w:lang w:val="es-ES_tradnl"/>
              </w:rPr>
            </w:pPr>
            <w:r w:rsidRPr="007C30F1">
              <w:rPr>
                <w:rFonts w:cstheme="majorBidi"/>
                <w:lang w:val="es-ES_tradnl"/>
              </w:rPr>
              <w:t xml:space="preserve">El GAR consideró el </w:t>
            </w:r>
            <w:r w:rsidR="00CF01A7">
              <w:rPr>
                <w:rFonts w:cstheme="majorBidi"/>
                <w:lang w:val="es-ES_tradnl"/>
              </w:rPr>
              <w:t>Documento</w:t>
            </w:r>
            <w:r w:rsidR="00CF01A7" w:rsidRPr="007C30F1">
              <w:rPr>
                <w:rFonts w:cstheme="majorBidi"/>
                <w:lang w:val="es-ES_tradnl"/>
              </w:rPr>
              <w:t xml:space="preserve"> </w:t>
            </w:r>
            <w:r w:rsidR="00C47479" w:rsidRPr="007C30F1">
              <w:rPr>
                <w:rFonts w:cstheme="majorBidi"/>
                <w:lang w:val="es-ES_tradnl"/>
              </w:rPr>
              <w:t xml:space="preserve">RAG17/13 </w:t>
            </w:r>
            <w:r w:rsidRPr="007C30F1">
              <w:rPr>
                <w:rFonts w:cstheme="majorBidi"/>
                <w:lang w:val="es-ES_tradnl"/>
              </w:rPr>
              <w:t xml:space="preserve">de Japón que propone que </w:t>
            </w:r>
            <w:r w:rsidR="00E60541" w:rsidRPr="007C30F1">
              <w:rPr>
                <w:rFonts w:cstheme="majorBidi"/>
                <w:lang w:val="es-ES_tradnl"/>
              </w:rPr>
              <w:t xml:space="preserve">se revise </w:t>
            </w:r>
            <w:r w:rsidR="00D63B92" w:rsidRPr="007C30F1">
              <w:rPr>
                <w:rFonts w:cstheme="majorBidi"/>
                <w:lang w:val="es-ES_tradnl"/>
              </w:rPr>
              <w:t xml:space="preserve">el </w:t>
            </w:r>
            <w:r w:rsidR="006334E1">
              <w:rPr>
                <w:rFonts w:cstheme="majorBidi"/>
                <w:lang w:val="es-ES_tradnl"/>
              </w:rPr>
              <w:t>«</w:t>
            </w:r>
            <w:r w:rsidRPr="007C30F1">
              <w:rPr>
                <w:rFonts w:cstheme="majorBidi"/>
                <w:lang w:val="es-ES_tradnl"/>
              </w:rPr>
              <w:t>Forma</w:t>
            </w:r>
            <w:r w:rsidR="00D63B92" w:rsidRPr="007C30F1">
              <w:rPr>
                <w:rFonts w:cstheme="majorBidi"/>
                <w:lang w:val="es-ES_tradnl"/>
              </w:rPr>
              <w:t>to de las Recomendaciones UIT-R</w:t>
            </w:r>
            <w:r w:rsidR="006334E1">
              <w:rPr>
                <w:rFonts w:cstheme="majorBidi"/>
                <w:lang w:val="es-ES_tradnl"/>
              </w:rPr>
              <w:t>»</w:t>
            </w:r>
            <w:r w:rsidRPr="007C30F1">
              <w:rPr>
                <w:rFonts w:cstheme="majorBidi"/>
                <w:lang w:val="es-ES_tradnl"/>
              </w:rPr>
              <w:t xml:space="preserve"> </w:t>
            </w:r>
            <w:r w:rsidR="00C47479" w:rsidRPr="007C30F1">
              <w:rPr>
                <w:rFonts w:cstheme="majorBidi"/>
                <w:lang w:val="es-ES_tradnl"/>
              </w:rPr>
              <w:t>(</w:t>
            </w:r>
            <w:hyperlink r:id="rId24" w:history="1">
              <w:r w:rsidR="00C47479" w:rsidRPr="007C30F1">
                <w:rPr>
                  <w:rStyle w:val="Hyperlink"/>
                  <w:rFonts w:cstheme="majorBidi"/>
                  <w:lang w:val="es-ES_tradnl"/>
                </w:rPr>
                <w:t>http://www.itu.int/oth/R0A0E000097</w:t>
              </w:r>
            </w:hyperlink>
            <w:r w:rsidR="00C47479" w:rsidRPr="007C30F1">
              <w:rPr>
                <w:rFonts w:cstheme="majorBidi"/>
                <w:lang w:val="es-ES_tradnl"/>
              </w:rPr>
              <w:t xml:space="preserve">) </w:t>
            </w:r>
            <w:r w:rsidRPr="007C30F1">
              <w:rPr>
                <w:rFonts w:cstheme="majorBidi"/>
                <w:lang w:val="es-ES_tradnl"/>
              </w:rPr>
              <w:t xml:space="preserve">en las Directrices </w:t>
            </w:r>
            <w:r w:rsidR="00E60541" w:rsidRPr="007C30F1">
              <w:rPr>
                <w:rFonts w:cstheme="majorBidi"/>
                <w:lang w:val="es-ES_tradnl"/>
              </w:rPr>
              <w:t xml:space="preserve">para los métodos de trabajo </w:t>
            </w:r>
            <w:r w:rsidR="005A133B" w:rsidRPr="007C30F1">
              <w:rPr>
                <w:rFonts w:cstheme="majorBidi"/>
                <w:lang w:val="es-ES_tradnl"/>
              </w:rPr>
              <w:t>con el fin de</w:t>
            </w:r>
            <w:r w:rsidR="00E60541" w:rsidRPr="007C30F1">
              <w:rPr>
                <w:rFonts w:cstheme="majorBidi"/>
                <w:lang w:val="es-ES_tradnl"/>
              </w:rPr>
              <w:t xml:space="preserve"> aclarar la utilización de notas y notas a pie de página en las Recomendaciones del UIT-R, según </w:t>
            </w:r>
            <w:r w:rsidR="005A133B" w:rsidRPr="007C30F1">
              <w:rPr>
                <w:rFonts w:cstheme="majorBidi"/>
                <w:lang w:val="es-ES_tradnl"/>
              </w:rPr>
              <w:t>las definiciones</w:t>
            </w:r>
            <w:r w:rsidR="00E60541" w:rsidRPr="007C30F1">
              <w:rPr>
                <w:rFonts w:cstheme="majorBidi"/>
                <w:lang w:val="es-ES_tradnl"/>
              </w:rPr>
              <w:t xml:space="preserve"> utilizadas en los textos de ISO/CEI y la UIT. Se comentó que puede ser necesario asegurar que no existen implicaciones en el caso de las Recomendaciones incorporadas por referencia en el Reglamento de Radiocomunicaciones. </w:t>
            </w:r>
            <w:r w:rsidR="005A133B" w:rsidRPr="007C30F1">
              <w:rPr>
                <w:rFonts w:cstheme="majorBidi"/>
                <w:lang w:val="es-ES_tradnl"/>
              </w:rPr>
              <w:t>L</w:t>
            </w:r>
            <w:r w:rsidR="00E60541" w:rsidRPr="007C30F1">
              <w:rPr>
                <w:rFonts w:cstheme="majorBidi"/>
                <w:lang w:val="es-ES_tradnl"/>
              </w:rPr>
              <w:t xml:space="preserve">a Administración de Japón </w:t>
            </w:r>
            <w:r w:rsidR="005A133B" w:rsidRPr="007C30F1">
              <w:rPr>
                <w:rFonts w:cstheme="majorBidi"/>
                <w:lang w:val="es-ES_tradnl"/>
              </w:rPr>
              <w:t>podría considerar</w:t>
            </w:r>
            <w:r w:rsidR="00E60541" w:rsidRPr="007C30F1">
              <w:rPr>
                <w:rFonts w:cstheme="majorBidi"/>
                <w:lang w:val="es-ES_tradnl"/>
              </w:rPr>
              <w:t xml:space="preserve"> adoptar </w:t>
            </w:r>
            <w:r w:rsidR="005A133B" w:rsidRPr="007C30F1">
              <w:rPr>
                <w:rFonts w:cstheme="majorBidi"/>
                <w:lang w:val="es-ES_tradnl"/>
              </w:rPr>
              <w:t>alguna acción posterior</w:t>
            </w:r>
            <w:r w:rsidR="00E60541" w:rsidRPr="007C30F1">
              <w:rPr>
                <w:rFonts w:cstheme="majorBidi"/>
                <w:lang w:val="es-ES_tradnl"/>
              </w:rPr>
              <w:t xml:space="preserve"> sobre este asunto, según proceda.</w:t>
            </w:r>
          </w:p>
        </w:tc>
      </w:tr>
      <w:tr w:rsidR="00C47479" w:rsidRPr="007C30F1" w:rsidTr="00821E2A">
        <w:trPr>
          <w:jc w:val="center"/>
        </w:trPr>
        <w:tc>
          <w:tcPr>
            <w:tcW w:w="1037" w:type="dxa"/>
          </w:tcPr>
          <w:p w:rsidR="00C47479" w:rsidRPr="007C30F1" w:rsidRDefault="00C47479" w:rsidP="007E074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cstheme="majorBidi"/>
                <w:sz w:val="22"/>
                <w:lang w:val="es-ES_tradnl"/>
              </w:rPr>
            </w:pPr>
            <w:r w:rsidRPr="007C30F1">
              <w:rPr>
                <w:rFonts w:cstheme="majorBidi"/>
                <w:sz w:val="22"/>
                <w:lang w:val="es-ES_tradnl"/>
              </w:rPr>
              <w:t>9</w:t>
            </w:r>
          </w:p>
        </w:tc>
        <w:tc>
          <w:tcPr>
            <w:tcW w:w="3256" w:type="dxa"/>
          </w:tcPr>
          <w:p w:rsidR="00C47479" w:rsidRPr="007C30F1" w:rsidRDefault="00C47479" w:rsidP="007E074C">
            <w:pPr>
              <w:pStyle w:val="Tabletext"/>
              <w:rPr>
                <w:rFonts w:cstheme="majorBidi"/>
                <w:lang w:val="es-ES_tradnl"/>
              </w:rPr>
            </w:pPr>
            <w:r w:rsidRPr="007C30F1">
              <w:rPr>
                <w:rFonts w:cstheme="majorBidi"/>
                <w:lang w:val="es-ES_tradnl"/>
              </w:rPr>
              <w:t>Coordinación intersectorial</w:t>
            </w:r>
          </w:p>
          <w:p w:rsidR="00C47479" w:rsidRPr="007C30F1" w:rsidRDefault="00C47479" w:rsidP="007E074C">
            <w:pPr>
              <w:pStyle w:val="Tabletext"/>
              <w:rPr>
                <w:rFonts w:cstheme="majorBidi"/>
                <w:i/>
                <w:iCs/>
                <w:lang w:val="es-ES_tradnl"/>
              </w:rPr>
            </w:pPr>
            <w:r w:rsidRPr="007C30F1">
              <w:rPr>
                <w:rFonts w:cstheme="majorBidi"/>
                <w:i/>
                <w:iCs/>
                <w:lang w:val="es-ES_tradnl"/>
              </w:rPr>
              <w:t>(Docs. RAG17/1(Rev.1), 5, 8, 15, INFO/3, INFO/4)</w:t>
            </w:r>
          </w:p>
        </w:tc>
        <w:tc>
          <w:tcPr>
            <w:tcW w:w="9785" w:type="dxa"/>
          </w:tcPr>
          <w:p w:rsidR="0087071A" w:rsidRPr="007C30F1" w:rsidRDefault="0087071A" w:rsidP="007E074C">
            <w:pPr>
              <w:pStyle w:val="Tabletext"/>
              <w:rPr>
                <w:rFonts w:cstheme="majorBidi"/>
                <w:lang w:val="es-ES_tradnl"/>
              </w:rPr>
            </w:pPr>
            <w:r w:rsidRPr="007C30F1">
              <w:rPr>
                <w:rFonts w:cstheme="majorBidi"/>
                <w:lang w:val="es-ES_tradnl"/>
              </w:rPr>
              <w:t>El GAR tomó nota de la información contenida en el Informe del Director sobre la cooperación del UIT-R con el UIT-D y el UIT-T, así como las organizacione</w:t>
            </w:r>
            <w:r w:rsidR="0056698F" w:rsidRPr="007C30F1">
              <w:rPr>
                <w:rFonts w:cstheme="majorBidi"/>
                <w:lang w:val="es-ES_tradnl"/>
              </w:rPr>
              <w:t>s internacionales y regionales.</w:t>
            </w:r>
          </w:p>
          <w:p w:rsidR="0087071A" w:rsidRPr="007C30F1" w:rsidRDefault="0087071A" w:rsidP="008655EA">
            <w:pPr>
              <w:pStyle w:val="Tabletext"/>
              <w:rPr>
                <w:rFonts w:cstheme="majorBidi"/>
                <w:lang w:val="es-ES_tradnl"/>
              </w:rPr>
            </w:pPr>
            <w:r w:rsidRPr="007C30F1">
              <w:rPr>
                <w:rFonts w:cstheme="majorBidi"/>
                <w:lang w:val="es-ES_tradnl"/>
              </w:rPr>
              <w:t xml:space="preserve">El GAR consideró el </w:t>
            </w:r>
            <w:r w:rsidR="00C47479" w:rsidRPr="007C30F1">
              <w:rPr>
                <w:rFonts w:cstheme="majorBidi"/>
                <w:lang w:val="es-ES_tradnl"/>
              </w:rPr>
              <w:t>Doc</w:t>
            </w:r>
            <w:r w:rsidR="00FB1B20">
              <w:rPr>
                <w:rFonts w:cstheme="majorBidi"/>
                <w:lang w:val="es-ES_tradnl"/>
              </w:rPr>
              <w:t>umento</w:t>
            </w:r>
            <w:r w:rsidR="00C47479" w:rsidRPr="007C30F1">
              <w:rPr>
                <w:rFonts w:cstheme="majorBidi"/>
                <w:lang w:val="es-ES_tradnl"/>
              </w:rPr>
              <w:t xml:space="preserve"> RAG17/5 </w:t>
            </w:r>
            <w:r w:rsidRPr="007C30F1">
              <w:rPr>
                <w:rFonts w:cstheme="majorBidi"/>
                <w:lang w:val="es-ES_tradnl"/>
              </w:rPr>
              <w:t>del Presidente de la Comisión de Estudio 1 del UIT-</w:t>
            </w:r>
            <w:r w:rsidR="002A05B0" w:rsidRPr="007C30F1">
              <w:rPr>
                <w:rFonts w:cstheme="majorBidi"/>
                <w:lang w:val="es-ES_tradnl"/>
              </w:rPr>
              <w:t>R,</w:t>
            </w:r>
            <w:r w:rsidRPr="007C30F1">
              <w:rPr>
                <w:rFonts w:cstheme="majorBidi"/>
                <w:lang w:val="es-ES_tradnl"/>
              </w:rPr>
              <w:t xml:space="preserve"> sobr</w:t>
            </w:r>
            <w:r w:rsidR="00A012BC">
              <w:rPr>
                <w:rFonts w:cstheme="majorBidi"/>
                <w:lang w:val="es-ES_tradnl"/>
              </w:rPr>
              <w:t>e las interacciones entre la CE </w:t>
            </w:r>
            <w:r w:rsidRPr="007C30F1">
              <w:rPr>
                <w:rFonts w:cstheme="majorBidi"/>
                <w:lang w:val="es-ES_tradnl"/>
              </w:rPr>
              <w:t>1 del UIT-R y la CE</w:t>
            </w:r>
            <w:r w:rsidR="008655EA">
              <w:rPr>
                <w:rFonts w:cstheme="majorBidi"/>
                <w:lang w:val="es-ES_tradnl"/>
              </w:rPr>
              <w:t> </w:t>
            </w:r>
            <w:r w:rsidRPr="007C30F1">
              <w:rPr>
                <w:rFonts w:cstheme="majorBidi"/>
                <w:lang w:val="es-ES_tradnl"/>
              </w:rPr>
              <w:t xml:space="preserve">1 del UIT-D sobre la Resolución 9 (Rev. Dubái, 2014) de la CMDT entre 2014 y 2017. El GAR reconoció que, a pesar de los múltiples intercambios entre los dos Sectores como se muestra en el </w:t>
            </w:r>
            <w:r w:rsidR="00CB77AE" w:rsidRPr="007C30F1">
              <w:rPr>
                <w:rFonts w:cstheme="majorBidi"/>
                <w:lang w:val="es-ES_tradnl"/>
              </w:rPr>
              <w:t>Doc</w:t>
            </w:r>
            <w:r w:rsidR="00CB77AE">
              <w:rPr>
                <w:rFonts w:cstheme="majorBidi"/>
                <w:lang w:val="es-ES_tradnl"/>
              </w:rPr>
              <w:t>umento</w:t>
            </w:r>
            <w:r w:rsidR="00C47479" w:rsidRPr="007C30F1">
              <w:rPr>
                <w:rFonts w:cstheme="majorBidi"/>
                <w:lang w:val="es-ES_tradnl"/>
              </w:rPr>
              <w:t xml:space="preserve"> INFO/3, </w:t>
            </w:r>
            <w:r w:rsidRPr="007C30F1">
              <w:rPr>
                <w:rFonts w:cstheme="majorBidi"/>
                <w:lang w:val="es-ES_tradnl"/>
              </w:rPr>
              <w:t xml:space="preserve">los comentarios del UIT-R no se tomaron plenamente en cuenta y no se reflejaron de manera adecuada en la redacción del Informe final </w:t>
            </w:r>
            <w:r w:rsidR="00536B9C" w:rsidRPr="007C30F1">
              <w:rPr>
                <w:rFonts w:cstheme="majorBidi"/>
                <w:lang w:val="es-ES_tradnl"/>
              </w:rPr>
              <w:t>sobre</w:t>
            </w:r>
            <w:r w:rsidRPr="007C30F1">
              <w:rPr>
                <w:rFonts w:cstheme="majorBidi"/>
                <w:lang w:val="es-ES_tradnl"/>
              </w:rPr>
              <w:t xml:space="preserve"> la Resolución 9. El GAR insistió en la necesidad de asegurar que </w:t>
            </w:r>
            <w:r w:rsidR="00C65742" w:rsidRPr="007C30F1">
              <w:rPr>
                <w:rFonts w:cstheme="majorBidi"/>
                <w:lang w:val="es-ES_tradnl"/>
              </w:rPr>
              <w:t xml:space="preserve">el principal </w:t>
            </w:r>
            <w:r w:rsidR="00A51284" w:rsidRPr="007C30F1">
              <w:rPr>
                <w:rFonts w:cstheme="majorBidi"/>
                <w:lang w:val="es-ES_tradnl"/>
              </w:rPr>
              <w:t>empuje</w:t>
            </w:r>
            <w:r w:rsidR="00C65742" w:rsidRPr="007C30F1">
              <w:rPr>
                <w:rFonts w:cstheme="majorBidi"/>
                <w:lang w:val="es-ES_tradnl"/>
              </w:rPr>
              <w:t xml:space="preserve"> de la Resolución 9, que sigue siendo válido, se lleve a cabo sin una duplicación de los esfuerzos en los dos Sectores, asegurando que el trabajo realizado por el UIT-D es coheren</w:t>
            </w:r>
            <w:r w:rsidR="0056698F" w:rsidRPr="007C30F1">
              <w:rPr>
                <w:rFonts w:cstheme="majorBidi"/>
                <w:lang w:val="es-ES_tradnl"/>
              </w:rPr>
              <w:t>te con el que realiza el UIT-R.</w:t>
            </w:r>
          </w:p>
          <w:p w:rsidR="00C65742" w:rsidRPr="007C30F1" w:rsidRDefault="00C65742" w:rsidP="000D6044">
            <w:pPr>
              <w:pStyle w:val="Tabletext"/>
              <w:rPr>
                <w:rFonts w:cstheme="majorBidi"/>
                <w:lang w:val="es-ES_tradnl"/>
              </w:rPr>
            </w:pPr>
            <w:r w:rsidRPr="007C30F1">
              <w:rPr>
                <w:rFonts w:cstheme="majorBidi"/>
                <w:lang w:val="es-ES_tradnl"/>
              </w:rPr>
              <w:t>El GAR también consideró el</w:t>
            </w:r>
            <w:r w:rsidR="00C47479" w:rsidRPr="007C30F1">
              <w:rPr>
                <w:rFonts w:cstheme="majorBidi"/>
                <w:lang w:val="es-ES_tradnl"/>
              </w:rPr>
              <w:t xml:space="preserve"> </w:t>
            </w:r>
            <w:r w:rsidR="000D6044" w:rsidRPr="007C30F1">
              <w:rPr>
                <w:rFonts w:cstheme="majorBidi"/>
                <w:lang w:val="es-ES_tradnl"/>
              </w:rPr>
              <w:t>Doc</w:t>
            </w:r>
            <w:r w:rsidR="000D6044">
              <w:rPr>
                <w:rFonts w:cstheme="majorBidi"/>
                <w:lang w:val="es-ES_tradnl"/>
              </w:rPr>
              <w:t>umento</w:t>
            </w:r>
            <w:r w:rsidR="00C47479" w:rsidRPr="007C30F1">
              <w:rPr>
                <w:rFonts w:cstheme="majorBidi"/>
                <w:lang w:val="es-ES_tradnl"/>
              </w:rPr>
              <w:t xml:space="preserve"> RAG17/15 </w:t>
            </w:r>
            <w:r w:rsidRPr="007C30F1">
              <w:rPr>
                <w:rFonts w:cstheme="majorBidi"/>
                <w:lang w:val="es-ES_tradnl"/>
              </w:rPr>
              <w:t>de</w:t>
            </w:r>
            <w:r w:rsidR="00C47479" w:rsidRPr="007C30F1">
              <w:rPr>
                <w:rFonts w:cstheme="majorBidi"/>
                <w:lang w:val="es-ES_tradnl"/>
              </w:rPr>
              <w:t xml:space="preserve"> Franc</w:t>
            </w:r>
            <w:r w:rsidRPr="007C30F1">
              <w:rPr>
                <w:rFonts w:cstheme="majorBidi"/>
                <w:lang w:val="es-ES_tradnl"/>
              </w:rPr>
              <w:t>ia</w:t>
            </w:r>
            <w:r w:rsidR="00C47479" w:rsidRPr="007C30F1">
              <w:rPr>
                <w:rFonts w:cstheme="majorBidi"/>
                <w:lang w:val="es-ES_tradnl"/>
              </w:rPr>
              <w:t xml:space="preserve">, </w:t>
            </w:r>
            <w:r w:rsidRPr="007C30F1">
              <w:rPr>
                <w:rFonts w:cstheme="majorBidi"/>
                <w:lang w:val="es-ES_tradnl"/>
              </w:rPr>
              <w:t xml:space="preserve">que propone el envío de una Declaración de Coordinación al GADT para transmitir las inquietudes expresadas anteriormente. </w:t>
            </w:r>
            <w:r w:rsidR="002A05B0" w:rsidRPr="007C30F1">
              <w:rPr>
                <w:rFonts w:cstheme="majorBidi"/>
                <w:lang w:val="es-ES_tradnl"/>
              </w:rPr>
              <w:t>El</w:t>
            </w:r>
            <w:r w:rsidRPr="007C30F1">
              <w:rPr>
                <w:rFonts w:cstheme="majorBidi"/>
                <w:lang w:val="es-ES_tradnl"/>
              </w:rPr>
              <w:t xml:space="preserve"> GAR decidió enviar la Declaración de Coordinación al GADT para reflejar esas inquietudes y sugerir unas posibles mejoras de la cooperación y coordinación entre el UIT-D y el UIT-R en lo relativo a la Resolución 9</w:t>
            </w:r>
            <w:r w:rsidR="00A51284" w:rsidRPr="007C30F1">
              <w:rPr>
                <w:rFonts w:cstheme="majorBidi"/>
                <w:lang w:val="es-ES_tradnl"/>
              </w:rPr>
              <w:t xml:space="preserve"> de la CMDT</w:t>
            </w:r>
            <w:r w:rsidRPr="007C30F1">
              <w:rPr>
                <w:rFonts w:cstheme="majorBidi"/>
                <w:lang w:val="es-ES_tradnl"/>
              </w:rPr>
              <w:t xml:space="preserve">. La Declaración de Coordinación, incluida en el Anexo 1, contiene también la opinión del GAR de que es necesario </w:t>
            </w:r>
            <w:r w:rsidR="00A51284" w:rsidRPr="007C30F1">
              <w:rPr>
                <w:rFonts w:cstheme="majorBidi"/>
                <w:lang w:val="es-ES_tradnl"/>
              </w:rPr>
              <w:t xml:space="preserve">que se tengan </w:t>
            </w:r>
            <w:r w:rsidRPr="007C30F1">
              <w:rPr>
                <w:rFonts w:cstheme="majorBidi"/>
                <w:lang w:val="es-ES_tradnl"/>
              </w:rPr>
              <w:t>en c</w:t>
            </w:r>
            <w:r w:rsidR="0056698F" w:rsidRPr="007C30F1">
              <w:rPr>
                <w:rFonts w:cstheme="majorBidi"/>
                <w:lang w:val="es-ES_tradnl"/>
              </w:rPr>
              <w:t>uenta las inquietudes del UIT-R</w:t>
            </w:r>
            <w:r w:rsidRPr="007C30F1">
              <w:rPr>
                <w:rFonts w:cstheme="majorBidi"/>
                <w:lang w:val="es-ES_tradnl"/>
              </w:rPr>
              <w:t xml:space="preserve"> respecto del Informe sobre la Resolución 9 </w:t>
            </w:r>
            <w:r w:rsidR="00536B9C" w:rsidRPr="007C30F1">
              <w:rPr>
                <w:rFonts w:cstheme="majorBidi"/>
                <w:lang w:val="es-ES_tradnl"/>
              </w:rPr>
              <w:t xml:space="preserve">antes de su publicación </w:t>
            </w:r>
            <w:r w:rsidR="0056698F" w:rsidRPr="007C30F1">
              <w:rPr>
                <w:rFonts w:cstheme="majorBidi"/>
                <w:lang w:val="es-ES_tradnl"/>
              </w:rPr>
              <w:t>y consideración por la CMDT-17.</w:t>
            </w:r>
          </w:p>
          <w:p w:rsidR="00C47479" w:rsidRPr="007C30F1" w:rsidRDefault="00536B9C" w:rsidP="000D6044">
            <w:pPr>
              <w:pStyle w:val="Tabletext"/>
              <w:rPr>
                <w:rFonts w:cstheme="majorBidi"/>
                <w:lang w:val="es-ES_tradnl"/>
              </w:rPr>
            </w:pPr>
            <w:r w:rsidRPr="007C30F1">
              <w:rPr>
                <w:rFonts w:cstheme="majorBidi"/>
                <w:lang w:val="es-ES_tradnl"/>
              </w:rPr>
              <w:t xml:space="preserve">El </w:t>
            </w:r>
            <w:r w:rsidR="00A51284" w:rsidRPr="007C30F1">
              <w:rPr>
                <w:rFonts w:cstheme="majorBidi"/>
                <w:lang w:val="es-ES_tradnl"/>
              </w:rPr>
              <w:t xml:space="preserve">GAR </w:t>
            </w:r>
            <w:r w:rsidRPr="007C30F1">
              <w:rPr>
                <w:rFonts w:cstheme="majorBidi"/>
                <w:lang w:val="es-ES_tradnl"/>
              </w:rPr>
              <w:t xml:space="preserve">consideró el </w:t>
            </w:r>
            <w:r w:rsidR="000D6044" w:rsidRPr="007C30F1">
              <w:rPr>
                <w:rFonts w:cstheme="majorBidi"/>
                <w:lang w:val="es-ES_tradnl"/>
              </w:rPr>
              <w:t>Doc</w:t>
            </w:r>
            <w:r w:rsidR="000D6044">
              <w:rPr>
                <w:rFonts w:cstheme="majorBidi"/>
                <w:lang w:val="es-ES_tradnl"/>
              </w:rPr>
              <w:t>umento</w:t>
            </w:r>
            <w:r w:rsidR="00C47479" w:rsidRPr="007C30F1">
              <w:rPr>
                <w:rFonts w:cstheme="majorBidi"/>
                <w:lang w:val="es-ES_tradnl"/>
              </w:rPr>
              <w:t xml:space="preserve"> RAG17/8 </w:t>
            </w:r>
            <w:r w:rsidRPr="007C30F1">
              <w:rPr>
                <w:rFonts w:cstheme="majorBidi"/>
                <w:lang w:val="es-ES_tradnl"/>
              </w:rPr>
              <w:t>de la Federación de Rusia, que propone la creación de un Comité Conjunto de Coordinación del Vocabulario de la UIT.</w:t>
            </w:r>
            <w:r w:rsidR="00A51284" w:rsidRPr="007C30F1">
              <w:rPr>
                <w:rFonts w:cstheme="majorBidi"/>
                <w:lang w:val="es-ES_tradnl"/>
              </w:rPr>
              <w:t xml:space="preserve"> </w:t>
            </w:r>
            <w:r w:rsidRPr="007C30F1">
              <w:rPr>
                <w:rFonts w:cstheme="majorBidi"/>
                <w:lang w:val="es-ES_tradnl"/>
              </w:rPr>
              <w:t xml:space="preserve">El GAR apoyó la propuesta y tomó nota de que </w:t>
            </w:r>
            <w:r w:rsidR="00A51284" w:rsidRPr="007C30F1">
              <w:rPr>
                <w:rFonts w:cstheme="majorBidi"/>
                <w:lang w:val="es-ES_tradnl"/>
              </w:rPr>
              <w:t>se había enviado</w:t>
            </w:r>
            <w:r w:rsidRPr="007C30F1">
              <w:rPr>
                <w:rFonts w:cstheme="majorBidi"/>
                <w:lang w:val="es-ES_tradnl"/>
              </w:rPr>
              <w:t xml:space="preserve"> al Consejo para su consideración.</w:t>
            </w:r>
          </w:p>
        </w:tc>
      </w:tr>
      <w:tr w:rsidR="002D0BE9" w:rsidRPr="007C30F1" w:rsidTr="00821E2A">
        <w:trPr>
          <w:cantSplit/>
          <w:jc w:val="center"/>
        </w:trPr>
        <w:tc>
          <w:tcPr>
            <w:tcW w:w="1037" w:type="dxa"/>
          </w:tcPr>
          <w:p w:rsidR="002D0BE9" w:rsidRPr="007C30F1" w:rsidRDefault="004C0293" w:rsidP="007E074C">
            <w:pPr>
              <w:pStyle w:val="Tabletext"/>
              <w:jc w:val="center"/>
              <w:rPr>
                <w:rFonts w:cstheme="majorBidi"/>
                <w:lang w:val="es-ES_tradnl"/>
              </w:rPr>
            </w:pPr>
            <w:r w:rsidRPr="007C30F1">
              <w:rPr>
                <w:rFonts w:cstheme="majorBidi"/>
                <w:lang w:val="es-ES_tradnl"/>
              </w:rPr>
              <w:t>10</w:t>
            </w:r>
          </w:p>
        </w:tc>
        <w:tc>
          <w:tcPr>
            <w:tcW w:w="3256" w:type="dxa"/>
          </w:tcPr>
          <w:p w:rsidR="004C0293" w:rsidRPr="007C30F1" w:rsidRDefault="004C0293" w:rsidP="007E074C">
            <w:pPr>
              <w:pStyle w:val="Tabletext"/>
              <w:rPr>
                <w:rFonts w:cstheme="majorBidi"/>
                <w:lang w:val="es-ES_tradnl"/>
              </w:rPr>
            </w:pPr>
            <w:r w:rsidRPr="007C30F1">
              <w:rPr>
                <w:rFonts w:cstheme="majorBidi"/>
                <w:lang w:val="es-ES_tradnl"/>
              </w:rPr>
              <w:t>Proyecto de Plan Operacional renovable para el periodo 2018-2021</w:t>
            </w:r>
          </w:p>
          <w:p w:rsidR="002D0BE9" w:rsidRPr="007C30F1" w:rsidRDefault="004C0293" w:rsidP="007E074C">
            <w:pPr>
              <w:pStyle w:val="Tabletext"/>
              <w:rPr>
                <w:rFonts w:cstheme="majorBidi"/>
                <w:i/>
                <w:iCs/>
                <w:lang w:val="es-ES_tradnl"/>
              </w:rPr>
            </w:pPr>
            <w:r w:rsidRPr="007C30F1">
              <w:rPr>
                <w:rFonts w:cstheme="majorBidi"/>
                <w:i/>
                <w:iCs/>
                <w:lang w:val="es-ES_tradnl"/>
              </w:rPr>
              <w:t>(Docs. RAG17/1(Add.2)+Corr.1, 6, 9, INFO/2)</w:t>
            </w:r>
          </w:p>
        </w:tc>
        <w:tc>
          <w:tcPr>
            <w:tcW w:w="9785" w:type="dxa"/>
          </w:tcPr>
          <w:p w:rsidR="00536B9C" w:rsidRPr="007C30F1" w:rsidRDefault="00C47479" w:rsidP="007E074C">
            <w:pPr>
              <w:pStyle w:val="Tabletext"/>
              <w:rPr>
                <w:rFonts w:cstheme="majorBidi"/>
                <w:lang w:val="es-ES_tradnl"/>
              </w:rPr>
            </w:pPr>
            <w:r w:rsidRPr="007C30F1">
              <w:rPr>
                <w:rFonts w:cstheme="majorBidi"/>
                <w:lang w:val="es-ES_tradnl"/>
              </w:rPr>
              <w:t>El GAR tomó nota de los elementos fundamentales del Plan Operacional renovable del UIT-R para el periodo 2018</w:t>
            </w:r>
            <w:r w:rsidRPr="007C30F1">
              <w:rPr>
                <w:rFonts w:cstheme="majorBidi"/>
                <w:lang w:val="es-ES_tradnl"/>
              </w:rPr>
              <w:noBreakHyphen/>
              <w:t>2021</w:t>
            </w:r>
            <w:r w:rsidR="004C0293" w:rsidRPr="007C30F1">
              <w:rPr>
                <w:rFonts w:cstheme="majorBidi"/>
                <w:lang w:val="es-ES_tradnl"/>
              </w:rPr>
              <w:t xml:space="preserve">, </w:t>
            </w:r>
            <w:r w:rsidR="00536B9C" w:rsidRPr="007C30F1">
              <w:rPr>
                <w:rFonts w:cstheme="majorBidi"/>
                <w:lang w:val="es-ES_tradnl"/>
              </w:rPr>
              <w:t xml:space="preserve">en particular </w:t>
            </w:r>
            <w:r w:rsidR="00885DAF" w:rsidRPr="007C30F1">
              <w:rPr>
                <w:rFonts w:cstheme="majorBidi"/>
                <w:lang w:val="es-ES_tradnl"/>
              </w:rPr>
              <w:t xml:space="preserve">de </w:t>
            </w:r>
            <w:r w:rsidR="00536B9C" w:rsidRPr="007C30F1">
              <w:rPr>
                <w:rFonts w:cstheme="majorBidi"/>
                <w:lang w:val="es-ES_tradnl"/>
              </w:rPr>
              <w:t xml:space="preserve">los indicadores de resultados adicionales que se incluyeron en cada objetivo para </w:t>
            </w:r>
            <w:r w:rsidR="00885DAF" w:rsidRPr="007C30F1">
              <w:rPr>
                <w:rFonts w:cstheme="majorBidi"/>
                <w:lang w:val="es-ES_tradnl"/>
              </w:rPr>
              <w:t xml:space="preserve">medir </w:t>
            </w:r>
            <w:r w:rsidR="00536B9C" w:rsidRPr="007C30F1">
              <w:rPr>
                <w:rFonts w:cstheme="majorBidi"/>
                <w:lang w:val="es-ES_tradnl"/>
              </w:rPr>
              <w:t xml:space="preserve">mejor la repercusión del indicador fundamental de rendimiento correspondiente. </w:t>
            </w:r>
          </w:p>
          <w:p w:rsidR="004C0293" w:rsidRPr="007C30F1" w:rsidRDefault="00C47479" w:rsidP="007E074C">
            <w:pPr>
              <w:pStyle w:val="Tabletext"/>
              <w:rPr>
                <w:rFonts w:cstheme="majorBidi"/>
                <w:lang w:val="es-ES_tradnl"/>
              </w:rPr>
            </w:pPr>
            <w:r w:rsidRPr="007C30F1">
              <w:rPr>
                <w:rFonts w:cstheme="majorBidi"/>
                <w:lang w:val="es-ES_tradnl"/>
              </w:rPr>
              <w:t>El GAR también tomó nota de la proyección de los recursos financieros asignados a los productos de la BR para el periodo 2018-2021.</w:t>
            </w:r>
          </w:p>
          <w:p w:rsidR="00885DAF" w:rsidRPr="007C30F1" w:rsidRDefault="00A1118F" w:rsidP="007E074C">
            <w:pPr>
              <w:pStyle w:val="Tabletext"/>
              <w:rPr>
                <w:rFonts w:cstheme="majorBidi"/>
                <w:lang w:val="es-ES_tradnl"/>
              </w:rPr>
            </w:pPr>
            <w:r w:rsidRPr="007C30F1">
              <w:rPr>
                <w:rFonts w:cstheme="majorBidi"/>
                <w:lang w:val="es-ES_tradnl"/>
              </w:rPr>
              <w:t>El GAR</w:t>
            </w:r>
            <w:r w:rsidR="004C0293" w:rsidRPr="007C30F1">
              <w:rPr>
                <w:rFonts w:cstheme="majorBidi"/>
                <w:lang w:val="es-ES_tradnl"/>
              </w:rPr>
              <w:t xml:space="preserve"> </w:t>
            </w:r>
            <w:r w:rsidR="00885DAF" w:rsidRPr="007C30F1">
              <w:rPr>
                <w:rFonts w:cstheme="majorBidi"/>
                <w:lang w:val="es-ES_tradnl"/>
              </w:rPr>
              <w:t>consideró el</w:t>
            </w:r>
            <w:r w:rsidR="004C0293" w:rsidRPr="007C30F1">
              <w:rPr>
                <w:rFonts w:cstheme="majorBidi"/>
                <w:lang w:val="es-ES_tradnl"/>
              </w:rPr>
              <w:t xml:space="preserve"> </w:t>
            </w:r>
            <w:r w:rsidR="00B50966" w:rsidRPr="007C30F1">
              <w:rPr>
                <w:rFonts w:cstheme="majorBidi"/>
                <w:lang w:val="es-ES_tradnl"/>
              </w:rPr>
              <w:t>Doc</w:t>
            </w:r>
            <w:r w:rsidR="00B50966">
              <w:rPr>
                <w:rFonts w:cstheme="majorBidi"/>
                <w:lang w:val="es-ES_tradnl"/>
              </w:rPr>
              <w:t>umento</w:t>
            </w:r>
            <w:r w:rsidR="004C0293" w:rsidRPr="007C30F1">
              <w:rPr>
                <w:rFonts w:cstheme="majorBidi"/>
                <w:lang w:val="es-ES_tradnl"/>
              </w:rPr>
              <w:t xml:space="preserve"> RAG17/9</w:t>
            </w:r>
            <w:r w:rsidR="00885DAF" w:rsidRPr="007C30F1">
              <w:rPr>
                <w:rFonts w:cstheme="majorBidi"/>
                <w:lang w:val="es-ES_tradnl"/>
              </w:rPr>
              <w:t xml:space="preserve"> de la Federación de Rusia, que propone indicadores de resultados adicionales y otras mejoras al Plan Operacional del UIT-R. El GAR comentó que se podía tener en cuenta una propuesta de ese tipo durante la elaboración del Plan Estratégico y de los Planes Operacionales correspondientes para el próximo ciclo, pues los actuales fueron adoptados en la Conferencia</w:t>
            </w:r>
            <w:r w:rsidR="0056698F" w:rsidRPr="007C30F1">
              <w:rPr>
                <w:rFonts w:cstheme="majorBidi"/>
                <w:lang w:val="es-ES_tradnl"/>
              </w:rPr>
              <w:t xml:space="preserve"> de Plenipotenciarios de 2014.</w:t>
            </w:r>
          </w:p>
          <w:p w:rsidR="00885DAF" w:rsidRPr="007C30F1" w:rsidRDefault="00885DAF" w:rsidP="007E074C">
            <w:pPr>
              <w:pStyle w:val="Tabletext"/>
              <w:rPr>
                <w:rFonts w:cstheme="majorBidi"/>
                <w:lang w:val="es-ES_tradnl"/>
              </w:rPr>
            </w:pPr>
            <w:r w:rsidRPr="007C30F1">
              <w:rPr>
                <w:rFonts w:cstheme="majorBidi"/>
                <w:lang w:val="es-ES_tradnl"/>
              </w:rPr>
              <w:t>El GAR respaldó la propuesta de proyecto de Plan Operacional renovable del UIT-R para 2018-2021 con algunas modificaciones, tal como se incluye en el Anexo 2</w:t>
            </w:r>
            <w:r w:rsidR="00A51284" w:rsidRPr="007C30F1">
              <w:rPr>
                <w:rFonts w:cstheme="majorBidi"/>
                <w:lang w:val="es-ES_tradnl"/>
              </w:rPr>
              <w:t>,</w:t>
            </w:r>
            <w:r w:rsidRPr="007C30F1">
              <w:rPr>
                <w:rFonts w:cstheme="majorBidi"/>
                <w:lang w:val="es-ES_tradnl"/>
              </w:rPr>
              <w:t xml:space="preserve"> y solicitó al Director que tenga en consideración los aspectos siguientes para la preparación del Plan Estratégico y los correspondientes Planes Operacionales del UIT-R para el próximo ciclo: </w:t>
            </w:r>
          </w:p>
          <w:p w:rsidR="004C0293" w:rsidRPr="007C30F1" w:rsidRDefault="004C0293" w:rsidP="00B51FC1">
            <w:pPr>
              <w:pStyle w:val="enumlev1"/>
              <w:jc w:val="left"/>
              <w:rPr>
                <w:rFonts w:asciiTheme="minorHAnsi" w:hAnsiTheme="minorHAnsi"/>
                <w:sz w:val="20"/>
                <w:szCs w:val="20"/>
                <w:lang w:val="es-ES_tradnl"/>
              </w:rPr>
            </w:pPr>
            <w:r w:rsidRPr="007C30F1">
              <w:rPr>
                <w:rFonts w:asciiTheme="minorHAnsi" w:hAnsiTheme="minorHAnsi"/>
                <w:sz w:val="20"/>
                <w:szCs w:val="20"/>
                <w:lang w:val="es-ES_tradnl"/>
              </w:rPr>
              <w:t>–</w:t>
            </w:r>
            <w:r w:rsidRPr="007C30F1">
              <w:rPr>
                <w:rFonts w:asciiTheme="minorHAnsi" w:hAnsiTheme="minorHAnsi"/>
                <w:sz w:val="20"/>
                <w:szCs w:val="20"/>
                <w:lang w:val="es-ES_tradnl"/>
              </w:rPr>
              <w:tab/>
            </w:r>
            <w:r w:rsidR="00C47479" w:rsidRPr="007C30F1">
              <w:rPr>
                <w:rFonts w:asciiTheme="minorHAnsi" w:hAnsiTheme="minorHAnsi"/>
                <w:sz w:val="20"/>
                <w:szCs w:val="20"/>
                <w:lang w:val="es-ES_tradnl"/>
              </w:rPr>
              <w:t>distinguir entre los objetivos del UIT-R y de la Oficina</w:t>
            </w:r>
            <w:r w:rsidRPr="007C30F1">
              <w:rPr>
                <w:rFonts w:asciiTheme="minorHAnsi" w:hAnsiTheme="minorHAnsi"/>
                <w:sz w:val="20"/>
                <w:szCs w:val="20"/>
                <w:lang w:val="es-ES_tradnl"/>
              </w:rPr>
              <w:t>;</w:t>
            </w:r>
          </w:p>
          <w:p w:rsidR="004C0293" w:rsidRPr="007C30F1" w:rsidRDefault="004C0293" w:rsidP="00B51FC1">
            <w:pPr>
              <w:pStyle w:val="enumlev1"/>
              <w:jc w:val="left"/>
              <w:rPr>
                <w:rFonts w:asciiTheme="minorHAnsi" w:hAnsiTheme="minorHAnsi"/>
                <w:sz w:val="20"/>
                <w:szCs w:val="20"/>
                <w:lang w:val="es-ES_tradnl"/>
              </w:rPr>
            </w:pPr>
            <w:r w:rsidRPr="007C30F1">
              <w:rPr>
                <w:rFonts w:asciiTheme="minorHAnsi" w:hAnsiTheme="minorHAnsi"/>
                <w:sz w:val="20"/>
                <w:szCs w:val="20"/>
                <w:lang w:val="es-ES_tradnl"/>
              </w:rPr>
              <w:t>–</w:t>
            </w:r>
            <w:r w:rsidRPr="007C30F1">
              <w:rPr>
                <w:rFonts w:asciiTheme="minorHAnsi" w:hAnsiTheme="minorHAnsi"/>
                <w:sz w:val="20"/>
                <w:szCs w:val="20"/>
                <w:lang w:val="es-ES_tradnl"/>
              </w:rPr>
              <w:tab/>
            </w:r>
            <w:r w:rsidR="00885DAF" w:rsidRPr="007C30F1">
              <w:rPr>
                <w:rFonts w:asciiTheme="minorHAnsi" w:hAnsiTheme="minorHAnsi"/>
                <w:sz w:val="20"/>
                <w:szCs w:val="20"/>
                <w:lang w:val="es-ES_tradnl"/>
              </w:rPr>
              <w:t xml:space="preserve">asegurar que los valores estadísticos (indicadores) </w:t>
            </w:r>
            <w:r w:rsidR="00B51FC1" w:rsidRPr="007C30F1">
              <w:rPr>
                <w:rFonts w:asciiTheme="minorHAnsi" w:hAnsiTheme="minorHAnsi"/>
                <w:sz w:val="20"/>
                <w:szCs w:val="20"/>
                <w:lang w:val="es-ES_tradnl"/>
              </w:rPr>
              <w:t>se recopilan de fuentes fiable</w:t>
            </w:r>
            <w:r w:rsidR="00E132B4">
              <w:rPr>
                <w:rFonts w:asciiTheme="minorHAnsi" w:hAnsiTheme="minorHAnsi"/>
                <w:sz w:val="20"/>
                <w:szCs w:val="20"/>
                <w:lang w:val="es-ES_tradnl"/>
              </w:rPr>
              <w:t>s</w:t>
            </w:r>
            <w:r w:rsidR="00B51FC1" w:rsidRPr="007C30F1">
              <w:rPr>
                <w:rFonts w:asciiTheme="minorHAnsi" w:hAnsiTheme="minorHAnsi"/>
                <w:sz w:val="20"/>
                <w:szCs w:val="20"/>
                <w:lang w:val="es-ES_tradnl"/>
              </w:rPr>
              <w:t>.</w:t>
            </w:r>
          </w:p>
          <w:p w:rsidR="0015136E" w:rsidRPr="007C30F1" w:rsidRDefault="0056698F" w:rsidP="007E074C">
            <w:pPr>
              <w:pStyle w:val="Tabletext"/>
              <w:rPr>
                <w:rFonts w:cstheme="majorBidi"/>
                <w:lang w:val="es-ES_tradnl"/>
              </w:rPr>
            </w:pPr>
            <w:r w:rsidRPr="007C30F1">
              <w:rPr>
                <w:rFonts w:cstheme="majorBidi"/>
                <w:lang w:val="es-ES_tradnl"/>
              </w:rPr>
              <w:t xml:space="preserve">El Director ofreció presentar </w:t>
            </w:r>
            <w:r w:rsidR="0015136E" w:rsidRPr="007C30F1">
              <w:rPr>
                <w:rFonts w:cstheme="majorBidi"/>
                <w:lang w:val="es-ES_tradnl"/>
              </w:rPr>
              <w:t xml:space="preserve">un primer proyecto de Plan Estratégico y </w:t>
            </w:r>
            <w:r w:rsidR="00A51284" w:rsidRPr="007C30F1">
              <w:rPr>
                <w:rFonts w:cstheme="majorBidi"/>
                <w:lang w:val="es-ES_tradnl"/>
              </w:rPr>
              <w:t xml:space="preserve">de </w:t>
            </w:r>
            <w:r w:rsidR="0015136E" w:rsidRPr="007C30F1">
              <w:rPr>
                <w:rFonts w:cstheme="majorBidi"/>
                <w:lang w:val="es-ES_tradnl"/>
              </w:rPr>
              <w:t>Plan Operacional para el próximo ciclo e</w:t>
            </w:r>
            <w:r w:rsidRPr="007C30F1">
              <w:rPr>
                <w:rFonts w:cstheme="majorBidi"/>
                <w:lang w:val="es-ES_tradnl"/>
              </w:rPr>
              <w:t>n la siguiente reunión del GAR.</w:t>
            </w:r>
          </w:p>
          <w:p w:rsidR="002D0BE9" w:rsidRPr="007C30F1" w:rsidRDefault="00C47479" w:rsidP="007E074C">
            <w:pPr>
              <w:pStyle w:val="Tabletext"/>
              <w:keepNext/>
              <w:keepLines/>
              <w:rPr>
                <w:rFonts w:cstheme="majorBidi"/>
                <w:lang w:val="es-ES_tradnl"/>
              </w:rPr>
            </w:pPr>
            <w:r w:rsidRPr="007C30F1">
              <w:rPr>
                <w:rFonts w:cstheme="majorBidi"/>
                <w:lang w:val="es-ES_tradnl"/>
              </w:rPr>
              <w:t xml:space="preserve">El GAR </w:t>
            </w:r>
            <w:r w:rsidR="00E258AF" w:rsidRPr="007C30F1">
              <w:rPr>
                <w:rFonts w:cstheme="majorBidi"/>
                <w:lang w:val="es-ES_tradnl"/>
              </w:rPr>
              <w:t xml:space="preserve">agradeció posteriormente </w:t>
            </w:r>
            <w:r w:rsidRPr="007C30F1">
              <w:rPr>
                <w:rFonts w:cstheme="majorBidi"/>
                <w:lang w:val="es-ES_tradnl"/>
              </w:rPr>
              <w:t>el Plan Operacional renovable para 2018-2021 de la Secretaría General</w:t>
            </w:r>
            <w:r w:rsidR="004C0293" w:rsidRPr="007C30F1">
              <w:rPr>
                <w:rFonts w:cstheme="majorBidi"/>
                <w:lang w:val="es-ES_tradnl"/>
              </w:rPr>
              <w:t>.</w:t>
            </w:r>
          </w:p>
        </w:tc>
      </w:tr>
      <w:tr w:rsidR="002D0BE9" w:rsidRPr="007C30F1" w:rsidTr="00821E2A">
        <w:trPr>
          <w:jc w:val="center"/>
        </w:trPr>
        <w:tc>
          <w:tcPr>
            <w:tcW w:w="1037" w:type="dxa"/>
          </w:tcPr>
          <w:p w:rsidR="002D0BE9" w:rsidRPr="007C30F1" w:rsidRDefault="002D0BE9" w:rsidP="007E074C">
            <w:pPr>
              <w:pStyle w:val="Tabletext"/>
              <w:jc w:val="center"/>
              <w:rPr>
                <w:rFonts w:cstheme="majorBidi"/>
                <w:lang w:val="es-ES_tradnl"/>
              </w:rPr>
            </w:pPr>
            <w:r w:rsidRPr="007C30F1">
              <w:rPr>
                <w:rFonts w:cstheme="majorBidi"/>
                <w:lang w:val="es-ES_tradnl"/>
              </w:rPr>
              <w:lastRenderedPageBreak/>
              <w:br w:type="page"/>
            </w:r>
            <w:r w:rsidR="006E17FA" w:rsidRPr="007C30F1">
              <w:rPr>
                <w:rFonts w:cstheme="majorBidi"/>
                <w:lang w:val="es-ES_tradnl"/>
              </w:rPr>
              <w:t>11</w:t>
            </w:r>
          </w:p>
        </w:tc>
        <w:tc>
          <w:tcPr>
            <w:tcW w:w="3256" w:type="dxa"/>
          </w:tcPr>
          <w:p w:rsidR="002D0BE9" w:rsidRPr="007C30F1" w:rsidRDefault="002D0BE9" w:rsidP="007E074C">
            <w:pPr>
              <w:pStyle w:val="Tabletext"/>
              <w:rPr>
                <w:rFonts w:cstheme="majorBidi"/>
                <w:lang w:val="es-ES_tradnl"/>
              </w:rPr>
            </w:pPr>
            <w:r w:rsidRPr="007C30F1">
              <w:rPr>
                <w:rFonts w:cstheme="majorBidi"/>
                <w:lang w:val="es-ES_tradnl"/>
              </w:rPr>
              <w:t xml:space="preserve">110º Aniversario del Reglamento de Radiocomunicaciones </w:t>
            </w:r>
          </w:p>
          <w:p w:rsidR="002D0BE9" w:rsidRPr="007C30F1" w:rsidRDefault="006E17FA" w:rsidP="007E074C">
            <w:pPr>
              <w:pStyle w:val="Tabletext"/>
              <w:rPr>
                <w:rFonts w:cstheme="majorBidi"/>
                <w:lang w:val="es-ES_tradnl"/>
              </w:rPr>
            </w:pPr>
            <w:r w:rsidRPr="007C30F1">
              <w:rPr>
                <w:rFonts w:cstheme="majorBidi"/>
                <w:i/>
                <w:lang w:val="es-ES_tradnl"/>
              </w:rPr>
              <w:t>(Doc. RAG17/3)</w:t>
            </w:r>
          </w:p>
        </w:tc>
        <w:tc>
          <w:tcPr>
            <w:tcW w:w="9785" w:type="dxa"/>
          </w:tcPr>
          <w:p w:rsidR="002D0BE9" w:rsidRPr="007C30F1" w:rsidRDefault="0015136E" w:rsidP="007E074C">
            <w:pPr>
              <w:pStyle w:val="Tabletext"/>
              <w:rPr>
                <w:rFonts w:cstheme="majorBidi"/>
                <w:lang w:val="es-ES_tradnl"/>
              </w:rPr>
            </w:pPr>
            <w:r w:rsidRPr="007C30F1">
              <w:rPr>
                <w:rFonts w:cstheme="majorBidi"/>
                <w:lang w:val="es-ES_tradnl"/>
              </w:rPr>
              <w:t xml:space="preserve">El GAR tomó nota con satisfacción de las actividades organizadas por la Oficina en el marco de la celebración del 110º Aniversario del Reglamento de Radiocomunicaciones y alentó a los Miembros que no habían podido </w:t>
            </w:r>
            <w:r w:rsidR="00FC7B8B" w:rsidRPr="007C30F1">
              <w:rPr>
                <w:rFonts w:cstheme="majorBidi"/>
                <w:lang w:val="es-ES_tradnl"/>
              </w:rPr>
              <w:t xml:space="preserve">participar a aprovechar la existencia de grabaciones de las discusiones de los paneles para escuchar los debates. </w:t>
            </w:r>
          </w:p>
        </w:tc>
      </w:tr>
      <w:tr w:rsidR="002D0BE9" w:rsidRPr="007C30F1" w:rsidTr="00821E2A">
        <w:trPr>
          <w:cantSplit/>
          <w:jc w:val="center"/>
        </w:trPr>
        <w:tc>
          <w:tcPr>
            <w:tcW w:w="1037" w:type="dxa"/>
          </w:tcPr>
          <w:p w:rsidR="002D0BE9" w:rsidRPr="007C30F1" w:rsidRDefault="006E17FA" w:rsidP="007E074C">
            <w:pPr>
              <w:pStyle w:val="Tabletext"/>
              <w:jc w:val="center"/>
              <w:rPr>
                <w:rFonts w:cstheme="majorBidi"/>
                <w:lang w:val="es-ES_tradnl"/>
              </w:rPr>
            </w:pPr>
            <w:r w:rsidRPr="007C30F1">
              <w:rPr>
                <w:rFonts w:cstheme="majorBidi"/>
                <w:lang w:val="es-ES_tradnl"/>
              </w:rPr>
              <w:t>12</w:t>
            </w:r>
          </w:p>
        </w:tc>
        <w:tc>
          <w:tcPr>
            <w:tcW w:w="3256" w:type="dxa"/>
          </w:tcPr>
          <w:p w:rsidR="006E17FA" w:rsidRPr="007C30F1" w:rsidRDefault="002A05B0" w:rsidP="007E074C">
            <w:pPr>
              <w:pStyle w:val="Tabletext"/>
              <w:rPr>
                <w:rFonts w:cstheme="majorBidi"/>
                <w:lang w:val="es-ES_tradnl"/>
              </w:rPr>
            </w:pPr>
            <w:r w:rsidRPr="007C30F1">
              <w:rPr>
                <w:rFonts w:cstheme="majorBidi"/>
                <w:lang w:val="es-ES_tradnl"/>
              </w:rPr>
              <w:t>90º Aniversario de las Comisiones de Estudio del CCIR/UIT-R</w:t>
            </w:r>
          </w:p>
          <w:p w:rsidR="002D0BE9" w:rsidRPr="007C30F1" w:rsidRDefault="006E17FA" w:rsidP="007E074C">
            <w:pPr>
              <w:pStyle w:val="Tabletext"/>
              <w:rPr>
                <w:rFonts w:cstheme="majorBidi"/>
                <w:b/>
                <w:i/>
                <w:iCs/>
                <w:lang w:val="es-ES_tradnl"/>
              </w:rPr>
            </w:pPr>
            <w:r w:rsidRPr="007C30F1">
              <w:rPr>
                <w:rFonts w:cstheme="majorBidi"/>
                <w:i/>
                <w:iCs/>
                <w:lang w:val="es-ES_tradnl"/>
              </w:rPr>
              <w:t>(Doc. RAG17/4(Rev.1))</w:t>
            </w:r>
          </w:p>
        </w:tc>
        <w:tc>
          <w:tcPr>
            <w:tcW w:w="9785" w:type="dxa"/>
          </w:tcPr>
          <w:p w:rsidR="0015136E" w:rsidRPr="007C30F1" w:rsidRDefault="00FC7B8B" w:rsidP="007E074C">
            <w:pPr>
              <w:pStyle w:val="Tabletext"/>
              <w:rPr>
                <w:rFonts w:cstheme="majorBidi"/>
                <w:lang w:val="es-ES_tradnl"/>
              </w:rPr>
            </w:pPr>
            <w:r w:rsidRPr="007C30F1">
              <w:rPr>
                <w:rFonts w:cstheme="majorBidi"/>
                <w:lang w:val="es-ES_tradnl"/>
              </w:rPr>
              <w:t>El GAR agradeció el plan propuest</w:t>
            </w:r>
            <w:r w:rsidR="00E258AF" w:rsidRPr="007C30F1">
              <w:rPr>
                <w:rFonts w:cstheme="majorBidi"/>
                <w:lang w:val="es-ES_tradnl"/>
              </w:rPr>
              <w:t>o</w:t>
            </w:r>
            <w:r w:rsidRPr="007C30F1">
              <w:rPr>
                <w:rFonts w:cstheme="majorBidi"/>
                <w:lang w:val="es-ES_tradnl"/>
              </w:rPr>
              <w:t xml:space="preserve"> por la Oficina para la celebración del </w:t>
            </w:r>
            <w:r w:rsidR="0015136E" w:rsidRPr="007C30F1">
              <w:rPr>
                <w:rFonts w:cstheme="majorBidi"/>
                <w:lang w:val="es-ES_tradnl"/>
              </w:rPr>
              <w:t xml:space="preserve">90º Aniversario de las Comisiones de Estudio del </w:t>
            </w:r>
            <w:r w:rsidRPr="007C30F1">
              <w:rPr>
                <w:rFonts w:cstheme="majorBidi"/>
                <w:lang w:val="es-ES_tradnl"/>
              </w:rPr>
              <w:t xml:space="preserve">CCIR/UIT-R, que agrupa varios eventos durante todo el año. </w:t>
            </w:r>
          </w:p>
          <w:p w:rsidR="002D0BE9" w:rsidRPr="007C30F1" w:rsidRDefault="00FC7B8B" w:rsidP="007E074C">
            <w:pPr>
              <w:pStyle w:val="Tabletext"/>
              <w:rPr>
                <w:rFonts w:cstheme="majorBidi"/>
                <w:lang w:val="es-ES_tradnl"/>
              </w:rPr>
            </w:pPr>
            <w:r w:rsidRPr="007C30F1">
              <w:rPr>
                <w:rFonts w:cstheme="majorBidi"/>
                <w:lang w:val="es-ES_tradnl"/>
              </w:rPr>
              <w:t xml:space="preserve">En particular, el GAR </w:t>
            </w:r>
            <w:r w:rsidR="00E258AF" w:rsidRPr="007C30F1">
              <w:rPr>
                <w:rFonts w:cstheme="majorBidi"/>
                <w:lang w:val="es-ES_tradnl"/>
              </w:rPr>
              <w:t>tomó nota de</w:t>
            </w:r>
            <w:r w:rsidRPr="007C30F1">
              <w:rPr>
                <w:rFonts w:cstheme="majorBidi"/>
                <w:lang w:val="es-ES_tradnl"/>
              </w:rPr>
              <w:t xml:space="preserve"> que</w:t>
            </w:r>
            <w:r w:rsidR="00E258AF" w:rsidRPr="007C30F1">
              <w:rPr>
                <w:rFonts w:cstheme="majorBidi"/>
                <w:lang w:val="es-ES_tradnl"/>
              </w:rPr>
              <w:t xml:space="preserve"> este año</w:t>
            </w:r>
            <w:r w:rsidR="0056698F" w:rsidRPr="007C30F1">
              <w:rPr>
                <w:rFonts w:cstheme="majorBidi"/>
                <w:lang w:val="es-ES_tradnl"/>
              </w:rPr>
              <w:t xml:space="preserve"> ITU Telecom World</w:t>
            </w:r>
            <w:r w:rsidRPr="007C30F1">
              <w:rPr>
                <w:rFonts w:cstheme="majorBidi"/>
                <w:lang w:val="es-ES_tradnl"/>
              </w:rPr>
              <w:t xml:space="preserve"> tendrá un nuevo atractivo, pues se ha ofrecido a la BR 200 metros cuadrados para invitar a lo</w:t>
            </w:r>
            <w:r w:rsidR="0056698F" w:rsidRPr="007C30F1">
              <w:rPr>
                <w:rFonts w:cstheme="majorBidi"/>
                <w:lang w:val="es-ES_tradnl"/>
              </w:rPr>
              <w:t xml:space="preserve">s </w:t>
            </w:r>
            <w:r w:rsidR="00BB1868" w:rsidRPr="007C30F1">
              <w:rPr>
                <w:rFonts w:cstheme="majorBidi"/>
                <w:lang w:val="es-ES_tradnl"/>
              </w:rPr>
              <w:t xml:space="preserve">miembros </w:t>
            </w:r>
            <w:r w:rsidR="0056698F" w:rsidRPr="007C30F1">
              <w:rPr>
                <w:rFonts w:cstheme="majorBidi"/>
                <w:lang w:val="es-ES_tradnl"/>
              </w:rPr>
              <w:t xml:space="preserve">de Sector del UIT-R </w:t>
            </w:r>
            <w:r w:rsidRPr="007C30F1">
              <w:rPr>
                <w:rFonts w:cstheme="majorBidi"/>
                <w:lang w:val="es-ES_tradnl"/>
              </w:rPr>
              <w:t>a mostrar sus actividades.</w:t>
            </w:r>
          </w:p>
        </w:tc>
      </w:tr>
      <w:tr w:rsidR="002D0BE9" w:rsidRPr="007C30F1" w:rsidTr="00821E2A">
        <w:trPr>
          <w:jc w:val="center"/>
        </w:trPr>
        <w:tc>
          <w:tcPr>
            <w:tcW w:w="1037" w:type="dxa"/>
          </w:tcPr>
          <w:p w:rsidR="002D0BE9" w:rsidRPr="007C30F1" w:rsidRDefault="002D0BE9" w:rsidP="007E074C">
            <w:pPr>
              <w:pStyle w:val="Tabletext"/>
              <w:jc w:val="center"/>
              <w:rPr>
                <w:rFonts w:cstheme="majorBidi"/>
                <w:lang w:val="es-ES_tradnl"/>
              </w:rPr>
            </w:pPr>
            <w:r w:rsidRPr="007C30F1">
              <w:rPr>
                <w:rFonts w:cstheme="majorBidi"/>
                <w:lang w:val="es-ES_tradnl"/>
              </w:rPr>
              <w:t>1</w:t>
            </w:r>
            <w:r w:rsidR="00730F05" w:rsidRPr="007C30F1">
              <w:rPr>
                <w:rFonts w:cstheme="majorBidi"/>
                <w:lang w:val="es-ES_tradnl"/>
              </w:rPr>
              <w:t>3</w:t>
            </w:r>
          </w:p>
        </w:tc>
        <w:tc>
          <w:tcPr>
            <w:tcW w:w="3256" w:type="dxa"/>
          </w:tcPr>
          <w:p w:rsidR="002D0BE9" w:rsidRPr="007C30F1" w:rsidRDefault="002D0BE9" w:rsidP="007E074C">
            <w:pPr>
              <w:pStyle w:val="Tabletext"/>
              <w:rPr>
                <w:rFonts w:cstheme="majorBidi"/>
                <w:lang w:val="es-ES_tradnl"/>
              </w:rPr>
            </w:pPr>
            <w:r w:rsidRPr="007C30F1">
              <w:rPr>
                <w:rFonts w:cstheme="majorBidi"/>
                <w:lang w:val="es-ES_tradnl"/>
              </w:rPr>
              <w:t xml:space="preserve">Sistema de información de la BR </w:t>
            </w:r>
          </w:p>
          <w:p w:rsidR="002D0BE9" w:rsidRPr="007C30F1" w:rsidRDefault="00730F05" w:rsidP="007E074C">
            <w:pPr>
              <w:pStyle w:val="Tabletext"/>
              <w:rPr>
                <w:rFonts w:cstheme="majorBidi"/>
                <w:lang w:val="es-ES_tradnl"/>
              </w:rPr>
            </w:pPr>
            <w:r w:rsidRPr="007C30F1">
              <w:rPr>
                <w:rFonts w:cstheme="majorBidi"/>
                <w:i/>
                <w:lang w:val="es-ES_tradnl"/>
              </w:rPr>
              <w:t>(Doc. RAG17/1(Rev.1), 14)</w:t>
            </w:r>
          </w:p>
        </w:tc>
        <w:tc>
          <w:tcPr>
            <w:tcW w:w="9785" w:type="dxa"/>
          </w:tcPr>
          <w:p w:rsidR="005F6EAC" w:rsidRPr="007C30F1" w:rsidRDefault="00730F05" w:rsidP="007E074C">
            <w:pPr>
              <w:pStyle w:val="Tabletext"/>
              <w:rPr>
                <w:rFonts w:cstheme="majorBidi"/>
                <w:lang w:val="es-ES_tradnl"/>
              </w:rPr>
            </w:pPr>
            <w:r w:rsidRPr="007C30F1">
              <w:rPr>
                <w:rFonts w:cstheme="majorBidi"/>
                <w:lang w:val="es-ES_tradnl"/>
              </w:rPr>
              <w:t xml:space="preserve">El GAR agradeció los avances logrados en relación con </w:t>
            </w:r>
            <w:r w:rsidR="00E258AF" w:rsidRPr="007C30F1">
              <w:rPr>
                <w:rFonts w:cstheme="majorBidi"/>
                <w:lang w:val="es-ES_tradnl"/>
              </w:rPr>
              <w:t>las actividades de</w:t>
            </w:r>
            <w:r w:rsidRPr="007C30F1">
              <w:rPr>
                <w:rFonts w:cstheme="majorBidi"/>
                <w:lang w:val="es-ES_tradnl"/>
              </w:rPr>
              <w:t xml:space="preserve"> desarrollo del software para la </w:t>
            </w:r>
            <w:r w:rsidR="00E258AF" w:rsidRPr="007C30F1">
              <w:rPr>
                <w:rFonts w:cstheme="majorBidi"/>
                <w:lang w:val="es-ES_tradnl"/>
              </w:rPr>
              <w:t>ejecución</w:t>
            </w:r>
            <w:r w:rsidRPr="007C30F1">
              <w:rPr>
                <w:rFonts w:cstheme="majorBidi"/>
                <w:lang w:val="es-ES_tradnl"/>
              </w:rPr>
              <w:t xml:space="preserve"> </w:t>
            </w:r>
            <w:r w:rsidR="00FC7B8B" w:rsidRPr="007C30F1">
              <w:rPr>
                <w:rFonts w:cstheme="majorBidi"/>
                <w:lang w:val="es-ES_tradnl"/>
              </w:rPr>
              <w:t xml:space="preserve">de las </w:t>
            </w:r>
            <w:r w:rsidR="00E258AF" w:rsidRPr="007C30F1">
              <w:rPr>
                <w:rFonts w:cstheme="majorBidi"/>
                <w:lang w:val="es-ES_tradnl"/>
              </w:rPr>
              <w:t>acciones</w:t>
            </w:r>
            <w:r w:rsidR="00FC7B8B" w:rsidRPr="007C30F1">
              <w:rPr>
                <w:rFonts w:cstheme="majorBidi"/>
                <w:lang w:val="es-ES_tradnl"/>
              </w:rPr>
              <w:t xml:space="preserve"> incluidas en </w:t>
            </w:r>
            <w:r w:rsidRPr="007C30F1">
              <w:rPr>
                <w:rFonts w:cstheme="majorBidi"/>
                <w:lang w:val="es-ES_tradnl"/>
              </w:rPr>
              <w:t>la hoja de ruta</w:t>
            </w:r>
            <w:r w:rsidR="005F6EAC" w:rsidRPr="007C30F1">
              <w:rPr>
                <w:rFonts w:cstheme="majorBidi"/>
                <w:lang w:val="es-ES_tradnl"/>
              </w:rPr>
              <w:t xml:space="preserve"> según la recomendación de </w:t>
            </w:r>
            <w:r w:rsidRPr="007C30F1">
              <w:rPr>
                <w:rFonts w:cstheme="majorBidi"/>
                <w:lang w:val="es-ES_tradnl"/>
              </w:rPr>
              <w:t xml:space="preserve">la 19ª reunión del GAR, </w:t>
            </w:r>
            <w:r w:rsidR="00E258AF" w:rsidRPr="007C30F1">
              <w:rPr>
                <w:rFonts w:cstheme="majorBidi"/>
                <w:lang w:val="es-ES_tradnl"/>
              </w:rPr>
              <w:t>con el fin de</w:t>
            </w:r>
            <w:r w:rsidR="005F6EAC" w:rsidRPr="007C30F1">
              <w:rPr>
                <w:rFonts w:cstheme="majorBidi"/>
                <w:lang w:val="es-ES_tradnl"/>
              </w:rPr>
              <w:t xml:space="preserve"> seguir </w:t>
            </w:r>
            <w:r w:rsidRPr="007C30F1">
              <w:rPr>
                <w:rFonts w:cstheme="majorBidi"/>
                <w:lang w:val="es-ES_tradnl"/>
              </w:rPr>
              <w:t xml:space="preserve">desarrollando el sistema de información de la BR. </w:t>
            </w:r>
            <w:r w:rsidR="005F6EAC" w:rsidRPr="007C30F1">
              <w:rPr>
                <w:rFonts w:cstheme="majorBidi"/>
                <w:lang w:val="es-ES_tradnl"/>
              </w:rPr>
              <w:t xml:space="preserve">El GAR también comentó </w:t>
            </w:r>
            <w:r w:rsidR="008430F5" w:rsidRPr="007C30F1">
              <w:rPr>
                <w:rFonts w:cstheme="majorBidi"/>
                <w:lang w:val="es-ES_tradnl"/>
              </w:rPr>
              <w:t>las actividades</w:t>
            </w:r>
            <w:r w:rsidR="005F6EAC" w:rsidRPr="007C30F1">
              <w:rPr>
                <w:rFonts w:cstheme="majorBidi"/>
                <w:lang w:val="es-ES_tradnl"/>
              </w:rPr>
              <w:t xml:space="preserve"> en curso </w:t>
            </w:r>
            <w:r w:rsidR="008430F5" w:rsidRPr="007C30F1">
              <w:rPr>
                <w:rFonts w:cstheme="majorBidi"/>
                <w:lang w:val="es-ES_tradnl"/>
              </w:rPr>
              <w:t>para la migración de Ingres, que se está</w:t>
            </w:r>
            <w:r w:rsidR="00E258AF" w:rsidRPr="007C30F1">
              <w:rPr>
                <w:rFonts w:cstheme="majorBidi"/>
                <w:lang w:val="es-ES_tradnl"/>
              </w:rPr>
              <w:t>n</w:t>
            </w:r>
            <w:r w:rsidR="008430F5" w:rsidRPr="007C30F1">
              <w:rPr>
                <w:rFonts w:cstheme="majorBidi"/>
                <w:lang w:val="es-ES_tradnl"/>
              </w:rPr>
              <w:t xml:space="preserve"> realizando gradualmente tanto para aplicaciones espaciales como terrenales. </w:t>
            </w:r>
          </w:p>
          <w:p w:rsidR="002D0BE9" w:rsidRPr="007C30F1" w:rsidRDefault="008430F5" w:rsidP="007E074C">
            <w:pPr>
              <w:pStyle w:val="Tabletext"/>
              <w:rPr>
                <w:rFonts w:cstheme="majorBidi"/>
                <w:lang w:val="es-ES_tradnl"/>
              </w:rPr>
            </w:pPr>
            <w:r w:rsidRPr="007C30F1">
              <w:rPr>
                <w:rFonts w:cstheme="majorBidi"/>
                <w:lang w:val="es-ES_tradnl"/>
              </w:rPr>
              <w:t xml:space="preserve">El GAR consideró el </w:t>
            </w:r>
            <w:r w:rsidR="00B50966" w:rsidRPr="007C30F1">
              <w:rPr>
                <w:rFonts w:cstheme="majorBidi"/>
                <w:lang w:val="es-ES_tradnl"/>
              </w:rPr>
              <w:t>Doc</w:t>
            </w:r>
            <w:r w:rsidR="00B50966">
              <w:rPr>
                <w:rFonts w:cstheme="majorBidi"/>
                <w:lang w:val="es-ES_tradnl"/>
              </w:rPr>
              <w:t>umento</w:t>
            </w:r>
            <w:r w:rsidR="00730F05" w:rsidRPr="007C30F1">
              <w:rPr>
                <w:rFonts w:cstheme="majorBidi"/>
                <w:lang w:val="es-ES_tradnl"/>
              </w:rPr>
              <w:t xml:space="preserve"> RAG17/14 </w:t>
            </w:r>
            <w:r w:rsidRPr="007C30F1">
              <w:rPr>
                <w:rFonts w:cstheme="majorBidi"/>
                <w:lang w:val="es-ES_tradnl"/>
              </w:rPr>
              <w:t xml:space="preserve">de Japón sobre la operación y mantenimiento del mecanismo de búsqueda de la base de datos de Documentos del UIT-R. EL GAR agradeció a Japón el aprovechamiento de los recursos </w:t>
            </w:r>
            <w:r w:rsidR="006A7692" w:rsidRPr="007C30F1">
              <w:rPr>
                <w:rFonts w:cstheme="majorBidi"/>
                <w:lang w:val="es-ES_tradnl"/>
              </w:rPr>
              <w:t xml:space="preserve">para el desarrollo de esta herramienta, así como por la valiosa contribución de los expertos japoneses en este proyecto y, en particular, del Dr. </w:t>
            </w:r>
            <w:r w:rsidR="00730F05" w:rsidRPr="007C30F1">
              <w:rPr>
                <w:rFonts w:cstheme="majorBidi"/>
                <w:lang w:val="es-ES_tradnl"/>
              </w:rPr>
              <w:t>Hashimoto.</w:t>
            </w:r>
          </w:p>
        </w:tc>
      </w:tr>
      <w:tr w:rsidR="002D0BE9" w:rsidRPr="007C30F1" w:rsidTr="00821E2A">
        <w:trPr>
          <w:jc w:val="center"/>
        </w:trPr>
        <w:tc>
          <w:tcPr>
            <w:tcW w:w="1037" w:type="dxa"/>
          </w:tcPr>
          <w:p w:rsidR="002D0BE9" w:rsidRPr="007C30F1" w:rsidRDefault="002D0BE9" w:rsidP="007E074C">
            <w:pPr>
              <w:pStyle w:val="Tabletext"/>
              <w:jc w:val="center"/>
              <w:rPr>
                <w:rFonts w:cstheme="majorBidi"/>
                <w:lang w:val="es-ES_tradnl"/>
              </w:rPr>
            </w:pPr>
            <w:r w:rsidRPr="007C30F1">
              <w:rPr>
                <w:rFonts w:cstheme="majorBidi"/>
                <w:lang w:val="es-ES_tradnl"/>
              </w:rPr>
              <w:t>1</w:t>
            </w:r>
            <w:r w:rsidR="005F55F4" w:rsidRPr="007C30F1">
              <w:rPr>
                <w:rFonts w:cstheme="majorBidi"/>
                <w:lang w:val="es-ES_tradnl"/>
              </w:rPr>
              <w:t>4</w:t>
            </w:r>
          </w:p>
        </w:tc>
        <w:tc>
          <w:tcPr>
            <w:tcW w:w="3256" w:type="dxa"/>
          </w:tcPr>
          <w:p w:rsidR="00730F05" w:rsidRPr="007C30F1" w:rsidRDefault="002A05B0" w:rsidP="007E074C">
            <w:pPr>
              <w:pStyle w:val="Tabletext"/>
              <w:rPr>
                <w:rFonts w:eastAsia="Arial Unicode MS" w:cstheme="majorBidi"/>
                <w:lang w:val="es-ES_tradnl"/>
              </w:rPr>
            </w:pPr>
            <w:r w:rsidRPr="007C30F1">
              <w:rPr>
                <w:rFonts w:eastAsia="Arial Unicode MS" w:cstheme="majorBidi"/>
                <w:lang w:val="es-ES_tradnl"/>
              </w:rPr>
              <w:t>Actividades de contacto con los miembros</w:t>
            </w:r>
          </w:p>
          <w:p w:rsidR="002D0BE9" w:rsidRPr="007C30F1" w:rsidRDefault="00730F05" w:rsidP="007E074C">
            <w:pPr>
              <w:pStyle w:val="Tabletext"/>
              <w:rPr>
                <w:rFonts w:eastAsia="Arial Unicode MS" w:cstheme="majorBidi"/>
                <w:i/>
                <w:iCs/>
                <w:lang w:val="es-ES_tradnl"/>
              </w:rPr>
            </w:pPr>
            <w:r w:rsidRPr="007C30F1">
              <w:rPr>
                <w:rFonts w:eastAsia="Arial Unicode MS" w:cstheme="majorBidi"/>
                <w:i/>
                <w:iCs/>
                <w:lang w:val="es-ES_tradnl"/>
              </w:rPr>
              <w:t>(Doc. RAG17/1(Rev.1)+Corr.1)</w:t>
            </w:r>
          </w:p>
        </w:tc>
        <w:tc>
          <w:tcPr>
            <w:tcW w:w="9785" w:type="dxa"/>
          </w:tcPr>
          <w:p w:rsidR="006A7692" w:rsidRPr="007C30F1" w:rsidRDefault="005F55F4" w:rsidP="007E074C">
            <w:pPr>
              <w:pStyle w:val="Tabletext"/>
              <w:keepNext/>
              <w:keepLines/>
              <w:rPr>
                <w:rFonts w:cstheme="majorBidi"/>
                <w:lang w:val="es-ES_tradnl"/>
              </w:rPr>
            </w:pPr>
            <w:r w:rsidRPr="007C30F1">
              <w:rPr>
                <w:rFonts w:cstheme="majorBidi"/>
                <w:lang w:val="es-ES_tradnl"/>
              </w:rPr>
              <w:t>El GAR tomó nota de las principales actividades realizadas por la Oficina durante el último año en lo que respecta a la asistencia técnica a los miembros, incluidos seminarios y talleres sobre radiocomunicaciones</w:t>
            </w:r>
            <w:r w:rsidR="00730F05" w:rsidRPr="007C30F1">
              <w:rPr>
                <w:rFonts w:cstheme="majorBidi"/>
                <w:lang w:val="es-ES_tradnl"/>
              </w:rPr>
              <w:t xml:space="preserve">. </w:t>
            </w:r>
            <w:r w:rsidR="006A7692" w:rsidRPr="007C30F1">
              <w:rPr>
                <w:rFonts w:cstheme="majorBidi"/>
                <w:lang w:val="es-ES_tradnl"/>
              </w:rPr>
              <w:t xml:space="preserve">El GAR tomó nota con satisfacción del aumento del número de descargas de las publicaciones gratuitas y solicitó al Director </w:t>
            </w:r>
            <w:r w:rsidR="002E1A79" w:rsidRPr="007C30F1">
              <w:rPr>
                <w:rFonts w:cstheme="majorBidi"/>
                <w:lang w:val="es-ES_tradnl"/>
              </w:rPr>
              <w:t xml:space="preserve">perseguir </w:t>
            </w:r>
            <w:r w:rsidR="006A7692" w:rsidRPr="007C30F1">
              <w:rPr>
                <w:rFonts w:cstheme="majorBidi"/>
                <w:lang w:val="es-ES_tradnl"/>
              </w:rPr>
              <w:t>una mayor simplificación del acceso a esas</w:t>
            </w:r>
            <w:r w:rsidR="0056698F" w:rsidRPr="007C30F1">
              <w:rPr>
                <w:rFonts w:cstheme="majorBidi"/>
                <w:lang w:val="es-ES_tradnl"/>
              </w:rPr>
              <w:t xml:space="preserve"> publicaciones por lo </w:t>
            </w:r>
            <w:r w:rsidR="00D7115F" w:rsidRPr="007C30F1">
              <w:rPr>
                <w:rFonts w:cstheme="majorBidi"/>
                <w:lang w:val="es-ES_tradnl"/>
              </w:rPr>
              <w:t>miembros</w:t>
            </w:r>
            <w:r w:rsidR="0056698F" w:rsidRPr="007C30F1">
              <w:rPr>
                <w:rFonts w:cstheme="majorBidi"/>
                <w:lang w:val="es-ES_tradnl"/>
              </w:rPr>
              <w:t>.</w:t>
            </w:r>
          </w:p>
          <w:p w:rsidR="002D0BE9" w:rsidRPr="007C30F1" w:rsidRDefault="006A7692" w:rsidP="007E074C">
            <w:pPr>
              <w:pStyle w:val="Tabletext"/>
              <w:keepNext/>
              <w:keepLines/>
              <w:rPr>
                <w:rFonts w:cstheme="majorBidi"/>
                <w:lang w:val="es-ES_tradnl"/>
              </w:rPr>
            </w:pPr>
            <w:r w:rsidRPr="007C30F1">
              <w:rPr>
                <w:rFonts w:cstheme="majorBidi"/>
                <w:lang w:val="es-ES_tradnl"/>
              </w:rPr>
              <w:t xml:space="preserve">El GAR también tomó nota de los esfuerzos realizados por la BR para atraer a más Miembros de Sector incluidas las </w:t>
            </w:r>
            <w:r w:rsidR="00CE79CE" w:rsidRPr="007C30F1">
              <w:rPr>
                <w:rFonts w:cstheme="majorBidi"/>
                <w:lang w:val="es-ES_tradnl"/>
              </w:rPr>
              <w:t>Instituciones Académicas</w:t>
            </w:r>
            <w:r w:rsidRPr="007C30F1">
              <w:rPr>
                <w:rFonts w:cstheme="majorBidi"/>
                <w:lang w:val="es-ES_tradnl"/>
              </w:rPr>
              <w:t>, así como de las actividades de comunicación y promoción llevadas a cabo por la Oficina. El GAR recomendó un enfoque armonizado de los sitios web de todos los Sectores.</w:t>
            </w:r>
          </w:p>
        </w:tc>
      </w:tr>
      <w:tr w:rsidR="002D0BE9" w:rsidRPr="007C30F1" w:rsidTr="00821E2A">
        <w:trPr>
          <w:jc w:val="center"/>
        </w:trPr>
        <w:tc>
          <w:tcPr>
            <w:tcW w:w="1037" w:type="dxa"/>
          </w:tcPr>
          <w:p w:rsidR="002D0BE9" w:rsidRPr="007C30F1" w:rsidRDefault="002D0BE9" w:rsidP="007E074C">
            <w:pPr>
              <w:pStyle w:val="Tabletext"/>
              <w:jc w:val="center"/>
              <w:rPr>
                <w:rFonts w:cstheme="majorBidi"/>
                <w:lang w:val="es-ES_tradnl"/>
              </w:rPr>
            </w:pPr>
            <w:r w:rsidRPr="007C30F1">
              <w:rPr>
                <w:rFonts w:cstheme="majorBidi"/>
                <w:lang w:val="es-ES_tradnl"/>
              </w:rPr>
              <w:t>1</w:t>
            </w:r>
            <w:r w:rsidR="005F55F4" w:rsidRPr="007C30F1">
              <w:rPr>
                <w:rFonts w:cstheme="majorBidi"/>
                <w:lang w:val="es-ES_tradnl"/>
              </w:rPr>
              <w:t>5</w:t>
            </w:r>
          </w:p>
        </w:tc>
        <w:tc>
          <w:tcPr>
            <w:tcW w:w="3256" w:type="dxa"/>
          </w:tcPr>
          <w:p w:rsidR="002D0BE9" w:rsidRPr="007C30F1" w:rsidRDefault="002D0BE9" w:rsidP="007E074C">
            <w:pPr>
              <w:pStyle w:val="Tabletext"/>
              <w:rPr>
                <w:rFonts w:eastAsia="Arial Unicode MS" w:cstheme="majorBidi"/>
                <w:lang w:val="es-ES_tradnl"/>
              </w:rPr>
            </w:pPr>
            <w:r w:rsidRPr="007C30F1">
              <w:rPr>
                <w:rFonts w:cstheme="majorBidi"/>
                <w:lang w:val="es-ES_tradnl"/>
              </w:rPr>
              <w:t>Fecha de la próxima reunión</w:t>
            </w:r>
          </w:p>
        </w:tc>
        <w:tc>
          <w:tcPr>
            <w:tcW w:w="9785" w:type="dxa"/>
          </w:tcPr>
          <w:p w:rsidR="002D0BE9" w:rsidRPr="007C30F1" w:rsidRDefault="002D0BE9" w:rsidP="007E074C">
            <w:pPr>
              <w:pStyle w:val="Tabletext"/>
              <w:rPr>
                <w:rFonts w:cstheme="majorBidi"/>
                <w:lang w:val="es-ES_tradnl"/>
              </w:rPr>
            </w:pPr>
            <w:r w:rsidRPr="007C30F1">
              <w:rPr>
                <w:rFonts w:cstheme="majorBidi"/>
                <w:lang w:val="es-ES_tradnl"/>
              </w:rPr>
              <w:t>Está previsto que la 2</w:t>
            </w:r>
            <w:r w:rsidR="005F55F4" w:rsidRPr="007C30F1">
              <w:rPr>
                <w:rFonts w:cstheme="majorBidi"/>
                <w:lang w:val="es-ES_tradnl"/>
              </w:rPr>
              <w:t>5</w:t>
            </w:r>
            <w:r w:rsidRPr="007C30F1">
              <w:rPr>
                <w:rFonts w:cstheme="majorBidi"/>
                <w:lang w:val="es-ES_tradnl"/>
              </w:rPr>
              <w:t>ª reunión del GAR se celebre del 2</w:t>
            </w:r>
            <w:r w:rsidR="005F55F4" w:rsidRPr="007C30F1">
              <w:rPr>
                <w:rFonts w:cstheme="majorBidi"/>
                <w:lang w:val="es-ES_tradnl"/>
              </w:rPr>
              <w:t>6</w:t>
            </w:r>
            <w:r w:rsidRPr="007C30F1">
              <w:rPr>
                <w:rFonts w:cstheme="majorBidi"/>
                <w:lang w:val="es-ES_tradnl"/>
              </w:rPr>
              <w:t xml:space="preserve"> al 2</w:t>
            </w:r>
            <w:r w:rsidR="005F55F4" w:rsidRPr="007C30F1">
              <w:rPr>
                <w:rFonts w:cstheme="majorBidi"/>
                <w:lang w:val="es-ES_tradnl"/>
              </w:rPr>
              <w:t>9</w:t>
            </w:r>
            <w:r w:rsidRPr="007C30F1">
              <w:rPr>
                <w:rFonts w:cstheme="majorBidi"/>
                <w:lang w:val="es-ES_tradnl"/>
              </w:rPr>
              <w:t xml:space="preserve"> de </w:t>
            </w:r>
            <w:r w:rsidR="005F55F4" w:rsidRPr="007C30F1">
              <w:rPr>
                <w:rFonts w:cstheme="majorBidi"/>
                <w:lang w:val="es-ES_tradnl"/>
              </w:rPr>
              <w:t>marzo</w:t>
            </w:r>
            <w:r w:rsidRPr="007C30F1">
              <w:rPr>
                <w:rFonts w:cstheme="majorBidi"/>
                <w:lang w:val="es-ES_tradnl"/>
              </w:rPr>
              <w:t xml:space="preserve"> de 201</w:t>
            </w:r>
            <w:r w:rsidR="005F55F4" w:rsidRPr="007C30F1">
              <w:rPr>
                <w:rFonts w:cstheme="majorBidi"/>
                <w:lang w:val="es-ES_tradnl"/>
              </w:rPr>
              <w:t>8</w:t>
            </w:r>
            <w:r w:rsidRPr="007C30F1">
              <w:rPr>
                <w:rFonts w:cstheme="majorBidi"/>
                <w:lang w:val="es-ES_tradnl"/>
              </w:rPr>
              <w:t xml:space="preserve">. </w:t>
            </w:r>
            <w:r w:rsidR="002E1A79" w:rsidRPr="007C30F1">
              <w:rPr>
                <w:rFonts w:cstheme="majorBidi"/>
                <w:lang w:val="es-ES_tradnl"/>
              </w:rPr>
              <w:t xml:space="preserve">Se prevé que el segundo día de la reunión </w:t>
            </w:r>
            <w:r w:rsidR="003B3442" w:rsidRPr="007C30F1">
              <w:rPr>
                <w:rFonts w:cstheme="majorBidi"/>
                <w:lang w:val="es-ES_tradnl"/>
              </w:rPr>
              <w:t xml:space="preserve">(sin interpretación) </w:t>
            </w:r>
            <w:r w:rsidR="002E1A79" w:rsidRPr="007C30F1">
              <w:rPr>
                <w:rFonts w:cstheme="majorBidi"/>
                <w:lang w:val="es-ES_tradnl"/>
              </w:rPr>
              <w:t>se dedique al debate de los proyect</w:t>
            </w:r>
            <w:r w:rsidR="0056698F" w:rsidRPr="007C30F1">
              <w:rPr>
                <w:rFonts w:cstheme="majorBidi"/>
                <w:lang w:val="es-ES_tradnl"/>
              </w:rPr>
              <w:t xml:space="preserve">os de los Planes Estratégico y </w:t>
            </w:r>
            <w:r w:rsidR="002E1A79" w:rsidRPr="007C30F1">
              <w:rPr>
                <w:rFonts w:cstheme="majorBidi"/>
                <w:lang w:val="es-ES_tradnl"/>
              </w:rPr>
              <w:t>Operacional</w:t>
            </w:r>
            <w:r w:rsidR="003B3442" w:rsidRPr="007C30F1">
              <w:rPr>
                <w:rFonts w:cstheme="majorBidi"/>
                <w:lang w:val="es-ES_tradnl"/>
              </w:rPr>
              <w:t>.</w:t>
            </w:r>
          </w:p>
        </w:tc>
      </w:tr>
      <w:tr w:rsidR="002D0BE9" w:rsidRPr="007C30F1" w:rsidTr="00821E2A">
        <w:trPr>
          <w:jc w:val="center"/>
        </w:trPr>
        <w:tc>
          <w:tcPr>
            <w:tcW w:w="1037" w:type="dxa"/>
          </w:tcPr>
          <w:p w:rsidR="002D0BE9" w:rsidRPr="007C30F1" w:rsidRDefault="002D0BE9" w:rsidP="007E074C">
            <w:pPr>
              <w:pStyle w:val="Tabletext"/>
              <w:jc w:val="center"/>
              <w:rPr>
                <w:rFonts w:cstheme="majorBidi"/>
                <w:lang w:val="es-ES_tradnl"/>
              </w:rPr>
            </w:pPr>
            <w:r w:rsidRPr="007C30F1">
              <w:rPr>
                <w:rFonts w:cstheme="majorBidi"/>
                <w:lang w:val="es-ES_tradnl"/>
              </w:rPr>
              <w:t>1</w:t>
            </w:r>
            <w:r w:rsidR="005F55F4" w:rsidRPr="007C30F1">
              <w:rPr>
                <w:rFonts w:cstheme="majorBidi"/>
                <w:lang w:val="es-ES_tradnl"/>
              </w:rPr>
              <w:t>6</w:t>
            </w:r>
          </w:p>
        </w:tc>
        <w:tc>
          <w:tcPr>
            <w:tcW w:w="3256" w:type="dxa"/>
          </w:tcPr>
          <w:p w:rsidR="002D0BE9" w:rsidRPr="007C30F1" w:rsidRDefault="002D0BE9" w:rsidP="00867C69">
            <w:pPr>
              <w:pStyle w:val="Tabletext"/>
              <w:spacing w:after="360"/>
              <w:rPr>
                <w:rFonts w:eastAsia="Arial Unicode MS" w:cstheme="majorBidi"/>
                <w:lang w:val="es-ES_tradnl"/>
              </w:rPr>
            </w:pPr>
            <w:r w:rsidRPr="007C30F1">
              <w:rPr>
                <w:rFonts w:cstheme="majorBidi"/>
                <w:lang w:val="es-ES_tradnl"/>
              </w:rPr>
              <w:t>O</w:t>
            </w:r>
            <w:r w:rsidRPr="007C30F1">
              <w:rPr>
                <w:rFonts w:eastAsia="Arial Unicode MS" w:cstheme="majorBidi"/>
                <w:lang w:val="es-ES_tradnl"/>
              </w:rPr>
              <w:t>tros asuntos</w:t>
            </w:r>
          </w:p>
        </w:tc>
        <w:tc>
          <w:tcPr>
            <w:tcW w:w="9785" w:type="dxa"/>
          </w:tcPr>
          <w:p w:rsidR="002D0BE9" w:rsidRPr="007C30F1" w:rsidRDefault="002D0BE9" w:rsidP="00867C69">
            <w:pPr>
              <w:pStyle w:val="Tabletext"/>
              <w:spacing w:after="120"/>
              <w:rPr>
                <w:rFonts w:cstheme="majorBidi"/>
                <w:lang w:val="es-ES_tradnl"/>
              </w:rPr>
            </w:pPr>
          </w:p>
        </w:tc>
      </w:tr>
    </w:tbl>
    <w:p w:rsidR="002D0BE9" w:rsidRPr="007C30F1" w:rsidRDefault="002D0BE9" w:rsidP="00BD3A99">
      <w:pPr>
        <w:jc w:val="center"/>
        <w:rPr>
          <w:lang w:val="es-ES_tradnl"/>
        </w:rPr>
      </w:pPr>
    </w:p>
    <w:p w:rsidR="002D0BE9" w:rsidRPr="007C30F1" w:rsidRDefault="002D0BE9" w:rsidP="00E10D6A">
      <w:pPr>
        <w:rPr>
          <w:lang w:val="es-ES_tradnl"/>
        </w:rPr>
      </w:pPr>
      <w:r w:rsidRPr="007C30F1">
        <w:rPr>
          <w:lang w:val="es-ES_tradnl"/>
        </w:rPr>
        <w:t>ANEXOS:</w:t>
      </w:r>
    </w:p>
    <w:p w:rsidR="002D0BE9" w:rsidRPr="007C30F1" w:rsidRDefault="002D0BE9" w:rsidP="00981DB8">
      <w:pPr>
        <w:ind w:left="1191" w:hanging="1191"/>
        <w:rPr>
          <w:bCs/>
          <w:spacing w:val="-6"/>
          <w:lang w:val="es-ES_tradnl"/>
        </w:rPr>
      </w:pPr>
      <w:r w:rsidRPr="007C30F1">
        <w:rPr>
          <w:bCs/>
          <w:spacing w:val="-6"/>
          <w:lang w:val="es-ES_tradnl"/>
        </w:rPr>
        <w:t>ANEXO 1:</w:t>
      </w:r>
      <w:r w:rsidRPr="007C30F1">
        <w:rPr>
          <w:bCs/>
          <w:spacing w:val="-6"/>
          <w:lang w:val="es-ES_tradnl"/>
        </w:rPr>
        <w:tab/>
      </w:r>
      <w:r w:rsidR="00390BEE" w:rsidRPr="007C30F1">
        <w:rPr>
          <w:bCs/>
          <w:spacing w:val="-6"/>
          <w:lang w:val="es-ES_tradnl"/>
        </w:rPr>
        <w:t xml:space="preserve">Declaración de Coordinación </w:t>
      </w:r>
      <w:r w:rsidR="002E1A79" w:rsidRPr="007C30F1">
        <w:rPr>
          <w:bCs/>
          <w:spacing w:val="-6"/>
          <w:lang w:val="es-ES_tradnl"/>
        </w:rPr>
        <w:t xml:space="preserve">del GAR </w:t>
      </w:r>
      <w:r w:rsidR="00390BEE" w:rsidRPr="007C30F1">
        <w:rPr>
          <w:bCs/>
          <w:spacing w:val="-6"/>
          <w:lang w:val="es-ES_tradnl"/>
        </w:rPr>
        <w:t>al GADT – Cooperación y coordinación entre el UIT-R y el UIT-D en relación con la Resolución 9</w:t>
      </w:r>
      <w:r w:rsidR="00981DB8" w:rsidRPr="007C30F1">
        <w:rPr>
          <w:bCs/>
          <w:spacing w:val="-6"/>
          <w:lang w:val="es-ES_tradnl"/>
        </w:rPr>
        <w:t xml:space="preserve"> (Rev. Dubái, 2014)</w:t>
      </w:r>
      <w:r w:rsidR="00390BEE" w:rsidRPr="007C30F1">
        <w:rPr>
          <w:bCs/>
          <w:spacing w:val="-6"/>
          <w:lang w:val="es-ES_tradnl"/>
        </w:rPr>
        <w:t xml:space="preserve"> de la CMDT</w:t>
      </w:r>
      <w:r w:rsidR="00981DB8" w:rsidRPr="007C30F1">
        <w:rPr>
          <w:bCs/>
          <w:spacing w:val="-6"/>
          <w:lang w:val="es-ES_tradnl"/>
        </w:rPr>
        <w:t>.</w:t>
      </w:r>
    </w:p>
    <w:p w:rsidR="002D0BE9" w:rsidRPr="007C30F1" w:rsidRDefault="002D0BE9" w:rsidP="00981DB8">
      <w:pPr>
        <w:ind w:left="1191" w:hanging="1191"/>
        <w:rPr>
          <w:bCs/>
          <w:spacing w:val="-6"/>
          <w:lang w:val="es-ES_tradnl"/>
        </w:rPr>
      </w:pPr>
      <w:r w:rsidRPr="007C30F1">
        <w:rPr>
          <w:bCs/>
          <w:spacing w:val="-6"/>
          <w:lang w:val="es-ES_tradnl"/>
        </w:rPr>
        <w:t>ANEXO 2:</w:t>
      </w:r>
      <w:r w:rsidRPr="007C30F1">
        <w:rPr>
          <w:bCs/>
          <w:spacing w:val="-6"/>
          <w:lang w:val="es-ES_tradnl"/>
        </w:rPr>
        <w:tab/>
      </w:r>
      <w:r w:rsidR="005F1323" w:rsidRPr="007C30F1">
        <w:rPr>
          <w:bCs/>
          <w:spacing w:val="-6"/>
          <w:lang w:val="es-ES_tradnl"/>
        </w:rPr>
        <w:t>Proyecto de Plan Operacional cuadrienal renovable del Sector de Radiocomunicaciones para 2018-2021</w:t>
      </w:r>
      <w:r w:rsidR="00981DB8" w:rsidRPr="007C30F1">
        <w:rPr>
          <w:bCs/>
          <w:spacing w:val="-6"/>
          <w:lang w:val="es-ES_tradnl"/>
        </w:rPr>
        <w:t>.</w:t>
      </w:r>
    </w:p>
    <w:p w:rsidR="00390BEE" w:rsidRPr="007C30F1" w:rsidRDefault="00390BEE" w:rsidP="007E074C">
      <w:pPr>
        <w:spacing w:line="240" w:lineRule="auto"/>
        <w:ind w:left="1191" w:hanging="1191"/>
        <w:rPr>
          <w:lang w:val="es-ES_tradnl"/>
        </w:rPr>
      </w:pPr>
    </w:p>
    <w:p w:rsidR="00390BEE" w:rsidRPr="007C30F1" w:rsidRDefault="00390BEE" w:rsidP="007E074C">
      <w:pPr>
        <w:spacing w:line="240" w:lineRule="auto"/>
        <w:rPr>
          <w:lang w:val="es-ES_tradnl"/>
        </w:rPr>
        <w:sectPr w:rsidR="00390BEE" w:rsidRPr="007C30F1" w:rsidSect="002D0BE9">
          <w:headerReference w:type="first" r:id="rId25"/>
          <w:footerReference w:type="first" r:id="rId26"/>
          <w:pgSz w:w="16834" w:h="11907" w:orient="landscape" w:code="9"/>
          <w:pgMar w:top="1134" w:right="1134" w:bottom="1134" w:left="993" w:header="567" w:footer="397" w:gutter="0"/>
          <w:cols w:space="720"/>
          <w:titlePg/>
          <w:docGrid w:linePitch="326"/>
        </w:sectPr>
      </w:pPr>
    </w:p>
    <w:p w:rsidR="00390BEE" w:rsidRPr="007C30F1" w:rsidRDefault="00390BEE" w:rsidP="00304607">
      <w:pPr>
        <w:pStyle w:val="AnnexNo"/>
      </w:pPr>
      <w:r w:rsidRPr="007C30F1">
        <w:lastRenderedPageBreak/>
        <w:t>Anexo</w:t>
      </w:r>
      <w:r w:rsidR="002E1A79" w:rsidRPr="007C30F1">
        <w:t xml:space="preserve"> 1</w:t>
      </w:r>
    </w:p>
    <w:p w:rsidR="00821E2A" w:rsidRPr="007C30F1" w:rsidRDefault="002E1A79" w:rsidP="006F3014">
      <w:pPr>
        <w:pStyle w:val="Annextitle"/>
        <w:rPr>
          <w:lang w:eastAsia="ja-JP"/>
        </w:rPr>
      </w:pPr>
      <w:r w:rsidRPr="007C30F1">
        <w:rPr>
          <w:lang w:eastAsia="ja-JP"/>
        </w:rPr>
        <w:t>DECLARACIÓN DE COORDINACIÓN DEL GAR AL GADT</w:t>
      </w:r>
    </w:p>
    <w:p w:rsidR="00821E2A" w:rsidRPr="007C30F1" w:rsidRDefault="002E1A79" w:rsidP="007E074C">
      <w:pPr>
        <w:spacing w:line="240" w:lineRule="auto"/>
        <w:jc w:val="center"/>
        <w:rPr>
          <w:rFonts w:asciiTheme="minorHAnsi" w:hAnsiTheme="minorHAnsi"/>
          <w:szCs w:val="24"/>
          <w:lang w:val="es-ES_tradnl" w:eastAsia="ja-JP"/>
        </w:rPr>
      </w:pPr>
      <w:r w:rsidRPr="007C30F1">
        <w:rPr>
          <w:rFonts w:asciiTheme="minorHAnsi" w:hAnsiTheme="minorHAnsi"/>
          <w:szCs w:val="24"/>
          <w:lang w:val="es-ES_tradnl" w:eastAsia="ja-JP"/>
        </w:rPr>
        <w:t xml:space="preserve">(Copia informativa a la Comisión de Estudio 1 del UIT-R </w:t>
      </w:r>
      <w:r w:rsidR="00E362FE" w:rsidRPr="007C30F1">
        <w:rPr>
          <w:rFonts w:asciiTheme="minorHAnsi" w:hAnsiTheme="minorHAnsi"/>
          <w:szCs w:val="24"/>
          <w:lang w:val="es-ES_tradnl" w:eastAsia="ja-JP"/>
        </w:rPr>
        <w:br/>
      </w:r>
      <w:r w:rsidRPr="007C30F1">
        <w:rPr>
          <w:rFonts w:asciiTheme="minorHAnsi" w:hAnsiTheme="minorHAnsi"/>
          <w:szCs w:val="24"/>
          <w:lang w:val="es-ES_tradnl" w:eastAsia="ja-JP"/>
        </w:rPr>
        <w:t>y a los Grupos de Trabajo 5A y 5D</w:t>
      </w:r>
      <w:r w:rsidR="00E362FE" w:rsidRPr="007C30F1">
        <w:rPr>
          <w:rFonts w:asciiTheme="minorHAnsi" w:hAnsiTheme="minorHAnsi"/>
          <w:szCs w:val="24"/>
          <w:lang w:val="es-ES_tradnl" w:eastAsia="ja-JP"/>
        </w:rPr>
        <w:t xml:space="preserve"> del UIT-R</w:t>
      </w:r>
      <w:r w:rsidR="00304607" w:rsidRPr="007C30F1">
        <w:rPr>
          <w:rFonts w:asciiTheme="minorHAnsi" w:hAnsiTheme="minorHAnsi"/>
          <w:szCs w:val="24"/>
          <w:lang w:val="es-ES_tradnl" w:eastAsia="ja-JP"/>
        </w:rPr>
        <w:t>)</w:t>
      </w:r>
    </w:p>
    <w:p w:rsidR="00390BEE" w:rsidRPr="007C30F1" w:rsidRDefault="00390BEE" w:rsidP="007E074C">
      <w:pPr>
        <w:keepNext/>
        <w:keepLines/>
        <w:spacing w:before="480" w:line="240" w:lineRule="auto"/>
        <w:jc w:val="center"/>
        <w:rPr>
          <w:rFonts w:asciiTheme="minorHAnsi" w:hAnsiTheme="minorHAnsi" w:cs="Times New Roman"/>
          <w:b/>
          <w:szCs w:val="24"/>
          <w:lang w:val="es-ES_tradnl" w:eastAsia="ja-JP"/>
        </w:rPr>
      </w:pPr>
      <w:r w:rsidRPr="007C30F1">
        <w:rPr>
          <w:rFonts w:asciiTheme="minorHAnsi" w:hAnsiTheme="minorHAnsi" w:cs="Times New Roman"/>
          <w:b/>
          <w:szCs w:val="24"/>
          <w:lang w:val="es-ES_tradnl" w:eastAsia="ja-JP"/>
        </w:rPr>
        <w:t xml:space="preserve">Cooperación y coordinación entre el UIT-R y el UIT-D en relación </w:t>
      </w:r>
      <w:r w:rsidRPr="007C30F1">
        <w:rPr>
          <w:rFonts w:asciiTheme="minorHAnsi" w:hAnsiTheme="minorHAnsi" w:cs="Times New Roman"/>
          <w:b/>
          <w:szCs w:val="24"/>
          <w:lang w:val="es-ES_tradnl" w:eastAsia="ja-JP"/>
        </w:rPr>
        <w:br/>
        <w:t>con la Resolución 9 de la CMDT (</w:t>
      </w:r>
      <w:r w:rsidR="00AC3D21" w:rsidRPr="007C30F1">
        <w:rPr>
          <w:rFonts w:asciiTheme="minorHAnsi" w:hAnsiTheme="minorHAnsi" w:cs="Times New Roman"/>
          <w:b/>
          <w:szCs w:val="24"/>
          <w:lang w:val="es-ES_tradnl" w:eastAsia="ja-JP"/>
        </w:rPr>
        <w:t xml:space="preserve">Rev. </w:t>
      </w:r>
      <w:r w:rsidRPr="007C30F1">
        <w:rPr>
          <w:rFonts w:asciiTheme="minorHAnsi" w:hAnsiTheme="minorHAnsi" w:cs="Times New Roman"/>
          <w:b/>
          <w:szCs w:val="24"/>
          <w:lang w:val="es-ES_tradnl" w:eastAsia="ja-JP"/>
        </w:rPr>
        <w:t>Dubái, 2014)</w:t>
      </w:r>
    </w:p>
    <w:p w:rsidR="00390BEE" w:rsidRPr="007C30F1" w:rsidRDefault="00390BEE" w:rsidP="00E04D79">
      <w:pPr>
        <w:pStyle w:val="Headingb"/>
        <w:rPr>
          <w:lang w:val="es-ES_tradnl" w:eastAsia="ja-JP"/>
        </w:rPr>
      </w:pPr>
      <w:r w:rsidRPr="007C30F1">
        <w:rPr>
          <w:lang w:val="es-ES_tradnl"/>
        </w:rPr>
        <w:t>Introducción</w:t>
      </w:r>
    </w:p>
    <w:p w:rsidR="00390BEE" w:rsidRPr="007C30F1" w:rsidRDefault="00390BEE" w:rsidP="00B87288">
      <w:pPr>
        <w:rPr>
          <w:lang w:val="es-ES_tradnl"/>
        </w:rPr>
      </w:pPr>
      <w:r w:rsidRPr="007C30F1">
        <w:rPr>
          <w:lang w:val="es-ES_tradnl" w:eastAsia="ja-JP"/>
        </w:rPr>
        <w:t xml:space="preserve">El Director de la Oficina de Desarrollo de las Telecomunicaciones (BDT), en su </w:t>
      </w:r>
      <w:hyperlink r:id="rId27" w:history="1">
        <w:r w:rsidRPr="007C30F1">
          <w:rPr>
            <w:bCs/>
            <w:color w:val="0563C1"/>
            <w:u w:val="single"/>
            <w:lang w:val="es-ES_tradnl" w:eastAsia="ja-JP"/>
          </w:rPr>
          <w:t>Documento 1/110</w:t>
        </w:r>
      </w:hyperlink>
      <w:r w:rsidRPr="007C30F1">
        <w:rPr>
          <w:lang w:val="es-ES_tradnl" w:eastAsia="ja-JP"/>
        </w:rPr>
        <w:t xml:space="preserve"> de fecha 11 de junio de 2014, invit</w:t>
      </w:r>
      <w:r w:rsidR="00AC3D21" w:rsidRPr="007C30F1">
        <w:rPr>
          <w:lang w:val="es-ES_tradnl" w:eastAsia="ja-JP"/>
        </w:rPr>
        <w:t>ó</w:t>
      </w:r>
      <w:r w:rsidRPr="007C30F1">
        <w:rPr>
          <w:lang w:val="es-ES_tradnl" w:eastAsia="ja-JP"/>
        </w:rPr>
        <w:t xml:space="preserve"> al Director de la Oficina de Radiocomunicaciones a velar por que prosiga la colaboración del UIT-R con el UIT-D en la aplicación de la Resolución 9 (Rev. Dubái, 2014) de la Conferencia Mundial de Desarrollo de las Telecomunicaciones de 2014 (CMDT-14).</w:t>
      </w:r>
    </w:p>
    <w:p w:rsidR="00390BEE" w:rsidRPr="007C30F1" w:rsidRDefault="00390BEE" w:rsidP="00B87288">
      <w:pPr>
        <w:rPr>
          <w:lang w:val="es-ES_tradnl"/>
        </w:rPr>
      </w:pPr>
      <w:bookmarkStart w:id="11" w:name="lt_pId011"/>
      <w:r w:rsidRPr="007C30F1">
        <w:rPr>
          <w:lang w:val="es-ES_tradnl"/>
        </w:rPr>
        <w:t xml:space="preserve">La presente </w:t>
      </w:r>
      <w:r w:rsidRPr="007C30F1">
        <w:rPr>
          <w:lang w:val="es-ES_tradnl" w:eastAsia="ja-JP"/>
        </w:rPr>
        <w:t>Declaración</w:t>
      </w:r>
      <w:r w:rsidRPr="007C30F1">
        <w:rPr>
          <w:lang w:val="es-ES_tradnl"/>
        </w:rPr>
        <w:t xml:space="preserve"> de Coordinación desea señalar a la atención del GADT los puntos de vista del GAR en relación con posibles mejoras de la cooperación y coordinación entre el UIT-R y el UIT-D respecto de la Resolución 9 de la CMDT (Rev. Dubái, 2014).</w:t>
      </w:r>
    </w:p>
    <w:p w:rsidR="00390BEE" w:rsidRPr="007C30F1" w:rsidRDefault="00390BEE" w:rsidP="00B87288">
      <w:pPr>
        <w:pStyle w:val="Headingb"/>
        <w:tabs>
          <w:tab w:val="clear" w:pos="794"/>
          <w:tab w:val="left" w:pos="284"/>
        </w:tabs>
        <w:ind w:left="0" w:firstLine="0"/>
        <w:rPr>
          <w:lang w:val="es-ES_tradnl"/>
        </w:rPr>
      </w:pPr>
      <w:bookmarkStart w:id="12" w:name="lt_pId012"/>
      <w:bookmarkEnd w:id="11"/>
      <w:r w:rsidRPr="007C30F1">
        <w:rPr>
          <w:lang w:val="es-ES_tradnl"/>
        </w:rPr>
        <w:t xml:space="preserve">Experiencia del UIT-R respecto de la labor en relación con la </w:t>
      </w:r>
      <w:bookmarkEnd w:id="12"/>
      <w:r w:rsidRPr="007C30F1">
        <w:rPr>
          <w:lang w:val="es-ES_tradnl"/>
        </w:rPr>
        <w:t>Resolución 9 de la CMDT (Rev. Dubái, 2014) entre 2014 y 2017</w:t>
      </w:r>
    </w:p>
    <w:p w:rsidR="00390BEE" w:rsidRPr="007C30F1" w:rsidRDefault="00390BEE" w:rsidP="00B87288">
      <w:pPr>
        <w:rPr>
          <w:lang w:val="es-ES_tradnl"/>
        </w:rPr>
      </w:pPr>
      <w:bookmarkStart w:id="13" w:name="lt_pId021"/>
      <w:r w:rsidRPr="007C30F1">
        <w:rPr>
          <w:lang w:val="es-ES_tradnl"/>
        </w:rPr>
        <w:t>Durante el ciclo de estudios 2014-2017 del UIT-D, se han intercambiado varias declaraciones de coordinación entre distintos Grupos de Trabajo del UIT-R (por ejemplo el GT 1B y el GT 5D) y el grupo de la Comisión de Estudio 1 del UIT-D dedicado a la preparación del proyecto de Informe a la CMDT-17 en respuesta a la Resolución 9 (Rev. Dubái, 2014). Dicho proyecto de Informe ha sido examinado exhaustivamente por los Grupos de Trabajo del UIT-R interesados, lo cual dio lugar a solicitudes dirigidas a la Comisión de Estudio 1 del UIT-D para modificar el proyecto de Informe a fin de garantizar su coherencia con los resultados de los correspondientes estudios del UIT-R y para evitar la duplicación de información del UIT-R existente.</w:t>
      </w:r>
      <w:bookmarkEnd w:id="13"/>
    </w:p>
    <w:p w:rsidR="00390BEE" w:rsidRPr="007C30F1" w:rsidRDefault="00390BEE" w:rsidP="00B87288">
      <w:pPr>
        <w:rPr>
          <w:lang w:val="es-ES_tradnl" w:eastAsia="ja-JP"/>
        </w:rPr>
      </w:pPr>
      <w:bookmarkStart w:id="14" w:name="lt_pId023"/>
      <w:r w:rsidRPr="007C30F1">
        <w:rPr>
          <w:lang w:val="es-ES_tradnl" w:eastAsia="ja-JP"/>
        </w:rPr>
        <w:t xml:space="preserve">La escasez de tiempo disponible en posteriores reuniones del Grupo de la Resolución 9 (esto es, medio día </w:t>
      </w:r>
      <w:r w:rsidRPr="007C30F1">
        <w:rPr>
          <w:lang w:val="es-ES_tradnl"/>
        </w:rPr>
        <w:t>durante</w:t>
      </w:r>
      <w:r w:rsidRPr="007C30F1">
        <w:rPr>
          <w:lang w:val="es-ES_tradnl" w:eastAsia="ja-JP"/>
        </w:rPr>
        <w:t xml:space="preserve"> la reunión de la </w:t>
      </w:r>
      <w:r w:rsidR="00E362FE" w:rsidRPr="007C30F1">
        <w:rPr>
          <w:lang w:val="es-ES_tradnl" w:eastAsia="ja-JP"/>
        </w:rPr>
        <w:t xml:space="preserve">Comisión de Estudio </w:t>
      </w:r>
      <w:r w:rsidRPr="007C30F1">
        <w:rPr>
          <w:lang w:val="es-ES_tradnl" w:eastAsia="ja-JP"/>
        </w:rPr>
        <w:t xml:space="preserve">1 del UIT-D de septiembre de 2016, 1 día en enero de 2017 y medio día durante la reunión de la </w:t>
      </w:r>
      <w:r w:rsidR="00E362FE" w:rsidRPr="007C30F1">
        <w:rPr>
          <w:lang w:val="es-ES_tradnl" w:eastAsia="ja-JP"/>
        </w:rPr>
        <w:t xml:space="preserve">Comisión de Estudio </w:t>
      </w:r>
      <w:r w:rsidRPr="007C30F1">
        <w:rPr>
          <w:lang w:val="es-ES_tradnl" w:eastAsia="ja-JP"/>
        </w:rPr>
        <w:t>1 del UIT-D de marzo de 2017), el número limitado de contribuciones y de contribuyentes en general, y la participación limitada de los expertos del UIT-R no permitieron un examen apropiado de todas las solicitudes de modificación del UIT-R.</w:t>
      </w:r>
      <w:bookmarkEnd w:id="14"/>
    </w:p>
    <w:p w:rsidR="00E362FE" w:rsidRPr="007C30F1" w:rsidRDefault="00E362FE" w:rsidP="00B87288">
      <w:pPr>
        <w:rPr>
          <w:lang w:val="es-ES_tradnl" w:eastAsia="ja-JP"/>
        </w:rPr>
      </w:pPr>
      <w:r w:rsidRPr="007C30F1">
        <w:rPr>
          <w:lang w:val="es-ES_tradnl" w:eastAsia="ja-JP"/>
        </w:rPr>
        <w:t>No obstante, la versión definitiva del Informe sobre la Resolución 9 se aprobó en la reunión de marzo de 2017 de la CE 1 del UIT-D.</w:t>
      </w:r>
      <w:bookmarkStart w:id="15" w:name="lt_pId024"/>
    </w:p>
    <w:p w:rsidR="00390BEE" w:rsidRPr="007C30F1" w:rsidRDefault="00390BEE" w:rsidP="00B87288">
      <w:pPr>
        <w:rPr>
          <w:lang w:val="es-ES_tradnl" w:eastAsia="ja-JP"/>
        </w:rPr>
      </w:pPr>
      <w:r w:rsidRPr="007C30F1">
        <w:rPr>
          <w:lang w:val="es-ES_tradnl"/>
        </w:rPr>
        <w:t xml:space="preserve">Por consiguiente, no se han </w:t>
      </w:r>
      <w:r w:rsidR="00E362FE" w:rsidRPr="007C30F1">
        <w:rPr>
          <w:lang w:val="es-ES_tradnl"/>
        </w:rPr>
        <w:t xml:space="preserve">reflejado adecuadamente </w:t>
      </w:r>
      <w:r w:rsidRPr="007C30F1">
        <w:rPr>
          <w:lang w:val="es-ES_tradnl"/>
        </w:rPr>
        <w:t>los comentarios del Grupo de Trabajo 1B del UIT-R</w:t>
      </w:r>
      <w:r w:rsidR="00E362FE" w:rsidRPr="007C30F1">
        <w:rPr>
          <w:lang w:val="es-ES_tradnl"/>
        </w:rPr>
        <w:t xml:space="preserve"> en el </w:t>
      </w:r>
      <w:r w:rsidR="00E362FE" w:rsidRPr="007C30F1">
        <w:rPr>
          <w:lang w:val="es-ES_tradnl" w:eastAsia="ja-JP"/>
        </w:rPr>
        <w:t>Informe</w:t>
      </w:r>
      <w:r w:rsidR="00E362FE" w:rsidRPr="007C30F1">
        <w:rPr>
          <w:lang w:val="es-ES_tradnl"/>
        </w:rPr>
        <w:t xml:space="preserve"> elaborado por </w:t>
      </w:r>
      <w:r w:rsidR="00E362FE" w:rsidRPr="007C30F1">
        <w:rPr>
          <w:lang w:val="es-ES_tradnl"/>
        </w:rPr>
        <w:lastRenderedPageBreak/>
        <w:t xml:space="preserve">la Comisión de Estudio 1 del UIT-D. Esta situación </w:t>
      </w:r>
      <w:r w:rsidRPr="007C30F1">
        <w:rPr>
          <w:lang w:val="es-ES_tradnl"/>
        </w:rPr>
        <w:t xml:space="preserve">suscita </w:t>
      </w:r>
      <w:r w:rsidR="00E362FE" w:rsidRPr="007C30F1">
        <w:rPr>
          <w:lang w:val="es-ES_tradnl"/>
        </w:rPr>
        <w:t xml:space="preserve">serias </w:t>
      </w:r>
      <w:r w:rsidRPr="007C30F1">
        <w:rPr>
          <w:lang w:val="es-ES_tradnl"/>
        </w:rPr>
        <w:t>duda</w:t>
      </w:r>
      <w:r w:rsidR="00E362FE" w:rsidRPr="007C30F1">
        <w:rPr>
          <w:lang w:val="es-ES_tradnl"/>
        </w:rPr>
        <w:t>s</w:t>
      </w:r>
      <w:r w:rsidRPr="007C30F1">
        <w:rPr>
          <w:lang w:val="es-ES_tradnl"/>
        </w:rPr>
        <w:t xml:space="preserve"> </w:t>
      </w:r>
      <w:r w:rsidR="00865F59" w:rsidRPr="007C30F1">
        <w:rPr>
          <w:lang w:val="es-ES_tradnl"/>
        </w:rPr>
        <w:t>sobre si el</w:t>
      </w:r>
      <w:r w:rsidRPr="007C30F1">
        <w:rPr>
          <w:lang w:val="es-ES_tradnl"/>
        </w:rPr>
        <w:t xml:space="preserve"> Informe de la Resolución 9</w:t>
      </w:r>
      <w:r w:rsidR="00865F59" w:rsidRPr="007C30F1">
        <w:rPr>
          <w:lang w:val="es-ES_tradnl"/>
        </w:rPr>
        <w:t xml:space="preserve"> es relevante y completo</w:t>
      </w:r>
      <w:r w:rsidR="00334BE2" w:rsidRPr="007C30F1">
        <w:rPr>
          <w:lang w:val="es-ES_tradnl"/>
        </w:rPr>
        <w:t xml:space="preserve">, y </w:t>
      </w:r>
      <w:r w:rsidR="00865F59" w:rsidRPr="007C30F1">
        <w:rPr>
          <w:lang w:val="es-ES_tradnl"/>
        </w:rPr>
        <w:t>sobre su</w:t>
      </w:r>
      <w:r w:rsidR="00334BE2" w:rsidRPr="007C30F1">
        <w:rPr>
          <w:lang w:val="es-ES_tradnl"/>
        </w:rPr>
        <w:t xml:space="preserve"> consistencia con los trabajos del UIT-R</w:t>
      </w:r>
      <w:r w:rsidRPr="007C30F1">
        <w:rPr>
          <w:lang w:val="es-ES_tradnl"/>
        </w:rPr>
        <w:t>.</w:t>
      </w:r>
      <w:bookmarkEnd w:id="15"/>
    </w:p>
    <w:p w:rsidR="00390BEE" w:rsidRPr="007C30F1" w:rsidRDefault="00865F59" w:rsidP="006137DC">
      <w:pPr>
        <w:pStyle w:val="Headingb"/>
        <w:tabs>
          <w:tab w:val="clear" w:pos="794"/>
          <w:tab w:val="left" w:pos="0"/>
        </w:tabs>
        <w:ind w:left="0" w:firstLine="0"/>
        <w:rPr>
          <w:lang w:val="es-ES_tradnl"/>
        </w:rPr>
      </w:pPr>
      <w:bookmarkStart w:id="16" w:name="lt_pId026"/>
      <w:r w:rsidRPr="007C30F1">
        <w:rPr>
          <w:lang w:val="es-ES_tradnl"/>
        </w:rPr>
        <w:t>Actuaciones</w:t>
      </w:r>
      <w:r w:rsidR="00390BEE" w:rsidRPr="007C30F1">
        <w:rPr>
          <w:lang w:val="es-ES_tradnl"/>
        </w:rPr>
        <w:t xml:space="preserve"> para </w:t>
      </w:r>
      <w:r w:rsidRPr="007C30F1">
        <w:rPr>
          <w:lang w:val="es-ES_tradnl"/>
        </w:rPr>
        <w:t xml:space="preserve">resolver esta situación y </w:t>
      </w:r>
      <w:r w:rsidR="00390BEE" w:rsidRPr="007C30F1">
        <w:rPr>
          <w:lang w:val="es-ES_tradnl"/>
        </w:rPr>
        <w:t xml:space="preserve">fomentar </w:t>
      </w:r>
      <w:r w:rsidR="00340FB5" w:rsidRPr="007C30F1">
        <w:rPr>
          <w:lang w:val="es-ES_tradnl"/>
        </w:rPr>
        <w:t>una mayor</w:t>
      </w:r>
      <w:r w:rsidRPr="007C30F1">
        <w:rPr>
          <w:lang w:val="es-ES_tradnl"/>
        </w:rPr>
        <w:t xml:space="preserve"> </w:t>
      </w:r>
      <w:r w:rsidR="00390BEE" w:rsidRPr="007C30F1">
        <w:rPr>
          <w:lang w:val="es-ES_tradnl"/>
        </w:rPr>
        <w:t xml:space="preserve">cooperación y coordinación entre el UIT-R y el UIT-D </w:t>
      </w:r>
      <w:r w:rsidRPr="007C30F1">
        <w:rPr>
          <w:lang w:val="es-ES_tradnl"/>
        </w:rPr>
        <w:t xml:space="preserve">(Resolución 7-3 del UIT-R) </w:t>
      </w:r>
      <w:r w:rsidR="00390BEE" w:rsidRPr="007C30F1">
        <w:rPr>
          <w:lang w:val="es-ES_tradnl"/>
        </w:rPr>
        <w:t xml:space="preserve">en la implementación de la Resolución 9 de la </w:t>
      </w:r>
      <w:r w:rsidRPr="007C30F1">
        <w:rPr>
          <w:lang w:val="es-ES_tradnl"/>
        </w:rPr>
        <w:t xml:space="preserve">CMDT </w:t>
      </w:r>
      <w:r w:rsidR="00390BEE" w:rsidRPr="007C30F1">
        <w:rPr>
          <w:lang w:val="es-ES_tradnl"/>
        </w:rPr>
        <w:t>(Rev. Dubái, 2014)</w:t>
      </w:r>
      <w:bookmarkEnd w:id="16"/>
    </w:p>
    <w:p w:rsidR="00390BEE" w:rsidRPr="007C30F1" w:rsidRDefault="00390BEE" w:rsidP="009809C2">
      <w:pPr>
        <w:rPr>
          <w:lang w:val="es-ES_tradnl"/>
        </w:rPr>
      </w:pPr>
      <w:bookmarkStart w:id="17" w:name="lt_pId027"/>
      <w:r w:rsidRPr="007C30F1">
        <w:rPr>
          <w:lang w:val="es-ES_tradnl"/>
        </w:rPr>
        <w:t xml:space="preserve">Para </w:t>
      </w:r>
      <w:r w:rsidR="00865F59" w:rsidRPr="007C30F1">
        <w:rPr>
          <w:lang w:val="es-ES_tradnl"/>
        </w:rPr>
        <w:t>llevar a cabo</w:t>
      </w:r>
      <w:r w:rsidRPr="007C30F1">
        <w:rPr>
          <w:lang w:val="es-ES_tradnl"/>
        </w:rPr>
        <w:t xml:space="preserve"> </w:t>
      </w:r>
      <w:r w:rsidR="00865F59" w:rsidRPr="007C30F1">
        <w:rPr>
          <w:lang w:val="es-ES_tradnl"/>
        </w:rPr>
        <w:t xml:space="preserve">con diligencia </w:t>
      </w:r>
      <w:r w:rsidRPr="007C30F1">
        <w:rPr>
          <w:lang w:val="es-ES_tradnl"/>
        </w:rPr>
        <w:t xml:space="preserve">la </w:t>
      </w:r>
      <w:r w:rsidR="00865F59" w:rsidRPr="007C30F1">
        <w:rPr>
          <w:lang w:val="es-ES_tradnl"/>
        </w:rPr>
        <w:t xml:space="preserve">necesaria </w:t>
      </w:r>
      <w:r w:rsidRPr="007C30F1">
        <w:rPr>
          <w:lang w:val="es-ES_tradnl"/>
        </w:rPr>
        <w:t xml:space="preserve">cooperación y la coordinación entre el UIT-R y el UIT-D en los temas relativos a la gestión del espectro, </w:t>
      </w:r>
      <w:r w:rsidR="00865F59" w:rsidRPr="007C30F1">
        <w:rPr>
          <w:lang w:val="es-ES_tradnl"/>
        </w:rPr>
        <w:t>el GAR propone que el GADT adopte</w:t>
      </w:r>
      <w:r w:rsidRPr="007C30F1">
        <w:rPr>
          <w:lang w:val="es-ES_tradnl"/>
        </w:rPr>
        <w:t xml:space="preserve"> las siguientes medidas:</w:t>
      </w:r>
      <w:bookmarkEnd w:id="17"/>
    </w:p>
    <w:p w:rsidR="00390BEE" w:rsidRPr="007C30F1" w:rsidRDefault="00390BEE" w:rsidP="009809C2">
      <w:pPr>
        <w:pStyle w:val="enumlev1"/>
        <w:rPr>
          <w:lang w:val="es-ES_tradnl"/>
        </w:rPr>
      </w:pPr>
      <w:r w:rsidRPr="007C30F1">
        <w:rPr>
          <w:lang w:val="es-ES_tradnl" w:eastAsia="ja-JP"/>
        </w:rPr>
        <w:t>–</w:t>
      </w:r>
      <w:r w:rsidRPr="007C30F1">
        <w:rPr>
          <w:lang w:val="es-ES_tradnl" w:eastAsia="ja-JP"/>
        </w:rPr>
        <w:tab/>
      </w:r>
      <w:bookmarkStart w:id="18" w:name="lt_pId029"/>
      <w:r w:rsidRPr="007C30F1">
        <w:rPr>
          <w:lang w:val="es-ES_tradnl" w:eastAsia="ja-JP"/>
        </w:rPr>
        <w:t xml:space="preserve">señalar directamente a la atención de las Comisiones de Estudio del UIT-R pertinentes los </w:t>
      </w:r>
      <w:r w:rsidRPr="007C30F1">
        <w:rPr>
          <w:lang w:val="es-ES_tradnl"/>
        </w:rPr>
        <w:t>estudios</w:t>
      </w:r>
      <w:r w:rsidRPr="007C30F1">
        <w:rPr>
          <w:lang w:val="es-ES_tradnl" w:eastAsia="ja-JP"/>
        </w:rPr>
        <w:t xml:space="preserve"> de caso y requisitos especiales de las organizaciones nacionales de gestión del espectro de los países en desarrollo. </w:t>
      </w:r>
      <w:bookmarkStart w:id="19" w:name="lt_pId030"/>
      <w:bookmarkEnd w:id="18"/>
      <w:r w:rsidRPr="007C30F1">
        <w:rPr>
          <w:lang w:val="es-ES_tradnl" w:eastAsia="ja-JP"/>
        </w:rPr>
        <w:t xml:space="preserve">Ello facilitaría la toma en consideración de los requisitos específicos de los países en desarrollo a la hora de </w:t>
      </w:r>
      <w:r w:rsidR="00E45906" w:rsidRPr="007C30F1">
        <w:rPr>
          <w:lang w:val="es-ES_tradnl" w:eastAsia="ja-JP"/>
        </w:rPr>
        <w:t>proporcionar</w:t>
      </w:r>
      <w:r w:rsidRPr="007C30F1">
        <w:rPr>
          <w:lang w:val="es-ES_tradnl" w:eastAsia="ja-JP"/>
        </w:rPr>
        <w:t xml:space="preserve"> prácticas óptimas </w:t>
      </w:r>
      <w:r w:rsidR="00E45906" w:rsidRPr="007C30F1">
        <w:rPr>
          <w:lang w:val="es-ES_tradnl" w:eastAsia="ja-JP"/>
        </w:rPr>
        <w:t xml:space="preserve">de gestión del espectro </w:t>
      </w:r>
      <w:r w:rsidRPr="007C30F1">
        <w:rPr>
          <w:lang w:val="es-ES_tradnl" w:eastAsia="ja-JP"/>
        </w:rPr>
        <w:t>en los productos finales del UIT-R, como son las Recomendaciones, Informes y</w:t>
      </w:r>
      <w:r w:rsidR="00E45906" w:rsidRPr="007C30F1">
        <w:rPr>
          <w:lang w:val="es-ES_tradnl" w:eastAsia="ja-JP"/>
        </w:rPr>
        <w:t>/o</w:t>
      </w:r>
      <w:r w:rsidRPr="007C30F1">
        <w:rPr>
          <w:lang w:val="es-ES_tradnl" w:eastAsia="ja-JP"/>
        </w:rPr>
        <w:t xml:space="preserve"> Manuales del UIT-R;</w:t>
      </w:r>
      <w:bookmarkEnd w:id="19"/>
    </w:p>
    <w:p w:rsidR="00390BEE" w:rsidRPr="007C30F1" w:rsidRDefault="00390BEE" w:rsidP="00EA798B">
      <w:pPr>
        <w:pStyle w:val="enumlev1"/>
        <w:rPr>
          <w:lang w:val="es-ES_tradnl"/>
        </w:rPr>
      </w:pPr>
      <w:r w:rsidRPr="007C30F1">
        <w:rPr>
          <w:lang w:val="es-ES_tradnl" w:eastAsia="ja-JP"/>
        </w:rPr>
        <w:t>–</w:t>
      </w:r>
      <w:r w:rsidRPr="007C30F1">
        <w:rPr>
          <w:lang w:val="es-ES_tradnl" w:eastAsia="ja-JP"/>
        </w:rPr>
        <w:tab/>
      </w:r>
      <w:bookmarkStart w:id="20" w:name="lt_pId032"/>
      <w:r w:rsidRPr="007C30F1">
        <w:rPr>
          <w:lang w:val="es-ES_tradnl" w:eastAsia="ja-JP"/>
        </w:rPr>
        <w:t>organizar, con el apoyo de la BDT, seminarios y/o talleres sobre temas de gestión del espectro coincidiendo con las reuniones de la Comisión de Estudio 1 del UIT-R o sus Grupos de Trabajo a fin de propiciar la participación de los países en desarrollo. La participación en estos eventos ofrecería la oportunidad de compartir información con los expertos del UIT-R en materia de gestión del espectro respecto de cuestiones o casos concretos que ya se han tratado en otros países, y de implicarse activamente en los estudios de la Comisión de Estudio 1 del UIT-R</w:t>
      </w:r>
      <w:r w:rsidRPr="007C30F1">
        <w:rPr>
          <w:lang w:val="es-ES_tradnl"/>
        </w:rPr>
        <w:t>;</w:t>
      </w:r>
      <w:bookmarkEnd w:id="20"/>
    </w:p>
    <w:p w:rsidR="00390BEE" w:rsidRPr="007C30F1" w:rsidRDefault="00390BEE" w:rsidP="003F0157">
      <w:pPr>
        <w:pStyle w:val="enumlev1"/>
        <w:rPr>
          <w:lang w:val="es-ES_tradnl" w:eastAsia="ja-JP"/>
        </w:rPr>
      </w:pPr>
      <w:r w:rsidRPr="007C30F1">
        <w:rPr>
          <w:lang w:val="es-ES_tradnl" w:eastAsia="ja-JP"/>
        </w:rPr>
        <w:t>–</w:t>
      </w:r>
      <w:r w:rsidRPr="007C30F1">
        <w:rPr>
          <w:lang w:val="es-ES_tradnl" w:eastAsia="ja-JP"/>
        </w:rPr>
        <w:tab/>
      </w:r>
      <w:bookmarkStart w:id="21" w:name="lt_pId035"/>
      <w:r w:rsidRPr="007C30F1">
        <w:rPr>
          <w:lang w:val="es-ES_tradnl" w:eastAsia="ja-JP"/>
        </w:rPr>
        <w:t xml:space="preserve">seguir reuniendo estudios de caso prácticos nacionales y </w:t>
      </w:r>
      <w:r w:rsidR="00E45906" w:rsidRPr="007C30F1">
        <w:rPr>
          <w:lang w:val="es-ES_tradnl" w:eastAsia="ja-JP"/>
        </w:rPr>
        <w:t xml:space="preserve">ponerlos </w:t>
      </w:r>
      <w:r w:rsidRPr="007C30F1">
        <w:rPr>
          <w:lang w:val="es-ES_tradnl" w:eastAsia="ja-JP"/>
        </w:rPr>
        <w:t xml:space="preserve">rápidamente a disposición en el sitio web del UIT-D. </w:t>
      </w:r>
      <w:bookmarkStart w:id="22" w:name="lt_pId036"/>
      <w:bookmarkEnd w:id="21"/>
      <w:r w:rsidRPr="007C30F1">
        <w:rPr>
          <w:lang w:val="es-ES_tradnl" w:eastAsia="ja-JP"/>
        </w:rPr>
        <w:t xml:space="preserve">Junto al desarrollo de páginas web temáticas que </w:t>
      </w:r>
      <w:r w:rsidRPr="007C30F1">
        <w:rPr>
          <w:lang w:val="es-ES_tradnl"/>
        </w:rPr>
        <w:t>referencien</w:t>
      </w:r>
      <w:r w:rsidRPr="007C30F1">
        <w:rPr>
          <w:lang w:val="es-ES_tradnl" w:eastAsia="ja-JP"/>
        </w:rPr>
        <w:t xml:space="preserve"> los documentos existentes del UIT-R sobre temas de radiocomunicaciones específicos, ello permitiría reducir la carga de trabajo tanto de las Comisiones de Estudio del UIT-D como de las del UIT-R, al tiempo que se garantiza que se reúne y pone a disposición en un mismo lugar la información más exacta sobre las cuestiones más pertinentes en relación con el espectro radioeléctrico</w:t>
      </w:r>
      <w:bookmarkEnd w:id="22"/>
      <w:r w:rsidRPr="007C30F1">
        <w:rPr>
          <w:lang w:val="es-ES_tradnl" w:eastAsia="ja-JP"/>
        </w:rPr>
        <w:t>;</w:t>
      </w:r>
    </w:p>
    <w:p w:rsidR="00E45906" w:rsidRPr="007C30F1" w:rsidRDefault="00390BEE" w:rsidP="00DE5B1A">
      <w:pPr>
        <w:pStyle w:val="enumlev1"/>
        <w:rPr>
          <w:lang w:val="es-ES_tradnl" w:eastAsia="ja-JP"/>
        </w:rPr>
      </w:pPr>
      <w:r w:rsidRPr="007C30F1">
        <w:rPr>
          <w:lang w:val="es-ES_tradnl" w:eastAsia="ja-JP"/>
        </w:rPr>
        <w:t>–</w:t>
      </w:r>
      <w:r w:rsidRPr="007C30F1">
        <w:rPr>
          <w:lang w:val="es-ES_tradnl" w:eastAsia="ja-JP"/>
        </w:rPr>
        <w:tab/>
      </w:r>
      <w:r w:rsidR="00E45906" w:rsidRPr="007C30F1">
        <w:rPr>
          <w:lang w:val="es-ES_tradnl" w:eastAsia="ja-JP"/>
        </w:rPr>
        <w:t xml:space="preserve">en el caso de que se mantenga la Resolución 9, junto con su Informe </w:t>
      </w:r>
      <w:r w:rsidR="00E774D7" w:rsidRPr="007C30F1">
        <w:rPr>
          <w:lang w:val="es-ES_tradnl" w:eastAsia="ja-JP"/>
        </w:rPr>
        <w:t>correspondiente</w:t>
      </w:r>
      <w:r w:rsidR="00E45906" w:rsidRPr="007C30F1">
        <w:rPr>
          <w:lang w:val="es-ES_tradnl" w:eastAsia="ja-JP"/>
        </w:rPr>
        <w:t xml:space="preserve">, considerar la necesaria revisión de la Resolución 9, incluidos los procedimientos adecuados para la aprobación del Informe </w:t>
      </w:r>
      <w:r w:rsidR="00E774D7" w:rsidRPr="007C30F1">
        <w:rPr>
          <w:lang w:val="es-ES_tradnl" w:eastAsia="ja-JP"/>
        </w:rPr>
        <w:t>correspondiente</w:t>
      </w:r>
      <w:r w:rsidR="00E45906" w:rsidRPr="007C30F1">
        <w:rPr>
          <w:lang w:val="es-ES_tradnl" w:eastAsia="ja-JP"/>
        </w:rPr>
        <w:t>, basada en las prácticas de la UIT, incluidas las del UIT-R como se indica en la Resolución 1-7 del UIT-R, con el fin de reflejar las necesidades de los países en desarrollo y las tendencias dominantes en gestión del espectro y para mantener la coherencia del contenido del Informe de la Resolución 9 con los productos del UIT-R sobre gestión del espectro.</w:t>
      </w:r>
    </w:p>
    <w:p w:rsidR="001A22CF" w:rsidRPr="007C30F1" w:rsidRDefault="00E45906" w:rsidP="00D2241C">
      <w:pPr>
        <w:rPr>
          <w:lang w:val="es-ES_tradnl"/>
        </w:rPr>
      </w:pPr>
      <w:bookmarkStart w:id="23" w:name="lt_pId282"/>
      <w:r w:rsidRPr="007C30F1">
        <w:rPr>
          <w:lang w:val="es-ES_tradnl"/>
        </w:rPr>
        <w:t>Con respect</w:t>
      </w:r>
      <w:r w:rsidR="001A22CF" w:rsidRPr="007C30F1">
        <w:rPr>
          <w:lang w:val="es-ES_tradnl"/>
        </w:rPr>
        <w:t>o</w:t>
      </w:r>
      <w:r w:rsidRPr="007C30F1">
        <w:rPr>
          <w:lang w:val="es-ES_tradnl"/>
        </w:rPr>
        <w:t xml:space="preserve"> al Informe sobre la Resolución 9 aprobado en la </w:t>
      </w:r>
      <w:r w:rsidR="001A22CF" w:rsidRPr="007C30F1">
        <w:rPr>
          <w:lang w:val="es-ES_tradnl"/>
        </w:rPr>
        <w:t xml:space="preserve">reunión de marzo de 2017 de la Comisión de Estudio 1 del UIT-D, el </w:t>
      </w:r>
      <w:r w:rsidR="001A22CF" w:rsidRPr="007C30F1">
        <w:rPr>
          <w:lang w:val="es-ES_tradnl"/>
        </w:rPr>
        <w:lastRenderedPageBreak/>
        <w:t xml:space="preserve">GAR está convencido de que las opiniones del UIT-R sobre el Informe deben tenerse en cuenta antes de la publicación del Informe y de su toma en consideración por la CMDT-17. El GAR desea indicar </w:t>
      </w:r>
      <w:r w:rsidR="00E774D7" w:rsidRPr="007C30F1">
        <w:rPr>
          <w:lang w:val="es-ES_tradnl"/>
        </w:rPr>
        <w:t>a</w:t>
      </w:r>
      <w:r w:rsidR="001A22CF" w:rsidRPr="007C30F1">
        <w:rPr>
          <w:lang w:val="es-ES_tradnl"/>
        </w:rPr>
        <w:t>l GADT que se aproveche la oportunidad de la reunión de la Comisión de Estudio 1 del UIT-D en junio de 2017 con este fin.</w:t>
      </w:r>
    </w:p>
    <w:p w:rsidR="00821E2A" w:rsidRPr="007C30F1" w:rsidRDefault="001A22CF" w:rsidP="007E074C">
      <w:pPr>
        <w:spacing w:before="360" w:line="240" w:lineRule="auto"/>
        <w:rPr>
          <w:lang w:val="es-ES_tradnl"/>
        </w:rPr>
      </w:pPr>
      <w:bookmarkStart w:id="24" w:name="lt_pId284"/>
      <w:bookmarkEnd w:id="23"/>
      <w:r w:rsidRPr="007C30F1">
        <w:rPr>
          <w:b/>
          <w:bCs/>
          <w:lang w:val="es-ES_tradnl"/>
        </w:rPr>
        <w:t>Situación</w:t>
      </w:r>
      <w:r w:rsidR="00821E2A" w:rsidRPr="007C30F1">
        <w:rPr>
          <w:b/>
          <w:bCs/>
          <w:lang w:val="es-ES_tradnl"/>
        </w:rPr>
        <w:t>:</w:t>
      </w:r>
      <w:bookmarkEnd w:id="24"/>
      <w:r w:rsidR="00821E2A" w:rsidRPr="007C30F1">
        <w:rPr>
          <w:lang w:val="es-ES_tradnl"/>
        </w:rPr>
        <w:t xml:space="preserve"> </w:t>
      </w:r>
      <w:r w:rsidR="00821E2A" w:rsidRPr="007C30F1">
        <w:rPr>
          <w:lang w:val="es-ES_tradnl"/>
        </w:rPr>
        <w:tab/>
      </w:r>
      <w:r w:rsidR="00821E2A" w:rsidRPr="007C30F1">
        <w:rPr>
          <w:lang w:val="es-ES_tradnl"/>
        </w:rPr>
        <w:tab/>
      </w:r>
      <w:r w:rsidRPr="007C30F1">
        <w:rPr>
          <w:lang w:val="es-ES_tradnl"/>
        </w:rPr>
        <w:t>Para acción</w:t>
      </w:r>
    </w:p>
    <w:p w:rsidR="00821E2A" w:rsidRPr="007C30F1" w:rsidRDefault="001A22CF" w:rsidP="007E074C">
      <w:pPr>
        <w:spacing w:line="240" w:lineRule="auto"/>
        <w:rPr>
          <w:szCs w:val="24"/>
          <w:lang w:val="es-ES_tradnl"/>
        </w:rPr>
      </w:pPr>
      <w:bookmarkStart w:id="25" w:name="lt_pId286"/>
      <w:r w:rsidRPr="007C30F1">
        <w:rPr>
          <w:b/>
          <w:bCs/>
          <w:szCs w:val="24"/>
          <w:lang w:val="es-ES_tradnl"/>
        </w:rPr>
        <w:t>Contacto</w:t>
      </w:r>
      <w:r w:rsidR="00821E2A" w:rsidRPr="007C30F1">
        <w:rPr>
          <w:b/>
          <w:bCs/>
          <w:szCs w:val="24"/>
          <w:lang w:val="es-ES_tradnl"/>
        </w:rPr>
        <w:t>:</w:t>
      </w:r>
      <w:bookmarkEnd w:id="25"/>
      <w:r w:rsidR="00821E2A" w:rsidRPr="007C30F1">
        <w:rPr>
          <w:szCs w:val="24"/>
          <w:lang w:val="es-ES_tradnl"/>
        </w:rPr>
        <w:tab/>
      </w:r>
      <w:bookmarkStart w:id="26" w:name="lt_pId287"/>
      <w:r w:rsidRPr="007C30F1">
        <w:rPr>
          <w:szCs w:val="24"/>
          <w:lang w:val="es-ES_tradnl"/>
        </w:rPr>
        <w:tab/>
        <w:t>Sr.</w:t>
      </w:r>
      <w:r w:rsidR="00821E2A" w:rsidRPr="007C30F1">
        <w:rPr>
          <w:lang w:val="es-ES_tradnl"/>
        </w:rPr>
        <w:t xml:space="preserve"> D.</w:t>
      </w:r>
      <w:bookmarkEnd w:id="26"/>
      <w:r w:rsidR="00821E2A" w:rsidRPr="007C30F1">
        <w:rPr>
          <w:lang w:val="es-ES_tradnl"/>
        </w:rPr>
        <w:t xml:space="preserve"> </w:t>
      </w:r>
      <w:bookmarkStart w:id="27" w:name="lt_pId288"/>
      <w:r w:rsidR="00821E2A" w:rsidRPr="007C30F1">
        <w:rPr>
          <w:lang w:val="es-ES_tradnl"/>
        </w:rPr>
        <w:t xml:space="preserve">Obam, </w:t>
      </w:r>
      <w:r w:rsidRPr="007C30F1">
        <w:rPr>
          <w:lang w:val="es-ES_tradnl"/>
        </w:rPr>
        <w:t>Presidente del GAR</w:t>
      </w:r>
      <w:r w:rsidR="00821E2A" w:rsidRPr="007C30F1">
        <w:rPr>
          <w:lang w:val="es-ES_tradnl"/>
        </w:rPr>
        <w:t xml:space="preserve"> (</w:t>
      </w:r>
      <w:bookmarkStart w:id="28" w:name="lt_pId289"/>
      <w:bookmarkEnd w:id="27"/>
      <w:r w:rsidRPr="007C30F1">
        <w:rPr>
          <w:lang w:val="es-ES_tradnl"/>
        </w:rPr>
        <w:t>Correo-e</w:t>
      </w:r>
      <w:r w:rsidR="00821E2A" w:rsidRPr="007C30F1">
        <w:rPr>
          <w:lang w:val="es-ES_tradnl"/>
        </w:rPr>
        <w:t xml:space="preserve">: </w:t>
      </w:r>
      <w:hyperlink r:id="rId28" w:history="1">
        <w:r w:rsidR="00821E2A" w:rsidRPr="007C30F1">
          <w:rPr>
            <w:color w:val="0000FF"/>
            <w:u w:val="single"/>
            <w:lang w:val="es-ES_tradnl"/>
          </w:rPr>
          <w:t>daniel.obam@ties.itu.int</w:t>
        </w:r>
      </w:hyperlink>
      <w:r w:rsidR="00821E2A" w:rsidRPr="007C30F1">
        <w:rPr>
          <w:lang w:val="es-ES_tradnl"/>
        </w:rPr>
        <w:t>)</w:t>
      </w:r>
      <w:bookmarkEnd w:id="28"/>
    </w:p>
    <w:p w:rsidR="00821E2A" w:rsidRPr="007C30F1" w:rsidRDefault="00821E2A" w:rsidP="007E074C">
      <w:pPr>
        <w:spacing w:line="240" w:lineRule="auto"/>
        <w:rPr>
          <w:lang w:val="es-ES_tradnl"/>
        </w:rPr>
      </w:pPr>
    </w:p>
    <w:p w:rsidR="00821E2A" w:rsidRPr="007C30F1" w:rsidRDefault="00821E2A" w:rsidP="007E074C">
      <w:pPr>
        <w:spacing w:line="240" w:lineRule="auto"/>
        <w:rPr>
          <w:lang w:val="es-ES_tradnl"/>
        </w:rPr>
        <w:sectPr w:rsidR="00821E2A" w:rsidRPr="007C30F1" w:rsidSect="00390BEE">
          <w:pgSz w:w="11907" w:h="16834" w:code="9"/>
          <w:pgMar w:top="1134" w:right="1134" w:bottom="993" w:left="1134" w:header="567" w:footer="397" w:gutter="0"/>
          <w:cols w:space="720"/>
          <w:titlePg/>
          <w:docGrid w:linePitch="326"/>
        </w:sectPr>
      </w:pPr>
    </w:p>
    <w:p w:rsidR="006333B5" w:rsidRPr="007C30F1" w:rsidRDefault="00821E2A" w:rsidP="00E52797">
      <w:pPr>
        <w:pStyle w:val="AnnexNo"/>
      </w:pPr>
      <w:bookmarkStart w:id="29" w:name="lt_pId290"/>
      <w:r w:rsidRPr="007C30F1">
        <w:lastRenderedPageBreak/>
        <w:t>ANEXO 2</w:t>
      </w:r>
      <w:bookmarkEnd w:id="29"/>
    </w:p>
    <w:p w:rsidR="00821E2A" w:rsidRPr="007C30F1" w:rsidRDefault="00E774D7" w:rsidP="006333B5">
      <w:pPr>
        <w:pStyle w:val="AnnexNo"/>
        <w:spacing w:before="240"/>
        <w:rPr>
          <w:lang w:eastAsia="ja-JP"/>
        </w:rPr>
      </w:pPr>
      <w:r w:rsidRPr="007C30F1">
        <w:rPr>
          <w:lang w:eastAsia="ja-JP"/>
        </w:rPr>
        <w:t xml:space="preserve">PROYECTO DE PLAN OPERACIONAL CUADRIENAL </w:t>
      </w:r>
      <w:r w:rsidRPr="007C30F1">
        <w:t>RENOVABLE</w:t>
      </w:r>
      <w:r w:rsidRPr="007C30F1">
        <w:rPr>
          <w:lang w:eastAsia="ja-JP"/>
        </w:rPr>
        <w:t xml:space="preserve"> DEL SECTOR DE RADIOCOMUNICACIONES PARA 2018-2021</w:t>
      </w:r>
    </w:p>
    <w:p w:rsidR="00821E2A" w:rsidRPr="007C30F1" w:rsidRDefault="00821E2A" w:rsidP="006333B5">
      <w:pPr>
        <w:pStyle w:val="Heading1"/>
        <w:spacing w:before="360" w:line="240" w:lineRule="auto"/>
        <w:rPr>
          <w:color w:val="4F81BD" w:themeColor="accent1"/>
          <w:lang w:val="es-ES_tradnl"/>
        </w:rPr>
      </w:pPr>
      <w:r w:rsidRPr="007C30F1">
        <w:rPr>
          <w:color w:val="4F81BD" w:themeColor="accent1"/>
          <w:lang w:val="es-ES_tradnl"/>
        </w:rPr>
        <w:t>1</w:t>
      </w:r>
      <w:r w:rsidRPr="007C30F1">
        <w:rPr>
          <w:color w:val="4F81BD" w:themeColor="accent1"/>
          <w:lang w:val="es-ES_tradnl"/>
        </w:rPr>
        <w:tab/>
        <w:t>Introducción</w:t>
      </w:r>
    </w:p>
    <w:p w:rsidR="00821E2A" w:rsidRPr="007C30F1" w:rsidRDefault="00821E2A" w:rsidP="007E074C">
      <w:pPr>
        <w:spacing w:line="240" w:lineRule="auto"/>
        <w:rPr>
          <w:lang w:val="es-ES_tradnl"/>
        </w:rPr>
      </w:pPr>
      <w:r w:rsidRPr="007C30F1">
        <w:rPr>
          <w:lang w:val="es-ES_tradnl"/>
        </w:rPr>
        <w:t>El Plan Operacional cuatrienal renovable del Sector de Radiocomunicaciones (UIT-R) se ha elaborado de conformidad con el Plan Estratégico de la UIT para 2018-2021, dentro de los límites fijados en el Plan Financiero para 2018-2021 y los correspondientes presupuestos bienales. La estructura se ajusta al marco de resultados del UIT-R y refleja los objetivos del Sector, sus correspondientes resultados y los indicadores para la medición del progreso, así como los productos (artículos y servicios) resultantes de sus actividades.</w:t>
      </w:r>
    </w:p>
    <w:p w:rsidR="00821E2A" w:rsidRPr="007C30F1" w:rsidRDefault="00821E2A" w:rsidP="007E074C">
      <w:pPr>
        <w:spacing w:line="240" w:lineRule="auto"/>
        <w:rPr>
          <w:lang w:val="es-ES_tradnl"/>
        </w:rPr>
      </w:pPr>
      <w:r w:rsidRPr="007C30F1">
        <w:rPr>
          <w:lang w:val="es-ES_tradnl"/>
        </w:rPr>
        <w:t>La planificación, la ejecución y el proceso de seguimiento y evaluación referentes a la Oficina de Radiocomunicaciones (BR) se complementarán con los siguientes mecanismos internos:</w:t>
      </w:r>
    </w:p>
    <w:p w:rsidR="00821E2A" w:rsidRPr="007C30F1" w:rsidRDefault="00821E2A" w:rsidP="007E074C">
      <w:pPr>
        <w:pStyle w:val="enumlev1"/>
        <w:spacing w:line="240" w:lineRule="auto"/>
        <w:rPr>
          <w:lang w:val="es-ES_tradnl"/>
        </w:rPr>
      </w:pPr>
      <w:r w:rsidRPr="007C30F1">
        <w:rPr>
          <w:lang w:val="es-ES_tradnl"/>
        </w:rPr>
        <w:t>i)</w:t>
      </w:r>
      <w:r w:rsidRPr="007C30F1">
        <w:rPr>
          <w:lang w:val="es-ES_tradnl"/>
        </w:rPr>
        <w:tab/>
        <w:t>los planes de trabajo de los Departamentos y Divisiones de la BR; y</w:t>
      </w:r>
    </w:p>
    <w:p w:rsidR="00821E2A" w:rsidRPr="007C30F1" w:rsidRDefault="00821E2A" w:rsidP="007E074C">
      <w:pPr>
        <w:pStyle w:val="enumlev1"/>
        <w:spacing w:line="240" w:lineRule="auto"/>
        <w:rPr>
          <w:lang w:val="es-ES_tradnl"/>
        </w:rPr>
      </w:pPr>
      <w:r w:rsidRPr="007C30F1">
        <w:rPr>
          <w:lang w:val="es-ES_tradnl"/>
        </w:rPr>
        <w:t>ii)</w:t>
      </w:r>
      <w:r w:rsidRPr="007C30F1">
        <w:rPr>
          <w:lang w:val="es-ES_tradnl"/>
        </w:rPr>
        <w:tab/>
        <w:t>los Acuerdos de Nivel de Servicio (SLA) para la planificación, supervisión y evaluación de los servicios de apoyo.</w:t>
      </w:r>
    </w:p>
    <w:bookmarkStart w:id="30" w:name="_Ref404966541"/>
    <w:p w:rsidR="00B73929" w:rsidRPr="007C30F1" w:rsidRDefault="00530040" w:rsidP="007E074C">
      <w:pPr>
        <w:pStyle w:val="Figure"/>
        <w:rPr>
          <w:lang w:val="es-ES_tradnl"/>
        </w:rPr>
      </w:pPr>
      <w:r w:rsidRPr="007C30F1">
        <w:rPr>
          <w:noProof/>
          <w:lang w:val="es-ES_tradnl" w:eastAsia="zh-CN"/>
        </w:rPr>
        <w:object w:dxaOrig="1346" w:dyaOrig="1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174.75pt" o:ole="">
            <v:imagedata r:id="rId29" o:title="" croptop="14725f"/>
          </v:shape>
          <o:OLEObject Type="Embed" ProgID="PowerPoint.Slide.12" ShapeID="_x0000_i1025" DrawAspect="Content" ObjectID="_1556529228" r:id="rId30"/>
        </w:object>
      </w:r>
    </w:p>
    <w:p w:rsidR="00821E2A" w:rsidRPr="007C30F1" w:rsidRDefault="00821E2A" w:rsidP="007E074C">
      <w:pPr>
        <w:tabs>
          <w:tab w:val="clear" w:pos="794"/>
          <w:tab w:val="clear" w:pos="1191"/>
          <w:tab w:val="clear" w:pos="1588"/>
          <w:tab w:val="clear" w:pos="1985"/>
        </w:tabs>
        <w:overflowPunct/>
        <w:autoSpaceDE/>
        <w:autoSpaceDN/>
        <w:adjustRightInd/>
        <w:spacing w:before="0" w:line="240" w:lineRule="auto"/>
        <w:jc w:val="center"/>
        <w:textAlignment w:val="auto"/>
        <w:rPr>
          <w:lang w:val="es-ES_tradnl"/>
        </w:rPr>
      </w:pPr>
      <w:r w:rsidRPr="007C30F1">
        <w:rPr>
          <w:rFonts w:eastAsia="Calibri" w:cs="Arial"/>
          <w:i/>
          <w:iCs/>
          <w:color w:val="44546A"/>
          <w:sz w:val="18"/>
          <w:szCs w:val="18"/>
          <w:lang w:val="es-ES_tradnl"/>
        </w:rPr>
        <w:t xml:space="preserve">Figura </w:t>
      </w:r>
      <w:bookmarkEnd w:id="30"/>
      <w:r w:rsidRPr="007C30F1">
        <w:rPr>
          <w:rFonts w:eastAsia="Calibri" w:cs="Arial"/>
          <w:i/>
          <w:iCs/>
          <w:color w:val="44546A"/>
          <w:sz w:val="18"/>
          <w:szCs w:val="18"/>
          <w:lang w:val="es-ES_tradnl"/>
        </w:rPr>
        <w:t xml:space="preserve">1: Plan Operacional del ITU-R y marco estratégico de la UIT para </w:t>
      </w:r>
      <w:r w:rsidR="00530040" w:rsidRPr="007C30F1">
        <w:rPr>
          <w:rFonts w:eastAsia="Calibri" w:cs="Arial"/>
          <w:i/>
          <w:iCs/>
          <w:color w:val="44546A"/>
          <w:sz w:val="18"/>
          <w:szCs w:val="18"/>
          <w:lang w:val="es-ES_tradnl"/>
        </w:rPr>
        <w:t>2016-2019</w:t>
      </w:r>
    </w:p>
    <w:p w:rsidR="00821E2A" w:rsidRPr="007C30F1" w:rsidRDefault="00821E2A" w:rsidP="007E074C">
      <w:pPr>
        <w:spacing w:line="240" w:lineRule="auto"/>
        <w:rPr>
          <w:sz w:val="28"/>
          <w:lang w:val="es-ES_tradnl"/>
        </w:rPr>
      </w:pPr>
      <w:r w:rsidRPr="007C30F1">
        <w:rPr>
          <w:lang w:val="es-ES_tradnl"/>
        </w:rPr>
        <w:br w:type="page"/>
      </w:r>
    </w:p>
    <w:p w:rsidR="00821E2A" w:rsidRPr="007C30F1" w:rsidRDefault="00821E2A" w:rsidP="007E074C">
      <w:pPr>
        <w:pStyle w:val="Heading1"/>
        <w:spacing w:line="240" w:lineRule="auto"/>
        <w:rPr>
          <w:color w:val="4F81BD" w:themeColor="accent1"/>
          <w:lang w:val="es-ES_tradnl"/>
        </w:rPr>
      </w:pPr>
      <w:r w:rsidRPr="007C30F1">
        <w:rPr>
          <w:color w:val="4F81BD" w:themeColor="accent1"/>
          <w:lang w:val="es-ES_tradnl"/>
        </w:rPr>
        <w:lastRenderedPageBreak/>
        <w:t>2</w:t>
      </w:r>
      <w:r w:rsidRPr="007C30F1">
        <w:rPr>
          <w:color w:val="4F81BD" w:themeColor="accent1"/>
          <w:lang w:val="es-ES_tradnl"/>
        </w:rPr>
        <w:tab/>
        <w:t>Contexto y prioridades fundamentales del Sector UIT-R</w:t>
      </w:r>
    </w:p>
    <w:p w:rsidR="00821E2A" w:rsidRPr="007C30F1" w:rsidRDefault="00821E2A" w:rsidP="007E074C">
      <w:pPr>
        <w:spacing w:line="240" w:lineRule="auto"/>
        <w:rPr>
          <w:iCs/>
          <w:lang w:val="es-ES_tradnl"/>
        </w:rPr>
      </w:pPr>
      <w:r w:rsidRPr="007C30F1">
        <w:rPr>
          <w:lang w:val="es-ES_tradnl"/>
        </w:rPr>
        <w:t>El periodo 2018-2021 se distinguirá por la aplicación de las decisiones de la AR-15 y la CMR-15, la preparación de la AR-19 y la CMR-19, y la elaboración de normas esenciales y prácticas óptimas en materia de radiocomunicaciones. A continuación figuran las esferas prioritarias de las cuatro actividades operacionales del UIT-R y de los servicios de apoyo de la Oficina de Radiocomunicaciones:</w:t>
      </w:r>
    </w:p>
    <w:p w:rsidR="00821E2A" w:rsidRPr="007C30F1" w:rsidRDefault="00821E2A" w:rsidP="007E074C">
      <w:pPr>
        <w:pStyle w:val="Heading2"/>
        <w:spacing w:line="240" w:lineRule="auto"/>
        <w:rPr>
          <w:color w:val="4F81BD" w:themeColor="accent1"/>
          <w:lang w:val="es-ES_tradnl"/>
        </w:rPr>
      </w:pPr>
      <w:r w:rsidRPr="007C30F1">
        <w:rPr>
          <w:color w:val="4F81BD" w:themeColor="accent1"/>
          <w:lang w:val="es-ES_tradnl"/>
        </w:rPr>
        <w:t>2.1</w:t>
      </w:r>
      <w:r w:rsidRPr="007C30F1">
        <w:rPr>
          <w:color w:val="4F81BD" w:themeColor="accent1"/>
          <w:lang w:val="es-ES_tradnl"/>
        </w:rPr>
        <w:tab/>
        <w:t>Establecer y actualizar la reglamentación internacional sobre la utilización del espectro de radiofrecuencias y las órbitas de los satélites</w:t>
      </w:r>
    </w:p>
    <w:p w:rsidR="00821E2A" w:rsidRPr="007C30F1" w:rsidRDefault="00821E2A" w:rsidP="007E074C">
      <w:pPr>
        <w:pStyle w:val="enumlev1"/>
        <w:spacing w:line="240" w:lineRule="auto"/>
        <w:rPr>
          <w:lang w:val="es-ES_tradnl"/>
        </w:rPr>
      </w:pPr>
      <w:r w:rsidRPr="007C30F1">
        <w:rPr>
          <w:lang w:val="es-ES_tradnl"/>
        </w:rPr>
        <w:t>•</w:t>
      </w:r>
      <w:r w:rsidRPr="007C30F1">
        <w:rPr>
          <w:lang w:val="es-ES_tradnl"/>
        </w:rPr>
        <w:tab/>
        <w:t>Aplicar las decisiones de la CMR-15.</w:t>
      </w:r>
    </w:p>
    <w:p w:rsidR="00821E2A" w:rsidRPr="007C30F1" w:rsidRDefault="00821E2A" w:rsidP="007E074C">
      <w:pPr>
        <w:pStyle w:val="enumlev1"/>
        <w:spacing w:line="240" w:lineRule="auto"/>
        <w:rPr>
          <w:lang w:val="es-ES_tradnl"/>
        </w:rPr>
      </w:pPr>
      <w:r w:rsidRPr="007C30F1">
        <w:rPr>
          <w:lang w:val="es-ES_tradnl"/>
        </w:rPr>
        <w:t>•</w:t>
      </w:r>
      <w:r w:rsidRPr="007C30F1">
        <w:rPr>
          <w:lang w:val="es-ES_tradnl"/>
        </w:rPr>
        <w:tab/>
        <w:t>Adoptar las reglas de procedimiento conexas en el marco de la RRB.</w:t>
      </w:r>
    </w:p>
    <w:p w:rsidR="00821E2A" w:rsidRPr="007C30F1" w:rsidRDefault="00821E2A" w:rsidP="007E074C">
      <w:pPr>
        <w:pStyle w:val="Heading2"/>
        <w:spacing w:line="240" w:lineRule="auto"/>
        <w:rPr>
          <w:color w:val="4F81BD" w:themeColor="accent1"/>
          <w:lang w:val="es-ES_tradnl"/>
        </w:rPr>
      </w:pPr>
      <w:r w:rsidRPr="007C30F1">
        <w:rPr>
          <w:color w:val="4F81BD" w:themeColor="accent1"/>
          <w:lang w:val="es-ES_tradnl"/>
        </w:rPr>
        <w:t>2.2</w:t>
      </w:r>
      <w:r w:rsidRPr="007C30F1">
        <w:rPr>
          <w:color w:val="4F81BD" w:themeColor="accent1"/>
          <w:lang w:val="es-ES_tradnl"/>
        </w:rPr>
        <w:tab/>
        <w:t>Implementar y aplicar la reglamentación internacional sobre la utilización del espectro de radiofrecuencias y las órbitas de los satélites</w:t>
      </w:r>
    </w:p>
    <w:p w:rsidR="00821E2A" w:rsidRPr="007C30F1" w:rsidRDefault="00821E2A" w:rsidP="007E074C">
      <w:pPr>
        <w:pStyle w:val="enumlev1"/>
        <w:spacing w:line="240" w:lineRule="auto"/>
        <w:rPr>
          <w:lang w:val="es-ES_tradnl"/>
        </w:rPr>
      </w:pPr>
      <w:r w:rsidRPr="007C30F1">
        <w:rPr>
          <w:lang w:val="es-ES_tradnl"/>
        </w:rPr>
        <w:t>•</w:t>
      </w:r>
      <w:r w:rsidRPr="007C30F1">
        <w:rPr>
          <w:lang w:val="es-ES_tradnl"/>
        </w:rPr>
        <w:tab/>
        <w:t xml:space="preserve">Desarrollar y facilitar a los miembros las herramientas informáticas relativas a la aplicación del Reglamento de Radiocomunicaciones y las Reglas de Procedimiento conexas. </w:t>
      </w:r>
    </w:p>
    <w:p w:rsidR="00821E2A" w:rsidRPr="007C30F1" w:rsidRDefault="00821E2A" w:rsidP="007E074C">
      <w:pPr>
        <w:pStyle w:val="enumlev1"/>
        <w:spacing w:line="240" w:lineRule="auto"/>
        <w:rPr>
          <w:lang w:val="es-ES_tradnl"/>
        </w:rPr>
      </w:pPr>
      <w:r w:rsidRPr="007C30F1">
        <w:rPr>
          <w:lang w:val="es-ES_tradnl"/>
        </w:rPr>
        <w:t>•</w:t>
      </w:r>
      <w:r w:rsidRPr="007C30F1">
        <w:rPr>
          <w:lang w:val="es-ES_tradnl"/>
        </w:rPr>
        <w:tab/>
        <w:t>Ejecutar de forma adecuada y oportuna las disposiciones del Reglamento de Radiocomunicaciones y los Acuerdos Regionales aplicables a los servicios terrenales y espaciales, junto con la versión actualizada del Registro Internacional de Frecuencias (MIFR) y los planes y listas de asignación y/o adjudicación.</w:t>
      </w:r>
    </w:p>
    <w:p w:rsidR="00821E2A" w:rsidRPr="007C30F1" w:rsidRDefault="00821E2A" w:rsidP="007E074C">
      <w:pPr>
        <w:pStyle w:val="enumlev1"/>
        <w:spacing w:line="240" w:lineRule="auto"/>
        <w:rPr>
          <w:lang w:val="es-ES_tradnl"/>
        </w:rPr>
      </w:pPr>
      <w:r w:rsidRPr="007C30F1">
        <w:rPr>
          <w:lang w:val="es-ES_tradnl"/>
        </w:rPr>
        <w:t>•</w:t>
      </w:r>
      <w:r w:rsidRPr="007C30F1">
        <w:rPr>
          <w:lang w:val="es-ES_tradnl"/>
        </w:rPr>
        <w:tab/>
        <w:t>Realizar un seguimiento de los casos de interferencia perjudicial y, en general, de los conflictos dimanantes del uso compartido de recursos del espectro de radiofrecuencias y las órbitas de satélites, y proceder a su resolución.</w:t>
      </w:r>
    </w:p>
    <w:p w:rsidR="00821E2A" w:rsidRPr="007C30F1" w:rsidRDefault="00821E2A" w:rsidP="007E074C">
      <w:pPr>
        <w:pStyle w:val="enumlev1"/>
        <w:spacing w:line="240" w:lineRule="auto"/>
        <w:rPr>
          <w:lang w:val="es-ES_tradnl"/>
        </w:rPr>
      </w:pPr>
      <w:r w:rsidRPr="007C30F1">
        <w:rPr>
          <w:lang w:val="es-ES_tradnl"/>
        </w:rPr>
        <w:t>•</w:t>
      </w:r>
      <w:r w:rsidRPr="007C30F1">
        <w:rPr>
          <w:lang w:val="es-ES_tradnl"/>
        </w:rPr>
        <w:tab/>
        <w:t>Las publicaciones asociadas (véanse la BR IFIC, las publicaciones relativas al servicio marítimo, el nomenclátor de las estaciones de comprobación técnica internacional de las emisiones, etc.).</w:t>
      </w:r>
    </w:p>
    <w:p w:rsidR="00821E2A" w:rsidRPr="007C30F1" w:rsidRDefault="00821E2A" w:rsidP="007E074C">
      <w:pPr>
        <w:pStyle w:val="Heading2"/>
        <w:spacing w:line="240" w:lineRule="auto"/>
        <w:rPr>
          <w:color w:val="4F81BD" w:themeColor="accent1"/>
          <w:lang w:val="es-ES_tradnl"/>
        </w:rPr>
      </w:pPr>
      <w:r w:rsidRPr="007C30F1">
        <w:rPr>
          <w:color w:val="4F81BD" w:themeColor="accent1"/>
          <w:lang w:val="es-ES_tradnl"/>
        </w:rPr>
        <w:t>2.3</w:t>
      </w:r>
      <w:r w:rsidRPr="007C30F1">
        <w:rPr>
          <w:color w:val="4F81BD" w:themeColor="accent1"/>
          <w:lang w:val="es-ES_tradnl"/>
        </w:rPr>
        <w:tab/>
        <w:t>Establecer y actualizar Recomendaciones, Informes y Manuales de ámbito mundial para lograr una utilización más eficaz del espectro de radiofrecuencias y de las órbitas de los satélites</w:t>
      </w:r>
    </w:p>
    <w:p w:rsidR="00821E2A" w:rsidRPr="007C30F1" w:rsidRDefault="00821E2A" w:rsidP="007E074C">
      <w:pPr>
        <w:pStyle w:val="enumlev1"/>
        <w:spacing w:line="240" w:lineRule="auto"/>
        <w:rPr>
          <w:lang w:val="es-ES_tradnl"/>
        </w:rPr>
      </w:pPr>
      <w:r w:rsidRPr="007C30F1">
        <w:rPr>
          <w:lang w:val="es-ES_tradnl"/>
        </w:rPr>
        <w:t>•</w:t>
      </w:r>
      <w:r w:rsidRPr="007C30F1">
        <w:rPr>
          <w:lang w:val="es-ES_tradnl"/>
        </w:rPr>
        <w:tab/>
        <w:t>Preparar la AR-19 y la CMR-19 en el seno de las Comisiones de Estudio del UIT-R y, en estrecha colaboración con los Grupos Regionales, elaborar proyectos de textos técnicos, reglamentarios y de procedimiento en apoyo de la RPC19-2.</w:t>
      </w:r>
    </w:p>
    <w:p w:rsidR="00821E2A" w:rsidRPr="007C30F1" w:rsidRDefault="00821E2A" w:rsidP="007E074C">
      <w:pPr>
        <w:pStyle w:val="enumlev1"/>
        <w:spacing w:line="240" w:lineRule="auto"/>
        <w:rPr>
          <w:lang w:val="es-ES_tradnl"/>
        </w:rPr>
      </w:pPr>
      <w:r w:rsidRPr="007C30F1">
        <w:rPr>
          <w:lang w:val="es-ES_tradnl"/>
        </w:rPr>
        <w:t>•</w:t>
      </w:r>
      <w:r w:rsidRPr="007C30F1">
        <w:rPr>
          <w:lang w:val="es-ES_tradnl"/>
        </w:rPr>
        <w:tab/>
        <w:t>Elaborar Recomendaciones, Informes y Manuales clave, en particular, sobre la</w:t>
      </w:r>
      <w:r w:rsidRPr="007C30F1">
        <w:rPr>
          <w:sz w:val="18"/>
          <w:szCs w:val="18"/>
          <w:lang w:val="es-ES_tradnl"/>
        </w:rPr>
        <w:t xml:space="preserve"> </w:t>
      </w:r>
      <w:r w:rsidRPr="007C30F1">
        <w:rPr>
          <w:lang w:val="es-ES_tradnl"/>
        </w:rPr>
        <w:t>interfaz radioeléctrica de las IMT 2020, en estrecha colaboración con el UIT-T, las organizaciones regionales y otros organismos de normalización.</w:t>
      </w:r>
    </w:p>
    <w:p w:rsidR="00821E2A" w:rsidRPr="007C30F1" w:rsidRDefault="00821E2A" w:rsidP="007E074C">
      <w:pPr>
        <w:pStyle w:val="Heading2"/>
        <w:spacing w:line="240" w:lineRule="auto"/>
        <w:rPr>
          <w:color w:val="4F81BD" w:themeColor="accent1"/>
          <w:lang w:val="es-ES_tradnl"/>
        </w:rPr>
      </w:pPr>
      <w:r w:rsidRPr="007C30F1">
        <w:rPr>
          <w:color w:val="4F81BD" w:themeColor="accent1"/>
          <w:lang w:val="es-ES_tradnl"/>
        </w:rPr>
        <w:lastRenderedPageBreak/>
        <w:t>2.4</w:t>
      </w:r>
      <w:r w:rsidRPr="007C30F1">
        <w:rPr>
          <w:color w:val="4F81BD" w:themeColor="accent1"/>
          <w:lang w:val="es-ES_tradnl"/>
        </w:rPr>
        <w:tab/>
        <w:t>Informar y ayudar a los Miembros del UIT-R en asuntos de radiocomunicaciones</w:t>
      </w:r>
    </w:p>
    <w:p w:rsidR="00821E2A" w:rsidRPr="007C30F1" w:rsidRDefault="00821E2A" w:rsidP="007E074C">
      <w:pPr>
        <w:pStyle w:val="enumlev1"/>
        <w:spacing w:line="240" w:lineRule="auto"/>
        <w:rPr>
          <w:lang w:val="es-ES_tradnl"/>
        </w:rPr>
      </w:pPr>
      <w:r w:rsidRPr="007C30F1">
        <w:rPr>
          <w:lang w:val="es-ES_tradnl"/>
        </w:rPr>
        <w:t>•</w:t>
      </w:r>
      <w:r w:rsidRPr="007C30F1">
        <w:rPr>
          <w:lang w:val="es-ES_tradnl"/>
        </w:rPr>
        <w:tab/>
        <w:t>Publicar y promover productos del UIT-R, tales como el Reglamento de Radiocomunicaciones, las Recomendaciones, los Informes y los Manuales.</w:t>
      </w:r>
    </w:p>
    <w:p w:rsidR="00821E2A" w:rsidRPr="007C30F1" w:rsidRDefault="00821E2A" w:rsidP="007E074C">
      <w:pPr>
        <w:pStyle w:val="enumlev1"/>
        <w:spacing w:line="240" w:lineRule="auto"/>
        <w:rPr>
          <w:lang w:val="es-ES_tradnl"/>
        </w:rPr>
      </w:pPr>
      <w:r w:rsidRPr="007C30F1">
        <w:rPr>
          <w:lang w:val="es-ES_tradnl"/>
        </w:rPr>
        <w:t>•</w:t>
      </w:r>
      <w:r w:rsidRPr="007C30F1">
        <w:rPr>
          <w:lang w:val="es-ES_tradnl"/>
        </w:rPr>
        <w:tab/>
        <w:t>En estrecha colaboración con los demás Sectores, las oficinas regionales de la UIT, las organizaciones regionales pertinentes y los miembros:</w:t>
      </w:r>
    </w:p>
    <w:p w:rsidR="00821E2A" w:rsidRPr="007C30F1" w:rsidRDefault="00821E2A" w:rsidP="007E074C">
      <w:pPr>
        <w:pStyle w:val="enumlev2"/>
        <w:spacing w:line="240" w:lineRule="auto"/>
        <w:rPr>
          <w:lang w:val="es-ES_tradnl"/>
        </w:rPr>
      </w:pPr>
      <w:r w:rsidRPr="007C30F1">
        <w:rPr>
          <w:lang w:val="es-ES_tradnl"/>
        </w:rPr>
        <w:t>–</w:t>
      </w:r>
      <w:r w:rsidRPr="007C30F1">
        <w:rPr>
          <w:lang w:val="es-ES_tradnl"/>
        </w:rPr>
        <w:tab/>
        <w:t>divulgar e intercambiar información, por ejemplo, en seminarios, conferencias, talleres y otros eventos mundiales o regionales relacionados con las radiocomunicaciones; y</w:t>
      </w:r>
    </w:p>
    <w:p w:rsidR="00821E2A" w:rsidRPr="007C30F1" w:rsidRDefault="00821E2A" w:rsidP="007E074C">
      <w:pPr>
        <w:pStyle w:val="enumlev2"/>
        <w:spacing w:line="240" w:lineRule="auto"/>
        <w:rPr>
          <w:lang w:val="es-ES_tradnl"/>
        </w:rPr>
      </w:pPr>
      <w:r w:rsidRPr="007C30F1">
        <w:rPr>
          <w:lang w:val="es-ES_tradnl"/>
        </w:rPr>
        <w:t>–</w:t>
      </w:r>
      <w:r w:rsidRPr="007C30F1">
        <w:rPr>
          <w:lang w:val="es-ES_tradnl"/>
        </w:rPr>
        <w:tab/>
        <w:t xml:space="preserve">prestar asistencia a los miembros que experimenten dificultades en el desarrollo de sus servicios de radiocomunicaciones, en particular, con respecto a la transición a la radiodifusión de televisión digital y a la </w:t>
      </w:r>
      <w:r w:rsidR="00116E6B" w:rsidRPr="007C30F1">
        <w:rPr>
          <w:lang w:val="es-ES_tradnl"/>
        </w:rPr>
        <w:t xml:space="preserve">utilización </w:t>
      </w:r>
      <w:r w:rsidRPr="007C30F1">
        <w:rPr>
          <w:lang w:val="es-ES_tradnl"/>
        </w:rPr>
        <w:t>del dividendo digital.</w:t>
      </w:r>
    </w:p>
    <w:p w:rsidR="00821E2A" w:rsidRPr="007C30F1" w:rsidRDefault="00821E2A" w:rsidP="007E074C">
      <w:pPr>
        <w:pStyle w:val="Heading2"/>
        <w:spacing w:line="240" w:lineRule="auto"/>
        <w:rPr>
          <w:color w:val="4F81BD" w:themeColor="accent1"/>
          <w:lang w:val="es-ES_tradnl"/>
        </w:rPr>
      </w:pPr>
      <w:r w:rsidRPr="007C30F1">
        <w:rPr>
          <w:color w:val="4F81BD" w:themeColor="accent1"/>
          <w:lang w:val="es-ES_tradnl"/>
        </w:rPr>
        <w:t>2.5</w:t>
      </w:r>
      <w:r w:rsidRPr="007C30F1">
        <w:rPr>
          <w:color w:val="4F81BD" w:themeColor="accent1"/>
          <w:lang w:val="es-ES_tradnl"/>
        </w:rPr>
        <w:tab/>
        <w:t>Respaldar las actividades de la Oficina de Radiocomunicaciones</w:t>
      </w:r>
    </w:p>
    <w:p w:rsidR="00821E2A" w:rsidRPr="007C30F1" w:rsidRDefault="00821E2A" w:rsidP="007E074C">
      <w:pPr>
        <w:pStyle w:val="enumlev1"/>
        <w:spacing w:line="240" w:lineRule="auto"/>
        <w:rPr>
          <w:lang w:val="es-ES_tradnl"/>
        </w:rPr>
      </w:pPr>
      <w:r w:rsidRPr="007C30F1">
        <w:rPr>
          <w:lang w:val="es-ES_tradnl"/>
        </w:rPr>
        <w:t>•</w:t>
      </w:r>
      <w:r w:rsidRPr="007C30F1">
        <w:rPr>
          <w:lang w:val="es-ES_tradnl"/>
        </w:rPr>
        <w:tab/>
        <w:t>Elaborar, mejorar y actualizar de forma constante las herramientas de software de la BR, con objeto de mantener un alto nivel de eficacia, fiabilidad, facilidad de uso y satisfacción de los miembros.</w:t>
      </w:r>
    </w:p>
    <w:p w:rsidR="00821E2A" w:rsidRPr="007C30F1" w:rsidRDefault="00821E2A" w:rsidP="007E074C">
      <w:pPr>
        <w:pStyle w:val="enumlev1"/>
        <w:spacing w:line="240" w:lineRule="auto"/>
        <w:rPr>
          <w:lang w:val="es-ES_tradnl"/>
        </w:rPr>
      </w:pPr>
      <w:r w:rsidRPr="007C30F1">
        <w:rPr>
          <w:lang w:val="es-ES_tradnl"/>
        </w:rPr>
        <w:t>•</w:t>
      </w:r>
      <w:r w:rsidRPr="007C30F1">
        <w:rPr>
          <w:lang w:val="es-ES_tradnl"/>
        </w:rPr>
        <w:tab/>
        <w:t>Conceder apoyo logístico y administrativo a las Comisiones de Estudio del UIT-R y participar en las actividades conexas de los grupos regionales.</w:t>
      </w:r>
    </w:p>
    <w:p w:rsidR="00821E2A" w:rsidRPr="007C30F1" w:rsidRDefault="00821E2A" w:rsidP="007E074C">
      <w:pPr>
        <w:pStyle w:val="enumlev1"/>
        <w:spacing w:line="240" w:lineRule="auto"/>
        <w:rPr>
          <w:lang w:val="es-ES_tradnl"/>
        </w:rPr>
      </w:pPr>
      <w:r w:rsidRPr="007C30F1">
        <w:rPr>
          <w:lang w:val="es-ES_tradnl"/>
        </w:rPr>
        <w:t>•</w:t>
      </w:r>
      <w:r w:rsidRPr="007C30F1">
        <w:rPr>
          <w:lang w:val="es-ES_tradnl"/>
        </w:rPr>
        <w:tab/>
        <w:t>Prestar asistencia a los miembros, en estrecha colaboración con las demás Oficinas, las oficinas regionales de la UIT y las organizaciones regionales pertinentes.</w:t>
      </w:r>
    </w:p>
    <w:p w:rsidR="00821E2A" w:rsidRPr="007C30F1" w:rsidRDefault="00821E2A" w:rsidP="007E074C">
      <w:pPr>
        <w:spacing w:line="240" w:lineRule="auto"/>
        <w:rPr>
          <w:sz w:val="28"/>
          <w:lang w:val="es-ES_tradnl"/>
        </w:rPr>
      </w:pPr>
      <w:r w:rsidRPr="007C30F1">
        <w:rPr>
          <w:lang w:val="es-ES_tradnl"/>
        </w:rPr>
        <w:br w:type="page"/>
      </w:r>
    </w:p>
    <w:p w:rsidR="00821E2A" w:rsidRPr="007C30F1" w:rsidRDefault="00821E2A" w:rsidP="007E074C">
      <w:pPr>
        <w:pStyle w:val="Heading1"/>
        <w:spacing w:line="240" w:lineRule="auto"/>
        <w:rPr>
          <w:color w:val="4F81BD" w:themeColor="accent1"/>
          <w:lang w:val="es-ES_tradnl"/>
        </w:rPr>
      </w:pPr>
      <w:r w:rsidRPr="007C30F1">
        <w:rPr>
          <w:color w:val="4F81BD" w:themeColor="accent1"/>
          <w:lang w:val="es-ES_tradnl"/>
        </w:rPr>
        <w:lastRenderedPageBreak/>
        <w:t>3</w:t>
      </w:r>
      <w:r w:rsidRPr="007C30F1">
        <w:rPr>
          <w:color w:val="4F81BD" w:themeColor="accent1"/>
          <w:lang w:val="es-ES_tradnl"/>
        </w:rPr>
        <w:tab/>
        <w:t>Marco de resultados del UIT-R para 2018-2021</w:t>
      </w:r>
    </w:p>
    <w:p w:rsidR="00821E2A" w:rsidRPr="007C30F1" w:rsidRDefault="00821E2A" w:rsidP="007E074C">
      <w:pPr>
        <w:pStyle w:val="Heading2"/>
        <w:spacing w:after="120" w:line="240" w:lineRule="auto"/>
        <w:rPr>
          <w:color w:val="4F81BD" w:themeColor="accent1"/>
          <w:lang w:val="es-ES_tradnl"/>
        </w:rPr>
      </w:pPr>
      <w:r w:rsidRPr="007C30F1">
        <w:rPr>
          <w:color w:val="4F81BD" w:themeColor="accent1"/>
          <w:lang w:val="es-ES_tradnl"/>
        </w:rPr>
        <w:t>3.1</w:t>
      </w:r>
      <w:r w:rsidRPr="007C30F1">
        <w:rPr>
          <w:color w:val="4F81BD" w:themeColor="accent1"/>
          <w:lang w:val="es-ES_tradnl"/>
        </w:rPr>
        <w:tab/>
        <w:t>Vinculación con las Metas Estratégicas de la UIT</w:t>
      </w:r>
      <w:r w:rsidRPr="007C30F1">
        <w:rPr>
          <w:rStyle w:val="FootnoteReference"/>
          <w:color w:val="4F81BD" w:themeColor="accent1"/>
          <w:lang w:val="es-ES_tradnl"/>
        </w:rPr>
        <w:footnoteReference w:id="1"/>
      </w:r>
    </w:p>
    <w:tbl>
      <w:tblPr>
        <w:tblW w:w="14524"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Layout w:type="fixed"/>
        <w:tblLook w:val="0620" w:firstRow="1" w:lastRow="0" w:firstColumn="0" w:lastColumn="0" w:noHBand="1" w:noVBand="1"/>
      </w:tblPr>
      <w:tblGrid>
        <w:gridCol w:w="7722"/>
        <w:gridCol w:w="1762"/>
        <w:gridCol w:w="1667"/>
        <w:gridCol w:w="1680"/>
        <w:gridCol w:w="1693"/>
      </w:tblGrid>
      <w:tr w:rsidR="00821E2A" w:rsidRPr="007C30F1" w:rsidTr="00821E2A">
        <w:trPr>
          <w:trHeight w:val="72"/>
        </w:trPr>
        <w:tc>
          <w:tcPr>
            <w:tcW w:w="7722" w:type="dxa"/>
            <w:tcBorders>
              <w:bottom w:val="single" w:sz="4" w:space="0" w:color="4F81BD" w:themeColor="accent1"/>
            </w:tcBorders>
            <w:shd w:val="clear" w:color="auto" w:fill="4F81BD" w:themeFill="accent1"/>
            <w:vAlign w:val="center"/>
            <w:hideMark/>
          </w:tcPr>
          <w:p w:rsidR="00821E2A" w:rsidRPr="007C30F1" w:rsidRDefault="00821E2A" w:rsidP="007E074C">
            <w:pPr>
              <w:pStyle w:val="Tablehead"/>
              <w:rPr>
                <w:color w:val="FFFFFF" w:themeColor="background1"/>
                <w:lang w:val="es-ES_tradnl"/>
              </w:rPr>
            </w:pPr>
            <w:r w:rsidRPr="007C30F1">
              <w:rPr>
                <w:color w:val="FFFFFF" w:themeColor="background1"/>
                <w:lang w:val="es-ES_tradnl"/>
              </w:rPr>
              <w:t>Objetivos del UIT-R</w:t>
            </w:r>
          </w:p>
        </w:tc>
        <w:tc>
          <w:tcPr>
            <w:tcW w:w="1762" w:type="dxa"/>
            <w:tcBorders>
              <w:bottom w:val="single" w:sz="4" w:space="0" w:color="4F81BD" w:themeColor="accent1"/>
            </w:tcBorders>
            <w:shd w:val="clear" w:color="auto" w:fill="4F81BD" w:themeFill="accent1"/>
            <w:vAlign w:val="center"/>
          </w:tcPr>
          <w:p w:rsidR="00821E2A" w:rsidRPr="007C30F1" w:rsidRDefault="00821E2A" w:rsidP="007E074C">
            <w:pPr>
              <w:pStyle w:val="Tablehead"/>
              <w:rPr>
                <w:color w:val="FFFFFF" w:themeColor="background1"/>
                <w:lang w:val="es-ES_tradnl"/>
              </w:rPr>
            </w:pPr>
            <w:r w:rsidRPr="007C30F1">
              <w:rPr>
                <w:color w:val="FFFFFF" w:themeColor="background1"/>
                <w:lang w:val="es-ES_tradnl"/>
              </w:rPr>
              <w:t>Meta 1: Crecimiento</w:t>
            </w:r>
          </w:p>
        </w:tc>
        <w:tc>
          <w:tcPr>
            <w:tcW w:w="1667" w:type="dxa"/>
            <w:tcBorders>
              <w:bottom w:val="single" w:sz="4" w:space="0" w:color="4F81BD" w:themeColor="accent1"/>
            </w:tcBorders>
            <w:shd w:val="clear" w:color="auto" w:fill="4F81BD" w:themeFill="accent1"/>
            <w:vAlign w:val="center"/>
          </w:tcPr>
          <w:p w:rsidR="00821E2A" w:rsidRPr="007C30F1" w:rsidRDefault="00821E2A" w:rsidP="007E074C">
            <w:pPr>
              <w:pStyle w:val="Tablehead"/>
              <w:rPr>
                <w:color w:val="FFFFFF" w:themeColor="background1"/>
                <w:lang w:val="es-ES_tradnl"/>
              </w:rPr>
            </w:pPr>
            <w:r w:rsidRPr="007C30F1">
              <w:rPr>
                <w:color w:val="FFFFFF" w:themeColor="background1"/>
                <w:lang w:val="es-ES_tradnl"/>
              </w:rPr>
              <w:t>Meta 2: Integración</w:t>
            </w:r>
          </w:p>
        </w:tc>
        <w:tc>
          <w:tcPr>
            <w:tcW w:w="1680" w:type="dxa"/>
            <w:tcBorders>
              <w:bottom w:val="single" w:sz="4" w:space="0" w:color="4F81BD" w:themeColor="accent1"/>
            </w:tcBorders>
            <w:shd w:val="clear" w:color="auto" w:fill="4F81BD" w:themeFill="accent1"/>
            <w:vAlign w:val="center"/>
          </w:tcPr>
          <w:p w:rsidR="00821E2A" w:rsidRPr="007C30F1" w:rsidRDefault="00821E2A" w:rsidP="007E074C">
            <w:pPr>
              <w:pStyle w:val="Tablehead"/>
              <w:rPr>
                <w:color w:val="FFFFFF" w:themeColor="background1"/>
                <w:lang w:val="es-ES_tradnl"/>
              </w:rPr>
            </w:pPr>
            <w:r w:rsidRPr="007C30F1">
              <w:rPr>
                <w:color w:val="FFFFFF" w:themeColor="background1"/>
                <w:lang w:val="es-ES_tradnl"/>
              </w:rPr>
              <w:t>Meta 3: Sostenibilidad</w:t>
            </w:r>
          </w:p>
        </w:tc>
        <w:tc>
          <w:tcPr>
            <w:tcW w:w="1693" w:type="dxa"/>
            <w:tcBorders>
              <w:bottom w:val="single" w:sz="4" w:space="0" w:color="4F81BD" w:themeColor="accent1"/>
            </w:tcBorders>
            <w:shd w:val="clear" w:color="auto" w:fill="4F81BD" w:themeFill="accent1"/>
            <w:vAlign w:val="center"/>
          </w:tcPr>
          <w:p w:rsidR="00821E2A" w:rsidRPr="007C30F1" w:rsidRDefault="00821E2A" w:rsidP="007E074C">
            <w:pPr>
              <w:pStyle w:val="Tablehead"/>
              <w:rPr>
                <w:color w:val="FFFFFF" w:themeColor="background1"/>
                <w:lang w:val="es-ES_tradnl"/>
              </w:rPr>
            </w:pPr>
            <w:r w:rsidRPr="007C30F1">
              <w:rPr>
                <w:color w:val="FFFFFF" w:themeColor="background1"/>
                <w:lang w:val="es-ES_tradnl"/>
              </w:rPr>
              <w:t>Meta 4: Innovación y asociación</w:t>
            </w:r>
          </w:p>
        </w:tc>
      </w:tr>
      <w:tr w:rsidR="00821E2A" w:rsidRPr="007C30F1" w:rsidTr="00821E2A">
        <w:trPr>
          <w:trHeight w:val="72"/>
        </w:trPr>
        <w:tc>
          <w:tcPr>
            <w:tcW w:w="7722" w:type="dxa"/>
            <w:tcBorders>
              <w:top w:val="single" w:sz="4" w:space="0" w:color="4F81BD" w:themeColor="accent1"/>
              <w:bottom w:val="single" w:sz="4" w:space="0" w:color="4F81BD" w:themeColor="accent1"/>
              <w:right w:val="single" w:sz="4" w:space="0" w:color="4F81BD" w:themeColor="accent1"/>
            </w:tcBorders>
            <w:hideMark/>
          </w:tcPr>
          <w:p w:rsidR="00821E2A" w:rsidRPr="007C30F1" w:rsidRDefault="00821E2A" w:rsidP="007E074C">
            <w:pPr>
              <w:pStyle w:val="Tabletext"/>
              <w:rPr>
                <w:lang w:val="es-ES_tradnl"/>
              </w:rPr>
            </w:pPr>
            <w:r w:rsidRPr="007C30F1">
              <w:rPr>
                <w:b/>
                <w:bCs/>
                <w:color w:val="4F81BD" w:themeColor="accent1"/>
                <w:lang w:val="es-ES_tradnl"/>
              </w:rPr>
              <w:t>R.1</w:t>
            </w:r>
            <w:r w:rsidRPr="007C30F1">
              <w:rPr>
                <w:lang w:val="es-ES_tradnl"/>
              </w:rPr>
              <w:tab/>
              <w:t>Atender de manera racional, equitativa, eficiente, económica y oportuna a las necesidades de los miembros de la UIT en materia de recursos de espectro de radiofrecuencias y órbitas de satélites, evitando interferencias perjudiciales</w:t>
            </w:r>
          </w:p>
        </w:tc>
        <w:tc>
          <w:tcPr>
            <w:tcW w:w="17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821E2A" w:rsidRPr="007C30F1" w:rsidRDefault="00821E2A" w:rsidP="007E074C">
            <w:pPr>
              <w:pStyle w:val="Tabletext"/>
              <w:jc w:val="center"/>
              <w:rPr>
                <w:b/>
                <w:bCs/>
                <w:lang w:val="es-ES_tradnl"/>
              </w:rPr>
            </w:pPr>
            <w:r w:rsidRPr="007C30F1">
              <w:rPr>
                <w:b/>
                <w:bCs/>
                <w:lang w:val="es-ES_tradnl"/>
              </w:rPr>
              <w:sym w:font="Wingdings 2" w:char="F052"/>
            </w:r>
          </w:p>
        </w:tc>
        <w:tc>
          <w:tcPr>
            <w:tcW w:w="16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821E2A" w:rsidRPr="007C30F1" w:rsidRDefault="00821E2A" w:rsidP="007E074C">
            <w:pPr>
              <w:pStyle w:val="Tabletext"/>
              <w:jc w:val="center"/>
              <w:rPr>
                <w:lang w:val="es-ES_tradnl"/>
              </w:rPr>
            </w:pPr>
            <w:r w:rsidRPr="007C30F1">
              <w:rPr>
                <w:lang w:val="es-ES_tradnl"/>
              </w:rPr>
              <w:sym w:font="Wingdings 2" w:char="F050"/>
            </w:r>
          </w:p>
        </w:tc>
        <w:tc>
          <w:tcPr>
            <w:tcW w:w="1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821E2A" w:rsidRPr="007C30F1" w:rsidRDefault="00821E2A" w:rsidP="007E074C">
            <w:pPr>
              <w:pStyle w:val="Tabletext"/>
              <w:jc w:val="center"/>
              <w:rPr>
                <w:lang w:val="es-ES_tradnl"/>
              </w:rPr>
            </w:pPr>
            <w:r w:rsidRPr="007C30F1">
              <w:rPr>
                <w:lang w:val="es-ES_tradnl"/>
              </w:rPr>
              <w:sym w:font="Wingdings 2" w:char="F050"/>
            </w:r>
          </w:p>
        </w:tc>
        <w:tc>
          <w:tcPr>
            <w:tcW w:w="1693" w:type="dxa"/>
            <w:tcBorders>
              <w:top w:val="single" w:sz="4" w:space="0" w:color="4F81BD" w:themeColor="accent1"/>
              <w:left w:val="single" w:sz="4" w:space="0" w:color="4F81BD" w:themeColor="accent1"/>
              <w:bottom w:val="single" w:sz="4" w:space="0" w:color="4F81BD" w:themeColor="accent1"/>
            </w:tcBorders>
            <w:vAlign w:val="center"/>
            <w:hideMark/>
          </w:tcPr>
          <w:p w:rsidR="00821E2A" w:rsidRPr="007C30F1" w:rsidRDefault="00821E2A" w:rsidP="007E074C">
            <w:pPr>
              <w:pStyle w:val="Tabletext"/>
              <w:jc w:val="center"/>
              <w:rPr>
                <w:lang w:val="es-ES_tradnl"/>
              </w:rPr>
            </w:pPr>
            <w:r w:rsidRPr="007C30F1">
              <w:rPr>
                <w:lang w:val="es-ES_tradnl"/>
              </w:rPr>
              <w:sym w:font="Wingdings 2" w:char="F050"/>
            </w:r>
          </w:p>
        </w:tc>
      </w:tr>
      <w:tr w:rsidR="00821E2A" w:rsidRPr="007C30F1" w:rsidTr="00821E2A">
        <w:trPr>
          <w:trHeight w:val="72"/>
        </w:trPr>
        <w:tc>
          <w:tcPr>
            <w:tcW w:w="7722" w:type="dxa"/>
            <w:tcBorders>
              <w:top w:val="single" w:sz="4" w:space="0" w:color="4F81BD" w:themeColor="accent1"/>
              <w:bottom w:val="single" w:sz="4" w:space="0" w:color="4F81BD" w:themeColor="accent1"/>
              <w:right w:val="single" w:sz="4" w:space="0" w:color="4F81BD" w:themeColor="accent1"/>
            </w:tcBorders>
            <w:hideMark/>
          </w:tcPr>
          <w:p w:rsidR="00821E2A" w:rsidRPr="007C30F1" w:rsidRDefault="00821E2A" w:rsidP="007E074C">
            <w:pPr>
              <w:pStyle w:val="Tabletext"/>
              <w:rPr>
                <w:rFonts w:cs="Arial"/>
                <w:lang w:val="es-ES_tradnl"/>
              </w:rPr>
            </w:pPr>
            <w:r w:rsidRPr="007C30F1">
              <w:rPr>
                <w:rFonts w:cs="Arial"/>
                <w:b/>
                <w:bCs/>
                <w:color w:val="4F81BD" w:themeColor="accent1"/>
                <w:lang w:val="es-ES_tradnl"/>
              </w:rPr>
              <w:t>R.2</w:t>
            </w:r>
            <w:r w:rsidRPr="007C30F1">
              <w:rPr>
                <w:rFonts w:cs="Arial"/>
                <w:b/>
                <w:bCs/>
                <w:color w:val="4F81BD" w:themeColor="accent1"/>
                <w:lang w:val="es-ES_tradnl"/>
              </w:rPr>
              <w:tab/>
            </w:r>
            <w:r w:rsidRPr="007C30F1">
              <w:rPr>
                <w:lang w:val="es-ES_tradnl"/>
              </w:rPr>
              <w:t>Asegurar una conectividad e interoperatividad mundiales, mejora de la calidad de funcionamiento, calidad, asequibilidad y puntualidad de la economía de los servicios y global del sistema en las radiocomunicaciones, incluso mediante la elaboración de normas internacionales</w:t>
            </w:r>
          </w:p>
        </w:tc>
        <w:tc>
          <w:tcPr>
            <w:tcW w:w="17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821E2A" w:rsidRPr="007C30F1" w:rsidRDefault="00821E2A" w:rsidP="007E074C">
            <w:pPr>
              <w:pStyle w:val="Tabletext"/>
              <w:jc w:val="center"/>
              <w:rPr>
                <w:b/>
                <w:bCs/>
                <w:lang w:val="es-ES_tradnl"/>
              </w:rPr>
            </w:pPr>
            <w:r w:rsidRPr="007C30F1">
              <w:rPr>
                <w:b/>
                <w:bCs/>
                <w:lang w:val="es-ES_tradnl"/>
              </w:rPr>
              <w:sym w:font="Wingdings 2" w:char="F052"/>
            </w:r>
          </w:p>
        </w:tc>
        <w:tc>
          <w:tcPr>
            <w:tcW w:w="16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821E2A" w:rsidRPr="007C30F1" w:rsidRDefault="00821E2A" w:rsidP="007E074C">
            <w:pPr>
              <w:pStyle w:val="Tabletext"/>
              <w:jc w:val="center"/>
              <w:rPr>
                <w:lang w:val="es-ES_tradnl"/>
              </w:rPr>
            </w:pPr>
            <w:r w:rsidRPr="007C30F1">
              <w:rPr>
                <w:lang w:val="es-ES_tradnl"/>
              </w:rPr>
              <w:sym w:font="Wingdings 2" w:char="F050"/>
            </w:r>
          </w:p>
        </w:tc>
        <w:tc>
          <w:tcPr>
            <w:tcW w:w="1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821E2A" w:rsidRPr="007C30F1" w:rsidRDefault="00821E2A" w:rsidP="007E074C">
            <w:pPr>
              <w:pStyle w:val="Tabletext"/>
              <w:jc w:val="center"/>
              <w:rPr>
                <w:lang w:val="es-ES_tradnl"/>
              </w:rPr>
            </w:pPr>
            <w:r w:rsidRPr="007C30F1">
              <w:rPr>
                <w:lang w:val="es-ES_tradnl"/>
              </w:rPr>
              <w:sym w:font="Wingdings 2" w:char="F050"/>
            </w:r>
          </w:p>
        </w:tc>
        <w:tc>
          <w:tcPr>
            <w:tcW w:w="1693" w:type="dxa"/>
            <w:tcBorders>
              <w:top w:val="single" w:sz="4" w:space="0" w:color="4F81BD" w:themeColor="accent1"/>
              <w:left w:val="single" w:sz="4" w:space="0" w:color="4F81BD" w:themeColor="accent1"/>
              <w:bottom w:val="single" w:sz="4" w:space="0" w:color="4F81BD" w:themeColor="accent1"/>
            </w:tcBorders>
            <w:vAlign w:val="center"/>
          </w:tcPr>
          <w:p w:rsidR="00821E2A" w:rsidRPr="007C30F1" w:rsidRDefault="00821E2A" w:rsidP="007E074C">
            <w:pPr>
              <w:pStyle w:val="Tabletext"/>
              <w:jc w:val="center"/>
              <w:rPr>
                <w:lang w:val="es-ES_tradnl"/>
              </w:rPr>
            </w:pPr>
            <w:r w:rsidRPr="007C30F1">
              <w:rPr>
                <w:lang w:val="es-ES_tradnl"/>
              </w:rPr>
              <w:sym w:font="Wingdings 2" w:char="F050"/>
            </w:r>
          </w:p>
        </w:tc>
      </w:tr>
      <w:tr w:rsidR="00821E2A" w:rsidRPr="007C30F1" w:rsidTr="00821E2A">
        <w:trPr>
          <w:trHeight w:val="231"/>
        </w:trPr>
        <w:tc>
          <w:tcPr>
            <w:tcW w:w="7722" w:type="dxa"/>
            <w:tcBorders>
              <w:top w:val="single" w:sz="4" w:space="0" w:color="4F81BD" w:themeColor="accent1"/>
              <w:bottom w:val="single" w:sz="4" w:space="0" w:color="4F81BD" w:themeColor="accent1"/>
              <w:right w:val="single" w:sz="4" w:space="0" w:color="4F81BD" w:themeColor="accent1"/>
            </w:tcBorders>
            <w:hideMark/>
          </w:tcPr>
          <w:p w:rsidR="00821E2A" w:rsidRPr="007C30F1" w:rsidRDefault="00821E2A" w:rsidP="007E074C">
            <w:pPr>
              <w:pStyle w:val="Tabletext"/>
              <w:rPr>
                <w:rFonts w:cs="Arial"/>
                <w:lang w:val="es-ES_tradnl"/>
              </w:rPr>
            </w:pPr>
            <w:r w:rsidRPr="007C30F1">
              <w:rPr>
                <w:rFonts w:cs="Arial"/>
                <w:b/>
                <w:bCs/>
                <w:color w:val="4F81BD" w:themeColor="accent1"/>
                <w:lang w:val="es-ES_tradnl"/>
              </w:rPr>
              <w:t>R.3</w:t>
            </w:r>
            <w:r w:rsidRPr="007C30F1">
              <w:rPr>
                <w:rFonts w:cs="Arial"/>
                <w:b/>
                <w:bCs/>
                <w:color w:val="4F81BD" w:themeColor="accent1"/>
                <w:lang w:val="es-ES_tradnl"/>
              </w:rPr>
              <w:tab/>
            </w:r>
            <w:r w:rsidRPr="007C30F1">
              <w:rPr>
                <w:spacing w:val="-2"/>
                <w:lang w:val="es-ES_tradnl"/>
              </w:rPr>
              <w:t>Fomentar la adquisición y divulgación de conocimientos teóricos y prácticos sobre radiocomunicaciones</w:t>
            </w:r>
          </w:p>
        </w:tc>
        <w:tc>
          <w:tcPr>
            <w:tcW w:w="17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821E2A" w:rsidRPr="007C30F1" w:rsidRDefault="00821E2A" w:rsidP="007E074C">
            <w:pPr>
              <w:pStyle w:val="Tabletext"/>
              <w:jc w:val="center"/>
              <w:rPr>
                <w:lang w:val="es-ES_tradnl"/>
              </w:rPr>
            </w:pPr>
          </w:p>
        </w:tc>
        <w:tc>
          <w:tcPr>
            <w:tcW w:w="16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821E2A" w:rsidRPr="007C30F1" w:rsidRDefault="00821E2A" w:rsidP="007E074C">
            <w:pPr>
              <w:pStyle w:val="Tabletext"/>
              <w:jc w:val="center"/>
              <w:rPr>
                <w:b/>
                <w:bCs/>
                <w:lang w:val="es-ES_tradnl"/>
              </w:rPr>
            </w:pPr>
            <w:r w:rsidRPr="007C30F1">
              <w:rPr>
                <w:b/>
                <w:bCs/>
                <w:lang w:val="es-ES_tradnl"/>
              </w:rPr>
              <w:sym w:font="Wingdings 2" w:char="F052"/>
            </w:r>
          </w:p>
        </w:tc>
        <w:tc>
          <w:tcPr>
            <w:tcW w:w="1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821E2A" w:rsidRPr="007C30F1" w:rsidRDefault="00821E2A" w:rsidP="007E074C">
            <w:pPr>
              <w:pStyle w:val="Tabletext"/>
              <w:jc w:val="center"/>
              <w:rPr>
                <w:lang w:val="es-ES_tradnl"/>
              </w:rPr>
            </w:pPr>
          </w:p>
        </w:tc>
        <w:tc>
          <w:tcPr>
            <w:tcW w:w="1693" w:type="dxa"/>
            <w:tcBorders>
              <w:top w:val="single" w:sz="4" w:space="0" w:color="4F81BD" w:themeColor="accent1"/>
              <w:left w:val="single" w:sz="4" w:space="0" w:color="4F81BD" w:themeColor="accent1"/>
              <w:bottom w:val="single" w:sz="4" w:space="0" w:color="4F81BD" w:themeColor="accent1"/>
            </w:tcBorders>
            <w:vAlign w:val="center"/>
            <w:hideMark/>
          </w:tcPr>
          <w:p w:rsidR="00821E2A" w:rsidRPr="007C30F1" w:rsidRDefault="00821E2A" w:rsidP="007E074C">
            <w:pPr>
              <w:pStyle w:val="Tabletext"/>
              <w:jc w:val="center"/>
              <w:rPr>
                <w:lang w:val="es-ES_tradnl"/>
              </w:rPr>
            </w:pPr>
          </w:p>
        </w:tc>
      </w:tr>
    </w:tbl>
    <w:p w:rsidR="00821E2A" w:rsidRPr="007C30F1" w:rsidRDefault="00821E2A" w:rsidP="007E074C">
      <w:pPr>
        <w:spacing w:line="240" w:lineRule="auto"/>
        <w:rPr>
          <w:lang w:val="es-ES_tradnl"/>
        </w:rPr>
      </w:pPr>
      <w:r w:rsidRPr="007C30F1">
        <w:rPr>
          <w:lang w:val="es-ES_tradnl"/>
        </w:rPr>
        <w:br w:type="page"/>
      </w:r>
    </w:p>
    <w:p w:rsidR="00821E2A" w:rsidRPr="007C30F1" w:rsidRDefault="00821E2A" w:rsidP="007E074C">
      <w:pPr>
        <w:pStyle w:val="Heading2"/>
        <w:spacing w:after="120" w:line="240" w:lineRule="auto"/>
        <w:rPr>
          <w:color w:val="4F81BD" w:themeColor="accent1"/>
          <w:lang w:val="es-ES_tradnl"/>
        </w:rPr>
      </w:pPr>
      <w:r w:rsidRPr="007C30F1">
        <w:rPr>
          <w:color w:val="4F81BD" w:themeColor="accent1"/>
          <w:lang w:val="es-ES_tradnl"/>
        </w:rPr>
        <w:lastRenderedPageBreak/>
        <w:t>3.2</w:t>
      </w:r>
      <w:r w:rsidRPr="007C30F1">
        <w:rPr>
          <w:color w:val="4F81BD" w:themeColor="accent1"/>
          <w:lang w:val="es-ES_tradnl"/>
        </w:rPr>
        <w:tab/>
        <w:t>Objetivos, resultados y productos del UIT-R</w:t>
      </w:r>
    </w:p>
    <w:tbl>
      <w:tblPr>
        <w:tblW w:w="14539"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Layout w:type="fixed"/>
        <w:tblLook w:val="06A0" w:firstRow="1" w:lastRow="0" w:firstColumn="1" w:lastColumn="0" w:noHBand="1" w:noVBand="1"/>
      </w:tblPr>
      <w:tblGrid>
        <w:gridCol w:w="421"/>
        <w:gridCol w:w="5132"/>
        <w:gridCol w:w="4857"/>
        <w:gridCol w:w="4129"/>
      </w:tblGrid>
      <w:tr w:rsidR="00821E2A" w:rsidRPr="007C30F1" w:rsidTr="00821E2A">
        <w:trPr>
          <w:cantSplit/>
          <w:tblHeader/>
        </w:trPr>
        <w:tc>
          <w:tcPr>
            <w:tcW w:w="421" w:type="dxa"/>
            <w:tcBorders>
              <w:top w:val="single" w:sz="4" w:space="0" w:color="4F81BD" w:themeColor="accent1"/>
              <w:bottom w:val="single" w:sz="4" w:space="0" w:color="4F81BD" w:themeColor="accent1"/>
            </w:tcBorders>
            <w:shd w:val="clear" w:color="auto" w:fill="4F81BD" w:themeFill="accent1"/>
            <w:textDirection w:val="btLr"/>
          </w:tcPr>
          <w:p w:rsidR="00821E2A" w:rsidRPr="007C30F1" w:rsidRDefault="00821E2A" w:rsidP="007E074C">
            <w:pPr>
              <w:pStyle w:val="Tabletext"/>
              <w:jc w:val="center"/>
              <w:rPr>
                <w:b/>
                <w:bCs/>
                <w:color w:val="4F81BD" w:themeColor="accent1"/>
                <w:sz w:val="16"/>
                <w:szCs w:val="16"/>
                <w:lang w:val="es-ES_tradnl"/>
              </w:rPr>
            </w:pPr>
            <w:r w:rsidRPr="007C30F1">
              <w:rPr>
                <w:b/>
                <w:bCs/>
                <w:color w:val="FFFFFF" w:themeColor="background1"/>
                <w:sz w:val="16"/>
                <w:szCs w:val="16"/>
                <w:lang w:val="es-ES_tradnl"/>
              </w:rPr>
              <w:t>Objetivos</w:t>
            </w:r>
          </w:p>
        </w:tc>
        <w:tc>
          <w:tcPr>
            <w:tcW w:w="5132" w:type="dxa"/>
            <w:tcBorders>
              <w:top w:val="single" w:sz="4" w:space="0" w:color="4F81BD" w:themeColor="accent1"/>
              <w:bottom w:val="single" w:sz="4" w:space="0" w:color="4F81BD" w:themeColor="accent1"/>
            </w:tcBorders>
            <w:shd w:val="clear" w:color="auto" w:fill="4F81BD" w:themeFill="accent1"/>
          </w:tcPr>
          <w:p w:rsidR="00821E2A" w:rsidRPr="007C30F1" w:rsidRDefault="00821E2A" w:rsidP="007E074C">
            <w:pPr>
              <w:pStyle w:val="Tablehead"/>
              <w:tabs>
                <w:tab w:val="left" w:pos="459"/>
              </w:tabs>
              <w:jc w:val="left"/>
              <w:rPr>
                <w:rFonts w:cs="Arial"/>
                <w:sz w:val="16"/>
                <w:szCs w:val="16"/>
                <w:lang w:val="es-ES_tradnl"/>
              </w:rPr>
            </w:pPr>
            <w:r w:rsidRPr="007C30F1">
              <w:rPr>
                <w:color w:val="FFFFFF" w:themeColor="background1"/>
                <w:sz w:val="16"/>
                <w:szCs w:val="16"/>
                <w:lang w:val="es-ES_tradnl"/>
              </w:rPr>
              <w:t>R.1: Atender de manera racional, equitativa, eficiente, económica y oportuna a las necesidades de los miembros de la UIT en materia de recursos de espectro de radiofrecuencias y órbitas de satélites, evitando interferencias perjudiciales</w:t>
            </w:r>
          </w:p>
        </w:tc>
        <w:tc>
          <w:tcPr>
            <w:tcW w:w="4857" w:type="dxa"/>
            <w:tcBorders>
              <w:top w:val="single" w:sz="4" w:space="0" w:color="4F81BD" w:themeColor="accent1"/>
              <w:bottom w:val="single" w:sz="4" w:space="0" w:color="4F81BD" w:themeColor="accent1"/>
            </w:tcBorders>
            <w:shd w:val="clear" w:color="auto" w:fill="4F81BD" w:themeFill="accent1"/>
          </w:tcPr>
          <w:p w:rsidR="00821E2A" w:rsidRPr="007C30F1" w:rsidRDefault="00821E2A" w:rsidP="007E074C">
            <w:pPr>
              <w:pStyle w:val="Tablehead"/>
              <w:tabs>
                <w:tab w:val="left" w:pos="459"/>
              </w:tabs>
              <w:jc w:val="left"/>
              <w:rPr>
                <w:rFonts w:cs="Arial"/>
                <w:sz w:val="16"/>
                <w:szCs w:val="16"/>
                <w:lang w:val="es-ES_tradnl"/>
              </w:rPr>
            </w:pPr>
            <w:r w:rsidRPr="007C30F1">
              <w:rPr>
                <w:color w:val="FFFFFF" w:themeColor="background1"/>
                <w:sz w:val="16"/>
                <w:szCs w:val="16"/>
                <w:lang w:val="es-ES_tradnl"/>
              </w:rPr>
              <w:t>R.2: Asegurar una conectividad e interoperatividad mundiales, mejora de la calidad de funcionamiento, calidad, asequibilidad y puntualidad de la economía de los servicios y global del sistema en las radiocomunicaciones, incluso mediante la elaboración de normas internacionales</w:t>
            </w:r>
          </w:p>
        </w:tc>
        <w:tc>
          <w:tcPr>
            <w:tcW w:w="4129" w:type="dxa"/>
            <w:tcBorders>
              <w:top w:val="single" w:sz="4" w:space="0" w:color="4F81BD" w:themeColor="accent1"/>
              <w:bottom w:val="single" w:sz="4" w:space="0" w:color="4F81BD" w:themeColor="accent1"/>
            </w:tcBorders>
            <w:shd w:val="clear" w:color="auto" w:fill="4F81BD" w:themeFill="accent1"/>
          </w:tcPr>
          <w:p w:rsidR="00821E2A" w:rsidRPr="007C30F1" w:rsidRDefault="00821E2A" w:rsidP="007E074C">
            <w:pPr>
              <w:pStyle w:val="Tablehead"/>
              <w:tabs>
                <w:tab w:val="left" w:pos="459"/>
              </w:tabs>
              <w:jc w:val="left"/>
              <w:rPr>
                <w:rFonts w:cs="Arial"/>
                <w:sz w:val="16"/>
                <w:szCs w:val="16"/>
                <w:lang w:val="es-ES_tradnl"/>
              </w:rPr>
            </w:pPr>
            <w:r w:rsidRPr="007C30F1">
              <w:rPr>
                <w:color w:val="FFFFFF" w:themeColor="background1"/>
                <w:sz w:val="16"/>
                <w:szCs w:val="16"/>
                <w:lang w:val="es-ES_tradnl"/>
              </w:rPr>
              <w:t>R.3: Fomentar la adquisición y divulgación de conocimientos teóricos y prácticos sobre radiocomunicaciones</w:t>
            </w:r>
          </w:p>
        </w:tc>
      </w:tr>
      <w:tr w:rsidR="00821E2A" w:rsidRPr="007C30F1" w:rsidTr="00821E2A">
        <w:trPr>
          <w:cantSplit/>
        </w:trPr>
        <w:tc>
          <w:tcPr>
            <w:tcW w:w="421" w:type="dxa"/>
            <w:tcBorders>
              <w:top w:val="single" w:sz="4" w:space="0" w:color="4F81BD" w:themeColor="accent1"/>
              <w:bottom w:val="single" w:sz="4" w:space="0" w:color="4F81BD" w:themeColor="accent1"/>
              <w:right w:val="single" w:sz="4" w:space="0" w:color="4F81BD" w:themeColor="accent1"/>
            </w:tcBorders>
            <w:textDirection w:val="btLr"/>
          </w:tcPr>
          <w:p w:rsidR="00821E2A" w:rsidRPr="007C30F1" w:rsidRDefault="00821E2A" w:rsidP="007E074C">
            <w:pPr>
              <w:pStyle w:val="Tabletext"/>
              <w:jc w:val="center"/>
              <w:rPr>
                <w:b/>
                <w:bCs/>
                <w:sz w:val="16"/>
                <w:szCs w:val="16"/>
                <w:lang w:val="es-ES_tradnl"/>
              </w:rPr>
            </w:pPr>
            <w:r w:rsidRPr="007C30F1">
              <w:rPr>
                <w:b/>
                <w:bCs/>
                <w:color w:val="4F81BD" w:themeColor="accent1"/>
                <w:sz w:val="16"/>
                <w:szCs w:val="16"/>
                <w:lang w:val="es-ES_tradnl"/>
              </w:rPr>
              <w:t>Resultados</w:t>
            </w:r>
          </w:p>
        </w:tc>
        <w:tc>
          <w:tcPr>
            <w:tcW w:w="51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821E2A" w:rsidRPr="007C30F1" w:rsidRDefault="00821E2A" w:rsidP="007E074C">
            <w:pPr>
              <w:pStyle w:val="Tabletext"/>
              <w:rPr>
                <w:b/>
                <w:bCs/>
                <w:sz w:val="16"/>
                <w:szCs w:val="16"/>
                <w:lang w:val="es-ES_tradnl"/>
              </w:rPr>
            </w:pPr>
            <w:r w:rsidRPr="007C30F1">
              <w:rPr>
                <w:b/>
                <w:bCs/>
                <w:color w:val="4F81BD" w:themeColor="accent1"/>
                <w:sz w:val="16"/>
                <w:szCs w:val="16"/>
                <w:lang w:val="es-ES_tradnl"/>
              </w:rPr>
              <w:t>R.1-1:</w:t>
            </w:r>
            <w:r w:rsidRPr="007C30F1">
              <w:rPr>
                <w:sz w:val="16"/>
                <w:szCs w:val="16"/>
                <w:lang w:val="es-ES_tradnl"/>
              </w:rPr>
              <w:t xml:space="preserve"> Aumento del número de países que tienen redes de satélite y estaciones terrenas inscritas en el Registro Internacional de Frecuencias (MIFR)</w:t>
            </w:r>
          </w:p>
          <w:p w:rsidR="00821E2A" w:rsidRPr="007C30F1" w:rsidRDefault="00821E2A" w:rsidP="007E074C">
            <w:pPr>
              <w:pStyle w:val="Tabletext"/>
              <w:rPr>
                <w:b/>
                <w:bCs/>
                <w:sz w:val="16"/>
                <w:szCs w:val="16"/>
                <w:lang w:val="es-ES_tradnl"/>
              </w:rPr>
            </w:pPr>
            <w:r w:rsidRPr="007C30F1">
              <w:rPr>
                <w:b/>
                <w:bCs/>
                <w:color w:val="4F81BD" w:themeColor="accent1"/>
                <w:sz w:val="16"/>
                <w:szCs w:val="16"/>
                <w:lang w:val="es-ES_tradnl"/>
              </w:rPr>
              <w:t>R.1-2:</w:t>
            </w:r>
            <w:r w:rsidRPr="007C30F1">
              <w:rPr>
                <w:sz w:val="16"/>
                <w:szCs w:val="16"/>
                <w:lang w:val="es-ES_tradnl"/>
              </w:rPr>
              <w:t xml:space="preserve"> Mayor número de países que tienen asignaciones de frecuencias terrenales inscritas en el MIFR</w:t>
            </w:r>
          </w:p>
          <w:p w:rsidR="00821E2A" w:rsidRPr="007C30F1" w:rsidRDefault="00821E2A" w:rsidP="007E074C">
            <w:pPr>
              <w:pStyle w:val="Tabletext"/>
              <w:rPr>
                <w:sz w:val="16"/>
                <w:szCs w:val="16"/>
                <w:lang w:val="es-ES_tradnl"/>
              </w:rPr>
            </w:pPr>
            <w:r w:rsidRPr="007C30F1">
              <w:rPr>
                <w:b/>
                <w:bCs/>
                <w:color w:val="4F81BD" w:themeColor="accent1"/>
                <w:sz w:val="16"/>
                <w:szCs w:val="16"/>
                <w:lang w:val="es-ES_tradnl"/>
              </w:rPr>
              <w:t>R.1-3:</w:t>
            </w:r>
            <w:r w:rsidRPr="007C30F1">
              <w:rPr>
                <w:sz w:val="16"/>
                <w:szCs w:val="16"/>
                <w:lang w:val="es-ES_tradnl"/>
              </w:rPr>
              <w:t xml:space="preserve"> Mayor porcentaje de asignaciones inscritas en el Registro Internacional de Frecuencias con conclusión favorable</w:t>
            </w:r>
          </w:p>
          <w:p w:rsidR="00821E2A" w:rsidRPr="007C30F1" w:rsidRDefault="00821E2A" w:rsidP="007E074C">
            <w:pPr>
              <w:pStyle w:val="Tabletext"/>
              <w:rPr>
                <w:b/>
                <w:bCs/>
                <w:sz w:val="16"/>
                <w:szCs w:val="16"/>
                <w:lang w:val="es-ES_tradnl"/>
              </w:rPr>
            </w:pPr>
            <w:r w:rsidRPr="007C30F1">
              <w:rPr>
                <w:b/>
                <w:bCs/>
                <w:color w:val="4F81BD" w:themeColor="accent1"/>
                <w:sz w:val="16"/>
                <w:szCs w:val="16"/>
                <w:lang w:val="es-ES_tradnl"/>
              </w:rPr>
              <w:t>R.1-4:</w:t>
            </w:r>
            <w:r w:rsidRPr="007C30F1">
              <w:rPr>
                <w:sz w:val="16"/>
                <w:szCs w:val="16"/>
                <w:lang w:val="es-ES_tradnl"/>
              </w:rPr>
              <w:t xml:space="preserve"> Mayor porcentaje de países que han completado la transición a la radiodifusión de televisión terrenal digital</w:t>
            </w:r>
          </w:p>
          <w:p w:rsidR="00821E2A" w:rsidRPr="007C30F1" w:rsidRDefault="00821E2A" w:rsidP="007E074C">
            <w:pPr>
              <w:pStyle w:val="Tabletext"/>
              <w:rPr>
                <w:b/>
                <w:bCs/>
                <w:sz w:val="16"/>
                <w:szCs w:val="16"/>
                <w:lang w:val="es-ES_tradnl"/>
              </w:rPr>
            </w:pPr>
            <w:r w:rsidRPr="007C30F1">
              <w:rPr>
                <w:b/>
                <w:bCs/>
                <w:color w:val="4F81BD" w:themeColor="accent1"/>
                <w:sz w:val="16"/>
                <w:szCs w:val="16"/>
                <w:lang w:val="es-ES_tradnl"/>
              </w:rPr>
              <w:t>R.1-5:</w:t>
            </w:r>
            <w:r w:rsidRPr="007C30F1">
              <w:rPr>
                <w:sz w:val="16"/>
                <w:szCs w:val="16"/>
                <w:lang w:val="es-ES_tradnl"/>
              </w:rPr>
              <w:t xml:space="preserve"> Mayor porcentaje de espectro exento de interferencia perjudicial asignado a redes de satélite</w:t>
            </w:r>
          </w:p>
          <w:p w:rsidR="00821E2A" w:rsidRPr="007C30F1" w:rsidRDefault="00821E2A" w:rsidP="007E074C">
            <w:pPr>
              <w:pStyle w:val="Tabletext"/>
              <w:rPr>
                <w:rFonts w:cs="Arial"/>
                <w:sz w:val="16"/>
                <w:szCs w:val="16"/>
                <w:lang w:val="es-ES_tradnl"/>
              </w:rPr>
            </w:pPr>
            <w:r w:rsidRPr="007C30F1">
              <w:rPr>
                <w:b/>
                <w:bCs/>
                <w:color w:val="4F81BD" w:themeColor="accent1"/>
                <w:sz w:val="16"/>
                <w:szCs w:val="16"/>
                <w:lang w:val="es-ES_tradnl"/>
              </w:rPr>
              <w:t>R.1-6:</w:t>
            </w:r>
            <w:r w:rsidRPr="007C30F1">
              <w:rPr>
                <w:sz w:val="16"/>
                <w:szCs w:val="16"/>
                <w:lang w:val="es-ES_tradnl"/>
              </w:rPr>
              <w:t xml:space="preserve"> Mayor porcentaje de asignaciones exentas de interferencias perjudiciales a servicios terrenales inscritas en el Registro</w:t>
            </w:r>
          </w:p>
        </w:tc>
        <w:tc>
          <w:tcPr>
            <w:tcW w:w="48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821E2A" w:rsidRPr="007C30F1" w:rsidRDefault="00821E2A" w:rsidP="007E074C">
            <w:pPr>
              <w:pStyle w:val="Tabletext"/>
              <w:rPr>
                <w:sz w:val="16"/>
                <w:szCs w:val="16"/>
                <w:lang w:val="es-ES_tradnl"/>
              </w:rPr>
            </w:pPr>
            <w:r w:rsidRPr="007C30F1">
              <w:rPr>
                <w:b/>
                <w:bCs/>
                <w:color w:val="4F81BD" w:themeColor="accent1"/>
                <w:sz w:val="16"/>
                <w:szCs w:val="16"/>
                <w:lang w:val="es-ES_tradnl"/>
              </w:rPr>
              <w:t>R.2-1:</w:t>
            </w:r>
            <w:r w:rsidRPr="007C30F1">
              <w:rPr>
                <w:sz w:val="16"/>
                <w:szCs w:val="16"/>
                <w:lang w:val="es-ES_tradnl"/>
              </w:rPr>
              <w:t xml:space="preserve"> Mayor acceso de banda ancha móvil, incluso en bandas de frecuencias identificadas para las telecomunicaciones móviles internacionales (IMT)</w:t>
            </w:r>
          </w:p>
          <w:p w:rsidR="00821E2A" w:rsidRPr="007C30F1" w:rsidRDefault="00821E2A" w:rsidP="007E074C">
            <w:pPr>
              <w:pStyle w:val="Tabletext"/>
              <w:rPr>
                <w:sz w:val="16"/>
                <w:szCs w:val="16"/>
                <w:lang w:val="es-ES_tradnl"/>
              </w:rPr>
            </w:pPr>
            <w:r w:rsidRPr="007C30F1">
              <w:rPr>
                <w:b/>
                <w:bCs/>
                <w:color w:val="4F81BD" w:themeColor="accent1"/>
                <w:sz w:val="16"/>
                <w:szCs w:val="16"/>
                <w:lang w:val="es-ES_tradnl"/>
              </w:rPr>
              <w:t>R.2-2:</w:t>
            </w:r>
            <w:r w:rsidRPr="007C30F1">
              <w:rPr>
                <w:sz w:val="16"/>
                <w:szCs w:val="16"/>
                <w:lang w:val="es-ES_tradnl"/>
              </w:rPr>
              <w:t xml:space="preserve"> Disminución de la cesta de precios de la banda ancha móvil en porcentaje de la Renta Nacional Bruta (RNB) por habitante</w:t>
            </w:r>
          </w:p>
          <w:p w:rsidR="00821E2A" w:rsidRPr="007C30F1" w:rsidRDefault="00821E2A" w:rsidP="007E074C">
            <w:pPr>
              <w:pStyle w:val="Tabletext"/>
              <w:rPr>
                <w:sz w:val="16"/>
                <w:szCs w:val="16"/>
                <w:lang w:val="es-ES_tradnl"/>
              </w:rPr>
            </w:pPr>
            <w:r w:rsidRPr="007C30F1">
              <w:rPr>
                <w:b/>
                <w:bCs/>
                <w:color w:val="4F81BD" w:themeColor="accent1"/>
                <w:sz w:val="16"/>
                <w:szCs w:val="16"/>
                <w:lang w:val="es-ES_tradnl"/>
              </w:rPr>
              <w:t>R.2-3:</w:t>
            </w:r>
            <w:r w:rsidRPr="007C30F1">
              <w:rPr>
                <w:sz w:val="16"/>
                <w:szCs w:val="16"/>
                <w:lang w:val="es-ES_tradnl"/>
              </w:rPr>
              <w:t xml:space="preserve"> Mayor número de enlaces fijos y aumento del tráfico cursado por el servicio fijo (Tbit/s)</w:t>
            </w:r>
          </w:p>
          <w:p w:rsidR="00821E2A" w:rsidRPr="007C30F1" w:rsidRDefault="00821E2A" w:rsidP="007E074C">
            <w:pPr>
              <w:pStyle w:val="Tabletext"/>
              <w:rPr>
                <w:sz w:val="16"/>
                <w:szCs w:val="16"/>
                <w:lang w:val="es-ES_tradnl"/>
              </w:rPr>
            </w:pPr>
            <w:r w:rsidRPr="007C30F1">
              <w:rPr>
                <w:b/>
                <w:bCs/>
                <w:color w:val="4F81BD" w:themeColor="accent1"/>
                <w:sz w:val="16"/>
                <w:szCs w:val="16"/>
                <w:lang w:val="es-ES_tradnl"/>
              </w:rPr>
              <w:t>R.2-4:</w:t>
            </w:r>
            <w:r w:rsidRPr="007C30F1">
              <w:rPr>
                <w:sz w:val="16"/>
                <w:szCs w:val="16"/>
                <w:lang w:val="es-ES_tradnl"/>
              </w:rPr>
              <w:t xml:space="preserve"> Número de hogares con recepción de televisión digital terrenal</w:t>
            </w:r>
          </w:p>
          <w:p w:rsidR="00821E2A" w:rsidRPr="007C30F1" w:rsidRDefault="00821E2A" w:rsidP="007E074C">
            <w:pPr>
              <w:pStyle w:val="Tabletext"/>
              <w:rPr>
                <w:sz w:val="16"/>
                <w:szCs w:val="16"/>
                <w:lang w:val="es-ES_tradnl"/>
              </w:rPr>
            </w:pPr>
            <w:r w:rsidRPr="007C30F1">
              <w:rPr>
                <w:b/>
                <w:bCs/>
                <w:color w:val="4F81BD" w:themeColor="accent1"/>
                <w:sz w:val="16"/>
                <w:szCs w:val="16"/>
                <w:lang w:val="es-ES_tradnl"/>
              </w:rPr>
              <w:t>R.2-5:</w:t>
            </w:r>
            <w:r w:rsidRPr="007C30F1">
              <w:rPr>
                <w:sz w:val="16"/>
                <w:szCs w:val="16"/>
                <w:lang w:val="es-ES_tradnl"/>
              </w:rPr>
              <w:t xml:space="preserve"> Número de transpondedores de satélite (equivalente a 36 MHz) en funcionamiento y capacidad correspondiente (Tbit/s). Número de terminales VSAR, número de hogares con recepción de televisión por satélite</w:t>
            </w:r>
          </w:p>
          <w:p w:rsidR="00821E2A" w:rsidRPr="007C30F1" w:rsidRDefault="00821E2A" w:rsidP="007E074C">
            <w:pPr>
              <w:pStyle w:val="Tabletext"/>
              <w:rPr>
                <w:sz w:val="16"/>
                <w:szCs w:val="16"/>
                <w:lang w:val="es-ES_tradnl"/>
              </w:rPr>
            </w:pPr>
            <w:r w:rsidRPr="007C30F1">
              <w:rPr>
                <w:b/>
                <w:bCs/>
                <w:color w:val="4F81BD" w:themeColor="accent1"/>
                <w:sz w:val="16"/>
                <w:szCs w:val="16"/>
                <w:lang w:val="es-ES_tradnl"/>
              </w:rPr>
              <w:t>R.2-6:</w:t>
            </w:r>
            <w:r w:rsidRPr="007C30F1">
              <w:rPr>
                <w:sz w:val="16"/>
                <w:szCs w:val="16"/>
                <w:lang w:val="es-ES_tradnl"/>
              </w:rPr>
              <w:t xml:space="preserve"> Mayor número de dispositivos con recepción de radionavegación por satélite</w:t>
            </w:r>
          </w:p>
          <w:p w:rsidR="00821E2A" w:rsidRPr="007C30F1" w:rsidRDefault="00821E2A" w:rsidP="007E074C">
            <w:pPr>
              <w:pStyle w:val="Tabletext"/>
              <w:rPr>
                <w:sz w:val="16"/>
                <w:szCs w:val="16"/>
                <w:lang w:val="es-ES_tradnl"/>
              </w:rPr>
            </w:pPr>
            <w:r w:rsidRPr="007C30F1">
              <w:rPr>
                <w:b/>
                <w:bCs/>
                <w:color w:val="4F81BD" w:themeColor="accent1"/>
                <w:sz w:val="16"/>
                <w:szCs w:val="16"/>
                <w:lang w:val="es-ES_tradnl"/>
              </w:rPr>
              <w:t>R.2-7:</w:t>
            </w:r>
            <w:r w:rsidRPr="007C30F1">
              <w:rPr>
                <w:sz w:val="16"/>
                <w:szCs w:val="16"/>
                <w:lang w:val="es-ES_tradnl"/>
              </w:rPr>
              <w:t xml:space="preserve"> Número de satélites de exploración de la Tierra en funcionamiento, cantidad y resolución correspondientes de las imágenes transmitidas y los volúmenes de datos descargados (Tbytes)</w:t>
            </w:r>
          </w:p>
        </w:tc>
        <w:tc>
          <w:tcPr>
            <w:tcW w:w="4129" w:type="dxa"/>
            <w:tcBorders>
              <w:top w:val="single" w:sz="4" w:space="0" w:color="4F81BD" w:themeColor="accent1"/>
              <w:left w:val="single" w:sz="4" w:space="0" w:color="4F81BD" w:themeColor="accent1"/>
              <w:bottom w:val="single" w:sz="4" w:space="0" w:color="4F81BD" w:themeColor="accent1"/>
            </w:tcBorders>
          </w:tcPr>
          <w:p w:rsidR="00821E2A" w:rsidRPr="007C30F1" w:rsidRDefault="00821E2A" w:rsidP="007E074C">
            <w:pPr>
              <w:pStyle w:val="Tabletext"/>
              <w:rPr>
                <w:sz w:val="16"/>
                <w:szCs w:val="16"/>
                <w:lang w:val="es-ES_tradnl"/>
              </w:rPr>
            </w:pPr>
            <w:r w:rsidRPr="007C30F1">
              <w:rPr>
                <w:b/>
                <w:bCs/>
                <w:color w:val="4F81BD" w:themeColor="accent1"/>
                <w:sz w:val="16"/>
                <w:szCs w:val="16"/>
                <w:lang w:val="es-ES_tradnl"/>
              </w:rPr>
              <w:t>R.3-1:</w:t>
            </w:r>
            <w:r w:rsidRPr="007C30F1">
              <w:rPr>
                <w:sz w:val="16"/>
                <w:szCs w:val="16"/>
                <w:lang w:val="es-ES_tradnl"/>
              </w:rPr>
              <w:t xml:space="preserve"> Mayores conocimientos teóricos y prácticos del Reglamento de Radiocomunicaciones, las Reglas de Procedimiento, los Acuerdos regionales, las Recomendaciones y las prácticas idóneas sobre la utilización del espectro</w:t>
            </w:r>
          </w:p>
          <w:p w:rsidR="00821E2A" w:rsidRPr="007C30F1" w:rsidRDefault="00821E2A" w:rsidP="007E074C">
            <w:pPr>
              <w:pStyle w:val="Tabletext"/>
              <w:rPr>
                <w:sz w:val="16"/>
                <w:szCs w:val="16"/>
                <w:lang w:val="es-ES_tradnl"/>
              </w:rPr>
            </w:pPr>
            <w:r w:rsidRPr="007C30F1">
              <w:rPr>
                <w:b/>
                <w:bCs/>
                <w:color w:val="4F81BD" w:themeColor="accent1"/>
                <w:sz w:val="16"/>
                <w:szCs w:val="16"/>
                <w:lang w:val="es-ES_tradnl"/>
              </w:rPr>
              <w:t>R.3-2:</w:t>
            </w:r>
            <w:r w:rsidRPr="007C30F1">
              <w:rPr>
                <w:sz w:val="16"/>
                <w:szCs w:val="16"/>
                <w:lang w:val="es-ES_tradnl"/>
              </w:rPr>
              <w:t xml:space="preserve"> Mayor participación, en particular de países en desarrollo, en actividades del UIT-R (incluso a través de la participación a distancia)</w:t>
            </w:r>
          </w:p>
        </w:tc>
      </w:tr>
      <w:tr w:rsidR="00821E2A" w:rsidRPr="007C30F1" w:rsidTr="00821E2A">
        <w:trPr>
          <w:cantSplit/>
        </w:trPr>
        <w:tc>
          <w:tcPr>
            <w:tcW w:w="421" w:type="dxa"/>
            <w:vMerge w:val="restart"/>
            <w:tcBorders>
              <w:top w:val="single" w:sz="4" w:space="0" w:color="4F81BD" w:themeColor="accent1"/>
              <w:bottom w:val="single" w:sz="4" w:space="0" w:color="4F81BD" w:themeColor="accent1"/>
              <w:right w:val="single" w:sz="4" w:space="0" w:color="4F81BD" w:themeColor="accent1"/>
            </w:tcBorders>
            <w:textDirection w:val="btLr"/>
          </w:tcPr>
          <w:p w:rsidR="00821E2A" w:rsidRPr="007C30F1" w:rsidRDefault="00821E2A" w:rsidP="007E074C">
            <w:pPr>
              <w:pStyle w:val="Tabletext"/>
              <w:jc w:val="center"/>
              <w:rPr>
                <w:rFonts w:cs="Arial"/>
                <w:b/>
                <w:bCs/>
                <w:color w:val="4F81BD" w:themeColor="accent1"/>
                <w:sz w:val="16"/>
                <w:szCs w:val="16"/>
                <w:lang w:val="es-ES_tradnl"/>
              </w:rPr>
            </w:pPr>
            <w:r w:rsidRPr="007C30F1">
              <w:rPr>
                <w:b/>
                <w:bCs/>
                <w:color w:val="4F81BD" w:themeColor="accent1"/>
                <w:sz w:val="16"/>
                <w:szCs w:val="16"/>
                <w:lang w:val="es-ES_tradnl"/>
              </w:rPr>
              <w:t>Productos</w:t>
            </w:r>
          </w:p>
        </w:tc>
        <w:tc>
          <w:tcPr>
            <w:tcW w:w="51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821E2A" w:rsidRPr="007C30F1" w:rsidRDefault="00821E2A" w:rsidP="007E074C">
            <w:pPr>
              <w:pStyle w:val="Tabletext"/>
              <w:ind w:left="284" w:hanging="284"/>
              <w:rPr>
                <w:sz w:val="16"/>
                <w:szCs w:val="16"/>
                <w:lang w:val="es-ES_tradnl"/>
              </w:rPr>
            </w:pPr>
            <w:r w:rsidRPr="007C30F1">
              <w:rPr>
                <w:sz w:val="16"/>
                <w:szCs w:val="16"/>
                <w:lang w:val="es-ES_tradnl"/>
              </w:rPr>
              <w:t>–</w:t>
            </w:r>
            <w:r w:rsidRPr="007C30F1">
              <w:rPr>
                <w:sz w:val="16"/>
                <w:szCs w:val="16"/>
                <w:lang w:val="es-ES_tradnl"/>
              </w:rPr>
              <w:tab/>
              <w:t>Actas Finales de Conferencias Mundiales de Radiocomunicaciones, Reglamento de Radiocomunicaciones actualizado</w:t>
            </w:r>
          </w:p>
          <w:p w:rsidR="00821E2A" w:rsidRPr="007C30F1" w:rsidRDefault="00821E2A" w:rsidP="007E074C">
            <w:pPr>
              <w:pStyle w:val="Tabletext"/>
              <w:ind w:left="284" w:hanging="284"/>
              <w:rPr>
                <w:sz w:val="16"/>
                <w:szCs w:val="16"/>
                <w:lang w:val="es-ES_tradnl"/>
              </w:rPr>
            </w:pPr>
            <w:r w:rsidRPr="007C30F1">
              <w:rPr>
                <w:sz w:val="16"/>
                <w:szCs w:val="16"/>
                <w:lang w:val="es-ES_tradnl"/>
              </w:rPr>
              <w:t>–</w:t>
            </w:r>
            <w:r w:rsidRPr="007C30F1">
              <w:rPr>
                <w:sz w:val="16"/>
                <w:szCs w:val="16"/>
                <w:lang w:val="es-ES_tradnl"/>
              </w:rPr>
              <w:tab/>
              <w:t>Actas Finales de Conferencias Regionales de Radiocomunicaciones, Acuerdos Regionales</w:t>
            </w:r>
          </w:p>
          <w:p w:rsidR="00821E2A" w:rsidRPr="007C30F1" w:rsidRDefault="00821E2A" w:rsidP="007E074C">
            <w:pPr>
              <w:pStyle w:val="Tabletext"/>
              <w:ind w:left="284" w:hanging="284"/>
              <w:rPr>
                <w:sz w:val="16"/>
                <w:szCs w:val="16"/>
                <w:lang w:val="es-ES_tradnl"/>
              </w:rPr>
            </w:pPr>
            <w:r w:rsidRPr="007C30F1">
              <w:rPr>
                <w:sz w:val="16"/>
                <w:szCs w:val="16"/>
                <w:lang w:val="es-ES_tradnl"/>
              </w:rPr>
              <w:t>–</w:t>
            </w:r>
            <w:r w:rsidRPr="007C30F1">
              <w:rPr>
                <w:sz w:val="16"/>
                <w:szCs w:val="16"/>
                <w:lang w:val="es-ES_tradnl"/>
              </w:rPr>
              <w:tab/>
              <w:t>Reglas de Procedimiento adoptadas por la Junta del Reglamento de Radiocomunicaciones (RRB)</w:t>
            </w:r>
          </w:p>
          <w:p w:rsidR="00821E2A" w:rsidRPr="007C30F1" w:rsidRDefault="00821E2A" w:rsidP="007E074C">
            <w:pPr>
              <w:pStyle w:val="Tabletext"/>
              <w:ind w:left="284" w:hanging="284"/>
              <w:rPr>
                <w:sz w:val="16"/>
                <w:szCs w:val="16"/>
                <w:lang w:val="es-ES_tradnl"/>
              </w:rPr>
            </w:pPr>
            <w:r w:rsidRPr="007C30F1">
              <w:rPr>
                <w:sz w:val="16"/>
                <w:szCs w:val="16"/>
                <w:lang w:val="es-ES_tradnl"/>
              </w:rPr>
              <w:t>–</w:t>
            </w:r>
            <w:r w:rsidRPr="007C30F1">
              <w:rPr>
                <w:sz w:val="16"/>
                <w:szCs w:val="16"/>
                <w:lang w:val="es-ES_tradnl"/>
              </w:rPr>
              <w:tab/>
              <w:t>Resultados de la tramitación de notificaciones espaciales y otras actividades conexas</w:t>
            </w:r>
          </w:p>
          <w:p w:rsidR="00821E2A" w:rsidRPr="007C30F1" w:rsidRDefault="00821E2A" w:rsidP="007E074C">
            <w:pPr>
              <w:pStyle w:val="Tabletext"/>
              <w:ind w:left="284" w:hanging="284"/>
              <w:rPr>
                <w:sz w:val="16"/>
                <w:szCs w:val="16"/>
                <w:lang w:val="es-ES_tradnl"/>
              </w:rPr>
            </w:pPr>
            <w:r w:rsidRPr="007C30F1">
              <w:rPr>
                <w:sz w:val="16"/>
                <w:szCs w:val="16"/>
                <w:lang w:val="es-ES_tradnl"/>
              </w:rPr>
              <w:t>–</w:t>
            </w:r>
            <w:r w:rsidRPr="007C30F1">
              <w:rPr>
                <w:sz w:val="16"/>
                <w:szCs w:val="16"/>
                <w:lang w:val="es-ES_tradnl"/>
              </w:rPr>
              <w:tab/>
              <w:t>Resultados de la tramitación de notificaciones terrenales y otras actividades conexas</w:t>
            </w:r>
          </w:p>
          <w:p w:rsidR="00821E2A" w:rsidRPr="007C30F1" w:rsidRDefault="00821E2A" w:rsidP="007E074C">
            <w:pPr>
              <w:pStyle w:val="Tabletext"/>
              <w:ind w:left="284" w:hanging="284"/>
              <w:rPr>
                <w:sz w:val="16"/>
                <w:szCs w:val="16"/>
                <w:lang w:val="es-ES_tradnl"/>
              </w:rPr>
            </w:pPr>
            <w:r w:rsidRPr="007C30F1">
              <w:rPr>
                <w:sz w:val="16"/>
                <w:szCs w:val="16"/>
                <w:lang w:val="es-ES_tradnl"/>
              </w:rPr>
              <w:t>–</w:t>
            </w:r>
            <w:r w:rsidRPr="007C30F1">
              <w:rPr>
                <w:sz w:val="16"/>
                <w:szCs w:val="16"/>
                <w:lang w:val="es-ES_tradnl"/>
              </w:rPr>
              <w:tab/>
              <w:t>Decisiones de la RRB distintas de la adopción de Reglas de Procedimiento</w:t>
            </w:r>
          </w:p>
          <w:p w:rsidR="00821E2A" w:rsidRPr="007C30F1" w:rsidRDefault="00821E2A" w:rsidP="007E074C">
            <w:pPr>
              <w:pStyle w:val="Tabletext"/>
              <w:ind w:left="284" w:hanging="284"/>
              <w:rPr>
                <w:sz w:val="16"/>
                <w:szCs w:val="16"/>
                <w:lang w:val="es-ES_tradnl"/>
              </w:rPr>
            </w:pPr>
            <w:r w:rsidRPr="007C30F1">
              <w:rPr>
                <w:sz w:val="16"/>
                <w:szCs w:val="16"/>
                <w:lang w:val="es-ES_tradnl"/>
              </w:rPr>
              <w:t>–</w:t>
            </w:r>
            <w:r w:rsidRPr="007C30F1">
              <w:rPr>
                <w:sz w:val="16"/>
                <w:szCs w:val="16"/>
                <w:lang w:val="es-ES_tradnl"/>
              </w:rPr>
              <w:tab/>
              <w:t>Mejora del software del UIT</w:t>
            </w:r>
            <w:r w:rsidRPr="007C30F1">
              <w:rPr>
                <w:sz w:val="16"/>
                <w:szCs w:val="16"/>
                <w:lang w:val="es-ES_tradnl"/>
              </w:rPr>
              <w:noBreakHyphen/>
              <w:t>R</w:t>
            </w:r>
          </w:p>
        </w:tc>
        <w:tc>
          <w:tcPr>
            <w:tcW w:w="48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821E2A" w:rsidRPr="007C30F1" w:rsidRDefault="00821E2A" w:rsidP="007E074C">
            <w:pPr>
              <w:pStyle w:val="Tabletext"/>
              <w:ind w:left="284" w:hanging="284"/>
              <w:rPr>
                <w:sz w:val="16"/>
                <w:szCs w:val="16"/>
                <w:lang w:val="es-ES_tradnl"/>
              </w:rPr>
            </w:pPr>
            <w:r w:rsidRPr="007C30F1">
              <w:rPr>
                <w:sz w:val="16"/>
                <w:szCs w:val="16"/>
                <w:lang w:val="es-ES_tradnl"/>
              </w:rPr>
              <w:t>–</w:t>
            </w:r>
            <w:r w:rsidRPr="007C30F1">
              <w:rPr>
                <w:sz w:val="16"/>
                <w:szCs w:val="16"/>
                <w:lang w:val="es-ES_tradnl"/>
              </w:rPr>
              <w:tab/>
              <w:t>Decisiones de la Asamblea de Radiocomunicaciones, Resoluciones del UIT-R</w:t>
            </w:r>
          </w:p>
          <w:p w:rsidR="00821E2A" w:rsidRPr="007C30F1" w:rsidRDefault="00821E2A" w:rsidP="007E074C">
            <w:pPr>
              <w:pStyle w:val="Tabletext"/>
              <w:ind w:left="284" w:hanging="284"/>
              <w:rPr>
                <w:sz w:val="16"/>
                <w:szCs w:val="16"/>
                <w:lang w:val="es-ES_tradnl"/>
              </w:rPr>
            </w:pPr>
            <w:r w:rsidRPr="007C30F1">
              <w:rPr>
                <w:sz w:val="16"/>
                <w:szCs w:val="16"/>
                <w:lang w:val="es-ES_tradnl"/>
              </w:rPr>
              <w:t>–</w:t>
            </w:r>
            <w:r w:rsidRPr="007C30F1">
              <w:rPr>
                <w:sz w:val="16"/>
                <w:szCs w:val="16"/>
                <w:lang w:val="es-ES_tradnl"/>
              </w:rPr>
              <w:tab/>
              <w:t xml:space="preserve">Recomendaciones, Informes (incluido el informe de la RPC) y Manuales del UIT-R </w:t>
            </w:r>
          </w:p>
          <w:p w:rsidR="00821E2A" w:rsidRPr="007C30F1" w:rsidRDefault="00821E2A" w:rsidP="007E074C">
            <w:pPr>
              <w:pStyle w:val="Tabletext"/>
              <w:ind w:left="284" w:hanging="284"/>
              <w:rPr>
                <w:sz w:val="16"/>
                <w:szCs w:val="16"/>
                <w:lang w:val="es-ES_tradnl"/>
              </w:rPr>
            </w:pPr>
            <w:r w:rsidRPr="007C30F1">
              <w:rPr>
                <w:sz w:val="16"/>
                <w:szCs w:val="16"/>
                <w:lang w:val="es-ES_tradnl"/>
              </w:rPr>
              <w:t>–</w:t>
            </w:r>
            <w:r w:rsidRPr="007C30F1">
              <w:rPr>
                <w:sz w:val="16"/>
                <w:szCs w:val="16"/>
                <w:lang w:val="es-ES_tradnl"/>
              </w:rPr>
              <w:tab/>
              <w:t>Asesoramiento del Grupo Asesor de Radiocomunicaciones</w:t>
            </w:r>
          </w:p>
        </w:tc>
        <w:tc>
          <w:tcPr>
            <w:tcW w:w="4129" w:type="dxa"/>
            <w:tcBorders>
              <w:top w:val="single" w:sz="4" w:space="0" w:color="4F81BD" w:themeColor="accent1"/>
              <w:left w:val="single" w:sz="4" w:space="0" w:color="4F81BD" w:themeColor="accent1"/>
              <w:bottom w:val="single" w:sz="4" w:space="0" w:color="4F81BD" w:themeColor="accent1"/>
            </w:tcBorders>
          </w:tcPr>
          <w:p w:rsidR="00821E2A" w:rsidRPr="007C30F1" w:rsidRDefault="00821E2A" w:rsidP="007E074C">
            <w:pPr>
              <w:pStyle w:val="Tabletext"/>
              <w:ind w:left="284" w:hanging="284"/>
              <w:rPr>
                <w:sz w:val="16"/>
                <w:szCs w:val="16"/>
                <w:lang w:val="es-ES_tradnl"/>
              </w:rPr>
            </w:pPr>
            <w:r w:rsidRPr="007C30F1">
              <w:rPr>
                <w:sz w:val="16"/>
                <w:szCs w:val="16"/>
                <w:lang w:val="es-ES_tradnl"/>
              </w:rPr>
              <w:t>–</w:t>
            </w:r>
            <w:r w:rsidRPr="007C30F1">
              <w:rPr>
                <w:sz w:val="16"/>
                <w:szCs w:val="16"/>
                <w:lang w:val="es-ES_tradnl"/>
              </w:rPr>
              <w:tab/>
              <w:t>Publicaciones del UIT-R</w:t>
            </w:r>
          </w:p>
          <w:p w:rsidR="00821E2A" w:rsidRPr="007C30F1" w:rsidRDefault="00821E2A" w:rsidP="007E074C">
            <w:pPr>
              <w:pStyle w:val="Tabletext"/>
              <w:ind w:left="284" w:hanging="284"/>
              <w:rPr>
                <w:sz w:val="16"/>
                <w:szCs w:val="16"/>
                <w:lang w:val="es-ES_tradnl"/>
              </w:rPr>
            </w:pPr>
            <w:r w:rsidRPr="007C30F1">
              <w:rPr>
                <w:sz w:val="16"/>
                <w:szCs w:val="16"/>
                <w:lang w:val="es-ES_tradnl"/>
              </w:rPr>
              <w:t>–</w:t>
            </w:r>
            <w:r w:rsidRPr="007C30F1">
              <w:rPr>
                <w:sz w:val="16"/>
                <w:szCs w:val="16"/>
                <w:lang w:val="es-ES_tradnl"/>
              </w:rPr>
              <w:tab/>
              <w:t>Asistencia a los miembros, en particular países en desarrollo y PMA</w:t>
            </w:r>
          </w:p>
          <w:p w:rsidR="00821E2A" w:rsidRPr="007C30F1" w:rsidRDefault="00821E2A" w:rsidP="007E074C">
            <w:pPr>
              <w:pStyle w:val="Tabletext"/>
              <w:ind w:left="284" w:hanging="284"/>
              <w:rPr>
                <w:sz w:val="16"/>
                <w:szCs w:val="16"/>
                <w:lang w:val="es-ES_tradnl"/>
              </w:rPr>
            </w:pPr>
            <w:r w:rsidRPr="007C30F1">
              <w:rPr>
                <w:sz w:val="16"/>
                <w:szCs w:val="16"/>
                <w:lang w:val="es-ES_tradnl"/>
              </w:rPr>
              <w:t>–</w:t>
            </w:r>
            <w:r w:rsidRPr="007C30F1">
              <w:rPr>
                <w:sz w:val="16"/>
                <w:szCs w:val="16"/>
                <w:lang w:val="es-ES_tradnl"/>
              </w:rPr>
              <w:tab/>
              <w:t>Coordinación/apoyo a actividades de desarrollo</w:t>
            </w:r>
          </w:p>
          <w:p w:rsidR="00821E2A" w:rsidRPr="007C30F1" w:rsidRDefault="00821E2A" w:rsidP="007E074C">
            <w:pPr>
              <w:pStyle w:val="Tabletext"/>
              <w:ind w:left="284" w:hanging="284"/>
              <w:rPr>
                <w:sz w:val="16"/>
                <w:szCs w:val="16"/>
                <w:lang w:val="es-ES_tradnl"/>
              </w:rPr>
            </w:pPr>
            <w:r w:rsidRPr="007C30F1">
              <w:rPr>
                <w:sz w:val="16"/>
                <w:szCs w:val="16"/>
                <w:lang w:val="es-ES_tradnl"/>
              </w:rPr>
              <w:t>–</w:t>
            </w:r>
            <w:r w:rsidRPr="007C30F1">
              <w:rPr>
                <w:sz w:val="16"/>
                <w:szCs w:val="16"/>
                <w:lang w:val="es-ES_tradnl"/>
              </w:rPr>
              <w:tab/>
              <w:t>Seminarios, talleres y otros eventos</w:t>
            </w:r>
          </w:p>
        </w:tc>
      </w:tr>
      <w:tr w:rsidR="00821E2A" w:rsidRPr="007C30F1" w:rsidTr="00821E2A">
        <w:trPr>
          <w:cantSplit/>
        </w:trPr>
        <w:tc>
          <w:tcPr>
            <w:tcW w:w="421" w:type="dxa"/>
            <w:vMerge/>
            <w:tcBorders>
              <w:top w:val="single" w:sz="4" w:space="0" w:color="4F81BD" w:themeColor="accent1"/>
              <w:bottom w:val="single" w:sz="4" w:space="0" w:color="4F81BD" w:themeColor="accent1"/>
              <w:right w:val="single" w:sz="4" w:space="0" w:color="4F81BD" w:themeColor="accent1"/>
            </w:tcBorders>
            <w:textDirection w:val="btLr"/>
          </w:tcPr>
          <w:p w:rsidR="00821E2A" w:rsidRPr="007C30F1" w:rsidRDefault="00821E2A" w:rsidP="007E074C">
            <w:pPr>
              <w:spacing w:before="60" w:after="60" w:line="240" w:lineRule="auto"/>
              <w:ind w:left="283" w:right="113" w:hanging="170"/>
              <w:jc w:val="center"/>
              <w:rPr>
                <w:rFonts w:cs="Arial"/>
                <w:color w:val="4F81BD" w:themeColor="accent1"/>
                <w:sz w:val="16"/>
                <w:szCs w:val="16"/>
                <w:lang w:val="es-ES_tradnl"/>
              </w:rPr>
            </w:pPr>
          </w:p>
        </w:tc>
        <w:tc>
          <w:tcPr>
            <w:tcW w:w="14118" w:type="dxa"/>
            <w:gridSpan w:val="3"/>
            <w:tcBorders>
              <w:top w:val="single" w:sz="4" w:space="0" w:color="4F81BD" w:themeColor="accent1"/>
              <w:left w:val="single" w:sz="4" w:space="0" w:color="4F81BD" w:themeColor="accent1"/>
              <w:bottom w:val="single" w:sz="4" w:space="0" w:color="4F81BD" w:themeColor="accent1"/>
            </w:tcBorders>
          </w:tcPr>
          <w:p w:rsidR="00821E2A" w:rsidRPr="007C30F1" w:rsidRDefault="00821E2A" w:rsidP="007E074C">
            <w:pPr>
              <w:pStyle w:val="Tabletext"/>
              <w:rPr>
                <w:sz w:val="16"/>
                <w:szCs w:val="16"/>
                <w:lang w:val="es-ES_tradnl"/>
              </w:rPr>
            </w:pPr>
            <w:r w:rsidRPr="007C30F1">
              <w:rPr>
                <w:sz w:val="16"/>
                <w:szCs w:val="16"/>
                <w:lang w:val="es-ES_tradnl"/>
              </w:rPr>
              <w:t>Los productos siguientes de las actividades de los órganos rectores de la UIT contribuyen a la consecución de todos los objetivos de la Unión:</w:t>
            </w:r>
          </w:p>
          <w:p w:rsidR="00821E2A" w:rsidRPr="007C30F1" w:rsidRDefault="00821E2A" w:rsidP="007E074C">
            <w:pPr>
              <w:pStyle w:val="Tabletext"/>
              <w:ind w:left="284" w:hanging="284"/>
              <w:rPr>
                <w:sz w:val="16"/>
                <w:szCs w:val="16"/>
                <w:lang w:val="es-ES_tradnl"/>
              </w:rPr>
            </w:pPr>
            <w:r w:rsidRPr="007C30F1">
              <w:rPr>
                <w:sz w:val="16"/>
                <w:szCs w:val="16"/>
                <w:lang w:val="es-ES_tradnl"/>
              </w:rPr>
              <w:t>–</w:t>
            </w:r>
            <w:r w:rsidRPr="007C30F1">
              <w:rPr>
                <w:sz w:val="16"/>
                <w:szCs w:val="16"/>
                <w:lang w:val="es-ES_tradnl"/>
              </w:rPr>
              <w:tab/>
              <w:t>Decisiones, Resoluciones, Recomendaciones y otros resultados de la Conferencia de Plenipotenciarios</w:t>
            </w:r>
          </w:p>
          <w:p w:rsidR="00821E2A" w:rsidRPr="007C30F1" w:rsidRDefault="00821E2A" w:rsidP="007E074C">
            <w:pPr>
              <w:pStyle w:val="Tabletext"/>
              <w:ind w:left="284" w:hanging="284"/>
              <w:rPr>
                <w:sz w:val="16"/>
                <w:szCs w:val="16"/>
                <w:lang w:val="es-ES_tradnl"/>
              </w:rPr>
            </w:pPr>
            <w:r w:rsidRPr="007C30F1">
              <w:rPr>
                <w:sz w:val="16"/>
                <w:szCs w:val="16"/>
                <w:lang w:val="es-ES_tradnl"/>
              </w:rPr>
              <w:t>–</w:t>
            </w:r>
            <w:r w:rsidRPr="007C30F1">
              <w:rPr>
                <w:sz w:val="16"/>
                <w:szCs w:val="16"/>
                <w:lang w:val="es-ES_tradnl"/>
              </w:rPr>
              <w:tab/>
              <w:t>Acuerdos y Resoluciones del Consejo, así como resultados de los Grupos de Trabajo del Consejo</w:t>
            </w:r>
          </w:p>
        </w:tc>
      </w:tr>
    </w:tbl>
    <w:p w:rsidR="00821E2A" w:rsidRPr="007C30F1" w:rsidRDefault="00821E2A" w:rsidP="007E074C">
      <w:pPr>
        <w:pStyle w:val="Heading2"/>
        <w:spacing w:after="80" w:line="240" w:lineRule="auto"/>
        <w:rPr>
          <w:color w:val="4F81BD" w:themeColor="accent1"/>
          <w:lang w:val="es-ES_tradnl"/>
        </w:rPr>
      </w:pPr>
      <w:r w:rsidRPr="007C30F1">
        <w:rPr>
          <w:color w:val="4F81BD" w:themeColor="accent1"/>
          <w:lang w:val="es-ES_tradnl"/>
        </w:rPr>
        <w:t>3.3</w:t>
      </w:r>
      <w:r w:rsidRPr="007C30F1">
        <w:rPr>
          <w:color w:val="4F81BD" w:themeColor="accent1"/>
          <w:lang w:val="es-ES_tradnl"/>
        </w:rPr>
        <w:tab/>
        <w:t>Atribución de recursos a los objetivos y productos del UIT-R en 2018-2021</w:t>
      </w:r>
    </w:p>
    <w:tbl>
      <w:tblPr>
        <w:tblW w:w="14530" w:type="dxa"/>
        <w:tblLook w:val="0480" w:firstRow="0" w:lastRow="0" w:firstColumn="1" w:lastColumn="0" w:noHBand="0" w:noVBand="1"/>
      </w:tblPr>
      <w:tblGrid>
        <w:gridCol w:w="6487"/>
        <w:gridCol w:w="1198"/>
        <w:gridCol w:w="5053"/>
        <w:gridCol w:w="896"/>
        <w:gridCol w:w="896"/>
      </w:tblGrid>
      <w:tr w:rsidR="00821E2A" w:rsidRPr="007C30F1" w:rsidTr="00821E2A">
        <w:trPr>
          <w:trHeight w:val="3402"/>
        </w:trPr>
        <w:tc>
          <w:tcPr>
            <w:tcW w:w="7685" w:type="dxa"/>
            <w:gridSpan w:val="2"/>
          </w:tcPr>
          <w:p w:rsidR="00821E2A" w:rsidRPr="007C30F1" w:rsidRDefault="00986F7F" w:rsidP="007E074C">
            <w:pPr>
              <w:spacing w:line="240" w:lineRule="auto"/>
              <w:rPr>
                <w:lang w:val="es-ES_tradnl"/>
              </w:rPr>
            </w:pPr>
            <w:r w:rsidRPr="007C30F1">
              <w:rPr>
                <w:noProof/>
                <w:lang w:eastAsia="zh-CN"/>
              </w:rPr>
              <w:drawing>
                <wp:anchor distT="0" distB="0" distL="114300" distR="114300" simplePos="0" relativeHeight="251663360" behindDoc="0" locked="0" layoutInCell="1" allowOverlap="1">
                  <wp:simplePos x="0" y="0"/>
                  <wp:positionH relativeFrom="column">
                    <wp:posOffset>220929</wp:posOffset>
                  </wp:positionH>
                  <wp:positionV relativeFrom="paragraph">
                    <wp:posOffset>-432</wp:posOffset>
                  </wp:positionV>
                  <wp:extent cx="4578350" cy="2743200"/>
                  <wp:effectExtent l="0" t="0" r="12700" b="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r w:rsidR="00821E2A" w:rsidRPr="007C30F1">
              <w:rPr>
                <w:noProof/>
                <w:lang w:eastAsia="zh-CN"/>
              </w:rPr>
              <mc:AlternateContent>
                <mc:Choice Requires="wps">
                  <w:drawing>
                    <wp:anchor distT="0" distB="0" distL="114300" distR="114300" simplePos="0" relativeHeight="251662336" behindDoc="0" locked="0" layoutInCell="1" allowOverlap="1" wp14:anchorId="6451C47C" wp14:editId="2FEBAFB3">
                      <wp:simplePos x="0" y="0"/>
                      <wp:positionH relativeFrom="column">
                        <wp:posOffset>3833495</wp:posOffset>
                      </wp:positionH>
                      <wp:positionV relativeFrom="paragraph">
                        <wp:posOffset>1567815</wp:posOffset>
                      </wp:positionV>
                      <wp:extent cx="670560" cy="168910"/>
                      <wp:effectExtent l="0" t="0" r="0" b="25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68910"/>
                              </a:xfrm>
                              <a:prstGeom prst="rect">
                                <a:avLst/>
                              </a:prstGeom>
                              <a:solidFill>
                                <a:schemeClr val="bg1">
                                  <a:lumMod val="95000"/>
                                </a:schemeClr>
                              </a:solidFill>
                              <a:ln w="9525">
                                <a:noFill/>
                                <a:miter lim="800000"/>
                                <a:headEnd/>
                                <a:tailEnd/>
                              </a:ln>
                            </wps:spPr>
                            <wps:txbx>
                              <w:txbxContent>
                                <w:p w:rsidR="0072421F" w:rsidRPr="007C3855" w:rsidRDefault="0072421F" w:rsidP="00821E2A">
                                  <w:pPr>
                                    <w:spacing w:before="0"/>
                                    <w:rPr>
                                      <w:sz w:val="18"/>
                                      <w:szCs w:val="18"/>
                                    </w:rPr>
                                  </w:pPr>
                                  <w:r w:rsidRPr="007C3855">
                                    <w:rPr>
                                      <w:sz w:val="18"/>
                                      <w:szCs w:val="18"/>
                                    </w:rPr>
                                    <w:t>Objetivo R.3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1C47C" id="_x0000_t202" coordsize="21600,21600" o:spt="202" path="m,l,21600r21600,l21600,xe">
                      <v:stroke joinstyle="miter"/>
                      <v:path gradientshapeok="t" o:connecttype="rect"/>
                    </v:shapetype>
                    <v:shape id="Text Box 2" o:spid="_x0000_s1026" type="#_x0000_t202" style="position:absolute;left:0;text-align:left;margin-left:301.85pt;margin-top:123.45pt;width:52.8pt;height:1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" fillcolor="#f2f2f2 [3052]" stroked="f">
                      <v:textbox inset="0,0,0,0">
                        <w:txbxContent>
                          <w:p w:rsidR="0072421F" w:rsidRPr="007C3855" w:rsidRDefault="0072421F" w:rsidP="00821E2A">
                            <w:pPr>
                              <w:spacing w:before="0"/>
                              <w:rPr>
                                <w:sz w:val="18"/>
                                <w:szCs w:val="18"/>
                              </w:rPr>
                            </w:pPr>
                            <w:r w:rsidRPr="007C3855">
                              <w:rPr>
                                <w:sz w:val="18"/>
                                <w:szCs w:val="18"/>
                              </w:rPr>
                              <w:t>Objetivo R.3</w:t>
                            </w:r>
                          </w:p>
                        </w:txbxContent>
                      </v:textbox>
                    </v:shape>
                  </w:pict>
                </mc:Fallback>
              </mc:AlternateContent>
            </w:r>
            <w:r w:rsidR="00821E2A" w:rsidRPr="007C30F1">
              <w:rPr>
                <w:noProof/>
                <w:lang w:eastAsia="zh-CN"/>
              </w:rPr>
              <mc:AlternateContent>
                <mc:Choice Requires="wps">
                  <w:drawing>
                    <wp:anchor distT="0" distB="0" distL="114300" distR="114300" simplePos="0" relativeHeight="251661312" behindDoc="0" locked="0" layoutInCell="1" allowOverlap="1" wp14:anchorId="7FC03A05" wp14:editId="0C7EC369">
                      <wp:simplePos x="0" y="0"/>
                      <wp:positionH relativeFrom="column">
                        <wp:posOffset>3834353</wp:posOffset>
                      </wp:positionH>
                      <wp:positionV relativeFrom="paragraph">
                        <wp:posOffset>1378585</wp:posOffset>
                      </wp:positionV>
                      <wp:extent cx="629392" cy="1587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92" cy="158750"/>
                              </a:xfrm>
                              <a:prstGeom prst="rect">
                                <a:avLst/>
                              </a:prstGeom>
                              <a:solidFill>
                                <a:schemeClr val="bg1">
                                  <a:lumMod val="95000"/>
                                </a:schemeClr>
                              </a:solidFill>
                              <a:ln w="9525">
                                <a:noFill/>
                                <a:miter lim="800000"/>
                                <a:headEnd/>
                                <a:tailEnd/>
                              </a:ln>
                            </wps:spPr>
                            <wps:txbx>
                              <w:txbxContent>
                                <w:p w:rsidR="0072421F" w:rsidRPr="007C3855" w:rsidRDefault="0072421F" w:rsidP="00821E2A">
                                  <w:pPr>
                                    <w:spacing w:before="0"/>
                                    <w:rPr>
                                      <w:sz w:val="18"/>
                                      <w:szCs w:val="18"/>
                                    </w:rPr>
                                  </w:pPr>
                                  <w:r w:rsidRPr="007C3855">
                                    <w:rPr>
                                      <w:sz w:val="18"/>
                                      <w:szCs w:val="18"/>
                                    </w:rPr>
                                    <w:t>Objetivo R.2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03A05" id="_x0000_s1027" type="#_x0000_t202" style="position:absolute;left:0;text-align:left;margin-left:301.9pt;margin-top:108.55pt;width:49.5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" fillcolor="#f2f2f2 [3052]" stroked="f">
                      <v:textbox inset="0,0,0,0">
                        <w:txbxContent>
                          <w:p w:rsidR="0072421F" w:rsidRPr="007C3855" w:rsidRDefault="0072421F" w:rsidP="00821E2A">
                            <w:pPr>
                              <w:spacing w:before="0"/>
                              <w:rPr>
                                <w:sz w:val="18"/>
                                <w:szCs w:val="18"/>
                              </w:rPr>
                            </w:pPr>
                            <w:r w:rsidRPr="007C3855">
                              <w:rPr>
                                <w:sz w:val="18"/>
                                <w:szCs w:val="18"/>
                              </w:rPr>
                              <w:t>Objetivo R.2</w:t>
                            </w:r>
                          </w:p>
                        </w:txbxContent>
                      </v:textbox>
                    </v:shape>
                  </w:pict>
                </mc:Fallback>
              </mc:AlternateContent>
            </w:r>
            <w:r w:rsidR="00821E2A" w:rsidRPr="007C30F1">
              <w:rPr>
                <w:noProof/>
                <w:lang w:eastAsia="zh-CN"/>
              </w:rPr>
              <mc:AlternateContent>
                <mc:Choice Requires="wps">
                  <w:drawing>
                    <wp:anchor distT="0" distB="0" distL="114300" distR="114300" simplePos="0" relativeHeight="251660288" behindDoc="0" locked="0" layoutInCell="1" allowOverlap="1" wp14:anchorId="761B54B4" wp14:editId="118D7B20">
                      <wp:simplePos x="0" y="0"/>
                      <wp:positionH relativeFrom="column">
                        <wp:posOffset>3828621</wp:posOffset>
                      </wp:positionH>
                      <wp:positionV relativeFrom="paragraph">
                        <wp:posOffset>1165448</wp:posOffset>
                      </wp:positionV>
                      <wp:extent cx="670560" cy="14859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48590"/>
                              </a:xfrm>
                              <a:prstGeom prst="rect">
                                <a:avLst/>
                              </a:prstGeom>
                              <a:solidFill>
                                <a:schemeClr val="bg1">
                                  <a:lumMod val="95000"/>
                                </a:schemeClr>
                              </a:solidFill>
                              <a:ln w="9525">
                                <a:noFill/>
                                <a:miter lim="800000"/>
                                <a:headEnd/>
                                <a:tailEnd/>
                              </a:ln>
                            </wps:spPr>
                            <wps:txbx>
                              <w:txbxContent>
                                <w:p w:rsidR="0072421F" w:rsidRPr="007C3855" w:rsidRDefault="0072421F" w:rsidP="00821E2A">
                                  <w:pPr>
                                    <w:spacing w:before="0"/>
                                    <w:rPr>
                                      <w:sz w:val="18"/>
                                      <w:szCs w:val="18"/>
                                    </w:rPr>
                                  </w:pPr>
                                  <w:r w:rsidRPr="007C3855">
                                    <w:rPr>
                                      <w:sz w:val="18"/>
                                      <w:szCs w:val="18"/>
                                    </w:rPr>
                                    <w:t>Objetivo R.1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B54B4" id="_x0000_s1028" type="#_x0000_t202" style="position:absolute;left:0;text-align:left;margin-left:301.45pt;margin-top:91.75pt;width:52.8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" fillcolor="#f2f2f2 [3052]" stroked="f">
                      <v:textbox inset="0,0,0,0">
                        <w:txbxContent>
                          <w:p w:rsidR="0072421F" w:rsidRPr="007C3855" w:rsidRDefault="0072421F" w:rsidP="00821E2A">
                            <w:pPr>
                              <w:spacing w:before="0"/>
                              <w:rPr>
                                <w:sz w:val="18"/>
                                <w:szCs w:val="18"/>
                              </w:rPr>
                            </w:pPr>
                            <w:r w:rsidRPr="007C3855">
                              <w:rPr>
                                <w:sz w:val="18"/>
                                <w:szCs w:val="18"/>
                              </w:rPr>
                              <w:t>Objetivo R.1</w:t>
                            </w:r>
                          </w:p>
                        </w:txbxContent>
                      </v:textbox>
                    </v:shape>
                  </w:pict>
                </mc:Fallback>
              </mc:AlternateContent>
            </w:r>
          </w:p>
        </w:tc>
        <w:tc>
          <w:tcPr>
            <w:tcW w:w="5053" w:type="dxa"/>
            <w:vMerge w:val="restart"/>
          </w:tcPr>
          <w:p w:rsidR="00821E2A" w:rsidRPr="007C30F1" w:rsidRDefault="00821E2A" w:rsidP="007E074C">
            <w:pPr>
              <w:spacing w:before="180" w:after="40" w:line="240" w:lineRule="auto"/>
              <w:rPr>
                <w:noProof/>
                <w:color w:val="4F81BD" w:themeColor="accent1"/>
                <w:sz w:val="22"/>
                <w:lang w:val="es-ES_tradnl" w:eastAsia="zh-CN"/>
              </w:rPr>
            </w:pPr>
            <w:r w:rsidRPr="007C30F1">
              <w:rPr>
                <w:noProof/>
                <w:color w:val="4F81BD" w:themeColor="accent1"/>
                <w:sz w:val="22"/>
                <w:lang w:val="es-ES_tradnl" w:eastAsia="zh-CN"/>
              </w:rPr>
              <w:t>Atribución de recursos planificada por Producto</w:t>
            </w:r>
          </w:p>
          <w:p w:rsidR="00821E2A" w:rsidRPr="007C30F1" w:rsidRDefault="00821E2A" w:rsidP="007E074C">
            <w:pPr>
              <w:spacing w:before="360" w:line="240" w:lineRule="auto"/>
              <w:rPr>
                <w:noProof/>
                <w:sz w:val="18"/>
                <w:szCs w:val="18"/>
                <w:lang w:val="es-ES_tradnl" w:eastAsia="zh-CN"/>
              </w:rPr>
            </w:pPr>
            <w:r w:rsidRPr="007C30F1">
              <w:rPr>
                <w:rFonts w:cs="Arial"/>
                <w:b/>
                <w:bCs/>
                <w:color w:val="4F81BD" w:themeColor="accent1"/>
                <w:sz w:val="18"/>
                <w:szCs w:val="18"/>
                <w:lang w:val="es-ES_tradnl"/>
              </w:rPr>
              <w:t>R.1-1:</w:t>
            </w:r>
            <w:r w:rsidRPr="007C30F1">
              <w:rPr>
                <w:rFonts w:cs="Arial"/>
                <w:sz w:val="18"/>
                <w:szCs w:val="18"/>
                <w:lang w:val="es-ES_tradnl"/>
              </w:rPr>
              <w:t xml:space="preserve"> </w:t>
            </w:r>
            <w:r w:rsidRPr="007C30F1">
              <w:rPr>
                <w:sz w:val="18"/>
                <w:szCs w:val="18"/>
                <w:lang w:val="es-ES_tradnl"/>
              </w:rPr>
              <w:t>Actas Finales de Conferencias Mundiales de Radiocomunicaciones, Reglamento de Radiocomunicaciones actualizado</w:t>
            </w:r>
          </w:p>
          <w:p w:rsidR="00821E2A" w:rsidRPr="007C30F1" w:rsidRDefault="00821E2A" w:rsidP="007E074C">
            <w:pPr>
              <w:spacing w:before="80" w:line="240" w:lineRule="auto"/>
              <w:rPr>
                <w:noProof/>
                <w:sz w:val="18"/>
                <w:szCs w:val="18"/>
                <w:lang w:val="es-ES_tradnl" w:eastAsia="zh-CN"/>
              </w:rPr>
            </w:pPr>
            <w:r w:rsidRPr="007C30F1">
              <w:rPr>
                <w:rFonts w:cs="Arial"/>
                <w:b/>
                <w:bCs/>
                <w:color w:val="4F81BD" w:themeColor="accent1"/>
                <w:sz w:val="18"/>
                <w:szCs w:val="18"/>
                <w:lang w:val="es-ES_tradnl"/>
              </w:rPr>
              <w:t>R.1-2:</w:t>
            </w:r>
            <w:r w:rsidRPr="007C30F1">
              <w:rPr>
                <w:rFonts w:cs="Arial"/>
                <w:sz w:val="18"/>
                <w:szCs w:val="18"/>
                <w:lang w:val="es-ES_tradnl"/>
              </w:rPr>
              <w:t xml:space="preserve"> </w:t>
            </w:r>
            <w:r w:rsidRPr="007C30F1">
              <w:rPr>
                <w:sz w:val="18"/>
                <w:szCs w:val="18"/>
                <w:lang w:val="es-ES_tradnl"/>
              </w:rPr>
              <w:t>Actas Finales de Conferencias Regionales de Radiocomunicaciones, Acuerdos Regionales</w:t>
            </w:r>
          </w:p>
          <w:p w:rsidR="00821E2A" w:rsidRPr="007C30F1" w:rsidRDefault="00821E2A" w:rsidP="007E074C">
            <w:pPr>
              <w:spacing w:before="80" w:line="240" w:lineRule="auto"/>
              <w:rPr>
                <w:noProof/>
                <w:sz w:val="18"/>
                <w:szCs w:val="18"/>
                <w:lang w:val="es-ES_tradnl" w:eastAsia="zh-CN"/>
              </w:rPr>
            </w:pPr>
            <w:r w:rsidRPr="007C30F1">
              <w:rPr>
                <w:rFonts w:cs="Arial"/>
                <w:b/>
                <w:bCs/>
                <w:color w:val="4F81BD" w:themeColor="accent1"/>
                <w:sz w:val="18"/>
                <w:szCs w:val="18"/>
                <w:lang w:val="es-ES_tradnl"/>
              </w:rPr>
              <w:t>R.1-3:</w:t>
            </w:r>
            <w:r w:rsidRPr="007C30F1">
              <w:rPr>
                <w:rFonts w:cs="Arial"/>
                <w:sz w:val="18"/>
                <w:szCs w:val="18"/>
                <w:lang w:val="es-ES_tradnl"/>
              </w:rPr>
              <w:t xml:space="preserve"> </w:t>
            </w:r>
            <w:r w:rsidRPr="007C30F1">
              <w:rPr>
                <w:sz w:val="18"/>
                <w:szCs w:val="18"/>
                <w:lang w:val="es-ES_tradnl"/>
              </w:rPr>
              <w:t>Reglas de Procedimiento adoptadas por la Junta del Reglamento de Radiocomunicaciones (RRB)</w:t>
            </w:r>
          </w:p>
          <w:p w:rsidR="00821E2A" w:rsidRPr="007C30F1" w:rsidRDefault="00821E2A" w:rsidP="007E074C">
            <w:pPr>
              <w:spacing w:line="240" w:lineRule="auto"/>
              <w:rPr>
                <w:noProof/>
                <w:sz w:val="18"/>
                <w:szCs w:val="18"/>
                <w:lang w:val="es-ES_tradnl" w:eastAsia="zh-CN"/>
              </w:rPr>
            </w:pPr>
            <w:r w:rsidRPr="007C30F1">
              <w:rPr>
                <w:rFonts w:cs="Arial"/>
                <w:b/>
                <w:bCs/>
                <w:color w:val="4F81BD" w:themeColor="accent1"/>
                <w:sz w:val="18"/>
                <w:szCs w:val="18"/>
                <w:lang w:val="es-ES_tradnl"/>
              </w:rPr>
              <w:t>R.1-4:</w:t>
            </w:r>
            <w:r w:rsidRPr="007C30F1">
              <w:rPr>
                <w:sz w:val="18"/>
                <w:szCs w:val="18"/>
                <w:lang w:val="es-ES_tradnl"/>
              </w:rPr>
              <w:t xml:space="preserve"> Resultados de la tramitación de notificaciones espaciales y otras actividades conexas</w:t>
            </w:r>
          </w:p>
          <w:p w:rsidR="00821E2A" w:rsidRPr="007C30F1" w:rsidRDefault="00821E2A" w:rsidP="007E074C">
            <w:pPr>
              <w:spacing w:line="240" w:lineRule="auto"/>
              <w:rPr>
                <w:noProof/>
                <w:sz w:val="18"/>
                <w:szCs w:val="18"/>
                <w:lang w:val="es-ES_tradnl" w:eastAsia="zh-CN"/>
              </w:rPr>
            </w:pPr>
            <w:r w:rsidRPr="007C30F1">
              <w:rPr>
                <w:rFonts w:cs="Arial"/>
                <w:b/>
                <w:bCs/>
                <w:color w:val="4F81BD" w:themeColor="accent1"/>
                <w:sz w:val="18"/>
                <w:szCs w:val="18"/>
                <w:lang w:val="es-ES_tradnl"/>
              </w:rPr>
              <w:t>R.1-5:</w:t>
            </w:r>
            <w:r w:rsidRPr="007C30F1">
              <w:rPr>
                <w:b/>
                <w:bCs/>
                <w:noProof/>
                <w:color w:val="4F81BD" w:themeColor="accent1"/>
                <w:sz w:val="18"/>
                <w:szCs w:val="18"/>
                <w:lang w:val="es-ES_tradnl" w:eastAsia="zh-CN"/>
              </w:rPr>
              <w:t xml:space="preserve"> </w:t>
            </w:r>
            <w:r w:rsidRPr="007C30F1">
              <w:rPr>
                <w:sz w:val="18"/>
                <w:szCs w:val="18"/>
                <w:lang w:val="es-ES_tradnl"/>
              </w:rPr>
              <w:t>Resultados de la tramitación de notificaciones terrenales y otras actividades conexas</w:t>
            </w:r>
          </w:p>
          <w:p w:rsidR="00821E2A" w:rsidRPr="007C30F1" w:rsidRDefault="00821E2A" w:rsidP="007E074C">
            <w:pPr>
              <w:spacing w:before="80" w:line="240" w:lineRule="auto"/>
              <w:rPr>
                <w:rFonts w:cs="Arial"/>
                <w:sz w:val="18"/>
                <w:szCs w:val="18"/>
                <w:lang w:val="es-ES_tradnl"/>
              </w:rPr>
            </w:pPr>
            <w:r w:rsidRPr="007C30F1">
              <w:rPr>
                <w:rFonts w:cs="Arial"/>
                <w:b/>
                <w:bCs/>
                <w:color w:val="4F81BD" w:themeColor="accent1"/>
                <w:sz w:val="18"/>
                <w:szCs w:val="18"/>
                <w:lang w:val="es-ES_tradnl"/>
              </w:rPr>
              <w:t>R.1-6:</w:t>
            </w:r>
            <w:r w:rsidRPr="007C30F1">
              <w:rPr>
                <w:b/>
                <w:bCs/>
                <w:noProof/>
                <w:color w:val="4F81BD" w:themeColor="accent1"/>
                <w:sz w:val="18"/>
                <w:szCs w:val="18"/>
                <w:lang w:val="es-ES_tradnl" w:eastAsia="zh-CN"/>
              </w:rPr>
              <w:t xml:space="preserve"> </w:t>
            </w:r>
            <w:r w:rsidRPr="007C30F1">
              <w:rPr>
                <w:sz w:val="18"/>
                <w:szCs w:val="18"/>
                <w:lang w:val="es-ES_tradnl"/>
              </w:rPr>
              <w:t>Decisiones de la RRB distintas de la adopción de Reglas de Procedimiento</w:t>
            </w:r>
          </w:p>
          <w:p w:rsidR="00821E2A" w:rsidRPr="007C30F1" w:rsidRDefault="00821E2A" w:rsidP="007E074C">
            <w:pPr>
              <w:pBdr>
                <w:bottom w:val="single" w:sz="6" w:space="1" w:color="auto"/>
              </w:pBdr>
              <w:spacing w:before="80" w:line="240" w:lineRule="auto"/>
              <w:rPr>
                <w:noProof/>
                <w:sz w:val="18"/>
                <w:szCs w:val="18"/>
                <w:lang w:val="es-ES_tradnl" w:eastAsia="zh-CN"/>
              </w:rPr>
            </w:pPr>
            <w:r w:rsidRPr="007C30F1">
              <w:rPr>
                <w:rFonts w:cs="Arial"/>
                <w:b/>
                <w:bCs/>
                <w:color w:val="4F81BD" w:themeColor="accent1"/>
                <w:sz w:val="18"/>
                <w:szCs w:val="18"/>
                <w:lang w:val="es-ES_tradnl"/>
              </w:rPr>
              <w:t>R.1-7:</w:t>
            </w:r>
            <w:r w:rsidRPr="007C30F1">
              <w:rPr>
                <w:b/>
                <w:bCs/>
                <w:noProof/>
                <w:color w:val="4F81BD" w:themeColor="accent1"/>
                <w:sz w:val="18"/>
                <w:szCs w:val="18"/>
                <w:lang w:val="es-ES_tradnl" w:eastAsia="zh-CN"/>
              </w:rPr>
              <w:t xml:space="preserve"> </w:t>
            </w:r>
            <w:r w:rsidRPr="007C30F1">
              <w:rPr>
                <w:sz w:val="18"/>
                <w:szCs w:val="18"/>
                <w:lang w:val="es-ES_tradnl"/>
              </w:rPr>
              <w:t>Mejora del software del UIT</w:t>
            </w:r>
            <w:r w:rsidRPr="007C30F1">
              <w:rPr>
                <w:sz w:val="18"/>
                <w:szCs w:val="18"/>
                <w:lang w:val="es-ES_tradnl"/>
              </w:rPr>
              <w:noBreakHyphen/>
              <w:t>R</w:t>
            </w:r>
          </w:p>
          <w:p w:rsidR="00821E2A" w:rsidRPr="007C30F1" w:rsidRDefault="00821E2A" w:rsidP="007E074C">
            <w:pPr>
              <w:spacing w:line="240" w:lineRule="auto"/>
              <w:rPr>
                <w:sz w:val="18"/>
                <w:szCs w:val="18"/>
                <w:lang w:val="es-ES_tradnl"/>
              </w:rPr>
            </w:pPr>
            <w:r w:rsidRPr="007C30F1">
              <w:rPr>
                <w:rFonts w:cs="Arial"/>
                <w:b/>
                <w:bCs/>
                <w:color w:val="4F81BD" w:themeColor="accent1"/>
                <w:sz w:val="18"/>
                <w:szCs w:val="18"/>
                <w:lang w:val="es-ES_tradnl"/>
              </w:rPr>
              <w:t>R.2-1:</w:t>
            </w:r>
            <w:r w:rsidRPr="007C30F1">
              <w:rPr>
                <w:b/>
                <w:bCs/>
                <w:noProof/>
                <w:color w:val="4F81BD" w:themeColor="accent1"/>
                <w:sz w:val="18"/>
                <w:szCs w:val="18"/>
                <w:lang w:val="es-ES_tradnl" w:eastAsia="zh-CN"/>
              </w:rPr>
              <w:t xml:space="preserve"> </w:t>
            </w:r>
            <w:r w:rsidRPr="007C30F1">
              <w:rPr>
                <w:sz w:val="18"/>
                <w:szCs w:val="18"/>
                <w:lang w:val="es-ES_tradnl"/>
              </w:rPr>
              <w:t xml:space="preserve">Decisiones de la Asamblea de Radiocomunicaciones, Resoluciones del UIT-R </w:t>
            </w:r>
          </w:p>
          <w:p w:rsidR="00821E2A" w:rsidRPr="007C30F1" w:rsidRDefault="00821E2A" w:rsidP="007E074C">
            <w:pPr>
              <w:spacing w:line="240" w:lineRule="auto"/>
              <w:rPr>
                <w:noProof/>
                <w:sz w:val="18"/>
                <w:szCs w:val="18"/>
                <w:lang w:val="es-ES_tradnl" w:eastAsia="zh-CN"/>
              </w:rPr>
            </w:pPr>
            <w:r w:rsidRPr="007C30F1">
              <w:rPr>
                <w:rFonts w:cs="Arial"/>
                <w:b/>
                <w:bCs/>
                <w:color w:val="4F81BD" w:themeColor="accent1"/>
                <w:sz w:val="18"/>
                <w:szCs w:val="18"/>
                <w:lang w:val="es-ES_tradnl"/>
              </w:rPr>
              <w:t>R.2-2:</w:t>
            </w:r>
            <w:r w:rsidRPr="007C30F1">
              <w:rPr>
                <w:b/>
                <w:bCs/>
                <w:noProof/>
                <w:color w:val="4F81BD" w:themeColor="accent1"/>
                <w:sz w:val="18"/>
                <w:szCs w:val="18"/>
                <w:lang w:val="es-ES_tradnl" w:eastAsia="zh-CN"/>
              </w:rPr>
              <w:t xml:space="preserve"> </w:t>
            </w:r>
            <w:r w:rsidRPr="007C30F1">
              <w:rPr>
                <w:rFonts w:cs="Arial"/>
                <w:sz w:val="18"/>
                <w:szCs w:val="18"/>
                <w:lang w:val="es-ES_tradnl"/>
              </w:rPr>
              <w:t>Recomendaciones, Informes (incluido el informe de la RPC) y Manuales del UIT-R</w:t>
            </w:r>
          </w:p>
          <w:p w:rsidR="00821E2A" w:rsidRPr="007C30F1" w:rsidRDefault="00821E2A" w:rsidP="007E074C">
            <w:pPr>
              <w:pBdr>
                <w:bottom w:val="single" w:sz="6" w:space="1" w:color="auto"/>
              </w:pBdr>
              <w:spacing w:line="240" w:lineRule="auto"/>
              <w:rPr>
                <w:noProof/>
                <w:sz w:val="18"/>
                <w:szCs w:val="18"/>
                <w:lang w:val="es-ES_tradnl" w:eastAsia="zh-CN"/>
              </w:rPr>
            </w:pPr>
            <w:r w:rsidRPr="007C30F1">
              <w:rPr>
                <w:rFonts w:cs="Arial"/>
                <w:b/>
                <w:bCs/>
                <w:color w:val="4F81BD" w:themeColor="accent1"/>
                <w:sz w:val="18"/>
                <w:szCs w:val="18"/>
                <w:lang w:val="es-ES_tradnl"/>
              </w:rPr>
              <w:t>R.2-3:</w:t>
            </w:r>
            <w:r w:rsidRPr="007C30F1">
              <w:rPr>
                <w:sz w:val="18"/>
                <w:szCs w:val="18"/>
                <w:lang w:val="es-ES_tradnl"/>
              </w:rPr>
              <w:t xml:space="preserve"> Asesoramiento del Grupo Asesor de Radiocomunicaciones</w:t>
            </w:r>
          </w:p>
          <w:p w:rsidR="00821E2A" w:rsidRPr="007C30F1" w:rsidRDefault="00821E2A" w:rsidP="007E074C">
            <w:pPr>
              <w:spacing w:before="80" w:line="240" w:lineRule="auto"/>
              <w:rPr>
                <w:noProof/>
                <w:sz w:val="18"/>
                <w:szCs w:val="18"/>
                <w:lang w:val="es-ES_tradnl" w:eastAsia="zh-CN"/>
              </w:rPr>
            </w:pPr>
            <w:r w:rsidRPr="007C30F1">
              <w:rPr>
                <w:b/>
                <w:bCs/>
                <w:noProof/>
                <w:color w:val="4F81BD" w:themeColor="accent1"/>
                <w:sz w:val="18"/>
                <w:szCs w:val="18"/>
                <w:lang w:val="es-ES_tradnl" w:eastAsia="zh-CN"/>
              </w:rPr>
              <w:t xml:space="preserve">R.3-1: </w:t>
            </w:r>
            <w:r w:rsidRPr="007C30F1">
              <w:rPr>
                <w:sz w:val="18"/>
                <w:szCs w:val="18"/>
                <w:lang w:val="es-ES_tradnl"/>
              </w:rPr>
              <w:t>Publicaciones del UIT-R</w:t>
            </w:r>
          </w:p>
          <w:p w:rsidR="00821E2A" w:rsidRPr="007C30F1" w:rsidRDefault="00821E2A" w:rsidP="007E074C">
            <w:pPr>
              <w:pBdr>
                <w:bottom w:val="single" w:sz="6" w:space="1" w:color="auto"/>
              </w:pBdr>
              <w:spacing w:line="240" w:lineRule="auto"/>
              <w:rPr>
                <w:noProof/>
                <w:sz w:val="18"/>
                <w:szCs w:val="18"/>
                <w:lang w:val="es-ES_tradnl" w:eastAsia="zh-CN"/>
              </w:rPr>
            </w:pPr>
            <w:r w:rsidRPr="007C30F1">
              <w:rPr>
                <w:b/>
                <w:bCs/>
                <w:noProof/>
                <w:color w:val="4F81BD" w:themeColor="accent1"/>
                <w:sz w:val="18"/>
                <w:szCs w:val="18"/>
                <w:lang w:val="es-ES_tradnl" w:eastAsia="zh-CN"/>
              </w:rPr>
              <w:t xml:space="preserve">R.3-2: </w:t>
            </w:r>
            <w:r w:rsidRPr="007C30F1">
              <w:rPr>
                <w:sz w:val="18"/>
                <w:szCs w:val="18"/>
                <w:lang w:val="es-ES_tradnl"/>
              </w:rPr>
              <w:t>Asistencia a los Miembros, en particular países en desarrollo y PMA</w:t>
            </w:r>
          </w:p>
          <w:p w:rsidR="00821E2A" w:rsidRPr="007C30F1" w:rsidRDefault="00821E2A" w:rsidP="007E074C">
            <w:pPr>
              <w:pBdr>
                <w:bottom w:val="single" w:sz="6" w:space="1" w:color="auto"/>
              </w:pBdr>
              <w:spacing w:line="240" w:lineRule="auto"/>
              <w:rPr>
                <w:noProof/>
                <w:sz w:val="18"/>
                <w:szCs w:val="18"/>
                <w:lang w:val="es-ES_tradnl" w:eastAsia="zh-CN"/>
              </w:rPr>
            </w:pPr>
            <w:r w:rsidRPr="007C30F1">
              <w:rPr>
                <w:b/>
                <w:bCs/>
                <w:noProof/>
                <w:color w:val="4F81BD" w:themeColor="accent1"/>
                <w:sz w:val="18"/>
                <w:szCs w:val="18"/>
                <w:lang w:val="es-ES_tradnl" w:eastAsia="zh-CN"/>
              </w:rPr>
              <w:t xml:space="preserve">R.3-3: </w:t>
            </w:r>
            <w:r w:rsidRPr="007C30F1">
              <w:rPr>
                <w:sz w:val="18"/>
                <w:szCs w:val="18"/>
                <w:lang w:val="es-ES_tradnl"/>
              </w:rPr>
              <w:t>Coordinación/apoyo a actividades de desarrollo</w:t>
            </w:r>
          </w:p>
          <w:p w:rsidR="00821E2A" w:rsidRPr="007C30F1" w:rsidRDefault="00821E2A" w:rsidP="007E074C">
            <w:pPr>
              <w:pBdr>
                <w:bottom w:val="single" w:sz="6" w:space="1" w:color="auto"/>
              </w:pBdr>
              <w:spacing w:before="80" w:line="240" w:lineRule="auto"/>
              <w:rPr>
                <w:noProof/>
                <w:sz w:val="18"/>
                <w:szCs w:val="18"/>
                <w:lang w:val="es-ES_tradnl" w:eastAsia="zh-CN"/>
              </w:rPr>
            </w:pPr>
            <w:r w:rsidRPr="007C30F1">
              <w:rPr>
                <w:b/>
                <w:bCs/>
                <w:noProof/>
                <w:color w:val="4F81BD" w:themeColor="accent1"/>
                <w:sz w:val="18"/>
                <w:szCs w:val="18"/>
                <w:lang w:val="es-ES_tradnl" w:eastAsia="zh-CN"/>
              </w:rPr>
              <w:t xml:space="preserve">R.3-4: </w:t>
            </w:r>
            <w:r w:rsidRPr="007C30F1">
              <w:rPr>
                <w:sz w:val="18"/>
                <w:szCs w:val="18"/>
                <w:lang w:val="es-ES_tradnl"/>
              </w:rPr>
              <w:t xml:space="preserve">Seminarios, </w:t>
            </w:r>
            <w:r w:rsidRPr="007C30F1">
              <w:rPr>
                <w:noProof/>
                <w:sz w:val="18"/>
                <w:szCs w:val="18"/>
                <w:lang w:val="es-ES_tradnl" w:eastAsia="zh-CN"/>
              </w:rPr>
              <w:t>talleres y otros eventos</w:t>
            </w:r>
          </w:p>
          <w:p w:rsidR="00821E2A" w:rsidRPr="007C30F1" w:rsidRDefault="00821E2A" w:rsidP="007E074C">
            <w:pPr>
              <w:spacing w:before="80" w:line="240" w:lineRule="auto"/>
              <w:rPr>
                <w:rFonts w:cs="Arial"/>
                <w:sz w:val="18"/>
                <w:szCs w:val="18"/>
                <w:lang w:val="es-ES_tradnl"/>
              </w:rPr>
            </w:pPr>
            <w:r w:rsidRPr="007C30F1">
              <w:rPr>
                <w:rFonts w:cs="Arial"/>
                <w:b/>
                <w:bCs/>
                <w:color w:val="4F81BD" w:themeColor="accent1"/>
                <w:sz w:val="18"/>
                <w:szCs w:val="18"/>
                <w:lang w:val="es-ES_tradnl"/>
              </w:rPr>
              <w:t>PP:</w:t>
            </w:r>
            <w:r w:rsidRPr="007C30F1">
              <w:rPr>
                <w:rFonts w:cs="Arial"/>
                <w:sz w:val="18"/>
                <w:szCs w:val="18"/>
                <w:lang w:val="es-ES_tradnl"/>
              </w:rPr>
              <w:t xml:space="preserve"> </w:t>
            </w:r>
            <w:r w:rsidRPr="007C30F1">
              <w:rPr>
                <w:sz w:val="18"/>
                <w:szCs w:val="18"/>
                <w:lang w:val="es-ES_tradnl"/>
              </w:rPr>
              <w:t>Decisiones, Resoluciones, Recomendaciones y otros resultados de la Conferencia de Plenipotenciarios</w:t>
            </w:r>
            <w:r w:rsidRPr="007C30F1">
              <w:rPr>
                <w:rFonts w:cs="Arial"/>
                <w:sz w:val="18"/>
                <w:szCs w:val="18"/>
                <w:lang w:val="es-ES_tradnl"/>
              </w:rPr>
              <w:t>*</w:t>
            </w:r>
          </w:p>
          <w:p w:rsidR="00821E2A" w:rsidRPr="007C30F1" w:rsidRDefault="00821E2A" w:rsidP="007E074C">
            <w:pPr>
              <w:pBdr>
                <w:bottom w:val="single" w:sz="4" w:space="1" w:color="auto"/>
              </w:pBdr>
              <w:spacing w:before="80" w:line="240" w:lineRule="auto"/>
              <w:rPr>
                <w:rFonts w:cs="Arial"/>
                <w:sz w:val="18"/>
                <w:szCs w:val="18"/>
                <w:lang w:val="es-ES_tradnl"/>
              </w:rPr>
            </w:pPr>
            <w:r w:rsidRPr="007C30F1">
              <w:rPr>
                <w:rFonts w:cs="Arial"/>
                <w:b/>
                <w:bCs/>
                <w:color w:val="4F81BD" w:themeColor="accent1"/>
                <w:sz w:val="18"/>
                <w:szCs w:val="18"/>
                <w:lang w:val="es-ES_tradnl"/>
              </w:rPr>
              <w:t xml:space="preserve">Consejo/GTC: </w:t>
            </w:r>
            <w:r w:rsidRPr="007C30F1">
              <w:rPr>
                <w:sz w:val="18"/>
                <w:szCs w:val="18"/>
                <w:lang w:val="es-ES_tradnl"/>
              </w:rPr>
              <w:t>Acuerdos y Resoluciones del Consejo, así como resultados de los Grupos de Trabajo del Consejo</w:t>
            </w:r>
            <w:r w:rsidRPr="007C30F1">
              <w:rPr>
                <w:rFonts w:cs="Arial"/>
                <w:sz w:val="18"/>
                <w:szCs w:val="18"/>
                <w:lang w:val="es-ES_tradnl"/>
              </w:rPr>
              <w:t>*</w:t>
            </w:r>
          </w:p>
        </w:tc>
        <w:tc>
          <w:tcPr>
            <w:tcW w:w="896" w:type="dxa"/>
            <w:vMerge w:val="restart"/>
            <w:tcBorders>
              <w:bottom w:val="single" w:sz="4" w:space="0" w:color="auto"/>
            </w:tcBorders>
          </w:tcPr>
          <w:p w:rsidR="00821E2A" w:rsidRPr="007C30F1" w:rsidRDefault="00821E2A" w:rsidP="007E074C">
            <w:pPr>
              <w:spacing w:before="180" w:line="240" w:lineRule="auto"/>
              <w:jc w:val="center"/>
              <w:rPr>
                <w:rFonts w:cs="Arial"/>
                <w:b/>
                <w:bCs/>
                <w:color w:val="4F81BD" w:themeColor="accent1"/>
                <w:sz w:val="18"/>
                <w:szCs w:val="18"/>
                <w:lang w:val="es-ES_tradnl"/>
              </w:rPr>
            </w:pPr>
            <w:r w:rsidRPr="007C30F1">
              <w:rPr>
                <w:rFonts w:cs="Arial"/>
                <w:b/>
                <w:bCs/>
                <w:color w:val="4F81BD" w:themeColor="accent1"/>
                <w:sz w:val="18"/>
                <w:szCs w:val="18"/>
                <w:lang w:val="es-ES_tradnl"/>
              </w:rPr>
              <w:t>% del total</w:t>
            </w:r>
          </w:p>
          <w:p w:rsidR="00821E2A" w:rsidRPr="007C30F1" w:rsidRDefault="00821E2A" w:rsidP="007E074C">
            <w:pPr>
              <w:spacing w:before="200" w:line="240" w:lineRule="auto"/>
              <w:jc w:val="right"/>
              <w:rPr>
                <w:rFonts w:cs="Arial"/>
                <w:sz w:val="18"/>
                <w:szCs w:val="18"/>
                <w:lang w:val="es-ES_tradnl"/>
              </w:rPr>
            </w:pPr>
            <w:r w:rsidRPr="007C30F1">
              <w:rPr>
                <w:rFonts w:cs="Arial"/>
                <w:sz w:val="18"/>
                <w:szCs w:val="18"/>
                <w:lang w:val="es-ES_tradnl"/>
              </w:rPr>
              <w:t>5,4%</w:t>
            </w:r>
            <w:r w:rsidRPr="007C30F1">
              <w:rPr>
                <w:rFonts w:cs="Arial"/>
                <w:sz w:val="18"/>
                <w:szCs w:val="18"/>
                <w:lang w:val="es-ES_tradnl"/>
              </w:rPr>
              <w:br/>
            </w:r>
          </w:p>
          <w:p w:rsidR="00821E2A" w:rsidRPr="007C30F1" w:rsidRDefault="00821E2A" w:rsidP="007E074C">
            <w:pPr>
              <w:spacing w:before="260" w:line="240" w:lineRule="auto"/>
              <w:jc w:val="right"/>
              <w:rPr>
                <w:rFonts w:cs="Arial"/>
                <w:sz w:val="18"/>
                <w:szCs w:val="18"/>
                <w:lang w:val="es-ES_tradnl"/>
              </w:rPr>
            </w:pPr>
            <w:r w:rsidRPr="007C30F1">
              <w:rPr>
                <w:rFonts w:cs="Arial"/>
                <w:sz w:val="18"/>
                <w:szCs w:val="18"/>
                <w:lang w:val="es-ES_tradnl"/>
              </w:rPr>
              <w:t>0,5%</w:t>
            </w:r>
            <w:r w:rsidRPr="007C30F1">
              <w:rPr>
                <w:rFonts w:cs="Arial"/>
                <w:sz w:val="18"/>
                <w:szCs w:val="18"/>
                <w:lang w:val="es-ES_tradnl"/>
              </w:rPr>
              <w:br/>
            </w:r>
          </w:p>
          <w:p w:rsidR="00821E2A" w:rsidRPr="007C30F1" w:rsidRDefault="00821E2A" w:rsidP="007E074C">
            <w:pPr>
              <w:spacing w:before="80" w:line="240" w:lineRule="auto"/>
              <w:jc w:val="right"/>
              <w:rPr>
                <w:rFonts w:cs="Arial"/>
                <w:sz w:val="18"/>
                <w:szCs w:val="18"/>
                <w:lang w:val="es-ES_tradnl"/>
              </w:rPr>
            </w:pPr>
            <w:r w:rsidRPr="007C30F1">
              <w:rPr>
                <w:rFonts w:cs="Arial"/>
                <w:sz w:val="18"/>
                <w:szCs w:val="18"/>
                <w:lang w:val="es-ES_tradnl"/>
              </w:rPr>
              <w:t>2,0%</w:t>
            </w:r>
            <w:r w:rsidRPr="007C30F1">
              <w:rPr>
                <w:rFonts w:cs="Arial"/>
                <w:sz w:val="18"/>
                <w:szCs w:val="18"/>
                <w:lang w:val="es-ES_tradnl"/>
              </w:rPr>
              <w:br/>
            </w:r>
          </w:p>
          <w:p w:rsidR="00821E2A" w:rsidRPr="007C30F1" w:rsidRDefault="00821E2A" w:rsidP="007E074C">
            <w:pPr>
              <w:spacing w:line="240" w:lineRule="auto"/>
              <w:jc w:val="right"/>
              <w:rPr>
                <w:rFonts w:cs="Arial"/>
                <w:sz w:val="18"/>
                <w:szCs w:val="18"/>
                <w:lang w:val="es-ES_tradnl"/>
              </w:rPr>
            </w:pPr>
            <w:r w:rsidRPr="007C30F1">
              <w:rPr>
                <w:rFonts w:cs="Arial"/>
                <w:sz w:val="18"/>
                <w:szCs w:val="18"/>
                <w:lang w:val="es-ES_tradnl"/>
              </w:rPr>
              <w:t>24,4%</w:t>
            </w:r>
            <w:r w:rsidRPr="007C30F1">
              <w:rPr>
                <w:rFonts w:cs="Arial"/>
                <w:sz w:val="18"/>
                <w:szCs w:val="18"/>
                <w:lang w:val="es-ES_tradnl"/>
              </w:rPr>
              <w:br/>
            </w:r>
          </w:p>
          <w:p w:rsidR="00821E2A" w:rsidRPr="007C30F1" w:rsidRDefault="00821E2A" w:rsidP="007E074C">
            <w:pPr>
              <w:spacing w:after="80" w:line="240" w:lineRule="auto"/>
              <w:jc w:val="right"/>
              <w:rPr>
                <w:rFonts w:cs="Arial"/>
                <w:sz w:val="18"/>
                <w:szCs w:val="18"/>
                <w:lang w:val="es-ES_tradnl"/>
              </w:rPr>
            </w:pPr>
            <w:r w:rsidRPr="007C30F1">
              <w:rPr>
                <w:rFonts w:cs="Arial"/>
                <w:sz w:val="18"/>
                <w:szCs w:val="18"/>
                <w:lang w:val="es-ES_tradnl"/>
              </w:rPr>
              <w:t>12,1%</w:t>
            </w:r>
            <w:r w:rsidRPr="007C30F1">
              <w:rPr>
                <w:rFonts w:cs="Arial"/>
                <w:sz w:val="18"/>
                <w:szCs w:val="18"/>
                <w:lang w:val="es-ES_tradnl"/>
              </w:rPr>
              <w:br/>
            </w:r>
          </w:p>
          <w:p w:rsidR="00821E2A" w:rsidRPr="007C30F1" w:rsidRDefault="00821E2A" w:rsidP="007E074C">
            <w:pPr>
              <w:spacing w:before="80" w:line="240" w:lineRule="auto"/>
              <w:jc w:val="right"/>
              <w:rPr>
                <w:rFonts w:cs="Arial"/>
                <w:sz w:val="18"/>
                <w:szCs w:val="18"/>
                <w:lang w:val="es-ES_tradnl"/>
              </w:rPr>
            </w:pPr>
            <w:r w:rsidRPr="007C30F1">
              <w:rPr>
                <w:rFonts w:cs="Arial"/>
                <w:sz w:val="18"/>
                <w:szCs w:val="18"/>
                <w:lang w:val="es-ES_tradnl"/>
              </w:rPr>
              <w:t>2,0%</w:t>
            </w:r>
            <w:r w:rsidRPr="007C30F1">
              <w:rPr>
                <w:rFonts w:cs="Arial"/>
                <w:sz w:val="18"/>
                <w:szCs w:val="18"/>
                <w:lang w:val="es-ES_tradnl"/>
              </w:rPr>
              <w:br/>
            </w:r>
          </w:p>
          <w:p w:rsidR="00821E2A" w:rsidRPr="007C30F1" w:rsidRDefault="00821E2A" w:rsidP="007E074C">
            <w:pPr>
              <w:pBdr>
                <w:bottom w:val="single" w:sz="4" w:space="1" w:color="auto"/>
              </w:pBdr>
              <w:spacing w:before="110" w:line="240" w:lineRule="auto"/>
              <w:jc w:val="right"/>
              <w:rPr>
                <w:rFonts w:cs="Arial"/>
                <w:sz w:val="18"/>
                <w:szCs w:val="18"/>
                <w:lang w:val="es-ES_tradnl"/>
              </w:rPr>
            </w:pPr>
            <w:r w:rsidRPr="007C30F1">
              <w:rPr>
                <w:rFonts w:cs="Arial"/>
                <w:sz w:val="18"/>
                <w:szCs w:val="18"/>
                <w:lang w:val="es-ES_tradnl"/>
              </w:rPr>
              <w:t>12,4%</w:t>
            </w:r>
          </w:p>
          <w:p w:rsidR="00821E2A" w:rsidRPr="007C30F1" w:rsidRDefault="00821E2A" w:rsidP="007E074C">
            <w:pPr>
              <w:spacing w:line="240" w:lineRule="auto"/>
              <w:jc w:val="right"/>
              <w:rPr>
                <w:rFonts w:cs="Arial"/>
                <w:sz w:val="18"/>
                <w:szCs w:val="18"/>
                <w:lang w:val="es-ES_tradnl"/>
              </w:rPr>
            </w:pPr>
            <w:r w:rsidRPr="007C30F1">
              <w:rPr>
                <w:rFonts w:cs="Arial"/>
                <w:sz w:val="18"/>
                <w:szCs w:val="18"/>
                <w:lang w:val="es-ES_tradnl"/>
              </w:rPr>
              <w:t>2,4%</w:t>
            </w:r>
            <w:r w:rsidRPr="007C30F1">
              <w:rPr>
                <w:rFonts w:cs="Arial"/>
                <w:sz w:val="18"/>
                <w:szCs w:val="18"/>
                <w:lang w:val="es-ES_tradnl"/>
              </w:rPr>
              <w:br/>
            </w:r>
          </w:p>
          <w:p w:rsidR="00821E2A" w:rsidRPr="007C30F1" w:rsidRDefault="00821E2A" w:rsidP="007E074C">
            <w:pPr>
              <w:pBdr>
                <w:bottom w:val="single" w:sz="4" w:space="1" w:color="auto"/>
              </w:pBdr>
              <w:spacing w:line="240" w:lineRule="auto"/>
              <w:jc w:val="right"/>
              <w:rPr>
                <w:rFonts w:cs="Arial"/>
                <w:sz w:val="18"/>
                <w:szCs w:val="18"/>
                <w:lang w:val="es-ES_tradnl"/>
              </w:rPr>
            </w:pPr>
            <w:r w:rsidRPr="007C30F1">
              <w:rPr>
                <w:rFonts w:cs="Arial"/>
                <w:sz w:val="18"/>
                <w:szCs w:val="18"/>
                <w:lang w:val="es-ES_tradnl"/>
              </w:rPr>
              <w:t>9,1%</w:t>
            </w:r>
            <w:r w:rsidRPr="007C30F1">
              <w:rPr>
                <w:rFonts w:cs="Arial"/>
                <w:sz w:val="18"/>
                <w:szCs w:val="18"/>
                <w:lang w:val="es-ES_tradnl"/>
              </w:rPr>
              <w:br/>
            </w:r>
          </w:p>
          <w:p w:rsidR="00821E2A" w:rsidRPr="007C30F1" w:rsidRDefault="00821E2A" w:rsidP="007E074C">
            <w:pPr>
              <w:pBdr>
                <w:bottom w:val="single" w:sz="4" w:space="1" w:color="auto"/>
              </w:pBdr>
              <w:spacing w:before="140" w:line="240" w:lineRule="auto"/>
              <w:jc w:val="right"/>
              <w:rPr>
                <w:rFonts w:cs="Arial"/>
                <w:sz w:val="18"/>
                <w:szCs w:val="18"/>
                <w:lang w:val="es-ES_tradnl"/>
              </w:rPr>
            </w:pPr>
            <w:r w:rsidRPr="007C30F1">
              <w:rPr>
                <w:rFonts w:cs="Arial"/>
                <w:sz w:val="18"/>
                <w:szCs w:val="18"/>
                <w:lang w:val="es-ES_tradnl"/>
              </w:rPr>
              <w:t>1,8%</w:t>
            </w:r>
          </w:p>
          <w:p w:rsidR="00821E2A" w:rsidRPr="007C30F1" w:rsidRDefault="00821E2A" w:rsidP="007E074C">
            <w:pPr>
              <w:spacing w:before="80" w:line="240" w:lineRule="auto"/>
              <w:jc w:val="right"/>
              <w:rPr>
                <w:rFonts w:cs="Arial"/>
                <w:sz w:val="18"/>
                <w:szCs w:val="18"/>
                <w:lang w:val="es-ES_tradnl"/>
              </w:rPr>
            </w:pPr>
            <w:r w:rsidRPr="007C30F1">
              <w:rPr>
                <w:rFonts w:cs="Arial"/>
                <w:sz w:val="18"/>
                <w:szCs w:val="18"/>
                <w:lang w:val="es-ES_tradnl"/>
              </w:rPr>
              <w:t>12,4%</w:t>
            </w:r>
          </w:p>
          <w:p w:rsidR="00821E2A" w:rsidRPr="007C30F1" w:rsidRDefault="00821E2A" w:rsidP="007E074C">
            <w:pPr>
              <w:pBdr>
                <w:bottom w:val="single" w:sz="4" w:space="1" w:color="auto"/>
              </w:pBdr>
              <w:spacing w:line="240" w:lineRule="auto"/>
              <w:jc w:val="right"/>
              <w:rPr>
                <w:rFonts w:cs="Arial"/>
                <w:sz w:val="18"/>
                <w:szCs w:val="18"/>
                <w:lang w:val="es-ES_tradnl"/>
              </w:rPr>
            </w:pPr>
            <w:r w:rsidRPr="007C30F1">
              <w:rPr>
                <w:rFonts w:cs="Arial"/>
                <w:sz w:val="18"/>
                <w:szCs w:val="18"/>
                <w:lang w:val="es-ES_tradnl"/>
              </w:rPr>
              <w:t>3,9%</w:t>
            </w:r>
            <w:r w:rsidRPr="007C30F1">
              <w:rPr>
                <w:rFonts w:cs="Arial"/>
                <w:sz w:val="18"/>
                <w:szCs w:val="18"/>
                <w:lang w:val="es-ES_tradnl"/>
              </w:rPr>
              <w:br/>
            </w:r>
          </w:p>
          <w:p w:rsidR="00821E2A" w:rsidRPr="007C30F1" w:rsidRDefault="00821E2A" w:rsidP="007E074C">
            <w:pPr>
              <w:pBdr>
                <w:bottom w:val="single" w:sz="4" w:space="1" w:color="auto"/>
              </w:pBdr>
              <w:spacing w:line="240" w:lineRule="auto"/>
              <w:jc w:val="right"/>
              <w:rPr>
                <w:rFonts w:cs="Arial"/>
                <w:sz w:val="18"/>
                <w:szCs w:val="18"/>
                <w:lang w:val="es-ES_tradnl"/>
              </w:rPr>
            </w:pPr>
            <w:r w:rsidRPr="007C30F1">
              <w:rPr>
                <w:rFonts w:cs="Arial"/>
                <w:sz w:val="18"/>
                <w:szCs w:val="18"/>
                <w:lang w:val="es-ES_tradnl"/>
              </w:rPr>
              <w:t>2,3%</w:t>
            </w:r>
          </w:p>
          <w:p w:rsidR="00821E2A" w:rsidRPr="007C30F1" w:rsidRDefault="00821E2A" w:rsidP="007E074C">
            <w:pPr>
              <w:pBdr>
                <w:bottom w:val="single" w:sz="4" w:space="1" w:color="auto"/>
              </w:pBdr>
              <w:spacing w:before="80" w:line="240" w:lineRule="auto"/>
              <w:jc w:val="right"/>
              <w:rPr>
                <w:rFonts w:cs="Arial"/>
                <w:sz w:val="18"/>
                <w:szCs w:val="18"/>
                <w:lang w:val="es-ES_tradnl"/>
              </w:rPr>
            </w:pPr>
            <w:r w:rsidRPr="007C30F1">
              <w:rPr>
                <w:rFonts w:cs="Arial"/>
                <w:sz w:val="18"/>
                <w:szCs w:val="18"/>
                <w:lang w:val="es-ES_tradnl"/>
              </w:rPr>
              <w:t>5,5%</w:t>
            </w:r>
          </w:p>
          <w:p w:rsidR="00821E2A" w:rsidRPr="007C30F1" w:rsidRDefault="00821E2A" w:rsidP="007E074C">
            <w:pPr>
              <w:spacing w:before="80" w:line="240" w:lineRule="auto"/>
              <w:jc w:val="right"/>
              <w:rPr>
                <w:rFonts w:cs="Arial"/>
                <w:sz w:val="18"/>
                <w:szCs w:val="18"/>
                <w:lang w:val="es-ES_tradnl"/>
              </w:rPr>
            </w:pPr>
            <w:r w:rsidRPr="007C30F1">
              <w:rPr>
                <w:rFonts w:cs="Arial"/>
                <w:sz w:val="18"/>
                <w:szCs w:val="18"/>
                <w:lang w:val="es-ES_tradnl"/>
              </w:rPr>
              <w:t>1,5%</w:t>
            </w:r>
            <w:r w:rsidRPr="007C30F1">
              <w:rPr>
                <w:rFonts w:cs="Arial"/>
                <w:sz w:val="18"/>
                <w:szCs w:val="18"/>
                <w:lang w:val="es-ES_tradnl"/>
              </w:rPr>
              <w:br/>
            </w:r>
          </w:p>
          <w:p w:rsidR="00821E2A" w:rsidRPr="007C30F1" w:rsidRDefault="00821E2A" w:rsidP="007E074C">
            <w:pPr>
              <w:pBdr>
                <w:bottom w:val="single" w:sz="4" w:space="1" w:color="auto"/>
              </w:pBdr>
              <w:spacing w:before="80" w:line="240" w:lineRule="auto"/>
              <w:jc w:val="right"/>
              <w:rPr>
                <w:rFonts w:cs="Arial"/>
                <w:sz w:val="18"/>
                <w:szCs w:val="18"/>
                <w:lang w:val="es-ES_tradnl"/>
              </w:rPr>
            </w:pPr>
            <w:r w:rsidRPr="007C30F1">
              <w:rPr>
                <w:rFonts w:cs="Arial"/>
                <w:sz w:val="18"/>
                <w:szCs w:val="18"/>
                <w:lang w:val="es-ES_tradnl"/>
              </w:rPr>
              <w:t>2,2%</w:t>
            </w:r>
            <w:r w:rsidRPr="007C30F1">
              <w:rPr>
                <w:rFonts w:cs="Arial"/>
                <w:sz w:val="18"/>
                <w:szCs w:val="18"/>
                <w:lang w:val="es-ES_tradnl"/>
              </w:rPr>
              <w:br/>
            </w:r>
          </w:p>
        </w:tc>
        <w:tc>
          <w:tcPr>
            <w:tcW w:w="896" w:type="dxa"/>
            <w:vMerge w:val="restart"/>
          </w:tcPr>
          <w:p w:rsidR="00821E2A" w:rsidRPr="007C30F1" w:rsidRDefault="00821E2A" w:rsidP="007E074C">
            <w:pPr>
              <w:spacing w:before="180" w:line="240" w:lineRule="auto"/>
              <w:jc w:val="center"/>
              <w:rPr>
                <w:rFonts w:cs="Arial"/>
                <w:b/>
                <w:bCs/>
                <w:color w:val="4F81BD" w:themeColor="accent1"/>
                <w:sz w:val="18"/>
                <w:szCs w:val="18"/>
                <w:lang w:val="es-ES_tradnl"/>
              </w:rPr>
            </w:pPr>
            <w:r w:rsidRPr="007C30F1">
              <w:rPr>
                <w:rFonts w:cs="Arial"/>
                <w:b/>
                <w:bCs/>
                <w:color w:val="4F81BD" w:themeColor="accent1"/>
                <w:sz w:val="18"/>
                <w:szCs w:val="18"/>
                <w:lang w:val="es-ES_tradnl"/>
              </w:rPr>
              <w:t>% del objetivo</w:t>
            </w:r>
          </w:p>
          <w:p w:rsidR="00821E2A" w:rsidRPr="007C30F1" w:rsidRDefault="00821E2A" w:rsidP="007E074C">
            <w:pPr>
              <w:spacing w:before="200" w:line="240" w:lineRule="auto"/>
              <w:jc w:val="right"/>
              <w:rPr>
                <w:rFonts w:cs="Arial"/>
                <w:b/>
                <w:bCs/>
                <w:sz w:val="18"/>
                <w:szCs w:val="18"/>
                <w:lang w:val="es-ES_tradnl"/>
              </w:rPr>
            </w:pPr>
            <w:r w:rsidRPr="007C30F1">
              <w:rPr>
                <w:rFonts w:cs="Arial"/>
                <w:b/>
                <w:bCs/>
                <w:sz w:val="18"/>
                <w:szCs w:val="18"/>
                <w:lang w:val="es-ES_tradnl"/>
              </w:rPr>
              <w:t>8,8%</w:t>
            </w:r>
            <w:r w:rsidRPr="007C30F1">
              <w:rPr>
                <w:rFonts w:cs="Arial"/>
                <w:b/>
                <w:bCs/>
                <w:sz w:val="18"/>
                <w:szCs w:val="18"/>
                <w:lang w:val="es-ES_tradnl"/>
              </w:rPr>
              <w:br/>
            </w:r>
          </w:p>
          <w:p w:rsidR="00821E2A" w:rsidRPr="007C30F1" w:rsidRDefault="00821E2A" w:rsidP="007E074C">
            <w:pPr>
              <w:spacing w:before="260" w:line="240" w:lineRule="auto"/>
              <w:jc w:val="right"/>
              <w:rPr>
                <w:rFonts w:cs="Arial"/>
                <w:b/>
                <w:bCs/>
                <w:sz w:val="18"/>
                <w:szCs w:val="18"/>
                <w:lang w:val="es-ES_tradnl"/>
              </w:rPr>
            </w:pPr>
            <w:r w:rsidRPr="007C30F1">
              <w:rPr>
                <w:rFonts w:cs="Arial"/>
                <w:b/>
                <w:bCs/>
                <w:sz w:val="18"/>
                <w:szCs w:val="18"/>
                <w:lang w:val="es-ES_tradnl"/>
              </w:rPr>
              <w:t>0,8%</w:t>
            </w:r>
            <w:r w:rsidRPr="007C30F1">
              <w:rPr>
                <w:rFonts w:cs="Arial"/>
                <w:b/>
                <w:bCs/>
                <w:sz w:val="18"/>
                <w:szCs w:val="18"/>
                <w:lang w:val="es-ES_tradnl"/>
              </w:rPr>
              <w:br/>
            </w:r>
          </w:p>
          <w:p w:rsidR="00821E2A" w:rsidRPr="007C30F1" w:rsidRDefault="00821E2A" w:rsidP="007E074C">
            <w:pPr>
              <w:spacing w:before="80" w:line="240" w:lineRule="auto"/>
              <w:jc w:val="right"/>
              <w:rPr>
                <w:rFonts w:cs="Arial"/>
                <w:b/>
                <w:bCs/>
                <w:sz w:val="18"/>
                <w:szCs w:val="18"/>
                <w:lang w:val="es-ES_tradnl"/>
              </w:rPr>
            </w:pPr>
            <w:r w:rsidRPr="007C30F1">
              <w:rPr>
                <w:rFonts w:cs="Arial"/>
                <w:b/>
                <w:bCs/>
                <w:sz w:val="18"/>
                <w:szCs w:val="18"/>
                <w:lang w:val="es-ES_tradnl"/>
              </w:rPr>
              <w:t>3,3%</w:t>
            </w:r>
            <w:r w:rsidRPr="007C30F1">
              <w:rPr>
                <w:rFonts w:cs="Arial"/>
                <w:b/>
                <w:bCs/>
                <w:sz w:val="18"/>
                <w:szCs w:val="18"/>
                <w:lang w:val="es-ES_tradnl"/>
              </w:rPr>
              <w:br/>
            </w:r>
          </w:p>
          <w:p w:rsidR="00821E2A" w:rsidRPr="007C30F1" w:rsidRDefault="00821E2A" w:rsidP="007E074C">
            <w:pPr>
              <w:spacing w:line="240" w:lineRule="auto"/>
              <w:jc w:val="right"/>
              <w:rPr>
                <w:rFonts w:cs="Arial"/>
                <w:b/>
                <w:bCs/>
                <w:sz w:val="18"/>
                <w:szCs w:val="18"/>
                <w:lang w:val="es-ES_tradnl"/>
              </w:rPr>
            </w:pPr>
            <w:r w:rsidRPr="007C30F1">
              <w:rPr>
                <w:rFonts w:cs="Arial"/>
                <w:b/>
                <w:bCs/>
                <w:sz w:val="18"/>
                <w:szCs w:val="18"/>
                <w:lang w:val="es-ES_tradnl"/>
              </w:rPr>
              <w:t>39,9%</w:t>
            </w:r>
            <w:r w:rsidRPr="007C30F1">
              <w:rPr>
                <w:rFonts w:cs="Arial"/>
                <w:b/>
                <w:bCs/>
                <w:sz w:val="18"/>
                <w:szCs w:val="18"/>
                <w:lang w:val="es-ES_tradnl"/>
              </w:rPr>
              <w:br/>
            </w:r>
          </w:p>
          <w:p w:rsidR="00821E2A" w:rsidRPr="007C30F1" w:rsidRDefault="00821E2A" w:rsidP="007E074C">
            <w:pPr>
              <w:spacing w:line="240" w:lineRule="auto"/>
              <w:jc w:val="right"/>
              <w:rPr>
                <w:rFonts w:cs="Arial"/>
                <w:b/>
                <w:bCs/>
                <w:sz w:val="18"/>
                <w:szCs w:val="18"/>
                <w:lang w:val="es-ES_tradnl"/>
              </w:rPr>
            </w:pPr>
            <w:r w:rsidRPr="007C30F1">
              <w:rPr>
                <w:rFonts w:cs="Arial"/>
                <w:b/>
                <w:bCs/>
                <w:sz w:val="18"/>
                <w:szCs w:val="18"/>
                <w:lang w:val="es-ES_tradnl"/>
              </w:rPr>
              <w:t>19,8%</w:t>
            </w:r>
            <w:r w:rsidRPr="007C30F1">
              <w:rPr>
                <w:rFonts w:cs="Arial"/>
                <w:b/>
                <w:bCs/>
                <w:sz w:val="18"/>
                <w:szCs w:val="18"/>
                <w:lang w:val="es-ES_tradnl"/>
              </w:rPr>
              <w:br/>
            </w:r>
          </w:p>
          <w:p w:rsidR="00821E2A" w:rsidRPr="007C30F1" w:rsidRDefault="00821E2A" w:rsidP="007E074C">
            <w:pPr>
              <w:spacing w:before="80" w:line="240" w:lineRule="auto"/>
              <w:jc w:val="right"/>
              <w:rPr>
                <w:rFonts w:cs="Arial"/>
                <w:b/>
                <w:bCs/>
                <w:sz w:val="18"/>
                <w:szCs w:val="18"/>
                <w:lang w:val="es-ES_tradnl"/>
              </w:rPr>
            </w:pPr>
            <w:r w:rsidRPr="007C30F1">
              <w:rPr>
                <w:rFonts w:cs="Arial"/>
                <w:b/>
                <w:bCs/>
                <w:sz w:val="18"/>
                <w:szCs w:val="18"/>
                <w:lang w:val="es-ES_tradnl"/>
              </w:rPr>
              <w:t>3,3%</w:t>
            </w:r>
            <w:r w:rsidRPr="007C30F1">
              <w:rPr>
                <w:rFonts w:cs="Arial"/>
                <w:b/>
                <w:bCs/>
                <w:sz w:val="18"/>
                <w:szCs w:val="18"/>
                <w:lang w:val="es-ES_tradnl"/>
              </w:rPr>
              <w:br/>
            </w:r>
          </w:p>
          <w:p w:rsidR="00821E2A" w:rsidRPr="007C30F1" w:rsidRDefault="00821E2A" w:rsidP="007E074C">
            <w:pPr>
              <w:pBdr>
                <w:bottom w:val="single" w:sz="4" w:space="1" w:color="auto"/>
              </w:pBdr>
              <w:spacing w:before="110" w:line="240" w:lineRule="auto"/>
              <w:jc w:val="right"/>
              <w:rPr>
                <w:rFonts w:cs="Arial"/>
                <w:b/>
                <w:bCs/>
                <w:sz w:val="18"/>
                <w:szCs w:val="18"/>
                <w:lang w:val="es-ES_tradnl"/>
              </w:rPr>
            </w:pPr>
            <w:r w:rsidRPr="007C30F1">
              <w:rPr>
                <w:rFonts w:cs="Arial"/>
                <w:b/>
                <w:bCs/>
                <w:sz w:val="18"/>
                <w:szCs w:val="18"/>
                <w:lang w:val="es-ES_tradnl"/>
              </w:rPr>
              <w:t>20,2%</w:t>
            </w:r>
          </w:p>
          <w:p w:rsidR="00821E2A" w:rsidRPr="007C30F1" w:rsidRDefault="00821E2A" w:rsidP="007E074C">
            <w:pPr>
              <w:spacing w:line="240" w:lineRule="auto"/>
              <w:jc w:val="right"/>
              <w:rPr>
                <w:rFonts w:cs="Arial"/>
                <w:b/>
                <w:bCs/>
                <w:sz w:val="18"/>
                <w:szCs w:val="18"/>
                <w:lang w:val="es-ES_tradnl"/>
              </w:rPr>
            </w:pPr>
            <w:r w:rsidRPr="007C30F1">
              <w:rPr>
                <w:rFonts w:cs="Arial"/>
                <w:b/>
                <w:bCs/>
                <w:sz w:val="18"/>
                <w:szCs w:val="18"/>
                <w:lang w:val="es-ES_tradnl"/>
              </w:rPr>
              <w:t>17,4%</w:t>
            </w:r>
            <w:r w:rsidRPr="007C30F1">
              <w:rPr>
                <w:rFonts w:cs="Arial"/>
                <w:b/>
                <w:bCs/>
                <w:sz w:val="18"/>
                <w:szCs w:val="18"/>
                <w:lang w:val="es-ES_tradnl"/>
              </w:rPr>
              <w:br/>
            </w:r>
          </w:p>
          <w:p w:rsidR="00821E2A" w:rsidRPr="007C30F1" w:rsidRDefault="00821E2A" w:rsidP="007E074C">
            <w:pPr>
              <w:spacing w:line="240" w:lineRule="auto"/>
              <w:jc w:val="right"/>
              <w:rPr>
                <w:rFonts w:cs="Arial"/>
                <w:b/>
                <w:bCs/>
                <w:sz w:val="18"/>
                <w:szCs w:val="18"/>
                <w:lang w:val="es-ES_tradnl"/>
              </w:rPr>
            </w:pPr>
            <w:r w:rsidRPr="007C30F1">
              <w:rPr>
                <w:rFonts w:cs="Arial"/>
                <w:b/>
                <w:bCs/>
                <w:sz w:val="18"/>
                <w:szCs w:val="18"/>
                <w:lang w:val="es-ES_tradnl"/>
              </w:rPr>
              <w:t>65,6%</w:t>
            </w:r>
            <w:r w:rsidRPr="007C30F1">
              <w:rPr>
                <w:rFonts w:cs="Arial"/>
                <w:b/>
                <w:bCs/>
                <w:sz w:val="18"/>
                <w:szCs w:val="18"/>
                <w:lang w:val="es-ES_tradnl"/>
              </w:rPr>
              <w:br/>
            </w:r>
          </w:p>
          <w:p w:rsidR="00821E2A" w:rsidRPr="007C30F1" w:rsidRDefault="00821E2A" w:rsidP="007E074C">
            <w:pPr>
              <w:pBdr>
                <w:bottom w:val="single" w:sz="6" w:space="1" w:color="auto"/>
              </w:pBdr>
              <w:spacing w:before="140" w:after="80" w:line="240" w:lineRule="auto"/>
              <w:jc w:val="right"/>
              <w:rPr>
                <w:rFonts w:cs="Arial"/>
                <w:b/>
                <w:bCs/>
                <w:sz w:val="18"/>
                <w:szCs w:val="18"/>
                <w:lang w:val="es-ES_tradnl"/>
              </w:rPr>
            </w:pPr>
            <w:r w:rsidRPr="007C30F1">
              <w:rPr>
                <w:rFonts w:cs="Arial"/>
                <w:b/>
                <w:bCs/>
                <w:sz w:val="18"/>
                <w:szCs w:val="18"/>
                <w:lang w:val="es-ES_tradnl"/>
              </w:rPr>
              <w:t>13,3%</w:t>
            </w:r>
          </w:p>
          <w:p w:rsidR="00821E2A" w:rsidRPr="007C30F1" w:rsidRDefault="00821E2A" w:rsidP="007E074C">
            <w:pPr>
              <w:pBdr>
                <w:bottom w:val="single" w:sz="4" w:space="1" w:color="auto"/>
              </w:pBdr>
              <w:spacing w:before="80" w:line="240" w:lineRule="auto"/>
              <w:contextualSpacing/>
              <w:jc w:val="right"/>
              <w:rPr>
                <w:rFonts w:cs="Arial"/>
                <w:b/>
                <w:bCs/>
                <w:sz w:val="18"/>
                <w:szCs w:val="18"/>
                <w:lang w:val="es-ES_tradnl"/>
              </w:rPr>
            </w:pPr>
            <w:r w:rsidRPr="007C30F1">
              <w:rPr>
                <w:rFonts w:cs="Arial"/>
                <w:b/>
                <w:bCs/>
                <w:sz w:val="18"/>
                <w:szCs w:val="18"/>
                <w:lang w:val="es-ES_tradnl"/>
              </w:rPr>
              <w:t>49,4%</w:t>
            </w:r>
          </w:p>
          <w:p w:rsidR="00821E2A" w:rsidRPr="007C30F1" w:rsidRDefault="00821E2A" w:rsidP="007E074C">
            <w:pPr>
              <w:pBdr>
                <w:bottom w:val="single" w:sz="4" w:space="1" w:color="auto"/>
              </w:pBdr>
              <w:spacing w:line="240" w:lineRule="auto"/>
              <w:jc w:val="right"/>
              <w:rPr>
                <w:rFonts w:cs="Arial"/>
                <w:b/>
                <w:bCs/>
                <w:sz w:val="18"/>
                <w:szCs w:val="18"/>
                <w:lang w:val="es-ES_tradnl"/>
              </w:rPr>
            </w:pPr>
            <w:r w:rsidRPr="007C30F1">
              <w:rPr>
                <w:rFonts w:cs="Arial"/>
                <w:b/>
                <w:bCs/>
                <w:sz w:val="18"/>
                <w:szCs w:val="18"/>
                <w:lang w:val="es-ES_tradnl"/>
              </w:rPr>
              <w:t>15,7%</w:t>
            </w:r>
            <w:r w:rsidRPr="007C30F1">
              <w:rPr>
                <w:rFonts w:cs="Arial"/>
                <w:b/>
                <w:bCs/>
                <w:sz w:val="18"/>
                <w:szCs w:val="18"/>
                <w:lang w:val="es-ES_tradnl"/>
              </w:rPr>
              <w:br/>
            </w:r>
          </w:p>
          <w:p w:rsidR="00821E2A" w:rsidRPr="007C30F1" w:rsidRDefault="00821E2A" w:rsidP="007E074C">
            <w:pPr>
              <w:pBdr>
                <w:bottom w:val="single" w:sz="4" w:space="1" w:color="auto"/>
              </w:pBdr>
              <w:spacing w:line="240" w:lineRule="auto"/>
              <w:jc w:val="right"/>
              <w:rPr>
                <w:rFonts w:cs="Arial"/>
                <w:b/>
                <w:bCs/>
                <w:sz w:val="18"/>
                <w:szCs w:val="18"/>
                <w:lang w:val="es-ES_tradnl"/>
              </w:rPr>
            </w:pPr>
            <w:r w:rsidRPr="007C30F1">
              <w:rPr>
                <w:rFonts w:cs="Arial"/>
                <w:b/>
                <w:bCs/>
                <w:sz w:val="18"/>
                <w:szCs w:val="18"/>
                <w:lang w:val="es-ES_tradnl"/>
              </w:rPr>
              <w:t>9,1%</w:t>
            </w:r>
          </w:p>
          <w:p w:rsidR="00821E2A" w:rsidRPr="007C30F1" w:rsidRDefault="00821E2A" w:rsidP="007E074C">
            <w:pPr>
              <w:pBdr>
                <w:bottom w:val="single" w:sz="4" w:space="1" w:color="auto"/>
              </w:pBdr>
              <w:spacing w:before="80" w:line="240" w:lineRule="auto"/>
              <w:jc w:val="right"/>
              <w:rPr>
                <w:rFonts w:cs="Arial"/>
                <w:b/>
                <w:bCs/>
                <w:sz w:val="18"/>
                <w:szCs w:val="18"/>
                <w:lang w:val="es-ES_tradnl"/>
              </w:rPr>
            </w:pPr>
            <w:r w:rsidRPr="007C30F1">
              <w:rPr>
                <w:rFonts w:cs="Arial"/>
                <w:b/>
                <w:bCs/>
                <w:sz w:val="18"/>
                <w:szCs w:val="18"/>
                <w:lang w:val="es-ES_tradnl"/>
              </w:rPr>
              <w:t>22,0%</w:t>
            </w:r>
          </w:p>
          <w:p w:rsidR="00821E2A" w:rsidRPr="007C30F1" w:rsidRDefault="00821E2A" w:rsidP="007E074C">
            <w:pPr>
              <w:spacing w:before="80" w:line="240" w:lineRule="auto"/>
              <w:jc w:val="right"/>
              <w:rPr>
                <w:rFonts w:cs="Arial"/>
                <w:b/>
                <w:bCs/>
                <w:sz w:val="18"/>
                <w:szCs w:val="18"/>
                <w:lang w:val="es-ES_tradnl"/>
              </w:rPr>
            </w:pPr>
            <w:r w:rsidRPr="007C30F1">
              <w:rPr>
                <w:rFonts w:cs="Arial"/>
                <w:b/>
                <w:bCs/>
                <w:sz w:val="18"/>
                <w:szCs w:val="18"/>
                <w:lang w:val="es-ES_tradnl"/>
              </w:rPr>
              <w:t>1,5%</w:t>
            </w:r>
            <w:r w:rsidRPr="007C30F1">
              <w:rPr>
                <w:rFonts w:cs="Arial"/>
                <w:b/>
                <w:bCs/>
                <w:sz w:val="18"/>
                <w:szCs w:val="18"/>
                <w:lang w:val="es-ES_tradnl"/>
              </w:rPr>
              <w:br/>
            </w:r>
          </w:p>
          <w:p w:rsidR="00821E2A" w:rsidRPr="007C30F1" w:rsidRDefault="00821E2A" w:rsidP="007E074C">
            <w:pPr>
              <w:pBdr>
                <w:bottom w:val="single" w:sz="4" w:space="1" w:color="auto"/>
              </w:pBdr>
              <w:spacing w:before="80" w:line="240" w:lineRule="auto"/>
              <w:jc w:val="right"/>
              <w:rPr>
                <w:rFonts w:cs="Arial"/>
                <w:b/>
                <w:bCs/>
                <w:color w:val="948A54" w:themeColor="background2" w:themeShade="80"/>
                <w:sz w:val="18"/>
                <w:szCs w:val="18"/>
                <w:lang w:val="es-ES_tradnl"/>
              </w:rPr>
            </w:pPr>
            <w:r w:rsidRPr="007C30F1">
              <w:rPr>
                <w:rFonts w:cs="Arial"/>
                <w:b/>
                <w:bCs/>
                <w:sz w:val="18"/>
                <w:szCs w:val="18"/>
                <w:lang w:val="es-ES_tradnl"/>
              </w:rPr>
              <w:t>2,2%</w:t>
            </w:r>
            <w:r w:rsidRPr="007C30F1">
              <w:rPr>
                <w:rFonts w:cs="Arial"/>
                <w:b/>
                <w:bCs/>
                <w:sz w:val="18"/>
                <w:szCs w:val="18"/>
                <w:lang w:val="es-ES_tradnl"/>
              </w:rPr>
              <w:br/>
            </w:r>
          </w:p>
        </w:tc>
      </w:tr>
      <w:tr w:rsidR="00821E2A" w:rsidRPr="007C30F1" w:rsidTr="00821E2A">
        <w:trPr>
          <w:trHeight w:val="4051"/>
        </w:trPr>
        <w:tc>
          <w:tcPr>
            <w:tcW w:w="6487" w:type="dxa"/>
          </w:tcPr>
          <w:p w:rsidR="00821E2A" w:rsidRPr="007C30F1" w:rsidRDefault="00821E2A" w:rsidP="007E074C">
            <w:pPr>
              <w:spacing w:before="60" w:after="40" w:line="240" w:lineRule="auto"/>
              <w:rPr>
                <w:noProof/>
                <w:color w:val="4F81BD" w:themeColor="accent1"/>
                <w:sz w:val="18"/>
                <w:szCs w:val="18"/>
                <w:lang w:val="es-ES_tradnl" w:eastAsia="zh-CN"/>
              </w:rPr>
            </w:pPr>
          </w:p>
          <w:p w:rsidR="00821E2A" w:rsidRPr="007C30F1" w:rsidRDefault="00821E2A" w:rsidP="007E074C">
            <w:pPr>
              <w:spacing w:after="40" w:line="240" w:lineRule="auto"/>
              <w:rPr>
                <w:noProof/>
                <w:sz w:val="18"/>
                <w:szCs w:val="18"/>
                <w:lang w:val="es-ES_tradnl" w:eastAsia="zh-CN"/>
              </w:rPr>
            </w:pPr>
            <w:r w:rsidRPr="007C30F1">
              <w:rPr>
                <w:noProof/>
                <w:color w:val="4F81BD" w:themeColor="accent1"/>
                <w:sz w:val="18"/>
                <w:szCs w:val="18"/>
                <w:lang w:val="es-ES_tradnl" w:eastAsia="zh-CN"/>
              </w:rPr>
              <w:t xml:space="preserve">R.1: </w:t>
            </w:r>
            <w:r w:rsidRPr="007C30F1">
              <w:rPr>
                <w:sz w:val="18"/>
                <w:szCs w:val="18"/>
                <w:lang w:val="es-ES_tradnl"/>
              </w:rPr>
              <w:t>Atender de manera racional, equitativa, eficiente, económica y oportuna a las necesidades de los miembros de la UIT en materia de recursos de espectro de radiofrecuencias y órbitas de satélites, evitando interferencias perjudiciales</w:t>
            </w:r>
          </w:p>
          <w:p w:rsidR="00821E2A" w:rsidRPr="007C30F1" w:rsidRDefault="00821E2A" w:rsidP="007E074C">
            <w:pPr>
              <w:spacing w:after="40" w:line="240" w:lineRule="auto"/>
              <w:rPr>
                <w:noProof/>
                <w:sz w:val="18"/>
                <w:szCs w:val="18"/>
                <w:lang w:val="es-ES_tradnl" w:eastAsia="zh-CN"/>
              </w:rPr>
            </w:pPr>
            <w:r w:rsidRPr="007C30F1">
              <w:rPr>
                <w:noProof/>
                <w:color w:val="4F81BD" w:themeColor="accent1"/>
                <w:sz w:val="18"/>
                <w:szCs w:val="18"/>
                <w:lang w:val="es-ES_tradnl" w:eastAsia="zh-CN"/>
              </w:rPr>
              <w:t xml:space="preserve">R.2: </w:t>
            </w:r>
            <w:r w:rsidRPr="007C30F1">
              <w:rPr>
                <w:sz w:val="18"/>
                <w:szCs w:val="18"/>
                <w:lang w:val="es-ES_tradnl"/>
              </w:rPr>
              <w:t>Asegurar una conectividad e interoperatividad mundiales, mejora de la calidad de funcionamiento, calidad, asequibilidad y puntualidad de la economía de los servicios y global del sistema en las radiocomunicaciones, incluso mediante la elaboración de normas internacionales</w:t>
            </w:r>
          </w:p>
          <w:p w:rsidR="00821E2A" w:rsidRPr="007C30F1" w:rsidRDefault="00821E2A" w:rsidP="007E074C">
            <w:pPr>
              <w:spacing w:after="40" w:line="240" w:lineRule="auto"/>
              <w:rPr>
                <w:noProof/>
                <w:sz w:val="18"/>
                <w:szCs w:val="18"/>
                <w:lang w:val="es-ES_tradnl" w:eastAsia="zh-CN"/>
              </w:rPr>
            </w:pPr>
            <w:r w:rsidRPr="007C30F1">
              <w:rPr>
                <w:noProof/>
                <w:color w:val="4F81BD" w:themeColor="accent1"/>
                <w:sz w:val="18"/>
                <w:szCs w:val="18"/>
                <w:lang w:val="es-ES_tradnl" w:eastAsia="zh-CN"/>
              </w:rPr>
              <w:t xml:space="preserve">R.3: </w:t>
            </w:r>
            <w:r w:rsidRPr="007C30F1">
              <w:rPr>
                <w:sz w:val="18"/>
                <w:szCs w:val="18"/>
                <w:lang w:val="es-ES_tradnl"/>
              </w:rPr>
              <w:t>Fomentar la adquisición y divulgación de conocimientos teóricos y prácticos sobre radiocomunicaciones</w:t>
            </w:r>
          </w:p>
        </w:tc>
        <w:tc>
          <w:tcPr>
            <w:tcW w:w="1198" w:type="dxa"/>
          </w:tcPr>
          <w:p w:rsidR="00821E2A" w:rsidRPr="007C30F1" w:rsidRDefault="00821E2A" w:rsidP="007E074C">
            <w:pPr>
              <w:spacing w:before="60" w:after="40" w:line="240" w:lineRule="auto"/>
              <w:rPr>
                <w:noProof/>
                <w:color w:val="4F81BD" w:themeColor="accent1"/>
                <w:sz w:val="18"/>
                <w:szCs w:val="18"/>
                <w:lang w:val="es-ES_tradnl" w:eastAsia="zh-CN"/>
              </w:rPr>
            </w:pPr>
          </w:p>
          <w:p w:rsidR="00821E2A" w:rsidRPr="007C30F1" w:rsidRDefault="00821E2A" w:rsidP="007E074C">
            <w:pPr>
              <w:spacing w:after="40" w:line="240" w:lineRule="auto"/>
              <w:rPr>
                <w:b/>
                <w:bCs/>
                <w:noProof/>
                <w:sz w:val="18"/>
                <w:szCs w:val="18"/>
                <w:lang w:val="es-ES_tradnl" w:eastAsia="zh-CN"/>
              </w:rPr>
            </w:pPr>
            <w:r w:rsidRPr="007C30F1">
              <w:rPr>
                <w:b/>
                <w:bCs/>
                <w:noProof/>
                <w:sz w:val="18"/>
                <w:szCs w:val="18"/>
                <w:lang w:val="es-ES_tradnl" w:eastAsia="zh-CN"/>
              </w:rPr>
              <w:t>61%</w:t>
            </w:r>
            <w:r w:rsidRPr="007C30F1">
              <w:rPr>
                <w:b/>
                <w:bCs/>
                <w:noProof/>
                <w:sz w:val="18"/>
                <w:szCs w:val="18"/>
                <w:lang w:val="es-ES_tradnl" w:eastAsia="zh-CN"/>
              </w:rPr>
              <w:br/>
            </w:r>
            <w:r w:rsidRPr="007C30F1">
              <w:rPr>
                <w:b/>
                <w:bCs/>
                <w:noProof/>
                <w:sz w:val="18"/>
                <w:szCs w:val="18"/>
                <w:lang w:val="es-ES_tradnl" w:eastAsia="zh-CN"/>
              </w:rPr>
              <w:br/>
            </w:r>
          </w:p>
          <w:p w:rsidR="00821E2A" w:rsidRPr="007C30F1" w:rsidRDefault="00821E2A" w:rsidP="007E074C">
            <w:pPr>
              <w:spacing w:after="40" w:line="240" w:lineRule="auto"/>
              <w:rPr>
                <w:b/>
                <w:bCs/>
                <w:noProof/>
                <w:sz w:val="18"/>
                <w:szCs w:val="18"/>
                <w:lang w:val="es-ES_tradnl" w:eastAsia="zh-CN"/>
              </w:rPr>
            </w:pPr>
            <w:r w:rsidRPr="007C30F1">
              <w:rPr>
                <w:b/>
                <w:bCs/>
                <w:noProof/>
                <w:sz w:val="18"/>
                <w:szCs w:val="18"/>
                <w:lang w:val="es-ES_tradnl" w:eastAsia="zh-CN"/>
              </w:rPr>
              <w:t>14%</w:t>
            </w:r>
            <w:r w:rsidRPr="007C30F1">
              <w:rPr>
                <w:b/>
                <w:bCs/>
                <w:noProof/>
                <w:sz w:val="18"/>
                <w:szCs w:val="18"/>
                <w:lang w:val="es-ES_tradnl" w:eastAsia="zh-CN"/>
              </w:rPr>
              <w:br/>
            </w:r>
            <w:r w:rsidRPr="007C30F1">
              <w:rPr>
                <w:b/>
                <w:bCs/>
                <w:noProof/>
                <w:sz w:val="18"/>
                <w:szCs w:val="18"/>
                <w:lang w:val="es-ES_tradnl" w:eastAsia="zh-CN"/>
              </w:rPr>
              <w:br/>
            </w:r>
            <w:r w:rsidRPr="007C30F1">
              <w:rPr>
                <w:b/>
                <w:bCs/>
                <w:noProof/>
                <w:sz w:val="18"/>
                <w:szCs w:val="18"/>
                <w:lang w:val="es-ES_tradnl" w:eastAsia="zh-CN"/>
              </w:rPr>
              <w:br/>
            </w:r>
          </w:p>
          <w:p w:rsidR="00821E2A" w:rsidRPr="007C30F1" w:rsidRDefault="00821E2A" w:rsidP="007E074C">
            <w:pPr>
              <w:spacing w:before="140" w:after="40" w:line="240" w:lineRule="auto"/>
              <w:rPr>
                <w:b/>
                <w:bCs/>
                <w:noProof/>
                <w:sz w:val="18"/>
                <w:szCs w:val="18"/>
                <w:lang w:val="es-ES_tradnl" w:eastAsia="zh-CN"/>
              </w:rPr>
            </w:pPr>
            <w:r w:rsidRPr="007C30F1">
              <w:rPr>
                <w:b/>
                <w:bCs/>
                <w:noProof/>
                <w:sz w:val="18"/>
                <w:szCs w:val="18"/>
                <w:lang w:val="es-ES_tradnl" w:eastAsia="zh-CN"/>
              </w:rPr>
              <w:t>25%</w:t>
            </w:r>
          </w:p>
        </w:tc>
        <w:tc>
          <w:tcPr>
            <w:tcW w:w="5053" w:type="dxa"/>
            <w:vMerge/>
          </w:tcPr>
          <w:p w:rsidR="00821E2A" w:rsidRPr="007C30F1" w:rsidRDefault="00821E2A" w:rsidP="007E074C">
            <w:pPr>
              <w:spacing w:after="40" w:line="240" w:lineRule="auto"/>
              <w:rPr>
                <w:noProof/>
                <w:sz w:val="20"/>
                <w:lang w:val="es-ES_tradnl" w:eastAsia="zh-CN"/>
              </w:rPr>
            </w:pPr>
          </w:p>
        </w:tc>
        <w:tc>
          <w:tcPr>
            <w:tcW w:w="896" w:type="dxa"/>
            <w:vMerge/>
          </w:tcPr>
          <w:p w:rsidR="00821E2A" w:rsidRPr="007C30F1" w:rsidRDefault="00821E2A" w:rsidP="007E074C">
            <w:pPr>
              <w:spacing w:after="40" w:line="240" w:lineRule="auto"/>
              <w:rPr>
                <w:noProof/>
                <w:sz w:val="20"/>
                <w:lang w:val="es-ES_tradnl" w:eastAsia="zh-CN"/>
              </w:rPr>
            </w:pPr>
          </w:p>
        </w:tc>
        <w:tc>
          <w:tcPr>
            <w:tcW w:w="896" w:type="dxa"/>
            <w:vMerge/>
          </w:tcPr>
          <w:p w:rsidR="00821E2A" w:rsidRPr="007C30F1" w:rsidRDefault="00821E2A" w:rsidP="007E074C">
            <w:pPr>
              <w:spacing w:after="40" w:line="240" w:lineRule="auto"/>
              <w:rPr>
                <w:noProof/>
                <w:sz w:val="20"/>
                <w:lang w:val="es-ES_tradnl" w:eastAsia="zh-CN"/>
              </w:rPr>
            </w:pPr>
          </w:p>
        </w:tc>
      </w:tr>
    </w:tbl>
    <w:p w:rsidR="00821E2A" w:rsidRPr="007C30F1" w:rsidRDefault="00821E2A" w:rsidP="007E074C">
      <w:pPr>
        <w:spacing w:before="60" w:line="240" w:lineRule="auto"/>
        <w:jc w:val="right"/>
        <w:rPr>
          <w:i/>
          <w:iCs/>
          <w:lang w:val="es-ES_tradnl"/>
        </w:rPr>
      </w:pPr>
      <w:r w:rsidRPr="007C30F1">
        <w:rPr>
          <w:sz w:val="20"/>
          <w:lang w:val="es-ES_tradnl"/>
        </w:rPr>
        <w:t>* El coste de estos productos se asigna a todos los objetivos de la Unión.</w:t>
      </w:r>
    </w:p>
    <w:p w:rsidR="00821E2A" w:rsidRPr="007C30F1" w:rsidRDefault="00821E2A" w:rsidP="007E074C">
      <w:pPr>
        <w:pStyle w:val="Heading1"/>
        <w:tabs>
          <w:tab w:val="center" w:pos="6999"/>
        </w:tabs>
        <w:spacing w:line="240" w:lineRule="auto"/>
        <w:rPr>
          <w:color w:val="4F81BD" w:themeColor="accent1"/>
          <w:lang w:val="es-ES_tradnl"/>
        </w:rPr>
      </w:pPr>
      <w:r w:rsidRPr="007C30F1">
        <w:rPr>
          <w:color w:val="4F81BD" w:themeColor="accent1"/>
          <w:lang w:val="es-ES_tradnl"/>
        </w:rPr>
        <w:t>4</w:t>
      </w:r>
      <w:r w:rsidRPr="007C30F1">
        <w:rPr>
          <w:color w:val="4F81BD" w:themeColor="accent1"/>
          <w:lang w:val="es-ES_tradnl"/>
        </w:rPr>
        <w:tab/>
        <w:t>Análisis de riesgos</w:t>
      </w:r>
    </w:p>
    <w:p w:rsidR="00821E2A" w:rsidRPr="007C30F1" w:rsidRDefault="00821E2A" w:rsidP="007E074C">
      <w:pPr>
        <w:spacing w:after="120" w:line="240" w:lineRule="auto"/>
        <w:rPr>
          <w:lang w:val="es-ES_tradnl"/>
        </w:rPr>
      </w:pPr>
      <w:r w:rsidRPr="007C30F1">
        <w:rPr>
          <w:lang w:val="es-ES_tradnl"/>
        </w:rPr>
        <w:t>Al pasar de la estrategia a la ejecución, se han identificado, analizado y evaluado los riesgos operacionales de nivel superior que figuran en el cuadro</w:t>
      </w:r>
      <w:r w:rsidRPr="007C30F1">
        <w:rPr>
          <w:iCs/>
          <w:lang w:val="es-ES_tradnl"/>
        </w:rPr>
        <w:t xml:space="preserve"> </w:t>
      </w:r>
      <w:r w:rsidR="00530040" w:rsidRPr="007C30F1">
        <w:rPr>
          <w:iCs/>
          <w:lang w:val="es-ES_tradnl"/>
        </w:rPr>
        <w:t>siguiente.</w:t>
      </w:r>
      <w:r w:rsidRPr="007C30F1">
        <w:rPr>
          <w:lang w:val="es-ES_tradnl"/>
        </w:rPr>
        <w:t xml:space="preserve"> Las Oficinas y los Departamentos gestionarán todos los riesgos asociados a la consecución de los resultados pertinentes.</w:t>
      </w:r>
    </w:p>
    <w:tbl>
      <w:tblPr>
        <w:tblW w:w="1455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017"/>
        <w:gridCol w:w="3991"/>
        <w:gridCol w:w="1711"/>
        <w:gridCol w:w="1512"/>
        <w:gridCol w:w="5322"/>
      </w:tblGrid>
      <w:tr w:rsidR="00821E2A" w:rsidRPr="007C30F1" w:rsidTr="00821E2A">
        <w:trPr>
          <w:tblHeader/>
        </w:trPr>
        <w:tc>
          <w:tcPr>
            <w:tcW w:w="2017" w:type="dxa"/>
            <w:tcBorders>
              <w:right w:val="nil"/>
            </w:tcBorders>
            <w:shd w:val="clear" w:color="auto" w:fill="4F81BD" w:themeFill="accent1"/>
            <w:hideMark/>
          </w:tcPr>
          <w:p w:rsidR="00821E2A" w:rsidRPr="007C30F1" w:rsidRDefault="00821E2A" w:rsidP="007E074C">
            <w:pPr>
              <w:pStyle w:val="Tablehead"/>
              <w:rPr>
                <w:color w:val="FFFFFF" w:themeColor="background1"/>
                <w:sz w:val="18"/>
                <w:szCs w:val="18"/>
                <w:lang w:val="es-ES_tradnl"/>
              </w:rPr>
            </w:pPr>
            <w:r w:rsidRPr="007C30F1">
              <w:rPr>
                <w:color w:val="FFFFFF" w:themeColor="background1"/>
                <w:sz w:val="18"/>
                <w:szCs w:val="18"/>
                <w:lang w:val="es-ES_tradnl"/>
              </w:rPr>
              <w:t>PERSPECTIVA</w:t>
            </w:r>
            <w:r w:rsidR="00B869CB" w:rsidRPr="007C30F1">
              <w:rPr>
                <w:color w:val="FFFFFF" w:themeColor="background1"/>
                <w:sz w:val="18"/>
                <w:szCs w:val="18"/>
                <w:lang w:val="es-ES_tradnl"/>
              </w:rPr>
              <w:t xml:space="preserve"> DEL RIESGO</w:t>
            </w:r>
          </w:p>
        </w:tc>
        <w:tc>
          <w:tcPr>
            <w:tcW w:w="3991" w:type="dxa"/>
            <w:tcBorders>
              <w:left w:val="nil"/>
              <w:right w:val="nil"/>
            </w:tcBorders>
            <w:shd w:val="clear" w:color="auto" w:fill="4F81BD" w:themeFill="accent1"/>
            <w:hideMark/>
          </w:tcPr>
          <w:p w:rsidR="00821E2A" w:rsidRPr="007C30F1" w:rsidRDefault="00821E2A" w:rsidP="007E074C">
            <w:pPr>
              <w:pStyle w:val="Tablehead"/>
              <w:rPr>
                <w:color w:val="FFFFFF" w:themeColor="background1"/>
                <w:sz w:val="18"/>
                <w:szCs w:val="18"/>
                <w:lang w:val="es-ES_tradnl"/>
              </w:rPr>
            </w:pPr>
            <w:r w:rsidRPr="007C30F1">
              <w:rPr>
                <w:color w:val="FFFFFF" w:themeColor="background1"/>
                <w:sz w:val="18"/>
                <w:szCs w:val="18"/>
                <w:lang w:val="es-ES_tradnl"/>
              </w:rPr>
              <w:t>DESCRIPCIÓN DEL RIESGO</w:t>
            </w:r>
          </w:p>
        </w:tc>
        <w:tc>
          <w:tcPr>
            <w:tcW w:w="1711" w:type="dxa"/>
            <w:tcBorders>
              <w:left w:val="nil"/>
              <w:right w:val="nil"/>
            </w:tcBorders>
            <w:shd w:val="clear" w:color="auto" w:fill="4F81BD" w:themeFill="accent1"/>
            <w:hideMark/>
          </w:tcPr>
          <w:p w:rsidR="00821E2A" w:rsidRPr="007C30F1" w:rsidRDefault="00821E2A" w:rsidP="007E074C">
            <w:pPr>
              <w:pStyle w:val="Tablehead"/>
              <w:rPr>
                <w:color w:val="FFFFFF" w:themeColor="background1"/>
                <w:sz w:val="18"/>
                <w:szCs w:val="18"/>
                <w:lang w:val="es-ES_tradnl"/>
              </w:rPr>
            </w:pPr>
            <w:r w:rsidRPr="007C30F1">
              <w:rPr>
                <w:color w:val="FFFFFF" w:themeColor="background1"/>
                <w:sz w:val="18"/>
                <w:szCs w:val="18"/>
                <w:lang w:val="es-ES_tradnl"/>
              </w:rPr>
              <w:t>PROBABILIDAD</w:t>
            </w:r>
          </w:p>
        </w:tc>
        <w:tc>
          <w:tcPr>
            <w:tcW w:w="1512" w:type="dxa"/>
            <w:tcBorders>
              <w:left w:val="nil"/>
              <w:right w:val="nil"/>
            </w:tcBorders>
            <w:shd w:val="clear" w:color="auto" w:fill="4F81BD" w:themeFill="accent1"/>
            <w:hideMark/>
          </w:tcPr>
          <w:p w:rsidR="00821E2A" w:rsidRPr="007C30F1" w:rsidRDefault="00821E2A" w:rsidP="007E074C">
            <w:pPr>
              <w:pStyle w:val="Tablehead"/>
              <w:rPr>
                <w:color w:val="FFFFFF" w:themeColor="background1"/>
                <w:sz w:val="18"/>
                <w:szCs w:val="18"/>
                <w:lang w:val="es-ES_tradnl"/>
              </w:rPr>
            </w:pPr>
            <w:r w:rsidRPr="007C30F1">
              <w:rPr>
                <w:color w:val="FFFFFF" w:themeColor="background1"/>
                <w:sz w:val="18"/>
                <w:szCs w:val="18"/>
                <w:lang w:val="es-ES_tradnl"/>
              </w:rPr>
              <w:t>NIVEL DE REPERCUSIÓN</w:t>
            </w:r>
          </w:p>
        </w:tc>
        <w:tc>
          <w:tcPr>
            <w:tcW w:w="5322" w:type="dxa"/>
            <w:tcBorders>
              <w:left w:val="nil"/>
            </w:tcBorders>
            <w:shd w:val="clear" w:color="auto" w:fill="4F81BD" w:themeFill="accent1"/>
            <w:hideMark/>
          </w:tcPr>
          <w:p w:rsidR="00821E2A" w:rsidRPr="007C30F1" w:rsidRDefault="00821E2A" w:rsidP="007E074C">
            <w:pPr>
              <w:keepNext/>
              <w:tabs>
                <w:tab w:val="left" w:pos="284"/>
                <w:tab w:val="left" w:pos="851"/>
                <w:tab w:val="left" w:pos="1418"/>
                <w:tab w:val="left" w:pos="2552"/>
                <w:tab w:val="left" w:pos="3119"/>
                <w:tab w:val="left" w:pos="3402"/>
                <w:tab w:val="left" w:pos="3686"/>
                <w:tab w:val="left" w:pos="3969"/>
              </w:tabs>
              <w:spacing w:before="80" w:after="80" w:line="240" w:lineRule="auto"/>
              <w:jc w:val="center"/>
              <w:rPr>
                <w:b/>
                <w:color w:val="FFFFFF" w:themeColor="background1"/>
                <w:sz w:val="18"/>
                <w:szCs w:val="18"/>
                <w:lang w:val="es-ES_tradnl"/>
              </w:rPr>
            </w:pPr>
            <w:r w:rsidRPr="007C30F1">
              <w:rPr>
                <w:b/>
                <w:color w:val="FFFFFF" w:themeColor="background1"/>
                <w:sz w:val="18"/>
                <w:szCs w:val="18"/>
                <w:lang w:val="es-ES_tradnl"/>
              </w:rPr>
              <w:t>MEDIDAS DE MITIGACIÓN</w:t>
            </w:r>
            <w:r w:rsidRPr="007C30F1">
              <w:rPr>
                <w:rStyle w:val="FootnoteReference"/>
                <w:b/>
                <w:color w:val="FFFFFF" w:themeColor="background1"/>
                <w:szCs w:val="18"/>
                <w:lang w:val="es-ES_tradnl"/>
              </w:rPr>
              <w:footnoteReference w:id="2"/>
            </w:r>
          </w:p>
        </w:tc>
      </w:tr>
      <w:tr w:rsidR="00821E2A" w:rsidRPr="007C30F1" w:rsidTr="00821E2A">
        <w:tc>
          <w:tcPr>
            <w:tcW w:w="2017" w:type="dxa"/>
            <w:vMerge w:val="restart"/>
            <w:shd w:val="clear" w:color="auto" w:fill="DEEAF6"/>
            <w:hideMark/>
          </w:tcPr>
          <w:p w:rsidR="00821E2A" w:rsidRPr="007C30F1" w:rsidRDefault="00B869CB" w:rsidP="007E074C">
            <w:pPr>
              <w:pStyle w:val="Tabletext"/>
              <w:jc w:val="center"/>
              <w:rPr>
                <w:b/>
                <w:bCs/>
                <w:sz w:val="18"/>
                <w:szCs w:val="18"/>
                <w:lang w:val="es-ES_tradnl"/>
              </w:rPr>
            </w:pPr>
            <w:r w:rsidRPr="007C30F1">
              <w:rPr>
                <w:b/>
                <w:bCs/>
                <w:sz w:val="18"/>
                <w:szCs w:val="18"/>
                <w:lang w:val="es-ES_tradnl"/>
              </w:rPr>
              <w:t xml:space="preserve">RIESGO </w:t>
            </w:r>
            <w:r w:rsidR="00821E2A" w:rsidRPr="007C30F1">
              <w:rPr>
                <w:b/>
                <w:bCs/>
                <w:sz w:val="18"/>
                <w:szCs w:val="18"/>
                <w:lang w:val="es-ES_tradnl"/>
              </w:rPr>
              <w:t>OPERACIONAL</w:t>
            </w:r>
          </w:p>
        </w:tc>
        <w:tc>
          <w:tcPr>
            <w:tcW w:w="3991" w:type="dxa"/>
            <w:shd w:val="clear" w:color="auto" w:fill="DEEAF6"/>
            <w:hideMark/>
          </w:tcPr>
          <w:p w:rsidR="00821E2A" w:rsidRPr="007C30F1" w:rsidRDefault="00821E2A" w:rsidP="007E074C">
            <w:pPr>
              <w:pStyle w:val="Tabletext"/>
              <w:ind w:left="284" w:hanging="284"/>
              <w:rPr>
                <w:sz w:val="18"/>
                <w:szCs w:val="18"/>
                <w:lang w:val="es-ES_tradnl"/>
              </w:rPr>
            </w:pPr>
            <w:r w:rsidRPr="007C30F1">
              <w:rPr>
                <w:b/>
                <w:bCs/>
                <w:sz w:val="18"/>
                <w:szCs w:val="18"/>
                <w:lang w:val="es-ES_tradnl"/>
              </w:rPr>
              <w:t>a)</w:t>
            </w:r>
            <w:r w:rsidRPr="007C30F1">
              <w:rPr>
                <w:sz w:val="18"/>
                <w:szCs w:val="18"/>
                <w:lang w:val="es-ES_tradnl"/>
              </w:rPr>
              <w:tab/>
              <w:t>Una pérdida total o parcial de la integridad de los datos del MIFR o de cualesquiera planes, que resulta en una protección inadecuada de los derechos de las administraciones a utilizar recursos del espectro de radiofrecuencias y/o las órbitas de satélites</w:t>
            </w:r>
          </w:p>
          <w:p w:rsidR="00821E2A" w:rsidRPr="007C30F1" w:rsidRDefault="00821E2A" w:rsidP="007E074C">
            <w:pPr>
              <w:pStyle w:val="Tabletext"/>
              <w:ind w:left="284" w:hanging="284"/>
              <w:rPr>
                <w:sz w:val="18"/>
                <w:szCs w:val="18"/>
                <w:lang w:val="es-ES_tradnl"/>
              </w:rPr>
            </w:pPr>
            <w:r w:rsidRPr="007C30F1">
              <w:rPr>
                <w:b/>
                <w:bCs/>
                <w:sz w:val="18"/>
                <w:szCs w:val="18"/>
                <w:lang w:val="es-ES_tradnl"/>
              </w:rPr>
              <w:t>b)</w:t>
            </w:r>
            <w:r w:rsidRPr="007C30F1">
              <w:rPr>
                <w:sz w:val="18"/>
                <w:szCs w:val="18"/>
                <w:lang w:val="es-ES_tradnl"/>
              </w:rPr>
              <w:tab/>
              <w:t>Una pérdida total o parcial de las operaciones relativas a la tramitación de notificaciones, que genera retrasos en el reconocimiento de los derechos de las administraciones a utilizar recursos del espectro de radiofrecuencias y/o las órbitas de satélites, y pone en riesgo las inversiones correspondientes</w:t>
            </w:r>
          </w:p>
        </w:tc>
        <w:tc>
          <w:tcPr>
            <w:tcW w:w="1711" w:type="dxa"/>
            <w:shd w:val="clear" w:color="auto" w:fill="DEEAF6"/>
            <w:hideMark/>
          </w:tcPr>
          <w:p w:rsidR="00821E2A" w:rsidRPr="007C30F1" w:rsidRDefault="00821E2A" w:rsidP="007E074C">
            <w:pPr>
              <w:pStyle w:val="Tabletext"/>
              <w:jc w:val="center"/>
              <w:rPr>
                <w:sz w:val="18"/>
                <w:szCs w:val="18"/>
                <w:lang w:val="es-ES_tradnl"/>
              </w:rPr>
            </w:pPr>
            <w:r w:rsidRPr="007C30F1">
              <w:rPr>
                <w:sz w:val="18"/>
                <w:szCs w:val="18"/>
                <w:lang w:val="es-ES_tradnl"/>
              </w:rPr>
              <w:t>Baja</w:t>
            </w:r>
          </w:p>
        </w:tc>
        <w:tc>
          <w:tcPr>
            <w:tcW w:w="1512" w:type="dxa"/>
            <w:shd w:val="clear" w:color="auto" w:fill="DEEAF6"/>
            <w:hideMark/>
          </w:tcPr>
          <w:p w:rsidR="00821E2A" w:rsidRPr="007C30F1" w:rsidRDefault="00821E2A" w:rsidP="007E074C">
            <w:pPr>
              <w:pStyle w:val="Tabletext"/>
              <w:jc w:val="center"/>
              <w:rPr>
                <w:sz w:val="18"/>
                <w:szCs w:val="18"/>
                <w:lang w:val="es-ES_tradnl"/>
              </w:rPr>
            </w:pPr>
            <w:r w:rsidRPr="007C30F1">
              <w:rPr>
                <w:sz w:val="18"/>
                <w:szCs w:val="18"/>
                <w:lang w:val="es-ES_tradnl"/>
              </w:rPr>
              <w:t>Muy elevado</w:t>
            </w:r>
          </w:p>
        </w:tc>
        <w:tc>
          <w:tcPr>
            <w:tcW w:w="5322" w:type="dxa"/>
            <w:shd w:val="clear" w:color="auto" w:fill="DEEAF6"/>
            <w:hideMark/>
          </w:tcPr>
          <w:p w:rsidR="00821E2A" w:rsidRPr="007C30F1" w:rsidRDefault="00821E2A" w:rsidP="007E074C">
            <w:pPr>
              <w:pStyle w:val="Tabletext"/>
              <w:ind w:left="284" w:hanging="284"/>
              <w:rPr>
                <w:sz w:val="18"/>
                <w:szCs w:val="18"/>
                <w:lang w:val="es-ES_tradnl"/>
              </w:rPr>
            </w:pPr>
            <w:r w:rsidRPr="007C30F1">
              <w:rPr>
                <w:sz w:val="18"/>
                <w:szCs w:val="18"/>
                <w:lang w:val="es-ES_tradnl"/>
              </w:rPr>
              <w:t>–</w:t>
            </w:r>
            <w:r w:rsidRPr="007C30F1">
              <w:rPr>
                <w:sz w:val="18"/>
                <w:szCs w:val="18"/>
                <w:lang w:val="es-ES_tradnl"/>
              </w:rPr>
              <w:tab/>
              <w:t>Realizar copias de seguridad de los datos a diario</w:t>
            </w:r>
          </w:p>
          <w:p w:rsidR="00821E2A" w:rsidRPr="007C30F1" w:rsidRDefault="00821E2A" w:rsidP="007E074C">
            <w:pPr>
              <w:pStyle w:val="Tabletext"/>
              <w:ind w:left="284" w:hanging="284"/>
              <w:rPr>
                <w:sz w:val="18"/>
                <w:szCs w:val="18"/>
                <w:lang w:val="es-ES_tradnl"/>
              </w:rPr>
            </w:pPr>
            <w:r w:rsidRPr="007C30F1">
              <w:rPr>
                <w:sz w:val="18"/>
                <w:szCs w:val="18"/>
                <w:lang w:val="es-ES_tradnl"/>
              </w:rPr>
              <w:t>–</w:t>
            </w:r>
            <w:r w:rsidRPr="007C30F1">
              <w:rPr>
                <w:sz w:val="18"/>
                <w:szCs w:val="18"/>
                <w:lang w:val="es-ES_tradnl"/>
              </w:rPr>
              <w:tab/>
              <w:t>Elaborar un programa con un elevado nivel de protección de los datos</w:t>
            </w:r>
          </w:p>
          <w:p w:rsidR="00821E2A" w:rsidRPr="007C30F1" w:rsidRDefault="00821E2A" w:rsidP="007E074C">
            <w:pPr>
              <w:pStyle w:val="Tabletext"/>
              <w:ind w:left="284" w:hanging="284"/>
              <w:rPr>
                <w:sz w:val="18"/>
                <w:szCs w:val="18"/>
                <w:lang w:val="es-ES_tradnl"/>
              </w:rPr>
            </w:pPr>
            <w:r w:rsidRPr="007C30F1">
              <w:rPr>
                <w:sz w:val="18"/>
                <w:szCs w:val="18"/>
                <w:lang w:val="es-ES_tradnl"/>
              </w:rPr>
              <w:t>–</w:t>
            </w:r>
            <w:r w:rsidRPr="007C30F1">
              <w:rPr>
                <w:sz w:val="18"/>
                <w:szCs w:val="18"/>
                <w:lang w:val="es-ES_tradnl"/>
              </w:rPr>
              <w:tab/>
              <w:t>Crear las capacidades necesarias para restaurar datos u operaciones en un periodo de tiempo limitado</w:t>
            </w:r>
          </w:p>
        </w:tc>
      </w:tr>
      <w:tr w:rsidR="00821E2A" w:rsidRPr="007C30F1" w:rsidTr="00821E2A">
        <w:tc>
          <w:tcPr>
            <w:tcW w:w="0" w:type="auto"/>
            <w:vMerge/>
            <w:shd w:val="clear" w:color="auto" w:fill="DEEAF6"/>
            <w:vAlign w:val="center"/>
            <w:hideMark/>
          </w:tcPr>
          <w:p w:rsidR="00821E2A" w:rsidRPr="007C30F1" w:rsidRDefault="00821E2A" w:rsidP="007E074C">
            <w:pPr>
              <w:spacing w:before="40" w:after="40" w:line="240" w:lineRule="auto"/>
              <w:jc w:val="center"/>
              <w:rPr>
                <w:rFonts w:cstheme="minorHAnsi"/>
                <w:b/>
                <w:bCs/>
                <w:sz w:val="18"/>
                <w:szCs w:val="18"/>
                <w:lang w:val="es-ES_tradnl"/>
              </w:rPr>
            </w:pPr>
          </w:p>
        </w:tc>
        <w:tc>
          <w:tcPr>
            <w:tcW w:w="3991" w:type="dxa"/>
          </w:tcPr>
          <w:p w:rsidR="00821E2A" w:rsidRPr="007C30F1" w:rsidRDefault="00821E2A" w:rsidP="007E074C">
            <w:pPr>
              <w:pStyle w:val="Tabletext"/>
              <w:ind w:left="284" w:hanging="284"/>
              <w:rPr>
                <w:sz w:val="18"/>
                <w:szCs w:val="18"/>
                <w:lang w:val="es-ES_tradnl"/>
              </w:rPr>
            </w:pPr>
            <w:r w:rsidRPr="007C30F1">
              <w:rPr>
                <w:b/>
                <w:bCs/>
                <w:sz w:val="18"/>
                <w:szCs w:val="18"/>
                <w:lang w:val="es-ES_tradnl"/>
              </w:rPr>
              <w:t>c)</w:t>
            </w:r>
            <w:r w:rsidRPr="007C30F1">
              <w:rPr>
                <w:sz w:val="18"/>
                <w:szCs w:val="18"/>
                <w:lang w:val="es-ES_tradnl"/>
              </w:rPr>
              <w:tab/>
              <w:t>La aparición de una interferencia perjudicial (por ejemplo, debido a la inobservancia de las disposiciones reglamentarias), que ocasiona interrupciones en los servicios de radiocomunicaciones prestados por los miembros</w:t>
            </w:r>
          </w:p>
        </w:tc>
        <w:tc>
          <w:tcPr>
            <w:tcW w:w="1711" w:type="dxa"/>
            <w:hideMark/>
          </w:tcPr>
          <w:p w:rsidR="00821E2A" w:rsidRPr="007C30F1" w:rsidRDefault="00821E2A" w:rsidP="007E074C">
            <w:pPr>
              <w:pStyle w:val="Tabletext"/>
              <w:jc w:val="center"/>
              <w:rPr>
                <w:sz w:val="18"/>
                <w:szCs w:val="18"/>
                <w:lang w:val="es-ES_tradnl"/>
              </w:rPr>
            </w:pPr>
            <w:r w:rsidRPr="007C30F1">
              <w:rPr>
                <w:sz w:val="18"/>
                <w:szCs w:val="18"/>
                <w:lang w:val="es-ES_tradnl"/>
              </w:rPr>
              <w:t>Baja</w:t>
            </w:r>
          </w:p>
        </w:tc>
        <w:tc>
          <w:tcPr>
            <w:tcW w:w="1512" w:type="dxa"/>
            <w:hideMark/>
          </w:tcPr>
          <w:p w:rsidR="00821E2A" w:rsidRPr="007C30F1" w:rsidRDefault="00821E2A" w:rsidP="007E074C">
            <w:pPr>
              <w:pStyle w:val="Tabletext"/>
              <w:jc w:val="center"/>
              <w:rPr>
                <w:sz w:val="18"/>
                <w:szCs w:val="18"/>
                <w:lang w:val="es-ES_tradnl"/>
              </w:rPr>
            </w:pPr>
            <w:r w:rsidRPr="007C30F1">
              <w:rPr>
                <w:sz w:val="18"/>
                <w:szCs w:val="18"/>
                <w:lang w:val="es-ES_tradnl"/>
              </w:rPr>
              <w:t>Elevado</w:t>
            </w:r>
          </w:p>
        </w:tc>
        <w:tc>
          <w:tcPr>
            <w:tcW w:w="5322" w:type="dxa"/>
            <w:hideMark/>
          </w:tcPr>
          <w:p w:rsidR="00821E2A" w:rsidRPr="007C30F1" w:rsidRDefault="00821E2A" w:rsidP="007E074C">
            <w:pPr>
              <w:pStyle w:val="Tabletext"/>
              <w:ind w:left="284" w:hanging="284"/>
              <w:rPr>
                <w:sz w:val="18"/>
                <w:szCs w:val="18"/>
                <w:lang w:val="es-ES_tradnl"/>
              </w:rPr>
            </w:pPr>
            <w:r w:rsidRPr="007C30F1">
              <w:rPr>
                <w:sz w:val="18"/>
                <w:szCs w:val="18"/>
                <w:lang w:val="es-ES_tradnl"/>
              </w:rPr>
              <w:t>–</w:t>
            </w:r>
            <w:r w:rsidRPr="007C30F1">
              <w:rPr>
                <w:sz w:val="18"/>
                <w:szCs w:val="18"/>
                <w:lang w:val="es-ES_tradnl"/>
              </w:rPr>
              <w:tab/>
              <w:t>Promover la creación de capacidades en los reglamentos internacionales, a través de seminarios regionales y mundiales, y cualesquiera otros eventos apropiados</w:t>
            </w:r>
          </w:p>
          <w:p w:rsidR="00821E2A" w:rsidRPr="007C30F1" w:rsidRDefault="00821E2A" w:rsidP="007E074C">
            <w:pPr>
              <w:pStyle w:val="Tabletext"/>
              <w:ind w:left="284" w:hanging="284"/>
              <w:rPr>
                <w:sz w:val="18"/>
                <w:szCs w:val="18"/>
                <w:lang w:val="es-ES_tradnl"/>
              </w:rPr>
            </w:pPr>
            <w:r w:rsidRPr="007C30F1">
              <w:rPr>
                <w:sz w:val="18"/>
                <w:szCs w:val="18"/>
                <w:lang w:val="es-ES_tradnl"/>
              </w:rPr>
              <w:t>–</w:t>
            </w:r>
            <w:r w:rsidRPr="007C30F1">
              <w:rPr>
                <w:sz w:val="18"/>
                <w:szCs w:val="18"/>
                <w:lang w:val="es-ES_tradnl"/>
              </w:rPr>
              <w:tab/>
              <w:t>Proporcionar asistencia de la BR en materia de aplicación de reglamentos internacionales</w:t>
            </w:r>
          </w:p>
          <w:p w:rsidR="00821E2A" w:rsidRPr="007C30F1" w:rsidRDefault="00821E2A" w:rsidP="007E074C">
            <w:pPr>
              <w:pStyle w:val="Tabletext"/>
              <w:ind w:left="284" w:hanging="284"/>
              <w:rPr>
                <w:sz w:val="18"/>
                <w:szCs w:val="18"/>
                <w:lang w:val="es-ES_tradnl"/>
              </w:rPr>
            </w:pPr>
            <w:r w:rsidRPr="007C30F1">
              <w:rPr>
                <w:sz w:val="18"/>
                <w:szCs w:val="18"/>
                <w:lang w:val="es-ES_tradnl"/>
              </w:rPr>
              <w:t>–</w:t>
            </w:r>
            <w:r w:rsidRPr="007C30F1">
              <w:rPr>
                <w:sz w:val="18"/>
                <w:szCs w:val="18"/>
                <w:lang w:val="es-ES_tradnl"/>
              </w:rPr>
              <w:tab/>
              <w:t>Fomentar la coordinación regional o subregional para la resolución de problemas relativos a las interferencias, con el apoyo de la BR</w:t>
            </w:r>
          </w:p>
          <w:p w:rsidR="00821E2A" w:rsidRPr="007C30F1" w:rsidRDefault="00821E2A" w:rsidP="007E074C">
            <w:pPr>
              <w:pStyle w:val="Tabletext"/>
              <w:ind w:left="284" w:hanging="284"/>
              <w:rPr>
                <w:sz w:val="18"/>
                <w:szCs w:val="18"/>
                <w:lang w:val="es-ES_tradnl"/>
              </w:rPr>
            </w:pPr>
            <w:r w:rsidRPr="007C30F1">
              <w:rPr>
                <w:sz w:val="18"/>
                <w:szCs w:val="18"/>
                <w:lang w:val="es-ES_tradnl"/>
              </w:rPr>
              <w:t>–</w:t>
            </w:r>
            <w:r w:rsidRPr="007C30F1">
              <w:rPr>
                <w:sz w:val="18"/>
                <w:szCs w:val="18"/>
                <w:lang w:val="es-ES_tradnl"/>
              </w:rPr>
              <w:tab/>
              <w:t>Documentar, informar y prestar asistencia para resolver casos de interferencia perjudicial con arreglo a las instrucciones del Director de la Oficina (Resolución 186 (Busán, 2014))</w:t>
            </w:r>
          </w:p>
        </w:tc>
      </w:tr>
      <w:tr w:rsidR="00821E2A" w:rsidRPr="007C30F1" w:rsidTr="00821E2A">
        <w:tc>
          <w:tcPr>
            <w:tcW w:w="2017" w:type="dxa"/>
            <w:shd w:val="clear" w:color="auto" w:fill="DEEAF6"/>
            <w:hideMark/>
          </w:tcPr>
          <w:p w:rsidR="00821E2A" w:rsidRPr="007C30F1" w:rsidRDefault="00B869CB" w:rsidP="007E074C">
            <w:pPr>
              <w:pStyle w:val="Tabletext"/>
              <w:jc w:val="center"/>
              <w:rPr>
                <w:b/>
                <w:bCs/>
                <w:sz w:val="18"/>
                <w:szCs w:val="18"/>
                <w:lang w:val="es-ES_tradnl"/>
              </w:rPr>
            </w:pPr>
            <w:r w:rsidRPr="007C30F1">
              <w:rPr>
                <w:b/>
                <w:bCs/>
                <w:sz w:val="18"/>
                <w:szCs w:val="18"/>
                <w:lang w:val="es-ES_tradnl"/>
              </w:rPr>
              <w:t xml:space="preserve">RIESGO </w:t>
            </w:r>
            <w:r w:rsidR="00821E2A" w:rsidRPr="007C30F1">
              <w:rPr>
                <w:b/>
                <w:bCs/>
                <w:sz w:val="18"/>
                <w:szCs w:val="18"/>
                <w:lang w:val="es-ES_tradnl"/>
              </w:rPr>
              <w:t>INSTITUCIONAL</w:t>
            </w:r>
          </w:p>
        </w:tc>
        <w:tc>
          <w:tcPr>
            <w:tcW w:w="3991" w:type="dxa"/>
            <w:shd w:val="clear" w:color="auto" w:fill="DEEAF6"/>
            <w:hideMark/>
          </w:tcPr>
          <w:p w:rsidR="00821E2A" w:rsidRPr="007C30F1" w:rsidRDefault="00821E2A" w:rsidP="007E074C">
            <w:pPr>
              <w:pStyle w:val="Tabletext"/>
              <w:rPr>
                <w:b/>
                <w:bCs/>
                <w:sz w:val="18"/>
                <w:szCs w:val="18"/>
                <w:lang w:val="es-ES_tradnl"/>
              </w:rPr>
            </w:pPr>
            <w:r w:rsidRPr="007C30F1">
              <w:rPr>
                <w:sz w:val="18"/>
                <w:szCs w:val="18"/>
                <w:lang w:val="es-ES_tradnl"/>
              </w:rPr>
              <w:t>Instalaciones inadecuadas para las reuniones de la UIT (por ejemplo, debido a la falta de salas y a la saturación del calendario de reuniones), que suscitan el descontento de los miembros y generan retrasos en los programas de trabajo</w:t>
            </w:r>
          </w:p>
        </w:tc>
        <w:tc>
          <w:tcPr>
            <w:tcW w:w="1711" w:type="dxa"/>
            <w:shd w:val="clear" w:color="auto" w:fill="DEEAF6"/>
            <w:hideMark/>
          </w:tcPr>
          <w:p w:rsidR="00821E2A" w:rsidRPr="007C30F1" w:rsidRDefault="00821E2A" w:rsidP="007E074C">
            <w:pPr>
              <w:pStyle w:val="Tabletext"/>
              <w:jc w:val="center"/>
              <w:rPr>
                <w:sz w:val="18"/>
                <w:szCs w:val="18"/>
                <w:lang w:val="es-ES_tradnl"/>
              </w:rPr>
            </w:pPr>
            <w:r w:rsidRPr="007C30F1">
              <w:rPr>
                <w:sz w:val="18"/>
                <w:szCs w:val="18"/>
                <w:lang w:val="es-ES_tradnl"/>
              </w:rPr>
              <w:t>Media</w:t>
            </w:r>
          </w:p>
        </w:tc>
        <w:tc>
          <w:tcPr>
            <w:tcW w:w="1512" w:type="dxa"/>
            <w:shd w:val="clear" w:color="auto" w:fill="DEEAF6"/>
            <w:hideMark/>
          </w:tcPr>
          <w:p w:rsidR="00821E2A" w:rsidRPr="007C30F1" w:rsidRDefault="00821E2A" w:rsidP="007E074C">
            <w:pPr>
              <w:pStyle w:val="Tabletext"/>
              <w:jc w:val="center"/>
              <w:rPr>
                <w:sz w:val="18"/>
                <w:szCs w:val="18"/>
                <w:lang w:val="es-ES_tradnl"/>
              </w:rPr>
            </w:pPr>
            <w:r w:rsidRPr="007C30F1">
              <w:rPr>
                <w:sz w:val="18"/>
                <w:szCs w:val="18"/>
                <w:lang w:val="es-ES_tradnl"/>
              </w:rPr>
              <w:t>Elevado</w:t>
            </w:r>
          </w:p>
        </w:tc>
        <w:tc>
          <w:tcPr>
            <w:tcW w:w="5322" w:type="dxa"/>
            <w:shd w:val="clear" w:color="auto" w:fill="DEEAF6"/>
            <w:hideMark/>
          </w:tcPr>
          <w:p w:rsidR="00821E2A" w:rsidRPr="007C30F1" w:rsidRDefault="00821E2A" w:rsidP="007E074C">
            <w:pPr>
              <w:pStyle w:val="Tabletext"/>
              <w:ind w:left="284" w:hanging="284"/>
              <w:rPr>
                <w:sz w:val="18"/>
                <w:szCs w:val="18"/>
                <w:lang w:val="es-ES_tradnl"/>
              </w:rPr>
            </w:pPr>
            <w:r w:rsidRPr="007C30F1">
              <w:rPr>
                <w:sz w:val="18"/>
                <w:szCs w:val="18"/>
                <w:lang w:val="es-ES_tradnl"/>
              </w:rPr>
              <w:t>–</w:t>
            </w:r>
            <w:r w:rsidRPr="007C30F1">
              <w:rPr>
                <w:sz w:val="18"/>
                <w:szCs w:val="18"/>
                <w:lang w:val="es-ES_tradnl"/>
              </w:rPr>
              <w:tab/>
              <w:t>Celebrar más reuniones externas</w:t>
            </w:r>
          </w:p>
          <w:p w:rsidR="00821E2A" w:rsidRPr="007C30F1" w:rsidRDefault="00821E2A" w:rsidP="007E074C">
            <w:pPr>
              <w:pStyle w:val="Tabletext"/>
              <w:ind w:left="284" w:hanging="284"/>
              <w:rPr>
                <w:sz w:val="18"/>
                <w:szCs w:val="18"/>
                <w:lang w:val="es-ES_tradnl"/>
              </w:rPr>
            </w:pPr>
            <w:r w:rsidRPr="007C30F1">
              <w:rPr>
                <w:sz w:val="18"/>
                <w:szCs w:val="18"/>
                <w:lang w:val="es-ES_tradnl"/>
              </w:rPr>
              <w:t>–</w:t>
            </w:r>
            <w:r w:rsidRPr="007C30F1">
              <w:rPr>
                <w:sz w:val="18"/>
                <w:szCs w:val="18"/>
                <w:lang w:val="es-ES_tradnl"/>
              </w:rPr>
              <w:tab/>
              <w:t>Incrementar el uso de salas de reunión virtuales para reuniones pequeñas</w:t>
            </w:r>
          </w:p>
        </w:tc>
      </w:tr>
    </w:tbl>
    <w:p w:rsidR="00821E2A" w:rsidRPr="007C30F1" w:rsidRDefault="00821E2A" w:rsidP="007E074C">
      <w:pPr>
        <w:pStyle w:val="Heading1"/>
        <w:spacing w:line="240" w:lineRule="auto"/>
        <w:rPr>
          <w:color w:val="4F81BD" w:themeColor="accent1"/>
          <w:lang w:val="es-ES_tradnl"/>
        </w:rPr>
      </w:pPr>
      <w:r w:rsidRPr="007C30F1">
        <w:rPr>
          <w:color w:val="4F81BD" w:themeColor="accent1"/>
          <w:lang w:val="es-ES_tradnl"/>
        </w:rPr>
        <w:lastRenderedPageBreak/>
        <w:t>5</w:t>
      </w:r>
      <w:r w:rsidRPr="007C30F1">
        <w:rPr>
          <w:color w:val="4F81BD" w:themeColor="accent1"/>
          <w:lang w:val="es-ES_tradnl"/>
        </w:rPr>
        <w:tab/>
        <w:t>Objetivos, resultados y productos del UIT-R para 2018-2021</w:t>
      </w:r>
    </w:p>
    <w:p w:rsidR="00821E2A" w:rsidRPr="007C30F1" w:rsidRDefault="00821E2A" w:rsidP="007E074C">
      <w:pPr>
        <w:spacing w:line="240" w:lineRule="auto"/>
        <w:rPr>
          <w:lang w:val="es-ES_tradnl"/>
        </w:rPr>
      </w:pPr>
      <w:r w:rsidRPr="007C30F1">
        <w:rPr>
          <w:lang w:val="es-ES_tradnl"/>
        </w:rPr>
        <w:t>Los objetivos del Sector UIT-D se lograrán al alcanzar los resultados correspondientes mediante la aplicación de los productos. Los objetivos del UIT-R, en el ámbito de competencia del Sector, contribuirán a conquistar las metas generales de la Unión. La Oficina de Radiocomunicaciones también coadyuva al logro de los objetivos, resultados y productos intersectoriales (presentados en el Plan Operacional de la Secretaría General).</w:t>
      </w:r>
    </w:p>
    <w:p w:rsidR="00821E2A" w:rsidRPr="007C30F1" w:rsidRDefault="00821E2A" w:rsidP="007E074C">
      <w:pPr>
        <w:pStyle w:val="Heading2"/>
        <w:tabs>
          <w:tab w:val="left" w:pos="993"/>
        </w:tabs>
        <w:spacing w:after="120" w:line="240" w:lineRule="auto"/>
        <w:rPr>
          <w:color w:val="4F81BD" w:themeColor="accent1"/>
          <w:lang w:val="es-ES_tradnl"/>
        </w:rPr>
      </w:pPr>
      <w:r w:rsidRPr="007C30F1">
        <w:rPr>
          <w:color w:val="4F81BD" w:themeColor="accent1"/>
          <w:lang w:val="es-ES_tradnl"/>
        </w:rPr>
        <w:t>5.1</w:t>
      </w:r>
      <w:r w:rsidRPr="007C30F1">
        <w:rPr>
          <w:color w:val="4F81BD" w:themeColor="accent1"/>
          <w:lang w:val="es-ES_tradnl"/>
        </w:rPr>
        <w:tab/>
        <w:t>R.1: Atender de manera racional, equitativa, eficiente, económica y oportuna a las necesidades de los miembros de la UIT en materia de recursos de espectro de radiofrecuencias y órbitas de satélites, evitando interferencias perjudiciales</w:t>
      </w:r>
    </w:p>
    <w:tbl>
      <w:tblPr>
        <w:tblW w:w="1422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6A0" w:firstRow="1" w:lastRow="0" w:firstColumn="1" w:lastColumn="0" w:noHBand="1" w:noVBand="1"/>
      </w:tblPr>
      <w:tblGrid>
        <w:gridCol w:w="3621"/>
        <w:gridCol w:w="4592"/>
        <w:gridCol w:w="907"/>
        <w:gridCol w:w="907"/>
        <w:gridCol w:w="907"/>
        <w:gridCol w:w="907"/>
        <w:gridCol w:w="1134"/>
        <w:gridCol w:w="1247"/>
      </w:tblGrid>
      <w:tr w:rsidR="00821E2A" w:rsidRPr="007C30F1" w:rsidTr="00821E2A">
        <w:trPr>
          <w:tblHeader/>
        </w:trPr>
        <w:tc>
          <w:tcPr>
            <w:tcW w:w="3621" w:type="dxa"/>
            <w:tcBorders>
              <w:right w:val="nil"/>
            </w:tcBorders>
            <w:shd w:val="clear" w:color="auto" w:fill="4F81BD" w:themeFill="accent1"/>
          </w:tcPr>
          <w:p w:rsidR="00821E2A" w:rsidRPr="007C30F1" w:rsidRDefault="00821E2A" w:rsidP="007E074C">
            <w:pPr>
              <w:pStyle w:val="Tablehead"/>
              <w:rPr>
                <w:color w:val="FFFFFF" w:themeColor="background1"/>
                <w:lang w:val="es-ES_tradnl"/>
              </w:rPr>
            </w:pPr>
            <w:r w:rsidRPr="007C30F1">
              <w:rPr>
                <w:color w:val="FFFFFF" w:themeColor="background1"/>
                <w:lang w:val="es-ES_tradnl"/>
              </w:rPr>
              <w:t>Resultado</w:t>
            </w:r>
          </w:p>
        </w:tc>
        <w:tc>
          <w:tcPr>
            <w:tcW w:w="4592" w:type="dxa"/>
            <w:tcBorders>
              <w:left w:val="nil"/>
              <w:right w:val="nil"/>
            </w:tcBorders>
            <w:shd w:val="clear" w:color="auto" w:fill="4F81BD" w:themeFill="accent1"/>
          </w:tcPr>
          <w:p w:rsidR="00821E2A" w:rsidRPr="007C30F1" w:rsidRDefault="00821E2A" w:rsidP="007E074C">
            <w:pPr>
              <w:pStyle w:val="Tablehead"/>
              <w:rPr>
                <w:color w:val="FFFFFF" w:themeColor="background1"/>
                <w:lang w:val="es-ES_tradnl"/>
              </w:rPr>
            </w:pPr>
            <w:r w:rsidRPr="007C30F1">
              <w:rPr>
                <w:color w:val="FFFFFF" w:themeColor="background1"/>
                <w:lang w:val="es-ES_tradnl"/>
              </w:rPr>
              <w:t xml:space="preserve">Indicador de resultados </w:t>
            </w:r>
          </w:p>
        </w:tc>
        <w:tc>
          <w:tcPr>
            <w:tcW w:w="907" w:type="dxa"/>
            <w:tcBorders>
              <w:left w:val="nil"/>
              <w:bottom w:val="single" w:sz="6" w:space="0" w:color="4F81BD" w:themeColor="accent1"/>
              <w:right w:val="nil"/>
            </w:tcBorders>
            <w:shd w:val="clear" w:color="auto" w:fill="4F81BD" w:themeFill="accent1"/>
          </w:tcPr>
          <w:p w:rsidR="00821E2A" w:rsidRPr="007C30F1" w:rsidRDefault="00821E2A" w:rsidP="007E074C">
            <w:pPr>
              <w:pStyle w:val="Tablehead"/>
              <w:rPr>
                <w:color w:val="FFFFFF" w:themeColor="background1"/>
                <w:lang w:val="es-ES_tradnl"/>
              </w:rPr>
            </w:pPr>
            <w:r w:rsidRPr="007C30F1">
              <w:rPr>
                <w:color w:val="FFFFFF" w:themeColor="background1"/>
                <w:lang w:val="es-ES_tradnl"/>
              </w:rPr>
              <w:t>2013</w:t>
            </w:r>
          </w:p>
        </w:tc>
        <w:tc>
          <w:tcPr>
            <w:tcW w:w="907" w:type="dxa"/>
            <w:tcBorders>
              <w:left w:val="nil"/>
              <w:bottom w:val="single" w:sz="6" w:space="0" w:color="4F81BD" w:themeColor="accent1"/>
              <w:right w:val="nil"/>
            </w:tcBorders>
            <w:shd w:val="clear" w:color="auto" w:fill="4F81BD" w:themeFill="accent1"/>
          </w:tcPr>
          <w:p w:rsidR="00821E2A" w:rsidRPr="007C30F1" w:rsidRDefault="00821E2A" w:rsidP="007E074C">
            <w:pPr>
              <w:pStyle w:val="Tablehead"/>
              <w:rPr>
                <w:color w:val="FFFFFF" w:themeColor="background1"/>
                <w:lang w:val="es-ES_tradnl"/>
              </w:rPr>
            </w:pPr>
            <w:r w:rsidRPr="007C30F1">
              <w:rPr>
                <w:color w:val="FFFFFF" w:themeColor="background1"/>
                <w:lang w:val="es-ES_tradnl"/>
              </w:rPr>
              <w:t>2014</w:t>
            </w:r>
          </w:p>
        </w:tc>
        <w:tc>
          <w:tcPr>
            <w:tcW w:w="907" w:type="dxa"/>
            <w:tcBorders>
              <w:left w:val="nil"/>
              <w:bottom w:val="single" w:sz="6" w:space="0" w:color="4F81BD" w:themeColor="accent1"/>
              <w:right w:val="nil"/>
            </w:tcBorders>
            <w:shd w:val="clear" w:color="auto" w:fill="4F81BD" w:themeFill="accent1"/>
          </w:tcPr>
          <w:p w:rsidR="00821E2A" w:rsidRPr="007C30F1" w:rsidRDefault="00821E2A" w:rsidP="007E074C">
            <w:pPr>
              <w:pStyle w:val="Tablehead"/>
              <w:rPr>
                <w:color w:val="FFFFFF" w:themeColor="background1"/>
                <w:lang w:val="es-ES_tradnl"/>
              </w:rPr>
            </w:pPr>
            <w:r w:rsidRPr="007C30F1">
              <w:rPr>
                <w:color w:val="FFFFFF" w:themeColor="background1"/>
                <w:lang w:val="es-ES_tradnl"/>
              </w:rPr>
              <w:t>2015</w:t>
            </w:r>
          </w:p>
        </w:tc>
        <w:tc>
          <w:tcPr>
            <w:tcW w:w="907" w:type="dxa"/>
            <w:tcBorders>
              <w:left w:val="nil"/>
              <w:bottom w:val="single" w:sz="6" w:space="0" w:color="4F81BD" w:themeColor="accent1"/>
              <w:right w:val="nil"/>
            </w:tcBorders>
            <w:shd w:val="clear" w:color="auto" w:fill="4F81BD" w:themeFill="accent1"/>
          </w:tcPr>
          <w:p w:rsidR="00821E2A" w:rsidRPr="007C30F1" w:rsidRDefault="00821E2A" w:rsidP="007E074C">
            <w:pPr>
              <w:pStyle w:val="Tablehead"/>
              <w:rPr>
                <w:color w:val="FFFFFF" w:themeColor="background1"/>
                <w:lang w:val="es-ES_tradnl"/>
              </w:rPr>
            </w:pPr>
            <w:r w:rsidRPr="007C30F1">
              <w:rPr>
                <w:color w:val="FFFFFF" w:themeColor="background1"/>
                <w:lang w:val="es-ES_tradnl"/>
              </w:rPr>
              <w:t>2016</w:t>
            </w:r>
          </w:p>
        </w:tc>
        <w:tc>
          <w:tcPr>
            <w:tcW w:w="1134" w:type="dxa"/>
            <w:tcBorders>
              <w:left w:val="nil"/>
              <w:bottom w:val="single" w:sz="6" w:space="0" w:color="4F81BD" w:themeColor="accent1"/>
              <w:right w:val="nil"/>
            </w:tcBorders>
            <w:shd w:val="clear" w:color="auto" w:fill="4F81BD" w:themeFill="accent1"/>
          </w:tcPr>
          <w:p w:rsidR="00821E2A" w:rsidRPr="007C30F1" w:rsidRDefault="00821E2A" w:rsidP="007E074C">
            <w:pPr>
              <w:pStyle w:val="Tablehead"/>
              <w:rPr>
                <w:color w:val="FFFFFF" w:themeColor="background1"/>
                <w:lang w:val="es-ES_tradnl"/>
              </w:rPr>
            </w:pPr>
            <w:r w:rsidRPr="007C30F1">
              <w:rPr>
                <w:color w:val="FFFFFF" w:themeColor="background1"/>
                <w:lang w:val="es-ES_tradnl"/>
              </w:rPr>
              <w:t>Meta 2020</w:t>
            </w:r>
          </w:p>
        </w:tc>
        <w:tc>
          <w:tcPr>
            <w:tcW w:w="1247" w:type="dxa"/>
            <w:tcBorders>
              <w:left w:val="nil"/>
            </w:tcBorders>
            <w:shd w:val="clear" w:color="auto" w:fill="4F81BD" w:themeFill="accent1"/>
          </w:tcPr>
          <w:p w:rsidR="00821E2A" w:rsidRPr="007C30F1" w:rsidRDefault="00821E2A" w:rsidP="007E074C">
            <w:pPr>
              <w:pStyle w:val="Tablehead"/>
              <w:rPr>
                <w:color w:val="FFFFFF" w:themeColor="background1"/>
                <w:lang w:val="es-ES_tradnl"/>
              </w:rPr>
            </w:pPr>
            <w:r w:rsidRPr="007C30F1">
              <w:rPr>
                <w:color w:val="FFFFFF" w:themeColor="background1"/>
                <w:lang w:val="es-ES_tradnl"/>
              </w:rPr>
              <w:t>Origen</w:t>
            </w:r>
          </w:p>
        </w:tc>
      </w:tr>
      <w:tr w:rsidR="00821E2A" w:rsidRPr="007C30F1" w:rsidTr="00821E2A">
        <w:tc>
          <w:tcPr>
            <w:tcW w:w="3621" w:type="dxa"/>
            <w:vMerge w:val="restart"/>
          </w:tcPr>
          <w:p w:rsidR="00821E2A" w:rsidRPr="007C30F1" w:rsidRDefault="00821E2A" w:rsidP="007E074C">
            <w:pPr>
              <w:pStyle w:val="Tabletext"/>
              <w:rPr>
                <w:rFonts w:cs="Arial"/>
                <w:lang w:val="es-ES_tradnl"/>
              </w:rPr>
            </w:pPr>
            <w:r w:rsidRPr="007C30F1">
              <w:rPr>
                <w:rFonts w:cs="Arial"/>
                <w:b/>
                <w:bCs/>
                <w:color w:val="4F81BD" w:themeColor="accent1"/>
                <w:lang w:val="es-ES_tradnl"/>
              </w:rPr>
              <w:t>R.1-1:</w:t>
            </w:r>
            <w:r w:rsidRPr="007C30F1">
              <w:rPr>
                <w:rFonts w:cs="Arial"/>
                <w:lang w:val="es-ES_tradnl"/>
              </w:rPr>
              <w:t xml:space="preserve"> </w:t>
            </w:r>
            <w:r w:rsidRPr="007C30F1">
              <w:rPr>
                <w:lang w:val="es-ES_tradnl"/>
              </w:rPr>
              <w:t>Aumento del número de países que tienen redes de satélite y estaciones terrenas inscritas en el Registro Internacional de Frecuencias (MIFR)</w:t>
            </w:r>
          </w:p>
        </w:tc>
        <w:tc>
          <w:tcPr>
            <w:tcW w:w="4592" w:type="dxa"/>
            <w:tcBorders>
              <w:right w:val="single" w:sz="6" w:space="0" w:color="4F81BD" w:themeColor="accent1"/>
            </w:tcBorders>
          </w:tcPr>
          <w:p w:rsidR="00821E2A" w:rsidRPr="007C30F1" w:rsidRDefault="00821E2A" w:rsidP="007E074C">
            <w:pPr>
              <w:pStyle w:val="Tabletext"/>
              <w:rPr>
                <w:lang w:val="es-ES_tradnl"/>
              </w:rPr>
            </w:pPr>
            <w:r w:rsidRPr="007C30F1">
              <w:rPr>
                <w:lang w:val="es-ES_tradnl"/>
              </w:rPr>
              <w:t>Número de países que tienen redes de satélite inscritas en el MIFR</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49</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51</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52</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56</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70</w:t>
            </w:r>
          </w:p>
        </w:tc>
        <w:tc>
          <w:tcPr>
            <w:tcW w:w="1247" w:type="dxa"/>
            <w:vMerge w:val="restart"/>
            <w:tcBorders>
              <w:lef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BR/MIFR</w:t>
            </w:r>
          </w:p>
        </w:tc>
      </w:tr>
      <w:tr w:rsidR="00821E2A" w:rsidRPr="007C30F1" w:rsidTr="00821E2A">
        <w:tc>
          <w:tcPr>
            <w:tcW w:w="3621" w:type="dxa"/>
            <w:vMerge/>
          </w:tcPr>
          <w:p w:rsidR="00821E2A" w:rsidRPr="007C30F1" w:rsidRDefault="00821E2A" w:rsidP="007E074C">
            <w:pPr>
              <w:pStyle w:val="Tabletext"/>
              <w:rPr>
                <w:rFonts w:cs="Arial"/>
                <w:color w:val="4F81BD" w:themeColor="accent1"/>
                <w:lang w:val="es-ES_tradnl"/>
              </w:rPr>
            </w:pPr>
          </w:p>
        </w:tc>
        <w:tc>
          <w:tcPr>
            <w:tcW w:w="4592" w:type="dxa"/>
            <w:tcBorders>
              <w:right w:val="single" w:sz="6" w:space="0" w:color="4F81BD" w:themeColor="accent1"/>
            </w:tcBorders>
          </w:tcPr>
          <w:p w:rsidR="00821E2A" w:rsidRPr="007C30F1" w:rsidRDefault="00821E2A" w:rsidP="007E074C">
            <w:pPr>
              <w:pStyle w:val="Tabletext"/>
              <w:rPr>
                <w:lang w:val="es-ES_tradnl"/>
              </w:rPr>
            </w:pPr>
            <w:r w:rsidRPr="007C30F1">
              <w:rPr>
                <w:lang w:val="es-ES_tradnl"/>
              </w:rPr>
              <w:t>Número de países que tienen estaciones terrenas inscritas en el MIFR</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82</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82</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76</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77</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120</w:t>
            </w:r>
          </w:p>
        </w:tc>
        <w:tc>
          <w:tcPr>
            <w:tcW w:w="1247" w:type="dxa"/>
            <w:vMerge/>
            <w:tcBorders>
              <w:left w:val="single" w:sz="6" w:space="0" w:color="4F81BD" w:themeColor="accent1"/>
            </w:tcBorders>
          </w:tcPr>
          <w:p w:rsidR="00821E2A" w:rsidRPr="007C30F1" w:rsidRDefault="00821E2A" w:rsidP="007E074C">
            <w:pPr>
              <w:pStyle w:val="Tabletext"/>
              <w:jc w:val="center"/>
              <w:rPr>
                <w:lang w:val="es-ES_tradnl"/>
              </w:rPr>
            </w:pPr>
          </w:p>
        </w:tc>
      </w:tr>
      <w:tr w:rsidR="00821E2A" w:rsidRPr="007C30F1" w:rsidTr="00821E2A">
        <w:tc>
          <w:tcPr>
            <w:tcW w:w="3621" w:type="dxa"/>
            <w:vMerge w:val="restart"/>
          </w:tcPr>
          <w:p w:rsidR="00821E2A" w:rsidRPr="007C30F1" w:rsidRDefault="00821E2A" w:rsidP="007E074C">
            <w:pPr>
              <w:pStyle w:val="Tabletext"/>
              <w:rPr>
                <w:rFonts w:cs="Arial"/>
                <w:lang w:val="es-ES_tradnl"/>
              </w:rPr>
            </w:pPr>
            <w:r w:rsidRPr="007C30F1">
              <w:rPr>
                <w:rFonts w:cs="Arial"/>
                <w:b/>
                <w:bCs/>
                <w:color w:val="4F81BD" w:themeColor="accent1"/>
                <w:lang w:val="es-ES_tradnl"/>
              </w:rPr>
              <w:t>R.1-2:</w:t>
            </w:r>
            <w:r w:rsidRPr="007C30F1">
              <w:rPr>
                <w:lang w:val="es-ES_tradnl"/>
              </w:rPr>
              <w:t xml:space="preserve"> Mayor número de países que tienen asignaciones de frecuencias terrenales inscritas en el MIFR</w:t>
            </w:r>
          </w:p>
        </w:tc>
        <w:tc>
          <w:tcPr>
            <w:tcW w:w="4592" w:type="dxa"/>
            <w:tcBorders>
              <w:right w:val="single" w:sz="6" w:space="0" w:color="4F81BD" w:themeColor="accent1"/>
            </w:tcBorders>
          </w:tcPr>
          <w:p w:rsidR="00821E2A" w:rsidRPr="007C30F1" w:rsidRDefault="00821E2A" w:rsidP="007E074C">
            <w:pPr>
              <w:pStyle w:val="Tabletext"/>
              <w:rPr>
                <w:lang w:val="es-ES_tradnl"/>
              </w:rPr>
            </w:pPr>
            <w:r w:rsidRPr="007C30F1">
              <w:rPr>
                <w:lang w:val="es-ES_tradnl"/>
              </w:rPr>
              <w:t>Número de países que tienen asignaciones de frecuencias terrenales inscritas en el MIFR</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188</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188</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190</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190</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193</w:t>
            </w:r>
          </w:p>
        </w:tc>
        <w:tc>
          <w:tcPr>
            <w:tcW w:w="1247" w:type="dxa"/>
            <w:vMerge w:val="restart"/>
            <w:tcBorders>
              <w:lef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BR/MIFR</w:t>
            </w:r>
          </w:p>
        </w:tc>
      </w:tr>
      <w:tr w:rsidR="00821E2A" w:rsidRPr="007C30F1" w:rsidTr="00821E2A">
        <w:tc>
          <w:tcPr>
            <w:tcW w:w="3621" w:type="dxa"/>
            <w:vMerge/>
          </w:tcPr>
          <w:p w:rsidR="00821E2A" w:rsidRPr="007C30F1" w:rsidRDefault="00821E2A" w:rsidP="007E074C">
            <w:pPr>
              <w:pStyle w:val="Tabletext"/>
              <w:rPr>
                <w:rFonts w:cs="Arial"/>
                <w:color w:val="4F81BD" w:themeColor="accent1"/>
                <w:lang w:val="es-ES_tradnl"/>
              </w:rPr>
            </w:pPr>
          </w:p>
        </w:tc>
        <w:tc>
          <w:tcPr>
            <w:tcW w:w="4592" w:type="dxa"/>
            <w:tcBorders>
              <w:right w:val="single" w:sz="6" w:space="0" w:color="4F81BD" w:themeColor="accent1"/>
            </w:tcBorders>
          </w:tcPr>
          <w:p w:rsidR="00821E2A" w:rsidRPr="007C30F1" w:rsidRDefault="00821E2A" w:rsidP="007E074C">
            <w:pPr>
              <w:pStyle w:val="Tabletext"/>
              <w:rPr>
                <w:lang w:val="es-ES_tradnl"/>
              </w:rPr>
            </w:pPr>
            <w:r w:rsidRPr="007C30F1">
              <w:rPr>
                <w:lang w:val="es-ES_tradnl"/>
              </w:rPr>
              <w:t>Número de países que inscribieron asignaciones de frecuencias terrenales inscritas en el MIFR en los 4 últimos años</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74</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78</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84</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79</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90</w:t>
            </w:r>
          </w:p>
        </w:tc>
        <w:tc>
          <w:tcPr>
            <w:tcW w:w="1247" w:type="dxa"/>
            <w:vMerge/>
            <w:tcBorders>
              <w:left w:val="single" w:sz="6" w:space="0" w:color="4F81BD" w:themeColor="accent1"/>
            </w:tcBorders>
          </w:tcPr>
          <w:p w:rsidR="00821E2A" w:rsidRPr="007C30F1" w:rsidRDefault="00821E2A" w:rsidP="007E074C">
            <w:pPr>
              <w:pStyle w:val="Tabletext"/>
              <w:jc w:val="center"/>
              <w:rPr>
                <w:lang w:val="es-ES_tradnl"/>
              </w:rPr>
            </w:pPr>
          </w:p>
        </w:tc>
      </w:tr>
      <w:tr w:rsidR="00821E2A" w:rsidRPr="007C30F1" w:rsidTr="00821E2A">
        <w:tc>
          <w:tcPr>
            <w:tcW w:w="3621" w:type="dxa"/>
            <w:vMerge w:val="restart"/>
          </w:tcPr>
          <w:p w:rsidR="00821E2A" w:rsidRPr="007C30F1" w:rsidRDefault="00821E2A" w:rsidP="007E074C">
            <w:pPr>
              <w:pStyle w:val="Tabletext"/>
              <w:rPr>
                <w:rFonts w:cs="Arial"/>
                <w:lang w:val="es-ES_tradnl"/>
              </w:rPr>
            </w:pPr>
            <w:r w:rsidRPr="007C30F1">
              <w:rPr>
                <w:rFonts w:cs="Arial"/>
                <w:b/>
                <w:bCs/>
                <w:color w:val="4F81BD" w:themeColor="accent1"/>
                <w:lang w:val="es-ES_tradnl"/>
              </w:rPr>
              <w:t>R.1-3:</w:t>
            </w:r>
            <w:r w:rsidRPr="007C30F1">
              <w:rPr>
                <w:rFonts w:cs="Arial"/>
                <w:lang w:val="es-ES_tradnl"/>
              </w:rPr>
              <w:t xml:space="preserve"> </w:t>
            </w:r>
            <w:r w:rsidRPr="007C30F1">
              <w:rPr>
                <w:lang w:val="es-ES_tradnl"/>
              </w:rPr>
              <w:t>Mayor porcentaje de asignaciones inscritas en el Registro Internacional de Frecuencias con conclusión favorable</w:t>
            </w:r>
          </w:p>
        </w:tc>
        <w:tc>
          <w:tcPr>
            <w:tcW w:w="4592" w:type="dxa"/>
            <w:tcBorders>
              <w:right w:val="single" w:sz="6" w:space="0" w:color="4F81BD" w:themeColor="accent1"/>
            </w:tcBorders>
          </w:tcPr>
          <w:p w:rsidR="00821E2A" w:rsidRPr="007C30F1" w:rsidRDefault="00821E2A" w:rsidP="007E074C">
            <w:pPr>
              <w:pStyle w:val="Tabletext"/>
              <w:rPr>
                <w:lang w:val="es-ES_tradnl"/>
              </w:rPr>
            </w:pPr>
            <w:r w:rsidRPr="007C30F1">
              <w:rPr>
                <w:lang w:val="es-ES_tradnl"/>
              </w:rPr>
              <w:t>Sujetas a coordinación (Terrenal)</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99,86%</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99,86%</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99,87%</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99,88%</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 xml:space="preserve">99,99% </w:t>
            </w:r>
          </w:p>
        </w:tc>
        <w:tc>
          <w:tcPr>
            <w:tcW w:w="1247" w:type="dxa"/>
            <w:vMerge w:val="restart"/>
            <w:tcBorders>
              <w:lef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BR/MIFR</w:t>
            </w:r>
          </w:p>
        </w:tc>
      </w:tr>
      <w:tr w:rsidR="00821E2A" w:rsidRPr="007C30F1" w:rsidTr="00821E2A">
        <w:tc>
          <w:tcPr>
            <w:tcW w:w="3621" w:type="dxa"/>
            <w:vMerge/>
          </w:tcPr>
          <w:p w:rsidR="00821E2A" w:rsidRPr="007C30F1" w:rsidRDefault="00821E2A" w:rsidP="007E074C">
            <w:pPr>
              <w:pStyle w:val="Tabletext"/>
              <w:rPr>
                <w:rFonts w:cs="Arial"/>
                <w:color w:val="4F81BD" w:themeColor="accent1"/>
                <w:lang w:val="es-ES_tradnl"/>
              </w:rPr>
            </w:pPr>
          </w:p>
        </w:tc>
        <w:tc>
          <w:tcPr>
            <w:tcW w:w="4592" w:type="dxa"/>
            <w:tcBorders>
              <w:right w:val="single" w:sz="6" w:space="0" w:color="4F81BD" w:themeColor="accent1"/>
            </w:tcBorders>
          </w:tcPr>
          <w:p w:rsidR="00821E2A" w:rsidRPr="007C30F1" w:rsidRDefault="00821E2A" w:rsidP="007E074C">
            <w:pPr>
              <w:pStyle w:val="Tabletext"/>
              <w:rPr>
                <w:lang w:val="es-ES_tradnl"/>
              </w:rPr>
            </w:pPr>
            <w:r w:rsidRPr="007C30F1">
              <w:rPr>
                <w:lang w:val="es-ES_tradnl"/>
              </w:rPr>
              <w:t>Sujetas a un Plan (Terrenal)</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92,66%</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92,81%</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74,46%</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74,32%</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 xml:space="preserve">75% </w:t>
            </w:r>
          </w:p>
        </w:tc>
        <w:tc>
          <w:tcPr>
            <w:tcW w:w="1247" w:type="dxa"/>
            <w:vMerge/>
            <w:tcBorders>
              <w:left w:val="single" w:sz="6" w:space="0" w:color="4F81BD" w:themeColor="accent1"/>
            </w:tcBorders>
          </w:tcPr>
          <w:p w:rsidR="00821E2A" w:rsidRPr="007C30F1" w:rsidRDefault="00821E2A" w:rsidP="007E074C">
            <w:pPr>
              <w:pStyle w:val="Tabletext"/>
              <w:jc w:val="center"/>
              <w:rPr>
                <w:lang w:val="es-ES_tradnl"/>
              </w:rPr>
            </w:pPr>
          </w:p>
        </w:tc>
      </w:tr>
      <w:tr w:rsidR="00821E2A" w:rsidRPr="007C30F1" w:rsidTr="00821E2A">
        <w:tc>
          <w:tcPr>
            <w:tcW w:w="3621" w:type="dxa"/>
            <w:vMerge/>
          </w:tcPr>
          <w:p w:rsidR="00821E2A" w:rsidRPr="007C30F1" w:rsidRDefault="00821E2A" w:rsidP="007E074C">
            <w:pPr>
              <w:pStyle w:val="Tabletext"/>
              <w:rPr>
                <w:rFonts w:cs="Arial"/>
                <w:color w:val="4F81BD" w:themeColor="accent1"/>
                <w:lang w:val="es-ES_tradnl"/>
              </w:rPr>
            </w:pPr>
          </w:p>
        </w:tc>
        <w:tc>
          <w:tcPr>
            <w:tcW w:w="4592" w:type="dxa"/>
            <w:tcBorders>
              <w:right w:val="single" w:sz="6" w:space="0" w:color="4F81BD" w:themeColor="accent1"/>
            </w:tcBorders>
          </w:tcPr>
          <w:p w:rsidR="00821E2A" w:rsidRPr="007C30F1" w:rsidRDefault="00821E2A" w:rsidP="007E074C">
            <w:pPr>
              <w:pStyle w:val="Tabletext"/>
              <w:rPr>
                <w:lang w:val="es-ES_tradnl"/>
              </w:rPr>
            </w:pPr>
            <w:r w:rsidRPr="007C30F1">
              <w:rPr>
                <w:lang w:val="es-ES_tradnl"/>
              </w:rPr>
              <w:t>Otras</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98,29%</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98,34%</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98,37%</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98,46%</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98%</w:t>
            </w:r>
          </w:p>
        </w:tc>
        <w:tc>
          <w:tcPr>
            <w:tcW w:w="1247" w:type="dxa"/>
            <w:vMerge/>
            <w:tcBorders>
              <w:left w:val="single" w:sz="6" w:space="0" w:color="4F81BD" w:themeColor="accent1"/>
            </w:tcBorders>
          </w:tcPr>
          <w:p w:rsidR="00821E2A" w:rsidRPr="007C30F1" w:rsidRDefault="00821E2A" w:rsidP="007E074C">
            <w:pPr>
              <w:pStyle w:val="Tabletext"/>
              <w:jc w:val="center"/>
              <w:rPr>
                <w:lang w:val="es-ES_tradnl"/>
              </w:rPr>
            </w:pPr>
          </w:p>
        </w:tc>
      </w:tr>
      <w:tr w:rsidR="00821E2A" w:rsidRPr="007C30F1" w:rsidTr="00821E2A">
        <w:tc>
          <w:tcPr>
            <w:tcW w:w="3621" w:type="dxa"/>
          </w:tcPr>
          <w:p w:rsidR="00821E2A" w:rsidRPr="007C30F1" w:rsidRDefault="00821E2A" w:rsidP="007E074C">
            <w:pPr>
              <w:pStyle w:val="Tabletext"/>
              <w:rPr>
                <w:rFonts w:cs="Arial"/>
                <w:lang w:val="es-ES_tradnl"/>
              </w:rPr>
            </w:pPr>
            <w:r w:rsidRPr="007C30F1">
              <w:rPr>
                <w:rFonts w:cs="Arial"/>
                <w:b/>
                <w:bCs/>
                <w:color w:val="4F81BD" w:themeColor="accent1"/>
                <w:lang w:val="es-ES_tradnl"/>
              </w:rPr>
              <w:t>R.1-4:</w:t>
            </w:r>
            <w:r w:rsidRPr="007C30F1">
              <w:rPr>
                <w:rFonts w:cs="Arial"/>
                <w:lang w:val="es-ES_tradnl"/>
              </w:rPr>
              <w:t xml:space="preserve"> </w:t>
            </w:r>
            <w:r w:rsidRPr="007C30F1">
              <w:rPr>
                <w:lang w:val="es-ES_tradnl"/>
              </w:rPr>
              <w:t>Mayor porcentaje de países que han completado la transición a la radiodifusión de televisión terrenal digital</w:t>
            </w:r>
          </w:p>
        </w:tc>
        <w:tc>
          <w:tcPr>
            <w:tcW w:w="4592" w:type="dxa"/>
            <w:tcBorders>
              <w:right w:val="single" w:sz="6" w:space="0" w:color="4F81BD" w:themeColor="accent1"/>
            </w:tcBorders>
          </w:tcPr>
          <w:p w:rsidR="00821E2A" w:rsidRPr="007C30F1" w:rsidRDefault="00821E2A" w:rsidP="007E074C">
            <w:pPr>
              <w:pStyle w:val="Tabletext"/>
              <w:rPr>
                <w:lang w:val="es-ES_tradnl"/>
              </w:rPr>
            </w:pPr>
            <w:r w:rsidRPr="007C30F1">
              <w:rPr>
                <w:lang w:val="es-ES_tradnl"/>
              </w:rPr>
              <w:t>Porcentaje de países que han completado la transición a la radiodifusión de televisión terrenal digital</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3,6%</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17%</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27%</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42%</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 xml:space="preserve">70% </w:t>
            </w:r>
          </w:p>
        </w:tc>
        <w:tc>
          <w:tcPr>
            <w:tcW w:w="1247" w:type="dxa"/>
            <w:tcBorders>
              <w:lef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BR y BDT</w:t>
            </w:r>
          </w:p>
        </w:tc>
      </w:tr>
      <w:tr w:rsidR="00821E2A" w:rsidRPr="007C30F1" w:rsidTr="00821E2A">
        <w:tc>
          <w:tcPr>
            <w:tcW w:w="3621" w:type="dxa"/>
          </w:tcPr>
          <w:p w:rsidR="00821E2A" w:rsidRPr="007C30F1" w:rsidRDefault="00821E2A" w:rsidP="007E074C">
            <w:pPr>
              <w:pStyle w:val="Tabletext"/>
              <w:rPr>
                <w:rFonts w:cs="Arial"/>
                <w:color w:val="4F81BD" w:themeColor="accent1"/>
                <w:lang w:val="es-ES_tradnl"/>
              </w:rPr>
            </w:pPr>
            <w:r w:rsidRPr="007C30F1">
              <w:rPr>
                <w:rFonts w:cs="Arial"/>
                <w:b/>
                <w:bCs/>
                <w:color w:val="4F81BD" w:themeColor="accent1"/>
                <w:lang w:val="es-ES_tradnl"/>
              </w:rPr>
              <w:t>R.1-5:</w:t>
            </w:r>
            <w:r w:rsidRPr="007C30F1">
              <w:rPr>
                <w:rFonts w:cs="Arial"/>
                <w:color w:val="4F81BD" w:themeColor="accent1"/>
                <w:lang w:val="es-ES_tradnl"/>
              </w:rPr>
              <w:t xml:space="preserve"> </w:t>
            </w:r>
            <w:r w:rsidRPr="007C30F1">
              <w:rPr>
                <w:rFonts w:cs="Arial"/>
                <w:color w:val="000000" w:themeColor="text1"/>
                <w:lang w:val="es-ES_tradnl"/>
              </w:rPr>
              <w:t>Mayor porcentaje de espectro exento de interferencia perjudicial asignado a redes de satélite</w:t>
            </w:r>
          </w:p>
        </w:tc>
        <w:tc>
          <w:tcPr>
            <w:tcW w:w="4592" w:type="dxa"/>
            <w:tcBorders>
              <w:right w:val="single" w:sz="6" w:space="0" w:color="4F81BD" w:themeColor="accent1"/>
            </w:tcBorders>
          </w:tcPr>
          <w:p w:rsidR="00821E2A" w:rsidRPr="007C30F1" w:rsidRDefault="00821E2A" w:rsidP="007E074C">
            <w:pPr>
              <w:pStyle w:val="Tabletext"/>
              <w:rPr>
                <w:lang w:val="es-ES_tradnl"/>
              </w:rPr>
            </w:pPr>
            <w:r w:rsidRPr="007C30F1">
              <w:rPr>
                <w:lang w:val="es-ES_tradnl"/>
              </w:rPr>
              <w:t>Porcentaje de espectro asignado a redes de satélites que está libre de interferencia perjudicial</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99,97%</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99,97%</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99,96%</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99,96%</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99,99%</w:t>
            </w:r>
          </w:p>
        </w:tc>
        <w:tc>
          <w:tcPr>
            <w:tcW w:w="1247" w:type="dxa"/>
            <w:tcBorders>
              <w:lef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BR/MIFR</w:t>
            </w:r>
          </w:p>
        </w:tc>
      </w:tr>
      <w:tr w:rsidR="00821E2A" w:rsidRPr="007C30F1" w:rsidTr="00821E2A">
        <w:tc>
          <w:tcPr>
            <w:tcW w:w="3621" w:type="dxa"/>
          </w:tcPr>
          <w:p w:rsidR="00821E2A" w:rsidRPr="007C30F1" w:rsidRDefault="00821E2A" w:rsidP="007E074C">
            <w:pPr>
              <w:pStyle w:val="Tabletext"/>
              <w:rPr>
                <w:rFonts w:cs="Arial"/>
                <w:color w:val="4F81BD" w:themeColor="accent1"/>
                <w:lang w:val="es-ES_tradnl"/>
              </w:rPr>
            </w:pPr>
            <w:r w:rsidRPr="007C30F1">
              <w:rPr>
                <w:rFonts w:cs="Arial"/>
                <w:b/>
                <w:bCs/>
                <w:color w:val="4F81BD" w:themeColor="accent1"/>
                <w:lang w:val="es-ES_tradnl"/>
              </w:rPr>
              <w:t>R.1-6:</w:t>
            </w:r>
            <w:r w:rsidRPr="007C30F1">
              <w:rPr>
                <w:rFonts w:cs="Arial"/>
                <w:color w:val="4F81BD" w:themeColor="accent1"/>
                <w:lang w:val="es-ES_tradnl"/>
              </w:rPr>
              <w:t xml:space="preserve"> </w:t>
            </w:r>
            <w:r w:rsidRPr="007C30F1">
              <w:rPr>
                <w:rFonts w:cs="Arial"/>
                <w:color w:val="000000" w:themeColor="text1"/>
                <w:lang w:val="es-ES_tradnl"/>
              </w:rPr>
              <w:t>Mayor porcentaje de asignaciones exentas de interferencias perjudiciales a servicios terrenales inscritas en el Registro</w:t>
            </w:r>
          </w:p>
        </w:tc>
        <w:tc>
          <w:tcPr>
            <w:tcW w:w="4592" w:type="dxa"/>
            <w:tcBorders>
              <w:right w:val="single" w:sz="6" w:space="0" w:color="4F81BD" w:themeColor="accent1"/>
            </w:tcBorders>
          </w:tcPr>
          <w:p w:rsidR="00821E2A" w:rsidRPr="007C30F1" w:rsidRDefault="00821E2A" w:rsidP="007E074C">
            <w:pPr>
              <w:pStyle w:val="Tabletext"/>
              <w:rPr>
                <w:lang w:val="es-ES_tradnl"/>
              </w:rPr>
            </w:pPr>
            <w:r w:rsidRPr="007C30F1">
              <w:rPr>
                <w:lang w:val="es-ES_tradnl"/>
              </w:rPr>
              <w:t>Porcentaje de asignaciones a los servicios terrenales inscritas en el Registro que están libres de interferencia perjudicial (sobre la base del número de casos presentados a la UIT en los cuatro últimos años)</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99,99%</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99,99%</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99,99%</w:t>
            </w:r>
          </w:p>
        </w:tc>
        <w:tc>
          <w:tcPr>
            <w:tcW w:w="90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99,90%</w:t>
            </w:r>
          </w:p>
        </w:tc>
        <w:tc>
          <w:tcPr>
            <w:tcW w:w="113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99,99%</w:t>
            </w:r>
          </w:p>
        </w:tc>
        <w:tc>
          <w:tcPr>
            <w:tcW w:w="1247" w:type="dxa"/>
            <w:tcBorders>
              <w:left w:val="single" w:sz="6" w:space="0" w:color="4F81BD" w:themeColor="accent1"/>
            </w:tcBorders>
          </w:tcPr>
          <w:p w:rsidR="00821E2A" w:rsidRPr="007C30F1" w:rsidRDefault="00821E2A" w:rsidP="007E074C">
            <w:pPr>
              <w:pStyle w:val="Tabletext"/>
              <w:jc w:val="center"/>
              <w:rPr>
                <w:lang w:val="es-ES_tradnl"/>
              </w:rPr>
            </w:pPr>
            <w:r w:rsidRPr="007C30F1">
              <w:rPr>
                <w:lang w:val="es-ES_tradnl"/>
              </w:rPr>
              <w:t>BR/MIFR</w:t>
            </w:r>
          </w:p>
        </w:tc>
      </w:tr>
    </w:tbl>
    <w:p w:rsidR="00821E2A" w:rsidRPr="007C30F1" w:rsidRDefault="00821E2A" w:rsidP="007E074C">
      <w:pPr>
        <w:spacing w:line="240" w:lineRule="auto"/>
        <w:rPr>
          <w:rFonts w:asciiTheme="minorHAnsi" w:hAnsiTheme="minorHAnsi"/>
          <w:sz w:val="2"/>
          <w:szCs w:val="2"/>
          <w:lang w:val="es-ES_tradnl"/>
        </w:rPr>
      </w:pPr>
    </w:p>
    <w:tbl>
      <w:tblPr>
        <w:tblW w:w="1448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20" w:firstRow="1" w:lastRow="0" w:firstColumn="0" w:lastColumn="0" w:noHBand="1" w:noVBand="1"/>
      </w:tblPr>
      <w:tblGrid>
        <w:gridCol w:w="9024"/>
        <w:gridCol w:w="1386"/>
        <w:gridCol w:w="1343"/>
        <w:gridCol w:w="1358"/>
        <w:gridCol w:w="1372"/>
      </w:tblGrid>
      <w:tr w:rsidR="00821E2A" w:rsidRPr="007C30F1" w:rsidTr="00821E2A">
        <w:tc>
          <w:tcPr>
            <w:tcW w:w="9024" w:type="dxa"/>
            <w:tcBorders>
              <w:right w:val="nil"/>
            </w:tcBorders>
            <w:shd w:val="clear" w:color="auto" w:fill="4F81BD" w:themeFill="accent1"/>
          </w:tcPr>
          <w:p w:rsidR="00821E2A" w:rsidRPr="007C30F1" w:rsidRDefault="00821E2A" w:rsidP="007E074C">
            <w:pPr>
              <w:pStyle w:val="Tablehead"/>
              <w:rPr>
                <w:color w:val="FFFFFF" w:themeColor="background1"/>
                <w:lang w:val="es-ES_tradnl"/>
              </w:rPr>
            </w:pPr>
            <w:r w:rsidRPr="007C30F1">
              <w:rPr>
                <w:color w:val="FFFFFF" w:themeColor="background1"/>
                <w:lang w:val="es-ES_tradnl"/>
              </w:rPr>
              <w:t>Producto</w:t>
            </w:r>
          </w:p>
        </w:tc>
        <w:tc>
          <w:tcPr>
            <w:tcW w:w="5459" w:type="dxa"/>
            <w:gridSpan w:val="4"/>
            <w:tcBorders>
              <w:left w:val="nil"/>
            </w:tcBorders>
            <w:shd w:val="clear" w:color="auto" w:fill="4F81BD" w:themeFill="accent1"/>
          </w:tcPr>
          <w:p w:rsidR="00821E2A" w:rsidRPr="007C30F1" w:rsidRDefault="00821E2A" w:rsidP="007E074C">
            <w:pPr>
              <w:pStyle w:val="Tablehead"/>
              <w:rPr>
                <w:color w:val="FFFFFF" w:themeColor="background1"/>
                <w:lang w:val="es-ES_tradnl"/>
              </w:rPr>
            </w:pPr>
            <w:r w:rsidRPr="007C30F1">
              <w:rPr>
                <w:color w:val="FFFFFF" w:themeColor="background1"/>
                <w:lang w:val="es-ES_tradnl"/>
              </w:rPr>
              <w:t>Recursos financieros</w:t>
            </w:r>
            <w:r w:rsidRPr="007C30F1">
              <w:rPr>
                <w:rStyle w:val="FootnoteReference"/>
                <w:color w:val="FFFFFF" w:themeColor="background1"/>
                <w:szCs w:val="16"/>
                <w:lang w:val="es-ES_tradnl"/>
              </w:rPr>
              <w:footnoteReference w:id="3"/>
            </w:r>
            <w:r w:rsidRPr="007C30F1">
              <w:rPr>
                <w:color w:val="FFFFFF" w:themeColor="background1"/>
                <w:lang w:val="es-ES_tradnl"/>
              </w:rPr>
              <w:t xml:space="preserve"> (en miles CHF)</w:t>
            </w:r>
          </w:p>
        </w:tc>
      </w:tr>
      <w:tr w:rsidR="00821E2A" w:rsidRPr="007C30F1" w:rsidTr="00821E2A">
        <w:tc>
          <w:tcPr>
            <w:tcW w:w="9024" w:type="dxa"/>
          </w:tcPr>
          <w:p w:rsidR="00821E2A" w:rsidRPr="007C30F1" w:rsidRDefault="00821E2A" w:rsidP="007E074C">
            <w:pPr>
              <w:pStyle w:val="Tablehead"/>
              <w:rPr>
                <w:lang w:val="es-ES_tradnl"/>
              </w:rPr>
            </w:pPr>
          </w:p>
        </w:tc>
        <w:tc>
          <w:tcPr>
            <w:tcW w:w="1386" w:type="dxa"/>
          </w:tcPr>
          <w:p w:rsidR="00821E2A" w:rsidRPr="007C30F1" w:rsidRDefault="00821E2A" w:rsidP="007E074C">
            <w:pPr>
              <w:pStyle w:val="Tablehead"/>
              <w:rPr>
                <w:color w:val="4F81BD" w:themeColor="accent1"/>
                <w:lang w:val="es-ES_tradnl"/>
              </w:rPr>
            </w:pPr>
            <w:r w:rsidRPr="007C30F1">
              <w:rPr>
                <w:color w:val="4F81BD" w:themeColor="accent1"/>
                <w:lang w:val="es-ES_tradnl"/>
              </w:rPr>
              <w:t>2018</w:t>
            </w:r>
          </w:p>
        </w:tc>
        <w:tc>
          <w:tcPr>
            <w:tcW w:w="1343" w:type="dxa"/>
          </w:tcPr>
          <w:p w:rsidR="00821E2A" w:rsidRPr="007C30F1" w:rsidRDefault="00821E2A" w:rsidP="007E074C">
            <w:pPr>
              <w:pStyle w:val="Tablehead"/>
              <w:rPr>
                <w:color w:val="4F81BD" w:themeColor="accent1"/>
                <w:lang w:val="es-ES_tradnl"/>
              </w:rPr>
            </w:pPr>
            <w:r w:rsidRPr="007C30F1">
              <w:rPr>
                <w:color w:val="4F81BD" w:themeColor="accent1"/>
                <w:lang w:val="es-ES_tradnl"/>
              </w:rPr>
              <w:t>2019</w:t>
            </w:r>
          </w:p>
        </w:tc>
        <w:tc>
          <w:tcPr>
            <w:tcW w:w="1358" w:type="dxa"/>
          </w:tcPr>
          <w:p w:rsidR="00821E2A" w:rsidRPr="007C30F1" w:rsidRDefault="00821E2A" w:rsidP="007E074C">
            <w:pPr>
              <w:pStyle w:val="Tablehead"/>
              <w:rPr>
                <w:color w:val="4F81BD" w:themeColor="accent1"/>
                <w:lang w:val="es-ES_tradnl"/>
              </w:rPr>
            </w:pPr>
            <w:r w:rsidRPr="007C30F1">
              <w:rPr>
                <w:color w:val="4F81BD" w:themeColor="accent1"/>
                <w:lang w:val="es-ES_tradnl"/>
              </w:rPr>
              <w:t>2020</w:t>
            </w:r>
          </w:p>
        </w:tc>
        <w:tc>
          <w:tcPr>
            <w:tcW w:w="1372" w:type="dxa"/>
          </w:tcPr>
          <w:p w:rsidR="00821E2A" w:rsidRPr="007C30F1" w:rsidRDefault="00821E2A" w:rsidP="007E074C">
            <w:pPr>
              <w:pStyle w:val="Tablehead"/>
              <w:rPr>
                <w:color w:val="4F81BD" w:themeColor="accent1"/>
                <w:lang w:val="es-ES_tradnl"/>
              </w:rPr>
            </w:pPr>
            <w:r w:rsidRPr="007C30F1">
              <w:rPr>
                <w:color w:val="4F81BD" w:themeColor="accent1"/>
                <w:lang w:val="es-ES_tradnl"/>
              </w:rPr>
              <w:t>2021</w:t>
            </w:r>
          </w:p>
        </w:tc>
      </w:tr>
      <w:tr w:rsidR="00821E2A" w:rsidRPr="007C30F1" w:rsidTr="00821E2A">
        <w:tc>
          <w:tcPr>
            <w:tcW w:w="9024" w:type="dxa"/>
            <w:vAlign w:val="center"/>
          </w:tcPr>
          <w:p w:rsidR="00821E2A" w:rsidRPr="007C30F1" w:rsidRDefault="00821E2A" w:rsidP="007E074C">
            <w:pPr>
              <w:pStyle w:val="Tabletext"/>
              <w:rPr>
                <w:noProof/>
                <w:lang w:val="es-ES_tradnl" w:eastAsia="zh-CN"/>
              </w:rPr>
            </w:pPr>
            <w:r w:rsidRPr="007C30F1">
              <w:rPr>
                <w:b/>
                <w:bCs/>
                <w:color w:val="5B9BD5"/>
                <w:lang w:val="es-ES_tradnl"/>
              </w:rPr>
              <w:t>R.1-1:</w:t>
            </w:r>
            <w:r w:rsidRPr="007C30F1">
              <w:rPr>
                <w:color w:val="000000"/>
                <w:lang w:val="es-ES_tradnl"/>
              </w:rPr>
              <w:t xml:space="preserve"> </w:t>
            </w:r>
            <w:r w:rsidRPr="007C30F1">
              <w:rPr>
                <w:lang w:val="es-ES_tradnl"/>
              </w:rPr>
              <w:t>Actas Finales de Conferencias Mundiales de Radiocomunicaciones, Reglamento de Radiocomunicaciones actualizado</w:t>
            </w:r>
          </w:p>
        </w:tc>
        <w:tc>
          <w:tcPr>
            <w:tcW w:w="1386" w:type="dxa"/>
            <w:vAlign w:val="center"/>
          </w:tcPr>
          <w:p w:rsidR="00821E2A" w:rsidRPr="007C30F1" w:rsidRDefault="00821E2A" w:rsidP="007E074C">
            <w:pPr>
              <w:pStyle w:val="Tabletext"/>
              <w:jc w:val="center"/>
              <w:rPr>
                <w:lang w:val="es-ES_tradnl"/>
              </w:rPr>
            </w:pPr>
            <w:r w:rsidRPr="007C30F1">
              <w:rPr>
                <w:lang w:val="es-ES_tradnl"/>
              </w:rPr>
              <w:t>1 762</w:t>
            </w:r>
          </w:p>
        </w:tc>
        <w:tc>
          <w:tcPr>
            <w:tcW w:w="1343" w:type="dxa"/>
            <w:vAlign w:val="center"/>
          </w:tcPr>
          <w:p w:rsidR="00821E2A" w:rsidRPr="007C30F1" w:rsidRDefault="00821E2A" w:rsidP="007E074C">
            <w:pPr>
              <w:pStyle w:val="Tabletext"/>
              <w:jc w:val="center"/>
              <w:rPr>
                <w:lang w:val="es-ES_tradnl"/>
              </w:rPr>
            </w:pPr>
            <w:r w:rsidRPr="007C30F1">
              <w:rPr>
                <w:lang w:val="es-ES_tradnl"/>
              </w:rPr>
              <w:t>9 367</w:t>
            </w:r>
          </w:p>
        </w:tc>
        <w:tc>
          <w:tcPr>
            <w:tcW w:w="1358" w:type="dxa"/>
            <w:vAlign w:val="center"/>
          </w:tcPr>
          <w:p w:rsidR="00821E2A" w:rsidRPr="007C30F1" w:rsidRDefault="00821E2A" w:rsidP="007E074C">
            <w:pPr>
              <w:pStyle w:val="Tabletext"/>
              <w:jc w:val="center"/>
              <w:rPr>
                <w:lang w:val="es-ES_tradnl"/>
              </w:rPr>
            </w:pPr>
            <w:r w:rsidRPr="007C30F1">
              <w:rPr>
                <w:lang w:val="es-ES_tradnl"/>
              </w:rPr>
              <w:t>1 009</w:t>
            </w:r>
          </w:p>
        </w:tc>
        <w:tc>
          <w:tcPr>
            <w:tcW w:w="1372" w:type="dxa"/>
            <w:vAlign w:val="center"/>
          </w:tcPr>
          <w:p w:rsidR="00821E2A" w:rsidRPr="007C30F1" w:rsidRDefault="00821E2A" w:rsidP="007E074C">
            <w:pPr>
              <w:pStyle w:val="Tabletext"/>
              <w:jc w:val="center"/>
              <w:rPr>
                <w:lang w:val="es-ES_tradnl"/>
              </w:rPr>
            </w:pPr>
            <w:r w:rsidRPr="007C30F1">
              <w:rPr>
                <w:lang w:val="es-ES_tradnl"/>
              </w:rPr>
              <w:t>1 021</w:t>
            </w:r>
          </w:p>
        </w:tc>
      </w:tr>
      <w:tr w:rsidR="00821E2A" w:rsidRPr="007C30F1" w:rsidTr="00821E2A">
        <w:tc>
          <w:tcPr>
            <w:tcW w:w="9024" w:type="dxa"/>
            <w:vAlign w:val="center"/>
          </w:tcPr>
          <w:p w:rsidR="00821E2A" w:rsidRPr="007C30F1" w:rsidRDefault="00821E2A" w:rsidP="007E074C">
            <w:pPr>
              <w:pStyle w:val="Tabletext"/>
              <w:rPr>
                <w:noProof/>
                <w:lang w:val="es-ES_tradnl" w:eastAsia="zh-CN"/>
              </w:rPr>
            </w:pPr>
            <w:r w:rsidRPr="007C30F1">
              <w:rPr>
                <w:b/>
                <w:bCs/>
                <w:color w:val="5B9BD5"/>
                <w:lang w:val="es-ES_tradnl"/>
              </w:rPr>
              <w:t>R.1-2:</w:t>
            </w:r>
            <w:r w:rsidRPr="007C30F1">
              <w:rPr>
                <w:color w:val="000000"/>
                <w:lang w:val="es-ES_tradnl"/>
              </w:rPr>
              <w:t xml:space="preserve"> </w:t>
            </w:r>
            <w:r w:rsidRPr="007C30F1">
              <w:rPr>
                <w:lang w:val="es-ES_tradnl"/>
              </w:rPr>
              <w:t>Actas Finales de Conferencias Regionales de Radiocomunicaciones, Acuerdos Regionales</w:t>
            </w:r>
          </w:p>
        </w:tc>
        <w:tc>
          <w:tcPr>
            <w:tcW w:w="1386" w:type="dxa"/>
            <w:vAlign w:val="center"/>
          </w:tcPr>
          <w:p w:rsidR="00821E2A" w:rsidRPr="007C30F1" w:rsidRDefault="00821E2A" w:rsidP="007E074C">
            <w:pPr>
              <w:pStyle w:val="Tabletext"/>
              <w:jc w:val="center"/>
              <w:rPr>
                <w:lang w:val="es-ES_tradnl"/>
              </w:rPr>
            </w:pPr>
            <w:r w:rsidRPr="007C30F1">
              <w:rPr>
                <w:lang w:val="es-ES_tradnl"/>
              </w:rPr>
              <w:t>242</w:t>
            </w:r>
          </w:p>
        </w:tc>
        <w:tc>
          <w:tcPr>
            <w:tcW w:w="1343" w:type="dxa"/>
            <w:vAlign w:val="center"/>
          </w:tcPr>
          <w:p w:rsidR="00821E2A" w:rsidRPr="007C30F1" w:rsidRDefault="00821E2A" w:rsidP="007E074C">
            <w:pPr>
              <w:pStyle w:val="Tabletext"/>
              <w:jc w:val="center"/>
              <w:rPr>
                <w:lang w:val="es-ES_tradnl"/>
              </w:rPr>
            </w:pPr>
            <w:r w:rsidRPr="007C30F1">
              <w:rPr>
                <w:lang w:val="es-ES_tradnl"/>
              </w:rPr>
              <w:t>333</w:t>
            </w:r>
          </w:p>
        </w:tc>
        <w:tc>
          <w:tcPr>
            <w:tcW w:w="1358" w:type="dxa"/>
            <w:vAlign w:val="center"/>
          </w:tcPr>
          <w:p w:rsidR="00821E2A" w:rsidRPr="007C30F1" w:rsidRDefault="00821E2A" w:rsidP="007E074C">
            <w:pPr>
              <w:pStyle w:val="Tabletext"/>
              <w:jc w:val="center"/>
              <w:rPr>
                <w:lang w:val="es-ES_tradnl"/>
              </w:rPr>
            </w:pPr>
            <w:r w:rsidRPr="007C30F1">
              <w:rPr>
                <w:lang w:val="es-ES_tradnl"/>
              </w:rPr>
              <w:t>308</w:t>
            </w:r>
          </w:p>
        </w:tc>
        <w:tc>
          <w:tcPr>
            <w:tcW w:w="1372" w:type="dxa"/>
            <w:vAlign w:val="center"/>
          </w:tcPr>
          <w:p w:rsidR="00821E2A" w:rsidRPr="007C30F1" w:rsidRDefault="00821E2A" w:rsidP="007E074C">
            <w:pPr>
              <w:pStyle w:val="Tabletext"/>
              <w:jc w:val="center"/>
              <w:rPr>
                <w:lang w:val="es-ES_tradnl"/>
              </w:rPr>
            </w:pPr>
            <w:r w:rsidRPr="007C30F1">
              <w:rPr>
                <w:lang w:val="es-ES_tradnl"/>
              </w:rPr>
              <w:t>309</w:t>
            </w:r>
          </w:p>
        </w:tc>
      </w:tr>
      <w:tr w:rsidR="00821E2A" w:rsidRPr="007C30F1" w:rsidTr="00821E2A">
        <w:tc>
          <w:tcPr>
            <w:tcW w:w="9024" w:type="dxa"/>
            <w:vAlign w:val="center"/>
          </w:tcPr>
          <w:p w:rsidR="00821E2A" w:rsidRPr="007C30F1" w:rsidRDefault="00821E2A" w:rsidP="007E074C">
            <w:pPr>
              <w:pStyle w:val="Tabletext"/>
              <w:rPr>
                <w:noProof/>
                <w:lang w:val="es-ES_tradnl" w:eastAsia="zh-CN"/>
              </w:rPr>
            </w:pPr>
            <w:r w:rsidRPr="007C30F1">
              <w:rPr>
                <w:b/>
                <w:bCs/>
                <w:color w:val="5B9BD5"/>
                <w:lang w:val="es-ES_tradnl"/>
              </w:rPr>
              <w:t>R.1-3:</w:t>
            </w:r>
            <w:r w:rsidRPr="007C30F1">
              <w:rPr>
                <w:color w:val="000000"/>
                <w:lang w:val="es-ES_tradnl"/>
              </w:rPr>
              <w:t xml:space="preserve"> </w:t>
            </w:r>
            <w:r w:rsidRPr="007C30F1">
              <w:rPr>
                <w:lang w:val="es-ES_tradnl"/>
              </w:rPr>
              <w:t>Reglas de Procedimiento adoptadas por la Junta del Reglamento de Radiocomunicaciones (RRB)</w:t>
            </w:r>
          </w:p>
        </w:tc>
        <w:tc>
          <w:tcPr>
            <w:tcW w:w="1386" w:type="dxa"/>
            <w:vAlign w:val="center"/>
          </w:tcPr>
          <w:p w:rsidR="00821E2A" w:rsidRPr="007C30F1" w:rsidRDefault="00821E2A" w:rsidP="007E074C">
            <w:pPr>
              <w:pStyle w:val="Tabletext"/>
              <w:jc w:val="center"/>
              <w:rPr>
                <w:lang w:val="es-ES_tradnl"/>
              </w:rPr>
            </w:pPr>
            <w:r w:rsidRPr="007C30F1">
              <w:rPr>
                <w:lang w:val="es-ES_tradnl"/>
              </w:rPr>
              <w:t>1 268</w:t>
            </w:r>
          </w:p>
        </w:tc>
        <w:tc>
          <w:tcPr>
            <w:tcW w:w="1343" w:type="dxa"/>
            <w:vAlign w:val="center"/>
          </w:tcPr>
          <w:p w:rsidR="00821E2A" w:rsidRPr="007C30F1" w:rsidRDefault="00821E2A" w:rsidP="007E074C">
            <w:pPr>
              <w:pStyle w:val="Tabletext"/>
              <w:jc w:val="center"/>
              <w:rPr>
                <w:lang w:val="es-ES_tradnl"/>
              </w:rPr>
            </w:pPr>
            <w:r w:rsidRPr="007C30F1">
              <w:rPr>
                <w:lang w:val="es-ES_tradnl"/>
              </w:rPr>
              <w:t>1 213</w:t>
            </w:r>
          </w:p>
        </w:tc>
        <w:tc>
          <w:tcPr>
            <w:tcW w:w="1358" w:type="dxa"/>
            <w:vAlign w:val="center"/>
          </w:tcPr>
          <w:p w:rsidR="00821E2A" w:rsidRPr="007C30F1" w:rsidRDefault="00821E2A" w:rsidP="007E074C">
            <w:pPr>
              <w:pStyle w:val="Tabletext"/>
              <w:jc w:val="center"/>
              <w:rPr>
                <w:lang w:val="es-ES_tradnl"/>
              </w:rPr>
            </w:pPr>
            <w:r w:rsidRPr="007C30F1">
              <w:rPr>
                <w:lang w:val="es-ES_tradnl"/>
              </w:rPr>
              <w:t>1 238</w:t>
            </w:r>
          </w:p>
        </w:tc>
        <w:tc>
          <w:tcPr>
            <w:tcW w:w="1372" w:type="dxa"/>
            <w:vAlign w:val="center"/>
          </w:tcPr>
          <w:p w:rsidR="00821E2A" w:rsidRPr="007C30F1" w:rsidRDefault="00821E2A" w:rsidP="007E074C">
            <w:pPr>
              <w:pStyle w:val="Tabletext"/>
              <w:jc w:val="center"/>
              <w:rPr>
                <w:lang w:val="es-ES_tradnl"/>
              </w:rPr>
            </w:pPr>
            <w:r w:rsidRPr="007C30F1">
              <w:rPr>
                <w:lang w:val="es-ES_tradnl"/>
              </w:rPr>
              <w:t>1 226</w:t>
            </w:r>
          </w:p>
        </w:tc>
      </w:tr>
      <w:tr w:rsidR="00821E2A" w:rsidRPr="007C30F1" w:rsidTr="00821E2A">
        <w:tc>
          <w:tcPr>
            <w:tcW w:w="9024" w:type="dxa"/>
            <w:vAlign w:val="center"/>
          </w:tcPr>
          <w:p w:rsidR="00821E2A" w:rsidRPr="007C30F1" w:rsidRDefault="00821E2A" w:rsidP="007E074C">
            <w:pPr>
              <w:pStyle w:val="Tabletext"/>
              <w:rPr>
                <w:noProof/>
                <w:lang w:val="es-ES_tradnl" w:eastAsia="zh-CN"/>
              </w:rPr>
            </w:pPr>
            <w:r w:rsidRPr="007C30F1">
              <w:rPr>
                <w:b/>
                <w:bCs/>
                <w:color w:val="5B9BD5"/>
                <w:lang w:val="es-ES_tradnl"/>
              </w:rPr>
              <w:t xml:space="preserve">R.1-4: </w:t>
            </w:r>
            <w:r w:rsidRPr="007C30F1">
              <w:rPr>
                <w:lang w:val="es-ES_tradnl"/>
              </w:rPr>
              <w:t>Resultados de la tramitación de notificaciones espaciales y otras actividades conexas</w:t>
            </w:r>
          </w:p>
        </w:tc>
        <w:tc>
          <w:tcPr>
            <w:tcW w:w="1386" w:type="dxa"/>
            <w:vAlign w:val="center"/>
          </w:tcPr>
          <w:p w:rsidR="00821E2A" w:rsidRPr="007C30F1" w:rsidRDefault="00821E2A" w:rsidP="007E074C">
            <w:pPr>
              <w:pStyle w:val="Tabletext"/>
              <w:jc w:val="center"/>
              <w:rPr>
                <w:lang w:val="es-ES_tradnl"/>
              </w:rPr>
            </w:pPr>
            <w:r w:rsidRPr="007C30F1">
              <w:rPr>
                <w:lang w:val="es-ES_tradnl"/>
              </w:rPr>
              <w:t>14 641</w:t>
            </w:r>
          </w:p>
        </w:tc>
        <w:tc>
          <w:tcPr>
            <w:tcW w:w="1343" w:type="dxa"/>
            <w:vAlign w:val="center"/>
          </w:tcPr>
          <w:p w:rsidR="00821E2A" w:rsidRPr="007C30F1" w:rsidRDefault="00821E2A" w:rsidP="007E074C">
            <w:pPr>
              <w:pStyle w:val="Tabletext"/>
              <w:jc w:val="center"/>
              <w:rPr>
                <w:lang w:val="es-ES_tradnl"/>
              </w:rPr>
            </w:pPr>
            <w:r w:rsidRPr="007C30F1">
              <w:rPr>
                <w:lang w:val="es-ES_tradnl"/>
              </w:rPr>
              <w:t>14 577</w:t>
            </w:r>
          </w:p>
        </w:tc>
        <w:tc>
          <w:tcPr>
            <w:tcW w:w="1358" w:type="dxa"/>
            <w:vAlign w:val="center"/>
          </w:tcPr>
          <w:p w:rsidR="00821E2A" w:rsidRPr="007C30F1" w:rsidRDefault="00821E2A" w:rsidP="007E074C">
            <w:pPr>
              <w:pStyle w:val="Tabletext"/>
              <w:jc w:val="center"/>
              <w:rPr>
                <w:lang w:val="es-ES_tradnl"/>
              </w:rPr>
            </w:pPr>
            <w:r w:rsidRPr="007C30F1">
              <w:rPr>
                <w:lang w:val="es-ES_tradnl"/>
              </w:rPr>
              <w:t>15 259</w:t>
            </w:r>
          </w:p>
        </w:tc>
        <w:tc>
          <w:tcPr>
            <w:tcW w:w="1372" w:type="dxa"/>
            <w:vAlign w:val="center"/>
          </w:tcPr>
          <w:p w:rsidR="00821E2A" w:rsidRPr="007C30F1" w:rsidRDefault="00821E2A" w:rsidP="007E074C">
            <w:pPr>
              <w:pStyle w:val="Tabletext"/>
              <w:jc w:val="center"/>
              <w:rPr>
                <w:lang w:val="es-ES_tradnl"/>
              </w:rPr>
            </w:pPr>
            <w:r w:rsidRPr="007C30F1">
              <w:rPr>
                <w:lang w:val="es-ES_tradnl"/>
              </w:rPr>
              <w:t>15 388</w:t>
            </w:r>
          </w:p>
        </w:tc>
      </w:tr>
      <w:tr w:rsidR="00821E2A" w:rsidRPr="007C30F1" w:rsidTr="00821E2A">
        <w:tc>
          <w:tcPr>
            <w:tcW w:w="9024" w:type="dxa"/>
            <w:vAlign w:val="center"/>
          </w:tcPr>
          <w:p w:rsidR="00821E2A" w:rsidRPr="007C30F1" w:rsidRDefault="00821E2A" w:rsidP="007E074C">
            <w:pPr>
              <w:pStyle w:val="Tabletext"/>
              <w:rPr>
                <w:noProof/>
                <w:lang w:val="es-ES_tradnl" w:eastAsia="zh-CN"/>
              </w:rPr>
            </w:pPr>
            <w:r w:rsidRPr="007C30F1">
              <w:rPr>
                <w:b/>
                <w:bCs/>
                <w:color w:val="5B9BD5"/>
                <w:lang w:val="es-ES_tradnl"/>
              </w:rPr>
              <w:t xml:space="preserve">R.1-5: </w:t>
            </w:r>
            <w:r w:rsidRPr="007C30F1">
              <w:rPr>
                <w:lang w:val="es-ES_tradnl"/>
              </w:rPr>
              <w:t>Resultados de la tramitación de notificaciones terrenales y otras actividades conexas</w:t>
            </w:r>
          </w:p>
        </w:tc>
        <w:tc>
          <w:tcPr>
            <w:tcW w:w="1386" w:type="dxa"/>
            <w:vAlign w:val="center"/>
          </w:tcPr>
          <w:p w:rsidR="00821E2A" w:rsidRPr="007C30F1" w:rsidRDefault="00821E2A" w:rsidP="007E074C">
            <w:pPr>
              <w:pStyle w:val="Tabletext"/>
              <w:jc w:val="center"/>
              <w:rPr>
                <w:lang w:val="es-ES_tradnl"/>
              </w:rPr>
            </w:pPr>
            <w:r w:rsidRPr="007C30F1">
              <w:rPr>
                <w:lang w:val="es-ES_tradnl"/>
              </w:rPr>
              <w:t>7 475</w:t>
            </w:r>
          </w:p>
        </w:tc>
        <w:tc>
          <w:tcPr>
            <w:tcW w:w="1343" w:type="dxa"/>
            <w:vAlign w:val="center"/>
          </w:tcPr>
          <w:p w:rsidR="00821E2A" w:rsidRPr="007C30F1" w:rsidRDefault="00821E2A" w:rsidP="007E074C">
            <w:pPr>
              <w:pStyle w:val="Tabletext"/>
              <w:jc w:val="center"/>
              <w:rPr>
                <w:lang w:val="es-ES_tradnl"/>
              </w:rPr>
            </w:pPr>
            <w:r w:rsidRPr="007C30F1">
              <w:rPr>
                <w:lang w:val="es-ES_tradnl"/>
              </w:rPr>
              <w:t>7 339</w:t>
            </w:r>
          </w:p>
        </w:tc>
        <w:tc>
          <w:tcPr>
            <w:tcW w:w="1358" w:type="dxa"/>
            <w:vAlign w:val="center"/>
          </w:tcPr>
          <w:p w:rsidR="00821E2A" w:rsidRPr="007C30F1" w:rsidRDefault="00821E2A" w:rsidP="007E074C">
            <w:pPr>
              <w:pStyle w:val="Tabletext"/>
              <w:jc w:val="center"/>
              <w:rPr>
                <w:lang w:val="es-ES_tradnl"/>
              </w:rPr>
            </w:pPr>
            <w:r w:rsidRPr="007C30F1">
              <w:rPr>
                <w:lang w:val="es-ES_tradnl"/>
              </w:rPr>
              <w:t>7 371</w:t>
            </w:r>
          </w:p>
        </w:tc>
        <w:tc>
          <w:tcPr>
            <w:tcW w:w="1372" w:type="dxa"/>
            <w:vAlign w:val="center"/>
          </w:tcPr>
          <w:p w:rsidR="00821E2A" w:rsidRPr="007C30F1" w:rsidRDefault="00821E2A" w:rsidP="007E074C">
            <w:pPr>
              <w:pStyle w:val="Tabletext"/>
              <w:jc w:val="center"/>
              <w:rPr>
                <w:lang w:val="es-ES_tradnl"/>
              </w:rPr>
            </w:pPr>
            <w:r w:rsidRPr="007C30F1">
              <w:rPr>
                <w:lang w:val="es-ES_tradnl"/>
              </w:rPr>
              <w:t>7 383</w:t>
            </w:r>
          </w:p>
        </w:tc>
      </w:tr>
      <w:tr w:rsidR="00821E2A" w:rsidRPr="007C30F1" w:rsidTr="00821E2A">
        <w:tc>
          <w:tcPr>
            <w:tcW w:w="9024" w:type="dxa"/>
            <w:vAlign w:val="center"/>
          </w:tcPr>
          <w:p w:rsidR="00821E2A" w:rsidRPr="007C30F1" w:rsidRDefault="00821E2A" w:rsidP="007E074C">
            <w:pPr>
              <w:pStyle w:val="Tabletext"/>
              <w:rPr>
                <w:rFonts w:cs="Arial"/>
                <w:b/>
                <w:bCs/>
                <w:lang w:val="es-ES_tradnl"/>
              </w:rPr>
            </w:pPr>
            <w:r w:rsidRPr="007C30F1">
              <w:rPr>
                <w:b/>
                <w:bCs/>
                <w:color w:val="5B9BD5"/>
                <w:lang w:val="es-ES_tradnl"/>
              </w:rPr>
              <w:t>R.1-6:</w:t>
            </w:r>
            <w:r w:rsidRPr="007C30F1">
              <w:rPr>
                <w:lang w:val="es-ES_tradnl"/>
              </w:rPr>
              <w:t xml:space="preserve"> Decisiones de la RRB distintas de la adopción de Reglas de Procedimiento</w:t>
            </w:r>
          </w:p>
        </w:tc>
        <w:tc>
          <w:tcPr>
            <w:tcW w:w="1386" w:type="dxa"/>
            <w:vAlign w:val="center"/>
          </w:tcPr>
          <w:p w:rsidR="00821E2A" w:rsidRPr="007C30F1" w:rsidRDefault="00821E2A" w:rsidP="007E074C">
            <w:pPr>
              <w:pStyle w:val="Tabletext"/>
              <w:jc w:val="center"/>
              <w:rPr>
                <w:lang w:val="es-ES_tradnl"/>
              </w:rPr>
            </w:pPr>
            <w:r w:rsidRPr="007C30F1">
              <w:rPr>
                <w:lang w:val="es-ES_tradnl"/>
              </w:rPr>
              <w:t>1 186</w:t>
            </w:r>
          </w:p>
        </w:tc>
        <w:tc>
          <w:tcPr>
            <w:tcW w:w="1343" w:type="dxa"/>
            <w:vAlign w:val="center"/>
          </w:tcPr>
          <w:p w:rsidR="00821E2A" w:rsidRPr="007C30F1" w:rsidRDefault="00821E2A" w:rsidP="007E074C">
            <w:pPr>
              <w:pStyle w:val="Tabletext"/>
              <w:jc w:val="center"/>
              <w:rPr>
                <w:lang w:val="es-ES_tradnl"/>
              </w:rPr>
            </w:pPr>
            <w:r w:rsidRPr="007C30F1">
              <w:rPr>
                <w:lang w:val="es-ES_tradnl"/>
              </w:rPr>
              <w:t>951</w:t>
            </w:r>
          </w:p>
        </w:tc>
        <w:tc>
          <w:tcPr>
            <w:tcW w:w="1358" w:type="dxa"/>
            <w:vAlign w:val="center"/>
          </w:tcPr>
          <w:p w:rsidR="00821E2A" w:rsidRPr="007C30F1" w:rsidRDefault="00821E2A" w:rsidP="007E074C">
            <w:pPr>
              <w:pStyle w:val="Tabletext"/>
              <w:jc w:val="center"/>
              <w:rPr>
                <w:lang w:val="es-ES_tradnl"/>
              </w:rPr>
            </w:pPr>
            <w:r w:rsidRPr="007C30F1">
              <w:rPr>
                <w:lang w:val="es-ES_tradnl"/>
              </w:rPr>
              <w:t>1 422</w:t>
            </w:r>
          </w:p>
        </w:tc>
        <w:tc>
          <w:tcPr>
            <w:tcW w:w="1372" w:type="dxa"/>
            <w:vAlign w:val="center"/>
          </w:tcPr>
          <w:p w:rsidR="00821E2A" w:rsidRPr="007C30F1" w:rsidRDefault="00821E2A" w:rsidP="007E074C">
            <w:pPr>
              <w:pStyle w:val="Tabletext"/>
              <w:jc w:val="center"/>
              <w:rPr>
                <w:lang w:val="es-ES_tradnl"/>
              </w:rPr>
            </w:pPr>
            <w:r w:rsidRPr="007C30F1">
              <w:rPr>
                <w:lang w:val="es-ES_tradnl"/>
              </w:rPr>
              <w:t>1 435</w:t>
            </w:r>
          </w:p>
        </w:tc>
      </w:tr>
      <w:tr w:rsidR="00821E2A" w:rsidRPr="007C30F1" w:rsidTr="00821E2A">
        <w:tc>
          <w:tcPr>
            <w:tcW w:w="9024" w:type="dxa"/>
            <w:vAlign w:val="center"/>
          </w:tcPr>
          <w:p w:rsidR="00821E2A" w:rsidRPr="007C30F1" w:rsidRDefault="00821E2A" w:rsidP="007E074C">
            <w:pPr>
              <w:pStyle w:val="Tabletext"/>
              <w:rPr>
                <w:rFonts w:cs="Arial"/>
                <w:b/>
                <w:bCs/>
                <w:color w:val="4F81BD" w:themeColor="accent1"/>
                <w:lang w:val="es-ES_tradnl"/>
              </w:rPr>
            </w:pPr>
            <w:r w:rsidRPr="007C30F1">
              <w:rPr>
                <w:b/>
                <w:bCs/>
                <w:color w:val="5B9BD5"/>
                <w:lang w:val="es-ES_tradnl"/>
              </w:rPr>
              <w:t xml:space="preserve">R.1-7: </w:t>
            </w:r>
            <w:r w:rsidRPr="007C30F1">
              <w:rPr>
                <w:lang w:val="es-ES_tradnl"/>
              </w:rPr>
              <w:t>Mejora del software del UIT</w:t>
            </w:r>
            <w:r w:rsidRPr="007C30F1">
              <w:rPr>
                <w:lang w:val="es-ES_tradnl"/>
              </w:rPr>
              <w:noBreakHyphen/>
              <w:t>R</w:t>
            </w:r>
          </w:p>
        </w:tc>
        <w:tc>
          <w:tcPr>
            <w:tcW w:w="1386" w:type="dxa"/>
            <w:vAlign w:val="center"/>
          </w:tcPr>
          <w:p w:rsidR="00821E2A" w:rsidRPr="007C30F1" w:rsidRDefault="00821E2A" w:rsidP="007E074C">
            <w:pPr>
              <w:pStyle w:val="Tabletext"/>
              <w:jc w:val="center"/>
              <w:rPr>
                <w:lang w:val="es-ES_tradnl"/>
              </w:rPr>
            </w:pPr>
            <w:r w:rsidRPr="007C30F1">
              <w:rPr>
                <w:lang w:val="es-ES_tradnl"/>
              </w:rPr>
              <w:t>7 725</w:t>
            </w:r>
          </w:p>
        </w:tc>
        <w:tc>
          <w:tcPr>
            <w:tcW w:w="1343" w:type="dxa"/>
            <w:vAlign w:val="center"/>
          </w:tcPr>
          <w:p w:rsidR="00821E2A" w:rsidRPr="007C30F1" w:rsidRDefault="00821E2A" w:rsidP="007E074C">
            <w:pPr>
              <w:pStyle w:val="Tabletext"/>
              <w:jc w:val="center"/>
              <w:rPr>
                <w:lang w:val="es-ES_tradnl"/>
              </w:rPr>
            </w:pPr>
            <w:r w:rsidRPr="007C30F1">
              <w:rPr>
                <w:lang w:val="es-ES_tradnl"/>
              </w:rPr>
              <w:t>7 562</w:t>
            </w:r>
          </w:p>
        </w:tc>
        <w:tc>
          <w:tcPr>
            <w:tcW w:w="1358" w:type="dxa"/>
            <w:vAlign w:val="center"/>
          </w:tcPr>
          <w:p w:rsidR="00821E2A" w:rsidRPr="007C30F1" w:rsidRDefault="00821E2A" w:rsidP="007E074C">
            <w:pPr>
              <w:pStyle w:val="Tabletext"/>
              <w:jc w:val="center"/>
              <w:rPr>
                <w:lang w:val="es-ES_tradnl"/>
              </w:rPr>
            </w:pPr>
            <w:r w:rsidRPr="007C30F1">
              <w:rPr>
                <w:lang w:val="es-ES_tradnl"/>
              </w:rPr>
              <w:t>7 453</w:t>
            </w:r>
          </w:p>
        </w:tc>
        <w:tc>
          <w:tcPr>
            <w:tcW w:w="1372" w:type="dxa"/>
            <w:vAlign w:val="center"/>
          </w:tcPr>
          <w:p w:rsidR="00821E2A" w:rsidRPr="007C30F1" w:rsidRDefault="00821E2A" w:rsidP="007E074C">
            <w:pPr>
              <w:pStyle w:val="Tabletext"/>
              <w:jc w:val="center"/>
              <w:rPr>
                <w:lang w:val="es-ES_tradnl"/>
              </w:rPr>
            </w:pPr>
            <w:r w:rsidRPr="007C30F1">
              <w:rPr>
                <w:lang w:val="es-ES_tradnl"/>
              </w:rPr>
              <w:t>7 505</w:t>
            </w:r>
          </w:p>
        </w:tc>
      </w:tr>
      <w:tr w:rsidR="00821E2A" w:rsidRPr="007C30F1" w:rsidTr="00821E2A">
        <w:tc>
          <w:tcPr>
            <w:tcW w:w="9024" w:type="dxa"/>
            <w:vAlign w:val="center"/>
          </w:tcPr>
          <w:p w:rsidR="00821E2A" w:rsidRPr="007C30F1" w:rsidRDefault="00821E2A" w:rsidP="007E074C">
            <w:pPr>
              <w:pStyle w:val="Tabletext"/>
              <w:rPr>
                <w:b/>
                <w:bCs/>
                <w:color w:val="5B9BD5"/>
                <w:lang w:val="es-ES_tradnl"/>
              </w:rPr>
            </w:pPr>
            <w:r w:rsidRPr="007C30F1">
              <w:rPr>
                <w:lang w:val="es-ES_tradnl"/>
              </w:rPr>
              <w:t xml:space="preserve">Atribución de costos a las actividades de la Conferencia de Plenipotenciarios y el Consejo </w:t>
            </w:r>
            <w:r w:rsidRPr="007C30F1">
              <w:rPr>
                <w:b/>
                <w:bCs/>
                <w:color w:val="4F81BD" w:themeColor="accent1"/>
                <w:lang w:val="es-ES_tradnl"/>
              </w:rPr>
              <w:t>(PP</w:t>
            </w:r>
            <w:r w:rsidRPr="007C30F1">
              <w:rPr>
                <w:color w:val="4F81BD" w:themeColor="accent1"/>
                <w:lang w:val="es-ES_tradnl"/>
              </w:rPr>
              <w:t xml:space="preserve">, </w:t>
            </w:r>
            <w:r w:rsidRPr="007C30F1">
              <w:rPr>
                <w:b/>
                <w:bCs/>
                <w:color w:val="4F81BD" w:themeColor="accent1"/>
                <w:lang w:val="es-ES_tradnl"/>
              </w:rPr>
              <w:t>Consejo/GTC)</w:t>
            </w:r>
          </w:p>
        </w:tc>
        <w:tc>
          <w:tcPr>
            <w:tcW w:w="1386" w:type="dxa"/>
            <w:vAlign w:val="center"/>
          </w:tcPr>
          <w:p w:rsidR="00821E2A" w:rsidRPr="007C30F1" w:rsidRDefault="00821E2A" w:rsidP="007E074C">
            <w:pPr>
              <w:pStyle w:val="Tabletext"/>
              <w:jc w:val="center"/>
              <w:rPr>
                <w:lang w:val="es-ES_tradnl"/>
              </w:rPr>
            </w:pPr>
            <w:r w:rsidRPr="007C30F1">
              <w:rPr>
                <w:lang w:val="es-ES_tradnl"/>
              </w:rPr>
              <w:t>2 028</w:t>
            </w:r>
          </w:p>
        </w:tc>
        <w:tc>
          <w:tcPr>
            <w:tcW w:w="1343" w:type="dxa"/>
            <w:vAlign w:val="center"/>
          </w:tcPr>
          <w:p w:rsidR="00821E2A" w:rsidRPr="007C30F1" w:rsidRDefault="00821E2A" w:rsidP="007E074C">
            <w:pPr>
              <w:pStyle w:val="Tabletext"/>
              <w:jc w:val="center"/>
              <w:rPr>
                <w:lang w:val="es-ES_tradnl"/>
              </w:rPr>
            </w:pPr>
            <w:r w:rsidRPr="007C30F1">
              <w:rPr>
                <w:lang w:val="es-ES_tradnl"/>
              </w:rPr>
              <w:t>1 229</w:t>
            </w:r>
          </w:p>
        </w:tc>
        <w:tc>
          <w:tcPr>
            <w:tcW w:w="1358" w:type="dxa"/>
            <w:vAlign w:val="center"/>
          </w:tcPr>
          <w:p w:rsidR="00821E2A" w:rsidRPr="007C30F1" w:rsidRDefault="00821E2A" w:rsidP="007E074C">
            <w:pPr>
              <w:pStyle w:val="Tabletext"/>
              <w:jc w:val="center"/>
              <w:rPr>
                <w:lang w:val="es-ES_tradnl"/>
              </w:rPr>
            </w:pPr>
            <w:r w:rsidRPr="007C30F1">
              <w:rPr>
                <w:lang w:val="es-ES_tradnl"/>
              </w:rPr>
              <w:t>1 050</w:t>
            </w:r>
          </w:p>
        </w:tc>
        <w:tc>
          <w:tcPr>
            <w:tcW w:w="1372" w:type="dxa"/>
            <w:vAlign w:val="center"/>
          </w:tcPr>
          <w:p w:rsidR="00821E2A" w:rsidRPr="007C30F1" w:rsidRDefault="00821E2A" w:rsidP="007E074C">
            <w:pPr>
              <w:pStyle w:val="Tabletext"/>
              <w:jc w:val="center"/>
              <w:rPr>
                <w:lang w:val="es-ES_tradnl"/>
              </w:rPr>
            </w:pPr>
            <w:r w:rsidRPr="007C30F1">
              <w:rPr>
                <w:lang w:val="es-ES_tradnl"/>
              </w:rPr>
              <w:t>1 204</w:t>
            </w:r>
          </w:p>
        </w:tc>
      </w:tr>
      <w:tr w:rsidR="00821E2A" w:rsidRPr="007C30F1" w:rsidTr="00821E2A">
        <w:tc>
          <w:tcPr>
            <w:tcW w:w="9024" w:type="dxa"/>
            <w:vAlign w:val="center"/>
          </w:tcPr>
          <w:p w:rsidR="00821E2A" w:rsidRPr="007C30F1" w:rsidRDefault="00821E2A" w:rsidP="007E074C">
            <w:pPr>
              <w:pStyle w:val="Tabletext"/>
              <w:rPr>
                <w:b/>
                <w:bCs/>
                <w:noProof/>
                <w:color w:val="4F81BD" w:themeColor="accent1"/>
                <w:lang w:val="es-ES_tradnl" w:eastAsia="zh-CN"/>
              </w:rPr>
            </w:pPr>
            <w:r w:rsidRPr="007C30F1">
              <w:rPr>
                <w:b/>
                <w:bCs/>
                <w:color w:val="4F81BD" w:themeColor="accent1"/>
                <w:lang w:val="es-ES_tradnl"/>
              </w:rPr>
              <w:t>Total para el Objetivo R.1</w:t>
            </w:r>
          </w:p>
        </w:tc>
        <w:tc>
          <w:tcPr>
            <w:tcW w:w="1386" w:type="dxa"/>
            <w:vAlign w:val="center"/>
          </w:tcPr>
          <w:p w:rsidR="00821E2A" w:rsidRPr="007C30F1" w:rsidRDefault="00821E2A" w:rsidP="007E074C">
            <w:pPr>
              <w:pStyle w:val="Tabletext"/>
              <w:jc w:val="center"/>
              <w:rPr>
                <w:b/>
                <w:bCs/>
                <w:lang w:val="es-ES_tradnl"/>
              </w:rPr>
            </w:pPr>
            <w:r w:rsidRPr="007C30F1">
              <w:rPr>
                <w:b/>
                <w:bCs/>
                <w:lang w:val="es-ES_tradnl"/>
              </w:rPr>
              <w:t>36 327</w:t>
            </w:r>
          </w:p>
        </w:tc>
        <w:tc>
          <w:tcPr>
            <w:tcW w:w="1343" w:type="dxa"/>
            <w:vAlign w:val="center"/>
          </w:tcPr>
          <w:p w:rsidR="00821E2A" w:rsidRPr="007C30F1" w:rsidRDefault="00821E2A" w:rsidP="007E074C">
            <w:pPr>
              <w:pStyle w:val="Tabletext"/>
              <w:jc w:val="center"/>
              <w:rPr>
                <w:b/>
                <w:bCs/>
                <w:lang w:val="es-ES_tradnl"/>
              </w:rPr>
            </w:pPr>
            <w:r w:rsidRPr="007C30F1">
              <w:rPr>
                <w:b/>
                <w:bCs/>
                <w:lang w:val="es-ES_tradnl"/>
              </w:rPr>
              <w:t>42 571</w:t>
            </w:r>
          </w:p>
        </w:tc>
        <w:tc>
          <w:tcPr>
            <w:tcW w:w="1358" w:type="dxa"/>
            <w:vAlign w:val="center"/>
          </w:tcPr>
          <w:p w:rsidR="00821E2A" w:rsidRPr="007C30F1" w:rsidRDefault="00821E2A" w:rsidP="007E074C">
            <w:pPr>
              <w:pStyle w:val="Tabletext"/>
              <w:jc w:val="center"/>
              <w:rPr>
                <w:b/>
                <w:bCs/>
                <w:lang w:val="es-ES_tradnl"/>
              </w:rPr>
            </w:pPr>
            <w:r w:rsidRPr="007C30F1">
              <w:rPr>
                <w:b/>
                <w:bCs/>
                <w:lang w:val="es-ES_tradnl"/>
              </w:rPr>
              <w:t>35 110</w:t>
            </w:r>
          </w:p>
        </w:tc>
        <w:tc>
          <w:tcPr>
            <w:tcW w:w="1372" w:type="dxa"/>
            <w:vAlign w:val="center"/>
          </w:tcPr>
          <w:p w:rsidR="00821E2A" w:rsidRPr="007C30F1" w:rsidRDefault="00821E2A" w:rsidP="007E074C">
            <w:pPr>
              <w:pStyle w:val="Tabletext"/>
              <w:jc w:val="center"/>
              <w:rPr>
                <w:b/>
                <w:bCs/>
                <w:lang w:val="es-ES_tradnl"/>
              </w:rPr>
            </w:pPr>
            <w:r w:rsidRPr="007C30F1">
              <w:rPr>
                <w:b/>
                <w:bCs/>
                <w:lang w:val="es-ES_tradnl"/>
              </w:rPr>
              <w:t>35 471</w:t>
            </w:r>
          </w:p>
        </w:tc>
      </w:tr>
    </w:tbl>
    <w:p w:rsidR="00821E2A" w:rsidRPr="007C30F1" w:rsidRDefault="00821E2A" w:rsidP="007E074C">
      <w:pPr>
        <w:spacing w:line="240" w:lineRule="auto"/>
        <w:rPr>
          <w:lang w:val="es-ES_tradnl"/>
        </w:rPr>
      </w:pPr>
      <w:r w:rsidRPr="007C30F1">
        <w:rPr>
          <w:lang w:val="es-ES_tradnl"/>
        </w:rPr>
        <w:br w:type="page"/>
      </w:r>
    </w:p>
    <w:p w:rsidR="00821E2A" w:rsidRPr="007C30F1" w:rsidRDefault="00821E2A" w:rsidP="007E074C">
      <w:pPr>
        <w:pStyle w:val="Heading2"/>
        <w:tabs>
          <w:tab w:val="left" w:pos="993"/>
        </w:tabs>
        <w:spacing w:after="120" w:line="240" w:lineRule="auto"/>
        <w:rPr>
          <w:color w:val="4F81BD" w:themeColor="accent1"/>
          <w:lang w:val="es-ES_tradnl"/>
        </w:rPr>
      </w:pPr>
      <w:r w:rsidRPr="007C30F1">
        <w:rPr>
          <w:color w:val="4F81BD" w:themeColor="accent1"/>
          <w:lang w:val="es-ES_tradnl"/>
        </w:rPr>
        <w:lastRenderedPageBreak/>
        <w:t>5.2</w:t>
      </w:r>
      <w:r w:rsidRPr="007C30F1">
        <w:rPr>
          <w:color w:val="4F81BD" w:themeColor="accent1"/>
          <w:lang w:val="es-ES_tradnl"/>
        </w:rPr>
        <w:tab/>
        <w:t>R.2: Asegurar una conectividad e interoperatividad mundiales, mejora de la calidad de funcionamiento, calidad, asequibilidad y puntualidad de la economía de los servicios y global del sistema en las radiocomunicaciones, incluso mediante la elaboración de normas internacionales</w:t>
      </w:r>
    </w:p>
    <w:tbl>
      <w:tblPr>
        <w:tblW w:w="1509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620" w:firstRow="1" w:lastRow="0" w:firstColumn="0" w:lastColumn="0" w:noHBand="1" w:noVBand="1"/>
      </w:tblPr>
      <w:tblGrid>
        <w:gridCol w:w="3175"/>
        <w:gridCol w:w="3231"/>
        <w:gridCol w:w="850"/>
        <w:gridCol w:w="842"/>
        <w:gridCol w:w="850"/>
        <w:gridCol w:w="850"/>
        <w:gridCol w:w="850"/>
        <w:gridCol w:w="1077"/>
        <w:gridCol w:w="3365"/>
      </w:tblGrid>
      <w:tr w:rsidR="00821E2A" w:rsidRPr="007C30F1" w:rsidTr="00821E2A">
        <w:trPr>
          <w:tblHeader/>
          <w:jc w:val="center"/>
        </w:trPr>
        <w:tc>
          <w:tcPr>
            <w:tcW w:w="3175" w:type="dxa"/>
            <w:tcBorders>
              <w:right w:val="nil"/>
            </w:tcBorders>
            <w:shd w:val="clear" w:color="auto" w:fill="4F81BD" w:themeFill="accent1"/>
          </w:tcPr>
          <w:p w:rsidR="00821E2A" w:rsidRPr="007C30F1" w:rsidRDefault="00821E2A" w:rsidP="007E074C">
            <w:pPr>
              <w:pStyle w:val="Tablehead"/>
              <w:rPr>
                <w:rFonts w:cs="Arial"/>
                <w:color w:val="FFFFFF" w:themeColor="background1"/>
                <w:sz w:val="18"/>
                <w:szCs w:val="18"/>
                <w:lang w:val="es-ES_tradnl"/>
              </w:rPr>
            </w:pPr>
            <w:r w:rsidRPr="007C30F1">
              <w:rPr>
                <w:color w:val="FFFFFF" w:themeColor="background1"/>
                <w:sz w:val="18"/>
                <w:szCs w:val="18"/>
                <w:lang w:val="es-ES_tradnl"/>
              </w:rPr>
              <w:t>Resultado</w:t>
            </w:r>
          </w:p>
        </w:tc>
        <w:tc>
          <w:tcPr>
            <w:tcW w:w="3231" w:type="dxa"/>
            <w:tcBorders>
              <w:left w:val="nil"/>
              <w:right w:val="nil"/>
            </w:tcBorders>
            <w:shd w:val="clear" w:color="auto" w:fill="4F81BD" w:themeFill="accent1"/>
          </w:tcPr>
          <w:p w:rsidR="00821E2A" w:rsidRPr="007C30F1" w:rsidRDefault="00821E2A" w:rsidP="007E074C">
            <w:pPr>
              <w:pStyle w:val="Tablehead"/>
              <w:rPr>
                <w:color w:val="FFFFFF" w:themeColor="background1"/>
                <w:sz w:val="18"/>
                <w:szCs w:val="18"/>
                <w:lang w:val="es-ES_tradnl"/>
              </w:rPr>
            </w:pPr>
            <w:r w:rsidRPr="007C30F1">
              <w:rPr>
                <w:color w:val="FFFFFF" w:themeColor="background1"/>
                <w:sz w:val="18"/>
                <w:szCs w:val="18"/>
                <w:lang w:val="es-ES_tradnl"/>
              </w:rPr>
              <w:t>Indicador de resultados</w:t>
            </w:r>
            <w:r w:rsidRPr="007C30F1">
              <w:rPr>
                <w:rStyle w:val="FootnoteReference"/>
                <w:color w:val="FFFFFF" w:themeColor="background1"/>
                <w:szCs w:val="18"/>
                <w:lang w:val="es-ES_tradnl"/>
              </w:rPr>
              <w:footnoteReference w:id="4"/>
            </w:r>
          </w:p>
        </w:tc>
        <w:tc>
          <w:tcPr>
            <w:tcW w:w="850" w:type="dxa"/>
            <w:tcBorders>
              <w:left w:val="nil"/>
              <w:bottom w:val="single" w:sz="6" w:space="0" w:color="4F81BD" w:themeColor="accent1"/>
              <w:right w:val="nil"/>
            </w:tcBorders>
            <w:shd w:val="clear" w:color="auto" w:fill="4F81BD" w:themeFill="accent1"/>
          </w:tcPr>
          <w:p w:rsidR="00821E2A" w:rsidRPr="007C30F1" w:rsidRDefault="00821E2A" w:rsidP="007E074C">
            <w:pPr>
              <w:pStyle w:val="Tablehead"/>
              <w:rPr>
                <w:color w:val="FFFFFF" w:themeColor="background1"/>
                <w:sz w:val="18"/>
                <w:szCs w:val="18"/>
                <w:lang w:val="es-ES_tradnl"/>
              </w:rPr>
            </w:pPr>
            <w:r w:rsidRPr="007C30F1">
              <w:rPr>
                <w:color w:val="FFFFFF" w:themeColor="background1"/>
                <w:sz w:val="18"/>
                <w:szCs w:val="18"/>
                <w:lang w:val="es-ES_tradnl"/>
              </w:rPr>
              <w:t>2012</w:t>
            </w:r>
          </w:p>
        </w:tc>
        <w:tc>
          <w:tcPr>
            <w:tcW w:w="842" w:type="dxa"/>
            <w:tcBorders>
              <w:left w:val="nil"/>
              <w:bottom w:val="single" w:sz="6" w:space="0" w:color="4F81BD" w:themeColor="accent1"/>
              <w:right w:val="nil"/>
            </w:tcBorders>
            <w:shd w:val="clear" w:color="auto" w:fill="4F81BD" w:themeFill="accent1"/>
          </w:tcPr>
          <w:p w:rsidR="00821E2A" w:rsidRPr="007C30F1" w:rsidRDefault="00821E2A" w:rsidP="007E074C">
            <w:pPr>
              <w:pStyle w:val="Tablehead"/>
              <w:rPr>
                <w:color w:val="FFFFFF" w:themeColor="background1"/>
                <w:sz w:val="18"/>
                <w:szCs w:val="18"/>
                <w:lang w:val="es-ES_tradnl"/>
              </w:rPr>
            </w:pPr>
            <w:r w:rsidRPr="007C30F1">
              <w:rPr>
                <w:color w:val="FFFFFF" w:themeColor="background1"/>
                <w:sz w:val="18"/>
                <w:szCs w:val="18"/>
                <w:lang w:val="es-ES_tradnl"/>
              </w:rPr>
              <w:t>2013</w:t>
            </w:r>
          </w:p>
        </w:tc>
        <w:tc>
          <w:tcPr>
            <w:tcW w:w="850" w:type="dxa"/>
            <w:tcBorders>
              <w:left w:val="nil"/>
              <w:bottom w:val="single" w:sz="6" w:space="0" w:color="4F81BD" w:themeColor="accent1"/>
              <w:right w:val="nil"/>
            </w:tcBorders>
            <w:shd w:val="clear" w:color="auto" w:fill="4F81BD" w:themeFill="accent1"/>
          </w:tcPr>
          <w:p w:rsidR="00821E2A" w:rsidRPr="007C30F1" w:rsidRDefault="00821E2A" w:rsidP="007E074C">
            <w:pPr>
              <w:pStyle w:val="Tablehead"/>
              <w:rPr>
                <w:color w:val="FFFFFF" w:themeColor="background1"/>
                <w:sz w:val="18"/>
                <w:szCs w:val="18"/>
                <w:lang w:val="es-ES_tradnl"/>
              </w:rPr>
            </w:pPr>
            <w:r w:rsidRPr="007C30F1">
              <w:rPr>
                <w:color w:val="FFFFFF" w:themeColor="background1"/>
                <w:sz w:val="18"/>
                <w:szCs w:val="18"/>
                <w:lang w:val="es-ES_tradnl"/>
              </w:rPr>
              <w:t>2014</w:t>
            </w:r>
          </w:p>
        </w:tc>
        <w:tc>
          <w:tcPr>
            <w:tcW w:w="850" w:type="dxa"/>
            <w:tcBorders>
              <w:left w:val="nil"/>
              <w:bottom w:val="single" w:sz="6" w:space="0" w:color="4F81BD" w:themeColor="accent1"/>
              <w:right w:val="nil"/>
            </w:tcBorders>
            <w:shd w:val="clear" w:color="auto" w:fill="4F81BD" w:themeFill="accent1"/>
          </w:tcPr>
          <w:p w:rsidR="00821E2A" w:rsidRPr="007C30F1" w:rsidRDefault="00821E2A" w:rsidP="007E074C">
            <w:pPr>
              <w:pStyle w:val="Tablehead"/>
              <w:rPr>
                <w:color w:val="FFFFFF" w:themeColor="background1"/>
                <w:sz w:val="18"/>
                <w:szCs w:val="18"/>
                <w:lang w:val="es-ES_tradnl"/>
              </w:rPr>
            </w:pPr>
            <w:r w:rsidRPr="007C30F1">
              <w:rPr>
                <w:color w:val="FFFFFF" w:themeColor="background1"/>
                <w:sz w:val="18"/>
                <w:szCs w:val="18"/>
                <w:lang w:val="es-ES_tradnl"/>
              </w:rPr>
              <w:t>2015</w:t>
            </w:r>
          </w:p>
        </w:tc>
        <w:tc>
          <w:tcPr>
            <w:tcW w:w="850" w:type="dxa"/>
            <w:tcBorders>
              <w:left w:val="nil"/>
              <w:bottom w:val="single" w:sz="6" w:space="0" w:color="4F81BD" w:themeColor="accent1"/>
              <w:right w:val="nil"/>
            </w:tcBorders>
            <w:shd w:val="clear" w:color="auto" w:fill="4F81BD" w:themeFill="accent1"/>
          </w:tcPr>
          <w:p w:rsidR="00821E2A" w:rsidRPr="007C30F1" w:rsidRDefault="00821E2A" w:rsidP="007E074C">
            <w:pPr>
              <w:pStyle w:val="Tablehead"/>
              <w:rPr>
                <w:color w:val="FFFFFF" w:themeColor="background1"/>
                <w:sz w:val="18"/>
                <w:szCs w:val="18"/>
                <w:lang w:val="es-ES_tradnl"/>
              </w:rPr>
            </w:pPr>
            <w:r w:rsidRPr="007C30F1">
              <w:rPr>
                <w:color w:val="FFFFFF" w:themeColor="background1"/>
                <w:sz w:val="18"/>
                <w:szCs w:val="18"/>
                <w:lang w:val="es-ES_tradnl"/>
              </w:rPr>
              <w:t>2016</w:t>
            </w:r>
          </w:p>
        </w:tc>
        <w:tc>
          <w:tcPr>
            <w:tcW w:w="1077" w:type="dxa"/>
            <w:tcBorders>
              <w:left w:val="nil"/>
              <w:bottom w:val="single" w:sz="6" w:space="0" w:color="4F81BD" w:themeColor="accent1"/>
              <w:right w:val="nil"/>
            </w:tcBorders>
            <w:shd w:val="clear" w:color="auto" w:fill="4F81BD" w:themeFill="accent1"/>
          </w:tcPr>
          <w:p w:rsidR="00821E2A" w:rsidRPr="007C30F1" w:rsidRDefault="00821E2A" w:rsidP="007E074C">
            <w:pPr>
              <w:pStyle w:val="Tablehead"/>
              <w:rPr>
                <w:color w:val="FFFFFF" w:themeColor="background1"/>
                <w:sz w:val="18"/>
                <w:szCs w:val="18"/>
                <w:lang w:val="es-ES_tradnl"/>
              </w:rPr>
            </w:pPr>
            <w:r w:rsidRPr="007C30F1">
              <w:rPr>
                <w:color w:val="FFFFFF" w:themeColor="background1"/>
                <w:sz w:val="18"/>
                <w:szCs w:val="18"/>
                <w:lang w:val="es-ES_tradnl"/>
              </w:rPr>
              <w:t>Meta para 2020</w:t>
            </w:r>
          </w:p>
        </w:tc>
        <w:tc>
          <w:tcPr>
            <w:tcW w:w="3365" w:type="dxa"/>
            <w:tcBorders>
              <w:left w:val="nil"/>
            </w:tcBorders>
            <w:shd w:val="clear" w:color="auto" w:fill="4F81BD" w:themeFill="accent1"/>
          </w:tcPr>
          <w:p w:rsidR="00821E2A" w:rsidRPr="007C30F1" w:rsidRDefault="00821E2A" w:rsidP="007E074C">
            <w:pPr>
              <w:pStyle w:val="Tablehead"/>
              <w:rPr>
                <w:color w:val="FFFFFF" w:themeColor="background1"/>
                <w:sz w:val="18"/>
                <w:szCs w:val="18"/>
                <w:lang w:val="es-ES_tradnl"/>
              </w:rPr>
            </w:pPr>
            <w:r w:rsidRPr="007C30F1">
              <w:rPr>
                <w:color w:val="FFFFFF" w:themeColor="background1"/>
                <w:sz w:val="18"/>
                <w:szCs w:val="18"/>
                <w:lang w:val="es-ES_tradnl"/>
              </w:rPr>
              <w:t>Origen</w:t>
            </w:r>
          </w:p>
        </w:tc>
      </w:tr>
      <w:tr w:rsidR="00821E2A" w:rsidRPr="007C30F1" w:rsidTr="00821E2A">
        <w:trPr>
          <w:jc w:val="center"/>
        </w:trPr>
        <w:tc>
          <w:tcPr>
            <w:tcW w:w="3175" w:type="dxa"/>
            <w:vMerge w:val="restart"/>
          </w:tcPr>
          <w:p w:rsidR="00821E2A" w:rsidRPr="007C30F1" w:rsidRDefault="00821E2A" w:rsidP="007E074C">
            <w:pPr>
              <w:pStyle w:val="Tabletext"/>
              <w:rPr>
                <w:rFonts w:cs="Arial"/>
                <w:b/>
                <w:bCs/>
                <w:sz w:val="18"/>
                <w:szCs w:val="18"/>
                <w:lang w:val="es-ES_tradnl"/>
              </w:rPr>
            </w:pPr>
            <w:r w:rsidRPr="007C30F1">
              <w:rPr>
                <w:rFonts w:cs="Arial"/>
                <w:b/>
                <w:bCs/>
                <w:color w:val="4F81BD" w:themeColor="accent1"/>
                <w:sz w:val="18"/>
                <w:szCs w:val="18"/>
                <w:lang w:val="es-ES_tradnl"/>
              </w:rPr>
              <w:t>R.2-1:</w:t>
            </w:r>
            <w:r w:rsidRPr="007C30F1">
              <w:rPr>
                <w:sz w:val="18"/>
                <w:szCs w:val="18"/>
                <w:lang w:val="es-ES_tradnl"/>
              </w:rPr>
              <w:t xml:space="preserve"> Mayor acceso de banda ancha móvil, incluso en bandas de frecuencias identificadas para las telecomunicaciones móviles internacionales (IMT)</w:t>
            </w:r>
          </w:p>
        </w:tc>
        <w:tc>
          <w:tcPr>
            <w:tcW w:w="3231" w:type="dxa"/>
          </w:tcPr>
          <w:p w:rsidR="00821E2A" w:rsidRPr="007C30F1" w:rsidRDefault="00821E2A" w:rsidP="007E074C">
            <w:pPr>
              <w:pStyle w:val="Tabletext"/>
              <w:rPr>
                <w:sz w:val="18"/>
                <w:szCs w:val="18"/>
                <w:lang w:val="es-ES_tradnl"/>
              </w:rPr>
            </w:pPr>
            <w:r w:rsidRPr="007C30F1">
              <w:rPr>
                <w:sz w:val="18"/>
                <w:szCs w:val="18"/>
                <w:lang w:val="es-ES_tradnl"/>
              </w:rPr>
              <w:t>Número de abonos/abonados</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6,23/</w:t>
            </w:r>
            <w:r w:rsidRPr="007C30F1">
              <w:rPr>
                <w:sz w:val="18"/>
                <w:szCs w:val="18"/>
                <w:lang w:val="es-ES_tradnl"/>
              </w:rPr>
              <w:br/>
              <w:t>4,30</w:t>
            </w:r>
          </w:p>
        </w:tc>
        <w:tc>
          <w:tcPr>
            <w:tcW w:w="842"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6,67/</w:t>
            </w:r>
            <w:r w:rsidRPr="007C30F1">
              <w:rPr>
                <w:sz w:val="18"/>
                <w:szCs w:val="18"/>
                <w:lang w:val="es-ES_tradnl"/>
              </w:rPr>
              <w:br/>
              <w:t>4,60</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7,01/</w:t>
            </w:r>
            <w:r w:rsidRPr="007C30F1">
              <w:rPr>
                <w:sz w:val="18"/>
                <w:szCs w:val="18"/>
                <w:lang w:val="es-ES_tradnl"/>
              </w:rPr>
              <w:br/>
              <w:t>4,83</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7,22/</w:t>
            </w:r>
            <w:r w:rsidRPr="007C30F1">
              <w:rPr>
                <w:sz w:val="18"/>
                <w:szCs w:val="18"/>
                <w:lang w:val="es-ES_tradnl"/>
              </w:rPr>
              <w:br/>
              <w:t>4,98</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7,38/</w:t>
            </w:r>
            <w:r w:rsidRPr="007C30F1">
              <w:rPr>
                <w:sz w:val="18"/>
                <w:szCs w:val="18"/>
                <w:lang w:val="es-ES_tradnl"/>
              </w:rPr>
              <w:br/>
              <w:t>5,09*</w:t>
            </w:r>
          </w:p>
        </w:tc>
        <w:tc>
          <w:tcPr>
            <w:tcW w:w="1077"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9,20</w:t>
            </w:r>
          </w:p>
        </w:tc>
        <w:tc>
          <w:tcPr>
            <w:tcW w:w="3365" w:type="dxa"/>
            <w:vMerge w:val="restart"/>
          </w:tcPr>
          <w:p w:rsidR="00821E2A" w:rsidRPr="007C30F1" w:rsidRDefault="00821E2A" w:rsidP="007E074C">
            <w:pPr>
              <w:pStyle w:val="Tabletext"/>
              <w:rPr>
                <w:sz w:val="18"/>
                <w:szCs w:val="18"/>
                <w:lang w:val="es-ES_tradnl"/>
              </w:rPr>
            </w:pPr>
            <w:r w:rsidRPr="007C30F1">
              <w:rPr>
                <w:sz w:val="18"/>
                <w:szCs w:val="18"/>
                <w:lang w:val="es-ES_tradnl"/>
              </w:rPr>
              <w:t>El estado de la banda ancha 2016: Informe de la Comisión de la Banda Ancha para el Desarrollo Digital</w:t>
            </w:r>
          </w:p>
        </w:tc>
      </w:tr>
      <w:tr w:rsidR="00821E2A" w:rsidRPr="007C30F1" w:rsidTr="00821E2A">
        <w:trPr>
          <w:jc w:val="center"/>
        </w:trPr>
        <w:tc>
          <w:tcPr>
            <w:tcW w:w="3175" w:type="dxa"/>
            <w:vMerge/>
          </w:tcPr>
          <w:p w:rsidR="00821E2A" w:rsidRPr="007C30F1" w:rsidRDefault="00821E2A" w:rsidP="007E074C">
            <w:pPr>
              <w:pStyle w:val="Tabletext"/>
              <w:rPr>
                <w:rFonts w:cs="Arial"/>
                <w:b/>
                <w:bCs/>
                <w:color w:val="4F81BD" w:themeColor="accent1"/>
                <w:sz w:val="18"/>
                <w:szCs w:val="18"/>
                <w:lang w:val="es-ES_tradnl"/>
              </w:rPr>
            </w:pPr>
          </w:p>
        </w:tc>
        <w:tc>
          <w:tcPr>
            <w:tcW w:w="3231" w:type="dxa"/>
          </w:tcPr>
          <w:p w:rsidR="00821E2A" w:rsidRPr="007C30F1" w:rsidRDefault="00821E2A" w:rsidP="007E074C">
            <w:pPr>
              <w:pStyle w:val="Tabletext"/>
              <w:rPr>
                <w:sz w:val="18"/>
                <w:szCs w:val="18"/>
                <w:lang w:val="es-ES_tradnl"/>
              </w:rPr>
            </w:pPr>
            <w:r w:rsidRPr="007C30F1">
              <w:rPr>
                <w:sz w:val="18"/>
                <w:szCs w:val="18"/>
                <w:lang w:val="es-ES_tradnl"/>
              </w:rPr>
              <w:t>% de abonos a la banda ancha móvil</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25%</w:t>
            </w:r>
          </w:p>
        </w:tc>
        <w:tc>
          <w:tcPr>
            <w:tcW w:w="842"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29%</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38%</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45%</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50%</w:t>
            </w:r>
            <w:r w:rsidRPr="007C30F1">
              <w:rPr>
                <w:sz w:val="18"/>
                <w:szCs w:val="18"/>
                <w:lang w:val="es-ES_tradnl"/>
              </w:rPr>
              <w:footnoteReference w:customMarkFollows="1" w:id="5"/>
              <w:t>*</w:t>
            </w:r>
          </w:p>
        </w:tc>
        <w:tc>
          <w:tcPr>
            <w:tcW w:w="1077"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83,7%</w:t>
            </w:r>
          </w:p>
        </w:tc>
        <w:tc>
          <w:tcPr>
            <w:tcW w:w="3365" w:type="dxa"/>
            <w:vMerge/>
          </w:tcPr>
          <w:p w:rsidR="00821E2A" w:rsidRPr="007C30F1" w:rsidRDefault="00821E2A" w:rsidP="007E074C">
            <w:pPr>
              <w:pStyle w:val="Tabletext"/>
              <w:rPr>
                <w:sz w:val="18"/>
                <w:szCs w:val="18"/>
                <w:lang w:val="es-ES_tradnl"/>
              </w:rPr>
            </w:pPr>
          </w:p>
        </w:tc>
      </w:tr>
      <w:tr w:rsidR="00821E2A" w:rsidRPr="007C30F1" w:rsidTr="00821E2A">
        <w:trPr>
          <w:jc w:val="center"/>
        </w:trPr>
        <w:tc>
          <w:tcPr>
            <w:tcW w:w="3175" w:type="dxa"/>
            <w:vMerge w:val="restart"/>
          </w:tcPr>
          <w:p w:rsidR="00821E2A" w:rsidRPr="007C30F1" w:rsidRDefault="00821E2A" w:rsidP="007E074C">
            <w:pPr>
              <w:pStyle w:val="Tabletext"/>
              <w:rPr>
                <w:rFonts w:cs="Arial"/>
                <w:b/>
                <w:bCs/>
                <w:sz w:val="18"/>
                <w:szCs w:val="18"/>
                <w:lang w:val="es-ES_tradnl"/>
              </w:rPr>
            </w:pPr>
            <w:r w:rsidRPr="007C30F1">
              <w:rPr>
                <w:rFonts w:cs="Arial"/>
                <w:b/>
                <w:bCs/>
                <w:color w:val="4F81BD" w:themeColor="accent1"/>
                <w:sz w:val="18"/>
                <w:szCs w:val="18"/>
                <w:lang w:val="es-ES_tradnl"/>
              </w:rPr>
              <w:t>R.2-2:</w:t>
            </w:r>
            <w:r w:rsidRPr="007C30F1">
              <w:rPr>
                <w:rFonts w:cs="Arial"/>
                <w:sz w:val="18"/>
                <w:szCs w:val="18"/>
                <w:lang w:val="es-ES_tradnl"/>
              </w:rPr>
              <w:t xml:space="preserve"> </w:t>
            </w:r>
            <w:r w:rsidRPr="007C30F1">
              <w:rPr>
                <w:sz w:val="18"/>
                <w:szCs w:val="18"/>
                <w:lang w:val="es-ES_tradnl"/>
              </w:rPr>
              <w:t>Disminución de la cesta de precios de la banda ancha móvil en porcentaje de la Renta Nacional Bruta (RNB) por habitante</w:t>
            </w:r>
          </w:p>
        </w:tc>
        <w:tc>
          <w:tcPr>
            <w:tcW w:w="3231" w:type="dxa"/>
          </w:tcPr>
          <w:p w:rsidR="00821E2A" w:rsidRPr="007C30F1" w:rsidRDefault="00821E2A" w:rsidP="007E074C">
            <w:pPr>
              <w:pStyle w:val="Tabletext"/>
              <w:rPr>
                <w:sz w:val="18"/>
                <w:szCs w:val="18"/>
                <w:lang w:val="es-ES_tradnl"/>
              </w:rPr>
            </w:pPr>
            <w:r w:rsidRPr="007C30F1">
              <w:rPr>
                <w:sz w:val="18"/>
                <w:szCs w:val="18"/>
                <w:lang w:val="es-ES_tradnl"/>
              </w:rPr>
              <w:t>Cesta de precios de la banda ancha móvil en porcentaje de la RNB por habitante (prepago, teléfono móvil, 500 MB)</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p>
        </w:tc>
        <w:tc>
          <w:tcPr>
            <w:tcW w:w="842"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8,72</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5,50</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3,88</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p>
        </w:tc>
        <w:tc>
          <w:tcPr>
            <w:tcW w:w="1077"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4,00</w:t>
            </w:r>
          </w:p>
        </w:tc>
        <w:tc>
          <w:tcPr>
            <w:tcW w:w="3365" w:type="dxa"/>
            <w:vMerge w:val="restart"/>
          </w:tcPr>
          <w:p w:rsidR="00821E2A" w:rsidRPr="007C30F1" w:rsidRDefault="00821E2A" w:rsidP="007E074C">
            <w:pPr>
              <w:pStyle w:val="Tabletext"/>
              <w:rPr>
                <w:sz w:val="18"/>
                <w:szCs w:val="18"/>
                <w:lang w:val="es-ES_tradnl"/>
              </w:rPr>
            </w:pPr>
            <w:r w:rsidRPr="007C30F1">
              <w:rPr>
                <w:sz w:val="18"/>
                <w:szCs w:val="18"/>
                <w:lang w:val="es-ES_tradnl"/>
              </w:rPr>
              <w:t xml:space="preserve">UIT, Informe </w:t>
            </w:r>
            <w:r w:rsidRPr="007C30F1">
              <w:rPr>
                <w:i/>
                <w:iCs/>
                <w:sz w:val="18"/>
                <w:szCs w:val="18"/>
                <w:lang w:val="es-ES_tradnl"/>
              </w:rPr>
              <w:t>Medición de la Sociedad de la Información, Ed. 2016</w:t>
            </w:r>
          </w:p>
        </w:tc>
      </w:tr>
      <w:tr w:rsidR="00821E2A" w:rsidRPr="007C30F1" w:rsidTr="00821E2A">
        <w:trPr>
          <w:jc w:val="center"/>
        </w:trPr>
        <w:tc>
          <w:tcPr>
            <w:tcW w:w="3175" w:type="dxa"/>
            <w:vMerge/>
          </w:tcPr>
          <w:p w:rsidR="00821E2A" w:rsidRPr="007C30F1" w:rsidRDefault="00821E2A" w:rsidP="007E074C">
            <w:pPr>
              <w:pStyle w:val="Tabletext"/>
              <w:rPr>
                <w:rFonts w:cs="Arial"/>
                <w:b/>
                <w:bCs/>
                <w:color w:val="4F81BD" w:themeColor="accent1"/>
                <w:sz w:val="18"/>
                <w:szCs w:val="18"/>
                <w:lang w:val="es-ES_tradnl"/>
              </w:rPr>
            </w:pPr>
          </w:p>
        </w:tc>
        <w:tc>
          <w:tcPr>
            <w:tcW w:w="3231" w:type="dxa"/>
          </w:tcPr>
          <w:p w:rsidR="00821E2A" w:rsidRPr="007C30F1" w:rsidRDefault="00821E2A" w:rsidP="007E074C">
            <w:pPr>
              <w:pStyle w:val="Tabletext"/>
              <w:rPr>
                <w:i/>
                <w:iCs/>
                <w:sz w:val="18"/>
                <w:szCs w:val="18"/>
                <w:lang w:val="es-ES_tradnl"/>
              </w:rPr>
            </w:pPr>
            <w:r w:rsidRPr="007C30F1">
              <w:rPr>
                <w:i/>
                <w:iCs/>
                <w:sz w:val="18"/>
                <w:szCs w:val="18"/>
                <w:lang w:val="es-ES_tradnl"/>
              </w:rPr>
              <w:t>Países desarrollados</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i/>
                <w:iCs/>
                <w:sz w:val="18"/>
                <w:szCs w:val="18"/>
                <w:lang w:val="es-ES_tradnl"/>
              </w:rPr>
            </w:pPr>
          </w:p>
        </w:tc>
        <w:tc>
          <w:tcPr>
            <w:tcW w:w="842"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i/>
                <w:iCs/>
                <w:sz w:val="18"/>
                <w:szCs w:val="18"/>
                <w:lang w:val="es-ES_tradnl"/>
              </w:rPr>
            </w:pPr>
            <w:r w:rsidRPr="007C30F1">
              <w:rPr>
                <w:i/>
                <w:iCs/>
                <w:sz w:val="18"/>
                <w:szCs w:val="18"/>
                <w:lang w:val="es-ES_tradnl"/>
              </w:rPr>
              <w:t>1,02</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i/>
                <w:iCs/>
                <w:sz w:val="18"/>
                <w:szCs w:val="18"/>
                <w:lang w:val="es-ES_tradnl"/>
              </w:rPr>
            </w:pPr>
            <w:r w:rsidRPr="007C30F1">
              <w:rPr>
                <w:i/>
                <w:iCs/>
                <w:sz w:val="18"/>
                <w:szCs w:val="18"/>
                <w:lang w:val="es-ES_tradnl"/>
              </w:rPr>
              <w:t>0,75</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i/>
                <w:iCs/>
                <w:sz w:val="18"/>
                <w:szCs w:val="18"/>
                <w:lang w:val="es-ES_tradnl"/>
              </w:rPr>
            </w:pPr>
            <w:r w:rsidRPr="007C30F1">
              <w:rPr>
                <w:i/>
                <w:iCs/>
                <w:sz w:val="18"/>
                <w:szCs w:val="18"/>
                <w:lang w:val="es-ES_tradnl"/>
              </w:rPr>
              <w:t>0,57</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i/>
                <w:iCs/>
                <w:sz w:val="18"/>
                <w:szCs w:val="18"/>
                <w:lang w:val="es-ES_tradnl"/>
              </w:rPr>
            </w:pPr>
          </w:p>
        </w:tc>
        <w:tc>
          <w:tcPr>
            <w:tcW w:w="1077"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i/>
                <w:iCs/>
                <w:sz w:val="18"/>
                <w:szCs w:val="18"/>
                <w:lang w:val="es-ES_tradnl"/>
              </w:rPr>
            </w:pPr>
          </w:p>
        </w:tc>
        <w:tc>
          <w:tcPr>
            <w:tcW w:w="3365" w:type="dxa"/>
            <w:vMerge/>
          </w:tcPr>
          <w:p w:rsidR="00821E2A" w:rsidRPr="007C30F1" w:rsidRDefault="00821E2A" w:rsidP="007E074C">
            <w:pPr>
              <w:pStyle w:val="Tabletext"/>
              <w:rPr>
                <w:sz w:val="18"/>
                <w:szCs w:val="18"/>
                <w:lang w:val="es-ES_tradnl"/>
              </w:rPr>
            </w:pPr>
          </w:p>
        </w:tc>
      </w:tr>
      <w:tr w:rsidR="00821E2A" w:rsidRPr="007C30F1" w:rsidTr="00821E2A">
        <w:trPr>
          <w:jc w:val="center"/>
        </w:trPr>
        <w:tc>
          <w:tcPr>
            <w:tcW w:w="3175" w:type="dxa"/>
            <w:vMerge/>
          </w:tcPr>
          <w:p w:rsidR="00821E2A" w:rsidRPr="007C30F1" w:rsidRDefault="00821E2A" w:rsidP="007E074C">
            <w:pPr>
              <w:pStyle w:val="Tabletext"/>
              <w:rPr>
                <w:rFonts w:cs="Arial"/>
                <w:b/>
                <w:bCs/>
                <w:color w:val="4F81BD" w:themeColor="accent1"/>
                <w:sz w:val="18"/>
                <w:szCs w:val="18"/>
                <w:lang w:val="es-ES_tradnl"/>
              </w:rPr>
            </w:pPr>
          </w:p>
        </w:tc>
        <w:tc>
          <w:tcPr>
            <w:tcW w:w="3231" w:type="dxa"/>
          </w:tcPr>
          <w:p w:rsidR="00821E2A" w:rsidRPr="007C30F1" w:rsidRDefault="00821E2A" w:rsidP="007E074C">
            <w:pPr>
              <w:pStyle w:val="Tabletext"/>
              <w:rPr>
                <w:i/>
                <w:iCs/>
                <w:sz w:val="18"/>
                <w:szCs w:val="18"/>
                <w:lang w:val="es-ES_tradnl"/>
              </w:rPr>
            </w:pPr>
            <w:r w:rsidRPr="007C30F1">
              <w:rPr>
                <w:i/>
                <w:iCs/>
                <w:sz w:val="18"/>
                <w:szCs w:val="18"/>
                <w:lang w:val="es-ES_tradnl"/>
              </w:rPr>
              <w:t>Países en desarrollo</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i/>
                <w:iCs/>
                <w:sz w:val="18"/>
                <w:szCs w:val="18"/>
                <w:lang w:val="es-ES_tradnl"/>
              </w:rPr>
            </w:pPr>
          </w:p>
        </w:tc>
        <w:tc>
          <w:tcPr>
            <w:tcW w:w="842"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i/>
                <w:iCs/>
                <w:sz w:val="18"/>
                <w:szCs w:val="18"/>
                <w:lang w:val="es-ES_tradnl"/>
              </w:rPr>
            </w:pPr>
            <w:r w:rsidRPr="007C30F1">
              <w:rPr>
                <w:i/>
                <w:iCs/>
                <w:sz w:val="18"/>
                <w:szCs w:val="18"/>
                <w:lang w:val="es-ES_tradnl"/>
              </w:rPr>
              <w:t>11,6</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i/>
                <w:iCs/>
                <w:sz w:val="18"/>
                <w:szCs w:val="18"/>
                <w:lang w:val="es-ES_tradnl"/>
              </w:rPr>
            </w:pPr>
            <w:r w:rsidRPr="007C30F1">
              <w:rPr>
                <w:i/>
                <w:iCs/>
                <w:sz w:val="18"/>
                <w:szCs w:val="18"/>
                <w:lang w:val="es-ES_tradnl"/>
              </w:rPr>
              <w:t>7,2</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i/>
                <w:iCs/>
                <w:sz w:val="18"/>
                <w:szCs w:val="18"/>
                <w:lang w:val="es-ES_tradnl"/>
              </w:rPr>
            </w:pPr>
            <w:r w:rsidRPr="007C30F1">
              <w:rPr>
                <w:i/>
                <w:iCs/>
                <w:sz w:val="18"/>
                <w:szCs w:val="18"/>
                <w:lang w:val="es-ES_tradnl"/>
              </w:rPr>
              <w:t>5,1</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i/>
                <w:iCs/>
                <w:sz w:val="18"/>
                <w:szCs w:val="18"/>
                <w:lang w:val="es-ES_tradnl"/>
              </w:rPr>
            </w:pPr>
          </w:p>
        </w:tc>
        <w:tc>
          <w:tcPr>
            <w:tcW w:w="1077"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i/>
                <w:iCs/>
                <w:sz w:val="18"/>
                <w:szCs w:val="18"/>
                <w:lang w:val="es-ES_tradnl"/>
              </w:rPr>
            </w:pPr>
          </w:p>
        </w:tc>
        <w:tc>
          <w:tcPr>
            <w:tcW w:w="3365" w:type="dxa"/>
            <w:vMerge/>
          </w:tcPr>
          <w:p w:rsidR="00821E2A" w:rsidRPr="007C30F1" w:rsidRDefault="00821E2A" w:rsidP="007E074C">
            <w:pPr>
              <w:pStyle w:val="Tabletext"/>
              <w:rPr>
                <w:sz w:val="18"/>
                <w:szCs w:val="18"/>
                <w:lang w:val="es-ES_tradnl"/>
              </w:rPr>
            </w:pPr>
          </w:p>
        </w:tc>
      </w:tr>
      <w:tr w:rsidR="00821E2A" w:rsidRPr="007C30F1" w:rsidTr="00821E2A">
        <w:trPr>
          <w:jc w:val="center"/>
        </w:trPr>
        <w:tc>
          <w:tcPr>
            <w:tcW w:w="3175" w:type="dxa"/>
            <w:vMerge/>
          </w:tcPr>
          <w:p w:rsidR="00821E2A" w:rsidRPr="007C30F1" w:rsidRDefault="00821E2A" w:rsidP="007E074C">
            <w:pPr>
              <w:pStyle w:val="Tabletext"/>
              <w:rPr>
                <w:rFonts w:cs="Arial"/>
                <w:b/>
                <w:bCs/>
                <w:color w:val="4F81BD" w:themeColor="accent1"/>
                <w:sz w:val="18"/>
                <w:szCs w:val="18"/>
                <w:lang w:val="es-ES_tradnl"/>
              </w:rPr>
            </w:pPr>
          </w:p>
        </w:tc>
        <w:tc>
          <w:tcPr>
            <w:tcW w:w="3231" w:type="dxa"/>
          </w:tcPr>
          <w:p w:rsidR="00821E2A" w:rsidRPr="007C30F1" w:rsidRDefault="00821E2A" w:rsidP="007E074C">
            <w:pPr>
              <w:pStyle w:val="Tabletext"/>
              <w:rPr>
                <w:i/>
                <w:iCs/>
                <w:sz w:val="18"/>
                <w:szCs w:val="18"/>
                <w:lang w:val="es-ES_tradnl"/>
              </w:rPr>
            </w:pPr>
            <w:r w:rsidRPr="007C30F1">
              <w:rPr>
                <w:i/>
                <w:iCs/>
                <w:sz w:val="18"/>
                <w:szCs w:val="18"/>
                <w:lang w:val="es-ES_tradnl"/>
              </w:rPr>
              <w:t>Países menos adelantados</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i/>
                <w:iCs/>
                <w:sz w:val="18"/>
                <w:szCs w:val="18"/>
                <w:lang w:val="es-ES_tradnl"/>
              </w:rPr>
            </w:pPr>
          </w:p>
        </w:tc>
        <w:tc>
          <w:tcPr>
            <w:tcW w:w="842"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i/>
                <w:iCs/>
                <w:sz w:val="18"/>
                <w:szCs w:val="18"/>
                <w:lang w:val="es-ES_tradnl"/>
              </w:rPr>
            </w:pPr>
            <w:r w:rsidRPr="007C30F1">
              <w:rPr>
                <w:i/>
                <w:iCs/>
                <w:sz w:val="18"/>
                <w:szCs w:val="18"/>
                <w:lang w:val="es-ES_tradnl"/>
              </w:rPr>
              <w:t>30,3</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i/>
                <w:iCs/>
                <w:sz w:val="18"/>
                <w:szCs w:val="18"/>
                <w:lang w:val="es-ES_tradnl"/>
              </w:rPr>
            </w:pPr>
            <w:r w:rsidRPr="007C30F1">
              <w:rPr>
                <w:i/>
                <w:iCs/>
                <w:sz w:val="18"/>
                <w:szCs w:val="18"/>
                <w:lang w:val="es-ES_tradnl"/>
              </w:rPr>
              <w:t>17,0</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i/>
                <w:iCs/>
                <w:sz w:val="18"/>
                <w:szCs w:val="18"/>
                <w:lang w:val="es-ES_tradnl"/>
              </w:rPr>
            </w:pPr>
            <w:r w:rsidRPr="007C30F1">
              <w:rPr>
                <w:i/>
                <w:iCs/>
                <w:sz w:val="18"/>
                <w:szCs w:val="18"/>
                <w:lang w:val="es-ES_tradnl"/>
              </w:rPr>
              <w:t>11,4</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i/>
                <w:iCs/>
                <w:sz w:val="18"/>
                <w:szCs w:val="18"/>
                <w:lang w:val="es-ES_tradnl"/>
              </w:rPr>
            </w:pPr>
          </w:p>
        </w:tc>
        <w:tc>
          <w:tcPr>
            <w:tcW w:w="1077"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i/>
                <w:iCs/>
                <w:sz w:val="18"/>
                <w:szCs w:val="18"/>
                <w:lang w:val="es-ES_tradnl"/>
              </w:rPr>
            </w:pPr>
          </w:p>
        </w:tc>
        <w:tc>
          <w:tcPr>
            <w:tcW w:w="3365" w:type="dxa"/>
            <w:vMerge/>
          </w:tcPr>
          <w:p w:rsidR="00821E2A" w:rsidRPr="007C30F1" w:rsidRDefault="00821E2A" w:rsidP="007E074C">
            <w:pPr>
              <w:pStyle w:val="Tabletext"/>
              <w:rPr>
                <w:sz w:val="18"/>
                <w:szCs w:val="18"/>
                <w:lang w:val="es-ES_tradnl"/>
              </w:rPr>
            </w:pPr>
          </w:p>
        </w:tc>
      </w:tr>
      <w:tr w:rsidR="00821E2A" w:rsidRPr="007C30F1" w:rsidTr="00821E2A">
        <w:trPr>
          <w:jc w:val="center"/>
        </w:trPr>
        <w:tc>
          <w:tcPr>
            <w:tcW w:w="3175" w:type="dxa"/>
            <w:vMerge/>
          </w:tcPr>
          <w:p w:rsidR="00821E2A" w:rsidRPr="007C30F1" w:rsidRDefault="00821E2A" w:rsidP="007E074C">
            <w:pPr>
              <w:pStyle w:val="Tabletext"/>
              <w:rPr>
                <w:sz w:val="18"/>
                <w:szCs w:val="18"/>
                <w:lang w:val="es-ES_tradnl"/>
              </w:rPr>
            </w:pPr>
          </w:p>
        </w:tc>
        <w:tc>
          <w:tcPr>
            <w:tcW w:w="3231" w:type="dxa"/>
          </w:tcPr>
          <w:p w:rsidR="00821E2A" w:rsidRPr="007C30F1" w:rsidRDefault="00821E2A" w:rsidP="007E074C">
            <w:pPr>
              <w:pStyle w:val="Tabletext"/>
              <w:rPr>
                <w:sz w:val="18"/>
                <w:szCs w:val="18"/>
                <w:lang w:val="es-ES_tradnl"/>
              </w:rPr>
            </w:pPr>
            <w:r w:rsidRPr="007C30F1">
              <w:rPr>
                <w:sz w:val="18"/>
                <w:szCs w:val="18"/>
                <w:lang w:val="es-ES_tradnl"/>
              </w:rPr>
              <w:t>Número de países con una cesta de precios por debajo del 5%</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81</w:t>
            </w:r>
          </w:p>
        </w:tc>
        <w:tc>
          <w:tcPr>
            <w:tcW w:w="842"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101</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117</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135</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p>
        </w:tc>
        <w:tc>
          <w:tcPr>
            <w:tcW w:w="1077"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193</w:t>
            </w:r>
          </w:p>
        </w:tc>
        <w:tc>
          <w:tcPr>
            <w:tcW w:w="3365" w:type="dxa"/>
            <w:vMerge/>
          </w:tcPr>
          <w:p w:rsidR="00821E2A" w:rsidRPr="007C30F1" w:rsidRDefault="00821E2A" w:rsidP="007E074C">
            <w:pPr>
              <w:pStyle w:val="Tabletext"/>
              <w:rPr>
                <w:sz w:val="18"/>
                <w:szCs w:val="18"/>
                <w:lang w:val="es-ES_tradnl"/>
              </w:rPr>
            </w:pPr>
          </w:p>
        </w:tc>
      </w:tr>
      <w:tr w:rsidR="00821E2A" w:rsidRPr="007C30F1" w:rsidTr="00821E2A">
        <w:trPr>
          <w:jc w:val="center"/>
        </w:trPr>
        <w:tc>
          <w:tcPr>
            <w:tcW w:w="3175" w:type="dxa"/>
            <w:vMerge w:val="restart"/>
          </w:tcPr>
          <w:p w:rsidR="00821E2A" w:rsidRPr="007C30F1" w:rsidRDefault="00821E2A" w:rsidP="007E074C">
            <w:pPr>
              <w:pStyle w:val="Tabletext"/>
              <w:rPr>
                <w:sz w:val="18"/>
                <w:szCs w:val="18"/>
                <w:lang w:val="es-ES_tradnl"/>
              </w:rPr>
            </w:pPr>
            <w:r w:rsidRPr="007C30F1">
              <w:rPr>
                <w:b/>
                <w:bCs/>
                <w:color w:val="4F81BD" w:themeColor="accent1"/>
                <w:sz w:val="18"/>
                <w:szCs w:val="18"/>
                <w:lang w:val="es-ES_tradnl"/>
              </w:rPr>
              <w:t>R.2-3:</w:t>
            </w:r>
            <w:r w:rsidRPr="007C30F1">
              <w:rPr>
                <w:sz w:val="18"/>
                <w:szCs w:val="18"/>
                <w:lang w:val="es-ES_tradnl"/>
              </w:rPr>
              <w:t xml:space="preserve"> Mayor número de enlaces fijos y aumento del tráfico cursado por el servicio fijo (Tbit/s)</w:t>
            </w:r>
          </w:p>
        </w:tc>
        <w:tc>
          <w:tcPr>
            <w:tcW w:w="3231" w:type="dxa"/>
          </w:tcPr>
          <w:p w:rsidR="00821E2A" w:rsidRPr="007C30F1" w:rsidRDefault="00821E2A" w:rsidP="007E074C">
            <w:pPr>
              <w:pStyle w:val="Tabletext"/>
              <w:keepNext/>
              <w:rPr>
                <w:sz w:val="18"/>
                <w:szCs w:val="18"/>
                <w:lang w:val="es-ES_tradnl"/>
              </w:rPr>
            </w:pPr>
            <w:r w:rsidRPr="007C30F1">
              <w:rPr>
                <w:sz w:val="18"/>
                <w:szCs w:val="18"/>
                <w:lang w:val="es-ES_tradnl"/>
              </w:rPr>
              <w:t>Número de enlaces fijos</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p>
        </w:tc>
        <w:tc>
          <w:tcPr>
            <w:tcW w:w="842"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n/a</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n/a</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n/a</w:t>
            </w:r>
          </w:p>
        </w:tc>
        <w:tc>
          <w:tcPr>
            <w:tcW w:w="1077"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n/a</w:t>
            </w:r>
          </w:p>
        </w:tc>
        <w:tc>
          <w:tcPr>
            <w:tcW w:w="3365" w:type="dxa"/>
          </w:tcPr>
          <w:p w:rsidR="00821E2A" w:rsidRPr="007C30F1" w:rsidRDefault="00821E2A" w:rsidP="007E074C">
            <w:pPr>
              <w:pStyle w:val="Tabletext"/>
              <w:rPr>
                <w:sz w:val="18"/>
                <w:szCs w:val="18"/>
                <w:lang w:val="es-ES_tradnl"/>
              </w:rPr>
            </w:pPr>
            <w:r w:rsidRPr="007C30F1">
              <w:rPr>
                <w:sz w:val="18"/>
                <w:szCs w:val="18"/>
                <w:lang w:val="es-ES_tradnl"/>
              </w:rPr>
              <w:t>Se obtendrá a través de una encuesta BDT/ICT</w:t>
            </w:r>
          </w:p>
        </w:tc>
      </w:tr>
      <w:tr w:rsidR="00821E2A" w:rsidRPr="007C30F1" w:rsidTr="00821E2A">
        <w:trPr>
          <w:jc w:val="center"/>
        </w:trPr>
        <w:tc>
          <w:tcPr>
            <w:tcW w:w="3175" w:type="dxa"/>
            <w:vMerge/>
          </w:tcPr>
          <w:p w:rsidR="00821E2A" w:rsidRPr="007C30F1" w:rsidRDefault="00821E2A" w:rsidP="007E074C">
            <w:pPr>
              <w:pStyle w:val="Tabletext"/>
              <w:rPr>
                <w:sz w:val="18"/>
                <w:szCs w:val="18"/>
                <w:lang w:val="es-ES_tradnl"/>
              </w:rPr>
            </w:pPr>
          </w:p>
        </w:tc>
        <w:tc>
          <w:tcPr>
            <w:tcW w:w="3231" w:type="dxa"/>
          </w:tcPr>
          <w:p w:rsidR="00821E2A" w:rsidRPr="007C30F1" w:rsidRDefault="00821E2A" w:rsidP="007E074C">
            <w:pPr>
              <w:pStyle w:val="Tabletext"/>
              <w:rPr>
                <w:sz w:val="18"/>
                <w:szCs w:val="18"/>
                <w:lang w:val="es-ES_tradnl"/>
              </w:rPr>
            </w:pPr>
            <w:r w:rsidRPr="007C30F1">
              <w:rPr>
                <w:sz w:val="18"/>
                <w:szCs w:val="18"/>
                <w:lang w:val="es-ES_tradnl"/>
              </w:rPr>
              <w:t>Capacidad total (en Tbps)</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p>
        </w:tc>
        <w:tc>
          <w:tcPr>
            <w:tcW w:w="842"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n/a</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n/a</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n/a</w:t>
            </w:r>
          </w:p>
        </w:tc>
        <w:tc>
          <w:tcPr>
            <w:tcW w:w="1077"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n/a</w:t>
            </w:r>
          </w:p>
        </w:tc>
        <w:tc>
          <w:tcPr>
            <w:tcW w:w="3365" w:type="dxa"/>
          </w:tcPr>
          <w:p w:rsidR="00821E2A" w:rsidRPr="007C30F1" w:rsidRDefault="00821E2A" w:rsidP="007E074C">
            <w:pPr>
              <w:pStyle w:val="Tabletext"/>
              <w:rPr>
                <w:sz w:val="18"/>
                <w:szCs w:val="18"/>
                <w:lang w:val="es-ES_tradnl"/>
              </w:rPr>
            </w:pPr>
            <w:r w:rsidRPr="007C30F1">
              <w:rPr>
                <w:sz w:val="18"/>
                <w:szCs w:val="18"/>
                <w:lang w:val="es-ES_tradnl"/>
              </w:rPr>
              <w:t>Se obtendrá a través de una encuesta BDT/ICT</w:t>
            </w:r>
          </w:p>
        </w:tc>
      </w:tr>
      <w:tr w:rsidR="00821E2A" w:rsidRPr="007C30F1" w:rsidTr="00821E2A">
        <w:trPr>
          <w:jc w:val="center"/>
        </w:trPr>
        <w:tc>
          <w:tcPr>
            <w:tcW w:w="3175" w:type="dxa"/>
            <w:vMerge w:val="restart"/>
          </w:tcPr>
          <w:p w:rsidR="00821E2A" w:rsidRPr="007C30F1" w:rsidRDefault="00821E2A" w:rsidP="007E074C">
            <w:pPr>
              <w:pStyle w:val="Tabletext"/>
              <w:rPr>
                <w:sz w:val="18"/>
                <w:szCs w:val="18"/>
                <w:lang w:val="es-ES_tradnl"/>
              </w:rPr>
            </w:pPr>
            <w:r w:rsidRPr="007C30F1">
              <w:rPr>
                <w:b/>
                <w:bCs/>
                <w:color w:val="4F81BD" w:themeColor="accent1"/>
                <w:sz w:val="18"/>
                <w:szCs w:val="18"/>
                <w:lang w:val="es-ES_tradnl"/>
              </w:rPr>
              <w:t>R.2-4:</w:t>
            </w:r>
            <w:r w:rsidRPr="007C30F1">
              <w:rPr>
                <w:sz w:val="18"/>
                <w:szCs w:val="18"/>
                <w:lang w:val="es-ES_tradnl"/>
              </w:rPr>
              <w:t xml:space="preserve"> Número de hogares con recepción de televisión digital terrenal</w:t>
            </w:r>
          </w:p>
        </w:tc>
        <w:tc>
          <w:tcPr>
            <w:tcW w:w="3231" w:type="dxa"/>
          </w:tcPr>
          <w:p w:rsidR="00821E2A" w:rsidRPr="007C30F1" w:rsidRDefault="00821E2A" w:rsidP="007E074C">
            <w:pPr>
              <w:pStyle w:val="Tabletext"/>
              <w:rPr>
                <w:sz w:val="18"/>
                <w:szCs w:val="18"/>
                <w:lang w:val="es-ES_tradnl"/>
              </w:rPr>
            </w:pPr>
            <w:r w:rsidRPr="007C30F1">
              <w:rPr>
                <w:sz w:val="18"/>
                <w:szCs w:val="18"/>
                <w:lang w:val="es-ES_tradnl"/>
              </w:rPr>
              <w:t>Número de hogares con TDT (millones)</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130,1</w:t>
            </w:r>
          </w:p>
        </w:tc>
        <w:tc>
          <w:tcPr>
            <w:tcW w:w="842"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164,7</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203,3</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252,0</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p>
        </w:tc>
        <w:tc>
          <w:tcPr>
            <w:tcW w:w="1077"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453</w:t>
            </w:r>
          </w:p>
        </w:tc>
        <w:tc>
          <w:tcPr>
            <w:tcW w:w="3365" w:type="dxa"/>
            <w:vMerge w:val="restart"/>
          </w:tcPr>
          <w:p w:rsidR="00821E2A" w:rsidRPr="007C30F1" w:rsidRDefault="00821E2A" w:rsidP="007E074C">
            <w:pPr>
              <w:pStyle w:val="Tabletext"/>
              <w:rPr>
                <w:sz w:val="18"/>
                <w:szCs w:val="18"/>
                <w:lang w:val="es-ES_tradnl"/>
              </w:rPr>
            </w:pPr>
            <w:r w:rsidRPr="007C30F1">
              <w:rPr>
                <w:sz w:val="18"/>
                <w:szCs w:val="18"/>
                <w:lang w:val="es-ES_tradnl"/>
              </w:rPr>
              <w:t>Digital TV World Databook report, junio de 2015; Digital TV Research Ltd</w:t>
            </w:r>
            <w:r w:rsidRPr="007C30F1">
              <w:rPr>
                <w:sz w:val="18"/>
                <w:szCs w:val="18"/>
                <w:lang w:val="es-ES_tradnl"/>
              </w:rPr>
              <w:br/>
              <w:t>Databook report</w:t>
            </w:r>
          </w:p>
        </w:tc>
      </w:tr>
      <w:tr w:rsidR="00821E2A" w:rsidRPr="007C30F1" w:rsidTr="00821E2A">
        <w:trPr>
          <w:jc w:val="center"/>
        </w:trPr>
        <w:tc>
          <w:tcPr>
            <w:tcW w:w="3175" w:type="dxa"/>
            <w:vMerge/>
          </w:tcPr>
          <w:p w:rsidR="00821E2A" w:rsidRPr="007C30F1" w:rsidRDefault="00821E2A" w:rsidP="007E074C">
            <w:pPr>
              <w:pStyle w:val="Tabletext"/>
              <w:rPr>
                <w:b/>
                <w:bCs/>
                <w:color w:val="4F81BD" w:themeColor="accent1"/>
                <w:sz w:val="18"/>
                <w:szCs w:val="18"/>
                <w:lang w:val="es-ES_tradnl"/>
              </w:rPr>
            </w:pPr>
          </w:p>
        </w:tc>
        <w:tc>
          <w:tcPr>
            <w:tcW w:w="3231" w:type="dxa"/>
          </w:tcPr>
          <w:p w:rsidR="00821E2A" w:rsidRPr="007C30F1" w:rsidRDefault="00821E2A" w:rsidP="007E074C">
            <w:pPr>
              <w:pStyle w:val="Tabletext"/>
              <w:rPr>
                <w:i/>
                <w:iCs/>
                <w:sz w:val="18"/>
                <w:szCs w:val="18"/>
                <w:lang w:val="es-ES_tradnl"/>
              </w:rPr>
            </w:pPr>
            <w:r w:rsidRPr="007C30F1">
              <w:rPr>
                <w:i/>
                <w:iCs/>
                <w:sz w:val="18"/>
                <w:szCs w:val="18"/>
                <w:lang w:val="es-ES_tradnl"/>
              </w:rPr>
              <w:t>Número de hogares con TAT (millones)</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i/>
                <w:iCs/>
                <w:sz w:val="18"/>
                <w:szCs w:val="18"/>
                <w:lang w:val="es-ES_tradnl"/>
              </w:rPr>
            </w:pPr>
            <w:r w:rsidRPr="007C30F1">
              <w:rPr>
                <w:i/>
                <w:iCs/>
                <w:sz w:val="18"/>
                <w:szCs w:val="18"/>
                <w:lang w:val="es-ES_tradnl"/>
              </w:rPr>
              <w:t>419,5</w:t>
            </w:r>
          </w:p>
        </w:tc>
        <w:tc>
          <w:tcPr>
            <w:tcW w:w="842"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i/>
                <w:iCs/>
                <w:sz w:val="18"/>
                <w:szCs w:val="18"/>
                <w:lang w:val="es-ES_tradnl"/>
              </w:rPr>
            </w:pPr>
            <w:r w:rsidRPr="007C30F1">
              <w:rPr>
                <w:i/>
                <w:iCs/>
                <w:sz w:val="18"/>
                <w:szCs w:val="18"/>
                <w:lang w:val="es-ES_tradnl"/>
              </w:rPr>
              <w:t>364,6</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i/>
                <w:iCs/>
                <w:sz w:val="18"/>
                <w:szCs w:val="18"/>
                <w:lang w:val="es-ES_tradnl"/>
              </w:rPr>
            </w:pPr>
            <w:r w:rsidRPr="007C30F1">
              <w:rPr>
                <w:i/>
                <w:iCs/>
                <w:sz w:val="18"/>
                <w:szCs w:val="18"/>
                <w:lang w:val="es-ES_tradnl"/>
              </w:rPr>
              <w:t>319,8</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i/>
                <w:iCs/>
                <w:sz w:val="18"/>
                <w:szCs w:val="18"/>
                <w:lang w:val="es-ES_tradnl"/>
              </w:rPr>
            </w:pPr>
            <w:r w:rsidRPr="007C30F1">
              <w:rPr>
                <w:i/>
                <w:iCs/>
                <w:sz w:val="18"/>
                <w:szCs w:val="18"/>
                <w:lang w:val="es-ES_tradnl"/>
              </w:rPr>
              <w:t>261,9</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i/>
                <w:iCs/>
                <w:sz w:val="18"/>
                <w:szCs w:val="18"/>
                <w:lang w:val="es-ES_tradnl"/>
              </w:rPr>
            </w:pPr>
          </w:p>
        </w:tc>
        <w:tc>
          <w:tcPr>
            <w:tcW w:w="1077"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i/>
                <w:iCs/>
                <w:sz w:val="18"/>
                <w:szCs w:val="18"/>
                <w:lang w:val="es-ES_tradnl"/>
              </w:rPr>
            </w:pPr>
          </w:p>
        </w:tc>
        <w:tc>
          <w:tcPr>
            <w:tcW w:w="3365" w:type="dxa"/>
            <w:vMerge/>
          </w:tcPr>
          <w:p w:rsidR="00821E2A" w:rsidRPr="007C30F1" w:rsidRDefault="00821E2A" w:rsidP="007E074C">
            <w:pPr>
              <w:pStyle w:val="Tabletext"/>
              <w:rPr>
                <w:sz w:val="18"/>
                <w:szCs w:val="18"/>
                <w:lang w:val="es-ES_tradnl"/>
              </w:rPr>
            </w:pPr>
          </w:p>
        </w:tc>
      </w:tr>
      <w:tr w:rsidR="00821E2A" w:rsidRPr="007C30F1" w:rsidTr="00821E2A">
        <w:trPr>
          <w:jc w:val="center"/>
        </w:trPr>
        <w:tc>
          <w:tcPr>
            <w:tcW w:w="3175" w:type="dxa"/>
            <w:vMerge/>
          </w:tcPr>
          <w:p w:rsidR="00821E2A" w:rsidRPr="007C30F1" w:rsidRDefault="00821E2A" w:rsidP="007E074C">
            <w:pPr>
              <w:pStyle w:val="Tabletext"/>
              <w:rPr>
                <w:b/>
                <w:bCs/>
                <w:color w:val="4F81BD" w:themeColor="accent1"/>
                <w:sz w:val="18"/>
                <w:szCs w:val="18"/>
                <w:lang w:val="es-ES_tradnl"/>
              </w:rPr>
            </w:pPr>
          </w:p>
        </w:tc>
        <w:tc>
          <w:tcPr>
            <w:tcW w:w="3231" w:type="dxa"/>
          </w:tcPr>
          <w:p w:rsidR="00821E2A" w:rsidRPr="007C30F1" w:rsidRDefault="00821E2A" w:rsidP="007E074C">
            <w:pPr>
              <w:pStyle w:val="Tabletext"/>
              <w:rPr>
                <w:i/>
                <w:iCs/>
                <w:sz w:val="18"/>
                <w:szCs w:val="18"/>
                <w:lang w:val="es-ES_tradnl"/>
              </w:rPr>
            </w:pPr>
            <w:r w:rsidRPr="007C30F1">
              <w:rPr>
                <w:i/>
                <w:iCs/>
                <w:sz w:val="18"/>
                <w:szCs w:val="18"/>
                <w:lang w:val="es-ES_tradnl"/>
              </w:rPr>
              <w:t>Número total de hogares con TDT+TAT (millones)</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i/>
                <w:iCs/>
                <w:sz w:val="18"/>
                <w:szCs w:val="18"/>
                <w:lang w:val="es-ES_tradnl"/>
              </w:rPr>
            </w:pPr>
            <w:r w:rsidRPr="007C30F1">
              <w:rPr>
                <w:i/>
                <w:iCs/>
                <w:sz w:val="18"/>
                <w:szCs w:val="18"/>
                <w:lang w:val="es-ES_tradnl"/>
              </w:rPr>
              <w:t>549,6</w:t>
            </w:r>
          </w:p>
        </w:tc>
        <w:tc>
          <w:tcPr>
            <w:tcW w:w="842"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i/>
                <w:iCs/>
                <w:sz w:val="18"/>
                <w:szCs w:val="18"/>
                <w:lang w:val="es-ES_tradnl"/>
              </w:rPr>
            </w:pPr>
            <w:r w:rsidRPr="007C30F1">
              <w:rPr>
                <w:i/>
                <w:iCs/>
                <w:sz w:val="18"/>
                <w:szCs w:val="18"/>
                <w:lang w:val="es-ES_tradnl"/>
              </w:rPr>
              <w:t>529,3</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i/>
                <w:iCs/>
                <w:sz w:val="18"/>
                <w:szCs w:val="18"/>
                <w:lang w:val="es-ES_tradnl"/>
              </w:rPr>
            </w:pPr>
            <w:r w:rsidRPr="007C30F1">
              <w:rPr>
                <w:i/>
                <w:iCs/>
                <w:sz w:val="18"/>
                <w:szCs w:val="18"/>
                <w:lang w:val="es-ES_tradnl"/>
              </w:rPr>
              <w:t>514,1</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i/>
                <w:iCs/>
                <w:sz w:val="18"/>
                <w:szCs w:val="18"/>
                <w:lang w:val="es-ES_tradnl"/>
              </w:rPr>
            </w:pPr>
            <w:r w:rsidRPr="007C30F1">
              <w:rPr>
                <w:i/>
                <w:iCs/>
                <w:sz w:val="18"/>
                <w:szCs w:val="18"/>
                <w:lang w:val="es-ES_tradnl"/>
              </w:rPr>
              <w:t>513,9</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i/>
                <w:iCs/>
                <w:sz w:val="18"/>
                <w:szCs w:val="18"/>
                <w:lang w:val="es-ES_tradnl"/>
              </w:rPr>
            </w:pPr>
          </w:p>
        </w:tc>
        <w:tc>
          <w:tcPr>
            <w:tcW w:w="1077"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i/>
                <w:iCs/>
                <w:sz w:val="18"/>
                <w:szCs w:val="18"/>
                <w:lang w:val="es-ES_tradnl"/>
              </w:rPr>
            </w:pPr>
          </w:p>
        </w:tc>
        <w:tc>
          <w:tcPr>
            <w:tcW w:w="3365" w:type="dxa"/>
            <w:vMerge/>
          </w:tcPr>
          <w:p w:rsidR="00821E2A" w:rsidRPr="007C30F1" w:rsidRDefault="00821E2A" w:rsidP="007E074C">
            <w:pPr>
              <w:pStyle w:val="Tabletext"/>
              <w:rPr>
                <w:sz w:val="18"/>
                <w:szCs w:val="18"/>
                <w:lang w:val="es-ES_tradnl"/>
              </w:rPr>
            </w:pPr>
          </w:p>
        </w:tc>
      </w:tr>
      <w:tr w:rsidR="00821E2A" w:rsidRPr="007C30F1" w:rsidTr="00821E2A">
        <w:trPr>
          <w:jc w:val="center"/>
        </w:trPr>
        <w:tc>
          <w:tcPr>
            <w:tcW w:w="3175" w:type="dxa"/>
            <w:vMerge/>
          </w:tcPr>
          <w:p w:rsidR="00821E2A" w:rsidRPr="007C30F1" w:rsidRDefault="00821E2A" w:rsidP="007E074C">
            <w:pPr>
              <w:pStyle w:val="Tabletext"/>
              <w:rPr>
                <w:sz w:val="18"/>
                <w:szCs w:val="18"/>
                <w:lang w:val="es-ES_tradnl"/>
              </w:rPr>
            </w:pPr>
          </w:p>
        </w:tc>
        <w:tc>
          <w:tcPr>
            <w:tcW w:w="3231" w:type="dxa"/>
          </w:tcPr>
          <w:p w:rsidR="00821E2A" w:rsidRPr="007C30F1" w:rsidRDefault="00821E2A" w:rsidP="007E074C">
            <w:pPr>
              <w:pStyle w:val="Tabletext"/>
              <w:rPr>
                <w:sz w:val="18"/>
                <w:szCs w:val="18"/>
                <w:lang w:val="es-ES_tradnl"/>
              </w:rPr>
            </w:pPr>
            <w:r w:rsidRPr="007C30F1">
              <w:rPr>
                <w:sz w:val="18"/>
                <w:szCs w:val="18"/>
                <w:lang w:val="es-ES_tradnl"/>
              </w:rPr>
              <w:t>% de hogares con TDT</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6,8%</w:t>
            </w:r>
          </w:p>
        </w:tc>
        <w:tc>
          <w:tcPr>
            <w:tcW w:w="842"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8,5%</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10,3%</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12,7%</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p>
        </w:tc>
        <w:tc>
          <w:tcPr>
            <w:tcW w:w="1077"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22,7%</w:t>
            </w:r>
          </w:p>
        </w:tc>
        <w:tc>
          <w:tcPr>
            <w:tcW w:w="3365" w:type="dxa"/>
            <w:vMerge w:val="restart"/>
          </w:tcPr>
          <w:p w:rsidR="00821E2A" w:rsidRPr="007C30F1" w:rsidRDefault="00821E2A" w:rsidP="007E074C">
            <w:pPr>
              <w:pStyle w:val="Tabletext"/>
              <w:rPr>
                <w:sz w:val="18"/>
                <w:szCs w:val="18"/>
                <w:lang w:val="es-ES_tradnl"/>
              </w:rPr>
            </w:pPr>
            <w:r w:rsidRPr="007C30F1">
              <w:rPr>
                <w:sz w:val="18"/>
                <w:szCs w:val="18"/>
                <w:lang w:val="es-ES_tradnl"/>
              </w:rPr>
              <w:t>Digital TV World Databook report, junio de 2015; Digital TV Research Ltd/UNStats</w:t>
            </w:r>
          </w:p>
        </w:tc>
      </w:tr>
      <w:tr w:rsidR="00821E2A" w:rsidRPr="007C30F1" w:rsidTr="00821E2A">
        <w:trPr>
          <w:jc w:val="center"/>
        </w:trPr>
        <w:tc>
          <w:tcPr>
            <w:tcW w:w="3175" w:type="dxa"/>
            <w:vMerge/>
          </w:tcPr>
          <w:p w:rsidR="00821E2A" w:rsidRPr="007C30F1" w:rsidRDefault="00821E2A" w:rsidP="007E074C">
            <w:pPr>
              <w:pStyle w:val="Tabletext"/>
              <w:rPr>
                <w:sz w:val="18"/>
                <w:szCs w:val="18"/>
                <w:lang w:val="es-ES_tradnl"/>
              </w:rPr>
            </w:pPr>
          </w:p>
        </w:tc>
        <w:tc>
          <w:tcPr>
            <w:tcW w:w="3231" w:type="dxa"/>
          </w:tcPr>
          <w:p w:rsidR="00821E2A" w:rsidRPr="007C30F1" w:rsidRDefault="00821E2A" w:rsidP="007E074C">
            <w:pPr>
              <w:pStyle w:val="Tabletext"/>
              <w:rPr>
                <w:i/>
                <w:iCs/>
                <w:sz w:val="18"/>
                <w:szCs w:val="18"/>
                <w:lang w:val="es-ES_tradnl"/>
              </w:rPr>
            </w:pPr>
            <w:r w:rsidRPr="007C30F1">
              <w:rPr>
                <w:i/>
                <w:iCs/>
                <w:sz w:val="18"/>
                <w:szCs w:val="18"/>
                <w:lang w:val="es-ES_tradnl"/>
              </w:rPr>
              <w:t>% de hogares con TAT</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21,8%</w:t>
            </w:r>
          </w:p>
        </w:tc>
        <w:tc>
          <w:tcPr>
            <w:tcW w:w="842"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18,7%</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16,3%</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13,2%</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p>
        </w:tc>
        <w:tc>
          <w:tcPr>
            <w:tcW w:w="1077"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p>
        </w:tc>
        <w:tc>
          <w:tcPr>
            <w:tcW w:w="3365" w:type="dxa"/>
            <w:vMerge/>
          </w:tcPr>
          <w:p w:rsidR="00821E2A" w:rsidRPr="007C30F1" w:rsidRDefault="00821E2A" w:rsidP="007E074C">
            <w:pPr>
              <w:pStyle w:val="Tabletext"/>
              <w:rPr>
                <w:sz w:val="18"/>
                <w:szCs w:val="18"/>
                <w:lang w:val="es-ES_tradnl"/>
              </w:rPr>
            </w:pPr>
          </w:p>
        </w:tc>
      </w:tr>
      <w:tr w:rsidR="00821E2A" w:rsidRPr="007C30F1" w:rsidTr="00821E2A">
        <w:trPr>
          <w:jc w:val="center"/>
        </w:trPr>
        <w:tc>
          <w:tcPr>
            <w:tcW w:w="3175" w:type="dxa"/>
            <w:vMerge/>
          </w:tcPr>
          <w:p w:rsidR="00821E2A" w:rsidRPr="007C30F1" w:rsidRDefault="00821E2A" w:rsidP="007E074C">
            <w:pPr>
              <w:pStyle w:val="Tabletext"/>
              <w:rPr>
                <w:sz w:val="18"/>
                <w:szCs w:val="18"/>
                <w:lang w:val="es-ES_tradnl"/>
              </w:rPr>
            </w:pPr>
          </w:p>
        </w:tc>
        <w:tc>
          <w:tcPr>
            <w:tcW w:w="3231" w:type="dxa"/>
          </w:tcPr>
          <w:p w:rsidR="00821E2A" w:rsidRPr="007C30F1" w:rsidRDefault="00821E2A" w:rsidP="007E074C">
            <w:pPr>
              <w:pStyle w:val="Tabletext"/>
              <w:rPr>
                <w:i/>
                <w:iCs/>
                <w:sz w:val="18"/>
                <w:szCs w:val="18"/>
                <w:lang w:val="es-ES_tradnl"/>
              </w:rPr>
            </w:pPr>
            <w:r w:rsidRPr="007C30F1">
              <w:rPr>
                <w:i/>
                <w:iCs/>
                <w:sz w:val="18"/>
                <w:szCs w:val="18"/>
                <w:lang w:val="es-ES_tradnl"/>
              </w:rPr>
              <w:t>% de hogares con TV terrenal</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28,6%</w:t>
            </w:r>
          </w:p>
        </w:tc>
        <w:tc>
          <w:tcPr>
            <w:tcW w:w="842"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27,2%</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26,6%</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25,8%</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p>
        </w:tc>
        <w:tc>
          <w:tcPr>
            <w:tcW w:w="1077"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p>
        </w:tc>
        <w:tc>
          <w:tcPr>
            <w:tcW w:w="3365" w:type="dxa"/>
            <w:vMerge/>
          </w:tcPr>
          <w:p w:rsidR="00821E2A" w:rsidRPr="007C30F1" w:rsidRDefault="00821E2A" w:rsidP="007E074C">
            <w:pPr>
              <w:pStyle w:val="Tabletext"/>
              <w:rPr>
                <w:sz w:val="18"/>
                <w:szCs w:val="18"/>
                <w:lang w:val="es-ES_tradnl"/>
              </w:rPr>
            </w:pPr>
          </w:p>
        </w:tc>
      </w:tr>
      <w:tr w:rsidR="00821E2A" w:rsidRPr="007C30F1" w:rsidTr="00821E2A">
        <w:trPr>
          <w:jc w:val="center"/>
        </w:trPr>
        <w:tc>
          <w:tcPr>
            <w:tcW w:w="3175" w:type="dxa"/>
            <w:vMerge w:val="restart"/>
          </w:tcPr>
          <w:p w:rsidR="00821E2A" w:rsidRPr="007C30F1" w:rsidRDefault="00821E2A" w:rsidP="007E074C">
            <w:pPr>
              <w:pStyle w:val="Tabletext"/>
              <w:keepNext/>
              <w:keepLines/>
              <w:ind w:right="-57"/>
              <w:rPr>
                <w:sz w:val="18"/>
                <w:szCs w:val="18"/>
                <w:lang w:val="es-ES_tradnl"/>
              </w:rPr>
            </w:pPr>
            <w:r w:rsidRPr="007C30F1">
              <w:rPr>
                <w:b/>
                <w:bCs/>
                <w:color w:val="4F81BD" w:themeColor="accent1"/>
                <w:sz w:val="18"/>
                <w:szCs w:val="18"/>
                <w:lang w:val="es-ES_tradnl"/>
              </w:rPr>
              <w:t>R.2-5:</w:t>
            </w:r>
            <w:r w:rsidRPr="007C30F1">
              <w:rPr>
                <w:sz w:val="18"/>
                <w:szCs w:val="18"/>
                <w:lang w:val="es-ES_tradnl"/>
              </w:rPr>
              <w:t xml:space="preserve"> Número de transpondedores de satélite (equivalente a 36 MHz) en funcionamiento y capacidad correspondiente (Tbit/s), número de terminales VSAR, número de hogares con recepción de televisión por satélite</w:t>
            </w:r>
          </w:p>
        </w:tc>
        <w:tc>
          <w:tcPr>
            <w:tcW w:w="3231" w:type="dxa"/>
          </w:tcPr>
          <w:p w:rsidR="00821E2A" w:rsidRPr="007C30F1" w:rsidRDefault="00821E2A" w:rsidP="007E074C">
            <w:pPr>
              <w:pStyle w:val="Tabletext"/>
              <w:rPr>
                <w:sz w:val="18"/>
                <w:szCs w:val="18"/>
                <w:lang w:val="es-ES_tradnl"/>
              </w:rPr>
            </w:pPr>
            <w:r w:rsidRPr="007C30F1">
              <w:rPr>
                <w:sz w:val="18"/>
                <w:szCs w:val="18"/>
                <w:lang w:val="es-ES_tradnl"/>
              </w:rPr>
              <w:t>Número de transpondedores de satélite (equivalente 36 MHz) en explotación</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p>
        </w:tc>
        <w:tc>
          <w:tcPr>
            <w:tcW w:w="842"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15 878</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15 997</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17 953</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19 772</w:t>
            </w:r>
          </w:p>
        </w:tc>
        <w:tc>
          <w:tcPr>
            <w:tcW w:w="1077"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n/a</w:t>
            </w:r>
          </w:p>
        </w:tc>
        <w:tc>
          <w:tcPr>
            <w:tcW w:w="3365" w:type="dxa"/>
          </w:tcPr>
          <w:p w:rsidR="00821E2A" w:rsidRPr="007C30F1" w:rsidRDefault="00821E2A" w:rsidP="007E074C">
            <w:pPr>
              <w:pStyle w:val="Tabletext"/>
              <w:rPr>
                <w:sz w:val="18"/>
                <w:szCs w:val="18"/>
                <w:lang w:val="es-ES_tradnl"/>
              </w:rPr>
            </w:pPr>
            <w:r w:rsidRPr="007C30F1">
              <w:rPr>
                <w:sz w:val="18"/>
                <w:szCs w:val="18"/>
                <w:lang w:val="es-ES_tradnl"/>
              </w:rPr>
              <w:t>Euroconsult</w:t>
            </w:r>
            <w:r w:rsidRPr="007C30F1">
              <w:rPr>
                <w:sz w:val="18"/>
                <w:szCs w:val="18"/>
                <w:lang w:val="es-ES_tradnl"/>
              </w:rPr>
              <w:br/>
              <w:t>(</w:t>
            </w:r>
            <w:hyperlink r:id="rId32" w:history="1">
              <w:r w:rsidRPr="007C30F1">
                <w:rPr>
                  <w:rStyle w:val="Hyperlink"/>
                  <w:sz w:val="18"/>
                  <w:szCs w:val="18"/>
                  <w:lang w:val="es-ES_tradnl"/>
                </w:rPr>
                <w:t>http://www.euroconsult-ec.com</w:t>
              </w:r>
            </w:hyperlink>
            <w:r w:rsidRPr="007C30F1">
              <w:rPr>
                <w:sz w:val="18"/>
                <w:szCs w:val="18"/>
                <w:lang w:val="es-ES_tradnl"/>
              </w:rPr>
              <w:t>)</w:t>
            </w:r>
          </w:p>
        </w:tc>
      </w:tr>
      <w:tr w:rsidR="00821E2A" w:rsidRPr="007C30F1" w:rsidTr="00821E2A">
        <w:trPr>
          <w:jc w:val="center"/>
        </w:trPr>
        <w:tc>
          <w:tcPr>
            <w:tcW w:w="3175" w:type="dxa"/>
            <w:vMerge/>
          </w:tcPr>
          <w:p w:rsidR="00821E2A" w:rsidRPr="007C30F1" w:rsidRDefault="00821E2A" w:rsidP="007E074C">
            <w:pPr>
              <w:pStyle w:val="Tabletext"/>
              <w:rPr>
                <w:sz w:val="18"/>
                <w:szCs w:val="18"/>
                <w:lang w:val="es-ES_tradnl"/>
              </w:rPr>
            </w:pPr>
          </w:p>
        </w:tc>
        <w:tc>
          <w:tcPr>
            <w:tcW w:w="3231" w:type="dxa"/>
          </w:tcPr>
          <w:p w:rsidR="00821E2A" w:rsidRPr="007C30F1" w:rsidRDefault="00821E2A" w:rsidP="007E074C">
            <w:pPr>
              <w:pStyle w:val="Tabletext"/>
              <w:rPr>
                <w:sz w:val="18"/>
                <w:szCs w:val="18"/>
                <w:lang w:val="es-ES_tradnl"/>
              </w:rPr>
            </w:pPr>
            <w:r w:rsidRPr="007C30F1">
              <w:rPr>
                <w:sz w:val="18"/>
                <w:szCs w:val="18"/>
                <w:lang w:val="es-ES_tradnl"/>
              </w:rPr>
              <w:t>Capacidad correspondiente (en Tbit/s)</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p>
        </w:tc>
        <w:tc>
          <w:tcPr>
            <w:tcW w:w="842"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0,999</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1,095</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1,269</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1,491</w:t>
            </w:r>
          </w:p>
        </w:tc>
        <w:tc>
          <w:tcPr>
            <w:tcW w:w="1077"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n/a</w:t>
            </w:r>
          </w:p>
        </w:tc>
        <w:tc>
          <w:tcPr>
            <w:tcW w:w="3365" w:type="dxa"/>
          </w:tcPr>
          <w:p w:rsidR="00821E2A" w:rsidRPr="007C30F1" w:rsidRDefault="00821E2A" w:rsidP="007E074C">
            <w:pPr>
              <w:pStyle w:val="Tabletext"/>
              <w:rPr>
                <w:sz w:val="18"/>
                <w:szCs w:val="18"/>
                <w:lang w:val="es-ES_tradnl"/>
              </w:rPr>
            </w:pPr>
            <w:r w:rsidRPr="007C30F1">
              <w:rPr>
                <w:sz w:val="18"/>
                <w:szCs w:val="18"/>
                <w:lang w:val="es-ES_tradnl"/>
              </w:rPr>
              <w:t>Euroconsult</w:t>
            </w:r>
            <w:r w:rsidRPr="007C30F1">
              <w:rPr>
                <w:sz w:val="18"/>
                <w:szCs w:val="18"/>
                <w:lang w:val="es-ES_tradnl"/>
              </w:rPr>
              <w:br/>
              <w:t>(</w:t>
            </w:r>
            <w:hyperlink r:id="rId33" w:history="1">
              <w:r w:rsidRPr="007C30F1">
                <w:rPr>
                  <w:rStyle w:val="Hyperlink"/>
                  <w:sz w:val="18"/>
                  <w:szCs w:val="18"/>
                  <w:lang w:val="es-ES_tradnl"/>
                </w:rPr>
                <w:t>http://www.euroconsult-ec.com</w:t>
              </w:r>
            </w:hyperlink>
            <w:r w:rsidRPr="007C30F1">
              <w:rPr>
                <w:sz w:val="18"/>
                <w:szCs w:val="18"/>
                <w:lang w:val="es-ES_tradnl"/>
              </w:rPr>
              <w:t>)</w:t>
            </w:r>
          </w:p>
        </w:tc>
      </w:tr>
      <w:tr w:rsidR="00821E2A" w:rsidRPr="007C30F1" w:rsidTr="00821E2A">
        <w:trPr>
          <w:jc w:val="center"/>
        </w:trPr>
        <w:tc>
          <w:tcPr>
            <w:tcW w:w="3175" w:type="dxa"/>
            <w:vMerge/>
          </w:tcPr>
          <w:p w:rsidR="00821E2A" w:rsidRPr="007C30F1" w:rsidRDefault="00821E2A" w:rsidP="007E074C">
            <w:pPr>
              <w:pStyle w:val="Tabletext"/>
              <w:rPr>
                <w:sz w:val="18"/>
                <w:szCs w:val="18"/>
                <w:lang w:val="es-ES_tradnl"/>
              </w:rPr>
            </w:pPr>
          </w:p>
        </w:tc>
        <w:tc>
          <w:tcPr>
            <w:tcW w:w="3231" w:type="dxa"/>
          </w:tcPr>
          <w:p w:rsidR="00821E2A" w:rsidRPr="007C30F1" w:rsidRDefault="00821E2A" w:rsidP="007E074C">
            <w:pPr>
              <w:pStyle w:val="Tabletext"/>
              <w:rPr>
                <w:sz w:val="18"/>
                <w:szCs w:val="18"/>
                <w:lang w:val="es-ES_tradnl"/>
              </w:rPr>
            </w:pPr>
            <w:r w:rsidRPr="007C30F1">
              <w:rPr>
                <w:sz w:val="18"/>
                <w:szCs w:val="18"/>
                <w:lang w:val="es-ES_tradnl"/>
              </w:rPr>
              <w:t>Número de VSAT (millones)</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p>
        </w:tc>
        <w:tc>
          <w:tcPr>
            <w:tcW w:w="842"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3,480</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3,786</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3,891</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3,838</w:t>
            </w:r>
          </w:p>
        </w:tc>
        <w:tc>
          <w:tcPr>
            <w:tcW w:w="1077"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n/a</w:t>
            </w:r>
          </w:p>
        </w:tc>
        <w:tc>
          <w:tcPr>
            <w:tcW w:w="3365" w:type="dxa"/>
          </w:tcPr>
          <w:p w:rsidR="00821E2A" w:rsidRPr="007C30F1" w:rsidRDefault="00821E2A" w:rsidP="007E074C">
            <w:pPr>
              <w:pStyle w:val="Tabletext"/>
              <w:rPr>
                <w:sz w:val="18"/>
                <w:szCs w:val="18"/>
                <w:lang w:val="es-ES_tradnl"/>
              </w:rPr>
            </w:pPr>
            <w:r w:rsidRPr="007C30F1">
              <w:rPr>
                <w:sz w:val="18"/>
                <w:szCs w:val="18"/>
                <w:lang w:val="es-ES_tradnl"/>
              </w:rPr>
              <w:t>Global VSAT Forum</w:t>
            </w:r>
            <w:r w:rsidRPr="007C30F1">
              <w:rPr>
                <w:sz w:val="18"/>
                <w:szCs w:val="18"/>
                <w:lang w:val="es-ES_tradnl"/>
              </w:rPr>
              <w:br/>
              <w:t>(</w:t>
            </w:r>
            <w:hyperlink r:id="rId34" w:history="1">
              <w:r w:rsidRPr="007C30F1">
                <w:rPr>
                  <w:rStyle w:val="Hyperlink"/>
                  <w:sz w:val="18"/>
                  <w:szCs w:val="18"/>
                  <w:lang w:val="es-ES_tradnl"/>
                </w:rPr>
                <w:t>https://gvf.org</w:t>
              </w:r>
            </w:hyperlink>
            <w:r w:rsidRPr="007C30F1">
              <w:rPr>
                <w:sz w:val="18"/>
                <w:szCs w:val="18"/>
                <w:lang w:val="es-ES_tradnl"/>
              </w:rPr>
              <w:t>)</w:t>
            </w:r>
          </w:p>
        </w:tc>
      </w:tr>
      <w:tr w:rsidR="00821E2A" w:rsidRPr="007C30F1" w:rsidTr="00821E2A">
        <w:trPr>
          <w:jc w:val="center"/>
        </w:trPr>
        <w:tc>
          <w:tcPr>
            <w:tcW w:w="3175" w:type="dxa"/>
            <w:vMerge/>
          </w:tcPr>
          <w:p w:rsidR="00821E2A" w:rsidRPr="007C30F1" w:rsidRDefault="00821E2A" w:rsidP="007E074C">
            <w:pPr>
              <w:pStyle w:val="Tabletext"/>
              <w:rPr>
                <w:sz w:val="18"/>
                <w:szCs w:val="18"/>
                <w:lang w:val="es-ES_tradnl"/>
              </w:rPr>
            </w:pPr>
          </w:p>
        </w:tc>
        <w:tc>
          <w:tcPr>
            <w:tcW w:w="3231" w:type="dxa"/>
          </w:tcPr>
          <w:p w:rsidR="00821E2A" w:rsidRPr="007C30F1" w:rsidRDefault="00821E2A" w:rsidP="007E074C">
            <w:pPr>
              <w:pStyle w:val="Tabletext"/>
              <w:rPr>
                <w:sz w:val="18"/>
                <w:szCs w:val="18"/>
                <w:lang w:val="es-ES_tradnl"/>
              </w:rPr>
            </w:pPr>
            <w:r w:rsidRPr="007C30F1">
              <w:rPr>
                <w:sz w:val="18"/>
                <w:szCs w:val="18"/>
                <w:lang w:val="es-ES_tradnl"/>
              </w:rPr>
              <w:t>Número de DTH (millones)</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319,3</w:t>
            </w:r>
          </w:p>
        </w:tc>
        <w:tc>
          <w:tcPr>
            <w:tcW w:w="842"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337,3</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359,2</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396,3</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p>
        </w:tc>
        <w:tc>
          <w:tcPr>
            <w:tcW w:w="1077"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439</w:t>
            </w:r>
          </w:p>
        </w:tc>
        <w:tc>
          <w:tcPr>
            <w:tcW w:w="3365" w:type="dxa"/>
          </w:tcPr>
          <w:p w:rsidR="00821E2A" w:rsidRPr="007C30F1" w:rsidRDefault="00821E2A" w:rsidP="007E074C">
            <w:pPr>
              <w:pStyle w:val="Tabletext"/>
              <w:rPr>
                <w:sz w:val="18"/>
                <w:szCs w:val="18"/>
                <w:lang w:val="es-ES_tradnl"/>
              </w:rPr>
            </w:pPr>
            <w:r w:rsidRPr="007C30F1">
              <w:rPr>
                <w:sz w:val="18"/>
                <w:szCs w:val="18"/>
                <w:lang w:val="es-ES_tradnl"/>
              </w:rPr>
              <w:t>Digital TV World Databook report, junio de 2015; Digital TV Research Ltd</w:t>
            </w:r>
          </w:p>
        </w:tc>
      </w:tr>
      <w:tr w:rsidR="00821E2A" w:rsidRPr="007C30F1" w:rsidTr="00821E2A">
        <w:trPr>
          <w:jc w:val="center"/>
        </w:trPr>
        <w:tc>
          <w:tcPr>
            <w:tcW w:w="3175" w:type="dxa"/>
            <w:vMerge w:val="restart"/>
          </w:tcPr>
          <w:p w:rsidR="00821E2A" w:rsidRPr="007C30F1" w:rsidRDefault="00821E2A" w:rsidP="007E074C">
            <w:pPr>
              <w:pStyle w:val="Tabletext"/>
              <w:ind w:right="-57"/>
              <w:rPr>
                <w:sz w:val="18"/>
                <w:szCs w:val="18"/>
                <w:lang w:val="es-ES_tradnl"/>
              </w:rPr>
            </w:pPr>
            <w:r w:rsidRPr="007C30F1">
              <w:rPr>
                <w:b/>
                <w:bCs/>
                <w:color w:val="4F81BD" w:themeColor="accent1"/>
                <w:sz w:val="18"/>
                <w:szCs w:val="18"/>
                <w:lang w:val="es-ES_tradnl"/>
              </w:rPr>
              <w:t>R.2-6:</w:t>
            </w:r>
            <w:r w:rsidRPr="007C30F1">
              <w:rPr>
                <w:sz w:val="18"/>
                <w:szCs w:val="18"/>
                <w:lang w:val="es-ES_tradnl"/>
              </w:rPr>
              <w:t xml:space="preserve"> Mayor número de dispositivos con recepción de radionavegación por satélite</w:t>
            </w:r>
          </w:p>
        </w:tc>
        <w:tc>
          <w:tcPr>
            <w:tcW w:w="3231" w:type="dxa"/>
          </w:tcPr>
          <w:p w:rsidR="00821E2A" w:rsidRPr="007C30F1" w:rsidRDefault="00821E2A" w:rsidP="007E074C">
            <w:pPr>
              <w:pStyle w:val="Tabletext"/>
              <w:rPr>
                <w:sz w:val="18"/>
                <w:szCs w:val="18"/>
                <w:lang w:val="es-ES_tradnl"/>
              </w:rPr>
            </w:pPr>
            <w:r w:rsidRPr="007C30F1">
              <w:rPr>
                <w:sz w:val="18"/>
                <w:szCs w:val="18"/>
                <w:lang w:val="es-ES_tradnl"/>
              </w:rPr>
              <w:t>Número de satélites/constelaciones del GNSS en funcionamiento</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2/48</w:t>
            </w:r>
          </w:p>
        </w:tc>
        <w:tc>
          <w:tcPr>
            <w:tcW w:w="842"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2/48</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2/48</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4/75</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5/90</w:t>
            </w:r>
          </w:p>
        </w:tc>
        <w:tc>
          <w:tcPr>
            <w:tcW w:w="1077"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6/144</w:t>
            </w:r>
          </w:p>
        </w:tc>
        <w:tc>
          <w:tcPr>
            <w:tcW w:w="3365" w:type="dxa"/>
          </w:tcPr>
          <w:p w:rsidR="00821E2A" w:rsidRPr="007C30F1" w:rsidRDefault="00821E2A" w:rsidP="007E074C">
            <w:pPr>
              <w:pStyle w:val="Tabletext"/>
              <w:rPr>
                <w:sz w:val="18"/>
                <w:szCs w:val="18"/>
                <w:lang w:val="es-ES_tradnl"/>
              </w:rPr>
            </w:pPr>
            <w:r w:rsidRPr="007C30F1">
              <w:rPr>
                <w:sz w:val="18"/>
                <w:szCs w:val="18"/>
                <w:lang w:val="es-ES_tradnl"/>
              </w:rPr>
              <w:t>BR/MIFR</w:t>
            </w:r>
          </w:p>
        </w:tc>
      </w:tr>
      <w:tr w:rsidR="00821E2A" w:rsidRPr="007C30F1" w:rsidTr="00821E2A">
        <w:trPr>
          <w:jc w:val="center"/>
        </w:trPr>
        <w:tc>
          <w:tcPr>
            <w:tcW w:w="3175" w:type="dxa"/>
            <w:vMerge/>
          </w:tcPr>
          <w:p w:rsidR="00821E2A" w:rsidRPr="007C30F1" w:rsidRDefault="00821E2A" w:rsidP="007E074C">
            <w:pPr>
              <w:pStyle w:val="Tabletext"/>
              <w:rPr>
                <w:sz w:val="18"/>
                <w:szCs w:val="18"/>
                <w:lang w:val="es-ES_tradnl"/>
              </w:rPr>
            </w:pPr>
          </w:p>
        </w:tc>
        <w:tc>
          <w:tcPr>
            <w:tcW w:w="3231" w:type="dxa"/>
          </w:tcPr>
          <w:p w:rsidR="00821E2A" w:rsidRPr="007C30F1" w:rsidRDefault="00821E2A" w:rsidP="007E074C">
            <w:pPr>
              <w:pStyle w:val="Tabletext"/>
              <w:rPr>
                <w:sz w:val="18"/>
                <w:szCs w:val="18"/>
                <w:lang w:val="es-ES_tradnl"/>
              </w:rPr>
            </w:pPr>
            <w:r w:rsidRPr="007C30F1">
              <w:rPr>
                <w:sz w:val="18"/>
                <w:szCs w:val="18"/>
                <w:lang w:val="es-ES_tradnl"/>
              </w:rPr>
              <w:t>Número de dispositivos con receptor GNSS incorporado (miles de millones)</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p>
        </w:tc>
        <w:tc>
          <w:tcPr>
            <w:tcW w:w="842"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2,9</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3,6</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4,5</w:t>
            </w:r>
            <w:r w:rsidRPr="007C30F1">
              <w:rPr>
                <w:sz w:val="18"/>
                <w:szCs w:val="18"/>
                <w:lang w:val="es-ES_tradnl"/>
              </w:rPr>
              <w:footnoteReference w:customMarkFollows="1" w:id="6"/>
              <w:t>*</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5,4*</w:t>
            </w:r>
          </w:p>
        </w:tc>
        <w:tc>
          <w:tcPr>
            <w:tcW w:w="1077"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8</w:t>
            </w:r>
          </w:p>
        </w:tc>
        <w:tc>
          <w:tcPr>
            <w:tcW w:w="3365" w:type="dxa"/>
          </w:tcPr>
          <w:p w:rsidR="00821E2A" w:rsidRPr="007C30F1" w:rsidRDefault="00A273B1" w:rsidP="007E074C">
            <w:pPr>
              <w:pStyle w:val="Tabletext"/>
              <w:rPr>
                <w:sz w:val="18"/>
                <w:szCs w:val="18"/>
                <w:lang w:val="es-ES_tradnl"/>
              </w:rPr>
            </w:pPr>
            <w:r w:rsidRPr="007C30F1">
              <w:rPr>
                <w:sz w:val="18"/>
                <w:szCs w:val="18"/>
                <w:lang w:val="es-ES_tradnl"/>
              </w:rPr>
              <w:t>Agencia del GNSS Europeo</w:t>
            </w:r>
            <w:r w:rsidR="00821E2A" w:rsidRPr="007C30F1">
              <w:rPr>
                <w:sz w:val="18"/>
                <w:szCs w:val="18"/>
                <w:lang w:val="es-ES_tradnl"/>
              </w:rPr>
              <w:t>: GNNS Report 2015</w:t>
            </w:r>
            <w:r w:rsidR="00821E2A" w:rsidRPr="007C30F1">
              <w:rPr>
                <w:sz w:val="18"/>
                <w:szCs w:val="18"/>
                <w:lang w:val="es-ES_tradnl"/>
              </w:rPr>
              <w:br/>
              <w:t>(</w:t>
            </w:r>
            <w:hyperlink r:id="rId35" w:history="1">
              <w:r w:rsidR="00821E2A" w:rsidRPr="007C30F1">
                <w:rPr>
                  <w:rStyle w:val="Hyperlink"/>
                  <w:sz w:val="18"/>
                  <w:szCs w:val="18"/>
                  <w:lang w:val="es-ES_tradnl"/>
                </w:rPr>
                <w:t>https://www.gsa.europa.eu</w:t>
              </w:r>
            </w:hyperlink>
            <w:r w:rsidR="00821E2A" w:rsidRPr="007C30F1">
              <w:rPr>
                <w:sz w:val="18"/>
                <w:szCs w:val="18"/>
                <w:lang w:val="es-ES_tradnl"/>
              </w:rPr>
              <w:t>)</w:t>
            </w:r>
          </w:p>
        </w:tc>
      </w:tr>
      <w:tr w:rsidR="00821E2A" w:rsidRPr="007C30F1" w:rsidTr="00821E2A">
        <w:trPr>
          <w:jc w:val="center"/>
        </w:trPr>
        <w:tc>
          <w:tcPr>
            <w:tcW w:w="3175" w:type="dxa"/>
            <w:vMerge w:val="restart"/>
          </w:tcPr>
          <w:p w:rsidR="00821E2A" w:rsidRPr="007C30F1" w:rsidRDefault="00821E2A" w:rsidP="007E074C">
            <w:pPr>
              <w:pStyle w:val="Tabletext"/>
              <w:rPr>
                <w:sz w:val="18"/>
                <w:szCs w:val="18"/>
                <w:lang w:val="es-ES_tradnl"/>
              </w:rPr>
            </w:pPr>
            <w:r w:rsidRPr="007C30F1">
              <w:rPr>
                <w:b/>
                <w:bCs/>
                <w:color w:val="4F81BD" w:themeColor="accent1"/>
                <w:sz w:val="18"/>
                <w:szCs w:val="18"/>
                <w:lang w:val="es-ES_tradnl"/>
              </w:rPr>
              <w:t>R.2-7:</w:t>
            </w:r>
            <w:r w:rsidRPr="007C30F1">
              <w:rPr>
                <w:sz w:val="18"/>
                <w:szCs w:val="18"/>
                <w:lang w:val="es-ES_tradnl"/>
              </w:rPr>
              <w:t xml:space="preserve"> Número de satélites de exploración de la Tierra en funcionamiento, cantidad y resolución correspondientes de las imágenes transmitidas y los volúmenes de datos descargados (Tbytes)</w:t>
            </w:r>
          </w:p>
        </w:tc>
        <w:tc>
          <w:tcPr>
            <w:tcW w:w="3231" w:type="dxa"/>
          </w:tcPr>
          <w:p w:rsidR="00821E2A" w:rsidRPr="007C30F1" w:rsidRDefault="00821E2A" w:rsidP="007E074C">
            <w:pPr>
              <w:pStyle w:val="Tabletext"/>
              <w:rPr>
                <w:sz w:val="18"/>
                <w:szCs w:val="18"/>
                <w:lang w:val="es-ES_tradnl"/>
              </w:rPr>
            </w:pPr>
            <w:r w:rsidRPr="007C30F1">
              <w:rPr>
                <w:sz w:val="18"/>
                <w:szCs w:val="18"/>
                <w:lang w:val="es-ES_tradnl"/>
              </w:rPr>
              <w:t>Número de satélites de estudio de los recursos terrestres</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p>
        </w:tc>
        <w:tc>
          <w:tcPr>
            <w:tcW w:w="842"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180</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215</w:t>
            </w:r>
          </w:p>
        </w:tc>
        <w:tc>
          <w:tcPr>
            <w:tcW w:w="850" w:type="dxa"/>
            <w:tcBorders>
              <w:top w:val="single" w:sz="6" w:space="0" w:color="4F81BD" w:themeColor="accent1"/>
              <w:bottom w:val="single" w:sz="6" w:space="0" w:color="4F81BD" w:themeColor="accent1"/>
            </w:tcBorders>
          </w:tcPr>
          <w:p w:rsidR="00821E2A" w:rsidRPr="007C30F1" w:rsidRDefault="00821E2A" w:rsidP="007E074C">
            <w:pPr>
              <w:pStyle w:val="Tabletext"/>
              <w:jc w:val="center"/>
              <w:rPr>
                <w:sz w:val="18"/>
                <w:szCs w:val="18"/>
                <w:lang w:val="es-ES_tradnl"/>
              </w:rPr>
            </w:pPr>
            <w:r w:rsidRPr="007C30F1">
              <w:rPr>
                <w:sz w:val="18"/>
                <w:szCs w:val="18"/>
                <w:lang w:val="es-ES_tradnl"/>
              </w:rPr>
              <w:t>219</w:t>
            </w:r>
          </w:p>
        </w:tc>
        <w:tc>
          <w:tcPr>
            <w:tcW w:w="1077"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440</w:t>
            </w:r>
          </w:p>
        </w:tc>
        <w:tc>
          <w:tcPr>
            <w:tcW w:w="3365" w:type="dxa"/>
          </w:tcPr>
          <w:p w:rsidR="00821E2A" w:rsidRPr="007C30F1" w:rsidRDefault="00821E2A" w:rsidP="007E074C">
            <w:pPr>
              <w:pStyle w:val="Tabletext"/>
              <w:rPr>
                <w:sz w:val="18"/>
                <w:szCs w:val="18"/>
                <w:lang w:val="es-ES_tradnl"/>
              </w:rPr>
            </w:pPr>
            <w:r w:rsidRPr="007C30F1">
              <w:rPr>
                <w:sz w:val="18"/>
                <w:szCs w:val="18"/>
                <w:lang w:val="es-ES_tradnl"/>
              </w:rPr>
              <w:t>BR/MIFR</w:t>
            </w:r>
          </w:p>
        </w:tc>
      </w:tr>
      <w:tr w:rsidR="00821E2A" w:rsidRPr="007C30F1" w:rsidTr="00821E2A">
        <w:trPr>
          <w:jc w:val="center"/>
        </w:trPr>
        <w:tc>
          <w:tcPr>
            <w:tcW w:w="3175" w:type="dxa"/>
            <w:vMerge/>
          </w:tcPr>
          <w:p w:rsidR="00821E2A" w:rsidRPr="007C30F1" w:rsidRDefault="00821E2A" w:rsidP="007E074C">
            <w:pPr>
              <w:pStyle w:val="Tabletext"/>
              <w:rPr>
                <w:sz w:val="18"/>
                <w:szCs w:val="18"/>
                <w:lang w:val="es-ES_tradnl"/>
              </w:rPr>
            </w:pPr>
          </w:p>
        </w:tc>
        <w:tc>
          <w:tcPr>
            <w:tcW w:w="3231" w:type="dxa"/>
          </w:tcPr>
          <w:p w:rsidR="00821E2A" w:rsidRPr="007C30F1" w:rsidRDefault="00821E2A" w:rsidP="007E074C">
            <w:pPr>
              <w:pStyle w:val="Tabletext"/>
              <w:rPr>
                <w:sz w:val="18"/>
                <w:szCs w:val="18"/>
                <w:lang w:val="es-ES_tradnl"/>
              </w:rPr>
            </w:pPr>
            <w:r w:rsidRPr="007C30F1">
              <w:rPr>
                <w:sz w:val="18"/>
                <w:szCs w:val="18"/>
                <w:lang w:val="es-ES_tradnl"/>
              </w:rPr>
              <w:t>Cantidad de imágenes transmitidas (millones)</w:t>
            </w:r>
          </w:p>
        </w:tc>
        <w:tc>
          <w:tcPr>
            <w:tcW w:w="850" w:type="dxa"/>
            <w:tcBorders>
              <w:top w:val="single" w:sz="6" w:space="0" w:color="4F81BD" w:themeColor="accent1"/>
              <w:bottom w:val="single" w:sz="6" w:space="0" w:color="4F81BD" w:themeColor="accent1"/>
            </w:tcBorders>
          </w:tcPr>
          <w:p w:rsidR="00821E2A" w:rsidRPr="007C30F1" w:rsidRDefault="00927833" w:rsidP="007E074C">
            <w:pPr>
              <w:pStyle w:val="Tabletext"/>
              <w:jc w:val="center"/>
              <w:rPr>
                <w:sz w:val="18"/>
                <w:szCs w:val="18"/>
                <w:lang w:val="es-ES_tradnl"/>
              </w:rPr>
            </w:pPr>
            <w:r w:rsidRPr="007C30F1">
              <w:rPr>
                <w:sz w:val="18"/>
                <w:szCs w:val="18"/>
                <w:lang w:val="es-ES_tradnl"/>
              </w:rPr>
              <w:t>55</w:t>
            </w:r>
          </w:p>
        </w:tc>
        <w:tc>
          <w:tcPr>
            <w:tcW w:w="842" w:type="dxa"/>
            <w:tcBorders>
              <w:top w:val="single" w:sz="6" w:space="0" w:color="4F81BD" w:themeColor="accent1"/>
              <w:bottom w:val="single" w:sz="6" w:space="0" w:color="4F81BD" w:themeColor="accent1"/>
            </w:tcBorders>
          </w:tcPr>
          <w:p w:rsidR="00821E2A" w:rsidRPr="007C30F1" w:rsidRDefault="00927833" w:rsidP="007E074C">
            <w:pPr>
              <w:pStyle w:val="Tabletext"/>
              <w:jc w:val="center"/>
              <w:rPr>
                <w:sz w:val="18"/>
                <w:szCs w:val="18"/>
                <w:lang w:val="es-ES_tradnl"/>
              </w:rPr>
            </w:pPr>
            <w:r w:rsidRPr="007C30F1">
              <w:rPr>
                <w:sz w:val="18"/>
                <w:szCs w:val="18"/>
                <w:lang w:val="es-ES_tradnl"/>
              </w:rPr>
              <w:t>60</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927833" w:rsidP="007E074C">
            <w:pPr>
              <w:pStyle w:val="Tabletext"/>
              <w:jc w:val="center"/>
              <w:rPr>
                <w:sz w:val="18"/>
                <w:szCs w:val="18"/>
                <w:lang w:val="es-ES_tradnl"/>
              </w:rPr>
            </w:pPr>
            <w:r w:rsidRPr="007C30F1">
              <w:rPr>
                <w:sz w:val="18"/>
                <w:szCs w:val="18"/>
                <w:lang w:val="es-ES_tradnl"/>
              </w:rPr>
              <w:t>62</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927833" w:rsidP="007E074C">
            <w:pPr>
              <w:pStyle w:val="Tabletext"/>
              <w:jc w:val="center"/>
              <w:rPr>
                <w:sz w:val="18"/>
                <w:szCs w:val="18"/>
                <w:lang w:val="es-ES_tradnl"/>
              </w:rPr>
            </w:pPr>
            <w:r w:rsidRPr="007C30F1">
              <w:rPr>
                <w:sz w:val="18"/>
                <w:szCs w:val="18"/>
                <w:lang w:val="es-ES_tradnl"/>
              </w:rPr>
              <w:t>68</w:t>
            </w:r>
          </w:p>
        </w:tc>
        <w:tc>
          <w:tcPr>
            <w:tcW w:w="850" w:type="dxa"/>
            <w:tcBorders>
              <w:top w:val="single" w:sz="6" w:space="0" w:color="4F81BD" w:themeColor="accent1"/>
              <w:bottom w:val="single" w:sz="6" w:space="0" w:color="4F81BD" w:themeColor="accent1"/>
            </w:tcBorders>
          </w:tcPr>
          <w:p w:rsidR="00821E2A" w:rsidRPr="007C30F1" w:rsidRDefault="00927833" w:rsidP="007E074C">
            <w:pPr>
              <w:pStyle w:val="Tabletext"/>
              <w:jc w:val="center"/>
              <w:rPr>
                <w:sz w:val="18"/>
                <w:szCs w:val="18"/>
                <w:lang w:val="es-ES_tradnl"/>
              </w:rPr>
            </w:pPr>
            <w:r w:rsidRPr="007C30F1">
              <w:rPr>
                <w:sz w:val="18"/>
                <w:szCs w:val="18"/>
                <w:lang w:val="es-ES_tradnl"/>
              </w:rPr>
              <w:t>71</w:t>
            </w:r>
          </w:p>
        </w:tc>
        <w:tc>
          <w:tcPr>
            <w:tcW w:w="1077"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n/a</w:t>
            </w:r>
          </w:p>
        </w:tc>
        <w:tc>
          <w:tcPr>
            <w:tcW w:w="3365" w:type="dxa"/>
          </w:tcPr>
          <w:p w:rsidR="00821E2A" w:rsidRPr="007C30F1" w:rsidRDefault="00A75DCB" w:rsidP="007E074C">
            <w:pPr>
              <w:pStyle w:val="Tabletext"/>
              <w:rPr>
                <w:sz w:val="18"/>
                <w:szCs w:val="18"/>
                <w:lang w:val="es-ES_tradnl"/>
              </w:rPr>
            </w:pPr>
            <w:r w:rsidRPr="007C30F1">
              <w:rPr>
                <w:sz w:val="18"/>
                <w:szCs w:val="18"/>
                <w:lang w:val="es-ES_tradnl"/>
              </w:rPr>
              <w:t>Varias partes interesadas de la Comisión sobre la Utilización del Espacio Ultraterrestre con Fines Pacíficos</w:t>
            </w:r>
          </w:p>
        </w:tc>
      </w:tr>
      <w:tr w:rsidR="00821E2A" w:rsidRPr="007C30F1" w:rsidTr="00821E2A">
        <w:trPr>
          <w:jc w:val="center"/>
        </w:trPr>
        <w:tc>
          <w:tcPr>
            <w:tcW w:w="3175" w:type="dxa"/>
            <w:vMerge/>
          </w:tcPr>
          <w:p w:rsidR="00821E2A" w:rsidRPr="007C30F1" w:rsidRDefault="00821E2A" w:rsidP="007E074C">
            <w:pPr>
              <w:pStyle w:val="Tabletext"/>
              <w:rPr>
                <w:sz w:val="18"/>
                <w:szCs w:val="18"/>
                <w:highlight w:val="cyan"/>
                <w:lang w:val="es-ES_tradnl"/>
              </w:rPr>
            </w:pPr>
          </w:p>
        </w:tc>
        <w:tc>
          <w:tcPr>
            <w:tcW w:w="3231" w:type="dxa"/>
          </w:tcPr>
          <w:p w:rsidR="00821E2A" w:rsidRPr="007C30F1" w:rsidRDefault="00821E2A" w:rsidP="007E074C">
            <w:pPr>
              <w:pStyle w:val="Tabletext"/>
              <w:rPr>
                <w:sz w:val="18"/>
                <w:szCs w:val="18"/>
                <w:lang w:val="es-ES_tradnl"/>
              </w:rPr>
            </w:pPr>
            <w:r w:rsidRPr="007C30F1">
              <w:rPr>
                <w:sz w:val="18"/>
                <w:szCs w:val="18"/>
                <w:lang w:val="es-ES_tradnl"/>
              </w:rPr>
              <w:t>Tamaño de las imágenes descargadas (Terabytes)</w:t>
            </w:r>
          </w:p>
        </w:tc>
        <w:tc>
          <w:tcPr>
            <w:tcW w:w="850" w:type="dxa"/>
            <w:tcBorders>
              <w:top w:val="single" w:sz="6" w:space="0" w:color="4F81BD" w:themeColor="accent1"/>
              <w:bottom w:val="single" w:sz="6" w:space="0" w:color="4F81BD" w:themeColor="accent1"/>
            </w:tcBorders>
          </w:tcPr>
          <w:p w:rsidR="00821E2A" w:rsidRPr="007C30F1" w:rsidRDefault="00927833" w:rsidP="007E074C">
            <w:pPr>
              <w:pStyle w:val="Tabletext"/>
              <w:jc w:val="center"/>
              <w:rPr>
                <w:sz w:val="18"/>
                <w:szCs w:val="18"/>
                <w:lang w:val="es-ES_tradnl"/>
              </w:rPr>
            </w:pPr>
            <w:r w:rsidRPr="007C30F1">
              <w:rPr>
                <w:sz w:val="18"/>
                <w:szCs w:val="18"/>
                <w:lang w:val="es-ES_tradnl"/>
              </w:rPr>
              <w:t>18 000</w:t>
            </w:r>
          </w:p>
        </w:tc>
        <w:tc>
          <w:tcPr>
            <w:tcW w:w="842" w:type="dxa"/>
            <w:tcBorders>
              <w:top w:val="single" w:sz="6" w:space="0" w:color="4F81BD" w:themeColor="accent1"/>
              <w:bottom w:val="single" w:sz="6" w:space="0" w:color="4F81BD" w:themeColor="accent1"/>
            </w:tcBorders>
          </w:tcPr>
          <w:p w:rsidR="00821E2A" w:rsidRPr="007C30F1" w:rsidRDefault="00927833" w:rsidP="007E074C">
            <w:pPr>
              <w:pStyle w:val="Tabletext"/>
              <w:jc w:val="center"/>
              <w:rPr>
                <w:sz w:val="18"/>
                <w:szCs w:val="18"/>
                <w:lang w:val="es-ES_tradnl"/>
              </w:rPr>
            </w:pPr>
            <w:r w:rsidRPr="007C30F1">
              <w:rPr>
                <w:sz w:val="18"/>
                <w:szCs w:val="18"/>
                <w:lang w:val="es-ES_tradnl"/>
              </w:rPr>
              <w:t>22 000</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927833" w:rsidP="007E074C">
            <w:pPr>
              <w:pStyle w:val="Tabletext"/>
              <w:jc w:val="center"/>
              <w:rPr>
                <w:sz w:val="18"/>
                <w:szCs w:val="18"/>
                <w:lang w:val="es-ES_tradnl"/>
              </w:rPr>
            </w:pPr>
            <w:r w:rsidRPr="007C30F1">
              <w:rPr>
                <w:sz w:val="18"/>
                <w:szCs w:val="18"/>
                <w:lang w:val="es-ES_tradnl"/>
              </w:rPr>
              <w:t>27 000</w:t>
            </w:r>
          </w:p>
        </w:tc>
        <w:tc>
          <w:tcPr>
            <w:tcW w:w="850" w:type="dxa"/>
            <w:tcBorders>
              <w:top w:val="single" w:sz="6" w:space="0" w:color="4F81BD" w:themeColor="accent1"/>
              <w:bottom w:val="single" w:sz="6" w:space="0" w:color="4F81BD" w:themeColor="accent1"/>
            </w:tcBorders>
            <w:shd w:val="clear" w:color="auto" w:fill="auto"/>
          </w:tcPr>
          <w:p w:rsidR="00821E2A" w:rsidRPr="007C30F1" w:rsidRDefault="00927833" w:rsidP="007E074C">
            <w:pPr>
              <w:pStyle w:val="Tabletext"/>
              <w:jc w:val="center"/>
              <w:rPr>
                <w:sz w:val="18"/>
                <w:szCs w:val="18"/>
                <w:lang w:val="es-ES_tradnl"/>
              </w:rPr>
            </w:pPr>
            <w:r w:rsidRPr="007C30F1">
              <w:rPr>
                <w:sz w:val="18"/>
                <w:szCs w:val="18"/>
                <w:lang w:val="es-ES_tradnl"/>
              </w:rPr>
              <w:t>35 000</w:t>
            </w:r>
          </w:p>
        </w:tc>
        <w:tc>
          <w:tcPr>
            <w:tcW w:w="850" w:type="dxa"/>
            <w:tcBorders>
              <w:top w:val="single" w:sz="6" w:space="0" w:color="4F81BD" w:themeColor="accent1"/>
              <w:bottom w:val="single" w:sz="6" w:space="0" w:color="4F81BD" w:themeColor="accent1"/>
            </w:tcBorders>
          </w:tcPr>
          <w:p w:rsidR="00821E2A" w:rsidRPr="007C30F1" w:rsidRDefault="00927833" w:rsidP="007E074C">
            <w:pPr>
              <w:pStyle w:val="Tabletext"/>
              <w:jc w:val="center"/>
              <w:rPr>
                <w:sz w:val="18"/>
                <w:szCs w:val="18"/>
                <w:lang w:val="es-ES_tradnl"/>
              </w:rPr>
            </w:pPr>
            <w:r w:rsidRPr="007C30F1">
              <w:rPr>
                <w:sz w:val="18"/>
                <w:szCs w:val="18"/>
                <w:lang w:val="es-ES_tradnl"/>
              </w:rPr>
              <w:t>37 000</w:t>
            </w:r>
          </w:p>
        </w:tc>
        <w:tc>
          <w:tcPr>
            <w:tcW w:w="1077" w:type="dxa"/>
            <w:tcBorders>
              <w:top w:val="single" w:sz="6" w:space="0" w:color="4F81BD" w:themeColor="accent1"/>
              <w:bottom w:val="single" w:sz="6" w:space="0" w:color="4F81BD" w:themeColor="accent1"/>
            </w:tcBorders>
            <w:shd w:val="clear" w:color="auto" w:fill="auto"/>
          </w:tcPr>
          <w:p w:rsidR="00821E2A" w:rsidRPr="007C30F1" w:rsidRDefault="00821E2A" w:rsidP="007E074C">
            <w:pPr>
              <w:pStyle w:val="Tabletext"/>
              <w:jc w:val="center"/>
              <w:rPr>
                <w:sz w:val="18"/>
                <w:szCs w:val="18"/>
                <w:lang w:val="es-ES_tradnl"/>
              </w:rPr>
            </w:pPr>
            <w:r w:rsidRPr="007C30F1">
              <w:rPr>
                <w:sz w:val="18"/>
                <w:szCs w:val="18"/>
                <w:lang w:val="es-ES_tradnl"/>
              </w:rPr>
              <w:t>n/a</w:t>
            </w:r>
          </w:p>
        </w:tc>
        <w:tc>
          <w:tcPr>
            <w:tcW w:w="3365" w:type="dxa"/>
          </w:tcPr>
          <w:p w:rsidR="00821E2A" w:rsidRPr="007C30F1" w:rsidRDefault="00A75DCB" w:rsidP="007E074C">
            <w:pPr>
              <w:pStyle w:val="Tabletext"/>
              <w:rPr>
                <w:sz w:val="18"/>
                <w:szCs w:val="18"/>
                <w:lang w:val="es-ES_tradnl"/>
              </w:rPr>
            </w:pPr>
            <w:r w:rsidRPr="007C30F1">
              <w:rPr>
                <w:sz w:val="18"/>
                <w:szCs w:val="18"/>
                <w:lang w:val="es-ES_tradnl"/>
              </w:rPr>
              <w:t>Varias partes interesadas de la Comisión sobre la Utilización del Espacio Ultraterrestre con Fines Pacíficos</w:t>
            </w:r>
          </w:p>
        </w:tc>
      </w:tr>
    </w:tbl>
    <w:p w:rsidR="00821E2A" w:rsidRPr="007C30F1" w:rsidRDefault="00821E2A" w:rsidP="007E074C">
      <w:pPr>
        <w:overflowPunct/>
        <w:autoSpaceDE/>
        <w:autoSpaceDN/>
        <w:adjustRightInd/>
        <w:spacing w:line="240" w:lineRule="auto"/>
        <w:textAlignment w:val="auto"/>
        <w:rPr>
          <w:szCs w:val="24"/>
          <w:lang w:val="es-ES_tradnl"/>
        </w:rPr>
      </w:pPr>
      <w:r w:rsidRPr="007C30F1">
        <w:rPr>
          <w:szCs w:val="24"/>
          <w:lang w:val="es-ES_tradnl"/>
        </w:rPr>
        <w:br w:type="page"/>
      </w:r>
    </w:p>
    <w:tbl>
      <w:tblPr>
        <w:tblW w:w="1445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20" w:firstRow="1" w:lastRow="0" w:firstColumn="0" w:lastColumn="0" w:noHBand="1" w:noVBand="1"/>
      </w:tblPr>
      <w:tblGrid>
        <w:gridCol w:w="10214"/>
        <w:gridCol w:w="1064"/>
        <w:gridCol w:w="1049"/>
        <w:gridCol w:w="1064"/>
        <w:gridCol w:w="1064"/>
      </w:tblGrid>
      <w:tr w:rsidR="00821E2A" w:rsidRPr="007C30F1" w:rsidTr="00821E2A">
        <w:trPr>
          <w:tblHeader/>
        </w:trPr>
        <w:tc>
          <w:tcPr>
            <w:tcW w:w="10214" w:type="dxa"/>
            <w:tcBorders>
              <w:right w:val="nil"/>
            </w:tcBorders>
            <w:shd w:val="clear" w:color="auto" w:fill="4F81BD" w:themeFill="accent1"/>
          </w:tcPr>
          <w:p w:rsidR="00821E2A" w:rsidRPr="007C30F1" w:rsidRDefault="00821E2A" w:rsidP="007E074C">
            <w:pPr>
              <w:pStyle w:val="Tablehead"/>
              <w:rPr>
                <w:color w:val="FFFFFF" w:themeColor="background1"/>
                <w:lang w:val="es-ES_tradnl"/>
              </w:rPr>
            </w:pPr>
            <w:r w:rsidRPr="007C30F1">
              <w:rPr>
                <w:color w:val="FFFFFF" w:themeColor="background1"/>
                <w:lang w:val="es-ES_tradnl"/>
              </w:rPr>
              <w:lastRenderedPageBreak/>
              <w:t>Producto</w:t>
            </w:r>
          </w:p>
        </w:tc>
        <w:tc>
          <w:tcPr>
            <w:tcW w:w="4241" w:type="dxa"/>
            <w:gridSpan w:val="4"/>
            <w:tcBorders>
              <w:left w:val="nil"/>
            </w:tcBorders>
            <w:shd w:val="clear" w:color="auto" w:fill="4F81BD" w:themeFill="accent1"/>
          </w:tcPr>
          <w:p w:rsidR="00821E2A" w:rsidRPr="007C30F1" w:rsidRDefault="00821E2A" w:rsidP="007E074C">
            <w:pPr>
              <w:pStyle w:val="Tablehead"/>
              <w:rPr>
                <w:color w:val="FFFFFF" w:themeColor="background1"/>
                <w:lang w:val="es-ES_tradnl"/>
              </w:rPr>
            </w:pPr>
            <w:r w:rsidRPr="007C30F1">
              <w:rPr>
                <w:color w:val="FFFFFF" w:themeColor="background1"/>
                <w:lang w:val="es-ES_tradnl"/>
              </w:rPr>
              <w:t>Recursos financieros</w:t>
            </w:r>
            <w:r w:rsidRPr="007C30F1">
              <w:rPr>
                <w:rStyle w:val="FootnoteReference"/>
                <w:color w:val="FFFFFF" w:themeColor="background1"/>
                <w:lang w:val="es-ES_tradnl"/>
              </w:rPr>
              <w:footnoteReference w:id="7"/>
            </w:r>
            <w:r w:rsidRPr="007C30F1">
              <w:rPr>
                <w:color w:val="FFFFFF" w:themeColor="background1"/>
                <w:lang w:val="es-ES_tradnl"/>
              </w:rPr>
              <w:t xml:space="preserve"> (en miles CHF)</w:t>
            </w:r>
          </w:p>
        </w:tc>
      </w:tr>
      <w:tr w:rsidR="00821E2A" w:rsidRPr="007C30F1" w:rsidTr="00821E2A">
        <w:tc>
          <w:tcPr>
            <w:tcW w:w="10214" w:type="dxa"/>
          </w:tcPr>
          <w:p w:rsidR="00821E2A" w:rsidRPr="007C30F1" w:rsidRDefault="00821E2A" w:rsidP="007E074C">
            <w:pPr>
              <w:pStyle w:val="Tablehead"/>
              <w:rPr>
                <w:lang w:val="es-ES_tradnl"/>
              </w:rPr>
            </w:pPr>
          </w:p>
        </w:tc>
        <w:tc>
          <w:tcPr>
            <w:tcW w:w="1064" w:type="dxa"/>
          </w:tcPr>
          <w:p w:rsidR="00821E2A" w:rsidRPr="007C30F1" w:rsidRDefault="00821E2A" w:rsidP="007E074C">
            <w:pPr>
              <w:pStyle w:val="Tablehead"/>
              <w:rPr>
                <w:bCs/>
                <w:color w:val="4F81BD" w:themeColor="accent1"/>
                <w:lang w:val="es-ES_tradnl"/>
              </w:rPr>
            </w:pPr>
            <w:r w:rsidRPr="007C30F1">
              <w:rPr>
                <w:bCs/>
                <w:color w:val="4F81BD" w:themeColor="accent1"/>
                <w:lang w:val="es-ES_tradnl"/>
              </w:rPr>
              <w:t>2018</w:t>
            </w:r>
          </w:p>
        </w:tc>
        <w:tc>
          <w:tcPr>
            <w:tcW w:w="1049" w:type="dxa"/>
          </w:tcPr>
          <w:p w:rsidR="00821E2A" w:rsidRPr="007C30F1" w:rsidRDefault="00821E2A" w:rsidP="007E074C">
            <w:pPr>
              <w:pStyle w:val="Tablehead"/>
              <w:rPr>
                <w:bCs/>
                <w:color w:val="4F81BD" w:themeColor="accent1"/>
                <w:lang w:val="es-ES_tradnl"/>
              </w:rPr>
            </w:pPr>
            <w:r w:rsidRPr="007C30F1">
              <w:rPr>
                <w:bCs/>
                <w:color w:val="4F81BD" w:themeColor="accent1"/>
                <w:lang w:val="es-ES_tradnl"/>
              </w:rPr>
              <w:t>2019</w:t>
            </w:r>
          </w:p>
        </w:tc>
        <w:tc>
          <w:tcPr>
            <w:tcW w:w="1064" w:type="dxa"/>
          </w:tcPr>
          <w:p w:rsidR="00821E2A" w:rsidRPr="007C30F1" w:rsidRDefault="00821E2A" w:rsidP="007E074C">
            <w:pPr>
              <w:pStyle w:val="Tablehead"/>
              <w:rPr>
                <w:bCs/>
                <w:color w:val="4F81BD" w:themeColor="accent1"/>
                <w:lang w:val="es-ES_tradnl"/>
              </w:rPr>
            </w:pPr>
            <w:r w:rsidRPr="007C30F1">
              <w:rPr>
                <w:bCs/>
                <w:color w:val="4F81BD" w:themeColor="accent1"/>
                <w:lang w:val="es-ES_tradnl"/>
              </w:rPr>
              <w:t>2020</w:t>
            </w:r>
          </w:p>
        </w:tc>
        <w:tc>
          <w:tcPr>
            <w:tcW w:w="1064" w:type="dxa"/>
          </w:tcPr>
          <w:p w:rsidR="00821E2A" w:rsidRPr="007C30F1" w:rsidRDefault="00821E2A" w:rsidP="007E074C">
            <w:pPr>
              <w:pStyle w:val="Tablehead"/>
              <w:rPr>
                <w:bCs/>
                <w:color w:val="4F81BD" w:themeColor="accent1"/>
                <w:lang w:val="es-ES_tradnl"/>
              </w:rPr>
            </w:pPr>
            <w:r w:rsidRPr="007C30F1">
              <w:rPr>
                <w:bCs/>
                <w:color w:val="4F81BD" w:themeColor="accent1"/>
                <w:lang w:val="es-ES_tradnl"/>
              </w:rPr>
              <w:t>2021</w:t>
            </w:r>
          </w:p>
        </w:tc>
      </w:tr>
      <w:tr w:rsidR="00821E2A" w:rsidRPr="007C30F1" w:rsidTr="00821E2A">
        <w:tc>
          <w:tcPr>
            <w:tcW w:w="10214" w:type="dxa"/>
            <w:vAlign w:val="center"/>
          </w:tcPr>
          <w:p w:rsidR="00821E2A" w:rsidRPr="007C30F1" w:rsidRDefault="00821E2A" w:rsidP="007E074C">
            <w:pPr>
              <w:pStyle w:val="Tabletext"/>
              <w:rPr>
                <w:noProof/>
                <w:lang w:val="es-ES_tradnl" w:eastAsia="zh-CN"/>
              </w:rPr>
            </w:pPr>
            <w:r w:rsidRPr="007C30F1">
              <w:rPr>
                <w:b/>
                <w:bCs/>
                <w:color w:val="5B9BD5"/>
                <w:lang w:val="es-ES_tradnl"/>
              </w:rPr>
              <w:t xml:space="preserve">R.2-1: </w:t>
            </w:r>
            <w:r w:rsidRPr="007C30F1">
              <w:rPr>
                <w:lang w:val="es-ES_tradnl"/>
              </w:rPr>
              <w:t>Decisiones de la Asamblea de Radiocomunicaciones, Resoluciones del UIT-R</w:t>
            </w:r>
          </w:p>
        </w:tc>
        <w:tc>
          <w:tcPr>
            <w:tcW w:w="1064" w:type="dxa"/>
            <w:vAlign w:val="center"/>
          </w:tcPr>
          <w:p w:rsidR="00821E2A" w:rsidRPr="007C30F1" w:rsidRDefault="00821E2A" w:rsidP="007E074C">
            <w:pPr>
              <w:pStyle w:val="Tabletext"/>
              <w:jc w:val="center"/>
              <w:rPr>
                <w:lang w:val="es-ES_tradnl"/>
              </w:rPr>
            </w:pPr>
            <w:r w:rsidRPr="007C30F1">
              <w:rPr>
                <w:lang w:val="es-ES_tradnl"/>
              </w:rPr>
              <w:t>1 012</w:t>
            </w:r>
          </w:p>
        </w:tc>
        <w:tc>
          <w:tcPr>
            <w:tcW w:w="1049" w:type="dxa"/>
            <w:vAlign w:val="center"/>
          </w:tcPr>
          <w:p w:rsidR="00821E2A" w:rsidRPr="007C30F1" w:rsidRDefault="00821E2A" w:rsidP="007E074C">
            <w:pPr>
              <w:pStyle w:val="Tabletext"/>
              <w:jc w:val="center"/>
              <w:rPr>
                <w:lang w:val="es-ES_tradnl"/>
              </w:rPr>
            </w:pPr>
            <w:r w:rsidRPr="007C30F1">
              <w:rPr>
                <w:lang w:val="es-ES_tradnl"/>
              </w:rPr>
              <w:t>2 142</w:t>
            </w:r>
          </w:p>
        </w:tc>
        <w:tc>
          <w:tcPr>
            <w:tcW w:w="1064" w:type="dxa"/>
            <w:vAlign w:val="center"/>
          </w:tcPr>
          <w:p w:rsidR="00821E2A" w:rsidRPr="007C30F1" w:rsidRDefault="00821E2A" w:rsidP="007E074C">
            <w:pPr>
              <w:pStyle w:val="Tabletext"/>
              <w:jc w:val="center"/>
              <w:rPr>
                <w:lang w:val="es-ES_tradnl"/>
              </w:rPr>
            </w:pPr>
            <w:r w:rsidRPr="007C30F1">
              <w:rPr>
                <w:lang w:val="es-ES_tradnl"/>
              </w:rPr>
              <w:t>1 370</w:t>
            </w:r>
          </w:p>
        </w:tc>
        <w:tc>
          <w:tcPr>
            <w:tcW w:w="1064" w:type="dxa"/>
            <w:vAlign w:val="center"/>
          </w:tcPr>
          <w:p w:rsidR="00821E2A" w:rsidRPr="007C30F1" w:rsidRDefault="00821E2A" w:rsidP="007E074C">
            <w:pPr>
              <w:pStyle w:val="Tabletext"/>
              <w:jc w:val="center"/>
              <w:rPr>
                <w:lang w:val="es-ES_tradnl"/>
              </w:rPr>
            </w:pPr>
            <w:r w:rsidRPr="007C30F1">
              <w:rPr>
                <w:lang w:val="es-ES_tradnl"/>
              </w:rPr>
              <w:t>1 387</w:t>
            </w:r>
          </w:p>
        </w:tc>
      </w:tr>
      <w:tr w:rsidR="00821E2A" w:rsidRPr="007C30F1" w:rsidTr="00821E2A">
        <w:tc>
          <w:tcPr>
            <w:tcW w:w="10214" w:type="dxa"/>
            <w:vAlign w:val="center"/>
          </w:tcPr>
          <w:p w:rsidR="00821E2A" w:rsidRPr="007C30F1" w:rsidRDefault="00821E2A" w:rsidP="007E074C">
            <w:pPr>
              <w:pStyle w:val="Tabletext"/>
              <w:rPr>
                <w:noProof/>
                <w:lang w:val="es-ES_tradnl" w:eastAsia="zh-CN"/>
              </w:rPr>
            </w:pPr>
            <w:r w:rsidRPr="007C30F1">
              <w:rPr>
                <w:b/>
                <w:bCs/>
                <w:color w:val="5B9BD5"/>
                <w:lang w:val="es-ES_tradnl"/>
              </w:rPr>
              <w:t xml:space="preserve">R.2-2: </w:t>
            </w:r>
            <w:r w:rsidRPr="007C30F1">
              <w:rPr>
                <w:lang w:val="es-ES_tradnl"/>
              </w:rPr>
              <w:t xml:space="preserve">Recomendaciones, Informes (incluido el informe de la RPC) y Manuales del UIT-R </w:t>
            </w:r>
          </w:p>
        </w:tc>
        <w:tc>
          <w:tcPr>
            <w:tcW w:w="1064" w:type="dxa"/>
            <w:vAlign w:val="center"/>
          </w:tcPr>
          <w:p w:rsidR="00821E2A" w:rsidRPr="007C30F1" w:rsidRDefault="00821E2A" w:rsidP="007E074C">
            <w:pPr>
              <w:pStyle w:val="Tabletext"/>
              <w:jc w:val="center"/>
              <w:rPr>
                <w:lang w:val="es-ES_tradnl"/>
              </w:rPr>
            </w:pPr>
            <w:r w:rsidRPr="007C30F1">
              <w:rPr>
                <w:lang w:val="es-ES_tradnl"/>
              </w:rPr>
              <w:t>5 022</w:t>
            </w:r>
          </w:p>
        </w:tc>
        <w:tc>
          <w:tcPr>
            <w:tcW w:w="1049" w:type="dxa"/>
            <w:vAlign w:val="center"/>
          </w:tcPr>
          <w:p w:rsidR="00821E2A" w:rsidRPr="007C30F1" w:rsidRDefault="00821E2A" w:rsidP="007E074C">
            <w:pPr>
              <w:pStyle w:val="Tabletext"/>
              <w:jc w:val="center"/>
              <w:rPr>
                <w:lang w:val="es-ES_tradnl"/>
              </w:rPr>
            </w:pPr>
            <w:r w:rsidRPr="007C30F1">
              <w:rPr>
                <w:lang w:val="es-ES_tradnl"/>
              </w:rPr>
              <w:t>6 060</w:t>
            </w:r>
          </w:p>
        </w:tc>
        <w:tc>
          <w:tcPr>
            <w:tcW w:w="1064" w:type="dxa"/>
            <w:vAlign w:val="center"/>
          </w:tcPr>
          <w:p w:rsidR="00821E2A" w:rsidRPr="007C30F1" w:rsidRDefault="00821E2A" w:rsidP="007E074C">
            <w:pPr>
              <w:pStyle w:val="Tabletext"/>
              <w:jc w:val="center"/>
              <w:rPr>
                <w:lang w:val="es-ES_tradnl"/>
              </w:rPr>
            </w:pPr>
            <w:r w:rsidRPr="007C30F1">
              <w:rPr>
                <w:lang w:val="es-ES_tradnl"/>
              </w:rPr>
              <w:t>5 517</w:t>
            </w:r>
          </w:p>
        </w:tc>
        <w:tc>
          <w:tcPr>
            <w:tcW w:w="1064" w:type="dxa"/>
            <w:vAlign w:val="center"/>
          </w:tcPr>
          <w:p w:rsidR="00821E2A" w:rsidRPr="007C30F1" w:rsidRDefault="00821E2A" w:rsidP="007E074C">
            <w:pPr>
              <w:pStyle w:val="Tabletext"/>
              <w:jc w:val="center"/>
              <w:rPr>
                <w:lang w:val="es-ES_tradnl"/>
              </w:rPr>
            </w:pPr>
            <w:r w:rsidRPr="007C30F1">
              <w:rPr>
                <w:lang w:val="es-ES_tradnl"/>
              </w:rPr>
              <w:t>5 660</w:t>
            </w:r>
          </w:p>
        </w:tc>
      </w:tr>
      <w:tr w:rsidR="00821E2A" w:rsidRPr="007C30F1" w:rsidTr="00821E2A">
        <w:tc>
          <w:tcPr>
            <w:tcW w:w="10214" w:type="dxa"/>
            <w:vAlign w:val="center"/>
          </w:tcPr>
          <w:p w:rsidR="00821E2A" w:rsidRPr="007C30F1" w:rsidRDefault="00821E2A" w:rsidP="007E074C">
            <w:pPr>
              <w:pStyle w:val="Tabletext"/>
              <w:rPr>
                <w:noProof/>
                <w:lang w:val="es-ES_tradnl" w:eastAsia="zh-CN"/>
              </w:rPr>
            </w:pPr>
            <w:r w:rsidRPr="007C30F1">
              <w:rPr>
                <w:b/>
                <w:bCs/>
                <w:color w:val="5B9BD5"/>
                <w:lang w:val="es-ES_tradnl"/>
              </w:rPr>
              <w:t xml:space="preserve">R.2-3: </w:t>
            </w:r>
            <w:r w:rsidRPr="007C30F1">
              <w:rPr>
                <w:lang w:val="es-ES_tradnl"/>
              </w:rPr>
              <w:t>Asesoramiento del Grupo Asesor de Radiocomunicaciones</w:t>
            </w:r>
          </w:p>
        </w:tc>
        <w:tc>
          <w:tcPr>
            <w:tcW w:w="1064" w:type="dxa"/>
            <w:vAlign w:val="center"/>
          </w:tcPr>
          <w:p w:rsidR="00821E2A" w:rsidRPr="007C30F1" w:rsidRDefault="00821E2A" w:rsidP="007E074C">
            <w:pPr>
              <w:pStyle w:val="Tabletext"/>
              <w:jc w:val="center"/>
              <w:rPr>
                <w:lang w:val="es-ES_tradnl"/>
              </w:rPr>
            </w:pPr>
            <w:r w:rsidRPr="007C30F1">
              <w:rPr>
                <w:lang w:val="es-ES_tradnl"/>
              </w:rPr>
              <w:t>1 242</w:t>
            </w:r>
          </w:p>
        </w:tc>
        <w:tc>
          <w:tcPr>
            <w:tcW w:w="1049" w:type="dxa"/>
            <w:vAlign w:val="center"/>
          </w:tcPr>
          <w:p w:rsidR="00821E2A" w:rsidRPr="007C30F1" w:rsidRDefault="00821E2A" w:rsidP="007E074C">
            <w:pPr>
              <w:pStyle w:val="Tabletext"/>
              <w:jc w:val="center"/>
              <w:rPr>
                <w:lang w:val="es-ES_tradnl"/>
              </w:rPr>
            </w:pPr>
            <w:r w:rsidRPr="007C30F1">
              <w:rPr>
                <w:lang w:val="es-ES_tradnl"/>
              </w:rPr>
              <w:t>1 270</w:t>
            </w:r>
          </w:p>
        </w:tc>
        <w:tc>
          <w:tcPr>
            <w:tcW w:w="1064" w:type="dxa"/>
            <w:vAlign w:val="center"/>
          </w:tcPr>
          <w:p w:rsidR="00821E2A" w:rsidRPr="007C30F1" w:rsidRDefault="00821E2A" w:rsidP="007E074C">
            <w:pPr>
              <w:pStyle w:val="Tabletext"/>
              <w:jc w:val="center"/>
              <w:rPr>
                <w:lang w:val="es-ES_tradnl"/>
              </w:rPr>
            </w:pPr>
            <w:r w:rsidRPr="007C30F1">
              <w:rPr>
                <w:lang w:val="es-ES_tradnl"/>
              </w:rPr>
              <w:t>995</w:t>
            </w:r>
          </w:p>
        </w:tc>
        <w:tc>
          <w:tcPr>
            <w:tcW w:w="1064" w:type="dxa"/>
            <w:vAlign w:val="center"/>
          </w:tcPr>
          <w:p w:rsidR="00821E2A" w:rsidRPr="007C30F1" w:rsidRDefault="00821E2A" w:rsidP="007E074C">
            <w:pPr>
              <w:pStyle w:val="Tabletext"/>
              <w:jc w:val="center"/>
              <w:rPr>
                <w:lang w:val="es-ES_tradnl"/>
              </w:rPr>
            </w:pPr>
            <w:r w:rsidRPr="007C30F1">
              <w:rPr>
                <w:lang w:val="es-ES_tradnl"/>
              </w:rPr>
              <w:t>1 006</w:t>
            </w:r>
          </w:p>
        </w:tc>
      </w:tr>
      <w:tr w:rsidR="00821E2A" w:rsidRPr="007C30F1" w:rsidTr="00821E2A">
        <w:tc>
          <w:tcPr>
            <w:tcW w:w="10214" w:type="dxa"/>
            <w:vAlign w:val="center"/>
          </w:tcPr>
          <w:p w:rsidR="00821E2A" w:rsidRPr="007C30F1" w:rsidRDefault="00821E2A" w:rsidP="007E074C">
            <w:pPr>
              <w:pStyle w:val="Tabletext"/>
              <w:rPr>
                <w:b/>
                <w:bCs/>
                <w:color w:val="5B9BD5"/>
                <w:lang w:val="es-ES_tradnl"/>
              </w:rPr>
            </w:pPr>
            <w:r w:rsidRPr="007C30F1">
              <w:rPr>
                <w:rFonts w:cs="Arial"/>
                <w:lang w:val="es-ES_tradnl"/>
              </w:rPr>
              <w:t xml:space="preserve">Atribución de costos a las actividades de la Conferencia de Plenipotenciarios y el Consejo </w:t>
            </w:r>
            <w:r w:rsidRPr="007C30F1">
              <w:rPr>
                <w:rFonts w:cs="Arial"/>
                <w:b/>
                <w:bCs/>
                <w:color w:val="4F81BD" w:themeColor="accent1"/>
                <w:lang w:val="es-ES_tradnl"/>
              </w:rPr>
              <w:t>(PP</w:t>
            </w:r>
            <w:r w:rsidRPr="007C30F1">
              <w:rPr>
                <w:rFonts w:cs="Arial"/>
                <w:color w:val="4F81BD" w:themeColor="accent1"/>
                <w:lang w:val="es-ES_tradnl"/>
              </w:rPr>
              <w:t xml:space="preserve">, </w:t>
            </w:r>
            <w:r w:rsidRPr="007C30F1">
              <w:rPr>
                <w:rFonts w:cs="Arial"/>
                <w:b/>
                <w:bCs/>
                <w:color w:val="4F81BD" w:themeColor="accent1"/>
                <w:lang w:val="es-ES_tradnl"/>
              </w:rPr>
              <w:t>Consejo/GTC)</w:t>
            </w:r>
          </w:p>
        </w:tc>
        <w:tc>
          <w:tcPr>
            <w:tcW w:w="1064" w:type="dxa"/>
            <w:vAlign w:val="center"/>
          </w:tcPr>
          <w:p w:rsidR="00821E2A" w:rsidRPr="007C30F1" w:rsidRDefault="00821E2A" w:rsidP="007E074C">
            <w:pPr>
              <w:pStyle w:val="Tabletext"/>
              <w:jc w:val="center"/>
              <w:rPr>
                <w:lang w:val="es-ES_tradnl"/>
              </w:rPr>
            </w:pPr>
            <w:r w:rsidRPr="007C30F1">
              <w:rPr>
                <w:lang w:val="es-ES_tradnl"/>
              </w:rPr>
              <w:t>433</w:t>
            </w:r>
          </w:p>
        </w:tc>
        <w:tc>
          <w:tcPr>
            <w:tcW w:w="1049" w:type="dxa"/>
            <w:vAlign w:val="center"/>
          </w:tcPr>
          <w:p w:rsidR="00821E2A" w:rsidRPr="007C30F1" w:rsidRDefault="00821E2A" w:rsidP="007E074C">
            <w:pPr>
              <w:pStyle w:val="Tabletext"/>
              <w:jc w:val="center"/>
              <w:rPr>
                <w:lang w:val="es-ES_tradnl"/>
              </w:rPr>
            </w:pPr>
            <w:r w:rsidRPr="007C30F1">
              <w:rPr>
                <w:lang w:val="es-ES_tradnl"/>
              </w:rPr>
              <w:t>283</w:t>
            </w:r>
          </w:p>
        </w:tc>
        <w:tc>
          <w:tcPr>
            <w:tcW w:w="1064" w:type="dxa"/>
            <w:vAlign w:val="center"/>
          </w:tcPr>
          <w:p w:rsidR="00821E2A" w:rsidRPr="007C30F1" w:rsidRDefault="00821E2A" w:rsidP="007E074C">
            <w:pPr>
              <w:pStyle w:val="Tabletext"/>
              <w:jc w:val="center"/>
              <w:rPr>
                <w:lang w:val="es-ES_tradnl"/>
              </w:rPr>
            </w:pPr>
            <w:r w:rsidRPr="007C30F1">
              <w:rPr>
                <w:lang w:val="es-ES_tradnl"/>
              </w:rPr>
              <w:t>243</w:t>
            </w:r>
          </w:p>
        </w:tc>
        <w:tc>
          <w:tcPr>
            <w:tcW w:w="1064" w:type="dxa"/>
            <w:vAlign w:val="center"/>
          </w:tcPr>
          <w:p w:rsidR="00821E2A" w:rsidRPr="007C30F1" w:rsidRDefault="00821E2A" w:rsidP="007E074C">
            <w:pPr>
              <w:pStyle w:val="Tabletext"/>
              <w:jc w:val="center"/>
              <w:rPr>
                <w:lang w:val="es-ES_tradnl"/>
              </w:rPr>
            </w:pPr>
            <w:r w:rsidRPr="007C30F1">
              <w:rPr>
                <w:lang w:val="es-ES_tradnl"/>
              </w:rPr>
              <w:t>283</w:t>
            </w:r>
          </w:p>
        </w:tc>
      </w:tr>
      <w:tr w:rsidR="00821E2A" w:rsidRPr="007C30F1" w:rsidTr="00821E2A">
        <w:tc>
          <w:tcPr>
            <w:tcW w:w="10214" w:type="dxa"/>
            <w:vAlign w:val="center"/>
          </w:tcPr>
          <w:p w:rsidR="00821E2A" w:rsidRPr="007C30F1" w:rsidRDefault="00821E2A" w:rsidP="007E074C">
            <w:pPr>
              <w:pStyle w:val="Tabletext"/>
              <w:rPr>
                <w:b/>
                <w:bCs/>
                <w:noProof/>
                <w:color w:val="4F81BD" w:themeColor="accent1"/>
                <w:lang w:val="es-ES_tradnl" w:eastAsia="zh-CN"/>
              </w:rPr>
            </w:pPr>
            <w:r w:rsidRPr="007C30F1">
              <w:rPr>
                <w:b/>
                <w:bCs/>
                <w:color w:val="4F81BD" w:themeColor="accent1"/>
                <w:lang w:val="es-ES_tradnl"/>
              </w:rPr>
              <w:t>Total para el Objetivo R.2</w:t>
            </w:r>
          </w:p>
        </w:tc>
        <w:tc>
          <w:tcPr>
            <w:tcW w:w="1064" w:type="dxa"/>
            <w:vAlign w:val="center"/>
          </w:tcPr>
          <w:p w:rsidR="00821E2A" w:rsidRPr="007C30F1" w:rsidRDefault="00821E2A" w:rsidP="007E074C">
            <w:pPr>
              <w:pStyle w:val="Tabletext"/>
              <w:jc w:val="center"/>
              <w:rPr>
                <w:b/>
                <w:bCs/>
                <w:lang w:val="es-ES_tradnl"/>
              </w:rPr>
            </w:pPr>
            <w:r w:rsidRPr="007C30F1">
              <w:rPr>
                <w:b/>
                <w:bCs/>
                <w:lang w:val="es-ES_tradnl"/>
              </w:rPr>
              <w:t>7 709</w:t>
            </w:r>
          </w:p>
        </w:tc>
        <w:tc>
          <w:tcPr>
            <w:tcW w:w="1049" w:type="dxa"/>
            <w:vAlign w:val="center"/>
          </w:tcPr>
          <w:p w:rsidR="00821E2A" w:rsidRPr="007C30F1" w:rsidRDefault="00821E2A" w:rsidP="007E074C">
            <w:pPr>
              <w:pStyle w:val="Tabletext"/>
              <w:jc w:val="center"/>
              <w:rPr>
                <w:b/>
                <w:bCs/>
                <w:lang w:val="es-ES_tradnl"/>
              </w:rPr>
            </w:pPr>
            <w:r w:rsidRPr="007C30F1">
              <w:rPr>
                <w:b/>
                <w:bCs/>
                <w:lang w:val="es-ES_tradnl"/>
              </w:rPr>
              <w:t>9 755</w:t>
            </w:r>
          </w:p>
        </w:tc>
        <w:tc>
          <w:tcPr>
            <w:tcW w:w="1064" w:type="dxa"/>
            <w:vAlign w:val="center"/>
          </w:tcPr>
          <w:p w:rsidR="00821E2A" w:rsidRPr="007C30F1" w:rsidRDefault="00821E2A" w:rsidP="007E074C">
            <w:pPr>
              <w:pStyle w:val="Tabletext"/>
              <w:jc w:val="center"/>
              <w:rPr>
                <w:b/>
                <w:bCs/>
                <w:lang w:val="es-ES_tradnl"/>
              </w:rPr>
            </w:pPr>
            <w:r w:rsidRPr="007C30F1">
              <w:rPr>
                <w:b/>
                <w:bCs/>
                <w:lang w:val="es-ES_tradnl"/>
              </w:rPr>
              <w:t>8 125</w:t>
            </w:r>
          </w:p>
        </w:tc>
        <w:tc>
          <w:tcPr>
            <w:tcW w:w="1064" w:type="dxa"/>
            <w:vAlign w:val="center"/>
          </w:tcPr>
          <w:p w:rsidR="00821E2A" w:rsidRPr="007C30F1" w:rsidRDefault="00821E2A" w:rsidP="007E074C">
            <w:pPr>
              <w:pStyle w:val="Tabletext"/>
              <w:jc w:val="center"/>
              <w:rPr>
                <w:b/>
                <w:bCs/>
                <w:lang w:val="es-ES_tradnl"/>
              </w:rPr>
            </w:pPr>
            <w:r w:rsidRPr="007C30F1">
              <w:rPr>
                <w:b/>
                <w:bCs/>
                <w:lang w:val="es-ES_tradnl"/>
              </w:rPr>
              <w:t>8 336</w:t>
            </w:r>
          </w:p>
        </w:tc>
      </w:tr>
    </w:tbl>
    <w:p w:rsidR="00821E2A" w:rsidRPr="007C30F1" w:rsidRDefault="00821E2A" w:rsidP="007E074C">
      <w:pPr>
        <w:overflowPunct/>
        <w:autoSpaceDE/>
        <w:autoSpaceDN/>
        <w:adjustRightInd/>
        <w:spacing w:before="0" w:line="240" w:lineRule="auto"/>
        <w:textAlignment w:val="auto"/>
        <w:rPr>
          <w:b/>
          <w:color w:val="4F81BD" w:themeColor="accent1"/>
          <w:lang w:val="es-ES_tradnl"/>
        </w:rPr>
      </w:pPr>
      <w:r w:rsidRPr="007C30F1">
        <w:rPr>
          <w:b/>
          <w:color w:val="4F81BD" w:themeColor="accent1"/>
          <w:lang w:val="es-ES_tradnl"/>
        </w:rPr>
        <w:br w:type="page"/>
      </w:r>
    </w:p>
    <w:p w:rsidR="00821E2A" w:rsidRPr="007C30F1" w:rsidRDefault="00821E2A" w:rsidP="007E074C">
      <w:pPr>
        <w:pStyle w:val="Heading2"/>
        <w:tabs>
          <w:tab w:val="left" w:pos="993"/>
        </w:tabs>
        <w:spacing w:after="120" w:line="240" w:lineRule="auto"/>
        <w:rPr>
          <w:color w:val="4F81BD" w:themeColor="accent1"/>
          <w:lang w:val="es-ES_tradnl"/>
        </w:rPr>
      </w:pPr>
      <w:r w:rsidRPr="007C30F1">
        <w:rPr>
          <w:color w:val="4F81BD" w:themeColor="accent1"/>
          <w:lang w:val="es-ES_tradnl"/>
        </w:rPr>
        <w:lastRenderedPageBreak/>
        <w:t>5.3</w:t>
      </w:r>
      <w:r w:rsidRPr="007C30F1">
        <w:rPr>
          <w:color w:val="4F81BD" w:themeColor="accent1"/>
          <w:lang w:val="es-ES_tradnl"/>
        </w:rPr>
        <w:tab/>
        <w:t>R.3: Fomentar la adquisición y divulgación de conocimientos teóricos y prácticos sobre radiocomunicaciones</w:t>
      </w:r>
    </w:p>
    <w:tbl>
      <w:tblPr>
        <w:tblW w:w="14388"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20" w:firstRow="1" w:lastRow="0" w:firstColumn="0" w:lastColumn="0" w:noHBand="1" w:noVBand="1"/>
      </w:tblPr>
      <w:tblGrid>
        <w:gridCol w:w="3288"/>
        <w:gridCol w:w="3118"/>
        <w:gridCol w:w="1008"/>
        <w:gridCol w:w="1022"/>
        <w:gridCol w:w="943"/>
        <w:gridCol w:w="1097"/>
        <w:gridCol w:w="3912"/>
      </w:tblGrid>
      <w:tr w:rsidR="00821E2A" w:rsidRPr="007C30F1" w:rsidTr="00821E2A">
        <w:trPr>
          <w:tblHeader/>
          <w:jc w:val="center"/>
        </w:trPr>
        <w:tc>
          <w:tcPr>
            <w:tcW w:w="3288" w:type="dxa"/>
            <w:tcBorders>
              <w:right w:val="nil"/>
            </w:tcBorders>
            <w:shd w:val="clear" w:color="auto" w:fill="4F81BD" w:themeFill="accent1"/>
          </w:tcPr>
          <w:p w:rsidR="00821E2A" w:rsidRPr="007C30F1" w:rsidRDefault="00821E2A" w:rsidP="007E074C">
            <w:pPr>
              <w:pStyle w:val="Tablehead"/>
              <w:rPr>
                <w:color w:val="FFFFFF" w:themeColor="background1"/>
                <w:lang w:val="es-ES_tradnl"/>
              </w:rPr>
            </w:pPr>
            <w:r w:rsidRPr="007C30F1">
              <w:rPr>
                <w:color w:val="FFFFFF" w:themeColor="background1"/>
                <w:lang w:val="es-ES_tradnl"/>
              </w:rPr>
              <w:t>Resultado</w:t>
            </w:r>
          </w:p>
        </w:tc>
        <w:tc>
          <w:tcPr>
            <w:tcW w:w="3118" w:type="dxa"/>
            <w:tcBorders>
              <w:left w:val="nil"/>
              <w:right w:val="nil"/>
            </w:tcBorders>
            <w:shd w:val="clear" w:color="auto" w:fill="4F81BD" w:themeFill="accent1"/>
          </w:tcPr>
          <w:p w:rsidR="00821E2A" w:rsidRPr="007C30F1" w:rsidRDefault="00821E2A" w:rsidP="007E074C">
            <w:pPr>
              <w:pStyle w:val="Tablehead"/>
              <w:rPr>
                <w:color w:val="FFFFFF" w:themeColor="background1"/>
                <w:lang w:val="es-ES_tradnl"/>
              </w:rPr>
            </w:pPr>
            <w:r w:rsidRPr="007C30F1">
              <w:rPr>
                <w:color w:val="FFFFFF" w:themeColor="background1"/>
                <w:lang w:val="es-ES_tradnl"/>
              </w:rPr>
              <w:t>Indicador de resultados</w:t>
            </w:r>
          </w:p>
        </w:tc>
        <w:tc>
          <w:tcPr>
            <w:tcW w:w="1008" w:type="dxa"/>
            <w:tcBorders>
              <w:left w:val="nil"/>
              <w:right w:val="nil"/>
            </w:tcBorders>
            <w:shd w:val="clear" w:color="auto" w:fill="4F81BD" w:themeFill="accent1"/>
          </w:tcPr>
          <w:p w:rsidR="00821E2A" w:rsidRPr="007C30F1" w:rsidRDefault="00821E2A" w:rsidP="007E074C">
            <w:pPr>
              <w:pStyle w:val="Tablehead"/>
              <w:rPr>
                <w:color w:val="FFFFFF" w:themeColor="background1"/>
                <w:lang w:val="es-ES_tradnl"/>
              </w:rPr>
            </w:pPr>
            <w:r w:rsidRPr="007C30F1">
              <w:rPr>
                <w:color w:val="FFFFFF" w:themeColor="background1"/>
                <w:lang w:val="es-ES_tradnl"/>
              </w:rPr>
              <w:t>2014</w:t>
            </w:r>
          </w:p>
        </w:tc>
        <w:tc>
          <w:tcPr>
            <w:tcW w:w="1022" w:type="dxa"/>
            <w:tcBorders>
              <w:left w:val="nil"/>
              <w:right w:val="nil"/>
            </w:tcBorders>
            <w:shd w:val="clear" w:color="auto" w:fill="4F81BD" w:themeFill="accent1"/>
          </w:tcPr>
          <w:p w:rsidR="00821E2A" w:rsidRPr="007C30F1" w:rsidRDefault="00821E2A" w:rsidP="007E074C">
            <w:pPr>
              <w:pStyle w:val="Tablehead"/>
              <w:rPr>
                <w:color w:val="FFFFFF" w:themeColor="background1"/>
                <w:lang w:val="es-ES_tradnl"/>
              </w:rPr>
            </w:pPr>
            <w:r w:rsidRPr="007C30F1">
              <w:rPr>
                <w:color w:val="FFFFFF" w:themeColor="background1"/>
                <w:lang w:val="es-ES_tradnl"/>
              </w:rPr>
              <w:t>2015</w:t>
            </w:r>
          </w:p>
        </w:tc>
        <w:tc>
          <w:tcPr>
            <w:tcW w:w="943" w:type="dxa"/>
            <w:tcBorders>
              <w:left w:val="nil"/>
              <w:right w:val="nil"/>
            </w:tcBorders>
            <w:shd w:val="clear" w:color="auto" w:fill="4F81BD" w:themeFill="accent1"/>
          </w:tcPr>
          <w:p w:rsidR="00821E2A" w:rsidRPr="007C30F1" w:rsidRDefault="00821E2A" w:rsidP="007E074C">
            <w:pPr>
              <w:pStyle w:val="Tablehead"/>
              <w:rPr>
                <w:color w:val="FFFFFF" w:themeColor="background1"/>
                <w:lang w:val="es-ES_tradnl"/>
              </w:rPr>
            </w:pPr>
            <w:r w:rsidRPr="007C30F1">
              <w:rPr>
                <w:color w:val="FFFFFF" w:themeColor="background1"/>
                <w:lang w:val="es-ES_tradnl"/>
              </w:rPr>
              <w:t>2016</w:t>
            </w:r>
          </w:p>
        </w:tc>
        <w:tc>
          <w:tcPr>
            <w:tcW w:w="1097" w:type="dxa"/>
            <w:tcBorders>
              <w:left w:val="nil"/>
              <w:right w:val="nil"/>
            </w:tcBorders>
            <w:shd w:val="clear" w:color="auto" w:fill="4F81BD" w:themeFill="accent1"/>
          </w:tcPr>
          <w:p w:rsidR="00821E2A" w:rsidRPr="007C30F1" w:rsidRDefault="00821E2A" w:rsidP="007E074C">
            <w:pPr>
              <w:pStyle w:val="Tablehead"/>
              <w:rPr>
                <w:color w:val="FFFFFF" w:themeColor="background1"/>
                <w:lang w:val="es-ES_tradnl"/>
              </w:rPr>
            </w:pPr>
            <w:r w:rsidRPr="007C30F1">
              <w:rPr>
                <w:color w:val="FFFFFF" w:themeColor="background1"/>
                <w:lang w:val="es-ES_tradnl"/>
              </w:rPr>
              <w:t>Meta para 2020</w:t>
            </w:r>
          </w:p>
        </w:tc>
        <w:tc>
          <w:tcPr>
            <w:tcW w:w="3912" w:type="dxa"/>
            <w:tcBorders>
              <w:left w:val="nil"/>
            </w:tcBorders>
            <w:shd w:val="clear" w:color="auto" w:fill="4F81BD" w:themeFill="accent1"/>
          </w:tcPr>
          <w:p w:rsidR="00821E2A" w:rsidRPr="007C30F1" w:rsidRDefault="00821E2A" w:rsidP="007E074C">
            <w:pPr>
              <w:pStyle w:val="Tablehead"/>
              <w:rPr>
                <w:color w:val="FFFFFF" w:themeColor="background1"/>
                <w:lang w:val="es-ES_tradnl"/>
              </w:rPr>
            </w:pPr>
            <w:r w:rsidRPr="007C30F1">
              <w:rPr>
                <w:color w:val="FFFFFF" w:themeColor="background1"/>
                <w:lang w:val="es-ES_tradnl"/>
              </w:rPr>
              <w:t>Origen</w:t>
            </w:r>
          </w:p>
        </w:tc>
      </w:tr>
      <w:tr w:rsidR="00821E2A" w:rsidRPr="007C30F1" w:rsidTr="00821E2A">
        <w:trPr>
          <w:jc w:val="center"/>
        </w:trPr>
        <w:tc>
          <w:tcPr>
            <w:tcW w:w="3288" w:type="dxa"/>
            <w:vMerge w:val="restart"/>
          </w:tcPr>
          <w:p w:rsidR="00821E2A" w:rsidRPr="007C30F1" w:rsidRDefault="00821E2A" w:rsidP="007E074C">
            <w:pPr>
              <w:pStyle w:val="Tabletext"/>
              <w:rPr>
                <w:rFonts w:cs="Arial"/>
                <w:b/>
                <w:bCs/>
                <w:lang w:val="es-ES_tradnl"/>
              </w:rPr>
            </w:pPr>
            <w:r w:rsidRPr="007C30F1">
              <w:rPr>
                <w:rFonts w:cs="Arial"/>
                <w:b/>
                <w:bCs/>
                <w:color w:val="4F81BD" w:themeColor="accent1"/>
                <w:lang w:val="es-ES_tradnl"/>
              </w:rPr>
              <w:t>R.3-1:</w:t>
            </w:r>
            <w:r w:rsidRPr="007C30F1">
              <w:rPr>
                <w:rFonts w:cs="Arial"/>
                <w:lang w:val="es-ES_tradnl"/>
              </w:rPr>
              <w:t xml:space="preserve"> </w:t>
            </w:r>
            <w:r w:rsidRPr="007C30F1">
              <w:rPr>
                <w:lang w:val="es-ES_tradnl"/>
              </w:rPr>
              <w:t>Mayores conocimientos teóricos y prácticos del Reglamento de Radiocomunicaciones, las Reglas de Procedimiento, los Acuerdos regionales, las Recomendaciones y las prácticas idóneas sobre la utilización del espectro</w:t>
            </w:r>
          </w:p>
        </w:tc>
        <w:tc>
          <w:tcPr>
            <w:tcW w:w="3118" w:type="dxa"/>
          </w:tcPr>
          <w:p w:rsidR="00821E2A" w:rsidRPr="007C30F1" w:rsidRDefault="00821E2A" w:rsidP="007E074C">
            <w:pPr>
              <w:pStyle w:val="Tabletext"/>
              <w:rPr>
                <w:lang w:val="es-ES_tradnl"/>
              </w:rPr>
            </w:pPr>
            <w:r w:rsidRPr="007C30F1">
              <w:rPr>
                <w:lang w:val="es-ES_tradnl"/>
              </w:rPr>
              <w:t>Número de descargas en línea de publicaciones gratuitas del UIT-R (millones)</w:t>
            </w:r>
            <w:r w:rsidRPr="007C30F1">
              <w:rPr>
                <w:rStyle w:val="FootnoteReference"/>
                <w:lang w:val="es-ES_tradnl"/>
              </w:rPr>
              <w:footnoteReference w:id="8"/>
            </w:r>
          </w:p>
        </w:tc>
        <w:tc>
          <w:tcPr>
            <w:tcW w:w="1008" w:type="dxa"/>
          </w:tcPr>
          <w:p w:rsidR="00821E2A" w:rsidRPr="007C30F1" w:rsidRDefault="00821E2A" w:rsidP="007E074C">
            <w:pPr>
              <w:pStyle w:val="Tabletext"/>
              <w:jc w:val="center"/>
              <w:rPr>
                <w:lang w:val="es-ES_tradnl"/>
              </w:rPr>
            </w:pPr>
            <w:r w:rsidRPr="007C30F1">
              <w:rPr>
                <w:lang w:val="es-ES_tradnl"/>
              </w:rPr>
              <w:t>0,9</w:t>
            </w:r>
          </w:p>
        </w:tc>
        <w:tc>
          <w:tcPr>
            <w:tcW w:w="1022" w:type="dxa"/>
          </w:tcPr>
          <w:p w:rsidR="00821E2A" w:rsidRPr="007C30F1" w:rsidRDefault="00821E2A" w:rsidP="007E074C">
            <w:pPr>
              <w:pStyle w:val="Tabletext"/>
              <w:jc w:val="center"/>
              <w:rPr>
                <w:lang w:val="es-ES_tradnl"/>
              </w:rPr>
            </w:pPr>
            <w:r w:rsidRPr="007C30F1">
              <w:rPr>
                <w:lang w:val="es-ES_tradnl"/>
              </w:rPr>
              <w:t>0,9</w:t>
            </w:r>
          </w:p>
        </w:tc>
        <w:tc>
          <w:tcPr>
            <w:tcW w:w="943" w:type="dxa"/>
          </w:tcPr>
          <w:p w:rsidR="00821E2A" w:rsidRPr="007C30F1" w:rsidRDefault="00821E2A" w:rsidP="007E074C">
            <w:pPr>
              <w:pStyle w:val="Tabletext"/>
              <w:jc w:val="center"/>
              <w:rPr>
                <w:lang w:val="es-ES_tradnl"/>
              </w:rPr>
            </w:pPr>
            <w:r w:rsidRPr="007C30F1">
              <w:rPr>
                <w:lang w:val="es-ES_tradnl"/>
              </w:rPr>
              <w:t>1,0</w:t>
            </w:r>
          </w:p>
        </w:tc>
        <w:tc>
          <w:tcPr>
            <w:tcW w:w="1097" w:type="dxa"/>
          </w:tcPr>
          <w:p w:rsidR="00821E2A" w:rsidRPr="007C30F1" w:rsidRDefault="00821E2A" w:rsidP="007E074C">
            <w:pPr>
              <w:pStyle w:val="Tabletext"/>
              <w:jc w:val="center"/>
              <w:rPr>
                <w:lang w:val="es-ES_tradnl"/>
              </w:rPr>
            </w:pPr>
            <w:r w:rsidRPr="007C30F1">
              <w:rPr>
                <w:lang w:val="es-ES_tradnl"/>
              </w:rPr>
              <w:t>4,0</w:t>
            </w:r>
          </w:p>
        </w:tc>
        <w:tc>
          <w:tcPr>
            <w:tcW w:w="3912" w:type="dxa"/>
            <w:vMerge w:val="restart"/>
          </w:tcPr>
          <w:p w:rsidR="00821E2A" w:rsidRPr="007C30F1" w:rsidRDefault="00821E2A" w:rsidP="007E074C">
            <w:pPr>
              <w:pStyle w:val="Tabletext"/>
              <w:rPr>
                <w:lang w:val="es-ES_tradnl"/>
              </w:rPr>
            </w:pPr>
            <w:r w:rsidRPr="007C30F1">
              <w:rPr>
                <w:lang w:val="es-ES_tradnl"/>
              </w:rPr>
              <w:t>Base de datos en materia de inscripciones a eventos de la UIT</w:t>
            </w:r>
          </w:p>
        </w:tc>
      </w:tr>
      <w:tr w:rsidR="00821E2A" w:rsidRPr="007C30F1" w:rsidTr="00821E2A">
        <w:trPr>
          <w:jc w:val="center"/>
        </w:trPr>
        <w:tc>
          <w:tcPr>
            <w:tcW w:w="3288" w:type="dxa"/>
            <w:vMerge/>
          </w:tcPr>
          <w:p w:rsidR="00821E2A" w:rsidRPr="007C30F1" w:rsidRDefault="00821E2A" w:rsidP="007E074C">
            <w:pPr>
              <w:pStyle w:val="Tabletext"/>
              <w:rPr>
                <w:rFonts w:cs="Arial"/>
                <w:b/>
                <w:bCs/>
                <w:color w:val="4F81BD" w:themeColor="accent1"/>
                <w:lang w:val="es-ES_tradnl"/>
              </w:rPr>
            </w:pPr>
          </w:p>
        </w:tc>
        <w:tc>
          <w:tcPr>
            <w:tcW w:w="3118" w:type="dxa"/>
          </w:tcPr>
          <w:p w:rsidR="00821E2A" w:rsidRPr="007C30F1" w:rsidRDefault="00821E2A" w:rsidP="007E074C">
            <w:pPr>
              <w:pStyle w:val="Tabletext"/>
              <w:rPr>
                <w:lang w:val="es-ES_tradnl"/>
              </w:rPr>
            </w:pPr>
            <w:r w:rsidRPr="007C30F1">
              <w:rPr>
                <w:lang w:val="es-ES_tradnl"/>
              </w:rPr>
              <w:t>Número de eventos de capacitación organizados/respaldados por la BR (presenciales y virtuales)</w:t>
            </w:r>
          </w:p>
        </w:tc>
        <w:tc>
          <w:tcPr>
            <w:tcW w:w="1008" w:type="dxa"/>
          </w:tcPr>
          <w:p w:rsidR="00821E2A" w:rsidRPr="007C30F1" w:rsidRDefault="00821E2A" w:rsidP="007E074C">
            <w:pPr>
              <w:pStyle w:val="Tabletext"/>
              <w:jc w:val="center"/>
              <w:rPr>
                <w:lang w:val="es-ES_tradnl"/>
              </w:rPr>
            </w:pPr>
            <w:r w:rsidRPr="007C30F1">
              <w:rPr>
                <w:lang w:val="es-ES_tradnl"/>
              </w:rPr>
              <w:t>30</w:t>
            </w:r>
          </w:p>
        </w:tc>
        <w:tc>
          <w:tcPr>
            <w:tcW w:w="1022" w:type="dxa"/>
          </w:tcPr>
          <w:p w:rsidR="00821E2A" w:rsidRPr="007C30F1" w:rsidRDefault="00821E2A" w:rsidP="007E074C">
            <w:pPr>
              <w:pStyle w:val="Tabletext"/>
              <w:jc w:val="center"/>
              <w:rPr>
                <w:lang w:val="es-ES_tradnl"/>
              </w:rPr>
            </w:pPr>
            <w:r w:rsidRPr="007C30F1">
              <w:rPr>
                <w:lang w:val="es-ES_tradnl"/>
              </w:rPr>
              <w:t>25</w:t>
            </w:r>
          </w:p>
        </w:tc>
        <w:tc>
          <w:tcPr>
            <w:tcW w:w="943" w:type="dxa"/>
          </w:tcPr>
          <w:p w:rsidR="00821E2A" w:rsidRPr="007C30F1" w:rsidRDefault="00821E2A" w:rsidP="007E074C">
            <w:pPr>
              <w:pStyle w:val="Tabletext"/>
              <w:jc w:val="center"/>
              <w:rPr>
                <w:lang w:val="es-ES_tradnl"/>
              </w:rPr>
            </w:pPr>
            <w:r w:rsidRPr="007C30F1">
              <w:rPr>
                <w:lang w:val="es-ES_tradnl"/>
              </w:rPr>
              <w:t>38</w:t>
            </w:r>
          </w:p>
        </w:tc>
        <w:tc>
          <w:tcPr>
            <w:tcW w:w="1097" w:type="dxa"/>
          </w:tcPr>
          <w:p w:rsidR="00821E2A" w:rsidRPr="007C30F1" w:rsidRDefault="00821E2A" w:rsidP="007E074C">
            <w:pPr>
              <w:pStyle w:val="Tabletext"/>
              <w:jc w:val="center"/>
              <w:rPr>
                <w:lang w:val="es-ES_tradnl"/>
              </w:rPr>
            </w:pPr>
            <w:r w:rsidRPr="007C30F1">
              <w:rPr>
                <w:lang w:val="es-ES_tradnl"/>
              </w:rPr>
              <w:t>36</w:t>
            </w:r>
          </w:p>
        </w:tc>
        <w:tc>
          <w:tcPr>
            <w:tcW w:w="3912" w:type="dxa"/>
            <w:vMerge/>
          </w:tcPr>
          <w:p w:rsidR="00821E2A" w:rsidRPr="007C30F1" w:rsidRDefault="00821E2A" w:rsidP="007E074C">
            <w:pPr>
              <w:pStyle w:val="Tabletext"/>
              <w:rPr>
                <w:lang w:val="es-ES_tradnl"/>
              </w:rPr>
            </w:pPr>
          </w:p>
        </w:tc>
      </w:tr>
      <w:tr w:rsidR="00821E2A" w:rsidRPr="007C30F1" w:rsidTr="00821E2A">
        <w:trPr>
          <w:jc w:val="center"/>
        </w:trPr>
        <w:tc>
          <w:tcPr>
            <w:tcW w:w="3288" w:type="dxa"/>
            <w:vMerge/>
          </w:tcPr>
          <w:p w:rsidR="00821E2A" w:rsidRPr="007C30F1" w:rsidRDefault="00821E2A" w:rsidP="007E074C">
            <w:pPr>
              <w:pStyle w:val="Tabletext"/>
              <w:rPr>
                <w:rFonts w:cs="Arial"/>
                <w:b/>
                <w:bCs/>
                <w:color w:val="4F81BD" w:themeColor="accent1"/>
                <w:lang w:val="es-ES_tradnl"/>
              </w:rPr>
            </w:pPr>
          </w:p>
        </w:tc>
        <w:tc>
          <w:tcPr>
            <w:tcW w:w="3118" w:type="dxa"/>
          </w:tcPr>
          <w:p w:rsidR="00821E2A" w:rsidRPr="007C30F1" w:rsidRDefault="00821E2A" w:rsidP="007E074C">
            <w:pPr>
              <w:pStyle w:val="Tabletext"/>
              <w:rPr>
                <w:lang w:val="es-ES_tradnl"/>
              </w:rPr>
            </w:pPr>
            <w:r w:rsidRPr="007C30F1">
              <w:rPr>
                <w:lang w:val="es-ES_tradnl"/>
              </w:rPr>
              <w:t>Número de participantes en los eventos de capacitación organizados/respaldados por la UIT/BR (en el periodo de la CMR)</w:t>
            </w:r>
          </w:p>
        </w:tc>
        <w:tc>
          <w:tcPr>
            <w:tcW w:w="1008" w:type="dxa"/>
          </w:tcPr>
          <w:p w:rsidR="00821E2A" w:rsidRPr="007C30F1" w:rsidRDefault="00821E2A" w:rsidP="007E074C">
            <w:pPr>
              <w:pStyle w:val="Tabletext"/>
              <w:jc w:val="center"/>
              <w:rPr>
                <w:lang w:val="es-ES_tradnl"/>
              </w:rPr>
            </w:pPr>
            <w:r w:rsidRPr="007C30F1">
              <w:rPr>
                <w:lang w:val="es-ES_tradnl"/>
              </w:rPr>
              <w:t>1 261</w:t>
            </w:r>
          </w:p>
        </w:tc>
        <w:tc>
          <w:tcPr>
            <w:tcW w:w="1022" w:type="dxa"/>
          </w:tcPr>
          <w:p w:rsidR="00821E2A" w:rsidRPr="007C30F1" w:rsidRDefault="00821E2A" w:rsidP="007E074C">
            <w:pPr>
              <w:pStyle w:val="Tabletext"/>
              <w:jc w:val="center"/>
              <w:rPr>
                <w:lang w:val="es-ES_tradnl"/>
              </w:rPr>
            </w:pPr>
            <w:r w:rsidRPr="007C30F1">
              <w:rPr>
                <w:lang w:val="es-ES_tradnl"/>
              </w:rPr>
              <w:t>1 518</w:t>
            </w:r>
          </w:p>
        </w:tc>
        <w:tc>
          <w:tcPr>
            <w:tcW w:w="943" w:type="dxa"/>
          </w:tcPr>
          <w:p w:rsidR="00821E2A" w:rsidRPr="007C30F1" w:rsidRDefault="00821E2A" w:rsidP="007E074C">
            <w:pPr>
              <w:pStyle w:val="Tabletext"/>
              <w:jc w:val="center"/>
              <w:rPr>
                <w:lang w:val="es-ES_tradnl"/>
              </w:rPr>
            </w:pPr>
            <w:r w:rsidRPr="007C30F1">
              <w:rPr>
                <w:lang w:val="es-ES_tradnl"/>
              </w:rPr>
              <w:t>737</w:t>
            </w:r>
          </w:p>
        </w:tc>
        <w:tc>
          <w:tcPr>
            <w:tcW w:w="1097" w:type="dxa"/>
          </w:tcPr>
          <w:p w:rsidR="00821E2A" w:rsidRPr="007C30F1" w:rsidRDefault="00821E2A" w:rsidP="007E074C">
            <w:pPr>
              <w:pStyle w:val="Tabletext"/>
              <w:jc w:val="center"/>
              <w:rPr>
                <w:lang w:val="es-ES_tradnl"/>
              </w:rPr>
            </w:pPr>
            <w:r w:rsidRPr="007C30F1">
              <w:rPr>
                <w:lang w:val="es-ES_tradnl"/>
              </w:rPr>
              <w:t>2 000</w:t>
            </w:r>
          </w:p>
        </w:tc>
        <w:tc>
          <w:tcPr>
            <w:tcW w:w="3912" w:type="dxa"/>
            <w:vMerge/>
          </w:tcPr>
          <w:p w:rsidR="00821E2A" w:rsidRPr="007C30F1" w:rsidRDefault="00821E2A" w:rsidP="007E074C">
            <w:pPr>
              <w:pStyle w:val="Tabletext"/>
              <w:rPr>
                <w:lang w:val="es-ES_tradnl"/>
              </w:rPr>
            </w:pPr>
          </w:p>
        </w:tc>
      </w:tr>
      <w:tr w:rsidR="00821E2A" w:rsidRPr="007C30F1" w:rsidTr="00821E2A">
        <w:trPr>
          <w:jc w:val="center"/>
        </w:trPr>
        <w:tc>
          <w:tcPr>
            <w:tcW w:w="3288" w:type="dxa"/>
            <w:vMerge w:val="restart"/>
          </w:tcPr>
          <w:p w:rsidR="00821E2A" w:rsidRPr="007C30F1" w:rsidRDefault="00821E2A" w:rsidP="007E074C">
            <w:pPr>
              <w:pStyle w:val="Tabletext"/>
              <w:rPr>
                <w:rFonts w:cs="Arial"/>
                <w:b/>
                <w:bCs/>
                <w:lang w:val="es-ES_tradnl"/>
              </w:rPr>
            </w:pPr>
            <w:r w:rsidRPr="007C30F1">
              <w:rPr>
                <w:rFonts w:cs="Arial"/>
                <w:b/>
                <w:bCs/>
                <w:color w:val="4F81BD" w:themeColor="accent1"/>
                <w:lang w:val="es-ES_tradnl"/>
              </w:rPr>
              <w:t>R.3-2:</w:t>
            </w:r>
            <w:r w:rsidRPr="007C30F1">
              <w:rPr>
                <w:rFonts w:cs="Arial"/>
                <w:lang w:val="es-ES_tradnl"/>
              </w:rPr>
              <w:t xml:space="preserve"> </w:t>
            </w:r>
            <w:r w:rsidRPr="007C30F1">
              <w:rPr>
                <w:lang w:val="es-ES_tradnl"/>
              </w:rPr>
              <w:t>Mayor participación, en particular de países en desarrollo, en actividades del UIT-R (incluso a través de la participación a distancia)</w:t>
            </w:r>
          </w:p>
        </w:tc>
        <w:tc>
          <w:tcPr>
            <w:tcW w:w="3118" w:type="dxa"/>
          </w:tcPr>
          <w:p w:rsidR="00821E2A" w:rsidRPr="007C30F1" w:rsidRDefault="00821E2A" w:rsidP="007E074C">
            <w:pPr>
              <w:pStyle w:val="Tabletext"/>
              <w:rPr>
                <w:lang w:val="es-ES_tradnl"/>
              </w:rPr>
            </w:pPr>
            <w:r w:rsidRPr="007C30F1">
              <w:rPr>
                <w:lang w:val="es-ES_tradnl"/>
              </w:rPr>
              <w:t>Número de eventos técnicos y/o iniciativas de prestación de asistencia técnica en los que ha participado la BR</w:t>
            </w:r>
          </w:p>
        </w:tc>
        <w:tc>
          <w:tcPr>
            <w:tcW w:w="1008" w:type="dxa"/>
          </w:tcPr>
          <w:p w:rsidR="00821E2A" w:rsidRPr="007C30F1" w:rsidRDefault="00821E2A" w:rsidP="007E074C">
            <w:pPr>
              <w:pStyle w:val="Tabletext"/>
              <w:jc w:val="center"/>
              <w:rPr>
                <w:lang w:val="es-ES_tradnl"/>
              </w:rPr>
            </w:pPr>
            <w:r w:rsidRPr="007C30F1">
              <w:rPr>
                <w:lang w:val="es-ES_tradnl"/>
              </w:rPr>
              <w:t>78</w:t>
            </w:r>
          </w:p>
        </w:tc>
        <w:tc>
          <w:tcPr>
            <w:tcW w:w="1022" w:type="dxa"/>
          </w:tcPr>
          <w:p w:rsidR="00821E2A" w:rsidRPr="007C30F1" w:rsidRDefault="00821E2A" w:rsidP="007E074C">
            <w:pPr>
              <w:pStyle w:val="Tabletext"/>
              <w:jc w:val="center"/>
              <w:rPr>
                <w:lang w:val="es-ES_tradnl"/>
              </w:rPr>
            </w:pPr>
            <w:r w:rsidRPr="007C30F1">
              <w:rPr>
                <w:lang w:val="es-ES_tradnl"/>
              </w:rPr>
              <w:t>93</w:t>
            </w:r>
          </w:p>
        </w:tc>
        <w:tc>
          <w:tcPr>
            <w:tcW w:w="943" w:type="dxa"/>
          </w:tcPr>
          <w:p w:rsidR="00821E2A" w:rsidRPr="007C30F1" w:rsidRDefault="00821E2A" w:rsidP="007E074C">
            <w:pPr>
              <w:pStyle w:val="Tabletext"/>
              <w:jc w:val="center"/>
              <w:rPr>
                <w:lang w:val="es-ES_tradnl"/>
              </w:rPr>
            </w:pPr>
            <w:r w:rsidRPr="007C30F1">
              <w:rPr>
                <w:lang w:val="es-ES_tradnl"/>
              </w:rPr>
              <w:t>100</w:t>
            </w:r>
          </w:p>
        </w:tc>
        <w:tc>
          <w:tcPr>
            <w:tcW w:w="1097" w:type="dxa"/>
          </w:tcPr>
          <w:p w:rsidR="00821E2A" w:rsidRPr="007C30F1" w:rsidRDefault="00821E2A" w:rsidP="007E074C">
            <w:pPr>
              <w:pStyle w:val="Tabletext"/>
              <w:jc w:val="center"/>
              <w:rPr>
                <w:lang w:val="es-ES_tradnl"/>
              </w:rPr>
            </w:pPr>
            <w:r w:rsidRPr="007C30F1">
              <w:rPr>
                <w:lang w:val="es-ES_tradnl"/>
              </w:rPr>
              <w:t>100</w:t>
            </w:r>
          </w:p>
        </w:tc>
        <w:tc>
          <w:tcPr>
            <w:tcW w:w="3912" w:type="dxa"/>
          </w:tcPr>
          <w:p w:rsidR="00821E2A" w:rsidRPr="007C30F1" w:rsidRDefault="00821E2A" w:rsidP="007E074C">
            <w:pPr>
              <w:pStyle w:val="Tabletext"/>
              <w:rPr>
                <w:lang w:val="es-ES_tradnl"/>
              </w:rPr>
            </w:pPr>
            <w:r w:rsidRPr="007C30F1">
              <w:rPr>
                <w:lang w:val="es-ES_tradnl"/>
              </w:rPr>
              <w:t>Base de datos en materia de inscripciones a eventos de la UIT</w:t>
            </w:r>
          </w:p>
        </w:tc>
      </w:tr>
      <w:tr w:rsidR="00821E2A" w:rsidRPr="007C30F1" w:rsidTr="00821E2A">
        <w:trPr>
          <w:jc w:val="center"/>
        </w:trPr>
        <w:tc>
          <w:tcPr>
            <w:tcW w:w="3288" w:type="dxa"/>
            <w:vMerge/>
          </w:tcPr>
          <w:p w:rsidR="00821E2A" w:rsidRPr="007C30F1" w:rsidRDefault="00821E2A" w:rsidP="007E074C">
            <w:pPr>
              <w:pStyle w:val="Tabletext"/>
              <w:rPr>
                <w:rFonts w:cs="Arial"/>
                <w:b/>
                <w:bCs/>
                <w:color w:val="4F81BD" w:themeColor="accent1"/>
                <w:lang w:val="es-ES_tradnl"/>
              </w:rPr>
            </w:pPr>
          </w:p>
        </w:tc>
        <w:tc>
          <w:tcPr>
            <w:tcW w:w="3118" w:type="dxa"/>
          </w:tcPr>
          <w:p w:rsidR="00821E2A" w:rsidRPr="007C30F1" w:rsidRDefault="00821E2A" w:rsidP="007E074C">
            <w:pPr>
              <w:pStyle w:val="Tabletext"/>
              <w:rPr>
                <w:lang w:val="es-ES_tradnl"/>
              </w:rPr>
            </w:pPr>
            <w:r w:rsidRPr="007C30F1">
              <w:rPr>
                <w:lang w:val="es-ES_tradnl"/>
              </w:rPr>
              <w:t>Número de países que reciben asistencia técnica o acogen eventos técnicos de la BR</w:t>
            </w:r>
          </w:p>
        </w:tc>
        <w:tc>
          <w:tcPr>
            <w:tcW w:w="1008" w:type="dxa"/>
          </w:tcPr>
          <w:p w:rsidR="00821E2A" w:rsidRPr="007C30F1" w:rsidRDefault="00821E2A" w:rsidP="007E074C">
            <w:pPr>
              <w:pStyle w:val="Tabletext"/>
              <w:jc w:val="center"/>
              <w:rPr>
                <w:lang w:val="es-ES_tradnl"/>
              </w:rPr>
            </w:pPr>
            <w:r w:rsidRPr="007C30F1">
              <w:rPr>
                <w:lang w:val="es-ES_tradnl"/>
              </w:rPr>
              <w:t>57</w:t>
            </w:r>
          </w:p>
        </w:tc>
        <w:tc>
          <w:tcPr>
            <w:tcW w:w="1022" w:type="dxa"/>
          </w:tcPr>
          <w:p w:rsidR="00821E2A" w:rsidRPr="007C30F1" w:rsidRDefault="00821E2A" w:rsidP="007E074C">
            <w:pPr>
              <w:pStyle w:val="Tabletext"/>
              <w:jc w:val="center"/>
              <w:rPr>
                <w:lang w:val="es-ES_tradnl"/>
              </w:rPr>
            </w:pPr>
            <w:r w:rsidRPr="007C30F1">
              <w:rPr>
                <w:lang w:val="es-ES_tradnl"/>
              </w:rPr>
              <w:t>78</w:t>
            </w:r>
          </w:p>
        </w:tc>
        <w:tc>
          <w:tcPr>
            <w:tcW w:w="943" w:type="dxa"/>
          </w:tcPr>
          <w:p w:rsidR="00821E2A" w:rsidRPr="007C30F1" w:rsidRDefault="00821E2A" w:rsidP="007E074C">
            <w:pPr>
              <w:pStyle w:val="Tabletext"/>
              <w:jc w:val="center"/>
              <w:rPr>
                <w:lang w:val="es-ES_tradnl"/>
              </w:rPr>
            </w:pPr>
            <w:r w:rsidRPr="007C30F1">
              <w:rPr>
                <w:lang w:val="es-ES_tradnl"/>
              </w:rPr>
              <w:t>61</w:t>
            </w:r>
          </w:p>
        </w:tc>
        <w:tc>
          <w:tcPr>
            <w:tcW w:w="1097" w:type="dxa"/>
          </w:tcPr>
          <w:p w:rsidR="00821E2A" w:rsidRPr="007C30F1" w:rsidRDefault="00821E2A" w:rsidP="007E074C">
            <w:pPr>
              <w:pStyle w:val="Tabletext"/>
              <w:jc w:val="center"/>
              <w:rPr>
                <w:lang w:val="es-ES_tradnl"/>
              </w:rPr>
            </w:pPr>
            <w:r w:rsidRPr="007C30F1">
              <w:rPr>
                <w:lang w:val="es-ES_tradnl"/>
              </w:rPr>
              <w:t>80</w:t>
            </w:r>
          </w:p>
        </w:tc>
        <w:tc>
          <w:tcPr>
            <w:tcW w:w="3912" w:type="dxa"/>
          </w:tcPr>
          <w:p w:rsidR="00821E2A" w:rsidRPr="007C30F1" w:rsidRDefault="00821E2A" w:rsidP="007E074C">
            <w:pPr>
              <w:pStyle w:val="Tabletext"/>
              <w:rPr>
                <w:lang w:val="es-ES_tradnl"/>
              </w:rPr>
            </w:pPr>
            <w:r w:rsidRPr="007C30F1">
              <w:rPr>
                <w:lang w:val="es-ES_tradnl"/>
              </w:rPr>
              <w:t>Base de datos en materia de inscripciones a eventos de la UIT</w:t>
            </w:r>
          </w:p>
        </w:tc>
      </w:tr>
      <w:tr w:rsidR="00821E2A" w:rsidRPr="007C30F1" w:rsidTr="00821E2A">
        <w:trPr>
          <w:jc w:val="center"/>
        </w:trPr>
        <w:tc>
          <w:tcPr>
            <w:tcW w:w="3288" w:type="dxa"/>
            <w:vMerge/>
          </w:tcPr>
          <w:p w:rsidR="00821E2A" w:rsidRPr="007C30F1" w:rsidRDefault="00821E2A" w:rsidP="007E074C">
            <w:pPr>
              <w:pStyle w:val="Tabletext"/>
              <w:rPr>
                <w:rFonts w:cs="Arial"/>
                <w:b/>
                <w:bCs/>
                <w:color w:val="4F81BD" w:themeColor="accent1"/>
                <w:lang w:val="es-ES_tradnl"/>
              </w:rPr>
            </w:pPr>
          </w:p>
        </w:tc>
        <w:tc>
          <w:tcPr>
            <w:tcW w:w="3118" w:type="dxa"/>
          </w:tcPr>
          <w:p w:rsidR="00821E2A" w:rsidRPr="007C30F1" w:rsidRDefault="00821E2A" w:rsidP="007E074C">
            <w:pPr>
              <w:pStyle w:val="Tabletext"/>
              <w:rPr>
                <w:lang w:val="es-ES_tradnl"/>
              </w:rPr>
            </w:pPr>
            <w:r w:rsidRPr="007C30F1">
              <w:rPr>
                <w:lang w:val="es-ES_tradnl"/>
              </w:rPr>
              <w:t>Número de participantes/eventos en las conferencias, asambleas y reuniones relacionadas con las Comisiones de Estudio del UIT-R (presenciales y virtuales)</w:t>
            </w:r>
          </w:p>
        </w:tc>
        <w:tc>
          <w:tcPr>
            <w:tcW w:w="1008" w:type="dxa"/>
          </w:tcPr>
          <w:p w:rsidR="00821E2A" w:rsidRPr="007C30F1" w:rsidRDefault="00821E2A" w:rsidP="007E074C">
            <w:pPr>
              <w:pStyle w:val="Tabletext"/>
              <w:jc w:val="center"/>
              <w:rPr>
                <w:lang w:val="es-ES_tradnl"/>
              </w:rPr>
            </w:pPr>
            <w:r w:rsidRPr="007C30F1">
              <w:rPr>
                <w:lang w:val="es-ES_tradnl"/>
              </w:rPr>
              <w:t>6 385/52</w:t>
            </w:r>
          </w:p>
        </w:tc>
        <w:tc>
          <w:tcPr>
            <w:tcW w:w="1022" w:type="dxa"/>
          </w:tcPr>
          <w:p w:rsidR="00821E2A" w:rsidRPr="007C30F1" w:rsidRDefault="00821E2A" w:rsidP="007E074C">
            <w:pPr>
              <w:pStyle w:val="Tabletext"/>
              <w:jc w:val="center"/>
              <w:rPr>
                <w:lang w:val="es-ES_tradnl"/>
              </w:rPr>
            </w:pPr>
            <w:r w:rsidRPr="007C30F1">
              <w:rPr>
                <w:lang w:val="es-ES_tradnl"/>
              </w:rPr>
              <w:t>8 972/38</w:t>
            </w:r>
          </w:p>
        </w:tc>
        <w:tc>
          <w:tcPr>
            <w:tcW w:w="943" w:type="dxa"/>
          </w:tcPr>
          <w:p w:rsidR="00821E2A" w:rsidRPr="007C30F1" w:rsidRDefault="00821E2A" w:rsidP="007E074C">
            <w:pPr>
              <w:pStyle w:val="Tabletext"/>
              <w:jc w:val="center"/>
              <w:rPr>
                <w:lang w:val="es-ES_tradnl"/>
              </w:rPr>
            </w:pPr>
            <w:r w:rsidRPr="007C30F1">
              <w:rPr>
                <w:lang w:val="es-ES_tradnl"/>
              </w:rPr>
              <w:t>6 042/48</w:t>
            </w:r>
          </w:p>
        </w:tc>
        <w:tc>
          <w:tcPr>
            <w:tcW w:w="1097" w:type="dxa"/>
          </w:tcPr>
          <w:p w:rsidR="00821E2A" w:rsidRPr="007C30F1" w:rsidRDefault="00821E2A" w:rsidP="007E074C">
            <w:pPr>
              <w:pStyle w:val="Tabletext"/>
              <w:jc w:val="center"/>
              <w:rPr>
                <w:lang w:val="es-ES_tradnl"/>
              </w:rPr>
            </w:pPr>
          </w:p>
        </w:tc>
        <w:tc>
          <w:tcPr>
            <w:tcW w:w="3912" w:type="dxa"/>
          </w:tcPr>
          <w:p w:rsidR="00821E2A" w:rsidRPr="007C30F1" w:rsidRDefault="00821E2A" w:rsidP="007E074C">
            <w:pPr>
              <w:pStyle w:val="Tabletext"/>
              <w:rPr>
                <w:lang w:val="es-ES_tradnl"/>
              </w:rPr>
            </w:pPr>
            <w:r w:rsidRPr="007C30F1">
              <w:rPr>
                <w:lang w:val="es-ES_tradnl"/>
              </w:rPr>
              <w:t>Base de datos en materia de inscripciones a eventos de la UIT</w:t>
            </w:r>
          </w:p>
        </w:tc>
      </w:tr>
      <w:tr w:rsidR="00821E2A" w:rsidRPr="007C30F1" w:rsidTr="00821E2A">
        <w:trPr>
          <w:jc w:val="center"/>
        </w:trPr>
        <w:tc>
          <w:tcPr>
            <w:tcW w:w="3288" w:type="dxa"/>
            <w:vMerge/>
          </w:tcPr>
          <w:p w:rsidR="00821E2A" w:rsidRPr="007C30F1" w:rsidRDefault="00821E2A" w:rsidP="007E074C">
            <w:pPr>
              <w:pStyle w:val="Tabletext"/>
              <w:rPr>
                <w:rFonts w:cs="Arial"/>
                <w:b/>
                <w:bCs/>
                <w:color w:val="4F81BD" w:themeColor="accent1"/>
                <w:lang w:val="es-ES_tradnl"/>
              </w:rPr>
            </w:pPr>
          </w:p>
        </w:tc>
        <w:tc>
          <w:tcPr>
            <w:tcW w:w="3118" w:type="dxa"/>
          </w:tcPr>
          <w:p w:rsidR="00821E2A" w:rsidRPr="007C30F1" w:rsidRDefault="00821E2A" w:rsidP="007E074C">
            <w:pPr>
              <w:pStyle w:val="Tabletext"/>
              <w:rPr>
                <w:lang w:val="es-ES_tradnl"/>
              </w:rPr>
            </w:pPr>
            <w:r w:rsidRPr="007C30F1">
              <w:rPr>
                <w:lang w:val="es-ES_tradnl"/>
              </w:rPr>
              <w:t>Número de países que participan en seminarios y talleres, reuniones de CE y GT y eventos del UIT-R (presenciales y virtuales)</w:t>
            </w:r>
          </w:p>
        </w:tc>
        <w:tc>
          <w:tcPr>
            <w:tcW w:w="1008" w:type="dxa"/>
          </w:tcPr>
          <w:p w:rsidR="00821E2A" w:rsidRPr="007C30F1" w:rsidRDefault="00821E2A" w:rsidP="007E074C">
            <w:pPr>
              <w:pStyle w:val="Tabletext"/>
              <w:jc w:val="center"/>
              <w:rPr>
                <w:lang w:val="es-ES_tradnl"/>
              </w:rPr>
            </w:pPr>
            <w:r w:rsidRPr="007C30F1">
              <w:rPr>
                <w:lang w:val="es-ES_tradnl"/>
              </w:rPr>
              <w:t>103</w:t>
            </w:r>
          </w:p>
        </w:tc>
        <w:tc>
          <w:tcPr>
            <w:tcW w:w="1022" w:type="dxa"/>
          </w:tcPr>
          <w:p w:rsidR="00821E2A" w:rsidRPr="007C30F1" w:rsidRDefault="00821E2A" w:rsidP="007E074C">
            <w:pPr>
              <w:pStyle w:val="Tabletext"/>
              <w:jc w:val="center"/>
              <w:rPr>
                <w:lang w:val="es-ES_tradnl"/>
              </w:rPr>
            </w:pPr>
            <w:r w:rsidRPr="007C30F1">
              <w:rPr>
                <w:lang w:val="es-ES_tradnl"/>
              </w:rPr>
              <w:t>161</w:t>
            </w:r>
          </w:p>
        </w:tc>
        <w:tc>
          <w:tcPr>
            <w:tcW w:w="943" w:type="dxa"/>
          </w:tcPr>
          <w:p w:rsidR="00821E2A" w:rsidRPr="007C30F1" w:rsidRDefault="00821E2A" w:rsidP="007E074C">
            <w:pPr>
              <w:pStyle w:val="Tabletext"/>
              <w:jc w:val="center"/>
              <w:rPr>
                <w:lang w:val="es-ES_tradnl"/>
              </w:rPr>
            </w:pPr>
            <w:r w:rsidRPr="007C30F1">
              <w:rPr>
                <w:lang w:val="es-ES_tradnl"/>
              </w:rPr>
              <w:t>130</w:t>
            </w:r>
          </w:p>
        </w:tc>
        <w:tc>
          <w:tcPr>
            <w:tcW w:w="1097" w:type="dxa"/>
          </w:tcPr>
          <w:p w:rsidR="00821E2A" w:rsidRPr="007C30F1" w:rsidRDefault="00821E2A" w:rsidP="007E074C">
            <w:pPr>
              <w:pStyle w:val="Tabletext"/>
              <w:jc w:val="center"/>
              <w:rPr>
                <w:lang w:val="es-ES_tradnl"/>
              </w:rPr>
            </w:pPr>
            <w:r w:rsidRPr="007C30F1">
              <w:rPr>
                <w:lang w:val="es-ES_tradnl"/>
              </w:rPr>
              <w:t>193</w:t>
            </w:r>
          </w:p>
        </w:tc>
        <w:tc>
          <w:tcPr>
            <w:tcW w:w="3912" w:type="dxa"/>
          </w:tcPr>
          <w:p w:rsidR="00821E2A" w:rsidRPr="007C30F1" w:rsidRDefault="00821E2A" w:rsidP="007E074C">
            <w:pPr>
              <w:pStyle w:val="Tabletext"/>
              <w:rPr>
                <w:lang w:val="es-ES_tradnl"/>
              </w:rPr>
            </w:pPr>
            <w:r w:rsidRPr="007C30F1">
              <w:rPr>
                <w:lang w:val="es-ES_tradnl"/>
              </w:rPr>
              <w:t>Base de datos en materia de inscripciones a eventos de la UIT</w:t>
            </w:r>
          </w:p>
        </w:tc>
      </w:tr>
    </w:tbl>
    <w:p w:rsidR="00821E2A" w:rsidRPr="007C30F1" w:rsidRDefault="00821E2A" w:rsidP="007E074C">
      <w:pPr>
        <w:overflowPunct/>
        <w:autoSpaceDE/>
        <w:autoSpaceDN/>
        <w:adjustRightInd/>
        <w:spacing w:before="0" w:line="240" w:lineRule="auto"/>
        <w:textAlignment w:val="auto"/>
        <w:rPr>
          <w:rFonts w:asciiTheme="minorHAnsi" w:hAnsiTheme="minorHAnsi"/>
          <w:lang w:val="es-ES_tradnl"/>
        </w:rPr>
      </w:pPr>
      <w:r w:rsidRPr="007C30F1">
        <w:rPr>
          <w:rFonts w:asciiTheme="minorHAnsi" w:hAnsiTheme="minorHAnsi"/>
          <w:lang w:val="es-ES_tradnl"/>
        </w:rPr>
        <w:br w:type="page"/>
      </w:r>
    </w:p>
    <w:tbl>
      <w:tblPr>
        <w:tblW w:w="1445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20" w:firstRow="1" w:lastRow="0" w:firstColumn="0" w:lastColumn="0" w:noHBand="1" w:noVBand="1"/>
      </w:tblPr>
      <w:tblGrid>
        <w:gridCol w:w="10088"/>
        <w:gridCol w:w="1092"/>
        <w:gridCol w:w="1091"/>
        <w:gridCol w:w="1092"/>
        <w:gridCol w:w="1092"/>
      </w:tblGrid>
      <w:tr w:rsidR="00821E2A" w:rsidRPr="007C30F1" w:rsidTr="00821E2A">
        <w:tc>
          <w:tcPr>
            <w:tcW w:w="10088" w:type="dxa"/>
            <w:tcBorders>
              <w:right w:val="nil"/>
            </w:tcBorders>
            <w:shd w:val="clear" w:color="auto" w:fill="4F81BD" w:themeFill="accent1"/>
          </w:tcPr>
          <w:p w:rsidR="00821E2A" w:rsidRPr="007C30F1" w:rsidRDefault="00821E2A" w:rsidP="007E074C">
            <w:pPr>
              <w:pStyle w:val="Tablehead"/>
              <w:rPr>
                <w:color w:val="FFFFFF" w:themeColor="background1"/>
                <w:lang w:val="es-ES_tradnl"/>
              </w:rPr>
            </w:pPr>
            <w:r w:rsidRPr="007C30F1">
              <w:rPr>
                <w:color w:val="FFFFFF" w:themeColor="background1"/>
                <w:lang w:val="es-ES_tradnl"/>
              </w:rPr>
              <w:lastRenderedPageBreak/>
              <w:t>Producto</w:t>
            </w:r>
          </w:p>
        </w:tc>
        <w:tc>
          <w:tcPr>
            <w:tcW w:w="4367" w:type="dxa"/>
            <w:gridSpan w:val="4"/>
            <w:tcBorders>
              <w:left w:val="nil"/>
            </w:tcBorders>
            <w:shd w:val="clear" w:color="auto" w:fill="4F81BD" w:themeFill="accent1"/>
          </w:tcPr>
          <w:p w:rsidR="00821E2A" w:rsidRPr="007C30F1" w:rsidRDefault="00821E2A" w:rsidP="007E074C">
            <w:pPr>
              <w:pStyle w:val="Tablehead"/>
              <w:rPr>
                <w:color w:val="FFFFFF" w:themeColor="background1"/>
                <w:lang w:val="es-ES_tradnl"/>
              </w:rPr>
            </w:pPr>
            <w:r w:rsidRPr="007C30F1">
              <w:rPr>
                <w:color w:val="FFFFFF" w:themeColor="background1"/>
                <w:lang w:val="es-ES_tradnl"/>
              </w:rPr>
              <w:t>Recursos financieros</w:t>
            </w:r>
            <w:r w:rsidRPr="007C30F1">
              <w:rPr>
                <w:rStyle w:val="FootnoteReference"/>
                <w:color w:val="FFFFFF" w:themeColor="background1"/>
                <w:lang w:val="es-ES_tradnl"/>
              </w:rPr>
              <w:footnoteReference w:id="9"/>
            </w:r>
            <w:r w:rsidRPr="007C30F1">
              <w:rPr>
                <w:color w:val="FFFFFF" w:themeColor="background1"/>
                <w:lang w:val="es-ES_tradnl"/>
              </w:rPr>
              <w:t xml:space="preserve"> (en miles CHF)</w:t>
            </w:r>
          </w:p>
        </w:tc>
      </w:tr>
      <w:tr w:rsidR="00821E2A" w:rsidRPr="007C30F1" w:rsidTr="00821E2A">
        <w:tc>
          <w:tcPr>
            <w:tcW w:w="10088" w:type="dxa"/>
          </w:tcPr>
          <w:p w:rsidR="00821E2A" w:rsidRPr="007C30F1" w:rsidRDefault="00821E2A" w:rsidP="007E074C">
            <w:pPr>
              <w:pStyle w:val="Tablehead"/>
              <w:rPr>
                <w:lang w:val="es-ES_tradnl"/>
              </w:rPr>
            </w:pPr>
          </w:p>
        </w:tc>
        <w:tc>
          <w:tcPr>
            <w:tcW w:w="1092" w:type="dxa"/>
          </w:tcPr>
          <w:p w:rsidR="00821E2A" w:rsidRPr="007C30F1" w:rsidRDefault="00821E2A" w:rsidP="007E074C">
            <w:pPr>
              <w:pStyle w:val="Tablehead"/>
              <w:rPr>
                <w:bCs/>
                <w:color w:val="4F81BD" w:themeColor="accent1"/>
                <w:lang w:val="es-ES_tradnl"/>
              </w:rPr>
            </w:pPr>
            <w:r w:rsidRPr="007C30F1">
              <w:rPr>
                <w:bCs/>
                <w:color w:val="4F81BD" w:themeColor="accent1"/>
                <w:lang w:val="es-ES_tradnl"/>
              </w:rPr>
              <w:t>2018</w:t>
            </w:r>
          </w:p>
        </w:tc>
        <w:tc>
          <w:tcPr>
            <w:tcW w:w="1091" w:type="dxa"/>
          </w:tcPr>
          <w:p w:rsidR="00821E2A" w:rsidRPr="007C30F1" w:rsidRDefault="00821E2A" w:rsidP="007E074C">
            <w:pPr>
              <w:pStyle w:val="Tablehead"/>
              <w:rPr>
                <w:bCs/>
                <w:color w:val="4F81BD" w:themeColor="accent1"/>
                <w:lang w:val="es-ES_tradnl"/>
              </w:rPr>
            </w:pPr>
            <w:r w:rsidRPr="007C30F1">
              <w:rPr>
                <w:bCs/>
                <w:color w:val="4F81BD" w:themeColor="accent1"/>
                <w:lang w:val="es-ES_tradnl"/>
              </w:rPr>
              <w:t>2019</w:t>
            </w:r>
          </w:p>
        </w:tc>
        <w:tc>
          <w:tcPr>
            <w:tcW w:w="1092" w:type="dxa"/>
          </w:tcPr>
          <w:p w:rsidR="00821E2A" w:rsidRPr="007C30F1" w:rsidRDefault="00821E2A" w:rsidP="007E074C">
            <w:pPr>
              <w:pStyle w:val="Tablehead"/>
              <w:rPr>
                <w:bCs/>
                <w:color w:val="4F81BD" w:themeColor="accent1"/>
                <w:lang w:val="es-ES_tradnl"/>
              </w:rPr>
            </w:pPr>
            <w:r w:rsidRPr="007C30F1">
              <w:rPr>
                <w:bCs/>
                <w:color w:val="4F81BD" w:themeColor="accent1"/>
                <w:lang w:val="es-ES_tradnl"/>
              </w:rPr>
              <w:t>2020</w:t>
            </w:r>
          </w:p>
        </w:tc>
        <w:tc>
          <w:tcPr>
            <w:tcW w:w="1092" w:type="dxa"/>
          </w:tcPr>
          <w:p w:rsidR="00821E2A" w:rsidRPr="007C30F1" w:rsidRDefault="00821E2A" w:rsidP="007E074C">
            <w:pPr>
              <w:pStyle w:val="Tablehead"/>
              <w:rPr>
                <w:bCs/>
                <w:color w:val="4F81BD" w:themeColor="accent1"/>
                <w:lang w:val="es-ES_tradnl"/>
              </w:rPr>
            </w:pPr>
            <w:r w:rsidRPr="007C30F1">
              <w:rPr>
                <w:bCs/>
                <w:color w:val="4F81BD" w:themeColor="accent1"/>
                <w:lang w:val="es-ES_tradnl"/>
              </w:rPr>
              <w:t>2021</w:t>
            </w:r>
          </w:p>
        </w:tc>
      </w:tr>
      <w:tr w:rsidR="00821E2A" w:rsidRPr="007C30F1" w:rsidTr="00821E2A">
        <w:tc>
          <w:tcPr>
            <w:tcW w:w="10088" w:type="dxa"/>
            <w:vAlign w:val="center"/>
          </w:tcPr>
          <w:p w:rsidR="00821E2A" w:rsidRPr="007C30F1" w:rsidRDefault="00821E2A" w:rsidP="007E074C">
            <w:pPr>
              <w:pStyle w:val="Tabletext"/>
              <w:rPr>
                <w:noProof/>
                <w:lang w:val="es-ES_tradnl" w:eastAsia="zh-CN"/>
              </w:rPr>
            </w:pPr>
            <w:r w:rsidRPr="007C30F1">
              <w:rPr>
                <w:b/>
                <w:bCs/>
                <w:color w:val="5B9BD5"/>
                <w:lang w:val="es-ES_tradnl"/>
              </w:rPr>
              <w:t>R.3-1:</w:t>
            </w:r>
            <w:r w:rsidRPr="007C30F1">
              <w:rPr>
                <w:lang w:val="es-ES_tradnl"/>
              </w:rPr>
              <w:t xml:space="preserve"> Publicaciones del UIT-R</w:t>
            </w:r>
          </w:p>
        </w:tc>
        <w:tc>
          <w:tcPr>
            <w:tcW w:w="1092" w:type="dxa"/>
            <w:vAlign w:val="center"/>
          </w:tcPr>
          <w:p w:rsidR="00821E2A" w:rsidRPr="007C30F1" w:rsidRDefault="00821E2A" w:rsidP="007E074C">
            <w:pPr>
              <w:pStyle w:val="Tabletext"/>
              <w:jc w:val="center"/>
              <w:rPr>
                <w:i/>
                <w:iCs/>
                <w:color w:val="767171"/>
                <w:lang w:val="es-ES_tradnl"/>
              </w:rPr>
            </w:pPr>
            <w:r w:rsidRPr="007C30F1">
              <w:rPr>
                <w:lang w:val="es-ES_tradnl"/>
              </w:rPr>
              <w:t>7 737</w:t>
            </w:r>
          </w:p>
        </w:tc>
        <w:tc>
          <w:tcPr>
            <w:tcW w:w="1091" w:type="dxa"/>
            <w:vAlign w:val="center"/>
          </w:tcPr>
          <w:p w:rsidR="00821E2A" w:rsidRPr="007C30F1" w:rsidRDefault="00821E2A" w:rsidP="007E074C">
            <w:pPr>
              <w:pStyle w:val="Tabletext"/>
              <w:jc w:val="center"/>
              <w:rPr>
                <w:i/>
                <w:iCs/>
                <w:color w:val="767171"/>
                <w:lang w:val="es-ES_tradnl"/>
              </w:rPr>
            </w:pPr>
            <w:r w:rsidRPr="007C30F1">
              <w:rPr>
                <w:lang w:val="es-ES_tradnl"/>
              </w:rPr>
              <w:t>5 985</w:t>
            </w:r>
          </w:p>
        </w:tc>
        <w:tc>
          <w:tcPr>
            <w:tcW w:w="1092" w:type="dxa"/>
            <w:vAlign w:val="center"/>
          </w:tcPr>
          <w:p w:rsidR="00821E2A" w:rsidRPr="007C30F1" w:rsidRDefault="00821E2A" w:rsidP="007E074C">
            <w:pPr>
              <w:pStyle w:val="Tabletext"/>
              <w:jc w:val="center"/>
              <w:rPr>
                <w:lang w:val="es-ES_tradnl"/>
              </w:rPr>
            </w:pPr>
            <w:r w:rsidRPr="007C30F1">
              <w:rPr>
                <w:lang w:val="es-ES_tradnl"/>
              </w:rPr>
              <w:t>8 328</w:t>
            </w:r>
          </w:p>
        </w:tc>
        <w:tc>
          <w:tcPr>
            <w:tcW w:w="1092" w:type="dxa"/>
            <w:vAlign w:val="center"/>
          </w:tcPr>
          <w:p w:rsidR="00821E2A" w:rsidRPr="007C30F1" w:rsidRDefault="00821E2A" w:rsidP="007E074C">
            <w:pPr>
              <w:pStyle w:val="Tabletext"/>
              <w:jc w:val="center"/>
              <w:rPr>
                <w:lang w:val="es-ES_tradnl"/>
              </w:rPr>
            </w:pPr>
            <w:r w:rsidRPr="007C30F1">
              <w:rPr>
                <w:lang w:val="es-ES_tradnl"/>
              </w:rPr>
              <w:t>8 283</w:t>
            </w:r>
          </w:p>
        </w:tc>
      </w:tr>
      <w:tr w:rsidR="00821E2A" w:rsidRPr="007C30F1" w:rsidTr="00821E2A">
        <w:tc>
          <w:tcPr>
            <w:tcW w:w="10088" w:type="dxa"/>
            <w:vAlign w:val="center"/>
          </w:tcPr>
          <w:p w:rsidR="00821E2A" w:rsidRPr="007C30F1" w:rsidRDefault="00821E2A" w:rsidP="007E074C">
            <w:pPr>
              <w:pStyle w:val="Tabletext"/>
              <w:rPr>
                <w:b/>
                <w:bCs/>
                <w:noProof/>
                <w:color w:val="4F81BD" w:themeColor="accent1"/>
                <w:lang w:val="es-ES_tradnl" w:eastAsia="zh-CN"/>
              </w:rPr>
            </w:pPr>
            <w:r w:rsidRPr="007C30F1">
              <w:rPr>
                <w:b/>
                <w:bCs/>
                <w:color w:val="5B9BD5"/>
                <w:lang w:val="es-ES_tradnl"/>
              </w:rPr>
              <w:t>R.3-2:</w:t>
            </w:r>
            <w:r w:rsidRPr="007C30F1">
              <w:rPr>
                <w:lang w:val="es-ES_tradnl"/>
              </w:rPr>
              <w:t xml:space="preserve"> Asistencia a los Miembros, en particular países en desarrollo y PMA</w:t>
            </w:r>
          </w:p>
        </w:tc>
        <w:tc>
          <w:tcPr>
            <w:tcW w:w="1092" w:type="dxa"/>
            <w:vAlign w:val="center"/>
          </w:tcPr>
          <w:p w:rsidR="00821E2A" w:rsidRPr="007C30F1" w:rsidRDefault="00821E2A" w:rsidP="007E074C">
            <w:pPr>
              <w:pStyle w:val="Tabletext"/>
              <w:jc w:val="center"/>
              <w:rPr>
                <w:i/>
                <w:iCs/>
                <w:color w:val="767171"/>
                <w:lang w:val="es-ES_tradnl"/>
              </w:rPr>
            </w:pPr>
            <w:r w:rsidRPr="007C30F1">
              <w:rPr>
                <w:lang w:val="es-ES_tradnl"/>
              </w:rPr>
              <w:t>2 565</w:t>
            </w:r>
          </w:p>
        </w:tc>
        <w:tc>
          <w:tcPr>
            <w:tcW w:w="1091" w:type="dxa"/>
            <w:vAlign w:val="center"/>
          </w:tcPr>
          <w:p w:rsidR="00821E2A" w:rsidRPr="007C30F1" w:rsidRDefault="00821E2A" w:rsidP="007E074C">
            <w:pPr>
              <w:pStyle w:val="Tabletext"/>
              <w:jc w:val="center"/>
              <w:rPr>
                <w:i/>
                <w:iCs/>
                <w:color w:val="767171"/>
                <w:lang w:val="es-ES_tradnl"/>
              </w:rPr>
            </w:pPr>
            <w:r w:rsidRPr="007C30F1">
              <w:rPr>
                <w:lang w:val="es-ES_tradnl"/>
              </w:rPr>
              <w:t>2 392</w:t>
            </w:r>
          </w:p>
        </w:tc>
        <w:tc>
          <w:tcPr>
            <w:tcW w:w="1092" w:type="dxa"/>
            <w:vAlign w:val="center"/>
          </w:tcPr>
          <w:p w:rsidR="00821E2A" w:rsidRPr="007C30F1" w:rsidRDefault="00821E2A" w:rsidP="007E074C">
            <w:pPr>
              <w:pStyle w:val="Tabletext"/>
              <w:jc w:val="center"/>
              <w:rPr>
                <w:lang w:val="es-ES_tradnl"/>
              </w:rPr>
            </w:pPr>
            <w:r w:rsidRPr="007C30F1">
              <w:rPr>
                <w:lang w:val="es-ES_tradnl"/>
              </w:rPr>
              <w:t>2 336</w:t>
            </w:r>
          </w:p>
        </w:tc>
        <w:tc>
          <w:tcPr>
            <w:tcW w:w="1092" w:type="dxa"/>
            <w:vAlign w:val="center"/>
          </w:tcPr>
          <w:p w:rsidR="00821E2A" w:rsidRPr="007C30F1" w:rsidRDefault="00821E2A" w:rsidP="007E074C">
            <w:pPr>
              <w:pStyle w:val="Tabletext"/>
              <w:jc w:val="center"/>
              <w:rPr>
                <w:lang w:val="es-ES_tradnl"/>
              </w:rPr>
            </w:pPr>
            <w:r w:rsidRPr="007C30F1">
              <w:rPr>
                <w:lang w:val="es-ES_tradnl"/>
              </w:rPr>
              <w:t>2 353</w:t>
            </w:r>
          </w:p>
        </w:tc>
      </w:tr>
      <w:tr w:rsidR="00821E2A" w:rsidRPr="007C30F1" w:rsidTr="00821E2A">
        <w:tc>
          <w:tcPr>
            <w:tcW w:w="10088" w:type="dxa"/>
            <w:vAlign w:val="center"/>
          </w:tcPr>
          <w:p w:rsidR="00821E2A" w:rsidRPr="007C30F1" w:rsidRDefault="00821E2A" w:rsidP="007E074C">
            <w:pPr>
              <w:pStyle w:val="Tabletext"/>
              <w:rPr>
                <w:lang w:val="es-ES_tradnl"/>
              </w:rPr>
            </w:pPr>
            <w:r w:rsidRPr="007C30F1">
              <w:rPr>
                <w:b/>
                <w:bCs/>
                <w:color w:val="5B9BD5"/>
                <w:lang w:val="es-ES_tradnl"/>
              </w:rPr>
              <w:t>R.3-3:</w:t>
            </w:r>
            <w:r w:rsidRPr="007C30F1">
              <w:rPr>
                <w:lang w:val="es-ES_tradnl"/>
              </w:rPr>
              <w:t xml:space="preserve"> Coordinación/apoyo a actividades de desarrollo</w:t>
            </w:r>
          </w:p>
        </w:tc>
        <w:tc>
          <w:tcPr>
            <w:tcW w:w="1092" w:type="dxa"/>
            <w:vAlign w:val="center"/>
          </w:tcPr>
          <w:p w:rsidR="00821E2A" w:rsidRPr="007C30F1" w:rsidRDefault="00821E2A" w:rsidP="007E074C">
            <w:pPr>
              <w:pStyle w:val="Tabletext"/>
              <w:jc w:val="center"/>
              <w:rPr>
                <w:i/>
                <w:iCs/>
                <w:color w:val="767171"/>
                <w:lang w:val="es-ES_tradnl"/>
              </w:rPr>
            </w:pPr>
            <w:r w:rsidRPr="007C30F1">
              <w:rPr>
                <w:lang w:val="es-ES_tradnl"/>
              </w:rPr>
              <w:t>1 484</w:t>
            </w:r>
          </w:p>
        </w:tc>
        <w:tc>
          <w:tcPr>
            <w:tcW w:w="1091" w:type="dxa"/>
            <w:vAlign w:val="center"/>
          </w:tcPr>
          <w:p w:rsidR="00821E2A" w:rsidRPr="007C30F1" w:rsidRDefault="00821E2A" w:rsidP="007E074C">
            <w:pPr>
              <w:pStyle w:val="Tabletext"/>
              <w:jc w:val="center"/>
              <w:rPr>
                <w:i/>
                <w:iCs/>
                <w:color w:val="767171"/>
                <w:lang w:val="es-ES_tradnl"/>
              </w:rPr>
            </w:pPr>
            <w:r w:rsidRPr="007C30F1">
              <w:rPr>
                <w:lang w:val="es-ES_tradnl"/>
              </w:rPr>
              <w:t>1 554</w:t>
            </w:r>
          </w:p>
        </w:tc>
        <w:tc>
          <w:tcPr>
            <w:tcW w:w="1092" w:type="dxa"/>
            <w:vAlign w:val="center"/>
          </w:tcPr>
          <w:p w:rsidR="00821E2A" w:rsidRPr="007C30F1" w:rsidRDefault="00821E2A" w:rsidP="007E074C">
            <w:pPr>
              <w:pStyle w:val="Tabletext"/>
              <w:jc w:val="center"/>
              <w:rPr>
                <w:lang w:val="es-ES_tradnl"/>
              </w:rPr>
            </w:pPr>
            <w:r w:rsidRPr="007C30F1">
              <w:rPr>
                <w:lang w:val="es-ES_tradnl"/>
              </w:rPr>
              <w:t>1 281</w:t>
            </w:r>
          </w:p>
        </w:tc>
        <w:tc>
          <w:tcPr>
            <w:tcW w:w="1092" w:type="dxa"/>
            <w:vAlign w:val="center"/>
          </w:tcPr>
          <w:p w:rsidR="00821E2A" w:rsidRPr="007C30F1" w:rsidRDefault="00821E2A" w:rsidP="007E074C">
            <w:pPr>
              <w:pStyle w:val="Tabletext"/>
              <w:jc w:val="center"/>
              <w:rPr>
                <w:lang w:val="es-ES_tradnl"/>
              </w:rPr>
            </w:pPr>
            <w:r w:rsidRPr="007C30F1">
              <w:rPr>
                <w:lang w:val="es-ES_tradnl"/>
              </w:rPr>
              <w:t>1 290</w:t>
            </w:r>
          </w:p>
        </w:tc>
      </w:tr>
      <w:tr w:rsidR="00821E2A" w:rsidRPr="007C30F1" w:rsidTr="00821E2A">
        <w:tc>
          <w:tcPr>
            <w:tcW w:w="10088" w:type="dxa"/>
            <w:vAlign w:val="center"/>
          </w:tcPr>
          <w:p w:rsidR="00821E2A" w:rsidRPr="007C30F1" w:rsidRDefault="00821E2A" w:rsidP="007E074C">
            <w:pPr>
              <w:pStyle w:val="Tabletext"/>
              <w:rPr>
                <w:noProof/>
                <w:lang w:val="es-ES_tradnl" w:eastAsia="zh-CN"/>
              </w:rPr>
            </w:pPr>
            <w:r w:rsidRPr="007C30F1">
              <w:rPr>
                <w:b/>
                <w:bCs/>
                <w:color w:val="5B9BD5"/>
                <w:lang w:val="es-ES_tradnl"/>
              </w:rPr>
              <w:t>R.3-4:</w:t>
            </w:r>
            <w:r w:rsidRPr="007C30F1">
              <w:rPr>
                <w:lang w:val="es-ES_tradnl"/>
              </w:rPr>
              <w:t xml:space="preserve"> Seminarios, talleres y otros eventos</w:t>
            </w:r>
          </w:p>
        </w:tc>
        <w:tc>
          <w:tcPr>
            <w:tcW w:w="1092" w:type="dxa"/>
            <w:vAlign w:val="center"/>
          </w:tcPr>
          <w:p w:rsidR="00821E2A" w:rsidRPr="007C30F1" w:rsidRDefault="00821E2A" w:rsidP="007E074C">
            <w:pPr>
              <w:pStyle w:val="Tabletext"/>
              <w:jc w:val="center"/>
              <w:rPr>
                <w:i/>
                <w:iCs/>
                <w:color w:val="767171"/>
                <w:lang w:val="es-ES_tradnl"/>
              </w:rPr>
            </w:pPr>
            <w:r w:rsidRPr="007C30F1">
              <w:rPr>
                <w:lang w:val="es-ES_tradnl"/>
              </w:rPr>
              <w:t>3 552</w:t>
            </w:r>
          </w:p>
        </w:tc>
        <w:tc>
          <w:tcPr>
            <w:tcW w:w="1091" w:type="dxa"/>
            <w:vAlign w:val="center"/>
          </w:tcPr>
          <w:p w:rsidR="00821E2A" w:rsidRPr="007C30F1" w:rsidRDefault="00821E2A" w:rsidP="007E074C">
            <w:pPr>
              <w:pStyle w:val="Tabletext"/>
              <w:jc w:val="center"/>
              <w:rPr>
                <w:i/>
                <w:iCs/>
                <w:color w:val="767171"/>
                <w:lang w:val="es-ES_tradnl"/>
              </w:rPr>
            </w:pPr>
            <w:r w:rsidRPr="007C30F1">
              <w:rPr>
                <w:lang w:val="es-ES_tradnl"/>
              </w:rPr>
              <w:t>3 420</w:t>
            </w:r>
          </w:p>
        </w:tc>
        <w:tc>
          <w:tcPr>
            <w:tcW w:w="1092" w:type="dxa"/>
            <w:vAlign w:val="center"/>
          </w:tcPr>
          <w:p w:rsidR="00821E2A" w:rsidRPr="007C30F1" w:rsidRDefault="00821E2A" w:rsidP="007E074C">
            <w:pPr>
              <w:pStyle w:val="Tabletext"/>
              <w:jc w:val="center"/>
              <w:rPr>
                <w:lang w:val="es-ES_tradnl"/>
              </w:rPr>
            </w:pPr>
            <w:r w:rsidRPr="007C30F1">
              <w:rPr>
                <w:lang w:val="es-ES_tradnl"/>
              </w:rPr>
              <w:t>3 282</w:t>
            </w:r>
          </w:p>
        </w:tc>
        <w:tc>
          <w:tcPr>
            <w:tcW w:w="1092" w:type="dxa"/>
            <w:vAlign w:val="center"/>
          </w:tcPr>
          <w:p w:rsidR="00821E2A" w:rsidRPr="007C30F1" w:rsidRDefault="00821E2A" w:rsidP="007E074C">
            <w:pPr>
              <w:pStyle w:val="Tabletext"/>
              <w:jc w:val="center"/>
              <w:rPr>
                <w:lang w:val="es-ES_tradnl"/>
              </w:rPr>
            </w:pPr>
            <w:r w:rsidRPr="007C30F1">
              <w:rPr>
                <w:lang w:val="es-ES_tradnl"/>
              </w:rPr>
              <w:t>3 290</w:t>
            </w:r>
          </w:p>
        </w:tc>
      </w:tr>
      <w:tr w:rsidR="00821E2A" w:rsidRPr="007C30F1" w:rsidTr="00821E2A">
        <w:tc>
          <w:tcPr>
            <w:tcW w:w="10088" w:type="dxa"/>
            <w:vAlign w:val="center"/>
          </w:tcPr>
          <w:p w:rsidR="00821E2A" w:rsidRPr="007C30F1" w:rsidRDefault="00821E2A" w:rsidP="007E074C">
            <w:pPr>
              <w:pStyle w:val="Tabletext"/>
              <w:rPr>
                <w:b/>
                <w:bCs/>
                <w:color w:val="5B9BD5"/>
                <w:lang w:val="es-ES_tradnl"/>
              </w:rPr>
            </w:pPr>
            <w:r w:rsidRPr="007C30F1">
              <w:rPr>
                <w:rFonts w:cs="Arial"/>
                <w:lang w:val="es-ES_tradnl"/>
              </w:rPr>
              <w:t xml:space="preserve">Atribución de costos a las actividades de la Conferencia de Plenipotenciarios y el Consejo </w:t>
            </w:r>
            <w:r w:rsidRPr="007C30F1">
              <w:rPr>
                <w:rFonts w:cs="Arial"/>
                <w:b/>
                <w:bCs/>
                <w:color w:val="4F81BD" w:themeColor="accent1"/>
                <w:lang w:val="es-ES_tradnl"/>
              </w:rPr>
              <w:t>(</w:t>
            </w:r>
            <w:r w:rsidRPr="007C30F1">
              <w:rPr>
                <w:b/>
                <w:bCs/>
                <w:color w:val="4F81BD" w:themeColor="accent1"/>
                <w:lang w:val="es-ES_tradnl"/>
              </w:rPr>
              <w:t>PP</w:t>
            </w:r>
            <w:r w:rsidRPr="007C30F1">
              <w:rPr>
                <w:rFonts w:cs="Arial"/>
                <w:color w:val="4F81BD" w:themeColor="accent1"/>
                <w:lang w:val="es-ES_tradnl"/>
              </w:rPr>
              <w:t xml:space="preserve">, </w:t>
            </w:r>
            <w:r w:rsidRPr="007C30F1">
              <w:rPr>
                <w:b/>
                <w:bCs/>
                <w:color w:val="4F81BD" w:themeColor="accent1"/>
                <w:lang w:val="es-ES_tradnl"/>
              </w:rPr>
              <w:t>Consejo/GTC</w:t>
            </w:r>
            <w:r w:rsidRPr="007C30F1">
              <w:rPr>
                <w:rFonts w:cs="Arial"/>
                <w:b/>
                <w:bCs/>
                <w:color w:val="4F81BD" w:themeColor="accent1"/>
                <w:lang w:val="es-ES_tradnl"/>
              </w:rPr>
              <w:t>)</w:t>
            </w:r>
          </w:p>
        </w:tc>
        <w:tc>
          <w:tcPr>
            <w:tcW w:w="1092" w:type="dxa"/>
            <w:vAlign w:val="center"/>
          </w:tcPr>
          <w:p w:rsidR="00821E2A" w:rsidRPr="007C30F1" w:rsidRDefault="00821E2A" w:rsidP="007E074C">
            <w:pPr>
              <w:pStyle w:val="Tabletext"/>
              <w:jc w:val="center"/>
              <w:rPr>
                <w:i/>
                <w:iCs/>
                <w:color w:val="767171"/>
                <w:lang w:val="es-ES_tradnl"/>
              </w:rPr>
            </w:pPr>
            <w:r w:rsidRPr="007C30F1">
              <w:rPr>
                <w:lang w:val="es-ES_tradnl"/>
              </w:rPr>
              <w:t>911</w:t>
            </w:r>
          </w:p>
        </w:tc>
        <w:tc>
          <w:tcPr>
            <w:tcW w:w="1091" w:type="dxa"/>
            <w:vAlign w:val="center"/>
          </w:tcPr>
          <w:p w:rsidR="00821E2A" w:rsidRPr="007C30F1" w:rsidRDefault="00821E2A" w:rsidP="007E074C">
            <w:pPr>
              <w:pStyle w:val="Tabletext"/>
              <w:jc w:val="center"/>
              <w:rPr>
                <w:i/>
                <w:iCs/>
                <w:color w:val="767171"/>
                <w:lang w:val="es-ES_tradnl"/>
              </w:rPr>
            </w:pPr>
            <w:r w:rsidRPr="007C30F1">
              <w:rPr>
                <w:lang w:val="es-ES_tradnl"/>
              </w:rPr>
              <w:t>398</w:t>
            </w:r>
          </w:p>
        </w:tc>
        <w:tc>
          <w:tcPr>
            <w:tcW w:w="1092" w:type="dxa"/>
            <w:vAlign w:val="center"/>
          </w:tcPr>
          <w:p w:rsidR="00821E2A" w:rsidRPr="007C30F1" w:rsidRDefault="00821E2A" w:rsidP="007E074C">
            <w:pPr>
              <w:pStyle w:val="Tabletext"/>
              <w:jc w:val="center"/>
              <w:rPr>
                <w:lang w:val="es-ES_tradnl"/>
              </w:rPr>
            </w:pPr>
            <w:r w:rsidRPr="007C30F1">
              <w:rPr>
                <w:lang w:val="es-ES_tradnl"/>
              </w:rPr>
              <w:t>470</w:t>
            </w:r>
          </w:p>
        </w:tc>
        <w:tc>
          <w:tcPr>
            <w:tcW w:w="1092" w:type="dxa"/>
            <w:vAlign w:val="center"/>
          </w:tcPr>
          <w:p w:rsidR="00821E2A" w:rsidRPr="007C30F1" w:rsidRDefault="00821E2A" w:rsidP="007E074C">
            <w:pPr>
              <w:pStyle w:val="Tabletext"/>
              <w:jc w:val="center"/>
              <w:rPr>
                <w:lang w:val="es-ES_tradnl"/>
              </w:rPr>
            </w:pPr>
            <w:r w:rsidRPr="007C30F1">
              <w:rPr>
                <w:lang w:val="es-ES_tradnl"/>
              </w:rPr>
              <w:t>535</w:t>
            </w:r>
          </w:p>
        </w:tc>
      </w:tr>
      <w:tr w:rsidR="00821E2A" w:rsidRPr="007C30F1" w:rsidTr="00821E2A">
        <w:tc>
          <w:tcPr>
            <w:tcW w:w="10088" w:type="dxa"/>
            <w:vAlign w:val="center"/>
          </w:tcPr>
          <w:p w:rsidR="00821E2A" w:rsidRPr="007C30F1" w:rsidRDefault="00821E2A" w:rsidP="007E074C">
            <w:pPr>
              <w:pStyle w:val="Tabletext"/>
              <w:rPr>
                <w:b/>
                <w:bCs/>
                <w:noProof/>
                <w:color w:val="4F81BD" w:themeColor="accent1"/>
                <w:lang w:val="es-ES_tradnl" w:eastAsia="zh-CN"/>
              </w:rPr>
            </w:pPr>
            <w:r w:rsidRPr="007C30F1">
              <w:rPr>
                <w:b/>
                <w:bCs/>
                <w:color w:val="5B9BD5"/>
                <w:lang w:val="es-ES_tradnl"/>
              </w:rPr>
              <w:t>Total para el Objetivo R.3</w:t>
            </w:r>
          </w:p>
        </w:tc>
        <w:tc>
          <w:tcPr>
            <w:tcW w:w="1092" w:type="dxa"/>
            <w:vAlign w:val="center"/>
          </w:tcPr>
          <w:p w:rsidR="00821E2A" w:rsidRPr="007C30F1" w:rsidRDefault="00821E2A" w:rsidP="007E074C">
            <w:pPr>
              <w:pStyle w:val="Tabletext"/>
              <w:jc w:val="center"/>
              <w:rPr>
                <w:b/>
                <w:bCs/>
                <w:i/>
                <w:iCs/>
                <w:color w:val="767171"/>
                <w:lang w:val="es-ES_tradnl"/>
              </w:rPr>
            </w:pPr>
            <w:r w:rsidRPr="007C30F1">
              <w:rPr>
                <w:b/>
                <w:bCs/>
                <w:lang w:val="es-ES_tradnl"/>
              </w:rPr>
              <w:t>16 249</w:t>
            </w:r>
          </w:p>
        </w:tc>
        <w:tc>
          <w:tcPr>
            <w:tcW w:w="1091" w:type="dxa"/>
            <w:vAlign w:val="center"/>
          </w:tcPr>
          <w:p w:rsidR="00821E2A" w:rsidRPr="007C30F1" w:rsidRDefault="00821E2A" w:rsidP="007E074C">
            <w:pPr>
              <w:pStyle w:val="Tabletext"/>
              <w:jc w:val="center"/>
              <w:rPr>
                <w:b/>
                <w:bCs/>
                <w:i/>
                <w:iCs/>
                <w:color w:val="767171"/>
                <w:lang w:val="es-ES_tradnl"/>
              </w:rPr>
            </w:pPr>
            <w:r w:rsidRPr="007C30F1">
              <w:rPr>
                <w:b/>
                <w:bCs/>
                <w:lang w:val="es-ES_tradnl"/>
              </w:rPr>
              <w:t>13 749</w:t>
            </w:r>
          </w:p>
        </w:tc>
        <w:tc>
          <w:tcPr>
            <w:tcW w:w="1092" w:type="dxa"/>
            <w:vAlign w:val="center"/>
          </w:tcPr>
          <w:p w:rsidR="00821E2A" w:rsidRPr="007C30F1" w:rsidRDefault="00821E2A" w:rsidP="007E074C">
            <w:pPr>
              <w:pStyle w:val="Tabletext"/>
              <w:jc w:val="center"/>
              <w:rPr>
                <w:b/>
                <w:bCs/>
                <w:lang w:val="es-ES_tradnl"/>
              </w:rPr>
            </w:pPr>
            <w:r w:rsidRPr="007C30F1">
              <w:rPr>
                <w:b/>
                <w:bCs/>
                <w:lang w:val="es-ES_tradnl"/>
              </w:rPr>
              <w:t>15 697</w:t>
            </w:r>
          </w:p>
        </w:tc>
        <w:tc>
          <w:tcPr>
            <w:tcW w:w="1092" w:type="dxa"/>
            <w:vAlign w:val="center"/>
          </w:tcPr>
          <w:p w:rsidR="00821E2A" w:rsidRPr="007C30F1" w:rsidRDefault="00821E2A" w:rsidP="007E074C">
            <w:pPr>
              <w:pStyle w:val="Tabletext"/>
              <w:jc w:val="center"/>
              <w:rPr>
                <w:b/>
                <w:bCs/>
                <w:lang w:val="es-ES_tradnl"/>
              </w:rPr>
            </w:pPr>
            <w:r w:rsidRPr="007C30F1">
              <w:rPr>
                <w:b/>
                <w:bCs/>
                <w:lang w:val="es-ES_tradnl"/>
              </w:rPr>
              <w:t>15 751</w:t>
            </w:r>
          </w:p>
        </w:tc>
      </w:tr>
    </w:tbl>
    <w:p w:rsidR="00821E2A" w:rsidRPr="007C30F1" w:rsidRDefault="00821E2A" w:rsidP="007E074C">
      <w:pPr>
        <w:pStyle w:val="Heading1"/>
        <w:spacing w:line="240" w:lineRule="auto"/>
        <w:rPr>
          <w:color w:val="4F81BD" w:themeColor="accent1"/>
          <w:lang w:val="es-ES_tradnl"/>
        </w:rPr>
      </w:pPr>
      <w:r w:rsidRPr="007C30F1">
        <w:rPr>
          <w:color w:val="4F81BD" w:themeColor="accent1"/>
          <w:lang w:val="es-ES_tradnl"/>
        </w:rPr>
        <w:t>6</w:t>
      </w:r>
      <w:r w:rsidRPr="007C30F1">
        <w:rPr>
          <w:color w:val="4F81BD" w:themeColor="accent1"/>
          <w:lang w:val="es-ES_tradnl"/>
        </w:rPr>
        <w:tab/>
        <w:t>Ejecución del Plan Operacional</w:t>
      </w:r>
    </w:p>
    <w:p w:rsidR="00821E2A" w:rsidRPr="007C30F1" w:rsidRDefault="00821E2A" w:rsidP="007E074C">
      <w:pPr>
        <w:spacing w:line="240" w:lineRule="auto"/>
        <w:rPr>
          <w:lang w:val="es-ES_tradnl"/>
        </w:rPr>
      </w:pPr>
      <w:r w:rsidRPr="007C30F1">
        <w:rPr>
          <w:lang w:val="es-ES_tradnl"/>
        </w:rPr>
        <w:t>Los productos definidos en el presente Plan Operacional serán coordinados por los Departamentos competentes de la Oficina de Radiocomunicaciones, que, a su vez, llevarán a cabo las actividades de los planes de trabajo internos de la Oficina y de los propios Departamentos; las oficinas regionales participarán en la ejecución del presente Plan Operacional. La Oficina de Radiocomunicaciones y, especialmente, la Secretaría General prestarán los servicios de apoyo administrativo, de conformidad con los Acuerdos de Nivel de Servicio anuales predefinidos y acordados (para la provisión de servicios internos) por ambas partes. Los servicios de apoyo prestados por la Secretaría General vienen descritos en el Plan Operacional de la Secretaría General. La Dirección de la UIT planifica, supervisa y evalúa la entrega de productos y servicios de apoyo, con arreglo a los objetivos estipulados en el Plan Estratégico de la UIT. En el Informe anual sobre la aplicación del Plan Estratégico se dará cuenta de los progresos realizados en pro de la consecución de estos objetivos y de las metas generales. Con respecto a la gestión de riesgos, además del análisis de riesgos incluido en el presente Plan Operacional con objeto de que la Dirección lo examine periódicamente, cada Departamento/Oficina seguirá identificando, evaluando y gestionando sistemáticamente los riesgos asociados a la entrega de los productos y servicios de apoyo que le corresponden, de acuerdo con un método de gestión de riesgos a múltiples niveles.</w:t>
      </w:r>
    </w:p>
    <w:p w:rsidR="00821E2A" w:rsidRPr="007C30F1" w:rsidRDefault="00821E2A" w:rsidP="007E074C">
      <w:pPr>
        <w:spacing w:line="240" w:lineRule="auto"/>
        <w:rPr>
          <w:rFonts w:eastAsiaTheme="minorEastAsia"/>
          <w:sz w:val="22"/>
          <w:lang w:val="es-ES_tradnl" w:eastAsia="zh-CN"/>
        </w:rPr>
      </w:pPr>
      <w:r w:rsidRPr="007C30F1">
        <w:rPr>
          <w:lang w:val="es-ES_tradnl"/>
        </w:rPr>
        <w:br w:type="page"/>
      </w:r>
    </w:p>
    <w:p w:rsidR="00821E2A" w:rsidRPr="007C30F1" w:rsidRDefault="00821E2A" w:rsidP="007E074C">
      <w:pPr>
        <w:pStyle w:val="Annextitle"/>
      </w:pPr>
      <w:r w:rsidRPr="007C30F1">
        <w:lastRenderedPageBreak/>
        <w:t>Anexo 1: Atribución de recursos a los Objetivos intersectoriales y las Metas estratégicas de la UIT</w:t>
      </w:r>
    </w:p>
    <w:p w:rsidR="00821E2A" w:rsidRPr="007C30F1" w:rsidRDefault="00821E2A" w:rsidP="007E074C">
      <w:pPr>
        <w:spacing w:line="240" w:lineRule="auto"/>
        <w:ind w:right="103"/>
        <w:jc w:val="right"/>
        <w:rPr>
          <w:rFonts w:asciiTheme="minorHAnsi" w:hAnsiTheme="minorHAnsi"/>
          <w:lang w:val="es-ES_tradnl"/>
        </w:rPr>
      </w:pPr>
      <w:r w:rsidRPr="007C30F1">
        <w:rPr>
          <w:rFonts w:asciiTheme="minorHAnsi" w:hAnsiTheme="minorHAnsi"/>
          <w:color w:val="000000"/>
          <w:sz w:val="16"/>
          <w:szCs w:val="16"/>
          <w:lang w:val="es-ES_tradnl" w:eastAsia="zh-CN"/>
        </w:rPr>
        <w:t>en miles CHF</w:t>
      </w:r>
    </w:p>
    <w:tbl>
      <w:tblPr>
        <w:tblW w:w="15508" w:type="dxa"/>
        <w:jc w:val="center"/>
        <w:tblLayout w:type="fixed"/>
        <w:tblLook w:val="04A0" w:firstRow="1" w:lastRow="0" w:firstColumn="1" w:lastColumn="0" w:noHBand="0" w:noVBand="1"/>
      </w:tblPr>
      <w:tblGrid>
        <w:gridCol w:w="359"/>
        <w:gridCol w:w="1810"/>
        <w:gridCol w:w="724"/>
        <w:gridCol w:w="980"/>
        <w:gridCol w:w="980"/>
        <w:gridCol w:w="881"/>
        <w:gridCol w:w="296"/>
        <w:gridCol w:w="1107"/>
        <w:gridCol w:w="1176"/>
        <w:gridCol w:w="1244"/>
        <w:gridCol w:w="1068"/>
        <w:gridCol w:w="266"/>
        <w:gridCol w:w="1107"/>
        <w:gridCol w:w="1176"/>
        <w:gridCol w:w="1314"/>
        <w:gridCol w:w="1020"/>
      </w:tblGrid>
      <w:tr w:rsidR="00821E2A" w:rsidRPr="007C30F1" w:rsidTr="00821E2A">
        <w:trPr>
          <w:jc w:val="center"/>
        </w:trPr>
        <w:tc>
          <w:tcPr>
            <w:tcW w:w="216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821E2A" w:rsidRPr="007C30F1" w:rsidRDefault="00821E2A" w:rsidP="007E074C">
            <w:pPr>
              <w:pStyle w:val="Tablehead"/>
              <w:rPr>
                <w:sz w:val="18"/>
                <w:szCs w:val="18"/>
                <w:lang w:val="es-ES_tradnl" w:eastAsia="zh-CN"/>
              </w:rPr>
            </w:pPr>
            <w:r w:rsidRPr="007C30F1">
              <w:rPr>
                <w:sz w:val="18"/>
                <w:szCs w:val="18"/>
                <w:lang w:val="es-ES_tradnl" w:eastAsia="zh-CN"/>
              </w:rPr>
              <w:t>Objetivos estratégicos de la UIT para 2018</w:t>
            </w:r>
          </w:p>
        </w:tc>
        <w:tc>
          <w:tcPr>
            <w:tcW w:w="72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821E2A" w:rsidRPr="007C30F1" w:rsidRDefault="00821E2A" w:rsidP="007E074C">
            <w:pPr>
              <w:pStyle w:val="Tablehead"/>
              <w:rPr>
                <w:sz w:val="18"/>
                <w:szCs w:val="18"/>
                <w:lang w:val="es-ES_tradnl" w:eastAsia="zh-CN"/>
              </w:rPr>
            </w:pPr>
            <w:r w:rsidRPr="007C30F1">
              <w:rPr>
                <w:sz w:val="18"/>
                <w:szCs w:val="18"/>
                <w:lang w:val="es-ES_tradnl" w:eastAsia="zh-CN"/>
              </w:rPr>
              <w:t>Coste total</w:t>
            </w:r>
          </w:p>
        </w:tc>
        <w:tc>
          <w:tcPr>
            <w:tcW w:w="98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821E2A" w:rsidRPr="007C30F1" w:rsidRDefault="00821E2A" w:rsidP="007E074C">
            <w:pPr>
              <w:pStyle w:val="Tablehead"/>
              <w:ind w:left="-57" w:right="-57"/>
              <w:rPr>
                <w:sz w:val="18"/>
                <w:szCs w:val="18"/>
                <w:lang w:val="es-ES_tradnl" w:eastAsia="zh-CN"/>
              </w:rPr>
            </w:pPr>
            <w:r w:rsidRPr="007C30F1">
              <w:rPr>
                <w:sz w:val="18"/>
                <w:szCs w:val="18"/>
                <w:lang w:val="es-ES_tradnl" w:eastAsia="zh-CN"/>
              </w:rPr>
              <w:t>Coste de la BR/coste directo</w:t>
            </w:r>
          </w:p>
        </w:tc>
        <w:tc>
          <w:tcPr>
            <w:tcW w:w="980" w:type="dxa"/>
            <w:vMerge w:val="restart"/>
            <w:tcBorders>
              <w:top w:val="single" w:sz="4" w:space="0" w:color="auto"/>
              <w:left w:val="single" w:sz="4" w:space="0" w:color="auto"/>
              <w:right w:val="single" w:sz="4" w:space="0" w:color="auto"/>
            </w:tcBorders>
            <w:shd w:val="clear" w:color="000000" w:fill="BDD7EE"/>
            <w:vAlign w:val="center"/>
          </w:tcPr>
          <w:p w:rsidR="00821E2A" w:rsidRPr="007C30F1" w:rsidRDefault="00821E2A" w:rsidP="007E074C">
            <w:pPr>
              <w:pStyle w:val="Tablehead"/>
              <w:ind w:left="-57" w:right="-57"/>
              <w:rPr>
                <w:sz w:val="18"/>
                <w:szCs w:val="18"/>
                <w:lang w:val="es-ES_tradnl" w:eastAsia="zh-CN"/>
              </w:rPr>
            </w:pPr>
            <w:r w:rsidRPr="007C30F1">
              <w:rPr>
                <w:sz w:val="18"/>
                <w:szCs w:val="18"/>
                <w:lang w:val="es-ES_tradnl" w:eastAsia="zh-CN"/>
              </w:rPr>
              <w:t>Coste reasignado de la SG</w:t>
            </w:r>
          </w:p>
        </w:tc>
        <w:tc>
          <w:tcPr>
            <w:tcW w:w="88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821E2A" w:rsidRPr="007C30F1" w:rsidRDefault="00821E2A" w:rsidP="007E074C">
            <w:pPr>
              <w:pStyle w:val="Tablehead"/>
              <w:ind w:left="-57" w:right="-57"/>
              <w:rPr>
                <w:sz w:val="18"/>
                <w:szCs w:val="18"/>
                <w:lang w:val="es-ES_tradnl" w:eastAsia="zh-CN"/>
              </w:rPr>
            </w:pPr>
            <w:r w:rsidRPr="007C30F1">
              <w:rPr>
                <w:sz w:val="18"/>
                <w:szCs w:val="18"/>
                <w:lang w:val="es-ES_tradnl" w:eastAsia="zh-CN"/>
              </w:rPr>
              <w:t>Coste asignado por la TSB/BDT</w:t>
            </w:r>
          </w:p>
        </w:tc>
        <w:tc>
          <w:tcPr>
            <w:tcW w:w="296" w:type="dxa"/>
            <w:tcBorders>
              <w:top w:val="nil"/>
              <w:left w:val="nil"/>
              <w:bottom w:val="nil"/>
              <w:right w:val="nil"/>
            </w:tcBorders>
            <w:shd w:val="clear" w:color="000000" w:fill="FFFFFF"/>
            <w:noWrap/>
            <w:vAlign w:val="bottom"/>
            <w:hideMark/>
          </w:tcPr>
          <w:p w:rsidR="00821E2A" w:rsidRPr="007C30F1" w:rsidRDefault="00821E2A" w:rsidP="007E074C">
            <w:pPr>
              <w:keepNext/>
              <w:tabs>
                <w:tab w:val="left" w:pos="284"/>
                <w:tab w:val="left" w:pos="851"/>
                <w:tab w:val="left" w:pos="1418"/>
                <w:tab w:val="left" w:pos="2552"/>
                <w:tab w:val="left" w:pos="3119"/>
                <w:tab w:val="left" w:pos="3402"/>
                <w:tab w:val="left" w:pos="3686"/>
                <w:tab w:val="left" w:pos="3969"/>
              </w:tabs>
              <w:spacing w:before="80" w:after="80" w:line="240" w:lineRule="auto"/>
              <w:jc w:val="center"/>
              <w:rPr>
                <w:rFonts w:asciiTheme="minorHAnsi" w:hAnsiTheme="minorHAnsi"/>
                <w:b/>
                <w:sz w:val="18"/>
                <w:szCs w:val="18"/>
                <w:lang w:val="es-ES_tradnl" w:eastAsia="zh-CN"/>
              </w:rPr>
            </w:pPr>
            <w:r w:rsidRPr="007C30F1">
              <w:rPr>
                <w:rFonts w:asciiTheme="minorHAnsi" w:hAnsiTheme="minorHAnsi"/>
                <w:b/>
                <w:sz w:val="18"/>
                <w:szCs w:val="18"/>
                <w:lang w:val="es-ES_tradnl" w:eastAsia="zh-CN"/>
              </w:rPr>
              <w:t> </w:t>
            </w:r>
          </w:p>
        </w:tc>
        <w:tc>
          <w:tcPr>
            <w:tcW w:w="1107" w:type="dxa"/>
            <w:vMerge w:val="restart"/>
            <w:tcBorders>
              <w:top w:val="single" w:sz="4" w:space="0" w:color="auto"/>
              <w:left w:val="single" w:sz="4" w:space="0" w:color="auto"/>
              <w:right w:val="single" w:sz="4" w:space="0" w:color="auto"/>
            </w:tcBorders>
            <w:shd w:val="clear" w:color="000000" w:fill="BDD7EE"/>
            <w:noWrap/>
            <w:vAlign w:val="center"/>
            <w:hideMark/>
          </w:tcPr>
          <w:p w:rsidR="00821E2A" w:rsidRPr="007C30F1" w:rsidRDefault="00821E2A" w:rsidP="007E074C">
            <w:pPr>
              <w:pStyle w:val="Tablehead"/>
              <w:rPr>
                <w:sz w:val="18"/>
                <w:szCs w:val="18"/>
                <w:lang w:val="es-ES_tradnl" w:eastAsia="zh-CN"/>
              </w:rPr>
            </w:pPr>
            <w:r w:rsidRPr="007C30F1">
              <w:rPr>
                <w:sz w:val="18"/>
                <w:szCs w:val="18"/>
                <w:lang w:val="es-ES_tradnl" w:eastAsia="zh-CN"/>
              </w:rPr>
              <w:t>Meta 1</w:t>
            </w:r>
          </w:p>
          <w:p w:rsidR="00821E2A" w:rsidRPr="007C30F1" w:rsidRDefault="00821E2A" w:rsidP="007E074C">
            <w:pPr>
              <w:pStyle w:val="Tablehead"/>
              <w:rPr>
                <w:b w:val="0"/>
                <w:bCs/>
                <w:sz w:val="18"/>
                <w:szCs w:val="18"/>
                <w:lang w:val="es-ES_tradnl" w:eastAsia="zh-CN"/>
              </w:rPr>
            </w:pPr>
            <w:r w:rsidRPr="007C30F1">
              <w:rPr>
                <w:b w:val="0"/>
                <w:bCs/>
                <w:sz w:val="18"/>
                <w:szCs w:val="18"/>
                <w:lang w:val="es-ES_tradnl" w:eastAsia="zh-CN"/>
              </w:rPr>
              <w:t>Crecimiento</w:t>
            </w:r>
          </w:p>
        </w:tc>
        <w:tc>
          <w:tcPr>
            <w:tcW w:w="1176" w:type="dxa"/>
            <w:vMerge w:val="restart"/>
            <w:tcBorders>
              <w:top w:val="single" w:sz="4" w:space="0" w:color="auto"/>
              <w:left w:val="nil"/>
              <w:right w:val="single" w:sz="4" w:space="0" w:color="auto"/>
            </w:tcBorders>
            <w:shd w:val="clear" w:color="000000" w:fill="BDD7EE"/>
            <w:noWrap/>
            <w:vAlign w:val="center"/>
            <w:hideMark/>
          </w:tcPr>
          <w:p w:rsidR="00821E2A" w:rsidRPr="007C30F1" w:rsidRDefault="00821E2A" w:rsidP="007E074C">
            <w:pPr>
              <w:pStyle w:val="Tablehead"/>
              <w:rPr>
                <w:sz w:val="18"/>
                <w:szCs w:val="18"/>
                <w:lang w:val="es-ES_tradnl" w:eastAsia="zh-CN"/>
              </w:rPr>
            </w:pPr>
            <w:r w:rsidRPr="007C30F1">
              <w:rPr>
                <w:sz w:val="18"/>
                <w:szCs w:val="18"/>
                <w:lang w:val="es-ES_tradnl" w:eastAsia="zh-CN"/>
              </w:rPr>
              <w:t>Meta 2</w:t>
            </w:r>
          </w:p>
          <w:p w:rsidR="00821E2A" w:rsidRPr="007C30F1" w:rsidRDefault="00821E2A" w:rsidP="007E074C">
            <w:pPr>
              <w:pStyle w:val="Tablehead"/>
              <w:rPr>
                <w:b w:val="0"/>
                <w:bCs/>
                <w:sz w:val="18"/>
                <w:szCs w:val="18"/>
                <w:lang w:val="es-ES_tradnl" w:eastAsia="zh-CN"/>
              </w:rPr>
            </w:pPr>
            <w:r w:rsidRPr="007C30F1">
              <w:rPr>
                <w:b w:val="0"/>
                <w:bCs/>
                <w:sz w:val="18"/>
                <w:szCs w:val="18"/>
                <w:lang w:val="es-ES_tradnl" w:eastAsia="zh-CN"/>
              </w:rPr>
              <w:t>Integración</w:t>
            </w:r>
          </w:p>
        </w:tc>
        <w:tc>
          <w:tcPr>
            <w:tcW w:w="1244" w:type="dxa"/>
            <w:vMerge w:val="restart"/>
            <w:tcBorders>
              <w:top w:val="single" w:sz="4" w:space="0" w:color="auto"/>
              <w:left w:val="nil"/>
              <w:right w:val="nil"/>
            </w:tcBorders>
            <w:shd w:val="clear" w:color="000000" w:fill="BDD7EE"/>
            <w:noWrap/>
            <w:vAlign w:val="center"/>
            <w:hideMark/>
          </w:tcPr>
          <w:p w:rsidR="00821E2A" w:rsidRPr="007C30F1" w:rsidRDefault="00821E2A" w:rsidP="007E074C">
            <w:pPr>
              <w:pStyle w:val="Tablehead"/>
              <w:rPr>
                <w:sz w:val="18"/>
                <w:szCs w:val="18"/>
                <w:lang w:val="es-ES_tradnl" w:eastAsia="zh-CN"/>
              </w:rPr>
            </w:pPr>
            <w:r w:rsidRPr="007C30F1">
              <w:rPr>
                <w:sz w:val="18"/>
                <w:szCs w:val="18"/>
                <w:lang w:val="es-ES_tradnl" w:eastAsia="zh-CN"/>
              </w:rPr>
              <w:t>Meta 3</w:t>
            </w:r>
          </w:p>
          <w:p w:rsidR="00821E2A" w:rsidRPr="007C30F1" w:rsidRDefault="00821E2A" w:rsidP="007E074C">
            <w:pPr>
              <w:pStyle w:val="Tablehead"/>
              <w:ind w:left="-57" w:right="-57"/>
              <w:rPr>
                <w:b w:val="0"/>
                <w:bCs/>
                <w:sz w:val="18"/>
                <w:szCs w:val="18"/>
                <w:lang w:val="es-ES_tradnl" w:eastAsia="zh-CN"/>
              </w:rPr>
            </w:pPr>
            <w:r w:rsidRPr="007C30F1">
              <w:rPr>
                <w:b w:val="0"/>
                <w:bCs/>
                <w:sz w:val="18"/>
                <w:szCs w:val="18"/>
                <w:lang w:val="es-ES_tradnl" w:eastAsia="zh-CN"/>
              </w:rPr>
              <w:t>Sostenibilidad</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821E2A" w:rsidRPr="007C30F1" w:rsidRDefault="00821E2A" w:rsidP="007E074C">
            <w:pPr>
              <w:pStyle w:val="Tablehead"/>
              <w:rPr>
                <w:sz w:val="18"/>
                <w:szCs w:val="18"/>
                <w:lang w:val="es-ES_tradnl" w:eastAsia="zh-CN"/>
              </w:rPr>
            </w:pPr>
            <w:r w:rsidRPr="007C30F1">
              <w:rPr>
                <w:sz w:val="18"/>
                <w:szCs w:val="18"/>
                <w:lang w:val="es-ES_tradnl" w:eastAsia="zh-CN"/>
              </w:rPr>
              <w:t>Meta 4</w:t>
            </w:r>
          </w:p>
          <w:p w:rsidR="00821E2A" w:rsidRPr="007C30F1" w:rsidRDefault="00821E2A" w:rsidP="007E074C">
            <w:pPr>
              <w:pStyle w:val="Tablehead"/>
              <w:ind w:left="-57" w:right="-57"/>
              <w:rPr>
                <w:b w:val="0"/>
                <w:bCs/>
                <w:sz w:val="18"/>
                <w:szCs w:val="18"/>
                <w:lang w:val="es-ES_tradnl" w:eastAsia="zh-CN"/>
              </w:rPr>
            </w:pPr>
            <w:r w:rsidRPr="007C30F1">
              <w:rPr>
                <w:b w:val="0"/>
                <w:bCs/>
                <w:sz w:val="18"/>
                <w:szCs w:val="18"/>
                <w:lang w:val="es-ES_tradnl" w:eastAsia="zh-CN"/>
              </w:rPr>
              <w:t>Innovación y asociación</w:t>
            </w:r>
          </w:p>
        </w:tc>
        <w:tc>
          <w:tcPr>
            <w:tcW w:w="266" w:type="dxa"/>
            <w:tcBorders>
              <w:top w:val="nil"/>
              <w:left w:val="nil"/>
              <w:bottom w:val="nil"/>
              <w:right w:val="nil"/>
            </w:tcBorders>
            <w:shd w:val="clear" w:color="000000" w:fill="FFFFFF"/>
            <w:noWrap/>
            <w:vAlign w:val="bottom"/>
            <w:hideMark/>
          </w:tcPr>
          <w:p w:rsidR="00821E2A" w:rsidRPr="007C30F1" w:rsidRDefault="00821E2A" w:rsidP="007E074C">
            <w:pPr>
              <w:keepNext/>
              <w:tabs>
                <w:tab w:val="left" w:pos="284"/>
                <w:tab w:val="left" w:pos="851"/>
                <w:tab w:val="left" w:pos="1418"/>
                <w:tab w:val="left" w:pos="2552"/>
                <w:tab w:val="left" w:pos="3119"/>
                <w:tab w:val="left" w:pos="3402"/>
                <w:tab w:val="left" w:pos="3686"/>
                <w:tab w:val="left" w:pos="3969"/>
              </w:tabs>
              <w:spacing w:before="80" w:after="80" w:line="240" w:lineRule="auto"/>
              <w:jc w:val="center"/>
              <w:rPr>
                <w:rFonts w:asciiTheme="minorHAnsi" w:hAnsiTheme="minorHAnsi"/>
                <w:b/>
                <w:sz w:val="18"/>
                <w:szCs w:val="18"/>
                <w:lang w:val="es-ES_tradnl" w:eastAsia="zh-CN"/>
              </w:rPr>
            </w:pPr>
            <w:r w:rsidRPr="007C30F1">
              <w:rPr>
                <w:rFonts w:asciiTheme="minorHAnsi" w:hAnsiTheme="minorHAnsi"/>
                <w:b/>
                <w:sz w:val="18"/>
                <w:szCs w:val="18"/>
                <w:lang w:val="es-ES_tradnl" w:eastAsia="zh-CN"/>
              </w:rPr>
              <w:t> </w:t>
            </w:r>
          </w:p>
        </w:tc>
        <w:tc>
          <w:tcPr>
            <w:tcW w:w="1107" w:type="dxa"/>
            <w:vMerge w:val="restart"/>
            <w:tcBorders>
              <w:top w:val="single" w:sz="4" w:space="0" w:color="auto"/>
              <w:left w:val="double" w:sz="6" w:space="0" w:color="auto"/>
              <w:right w:val="single" w:sz="4" w:space="0" w:color="auto"/>
            </w:tcBorders>
            <w:shd w:val="clear" w:color="000000" w:fill="BDD7EE"/>
            <w:noWrap/>
            <w:vAlign w:val="center"/>
            <w:hideMark/>
          </w:tcPr>
          <w:p w:rsidR="00821E2A" w:rsidRPr="007C30F1" w:rsidRDefault="00821E2A" w:rsidP="007E074C">
            <w:pPr>
              <w:pStyle w:val="Tablehead"/>
              <w:rPr>
                <w:sz w:val="18"/>
                <w:szCs w:val="18"/>
                <w:lang w:val="es-ES_tradnl" w:eastAsia="zh-CN"/>
              </w:rPr>
            </w:pPr>
            <w:r w:rsidRPr="007C30F1">
              <w:rPr>
                <w:sz w:val="18"/>
                <w:szCs w:val="18"/>
                <w:lang w:val="es-ES_tradnl" w:eastAsia="zh-CN"/>
              </w:rPr>
              <w:t>Meta 1</w:t>
            </w:r>
          </w:p>
          <w:p w:rsidR="00821E2A" w:rsidRPr="007C30F1" w:rsidRDefault="00821E2A" w:rsidP="007E074C">
            <w:pPr>
              <w:pStyle w:val="Tablehead"/>
              <w:rPr>
                <w:b w:val="0"/>
                <w:bCs/>
                <w:sz w:val="18"/>
                <w:szCs w:val="18"/>
                <w:lang w:val="es-ES_tradnl" w:eastAsia="zh-CN"/>
              </w:rPr>
            </w:pPr>
            <w:r w:rsidRPr="007C30F1">
              <w:rPr>
                <w:b w:val="0"/>
                <w:bCs/>
                <w:sz w:val="18"/>
                <w:szCs w:val="18"/>
                <w:lang w:val="es-ES_tradnl" w:eastAsia="zh-CN"/>
              </w:rPr>
              <w:t>Crecimiento</w:t>
            </w:r>
          </w:p>
        </w:tc>
        <w:tc>
          <w:tcPr>
            <w:tcW w:w="1176" w:type="dxa"/>
            <w:vMerge w:val="restart"/>
            <w:tcBorders>
              <w:top w:val="single" w:sz="4" w:space="0" w:color="auto"/>
              <w:left w:val="nil"/>
              <w:right w:val="single" w:sz="4" w:space="0" w:color="auto"/>
            </w:tcBorders>
            <w:shd w:val="clear" w:color="000000" w:fill="BDD7EE"/>
            <w:noWrap/>
            <w:vAlign w:val="center"/>
            <w:hideMark/>
          </w:tcPr>
          <w:p w:rsidR="00821E2A" w:rsidRPr="007C30F1" w:rsidRDefault="00821E2A" w:rsidP="007E074C">
            <w:pPr>
              <w:pStyle w:val="Tablehead"/>
              <w:rPr>
                <w:sz w:val="18"/>
                <w:szCs w:val="18"/>
                <w:lang w:val="es-ES_tradnl" w:eastAsia="zh-CN"/>
              </w:rPr>
            </w:pPr>
            <w:r w:rsidRPr="007C30F1">
              <w:rPr>
                <w:sz w:val="18"/>
                <w:szCs w:val="18"/>
                <w:lang w:val="es-ES_tradnl" w:eastAsia="zh-CN"/>
              </w:rPr>
              <w:t>Meta 2</w:t>
            </w:r>
          </w:p>
          <w:p w:rsidR="00821E2A" w:rsidRPr="007C30F1" w:rsidRDefault="00821E2A" w:rsidP="007E074C">
            <w:pPr>
              <w:pStyle w:val="Tablehead"/>
              <w:rPr>
                <w:b w:val="0"/>
                <w:bCs/>
                <w:sz w:val="18"/>
                <w:szCs w:val="18"/>
                <w:lang w:val="es-ES_tradnl" w:eastAsia="zh-CN"/>
              </w:rPr>
            </w:pPr>
            <w:r w:rsidRPr="007C30F1">
              <w:rPr>
                <w:b w:val="0"/>
                <w:bCs/>
                <w:sz w:val="18"/>
                <w:szCs w:val="18"/>
                <w:lang w:val="es-ES_tradnl" w:eastAsia="zh-CN"/>
              </w:rPr>
              <w:t>Integración</w:t>
            </w:r>
          </w:p>
        </w:tc>
        <w:tc>
          <w:tcPr>
            <w:tcW w:w="1314" w:type="dxa"/>
            <w:vMerge w:val="restart"/>
            <w:tcBorders>
              <w:top w:val="single" w:sz="4" w:space="0" w:color="auto"/>
              <w:left w:val="nil"/>
              <w:right w:val="nil"/>
            </w:tcBorders>
            <w:shd w:val="clear" w:color="000000" w:fill="BDD7EE"/>
            <w:noWrap/>
            <w:vAlign w:val="center"/>
            <w:hideMark/>
          </w:tcPr>
          <w:p w:rsidR="00821E2A" w:rsidRPr="007C30F1" w:rsidRDefault="00821E2A" w:rsidP="007E074C">
            <w:pPr>
              <w:pStyle w:val="Tablehead"/>
              <w:rPr>
                <w:sz w:val="18"/>
                <w:szCs w:val="18"/>
                <w:lang w:val="es-ES_tradnl" w:eastAsia="zh-CN"/>
              </w:rPr>
            </w:pPr>
            <w:r w:rsidRPr="007C30F1">
              <w:rPr>
                <w:sz w:val="18"/>
                <w:szCs w:val="18"/>
                <w:lang w:val="es-ES_tradnl" w:eastAsia="zh-CN"/>
              </w:rPr>
              <w:t>Meta 3</w:t>
            </w:r>
          </w:p>
          <w:p w:rsidR="00821E2A" w:rsidRPr="007C30F1" w:rsidRDefault="00821E2A" w:rsidP="007E074C">
            <w:pPr>
              <w:pStyle w:val="Tablehead"/>
              <w:rPr>
                <w:b w:val="0"/>
                <w:bCs/>
                <w:sz w:val="18"/>
                <w:szCs w:val="18"/>
                <w:lang w:val="es-ES_tradnl" w:eastAsia="zh-CN"/>
              </w:rPr>
            </w:pPr>
            <w:r w:rsidRPr="007C30F1">
              <w:rPr>
                <w:b w:val="0"/>
                <w:bCs/>
                <w:sz w:val="18"/>
                <w:szCs w:val="18"/>
                <w:lang w:val="es-ES_tradnl" w:eastAsia="zh-CN"/>
              </w:rPr>
              <w:t>Sostenibilidad</w:t>
            </w:r>
          </w:p>
        </w:tc>
        <w:tc>
          <w:tcPr>
            <w:tcW w:w="1020" w:type="dxa"/>
            <w:vMerge w:val="restart"/>
            <w:tcBorders>
              <w:top w:val="single" w:sz="4" w:space="0" w:color="auto"/>
              <w:left w:val="single" w:sz="4" w:space="0" w:color="auto"/>
              <w:right w:val="single" w:sz="4" w:space="0" w:color="auto"/>
            </w:tcBorders>
            <w:shd w:val="clear" w:color="000000" w:fill="BDD7EE"/>
            <w:noWrap/>
            <w:vAlign w:val="center"/>
            <w:hideMark/>
          </w:tcPr>
          <w:p w:rsidR="00821E2A" w:rsidRPr="007C30F1" w:rsidRDefault="00821E2A" w:rsidP="007E074C">
            <w:pPr>
              <w:pStyle w:val="Tablehead"/>
              <w:rPr>
                <w:sz w:val="18"/>
                <w:szCs w:val="18"/>
                <w:lang w:val="es-ES_tradnl" w:eastAsia="zh-CN"/>
              </w:rPr>
            </w:pPr>
            <w:r w:rsidRPr="007C30F1">
              <w:rPr>
                <w:sz w:val="18"/>
                <w:szCs w:val="18"/>
                <w:lang w:val="es-ES_tradnl" w:eastAsia="zh-CN"/>
              </w:rPr>
              <w:t>Meta 4</w:t>
            </w:r>
          </w:p>
          <w:p w:rsidR="00821E2A" w:rsidRPr="007C30F1" w:rsidRDefault="00821E2A" w:rsidP="007E074C">
            <w:pPr>
              <w:pStyle w:val="Tablehead"/>
              <w:ind w:left="-57" w:right="-57"/>
              <w:rPr>
                <w:b w:val="0"/>
                <w:bCs/>
                <w:sz w:val="18"/>
                <w:szCs w:val="18"/>
                <w:lang w:val="es-ES_tradnl" w:eastAsia="zh-CN"/>
              </w:rPr>
            </w:pPr>
            <w:r w:rsidRPr="007C30F1">
              <w:rPr>
                <w:b w:val="0"/>
                <w:bCs/>
                <w:sz w:val="18"/>
                <w:szCs w:val="18"/>
                <w:lang w:val="es-ES_tradnl" w:eastAsia="zh-CN"/>
              </w:rPr>
              <w:t>Innovación y asociación</w:t>
            </w:r>
          </w:p>
        </w:tc>
      </w:tr>
      <w:tr w:rsidR="00821E2A" w:rsidRPr="007C30F1" w:rsidTr="00821E2A">
        <w:trPr>
          <w:jc w:val="center"/>
        </w:trPr>
        <w:tc>
          <w:tcPr>
            <w:tcW w:w="2169" w:type="dxa"/>
            <w:gridSpan w:val="2"/>
            <w:vMerge/>
            <w:tcBorders>
              <w:top w:val="single" w:sz="4" w:space="0" w:color="auto"/>
              <w:left w:val="single" w:sz="4" w:space="0" w:color="auto"/>
              <w:bottom w:val="single" w:sz="4" w:space="0" w:color="000000"/>
              <w:right w:val="single" w:sz="4" w:space="0" w:color="000000"/>
            </w:tcBorders>
            <w:vAlign w:val="center"/>
            <w:hideMark/>
          </w:tcPr>
          <w:p w:rsidR="00821E2A" w:rsidRPr="007C30F1" w:rsidRDefault="00821E2A" w:rsidP="007E074C">
            <w:pPr>
              <w:spacing w:line="240" w:lineRule="auto"/>
              <w:rPr>
                <w:rFonts w:asciiTheme="minorHAnsi" w:hAnsiTheme="minorHAnsi"/>
                <w:b/>
                <w:bCs/>
                <w:color w:val="000000"/>
                <w:sz w:val="18"/>
                <w:szCs w:val="18"/>
                <w:lang w:val="es-ES_tradnl" w:eastAsia="zh-CN"/>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rsidR="00821E2A" w:rsidRPr="007C30F1" w:rsidRDefault="00821E2A" w:rsidP="007E074C">
            <w:pPr>
              <w:spacing w:line="240" w:lineRule="auto"/>
              <w:rPr>
                <w:rFonts w:asciiTheme="minorHAnsi" w:hAnsiTheme="minorHAnsi"/>
                <w:b/>
                <w:bCs/>
                <w:color w:val="000000"/>
                <w:sz w:val="18"/>
                <w:szCs w:val="18"/>
                <w:lang w:val="es-ES_tradnl" w:eastAsia="zh-CN"/>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821E2A" w:rsidRPr="007C30F1" w:rsidRDefault="00821E2A" w:rsidP="007E074C">
            <w:pPr>
              <w:spacing w:line="240" w:lineRule="auto"/>
              <w:rPr>
                <w:rFonts w:asciiTheme="minorHAnsi" w:hAnsiTheme="minorHAnsi"/>
                <w:b/>
                <w:bCs/>
                <w:color w:val="000000"/>
                <w:sz w:val="18"/>
                <w:szCs w:val="18"/>
                <w:lang w:val="es-ES_tradnl" w:eastAsia="zh-CN"/>
              </w:rPr>
            </w:pPr>
          </w:p>
        </w:tc>
        <w:tc>
          <w:tcPr>
            <w:tcW w:w="980" w:type="dxa"/>
            <w:vMerge/>
            <w:tcBorders>
              <w:left w:val="single" w:sz="4" w:space="0" w:color="auto"/>
              <w:bottom w:val="single" w:sz="4" w:space="0" w:color="000000"/>
              <w:right w:val="single" w:sz="4" w:space="0" w:color="auto"/>
            </w:tcBorders>
            <w:vAlign w:val="center"/>
          </w:tcPr>
          <w:p w:rsidR="00821E2A" w:rsidRPr="007C30F1" w:rsidRDefault="00821E2A" w:rsidP="007E074C">
            <w:pPr>
              <w:spacing w:line="240" w:lineRule="auto"/>
              <w:rPr>
                <w:rFonts w:asciiTheme="minorHAnsi" w:hAnsiTheme="minorHAnsi"/>
                <w:b/>
                <w:bCs/>
                <w:color w:val="000000"/>
                <w:sz w:val="18"/>
                <w:szCs w:val="18"/>
                <w:lang w:val="es-ES_tradnl" w:eastAsia="zh-CN"/>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821E2A" w:rsidRPr="007C30F1" w:rsidRDefault="00821E2A" w:rsidP="007E074C">
            <w:pPr>
              <w:spacing w:line="240" w:lineRule="auto"/>
              <w:rPr>
                <w:rFonts w:asciiTheme="minorHAnsi" w:hAnsiTheme="minorHAnsi"/>
                <w:b/>
                <w:bCs/>
                <w:color w:val="000000"/>
                <w:sz w:val="18"/>
                <w:szCs w:val="18"/>
                <w:lang w:val="es-ES_tradnl" w:eastAsia="zh-CN"/>
              </w:rPr>
            </w:pPr>
          </w:p>
        </w:tc>
        <w:tc>
          <w:tcPr>
            <w:tcW w:w="296" w:type="dxa"/>
            <w:tcBorders>
              <w:top w:val="nil"/>
              <w:left w:val="nil"/>
              <w:bottom w:val="nil"/>
              <w:right w:val="nil"/>
            </w:tcBorders>
            <w:shd w:val="clear" w:color="000000" w:fill="FFFFFF"/>
            <w:noWrap/>
            <w:vAlign w:val="bottom"/>
            <w:hideMark/>
          </w:tcPr>
          <w:p w:rsidR="00821E2A" w:rsidRPr="007C30F1" w:rsidRDefault="00821E2A" w:rsidP="007E074C">
            <w:pPr>
              <w:spacing w:line="240" w:lineRule="auto"/>
              <w:rPr>
                <w:rFonts w:asciiTheme="minorHAnsi" w:hAnsiTheme="minorHAnsi"/>
                <w:color w:val="000000"/>
                <w:sz w:val="18"/>
                <w:szCs w:val="18"/>
                <w:lang w:val="es-ES_tradnl" w:eastAsia="zh-CN"/>
              </w:rPr>
            </w:pPr>
            <w:r w:rsidRPr="007C30F1">
              <w:rPr>
                <w:rFonts w:asciiTheme="minorHAnsi" w:hAnsiTheme="minorHAnsi"/>
                <w:color w:val="000000"/>
                <w:sz w:val="18"/>
                <w:szCs w:val="18"/>
                <w:lang w:val="es-ES_tradnl" w:eastAsia="zh-CN"/>
              </w:rPr>
              <w:t> </w:t>
            </w:r>
          </w:p>
        </w:tc>
        <w:tc>
          <w:tcPr>
            <w:tcW w:w="1107" w:type="dxa"/>
            <w:vMerge/>
            <w:tcBorders>
              <w:left w:val="single" w:sz="4" w:space="0" w:color="auto"/>
              <w:bottom w:val="single" w:sz="4" w:space="0" w:color="auto"/>
              <w:right w:val="single" w:sz="4" w:space="0" w:color="auto"/>
            </w:tcBorders>
            <w:shd w:val="clear" w:color="000000" w:fill="BDD7EE"/>
            <w:noWrap/>
            <w:vAlign w:val="bottom"/>
            <w:hideMark/>
          </w:tcPr>
          <w:p w:rsidR="00821E2A" w:rsidRPr="007C30F1" w:rsidRDefault="00821E2A" w:rsidP="007E074C">
            <w:pPr>
              <w:spacing w:line="240" w:lineRule="auto"/>
              <w:rPr>
                <w:rFonts w:asciiTheme="minorHAnsi" w:hAnsiTheme="minorHAnsi"/>
                <w:color w:val="000000"/>
                <w:sz w:val="18"/>
                <w:szCs w:val="18"/>
                <w:lang w:val="es-ES_tradnl" w:eastAsia="zh-CN"/>
              </w:rPr>
            </w:pPr>
          </w:p>
        </w:tc>
        <w:tc>
          <w:tcPr>
            <w:tcW w:w="1176" w:type="dxa"/>
            <w:vMerge/>
            <w:tcBorders>
              <w:left w:val="nil"/>
              <w:bottom w:val="nil"/>
              <w:right w:val="single" w:sz="4" w:space="0" w:color="auto"/>
            </w:tcBorders>
            <w:shd w:val="clear" w:color="000000" w:fill="BDD7EE"/>
            <w:noWrap/>
            <w:vAlign w:val="center"/>
            <w:hideMark/>
          </w:tcPr>
          <w:p w:rsidR="00821E2A" w:rsidRPr="007C30F1" w:rsidRDefault="00821E2A" w:rsidP="007E074C">
            <w:pPr>
              <w:spacing w:line="240" w:lineRule="auto"/>
              <w:jc w:val="center"/>
              <w:rPr>
                <w:rFonts w:asciiTheme="minorHAnsi" w:hAnsiTheme="minorHAnsi"/>
                <w:color w:val="000000"/>
                <w:sz w:val="18"/>
                <w:szCs w:val="18"/>
                <w:lang w:val="es-ES_tradnl" w:eastAsia="zh-CN"/>
              </w:rPr>
            </w:pPr>
          </w:p>
        </w:tc>
        <w:tc>
          <w:tcPr>
            <w:tcW w:w="1244" w:type="dxa"/>
            <w:vMerge/>
            <w:tcBorders>
              <w:left w:val="nil"/>
              <w:bottom w:val="nil"/>
              <w:right w:val="nil"/>
            </w:tcBorders>
            <w:shd w:val="clear" w:color="000000" w:fill="BDD7EE"/>
            <w:noWrap/>
            <w:vAlign w:val="center"/>
            <w:hideMark/>
          </w:tcPr>
          <w:p w:rsidR="00821E2A" w:rsidRPr="007C30F1" w:rsidRDefault="00821E2A" w:rsidP="007E074C">
            <w:pPr>
              <w:spacing w:line="240" w:lineRule="auto"/>
              <w:jc w:val="center"/>
              <w:rPr>
                <w:rFonts w:asciiTheme="minorHAnsi" w:hAnsiTheme="minorHAnsi"/>
                <w:color w:val="000000"/>
                <w:sz w:val="18"/>
                <w:szCs w:val="18"/>
                <w:lang w:val="es-ES_tradnl" w:eastAsia="zh-CN"/>
              </w:rPr>
            </w:pPr>
          </w:p>
        </w:tc>
        <w:tc>
          <w:tcPr>
            <w:tcW w:w="1068" w:type="dxa"/>
            <w:vMerge/>
            <w:tcBorders>
              <w:left w:val="single" w:sz="4" w:space="0" w:color="auto"/>
              <w:bottom w:val="nil"/>
              <w:right w:val="single" w:sz="4" w:space="0" w:color="auto"/>
            </w:tcBorders>
            <w:shd w:val="clear" w:color="000000" w:fill="BDD7EE"/>
            <w:noWrap/>
            <w:vAlign w:val="bottom"/>
            <w:hideMark/>
          </w:tcPr>
          <w:p w:rsidR="00821E2A" w:rsidRPr="007C30F1" w:rsidRDefault="00821E2A" w:rsidP="007E074C">
            <w:pPr>
              <w:spacing w:line="240" w:lineRule="auto"/>
              <w:jc w:val="center"/>
              <w:rPr>
                <w:rFonts w:asciiTheme="minorHAnsi" w:hAnsiTheme="minorHAnsi"/>
                <w:color w:val="000000"/>
                <w:sz w:val="18"/>
                <w:szCs w:val="18"/>
                <w:lang w:val="es-ES_tradnl" w:eastAsia="zh-CN"/>
              </w:rPr>
            </w:pPr>
          </w:p>
        </w:tc>
        <w:tc>
          <w:tcPr>
            <w:tcW w:w="266" w:type="dxa"/>
            <w:tcBorders>
              <w:top w:val="nil"/>
              <w:left w:val="nil"/>
              <w:bottom w:val="nil"/>
              <w:right w:val="nil"/>
            </w:tcBorders>
            <w:shd w:val="clear" w:color="000000" w:fill="FFFFFF"/>
            <w:noWrap/>
            <w:vAlign w:val="bottom"/>
            <w:hideMark/>
          </w:tcPr>
          <w:p w:rsidR="00821E2A" w:rsidRPr="007C30F1" w:rsidRDefault="00821E2A" w:rsidP="007E074C">
            <w:pPr>
              <w:spacing w:line="240" w:lineRule="auto"/>
              <w:rPr>
                <w:rFonts w:asciiTheme="minorHAnsi" w:hAnsiTheme="minorHAnsi"/>
                <w:color w:val="000000"/>
                <w:sz w:val="18"/>
                <w:szCs w:val="18"/>
                <w:lang w:val="es-ES_tradnl" w:eastAsia="zh-CN"/>
              </w:rPr>
            </w:pPr>
            <w:r w:rsidRPr="007C30F1">
              <w:rPr>
                <w:rFonts w:asciiTheme="minorHAnsi" w:hAnsiTheme="minorHAnsi"/>
                <w:color w:val="000000"/>
                <w:sz w:val="18"/>
                <w:szCs w:val="18"/>
                <w:lang w:val="es-ES_tradnl" w:eastAsia="zh-CN"/>
              </w:rPr>
              <w:t> </w:t>
            </w:r>
          </w:p>
        </w:tc>
        <w:tc>
          <w:tcPr>
            <w:tcW w:w="1107" w:type="dxa"/>
            <w:vMerge/>
            <w:tcBorders>
              <w:left w:val="double" w:sz="6" w:space="0" w:color="auto"/>
              <w:bottom w:val="single" w:sz="4" w:space="0" w:color="auto"/>
              <w:right w:val="single" w:sz="4" w:space="0" w:color="auto"/>
            </w:tcBorders>
            <w:shd w:val="clear" w:color="000000" w:fill="BDD7EE"/>
            <w:noWrap/>
            <w:vAlign w:val="bottom"/>
            <w:hideMark/>
          </w:tcPr>
          <w:p w:rsidR="00821E2A" w:rsidRPr="007C30F1" w:rsidRDefault="00821E2A" w:rsidP="007E074C">
            <w:pPr>
              <w:spacing w:line="240" w:lineRule="auto"/>
              <w:jc w:val="center"/>
              <w:rPr>
                <w:rFonts w:asciiTheme="minorHAnsi" w:hAnsiTheme="minorHAnsi"/>
                <w:color w:val="000000"/>
                <w:sz w:val="18"/>
                <w:szCs w:val="18"/>
                <w:lang w:val="es-ES_tradnl"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821E2A" w:rsidRPr="007C30F1" w:rsidRDefault="00821E2A" w:rsidP="007E074C">
            <w:pPr>
              <w:spacing w:line="240" w:lineRule="auto"/>
              <w:jc w:val="center"/>
              <w:rPr>
                <w:rFonts w:asciiTheme="minorHAnsi" w:hAnsiTheme="minorHAnsi"/>
                <w:color w:val="000000"/>
                <w:sz w:val="18"/>
                <w:szCs w:val="18"/>
                <w:lang w:val="es-ES_tradnl" w:eastAsia="zh-CN"/>
              </w:rPr>
            </w:pPr>
          </w:p>
        </w:tc>
        <w:tc>
          <w:tcPr>
            <w:tcW w:w="1314" w:type="dxa"/>
            <w:vMerge/>
            <w:tcBorders>
              <w:left w:val="nil"/>
              <w:bottom w:val="single" w:sz="4" w:space="0" w:color="auto"/>
              <w:right w:val="nil"/>
            </w:tcBorders>
            <w:shd w:val="clear" w:color="000000" w:fill="BDD7EE"/>
            <w:noWrap/>
            <w:vAlign w:val="bottom"/>
            <w:hideMark/>
          </w:tcPr>
          <w:p w:rsidR="00821E2A" w:rsidRPr="007C30F1" w:rsidRDefault="00821E2A" w:rsidP="007E074C">
            <w:pPr>
              <w:spacing w:line="240" w:lineRule="auto"/>
              <w:jc w:val="center"/>
              <w:rPr>
                <w:rFonts w:asciiTheme="minorHAnsi" w:hAnsiTheme="minorHAnsi"/>
                <w:color w:val="000000"/>
                <w:sz w:val="18"/>
                <w:szCs w:val="18"/>
                <w:lang w:val="es-ES_tradnl" w:eastAsia="zh-CN"/>
              </w:rPr>
            </w:pPr>
          </w:p>
        </w:tc>
        <w:tc>
          <w:tcPr>
            <w:tcW w:w="1020" w:type="dxa"/>
            <w:vMerge/>
            <w:tcBorders>
              <w:left w:val="single" w:sz="4" w:space="0" w:color="auto"/>
              <w:bottom w:val="single" w:sz="4" w:space="0" w:color="auto"/>
              <w:right w:val="single" w:sz="4" w:space="0" w:color="auto"/>
            </w:tcBorders>
            <w:shd w:val="clear" w:color="000000" w:fill="BDD7EE"/>
            <w:noWrap/>
            <w:vAlign w:val="bottom"/>
            <w:hideMark/>
          </w:tcPr>
          <w:p w:rsidR="00821E2A" w:rsidRPr="007C30F1" w:rsidRDefault="00821E2A" w:rsidP="007E074C">
            <w:pPr>
              <w:spacing w:line="240" w:lineRule="auto"/>
              <w:jc w:val="center"/>
              <w:rPr>
                <w:rFonts w:asciiTheme="minorHAnsi" w:hAnsiTheme="minorHAnsi"/>
                <w:color w:val="000000"/>
                <w:sz w:val="18"/>
                <w:szCs w:val="18"/>
                <w:lang w:val="es-ES_tradnl" w:eastAsia="zh-CN"/>
              </w:rPr>
            </w:pPr>
          </w:p>
        </w:tc>
      </w:tr>
      <w:tr w:rsidR="00821E2A" w:rsidRPr="007C30F1" w:rsidTr="00821E2A">
        <w:trPr>
          <w:jc w:val="center"/>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821E2A" w:rsidRPr="007C30F1" w:rsidRDefault="00821E2A" w:rsidP="007E074C">
            <w:pPr>
              <w:pStyle w:val="Tabletext"/>
              <w:ind w:left="-57" w:right="-57"/>
              <w:jc w:val="center"/>
              <w:rPr>
                <w:b/>
                <w:bCs/>
                <w:sz w:val="18"/>
                <w:szCs w:val="18"/>
                <w:lang w:val="es-ES_tradnl"/>
              </w:rPr>
            </w:pPr>
            <w:r w:rsidRPr="007C30F1">
              <w:rPr>
                <w:b/>
                <w:bCs/>
                <w:sz w:val="18"/>
                <w:szCs w:val="18"/>
                <w:lang w:val="es-ES_tradnl"/>
              </w:rPr>
              <w:t>R1</w:t>
            </w:r>
          </w:p>
        </w:tc>
        <w:tc>
          <w:tcPr>
            <w:tcW w:w="1810" w:type="dxa"/>
            <w:tcBorders>
              <w:top w:val="nil"/>
              <w:left w:val="nil"/>
              <w:bottom w:val="single" w:sz="4" w:space="0" w:color="auto"/>
              <w:right w:val="single" w:sz="4" w:space="0" w:color="auto"/>
            </w:tcBorders>
            <w:shd w:val="clear" w:color="auto" w:fill="auto"/>
            <w:noWrap/>
            <w:vAlign w:val="bottom"/>
            <w:hideMark/>
          </w:tcPr>
          <w:p w:rsidR="00821E2A" w:rsidRPr="007C30F1" w:rsidRDefault="00821E2A" w:rsidP="007E074C">
            <w:pPr>
              <w:pStyle w:val="Tabletext"/>
              <w:ind w:left="-57" w:right="-57"/>
              <w:rPr>
                <w:b/>
                <w:bCs/>
                <w:sz w:val="18"/>
                <w:szCs w:val="18"/>
                <w:lang w:val="es-ES_tradnl"/>
              </w:rPr>
            </w:pPr>
            <w:r w:rsidRPr="007C30F1">
              <w:rPr>
                <w:b/>
                <w:bCs/>
                <w:sz w:val="18"/>
                <w:szCs w:val="18"/>
                <w:lang w:val="es-ES_tradnl"/>
              </w:rPr>
              <w:t>Objetivo 1 del UIT-R</w:t>
            </w:r>
          </w:p>
        </w:tc>
        <w:tc>
          <w:tcPr>
            <w:tcW w:w="724" w:type="dxa"/>
            <w:tcBorders>
              <w:top w:val="nil"/>
              <w:left w:val="nil"/>
              <w:bottom w:val="single" w:sz="4" w:space="0" w:color="auto"/>
              <w:right w:val="single" w:sz="4" w:space="0" w:color="auto"/>
            </w:tcBorders>
            <w:shd w:val="clear" w:color="000000" w:fill="FFFFFF"/>
            <w:noWrap/>
            <w:vAlign w:val="bottom"/>
          </w:tcPr>
          <w:p w:rsidR="00821E2A" w:rsidRPr="007C30F1" w:rsidRDefault="00821E2A" w:rsidP="007E074C">
            <w:pPr>
              <w:pStyle w:val="Tabletext"/>
              <w:jc w:val="center"/>
              <w:rPr>
                <w:sz w:val="18"/>
                <w:szCs w:val="18"/>
                <w:lang w:val="es-ES_tradnl" w:eastAsia="zh-CN"/>
              </w:rPr>
            </w:pPr>
            <w:r w:rsidRPr="007C30F1">
              <w:rPr>
                <w:sz w:val="18"/>
                <w:szCs w:val="18"/>
                <w:lang w:val="es-ES_tradnl"/>
              </w:rPr>
              <w:t>36 329</w:t>
            </w:r>
          </w:p>
        </w:tc>
        <w:tc>
          <w:tcPr>
            <w:tcW w:w="980" w:type="dxa"/>
            <w:tcBorders>
              <w:top w:val="nil"/>
              <w:left w:val="nil"/>
              <w:bottom w:val="single" w:sz="4" w:space="0" w:color="auto"/>
              <w:right w:val="single" w:sz="4" w:space="0" w:color="auto"/>
            </w:tcBorders>
            <w:shd w:val="clear" w:color="000000" w:fill="FFFFFF"/>
            <w:noWrap/>
            <w:vAlign w:val="bottom"/>
          </w:tcPr>
          <w:p w:rsidR="00821E2A" w:rsidRPr="007C30F1" w:rsidRDefault="00821E2A" w:rsidP="007E074C">
            <w:pPr>
              <w:pStyle w:val="Tabletext"/>
              <w:jc w:val="center"/>
              <w:rPr>
                <w:sz w:val="18"/>
                <w:szCs w:val="18"/>
                <w:lang w:val="es-ES_tradnl" w:eastAsia="zh-CN"/>
              </w:rPr>
            </w:pPr>
            <w:r w:rsidRPr="007C30F1">
              <w:rPr>
                <w:sz w:val="18"/>
                <w:szCs w:val="18"/>
                <w:lang w:val="es-ES_tradnl"/>
              </w:rPr>
              <w:t>19 354</w:t>
            </w:r>
          </w:p>
        </w:tc>
        <w:tc>
          <w:tcPr>
            <w:tcW w:w="980" w:type="dxa"/>
            <w:tcBorders>
              <w:top w:val="nil"/>
              <w:left w:val="nil"/>
              <w:bottom w:val="single" w:sz="4" w:space="0" w:color="auto"/>
              <w:right w:val="single" w:sz="4" w:space="0" w:color="auto"/>
            </w:tcBorders>
            <w:shd w:val="clear" w:color="000000" w:fill="FFFFFF"/>
            <w:vAlign w:val="bottom"/>
          </w:tcPr>
          <w:p w:rsidR="00821E2A" w:rsidRPr="007C30F1" w:rsidRDefault="00821E2A" w:rsidP="007E074C">
            <w:pPr>
              <w:pStyle w:val="Tabletext"/>
              <w:jc w:val="center"/>
              <w:rPr>
                <w:sz w:val="18"/>
                <w:szCs w:val="18"/>
                <w:lang w:val="es-ES_tradnl" w:eastAsia="zh-CN"/>
              </w:rPr>
            </w:pPr>
            <w:r w:rsidRPr="007C30F1">
              <w:rPr>
                <w:sz w:val="18"/>
                <w:szCs w:val="18"/>
                <w:lang w:val="es-ES_tradnl"/>
              </w:rPr>
              <w:t>16 953</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21E2A" w:rsidRPr="007C30F1" w:rsidRDefault="00821E2A" w:rsidP="007E074C">
            <w:pPr>
              <w:pStyle w:val="Tabletext"/>
              <w:jc w:val="center"/>
              <w:rPr>
                <w:sz w:val="18"/>
                <w:szCs w:val="18"/>
                <w:lang w:val="es-ES_tradnl" w:eastAsia="zh-CN"/>
              </w:rPr>
            </w:pPr>
            <w:r w:rsidRPr="007C30F1">
              <w:rPr>
                <w:sz w:val="18"/>
                <w:szCs w:val="18"/>
                <w:lang w:val="es-ES_tradnl"/>
              </w:rPr>
              <w:t>22</w:t>
            </w:r>
          </w:p>
        </w:tc>
        <w:tc>
          <w:tcPr>
            <w:tcW w:w="296"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jc w:val="center"/>
              <w:rPr>
                <w:rFonts w:asciiTheme="minorHAnsi" w:hAnsiTheme="minorHAnsi"/>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50%</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821E2A" w:rsidRPr="007C30F1" w:rsidRDefault="00821E2A" w:rsidP="007E074C">
            <w:pPr>
              <w:pStyle w:val="Tabletext"/>
              <w:jc w:val="center"/>
              <w:rPr>
                <w:sz w:val="18"/>
                <w:szCs w:val="18"/>
                <w:lang w:val="es-ES_tradnl"/>
              </w:rPr>
            </w:pPr>
            <w:r w:rsidRPr="007C30F1">
              <w:rPr>
                <w:sz w:val="18"/>
                <w:szCs w:val="18"/>
                <w:lang w:val="es-ES_tradnl"/>
              </w:rPr>
              <w:t>30%</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rsidR="00821E2A" w:rsidRPr="007C30F1" w:rsidRDefault="00821E2A" w:rsidP="007E074C">
            <w:pPr>
              <w:pStyle w:val="Tabletext"/>
              <w:jc w:val="center"/>
              <w:rPr>
                <w:sz w:val="18"/>
                <w:szCs w:val="18"/>
                <w:lang w:val="es-ES_tradnl"/>
              </w:rPr>
            </w:pPr>
            <w:r w:rsidRPr="007C30F1">
              <w:rPr>
                <w:sz w:val="18"/>
                <w:szCs w:val="18"/>
                <w:lang w:val="es-ES_tradnl"/>
              </w:rPr>
              <w:t>10%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821E2A" w:rsidRPr="007C30F1" w:rsidRDefault="00821E2A" w:rsidP="007E074C">
            <w:pPr>
              <w:pStyle w:val="Tabletext"/>
              <w:jc w:val="center"/>
              <w:rPr>
                <w:sz w:val="18"/>
                <w:szCs w:val="18"/>
                <w:lang w:val="es-ES_tradnl"/>
              </w:rPr>
            </w:pPr>
            <w:r w:rsidRPr="007C30F1">
              <w:rPr>
                <w:sz w:val="18"/>
                <w:szCs w:val="18"/>
                <w:lang w:val="es-ES_tradnl"/>
              </w:rPr>
              <w:t>10%</w:t>
            </w:r>
          </w:p>
        </w:tc>
        <w:tc>
          <w:tcPr>
            <w:tcW w:w="266"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jc w:val="center"/>
              <w:rPr>
                <w:rFonts w:asciiTheme="minorHAnsi" w:hAnsiTheme="minorHAnsi"/>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821E2A" w:rsidRPr="007C30F1" w:rsidRDefault="00821E2A" w:rsidP="007E074C">
            <w:pPr>
              <w:pStyle w:val="Tabletext"/>
              <w:jc w:val="center"/>
              <w:rPr>
                <w:sz w:val="18"/>
                <w:szCs w:val="18"/>
                <w:lang w:val="es-ES_tradnl"/>
              </w:rPr>
            </w:pPr>
            <w:r w:rsidRPr="007C30F1">
              <w:rPr>
                <w:sz w:val="18"/>
                <w:szCs w:val="18"/>
                <w:lang w:val="es-ES_tradnl"/>
              </w:rPr>
              <w:t>18 165</w:t>
            </w:r>
          </w:p>
        </w:tc>
        <w:tc>
          <w:tcPr>
            <w:tcW w:w="1176" w:type="dxa"/>
            <w:tcBorders>
              <w:top w:val="nil"/>
              <w:left w:val="nil"/>
              <w:bottom w:val="single" w:sz="4" w:space="0" w:color="auto"/>
              <w:right w:val="single" w:sz="4" w:space="0" w:color="auto"/>
            </w:tcBorders>
            <w:shd w:val="clear" w:color="auto" w:fill="auto"/>
            <w:noWrap/>
            <w:vAlign w:val="bottom"/>
            <w:hideMark/>
          </w:tcPr>
          <w:p w:rsidR="00821E2A" w:rsidRPr="007C30F1" w:rsidRDefault="00821E2A" w:rsidP="007E074C">
            <w:pPr>
              <w:pStyle w:val="Tabletext"/>
              <w:jc w:val="center"/>
              <w:rPr>
                <w:sz w:val="18"/>
                <w:szCs w:val="18"/>
                <w:lang w:val="es-ES_tradnl"/>
              </w:rPr>
            </w:pPr>
            <w:r w:rsidRPr="007C30F1">
              <w:rPr>
                <w:sz w:val="18"/>
                <w:szCs w:val="18"/>
                <w:lang w:val="es-ES_tradnl"/>
              </w:rPr>
              <w:t>10 899</w:t>
            </w:r>
          </w:p>
        </w:tc>
        <w:tc>
          <w:tcPr>
            <w:tcW w:w="1314" w:type="dxa"/>
            <w:tcBorders>
              <w:top w:val="nil"/>
              <w:left w:val="nil"/>
              <w:bottom w:val="single" w:sz="4" w:space="0" w:color="auto"/>
              <w:right w:val="single" w:sz="4" w:space="0" w:color="auto"/>
            </w:tcBorders>
            <w:shd w:val="clear" w:color="auto" w:fill="auto"/>
            <w:noWrap/>
            <w:vAlign w:val="bottom"/>
            <w:hideMark/>
          </w:tcPr>
          <w:p w:rsidR="00821E2A" w:rsidRPr="007C30F1" w:rsidRDefault="00821E2A" w:rsidP="007E074C">
            <w:pPr>
              <w:pStyle w:val="Tabletext"/>
              <w:jc w:val="center"/>
              <w:rPr>
                <w:sz w:val="18"/>
                <w:szCs w:val="18"/>
                <w:lang w:val="es-ES_tradnl"/>
              </w:rPr>
            </w:pPr>
            <w:r w:rsidRPr="007C30F1">
              <w:rPr>
                <w:sz w:val="18"/>
                <w:szCs w:val="18"/>
                <w:lang w:val="es-ES_tradnl"/>
              </w:rPr>
              <w:t>3 633</w:t>
            </w:r>
          </w:p>
        </w:tc>
        <w:tc>
          <w:tcPr>
            <w:tcW w:w="1020" w:type="dxa"/>
            <w:tcBorders>
              <w:top w:val="nil"/>
              <w:left w:val="nil"/>
              <w:bottom w:val="single" w:sz="4" w:space="0" w:color="auto"/>
              <w:right w:val="single" w:sz="4" w:space="0" w:color="auto"/>
            </w:tcBorders>
            <w:shd w:val="clear" w:color="auto" w:fill="auto"/>
            <w:noWrap/>
            <w:vAlign w:val="bottom"/>
            <w:hideMark/>
          </w:tcPr>
          <w:p w:rsidR="00821E2A" w:rsidRPr="007C30F1" w:rsidRDefault="00821E2A" w:rsidP="007E074C">
            <w:pPr>
              <w:pStyle w:val="Tabletext"/>
              <w:jc w:val="center"/>
              <w:rPr>
                <w:sz w:val="18"/>
                <w:szCs w:val="18"/>
                <w:lang w:val="es-ES_tradnl"/>
              </w:rPr>
            </w:pPr>
            <w:r w:rsidRPr="007C30F1">
              <w:rPr>
                <w:sz w:val="18"/>
                <w:szCs w:val="18"/>
                <w:lang w:val="es-ES_tradnl"/>
              </w:rPr>
              <w:t>3 633</w:t>
            </w:r>
          </w:p>
        </w:tc>
      </w:tr>
      <w:tr w:rsidR="00821E2A" w:rsidRPr="007C30F1" w:rsidTr="00821E2A">
        <w:trPr>
          <w:jc w:val="center"/>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821E2A" w:rsidRPr="007C30F1" w:rsidRDefault="00821E2A" w:rsidP="007E074C">
            <w:pPr>
              <w:pStyle w:val="Tabletext"/>
              <w:ind w:left="-57" w:right="-57"/>
              <w:jc w:val="center"/>
              <w:rPr>
                <w:b/>
                <w:bCs/>
                <w:sz w:val="18"/>
                <w:szCs w:val="18"/>
                <w:lang w:val="es-ES_tradnl"/>
              </w:rPr>
            </w:pPr>
            <w:r w:rsidRPr="007C30F1">
              <w:rPr>
                <w:b/>
                <w:bCs/>
                <w:sz w:val="18"/>
                <w:szCs w:val="18"/>
                <w:lang w:val="es-ES_tradnl"/>
              </w:rPr>
              <w:t>R2</w:t>
            </w:r>
          </w:p>
        </w:tc>
        <w:tc>
          <w:tcPr>
            <w:tcW w:w="1810" w:type="dxa"/>
            <w:tcBorders>
              <w:top w:val="nil"/>
              <w:left w:val="nil"/>
              <w:bottom w:val="single" w:sz="4" w:space="0" w:color="auto"/>
              <w:right w:val="single" w:sz="4" w:space="0" w:color="auto"/>
            </w:tcBorders>
            <w:shd w:val="clear" w:color="auto" w:fill="auto"/>
            <w:noWrap/>
            <w:vAlign w:val="bottom"/>
            <w:hideMark/>
          </w:tcPr>
          <w:p w:rsidR="00821E2A" w:rsidRPr="007C30F1" w:rsidRDefault="00821E2A" w:rsidP="007E074C">
            <w:pPr>
              <w:pStyle w:val="Tabletext"/>
              <w:ind w:left="-57" w:right="-57"/>
              <w:rPr>
                <w:b/>
                <w:bCs/>
                <w:sz w:val="18"/>
                <w:szCs w:val="18"/>
                <w:lang w:val="es-ES_tradnl"/>
              </w:rPr>
            </w:pPr>
            <w:r w:rsidRPr="007C30F1">
              <w:rPr>
                <w:b/>
                <w:bCs/>
                <w:sz w:val="18"/>
                <w:szCs w:val="18"/>
                <w:lang w:val="es-ES_tradnl"/>
              </w:rPr>
              <w:t>Objetivo 2 del UIT-R</w:t>
            </w:r>
          </w:p>
        </w:tc>
        <w:tc>
          <w:tcPr>
            <w:tcW w:w="724" w:type="dxa"/>
            <w:tcBorders>
              <w:top w:val="nil"/>
              <w:left w:val="nil"/>
              <w:bottom w:val="single" w:sz="4" w:space="0" w:color="auto"/>
              <w:right w:val="single" w:sz="4" w:space="0" w:color="auto"/>
            </w:tcBorders>
            <w:shd w:val="clear" w:color="000000" w:fill="FFFFFF"/>
            <w:noWrap/>
            <w:vAlign w:val="bottom"/>
          </w:tcPr>
          <w:p w:rsidR="00821E2A" w:rsidRPr="007C30F1" w:rsidRDefault="00821E2A" w:rsidP="007E074C">
            <w:pPr>
              <w:pStyle w:val="Tabletext"/>
              <w:jc w:val="center"/>
              <w:rPr>
                <w:sz w:val="18"/>
                <w:szCs w:val="18"/>
                <w:lang w:val="es-ES_tradnl" w:eastAsia="zh-CN"/>
              </w:rPr>
            </w:pPr>
            <w:r w:rsidRPr="007C30F1">
              <w:rPr>
                <w:sz w:val="18"/>
                <w:szCs w:val="18"/>
                <w:lang w:val="es-ES_tradnl"/>
              </w:rPr>
              <w:t>7 709</w:t>
            </w:r>
          </w:p>
        </w:tc>
        <w:tc>
          <w:tcPr>
            <w:tcW w:w="980" w:type="dxa"/>
            <w:tcBorders>
              <w:top w:val="nil"/>
              <w:left w:val="nil"/>
              <w:bottom w:val="single" w:sz="4" w:space="0" w:color="auto"/>
              <w:right w:val="single" w:sz="4" w:space="0" w:color="auto"/>
            </w:tcBorders>
            <w:shd w:val="clear" w:color="000000" w:fill="FFFFFF"/>
            <w:noWrap/>
            <w:vAlign w:val="bottom"/>
          </w:tcPr>
          <w:p w:rsidR="00821E2A" w:rsidRPr="007C30F1" w:rsidRDefault="00821E2A" w:rsidP="007E074C">
            <w:pPr>
              <w:pStyle w:val="Tabletext"/>
              <w:jc w:val="center"/>
              <w:rPr>
                <w:sz w:val="18"/>
                <w:szCs w:val="18"/>
                <w:lang w:val="es-ES_tradnl" w:eastAsia="zh-CN"/>
              </w:rPr>
            </w:pPr>
            <w:r w:rsidRPr="007C30F1">
              <w:rPr>
                <w:sz w:val="18"/>
                <w:szCs w:val="18"/>
                <w:lang w:val="es-ES_tradnl"/>
              </w:rPr>
              <w:t>4 709</w:t>
            </w:r>
          </w:p>
        </w:tc>
        <w:tc>
          <w:tcPr>
            <w:tcW w:w="980" w:type="dxa"/>
            <w:tcBorders>
              <w:top w:val="nil"/>
              <w:left w:val="nil"/>
              <w:bottom w:val="single" w:sz="4" w:space="0" w:color="auto"/>
              <w:right w:val="single" w:sz="4" w:space="0" w:color="auto"/>
            </w:tcBorders>
            <w:shd w:val="clear" w:color="000000" w:fill="FFFFFF"/>
            <w:vAlign w:val="bottom"/>
          </w:tcPr>
          <w:p w:rsidR="00821E2A" w:rsidRPr="007C30F1" w:rsidRDefault="00821E2A" w:rsidP="007E074C">
            <w:pPr>
              <w:pStyle w:val="Tabletext"/>
              <w:jc w:val="center"/>
              <w:rPr>
                <w:sz w:val="18"/>
                <w:szCs w:val="18"/>
                <w:lang w:val="es-ES_tradnl" w:eastAsia="zh-CN"/>
              </w:rPr>
            </w:pPr>
            <w:r w:rsidRPr="007C30F1">
              <w:rPr>
                <w:sz w:val="18"/>
                <w:szCs w:val="18"/>
                <w:lang w:val="es-ES_tradnl"/>
              </w:rPr>
              <w:t>2 995</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21E2A" w:rsidRPr="007C30F1" w:rsidRDefault="00821E2A" w:rsidP="007E074C">
            <w:pPr>
              <w:pStyle w:val="Tabletext"/>
              <w:jc w:val="center"/>
              <w:rPr>
                <w:sz w:val="18"/>
                <w:szCs w:val="18"/>
                <w:lang w:val="es-ES_tradnl" w:eastAsia="zh-CN"/>
              </w:rPr>
            </w:pPr>
            <w:r w:rsidRPr="007C30F1">
              <w:rPr>
                <w:sz w:val="18"/>
                <w:szCs w:val="18"/>
                <w:lang w:val="es-ES_tradnl"/>
              </w:rPr>
              <w:t>5</w:t>
            </w:r>
          </w:p>
        </w:tc>
        <w:tc>
          <w:tcPr>
            <w:tcW w:w="296"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jc w:val="center"/>
              <w:rPr>
                <w:rFonts w:asciiTheme="minorHAnsi" w:hAnsiTheme="minorHAnsi"/>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50%</w:t>
            </w:r>
          </w:p>
        </w:tc>
        <w:tc>
          <w:tcPr>
            <w:tcW w:w="1176" w:type="dxa"/>
            <w:tcBorders>
              <w:top w:val="nil"/>
              <w:left w:val="nil"/>
              <w:bottom w:val="single" w:sz="4" w:space="0" w:color="auto"/>
              <w:right w:val="single" w:sz="4" w:space="0" w:color="auto"/>
            </w:tcBorders>
            <w:shd w:val="clear" w:color="auto" w:fill="auto"/>
            <w:noWrap/>
            <w:vAlign w:val="center"/>
            <w:hideMark/>
          </w:tcPr>
          <w:p w:rsidR="00821E2A" w:rsidRPr="007C30F1" w:rsidRDefault="00821E2A" w:rsidP="007E074C">
            <w:pPr>
              <w:pStyle w:val="Tabletext"/>
              <w:jc w:val="center"/>
              <w:rPr>
                <w:sz w:val="18"/>
                <w:szCs w:val="18"/>
                <w:lang w:val="es-ES_tradnl"/>
              </w:rPr>
            </w:pPr>
            <w:r w:rsidRPr="007C30F1">
              <w:rPr>
                <w:sz w:val="18"/>
                <w:szCs w:val="18"/>
                <w:lang w:val="es-ES_tradnl"/>
              </w:rPr>
              <w:t>30%</w:t>
            </w:r>
          </w:p>
        </w:tc>
        <w:tc>
          <w:tcPr>
            <w:tcW w:w="1244" w:type="dxa"/>
            <w:tcBorders>
              <w:top w:val="nil"/>
              <w:left w:val="nil"/>
              <w:bottom w:val="single" w:sz="4" w:space="0" w:color="auto"/>
              <w:right w:val="single" w:sz="4" w:space="0" w:color="auto"/>
            </w:tcBorders>
            <w:shd w:val="clear" w:color="auto" w:fill="auto"/>
            <w:noWrap/>
            <w:vAlign w:val="center"/>
            <w:hideMark/>
          </w:tcPr>
          <w:p w:rsidR="00821E2A" w:rsidRPr="007C30F1" w:rsidRDefault="00821E2A" w:rsidP="007E074C">
            <w:pPr>
              <w:pStyle w:val="Tabletext"/>
              <w:jc w:val="center"/>
              <w:rPr>
                <w:sz w:val="18"/>
                <w:szCs w:val="18"/>
                <w:lang w:val="es-ES_tradnl"/>
              </w:rPr>
            </w:pPr>
            <w:r w:rsidRPr="007C30F1">
              <w:rPr>
                <w:sz w:val="18"/>
                <w:szCs w:val="18"/>
                <w:lang w:val="es-ES_tradnl"/>
              </w:rPr>
              <w:t>10%</w:t>
            </w:r>
          </w:p>
        </w:tc>
        <w:tc>
          <w:tcPr>
            <w:tcW w:w="1068" w:type="dxa"/>
            <w:tcBorders>
              <w:top w:val="nil"/>
              <w:left w:val="nil"/>
              <w:bottom w:val="single" w:sz="4" w:space="0" w:color="auto"/>
              <w:right w:val="single" w:sz="4" w:space="0" w:color="auto"/>
            </w:tcBorders>
            <w:shd w:val="clear" w:color="auto" w:fill="auto"/>
            <w:noWrap/>
            <w:vAlign w:val="center"/>
            <w:hideMark/>
          </w:tcPr>
          <w:p w:rsidR="00821E2A" w:rsidRPr="007C30F1" w:rsidRDefault="00821E2A" w:rsidP="007E074C">
            <w:pPr>
              <w:pStyle w:val="Tabletext"/>
              <w:jc w:val="center"/>
              <w:rPr>
                <w:sz w:val="18"/>
                <w:szCs w:val="18"/>
                <w:lang w:val="es-ES_tradnl"/>
              </w:rPr>
            </w:pPr>
            <w:r w:rsidRPr="007C30F1">
              <w:rPr>
                <w:sz w:val="18"/>
                <w:szCs w:val="18"/>
                <w:lang w:val="es-ES_tradnl"/>
              </w:rPr>
              <w:t>10%</w:t>
            </w:r>
          </w:p>
        </w:tc>
        <w:tc>
          <w:tcPr>
            <w:tcW w:w="266"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jc w:val="center"/>
              <w:rPr>
                <w:rFonts w:asciiTheme="minorHAnsi" w:hAnsiTheme="minorHAnsi"/>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821E2A" w:rsidRPr="007C30F1" w:rsidRDefault="00821E2A" w:rsidP="007E074C">
            <w:pPr>
              <w:pStyle w:val="Tabletext"/>
              <w:jc w:val="center"/>
              <w:rPr>
                <w:sz w:val="18"/>
                <w:szCs w:val="18"/>
                <w:lang w:val="es-ES_tradnl"/>
              </w:rPr>
            </w:pPr>
            <w:r w:rsidRPr="007C30F1">
              <w:rPr>
                <w:sz w:val="18"/>
                <w:szCs w:val="18"/>
                <w:lang w:val="es-ES_tradnl"/>
              </w:rPr>
              <w:t>3 855</w:t>
            </w:r>
          </w:p>
        </w:tc>
        <w:tc>
          <w:tcPr>
            <w:tcW w:w="1176" w:type="dxa"/>
            <w:tcBorders>
              <w:top w:val="nil"/>
              <w:left w:val="nil"/>
              <w:bottom w:val="single" w:sz="4" w:space="0" w:color="auto"/>
              <w:right w:val="single" w:sz="4" w:space="0" w:color="auto"/>
            </w:tcBorders>
            <w:shd w:val="clear" w:color="auto" w:fill="auto"/>
            <w:noWrap/>
            <w:vAlign w:val="bottom"/>
            <w:hideMark/>
          </w:tcPr>
          <w:p w:rsidR="00821E2A" w:rsidRPr="007C30F1" w:rsidRDefault="00821E2A" w:rsidP="007E074C">
            <w:pPr>
              <w:pStyle w:val="Tabletext"/>
              <w:jc w:val="center"/>
              <w:rPr>
                <w:sz w:val="18"/>
                <w:szCs w:val="18"/>
                <w:lang w:val="es-ES_tradnl"/>
              </w:rPr>
            </w:pPr>
            <w:r w:rsidRPr="007C30F1">
              <w:rPr>
                <w:sz w:val="18"/>
                <w:szCs w:val="18"/>
                <w:lang w:val="es-ES_tradnl"/>
              </w:rPr>
              <w:t>2 313</w:t>
            </w:r>
          </w:p>
        </w:tc>
        <w:tc>
          <w:tcPr>
            <w:tcW w:w="1314" w:type="dxa"/>
            <w:tcBorders>
              <w:top w:val="nil"/>
              <w:left w:val="nil"/>
              <w:bottom w:val="single" w:sz="4" w:space="0" w:color="auto"/>
              <w:right w:val="single" w:sz="4" w:space="0" w:color="auto"/>
            </w:tcBorders>
            <w:shd w:val="clear" w:color="auto" w:fill="auto"/>
            <w:noWrap/>
            <w:vAlign w:val="bottom"/>
            <w:hideMark/>
          </w:tcPr>
          <w:p w:rsidR="00821E2A" w:rsidRPr="007C30F1" w:rsidRDefault="00821E2A" w:rsidP="007E074C">
            <w:pPr>
              <w:pStyle w:val="Tabletext"/>
              <w:jc w:val="center"/>
              <w:rPr>
                <w:sz w:val="18"/>
                <w:szCs w:val="18"/>
                <w:lang w:val="es-ES_tradnl"/>
              </w:rPr>
            </w:pPr>
            <w:r w:rsidRPr="007C30F1">
              <w:rPr>
                <w:sz w:val="18"/>
                <w:szCs w:val="18"/>
                <w:lang w:val="es-ES_tradnl"/>
              </w:rPr>
              <w:t>771</w:t>
            </w:r>
          </w:p>
        </w:tc>
        <w:tc>
          <w:tcPr>
            <w:tcW w:w="1020" w:type="dxa"/>
            <w:tcBorders>
              <w:top w:val="nil"/>
              <w:left w:val="nil"/>
              <w:bottom w:val="single" w:sz="4" w:space="0" w:color="auto"/>
              <w:right w:val="single" w:sz="4" w:space="0" w:color="auto"/>
            </w:tcBorders>
            <w:shd w:val="clear" w:color="auto" w:fill="auto"/>
            <w:noWrap/>
            <w:vAlign w:val="bottom"/>
            <w:hideMark/>
          </w:tcPr>
          <w:p w:rsidR="00821E2A" w:rsidRPr="007C30F1" w:rsidRDefault="00821E2A" w:rsidP="007E074C">
            <w:pPr>
              <w:pStyle w:val="Tabletext"/>
              <w:jc w:val="center"/>
              <w:rPr>
                <w:sz w:val="18"/>
                <w:szCs w:val="18"/>
                <w:lang w:val="es-ES_tradnl"/>
              </w:rPr>
            </w:pPr>
            <w:r w:rsidRPr="007C30F1">
              <w:rPr>
                <w:sz w:val="18"/>
                <w:szCs w:val="18"/>
                <w:lang w:val="es-ES_tradnl"/>
              </w:rPr>
              <w:t>771</w:t>
            </w:r>
          </w:p>
        </w:tc>
      </w:tr>
      <w:tr w:rsidR="00821E2A" w:rsidRPr="007C30F1" w:rsidTr="00821E2A">
        <w:trPr>
          <w:jc w:val="center"/>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821E2A" w:rsidRPr="007C30F1" w:rsidRDefault="00821E2A" w:rsidP="007E074C">
            <w:pPr>
              <w:pStyle w:val="Tabletext"/>
              <w:ind w:left="-57" w:right="-57"/>
              <w:jc w:val="center"/>
              <w:rPr>
                <w:b/>
                <w:bCs/>
                <w:sz w:val="18"/>
                <w:szCs w:val="18"/>
                <w:lang w:val="es-ES_tradnl"/>
              </w:rPr>
            </w:pPr>
            <w:r w:rsidRPr="007C30F1">
              <w:rPr>
                <w:b/>
                <w:bCs/>
                <w:sz w:val="18"/>
                <w:szCs w:val="18"/>
                <w:lang w:val="es-ES_tradnl"/>
              </w:rPr>
              <w:t>R3</w:t>
            </w:r>
          </w:p>
        </w:tc>
        <w:tc>
          <w:tcPr>
            <w:tcW w:w="1810" w:type="dxa"/>
            <w:tcBorders>
              <w:top w:val="nil"/>
              <w:left w:val="nil"/>
              <w:bottom w:val="single" w:sz="4" w:space="0" w:color="auto"/>
              <w:right w:val="single" w:sz="4" w:space="0" w:color="auto"/>
            </w:tcBorders>
            <w:shd w:val="clear" w:color="auto" w:fill="auto"/>
            <w:noWrap/>
            <w:vAlign w:val="bottom"/>
            <w:hideMark/>
          </w:tcPr>
          <w:p w:rsidR="00821E2A" w:rsidRPr="007C30F1" w:rsidRDefault="00821E2A" w:rsidP="007E074C">
            <w:pPr>
              <w:pStyle w:val="Tabletext"/>
              <w:ind w:left="-57" w:right="-57"/>
              <w:rPr>
                <w:b/>
                <w:bCs/>
                <w:sz w:val="18"/>
                <w:szCs w:val="18"/>
                <w:lang w:val="es-ES_tradnl"/>
              </w:rPr>
            </w:pPr>
            <w:r w:rsidRPr="007C30F1">
              <w:rPr>
                <w:b/>
                <w:bCs/>
                <w:sz w:val="18"/>
                <w:szCs w:val="18"/>
                <w:lang w:val="es-ES_tradnl"/>
              </w:rPr>
              <w:t>Objetivo 3 del UIT-R</w:t>
            </w:r>
          </w:p>
        </w:tc>
        <w:tc>
          <w:tcPr>
            <w:tcW w:w="724" w:type="dxa"/>
            <w:tcBorders>
              <w:top w:val="nil"/>
              <w:left w:val="nil"/>
              <w:bottom w:val="single" w:sz="4" w:space="0" w:color="auto"/>
              <w:right w:val="single" w:sz="4" w:space="0" w:color="auto"/>
            </w:tcBorders>
            <w:shd w:val="clear" w:color="000000" w:fill="FFFFFF"/>
            <w:noWrap/>
            <w:vAlign w:val="bottom"/>
          </w:tcPr>
          <w:p w:rsidR="00821E2A" w:rsidRPr="007C30F1" w:rsidRDefault="00821E2A" w:rsidP="007E074C">
            <w:pPr>
              <w:pStyle w:val="Tabletext"/>
              <w:jc w:val="center"/>
              <w:rPr>
                <w:sz w:val="18"/>
                <w:szCs w:val="18"/>
                <w:lang w:val="es-ES_tradnl" w:eastAsia="zh-CN"/>
              </w:rPr>
            </w:pPr>
            <w:r w:rsidRPr="007C30F1">
              <w:rPr>
                <w:sz w:val="18"/>
                <w:szCs w:val="18"/>
                <w:lang w:val="es-ES_tradnl"/>
              </w:rPr>
              <w:t>16 249</w:t>
            </w:r>
          </w:p>
        </w:tc>
        <w:tc>
          <w:tcPr>
            <w:tcW w:w="980" w:type="dxa"/>
            <w:tcBorders>
              <w:top w:val="nil"/>
              <w:left w:val="nil"/>
              <w:bottom w:val="single" w:sz="4" w:space="0" w:color="auto"/>
              <w:right w:val="single" w:sz="4" w:space="0" w:color="auto"/>
            </w:tcBorders>
            <w:shd w:val="clear" w:color="000000" w:fill="FFFFFF"/>
            <w:noWrap/>
            <w:vAlign w:val="bottom"/>
          </w:tcPr>
          <w:p w:rsidR="00821E2A" w:rsidRPr="007C30F1" w:rsidRDefault="00821E2A" w:rsidP="007E074C">
            <w:pPr>
              <w:pStyle w:val="Tabletext"/>
              <w:jc w:val="center"/>
              <w:rPr>
                <w:sz w:val="18"/>
                <w:szCs w:val="18"/>
                <w:lang w:val="es-ES_tradnl" w:eastAsia="zh-CN"/>
              </w:rPr>
            </w:pPr>
            <w:r w:rsidRPr="007C30F1">
              <w:rPr>
                <w:sz w:val="18"/>
                <w:szCs w:val="18"/>
                <w:lang w:val="es-ES_tradnl"/>
              </w:rPr>
              <w:t>9 949</w:t>
            </w:r>
          </w:p>
        </w:tc>
        <w:tc>
          <w:tcPr>
            <w:tcW w:w="980" w:type="dxa"/>
            <w:tcBorders>
              <w:top w:val="nil"/>
              <w:left w:val="nil"/>
              <w:bottom w:val="single" w:sz="4" w:space="0" w:color="auto"/>
              <w:right w:val="single" w:sz="4" w:space="0" w:color="auto"/>
            </w:tcBorders>
            <w:shd w:val="clear" w:color="000000" w:fill="FFFFFF"/>
            <w:vAlign w:val="bottom"/>
          </w:tcPr>
          <w:p w:rsidR="00821E2A" w:rsidRPr="007C30F1" w:rsidRDefault="00821E2A" w:rsidP="007E074C">
            <w:pPr>
              <w:pStyle w:val="Tabletext"/>
              <w:jc w:val="center"/>
              <w:rPr>
                <w:sz w:val="18"/>
                <w:szCs w:val="18"/>
                <w:lang w:val="es-ES_tradnl" w:eastAsia="zh-CN"/>
              </w:rPr>
            </w:pPr>
            <w:r w:rsidRPr="007C30F1">
              <w:rPr>
                <w:sz w:val="18"/>
                <w:szCs w:val="18"/>
                <w:lang w:val="es-ES_tradnl"/>
              </w:rPr>
              <w:t>6 290</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21E2A" w:rsidRPr="007C30F1" w:rsidRDefault="00821E2A" w:rsidP="007E074C">
            <w:pPr>
              <w:pStyle w:val="Tabletext"/>
              <w:jc w:val="center"/>
              <w:rPr>
                <w:sz w:val="18"/>
                <w:szCs w:val="18"/>
                <w:lang w:val="es-ES_tradnl" w:eastAsia="zh-CN"/>
              </w:rPr>
            </w:pPr>
            <w:r w:rsidRPr="007C30F1">
              <w:rPr>
                <w:sz w:val="18"/>
                <w:szCs w:val="18"/>
                <w:lang w:val="es-ES_tradnl"/>
              </w:rPr>
              <w:t>10</w:t>
            </w:r>
          </w:p>
        </w:tc>
        <w:tc>
          <w:tcPr>
            <w:tcW w:w="296"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jc w:val="center"/>
              <w:rPr>
                <w:rFonts w:asciiTheme="minorHAnsi" w:hAnsiTheme="minorHAnsi"/>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821E2A" w:rsidRPr="007C30F1" w:rsidRDefault="00821E2A" w:rsidP="007E074C">
            <w:pPr>
              <w:pStyle w:val="Tabletext"/>
              <w:jc w:val="center"/>
              <w:rPr>
                <w:sz w:val="18"/>
                <w:szCs w:val="18"/>
                <w:lang w:val="es-ES_tradnl"/>
              </w:rPr>
            </w:pPr>
            <w:r w:rsidRPr="007C30F1">
              <w:rPr>
                <w:sz w:val="18"/>
                <w:szCs w:val="18"/>
                <w:lang w:val="es-ES_tradnl"/>
              </w:rPr>
              <w:t>0%</w:t>
            </w:r>
          </w:p>
        </w:tc>
        <w:tc>
          <w:tcPr>
            <w:tcW w:w="1176" w:type="dxa"/>
            <w:tcBorders>
              <w:top w:val="nil"/>
              <w:left w:val="nil"/>
              <w:bottom w:val="single" w:sz="4" w:space="0" w:color="auto"/>
              <w:right w:val="single" w:sz="4" w:space="0" w:color="auto"/>
            </w:tcBorders>
            <w:shd w:val="clear" w:color="auto" w:fill="auto"/>
            <w:noWrap/>
            <w:vAlign w:val="center"/>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100%</w:t>
            </w:r>
          </w:p>
        </w:tc>
        <w:tc>
          <w:tcPr>
            <w:tcW w:w="1244" w:type="dxa"/>
            <w:tcBorders>
              <w:top w:val="nil"/>
              <w:left w:val="nil"/>
              <w:bottom w:val="single" w:sz="4" w:space="0" w:color="auto"/>
              <w:right w:val="single" w:sz="4" w:space="0" w:color="auto"/>
            </w:tcBorders>
            <w:shd w:val="clear" w:color="auto" w:fill="auto"/>
            <w:noWrap/>
            <w:vAlign w:val="center"/>
            <w:hideMark/>
          </w:tcPr>
          <w:p w:rsidR="00821E2A" w:rsidRPr="007C30F1" w:rsidRDefault="00821E2A" w:rsidP="007E074C">
            <w:pPr>
              <w:pStyle w:val="Tabletext"/>
              <w:jc w:val="center"/>
              <w:rPr>
                <w:sz w:val="18"/>
                <w:szCs w:val="18"/>
                <w:lang w:val="es-ES_tradnl"/>
              </w:rPr>
            </w:pPr>
            <w:r w:rsidRPr="007C30F1">
              <w:rPr>
                <w:sz w:val="18"/>
                <w:szCs w:val="18"/>
                <w:lang w:val="es-ES_tradnl"/>
              </w:rPr>
              <w:t>0%</w:t>
            </w:r>
          </w:p>
        </w:tc>
        <w:tc>
          <w:tcPr>
            <w:tcW w:w="1068" w:type="dxa"/>
            <w:tcBorders>
              <w:top w:val="nil"/>
              <w:left w:val="nil"/>
              <w:bottom w:val="single" w:sz="4" w:space="0" w:color="auto"/>
              <w:right w:val="single" w:sz="4" w:space="0" w:color="auto"/>
            </w:tcBorders>
            <w:shd w:val="clear" w:color="auto" w:fill="auto"/>
            <w:noWrap/>
            <w:vAlign w:val="center"/>
            <w:hideMark/>
          </w:tcPr>
          <w:p w:rsidR="00821E2A" w:rsidRPr="007C30F1" w:rsidRDefault="00821E2A" w:rsidP="007E074C">
            <w:pPr>
              <w:pStyle w:val="Tabletext"/>
              <w:jc w:val="center"/>
              <w:rPr>
                <w:sz w:val="18"/>
                <w:szCs w:val="18"/>
                <w:lang w:val="es-ES_tradnl"/>
              </w:rPr>
            </w:pPr>
            <w:r w:rsidRPr="007C30F1">
              <w:rPr>
                <w:sz w:val="18"/>
                <w:szCs w:val="18"/>
                <w:lang w:val="es-ES_tradnl"/>
              </w:rPr>
              <w:t>0%</w:t>
            </w:r>
          </w:p>
        </w:tc>
        <w:tc>
          <w:tcPr>
            <w:tcW w:w="266"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jc w:val="center"/>
              <w:rPr>
                <w:rFonts w:asciiTheme="minorHAnsi" w:hAnsiTheme="minorHAnsi"/>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821E2A" w:rsidRPr="007C30F1" w:rsidRDefault="00821E2A" w:rsidP="007E074C">
            <w:pPr>
              <w:pStyle w:val="Tabletext"/>
              <w:jc w:val="center"/>
              <w:rPr>
                <w:sz w:val="18"/>
                <w:szCs w:val="18"/>
                <w:lang w:val="es-ES_tradnl"/>
              </w:rPr>
            </w:pPr>
            <w:r w:rsidRPr="007C30F1">
              <w:rPr>
                <w:sz w:val="18"/>
                <w:szCs w:val="18"/>
                <w:lang w:val="es-ES_tradnl"/>
              </w:rPr>
              <w:t>0</w:t>
            </w:r>
          </w:p>
        </w:tc>
        <w:tc>
          <w:tcPr>
            <w:tcW w:w="1176" w:type="dxa"/>
            <w:tcBorders>
              <w:top w:val="nil"/>
              <w:left w:val="nil"/>
              <w:bottom w:val="single" w:sz="4" w:space="0" w:color="auto"/>
              <w:right w:val="single" w:sz="4" w:space="0" w:color="auto"/>
            </w:tcBorders>
            <w:shd w:val="clear" w:color="auto" w:fill="auto"/>
            <w:noWrap/>
            <w:vAlign w:val="bottom"/>
            <w:hideMark/>
          </w:tcPr>
          <w:p w:rsidR="00821E2A" w:rsidRPr="007C30F1" w:rsidRDefault="00821E2A" w:rsidP="007E074C">
            <w:pPr>
              <w:pStyle w:val="Tabletext"/>
              <w:jc w:val="center"/>
              <w:rPr>
                <w:sz w:val="18"/>
                <w:szCs w:val="18"/>
                <w:lang w:val="es-ES_tradnl"/>
              </w:rPr>
            </w:pPr>
            <w:r w:rsidRPr="007C30F1">
              <w:rPr>
                <w:sz w:val="18"/>
                <w:szCs w:val="18"/>
                <w:lang w:val="es-ES_tradnl"/>
              </w:rPr>
              <w:t>16 249</w:t>
            </w:r>
          </w:p>
        </w:tc>
        <w:tc>
          <w:tcPr>
            <w:tcW w:w="1314" w:type="dxa"/>
            <w:tcBorders>
              <w:top w:val="nil"/>
              <w:left w:val="nil"/>
              <w:bottom w:val="single" w:sz="4" w:space="0" w:color="auto"/>
              <w:right w:val="single" w:sz="4" w:space="0" w:color="auto"/>
            </w:tcBorders>
            <w:shd w:val="clear" w:color="auto" w:fill="auto"/>
            <w:noWrap/>
            <w:vAlign w:val="bottom"/>
            <w:hideMark/>
          </w:tcPr>
          <w:p w:rsidR="00821E2A" w:rsidRPr="007C30F1" w:rsidRDefault="00821E2A" w:rsidP="007E074C">
            <w:pPr>
              <w:pStyle w:val="Tabletext"/>
              <w:jc w:val="center"/>
              <w:rPr>
                <w:sz w:val="18"/>
                <w:szCs w:val="18"/>
                <w:lang w:val="es-ES_tradnl"/>
              </w:rPr>
            </w:pPr>
            <w:r w:rsidRPr="007C30F1">
              <w:rPr>
                <w:sz w:val="18"/>
                <w:szCs w:val="18"/>
                <w:lang w:val="es-ES_tradnl"/>
              </w:rPr>
              <w:t>0</w:t>
            </w:r>
          </w:p>
        </w:tc>
        <w:tc>
          <w:tcPr>
            <w:tcW w:w="1020" w:type="dxa"/>
            <w:tcBorders>
              <w:top w:val="nil"/>
              <w:left w:val="nil"/>
              <w:bottom w:val="single" w:sz="4" w:space="0" w:color="auto"/>
              <w:right w:val="single" w:sz="4" w:space="0" w:color="auto"/>
            </w:tcBorders>
            <w:shd w:val="clear" w:color="auto" w:fill="auto"/>
            <w:noWrap/>
            <w:vAlign w:val="bottom"/>
            <w:hideMark/>
          </w:tcPr>
          <w:p w:rsidR="00821E2A" w:rsidRPr="007C30F1" w:rsidRDefault="00821E2A" w:rsidP="007E074C">
            <w:pPr>
              <w:pStyle w:val="Tabletext"/>
              <w:jc w:val="center"/>
              <w:rPr>
                <w:sz w:val="18"/>
                <w:szCs w:val="18"/>
                <w:lang w:val="es-ES_tradnl"/>
              </w:rPr>
            </w:pPr>
            <w:r w:rsidRPr="007C30F1">
              <w:rPr>
                <w:sz w:val="18"/>
                <w:szCs w:val="18"/>
                <w:lang w:val="es-ES_tradnl"/>
              </w:rPr>
              <w:t>0</w:t>
            </w:r>
          </w:p>
        </w:tc>
      </w:tr>
      <w:tr w:rsidR="00821E2A" w:rsidRPr="007C30F1" w:rsidTr="00821E2A">
        <w:trPr>
          <w:jc w:val="center"/>
        </w:trPr>
        <w:tc>
          <w:tcPr>
            <w:tcW w:w="2169"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821E2A" w:rsidRPr="007C30F1" w:rsidRDefault="00821E2A" w:rsidP="007E074C">
            <w:pPr>
              <w:pStyle w:val="Tabletext"/>
              <w:rPr>
                <w:b/>
                <w:bCs/>
                <w:sz w:val="18"/>
                <w:szCs w:val="18"/>
                <w:lang w:val="es-ES_tradnl"/>
              </w:rPr>
            </w:pPr>
            <w:r w:rsidRPr="007C30F1">
              <w:rPr>
                <w:b/>
                <w:bCs/>
                <w:sz w:val="18"/>
                <w:szCs w:val="18"/>
                <w:lang w:val="es-ES_tradnl"/>
              </w:rPr>
              <w:t>Coste total</w:t>
            </w:r>
          </w:p>
        </w:tc>
        <w:tc>
          <w:tcPr>
            <w:tcW w:w="724" w:type="dxa"/>
            <w:tcBorders>
              <w:top w:val="nil"/>
              <w:left w:val="nil"/>
              <w:bottom w:val="single" w:sz="4" w:space="0" w:color="auto"/>
              <w:right w:val="single" w:sz="4" w:space="0" w:color="auto"/>
            </w:tcBorders>
            <w:shd w:val="clear" w:color="000000" w:fill="BDD7EE"/>
            <w:noWrap/>
            <w:vAlign w:val="bottom"/>
          </w:tcPr>
          <w:p w:rsidR="00821E2A" w:rsidRPr="007C30F1" w:rsidRDefault="00821E2A" w:rsidP="007E074C">
            <w:pPr>
              <w:pStyle w:val="Tabletext"/>
              <w:jc w:val="center"/>
              <w:rPr>
                <w:b/>
                <w:bCs/>
                <w:sz w:val="18"/>
                <w:szCs w:val="18"/>
                <w:lang w:val="es-ES_tradnl"/>
              </w:rPr>
            </w:pPr>
            <w:r w:rsidRPr="007C30F1">
              <w:rPr>
                <w:b/>
                <w:bCs/>
                <w:sz w:val="18"/>
                <w:szCs w:val="18"/>
                <w:lang w:val="es-ES_tradnl"/>
              </w:rPr>
              <w:t>60 287</w:t>
            </w:r>
          </w:p>
        </w:tc>
        <w:tc>
          <w:tcPr>
            <w:tcW w:w="980" w:type="dxa"/>
            <w:tcBorders>
              <w:top w:val="nil"/>
              <w:left w:val="nil"/>
              <w:bottom w:val="single" w:sz="4" w:space="0" w:color="auto"/>
              <w:right w:val="single" w:sz="4" w:space="0" w:color="auto"/>
            </w:tcBorders>
            <w:shd w:val="clear" w:color="000000" w:fill="BDD7EE"/>
            <w:noWrap/>
            <w:vAlign w:val="bottom"/>
          </w:tcPr>
          <w:p w:rsidR="00821E2A" w:rsidRPr="007C30F1" w:rsidRDefault="00821E2A" w:rsidP="007E074C">
            <w:pPr>
              <w:pStyle w:val="Tabletext"/>
              <w:jc w:val="center"/>
              <w:rPr>
                <w:b/>
                <w:bCs/>
                <w:sz w:val="18"/>
                <w:szCs w:val="18"/>
                <w:lang w:val="es-ES_tradnl"/>
              </w:rPr>
            </w:pPr>
            <w:r w:rsidRPr="007C30F1">
              <w:rPr>
                <w:b/>
                <w:bCs/>
                <w:sz w:val="18"/>
                <w:szCs w:val="18"/>
                <w:lang w:val="es-ES_tradnl"/>
              </w:rPr>
              <w:t>34 012</w:t>
            </w:r>
          </w:p>
        </w:tc>
        <w:tc>
          <w:tcPr>
            <w:tcW w:w="980" w:type="dxa"/>
            <w:tcBorders>
              <w:top w:val="nil"/>
              <w:left w:val="nil"/>
              <w:bottom w:val="single" w:sz="4" w:space="0" w:color="auto"/>
              <w:right w:val="single" w:sz="4" w:space="0" w:color="auto"/>
            </w:tcBorders>
            <w:shd w:val="clear" w:color="000000" w:fill="BDD7EE"/>
            <w:vAlign w:val="bottom"/>
          </w:tcPr>
          <w:p w:rsidR="00821E2A" w:rsidRPr="007C30F1" w:rsidRDefault="00821E2A" w:rsidP="007E074C">
            <w:pPr>
              <w:pStyle w:val="Tabletext"/>
              <w:jc w:val="center"/>
              <w:rPr>
                <w:b/>
                <w:bCs/>
                <w:sz w:val="18"/>
                <w:szCs w:val="18"/>
                <w:lang w:val="es-ES_tradnl"/>
              </w:rPr>
            </w:pPr>
            <w:r w:rsidRPr="007C30F1">
              <w:rPr>
                <w:b/>
                <w:bCs/>
                <w:sz w:val="18"/>
                <w:szCs w:val="18"/>
                <w:lang w:val="es-ES_tradnl"/>
              </w:rPr>
              <w:t>26 238</w:t>
            </w:r>
          </w:p>
        </w:tc>
        <w:tc>
          <w:tcPr>
            <w:tcW w:w="88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821E2A" w:rsidRPr="007C30F1" w:rsidRDefault="00821E2A" w:rsidP="007E074C">
            <w:pPr>
              <w:pStyle w:val="Tabletext"/>
              <w:jc w:val="center"/>
              <w:rPr>
                <w:b/>
                <w:bCs/>
                <w:sz w:val="18"/>
                <w:szCs w:val="18"/>
                <w:lang w:val="es-ES_tradnl"/>
              </w:rPr>
            </w:pPr>
            <w:r w:rsidRPr="007C30F1">
              <w:rPr>
                <w:b/>
                <w:bCs/>
                <w:sz w:val="18"/>
                <w:szCs w:val="18"/>
                <w:lang w:val="es-ES_tradnl"/>
              </w:rPr>
              <w:t>37</w:t>
            </w:r>
          </w:p>
        </w:tc>
        <w:tc>
          <w:tcPr>
            <w:tcW w:w="296" w:type="dxa"/>
            <w:tcBorders>
              <w:top w:val="nil"/>
              <w:left w:val="nil"/>
              <w:bottom w:val="nil"/>
              <w:right w:val="nil"/>
            </w:tcBorders>
            <w:shd w:val="clear" w:color="auto" w:fill="auto"/>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jc w:val="center"/>
              <w:rPr>
                <w:rFonts w:asciiTheme="minorHAnsi" w:hAnsiTheme="minorHAnsi"/>
                <w:b/>
                <w:bCs/>
                <w:sz w:val="18"/>
                <w:szCs w:val="18"/>
                <w:lang w:val="es-ES_tradnl"/>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821E2A" w:rsidRPr="007C30F1" w:rsidRDefault="00821E2A" w:rsidP="007E074C">
            <w:pPr>
              <w:pStyle w:val="Tabletext"/>
              <w:jc w:val="center"/>
              <w:rPr>
                <w:b/>
                <w:bCs/>
                <w:sz w:val="18"/>
                <w:szCs w:val="18"/>
                <w:lang w:val="es-ES_tradnl"/>
              </w:rPr>
            </w:pPr>
          </w:p>
        </w:tc>
        <w:tc>
          <w:tcPr>
            <w:tcW w:w="1176" w:type="dxa"/>
            <w:tcBorders>
              <w:top w:val="nil"/>
              <w:left w:val="nil"/>
              <w:bottom w:val="single" w:sz="4" w:space="0" w:color="auto"/>
              <w:right w:val="single" w:sz="4" w:space="0" w:color="auto"/>
            </w:tcBorders>
            <w:shd w:val="clear" w:color="000000" w:fill="BDD7EE"/>
            <w:noWrap/>
            <w:vAlign w:val="bottom"/>
            <w:hideMark/>
          </w:tcPr>
          <w:p w:rsidR="00821E2A" w:rsidRPr="007C30F1" w:rsidRDefault="00821E2A" w:rsidP="007E074C">
            <w:pPr>
              <w:pStyle w:val="Tabletext"/>
              <w:jc w:val="center"/>
              <w:rPr>
                <w:b/>
                <w:bCs/>
                <w:sz w:val="18"/>
                <w:szCs w:val="18"/>
                <w:lang w:val="es-ES_tradnl"/>
              </w:rPr>
            </w:pPr>
          </w:p>
        </w:tc>
        <w:tc>
          <w:tcPr>
            <w:tcW w:w="1244" w:type="dxa"/>
            <w:tcBorders>
              <w:top w:val="nil"/>
              <w:left w:val="nil"/>
              <w:bottom w:val="single" w:sz="4" w:space="0" w:color="auto"/>
              <w:right w:val="single" w:sz="4" w:space="0" w:color="auto"/>
            </w:tcBorders>
            <w:shd w:val="clear" w:color="000000" w:fill="BDD7EE"/>
            <w:noWrap/>
            <w:vAlign w:val="bottom"/>
            <w:hideMark/>
          </w:tcPr>
          <w:p w:rsidR="00821E2A" w:rsidRPr="007C30F1" w:rsidRDefault="00821E2A" w:rsidP="007E074C">
            <w:pPr>
              <w:pStyle w:val="Tabletext"/>
              <w:jc w:val="center"/>
              <w:rPr>
                <w:b/>
                <w:bCs/>
                <w:sz w:val="18"/>
                <w:szCs w:val="18"/>
                <w:lang w:val="es-ES_tradnl"/>
              </w:rPr>
            </w:pPr>
          </w:p>
        </w:tc>
        <w:tc>
          <w:tcPr>
            <w:tcW w:w="1068" w:type="dxa"/>
            <w:tcBorders>
              <w:top w:val="nil"/>
              <w:left w:val="nil"/>
              <w:bottom w:val="single" w:sz="4" w:space="0" w:color="auto"/>
              <w:right w:val="single" w:sz="4" w:space="0" w:color="auto"/>
            </w:tcBorders>
            <w:shd w:val="clear" w:color="000000" w:fill="BDD7EE"/>
            <w:noWrap/>
            <w:vAlign w:val="bottom"/>
            <w:hideMark/>
          </w:tcPr>
          <w:p w:rsidR="00821E2A" w:rsidRPr="007C30F1" w:rsidRDefault="00821E2A" w:rsidP="007E074C">
            <w:pPr>
              <w:pStyle w:val="Tabletext"/>
              <w:jc w:val="center"/>
              <w:rPr>
                <w:b/>
                <w:bCs/>
                <w:sz w:val="18"/>
                <w:szCs w:val="18"/>
                <w:lang w:val="es-ES_tradnl"/>
              </w:rPr>
            </w:pPr>
          </w:p>
        </w:tc>
        <w:tc>
          <w:tcPr>
            <w:tcW w:w="266" w:type="dxa"/>
            <w:tcBorders>
              <w:top w:val="nil"/>
              <w:left w:val="nil"/>
              <w:bottom w:val="nil"/>
              <w:right w:val="nil"/>
            </w:tcBorders>
            <w:shd w:val="clear" w:color="auto" w:fill="auto"/>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jc w:val="center"/>
              <w:rPr>
                <w:rFonts w:asciiTheme="minorHAnsi" w:hAnsiTheme="minorHAnsi"/>
                <w:b/>
                <w:bCs/>
                <w:sz w:val="18"/>
                <w:szCs w:val="18"/>
                <w:lang w:val="es-ES_tradnl"/>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 xml:space="preserve">22 020 </w:t>
            </w:r>
          </w:p>
        </w:tc>
        <w:tc>
          <w:tcPr>
            <w:tcW w:w="1176" w:type="dxa"/>
            <w:tcBorders>
              <w:top w:val="nil"/>
              <w:left w:val="nil"/>
              <w:bottom w:val="single" w:sz="4" w:space="0" w:color="auto"/>
              <w:right w:val="single" w:sz="4" w:space="0" w:color="auto"/>
            </w:tcBorders>
            <w:shd w:val="clear" w:color="000000" w:fill="BDD7EE"/>
            <w:noWrap/>
            <w:vAlign w:val="bottom"/>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29 461</w:t>
            </w:r>
          </w:p>
        </w:tc>
        <w:tc>
          <w:tcPr>
            <w:tcW w:w="1314" w:type="dxa"/>
            <w:tcBorders>
              <w:top w:val="nil"/>
              <w:left w:val="nil"/>
              <w:bottom w:val="single" w:sz="4" w:space="0" w:color="auto"/>
              <w:right w:val="single" w:sz="4" w:space="0" w:color="auto"/>
            </w:tcBorders>
            <w:shd w:val="clear" w:color="000000" w:fill="BDD7EE"/>
            <w:noWrap/>
            <w:vAlign w:val="bottom"/>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4 404</w:t>
            </w:r>
          </w:p>
        </w:tc>
        <w:tc>
          <w:tcPr>
            <w:tcW w:w="1020" w:type="dxa"/>
            <w:tcBorders>
              <w:top w:val="nil"/>
              <w:left w:val="nil"/>
              <w:bottom w:val="single" w:sz="4" w:space="0" w:color="auto"/>
              <w:right w:val="single" w:sz="4" w:space="0" w:color="auto"/>
            </w:tcBorders>
            <w:shd w:val="clear" w:color="000000" w:fill="BDD7EE"/>
            <w:noWrap/>
            <w:vAlign w:val="bottom"/>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4 404</w:t>
            </w:r>
          </w:p>
        </w:tc>
      </w:tr>
      <w:tr w:rsidR="00821E2A" w:rsidRPr="007C30F1" w:rsidTr="00821E2A">
        <w:trPr>
          <w:jc w:val="center"/>
        </w:trPr>
        <w:tc>
          <w:tcPr>
            <w:tcW w:w="359"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jc w:val="center"/>
              <w:rPr>
                <w:rFonts w:asciiTheme="minorHAnsi" w:hAnsiTheme="minorHAnsi"/>
                <w:sz w:val="22"/>
                <w:lang w:val="es-ES_tradnl" w:eastAsia="zh-CN"/>
              </w:rPr>
            </w:pPr>
          </w:p>
        </w:tc>
        <w:tc>
          <w:tcPr>
            <w:tcW w:w="1810"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jc w:val="center"/>
              <w:rPr>
                <w:rFonts w:asciiTheme="minorHAnsi" w:hAnsiTheme="minorHAnsi"/>
                <w:sz w:val="22"/>
                <w:lang w:val="es-ES_tradnl" w:eastAsia="zh-CN"/>
              </w:rPr>
            </w:pPr>
          </w:p>
        </w:tc>
        <w:tc>
          <w:tcPr>
            <w:tcW w:w="724"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jc w:val="center"/>
              <w:rPr>
                <w:rFonts w:asciiTheme="minorHAnsi" w:hAnsiTheme="minorHAnsi"/>
                <w:sz w:val="22"/>
                <w:lang w:val="es-ES_tradnl" w:eastAsia="zh-CN"/>
              </w:rPr>
            </w:pPr>
          </w:p>
        </w:tc>
        <w:tc>
          <w:tcPr>
            <w:tcW w:w="980"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jc w:val="center"/>
              <w:rPr>
                <w:rFonts w:asciiTheme="minorHAnsi" w:hAnsiTheme="minorHAnsi"/>
                <w:sz w:val="22"/>
                <w:lang w:val="es-ES_tradnl" w:eastAsia="zh-CN"/>
              </w:rPr>
            </w:pPr>
          </w:p>
        </w:tc>
        <w:tc>
          <w:tcPr>
            <w:tcW w:w="980" w:type="dxa"/>
            <w:tcBorders>
              <w:top w:val="nil"/>
              <w:left w:val="nil"/>
              <w:bottom w:val="nil"/>
              <w:right w:val="nil"/>
            </w:tcBorders>
            <w:shd w:val="clear" w:color="000000" w:fill="FFFFFF"/>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jc w:val="center"/>
              <w:rPr>
                <w:rFonts w:asciiTheme="minorHAnsi" w:hAnsiTheme="minorHAnsi"/>
                <w:sz w:val="22"/>
                <w:lang w:val="es-ES_tradnl" w:eastAsia="zh-CN"/>
              </w:rPr>
            </w:pPr>
          </w:p>
        </w:tc>
        <w:tc>
          <w:tcPr>
            <w:tcW w:w="881"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jc w:val="center"/>
              <w:rPr>
                <w:rFonts w:asciiTheme="minorHAnsi" w:hAnsiTheme="minorHAnsi"/>
                <w:sz w:val="22"/>
                <w:lang w:val="es-ES_tradnl" w:eastAsia="zh-CN"/>
              </w:rPr>
            </w:pPr>
          </w:p>
        </w:tc>
        <w:tc>
          <w:tcPr>
            <w:tcW w:w="296"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jc w:val="center"/>
              <w:rPr>
                <w:rFonts w:asciiTheme="minorHAnsi" w:hAnsiTheme="minorHAnsi"/>
                <w:sz w:val="22"/>
                <w:lang w:val="es-ES_tradnl" w:eastAsia="zh-CN"/>
              </w:rPr>
            </w:pPr>
          </w:p>
        </w:tc>
        <w:tc>
          <w:tcPr>
            <w:tcW w:w="1107"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jc w:val="center"/>
              <w:rPr>
                <w:rFonts w:asciiTheme="minorHAnsi" w:hAnsiTheme="minorHAnsi"/>
                <w:sz w:val="22"/>
                <w:lang w:val="es-ES_tradnl" w:eastAsia="zh-CN"/>
              </w:rPr>
            </w:pPr>
          </w:p>
        </w:tc>
        <w:tc>
          <w:tcPr>
            <w:tcW w:w="1176"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jc w:val="center"/>
              <w:rPr>
                <w:rFonts w:asciiTheme="minorHAnsi" w:hAnsiTheme="minorHAnsi"/>
                <w:sz w:val="22"/>
                <w:lang w:val="es-ES_tradnl" w:eastAsia="zh-CN"/>
              </w:rPr>
            </w:pPr>
          </w:p>
        </w:tc>
        <w:tc>
          <w:tcPr>
            <w:tcW w:w="1244"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jc w:val="center"/>
              <w:rPr>
                <w:rFonts w:asciiTheme="minorHAnsi" w:hAnsiTheme="minorHAnsi"/>
                <w:sz w:val="22"/>
                <w:lang w:val="es-ES_tradnl" w:eastAsia="zh-CN"/>
              </w:rPr>
            </w:pPr>
          </w:p>
        </w:tc>
        <w:tc>
          <w:tcPr>
            <w:tcW w:w="1068"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jc w:val="center"/>
              <w:rPr>
                <w:rFonts w:asciiTheme="minorHAnsi" w:hAnsiTheme="minorHAnsi"/>
                <w:sz w:val="22"/>
                <w:lang w:val="es-ES_tradnl" w:eastAsia="zh-CN"/>
              </w:rPr>
            </w:pPr>
          </w:p>
        </w:tc>
        <w:tc>
          <w:tcPr>
            <w:tcW w:w="266"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jc w:val="center"/>
              <w:rPr>
                <w:rFonts w:asciiTheme="minorHAnsi" w:hAnsiTheme="minorHAnsi"/>
                <w:color w:val="000000"/>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36,5%</w:t>
            </w:r>
          </w:p>
        </w:tc>
        <w:tc>
          <w:tcPr>
            <w:tcW w:w="1176" w:type="dxa"/>
            <w:tcBorders>
              <w:top w:val="nil"/>
              <w:left w:val="nil"/>
              <w:bottom w:val="single" w:sz="4" w:space="0" w:color="auto"/>
              <w:right w:val="single" w:sz="4" w:space="0" w:color="auto"/>
            </w:tcBorders>
            <w:shd w:val="clear" w:color="000000" w:fill="BDD7EE"/>
            <w:noWrap/>
            <w:vAlign w:val="bottom"/>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48,9%</w:t>
            </w:r>
          </w:p>
        </w:tc>
        <w:tc>
          <w:tcPr>
            <w:tcW w:w="1314" w:type="dxa"/>
            <w:tcBorders>
              <w:top w:val="nil"/>
              <w:left w:val="nil"/>
              <w:bottom w:val="single" w:sz="4" w:space="0" w:color="auto"/>
              <w:right w:val="single" w:sz="4" w:space="0" w:color="auto"/>
            </w:tcBorders>
            <w:shd w:val="clear" w:color="000000" w:fill="BDD7EE"/>
            <w:noWrap/>
            <w:vAlign w:val="bottom"/>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7,3%</w:t>
            </w:r>
          </w:p>
        </w:tc>
        <w:tc>
          <w:tcPr>
            <w:tcW w:w="1020" w:type="dxa"/>
            <w:tcBorders>
              <w:top w:val="nil"/>
              <w:left w:val="nil"/>
              <w:bottom w:val="single" w:sz="4" w:space="0" w:color="auto"/>
              <w:right w:val="single" w:sz="4" w:space="0" w:color="auto"/>
            </w:tcBorders>
            <w:shd w:val="clear" w:color="000000" w:fill="BDD7EE"/>
            <w:noWrap/>
            <w:vAlign w:val="bottom"/>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7,3%</w:t>
            </w:r>
          </w:p>
        </w:tc>
      </w:tr>
    </w:tbl>
    <w:p w:rsidR="00821E2A" w:rsidRPr="007C30F1" w:rsidRDefault="00821E2A" w:rsidP="007E074C">
      <w:pPr>
        <w:spacing w:line="240" w:lineRule="auto"/>
        <w:rPr>
          <w:lang w:val="es-ES_tradnl"/>
        </w:rPr>
      </w:pPr>
    </w:p>
    <w:tbl>
      <w:tblPr>
        <w:tblW w:w="15491" w:type="dxa"/>
        <w:jc w:val="center"/>
        <w:tblLayout w:type="fixed"/>
        <w:tblLook w:val="04A0" w:firstRow="1" w:lastRow="0" w:firstColumn="1" w:lastColumn="0" w:noHBand="0" w:noVBand="1"/>
      </w:tblPr>
      <w:tblGrid>
        <w:gridCol w:w="359"/>
        <w:gridCol w:w="1763"/>
        <w:gridCol w:w="729"/>
        <w:gridCol w:w="1022"/>
        <w:gridCol w:w="966"/>
        <w:gridCol w:w="881"/>
        <w:gridCol w:w="245"/>
        <w:gridCol w:w="1107"/>
        <w:gridCol w:w="1200"/>
        <w:gridCol w:w="1244"/>
        <w:gridCol w:w="1089"/>
        <w:gridCol w:w="263"/>
        <w:gridCol w:w="1107"/>
        <w:gridCol w:w="1164"/>
        <w:gridCol w:w="1316"/>
        <w:gridCol w:w="1036"/>
      </w:tblGrid>
      <w:tr w:rsidR="00821E2A" w:rsidRPr="007C30F1" w:rsidTr="00821E2A">
        <w:trPr>
          <w:jc w:val="center"/>
        </w:trPr>
        <w:tc>
          <w:tcPr>
            <w:tcW w:w="2122"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821E2A" w:rsidRPr="007C30F1" w:rsidRDefault="00821E2A" w:rsidP="007E074C">
            <w:pPr>
              <w:pStyle w:val="Tablehead"/>
              <w:rPr>
                <w:sz w:val="18"/>
                <w:szCs w:val="18"/>
                <w:lang w:val="es-ES_tradnl" w:eastAsia="zh-CN"/>
              </w:rPr>
            </w:pPr>
            <w:r w:rsidRPr="007C30F1">
              <w:rPr>
                <w:sz w:val="18"/>
                <w:szCs w:val="18"/>
                <w:lang w:val="es-ES_tradnl" w:eastAsia="zh-CN"/>
              </w:rPr>
              <w:t>Objetivos estratégicos de la UIT para 2019</w:t>
            </w:r>
          </w:p>
        </w:tc>
        <w:tc>
          <w:tcPr>
            <w:tcW w:w="729"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821E2A" w:rsidRPr="007C30F1" w:rsidRDefault="00821E2A" w:rsidP="007E074C">
            <w:pPr>
              <w:pStyle w:val="Tablehead"/>
              <w:rPr>
                <w:sz w:val="18"/>
                <w:szCs w:val="18"/>
                <w:lang w:val="es-ES_tradnl" w:eastAsia="zh-CN"/>
              </w:rPr>
            </w:pPr>
            <w:r w:rsidRPr="007C30F1">
              <w:rPr>
                <w:sz w:val="18"/>
                <w:szCs w:val="18"/>
                <w:lang w:val="es-ES_tradnl" w:eastAsia="zh-CN"/>
              </w:rPr>
              <w:t>Coste total</w:t>
            </w:r>
          </w:p>
        </w:tc>
        <w:tc>
          <w:tcPr>
            <w:tcW w:w="1022"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821E2A" w:rsidRPr="007C30F1" w:rsidRDefault="00821E2A" w:rsidP="007E074C">
            <w:pPr>
              <w:pStyle w:val="Tablehead"/>
              <w:ind w:left="-57" w:right="-57"/>
              <w:rPr>
                <w:sz w:val="18"/>
                <w:szCs w:val="18"/>
                <w:lang w:val="es-ES_tradnl" w:eastAsia="zh-CN"/>
              </w:rPr>
            </w:pPr>
            <w:r w:rsidRPr="007C30F1">
              <w:rPr>
                <w:sz w:val="18"/>
                <w:szCs w:val="18"/>
                <w:lang w:val="es-ES_tradnl" w:eastAsia="zh-CN"/>
              </w:rPr>
              <w:t>Coste de la BR/coste directo</w:t>
            </w:r>
          </w:p>
        </w:tc>
        <w:tc>
          <w:tcPr>
            <w:tcW w:w="966" w:type="dxa"/>
            <w:vMerge w:val="restart"/>
            <w:tcBorders>
              <w:top w:val="single" w:sz="4" w:space="0" w:color="auto"/>
              <w:left w:val="single" w:sz="4" w:space="0" w:color="auto"/>
              <w:right w:val="single" w:sz="4" w:space="0" w:color="auto"/>
            </w:tcBorders>
            <w:shd w:val="clear" w:color="000000" w:fill="BDD7EE"/>
            <w:vAlign w:val="center"/>
          </w:tcPr>
          <w:p w:rsidR="00821E2A" w:rsidRPr="007C30F1" w:rsidRDefault="00821E2A" w:rsidP="007E074C">
            <w:pPr>
              <w:pStyle w:val="Tablehead"/>
              <w:ind w:left="-57" w:right="-57"/>
              <w:rPr>
                <w:sz w:val="18"/>
                <w:szCs w:val="18"/>
                <w:lang w:val="es-ES_tradnl" w:eastAsia="zh-CN"/>
              </w:rPr>
            </w:pPr>
            <w:r w:rsidRPr="007C30F1">
              <w:rPr>
                <w:sz w:val="18"/>
                <w:szCs w:val="18"/>
                <w:lang w:val="es-ES_tradnl" w:eastAsia="zh-CN"/>
              </w:rPr>
              <w:t>Coste reasignado de la SG</w:t>
            </w:r>
          </w:p>
        </w:tc>
        <w:tc>
          <w:tcPr>
            <w:tcW w:w="88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821E2A" w:rsidRPr="007C30F1" w:rsidRDefault="00821E2A" w:rsidP="007E074C">
            <w:pPr>
              <w:pStyle w:val="Tablehead"/>
              <w:ind w:left="-57" w:right="-57"/>
              <w:rPr>
                <w:sz w:val="18"/>
                <w:szCs w:val="18"/>
                <w:lang w:val="es-ES_tradnl" w:eastAsia="zh-CN"/>
              </w:rPr>
            </w:pPr>
            <w:r w:rsidRPr="007C30F1">
              <w:rPr>
                <w:sz w:val="18"/>
                <w:szCs w:val="18"/>
                <w:lang w:val="es-ES_tradnl" w:eastAsia="zh-CN"/>
              </w:rPr>
              <w:t>Coste asignado por la TSB/BDT</w:t>
            </w:r>
          </w:p>
        </w:tc>
        <w:tc>
          <w:tcPr>
            <w:tcW w:w="245"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rPr>
                <w:rFonts w:asciiTheme="minorHAnsi" w:hAnsiTheme="minorHAnsi"/>
                <w:sz w:val="22"/>
                <w:lang w:val="es-ES_tradnl" w:eastAsia="zh-CN"/>
              </w:rPr>
            </w:pPr>
            <w:r w:rsidRPr="007C30F1">
              <w:rPr>
                <w:rFonts w:asciiTheme="minorHAnsi" w:hAnsiTheme="minorHAnsi"/>
                <w:sz w:val="22"/>
                <w:lang w:val="es-ES_tradnl" w:eastAsia="zh-CN"/>
              </w:rPr>
              <w:t> </w:t>
            </w:r>
          </w:p>
        </w:tc>
        <w:tc>
          <w:tcPr>
            <w:tcW w:w="1107" w:type="dxa"/>
            <w:vMerge w:val="restart"/>
            <w:tcBorders>
              <w:top w:val="single" w:sz="4" w:space="0" w:color="auto"/>
              <w:left w:val="single" w:sz="4" w:space="0" w:color="auto"/>
              <w:right w:val="single" w:sz="4" w:space="0" w:color="auto"/>
            </w:tcBorders>
            <w:shd w:val="clear" w:color="000000" w:fill="BDD7EE"/>
            <w:noWrap/>
            <w:vAlign w:val="center"/>
            <w:hideMark/>
          </w:tcPr>
          <w:p w:rsidR="00821E2A" w:rsidRPr="007C30F1" w:rsidRDefault="00821E2A" w:rsidP="007E074C">
            <w:pPr>
              <w:pStyle w:val="Tablehead"/>
              <w:rPr>
                <w:sz w:val="18"/>
                <w:szCs w:val="18"/>
                <w:lang w:val="es-ES_tradnl" w:eastAsia="zh-CN"/>
              </w:rPr>
            </w:pPr>
            <w:r w:rsidRPr="007C30F1">
              <w:rPr>
                <w:sz w:val="18"/>
                <w:szCs w:val="18"/>
                <w:lang w:val="es-ES_tradnl" w:eastAsia="zh-CN"/>
              </w:rPr>
              <w:t>Meta 1</w:t>
            </w:r>
          </w:p>
          <w:p w:rsidR="00821E2A" w:rsidRPr="007C30F1" w:rsidRDefault="00821E2A" w:rsidP="007E074C">
            <w:pPr>
              <w:pStyle w:val="Tablehead"/>
              <w:rPr>
                <w:b w:val="0"/>
                <w:bCs/>
                <w:sz w:val="18"/>
                <w:szCs w:val="18"/>
                <w:lang w:val="es-ES_tradnl" w:eastAsia="zh-CN"/>
              </w:rPr>
            </w:pPr>
            <w:r w:rsidRPr="007C30F1">
              <w:rPr>
                <w:b w:val="0"/>
                <w:bCs/>
                <w:sz w:val="18"/>
                <w:szCs w:val="18"/>
                <w:lang w:val="es-ES_tradnl" w:eastAsia="zh-CN"/>
              </w:rPr>
              <w:t>Crecimiento</w:t>
            </w:r>
          </w:p>
        </w:tc>
        <w:tc>
          <w:tcPr>
            <w:tcW w:w="1200" w:type="dxa"/>
            <w:vMerge w:val="restart"/>
            <w:tcBorders>
              <w:top w:val="single" w:sz="4" w:space="0" w:color="auto"/>
              <w:left w:val="nil"/>
              <w:right w:val="single" w:sz="4" w:space="0" w:color="auto"/>
            </w:tcBorders>
            <w:shd w:val="clear" w:color="000000" w:fill="BDD7EE"/>
            <w:noWrap/>
            <w:vAlign w:val="center"/>
            <w:hideMark/>
          </w:tcPr>
          <w:p w:rsidR="00821E2A" w:rsidRPr="007C30F1" w:rsidRDefault="00821E2A" w:rsidP="007E074C">
            <w:pPr>
              <w:pStyle w:val="Tablehead"/>
              <w:rPr>
                <w:sz w:val="18"/>
                <w:szCs w:val="18"/>
                <w:lang w:val="es-ES_tradnl" w:eastAsia="zh-CN"/>
              </w:rPr>
            </w:pPr>
            <w:r w:rsidRPr="007C30F1">
              <w:rPr>
                <w:sz w:val="18"/>
                <w:szCs w:val="18"/>
                <w:lang w:val="es-ES_tradnl" w:eastAsia="zh-CN"/>
              </w:rPr>
              <w:t>Meta 2</w:t>
            </w:r>
          </w:p>
          <w:p w:rsidR="00821E2A" w:rsidRPr="007C30F1" w:rsidRDefault="00821E2A" w:rsidP="007E074C">
            <w:pPr>
              <w:pStyle w:val="Tablehead"/>
              <w:rPr>
                <w:b w:val="0"/>
                <w:bCs/>
                <w:sz w:val="18"/>
                <w:szCs w:val="18"/>
                <w:lang w:val="es-ES_tradnl" w:eastAsia="zh-CN"/>
              </w:rPr>
            </w:pPr>
            <w:r w:rsidRPr="007C30F1">
              <w:rPr>
                <w:b w:val="0"/>
                <w:bCs/>
                <w:sz w:val="18"/>
                <w:szCs w:val="18"/>
                <w:lang w:val="es-ES_tradnl" w:eastAsia="zh-CN"/>
              </w:rPr>
              <w:t>Integración</w:t>
            </w:r>
          </w:p>
        </w:tc>
        <w:tc>
          <w:tcPr>
            <w:tcW w:w="1244" w:type="dxa"/>
            <w:vMerge w:val="restart"/>
            <w:tcBorders>
              <w:top w:val="single" w:sz="4" w:space="0" w:color="auto"/>
              <w:left w:val="nil"/>
              <w:right w:val="nil"/>
            </w:tcBorders>
            <w:shd w:val="clear" w:color="000000" w:fill="BDD7EE"/>
            <w:noWrap/>
            <w:vAlign w:val="center"/>
            <w:hideMark/>
          </w:tcPr>
          <w:p w:rsidR="00821E2A" w:rsidRPr="007C30F1" w:rsidRDefault="00821E2A" w:rsidP="007E074C">
            <w:pPr>
              <w:pStyle w:val="Tablehead"/>
              <w:rPr>
                <w:sz w:val="18"/>
                <w:szCs w:val="18"/>
                <w:lang w:val="es-ES_tradnl" w:eastAsia="zh-CN"/>
              </w:rPr>
            </w:pPr>
            <w:r w:rsidRPr="007C30F1">
              <w:rPr>
                <w:sz w:val="18"/>
                <w:szCs w:val="18"/>
                <w:lang w:val="es-ES_tradnl" w:eastAsia="zh-CN"/>
              </w:rPr>
              <w:t>Meta 3</w:t>
            </w:r>
          </w:p>
          <w:p w:rsidR="00821E2A" w:rsidRPr="007C30F1" w:rsidRDefault="00821E2A" w:rsidP="007E074C">
            <w:pPr>
              <w:pStyle w:val="Tablehead"/>
              <w:ind w:left="-57" w:right="-57"/>
              <w:rPr>
                <w:b w:val="0"/>
                <w:bCs/>
                <w:sz w:val="18"/>
                <w:szCs w:val="18"/>
                <w:lang w:val="es-ES_tradnl" w:eastAsia="zh-CN"/>
              </w:rPr>
            </w:pPr>
            <w:r w:rsidRPr="007C30F1">
              <w:rPr>
                <w:b w:val="0"/>
                <w:bCs/>
                <w:sz w:val="18"/>
                <w:szCs w:val="18"/>
                <w:lang w:val="es-ES_tradnl" w:eastAsia="zh-CN"/>
              </w:rPr>
              <w:t>Sostenibilidad</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rsidR="00821E2A" w:rsidRPr="007C30F1" w:rsidRDefault="00821E2A" w:rsidP="007E074C">
            <w:pPr>
              <w:pStyle w:val="Tablehead"/>
              <w:rPr>
                <w:sz w:val="18"/>
                <w:szCs w:val="18"/>
                <w:lang w:val="es-ES_tradnl" w:eastAsia="zh-CN"/>
              </w:rPr>
            </w:pPr>
            <w:r w:rsidRPr="007C30F1">
              <w:rPr>
                <w:sz w:val="18"/>
                <w:szCs w:val="18"/>
                <w:lang w:val="es-ES_tradnl" w:eastAsia="zh-CN"/>
              </w:rPr>
              <w:t>Meta 4</w:t>
            </w:r>
          </w:p>
          <w:p w:rsidR="00821E2A" w:rsidRPr="007C30F1" w:rsidRDefault="00821E2A" w:rsidP="007E074C">
            <w:pPr>
              <w:pStyle w:val="Tablehead"/>
              <w:ind w:left="-57" w:right="-57"/>
              <w:rPr>
                <w:b w:val="0"/>
                <w:bCs/>
                <w:sz w:val="18"/>
                <w:szCs w:val="18"/>
                <w:lang w:val="es-ES_tradnl" w:eastAsia="zh-CN"/>
              </w:rPr>
            </w:pPr>
            <w:r w:rsidRPr="007C30F1">
              <w:rPr>
                <w:b w:val="0"/>
                <w:bCs/>
                <w:sz w:val="18"/>
                <w:szCs w:val="18"/>
                <w:lang w:val="es-ES_tradnl" w:eastAsia="zh-CN"/>
              </w:rPr>
              <w:t>Innovación y asociación</w:t>
            </w:r>
          </w:p>
        </w:tc>
        <w:tc>
          <w:tcPr>
            <w:tcW w:w="263"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rPr>
                <w:rFonts w:asciiTheme="minorHAnsi" w:hAnsiTheme="minorHAnsi"/>
                <w:sz w:val="22"/>
                <w:lang w:val="es-ES_tradnl" w:eastAsia="zh-CN"/>
              </w:rPr>
            </w:pPr>
            <w:r w:rsidRPr="007C30F1">
              <w:rPr>
                <w:rFonts w:asciiTheme="minorHAnsi" w:hAnsiTheme="minorHAnsi"/>
                <w:sz w:val="22"/>
                <w:lang w:val="es-ES_tradnl" w:eastAsia="zh-CN"/>
              </w:rPr>
              <w:t> </w:t>
            </w:r>
          </w:p>
        </w:tc>
        <w:tc>
          <w:tcPr>
            <w:tcW w:w="1107" w:type="dxa"/>
            <w:vMerge w:val="restart"/>
            <w:tcBorders>
              <w:top w:val="single" w:sz="4" w:space="0" w:color="auto"/>
              <w:left w:val="double" w:sz="6" w:space="0" w:color="auto"/>
              <w:right w:val="single" w:sz="4" w:space="0" w:color="auto"/>
            </w:tcBorders>
            <w:shd w:val="clear" w:color="000000" w:fill="BDD7EE"/>
            <w:noWrap/>
            <w:vAlign w:val="center"/>
            <w:hideMark/>
          </w:tcPr>
          <w:p w:rsidR="00821E2A" w:rsidRPr="007C30F1" w:rsidRDefault="00821E2A" w:rsidP="007E074C">
            <w:pPr>
              <w:pStyle w:val="Tablehead"/>
              <w:rPr>
                <w:sz w:val="18"/>
                <w:szCs w:val="18"/>
                <w:lang w:val="es-ES_tradnl" w:eastAsia="zh-CN"/>
              </w:rPr>
            </w:pPr>
            <w:r w:rsidRPr="007C30F1">
              <w:rPr>
                <w:sz w:val="18"/>
                <w:szCs w:val="18"/>
                <w:lang w:val="es-ES_tradnl" w:eastAsia="zh-CN"/>
              </w:rPr>
              <w:t>Meta 1</w:t>
            </w:r>
          </w:p>
          <w:p w:rsidR="00821E2A" w:rsidRPr="007C30F1" w:rsidRDefault="00821E2A" w:rsidP="007E074C">
            <w:pPr>
              <w:pStyle w:val="Tablehead"/>
              <w:rPr>
                <w:b w:val="0"/>
                <w:bCs/>
                <w:sz w:val="18"/>
                <w:szCs w:val="18"/>
                <w:lang w:val="es-ES_tradnl" w:eastAsia="zh-CN"/>
              </w:rPr>
            </w:pPr>
            <w:r w:rsidRPr="007C30F1">
              <w:rPr>
                <w:b w:val="0"/>
                <w:bCs/>
                <w:sz w:val="18"/>
                <w:szCs w:val="18"/>
                <w:lang w:val="es-ES_tradnl" w:eastAsia="zh-CN"/>
              </w:rPr>
              <w:t>Crecimiento</w:t>
            </w:r>
          </w:p>
        </w:tc>
        <w:tc>
          <w:tcPr>
            <w:tcW w:w="1164" w:type="dxa"/>
            <w:vMerge w:val="restart"/>
            <w:tcBorders>
              <w:top w:val="single" w:sz="4" w:space="0" w:color="auto"/>
              <w:left w:val="nil"/>
              <w:right w:val="single" w:sz="4" w:space="0" w:color="auto"/>
            </w:tcBorders>
            <w:shd w:val="clear" w:color="000000" w:fill="BDD7EE"/>
            <w:noWrap/>
            <w:vAlign w:val="center"/>
            <w:hideMark/>
          </w:tcPr>
          <w:p w:rsidR="00821E2A" w:rsidRPr="007C30F1" w:rsidRDefault="00821E2A" w:rsidP="007E074C">
            <w:pPr>
              <w:pStyle w:val="Tablehead"/>
              <w:rPr>
                <w:sz w:val="18"/>
                <w:szCs w:val="18"/>
                <w:lang w:val="es-ES_tradnl" w:eastAsia="zh-CN"/>
              </w:rPr>
            </w:pPr>
            <w:r w:rsidRPr="007C30F1">
              <w:rPr>
                <w:sz w:val="18"/>
                <w:szCs w:val="18"/>
                <w:lang w:val="es-ES_tradnl" w:eastAsia="zh-CN"/>
              </w:rPr>
              <w:t>Meta 2</w:t>
            </w:r>
          </w:p>
          <w:p w:rsidR="00821E2A" w:rsidRPr="007C30F1" w:rsidRDefault="00821E2A" w:rsidP="007E074C">
            <w:pPr>
              <w:pStyle w:val="Tablehead"/>
              <w:rPr>
                <w:b w:val="0"/>
                <w:bCs/>
                <w:sz w:val="18"/>
                <w:szCs w:val="18"/>
                <w:lang w:val="es-ES_tradnl" w:eastAsia="zh-CN"/>
              </w:rPr>
            </w:pPr>
            <w:r w:rsidRPr="007C30F1">
              <w:rPr>
                <w:b w:val="0"/>
                <w:bCs/>
                <w:sz w:val="18"/>
                <w:szCs w:val="18"/>
                <w:lang w:val="es-ES_tradnl" w:eastAsia="zh-CN"/>
              </w:rPr>
              <w:t>Integración</w:t>
            </w:r>
          </w:p>
        </w:tc>
        <w:tc>
          <w:tcPr>
            <w:tcW w:w="1316" w:type="dxa"/>
            <w:vMerge w:val="restart"/>
            <w:tcBorders>
              <w:top w:val="single" w:sz="4" w:space="0" w:color="auto"/>
              <w:left w:val="nil"/>
              <w:right w:val="nil"/>
            </w:tcBorders>
            <w:shd w:val="clear" w:color="000000" w:fill="BDD7EE"/>
            <w:noWrap/>
            <w:vAlign w:val="center"/>
            <w:hideMark/>
          </w:tcPr>
          <w:p w:rsidR="00821E2A" w:rsidRPr="007C30F1" w:rsidRDefault="00821E2A" w:rsidP="007E074C">
            <w:pPr>
              <w:pStyle w:val="Tablehead"/>
              <w:rPr>
                <w:sz w:val="18"/>
                <w:szCs w:val="18"/>
                <w:lang w:val="es-ES_tradnl" w:eastAsia="zh-CN"/>
              </w:rPr>
            </w:pPr>
            <w:r w:rsidRPr="007C30F1">
              <w:rPr>
                <w:sz w:val="18"/>
                <w:szCs w:val="18"/>
                <w:lang w:val="es-ES_tradnl" w:eastAsia="zh-CN"/>
              </w:rPr>
              <w:t>Meta 3</w:t>
            </w:r>
          </w:p>
          <w:p w:rsidR="00821E2A" w:rsidRPr="007C30F1" w:rsidRDefault="00821E2A" w:rsidP="007E074C">
            <w:pPr>
              <w:pStyle w:val="Tablehead"/>
              <w:rPr>
                <w:b w:val="0"/>
                <w:bCs/>
                <w:sz w:val="18"/>
                <w:szCs w:val="18"/>
                <w:lang w:val="es-ES_tradnl" w:eastAsia="zh-CN"/>
              </w:rPr>
            </w:pPr>
            <w:r w:rsidRPr="007C30F1">
              <w:rPr>
                <w:b w:val="0"/>
                <w:bCs/>
                <w:sz w:val="18"/>
                <w:szCs w:val="18"/>
                <w:lang w:val="es-ES_tradnl" w:eastAsia="zh-CN"/>
              </w:rPr>
              <w:t>Sostenibilidad</w:t>
            </w:r>
          </w:p>
        </w:tc>
        <w:tc>
          <w:tcPr>
            <w:tcW w:w="1036" w:type="dxa"/>
            <w:vMerge w:val="restart"/>
            <w:tcBorders>
              <w:top w:val="single" w:sz="4" w:space="0" w:color="auto"/>
              <w:left w:val="single" w:sz="4" w:space="0" w:color="auto"/>
              <w:right w:val="single" w:sz="4" w:space="0" w:color="auto"/>
            </w:tcBorders>
            <w:shd w:val="clear" w:color="000000" w:fill="BDD7EE"/>
            <w:noWrap/>
            <w:vAlign w:val="center"/>
            <w:hideMark/>
          </w:tcPr>
          <w:p w:rsidR="00821E2A" w:rsidRPr="007C30F1" w:rsidRDefault="00821E2A" w:rsidP="007E074C">
            <w:pPr>
              <w:pStyle w:val="Tablehead"/>
              <w:rPr>
                <w:sz w:val="18"/>
                <w:szCs w:val="18"/>
                <w:lang w:val="es-ES_tradnl" w:eastAsia="zh-CN"/>
              </w:rPr>
            </w:pPr>
            <w:r w:rsidRPr="007C30F1">
              <w:rPr>
                <w:sz w:val="18"/>
                <w:szCs w:val="18"/>
                <w:lang w:val="es-ES_tradnl" w:eastAsia="zh-CN"/>
              </w:rPr>
              <w:t>Meta 4</w:t>
            </w:r>
          </w:p>
          <w:p w:rsidR="00821E2A" w:rsidRPr="007C30F1" w:rsidRDefault="00821E2A" w:rsidP="007E074C">
            <w:pPr>
              <w:pStyle w:val="Tablehead"/>
              <w:ind w:left="-57" w:right="-57"/>
              <w:rPr>
                <w:b w:val="0"/>
                <w:bCs/>
                <w:sz w:val="18"/>
                <w:szCs w:val="18"/>
                <w:lang w:val="es-ES_tradnl" w:eastAsia="zh-CN"/>
              </w:rPr>
            </w:pPr>
            <w:r w:rsidRPr="007C30F1">
              <w:rPr>
                <w:b w:val="0"/>
                <w:bCs/>
                <w:sz w:val="18"/>
                <w:szCs w:val="18"/>
                <w:lang w:val="es-ES_tradnl" w:eastAsia="zh-CN"/>
              </w:rPr>
              <w:t>Innovación y asociación</w:t>
            </w:r>
          </w:p>
        </w:tc>
      </w:tr>
      <w:tr w:rsidR="00821E2A" w:rsidRPr="007C30F1" w:rsidTr="00821E2A">
        <w:trPr>
          <w:jc w:val="center"/>
        </w:trPr>
        <w:tc>
          <w:tcPr>
            <w:tcW w:w="2122" w:type="dxa"/>
            <w:gridSpan w:val="2"/>
            <w:vMerge/>
            <w:tcBorders>
              <w:top w:val="single" w:sz="4" w:space="0" w:color="auto"/>
              <w:left w:val="single" w:sz="4" w:space="0" w:color="auto"/>
              <w:bottom w:val="single" w:sz="4" w:space="0" w:color="000000"/>
              <w:right w:val="single" w:sz="4" w:space="0" w:color="000000"/>
            </w:tcBorders>
            <w:vAlign w:val="center"/>
            <w:hideMark/>
          </w:tcPr>
          <w:p w:rsidR="00821E2A" w:rsidRPr="007C30F1" w:rsidRDefault="00821E2A" w:rsidP="007E074C">
            <w:pPr>
              <w:spacing w:line="240" w:lineRule="auto"/>
              <w:jc w:val="center"/>
              <w:rPr>
                <w:rFonts w:asciiTheme="minorHAnsi" w:hAnsiTheme="minorHAnsi"/>
                <w:b/>
                <w:bCs/>
                <w:color w:val="000000"/>
                <w:sz w:val="18"/>
                <w:szCs w:val="18"/>
                <w:lang w:val="es-ES_tradnl" w:eastAsia="zh-CN"/>
              </w:rPr>
            </w:pPr>
          </w:p>
        </w:tc>
        <w:tc>
          <w:tcPr>
            <w:tcW w:w="729" w:type="dxa"/>
            <w:vMerge/>
            <w:tcBorders>
              <w:top w:val="single" w:sz="4" w:space="0" w:color="auto"/>
              <w:left w:val="single" w:sz="4" w:space="0" w:color="auto"/>
              <w:bottom w:val="single" w:sz="4" w:space="0" w:color="000000"/>
              <w:right w:val="single" w:sz="4" w:space="0" w:color="auto"/>
            </w:tcBorders>
            <w:vAlign w:val="center"/>
            <w:hideMark/>
          </w:tcPr>
          <w:p w:rsidR="00821E2A" w:rsidRPr="007C30F1" w:rsidRDefault="00821E2A" w:rsidP="007E074C">
            <w:pPr>
              <w:spacing w:line="240" w:lineRule="auto"/>
              <w:jc w:val="center"/>
              <w:rPr>
                <w:rFonts w:asciiTheme="minorHAnsi" w:hAnsiTheme="minorHAnsi"/>
                <w:b/>
                <w:bCs/>
                <w:color w:val="000000"/>
                <w:sz w:val="18"/>
                <w:szCs w:val="18"/>
                <w:lang w:val="es-ES_tradnl" w:eastAsia="zh-CN"/>
              </w:rPr>
            </w:pPr>
          </w:p>
        </w:tc>
        <w:tc>
          <w:tcPr>
            <w:tcW w:w="1022" w:type="dxa"/>
            <w:vMerge/>
            <w:tcBorders>
              <w:top w:val="single" w:sz="4" w:space="0" w:color="auto"/>
              <w:left w:val="single" w:sz="4" w:space="0" w:color="auto"/>
              <w:bottom w:val="single" w:sz="4" w:space="0" w:color="000000"/>
              <w:right w:val="single" w:sz="4" w:space="0" w:color="auto"/>
            </w:tcBorders>
            <w:vAlign w:val="center"/>
            <w:hideMark/>
          </w:tcPr>
          <w:p w:rsidR="00821E2A" w:rsidRPr="007C30F1" w:rsidRDefault="00821E2A" w:rsidP="007E074C">
            <w:pPr>
              <w:spacing w:line="240" w:lineRule="auto"/>
              <w:jc w:val="center"/>
              <w:rPr>
                <w:rFonts w:asciiTheme="minorHAnsi" w:hAnsiTheme="minorHAnsi"/>
                <w:b/>
                <w:bCs/>
                <w:color w:val="000000"/>
                <w:sz w:val="18"/>
                <w:szCs w:val="18"/>
                <w:lang w:val="es-ES_tradnl" w:eastAsia="zh-CN"/>
              </w:rPr>
            </w:pPr>
          </w:p>
        </w:tc>
        <w:tc>
          <w:tcPr>
            <w:tcW w:w="966" w:type="dxa"/>
            <w:vMerge/>
            <w:tcBorders>
              <w:left w:val="single" w:sz="4" w:space="0" w:color="auto"/>
              <w:bottom w:val="single" w:sz="4" w:space="0" w:color="000000"/>
              <w:right w:val="single" w:sz="4" w:space="0" w:color="auto"/>
            </w:tcBorders>
            <w:vAlign w:val="center"/>
          </w:tcPr>
          <w:p w:rsidR="00821E2A" w:rsidRPr="007C30F1" w:rsidRDefault="00821E2A" w:rsidP="007E074C">
            <w:pPr>
              <w:spacing w:line="240" w:lineRule="auto"/>
              <w:jc w:val="center"/>
              <w:rPr>
                <w:rFonts w:asciiTheme="minorHAnsi" w:hAnsiTheme="minorHAnsi"/>
                <w:b/>
                <w:bCs/>
                <w:color w:val="000000"/>
                <w:sz w:val="18"/>
                <w:szCs w:val="18"/>
                <w:lang w:val="es-ES_tradnl" w:eastAsia="zh-CN"/>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821E2A" w:rsidRPr="007C30F1" w:rsidRDefault="00821E2A" w:rsidP="007E074C">
            <w:pPr>
              <w:spacing w:line="240" w:lineRule="auto"/>
              <w:jc w:val="center"/>
              <w:rPr>
                <w:rFonts w:asciiTheme="minorHAnsi" w:hAnsiTheme="minorHAnsi"/>
                <w:b/>
                <w:bCs/>
                <w:color w:val="000000"/>
                <w:sz w:val="18"/>
                <w:szCs w:val="18"/>
                <w:lang w:val="es-ES_tradnl" w:eastAsia="zh-CN"/>
              </w:rPr>
            </w:pPr>
          </w:p>
        </w:tc>
        <w:tc>
          <w:tcPr>
            <w:tcW w:w="245"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rPr>
                <w:rFonts w:asciiTheme="minorHAnsi" w:hAnsiTheme="minorHAnsi"/>
                <w:sz w:val="22"/>
                <w:lang w:val="es-ES_tradnl" w:eastAsia="zh-CN"/>
              </w:rPr>
            </w:pPr>
            <w:r w:rsidRPr="007C30F1">
              <w:rPr>
                <w:rFonts w:asciiTheme="minorHAnsi" w:hAnsiTheme="minorHAnsi"/>
                <w:sz w:val="22"/>
                <w:lang w:val="es-ES_tradnl" w:eastAsia="zh-CN"/>
              </w:rPr>
              <w:t> </w:t>
            </w:r>
          </w:p>
        </w:tc>
        <w:tc>
          <w:tcPr>
            <w:tcW w:w="1107" w:type="dxa"/>
            <w:vMerge/>
            <w:tcBorders>
              <w:left w:val="single" w:sz="4" w:space="0" w:color="auto"/>
              <w:bottom w:val="single" w:sz="4" w:space="0" w:color="auto"/>
              <w:right w:val="single" w:sz="4" w:space="0" w:color="auto"/>
            </w:tcBorders>
            <w:shd w:val="clear" w:color="000000" w:fill="BDD7EE"/>
            <w:noWrap/>
            <w:vAlign w:val="bottom"/>
            <w:hideMark/>
          </w:tcPr>
          <w:p w:rsidR="00821E2A" w:rsidRPr="007C30F1" w:rsidRDefault="00821E2A" w:rsidP="007E074C">
            <w:pPr>
              <w:spacing w:line="240" w:lineRule="auto"/>
              <w:jc w:val="center"/>
              <w:rPr>
                <w:rFonts w:asciiTheme="minorHAnsi" w:hAnsiTheme="minorHAnsi"/>
                <w:b/>
                <w:bCs/>
                <w:color w:val="000000"/>
                <w:sz w:val="18"/>
                <w:szCs w:val="18"/>
                <w:lang w:val="es-ES_tradnl" w:eastAsia="zh-CN"/>
              </w:rPr>
            </w:pPr>
          </w:p>
        </w:tc>
        <w:tc>
          <w:tcPr>
            <w:tcW w:w="1200" w:type="dxa"/>
            <w:vMerge/>
            <w:tcBorders>
              <w:left w:val="nil"/>
              <w:bottom w:val="nil"/>
              <w:right w:val="single" w:sz="4" w:space="0" w:color="auto"/>
            </w:tcBorders>
            <w:shd w:val="clear" w:color="000000" w:fill="BDD7EE"/>
            <w:noWrap/>
            <w:vAlign w:val="bottom"/>
            <w:hideMark/>
          </w:tcPr>
          <w:p w:rsidR="00821E2A" w:rsidRPr="007C30F1" w:rsidRDefault="00821E2A" w:rsidP="007E074C">
            <w:pPr>
              <w:spacing w:line="240" w:lineRule="auto"/>
              <w:jc w:val="center"/>
              <w:rPr>
                <w:rFonts w:asciiTheme="minorHAnsi" w:hAnsiTheme="minorHAnsi"/>
                <w:b/>
                <w:bCs/>
                <w:color w:val="000000"/>
                <w:sz w:val="18"/>
                <w:szCs w:val="18"/>
                <w:lang w:val="es-ES_tradnl" w:eastAsia="zh-CN"/>
              </w:rPr>
            </w:pPr>
          </w:p>
        </w:tc>
        <w:tc>
          <w:tcPr>
            <w:tcW w:w="1244" w:type="dxa"/>
            <w:vMerge/>
            <w:tcBorders>
              <w:left w:val="nil"/>
              <w:bottom w:val="nil"/>
              <w:right w:val="nil"/>
            </w:tcBorders>
            <w:shd w:val="clear" w:color="000000" w:fill="BDD7EE"/>
            <w:noWrap/>
            <w:vAlign w:val="bottom"/>
            <w:hideMark/>
          </w:tcPr>
          <w:p w:rsidR="00821E2A" w:rsidRPr="007C30F1" w:rsidRDefault="00821E2A" w:rsidP="007E074C">
            <w:pPr>
              <w:spacing w:line="240" w:lineRule="auto"/>
              <w:jc w:val="center"/>
              <w:rPr>
                <w:rFonts w:asciiTheme="minorHAnsi" w:hAnsiTheme="minorHAnsi"/>
                <w:b/>
                <w:bCs/>
                <w:color w:val="000000"/>
                <w:sz w:val="18"/>
                <w:szCs w:val="18"/>
                <w:lang w:val="es-ES_tradnl" w:eastAsia="zh-CN"/>
              </w:rPr>
            </w:pPr>
          </w:p>
        </w:tc>
        <w:tc>
          <w:tcPr>
            <w:tcW w:w="1089" w:type="dxa"/>
            <w:vMerge/>
            <w:tcBorders>
              <w:left w:val="single" w:sz="4" w:space="0" w:color="auto"/>
              <w:bottom w:val="nil"/>
              <w:right w:val="single" w:sz="4" w:space="0" w:color="auto"/>
            </w:tcBorders>
            <w:shd w:val="clear" w:color="000000" w:fill="BDD7EE"/>
            <w:noWrap/>
            <w:vAlign w:val="bottom"/>
            <w:hideMark/>
          </w:tcPr>
          <w:p w:rsidR="00821E2A" w:rsidRPr="007C30F1" w:rsidRDefault="00821E2A" w:rsidP="007E074C">
            <w:pPr>
              <w:spacing w:line="240" w:lineRule="auto"/>
              <w:jc w:val="center"/>
              <w:rPr>
                <w:rFonts w:asciiTheme="minorHAnsi" w:hAnsiTheme="minorHAnsi"/>
                <w:b/>
                <w:bCs/>
                <w:color w:val="000000"/>
                <w:sz w:val="18"/>
                <w:szCs w:val="18"/>
                <w:lang w:val="es-ES_tradnl" w:eastAsia="zh-CN"/>
              </w:rPr>
            </w:pPr>
          </w:p>
        </w:tc>
        <w:tc>
          <w:tcPr>
            <w:tcW w:w="263"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rPr>
                <w:rFonts w:asciiTheme="minorHAnsi" w:hAnsiTheme="minorHAnsi"/>
                <w:sz w:val="22"/>
                <w:lang w:val="es-ES_tradnl" w:eastAsia="zh-CN"/>
              </w:rPr>
            </w:pPr>
            <w:r w:rsidRPr="007C30F1">
              <w:rPr>
                <w:rFonts w:asciiTheme="minorHAnsi" w:hAnsiTheme="minorHAnsi"/>
                <w:sz w:val="22"/>
                <w:lang w:val="es-ES_tradnl" w:eastAsia="zh-CN"/>
              </w:rPr>
              <w:t> </w:t>
            </w:r>
          </w:p>
        </w:tc>
        <w:tc>
          <w:tcPr>
            <w:tcW w:w="1107" w:type="dxa"/>
            <w:vMerge/>
            <w:tcBorders>
              <w:left w:val="double" w:sz="6" w:space="0" w:color="auto"/>
              <w:bottom w:val="single" w:sz="4" w:space="0" w:color="auto"/>
              <w:right w:val="single" w:sz="4" w:space="0" w:color="auto"/>
            </w:tcBorders>
            <w:shd w:val="clear" w:color="000000" w:fill="BDD7EE"/>
            <w:noWrap/>
            <w:vAlign w:val="bottom"/>
            <w:hideMark/>
          </w:tcPr>
          <w:p w:rsidR="00821E2A" w:rsidRPr="007C30F1" w:rsidRDefault="00821E2A" w:rsidP="007E074C">
            <w:pPr>
              <w:spacing w:line="240" w:lineRule="auto"/>
              <w:jc w:val="center"/>
              <w:rPr>
                <w:rFonts w:asciiTheme="minorHAnsi" w:hAnsiTheme="minorHAnsi"/>
                <w:b/>
                <w:bCs/>
                <w:color w:val="000000"/>
                <w:sz w:val="18"/>
                <w:szCs w:val="18"/>
                <w:lang w:val="es-ES_tradnl" w:eastAsia="zh-CN"/>
              </w:rPr>
            </w:pPr>
          </w:p>
        </w:tc>
        <w:tc>
          <w:tcPr>
            <w:tcW w:w="1164" w:type="dxa"/>
            <w:vMerge/>
            <w:tcBorders>
              <w:left w:val="nil"/>
              <w:bottom w:val="single" w:sz="4" w:space="0" w:color="auto"/>
              <w:right w:val="single" w:sz="4" w:space="0" w:color="auto"/>
            </w:tcBorders>
            <w:shd w:val="clear" w:color="000000" w:fill="BDD7EE"/>
            <w:noWrap/>
            <w:vAlign w:val="bottom"/>
            <w:hideMark/>
          </w:tcPr>
          <w:p w:rsidR="00821E2A" w:rsidRPr="007C30F1" w:rsidRDefault="00821E2A" w:rsidP="007E074C">
            <w:pPr>
              <w:spacing w:line="240" w:lineRule="auto"/>
              <w:jc w:val="center"/>
              <w:rPr>
                <w:rFonts w:asciiTheme="minorHAnsi" w:hAnsiTheme="minorHAnsi"/>
                <w:b/>
                <w:bCs/>
                <w:color w:val="000000"/>
                <w:sz w:val="18"/>
                <w:szCs w:val="18"/>
                <w:lang w:val="es-ES_tradnl" w:eastAsia="zh-CN"/>
              </w:rPr>
            </w:pPr>
          </w:p>
        </w:tc>
        <w:tc>
          <w:tcPr>
            <w:tcW w:w="1316" w:type="dxa"/>
            <w:vMerge/>
            <w:tcBorders>
              <w:left w:val="nil"/>
              <w:bottom w:val="single" w:sz="4" w:space="0" w:color="auto"/>
              <w:right w:val="nil"/>
            </w:tcBorders>
            <w:shd w:val="clear" w:color="000000" w:fill="BDD7EE"/>
            <w:noWrap/>
            <w:vAlign w:val="bottom"/>
            <w:hideMark/>
          </w:tcPr>
          <w:p w:rsidR="00821E2A" w:rsidRPr="007C30F1" w:rsidRDefault="00821E2A" w:rsidP="007E074C">
            <w:pPr>
              <w:spacing w:line="240" w:lineRule="auto"/>
              <w:jc w:val="center"/>
              <w:rPr>
                <w:rFonts w:asciiTheme="minorHAnsi" w:hAnsiTheme="minorHAnsi"/>
                <w:b/>
                <w:bCs/>
                <w:color w:val="000000"/>
                <w:sz w:val="18"/>
                <w:szCs w:val="18"/>
                <w:lang w:val="es-ES_tradnl" w:eastAsia="zh-CN"/>
              </w:rPr>
            </w:pPr>
          </w:p>
        </w:tc>
        <w:tc>
          <w:tcPr>
            <w:tcW w:w="1036" w:type="dxa"/>
            <w:vMerge/>
            <w:tcBorders>
              <w:left w:val="single" w:sz="4" w:space="0" w:color="auto"/>
              <w:bottom w:val="single" w:sz="4" w:space="0" w:color="auto"/>
              <w:right w:val="single" w:sz="4" w:space="0" w:color="auto"/>
            </w:tcBorders>
            <w:shd w:val="clear" w:color="000000" w:fill="BDD7EE"/>
            <w:noWrap/>
            <w:vAlign w:val="bottom"/>
            <w:hideMark/>
          </w:tcPr>
          <w:p w:rsidR="00821E2A" w:rsidRPr="007C30F1" w:rsidRDefault="00821E2A" w:rsidP="007E074C">
            <w:pPr>
              <w:spacing w:line="240" w:lineRule="auto"/>
              <w:jc w:val="center"/>
              <w:rPr>
                <w:rFonts w:asciiTheme="minorHAnsi" w:hAnsiTheme="minorHAnsi"/>
                <w:b/>
                <w:bCs/>
                <w:color w:val="000000"/>
                <w:sz w:val="18"/>
                <w:szCs w:val="18"/>
                <w:lang w:val="es-ES_tradnl" w:eastAsia="zh-CN"/>
              </w:rPr>
            </w:pPr>
          </w:p>
        </w:tc>
      </w:tr>
      <w:tr w:rsidR="00821E2A" w:rsidRPr="007C30F1" w:rsidTr="00821E2A">
        <w:trPr>
          <w:jc w:val="center"/>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821E2A" w:rsidRPr="007C30F1" w:rsidRDefault="00821E2A" w:rsidP="007E074C">
            <w:pPr>
              <w:pStyle w:val="Tabletext"/>
              <w:ind w:left="-57" w:right="-57"/>
              <w:jc w:val="center"/>
              <w:rPr>
                <w:b/>
                <w:bCs/>
                <w:sz w:val="18"/>
                <w:szCs w:val="18"/>
                <w:lang w:val="es-ES_tradnl"/>
              </w:rPr>
            </w:pPr>
            <w:r w:rsidRPr="007C30F1">
              <w:rPr>
                <w:b/>
                <w:bCs/>
                <w:sz w:val="18"/>
                <w:szCs w:val="18"/>
                <w:lang w:val="es-ES_tradnl"/>
              </w:rPr>
              <w:t>R1</w:t>
            </w:r>
          </w:p>
        </w:tc>
        <w:tc>
          <w:tcPr>
            <w:tcW w:w="1763" w:type="dxa"/>
            <w:tcBorders>
              <w:top w:val="nil"/>
              <w:left w:val="nil"/>
              <w:bottom w:val="single" w:sz="4" w:space="0" w:color="auto"/>
              <w:right w:val="single" w:sz="4" w:space="0" w:color="auto"/>
            </w:tcBorders>
            <w:shd w:val="clear" w:color="auto" w:fill="auto"/>
            <w:noWrap/>
            <w:vAlign w:val="bottom"/>
            <w:hideMark/>
          </w:tcPr>
          <w:p w:rsidR="00821E2A" w:rsidRPr="007C30F1" w:rsidRDefault="00821E2A" w:rsidP="007E074C">
            <w:pPr>
              <w:pStyle w:val="Tabletext"/>
              <w:ind w:left="-57" w:right="-57"/>
              <w:jc w:val="center"/>
              <w:rPr>
                <w:b/>
                <w:bCs/>
                <w:sz w:val="18"/>
                <w:szCs w:val="18"/>
                <w:lang w:val="es-ES_tradnl"/>
              </w:rPr>
            </w:pPr>
            <w:r w:rsidRPr="007C30F1">
              <w:rPr>
                <w:b/>
                <w:bCs/>
                <w:sz w:val="18"/>
                <w:szCs w:val="18"/>
                <w:lang w:val="es-ES_tradnl"/>
              </w:rPr>
              <w:t>Objetivo 1 del UIT-R</w:t>
            </w:r>
          </w:p>
        </w:tc>
        <w:tc>
          <w:tcPr>
            <w:tcW w:w="729" w:type="dxa"/>
            <w:tcBorders>
              <w:top w:val="nil"/>
              <w:left w:val="nil"/>
              <w:bottom w:val="single" w:sz="4" w:space="0" w:color="auto"/>
              <w:right w:val="single" w:sz="4" w:space="0" w:color="auto"/>
            </w:tcBorders>
            <w:shd w:val="clear" w:color="000000" w:fill="FFFFFF"/>
            <w:noWrap/>
            <w:vAlign w:val="bottom"/>
            <w:hideMark/>
          </w:tcPr>
          <w:p w:rsidR="00821E2A" w:rsidRPr="007C30F1" w:rsidRDefault="00821E2A" w:rsidP="007E074C">
            <w:pPr>
              <w:pStyle w:val="Tabletext"/>
              <w:jc w:val="center"/>
              <w:rPr>
                <w:sz w:val="18"/>
                <w:szCs w:val="18"/>
                <w:lang w:val="es-ES_tradnl"/>
              </w:rPr>
            </w:pPr>
            <w:r w:rsidRPr="007C30F1">
              <w:rPr>
                <w:sz w:val="18"/>
                <w:szCs w:val="18"/>
                <w:lang w:val="es-ES_tradnl"/>
              </w:rPr>
              <w:t>42 570</w:t>
            </w:r>
          </w:p>
        </w:tc>
        <w:tc>
          <w:tcPr>
            <w:tcW w:w="1022" w:type="dxa"/>
            <w:tcBorders>
              <w:top w:val="nil"/>
              <w:left w:val="nil"/>
              <w:bottom w:val="single" w:sz="4" w:space="0" w:color="auto"/>
              <w:right w:val="single" w:sz="4" w:space="0" w:color="auto"/>
            </w:tcBorders>
            <w:shd w:val="clear" w:color="000000" w:fill="FFFFFF"/>
            <w:noWrap/>
            <w:vAlign w:val="bottom"/>
            <w:hideMark/>
          </w:tcPr>
          <w:p w:rsidR="00821E2A" w:rsidRPr="007C30F1" w:rsidRDefault="00821E2A" w:rsidP="007E074C">
            <w:pPr>
              <w:pStyle w:val="Tabletext"/>
              <w:jc w:val="center"/>
              <w:rPr>
                <w:sz w:val="18"/>
                <w:szCs w:val="18"/>
                <w:lang w:val="es-ES_tradnl"/>
              </w:rPr>
            </w:pPr>
            <w:r w:rsidRPr="007C30F1">
              <w:rPr>
                <w:sz w:val="18"/>
                <w:szCs w:val="18"/>
                <w:lang w:val="es-ES_tradnl"/>
              </w:rPr>
              <w:t>25 521</w:t>
            </w:r>
          </w:p>
        </w:tc>
        <w:tc>
          <w:tcPr>
            <w:tcW w:w="966" w:type="dxa"/>
            <w:tcBorders>
              <w:top w:val="nil"/>
              <w:left w:val="nil"/>
              <w:bottom w:val="single" w:sz="4" w:space="0" w:color="auto"/>
              <w:right w:val="single" w:sz="4" w:space="0" w:color="auto"/>
            </w:tcBorders>
            <w:shd w:val="clear" w:color="000000" w:fill="FFFFFF"/>
            <w:vAlign w:val="bottom"/>
          </w:tcPr>
          <w:p w:rsidR="00821E2A" w:rsidRPr="007C30F1" w:rsidRDefault="00821E2A" w:rsidP="007E074C">
            <w:pPr>
              <w:pStyle w:val="Tabletext"/>
              <w:jc w:val="center"/>
              <w:rPr>
                <w:sz w:val="18"/>
                <w:szCs w:val="18"/>
                <w:lang w:val="es-ES_tradnl"/>
              </w:rPr>
            </w:pPr>
            <w:r w:rsidRPr="007C30F1">
              <w:rPr>
                <w:sz w:val="18"/>
                <w:szCs w:val="18"/>
                <w:lang w:val="es-ES_tradnl"/>
              </w:rPr>
              <w:t>17 024</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21E2A" w:rsidRPr="007C30F1" w:rsidRDefault="00821E2A" w:rsidP="007E074C">
            <w:pPr>
              <w:pStyle w:val="Tabletext"/>
              <w:jc w:val="center"/>
              <w:rPr>
                <w:sz w:val="18"/>
                <w:szCs w:val="18"/>
                <w:lang w:val="es-ES_tradnl"/>
              </w:rPr>
            </w:pPr>
            <w:r w:rsidRPr="007C30F1">
              <w:rPr>
                <w:sz w:val="18"/>
                <w:szCs w:val="18"/>
                <w:lang w:val="es-ES_tradnl"/>
              </w:rPr>
              <w:t>26</w:t>
            </w:r>
          </w:p>
        </w:tc>
        <w:tc>
          <w:tcPr>
            <w:tcW w:w="245"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rPr>
                <w:rFonts w:asciiTheme="minorHAnsi" w:hAnsiTheme="minorHAnsi"/>
                <w:sz w:val="22"/>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jc w:val="center"/>
              <w:rPr>
                <w:rFonts w:asciiTheme="minorHAnsi" w:hAnsiTheme="minorHAnsi"/>
                <w:b/>
                <w:bCs/>
                <w:sz w:val="18"/>
                <w:szCs w:val="18"/>
                <w:lang w:val="es-ES_tradnl" w:eastAsia="zh-CN"/>
              </w:rPr>
            </w:pPr>
            <w:r w:rsidRPr="007C30F1">
              <w:rPr>
                <w:rFonts w:asciiTheme="minorHAnsi" w:hAnsiTheme="minorHAnsi"/>
                <w:b/>
                <w:bCs/>
                <w:sz w:val="18"/>
                <w:szCs w:val="18"/>
                <w:lang w:val="es-ES_tradnl" w:eastAsia="zh-CN"/>
              </w:rPr>
              <w:t>50%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jc w:val="center"/>
              <w:rPr>
                <w:rFonts w:asciiTheme="minorHAnsi" w:hAnsiTheme="minorHAnsi"/>
                <w:b/>
                <w:bCs/>
                <w:sz w:val="18"/>
                <w:szCs w:val="18"/>
                <w:lang w:val="es-ES_tradnl" w:eastAsia="zh-CN"/>
              </w:rPr>
            </w:pPr>
            <w:r w:rsidRPr="007C30F1">
              <w:rPr>
                <w:rFonts w:asciiTheme="minorHAnsi" w:hAnsiTheme="minorHAnsi"/>
                <w:b/>
                <w:bCs/>
                <w:sz w:val="18"/>
                <w:szCs w:val="18"/>
                <w:lang w:val="es-ES_tradnl" w:eastAsia="zh-CN"/>
              </w:rPr>
              <w:t>30%</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jc w:val="center"/>
              <w:rPr>
                <w:rFonts w:asciiTheme="minorHAnsi" w:hAnsiTheme="minorHAnsi"/>
                <w:b/>
                <w:bCs/>
                <w:sz w:val="18"/>
                <w:szCs w:val="18"/>
                <w:lang w:val="es-ES_tradnl" w:eastAsia="zh-CN"/>
              </w:rPr>
            </w:pPr>
            <w:r w:rsidRPr="007C30F1">
              <w:rPr>
                <w:rFonts w:asciiTheme="minorHAnsi" w:hAnsiTheme="minorHAnsi"/>
                <w:b/>
                <w:bCs/>
                <w:sz w:val="18"/>
                <w:szCs w:val="18"/>
                <w:lang w:val="es-ES_tradnl" w:eastAsia="zh-CN"/>
              </w:rPr>
              <w:t>10%</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jc w:val="center"/>
              <w:rPr>
                <w:rFonts w:asciiTheme="minorHAnsi" w:hAnsiTheme="minorHAnsi"/>
                <w:b/>
                <w:bCs/>
                <w:sz w:val="18"/>
                <w:szCs w:val="18"/>
                <w:lang w:val="es-ES_tradnl" w:eastAsia="zh-CN"/>
              </w:rPr>
            </w:pPr>
            <w:r w:rsidRPr="007C30F1">
              <w:rPr>
                <w:rFonts w:asciiTheme="minorHAnsi" w:hAnsiTheme="minorHAnsi"/>
                <w:b/>
                <w:bCs/>
                <w:sz w:val="18"/>
                <w:szCs w:val="18"/>
                <w:lang w:val="es-ES_tradnl" w:eastAsia="zh-CN"/>
              </w:rPr>
              <w:t>10%</w:t>
            </w:r>
          </w:p>
        </w:tc>
        <w:tc>
          <w:tcPr>
            <w:tcW w:w="263"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rPr>
                <w:rFonts w:asciiTheme="minorHAnsi" w:hAnsiTheme="minorHAnsi"/>
                <w:sz w:val="22"/>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 xml:space="preserve">21 285 </w:t>
            </w:r>
          </w:p>
        </w:tc>
        <w:tc>
          <w:tcPr>
            <w:tcW w:w="1164" w:type="dxa"/>
            <w:tcBorders>
              <w:top w:val="nil"/>
              <w:left w:val="nil"/>
              <w:bottom w:val="single" w:sz="4" w:space="0" w:color="auto"/>
              <w:right w:val="single" w:sz="4" w:space="0" w:color="auto"/>
            </w:tcBorders>
            <w:shd w:val="clear" w:color="auto" w:fill="auto"/>
            <w:noWrap/>
            <w:vAlign w:val="bottom"/>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 xml:space="preserve">12 771 </w:t>
            </w:r>
          </w:p>
        </w:tc>
        <w:tc>
          <w:tcPr>
            <w:tcW w:w="1316" w:type="dxa"/>
            <w:tcBorders>
              <w:top w:val="nil"/>
              <w:left w:val="nil"/>
              <w:bottom w:val="single" w:sz="4" w:space="0" w:color="auto"/>
              <w:right w:val="single" w:sz="4" w:space="0" w:color="auto"/>
            </w:tcBorders>
            <w:shd w:val="clear" w:color="auto" w:fill="auto"/>
            <w:noWrap/>
            <w:vAlign w:val="bottom"/>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4 257</w:t>
            </w:r>
          </w:p>
        </w:tc>
        <w:tc>
          <w:tcPr>
            <w:tcW w:w="1036" w:type="dxa"/>
            <w:tcBorders>
              <w:top w:val="nil"/>
              <w:left w:val="nil"/>
              <w:bottom w:val="single" w:sz="4" w:space="0" w:color="auto"/>
              <w:right w:val="single" w:sz="4" w:space="0" w:color="auto"/>
            </w:tcBorders>
            <w:shd w:val="clear" w:color="auto" w:fill="auto"/>
            <w:noWrap/>
            <w:vAlign w:val="bottom"/>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 xml:space="preserve">4 257 </w:t>
            </w:r>
          </w:p>
        </w:tc>
      </w:tr>
      <w:tr w:rsidR="00821E2A" w:rsidRPr="007C30F1" w:rsidTr="00821E2A">
        <w:trPr>
          <w:jc w:val="center"/>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821E2A" w:rsidRPr="007C30F1" w:rsidRDefault="00821E2A" w:rsidP="007E074C">
            <w:pPr>
              <w:pStyle w:val="Tabletext"/>
              <w:ind w:left="-57" w:right="-57"/>
              <w:jc w:val="center"/>
              <w:rPr>
                <w:b/>
                <w:bCs/>
                <w:sz w:val="18"/>
                <w:szCs w:val="18"/>
                <w:lang w:val="es-ES_tradnl"/>
              </w:rPr>
            </w:pPr>
            <w:r w:rsidRPr="007C30F1">
              <w:rPr>
                <w:b/>
                <w:bCs/>
                <w:sz w:val="18"/>
                <w:szCs w:val="18"/>
                <w:lang w:val="es-ES_tradnl"/>
              </w:rPr>
              <w:t>R2</w:t>
            </w:r>
          </w:p>
        </w:tc>
        <w:tc>
          <w:tcPr>
            <w:tcW w:w="1763" w:type="dxa"/>
            <w:tcBorders>
              <w:top w:val="nil"/>
              <w:left w:val="nil"/>
              <w:bottom w:val="single" w:sz="4" w:space="0" w:color="auto"/>
              <w:right w:val="single" w:sz="4" w:space="0" w:color="auto"/>
            </w:tcBorders>
            <w:shd w:val="clear" w:color="auto" w:fill="auto"/>
            <w:noWrap/>
            <w:vAlign w:val="bottom"/>
            <w:hideMark/>
          </w:tcPr>
          <w:p w:rsidR="00821E2A" w:rsidRPr="007C30F1" w:rsidRDefault="00821E2A" w:rsidP="007E074C">
            <w:pPr>
              <w:pStyle w:val="Tabletext"/>
              <w:ind w:left="-57" w:right="-57"/>
              <w:jc w:val="center"/>
              <w:rPr>
                <w:b/>
                <w:bCs/>
                <w:sz w:val="18"/>
                <w:szCs w:val="18"/>
                <w:lang w:val="es-ES_tradnl"/>
              </w:rPr>
            </w:pPr>
            <w:r w:rsidRPr="007C30F1">
              <w:rPr>
                <w:b/>
                <w:bCs/>
                <w:sz w:val="18"/>
                <w:szCs w:val="18"/>
                <w:lang w:val="es-ES_tradnl"/>
              </w:rPr>
              <w:t>Objetivo 2 del UIT-R</w:t>
            </w:r>
          </w:p>
        </w:tc>
        <w:tc>
          <w:tcPr>
            <w:tcW w:w="729" w:type="dxa"/>
            <w:tcBorders>
              <w:top w:val="nil"/>
              <w:left w:val="nil"/>
              <w:bottom w:val="single" w:sz="4" w:space="0" w:color="auto"/>
              <w:right w:val="single" w:sz="4" w:space="0" w:color="auto"/>
            </w:tcBorders>
            <w:shd w:val="clear" w:color="000000" w:fill="FFFFFF"/>
            <w:noWrap/>
            <w:vAlign w:val="bottom"/>
            <w:hideMark/>
          </w:tcPr>
          <w:p w:rsidR="00821E2A" w:rsidRPr="007C30F1" w:rsidRDefault="00821E2A" w:rsidP="007E074C">
            <w:pPr>
              <w:pStyle w:val="Tabletext"/>
              <w:jc w:val="center"/>
              <w:rPr>
                <w:sz w:val="18"/>
                <w:szCs w:val="18"/>
                <w:lang w:val="es-ES_tradnl"/>
              </w:rPr>
            </w:pPr>
            <w:r w:rsidRPr="007C30F1">
              <w:rPr>
                <w:sz w:val="18"/>
                <w:szCs w:val="18"/>
                <w:lang w:val="es-ES_tradnl"/>
              </w:rPr>
              <w:t>9 755</w:t>
            </w:r>
          </w:p>
        </w:tc>
        <w:tc>
          <w:tcPr>
            <w:tcW w:w="1022" w:type="dxa"/>
            <w:tcBorders>
              <w:top w:val="nil"/>
              <w:left w:val="nil"/>
              <w:bottom w:val="single" w:sz="4" w:space="0" w:color="auto"/>
              <w:right w:val="single" w:sz="4" w:space="0" w:color="auto"/>
            </w:tcBorders>
            <w:shd w:val="clear" w:color="000000" w:fill="FFFFFF"/>
            <w:noWrap/>
            <w:vAlign w:val="bottom"/>
            <w:hideMark/>
          </w:tcPr>
          <w:p w:rsidR="00821E2A" w:rsidRPr="007C30F1" w:rsidRDefault="00821E2A" w:rsidP="007E074C">
            <w:pPr>
              <w:pStyle w:val="Tabletext"/>
              <w:jc w:val="center"/>
              <w:rPr>
                <w:sz w:val="18"/>
                <w:szCs w:val="18"/>
                <w:lang w:val="es-ES_tradnl"/>
              </w:rPr>
            </w:pPr>
            <w:r w:rsidRPr="007C30F1">
              <w:rPr>
                <w:sz w:val="18"/>
                <w:szCs w:val="18"/>
                <w:lang w:val="es-ES_tradnl"/>
              </w:rPr>
              <w:t>6 712</w:t>
            </w:r>
          </w:p>
        </w:tc>
        <w:tc>
          <w:tcPr>
            <w:tcW w:w="966" w:type="dxa"/>
            <w:tcBorders>
              <w:top w:val="nil"/>
              <w:left w:val="nil"/>
              <w:bottom w:val="single" w:sz="4" w:space="0" w:color="auto"/>
              <w:right w:val="single" w:sz="4" w:space="0" w:color="auto"/>
            </w:tcBorders>
            <w:shd w:val="clear" w:color="000000" w:fill="FFFFFF"/>
            <w:vAlign w:val="bottom"/>
          </w:tcPr>
          <w:p w:rsidR="00821E2A" w:rsidRPr="007C30F1" w:rsidRDefault="00821E2A" w:rsidP="007E074C">
            <w:pPr>
              <w:pStyle w:val="Tabletext"/>
              <w:jc w:val="center"/>
              <w:rPr>
                <w:sz w:val="18"/>
                <w:szCs w:val="18"/>
                <w:lang w:val="es-ES_tradnl"/>
              </w:rPr>
            </w:pPr>
            <w:r w:rsidRPr="007C30F1">
              <w:rPr>
                <w:sz w:val="18"/>
                <w:szCs w:val="18"/>
                <w:lang w:val="es-ES_tradnl"/>
              </w:rPr>
              <w:t>3 038</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21E2A" w:rsidRPr="007C30F1" w:rsidRDefault="00821E2A" w:rsidP="007E074C">
            <w:pPr>
              <w:pStyle w:val="Tabletext"/>
              <w:jc w:val="center"/>
              <w:rPr>
                <w:sz w:val="18"/>
                <w:szCs w:val="18"/>
                <w:lang w:val="es-ES_tradnl"/>
              </w:rPr>
            </w:pPr>
            <w:r w:rsidRPr="007C30F1">
              <w:rPr>
                <w:sz w:val="18"/>
                <w:szCs w:val="18"/>
                <w:lang w:val="es-ES_tradnl"/>
              </w:rPr>
              <w:t>6</w:t>
            </w:r>
          </w:p>
        </w:tc>
        <w:tc>
          <w:tcPr>
            <w:tcW w:w="245"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rPr>
                <w:rFonts w:asciiTheme="minorHAnsi" w:hAnsiTheme="minorHAnsi"/>
                <w:sz w:val="22"/>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jc w:val="center"/>
              <w:rPr>
                <w:rFonts w:asciiTheme="minorHAnsi" w:hAnsiTheme="minorHAnsi"/>
                <w:b/>
                <w:bCs/>
                <w:sz w:val="18"/>
                <w:szCs w:val="18"/>
                <w:lang w:val="es-ES_tradnl" w:eastAsia="zh-CN"/>
              </w:rPr>
            </w:pPr>
            <w:r w:rsidRPr="007C30F1">
              <w:rPr>
                <w:rFonts w:asciiTheme="minorHAnsi" w:hAnsiTheme="minorHAnsi"/>
                <w:b/>
                <w:bCs/>
                <w:sz w:val="18"/>
                <w:szCs w:val="18"/>
                <w:lang w:val="es-ES_tradnl" w:eastAsia="zh-CN"/>
              </w:rPr>
              <w:t>50%</w:t>
            </w:r>
          </w:p>
        </w:tc>
        <w:tc>
          <w:tcPr>
            <w:tcW w:w="1200" w:type="dxa"/>
            <w:tcBorders>
              <w:top w:val="nil"/>
              <w:left w:val="nil"/>
              <w:bottom w:val="single" w:sz="4" w:space="0" w:color="auto"/>
              <w:right w:val="single" w:sz="4" w:space="0" w:color="auto"/>
            </w:tcBorders>
            <w:shd w:val="clear" w:color="auto" w:fill="auto"/>
            <w:noWrap/>
            <w:vAlign w:val="center"/>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jc w:val="center"/>
              <w:rPr>
                <w:rFonts w:asciiTheme="minorHAnsi" w:hAnsiTheme="minorHAnsi"/>
                <w:b/>
                <w:bCs/>
                <w:sz w:val="18"/>
                <w:szCs w:val="18"/>
                <w:lang w:val="es-ES_tradnl" w:eastAsia="zh-CN"/>
              </w:rPr>
            </w:pPr>
            <w:r w:rsidRPr="007C30F1">
              <w:rPr>
                <w:rFonts w:asciiTheme="minorHAnsi" w:hAnsiTheme="minorHAnsi"/>
                <w:b/>
                <w:bCs/>
                <w:sz w:val="18"/>
                <w:szCs w:val="18"/>
                <w:lang w:val="es-ES_tradnl" w:eastAsia="zh-CN"/>
              </w:rPr>
              <w:t>30%</w:t>
            </w:r>
          </w:p>
        </w:tc>
        <w:tc>
          <w:tcPr>
            <w:tcW w:w="1244" w:type="dxa"/>
            <w:tcBorders>
              <w:top w:val="nil"/>
              <w:left w:val="nil"/>
              <w:bottom w:val="single" w:sz="4" w:space="0" w:color="auto"/>
              <w:right w:val="single" w:sz="4" w:space="0" w:color="auto"/>
            </w:tcBorders>
            <w:shd w:val="clear" w:color="auto" w:fill="auto"/>
            <w:noWrap/>
            <w:vAlign w:val="center"/>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jc w:val="center"/>
              <w:rPr>
                <w:rFonts w:asciiTheme="minorHAnsi" w:hAnsiTheme="minorHAnsi"/>
                <w:b/>
                <w:bCs/>
                <w:sz w:val="18"/>
                <w:szCs w:val="18"/>
                <w:lang w:val="es-ES_tradnl" w:eastAsia="zh-CN"/>
              </w:rPr>
            </w:pPr>
            <w:r w:rsidRPr="007C30F1">
              <w:rPr>
                <w:rFonts w:asciiTheme="minorHAnsi" w:hAnsiTheme="minorHAnsi"/>
                <w:b/>
                <w:bCs/>
                <w:sz w:val="18"/>
                <w:szCs w:val="18"/>
                <w:lang w:val="es-ES_tradnl" w:eastAsia="zh-CN"/>
              </w:rPr>
              <w:t>10%</w:t>
            </w:r>
          </w:p>
        </w:tc>
        <w:tc>
          <w:tcPr>
            <w:tcW w:w="1089" w:type="dxa"/>
            <w:tcBorders>
              <w:top w:val="nil"/>
              <w:left w:val="nil"/>
              <w:bottom w:val="single" w:sz="4" w:space="0" w:color="auto"/>
              <w:right w:val="single" w:sz="4" w:space="0" w:color="auto"/>
            </w:tcBorders>
            <w:shd w:val="clear" w:color="auto" w:fill="auto"/>
            <w:noWrap/>
            <w:vAlign w:val="center"/>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jc w:val="center"/>
              <w:rPr>
                <w:rFonts w:asciiTheme="minorHAnsi" w:hAnsiTheme="minorHAnsi"/>
                <w:b/>
                <w:bCs/>
                <w:sz w:val="18"/>
                <w:szCs w:val="18"/>
                <w:lang w:val="es-ES_tradnl" w:eastAsia="zh-CN"/>
              </w:rPr>
            </w:pPr>
            <w:r w:rsidRPr="007C30F1">
              <w:rPr>
                <w:rFonts w:asciiTheme="minorHAnsi" w:hAnsiTheme="minorHAnsi"/>
                <w:b/>
                <w:bCs/>
                <w:sz w:val="18"/>
                <w:szCs w:val="18"/>
                <w:lang w:val="es-ES_tradnl" w:eastAsia="zh-CN"/>
              </w:rPr>
              <w:t>10%</w:t>
            </w:r>
          </w:p>
        </w:tc>
        <w:tc>
          <w:tcPr>
            <w:tcW w:w="263"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rPr>
                <w:rFonts w:asciiTheme="minorHAnsi" w:hAnsiTheme="minorHAnsi"/>
                <w:sz w:val="22"/>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4 877</w:t>
            </w:r>
          </w:p>
        </w:tc>
        <w:tc>
          <w:tcPr>
            <w:tcW w:w="1164" w:type="dxa"/>
            <w:tcBorders>
              <w:top w:val="nil"/>
              <w:left w:val="nil"/>
              <w:bottom w:val="single" w:sz="4" w:space="0" w:color="auto"/>
              <w:right w:val="single" w:sz="4" w:space="0" w:color="auto"/>
            </w:tcBorders>
            <w:shd w:val="clear" w:color="auto" w:fill="auto"/>
            <w:noWrap/>
            <w:vAlign w:val="bottom"/>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 xml:space="preserve">2 926 </w:t>
            </w:r>
          </w:p>
        </w:tc>
        <w:tc>
          <w:tcPr>
            <w:tcW w:w="1316" w:type="dxa"/>
            <w:tcBorders>
              <w:top w:val="nil"/>
              <w:left w:val="nil"/>
              <w:bottom w:val="single" w:sz="4" w:space="0" w:color="auto"/>
              <w:right w:val="single" w:sz="4" w:space="0" w:color="auto"/>
            </w:tcBorders>
            <w:shd w:val="clear" w:color="auto" w:fill="auto"/>
            <w:noWrap/>
            <w:vAlign w:val="bottom"/>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975</w:t>
            </w:r>
          </w:p>
        </w:tc>
        <w:tc>
          <w:tcPr>
            <w:tcW w:w="1036" w:type="dxa"/>
            <w:tcBorders>
              <w:top w:val="nil"/>
              <w:left w:val="nil"/>
              <w:bottom w:val="single" w:sz="4" w:space="0" w:color="auto"/>
              <w:right w:val="single" w:sz="4" w:space="0" w:color="auto"/>
            </w:tcBorders>
            <w:shd w:val="clear" w:color="auto" w:fill="auto"/>
            <w:noWrap/>
            <w:vAlign w:val="bottom"/>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975</w:t>
            </w:r>
          </w:p>
        </w:tc>
      </w:tr>
      <w:tr w:rsidR="00821E2A" w:rsidRPr="007C30F1" w:rsidTr="00821E2A">
        <w:trPr>
          <w:jc w:val="center"/>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821E2A" w:rsidRPr="007C30F1" w:rsidRDefault="00821E2A" w:rsidP="007E074C">
            <w:pPr>
              <w:pStyle w:val="Tabletext"/>
              <w:ind w:left="-57" w:right="-57"/>
              <w:jc w:val="center"/>
              <w:rPr>
                <w:b/>
                <w:bCs/>
                <w:sz w:val="18"/>
                <w:szCs w:val="18"/>
                <w:lang w:val="es-ES_tradnl"/>
              </w:rPr>
            </w:pPr>
            <w:r w:rsidRPr="007C30F1">
              <w:rPr>
                <w:b/>
                <w:bCs/>
                <w:sz w:val="18"/>
                <w:szCs w:val="18"/>
                <w:lang w:val="es-ES_tradnl"/>
              </w:rPr>
              <w:t>R3</w:t>
            </w:r>
          </w:p>
        </w:tc>
        <w:tc>
          <w:tcPr>
            <w:tcW w:w="1763" w:type="dxa"/>
            <w:tcBorders>
              <w:top w:val="nil"/>
              <w:left w:val="nil"/>
              <w:bottom w:val="single" w:sz="4" w:space="0" w:color="auto"/>
              <w:right w:val="single" w:sz="4" w:space="0" w:color="auto"/>
            </w:tcBorders>
            <w:shd w:val="clear" w:color="auto" w:fill="auto"/>
            <w:noWrap/>
            <w:vAlign w:val="bottom"/>
            <w:hideMark/>
          </w:tcPr>
          <w:p w:rsidR="00821E2A" w:rsidRPr="007C30F1" w:rsidRDefault="00821E2A" w:rsidP="007E074C">
            <w:pPr>
              <w:pStyle w:val="Tabletext"/>
              <w:ind w:left="-57" w:right="-57"/>
              <w:jc w:val="center"/>
              <w:rPr>
                <w:b/>
                <w:bCs/>
                <w:sz w:val="18"/>
                <w:szCs w:val="18"/>
                <w:lang w:val="es-ES_tradnl"/>
              </w:rPr>
            </w:pPr>
            <w:r w:rsidRPr="007C30F1">
              <w:rPr>
                <w:b/>
                <w:bCs/>
                <w:sz w:val="18"/>
                <w:szCs w:val="18"/>
                <w:lang w:val="es-ES_tradnl"/>
              </w:rPr>
              <w:t>Objetivo 3 del UIT-R</w:t>
            </w:r>
          </w:p>
        </w:tc>
        <w:tc>
          <w:tcPr>
            <w:tcW w:w="729" w:type="dxa"/>
            <w:tcBorders>
              <w:top w:val="nil"/>
              <w:left w:val="nil"/>
              <w:bottom w:val="single" w:sz="4" w:space="0" w:color="auto"/>
              <w:right w:val="single" w:sz="4" w:space="0" w:color="auto"/>
            </w:tcBorders>
            <w:shd w:val="clear" w:color="000000" w:fill="FFFFFF"/>
            <w:noWrap/>
            <w:vAlign w:val="bottom"/>
            <w:hideMark/>
          </w:tcPr>
          <w:p w:rsidR="00821E2A" w:rsidRPr="007C30F1" w:rsidRDefault="00821E2A" w:rsidP="007E074C">
            <w:pPr>
              <w:pStyle w:val="Tabletext"/>
              <w:jc w:val="center"/>
              <w:rPr>
                <w:sz w:val="18"/>
                <w:szCs w:val="18"/>
                <w:lang w:val="es-ES_tradnl"/>
              </w:rPr>
            </w:pPr>
            <w:r w:rsidRPr="007C30F1">
              <w:rPr>
                <w:sz w:val="18"/>
                <w:szCs w:val="18"/>
                <w:lang w:val="es-ES_tradnl"/>
              </w:rPr>
              <w:t>13 749</w:t>
            </w:r>
          </w:p>
        </w:tc>
        <w:tc>
          <w:tcPr>
            <w:tcW w:w="1022" w:type="dxa"/>
            <w:tcBorders>
              <w:top w:val="nil"/>
              <w:left w:val="nil"/>
              <w:bottom w:val="single" w:sz="4" w:space="0" w:color="auto"/>
              <w:right w:val="single" w:sz="4" w:space="0" w:color="auto"/>
            </w:tcBorders>
            <w:shd w:val="clear" w:color="000000" w:fill="FFFFFF"/>
            <w:noWrap/>
            <w:vAlign w:val="bottom"/>
            <w:hideMark/>
          </w:tcPr>
          <w:p w:rsidR="00821E2A" w:rsidRPr="007C30F1" w:rsidRDefault="00821E2A" w:rsidP="007E074C">
            <w:pPr>
              <w:pStyle w:val="Tabletext"/>
              <w:jc w:val="center"/>
              <w:rPr>
                <w:sz w:val="18"/>
                <w:szCs w:val="18"/>
                <w:lang w:val="es-ES_tradnl"/>
              </w:rPr>
            </w:pPr>
            <w:r w:rsidRPr="007C30F1">
              <w:rPr>
                <w:sz w:val="18"/>
                <w:szCs w:val="18"/>
                <w:lang w:val="es-ES_tradnl"/>
              </w:rPr>
              <w:t>7 779</w:t>
            </w:r>
          </w:p>
        </w:tc>
        <w:tc>
          <w:tcPr>
            <w:tcW w:w="966" w:type="dxa"/>
            <w:tcBorders>
              <w:top w:val="nil"/>
              <w:left w:val="nil"/>
              <w:bottom w:val="single" w:sz="4" w:space="0" w:color="auto"/>
              <w:right w:val="single" w:sz="4" w:space="0" w:color="auto"/>
            </w:tcBorders>
            <w:shd w:val="clear" w:color="000000" w:fill="FFFFFF"/>
            <w:vAlign w:val="bottom"/>
          </w:tcPr>
          <w:p w:rsidR="00821E2A" w:rsidRPr="007C30F1" w:rsidRDefault="00821E2A" w:rsidP="007E074C">
            <w:pPr>
              <w:pStyle w:val="Tabletext"/>
              <w:jc w:val="center"/>
              <w:rPr>
                <w:sz w:val="18"/>
                <w:szCs w:val="18"/>
                <w:lang w:val="es-ES_tradnl"/>
              </w:rPr>
            </w:pPr>
            <w:r w:rsidRPr="007C30F1">
              <w:rPr>
                <w:sz w:val="18"/>
                <w:szCs w:val="18"/>
                <w:lang w:val="es-ES_tradnl"/>
              </w:rPr>
              <w:t>5 962</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21E2A" w:rsidRPr="007C30F1" w:rsidRDefault="00821E2A" w:rsidP="007E074C">
            <w:pPr>
              <w:pStyle w:val="Tabletext"/>
              <w:jc w:val="center"/>
              <w:rPr>
                <w:sz w:val="18"/>
                <w:szCs w:val="18"/>
                <w:lang w:val="es-ES_tradnl"/>
              </w:rPr>
            </w:pPr>
            <w:r w:rsidRPr="007C30F1">
              <w:rPr>
                <w:sz w:val="18"/>
                <w:szCs w:val="18"/>
                <w:lang w:val="es-ES_tradnl"/>
              </w:rPr>
              <w:t>8</w:t>
            </w:r>
          </w:p>
        </w:tc>
        <w:tc>
          <w:tcPr>
            <w:tcW w:w="245"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rPr>
                <w:rFonts w:asciiTheme="minorHAnsi" w:hAnsiTheme="minorHAnsi"/>
                <w:sz w:val="22"/>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0%</w:t>
            </w:r>
          </w:p>
        </w:tc>
        <w:tc>
          <w:tcPr>
            <w:tcW w:w="1200" w:type="dxa"/>
            <w:tcBorders>
              <w:top w:val="nil"/>
              <w:left w:val="nil"/>
              <w:bottom w:val="single" w:sz="4" w:space="0" w:color="auto"/>
              <w:right w:val="single" w:sz="4" w:space="0" w:color="auto"/>
            </w:tcBorders>
            <w:shd w:val="clear" w:color="auto" w:fill="auto"/>
            <w:noWrap/>
            <w:vAlign w:val="center"/>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jc w:val="center"/>
              <w:rPr>
                <w:rFonts w:asciiTheme="minorHAnsi" w:hAnsiTheme="minorHAnsi"/>
                <w:b/>
                <w:bCs/>
                <w:sz w:val="18"/>
                <w:szCs w:val="18"/>
                <w:lang w:val="es-ES_tradnl" w:eastAsia="zh-CN"/>
              </w:rPr>
            </w:pPr>
            <w:r w:rsidRPr="007C30F1">
              <w:rPr>
                <w:rFonts w:asciiTheme="minorHAnsi" w:hAnsiTheme="minorHAnsi"/>
                <w:b/>
                <w:bCs/>
                <w:sz w:val="18"/>
                <w:szCs w:val="18"/>
                <w:lang w:val="es-ES_tradnl" w:eastAsia="zh-CN"/>
              </w:rPr>
              <w:t>100%</w:t>
            </w:r>
          </w:p>
        </w:tc>
        <w:tc>
          <w:tcPr>
            <w:tcW w:w="1244" w:type="dxa"/>
            <w:tcBorders>
              <w:top w:val="nil"/>
              <w:left w:val="nil"/>
              <w:bottom w:val="single" w:sz="4" w:space="0" w:color="auto"/>
              <w:right w:val="single" w:sz="4" w:space="0" w:color="auto"/>
            </w:tcBorders>
            <w:shd w:val="clear" w:color="auto" w:fill="auto"/>
            <w:noWrap/>
            <w:vAlign w:val="center"/>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0%</w:t>
            </w:r>
          </w:p>
        </w:tc>
        <w:tc>
          <w:tcPr>
            <w:tcW w:w="1089" w:type="dxa"/>
            <w:tcBorders>
              <w:top w:val="nil"/>
              <w:left w:val="nil"/>
              <w:bottom w:val="single" w:sz="4" w:space="0" w:color="auto"/>
              <w:right w:val="single" w:sz="4" w:space="0" w:color="auto"/>
            </w:tcBorders>
            <w:shd w:val="clear" w:color="auto" w:fill="auto"/>
            <w:noWrap/>
            <w:vAlign w:val="center"/>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0%</w:t>
            </w:r>
          </w:p>
        </w:tc>
        <w:tc>
          <w:tcPr>
            <w:tcW w:w="263"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rPr>
                <w:rFonts w:asciiTheme="minorHAnsi" w:hAnsiTheme="minorHAnsi"/>
                <w:sz w:val="22"/>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 xml:space="preserve">0 </w:t>
            </w:r>
          </w:p>
        </w:tc>
        <w:tc>
          <w:tcPr>
            <w:tcW w:w="1164" w:type="dxa"/>
            <w:tcBorders>
              <w:top w:val="nil"/>
              <w:left w:val="nil"/>
              <w:bottom w:val="single" w:sz="4" w:space="0" w:color="auto"/>
              <w:right w:val="single" w:sz="4" w:space="0" w:color="auto"/>
            </w:tcBorders>
            <w:shd w:val="clear" w:color="auto" w:fill="auto"/>
            <w:noWrap/>
            <w:vAlign w:val="bottom"/>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 xml:space="preserve">13 749 </w:t>
            </w:r>
          </w:p>
        </w:tc>
        <w:tc>
          <w:tcPr>
            <w:tcW w:w="1316" w:type="dxa"/>
            <w:tcBorders>
              <w:top w:val="nil"/>
              <w:left w:val="nil"/>
              <w:bottom w:val="single" w:sz="4" w:space="0" w:color="auto"/>
              <w:right w:val="single" w:sz="4" w:space="0" w:color="auto"/>
            </w:tcBorders>
            <w:shd w:val="clear" w:color="auto" w:fill="auto"/>
            <w:noWrap/>
            <w:vAlign w:val="bottom"/>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0</w:t>
            </w:r>
          </w:p>
        </w:tc>
        <w:tc>
          <w:tcPr>
            <w:tcW w:w="1036" w:type="dxa"/>
            <w:tcBorders>
              <w:top w:val="nil"/>
              <w:left w:val="nil"/>
              <w:bottom w:val="single" w:sz="4" w:space="0" w:color="auto"/>
              <w:right w:val="single" w:sz="4" w:space="0" w:color="auto"/>
            </w:tcBorders>
            <w:shd w:val="clear" w:color="auto" w:fill="auto"/>
            <w:noWrap/>
            <w:vAlign w:val="bottom"/>
          </w:tcPr>
          <w:p w:rsidR="00821E2A" w:rsidRPr="007C30F1" w:rsidRDefault="00821E2A" w:rsidP="007E074C">
            <w:pPr>
              <w:pStyle w:val="Tabletext"/>
              <w:jc w:val="center"/>
              <w:rPr>
                <w:b/>
                <w:bCs/>
                <w:sz w:val="18"/>
                <w:szCs w:val="18"/>
                <w:lang w:val="es-ES_tradnl"/>
              </w:rPr>
            </w:pPr>
          </w:p>
        </w:tc>
      </w:tr>
      <w:tr w:rsidR="00821E2A" w:rsidRPr="007C30F1" w:rsidTr="00821E2A">
        <w:trPr>
          <w:jc w:val="center"/>
        </w:trPr>
        <w:tc>
          <w:tcPr>
            <w:tcW w:w="2122"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821E2A" w:rsidRPr="007C30F1" w:rsidRDefault="00821E2A" w:rsidP="007E074C">
            <w:pPr>
              <w:pStyle w:val="Tabletext"/>
              <w:rPr>
                <w:b/>
                <w:bCs/>
                <w:sz w:val="18"/>
                <w:szCs w:val="18"/>
                <w:lang w:val="es-ES_tradnl"/>
              </w:rPr>
            </w:pPr>
            <w:r w:rsidRPr="007C30F1">
              <w:rPr>
                <w:b/>
                <w:bCs/>
                <w:sz w:val="18"/>
                <w:szCs w:val="18"/>
                <w:lang w:val="es-ES_tradnl"/>
              </w:rPr>
              <w:t>Coste total</w:t>
            </w:r>
          </w:p>
        </w:tc>
        <w:tc>
          <w:tcPr>
            <w:tcW w:w="729" w:type="dxa"/>
            <w:tcBorders>
              <w:top w:val="nil"/>
              <w:left w:val="nil"/>
              <w:bottom w:val="single" w:sz="4" w:space="0" w:color="auto"/>
              <w:right w:val="single" w:sz="4" w:space="0" w:color="auto"/>
            </w:tcBorders>
            <w:shd w:val="clear" w:color="000000" w:fill="BDD7EE"/>
            <w:noWrap/>
            <w:vAlign w:val="bottom"/>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66 074</w:t>
            </w:r>
          </w:p>
        </w:tc>
        <w:tc>
          <w:tcPr>
            <w:tcW w:w="1022" w:type="dxa"/>
            <w:tcBorders>
              <w:top w:val="nil"/>
              <w:left w:val="nil"/>
              <w:bottom w:val="single" w:sz="4" w:space="0" w:color="auto"/>
              <w:right w:val="single" w:sz="4" w:space="0" w:color="auto"/>
            </w:tcBorders>
            <w:shd w:val="clear" w:color="000000" w:fill="BDD7EE"/>
            <w:noWrap/>
            <w:vAlign w:val="bottom"/>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40 012</w:t>
            </w:r>
          </w:p>
        </w:tc>
        <w:tc>
          <w:tcPr>
            <w:tcW w:w="966" w:type="dxa"/>
            <w:tcBorders>
              <w:top w:val="nil"/>
              <w:left w:val="nil"/>
              <w:bottom w:val="single" w:sz="4" w:space="0" w:color="auto"/>
              <w:right w:val="single" w:sz="4" w:space="0" w:color="auto"/>
            </w:tcBorders>
            <w:shd w:val="clear" w:color="000000" w:fill="BDD7EE"/>
            <w:vAlign w:val="bottom"/>
          </w:tcPr>
          <w:p w:rsidR="00821E2A" w:rsidRPr="007C30F1" w:rsidRDefault="00821E2A" w:rsidP="007E074C">
            <w:pPr>
              <w:pStyle w:val="Tabletext"/>
              <w:jc w:val="center"/>
              <w:rPr>
                <w:b/>
                <w:bCs/>
                <w:sz w:val="18"/>
                <w:szCs w:val="18"/>
                <w:lang w:val="es-ES_tradnl"/>
              </w:rPr>
            </w:pPr>
            <w:r w:rsidRPr="007C30F1">
              <w:rPr>
                <w:b/>
                <w:bCs/>
                <w:sz w:val="18"/>
                <w:szCs w:val="18"/>
                <w:lang w:val="es-ES_tradnl"/>
              </w:rPr>
              <w:t>26 024</w:t>
            </w:r>
          </w:p>
        </w:tc>
        <w:tc>
          <w:tcPr>
            <w:tcW w:w="88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821E2A" w:rsidRPr="007C30F1" w:rsidRDefault="00821E2A" w:rsidP="007E074C">
            <w:pPr>
              <w:pStyle w:val="Tabletext"/>
              <w:jc w:val="center"/>
              <w:rPr>
                <w:b/>
                <w:bCs/>
                <w:sz w:val="18"/>
                <w:szCs w:val="18"/>
                <w:lang w:val="es-ES_tradnl"/>
              </w:rPr>
            </w:pPr>
            <w:r w:rsidRPr="007C30F1">
              <w:rPr>
                <w:b/>
                <w:bCs/>
                <w:sz w:val="18"/>
                <w:szCs w:val="18"/>
                <w:lang w:val="es-ES_tradnl"/>
              </w:rPr>
              <w:t>40</w:t>
            </w:r>
          </w:p>
        </w:tc>
        <w:tc>
          <w:tcPr>
            <w:tcW w:w="245" w:type="dxa"/>
            <w:tcBorders>
              <w:top w:val="nil"/>
              <w:left w:val="nil"/>
              <w:bottom w:val="nil"/>
              <w:right w:val="nil"/>
            </w:tcBorders>
            <w:shd w:val="clear" w:color="auto" w:fill="auto"/>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rPr>
                <w:rFonts w:asciiTheme="minorHAnsi" w:hAnsiTheme="minorHAnsi"/>
                <w:sz w:val="22"/>
                <w:lang w:val="es-ES_tradnl"/>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821E2A" w:rsidRPr="007C30F1" w:rsidRDefault="00821E2A" w:rsidP="007E074C">
            <w:pPr>
              <w:pStyle w:val="Tabletext"/>
              <w:jc w:val="center"/>
              <w:rPr>
                <w:b/>
                <w:bCs/>
                <w:sz w:val="18"/>
                <w:szCs w:val="18"/>
                <w:lang w:val="es-ES_tradnl"/>
              </w:rPr>
            </w:pPr>
          </w:p>
        </w:tc>
        <w:tc>
          <w:tcPr>
            <w:tcW w:w="1200" w:type="dxa"/>
            <w:tcBorders>
              <w:top w:val="nil"/>
              <w:left w:val="nil"/>
              <w:bottom w:val="single" w:sz="4" w:space="0" w:color="auto"/>
              <w:right w:val="single" w:sz="4" w:space="0" w:color="auto"/>
            </w:tcBorders>
            <w:shd w:val="clear" w:color="000000" w:fill="BDD7EE"/>
            <w:noWrap/>
            <w:vAlign w:val="bottom"/>
            <w:hideMark/>
          </w:tcPr>
          <w:p w:rsidR="00821E2A" w:rsidRPr="007C30F1" w:rsidRDefault="00821E2A" w:rsidP="007E074C">
            <w:pPr>
              <w:pStyle w:val="Tabletext"/>
              <w:jc w:val="center"/>
              <w:rPr>
                <w:b/>
                <w:bCs/>
                <w:sz w:val="18"/>
                <w:szCs w:val="18"/>
                <w:lang w:val="es-ES_tradnl"/>
              </w:rPr>
            </w:pPr>
          </w:p>
        </w:tc>
        <w:tc>
          <w:tcPr>
            <w:tcW w:w="1244" w:type="dxa"/>
            <w:tcBorders>
              <w:top w:val="nil"/>
              <w:left w:val="nil"/>
              <w:bottom w:val="single" w:sz="4" w:space="0" w:color="auto"/>
              <w:right w:val="single" w:sz="4" w:space="0" w:color="auto"/>
            </w:tcBorders>
            <w:shd w:val="clear" w:color="000000" w:fill="BDD7EE"/>
            <w:noWrap/>
            <w:vAlign w:val="bottom"/>
            <w:hideMark/>
          </w:tcPr>
          <w:p w:rsidR="00821E2A" w:rsidRPr="007C30F1" w:rsidRDefault="00821E2A" w:rsidP="007E074C">
            <w:pPr>
              <w:pStyle w:val="Tabletext"/>
              <w:jc w:val="center"/>
              <w:rPr>
                <w:b/>
                <w:bCs/>
                <w:sz w:val="18"/>
                <w:szCs w:val="18"/>
                <w:lang w:val="es-ES_tradnl"/>
              </w:rPr>
            </w:pPr>
          </w:p>
        </w:tc>
        <w:tc>
          <w:tcPr>
            <w:tcW w:w="1089" w:type="dxa"/>
            <w:tcBorders>
              <w:top w:val="nil"/>
              <w:left w:val="nil"/>
              <w:bottom w:val="single" w:sz="4" w:space="0" w:color="auto"/>
              <w:right w:val="single" w:sz="4" w:space="0" w:color="auto"/>
            </w:tcBorders>
            <w:shd w:val="clear" w:color="000000" w:fill="BDD7EE"/>
            <w:noWrap/>
            <w:vAlign w:val="bottom"/>
            <w:hideMark/>
          </w:tcPr>
          <w:p w:rsidR="00821E2A" w:rsidRPr="007C30F1" w:rsidRDefault="00821E2A" w:rsidP="007E074C">
            <w:pPr>
              <w:pStyle w:val="Tabletext"/>
              <w:jc w:val="center"/>
              <w:rPr>
                <w:b/>
                <w:bCs/>
                <w:sz w:val="18"/>
                <w:szCs w:val="18"/>
                <w:lang w:val="es-ES_tradnl"/>
              </w:rPr>
            </w:pPr>
          </w:p>
        </w:tc>
        <w:tc>
          <w:tcPr>
            <w:tcW w:w="263" w:type="dxa"/>
            <w:tcBorders>
              <w:top w:val="nil"/>
              <w:left w:val="nil"/>
              <w:bottom w:val="nil"/>
              <w:right w:val="nil"/>
            </w:tcBorders>
            <w:shd w:val="clear" w:color="auto" w:fill="auto"/>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rPr>
                <w:rFonts w:asciiTheme="minorHAnsi" w:hAnsiTheme="minorHAnsi"/>
                <w:sz w:val="22"/>
                <w:lang w:val="es-ES_tradnl"/>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 xml:space="preserve">26 162 </w:t>
            </w:r>
          </w:p>
        </w:tc>
        <w:tc>
          <w:tcPr>
            <w:tcW w:w="1164" w:type="dxa"/>
            <w:tcBorders>
              <w:top w:val="nil"/>
              <w:left w:val="nil"/>
              <w:bottom w:val="single" w:sz="4" w:space="0" w:color="auto"/>
              <w:right w:val="single" w:sz="4" w:space="0" w:color="auto"/>
            </w:tcBorders>
            <w:shd w:val="clear" w:color="000000" w:fill="BDD7EE"/>
            <w:noWrap/>
            <w:vAlign w:val="bottom"/>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 xml:space="preserve">29 446 </w:t>
            </w:r>
          </w:p>
        </w:tc>
        <w:tc>
          <w:tcPr>
            <w:tcW w:w="1316" w:type="dxa"/>
            <w:tcBorders>
              <w:top w:val="nil"/>
              <w:left w:val="nil"/>
              <w:bottom w:val="single" w:sz="4" w:space="0" w:color="auto"/>
              <w:right w:val="single" w:sz="4" w:space="0" w:color="auto"/>
            </w:tcBorders>
            <w:shd w:val="clear" w:color="000000" w:fill="BDD7EE"/>
            <w:noWrap/>
            <w:vAlign w:val="bottom"/>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5 232</w:t>
            </w:r>
          </w:p>
        </w:tc>
        <w:tc>
          <w:tcPr>
            <w:tcW w:w="1036" w:type="dxa"/>
            <w:tcBorders>
              <w:top w:val="nil"/>
              <w:left w:val="nil"/>
              <w:bottom w:val="single" w:sz="4" w:space="0" w:color="auto"/>
              <w:right w:val="single" w:sz="4" w:space="0" w:color="auto"/>
            </w:tcBorders>
            <w:shd w:val="clear" w:color="000000" w:fill="BDD7EE"/>
            <w:noWrap/>
            <w:vAlign w:val="bottom"/>
          </w:tcPr>
          <w:p w:rsidR="00821E2A" w:rsidRPr="007C30F1" w:rsidRDefault="00821E2A" w:rsidP="007E074C">
            <w:pPr>
              <w:pStyle w:val="Tabletext"/>
              <w:jc w:val="center"/>
              <w:rPr>
                <w:b/>
                <w:bCs/>
                <w:sz w:val="18"/>
                <w:szCs w:val="18"/>
                <w:lang w:val="es-ES_tradnl"/>
              </w:rPr>
            </w:pPr>
            <w:r w:rsidRPr="007C30F1">
              <w:rPr>
                <w:b/>
                <w:bCs/>
                <w:sz w:val="18"/>
                <w:szCs w:val="18"/>
                <w:lang w:val="es-ES_tradnl"/>
              </w:rPr>
              <w:t>5 232</w:t>
            </w:r>
          </w:p>
        </w:tc>
      </w:tr>
      <w:tr w:rsidR="00821E2A" w:rsidRPr="007C30F1" w:rsidTr="00821E2A">
        <w:trPr>
          <w:jc w:val="center"/>
        </w:trPr>
        <w:tc>
          <w:tcPr>
            <w:tcW w:w="359"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rPr>
                <w:rFonts w:asciiTheme="minorHAnsi" w:hAnsiTheme="minorHAnsi"/>
                <w:sz w:val="22"/>
                <w:lang w:val="es-ES_tradnl" w:eastAsia="zh-CN"/>
              </w:rPr>
            </w:pPr>
            <w:r w:rsidRPr="007C30F1">
              <w:rPr>
                <w:rFonts w:asciiTheme="minorHAnsi" w:hAnsiTheme="minorHAnsi"/>
                <w:sz w:val="22"/>
                <w:lang w:val="es-ES_tradnl" w:eastAsia="zh-CN"/>
              </w:rPr>
              <w:t> </w:t>
            </w:r>
          </w:p>
        </w:tc>
        <w:tc>
          <w:tcPr>
            <w:tcW w:w="1763"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rPr>
                <w:rFonts w:asciiTheme="minorHAnsi" w:hAnsiTheme="minorHAnsi"/>
                <w:sz w:val="22"/>
                <w:lang w:val="es-ES_tradnl" w:eastAsia="zh-CN"/>
              </w:rPr>
            </w:pPr>
            <w:r w:rsidRPr="007C30F1">
              <w:rPr>
                <w:rFonts w:asciiTheme="minorHAnsi" w:hAnsiTheme="minorHAnsi"/>
                <w:sz w:val="22"/>
                <w:lang w:val="es-ES_tradnl" w:eastAsia="zh-CN"/>
              </w:rPr>
              <w:t> </w:t>
            </w:r>
          </w:p>
        </w:tc>
        <w:tc>
          <w:tcPr>
            <w:tcW w:w="729"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rPr>
                <w:rFonts w:asciiTheme="minorHAnsi" w:hAnsiTheme="minorHAnsi"/>
                <w:sz w:val="22"/>
                <w:lang w:val="es-ES_tradnl"/>
              </w:rPr>
            </w:pPr>
          </w:p>
        </w:tc>
        <w:tc>
          <w:tcPr>
            <w:tcW w:w="1022"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rPr>
                <w:rFonts w:asciiTheme="minorHAnsi" w:hAnsiTheme="minorHAnsi"/>
                <w:sz w:val="22"/>
                <w:lang w:val="es-ES_tradnl"/>
              </w:rPr>
            </w:pPr>
          </w:p>
        </w:tc>
        <w:tc>
          <w:tcPr>
            <w:tcW w:w="966" w:type="dxa"/>
            <w:tcBorders>
              <w:top w:val="nil"/>
              <w:left w:val="nil"/>
              <w:bottom w:val="nil"/>
              <w:right w:val="nil"/>
            </w:tcBorders>
            <w:shd w:val="clear" w:color="000000" w:fill="FFFFFF"/>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rPr>
                <w:rFonts w:asciiTheme="minorHAnsi" w:hAnsiTheme="minorHAnsi"/>
                <w:sz w:val="22"/>
                <w:lang w:val="es-ES_tradnl"/>
              </w:rPr>
            </w:pPr>
          </w:p>
        </w:tc>
        <w:tc>
          <w:tcPr>
            <w:tcW w:w="881"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rPr>
                <w:rFonts w:asciiTheme="minorHAnsi" w:hAnsiTheme="minorHAnsi"/>
                <w:sz w:val="22"/>
                <w:lang w:val="es-ES_tradnl"/>
              </w:rPr>
            </w:pPr>
          </w:p>
        </w:tc>
        <w:tc>
          <w:tcPr>
            <w:tcW w:w="245"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rPr>
                <w:rFonts w:asciiTheme="minorHAnsi" w:hAnsiTheme="minorHAnsi"/>
                <w:sz w:val="22"/>
                <w:lang w:val="es-ES_tradnl"/>
              </w:rPr>
            </w:pPr>
          </w:p>
        </w:tc>
        <w:tc>
          <w:tcPr>
            <w:tcW w:w="1107"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rPr>
                <w:rFonts w:asciiTheme="minorHAnsi" w:hAnsiTheme="minorHAnsi"/>
                <w:sz w:val="22"/>
                <w:lang w:val="es-ES_tradnl"/>
              </w:rPr>
            </w:pPr>
          </w:p>
        </w:tc>
        <w:tc>
          <w:tcPr>
            <w:tcW w:w="1200"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rPr>
                <w:rFonts w:asciiTheme="minorHAnsi" w:hAnsiTheme="minorHAnsi"/>
                <w:sz w:val="22"/>
                <w:lang w:val="es-ES_tradnl"/>
              </w:rPr>
            </w:pPr>
          </w:p>
        </w:tc>
        <w:tc>
          <w:tcPr>
            <w:tcW w:w="1244"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rPr>
                <w:rFonts w:asciiTheme="minorHAnsi" w:hAnsiTheme="minorHAnsi"/>
                <w:sz w:val="22"/>
                <w:lang w:val="es-ES_tradnl"/>
              </w:rPr>
            </w:pPr>
          </w:p>
        </w:tc>
        <w:tc>
          <w:tcPr>
            <w:tcW w:w="1089"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rPr>
                <w:rFonts w:asciiTheme="minorHAnsi" w:hAnsiTheme="minorHAnsi"/>
                <w:sz w:val="22"/>
                <w:lang w:val="es-ES_tradnl"/>
              </w:rPr>
            </w:pPr>
          </w:p>
        </w:tc>
        <w:tc>
          <w:tcPr>
            <w:tcW w:w="263" w:type="dxa"/>
            <w:tcBorders>
              <w:top w:val="nil"/>
              <w:left w:val="nil"/>
              <w:bottom w:val="nil"/>
              <w:right w:val="nil"/>
            </w:tcBorders>
            <w:shd w:val="clear" w:color="000000" w:fill="FFFFFF"/>
            <w:noWrap/>
            <w:vAlign w:val="bottom"/>
            <w:hideMark/>
          </w:tcPr>
          <w:p w:rsidR="00821E2A" w:rsidRPr="007C30F1" w:rsidRDefault="00821E2A" w:rsidP="007E074C">
            <w:pPr>
              <w:tabs>
                <w:tab w:val="left" w:pos="284"/>
                <w:tab w:val="left" w:pos="851"/>
                <w:tab w:val="left" w:pos="1418"/>
                <w:tab w:val="left" w:pos="2552"/>
                <w:tab w:val="left" w:pos="3119"/>
                <w:tab w:val="left" w:pos="3402"/>
                <w:tab w:val="left" w:pos="3686"/>
                <w:tab w:val="left" w:pos="3969"/>
              </w:tabs>
              <w:spacing w:before="40" w:after="40" w:line="240" w:lineRule="auto"/>
              <w:rPr>
                <w:rFonts w:asciiTheme="minorHAnsi" w:hAnsiTheme="minorHAnsi"/>
                <w:sz w:val="22"/>
                <w:lang w:val="es-ES_tradnl"/>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39,6%</w:t>
            </w:r>
          </w:p>
        </w:tc>
        <w:tc>
          <w:tcPr>
            <w:tcW w:w="1164" w:type="dxa"/>
            <w:tcBorders>
              <w:top w:val="nil"/>
              <w:left w:val="nil"/>
              <w:bottom w:val="single" w:sz="4" w:space="0" w:color="auto"/>
              <w:right w:val="single" w:sz="4" w:space="0" w:color="auto"/>
            </w:tcBorders>
            <w:shd w:val="clear" w:color="000000" w:fill="BDD7EE"/>
            <w:noWrap/>
            <w:vAlign w:val="bottom"/>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44,6%</w:t>
            </w:r>
          </w:p>
        </w:tc>
        <w:tc>
          <w:tcPr>
            <w:tcW w:w="1316" w:type="dxa"/>
            <w:tcBorders>
              <w:top w:val="nil"/>
              <w:left w:val="nil"/>
              <w:bottom w:val="single" w:sz="4" w:space="0" w:color="auto"/>
              <w:right w:val="single" w:sz="4" w:space="0" w:color="auto"/>
            </w:tcBorders>
            <w:shd w:val="clear" w:color="000000" w:fill="BDD7EE"/>
            <w:noWrap/>
            <w:vAlign w:val="bottom"/>
            <w:hideMark/>
          </w:tcPr>
          <w:p w:rsidR="00821E2A" w:rsidRPr="007C30F1" w:rsidRDefault="00821E2A" w:rsidP="007E074C">
            <w:pPr>
              <w:pStyle w:val="Tabletext"/>
              <w:jc w:val="center"/>
              <w:rPr>
                <w:b/>
                <w:bCs/>
                <w:sz w:val="18"/>
                <w:szCs w:val="18"/>
                <w:lang w:val="es-ES_tradnl"/>
              </w:rPr>
            </w:pPr>
            <w:r w:rsidRPr="007C30F1">
              <w:rPr>
                <w:b/>
                <w:bCs/>
                <w:sz w:val="18"/>
                <w:szCs w:val="18"/>
                <w:lang w:val="es-ES_tradnl"/>
              </w:rPr>
              <w:t>7,9%</w:t>
            </w:r>
          </w:p>
        </w:tc>
        <w:tc>
          <w:tcPr>
            <w:tcW w:w="1036" w:type="dxa"/>
            <w:tcBorders>
              <w:top w:val="nil"/>
              <w:left w:val="nil"/>
              <w:bottom w:val="single" w:sz="4" w:space="0" w:color="auto"/>
              <w:right w:val="single" w:sz="4" w:space="0" w:color="auto"/>
            </w:tcBorders>
            <w:shd w:val="clear" w:color="000000" w:fill="BDD7EE"/>
            <w:noWrap/>
            <w:vAlign w:val="bottom"/>
          </w:tcPr>
          <w:p w:rsidR="00821E2A" w:rsidRPr="007C30F1" w:rsidRDefault="00821E2A" w:rsidP="007E074C">
            <w:pPr>
              <w:pStyle w:val="Tabletext"/>
              <w:jc w:val="center"/>
              <w:rPr>
                <w:b/>
                <w:bCs/>
                <w:sz w:val="18"/>
                <w:szCs w:val="18"/>
                <w:lang w:val="es-ES_tradnl"/>
              </w:rPr>
            </w:pPr>
            <w:r w:rsidRPr="007C30F1">
              <w:rPr>
                <w:b/>
                <w:bCs/>
                <w:sz w:val="18"/>
                <w:szCs w:val="18"/>
                <w:lang w:val="es-ES_tradnl"/>
              </w:rPr>
              <w:t>7,9%</w:t>
            </w:r>
          </w:p>
        </w:tc>
      </w:tr>
    </w:tbl>
    <w:p w:rsidR="00C61B64" w:rsidRPr="007C30F1" w:rsidRDefault="00C61B64" w:rsidP="0032202E">
      <w:pPr>
        <w:pStyle w:val="Reasons"/>
      </w:pPr>
    </w:p>
    <w:p w:rsidR="00C61B64" w:rsidRPr="007C30F1" w:rsidRDefault="00C61B64">
      <w:pPr>
        <w:jc w:val="center"/>
        <w:rPr>
          <w:lang w:val="es-ES_tradnl"/>
        </w:rPr>
      </w:pPr>
      <w:r w:rsidRPr="007C30F1">
        <w:rPr>
          <w:lang w:val="es-ES_tradnl"/>
        </w:rPr>
        <w:t>______________</w:t>
      </w:r>
    </w:p>
    <w:sectPr w:rsidR="00C61B64" w:rsidRPr="007C30F1" w:rsidSect="00821E2A">
      <w:pgSz w:w="16834" w:h="11907" w:orient="landscape" w:code="9"/>
      <w:pgMar w:top="1134" w:right="1134" w:bottom="1134" w:left="993"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21F" w:rsidRDefault="0072421F">
      <w:r>
        <w:separator/>
      </w:r>
    </w:p>
  </w:endnote>
  <w:endnote w:type="continuationSeparator" w:id="0">
    <w:p w:rsidR="0072421F" w:rsidRDefault="0072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21F" w:rsidRPr="002349A2" w:rsidRDefault="0072421F" w:rsidP="00A4671D">
    <w:pPr>
      <w:pStyle w:val="Footer"/>
      <w:rPr>
        <w:sz w:val="16"/>
        <w:szCs w:val="16"/>
        <w:lang w:val="es-ES_tradnl"/>
      </w:rPr>
    </w:pPr>
    <w:r w:rsidRPr="00A4671D">
      <w:rPr>
        <w:sz w:val="16"/>
        <w:szCs w:val="16"/>
      </w:rPr>
      <w:fldChar w:fldCharType="begin"/>
    </w:r>
    <w:r w:rsidRPr="002349A2">
      <w:rPr>
        <w:sz w:val="16"/>
        <w:szCs w:val="16"/>
        <w:lang w:val="es-ES_tradnl"/>
      </w:rPr>
      <w:instrText xml:space="preserve"> FILENAME \p  \* MERGEFORMAT </w:instrText>
    </w:r>
    <w:r w:rsidRPr="00A4671D">
      <w:rPr>
        <w:sz w:val="16"/>
        <w:szCs w:val="16"/>
      </w:rPr>
      <w:fldChar w:fldCharType="separate"/>
    </w:r>
    <w:r w:rsidR="002349A2">
      <w:rPr>
        <w:noProof/>
        <w:sz w:val="16"/>
        <w:szCs w:val="16"/>
        <w:lang w:val="es-ES_tradnl"/>
      </w:rPr>
      <w:t>P:\ESP\ITU-R\BR\DIR\CA\200\233S.docx</w:t>
    </w:r>
    <w:r w:rsidRPr="00A4671D">
      <w:rPr>
        <w:noProof/>
        <w:sz w:val="16"/>
        <w:szCs w:val="16"/>
      </w:rPr>
      <w:fldChar w:fldCharType="end"/>
    </w:r>
    <w:r w:rsidRPr="002349A2">
      <w:rPr>
        <w:noProof/>
        <w:sz w:val="16"/>
        <w:szCs w:val="16"/>
        <w:lang w:val="es-ES_tradnl"/>
      </w:rPr>
      <w:t xml:space="preserve"> (417586)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21F" w:rsidRPr="00A4671D" w:rsidRDefault="0072421F" w:rsidP="005370F0">
    <w:pPr>
      <w:pStyle w:val="FirstFooter"/>
      <w:spacing w:line="240" w:lineRule="auto"/>
      <w:ind w:left="-397" w:right="-397"/>
      <w:jc w:val="center"/>
      <w:rPr>
        <w:sz w:val="18"/>
        <w:szCs w:val="18"/>
        <w:lang w:val="es-ES_tradnl"/>
      </w:rPr>
    </w:pPr>
    <w:r w:rsidRPr="00A4671D">
      <w:rPr>
        <w:sz w:val="18"/>
        <w:szCs w:val="18"/>
        <w:lang w:val="es-ES_tradnl"/>
      </w:rPr>
      <w:t>Unión Internacional de Telecomunicaciones • Place des Nations • CH</w:t>
    </w:r>
    <w:r w:rsidRPr="00A4671D">
      <w:rPr>
        <w:sz w:val="18"/>
        <w:szCs w:val="18"/>
        <w:lang w:val="es-ES_tradnl"/>
      </w:rPr>
      <w:noBreakHyphen/>
      <w:t>1211 Ginebra 20 • Suiza</w:t>
    </w:r>
    <w:r w:rsidRPr="00A4671D">
      <w:rPr>
        <w:sz w:val="18"/>
        <w:szCs w:val="18"/>
        <w:lang w:val="es-ES_tradnl"/>
      </w:rPr>
      <w:br/>
      <w:t>Tel</w:t>
    </w:r>
    <w:r>
      <w:rPr>
        <w:sz w:val="18"/>
        <w:szCs w:val="18"/>
        <w:lang w:val="es-ES_tradnl"/>
      </w:rPr>
      <w:t>.</w:t>
    </w:r>
    <w:r w:rsidRPr="00A4671D">
      <w:rPr>
        <w:sz w:val="18"/>
        <w:szCs w:val="18"/>
        <w:lang w:val="es-ES_tradnl"/>
      </w:rPr>
      <w:t xml:space="preserve">: +41 22 730 5111 • Fax: +41 22 733 7256 • Correo-e: </w:t>
    </w:r>
    <w:r>
      <w:fldChar w:fldCharType="begin"/>
    </w:r>
    <w:r w:rsidRPr="00927833">
      <w:rPr>
        <w:lang w:val="es-ES_tradnl"/>
        <w:rPrChange w:id="1" w:author="FHernández" w:date="2017-05-04T16:41:00Z">
          <w:rPr/>
        </w:rPrChange>
      </w:rPr>
      <w:instrText xml:space="preserve"> HYPERLINK "mailto:itumail@itu.int" </w:instrText>
    </w:r>
    <w:r>
      <w:fldChar w:fldCharType="separate"/>
    </w:r>
    <w:r w:rsidRPr="00A4671D">
      <w:rPr>
        <w:rStyle w:val="Hyperlink"/>
        <w:sz w:val="18"/>
        <w:szCs w:val="18"/>
        <w:lang w:val="es-ES_tradnl"/>
      </w:rPr>
      <w:t>itumail@itu.int</w:t>
    </w:r>
    <w:r>
      <w:rPr>
        <w:rStyle w:val="Hyperlink"/>
        <w:sz w:val="18"/>
        <w:szCs w:val="18"/>
        <w:lang w:val="es-ES_tradnl"/>
      </w:rPr>
      <w:fldChar w:fldCharType="end"/>
    </w:r>
    <w:r w:rsidRPr="00A4671D">
      <w:rPr>
        <w:sz w:val="18"/>
        <w:szCs w:val="18"/>
        <w:lang w:val="es-ES_tradnl"/>
      </w:rPr>
      <w:t xml:space="preserve"> • </w:t>
    </w:r>
    <w:r>
      <w:fldChar w:fldCharType="begin"/>
    </w:r>
    <w:r w:rsidRPr="00927833">
      <w:rPr>
        <w:lang w:val="es-ES_tradnl"/>
        <w:rPrChange w:id="2" w:author="FHernández" w:date="2017-05-04T16:41:00Z">
          <w:rPr/>
        </w:rPrChange>
      </w:rPr>
      <w:instrText xml:space="preserve"> HYPERLINK "http://www.itu.int/en/pages/default.aspx" </w:instrText>
    </w:r>
    <w:r>
      <w:fldChar w:fldCharType="separate"/>
    </w:r>
    <w:r w:rsidRPr="00A4671D">
      <w:rPr>
        <w:rStyle w:val="Hyperlink"/>
        <w:sz w:val="18"/>
        <w:szCs w:val="18"/>
        <w:lang w:val="es-ES_tradnl"/>
      </w:rPr>
      <w:t>www.itu.int</w:t>
    </w:r>
    <w:r>
      <w:rPr>
        <w:rStyle w:val="Hyperlink"/>
        <w:sz w:val="18"/>
        <w:szCs w:val="18"/>
        <w:lang w:val="es-ES_tradnl"/>
      </w:rPr>
      <w:fldChar w:fldCharType="end"/>
    </w:r>
    <w:r w:rsidRPr="00A4671D">
      <w:rPr>
        <w:sz w:val="18"/>
        <w:szCs w:val="18"/>
        <w:lang w:val="es-ES_tradnl"/>
      </w:rPr>
      <w:t xml:space="preserve"> </w:t>
    </w:r>
  </w:p>
  <w:p w:rsidR="0072421F" w:rsidRPr="00181458" w:rsidRDefault="0072421F" w:rsidP="005370F0">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21F" w:rsidRPr="00315F9A" w:rsidRDefault="0072421F" w:rsidP="00315F9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21F" w:rsidRPr="00315F9A" w:rsidRDefault="0072421F" w:rsidP="00315F9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21F" w:rsidRPr="00315F9A" w:rsidRDefault="0072421F" w:rsidP="00315F9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21F" w:rsidRPr="00315F9A" w:rsidRDefault="0072421F" w:rsidP="00315F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21F" w:rsidRDefault="0072421F">
      <w:r>
        <w:t>____________________</w:t>
      </w:r>
    </w:p>
  </w:footnote>
  <w:footnote w:type="continuationSeparator" w:id="0">
    <w:p w:rsidR="0072421F" w:rsidRDefault="0072421F">
      <w:r>
        <w:continuationSeparator/>
      </w:r>
    </w:p>
  </w:footnote>
  <w:footnote w:id="1">
    <w:p w:rsidR="0072421F" w:rsidRPr="00821E2A" w:rsidRDefault="0072421F" w:rsidP="00821E2A">
      <w:pPr>
        <w:pStyle w:val="FootnoteText"/>
        <w:rPr>
          <w:lang w:val="es-ES_tradnl"/>
        </w:rPr>
      </w:pPr>
      <w:r w:rsidRPr="002D4730">
        <w:rPr>
          <w:rStyle w:val="FootnoteReference"/>
        </w:rPr>
        <w:footnoteRef/>
      </w:r>
      <w:r w:rsidRPr="00821E2A">
        <w:rPr>
          <w:lang w:val="es-ES_tradnl"/>
        </w:rPr>
        <w:tab/>
        <w:t>Las casillas y las marcas representan vínculos primarios y secundarios con metas.</w:t>
      </w:r>
    </w:p>
  </w:footnote>
  <w:footnote w:id="2">
    <w:p w:rsidR="0072421F" w:rsidRPr="00821E2A" w:rsidRDefault="0072421F" w:rsidP="00821E2A">
      <w:pPr>
        <w:pStyle w:val="FootnoteText"/>
        <w:rPr>
          <w:lang w:val="es-ES_tradnl"/>
        </w:rPr>
      </w:pPr>
      <w:r>
        <w:rPr>
          <w:rStyle w:val="FootnoteReference"/>
        </w:rPr>
        <w:footnoteRef/>
      </w:r>
      <w:r w:rsidRPr="00821E2A">
        <w:rPr>
          <w:lang w:val="es-ES_tradnl"/>
        </w:rPr>
        <w:tab/>
        <w:t>El Director de la Oficina nombrará a las personas responsables de los riesgos.</w:t>
      </w:r>
    </w:p>
  </w:footnote>
  <w:footnote w:id="3">
    <w:p w:rsidR="0072421F" w:rsidRPr="00821E2A" w:rsidRDefault="0072421F" w:rsidP="00821E2A">
      <w:pPr>
        <w:pStyle w:val="FootnoteText"/>
        <w:rPr>
          <w:lang w:val="es-ES_tradnl"/>
        </w:rPr>
      </w:pPr>
      <w:r>
        <w:rPr>
          <w:rStyle w:val="FootnoteReference"/>
        </w:rPr>
        <w:footnoteRef/>
      </w:r>
      <w:r w:rsidRPr="00821E2A">
        <w:rPr>
          <w:lang w:val="es-ES_tradnl"/>
        </w:rPr>
        <w:tab/>
        <w:t>Estimación, sobre todo para 2018-2019. La atribución de recursos para los años posteriores podrá modificarse en función de lo que decida la Alta Dirección.</w:t>
      </w:r>
    </w:p>
  </w:footnote>
  <w:footnote w:id="4">
    <w:p w:rsidR="0072421F" w:rsidRPr="00517E3F" w:rsidRDefault="0072421F" w:rsidP="00821E2A">
      <w:pPr>
        <w:pStyle w:val="FootnoteText"/>
        <w:rPr>
          <w:lang w:val="es-ES"/>
        </w:rPr>
      </w:pPr>
      <w:r>
        <w:rPr>
          <w:rStyle w:val="FootnoteReference"/>
        </w:rPr>
        <w:footnoteRef/>
      </w:r>
      <w:r w:rsidRPr="00821E2A">
        <w:rPr>
          <w:lang w:val="es-ES_tradnl"/>
        </w:rPr>
        <w:tab/>
      </w:r>
      <w:r>
        <w:rPr>
          <w:lang w:val="es-ES"/>
        </w:rPr>
        <w:t>«n/a» significa que aún no se dispone de valores para el indicador.</w:t>
      </w:r>
    </w:p>
  </w:footnote>
  <w:footnote w:id="5">
    <w:p w:rsidR="0072421F" w:rsidRPr="00821E2A" w:rsidRDefault="0072421F" w:rsidP="00821E2A">
      <w:pPr>
        <w:pStyle w:val="FootnoteText"/>
        <w:rPr>
          <w:lang w:val="es-ES_tradnl"/>
        </w:rPr>
      </w:pPr>
      <w:r w:rsidRPr="00821E2A">
        <w:rPr>
          <w:rStyle w:val="FootnoteReference"/>
          <w:lang w:val="es-ES_tradnl"/>
        </w:rPr>
        <w:t>*</w:t>
      </w:r>
      <w:r w:rsidRPr="00821E2A">
        <w:rPr>
          <w:lang w:val="es-ES_tradnl"/>
        </w:rPr>
        <w:tab/>
        <w:t>Estimación.</w:t>
      </w:r>
    </w:p>
  </w:footnote>
  <w:footnote w:id="6">
    <w:p w:rsidR="0072421F" w:rsidRPr="00821E2A" w:rsidRDefault="0072421F" w:rsidP="00821E2A">
      <w:pPr>
        <w:pStyle w:val="FootnoteText"/>
        <w:rPr>
          <w:lang w:val="es-ES_tradnl"/>
        </w:rPr>
      </w:pPr>
      <w:r w:rsidRPr="00821E2A">
        <w:rPr>
          <w:rStyle w:val="FootnoteReference"/>
          <w:lang w:val="es-ES_tradnl"/>
        </w:rPr>
        <w:t>*</w:t>
      </w:r>
      <w:r w:rsidRPr="00821E2A">
        <w:rPr>
          <w:lang w:val="es-ES_tradnl"/>
        </w:rPr>
        <w:tab/>
        <w:t>Estimación.</w:t>
      </w:r>
    </w:p>
  </w:footnote>
  <w:footnote w:id="7">
    <w:p w:rsidR="0072421F" w:rsidRPr="00821E2A" w:rsidRDefault="0072421F" w:rsidP="00821E2A">
      <w:pPr>
        <w:pStyle w:val="FootnoteText"/>
        <w:rPr>
          <w:lang w:val="es-ES_tradnl"/>
        </w:rPr>
      </w:pPr>
      <w:r>
        <w:rPr>
          <w:rStyle w:val="FootnoteReference"/>
        </w:rPr>
        <w:footnoteRef/>
      </w:r>
      <w:r w:rsidRPr="00821E2A">
        <w:rPr>
          <w:lang w:val="es-ES_tradnl"/>
        </w:rPr>
        <w:tab/>
        <w:t>Estimación, sobre todo para 2018-2019. La atribución de recursos para los años posteriores podrá modificarse en función de lo que decida la Alta Dirección.</w:t>
      </w:r>
    </w:p>
  </w:footnote>
  <w:footnote w:id="8">
    <w:p w:rsidR="0072421F" w:rsidRPr="002478E2" w:rsidRDefault="0072421F" w:rsidP="00821E2A">
      <w:pPr>
        <w:pStyle w:val="FootnoteText"/>
        <w:rPr>
          <w:lang w:val="es-ES"/>
        </w:rPr>
      </w:pPr>
      <w:r>
        <w:rPr>
          <w:rStyle w:val="FootnoteReference"/>
        </w:rPr>
        <w:footnoteRef/>
      </w:r>
      <w:r w:rsidRPr="00821E2A">
        <w:rPr>
          <w:lang w:val="es-ES_tradnl"/>
        </w:rPr>
        <w:tab/>
      </w:r>
      <w:r>
        <w:rPr>
          <w:lang w:val="es-ES"/>
        </w:rPr>
        <w:t>Esta cifra sólo resulta apropiada para comparaciones, ya que la descarga de un mismo documento/publicación puede contar como varias descargas.</w:t>
      </w:r>
    </w:p>
  </w:footnote>
  <w:footnote w:id="9">
    <w:p w:rsidR="0072421F" w:rsidRPr="00821E2A" w:rsidRDefault="0072421F" w:rsidP="00821E2A">
      <w:pPr>
        <w:pStyle w:val="FootnoteText"/>
        <w:rPr>
          <w:lang w:val="es-ES_tradnl"/>
        </w:rPr>
      </w:pPr>
      <w:r>
        <w:rPr>
          <w:rStyle w:val="FootnoteReference"/>
        </w:rPr>
        <w:footnoteRef/>
      </w:r>
      <w:r w:rsidRPr="00821E2A">
        <w:rPr>
          <w:lang w:val="es-ES_tradnl"/>
        </w:rPr>
        <w:tab/>
        <w:t>Estimación, sobre todo para 2018-2019. La atribución de recursos para los años posteriores podrá modificarse en función de lo que decida la Alta Dirección.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21F" w:rsidRPr="00D239B4" w:rsidRDefault="0072421F" w:rsidP="00A4671D">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315F9A">
      <w:rPr>
        <w:rStyle w:val="PageNumber"/>
        <w:noProof/>
        <w:sz w:val="18"/>
        <w:szCs w:val="16"/>
      </w:rPr>
      <w:t>22</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21F" w:rsidRPr="00AF3325" w:rsidRDefault="0072421F">
    <w:pPr>
      <w:pStyle w:val="Header"/>
    </w:pPr>
    <w:r>
      <w:tab/>
    </w:r>
    <w:r>
      <w:tab/>
    </w:r>
    <w:r w:rsidRPr="00AF3325">
      <w:rPr>
        <w:i/>
      </w:rPr>
      <w:fldChar w:fldCharType="begin"/>
    </w:r>
    <w:r w:rsidRPr="00AF3325">
      <w:rPr>
        <w:i/>
      </w:rPr>
      <w:instrText xml:space="preserve"> PAGE  \* MERGEFORMAT </w:instrText>
    </w:r>
    <w:r w:rsidRPr="00AF3325">
      <w:rPr>
        <w:i/>
      </w:rPr>
      <w:fldChar w:fldCharType="separate"/>
    </w:r>
    <w:r>
      <w:rPr>
        <w:i/>
        <w:noProof/>
      </w:rPr>
      <w:t>3</w:t>
    </w:r>
    <w:r w:rsidRPr="00AF3325">
      <w:rPr>
        <w:i/>
      </w:rPr>
      <w:fldChar w:fldCharType="end"/>
    </w:r>
  </w:p>
  <w:p w:rsidR="0072421F" w:rsidRDefault="007242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142" w:type="dxa"/>
      <w:tblLook w:val="04A0" w:firstRow="1" w:lastRow="0" w:firstColumn="1" w:lastColumn="0" w:noHBand="0" w:noVBand="1"/>
    </w:tblPr>
    <w:tblGrid>
      <w:gridCol w:w="4961"/>
      <w:gridCol w:w="4962"/>
    </w:tblGrid>
    <w:tr w:rsidR="0072421F" w:rsidTr="00821E2A">
      <w:tc>
        <w:tcPr>
          <w:tcW w:w="4961" w:type="dxa"/>
        </w:tcPr>
        <w:p w:rsidR="0072421F" w:rsidRDefault="0072421F" w:rsidP="005370F0">
          <w:pPr>
            <w:pStyle w:val="Header"/>
            <w:tabs>
              <w:tab w:val="clear" w:pos="794"/>
              <w:tab w:val="clear" w:pos="4820"/>
            </w:tabs>
            <w:spacing w:line="360" w:lineRule="auto"/>
          </w:pPr>
          <w:r>
            <w:rPr>
              <w:b/>
              <w:bCs/>
              <w:noProof/>
              <w:lang w:eastAsia="zh-CN"/>
            </w:rPr>
            <w:drawing>
              <wp:inline distT="0" distB="0" distL="0" distR="0" wp14:anchorId="3DF13042" wp14:editId="68D5220D">
                <wp:extent cx="579396" cy="657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72421F" w:rsidRDefault="0072421F" w:rsidP="005370F0">
          <w:pPr>
            <w:pStyle w:val="Header"/>
            <w:tabs>
              <w:tab w:val="clear" w:pos="794"/>
              <w:tab w:val="clear" w:pos="4820"/>
            </w:tabs>
            <w:spacing w:line="360" w:lineRule="auto"/>
            <w:jc w:val="right"/>
          </w:pPr>
          <w:r w:rsidRPr="00A03501">
            <w:rPr>
              <w:noProof/>
              <w:lang w:eastAsia="zh-CN"/>
            </w:rPr>
            <w:drawing>
              <wp:inline distT="0" distB="0" distL="0" distR="0" wp14:anchorId="763E20C9" wp14:editId="487CB329">
                <wp:extent cx="1238250" cy="942975"/>
                <wp:effectExtent l="0" t="0" r="0" b="9525"/>
                <wp:docPr id="4" name="Picture 4"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72421F" w:rsidRPr="000D3F3B" w:rsidRDefault="0072421F" w:rsidP="000D3F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21F" w:rsidRPr="00F35897" w:rsidRDefault="0072421F" w:rsidP="00821E2A">
    <w:pPr>
      <w:pStyle w:val="Header"/>
      <w:jc w:val="center"/>
      <w:rPr>
        <w:sz w:val="18"/>
        <w:szCs w:val="18"/>
      </w:rPr>
    </w:pPr>
    <w:r w:rsidRPr="00F35897">
      <w:rPr>
        <w:rFonts w:asciiTheme="minorHAnsi" w:hAnsiTheme="minorHAnsi"/>
        <w:sz w:val="18"/>
        <w:szCs w:val="18"/>
      </w:rPr>
      <w:t xml:space="preserve">- </w:t>
    </w:r>
    <w:r w:rsidRPr="00F35897">
      <w:rPr>
        <w:rFonts w:asciiTheme="minorHAnsi" w:hAnsiTheme="minorHAnsi"/>
        <w:sz w:val="18"/>
        <w:szCs w:val="18"/>
      </w:rPr>
      <w:fldChar w:fldCharType="begin"/>
    </w:r>
    <w:r w:rsidRPr="00F35897">
      <w:rPr>
        <w:rFonts w:asciiTheme="minorHAnsi" w:hAnsiTheme="minorHAnsi"/>
        <w:sz w:val="18"/>
        <w:szCs w:val="18"/>
      </w:rPr>
      <w:instrText xml:space="preserve"> PAGE </w:instrText>
    </w:r>
    <w:r w:rsidRPr="00F35897">
      <w:rPr>
        <w:rFonts w:asciiTheme="minorHAnsi" w:hAnsiTheme="minorHAnsi"/>
        <w:sz w:val="18"/>
        <w:szCs w:val="18"/>
      </w:rPr>
      <w:fldChar w:fldCharType="separate"/>
    </w:r>
    <w:r w:rsidR="00315F9A">
      <w:rPr>
        <w:rFonts w:asciiTheme="minorHAnsi" w:hAnsiTheme="minorHAnsi"/>
        <w:noProof/>
        <w:sz w:val="18"/>
        <w:szCs w:val="18"/>
      </w:rPr>
      <w:t>21</w:t>
    </w:r>
    <w:r w:rsidRPr="00F35897">
      <w:rPr>
        <w:rFonts w:asciiTheme="minorHAnsi" w:hAnsiTheme="minorHAnsi"/>
        <w:noProof/>
        <w:sz w:val="18"/>
        <w:szCs w:val="18"/>
      </w:rPr>
      <w:fldChar w:fldCharType="end"/>
    </w:r>
    <w:r w:rsidRPr="00F35897">
      <w:rPr>
        <w:rFonts w:asciiTheme="minorHAnsi" w:hAnsiTheme="minorHAnsi"/>
        <w:noProof/>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21F" w:rsidRPr="000D7D95" w:rsidRDefault="0072421F" w:rsidP="000D7D95">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315F9A">
      <w:rPr>
        <w:rStyle w:val="PageNumber"/>
        <w:noProof/>
        <w:sz w:val="18"/>
        <w:szCs w:val="16"/>
      </w:rPr>
      <w:t>2</w:t>
    </w:r>
    <w:r w:rsidRPr="00D239B4">
      <w:rPr>
        <w:rStyle w:val="PageNumber"/>
        <w:sz w:val="18"/>
        <w:szCs w:val="16"/>
      </w:rPr>
      <w:fldChar w:fldCharType="end"/>
    </w:r>
    <w:r>
      <w:rPr>
        <w:rStyle w:val="PageNumber"/>
        <w:sz w:val="18"/>
        <w:szCs w:val="16"/>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21F" w:rsidRPr="002D0BE9" w:rsidRDefault="0072421F" w:rsidP="002D0BE9">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315F9A">
      <w:rPr>
        <w:rStyle w:val="PageNumber"/>
        <w:noProof/>
        <w:sz w:val="18"/>
        <w:szCs w:val="16"/>
      </w:rPr>
      <w:t>14</w:t>
    </w:r>
    <w:r w:rsidRPr="00D239B4">
      <w:rPr>
        <w:rStyle w:val="PageNumber"/>
        <w:sz w:val="18"/>
        <w:szCs w:val="16"/>
      </w:rPr>
      <w:fldChar w:fldCharType="end"/>
    </w:r>
    <w:r>
      <w:rPr>
        <w:rStyle w:val="PageNumber"/>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DE2E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52A0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9C58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2A72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04EF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BC3C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4C66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2E9B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5CF6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4C3A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7401A6"/>
    <w:multiLevelType w:val="hybridMultilevel"/>
    <w:tmpl w:val="F7A8AB2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190453"/>
    <w:multiLevelType w:val="hybridMultilevel"/>
    <w:tmpl w:val="2C9E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5BD436E"/>
    <w:multiLevelType w:val="hybridMultilevel"/>
    <w:tmpl w:val="3BCECD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CE217C"/>
    <w:multiLevelType w:val="hybridMultilevel"/>
    <w:tmpl w:val="A90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E4347F9"/>
    <w:multiLevelType w:val="hybridMultilevel"/>
    <w:tmpl w:val="E45C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823877"/>
    <w:multiLevelType w:val="hybridMultilevel"/>
    <w:tmpl w:val="DA0A500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DFA12C0"/>
    <w:multiLevelType w:val="hybridMultilevel"/>
    <w:tmpl w:val="F5B8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016A8A"/>
    <w:multiLevelType w:val="hybridMultilevel"/>
    <w:tmpl w:val="1548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2" w15:restartNumberingAfterBreak="0">
    <w:nsid w:val="4AF31C29"/>
    <w:multiLevelType w:val="hybridMultilevel"/>
    <w:tmpl w:val="1D5EDEFE"/>
    <w:lvl w:ilvl="0" w:tplc="26D4D66A">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AC294C"/>
    <w:multiLevelType w:val="hybridMultilevel"/>
    <w:tmpl w:val="E28CD5FE"/>
    <w:lvl w:ilvl="0" w:tplc="D1960C02">
      <w:start w:val="10"/>
      <w:numFmt w:val="bullet"/>
      <w:lvlText w:val="-"/>
      <w:lvlJc w:val="left"/>
      <w:pPr>
        <w:ind w:left="360" w:hanging="360"/>
      </w:pPr>
      <w:rPr>
        <w:rFonts w:ascii="Times New Roman" w:eastAsia="Times New Roman" w:hAnsi="Times New Roman" w:cs="Times New Roman"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2C28A6"/>
    <w:multiLevelType w:val="hybridMultilevel"/>
    <w:tmpl w:val="39DAEE56"/>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68001BA"/>
    <w:multiLevelType w:val="hybridMultilevel"/>
    <w:tmpl w:val="700E26C4"/>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8640B8F"/>
    <w:multiLevelType w:val="hybridMultilevel"/>
    <w:tmpl w:val="4A7C102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D82729"/>
    <w:multiLevelType w:val="hybridMultilevel"/>
    <w:tmpl w:val="DD7A2730"/>
    <w:lvl w:ilvl="0" w:tplc="885CAD38">
      <w:start w:val="1"/>
      <w:numFmt w:val="lowerLetter"/>
      <w:lvlText w:val="%1)"/>
      <w:lvlJc w:val="left"/>
      <w:pPr>
        <w:ind w:left="1210" w:hanging="360"/>
      </w:pPr>
      <w:rPr>
        <w:rFonts w:hint="default"/>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45"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8727F4"/>
    <w:multiLevelType w:val="hybridMultilevel"/>
    <w:tmpl w:val="F6E08FAC"/>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9"/>
  </w:num>
  <w:num w:numId="14">
    <w:abstractNumId w:val="38"/>
  </w:num>
  <w:num w:numId="15">
    <w:abstractNumId w:val="46"/>
  </w:num>
  <w:num w:numId="16">
    <w:abstractNumId w:val="23"/>
  </w:num>
  <w:num w:numId="17">
    <w:abstractNumId w:val="23"/>
    <w:lvlOverride w:ilvl="0">
      <w:startOverride w:val="1"/>
    </w:lvlOverride>
    <w:lvlOverride w:ilvl="1"/>
    <w:lvlOverride w:ilvl="2"/>
    <w:lvlOverride w:ilvl="3"/>
    <w:lvlOverride w:ilvl="4"/>
    <w:lvlOverride w:ilvl="5"/>
    <w:lvlOverride w:ilvl="6"/>
    <w:lvlOverride w:ilvl="7"/>
    <w:lvlOverride w:ilvl="8"/>
  </w:num>
  <w:num w:numId="18">
    <w:abstractNumId w:val="24"/>
  </w:num>
  <w:num w:numId="19">
    <w:abstractNumId w:val="19"/>
  </w:num>
  <w:num w:numId="20">
    <w:abstractNumId w:val="21"/>
  </w:num>
  <w:num w:numId="21">
    <w:abstractNumId w:val="30"/>
  </w:num>
  <w:num w:numId="22">
    <w:abstractNumId w:val="25"/>
  </w:num>
  <w:num w:numId="23">
    <w:abstractNumId w:val="28"/>
  </w:num>
  <w:num w:numId="24">
    <w:abstractNumId w:val="15"/>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2"/>
  </w:num>
  <w:num w:numId="28">
    <w:abstractNumId w:val="29"/>
  </w:num>
  <w:num w:numId="29">
    <w:abstractNumId w:val="36"/>
  </w:num>
  <w:num w:numId="30">
    <w:abstractNumId w:val="16"/>
  </w:num>
  <w:num w:numId="31">
    <w:abstractNumId w:val="34"/>
  </w:num>
  <w:num w:numId="32">
    <w:abstractNumId w:val="27"/>
  </w:num>
  <w:num w:numId="33">
    <w:abstractNumId w:val="37"/>
  </w:num>
  <w:num w:numId="34">
    <w:abstractNumId w:val="45"/>
  </w:num>
  <w:num w:numId="35">
    <w:abstractNumId w:val="35"/>
  </w:num>
  <w:num w:numId="36">
    <w:abstractNumId w:val="47"/>
  </w:num>
  <w:num w:numId="37">
    <w:abstractNumId w:val="48"/>
  </w:num>
  <w:num w:numId="38">
    <w:abstractNumId w:val="20"/>
  </w:num>
  <w:num w:numId="39">
    <w:abstractNumId w:val="22"/>
  </w:num>
  <w:num w:numId="40">
    <w:abstractNumId w:val="26"/>
  </w:num>
  <w:num w:numId="41">
    <w:abstractNumId w:val="43"/>
  </w:num>
  <w:num w:numId="42">
    <w:abstractNumId w:val="40"/>
  </w:num>
  <w:num w:numId="43">
    <w:abstractNumId w:val="18"/>
  </w:num>
  <w:num w:numId="44">
    <w:abstractNumId w:val="41"/>
  </w:num>
  <w:num w:numId="45">
    <w:abstractNumId w:val="42"/>
  </w:num>
  <w:num w:numId="46">
    <w:abstractNumId w:val="14"/>
  </w:num>
  <w:num w:numId="47">
    <w:abstractNumId w:val="4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Hernández">
    <w15:presenceInfo w15:providerId="None" w15:userId="FHerná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B37CA"/>
    <w:rsid w:val="00006A31"/>
    <w:rsid w:val="00006C82"/>
    <w:rsid w:val="00010E30"/>
    <w:rsid w:val="00015C76"/>
    <w:rsid w:val="00026CF8"/>
    <w:rsid w:val="00030BD7"/>
    <w:rsid w:val="00031E64"/>
    <w:rsid w:val="00034340"/>
    <w:rsid w:val="00035CB3"/>
    <w:rsid w:val="00040E5B"/>
    <w:rsid w:val="00045988"/>
    <w:rsid w:val="00045A8D"/>
    <w:rsid w:val="00047837"/>
    <w:rsid w:val="0005167A"/>
    <w:rsid w:val="00054E5D"/>
    <w:rsid w:val="00070258"/>
    <w:rsid w:val="0007323C"/>
    <w:rsid w:val="00086D03"/>
    <w:rsid w:val="00090396"/>
    <w:rsid w:val="000A096A"/>
    <w:rsid w:val="000A375E"/>
    <w:rsid w:val="000A7051"/>
    <w:rsid w:val="000B0AF6"/>
    <w:rsid w:val="000B0E9B"/>
    <w:rsid w:val="000B2CAE"/>
    <w:rsid w:val="000B37CA"/>
    <w:rsid w:val="000C03C7"/>
    <w:rsid w:val="000C2AD0"/>
    <w:rsid w:val="000D3F3B"/>
    <w:rsid w:val="000D6044"/>
    <w:rsid w:val="000D6397"/>
    <w:rsid w:val="000D7D95"/>
    <w:rsid w:val="000E3544"/>
    <w:rsid w:val="000E3DEE"/>
    <w:rsid w:val="000E4BCD"/>
    <w:rsid w:val="000E7A90"/>
    <w:rsid w:val="00100B72"/>
    <w:rsid w:val="00101F7D"/>
    <w:rsid w:val="00103C76"/>
    <w:rsid w:val="0011265F"/>
    <w:rsid w:val="00116E6B"/>
    <w:rsid w:val="00117282"/>
    <w:rsid w:val="00117389"/>
    <w:rsid w:val="001212B7"/>
    <w:rsid w:val="00121C2D"/>
    <w:rsid w:val="00134404"/>
    <w:rsid w:val="00144DFB"/>
    <w:rsid w:val="0015136E"/>
    <w:rsid w:val="00170AD3"/>
    <w:rsid w:val="0017760B"/>
    <w:rsid w:val="00187CA3"/>
    <w:rsid w:val="00195EB7"/>
    <w:rsid w:val="00196710"/>
    <w:rsid w:val="00196770"/>
    <w:rsid w:val="00197324"/>
    <w:rsid w:val="001A22CF"/>
    <w:rsid w:val="001B351B"/>
    <w:rsid w:val="001B42C9"/>
    <w:rsid w:val="001C06DB"/>
    <w:rsid w:val="001C09FB"/>
    <w:rsid w:val="001C3D56"/>
    <w:rsid w:val="001C6971"/>
    <w:rsid w:val="001D2785"/>
    <w:rsid w:val="001D7070"/>
    <w:rsid w:val="001E0C05"/>
    <w:rsid w:val="001E37FB"/>
    <w:rsid w:val="001F2170"/>
    <w:rsid w:val="001F3948"/>
    <w:rsid w:val="001F5A46"/>
    <w:rsid w:val="001F5A49"/>
    <w:rsid w:val="00201097"/>
    <w:rsid w:val="00201B6E"/>
    <w:rsid w:val="002302B3"/>
    <w:rsid w:val="00230C66"/>
    <w:rsid w:val="002349A2"/>
    <w:rsid w:val="00235A29"/>
    <w:rsid w:val="00241526"/>
    <w:rsid w:val="002443A2"/>
    <w:rsid w:val="00244542"/>
    <w:rsid w:val="00247AA9"/>
    <w:rsid w:val="00266E74"/>
    <w:rsid w:val="002767DD"/>
    <w:rsid w:val="00283C3B"/>
    <w:rsid w:val="00285312"/>
    <w:rsid w:val="002861E6"/>
    <w:rsid w:val="00287D18"/>
    <w:rsid w:val="002A05B0"/>
    <w:rsid w:val="002A2618"/>
    <w:rsid w:val="002A5DD7"/>
    <w:rsid w:val="002B0CAC"/>
    <w:rsid w:val="002B6DA8"/>
    <w:rsid w:val="002D0BE9"/>
    <w:rsid w:val="002D154F"/>
    <w:rsid w:val="002D5A15"/>
    <w:rsid w:val="002D5BDD"/>
    <w:rsid w:val="002E1A79"/>
    <w:rsid w:val="002E3D27"/>
    <w:rsid w:val="002F0890"/>
    <w:rsid w:val="002F2531"/>
    <w:rsid w:val="002F3748"/>
    <w:rsid w:val="002F4967"/>
    <w:rsid w:val="00304607"/>
    <w:rsid w:val="00306183"/>
    <w:rsid w:val="00306452"/>
    <w:rsid w:val="00311970"/>
    <w:rsid w:val="00315F9A"/>
    <w:rsid w:val="00316935"/>
    <w:rsid w:val="003266ED"/>
    <w:rsid w:val="00326B40"/>
    <w:rsid w:val="00326C68"/>
    <w:rsid w:val="0033029C"/>
    <w:rsid w:val="00334BE2"/>
    <w:rsid w:val="003370B8"/>
    <w:rsid w:val="00340FB5"/>
    <w:rsid w:val="00345D38"/>
    <w:rsid w:val="00352097"/>
    <w:rsid w:val="00354A70"/>
    <w:rsid w:val="00365980"/>
    <w:rsid w:val="003666FF"/>
    <w:rsid w:val="0037309C"/>
    <w:rsid w:val="00380A6E"/>
    <w:rsid w:val="003836D4"/>
    <w:rsid w:val="0038702A"/>
    <w:rsid w:val="00390BEE"/>
    <w:rsid w:val="003911A8"/>
    <w:rsid w:val="003974CD"/>
    <w:rsid w:val="003A1F49"/>
    <w:rsid w:val="003A3778"/>
    <w:rsid w:val="003A55ED"/>
    <w:rsid w:val="003A5D52"/>
    <w:rsid w:val="003A64D1"/>
    <w:rsid w:val="003B2BDA"/>
    <w:rsid w:val="003B3442"/>
    <w:rsid w:val="003B55EC"/>
    <w:rsid w:val="003C165F"/>
    <w:rsid w:val="003C2EA7"/>
    <w:rsid w:val="003C4471"/>
    <w:rsid w:val="003C6863"/>
    <w:rsid w:val="003C7D41"/>
    <w:rsid w:val="003C7FE2"/>
    <w:rsid w:val="003D4A69"/>
    <w:rsid w:val="003E504F"/>
    <w:rsid w:val="003E78D6"/>
    <w:rsid w:val="003F0157"/>
    <w:rsid w:val="00400573"/>
    <w:rsid w:val="004007A3"/>
    <w:rsid w:val="00406D71"/>
    <w:rsid w:val="00416C8F"/>
    <w:rsid w:val="0042605D"/>
    <w:rsid w:val="004326DB"/>
    <w:rsid w:val="0043682E"/>
    <w:rsid w:val="00445F07"/>
    <w:rsid w:val="00446EB5"/>
    <w:rsid w:val="00447ECB"/>
    <w:rsid w:val="00454D58"/>
    <w:rsid w:val="004601AE"/>
    <w:rsid w:val="004623F7"/>
    <w:rsid w:val="00480F51"/>
    <w:rsid w:val="00481124"/>
    <w:rsid w:val="004815EB"/>
    <w:rsid w:val="00487569"/>
    <w:rsid w:val="00496864"/>
    <w:rsid w:val="00496920"/>
    <w:rsid w:val="004A4496"/>
    <w:rsid w:val="004A5F47"/>
    <w:rsid w:val="004B11AB"/>
    <w:rsid w:val="004B52EB"/>
    <w:rsid w:val="004B7C9A"/>
    <w:rsid w:val="004C0293"/>
    <w:rsid w:val="004C6779"/>
    <w:rsid w:val="004D1F72"/>
    <w:rsid w:val="004D666F"/>
    <w:rsid w:val="004D733B"/>
    <w:rsid w:val="004E0DC4"/>
    <w:rsid w:val="004E0FB5"/>
    <w:rsid w:val="004E129E"/>
    <w:rsid w:val="004E43BB"/>
    <w:rsid w:val="004E460D"/>
    <w:rsid w:val="004F178E"/>
    <w:rsid w:val="004F4543"/>
    <w:rsid w:val="004F57BB"/>
    <w:rsid w:val="00505309"/>
    <w:rsid w:val="0050789B"/>
    <w:rsid w:val="005224A1"/>
    <w:rsid w:val="00530040"/>
    <w:rsid w:val="00534372"/>
    <w:rsid w:val="00535FEF"/>
    <w:rsid w:val="005368E7"/>
    <w:rsid w:val="00536B9C"/>
    <w:rsid w:val="005370F0"/>
    <w:rsid w:val="00540A73"/>
    <w:rsid w:val="00541EDD"/>
    <w:rsid w:val="00543DF8"/>
    <w:rsid w:val="00546101"/>
    <w:rsid w:val="00553DD7"/>
    <w:rsid w:val="005638CF"/>
    <w:rsid w:val="0056698F"/>
    <w:rsid w:val="0056741E"/>
    <w:rsid w:val="0057325A"/>
    <w:rsid w:val="0057469A"/>
    <w:rsid w:val="00580814"/>
    <w:rsid w:val="00583A0B"/>
    <w:rsid w:val="0058677A"/>
    <w:rsid w:val="00597284"/>
    <w:rsid w:val="005A03A3"/>
    <w:rsid w:val="005A133B"/>
    <w:rsid w:val="005A2B92"/>
    <w:rsid w:val="005A3F66"/>
    <w:rsid w:val="005A79E9"/>
    <w:rsid w:val="005B214C"/>
    <w:rsid w:val="005B4CDA"/>
    <w:rsid w:val="005D3669"/>
    <w:rsid w:val="005E5EB3"/>
    <w:rsid w:val="005F1323"/>
    <w:rsid w:val="005F3CB6"/>
    <w:rsid w:val="005F55F4"/>
    <w:rsid w:val="005F657C"/>
    <w:rsid w:val="005F6EAC"/>
    <w:rsid w:val="00602D53"/>
    <w:rsid w:val="006047E5"/>
    <w:rsid w:val="0060744E"/>
    <w:rsid w:val="006137DC"/>
    <w:rsid w:val="006204E3"/>
    <w:rsid w:val="006333B5"/>
    <w:rsid w:val="006334E1"/>
    <w:rsid w:val="0064371D"/>
    <w:rsid w:val="00650543"/>
    <w:rsid w:val="00650B2A"/>
    <w:rsid w:val="00651777"/>
    <w:rsid w:val="006550F8"/>
    <w:rsid w:val="006638C1"/>
    <w:rsid w:val="006829F3"/>
    <w:rsid w:val="00683F8C"/>
    <w:rsid w:val="00696976"/>
    <w:rsid w:val="006A0B68"/>
    <w:rsid w:val="006A518B"/>
    <w:rsid w:val="006A7692"/>
    <w:rsid w:val="006B0590"/>
    <w:rsid w:val="006B49DA"/>
    <w:rsid w:val="006C1D4E"/>
    <w:rsid w:val="006C53F8"/>
    <w:rsid w:val="006C7CDE"/>
    <w:rsid w:val="006E17FA"/>
    <w:rsid w:val="006F3014"/>
    <w:rsid w:val="007234B1"/>
    <w:rsid w:val="00723D08"/>
    <w:rsid w:val="0072421F"/>
    <w:rsid w:val="00725FDA"/>
    <w:rsid w:val="00727816"/>
    <w:rsid w:val="00730B9A"/>
    <w:rsid w:val="00730F05"/>
    <w:rsid w:val="00731815"/>
    <w:rsid w:val="00750CFA"/>
    <w:rsid w:val="007553DA"/>
    <w:rsid w:val="00756619"/>
    <w:rsid w:val="00775DB8"/>
    <w:rsid w:val="00782354"/>
    <w:rsid w:val="007921A7"/>
    <w:rsid w:val="007A5233"/>
    <w:rsid w:val="007A7262"/>
    <w:rsid w:val="007A73BB"/>
    <w:rsid w:val="007B13F0"/>
    <w:rsid w:val="007B3DB1"/>
    <w:rsid w:val="007C30F1"/>
    <w:rsid w:val="007D183E"/>
    <w:rsid w:val="007D43D0"/>
    <w:rsid w:val="007D5700"/>
    <w:rsid w:val="007E05AC"/>
    <w:rsid w:val="007E074C"/>
    <w:rsid w:val="007E0F8B"/>
    <w:rsid w:val="007E11CA"/>
    <w:rsid w:val="007E1833"/>
    <w:rsid w:val="007E3F13"/>
    <w:rsid w:val="007F751A"/>
    <w:rsid w:val="00800012"/>
    <w:rsid w:val="0080261F"/>
    <w:rsid w:val="00805A02"/>
    <w:rsid w:val="00806160"/>
    <w:rsid w:val="008143A4"/>
    <w:rsid w:val="0081513E"/>
    <w:rsid w:val="00821E2A"/>
    <w:rsid w:val="008306AD"/>
    <w:rsid w:val="008430F5"/>
    <w:rsid w:val="00854131"/>
    <w:rsid w:val="0085652D"/>
    <w:rsid w:val="008655EA"/>
    <w:rsid w:val="00865F59"/>
    <w:rsid w:val="00867C69"/>
    <w:rsid w:val="0087071A"/>
    <w:rsid w:val="0087694B"/>
    <w:rsid w:val="00880F4D"/>
    <w:rsid w:val="00885DAF"/>
    <w:rsid w:val="008B35A3"/>
    <w:rsid w:val="008B37E1"/>
    <w:rsid w:val="008B45F8"/>
    <w:rsid w:val="008C2E74"/>
    <w:rsid w:val="008D0422"/>
    <w:rsid w:val="008D3FA9"/>
    <w:rsid w:val="008D5409"/>
    <w:rsid w:val="008D6955"/>
    <w:rsid w:val="008E006D"/>
    <w:rsid w:val="008E38B4"/>
    <w:rsid w:val="008F2596"/>
    <w:rsid w:val="008F4F21"/>
    <w:rsid w:val="00904D4A"/>
    <w:rsid w:val="009076D7"/>
    <w:rsid w:val="00912DAB"/>
    <w:rsid w:val="009151BA"/>
    <w:rsid w:val="0091727E"/>
    <w:rsid w:val="00925023"/>
    <w:rsid w:val="00925312"/>
    <w:rsid w:val="009277BC"/>
    <w:rsid w:val="00927833"/>
    <w:rsid w:val="00927D57"/>
    <w:rsid w:val="00931A51"/>
    <w:rsid w:val="00931B1C"/>
    <w:rsid w:val="00947185"/>
    <w:rsid w:val="009518B3"/>
    <w:rsid w:val="00963D9D"/>
    <w:rsid w:val="0098013E"/>
    <w:rsid w:val="009809C2"/>
    <w:rsid w:val="00980CFC"/>
    <w:rsid w:val="00981B54"/>
    <w:rsid w:val="00981DB8"/>
    <w:rsid w:val="009823ED"/>
    <w:rsid w:val="009842C3"/>
    <w:rsid w:val="00986B25"/>
    <w:rsid w:val="00986F7F"/>
    <w:rsid w:val="00987B32"/>
    <w:rsid w:val="00995752"/>
    <w:rsid w:val="009A009A"/>
    <w:rsid w:val="009A6BB6"/>
    <w:rsid w:val="009B0F54"/>
    <w:rsid w:val="009B3F43"/>
    <w:rsid w:val="009B5CFA"/>
    <w:rsid w:val="009C161F"/>
    <w:rsid w:val="009C3ED5"/>
    <w:rsid w:val="009C56B4"/>
    <w:rsid w:val="009C6CEB"/>
    <w:rsid w:val="009D51A2"/>
    <w:rsid w:val="009E04A8"/>
    <w:rsid w:val="009E29A4"/>
    <w:rsid w:val="009E4595"/>
    <w:rsid w:val="009E4AEC"/>
    <w:rsid w:val="009E5BD8"/>
    <w:rsid w:val="009E681E"/>
    <w:rsid w:val="009F2126"/>
    <w:rsid w:val="009F5EDC"/>
    <w:rsid w:val="00A012BC"/>
    <w:rsid w:val="00A06C18"/>
    <w:rsid w:val="00A1118F"/>
    <w:rsid w:val="00A119E6"/>
    <w:rsid w:val="00A200D1"/>
    <w:rsid w:val="00A20FBC"/>
    <w:rsid w:val="00A273B1"/>
    <w:rsid w:val="00A31370"/>
    <w:rsid w:val="00A314D9"/>
    <w:rsid w:val="00A34D6F"/>
    <w:rsid w:val="00A41F91"/>
    <w:rsid w:val="00A4671D"/>
    <w:rsid w:val="00A50B66"/>
    <w:rsid w:val="00A51284"/>
    <w:rsid w:val="00A63355"/>
    <w:rsid w:val="00A64977"/>
    <w:rsid w:val="00A66364"/>
    <w:rsid w:val="00A6711E"/>
    <w:rsid w:val="00A7596D"/>
    <w:rsid w:val="00A75DCB"/>
    <w:rsid w:val="00A80EFE"/>
    <w:rsid w:val="00A866EA"/>
    <w:rsid w:val="00A963DF"/>
    <w:rsid w:val="00A96D3A"/>
    <w:rsid w:val="00AB2003"/>
    <w:rsid w:val="00AB4B2E"/>
    <w:rsid w:val="00AB621B"/>
    <w:rsid w:val="00AC0C22"/>
    <w:rsid w:val="00AC3896"/>
    <w:rsid w:val="00AC3D21"/>
    <w:rsid w:val="00AD0D42"/>
    <w:rsid w:val="00AD18D2"/>
    <w:rsid w:val="00AD26DB"/>
    <w:rsid w:val="00AD2CF2"/>
    <w:rsid w:val="00AE2D88"/>
    <w:rsid w:val="00AE6E44"/>
    <w:rsid w:val="00AE6F6F"/>
    <w:rsid w:val="00AF3325"/>
    <w:rsid w:val="00AF34D9"/>
    <w:rsid w:val="00AF5B37"/>
    <w:rsid w:val="00AF70DA"/>
    <w:rsid w:val="00B019D3"/>
    <w:rsid w:val="00B208BA"/>
    <w:rsid w:val="00B34CF9"/>
    <w:rsid w:val="00B37559"/>
    <w:rsid w:val="00B4054B"/>
    <w:rsid w:val="00B40811"/>
    <w:rsid w:val="00B42F77"/>
    <w:rsid w:val="00B50966"/>
    <w:rsid w:val="00B51FC1"/>
    <w:rsid w:val="00B52EB6"/>
    <w:rsid w:val="00B546AE"/>
    <w:rsid w:val="00B579B0"/>
    <w:rsid w:val="00B57D11"/>
    <w:rsid w:val="00B64381"/>
    <w:rsid w:val="00B649D7"/>
    <w:rsid w:val="00B73929"/>
    <w:rsid w:val="00B81C2F"/>
    <w:rsid w:val="00B869CB"/>
    <w:rsid w:val="00B87288"/>
    <w:rsid w:val="00B90743"/>
    <w:rsid w:val="00B90C45"/>
    <w:rsid w:val="00B91D90"/>
    <w:rsid w:val="00B92227"/>
    <w:rsid w:val="00B933BE"/>
    <w:rsid w:val="00B94F4B"/>
    <w:rsid w:val="00BB1868"/>
    <w:rsid w:val="00BB3632"/>
    <w:rsid w:val="00BD3A99"/>
    <w:rsid w:val="00BD6738"/>
    <w:rsid w:val="00BD7E5E"/>
    <w:rsid w:val="00BE30C9"/>
    <w:rsid w:val="00BE63DB"/>
    <w:rsid w:val="00BE63F6"/>
    <w:rsid w:val="00BE6574"/>
    <w:rsid w:val="00BF6064"/>
    <w:rsid w:val="00C066A4"/>
    <w:rsid w:val="00C07319"/>
    <w:rsid w:val="00C11224"/>
    <w:rsid w:val="00C16FD2"/>
    <w:rsid w:val="00C407AB"/>
    <w:rsid w:val="00C419DB"/>
    <w:rsid w:val="00C4395E"/>
    <w:rsid w:val="00C47479"/>
    <w:rsid w:val="00C47FFD"/>
    <w:rsid w:val="00C51E92"/>
    <w:rsid w:val="00C53418"/>
    <w:rsid w:val="00C57E2C"/>
    <w:rsid w:val="00C608B7"/>
    <w:rsid w:val="00C61B64"/>
    <w:rsid w:val="00C62DB7"/>
    <w:rsid w:val="00C65742"/>
    <w:rsid w:val="00C66ED5"/>
    <w:rsid w:val="00C66F24"/>
    <w:rsid w:val="00C71C89"/>
    <w:rsid w:val="00C75B1B"/>
    <w:rsid w:val="00C76D7F"/>
    <w:rsid w:val="00C773E1"/>
    <w:rsid w:val="00C813AA"/>
    <w:rsid w:val="00C9291E"/>
    <w:rsid w:val="00CA10CB"/>
    <w:rsid w:val="00CA3F44"/>
    <w:rsid w:val="00CA4E58"/>
    <w:rsid w:val="00CA7880"/>
    <w:rsid w:val="00CB3771"/>
    <w:rsid w:val="00CB44BF"/>
    <w:rsid w:val="00CB5153"/>
    <w:rsid w:val="00CB77AE"/>
    <w:rsid w:val="00CC04B0"/>
    <w:rsid w:val="00CC491E"/>
    <w:rsid w:val="00CC62C5"/>
    <w:rsid w:val="00CD19FF"/>
    <w:rsid w:val="00CE076A"/>
    <w:rsid w:val="00CE463D"/>
    <w:rsid w:val="00CE79CE"/>
    <w:rsid w:val="00CF01A7"/>
    <w:rsid w:val="00CF31D6"/>
    <w:rsid w:val="00D10BA0"/>
    <w:rsid w:val="00D21694"/>
    <w:rsid w:val="00D2241C"/>
    <w:rsid w:val="00D239B4"/>
    <w:rsid w:val="00D24EB5"/>
    <w:rsid w:val="00D32040"/>
    <w:rsid w:val="00D35AB9"/>
    <w:rsid w:val="00D41571"/>
    <w:rsid w:val="00D416A0"/>
    <w:rsid w:val="00D47672"/>
    <w:rsid w:val="00D5123C"/>
    <w:rsid w:val="00D55560"/>
    <w:rsid w:val="00D577AA"/>
    <w:rsid w:val="00D603F3"/>
    <w:rsid w:val="00D61C5A"/>
    <w:rsid w:val="00D63B92"/>
    <w:rsid w:val="00D63BFF"/>
    <w:rsid w:val="00D6790C"/>
    <w:rsid w:val="00D7115F"/>
    <w:rsid w:val="00D71D87"/>
    <w:rsid w:val="00D73277"/>
    <w:rsid w:val="00D76586"/>
    <w:rsid w:val="00D82657"/>
    <w:rsid w:val="00D87E20"/>
    <w:rsid w:val="00D94D85"/>
    <w:rsid w:val="00D97EF5"/>
    <w:rsid w:val="00DA4037"/>
    <w:rsid w:val="00DA64A8"/>
    <w:rsid w:val="00DC0A60"/>
    <w:rsid w:val="00DE5B1A"/>
    <w:rsid w:val="00DE66A5"/>
    <w:rsid w:val="00DF2B50"/>
    <w:rsid w:val="00E01059"/>
    <w:rsid w:val="00E04C86"/>
    <w:rsid w:val="00E04D79"/>
    <w:rsid w:val="00E10D6A"/>
    <w:rsid w:val="00E132B4"/>
    <w:rsid w:val="00E17344"/>
    <w:rsid w:val="00E20F30"/>
    <w:rsid w:val="00E2189C"/>
    <w:rsid w:val="00E258AF"/>
    <w:rsid w:val="00E25BB1"/>
    <w:rsid w:val="00E279B8"/>
    <w:rsid w:val="00E27BBA"/>
    <w:rsid w:val="00E30E3F"/>
    <w:rsid w:val="00E35E8F"/>
    <w:rsid w:val="00E362FE"/>
    <w:rsid w:val="00E428AB"/>
    <w:rsid w:val="00E438E8"/>
    <w:rsid w:val="00E453A3"/>
    <w:rsid w:val="00E45906"/>
    <w:rsid w:val="00E508C3"/>
    <w:rsid w:val="00E520E2"/>
    <w:rsid w:val="00E52787"/>
    <w:rsid w:val="00E52797"/>
    <w:rsid w:val="00E530C4"/>
    <w:rsid w:val="00E5333C"/>
    <w:rsid w:val="00E53DCE"/>
    <w:rsid w:val="00E55996"/>
    <w:rsid w:val="00E60541"/>
    <w:rsid w:val="00E64254"/>
    <w:rsid w:val="00E67928"/>
    <w:rsid w:val="00E70FB5"/>
    <w:rsid w:val="00E774D7"/>
    <w:rsid w:val="00E915AF"/>
    <w:rsid w:val="00E96415"/>
    <w:rsid w:val="00E9791B"/>
    <w:rsid w:val="00EA15B3"/>
    <w:rsid w:val="00EA798B"/>
    <w:rsid w:val="00EB2358"/>
    <w:rsid w:val="00EB3EB8"/>
    <w:rsid w:val="00EC00EF"/>
    <w:rsid w:val="00EC02FE"/>
    <w:rsid w:val="00EC4A96"/>
    <w:rsid w:val="00EC645A"/>
    <w:rsid w:val="00EE03A0"/>
    <w:rsid w:val="00EF463D"/>
    <w:rsid w:val="00F02FD7"/>
    <w:rsid w:val="00F17809"/>
    <w:rsid w:val="00F3008B"/>
    <w:rsid w:val="00F424BF"/>
    <w:rsid w:val="00F44FC3"/>
    <w:rsid w:val="00F46107"/>
    <w:rsid w:val="00F468C5"/>
    <w:rsid w:val="00F52F39"/>
    <w:rsid w:val="00F53A7C"/>
    <w:rsid w:val="00F6184F"/>
    <w:rsid w:val="00F8310E"/>
    <w:rsid w:val="00F914DD"/>
    <w:rsid w:val="00F95591"/>
    <w:rsid w:val="00FA2358"/>
    <w:rsid w:val="00FB1B20"/>
    <w:rsid w:val="00FB2592"/>
    <w:rsid w:val="00FB2810"/>
    <w:rsid w:val="00FB32B8"/>
    <w:rsid w:val="00FB7A2C"/>
    <w:rsid w:val="00FB7EE6"/>
    <w:rsid w:val="00FC2947"/>
    <w:rsid w:val="00FC7B8B"/>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3169BEE-F1E0-461C-AC58-9EDA308C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E2A"/>
    <w:rPr>
      <w:b/>
      <w:sz w:val="24"/>
      <w:szCs w:val="22"/>
      <w:lang w:val="en-US" w:eastAsia="en-US"/>
    </w:rPr>
  </w:style>
  <w:style w:type="character" w:customStyle="1" w:styleId="Heading2Char">
    <w:name w:val="Heading 2 Char"/>
    <w:basedOn w:val="DefaultParagraphFont"/>
    <w:link w:val="Heading2"/>
    <w:rsid w:val="00821E2A"/>
    <w:rPr>
      <w:b/>
      <w:sz w:val="24"/>
      <w:szCs w:val="22"/>
      <w:lang w:val="en-US" w:eastAsia="en-US"/>
    </w:rPr>
  </w:style>
  <w:style w:type="character" w:customStyle="1" w:styleId="Heading3Char">
    <w:name w:val="Heading 3 Char"/>
    <w:basedOn w:val="DefaultParagraphFont"/>
    <w:link w:val="Heading3"/>
    <w:locked/>
    <w:rsid w:val="00821E2A"/>
    <w:rPr>
      <w:b/>
      <w:sz w:val="24"/>
      <w:szCs w:val="22"/>
      <w:lang w:val="en-US" w:eastAsia="en-US"/>
    </w:rPr>
  </w:style>
  <w:style w:type="character" w:customStyle="1" w:styleId="Heading4Char">
    <w:name w:val="Heading 4 Char"/>
    <w:basedOn w:val="DefaultParagraphFont"/>
    <w:link w:val="Heading4"/>
    <w:rsid w:val="00821E2A"/>
    <w:rPr>
      <w:b/>
      <w:sz w:val="24"/>
      <w:szCs w:val="22"/>
      <w:lang w:val="en-US" w:eastAsia="en-US"/>
    </w:rPr>
  </w:style>
  <w:style w:type="character" w:customStyle="1" w:styleId="Heading5Char">
    <w:name w:val="Heading 5 Char"/>
    <w:basedOn w:val="DefaultParagraphFont"/>
    <w:link w:val="Heading5"/>
    <w:rsid w:val="00821E2A"/>
    <w:rPr>
      <w:b/>
      <w:sz w:val="24"/>
      <w:szCs w:val="22"/>
      <w:lang w:val="en-US" w:eastAsia="en-US"/>
    </w:rPr>
  </w:style>
  <w:style w:type="character" w:customStyle="1" w:styleId="Heading6Char">
    <w:name w:val="Heading 6 Char"/>
    <w:basedOn w:val="DefaultParagraphFont"/>
    <w:link w:val="Heading6"/>
    <w:rsid w:val="00821E2A"/>
    <w:rPr>
      <w:b/>
      <w:sz w:val="24"/>
      <w:szCs w:val="22"/>
      <w:lang w:val="en-US" w:eastAsia="en-US"/>
    </w:rPr>
  </w:style>
  <w:style w:type="character" w:customStyle="1" w:styleId="Heading7Char">
    <w:name w:val="Heading 7 Char"/>
    <w:basedOn w:val="DefaultParagraphFont"/>
    <w:link w:val="Heading7"/>
    <w:rsid w:val="00821E2A"/>
    <w:rPr>
      <w:b/>
      <w:sz w:val="24"/>
      <w:szCs w:val="22"/>
      <w:lang w:val="en-US" w:eastAsia="en-US"/>
    </w:rPr>
  </w:style>
  <w:style w:type="character" w:customStyle="1" w:styleId="Heading8Char">
    <w:name w:val="Heading 8 Char"/>
    <w:basedOn w:val="DefaultParagraphFont"/>
    <w:link w:val="Heading8"/>
    <w:rsid w:val="00821E2A"/>
    <w:rPr>
      <w:b/>
      <w:sz w:val="24"/>
      <w:szCs w:val="22"/>
      <w:lang w:val="en-US" w:eastAsia="en-US"/>
    </w:rPr>
  </w:style>
  <w:style w:type="character" w:customStyle="1" w:styleId="Heading9Char">
    <w:name w:val="Heading 9 Char"/>
    <w:basedOn w:val="DefaultParagraphFont"/>
    <w:link w:val="Heading9"/>
    <w:rsid w:val="00821E2A"/>
    <w:rPr>
      <w:b/>
      <w:sz w:val="24"/>
      <w:szCs w:val="22"/>
      <w:lang w:val="en-US" w:eastAsia="en-US"/>
    </w:rPr>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aliases w:val="pie de página Char"/>
    <w:basedOn w:val="DefaultParagraphFont"/>
    <w:link w:val="Footer"/>
    <w:rsid w:val="002D0BE9"/>
    <w:rPr>
      <w:sz w:val="24"/>
      <w:szCs w:val="22"/>
      <w:lang w:val="en-US" w:eastAsia="en-US"/>
    </w:rPr>
  </w:style>
  <w:style w:type="paragraph" w:styleId="Header">
    <w:name w:val="header"/>
    <w:aliases w:val="encabezado,he"/>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he Char"/>
    <w:basedOn w:val="DefaultParagraphFont"/>
    <w:link w:val="Header"/>
    <w:uiPriority w:val="99"/>
    <w:rsid w:val="002D0BE9"/>
    <w:rPr>
      <w:sz w:val="24"/>
      <w:szCs w:val="22"/>
      <w:lang w:val="en-US"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qForma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2D0BE9"/>
    <w:rPr>
      <w:szCs w:val="22"/>
      <w:lang w:val="en-US" w:eastAsia="en-US"/>
    </w:rPr>
  </w:style>
  <w:style w:type="paragraph" w:customStyle="1" w:styleId="enumlev1">
    <w:name w:val="enumlev1"/>
    <w:basedOn w:val="Normal"/>
    <w:link w:val="enumlev1Char"/>
    <w:qFormat/>
    <w:rsid w:val="004326DB"/>
    <w:pPr>
      <w:spacing w:before="80"/>
      <w:ind w:left="794" w:hanging="794"/>
    </w:pPr>
  </w:style>
  <w:style w:type="character" w:customStyle="1" w:styleId="enumlev1Char">
    <w:name w:val="enumlev1 Char"/>
    <w:basedOn w:val="DefaultParagraphFont"/>
    <w:link w:val="enumlev1"/>
    <w:uiPriority w:val="99"/>
    <w:rsid w:val="00390BEE"/>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customStyle="1" w:styleId="NormalaftertitleChar">
    <w:name w:val="Normal_after_title Char"/>
    <w:basedOn w:val="DefaultParagraphFont"/>
    <w:link w:val="Normalaftertitle"/>
    <w:locked/>
    <w:rsid w:val="00A4671D"/>
    <w:rPr>
      <w:sz w:val="24"/>
      <w:szCs w:val="22"/>
      <w:lang w:val="en-US" w:eastAsia="en-US"/>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character" w:customStyle="1" w:styleId="CallChar">
    <w:name w:val="Call Char"/>
    <w:basedOn w:val="DefaultParagraphFont"/>
    <w:link w:val="Call"/>
    <w:locked/>
    <w:rsid w:val="00821E2A"/>
    <w:rPr>
      <w:i/>
      <w:sz w:val="24"/>
      <w:szCs w:val="22"/>
      <w:lang w:val="en-US" w:eastAsia="en-US"/>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character" w:customStyle="1" w:styleId="HeadingbChar">
    <w:name w:val="Heading_b Char"/>
    <w:link w:val="Headingb"/>
    <w:locked/>
    <w:rsid w:val="00821E2A"/>
    <w:rPr>
      <w:b/>
      <w:sz w:val="24"/>
      <w:szCs w:val="22"/>
      <w:lang w:val="en-US" w:eastAsia="en-US"/>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character" w:customStyle="1" w:styleId="RestitleChar">
    <w:name w:val="Res_title Char"/>
    <w:basedOn w:val="DefaultParagraphFont"/>
    <w:link w:val="Restitle"/>
    <w:locked/>
    <w:rsid w:val="00821E2A"/>
    <w:rPr>
      <w:b/>
      <w:sz w:val="28"/>
      <w:szCs w:val="22"/>
      <w:lang w:val="en-US" w:eastAsia="en-US"/>
    </w:rPr>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basedOn w:val="DefaultParagraphFont"/>
    <w:link w:val="Tabletext"/>
    <w:locked/>
    <w:rsid w:val="002D0BE9"/>
    <w:rPr>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1"/>
    <w:semiHidden/>
    <w:rsid w:val="004326DB"/>
    <w:rPr>
      <w:sz w:val="20"/>
    </w:rPr>
  </w:style>
  <w:style w:type="character" w:customStyle="1" w:styleId="CommentTextChar1">
    <w:name w:val="Comment Text Char1"/>
    <w:basedOn w:val="DefaultParagraphFont"/>
    <w:link w:val="CommentText"/>
    <w:semiHidden/>
    <w:rsid w:val="00821E2A"/>
    <w:rPr>
      <w:szCs w:val="22"/>
      <w:lang w:val="en-US" w:eastAsia="en-US"/>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aftertitle"/>
    <w:rsid w:val="00390BEE"/>
    <w:pPr>
      <w:keepNext/>
      <w:keepLines/>
      <w:spacing w:before="480" w:line="240" w:lineRule="auto"/>
      <w:jc w:val="center"/>
    </w:pPr>
    <w:rPr>
      <w:rFonts w:ascii="Times New Roman" w:hAnsi="Times New Roman" w:cs="Times New Roman"/>
      <w:b/>
      <w:sz w:val="28"/>
      <w:szCs w:val="20"/>
      <w:lang w:val="es-ES_tradnl"/>
    </w:rPr>
  </w:style>
  <w:style w:type="paragraph" w:customStyle="1" w:styleId="FigureNotitle0">
    <w:name w:val="Figure_No &amp; title"/>
    <w:basedOn w:val="Normal"/>
    <w:next w:val="Normalaftertitle"/>
    <w:rsid w:val="00821E2A"/>
    <w:pPr>
      <w:keepLines/>
      <w:spacing w:before="240" w:after="120" w:line="240" w:lineRule="auto"/>
      <w:jc w:val="center"/>
    </w:pPr>
    <w:rPr>
      <w:rFonts w:ascii="Times New Roman" w:hAnsi="Times New Roman" w:cs="Times New Roman"/>
      <w:b/>
      <w:szCs w:val="20"/>
      <w:lang w:val="es-ES_tradnl"/>
    </w:rPr>
  </w:style>
  <w:style w:type="paragraph" w:customStyle="1" w:styleId="TabletitleBR">
    <w:name w:val="Table_title_BR"/>
    <w:basedOn w:val="Normal"/>
    <w:next w:val="Tablehead"/>
    <w:rsid w:val="00821E2A"/>
    <w:pPr>
      <w:keepNext/>
      <w:keepLines/>
      <w:spacing w:before="0" w:after="120" w:line="240" w:lineRule="auto"/>
      <w:jc w:val="center"/>
    </w:pPr>
    <w:rPr>
      <w:rFonts w:ascii="Times New Roman" w:hAnsi="Times New Roman" w:cs="Times New Roman"/>
      <w:b/>
      <w:szCs w:val="20"/>
      <w:lang w:val="es-ES_tradnl"/>
    </w:rPr>
  </w:style>
  <w:style w:type="paragraph" w:customStyle="1" w:styleId="AppendixNotitle0">
    <w:name w:val="Appendix_No &amp; title"/>
    <w:basedOn w:val="AnnexNotitle0"/>
    <w:next w:val="Normalaftertitle"/>
    <w:rsid w:val="00821E2A"/>
  </w:style>
  <w:style w:type="character" w:styleId="EndnoteReference">
    <w:name w:val="endnote reference"/>
    <w:basedOn w:val="DefaultParagraphFont"/>
    <w:rsid w:val="00821E2A"/>
    <w:rPr>
      <w:vertAlign w:val="superscript"/>
    </w:rPr>
  </w:style>
  <w:style w:type="paragraph" w:customStyle="1" w:styleId="RecNoBR">
    <w:name w:val="Rec_No_BR"/>
    <w:basedOn w:val="Normal"/>
    <w:next w:val="Rectitle"/>
    <w:rsid w:val="00821E2A"/>
    <w:pPr>
      <w:keepNext/>
      <w:keepLines/>
      <w:spacing w:before="480" w:line="240" w:lineRule="auto"/>
      <w:jc w:val="center"/>
    </w:pPr>
    <w:rPr>
      <w:rFonts w:ascii="Times New Roman" w:hAnsi="Times New Roman" w:cs="Times New Roman"/>
      <w:caps/>
      <w:sz w:val="28"/>
      <w:szCs w:val="20"/>
      <w:lang w:val="es-ES_tradnl"/>
    </w:rPr>
  </w:style>
  <w:style w:type="paragraph" w:customStyle="1" w:styleId="QuestionNoBR">
    <w:name w:val="Question_No_BR"/>
    <w:basedOn w:val="RecNoBR"/>
    <w:next w:val="Questiontitle"/>
    <w:rsid w:val="00821E2A"/>
  </w:style>
  <w:style w:type="paragraph" w:customStyle="1" w:styleId="RepNoBR">
    <w:name w:val="Rep_No_BR"/>
    <w:basedOn w:val="RecNoBR"/>
    <w:next w:val="Reptitle"/>
    <w:rsid w:val="00821E2A"/>
  </w:style>
  <w:style w:type="paragraph" w:customStyle="1" w:styleId="ResNoBR">
    <w:name w:val="Res_No_BR"/>
    <w:basedOn w:val="RecNoBR"/>
    <w:next w:val="Restitle"/>
    <w:rsid w:val="00821E2A"/>
  </w:style>
  <w:style w:type="paragraph" w:customStyle="1" w:styleId="TableNotitle0">
    <w:name w:val="Table_No &amp; title"/>
    <w:basedOn w:val="Normal"/>
    <w:next w:val="Tablehead"/>
    <w:rsid w:val="00821E2A"/>
    <w:pPr>
      <w:keepNext/>
      <w:keepLines/>
      <w:spacing w:before="360" w:after="120" w:line="240" w:lineRule="auto"/>
      <w:jc w:val="center"/>
    </w:pPr>
    <w:rPr>
      <w:rFonts w:ascii="Times New Roman" w:hAnsi="Times New Roman" w:cs="Times New Roman"/>
      <w:b/>
      <w:szCs w:val="20"/>
      <w:lang w:val="es-ES_tradnl"/>
    </w:rPr>
  </w:style>
  <w:style w:type="paragraph" w:customStyle="1" w:styleId="TableNoBR">
    <w:name w:val="Table_No_BR"/>
    <w:basedOn w:val="Normal"/>
    <w:next w:val="TabletitleBR"/>
    <w:rsid w:val="00821E2A"/>
    <w:pPr>
      <w:keepNext/>
      <w:spacing w:before="560" w:after="120" w:line="240" w:lineRule="auto"/>
      <w:jc w:val="center"/>
    </w:pPr>
    <w:rPr>
      <w:rFonts w:ascii="Times New Roman" w:hAnsi="Times New Roman" w:cs="Times New Roman"/>
      <w:caps/>
      <w:szCs w:val="20"/>
      <w:lang w:val="es-ES_tradnl"/>
    </w:rPr>
  </w:style>
  <w:style w:type="paragraph" w:customStyle="1" w:styleId="Tableref">
    <w:name w:val="Table_ref"/>
    <w:basedOn w:val="Normal"/>
    <w:next w:val="TabletitleBR"/>
    <w:rsid w:val="00821E2A"/>
    <w:pPr>
      <w:keepNext/>
      <w:spacing w:before="0" w:after="120" w:line="240" w:lineRule="auto"/>
      <w:jc w:val="center"/>
    </w:pPr>
    <w:rPr>
      <w:rFonts w:ascii="Times New Roman" w:hAnsi="Times New Roman" w:cs="Times New Roman"/>
      <w:szCs w:val="20"/>
      <w:lang w:val="es-ES_tradnl"/>
    </w:rPr>
  </w:style>
  <w:style w:type="character" w:customStyle="1" w:styleId="Appdef">
    <w:name w:val="App_def"/>
    <w:basedOn w:val="DefaultParagraphFont"/>
    <w:rsid w:val="00821E2A"/>
    <w:rPr>
      <w:rFonts w:ascii="Times New Roman" w:hAnsi="Times New Roman"/>
      <w:b/>
    </w:rPr>
  </w:style>
  <w:style w:type="character" w:customStyle="1" w:styleId="Appref">
    <w:name w:val="App_ref"/>
    <w:basedOn w:val="DefaultParagraphFont"/>
    <w:rsid w:val="00821E2A"/>
  </w:style>
  <w:style w:type="character" w:customStyle="1" w:styleId="Artdef">
    <w:name w:val="Art_def"/>
    <w:basedOn w:val="DefaultParagraphFont"/>
    <w:rsid w:val="00821E2A"/>
    <w:rPr>
      <w:rFonts w:ascii="Times New Roman" w:hAnsi="Times New Roman"/>
      <w:b/>
    </w:rPr>
  </w:style>
  <w:style w:type="character" w:customStyle="1" w:styleId="Artref">
    <w:name w:val="Art_ref"/>
    <w:basedOn w:val="DefaultParagraphFont"/>
    <w:rsid w:val="00821E2A"/>
  </w:style>
  <w:style w:type="character" w:customStyle="1" w:styleId="Recdef">
    <w:name w:val="Rec_def"/>
    <w:basedOn w:val="DefaultParagraphFont"/>
    <w:rsid w:val="00821E2A"/>
    <w:rPr>
      <w:b/>
    </w:rPr>
  </w:style>
  <w:style w:type="character" w:customStyle="1" w:styleId="Resdef">
    <w:name w:val="Res_def"/>
    <w:basedOn w:val="DefaultParagraphFont"/>
    <w:rsid w:val="00821E2A"/>
    <w:rPr>
      <w:rFonts w:ascii="Times New Roman" w:hAnsi="Times New Roman"/>
      <w:b/>
    </w:rPr>
  </w:style>
  <w:style w:type="character" w:customStyle="1" w:styleId="Tablefreq">
    <w:name w:val="Table_freq"/>
    <w:basedOn w:val="DefaultParagraphFont"/>
    <w:rsid w:val="00821E2A"/>
    <w:rPr>
      <w:b/>
      <w:color w:val="auto"/>
    </w:rPr>
  </w:style>
  <w:style w:type="paragraph" w:customStyle="1" w:styleId="FiguretitleBR">
    <w:name w:val="Figure_title_BR"/>
    <w:basedOn w:val="TabletitleBR"/>
    <w:next w:val="Figurewithouttitle"/>
    <w:rsid w:val="00821E2A"/>
    <w:pPr>
      <w:keepNext w:val="0"/>
      <w:spacing w:after="480"/>
    </w:pPr>
  </w:style>
  <w:style w:type="paragraph" w:customStyle="1" w:styleId="FigureNoBR">
    <w:name w:val="Figure_No_BR"/>
    <w:basedOn w:val="Normal"/>
    <w:next w:val="FiguretitleBR"/>
    <w:rsid w:val="00821E2A"/>
    <w:pPr>
      <w:keepNext/>
      <w:keepLines/>
      <w:spacing w:before="480" w:after="120" w:line="240" w:lineRule="auto"/>
      <w:jc w:val="center"/>
    </w:pPr>
    <w:rPr>
      <w:rFonts w:ascii="Times New Roman" w:hAnsi="Times New Roman" w:cs="Times New Roman"/>
      <w:caps/>
      <w:szCs w:val="20"/>
      <w:lang w:val="es-ES_tradnl"/>
    </w:rPr>
  </w:style>
  <w:style w:type="paragraph" w:styleId="Index7">
    <w:name w:val="index 7"/>
    <w:basedOn w:val="Normal"/>
    <w:next w:val="Normal"/>
    <w:rsid w:val="00821E2A"/>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698"/>
      <w:jc w:val="left"/>
    </w:pPr>
    <w:rPr>
      <w:rFonts w:cs="Times New Roman"/>
      <w:szCs w:val="20"/>
      <w:lang w:val="es-ES_tradnl"/>
    </w:rPr>
  </w:style>
  <w:style w:type="paragraph" w:styleId="Index6">
    <w:name w:val="index 6"/>
    <w:basedOn w:val="Normal"/>
    <w:next w:val="Normal"/>
    <w:rsid w:val="00821E2A"/>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415"/>
      <w:jc w:val="left"/>
    </w:pPr>
    <w:rPr>
      <w:rFonts w:cs="Times New Roman"/>
      <w:szCs w:val="20"/>
      <w:lang w:val="es-ES_tradnl"/>
    </w:rPr>
  </w:style>
  <w:style w:type="paragraph" w:styleId="Index5">
    <w:name w:val="index 5"/>
    <w:basedOn w:val="Normal"/>
    <w:next w:val="Normal"/>
    <w:rsid w:val="00821E2A"/>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132"/>
      <w:jc w:val="left"/>
    </w:pPr>
    <w:rPr>
      <w:rFonts w:cs="Times New Roman"/>
      <w:szCs w:val="20"/>
      <w:lang w:val="es-ES_tradnl"/>
    </w:rPr>
  </w:style>
  <w:style w:type="paragraph" w:styleId="Index4">
    <w:name w:val="index 4"/>
    <w:basedOn w:val="Normal"/>
    <w:next w:val="Normal"/>
    <w:rsid w:val="00821E2A"/>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849"/>
      <w:jc w:val="left"/>
    </w:pPr>
    <w:rPr>
      <w:rFonts w:cs="Times New Roman"/>
      <w:szCs w:val="20"/>
      <w:lang w:val="es-ES_tradnl"/>
    </w:rPr>
  </w:style>
  <w:style w:type="character" w:styleId="LineNumber">
    <w:name w:val="line number"/>
    <w:basedOn w:val="DefaultParagraphFont"/>
    <w:rsid w:val="00821E2A"/>
  </w:style>
  <w:style w:type="paragraph" w:styleId="IndexHeading">
    <w:name w:val="index heading"/>
    <w:basedOn w:val="Normal"/>
    <w:next w:val="Index1"/>
    <w:rsid w:val="00821E2A"/>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lang w:val="es-ES_tradnl"/>
    </w:rPr>
  </w:style>
  <w:style w:type="paragraph" w:styleId="NormalIndent0">
    <w:name w:val="Normal Indent"/>
    <w:basedOn w:val="Normal"/>
    <w:rsid w:val="00821E2A"/>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jc w:val="left"/>
    </w:pPr>
    <w:rPr>
      <w:rFonts w:cs="Times New Roman"/>
      <w:szCs w:val="20"/>
      <w:lang w:val="es-ES_tradnl"/>
    </w:rPr>
  </w:style>
  <w:style w:type="paragraph" w:customStyle="1" w:styleId="AnnexNo">
    <w:name w:val="Annex_No"/>
    <w:basedOn w:val="Normal"/>
    <w:next w:val="Annexref"/>
    <w:rsid w:val="00821E2A"/>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lang w:val="es-ES_tradnl"/>
    </w:rPr>
  </w:style>
  <w:style w:type="paragraph" w:customStyle="1" w:styleId="Annexref">
    <w:name w:val="Annex_ref"/>
    <w:basedOn w:val="Normal"/>
    <w:next w:val="Annextitle"/>
    <w:rsid w:val="00821E2A"/>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cs="Times New Roman"/>
      <w:sz w:val="28"/>
      <w:szCs w:val="20"/>
      <w:lang w:val="es-ES_tradnl"/>
    </w:rPr>
  </w:style>
  <w:style w:type="paragraph" w:customStyle="1" w:styleId="Annextitle">
    <w:name w:val="Annex_title"/>
    <w:basedOn w:val="Normal"/>
    <w:next w:val="Normal"/>
    <w:rsid w:val="00821E2A"/>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lang w:val="es-ES_tradnl"/>
    </w:rPr>
  </w:style>
  <w:style w:type="paragraph" w:customStyle="1" w:styleId="Normalaftertitle0">
    <w:name w:val="Normal after title"/>
    <w:basedOn w:val="Normal"/>
    <w:next w:val="Normal"/>
    <w:rsid w:val="00821E2A"/>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pPr>
    <w:rPr>
      <w:rFonts w:cs="Times New Roman"/>
      <w:szCs w:val="20"/>
      <w:lang w:val="es-ES_tradnl"/>
    </w:rPr>
  </w:style>
  <w:style w:type="paragraph" w:customStyle="1" w:styleId="AppendixNo">
    <w:name w:val="Appendix_No"/>
    <w:basedOn w:val="AnnexNo"/>
    <w:next w:val="Appendixref"/>
    <w:rsid w:val="00821E2A"/>
  </w:style>
  <w:style w:type="paragraph" w:customStyle="1" w:styleId="Appendixref">
    <w:name w:val="Appendix_ref"/>
    <w:basedOn w:val="Annexref"/>
    <w:next w:val="Appendixtitle"/>
    <w:rsid w:val="00821E2A"/>
  </w:style>
  <w:style w:type="paragraph" w:customStyle="1" w:styleId="Appendixtitle">
    <w:name w:val="Appendix_title"/>
    <w:basedOn w:val="Annextitle"/>
    <w:next w:val="Normal"/>
    <w:rsid w:val="00821E2A"/>
  </w:style>
  <w:style w:type="paragraph" w:customStyle="1" w:styleId="Figuretitle">
    <w:name w:val="Figure_title"/>
    <w:basedOn w:val="Tabletitle"/>
    <w:next w:val="Normalaftertitle0"/>
    <w:rsid w:val="00821E2A"/>
    <w:pPr>
      <w:spacing w:before="240" w:after="480"/>
    </w:pPr>
  </w:style>
  <w:style w:type="paragraph" w:customStyle="1" w:styleId="Tabletitle">
    <w:name w:val="Table_title"/>
    <w:basedOn w:val="TableNo"/>
    <w:next w:val="Tabletext"/>
    <w:rsid w:val="00821E2A"/>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21E2A"/>
    <w:pPr>
      <w:keepNext/>
      <w:tabs>
        <w:tab w:val="clear" w:pos="794"/>
        <w:tab w:val="clear" w:pos="1191"/>
        <w:tab w:val="clear" w:pos="1588"/>
        <w:tab w:val="clear" w:pos="1985"/>
        <w:tab w:val="left" w:pos="567"/>
        <w:tab w:val="left" w:pos="1134"/>
        <w:tab w:val="left" w:pos="1701"/>
        <w:tab w:val="left" w:pos="2268"/>
        <w:tab w:val="left" w:pos="2835"/>
      </w:tabs>
      <w:spacing w:before="560" w:after="120" w:line="240" w:lineRule="auto"/>
      <w:jc w:val="center"/>
    </w:pPr>
    <w:rPr>
      <w:rFonts w:cs="Times New Roman"/>
      <w:caps/>
      <w:szCs w:val="20"/>
      <w:lang w:val="es-ES_tradnl"/>
    </w:rPr>
  </w:style>
  <w:style w:type="paragraph" w:customStyle="1" w:styleId="Head">
    <w:name w:val="Head"/>
    <w:basedOn w:val="Normal"/>
    <w:rsid w:val="00821E2A"/>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line="240" w:lineRule="auto"/>
      <w:jc w:val="left"/>
      <w:textAlignment w:val="auto"/>
    </w:pPr>
    <w:rPr>
      <w:rFonts w:cs="Times New Roman"/>
      <w:szCs w:val="20"/>
      <w:lang w:val="es-ES_tradnl"/>
    </w:rPr>
  </w:style>
  <w:style w:type="paragraph" w:styleId="List">
    <w:name w:val="List"/>
    <w:basedOn w:val="Normal"/>
    <w:rsid w:val="00821E2A"/>
    <w:pPr>
      <w:tabs>
        <w:tab w:val="clear" w:pos="794"/>
        <w:tab w:val="clear" w:pos="1191"/>
        <w:tab w:val="clear" w:pos="1588"/>
        <w:tab w:val="clear" w:pos="1985"/>
        <w:tab w:val="left" w:pos="567"/>
        <w:tab w:val="left" w:pos="1134"/>
        <w:tab w:val="left" w:pos="1701"/>
        <w:tab w:val="left" w:pos="2127"/>
        <w:tab w:val="left" w:pos="2268"/>
        <w:tab w:val="left" w:pos="2835"/>
      </w:tabs>
      <w:spacing w:before="120" w:line="240" w:lineRule="auto"/>
      <w:ind w:left="2127" w:hanging="2127"/>
      <w:jc w:val="left"/>
    </w:pPr>
    <w:rPr>
      <w:rFonts w:cs="Times New Roman"/>
      <w:szCs w:val="20"/>
      <w:lang w:val="es-ES_tradnl"/>
    </w:rPr>
  </w:style>
  <w:style w:type="paragraph" w:customStyle="1" w:styleId="Part">
    <w:name w:val="Part"/>
    <w:basedOn w:val="Normal"/>
    <w:rsid w:val="00821E2A"/>
    <w:pPr>
      <w:tabs>
        <w:tab w:val="clear" w:pos="794"/>
        <w:tab w:val="clear" w:pos="1191"/>
        <w:tab w:val="clear" w:pos="1588"/>
        <w:tab w:val="clear" w:pos="1985"/>
        <w:tab w:val="left" w:pos="567"/>
        <w:tab w:val="left" w:pos="1134"/>
        <w:tab w:val="left" w:pos="1276"/>
        <w:tab w:val="left" w:pos="1701"/>
        <w:tab w:val="left" w:pos="2268"/>
        <w:tab w:val="left" w:pos="2835"/>
      </w:tabs>
      <w:spacing w:before="199" w:line="240" w:lineRule="auto"/>
      <w:ind w:left="1701" w:hanging="1701"/>
      <w:jc w:val="left"/>
    </w:pPr>
    <w:rPr>
      <w:rFonts w:cs="Times New Roman"/>
      <w:caps/>
      <w:szCs w:val="20"/>
      <w:lang w:val="es-ES_tradnl"/>
    </w:rPr>
  </w:style>
  <w:style w:type="paragraph" w:customStyle="1" w:styleId="meeting">
    <w:name w:val="meeting"/>
    <w:basedOn w:val="Head"/>
    <w:next w:val="Head"/>
    <w:rsid w:val="00821E2A"/>
    <w:pPr>
      <w:tabs>
        <w:tab w:val="left" w:pos="7371"/>
      </w:tabs>
      <w:spacing w:after="567"/>
    </w:pPr>
  </w:style>
  <w:style w:type="paragraph" w:customStyle="1" w:styleId="Subject">
    <w:name w:val="Subject"/>
    <w:basedOn w:val="Normal"/>
    <w:next w:val="Source"/>
    <w:rsid w:val="00821E2A"/>
    <w:pPr>
      <w:tabs>
        <w:tab w:val="clear" w:pos="794"/>
        <w:tab w:val="clear" w:pos="1191"/>
        <w:tab w:val="clear" w:pos="1588"/>
        <w:tab w:val="clear" w:pos="1985"/>
        <w:tab w:val="left" w:pos="567"/>
        <w:tab w:val="left" w:pos="709"/>
        <w:tab w:val="left" w:pos="1134"/>
        <w:tab w:val="left" w:pos="1701"/>
        <w:tab w:val="left" w:pos="2268"/>
        <w:tab w:val="left" w:pos="2835"/>
      </w:tabs>
      <w:spacing w:before="0" w:line="240" w:lineRule="auto"/>
      <w:ind w:left="709" w:hanging="709"/>
      <w:jc w:val="left"/>
    </w:pPr>
    <w:rPr>
      <w:rFonts w:cs="Times New Roman"/>
      <w:szCs w:val="20"/>
      <w:lang w:val="es-ES_tradnl"/>
    </w:rPr>
  </w:style>
  <w:style w:type="paragraph" w:customStyle="1" w:styleId="Data">
    <w:name w:val="Data"/>
    <w:basedOn w:val="Subject"/>
    <w:next w:val="Subject"/>
    <w:rsid w:val="00821E2A"/>
  </w:style>
  <w:style w:type="character" w:styleId="FollowedHyperlink">
    <w:name w:val="FollowedHyperlink"/>
    <w:basedOn w:val="DefaultParagraphFont"/>
    <w:rsid w:val="00821E2A"/>
    <w:rPr>
      <w:color w:val="800080"/>
      <w:u w:val="single"/>
    </w:rPr>
  </w:style>
  <w:style w:type="paragraph" w:customStyle="1" w:styleId="dnum">
    <w:name w:val="dnum"/>
    <w:basedOn w:val="Normal"/>
    <w:rsid w:val="00821E2A"/>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120" w:line="240" w:lineRule="auto"/>
      <w:jc w:val="left"/>
    </w:pPr>
    <w:rPr>
      <w:rFonts w:cs="Times New Roman"/>
      <w:b/>
      <w:bCs/>
      <w:szCs w:val="20"/>
      <w:lang w:val="es-ES_tradnl"/>
    </w:rPr>
  </w:style>
  <w:style w:type="paragraph" w:customStyle="1" w:styleId="ddate">
    <w:name w:val="ddate"/>
    <w:basedOn w:val="Normal"/>
    <w:rsid w:val="00821E2A"/>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lang w:val="es-ES_tradnl"/>
    </w:rPr>
  </w:style>
  <w:style w:type="paragraph" w:customStyle="1" w:styleId="dorlang">
    <w:name w:val="dorlang"/>
    <w:basedOn w:val="Normal"/>
    <w:rsid w:val="00821E2A"/>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lang w:val="es-ES_tradnl"/>
    </w:rPr>
  </w:style>
  <w:style w:type="paragraph" w:customStyle="1" w:styleId="Reasons">
    <w:name w:val="Reasons"/>
    <w:basedOn w:val="Normal"/>
    <w:qFormat/>
    <w:rsid w:val="00821E2A"/>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lang w:val="es-ES_tradnl"/>
    </w:rPr>
  </w:style>
  <w:style w:type="paragraph" w:customStyle="1" w:styleId="docnoted">
    <w:name w:val="docnoted"/>
    <w:basedOn w:val="Normal"/>
    <w:rsid w:val="00821E2A"/>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 w:val="20"/>
      <w:szCs w:val="20"/>
      <w:lang w:val="es-ES_tradnl"/>
    </w:rPr>
  </w:style>
  <w:style w:type="paragraph" w:customStyle="1" w:styleId="Table">
    <w:name w:val="Table_#"/>
    <w:basedOn w:val="Normal"/>
    <w:next w:val="Normal"/>
    <w:rsid w:val="00821E2A"/>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line="240" w:lineRule="auto"/>
      <w:jc w:val="center"/>
      <w:textAlignment w:val="auto"/>
    </w:pPr>
    <w:rPr>
      <w:rFonts w:cs="Times New Roman"/>
      <w:caps/>
      <w:szCs w:val="20"/>
      <w:lang w:val="en-GB"/>
    </w:rPr>
  </w:style>
  <w:style w:type="paragraph" w:customStyle="1" w:styleId="FigureNo">
    <w:name w:val="Figure_No"/>
    <w:basedOn w:val="Normal"/>
    <w:next w:val="Figuretitle"/>
    <w:rsid w:val="00821E2A"/>
    <w:pPr>
      <w:keepNext/>
      <w:keepLines/>
      <w:tabs>
        <w:tab w:val="clear" w:pos="794"/>
        <w:tab w:val="clear" w:pos="1191"/>
        <w:tab w:val="clear" w:pos="1588"/>
        <w:tab w:val="clear" w:pos="1985"/>
        <w:tab w:val="left" w:pos="567"/>
        <w:tab w:val="left" w:pos="1134"/>
        <w:tab w:val="left" w:pos="1701"/>
        <w:tab w:val="left" w:pos="2268"/>
        <w:tab w:val="left" w:pos="2835"/>
      </w:tabs>
      <w:spacing w:before="240" w:after="120" w:line="240" w:lineRule="auto"/>
      <w:jc w:val="center"/>
    </w:pPr>
    <w:rPr>
      <w:rFonts w:cs="Times New Roman"/>
      <w:caps/>
      <w:szCs w:val="20"/>
      <w:lang w:val="es-ES_tradnl"/>
    </w:rPr>
  </w:style>
  <w:style w:type="paragraph" w:styleId="NormalWeb">
    <w:name w:val="Normal (Web)"/>
    <w:basedOn w:val="Normal"/>
    <w:uiPriority w:val="99"/>
    <w:unhideWhenUsed/>
    <w:rsid w:val="00821E2A"/>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eastAsia="SimSun" w:hAnsi="Verdana" w:cs="Times New Roman"/>
      <w:sz w:val="18"/>
      <w:szCs w:val="18"/>
      <w:lang w:eastAsia="zh-CN"/>
    </w:rPr>
  </w:style>
  <w:style w:type="paragraph" w:styleId="EndnoteText">
    <w:name w:val="endnote text"/>
    <w:basedOn w:val="Normal"/>
    <w:link w:val="EndnoteTextChar"/>
    <w:uiPriority w:val="99"/>
    <w:unhideWhenUsed/>
    <w:rsid w:val="00821E2A"/>
    <w:pPr>
      <w:spacing w:before="0" w:line="240" w:lineRule="auto"/>
      <w:jc w:val="left"/>
      <w:textAlignment w:val="auto"/>
    </w:pPr>
    <w:rPr>
      <w:rFonts w:ascii="Times New Roman" w:hAnsi="Times New Roman" w:cs="Times New Roman"/>
      <w:sz w:val="20"/>
      <w:szCs w:val="20"/>
      <w:lang w:val="en-GB"/>
    </w:rPr>
  </w:style>
  <w:style w:type="character" w:customStyle="1" w:styleId="EndnoteTextChar">
    <w:name w:val="Endnote Text Char"/>
    <w:basedOn w:val="DefaultParagraphFont"/>
    <w:link w:val="EndnoteText"/>
    <w:uiPriority w:val="99"/>
    <w:rsid w:val="00821E2A"/>
    <w:rPr>
      <w:rFonts w:ascii="Times New Roman" w:hAnsi="Times New Roman" w:cs="Times New Roman"/>
      <w:lang w:val="en-GB" w:eastAsia="en-US"/>
    </w:rPr>
  </w:style>
  <w:style w:type="paragraph" w:styleId="Title">
    <w:name w:val="Title"/>
    <w:basedOn w:val="Normal"/>
    <w:next w:val="Normal"/>
    <w:link w:val="TitleChar"/>
    <w:qFormat/>
    <w:rsid w:val="00821E2A"/>
    <w:pPr>
      <w:pBdr>
        <w:bottom w:val="single" w:sz="8" w:space="4" w:color="4F81BD" w:themeColor="accent1"/>
      </w:pBdr>
      <w:spacing w:before="0" w:after="300" w:line="240" w:lineRule="auto"/>
      <w:contextualSpacing/>
      <w:jc w:val="left"/>
      <w:textAlignment w:val="auto"/>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821E2A"/>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821E2A"/>
    <w:pPr>
      <w:spacing w:before="120" w:line="240" w:lineRule="auto"/>
      <w:jc w:val="left"/>
      <w:textAlignment w:val="auto"/>
    </w:pPr>
    <w:rPr>
      <w:rFonts w:ascii="Times New Roman" w:hAnsi="Times New Roman" w:cs="Times New Roman"/>
      <w:b/>
      <w:bCs/>
      <w:i/>
      <w:iCs/>
      <w:szCs w:val="24"/>
      <w:lang w:val="en-GB"/>
    </w:rPr>
  </w:style>
  <w:style w:type="character" w:customStyle="1" w:styleId="BodyTextChar">
    <w:name w:val="Body Text Char"/>
    <w:basedOn w:val="DefaultParagraphFont"/>
    <w:link w:val="BodyText"/>
    <w:rsid w:val="00821E2A"/>
    <w:rPr>
      <w:rFonts w:ascii="Times New Roman" w:hAnsi="Times New Roman" w:cs="Times New Roman"/>
      <w:b/>
      <w:bCs/>
      <w:i/>
      <w:iCs/>
      <w:sz w:val="24"/>
      <w:szCs w:val="24"/>
      <w:lang w:val="en-GB" w:eastAsia="en-US"/>
    </w:rPr>
  </w:style>
  <w:style w:type="paragraph" w:styleId="BodyTextIndent">
    <w:name w:val="Body Text Indent"/>
    <w:basedOn w:val="Normal"/>
    <w:link w:val="BodyTextIndentChar"/>
    <w:unhideWhenUsed/>
    <w:rsid w:val="00821E2A"/>
    <w:pPr>
      <w:spacing w:before="120" w:after="120" w:line="240" w:lineRule="auto"/>
      <w:ind w:left="360"/>
      <w:jc w:val="left"/>
      <w:textAlignment w:val="auto"/>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821E2A"/>
    <w:rPr>
      <w:rFonts w:ascii="Times New Roman" w:hAnsi="Times New Roman" w:cs="Times New Roman"/>
      <w:sz w:val="24"/>
      <w:lang w:val="en-GB" w:eastAsia="en-US"/>
    </w:rPr>
  </w:style>
  <w:style w:type="paragraph" w:styleId="Subtitle">
    <w:name w:val="Subtitle"/>
    <w:basedOn w:val="Normal"/>
    <w:next w:val="Normal"/>
    <w:link w:val="SubtitleChar"/>
    <w:uiPriority w:val="11"/>
    <w:qFormat/>
    <w:rsid w:val="00821E2A"/>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ambria" w:eastAsia="SimSun" w:hAnsi="Cambria" w:cs="Times New Roman"/>
      <w:i/>
      <w:iCs/>
      <w:color w:val="4F81BD"/>
      <w:spacing w:val="15"/>
      <w:szCs w:val="24"/>
      <w:lang w:eastAsia="zh-CN"/>
    </w:rPr>
  </w:style>
  <w:style w:type="character" w:customStyle="1" w:styleId="SubtitleChar">
    <w:name w:val="Subtitle Char"/>
    <w:basedOn w:val="DefaultParagraphFont"/>
    <w:link w:val="Subtitle"/>
    <w:uiPriority w:val="11"/>
    <w:rsid w:val="00821E2A"/>
    <w:rPr>
      <w:rFonts w:ascii="Cambria" w:eastAsia="SimSun" w:hAnsi="Cambria" w:cs="Times New Roman"/>
      <w:i/>
      <w:iCs/>
      <w:color w:val="4F81BD"/>
      <w:spacing w:val="15"/>
      <w:sz w:val="24"/>
      <w:szCs w:val="24"/>
      <w:lang w:val="en-US"/>
    </w:rPr>
  </w:style>
  <w:style w:type="paragraph" w:styleId="BodyText2">
    <w:name w:val="Body Text 2"/>
    <w:basedOn w:val="Normal"/>
    <w:link w:val="BodyText2Char"/>
    <w:unhideWhenUsed/>
    <w:rsid w:val="00821E2A"/>
    <w:pPr>
      <w:spacing w:before="120" w:after="120" w:line="480" w:lineRule="auto"/>
      <w:jc w:val="left"/>
      <w:textAlignment w:val="auto"/>
    </w:pPr>
    <w:rPr>
      <w:rFonts w:ascii="Times New Roman" w:hAnsi="Times New Roman" w:cs="Times New Roman"/>
      <w:szCs w:val="20"/>
      <w:lang w:val="en-GB"/>
    </w:rPr>
  </w:style>
  <w:style w:type="character" w:customStyle="1" w:styleId="BodyText2Char">
    <w:name w:val="Body Text 2 Char"/>
    <w:basedOn w:val="DefaultParagraphFont"/>
    <w:link w:val="BodyText2"/>
    <w:rsid w:val="00821E2A"/>
    <w:rPr>
      <w:rFonts w:ascii="Times New Roman" w:hAnsi="Times New Roman" w:cs="Times New Roman"/>
      <w:sz w:val="24"/>
      <w:lang w:val="en-GB" w:eastAsia="en-US"/>
    </w:rPr>
  </w:style>
  <w:style w:type="character" w:customStyle="1" w:styleId="CommentSubjectChar">
    <w:name w:val="Comment Subject Char"/>
    <w:basedOn w:val="CommentTextChar"/>
    <w:link w:val="CommentSubject"/>
    <w:semiHidden/>
    <w:rsid w:val="00821E2A"/>
    <w:rPr>
      <w:rFonts w:ascii="Times New Roman" w:hAnsi="Times New Roman"/>
      <w:b/>
      <w:bCs/>
      <w:lang w:val="en-GB" w:eastAsia="en-US"/>
    </w:rPr>
  </w:style>
  <w:style w:type="character" w:customStyle="1" w:styleId="CommentTextChar">
    <w:name w:val="Comment Text Char"/>
    <w:basedOn w:val="DefaultParagraphFont"/>
    <w:semiHidden/>
    <w:rsid w:val="00821E2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21E2A"/>
    <w:pPr>
      <w:spacing w:before="120" w:line="240" w:lineRule="auto"/>
      <w:jc w:val="left"/>
    </w:pPr>
    <w:rPr>
      <w:rFonts w:ascii="Times New Roman" w:hAnsi="Times New Roman"/>
      <w:b/>
      <w:bCs/>
      <w:szCs w:val="20"/>
      <w:lang w:val="en-GB"/>
    </w:rPr>
  </w:style>
  <w:style w:type="character" w:customStyle="1" w:styleId="CommentSubjectChar1">
    <w:name w:val="Comment Subject Char1"/>
    <w:basedOn w:val="CommentTextChar1"/>
    <w:semiHidden/>
    <w:rsid w:val="00821E2A"/>
    <w:rPr>
      <w:b/>
      <w:bCs/>
      <w:szCs w:val="22"/>
      <w:lang w:val="en-US" w:eastAsia="en-US"/>
    </w:rPr>
  </w:style>
  <w:style w:type="paragraph" w:customStyle="1" w:styleId="Normal2">
    <w:name w:val="Normal2"/>
    <w:basedOn w:val="Normal"/>
    <w:link w:val="Normal2Char"/>
    <w:rsid w:val="00821E2A"/>
    <w:pPr>
      <w:tabs>
        <w:tab w:val="clear" w:pos="794"/>
        <w:tab w:val="clear" w:pos="1191"/>
        <w:tab w:val="clear" w:pos="1588"/>
        <w:tab w:val="clear" w:pos="1985"/>
      </w:tabs>
      <w:overflowPunct/>
      <w:autoSpaceDE/>
      <w:autoSpaceDN/>
      <w:adjustRightInd/>
      <w:spacing w:line="240" w:lineRule="auto"/>
      <w:textAlignment w:val="auto"/>
    </w:pPr>
    <w:rPr>
      <w:rFonts w:eastAsiaTheme="minorEastAsia"/>
      <w:sz w:val="22"/>
      <w:lang w:val="en-GB" w:eastAsia="zh-CN"/>
    </w:rPr>
  </w:style>
  <w:style w:type="character" w:customStyle="1" w:styleId="Normal2Char">
    <w:name w:val="Normal2 Char"/>
    <w:link w:val="Normal2"/>
    <w:rsid w:val="00821E2A"/>
    <w:rPr>
      <w:rFonts w:eastAsiaTheme="minorEastAsia"/>
      <w:sz w:val="22"/>
      <w:szCs w:val="22"/>
      <w:lang w:val="en-GB"/>
    </w:rPr>
  </w:style>
  <w:style w:type="paragraph" w:customStyle="1" w:styleId="enumlevel">
    <w:name w:val="enumlevel"/>
    <w:basedOn w:val="Normal2"/>
    <w:rsid w:val="00821E2A"/>
    <w:pPr>
      <w:numPr>
        <w:numId w:val="45"/>
      </w:numPr>
      <w:tabs>
        <w:tab w:val="num" w:pos="360"/>
        <w:tab w:val="num" w:pos="643"/>
      </w:tabs>
      <w:ind w:left="432"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oter" Target="foot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www.itu.int/md/R15-WP1A-C-0160/es" TargetMode="External"/><Relationship Id="rId34" Type="http://schemas.openxmlformats.org/officeDocument/2006/relationships/hyperlink" Target="https://gvf.or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6.xml"/><Relationship Id="rId33" Type="http://schemas.openxmlformats.org/officeDocument/2006/relationships/hyperlink" Target="http://www.euroconsult-ec.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itu.int/net4/Proposals/CPI/WRC19/Main"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itu.int/oth/R0A0E000097" TargetMode="External"/><Relationship Id="rId32" Type="http://schemas.openxmlformats.org/officeDocument/2006/relationships/hyperlink" Target="http://www.euroconsult-ec.com"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itu.int/ITU-R/go/rcpm" TargetMode="External"/><Relationship Id="rId28" Type="http://schemas.openxmlformats.org/officeDocument/2006/relationships/hyperlink" Target="mailto:daniel.obam@ties.itu.int"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Alexandre.Vallet@anfr.fr" TargetMode="External"/><Relationship Id="rId31"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itu.int/go/wrc-19" TargetMode="External"/><Relationship Id="rId27" Type="http://schemas.openxmlformats.org/officeDocument/2006/relationships/hyperlink" Target="https://www.itu.int/md/R12-SG01-C-0110/en" TargetMode="External"/><Relationship Id="rId30" Type="http://schemas.openxmlformats.org/officeDocument/2006/relationships/package" Target="embeddings/Microsoft_PowerPoint_Slide1.sldx"/><Relationship Id="rId35" Type="http://schemas.openxmlformats.org/officeDocument/2006/relationships/hyperlink" Target="https://www.gs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BRcirc.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gozal\AppData\Local\Microsoft\Windows\Temporary%20Internet%20Files\Content.Outlook\KGYSCHOE\Copy%20of%20Cost%20Allocation%20Draft%20Budget%202018-2019%20Operational%20Plan%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Lbls>
            <c:dLbl>
              <c:idx val="0"/>
              <c:layout/>
              <c:tx>
                <c:rich>
                  <a:bodyPr/>
                  <a:lstStyle/>
                  <a:p>
                    <a:r>
                      <a:rPr lang="en-US"/>
                      <a:t>61%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25%</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0.8367</cdr:x>
      <cdr:y>0.392</cdr:y>
    </cdr:from>
    <cdr:to>
      <cdr:x>0.98264</cdr:x>
      <cdr:y>0.456</cdr:y>
    </cdr:to>
    <cdr:sp macro="" textlink="">
      <cdr:nvSpPr>
        <cdr:cNvPr id="3" name="Text Box 2"/>
        <cdr:cNvSpPr txBox="1"/>
      </cdr:nvSpPr>
      <cdr:spPr>
        <a:xfrm xmlns:a="http://schemas.openxmlformats.org/drawingml/2006/main">
          <a:off x="3830726" y="1075335"/>
          <a:ext cx="668122" cy="175564"/>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lIns="0" tIns="0" rIns="0" bIns="0" rtlCol="0"/>
        <a:lstStyle xmlns:a="http://schemas.openxmlformats.org/drawingml/2006/main"/>
        <a:p xmlns:a="http://schemas.openxmlformats.org/drawingml/2006/main">
          <a:r>
            <a:rPr lang="en-GB" sz="900">
              <a:solidFill>
                <a:schemeClr val="tx1"/>
              </a:solidFill>
            </a:rPr>
            <a:t>Objetivo R.1</a:t>
          </a:r>
        </a:p>
      </cdr:txBody>
    </cdr:sp>
  </cdr:relSizeAnchor>
  <cdr:relSizeAnchor xmlns:cdr="http://schemas.openxmlformats.org/drawingml/2006/chartDrawing">
    <cdr:from>
      <cdr:x>0.83884</cdr:x>
      <cdr:y>0.47817</cdr:y>
    </cdr:from>
    <cdr:to>
      <cdr:x>0.97624</cdr:x>
      <cdr:y>0.53233</cdr:y>
    </cdr:to>
    <cdr:sp macro="" textlink="">
      <cdr:nvSpPr>
        <cdr:cNvPr id="6" name="Text Box 5"/>
        <cdr:cNvSpPr txBox="1"/>
      </cdr:nvSpPr>
      <cdr:spPr>
        <a:xfrm xmlns:a="http://schemas.openxmlformats.org/drawingml/2006/main">
          <a:off x="3840482" y="1311706"/>
          <a:ext cx="629106" cy="148589"/>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lIns="0" tIns="0" rIns="0" bIns="0" rtlCol="0"/>
        <a:lstStyle xmlns:a="http://schemas.openxmlformats.org/drawingml/2006/main"/>
        <a:p xmlns:a="http://schemas.openxmlformats.org/drawingml/2006/main">
          <a:r>
            <a:rPr lang="en-GB" sz="900">
              <a:solidFill>
                <a:schemeClr val="tx1"/>
              </a:solidFill>
            </a:rPr>
            <a:t>Objetivo R.2</a:t>
          </a:r>
        </a:p>
      </cdr:txBody>
    </cdr:sp>
  </cdr:relSizeAnchor>
  <cdr:relSizeAnchor xmlns:cdr="http://schemas.openxmlformats.org/drawingml/2006/chartDrawing">
    <cdr:from>
      <cdr:x>0.84842</cdr:x>
      <cdr:y>0.65333</cdr:y>
    </cdr:from>
    <cdr:to>
      <cdr:x>0.96826</cdr:x>
      <cdr:y>0.71467</cdr:y>
    </cdr:to>
    <cdr:sp macro="" textlink="">
      <cdr:nvSpPr>
        <cdr:cNvPr id="7" name="Text Box 6"/>
        <cdr:cNvSpPr txBox="1"/>
      </cdr:nvSpPr>
      <cdr:spPr>
        <a:xfrm xmlns:a="http://schemas.openxmlformats.org/drawingml/2006/main">
          <a:off x="3884371" y="1792224"/>
          <a:ext cx="548640" cy="1682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0.83884</cdr:x>
      <cdr:y>0.53867</cdr:y>
    </cdr:from>
    <cdr:to>
      <cdr:x>0.97731</cdr:x>
      <cdr:y>0.592</cdr:y>
    </cdr:to>
    <cdr:sp macro="" textlink="">
      <cdr:nvSpPr>
        <cdr:cNvPr id="8" name="Text Box 7"/>
        <cdr:cNvSpPr txBox="1"/>
      </cdr:nvSpPr>
      <cdr:spPr>
        <a:xfrm xmlns:a="http://schemas.openxmlformats.org/drawingml/2006/main">
          <a:off x="3840481" y="1477671"/>
          <a:ext cx="633984" cy="146304"/>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lIns="0" tIns="0" rIns="0" bIns="0" rtlCol="0"/>
        <a:lstStyle xmlns:a="http://schemas.openxmlformats.org/drawingml/2006/main"/>
        <a:p xmlns:a="http://schemas.openxmlformats.org/drawingml/2006/main">
          <a:r>
            <a:rPr lang="en-GB" sz="900"/>
            <a:t>Objetivo R.3</a:t>
          </a:r>
          <a:endParaRPr lang="en-GB" sz="1100"/>
        </a:p>
      </cdr:txBody>
    </cdr:sp>
  </cdr:relSizeAnchor>
  <cdr:relSizeAnchor xmlns:cdr="http://schemas.openxmlformats.org/drawingml/2006/chartDrawing">
    <cdr:from>
      <cdr:x>0.84043</cdr:x>
      <cdr:y>0.544</cdr:y>
    </cdr:from>
    <cdr:to>
      <cdr:x>0.97891</cdr:x>
      <cdr:y>0.59733</cdr:y>
    </cdr:to>
    <cdr:sp macro="" textlink="">
      <cdr:nvSpPr>
        <cdr:cNvPr id="9" name="Text Box 8"/>
        <cdr:cNvSpPr txBox="1"/>
      </cdr:nvSpPr>
      <cdr:spPr>
        <a:xfrm xmlns:a="http://schemas.openxmlformats.org/drawingml/2006/main">
          <a:off x="3847796" y="1492302"/>
          <a:ext cx="633984" cy="146304"/>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lIns="0" tIns="0" rIns="0" bIns="0" rtlCol="0"/>
        <a:lstStyle xmlns:a="http://schemas.openxmlformats.org/drawingml/2006/main"/>
        <a:p xmlns:a="http://schemas.openxmlformats.org/drawingml/2006/main">
          <a:r>
            <a:rPr lang="en-GB" sz="900"/>
            <a:t>Objetivo R.3</a:t>
          </a:r>
          <a:endParaRPr lang="en-GB" sz="1100"/>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80604-009F-4A41-AB2E-78FCA7B32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TotalTime>
  <Pages>28</Pages>
  <Words>9923</Words>
  <Characters>53632</Characters>
  <Application>Microsoft Office Word</Application>
  <DocSecurity>0</DocSecurity>
  <Lines>446</Lines>
  <Paragraphs>126</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63429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FHernández</dc:creator>
  <cp:lastModifiedBy>Capdessus, Isabelle</cp:lastModifiedBy>
  <cp:revision>3</cp:revision>
  <cp:lastPrinted>2017-05-15T20:27:00Z</cp:lastPrinted>
  <dcterms:created xsi:type="dcterms:W3CDTF">2017-05-17T10:25:00Z</dcterms:created>
  <dcterms:modified xsi:type="dcterms:W3CDTF">2017-05-17T10:26:00Z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