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Look w:val="04A0" w:firstRow="1" w:lastRow="0" w:firstColumn="1" w:lastColumn="0" w:noHBand="0" w:noVBand="1"/>
      </w:tblPr>
      <w:tblGrid>
        <w:gridCol w:w="1276"/>
        <w:gridCol w:w="5528"/>
        <w:gridCol w:w="2835"/>
      </w:tblGrid>
      <w:tr w:rsidR="003A5382" w:rsidRPr="007B3DB1" w:rsidTr="001322B9">
        <w:tc>
          <w:tcPr>
            <w:tcW w:w="9639" w:type="dxa"/>
            <w:gridSpan w:val="3"/>
            <w:shd w:val="clear" w:color="auto" w:fill="auto"/>
          </w:tcPr>
          <w:p w:rsidR="003A5382" w:rsidRDefault="003A5382" w:rsidP="001322B9">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rsidR="003A5382" w:rsidRPr="00AF70DA" w:rsidRDefault="003A5382" w:rsidP="00945003">
            <w:pPr>
              <w:spacing w:before="0"/>
              <w:jc w:val="left"/>
              <w:rPr>
                <w:rFonts w:cs="Times New Roman Bold"/>
                <w:b/>
                <w:bCs/>
                <w:color w:val="808080"/>
                <w:sz w:val="28"/>
                <w:szCs w:val="28"/>
                <w:lang w:val="en-GB"/>
              </w:rPr>
            </w:pPr>
          </w:p>
        </w:tc>
      </w:tr>
      <w:tr w:rsidR="003A5382" w:rsidRPr="00CD4E44" w:rsidTr="001322B9">
        <w:tc>
          <w:tcPr>
            <w:tcW w:w="6804" w:type="dxa"/>
            <w:gridSpan w:val="2"/>
            <w:shd w:val="clear" w:color="auto" w:fill="auto"/>
          </w:tcPr>
          <w:p w:rsidR="003A5382" w:rsidRPr="001322B9" w:rsidRDefault="003A5382" w:rsidP="00945003">
            <w:pPr>
              <w:spacing w:before="0"/>
              <w:jc w:val="left"/>
              <w:rPr>
                <w:b/>
                <w:bCs/>
                <w:szCs w:val="24"/>
                <w:lang w:val="fr-CH"/>
              </w:rPr>
            </w:pPr>
            <w:r w:rsidRPr="001322B9">
              <w:rPr>
                <w:b/>
                <w:bCs/>
                <w:szCs w:val="24"/>
                <w:lang w:val="fr-CH"/>
              </w:rPr>
              <w:t xml:space="preserve">Administrative </w:t>
            </w:r>
            <w:proofErr w:type="spellStart"/>
            <w:r w:rsidRPr="001322B9">
              <w:rPr>
                <w:b/>
                <w:bCs/>
                <w:szCs w:val="24"/>
                <w:lang w:val="fr-CH"/>
              </w:rPr>
              <w:t>Circular</w:t>
            </w:r>
            <w:proofErr w:type="spellEnd"/>
          </w:p>
          <w:p w:rsidR="003A5382" w:rsidRPr="00CD4E44" w:rsidRDefault="003A5382" w:rsidP="001322B9">
            <w:pPr>
              <w:spacing w:before="0"/>
              <w:jc w:val="left"/>
              <w:rPr>
                <w:b/>
                <w:bCs/>
                <w:szCs w:val="24"/>
                <w:lang w:val="fr-CH"/>
              </w:rPr>
            </w:pPr>
            <w:r w:rsidRPr="001322B9">
              <w:rPr>
                <w:b/>
                <w:bCs/>
                <w:szCs w:val="24"/>
                <w:lang w:val="fr-CH"/>
              </w:rPr>
              <w:t>CA/2</w:t>
            </w:r>
            <w:r w:rsidR="001322B9" w:rsidRPr="001322B9">
              <w:rPr>
                <w:b/>
                <w:bCs/>
                <w:szCs w:val="24"/>
                <w:lang w:val="fr-CH"/>
              </w:rPr>
              <w:t>37</w:t>
            </w:r>
          </w:p>
        </w:tc>
        <w:tc>
          <w:tcPr>
            <w:tcW w:w="2835" w:type="dxa"/>
            <w:shd w:val="clear" w:color="auto" w:fill="auto"/>
          </w:tcPr>
          <w:p w:rsidR="003A5382" w:rsidRPr="00CD4E44" w:rsidRDefault="007B4C01" w:rsidP="00A44DED">
            <w:pPr>
              <w:spacing w:before="0"/>
              <w:jc w:val="right"/>
              <w:rPr>
                <w:szCs w:val="24"/>
                <w:lang w:val="en-GB"/>
              </w:rPr>
            </w:pPr>
            <w:r>
              <w:rPr>
                <w:szCs w:val="24"/>
                <w:lang w:val="en-GB"/>
              </w:rPr>
              <w:t>2</w:t>
            </w:r>
            <w:r w:rsidR="00A44DED">
              <w:rPr>
                <w:szCs w:val="24"/>
                <w:lang w:val="en-GB"/>
              </w:rPr>
              <w:t>5</w:t>
            </w:r>
            <w:r w:rsidR="003A5382">
              <w:rPr>
                <w:szCs w:val="24"/>
                <w:lang w:val="en-GB"/>
              </w:rPr>
              <w:t xml:space="preserve"> October 2017</w:t>
            </w:r>
          </w:p>
        </w:tc>
      </w:tr>
      <w:tr w:rsidR="003A5382" w:rsidRPr="00CD4E44" w:rsidTr="001322B9">
        <w:tc>
          <w:tcPr>
            <w:tcW w:w="9639" w:type="dxa"/>
            <w:gridSpan w:val="3"/>
            <w:shd w:val="clear" w:color="auto" w:fill="auto"/>
          </w:tcPr>
          <w:p w:rsidR="003A5382" w:rsidRPr="00CD4E44" w:rsidRDefault="003A5382" w:rsidP="00945003">
            <w:pPr>
              <w:spacing w:before="0"/>
              <w:jc w:val="left"/>
              <w:rPr>
                <w:rFonts w:cs="Arial"/>
                <w:szCs w:val="24"/>
                <w:lang w:val="en-GB"/>
              </w:rPr>
            </w:pPr>
          </w:p>
        </w:tc>
      </w:tr>
      <w:tr w:rsidR="003A5382" w:rsidRPr="00CD4E44" w:rsidTr="001322B9">
        <w:tc>
          <w:tcPr>
            <w:tcW w:w="9639" w:type="dxa"/>
            <w:gridSpan w:val="3"/>
            <w:shd w:val="clear" w:color="auto" w:fill="auto"/>
          </w:tcPr>
          <w:p w:rsidR="003A5382" w:rsidRPr="00CD4E44" w:rsidRDefault="003A5382" w:rsidP="00945003">
            <w:pPr>
              <w:spacing w:before="0"/>
              <w:jc w:val="left"/>
              <w:rPr>
                <w:szCs w:val="24"/>
              </w:rPr>
            </w:pPr>
          </w:p>
        </w:tc>
      </w:tr>
      <w:tr w:rsidR="003A5382" w:rsidRPr="00CD4E44" w:rsidTr="001322B9">
        <w:tc>
          <w:tcPr>
            <w:tcW w:w="9639" w:type="dxa"/>
            <w:gridSpan w:val="3"/>
            <w:shd w:val="clear" w:color="auto" w:fill="auto"/>
          </w:tcPr>
          <w:p w:rsidR="003A5382" w:rsidRPr="00CD4E44" w:rsidRDefault="003A5382" w:rsidP="00936C18">
            <w:pPr>
              <w:spacing w:before="0"/>
              <w:jc w:val="left"/>
              <w:rPr>
                <w:b/>
                <w:bCs/>
                <w:szCs w:val="24"/>
              </w:rPr>
            </w:pPr>
            <w:r w:rsidRPr="0038425D">
              <w:rPr>
                <w:rFonts w:asciiTheme="minorHAnsi" w:hAnsiTheme="minorHAnsi"/>
                <w:b/>
                <w:bCs/>
                <w:szCs w:val="24"/>
              </w:rPr>
              <w:t>To Administrations of Member States of the ITU</w:t>
            </w:r>
            <w:r>
              <w:rPr>
                <w:rFonts w:asciiTheme="minorHAnsi" w:hAnsiTheme="minorHAnsi"/>
                <w:b/>
                <w:bCs/>
                <w:szCs w:val="24"/>
              </w:rPr>
              <w:t>,</w:t>
            </w:r>
            <w:r w:rsidRPr="0038425D">
              <w:rPr>
                <w:rFonts w:asciiTheme="minorHAnsi" w:hAnsiTheme="minorHAnsi"/>
                <w:b/>
                <w:bCs/>
                <w:szCs w:val="24"/>
              </w:rPr>
              <w:t xml:space="preserve"> </w:t>
            </w:r>
            <w:proofErr w:type="spellStart"/>
            <w:r w:rsidRPr="0038425D">
              <w:rPr>
                <w:rFonts w:asciiTheme="minorHAnsi" w:hAnsiTheme="minorHAnsi"/>
                <w:b/>
                <w:bCs/>
                <w:szCs w:val="24"/>
              </w:rPr>
              <w:t>Radiocommunication</w:t>
            </w:r>
            <w:proofErr w:type="spellEnd"/>
            <w:r w:rsidRPr="0038425D">
              <w:rPr>
                <w:rFonts w:asciiTheme="minorHAnsi" w:hAnsiTheme="minorHAnsi"/>
                <w:b/>
                <w:bCs/>
                <w:szCs w:val="24"/>
              </w:rPr>
              <w:t xml:space="preserve"> Sector Members</w:t>
            </w:r>
            <w:r w:rsidR="00936C18">
              <w:rPr>
                <w:rFonts w:asciiTheme="minorHAnsi" w:hAnsiTheme="minorHAnsi"/>
                <w:b/>
                <w:bCs/>
                <w:szCs w:val="24"/>
              </w:rPr>
              <w:t xml:space="preserve"> and Academia of the ITU</w:t>
            </w:r>
            <w:r w:rsidRPr="0038425D">
              <w:rPr>
                <w:rFonts w:asciiTheme="minorHAnsi" w:hAnsiTheme="minorHAnsi"/>
                <w:b/>
                <w:bCs/>
                <w:szCs w:val="24"/>
              </w:rPr>
              <w:br/>
            </w:r>
          </w:p>
        </w:tc>
      </w:tr>
      <w:tr w:rsidR="003A5382" w:rsidRPr="00CD4E44" w:rsidTr="001322B9">
        <w:tc>
          <w:tcPr>
            <w:tcW w:w="9639" w:type="dxa"/>
            <w:gridSpan w:val="3"/>
            <w:shd w:val="clear" w:color="auto" w:fill="auto"/>
          </w:tcPr>
          <w:p w:rsidR="003A5382" w:rsidRPr="00CD4E44" w:rsidRDefault="003A5382" w:rsidP="00945003">
            <w:pPr>
              <w:spacing w:before="0"/>
              <w:jc w:val="left"/>
              <w:rPr>
                <w:szCs w:val="24"/>
              </w:rPr>
            </w:pPr>
          </w:p>
        </w:tc>
      </w:tr>
      <w:tr w:rsidR="003A5382" w:rsidRPr="00CD4E44" w:rsidTr="001322B9">
        <w:trPr>
          <w:trHeight w:val="840"/>
        </w:trPr>
        <w:tc>
          <w:tcPr>
            <w:tcW w:w="1276" w:type="dxa"/>
            <w:shd w:val="clear" w:color="auto" w:fill="auto"/>
          </w:tcPr>
          <w:p w:rsidR="003A5382" w:rsidRPr="00CD4E44" w:rsidRDefault="003A5382" w:rsidP="00945003">
            <w:pPr>
              <w:spacing w:before="0"/>
              <w:jc w:val="left"/>
              <w:rPr>
                <w:szCs w:val="24"/>
                <w:lang w:val="en-GB"/>
              </w:rPr>
            </w:pPr>
            <w:r w:rsidRPr="00CD4E44">
              <w:rPr>
                <w:szCs w:val="24"/>
              </w:rPr>
              <w:t>Subject:</w:t>
            </w:r>
          </w:p>
        </w:tc>
        <w:tc>
          <w:tcPr>
            <w:tcW w:w="8363" w:type="dxa"/>
            <w:gridSpan w:val="2"/>
            <w:shd w:val="clear" w:color="auto" w:fill="auto"/>
          </w:tcPr>
          <w:p w:rsidR="003A5382" w:rsidRDefault="003A5382" w:rsidP="00945003">
            <w:pPr>
              <w:spacing w:before="0"/>
              <w:rPr>
                <w:b/>
              </w:rPr>
            </w:pPr>
            <w:r>
              <w:rPr>
                <w:b/>
              </w:rPr>
              <w:t>Celebration of the 90</w:t>
            </w:r>
            <w:r w:rsidRPr="00765307">
              <w:rPr>
                <w:b/>
                <w:vertAlign w:val="superscript"/>
              </w:rPr>
              <w:t>th</w:t>
            </w:r>
            <w:r>
              <w:rPr>
                <w:b/>
              </w:rPr>
              <w:t xml:space="preserve"> Anniversary of the CCIR/ITU-R Study Groups, Geneva,            21 November 2017</w:t>
            </w:r>
          </w:p>
          <w:p w:rsidR="00712572" w:rsidRDefault="00712572" w:rsidP="00945003">
            <w:pPr>
              <w:spacing w:before="0"/>
              <w:rPr>
                <w:b/>
              </w:rPr>
            </w:pPr>
          </w:p>
          <w:p w:rsidR="003A5382" w:rsidRPr="00CD4E44" w:rsidRDefault="003A5382" w:rsidP="00945003">
            <w:pPr>
              <w:spacing w:before="0"/>
              <w:rPr>
                <w:b/>
                <w:bCs/>
                <w:szCs w:val="24"/>
                <w:lang w:val="en-GB"/>
              </w:rPr>
            </w:pPr>
          </w:p>
        </w:tc>
      </w:tr>
    </w:tbl>
    <w:p w:rsidR="003A5382" w:rsidRDefault="003A5382" w:rsidP="00097CEC">
      <w:r w:rsidRPr="00C81332">
        <w:rPr>
          <w:lang w:val="en-GB"/>
        </w:rPr>
        <w:t xml:space="preserve">The end of this year will mark the </w:t>
      </w:r>
      <w:hyperlink r:id="rId8" w:history="1">
        <w:r w:rsidRPr="00925F4C">
          <w:rPr>
            <w:rStyle w:val="Hyperlink"/>
            <w:lang w:val="en-GB"/>
          </w:rPr>
          <w:t>90</w:t>
        </w:r>
        <w:r w:rsidRPr="00925F4C">
          <w:rPr>
            <w:rStyle w:val="Hyperlink"/>
            <w:vertAlign w:val="superscript"/>
            <w:lang w:val="en-GB"/>
          </w:rPr>
          <w:t>th</w:t>
        </w:r>
        <w:r>
          <w:rPr>
            <w:rStyle w:val="Hyperlink"/>
            <w:lang w:val="en-GB"/>
          </w:rPr>
          <w:t xml:space="preserve"> A</w:t>
        </w:r>
        <w:r w:rsidRPr="00925F4C">
          <w:rPr>
            <w:rStyle w:val="Hyperlink"/>
            <w:lang w:val="en-GB"/>
          </w:rPr>
          <w:t>nniversary of the CCIR/ITU-R Study Groups (1927–2017</w:t>
        </w:r>
      </w:hyperlink>
      <w:r>
        <w:rPr>
          <w:lang w:val="en-GB"/>
        </w:rPr>
        <w:t xml:space="preserve">), </w:t>
      </w:r>
      <w:r w:rsidRPr="00200D71">
        <w:t>a testimony of global collaboration to produce universally applied regulations, standards and best practices and enable the sustainable development of the wireless ecosystem.</w:t>
      </w:r>
    </w:p>
    <w:p w:rsidR="003A5382" w:rsidRDefault="003A5382" w:rsidP="003A5382">
      <w:r w:rsidRPr="002D6289">
        <w:t>Current</w:t>
      </w:r>
      <w:r>
        <w:t>ly, more than 4000 specialists</w:t>
      </w:r>
      <w:r w:rsidRPr="002D6289">
        <w:t xml:space="preserve"> from administrations, </w:t>
      </w:r>
      <w:r>
        <w:t xml:space="preserve">national regulators, operators and other players of </w:t>
      </w:r>
      <w:r w:rsidRPr="002D6289">
        <w:t>the telecommunications industry</w:t>
      </w:r>
      <w:r>
        <w:t>,</w:t>
      </w:r>
      <w:r w:rsidRPr="002D6289">
        <w:t xml:space="preserve"> </w:t>
      </w:r>
      <w:r>
        <w:t xml:space="preserve">international, regional </w:t>
      </w:r>
      <w:r w:rsidRPr="002D6289">
        <w:t>and academic organizations throughout the world, participate in the work of the </w:t>
      </w:r>
      <w:hyperlink r:id="rId9" w:history="1">
        <w:r w:rsidRPr="002D6289">
          <w:t>ITU</w:t>
        </w:r>
        <w:r w:rsidRPr="002D6289">
          <w:noBreakHyphen/>
          <w:t>R Study Groups</w:t>
        </w:r>
      </w:hyperlink>
      <w:r w:rsidRPr="002D6289">
        <w:t> </w:t>
      </w:r>
      <w:r>
        <w:t xml:space="preserve">(formerly CCIR Study Groups) </w:t>
      </w:r>
      <w:r w:rsidRPr="002D6289">
        <w:t xml:space="preserve">on topics such as efficient use and management of spectrum/orbit resources, </w:t>
      </w:r>
      <w:proofErr w:type="spellStart"/>
      <w:r w:rsidRPr="002D6289">
        <w:t>radiowave</w:t>
      </w:r>
      <w:proofErr w:type="spellEnd"/>
      <w:r w:rsidRPr="002D6289">
        <w:t xml:space="preserve"> propagation, future </w:t>
      </w:r>
      <w:proofErr w:type="spellStart"/>
      <w:r w:rsidRPr="002D6289">
        <w:t>radiocommunication</w:t>
      </w:r>
      <w:proofErr w:type="spellEnd"/>
      <w:r w:rsidRPr="002D6289">
        <w:t xml:space="preserve"> systems characteristics and performance, including fixed communications, aeronautical, maritime and land mobile communications, public protection and disaster relief, sound and television broadcasting, radiolocation, satellite communications and radionavigation, Earth exploration, meteorology, space science and radio</w:t>
      </w:r>
      <w:r>
        <w:t xml:space="preserve"> </w:t>
      </w:r>
      <w:r w:rsidRPr="002D6289">
        <w:t>astronomy.</w:t>
      </w:r>
    </w:p>
    <w:p w:rsidR="003A5382" w:rsidRPr="00C71D9C" w:rsidRDefault="003A5382" w:rsidP="00097CEC">
      <w:r w:rsidRPr="00C71D9C">
        <w:t xml:space="preserve">The celebration of this </w:t>
      </w:r>
      <w:r>
        <w:t>90</w:t>
      </w:r>
      <w:r w:rsidRPr="00C71D9C">
        <w:rPr>
          <w:vertAlign w:val="superscript"/>
        </w:rPr>
        <w:t>th</w:t>
      </w:r>
      <w:r>
        <w:t xml:space="preserve"> anniversary </w:t>
      </w:r>
      <w:r w:rsidRPr="00C71D9C">
        <w:t xml:space="preserve">will take place </w:t>
      </w:r>
      <w:r>
        <w:t xml:space="preserve">on </w:t>
      </w:r>
      <w:r w:rsidRPr="00C71D9C">
        <w:t>21</w:t>
      </w:r>
      <w:r>
        <w:t xml:space="preserve"> November</w:t>
      </w:r>
      <w:r w:rsidRPr="00C71D9C">
        <w:t xml:space="preserve"> 2017</w:t>
      </w:r>
      <w:r w:rsidRPr="00851F24">
        <w:t xml:space="preserve"> </w:t>
      </w:r>
      <w:r>
        <w:t xml:space="preserve">at ITU Headquarter in </w:t>
      </w:r>
      <w:r w:rsidRPr="00C71D9C">
        <w:t>Geneva, Switzerland</w:t>
      </w:r>
      <w:r>
        <w:t xml:space="preserve">, </w:t>
      </w:r>
      <w:r w:rsidRPr="00C71D9C">
        <w:t xml:space="preserve">in conjunction with the </w:t>
      </w:r>
      <w:r>
        <w:t>first</w:t>
      </w:r>
      <w:r w:rsidRPr="00C71D9C">
        <w:t xml:space="preserve"> ITU Inter-regional Workshop on WRC-19 Preparation</w:t>
      </w:r>
      <w:r>
        <w:t>.</w:t>
      </w:r>
    </w:p>
    <w:p w:rsidR="003A5382" w:rsidRDefault="003A5382" w:rsidP="003A5382">
      <w:r w:rsidRPr="00E33C0D">
        <w:t xml:space="preserve">I have great pleasure in inviting you to attend the celebrations </w:t>
      </w:r>
      <w:r>
        <w:t xml:space="preserve">of this </w:t>
      </w:r>
      <w:r w:rsidRPr="00E33C0D">
        <w:t>anniversary.</w:t>
      </w:r>
      <w:r>
        <w:t xml:space="preserve"> Given the importance of this event in the context of the development of internationally harmonized radiocommunications, the participation of representatives of the whole ITU membership would be most welco</w:t>
      </w:r>
      <w:r w:rsidR="00097CEC">
        <w:t>me.</w:t>
      </w:r>
    </w:p>
    <w:p w:rsidR="003A5382" w:rsidRPr="00C81332" w:rsidRDefault="003A5382" w:rsidP="003A5382">
      <w:pPr>
        <w:rPr>
          <w:sz w:val="22"/>
          <w:lang w:val="en-GB" w:eastAsia="zh-CN"/>
        </w:rPr>
      </w:pPr>
      <w:r>
        <w:t xml:space="preserve">This invitation is also extended to </w:t>
      </w:r>
      <w:r w:rsidRPr="0042293B">
        <w:t>the current</w:t>
      </w:r>
      <w:r w:rsidRPr="00C81332">
        <w:t xml:space="preserve"> members of the Radio Regulations Board</w:t>
      </w:r>
      <w:r w:rsidRPr="0042293B">
        <w:t xml:space="preserve"> </w:t>
      </w:r>
      <w:r>
        <w:t xml:space="preserve">and to the </w:t>
      </w:r>
      <w:r w:rsidRPr="0042293B">
        <w:t xml:space="preserve">Chairs and Vice-Chairs of the ITU-R Study Groups, including the Radiocommunication Advisory Group and the </w:t>
      </w:r>
      <w:r>
        <w:t>Conference Preparatory Meeting.</w:t>
      </w:r>
    </w:p>
    <w:p w:rsidR="003A5382" w:rsidRDefault="003A5382" w:rsidP="003A5382">
      <w:pPr>
        <w:spacing w:before="0" w:line="240" w:lineRule="auto"/>
      </w:pPr>
    </w:p>
    <w:p w:rsidR="003A5382" w:rsidRDefault="003A5382" w:rsidP="003A5382">
      <w:pPr>
        <w:spacing w:before="0" w:line="240" w:lineRule="auto"/>
      </w:pPr>
      <w:r>
        <w:t xml:space="preserve">I would also like to take this opportunity to extend, through you, this invitation to those who have </w:t>
      </w:r>
      <w:r w:rsidRPr="003A5382">
        <w:rPr>
          <w:i/>
          <w:iCs/>
        </w:rPr>
        <w:t>largely contributed by their efforts and years-of-service to the 90-year history of the CCIR/ITU-R</w:t>
      </w:r>
      <w:r>
        <w:t xml:space="preserve"> Study Groups: </w:t>
      </w:r>
    </w:p>
    <w:p w:rsidR="002F21F7" w:rsidRDefault="003A5382" w:rsidP="002F21F7">
      <w:pPr>
        <w:pStyle w:val="ListParagraph"/>
        <w:widowControl w:val="0"/>
        <w:numPr>
          <w:ilvl w:val="0"/>
          <w:numId w:val="3"/>
        </w:numPr>
        <w:spacing w:before="120"/>
        <w:ind w:left="714" w:hanging="357"/>
        <w:contextualSpacing w:val="0"/>
      </w:pPr>
      <w:r w:rsidRPr="009E581F">
        <w:rPr>
          <w:rFonts w:asciiTheme="minorHAnsi" w:hAnsiTheme="minorHAnsi"/>
          <w:sz w:val="24"/>
          <w:szCs w:val="24"/>
        </w:rPr>
        <w:t>th</w:t>
      </w:r>
      <w:r>
        <w:rPr>
          <w:rFonts w:asciiTheme="minorHAnsi" w:hAnsiTheme="minorHAnsi"/>
          <w:sz w:val="24"/>
          <w:szCs w:val="24"/>
        </w:rPr>
        <w:t>e former</w:t>
      </w:r>
      <w:r w:rsidRPr="009E581F">
        <w:rPr>
          <w:rFonts w:asciiTheme="minorHAnsi" w:hAnsiTheme="minorHAnsi"/>
          <w:sz w:val="24"/>
          <w:szCs w:val="24"/>
        </w:rPr>
        <w:t xml:space="preserve"> officials of the Radiocommunication Bureau, the Radio Regulations Board, and the former IFRB,</w:t>
      </w:r>
    </w:p>
    <w:p w:rsidR="001322B9" w:rsidRDefault="002F21F7" w:rsidP="00097CEC">
      <w:pPr>
        <w:pStyle w:val="ListParagraph"/>
        <w:widowControl w:val="0"/>
        <w:numPr>
          <w:ilvl w:val="0"/>
          <w:numId w:val="3"/>
        </w:numPr>
        <w:spacing w:before="120"/>
        <w:ind w:left="714" w:hanging="357"/>
        <w:contextualSpacing w:val="0"/>
        <w:rPr>
          <w:rFonts w:asciiTheme="minorHAnsi" w:hAnsiTheme="minorHAnsi"/>
          <w:sz w:val="24"/>
          <w:szCs w:val="24"/>
        </w:rPr>
        <w:sectPr w:rsidR="001322B9" w:rsidSect="003A5382">
          <w:headerReference w:type="even" r:id="rId10"/>
          <w:headerReference w:type="default" r:id="rId11"/>
          <w:footerReference w:type="even" r:id="rId12"/>
          <w:headerReference w:type="first" r:id="rId13"/>
          <w:footerReference w:type="first" r:id="rId14"/>
          <w:pgSz w:w="11907" w:h="16834" w:code="9"/>
          <w:pgMar w:top="851" w:right="1134" w:bottom="993" w:left="1134" w:header="567" w:footer="397" w:gutter="0"/>
          <w:cols w:space="720"/>
          <w:titlePg/>
        </w:sectPr>
      </w:pPr>
      <w:proofErr w:type="gramStart"/>
      <w:r w:rsidRPr="009E581F">
        <w:rPr>
          <w:rFonts w:asciiTheme="minorHAnsi" w:hAnsiTheme="minorHAnsi"/>
          <w:sz w:val="24"/>
          <w:szCs w:val="24"/>
        </w:rPr>
        <w:t>the</w:t>
      </w:r>
      <w:proofErr w:type="gramEnd"/>
      <w:r w:rsidRPr="009E581F">
        <w:rPr>
          <w:rFonts w:asciiTheme="minorHAnsi" w:hAnsiTheme="minorHAnsi"/>
          <w:sz w:val="24"/>
          <w:szCs w:val="24"/>
        </w:rPr>
        <w:t xml:space="preserve"> former Chairs of </w:t>
      </w:r>
      <w:r>
        <w:rPr>
          <w:rFonts w:asciiTheme="minorHAnsi" w:hAnsiTheme="minorHAnsi"/>
          <w:sz w:val="24"/>
          <w:szCs w:val="24"/>
        </w:rPr>
        <w:t xml:space="preserve">the </w:t>
      </w:r>
      <w:r w:rsidRPr="009E581F">
        <w:rPr>
          <w:rFonts w:asciiTheme="minorHAnsi" w:hAnsiTheme="minorHAnsi"/>
          <w:sz w:val="24"/>
          <w:szCs w:val="24"/>
        </w:rPr>
        <w:t xml:space="preserve">ITU-R Study Groups, </w:t>
      </w:r>
      <w:r>
        <w:rPr>
          <w:rFonts w:asciiTheme="minorHAnsi" w:hAnsiTheme="minorHAnsi"/>
          <w:sz w:val="24"/>
          <w:szCs w:val="24"/>
        </w:rPr>
        <w:t xml:space="preserve">including </w:t>
      </w:r>
      <w:r w:rsidRPr="009E581F">
        <w:rPr>
          <w:rFonts w:asciiTheme="minorHAnsi" w:hAnsiTheme="minorHAnsi"/>
          <w:sz w:val="24"/>
          <w:szCs w:val="24"/>
        </w:rPr>
        <w:t>the Radiocommunication Advisory Group, the Conference Preparatory Meeting and the Special Committee</w:t>
      </w:r>
      <w:r>
        <w:rPr>
          <w:rFonts w:asciiTheme="minorHAnsi" w:hAnsiTheme="minorHAnsi"/>
          <w:sz w:val="24"/>
          <w:szCs w:val="24"/>
        </w:rPr>
        <w:t>, and of the former CCIR Study Groups</w:t>
      </w:r>
      <w:r w:rsidR="00097CEC">
        <w:rPr>
          <w:rFonts w:asciiTheme="minorHAnsi" w:hAnsiTheme="minorHAnsi"/>
          <w:sz w:val="24"/>
          <w:szCs w:val="24"/>
        </w:rPr>
        <w:t>.</w:t>
      </w:r>
    </w:p>
    <w:p w:rsidR="003A5382" w:rsidRPr="004D1BCD" w:rsidRDefault="003A5382" w:rsidP="002F21F7">
      <w:pPr>
        <w:pStyle w:val="Heading1"/>
        <w:spacing w:before="480"/>
      </w:pPr>
      <w:r w:rsidRPr="00765307">
        <w:rPr>
          <w:lang w:val="en-GB"/>
        </w:rPr>
        <w:lastRenderedPageBreak/>
        <w:t>Programme</w:t>
      </w:r>
      <w:r w:rsidRPr="004D1BCD">
        <w:t xml:space="preserve"> </w:t>
      </w:r>
    </w:p>
    <w:p w:rsidR="003A5382" w:rsidRDefault="003A5382" w:rsidP="003A5382">
      <w:r>
        <w:t>The celebration, to be held in conjunction with the first</w:t>
      </w:r>
      <w:r w:rsidRPr="00C71D9C">
        <w:t xml:space="preserve"> ITU Inter-regional Workshop on WRC-19 Preparation</w:t>
      </w:r>
      <w:r w:rsidRPr="00765307">
        <w:rPr>
          <w:rStyle w:val="FootnoteReference"/>
        </w:rPr>
        <w:footnoteReference w:id="1"/>
      </w:r>
      <w:r>
        <w:t xml:space="preserve">, will begin at </w:t>
      </w:r>
      <w:r w:rsidRPr="00B00EB0">
        <w:rPr>
          <w:b/>
        </w:rPr>
        <w:t>16h00</w:t>
      </w:r>
      <w:r w:rsidRPr="00B00EB0">
        <w:rPr>
          <w:b/>
          <w:bCs/>
        </w:rPr>
        <w:t xml:space="preserve"> </w:t>
      </w:r>
      <w:r w:rsidRPr="00765307">
        <w:rPr>
          <w:b/>
          <w:bCs/>
        </w:rPr>
        <w:t xml:space="preserve">hours on </w:t>
      </w:r>
      <w:r>
        <w:rPr>
          <w:b/>
          <w:bCs/>
        </w:rPr>
        <w:t>Tuesday 21 Nov</w:t>
      </w:r>
      <w:r w:rsidRPr="00765307">
        <w:rPr>
          <w:b/>
          <w:bCs/>
        </w:rPr>
        <w:t>ember 201</w:t>
      </w:r>
      <w:r>
        <w:rPr>
          <w:b/>
          <w:bCs/>
        </w:rPr>
        <w:t>7</w:t>
      </w:r>
      <w:r>
        <w:t xml:space="preserve"> with an official ceremony, followed by a panel discussion highlighting the importance of the CCIR/ITU-R Study Groups activities and their contribution to shaping and enabling the global wireless ecosystem.  </w:t>
      </w:r>
    </w:p>
    <w:p w:rsidR="003A5382" w:rsidRDefault="003A5382" w:rsidP="00097CEC">
      <w:pPr>
        <w:rPr>
          <w:lang w:val="en-GB"/>
        </w:rPr>
      </w:pPr>
      <w:r>
        <w:t>The celebration</w:t>
      </w:r>
      <w:r w:rsidRPr="008A1B92">
        <w:t xml:space="preserve"> will be provided with simultaneous interpretation</w:t>
      </w:r>
      <w:r>
        <w:t>, captioning</w:t>
      </w:r>
      <w:r w:rsidRPr="008A1B92">
        <w:t xml:space="preserve"> and webcast</w:t>
      </w:r>
      <w:r>
        <w:t xml:space="preserve"> in the six official languages of </w:t>
      </w:r>
      <w:r w:rsidRPr="0045377C">
        <w:t xml:space="preserve">the Union </w:t>
      </w:r>
      <w:r>
        <w:t xml:space="preserve">via the </w:t>
      </w:r>
      <w:r w:rsidRPr="0045377C">
        <w:t xml:space="preserve">website </w:t>
      </w:r>
      <w:hyperlink r:id="rId15" w:history="1">
        <w:r w:rsidRPr="00925F4C">
          <w:rPr>
            <w:rStyle w:val="Hyperlink"/>
            <w:lang w:val="en-GB"/>
          </w:rPr>
          <w:t>90</w:t>
        </w:r>
        <w:r w:rsidRPr="00925F4C">
          <w:rPr>
            <w:rStyle w:val="Hyperlink"/>
            <w:vertAlign w:val="superscript"/>
            <w:lang w:val="en-GB"/>
          </w:rPr>
          <w:t>th</w:t>
        </w:r>
        <w:r>
          <w:rPr>
            <w:rStyle w:val="Hyperlink"/>
            <w:lang w:val="en-GB"/>
          </w:rPr>
          <w:t xml:space="preserve"> A</w:t>
        </w:r>
        <w:r w:rsidRPr="00925F4C">
          <w:rPr>
            <w:rStyle w:val="Hyperlink"/>
            <w:lang w:val="en-GB"/>
          </w:rPr>
          <w:t>nniversary of the CCIR/ITU-R Study Groups (1927–2017</w:t>
        </w:r>
      </w:hyperlink>
      <w:r>
        <w:rPr>
          <w:lang w:val="en-GB"/>
        </w:rPr>
        <w:t xml:space="preserve">). </w:t>
      </w:r>
    </w:p>
    <w:p w:rsidR="003A5382" w:rsidRDefault="003A5382" w:rsidP="001322B9">
      <w:r>
        <w:t xml:space="preserve">The draft </w:t>
      </w:r>
      <w:proofErr w:type="spellStart"/>
      <w:r>
        <w:t>programme</w:t>
      </w:r>
      <w:proofErr w:type="spellEnd"/>
      <w:r>
        <w:t xml:space="preserve"> of the celebrations is contained in </w:t>
      </w:r>
      <w:r w:rsidR="001322B9">
        <w:rPr>
          <w:b/>
        </w:rPr>
        <w:t>Annex</w:t>
      </w:r>
      <w:r>
        <w:rPr>
          <w:b/>
        </w:rPr>
        <w:t xml:space="preserve">. </w:t>
      </w:r>
      <w:r>
        <w:t xml:space="preserve">The full </w:t>
      </w:r>
      <w:proofErr w:type="spellStart"/>
      <w:r>
        <w:t>programme</w:t>
      </w:r>
      <w:proofErr w:type="spellEnd"/>
      <w:r>
        <w:t xml:space="preserve"> of the event will be made available on the</w:t>
      </w:r>
      <w:r>
        <w:rPr>
          <w:spacing w:val="-15"/>
        </w:rPr>
        <w:t xml:space="preserve"> event </w:t>
      </w:r>
      <w:hyperlink r:id="rId16" w:history="1">
        <w:r w:rsidRPr="00B14A57">
          <w:rPr>
            <w:rStyle w:val="Hyperlink"/>
            <w:color w:val="000000" w:themeColor="text1"/>
            <w:u w:val="none"/>
          </w:rPr>
          <w:t>website</w:t>
        </w:r>
      </w:hyperlink>
      <w:r>
        <w:t xml:space="preserve">. </w:t>
      </w:r>
    </w:p>
    <w:p w:rsidR="003A5382" w:rsidRPr="00765307" w:rsidRDefault="003A5382" w:rsidP="003A5382">
      <w:pPr>
        <w:pStyle w:val="Heading1"/>
        <w:spacing w:before="480"/>
      </w:pPr>
      <w:r w:rsidRPr="00765307">
        <w:rPr>
          <w:lang w:val="en-GB"/>
        </w:rPr>
        <w:t>Registration and practical information</w:t>
      </w:r>
      <w:r w:rsidRPr="00765307">
        <w:t xml:space="preserve"> </w:t>
      </w:r>
    </w:p>
    <w:p w:rsidR="003A5382" w:rsidRPr="006D40A0" w:rsidRDefault="003A5382" w:rsidP="00097CEC">
      <w:pPr>
        <w:rPr>
          <w:lang w:val="en-GB"/>
        </w:rPr>
      </w:pPr>
      <w:r w:rsidRPr="00CA6DB0">
        <w:t xml:space="preserve">Participants registered to the First </w:t>
      </w:r>
      <w:r w:rsidRPr="00CA6DB0">
        <w:rPr>
          <w:bCs/>
        </w:rPr>
        <w:t>Inter-regional Workshop</w:t>
      </w:r>
      <w:r w:rsidR="001322B9">
        <w:rPr>
          <w:bCs/>
        </w:rPr>
        <w:t xml:space="preserve"> on WRC-19 Preparation (Geneva</w:t>
      </w:r>
      <w:proofErr w:type="gramStart"/>
      <w:r w:rsidR="001322B9">
        <w:rPr>
          <w:bCs/>
        </w:rPr>
        <w:t>,</w:t>
      </w:r>
      <w:proofErr w:type="gramEnd"/>
      <w:r w:rsidR="001322B9">
        <w:rPr>
          <w:bCs/>
        </w:rPr>
        <w:br/>
      </w:r>
      <w:r w:rsidRPr="00CA6DB0">
        <w:rPr>
          <w:bCs/>
        </w:rPr>
        <w:t>21-22 November 2017)</w:t>
      </w:r>
      <w:r w:rsidRPr="00CA6DB0">
        <w:rPr>
          <w:vertAlign w:val="superscript"/>
        </w:rPr>
        <w:t xml:space="preserve">1 </w:t>
      </w:r>
      <w:r w:rsidRPr="00CA6DB0">
        <w:t>will be automatically</w:t>
      </w:r>
      <w:r w:rsidRPr="00765307">
        <w:t xml:space="preserve"> registered to also attend the celebration of the </w:t>
      </w:r>
      <w:r w:rsidRPr="0045377C">
        <w:t>website</w:t>
      </w:r>
      <w:r w:rsidR="001322B9">
        <w:t xml:space="preserve"> </w:t>
      </w:r>
      <w:hyperlink r:id="rId17" w:history="1">
        <w:r w:rsidRPr="00925F4C">
          <w:rPr>
            <w:rStyle w:val="Hyperlink"/>
            <w:lang w:val="en-GB"/>
          </w:rPr>
          <w:t>90</w:t>
        </w:r>
        <w:r w:rsidRPr="00925F4C">
          <w:rPr>
            <w:rStyle w:val="Hyperlink"/>
            <w:vertAlign w:val="superscript"/>
            <w:lang w:val="en-GB"/>
          </w:rPr>
          <w:t>th</w:t>
        </w:r>
        <w:r>
          <w:rPr>
            <w:rStyle w:val="Hyperlink"/>
            <w:lang w:val="en-GB"/>
          </w:rPr>
          <w:t xml:space="preserve"> A</w:t>
        </w:r>
        <w:r w:rsidRPr="00925F4C">
          <w:rPr>
            <w:rStyle w:val="Hyperlink"/>
            <w:lang w:val="en-GB"/>
          </w:rPr>
          <w:t>nniversary of the CCIR/ITU-R Study Groups (1927–2017</w:t>
        </w:r>
      </w:hyperlink>
      <w:r w:rsidR="001322B9">
        <w:rPr>
          <w:lang w:val="en-GB"/>
        </w:rPr>
        <w:t>).</w:t>
      </w:r>
    </w:p>
    <w:p w:rsidR="003A5382" w:rsidRDefault="003A5382" w:rsidP="003A5382">
      <w:pPr>
        <w:spacing w:before="120" w:line="240" w:lineRule="auto"/>
        <w:rPr>
          <w:rFonts w:asciiTheme="minorHAnsi" w:hAnsiTheme="minorHAnsi" w:cstheme="minorHAnsi"/>
          <w:szCs w:val="24"/>
        </w:rPr>
      </w:pPr>
      <w:r>
        <w:rPr>
          <w:rFonts w:asciiTheme="minorHAnsi" w:hAnsiTheme="minorHAnsi" w:cstheme="minorHAnsi"/>
          <w:szCs w:val="24"/>
        </w:rPr>
        <w:t>For further inquiries about attending these c</w:t>
      </w:r>
      <w:r w:rsidRPr="00765307">
        <w:rPr>
          <w:rFonts w:asciiTheme="minorHAnsi" w:hAnsiTheme="minorHAnsi" w:cstheme="minorHAnsi"/>
          <w:szCs w:val="24"/>
        </w:rPr>
        <w:t>elebrations</w:t>
      </w:r>
      <w:r>
        <w:rPr>
          <w:rFonts w:asciiTheme="minorHAnsi" w:hAnsiTheme="minorHAnsi" w:cstheme="minorHAnsi"/>
          <w:szCs w:val="24"/>
        </w:rPr>
        <w:t xml:space="preserve">, please contact the ITU-R Event Registration Unit at </w:t>
      </w:r>
      <w:hyperlink r:id="rId18" w:history="1">
        <w:r w:rsidRPr="00EC0479">
          <w:rPr>
            <w:rStyle w:val="Hyperlink"/>
            <w:rFonts w:asciiTheme="minorHAnsi" w:hAnsiTheme="minorHAnsi" w:cstheme="minorHAnsi"/>
            <w:szCs w:val="24"/>
          </w:rPr>
          <w:t>ITU</w:t>
        </w:r>
        <w:r w:rsidRPr="00EC0479">
          <w:rPr>
            <w:rStyle w:val="Hyperlink"/>
            <w:rFonts w:asciiTheme="minorHAnsi" w:hAnsiTheme="minorHAnsi" w:cstheme="minorHAnsi"/>
            <w:szCs w:val="24"/>
          </w:rPr>
          <w:noBreakHyphen/>
          <w:t>R.Registrations@itu.int</w:t>
        </w:r>
      </w:hyperlink>
      <w:r>
        <w:rPr>
          <w:rFonts w:asciiTheme="minorHAnsi" w:hAnsiTheme="minorHAnsi" w:cstheme="minorHAnsi"/>
          <w:szCs w:val="24"/>
        </w:rPr>
        <w:t>.</w:t>
      </w:r>
    </w:p>
    <w:p w:rsidR="003A5382" w:rsidRDefault="003A5382" w:rsidP="003A5382">
      <w:pPr>
        <w:spacing w:before="120" w:line="240" w:lineRule="auto"/>
        <w:rPr>
          <w:rFonts w:asciiTheme="minorHAnsi" w:hAnsiTheme="minorHAnsi" w:cstheme="minorHAnsi"/>
          <w:szCs w:val="24"/>
        </w:rPr>
      </w:pPr>
    </w:p>
    <w:p w:rsidR="003A5382" w:rsidRDefault="003A5382" w:rsidP="003A5382">
      <w:pPr>
        <w:spacing w:before="120" w:line="240" w:lineRule="auto"/>
        <w:rPr>
          <w:rFonts w:asciiTheme="minorHAnsi" w:hAnsiTheme="minorHAnsi" w:cstheme="minorHAnsi"/>
          <w:szCs w:val="24"/>
        </w:rPr>
      </w:pPr>
    </w:p>
    <w:p w:rsidR="003A5382" w:rsidRPr="00CD4E44" w:rsidRDefault="003A5382" w:rsidP="003A5382">
      <w:pPr>
        <w:spacing w:before="0"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François Rancy</w:t>
      </w:r>
    </w:p>
    <w:p w:rsidR="003A5382" w:rsidRPr="00CD4E44" w:rsidRDefault="003A5382" w:rsidP="003A5382">
      <w:pPr>
        <w:spacing w:before="0" w:line="240" w:lineRule="auto"/>
        <w:jc w:val="left"/>
        <w:rPr>
          <w:rFonts w:asciiTheme="minorHAnsi" w:hAnsiTheme="minorHAnsi" w:cstheme="minorHAnsi"/>
          <w:szCs w:val="24"/>
          <w:lang w:val="fr-CH"/>
        </w:rPr>
      </w:pPr>
      <w:r>
        <w:rPr>
          <w:rFonts w:asciiTheme="minorHAnsi" w:hAnsiTheme="minorHAnsi" w:cstheme="minorHAnsi"/>
          <w:szCs w:val="24"/>
          <w:lang w:val="fr-CH"/>
        </w:rPr>
        <w:t>Director</w:t>
      </w:r>
    </w:p>
    <w:p w:rsidR="002F21F7" w:rsidRDefault="002F21F7" w:rsidP="003A5382">
      <w:pPr>
        <w:tabs>
          <w:tab w:val="center" w:pos="7371"/>
          <w:tab w:val="right" w:pos="8505"/>
        </w:tabs>
        <w:spacing w:before="360" w:line="240" w:lineRule="auto"/>
        <w:rPr>
          <w:b/>
          <w:bCs/>
          <w:szCs w:val="24"/>
          <w:lang w:val="fr-FR"/>
        </w:rPr>
      </w:pPr>
    </w:p>
    <w:p w:rsidR="003A5382" w:rsidRPr="003A5382" w:rsidRDefault="003A5382" w:rsidP="003A5382">
      <w:pPr>
        <w:tabs>
          <w:tab w:val="center" w:pos="7371"/>
          <w:tab w:val="right" w:pos="8505"/>
        </w:tabs>
        <w:spacing w:before="360" w:line="240" w:lineRule="auto"/>
        <w:rPr>
          <w:szCs w:val="24"/>
          <w:lang w:val="fr-FR"/>
        </w:rPr>
      </w:pPr>
      <w:proofErr w:type="spellStart"/>
      <w:r w:rsidRPr="00765307">
        <w:rPr>
          <w:b/>
          <w:bCs/>
          <w:szCs w:val="24"/>
          <w:lang w:val="fr-FR"/>
        </w:rPr>
        <w:t>Annex</w:t>
      </w:r>
      <w:proofErr w:type="spellEnd"/>
      <w:r w:rsidR="001322B9">
        <w:rPr>
          <w:b/>
          <w:bCs/>
          <w:szCs w:val="24"/>
          <w:lang w:val="fr-FR"/>
        </w:rPr>
        <w:t> :</w:t>
      </w:r>
      <w:r w:rsidR="001322B9" w:rsidRPr="001322B9">
        <w:rPr>
          <w:szCs w:val="24"/>
          <w:lang w:val="fr-FR"/>
        </w:rPr>
        <w:t xml:space="preserve"> 1</w:t>
      </w:r>
    </w:p>
    <w:p w:rsidR="001322B9" w:rsidRDefault="001322B9" w:rsidP="003A5382">
      <w:pPr>
        <w:tabs>
          <w:tab w:val="center" w:pos="7371"/>
          <w:tab w:val="right" w:pos="8505"/>
        </w:tabs>
        <w:spacing w:before="240" w:line="240" w:lineRule="auto"/>
        <w:rPr>
          <w:rFonts w:asciiTheme="minorHAnsi" w:hAnsiTheme="minorHAnsi" w:cstheme="minorHAnsi"/>
          <w:b/>
          <w:bCs/>
          <w:sz w:val="18"/>
          <w:szCs w:val="18"/>
          <w:lang w:val="fr-CH"/>
        </w:rPr>
      </w:pPr>
    </w:p>
    <w:p w:rsidR="001322B9" w:rsidRDefault="001322B9" w:rsidP="003A5382">
      <w:pPr>
        <w:tabs>
          <w:tab w:val="center" w:pos="7371"/>
          <w:tab w:val="right" w:pos="8505"/>
        </w:tabs>
        <w:spacing w:before="240" w:line="240" w:lineRule="auto"/>
        <w:rPr>
          <w:rFonts w:asciiTheme="minorHAnsi" w:hAnsiTheme="minorHAnsi" w:cstheme="minorHAnsi"/>
          <w:b/>
          <w:bCs/>
          <w:sz w:val="18"/>
          <w:szCs w:val="18"/>
          <w:lang w:val="fr-CH"/>
        </w:rPr>
      </w:pPr>
    </w:p>
    <w:p w:rsidR="001322B9" w:rsidRDefault="001322B9" w:rsidP="003A5382">
      <w:pPr>
        <w:tabs>
          <w:tab w:val="center" w:pos="7371"/>
          <w:tab w:val="right" w:pos="8505"/>
        </w:tabs>
        <w:spacing w:before="240" w:line="240" w:lineRule="auto"/>
        <w:rPr>
          <w:rFonts w:asciiTheme="minorHAnsi" w:hAnsiTheme="minorHAnsi" w:cstheme="minorHAnsi"/>
          <w:b/>
          <w:bCs/>
          <w:sz w:val="18"/>
          <w:szCs w:val="18"/>
          <w:lang w:val="fr-CH"/>
        </w:rPr>
      </w:pPr>
    </w:p>
    <w:p w:rsidR="002F21F7" w:rsidRDefault="002F21F7" w:rsidP="003A5382">
      <w:pPr>
        <w:tabs>
          <w:tab w:val="center" w:pos="7371"/>
          <w:tab w:val="right" w:pos="8505"/>
        </w:tabs>
        <w:spacing w:before="240" w:line="240" w:lineRule="auto"/>
        <w:rPr>
          <w:rFonts w:asciiTheme="minorHAnsi" w:hAnsiTheme="minorHAnsi" w:cstheme="minorHAnsi"/>
          <w:b/>
          <w:bCs/>
          <w:sz w:val="18"/>
          <w:szCs w:val="18"/>
          <w:lang w:val="fr-CH"/>
        </w:rPr>
      </w:pPr>
    </w:p>
    <w:p w:rsidR="002F21F7" w:rsidRDefault="002F21F7" w:rsidP="003A5382">
      <w:pPr>
        <w:tabs>
          <w:tab w:val="center" w:pos="7371"/>
          <w:tab w:val="right" w:pos="8505"/>
        </w:tabs>
        <w:spacing w:before="240" w:line="240" w:lineRule="auto"/>
        <w:rPr>
          <w:rFonts w:asciiTheme="minorHAnsi" w:hAnsiTheme="minorHAnsi" w:cstheme="minorHAnsi"/>
          <w:b/>
          <w:bCs/>
          <w:sz w:val="18"/>
          <w:szCs w:val="18"/>
          <w:lang w:val="fr-CH"/>
        </w:rPr>
      </w:pPr>
    </w:p>
    <w:p w:rsidR="003A5382" w:rsidRPr="003A5382" w:rsidRDefault="003A5382" w:rsidP="003A5382">
      <w:pPr>
        <w:tabs>
          <w:tab w:val="center" w:pos="7371"/>
          <w:tab w:val="right" w:pos="8505"/>
        </w:tabs>
        <w:spacing w:before="240" w:line="240" w:lineRule="auto"/>
        <w:rPr>
          <w:rFonts w:asciiTheme="minorHAnsi" w:hAnsiTheme="minorHAnsi" w:cstheme="minorHAnsi"/>
          <w:b/>
          <w:bCs/>
          <w:sz w:val="18"/>
          <w:szCs w:val="18"/>
          <w:lang w:val="fr-CH"/>
        </w:rPr>
      </w:pPr>
      <w:r w:rsidRPr="003A5382">
        <w:rPr>
          <w:rFonts w:asciiTheme="minorHAnsi" w:hAnsiTheme="minorHAnsi" w:cstheme="minorHAnsi"/>
          <w:b/>
          <w:bCs/>
          <w:sz w:val="18"/>
          <w:szCs w:val="18"/>
          <w:lang w:val="fr-CH"/>
        </w:rPr>
        <w:t>Distribution:</w:t>
      </w:r>
    </w:p>
    <w:p w:rsidR="003A5382" w:rsidRPr="003A5382" w:rsidRDefault="003A5382" w:rsidP="003A5382">
      <w:pPr>
        <w:numPr>
          <w:ilvl w:val="0"/>
          <w:numId w:val="2"/>
        </w:numPr>
        <w:tabs>
          <w:tab w:val="left" w:pos="284"/>
        </w:tabs>
        <w:spacing w:before="0" w:line="240" w:lineRule="auto"/>
        <w:ind w:left="0" w:firstLine="0"/>
        <w:contextualSpacing/>
        <w:textAlignment w:val="auto"/>
        <w:rPr>
          <w:rFonts w:asciiTheme="minorHAnsi" w:hAnsiTheme="minorHAnsi"/>
          <w:sz w:val="18"/>
          <w:szCs w:val="18"/>
        </w:rPr>
      </w:pPr>
      <w:r w:rsidRPr="003A5382">
        <w:rPr>
          <w:rFonts w:asciiTheme="minorHAnsi" w:hAnsiTheme="minorHAnsi" w:cs="Times New Roman"/>
          <w:sz w:val="18"/>
          <w:szCs w:val="18"/>
        </w:rPr>
        <w:t>Administrations of Member States of the ITU</w:t>
      </w:r>
    </w:p>
    <w:p w:rsidR="003A5382" w:rsidRPr="003A5382" w:rsidRDefault="003A5382" w:rsidP="003A5382">
      <w:pPr>
        <w:numPr>
          <w:ilvl w:val="0"/>
          <w:numId w:val="2"/>
        </w:numPr>
        <w:tabs>
          <w:tab w:val="left" w:pos="284"/>
        </w:tabs>
        <w:spacing w:before="0" w:line="240" w:lineRule="auto"/>
        <w:ind w:left="0" w:firstLine="0"/>
        <w:contextualSpacing/>
        <w:jc w:val="left"/>
        <w:rPr>
          <w:rFonts w:asciiTheme="minorHAnsi" w:hAnsiTheme="minorHAnsi" w:cs="Times New Roman"/>
          <w:sz w:val="18"/>
          <w:szCs w:val="18"/>
        </w:rPr>
      </w:pPr>
      <w:proofErr w:type="spellStart"/>
      <w:r w:rsidRPr="003A5382">
        <w:rPr>
          <w:rFonts w:asciiTheme="minorHAnsi" w:hAnsiTheme="minorHAnsi" w:cs="Times New Roman"/>
          <w:sz w:val="18"/>
          <w:szCs w:val="18"/>
        </w:rPr>
        <w:t>Radiocommunication</w:t>
      </w:r>
      <w:proofErr w:type="spellEnd"/>
      <w:r w:rsidRPr="003A5382">
        <w:rPr>
          <w:rFonts w:asciiTheme="minorHAnsi" w:hAnsiTheme="minorHAnsi" w:cs="Times New Roman"/>
          <w:sz w:val="18"/>
          <w:szCs w:val="18"/>
        </w:rPr>
        <w:t xml:space="preserve"> Sector Members</w:t>
      </w:r>
      <w:r w:rsidR="00E07D2F">
        <w:rPr>
          <w:rFonts w:asciiTheme="minorHAnsi" w:hAnsiTheme="minorHAnsi" w:cs="Times New Roman"/>
          <w:sz w:val="18"/>
          <w:szCs w:val="18"/>
        </w:rPr>
        <w:t xml:space="preserve"> </w:t>
      </w:r>
      <w:r w:rsidR="00E07D2F">
        <w:rPr>
          <w:rFonts w:asciiTheme="minorHAnsi" w:hAnsiTheme="minorHAnsi" w:cs="Times New Roman"/>
          <w:sz w:val="18"/>
          <w:szCs w:val="18"/>
        </w:rPr>
        <w:t>and Academia</w:t>
      </w:r>
      <w:bookmarkStart w:id="0" w:name="_GoBack"/>
      <w:bookmarkEnd w:id="0"/>
    </w:p>
    <w:p w:rsidR="003A5382" w:rsidRPr="003A5382" w:rsidRDefault="003A5382" w:rsidP="003A5382">
      <w:pPr>
        <w:numPr>
          <w:ilvl w:val="0"/>
          <w:numId w:val="2"/>
        </w:numPr>
        <w:tabs>
          <w:tab w:val="left" w:pos="284"/>
        </w:tabs>
        <w:spacing w:before="0" w:line="240" w:lineRule="auto"/>
        <w:ind w:left="0" w:firstLine="0"/>
        <w:contextualSpacing/>
        <w:textAlignment w:val="auto"/>
        <w:rPr>
          <w:rFonts w:asciiTheme="minorHAnsi" w:hAnsiTheme="minorHAnsi" w:cs="Times New Roman"/>
          <w:sz w:val="18"/>
          <w:szCs w:val="18"/>
        </w:rPr>
      </w:pPr>
      <w:r w:rsidRPr="003A5382">
        <w:rPr>
          <w:rFonts w:asciiTheme="minorHAnsi" w:hAnsiTheme="minorHAnsi" w:cs="Times New Roman"/>
          <w:sz w:val="18"/>
          <w:szCs w:val="18"/>
        </w:rPr>
        <w:t xml:space="preserve">Chairmen and Vice-Chairmen of Radiocommunication Study Groups </w:t>
      </w:r>
    </w:p>
    <w:p w:rsidR="003A5382" w:rsidRPr="003A5382" w:rsidRDefault="003A5382" w:rsidP="003A5382">
      <w:pPr>
        <w:tabs>
          <w:tab w:val="left" w:pos="284"/>
        </w:tabs>
        <w:spacing w:before="0" w:line="240" w:lineRule="auto"/>
        <w:rPr>
          <w:rFonts w:asciiTheme="minorHAnsi" w:hAnsiTheme="minorHAnsi"/>
          <w:sz w:val="18"/>
          <w:szCs w:val="18"/>
        </w:rPr>
      </w:pPr>
      <w:r w:rsidRPr="003A5382">
        <w:rPr>
          <w:rFonts w:asciiTheme="minorHAnsi" w:hAnsiTheme="minorHAnsi"/>
          <w:sz w:val="18"/>
          <w:szCs w:val="18"/>
        </w:rPr>
        <w:t>-</w:t>
      </w:r>
      <w:r w:rsidRPr="003A5382">
        <w:rPr>
          <w:rFonts w:asciiTheme="minorHAnsi" w:hAnsiTheme="minorHAnsi"/>
          <w:sz w:val="18"/>
          <w:szCs w:val="18"/>
        </w:rPr>
        <w:tab/>
        <w:t>Chairman and Vice-Chairmen of the Radiocommunication Advisory Group</w:t>
      </w:r>
    </w:p>
    <w:p w:rsidR="003A5382" w:rsidRPr="003A5382" w:rsidRDefault="003A5382" w:rsidP="003A5382">
      <w:pPr>
        <w:tabs>
          <w:tab w:val="left" w:pos="284"/>
        </w:tabs>
        <w:spacing w:before="0" w:line="240" w:lineRule="auto"/>
        <w:rPr>
          <w:rFonts w:asciiTheme="minorHAnsi" w:hAnsiTheme="minorHAnsi"/>
          <w:sz w:val="18"/>
          <w:szCs w:val="18"/>
        </w:rPr>
      </w:pPr>
      <w:r w:rsidRPr="003A5382">
        <w:rPr>
          <w:rFonts w:asciiTheme="minorHAnsi" w:hAnsiTheme="minorHAnsi"/>
          <w:sz w:val="18"/>
          <w:szCs w:val="18"/>
        </w:rPr>
        <w:t>-</w:t>
      </w:r>
      <w:r w:rsidRPr="003A5382">
        <w:rPr>
          <w:rFonts w:asciiTheme="minorHAnsi" w:hAnsiTheme="minorHAnsi"/>
          <w:sz w:val="18"/>
          <w:szCs w:val="18"/>
        </w:rPr>
        <w:tab/>
        <w:t>Chairman and Vice-Chairmen of the Conference Preparatory Meeting</w:t>
      </w:r>
    </w:p>
    <w:p w:rsidR="003A5382" w:rsidRPr="003A5382" w:rsidRDefault="00D64C93" w:rsidP="003A5382">
      <w:pPr>
        <w:tabs>
          <w:tab w:val="left" w:pos="284"/>
        </w:tabs>
        <w:spacing w:before="0" w:line="240" w:lineRule="auto"/>
        <w:rPr>
          <w:rFonts w:asciiTheme="minorHAnsi" w:hAnsiTheme="minorHAnsi"/>
          <w:sz w:val="18"/>
          <w:szCs w:val="18"/>
        </w:rPr>
      </w:pPr>
      <w:r w:rsidRPr="003A5382">
        <w:rPr>
          <w:rFonts w:asciiTheme="minorHAnsi" w:hAnsiTheme="minorHAnsi"/>
          <w:sz w:val="18"/>
          <w:szCs w:val="18"/>
        </w:rPr>
        <w:t>-</w:t>
      </w:r>
      <w:r w:rsidR="003A5382" w:rsidRPr="003A5382">
        <w:rPr>
          <w:rFonts w:asciiTheme="minorHAnsi" w:hAnsiTheme="minorHAnsi"/>
          <w:sz w:val="18"/>
          <w:szCs w:val="18"/>
        </w:rPr>
        <w:tab/>
        <w:t>Members of the Radio Regulations Board</w:t>
      </w:r>
    </w:p>
    <w:p w:rsidR="001322B9" w:rsidRDefault="003A5382" w:rsidP="003A5382">
      <w:pPr>
        <w:tabs>
          <w:tab w:val="left" w:pos="284"/>
        </w:tabs>
        <w:spacing w:before="0" w:line="240" w:lineRule="auto"/>
        <w:ind w:left="284" w:hanging="284"/>
        <w:rPr>
          <w:rFonts w:asciiTheme="minorHAnsi" w:hAnsiTheme="minorHAnsi"/>
          <w:sz w:val="18"/>
          <w:szCs w:val="18"/>
        </w:rPr>
        <w:sectPr w:rsidR="001322B9" w:rsidSect="001322B9">
          <w:footerReference w:type="even" r:id="rId19"/>
          <w:pgSz w:w="11907" w:h="16834" w:code="9"/>
          <w:pgMar w:top="851" w:right="1134" w:bottom="993" w:left="1134" w:header="567" w:footer="397" w:gutter="0"/>
          <w:cols w:space="720"/>
          <w:docGrid w:linePitch="326"/>
        </w:sectPr>
      </w:pPr>
      <w:r w:rsidRPr="003A5382">
        <w:rPr>
          <w:rFonts w:asciiTheme="minorHAnsi" w:hAnsiTheme="minorHAnsi"/>
          <w:sz w:val="18"/>
          <w:szCs w:val="18"/>
        </w:rPr>
        <w:t>-</w:t>
      </w:r>
      <w:r w:rsidRPr="003A5382">
        <w:rPr>
          <w:rFonts w:asciiTheme="minorHAnsi" w:hAnsiTheme="minorHAnsi"/>
          <w:sz w:val="18"/>
          <w:szCs w:val="18"/>
        </w:rPr>
        <w:tab/>
        <w:t>Secretary-General of the ITU, Director of the Telecommunication Standardization Bureau, Director of the Telecommunication Development Bureau</w:t>
      </w:r>
    </w:p>
    <w:p w:rsidR="00B95F67" w:rsidRPr="00B95F67" w:rsidRDefault="00B95F67" w:rsidP="001322B9">
      <w:pPr>
        <w:jc w:val="center"/>
        <w:rPr>
          <w:b/>
          <w:bCs/>
          <w:sz w:val="28"/>
          <w:szCs w:val="28"/>
        </w:rPr>
      </w:pPr>
      <w:r w:rsidRPr="00B95F67">
        <w:rPr>
          <w:b/>
          <w:bCs/>
          <w:sz w:val="28"/>
          <w:szCs w:val="28"/>
        </w:rPr>
        <w:lastRenderedPageBreak/>
        <w:t>Annex</w:t>
      </w:r>
    </w:p>
    <w:p w:rsidR="00B95F67" w:rsidRPr="00B95F67" w:rsidRDefault="00B95F67" w:rsidP="00B95F67">
      <w:pPr>
        <w:spacing w:before="240"/>
        <w:ind w:left="238" w:right="238"/>
        <w:jc w:val="center"/>
        <w:rPr>
          <w:rFonts w:asciiTheme="minorHAnsi" w:hAnsiTheme="minorHAnsi" w:cstheme="majorBidi"/>
          <w:b/>
          <w:sz w:val="28"/>
          <w:szCs w:val="28"/>
        </w:rPr>
      </w:pPr>
      <w:r w:rsidRPr="00B95F67">
        <w:rPr>
          <w:rFonts w:asciiTheme="minorHAnsi" w:hAnsiTheme="minorHAnsi" w:cstheme="majorBidi"/>
          <w:b/>
          <w:sz w:val="28"/>
          <w:szCs w:val="28"/>
        </w:rPr>
        <w:t xml:space="preserve">Draft </w:t>
      </w:r>
      <w:proofErr w:type="spellStart"/>
      <w:r w:rsidRPr="00B95F67">
        <w:rPr>
          <w:rFonts w:asciiTheme="minorHAnsi" w:hAnsiTheme="minorHAnsi" w:cstheme="majorBidi"/>
          <w:b/>
          <w:sz w:val="28"/>
          <w:szCs w:val="28"/>
        </w:rPr>
        <w:t>Programme</w:t>
      </w:r>
      <w:proofErr w:type="spellEnd"/>
    </w:p>
    <w:p w:rsidR="00B95F67" w:rsidRPr="00B95F67" w:rsidRDefault="00B95F67" w:rsidP="00B95F67">
      <w:pPr>
        <w:ind w:left="241" w:right="236"/>
        <w:jc w:val="center"/>
        <w:rPr>
          <w:b/>
          <w:sz w:val="26"/>
          <w:szCs w:val="26"/>
        </w:rPr>
      </w:pPr>
      <w:r w:rsidRPr="00B95F67">
        <w:rPr>
          <w:rFonts w:asciiTheme="minorHAnsi" w:hAnsiTheme="minorHAnsi" w:cstheme="majorBidi"/>
          <w:b/>
          <w:sz w:val="26"/>
          <w:szCs w:val="26"/>
        </w:rPr>
        <w:t xml:space="preserve">Celebration of the </w:t>
      </w:r>
      <w:r w:rsidRPr="00B95F67">
        <w:rPr>
          <w:b/>
          <w:sz w:val="26"/>
          <w:szCs w:val="26"/>
          <w:lang w:val="en-GB"/>
        </w:rPr>
        <w:t>90</w:t>
      </w:r>
      <w:r w:rsidRPr="00B95F67">
        <w:rPr>
          <w:b/>
          <w:sz w:val="26"/>
          <w:szCs w:val="26"/>
          <w:vertAlign w:val="superscript"/>
          <w:lang w:val="en-GB"/>
        </w:rPr>
        <w:t>th</w:t>
      </w:r>
      <w:r w:rsidRPr="00B95F67">
        <w:rPr>
          <w:b/>
          <w:sz w:val="26"/>
          <w:szCs w:val="26"/>
          <w:lang w:val="en-GB"/>
        </w:rPr>
        <w:t xml:space="preserve"> Anniversary of the CCIR/ITU-R Study Groups (1927 – 2017)</w:t>
      </w:r>
    </w:p>
    <w:p w:rsidR="00B95F67" w:rsidRPr="00B95F67" w:rsidRDefault="00B95F67" w:rsidP="00B95F67">
      <w:pPr>
        <w:ind w:left="241" w:right="236"/>
        <w:jc w:val="center"/>
        <w:rPr>
          <w:rFonts w:asciiTheme="minorHAnsi" w:hAnsiTheme="minorHAnsi" w:cstheme="majorBidi"/>
          <w:b/>
          <w:sz w:val="26"/>
          <w:szCs w:val="26"/>
        </w:rPr>
      </w:pPr>
    </w:p>
    <w:p w:rsidR="00B95F67" w:rsidRPr="00B95F67" w:rsidRDefault="00B95F67" w:rsidP="00B95F67">
      <w:pPr>
        <w:widowControl w:val="0"/>
        <w:tabs>
          <w:tab w:val="clear" w:pos="794"/>
          <w:tab w:val="clear" w:pos="1191"/>
          <w:tab w:val="clear" w:pos="1588"/>
          <w:tab w:val="clear" w:pos="1985"/>
          <w:tab w:val="left" w:pos="1269"/>
        </w:tabs>
        <w:overflowPunct/>
        <w:autoSpaceDE/>
        <w:autoSpaceDN/>
        <w:adjustRightInd/>
        <w:spacing w:before="0" w:line="240" w:lineRule="auto"/>
        <w:ind w:left="794" w:hanging="794"/>
        <w:jc w:val="left"/>
        <w:textAlignment w:val="auto"/>
        <w:outlineLvl w:val="1"/>
        <w:rPr>
          <w:rFonts w:asciiTheme="minorHAnsi" w:hAnsiTheme="minorHAnsi" w:cstheme="majorBidi"/>
          <w:b/>
          <w:szCs w:val="24"/>
        </w:rPr>
      </w:pPr>
      <w:r w:rsidRPr="00B95F67">
        <w:rPr>
          <w:rFonts w:asciiTheme="minorHAnsi" w:hAnsiTheme="minorHAnsi" w:cstheme="majorBidi"/>
          <w:b/>
          <w:szCs w:val="24"/>
        </w:rPr>
        <w:tab/>
        <w:t>DATE</w:t>
      </w:r>
    </w:p>
    <w:p w:rsidR="00B95F67" w:rsidRPr="00B95F67" w:rsidRDefault="00B95F67" w:rsidP="00B95F67">
      <w:pPr>
        <w:ind w:left="1191"/>
        <w:rPr>
          <w:szCs w:val="24"/>
        </w:rPr>
      </w:pPr>
      <w:r w:rsidRPr="00B95F67">
        <w:rPr>
          <w:rFonts w:asciiTheme="minorHAnsi" w:hAnsiTheme="minorHAnsi" w:cstheme="majorBidi"/>
          <w:szCs w:val="24"/>
        </w:rPr>
        <w:t>Tuesday 21 November 2017,</w:t>
      </w:r>
      <w:r w:rsidRPr="00B95F67">
        <w:rPr>
          <w:rFonts w:asciiTheme="minorHAnsi" w:hAnsiTheme="minorHAnsi" w:cstheme="majorBidi"/>
          <w:b/>
          <w:szCs w:val="24"/>
        </w:rPr>
        <w:t xml:space="preserve"> </w:t>
      </w:r>
      <w:r w:rsidRPr="00B95F67">
        <w:rPr>
          <w:rFonts w:asciiTheme="minorHAnsi" w:hAnsiTheme="minorHAnsi" w:cstheme="majorBidi"/>
          <w:szCs w:val="24"/>
        </w:rPr>
        <w:t xml:space="preserve">in conjunction with </w:t>
      </w:r>
      <w:r w:rsidRPr="00B95F67">
        <w:rPr>
          <w:szCs w:val="24"/>
        </w:rPr>
        <w:t>the first ITU Inter-Regional Workshop on WRC-19 Preparation, at ITU Headquarter in Geneva, Switzerland.</w:t>
      </w:r>
    </w:p>
    <w:p w:rsidR="00B95F67" w:rsidRPr="00B95F67" w:rsidRDefault="00B95F67" w:rsidP="00B95F67">
      <w:pPr>
        <w:spacing w:before="0" w:line="240" w:lineRule="auto"/>
        <w:rPr>
          <w:rFonts w:asciiTheme="minorHAnsi" w:hAnsiTheme="minorHAnsi" w:cstheme="majorBidi"/>
          <w:szCs w:val="24"/>
        </w:rPr>
      </w:pPr>
    </w:p>
    <w:p w:rsidR="00B95F67" w:rsidRPr="00B95F67" w:rsidRDefault="00B95F67" w:rsidP="00B95F67">
      <w:pPr>
        <w:widowControl w:val="0"/>
        <w:tabs>
          <w:tab w:val="clear" w:pos="794"/>
          <w:tab w:val="clear" w:pos="1191"/>
          <w:tab w:val="clear" w:pos="1588"/>
          <w:tab w:val="clear" w:pos="1985"/>
          <w:tab w:val="left" w:pos="1269"/>
        </w:tabs>
        <w:overflowPunct/>
        <w:autoSpaceDE/>
        <w:autoSpaceDN/>
        <w:adjustRightInd/>
        <w:spacing w:before="0" w:line="240" w:lineRule="auto"/>
        <w:ind w:left="794" w:hanging="794"/>
        <w:jc w:val="left"/>
        <w:textAlignment w:val="auto"/>
        <w:outlineLvl w:val="1"/>
        <w:rPr>
          <w:rFonts w:asciiTheme="minorHAnsi" w:hAnsiTheme="minorHAnsi" w:cstheme="majorBidi"/>
          <w:bCs/>
          <w:szCs w:val="24"/>
          <w:lang w:val="fr-CH"/>
        </w:rPr>
      </w:pPr>
      <w:r w:rsidRPr="00B95F67">
        <w:rPr>
          <w:rFonts w:asciiTheme="minorHAnsi" w:hAnsiTheme="minorHAnsi" w:cstheme="majorBidi"/>
          <w:b/>
          <w:szCs w:val="24"/>
          <w:lang w:val="en-CA"/>
        </w:rPr>
        <w:tab/>
        <w:t>VENUE</w:t>
      </w:r>
    </w:p>
    <w:p w:rsidR="00B95F67" w:rsidRPr="00B95F67" w:rsidRDefault="00B95F67" w:rsidP="00B95F67">
      <w:pPr>
        <w:widowControl w:val="0"/>
        <w:tabs>
          <w:tab w:val="clear" w:pos="794"/>
          <w:tab w:val="clear" w:pos="1191"/>
          <w:tab w:val="clear" w:pos="1588"/>
          <w:tab w:val="clear" w:pos="1985"/>
          <w:tab w:val="left" w:pos="1269"/>
        </w:tabs>
        <w:overflowPunct/>
        <w:autoSpaceDE/>
        <w:autoSpaceDN/>
        <w:adjustRightInd/>
        <w:spacing w:before="0" w:line="240" w:lineRule="auto"/>
        <w:ind w:left="908"/>
        <w:jc w:val="left"/>
        <w:textAlignment w:val="auto"/>
        <w:outlineLvl w:val="1"/>
        <w:rPr>
          <w:rFonts w:asciiTheme="minorHAnsi" w:hAnsiTheme="minorHAnsi" w:cstheme="majorBidi"/>
          <w:szCs w:val="24"/>
          <w:lang w:val="fr-CH"/>
        </w:rPr>
      </w:pPr>
    </w:p>
    <w:p w:rsidR="00B95F67" w:rsidRPr="00B95F67" w:rsidRDefault="00B95F67" w:rsidP="00B95F67">
      <w:pPr>
        <w:widowControl w:val="0"/>
        <w:tabs>
          <w:tab w:val="clear" w:pos="794"/>
          <w:tab w:val="clear" w:pos="1191"/>
          <w:tab w:val="clear" w:pos="1588"/>
          <w:tab w:val="clear" w:pos="1985"/>
          <w:tab w:val="left" w:pos="1269"/>
        </w:tabs>
        <w:overflowPunct/>
        <w:autoSpaceDE/>
        <w:autoSpaceDN/>
        <w:adjustRightInd/>
        <w:spacing w:before="0" w:line="240" w:lineRule="auto"/>
        <w:ind w:left="908"/>
        <w:jc w:val="left"/>
        <w:textAlignment w:val="auto"/>
        <w:outlineLvl w:val="1"/>
        <w:rPr>
          <w:rFonts w:asciiTheme="minorHAnsi" w:hAnsiTheme="minorHAnsi" w:cstheme="majorBidi"/>
          <w:bCs/>
          <w:szCs w:val="24"/>
        </w:rPr>
      </w:pPr>
      <w:r w:rsidRPr="00B95F67">
        <w:rPr>
          <w:rFonts w:asciiTheme="minorHAnsi" w:hAnsiTheme="minorHAnsi" w:cstheme="majorBidi"/>
          <w:szCs w:val="24"/>
        </w:rPr>
        <w:tab/>
        <w:t>Popov Room, ITU Headquarters, Place des Nations, 1211 Geneva, Switzerland</w:t>
      </w:r>
    </w:p>
    <w:p w:rsidR="00B95F67" w:rsidRPr="00B95F67" w:rsidRDefault="00B95F67" w:rsidP="00B95F67">
      <w:pPr>
        <w:spacing w:before="0" w:line="240" w:lineRule="auto"/>
        <w:rPr>
          <w:rFonts w:asciiTheme="minorHAnsi" w:hAnsiTheme="minorHAnsi" w:cstheme="majorBidi"/>
          <w:b/>
          <w:szCs w:val="24"/>
        </w:rPr>
      </w:pPr>
    </w:p>
    <w:p w:rsidR="00B95F67" w:rsidRPr="00B95F67" w:rsidRDefault="00B95F67" w:rsidP="00B95F67">
      <w:pPr>
        <w:tabs>
          <w:tab w:val="left" w:pos="1269"/>
        </w:tabs>
        <w:rPr>
          <w:rFonts w:asciiTheme="minorHAnsi" w:hAnsiTheme="minorHAnsi" w:cstheme="majorBidi"/>
          <w:b/>
          <w:szCs w:val="24"/>
        </w:rPr>
      </w:pPr>
      <w:r w:rsidRPr="00B95F67">
        <w:rPr>
          <w:rFonts w:asciiTheme="minorHAnsi" w:hAnsiTheme="minorHAnsi" w:cstheme="majorBidi"/>
          <w:b/>
          <w:szCs w:val="24"/>
        </w:rPr>
        <w:tab/>
        <w:t>DRAFT</w:t>
      </w:r>
      <w:r w:rsidRPr="00B95F67">
        <w:rPr>
          <w:rFonts w:asciiTheme="minorHAnsi" w:hAnsiTheme="minorHAnsi" w:cstheme="majorBidi"/>
          <w:b/>
          <w:spacing w:val="-3"/>
          <w:szCs w:val="24"/>
        </w:rPr>
        <w:t xml:space="preserve"> </w:t>
      </w:r>
      <w:r w:rsidRPr="00B95F67">
        <w:rPr>
          <w:rFonts w:asciiTheme="minorHAnsi" w:hAnsiTheme="minorHAnsi" w:cstheme="majorBidi"/>
          <w:b/>
          <w:szCs w:val="24"/>
        </w:rPr>
        <w:t>PROGRAMME</w:t>
      </w:r>
    </w:p>
    <w:p w:rsidR="00B95F67" w:rsidRPr="00B95F67" w:rsidRDefault="00B95F67" w:rsidP="00B95F67">
      <w:pPr>
        <w:spacing w:before="0" w:line="240" w:lineRule="auto"/>
        <w:rPr>
          <w:rFonts w:asciiTheme="minorHAnsi" w:hAnsiTheme="minorHAnsi" w:cstheme="majorBidi"/>
          <w:b/>
          <w:szCs w:val="24"/>
        </w:rPr>
      </w:pPr>
    </w:p>
    <w:p w:rsidR="00B95F67" w:rsidRPr="00B95F67" w:rsidRDefault="00B95F67" w:rsidP="00B95F67">
      <w:pPr>
        <w:widowControl w:val="0"/>
        <w:numPr>
          <w:ilvl w:val="0"/>
          <w:numId w:val="4"/>
        </w:num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b/>
          <w:szCs w:val="24"/>
        </w:rPr>
      </w:pPr>
      <w:r w:rsidRPr="00B95F67">
        <w:rPr>
          <w:rFonts w:asciiTheme="minorHAnsi" w:hAnsiTheme="minorHAnsi" w:cstheme="majorBidi"/>
          <w:b/>
          <w:szCs w:val="24"/>
        </w:rPr>
        <w:t>16h00 –  Opening</w:t>
      </w:r>
    </w:p>
    <w:p w:rsidR="00B95F67" w:rsidRPr="00B95F67" w:rsidRDefault="00B95F67" w:rsidP="00B95F67">
      <w:pPr>
        <w:spacing w:before="0" w:line="240" w:lineRule="auto"/>
        <w:ind w:left="1674"/>
        <w:rPr>
          <w:rFonts w:asciiTheme="minorHAnsi" w:hAnsiTheme="minorHAnsi" w:cstheme="majorBidi"/>
          <w:szCs w:val="24"/>
        </w:rPr>
      </w:pPr>
    </w:p>
    <w:p w:rsidR="00B95F67" w:rsidRPr="00B95F67" w:rsidRDefault="00B95F67" w:rsidP="00B95F67">
      <w:pPr>
        <w:spacing w:before="0" w:line="240" w:lineRule="auto"/>
        <w:ind w:left="1985"/>
        <w:jc w:val="left"/>
        <w:rPr>
          <w:rFonts w:asciiTheme="minorHAnsi" w:hAnsiTheme="minorHAnsi" w:cstheme="majorBidi"/>
          <w:szCs w:val="24"/>
        </w:rPr>
      </w:pPr>
      <w:proofErr w:type="spellStart"/>
      <w:r w:rsidRPr="00B95F67">
        <w:rPr>
          <w:rFonts w:asciiTheme="minorHAnsi" w:hAnsiTheme="minorHAnsi" w:cstheme="majorBidi"/>
          <w:szCs w:val="24"/>
        </w:rPr>
        <w:t>Mr</w:t>
      </w:r>
      <w:proofErr w:type="spellEnd"/>
      <w:r w:rsidRPr="00B95F67">
        <w:rPr>
          <w:rFonts w:asciiTheme="minorHAnsi" w:hAnsiTheme="minorHAnsi" w:cstheme="majorBidi"/>
          <w:szCs w:val="24"/>
        </w:rPr>
        <w:t xml:space="preserve"> </w:t>
      </w:r>
      <w:proofErr w:type="spellStart"/>
      <w:r w:rsidRPr="00B95F67">
        <w:rPr>
          <w:rFonts w:asciiTheme="minorHAnsi" w:hAnsiTheme="minorHAnsi" w:cstheme="majorBidi"/>
          <w:szCs w:val="24"/>
        </w:rPr>
        <w:t>Houlin</w:t>
      </w:r>
      <w:proofErr w:type="spellEnd"/>
      <w:r w:rsidRPr="00B95F67">
        <w:rPr>
          <w:rFonts w:asciiTheme="minorHAnsi" w:hAnsiTheme="minorHAnsi" w:cstheme="majorBidi"/>
          <w:szCs w:val="24"/>
        </w:rPr>
        <w:t xml:space="preserve"> Zhao, Secretary-General, ITU</w:t>
      </w:r>
    </w:p>
    <w:p w:rsidR="00B95F67" w:rsidRPr="00B95F67" w:rsidRDefault="00B95F67" w:rsidP="00B95F67">
      <w:pPr>
        <w:spacing w:before="0" w:line="240" w:lineRule="auto"/>
        <w:ind w:left="1985"/>
        <w:jc w:val="left"/>
        <w:rPr>
          <w:rFonts w:asciiTheme="minorHAnsi" w:hAnsiTheme="minorHAnsi" w:cstheme="majorBidi"/>
          <w:szCs w:val="24"/>
        </w:rPr>
      </w:pPr>
      <w:r w:rsidRPr="00B95F67">
        <w:rPr>
          <w:rFonts w:asciiTheme="minorHAnsi" w:hAnsiTheme="minorHAnsi" w:cstheme="majorBidi"/>
          <w:szCs w:val="24"/>
        </w:rPr>
        <w:t xml:space="preserve">Mr </w:t>
      </w:r>
      <w:r w:rsidRPr="00B95F67">
        <w:rPr>
          <w:rFonts w:asciiTheme="minorHAnsi" w:hAnsiTheme="minorHAnsi" w:cstheme="majorBidi"/>
          <w:color w:val="000000"/>
          <w:szCs w:val="24"/>
        </w:rPr>
        <w:t>François Rancy</w:t>
      </w:r>
      <w:r w:rsidRPr="00B95F67">
        <w:rPr>
          <w:rFonts w:asciiTheme="minorHAnsi" w:hAnsiTheme="minorHAnsi" w:cstheme="majorBidi"/>
          <w:szCs w:val="24"/>
        </w:rPr>
        <w:t xml:space="preserve">, Director, Radiocommunication Bureau, ITU </w:t>
      </w:r>
      <w:r w:rsidRPr="00B95F67">
        <w:rPr>
          <w:rFonts w:asciiTheme="minorHAnsi" w:hAnsiTheme="minorHAnsi" w:cstheme="majorBidi"/>
          <w:szCs w:val="24"/>
        </w:rPr>
        <w:br/>
      </w:r>
    </w:p>
    <w:p w:rsidR="00B95F67" w:rsidRPr="00B95F67" w:rsidRDefault="00B95F67" w:rsidP="00B95F67">
      <w:pPr>
        <w:keepNext/>
        <w:keepLines/>
        <w:numPr>
          <w:ilvl w:val="0"/>
          <w:numId w:val="4"/>
        </w:numPr>
        <w:tabs>
          <w:tab w:val="clear" w:pos="1191"/>
        </w:tabs>
        <w:spacing w:before="0" w:line="240" w:lineRule="auto"/>
        <w:outlineLvl w:val="1"/>
        <w:rPr>
          <w:b/>
          <w:szCs w:val="24"/>
        </w:rPr>
      </w:pPr>
      <w:r w:rsidRPr="00B95F67">
        <w:rPr>
          <w:rFonts w:asciiTheme="minorHAnsi" w:hAnsiTheme="minorHAnsi" w:cstheme="majorBidi"/>
          <w:b/>
          <w:szCs w:val="24"/>
        </w:rPr>
        <w:t>16h30 – Panel discussion - T</w:t>
      </w:r>
      <w:r w:rsidRPr="00B95F67">
        <w:rPr>
          <w:b/>
          <w:szCs w:val="24"/>
        </w:rPr>
        <w:t>he importance of the CCIR/ITU-R Study Groups activities and their contribution to shaping and enabling the global wireless ecosystem.</w:t>
      </w:r>
      <w:r w:rsidR="001322B9">
        <w:rPr>
          <w:b/>
          <w:szCs w:val="24"/>
        </w:rPr>
        <w:br/>
      </w:r>
    </w:p>
    <w:p w:rsidR="00B95F67" w:rsidRPr="00B95F67" w:rsidRDefault="00B95F67" w:rsidP="00B95F67">
      <w:pPr>
        <w:rPr>
          <w:rFonts w:asciiTheme="minorHAnsi" w:hAnsiTheme="minorHAnsi" w:cstheme="majorBidi"/>
          <w:szCs w:val="24"/>
        </w:rPr>
      </w:pPr>
      <w:r w:rsidRPr="00B95F67">
        <w:rPr>
          <w:rFonts w:asciiTheme="minorHAnsi" w:hAnsiTheme="minorHAnsi" w:cstheme="majorBidi"/>
          <w:szCs w:val="24"/>
        </w:rPr>
        <w:tab/>
      </w:r>
      <w:r w:rsidRPr="00B95F67">
        <w:rPr>
          <w:rFonts w:asciiTheme="minorHAnsi" w:hAnsiTheme="minorHAnsi" w:cstheme="majorBidi"/>
          <w:szCs w:val="24"/>
        </w:rPr>
        <w:tab/>
      </w:r>
      <w:r w:rsidRPr="00B95F67">
        <w:rPr>
          <w:rFonts w:asciiTheme="minorHAnsi" w:hAnsiTheme="minorHAnsi" w:cstheme="majorBidi"/>
          <w:szCs w:val="24"/>
        </w:rPr>
        <w:tab/>
      </w:r>
      <w:proofErr w:type="spellStart"/>
      <w:r w:rsidRPr="00B95F67">
        <w:rPr>
          <w:rFonts w:asciiTheme="minorHAnsi" w:hAnsiTheme="minorHAnsi" w:cstheme="majorBidi"/>
          <w:szCs w:val="24"/>
        </w:rPr>
        <w:t>Pannelists</w:t>
      </w:r>
      <w:proofErr w:type="spellEnd"/>
      <w:r w:rsidR="001322B9">
        <w:rPr>
          <w:rFonts w:asciiTheme="minorHAnsi" w:hAnsiTheme="minorHAnsi" w:cstheme="majorBidi"/>
          <w:szCs w:val="24"/>
        </w:rPr>
        <w:br/>
      </w:r>
    </w:p>
    <w:p w:rsidR="00B95F67" w:rsidRPr="00B95F67" w:rsidRDefault="00B95F67" w:rsidP="00B95F67">
      <w:pPr>
        <w:numPr>
          <w:ilvl w:val="0"/>
          <w:numId w:val="7"/>
        </w:numPr>
        <w:spacing w:before="0" w:line="240" w:lineRule="auto"/>
        <w:jc w:val="left"/>
        <w:rPr>
          <w:rFonts w:asciiTheme="minorHAnsi" w:hAnsiTheme="minorHAnsi" w:cstheme="majorBidi"/>
          <w:szCs w:val="24"/>
        </w:rPr>
      </w:pPr>
      <w:r w:rsidRPr="00B95F67">
        <w:rPr>
          <w:rFonts w:asciiTheme="minorHAnsi" w:hAnsiTheme="minorHAnsi" w:cstheme="majorBidi"/>
          <w:szCs w:val="24"/>
        </w:rPr>
        <w:t xml:space="preserve">Mats </w:t>
      </w:r>
      <w:proofErr w:type="spellStart"/>
      <w:r w:rsidRPr="00B95F67">
        <w:rPr>
          <w:rFonts w:asciiTheme="minorHAnsi" w:hAnsiTheme="minorHAnsi" w:cstheme="majorBidi"/>
          <w:szCs w:val="24"/>
        </w:rPr>
        <w:t>Granryd</w:t>
      </w:r>
      <w:proofErr w:type="spellEnd"/>
      <w:r w:rsidRPr="00B95F67">
        <w:rPr>
          <w:rFonts w:asciiTheme="minorHAnsi" w:hAnsiTheme="minorHAnsi" w:cstheme="majorBidi"/>
          <w:szCs w:val="24"/>
        </w:rPr>
        <w:t>, Director General, GSMA (TBC)</w:t>
      </w:r>
    </w:p>
    <w:p w:rsidR="00B95F67" w:rsidRPr="00B95F67" w:rsidRDefault="00B95F67" w:rsidP="00B95F67">
      <w:pPr>
        <w:numPr>
          <w:ilvl w:val="0"/>
          <w:numId w:val="7"/>
        </w:numPr>
        <w:spacing w:before="0" w:line="240" w:lineRule="auto"/>
        <w:jc w:val="left"/>
        <w:rPr>
          <w:rFonts w:asciiTheme="minorHAnsi" w:hAnsiTheme="minorHAnsi" w:cstheme="majorBidi"/>
          <w:szCs w:val="24"/>
        </w:rPr>
      </w:pPr>
      <w:proofErr w:type="spellStart"/>
      <w:r w:rsidRPr="00B95F67">
        <w:rPr>
          <w:rFonts w:asciiTheme="minorHAnsi" w:hAnsiTheme="minorHAnsi" w:cstheme="majorBidi"/>
          <w:szCs w:val="24"/>
        </w:rPr>
        <w:t>Aarti</w:t>
      </w:r>
      <w:proofErr w:type="spellEnd"/>
      <w:r w:rsidRPr="00B95F67">
        <w:rPr>
          <w:rFonts w:asciiTheme="minorHAnsi" w:hAnsiTheme="minorHAnsi" w:cstheme="majorBidi"/>
          <w:szCs w:val="24"/>
        </w:rPr>
        <w:t xml:space="preserve"> Ho</w:t>
      </w:r>
      <w:r w:rsidR="005A57A7">
        <w:rPr>
          <w:rFonts w:asciiTheme="minorHAnsi" w:hAnsiTheme="minorHAnsi" w:cstheme="majorBidi"/>
          <w:szCs w:val="24"/>
        </w:rPr>
        <w:t>l</w:t>
      </w:r>
      <w:r w:rsidRPr="00B95F67">
        <w:rPr>
          <w:rFonts w:asciiTheme="minorHAnsi" w:hAnsiTheme="minorHAnsi" w:cstheme="majorBidi"/>
          <w:szCs w:val="24"/>
        </w:rPr>
        <w:t>la, Secretary General, ESOA (TBC)</w:t>
      </w:r>
    </w:p>
    <w:p w:rsidR="00B95F67" w:rsidRPr="00B95F67" w:rsidRDefault="00B95F67" w:rsidP="00B95F67">
      <w:pPr>
        <w:numPr>
          <w:ilvl w:val="0"/>
          <w:numId w:val="7"/>
        </w:numPr>
        <w:spacing w:before="0" w:line="240" w:lineRule="auto"/>
        <w:jc w:val="left"/>
        <w:rPr>
          <w:rFonts w:asciiTheme="minorHAnsi" w:hAnsiTheme="minorHAnsi" w:cstheme="majorBidi"/>
          <w:szCs w:val="24"/>
          <w:lang w:val="es-ES"/>
        </w:rPr>
      </w:pPr>
      <w:r w:rsidRPr="00B95F67">
        <w:rPr>
          <w:rFonts w:asciiTheme="minorHAnsi" w:hAnsiTheme="minorHAnsi" w:cstheme="majorBidi"/>
          <w:szCs w:val="24"/>
          <w:lang w:val="es-ES"/>
        </w:rPr>
        <w:t>Noel Curran, Director General, EBU (TBC)</w:t>
      </w:r>
    </w:p>
    <w:p w:rsidR="00B95F67" w:rsidRPr="00B95F67" w:rsidRDefault="00B95F67" w:rsidP="00B95F67">
      <w:pPr>
        <w:numPr>
          <w:ilvl w:val="0"/>
          <w:numId w:val="7"/>
        </w:numPr>
        <w:spacing w:before="0" w:line="240" w:lineRule="auto"/>
        <w:jc w:val="left"/>
        <w:rPr>
          <w:rFonts w:asciiTheme="minorHAnsi" w:hAnsiTheme="minorHAnsi" w:cstheme="majorBidi"/>
          <w:szCs w:val="24"/>
        </w:rPr>
      </w:pPr>
      <w:proofErr w:type="spellStart"/>
      <w:r w:rsidRPr="00B95F67">
        <w:rPr>
          <w:rFonts w:asciiTheme="minorHAnsi" w:hAnsiTheme="minorHAnsi" w:cstheme="majorBidi"/>
          <w:szCs w:val="24"/>
        </w:rPr>
        <w:t>Kitack</w:t>
      </w:r>
      <w:proofErr w:type="spellEnd"/>
      <w:r w:rsidRPr="00B95F67">
        <w:rPr>
          <w:rFonts w:asciiTheme="minorHAnsi" w:hAnsiTheme="minorHAnsi" w:cstheme="majorBidi"/>
          <w:szCs w:val="24"/>
        </w:rPr>
        <w:t xml:space="preserve"> Lim, Secretary General, IMO (TBC)</w:t>
      </w:r>
    </w:p>
    <w:p w:rsidR="00B95F67" w:rsidRPr="00B95F67" w:rsidRDefault="00B95F67" w:rsidP="00B95F67">
      <w:pPr>
        <w:numPr>
          <w:ilvl w:val="0"/>
          <w:numId w:val="7"/>
        </w:numPr>
        <w:spacing w:before="0" w:line="240" w:lineRule="auto"/>
        <w:jc w:val="left"/>
        <w:rPr>
          <w:rFonts w:asciiTheme="minorHAnsi" w:hAnsiTheme="minorHAnsi" w:cstheme="majorBidi"/>
          <w:szCs w:val="24"/>
        </w:rPr>
      </w:pPr>
      <w:r w:rsidRPr="00B95F67">
        <w:rPr>
          <w:rFonts w:asciiTheme="minorHAnsi" w:hAnsiTheme="minorHAnsi" w:cstheme="majorBidi"/>
          <w:szCs w:val="24"/>
        </w:rPr>
        <w:t>Fang Liu, Secretary General, ICAO (TBC)</w:t>
      </w:r>
    </w:p>
    <w:p w:rsidR="00B95F67" w:rsidRPr="00B95F67" w:rsidRDefault="00B95F67" w:rsidP="00B95F67">
      <w:pPr>
        <w:numPr>
          <w:ilvl w:val="0"/>
          <w:numId w:val="7"/>
        </w:numPr>
        <w:spacing w:before="0" w:line="240" w:lineRule="auto"/>
        <w:jc w:val="left"/>
        <w:rPr>
          <w:rFonts w:asciiTheme="minorHAnsi" w:hAnsiTheme="minorHAnsi" w:cstheme="majorBidi"/>
          <w:szCs w:val="24"/>
        </w:rPr>
      </w:pPr>
      <w:r w:rsidRPr="00B95F67">
        <w:rPr>
          <w:rFonts w:asciiTheme="minorHAnsi" w:hAnsiTheme="minorHAnsi" w:cstheme="majorBidi"/>
          <w:szCs w:val="24"/>
        </w:rPr>
        <w:t xml:space="preserve">Petteri </w:t>
      </w:r>
      <w:proofErr w:type="spellStart"/>
      <w:r w:rsidRPr="00B95F67">
        <w:rPr>
          <w:rFonts w:asciiTheme="minorHAnsi" w:hAnsiTheme="minorHAnsi" w:cstheme="majorBidi"/>
          <w:szCs w:val="24"/>
        </w:rPr>
        <w:t>Taalas</w:t>
      </w:r>
      <w:proofErr w:type="spellEnd"/>
      <w:r w:rsidRPr="00B95F67">
        <w:rPr>
          <w:rFonts w:asciiTheme="minorHAnsi" w:hAnsiTheme="minorHAnsi" w:cstheme="majorBidi"/>
          <w:szCs w:val="24"/>
        </w:rPr>
        <w:t>, Secretary General, WMO (TBC)</w:t>
      </w:r>
    </w:p>
    <w:p w:rsidR="00B95F67" w:rsidRPr="00B95F67" w:rsidRDefault="00B95F67" w:rsidP="00B95F67">
      <w:pPr>
        <w:numPr>
          <w:ilvl w:val="0"/>
          <w:numId w:val="7"/>
        </w:numPr>
        <w:spacing w:before="0" w:line="240" w:lineRule="auto"/>
        <w:jc w:val="left"/>
        <w:rPr>
          <w:rFonts w:asciiTheme="minorHAnsi" w:hAnsiTheme="minorHAnsi" w:cstheme="majorBidi"/>
          <w:szCs w:val="24"/>
        </w:rPr>
      </w:pPr>
      <w:r w:rsidRPr="00B95F67">
        <w:rPr>
          <w:rFonts w:asciiTheme="minorHAnsi" w:hAnsiTheme="minorHAnsi" w:cstheme="majorBidi"/>
          <w:szCs w:val="24"/>
        </w:rPr>
        <w:t>Tony Gray, Chief Executive, TCCA (TBC)</w:t>
      </w:r>
    </w:p>
    <w:p w:rsidR="00B95F67" w:rsidRPr="00B95F67" w:rsidRDefault="00B95F67" w:rsidP="00B95F67">
      <w:pPr>
        <w:numPr>
          <w:ilvl w:val="0"/>
          <w:numId w:val="7"/>
        </w:numPr>
        <w:spacing w:before="0" w:line="240" w:lineRule="auto"/>
        <w:jc w:val="left"/>
        <w:rPr>
          <w:rFonts w:asciiTheme="minorHAnsi" w:hAnsiTheme="minorHAnsi" w:cstheme="majorBidi"/>
          <w:szCs w:val="24"/>
        </w:rPr>
      </w:pPr>
      <w:r w:rsidRPr="00B95F67">
        <w:rPr>
          <w:rFonts w:asciiTheme="minorHAnsi" w:hAnsiTheme="minorHAnsi" w:cstheme="majorBidi"/>
          <w:szCs w:val="24"/>
        </w:rPr>
        <w:t xml:space="preserve">John </w:t>
      </w:r>
      <w:proofErr w:type="spellStart"/>
      <w:r w:rsidRPr="00B95F67">
        <w:rPr>
          <w:rFonts w:asciiTheme="minorHAnsi" w:hAnsiTheme="minorHAnsi" w:cstheme="majorBidi"/>
          <w:szCs w:val="24"/>
        </w:rPr>
        <w:t>Zuzek</w:t>
      </w:r>
      <w:proofErr w:type="spellEnd"/>
      <w:r w:rsidRPr="00B95F67">
        <w:rPr>
          <w:rFonts w:asciiTheme="minorHAnsi" w:hAnsiTheme="minorHAnsi" w:cstheme="majorBidi"/>
          <w:szCs w:val="24"/>
        </w:rPr>
        <w:t xml:space="preserve">, NASA (ITU-R Study Group 7 Chairman) (TBC) </w:t>
      </w:r>
    </w:p>
    <w:p w:rsidR="00B95F67" w:rsidRPr="001322B9" w:rsidRDefault="00B95F67" w:rsidP="00B95F67">
      <w:pPr>
        <w:numPr>
          <w:ilvl w:val="0"/>
          <w:numId w:val="7"/>
        </w:numPr>
        <w:spacing w:before="0" w:line="240" w:lineRule="auto"/>
        <w:jc w:val="left"/>
        <w:rPr>
          <w:rFonts w:asciiTheme="minorHAnsi" w:hAnsiTheme="minorHAnsi" w:cstheme="majorBidi"/>
          <w:szCs w:val="24"/>
          <w:lang w:val="de-CH"/>
        </w:rPr>
      </w:pPr>
      <w:r w:rsidRPr="001322B9">
        <w:rPr>
          <w:rFonts w:asciiTheme="minorHAnsi" w:hAnsiTheme="minorHAnsi" w:cstheme="majorBidi"/>
          <w:szCs w:val="24"/>
          <w:lang w:val="de-CH"/>
        </w:rPr>
        <w:t>Peter Riedel, President &amp; COO, Rohde &amp; Schwarz (TBC)</w:t>
      </w:r>
    </w:p>
    <w:p w:rsidR="00B95F67" w:rsidRPr="00B95F67" w:rsidRDefault="00B95F67" w:rsidP="00B95F67">
      <w:pPr>
        <w:numPr>
          <w:ilvl w:val="0"/>
          <w:numId w:val="7"/>
        </w:numPr>
        <w:spacing w:before="0" w:line="240" w:lineRule="auto"/>
        <w:jc w:val="left"/>
        <w:rPr>
          <w:rFonts w:asciiTheme="minorHAnsi" w:hAnsiTheme="minorHAnsi" w:cstheme="majorBidi"/>
          <w:szCs w:val="24"/>
        </w:rPr>
      </w:pPr>
      <w:r w:rsidRPr="00B95F67">
        <w:rPr>
          <w:rFonts w:asciiTheme="minorHAnsi" w:hAnsiTheme="minorHAnsi" w:cstheme="majorBidi"/>
          <w:szCs w:val="24"/>
        </w:rPr>
        <w:t xml:space="preserve">Timothy S. </w:t>
      </w:r>
      <w:proofErr w:type="spellStart"/>
      <w:r w:rsidRPr="00B95F67">
        <w:rPr>
          <w:rFonts w:asciiTheme="minorHAnsi" w:hAnsiTheme="minorHAnsi" w:cstheme="majorBidi"/>
          <w:szCs w:val="24"/>
        </w:rPr>
        <w:t>Ellam</w:t>
      </w:r>
      <w:proofErr w:type="spellEnd"/>
      <w:r w:rsidRPr="00B95F67">
        <w:rPr>
          <w:rFonts w:asciiTheme="minorHAnsi" w:hAnsiTheme="minorHAnsi" w:cstheme="majorBidi"/>
          <w:szCs w:val="24"/>
        </w:rPr>
        <w:t>, President, IARU (TBC)</w:t>
      </w:r>
    </w:p>
    <w:p w:rsidR="00B95F67" w:rsidRPr="00B95F67" w:rsidRDefault="00B95F67" w:rsidP="00B95F67">
      <w:pPr>
        <w:numPr>
          <w:ilvl w:val="0"/>
          <w:numId w:val="7"/>
        </w:numPr>
        <w:spacing w:before="0" w:line="240" w:lineRule="auto"/>
        <w:jc w:val="left"/>
        <w:rPr>
          <w:rFonts w:asciiTheme="minorHAnsi" w:hAnsiTheme="minorHAnsi" w:cstheme="majorBidi"/>
          <w:szCs w:val="24"/>
        </w:rPr>
      </w:pPr>
      <w:r w:rsidRPr="00B95F67">
        <w:rPr>
          <w:rFonts w:asciiTheme="minorHAnsi" w:hAnsiTheme="minorHAnsi" w:cstheme="majorBidi"/>
          <w:szCs w:val="24"/>
        </w:rPr>
        <w:t>Dominic HAYES, European Commission (TBC)</w:t>
      </w:r>
    </w:p>
    <w:p w:rsidR="00B95F67" w:rsidRDefault="00B95F67" w:rsidP="00B95F67">
      <w:pPr>
        <w:numPr>
          <w:ilvl w:val="0"/>
          <w:numId w:val="7"/>
        </w:numPr>
        <w:spacing w:before="0" w:line="240" w:lineRule="auto"/>
        <w:jc w:val="left"/>
        <w:rPr>
          <w:rFonts w:asciiTheme="minorHAnsi" w:hAnsiTheme="minorHAnsi" w:cstheme="majorBidi"/>
          <w:szCs w:val="24"/>
        </w:rPr>
      </w:pPr>
      <w:r w:rsidRPr="00B95F67">
        <w:rPr>
          <w:rFonts w:asciiTheme="minorHAnsi" w:hAnsiTheme="minorHAnsi" w:cstheme="majorBidi"/>
          <w:szCs w:val="24"/>
        </w:rPr>
        <w:t>Harvey Liszt, Secretary, IUCAF (TBC)</w:t>
      </w:r>
    </w:p>
    <w:p w:rsidR="00B95F67" w:rsidRPr="00B95F67" w:rsidRDefault="00B95F67" w:rsidP="00F67BE7">
      <w:pPr>
        <w:spacing w:before="0" w:line="240" w:lineRule="auto"/>
        <w:ind w:left="1967"/>
        <w:jc w:val="left"/>
        <w:rPr>
          <w:rFonts w:asciiTheme="minorHAnsi" w:hAnsiTheme="minorHAnsi" w:cstheme="majorBidi"/>
          <w:szCs w:val="24"/>
        </w:rPr>
      </w:pPr>
    </w:p>
    <w:p w:rsidR="003A5382" w:rsidRPr="004A5C57" w:rsidRDefault="00B95F67" w:rsidP="001322B9">
      <w:pPr>
        <w:keepNext/>
        <w:keepLines/>
        <w:numPr>
          <w:ilvl w:val="0"/>
          <w:numId w:val="4"/>
        </w:numPr>
        <w:tabs>
          <w:tab w:val="clear" w:pos="1191"/>
        </w:tabs>
        <w:spacing w:before="0" w:line="240" w:lineRule="auto"/>
        <w:outlineLvl w:val="1"/>
        <w:rPr>
          <w:b/>
          <w:szCs w:val="24"/>
        </w:rPr>
      </w:pPr>
      <w:r w:rsidRPr="00B95F67">
        <w:rPr>
          <w:rFonts w:asciiTheme="minorHAnsi" w:hAnsiTheme="minorHAnsi" w:cstheme="majorBidi"/>
          <w:b/>
          <w:szCs w:val="24"/>
        </w:rPr>
        <w:t xml:space="preserve">18h00 – Cocktail Reception </w:t>
      </w:r>
    </w:p>
    <w:p w:rsidR="004A5C57" w:rsidRPr="004A5C57" w:rsidRDefault="004A5C57" w:rsidP="004A5C57">
      <w:pPr>
        <w:keepNext/>
        <w:keepLines/>
        <w:tabs>
          <w:tab w:val="clear" w:pos="1191"/>
          <w:tab w:val="clear" w:pos="1985"/>
        </w:tabs>
        <w:spacing w:before="0" w:line="240" w:lineRule="auto"/>
        <w:jc w:val="center"/>
        <w:outlineLvl w:val="1"/>
        <w:rPr>
          <w:rFonts w:asciiTheme="minorHAnsi" w:hAnsiTheme="minorHAnsi" w:cstheme="majorBidi"/>
          <w:bCs/>
          <w:szCs w:val="24"/>
        </w:rPr>
      </w:pPr>
    </w:p>
    <w:p w:rsidR="004A5C57" w:rsidRPr="004A5C57" w:rsidRDefault="004A5C57" w:rsidP="004A5C57">
      <w:pPr>
        <w:keepNext/>
        <w:keepLines/>
        <w:tabs>
          <w:tab w:val="clear" w:pos="1191"/>
          <w:tab w:val="clear" w:pos="1985"/>
        </w:tabs>
        <w:spacing w:before="0" w:line="240" w:lineRule="auto"/>
        <w:jc w:val="center"/>
        <w:outlineLvl w:val="1"/>
        <w:rPr>
          <w:rFonts w:asciiTheme="minorHAnsi" w:hAnsiTheme="minorHAnsi" w:cstheme="majorBidi"/>
          <w:bCs/>
          <w:szCs w:val="24"/>
        </w:rPr>
      </w:pPr>
    </w:p>
    <w:p w:rsidR="004A5C57" w:rsidRPr="004A5C57" w:rsidRDefault="004A5C57" w:rsidP="004A5C57">
      <w:pPr>
        <w:keepNext/>
        <w:keepLines/>
        <w:tabs>
          <w:tab w:val="clear" w:pos="1191"/>
          <w:tab w:val="clear" w:pos="1985"/>
        </w:tabs>
        <w:spacing w:before="0" w:line="240" w:lineRule="auto"/>
        <w:jc w:val="center"/>
        <w:outlineLvl w:val="1"/>
        <w:rPr>
          <w:bCs/>
          <w:szCs w:val="24"/>
        </w:rPr>
      </w:pPr>
      <w:r w:rsidRPr="004A5C57">
        <w:rPr>
          <w:rFonts w:asciiTheme="minorHAnsi" w:hAnsiTheme="minorHAnsi" w:cstheme="majorBidi"/>
          <w:bCs/>
          <w:szCs w:val="24"/>
        </w:rPr>
        <w:t>_______________</w:t>
      </w:r>
    </w:p>
    <w:sectPr w:rsidR="004A5C57" w:rsidRPr="004A5C57" w:rsidSect="001322B9">
      <w:pgSz w:w="11907" w:h="16834" w:code="9"/>
      <w:pgMar w:top="851" w:right="1134" w:bottom="993"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CDF" w:rsidRDefault="003D0CDF">
      <w:r>
        <w:separator/>
      </w:r>
    </w:p>
  </w:endnote>
  <w:endnote w:type="continuationSeparator" w:id="0">
    <w:p w:rsidR="003D0CDF" w:rsidRDefault="003D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82" w:rsidRDefault="003A5382" w:rsidP="003A538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3A5382" w:rsidRPr="001322B9" w:rsidRDefault="003A5382" w:rsidP="001322B9">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2A5" w:rsidRDefault="001902A5" w:rsidP="001902A5">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1902A5" w:rsidRPr="007B52D4" w:rsidRDefault="001902A5" w:rsidP="001902A5">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2B9" w:rsidRPr="001322B9" w:rsidRDefault="001322B9" w:rsidP="00132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CDF" w:rsidRDefault="003D0CDF">
      <w:r>
        <w:t>____________________</w:t>
      </w:r>
    </w:p>
  </w:footnote>
  <w:footnote w:type="continuationSeparator" w:id="0">
    <w:p w:rsidR="003D0CDF" w:rsidRDefault="003D0CDF">
      <w:r>
        <w:continuationSeparator/>
      </w:r>
    </w:p>
  </w:footnote>
  <w:footnote w:id="1">
    <w:p w:rsidR="001322B9" w:rsidRPr="00765307" w:rsidRDefault="003A5382" w:rsidP="001322B9">
      <w:pPr>
        <w:pStyle w:val="FootnoteText"/>
        <w:jc w:val="left"/>
        <w:rPr>
          <w:lang w:val="en-CA"/>
        </w:rPr>
      </w:pPr>
      <w:r>
        <w:rPr>
          <w:rStyle w:val="FootnoteReference"/>
        </w:rPr>
        <w:footnoteRef/>
      </w:r>
      <w:r>
        <w:t xml:space="preserve"> </w:t>
      </w:r>
      <w:r>
        <w:tab/>
        <w:t>S</w:t>
      </w:r>
      <w:proofErr w:type="spellStart"/>
      <w:r w:rsidRPr="00765307">
        <w:rPr>
          <w:lang w:val="en-CA"/>
        </w:rPr>
        <w:t>ee</w:t>
      </w:r>
      <w:proofErr w:type="spellEnd"/>
      <w:r w:rsidRPr="00765307">
        <w:rPr>
          <w:lang w:val="en-CA"/>
        </w:rPr>
        <w:t xml:space="preserve"> </w:t>
      </w:r>
      <w:hyperlink r:id="rId1" w:history="1">
        <w:r w:rsidR="00B9062B" w:rsidRPr="004E4EC6">
          <w:rPr>
            <w:rStyle w:val="Hyperlink"/>
            <w:lang w:val="en-CA"/>
          </w:rPr>
          <w:t>BR Administrative Circular CA/235</w:t>
        </w:r>
      </w:hyperlink>
      <w:r w:rsidR="00B9062B">
        <w:rPr>
          <w:rStyle w:val="Hyperlink"/>
          <w:lang w:val="en-CA"/>
        </w:rPr>
        <w:t xml:space="preserve"> </w:t>
      </w:r>
      <w:r w:rsidRPr="00765307">
        <w:rPr>
          <w:lang w:val="en-CA"/>
        </w:rPr>
        <w:t xml:space="preserve">on </w:t>
      </w:r>
      <w:r>
        <w:rPr>
          <w:lang w:val="en-CA"/>
        </w:rPr>
        <w:t xml:space="preserve">the first </w:t>
      </w:r>
      <w:r w:rsidRPr="004E4EC6">
        <w:rPr>
          <w:bCs/>
        </w:rPr>
        <w:t xml:space="preserve">Inter-regional Workshop on WRC-19 </w:t>
      </w:r>
      <w:proofErr w:type="gramStart"/>
      <w:r w:rsidRPr="004E4EC6">
        <w:rPr>
          <w:bCs/>
        </w:rPr>
        <w:t>Preparation</w:t>
      </w:r>
      <w:proofErr w:type="gramEnd"/>
      <w:r w:rsidR="001322B9">
        <w:rPr>
          <w:bCs/>
        </w:rPr>
        <w:br/>
      </w:r>
      <w:r w:rsidRPr="004E4EC6">
        <w:rPr>
          <w:bCs/>
        </w:rPr>
        <w:t>(Geneva, 21-22 November 2017)</w:t>
      </w:r>
      <w:r>
        <w:rPr>
          <w:bCs/>
        </w:rPr>
        <w:t xml:space="preserve"> </w:t>
      </w:r>
      <w:r w:rsidRPr="0045377C">
        <w:rPr>
          <w:lang w:val="en-CA"/>
        </w:rPr>
        <w:t xml:space="preserve">or visit </w:t>
      </w:r>
      <w:r>
        <w:rPr>
          <w:lang w:val="en-CA"/>
        </w:rPr>
        <w:t xml:space="preserve">the </w:t>
      </w:r>
      <w:hyperlink r:id="rId2" w:history="1">
        <w:r w:rsidRPr="003012DF">
          <w:rPr>
            <w:rStyle w:val="Hyperlink"/>
            <w:lang w:val="en-CA"/>
          </w:rPr>
          <w:t>corresponding website</w:t>
        </w:r>
      </w:hyperlink>
      <w:r>
        <w:rPr>
          <w:lang w:val="en-C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Default="00E07D2F" w:rsidP="00103C1B">
    <w:pPr>
      <w:pStyle w:val="Header"/>
      <w:jc w:val="center"/>
      <w:rPr>
        <w:rFonts w:asciiTheme="minorHAnsi" w:hAnsiTheme="minorHAnsi"/>
        <w:noProof/>
        <w:sz w:val="18"/>
        <w:szCs w:val="18"/>
      </w:rPr>
    </w:pPr>
    <w:sdt>
      <w:sdtPr>
        <w:rPr>
          <w:sz w:val="18"/>
          <w:szCs w:val="18"/>
        </w:rPr>
        <w:id w:val="1625341890"/>
        <w:docPartObj>
          <w:docPartGallery w:val="Page Numbers (Top of Page)"/>
          <w:docPartUnique/>
        </w:docPartObj>
      </w:sdtPr>
      <w:sdtEndPr>
        <w:rPr>
          <w:rFonts w:asciiTheme="minorHAnsi" w:hAnsiTheme="minorHAnsi"/>
          <w:noProof/>
        </w:rPr>
      </w:sdtEndPr>
      <w:sdtContent>
        <w:r w:rsidR="00B95F67" w:rsidRPr="00097CEC">
          <w:rPr>
            <w:rFonts w:asciiTheme="minorHAnsi" w:hAnsiTheme="minorHAnsi"/>
            <w:sz w:val="18"/>
            <w:szCs w:val="18"/>
          </w:rPr>
          <w:t xml:space="preserve">- </w:t>
        </w:r>
        <w:r w:rsidR="00B95F67" w:rsidRPr="00097CEC">
          <w:rPr>
            <w:rFonts w:asciiTheme="minorHAnsi" w:hAnsiTheme="minorHAnsi"/>
            <w:sz w:val="18"/>
            <w:szCs w:val="18"/>
          </w:rPr>
          <w:fldChar w:fldCharType="begin"/>
        </w:r>
        <w:r w:rsidR="00B95F67" w:rsidRPr="00097CEC">
          <w:rPr>
            <w:rFonts w:asciiTheme="minorHAnsi" w:hAnsiTheme="minorHAnsi"/>
            <w:sz w:val="18"/>
            <w:szCs w:val="18"/>
          </w:rPr>
          <w:instrText xml:space="preserve"> PAGE   \* MERGEFORMAT </w:instrText>
        </w:r>
        <w:r w:rsidR="00B95F67" w:rsidRPr="00097CEC">
          <w:rPr>
            <w:rFonts w:asciiTheme="minorHAnsi" w:hAnsiTheme="minorHAnsi"/>
            <w:sz w:val="18"/>
            <w:szCs w:val="18"/>
          </w:rPr>
          <w:fldChar w:fldCharType="separate"/>
        </w:r>
        <w:r>
          <w:rPr>
            <w:rFonts w:asciiTheme="minorHAnsi" w:hAnsiTheme="minorHAnsi"/>
            <w:noProof/>
            <w:sz w:val="18"/>
            <w:szCs w:val="18"/>
          </w:rPr>
          <w:t>2</w:t>
        </w:r>
        <w:r w:rsidR="00B95F67" w:rsidRPr="00097CEC">
          <w:rPr>
            <w:rFonts w:asciiTheme="minorHAnsi" w:hAnsiTheme="minorHAnsi"/>
            <w:noProof/>
            <w:sz w:val="18"/>
            <w:szCs w:val="18"/>
          </w:rPr>
          <w:fldChar w:fldCharType="end"/>
        </w:r>
        <w:r w:rsidR="00B95F67" w:rsidRPr="00097CEC">
          <w:rPr>
            <w:rFonts w:asciiTheme="minorHAnsi" w:hAnsiTheme="minorHAnsi"/>
            <w:noProof/>
            <w:sz w:val="18"/>
            <w:szCs w:val="18"/>
          </w:rPr>
          <w:t xml:space="preserve"> </w:t>
        </w:r>
        <w:r w:rsidR="00103C1B">
          <w:rPr>
            <w:rFonts w:asciiTheme="minorHAnsi" w:hAnsiTheme="minorHAnsi"/>
            <w:noProof/>
            <w:sz w:val="18"/>
            <w:szCs w:val="18"/>
          </w:rPr>
          <w:t>–</w:t>
        </w:r>
      </w:sdtContent>
    </w:sdt>
  </w:p>
  <w:p w:rsidR="00103C1B" w:rsidRPr="00103C1B" w:rsidRDefault="00103C1B" w:rsidP="00103C1B">
    <w:pPr>
      <w:pStyle w:val="Header"/>
      <w:jc w:val="center"/>
      <w:rPr>
        <w:rFonts w:asciiTheme="minorHAnsi" w:hAnsiTheme="minorHAns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F67" w:rsidRPr="00097CEC" w:rsidRDefault="00E07D2F" w:rsidP="00B95F67">
    <w:pPr>
      <w:pStyle w:val="Header"/>
      <w:jc w:val="center"/>
      <w:rPr>
        <w:rFonts w:asciiTheme="minorHAnsi" w:hAnsiTheme="minorHAnsi"/>
        <w:sz w:val="18"/>
        <w:szCs w:val="18"/>
      </w:rPr>
    </w:pPr>
    <w:sdt>
      <w:sdtPr>
        <w:rPr>
          <w:sz w:val="18"/>
          <w:szCs w:val="18"/>
        </w:rPr>
        <w:id w:val="-878088531"/>
        <w:docPartObj>
          <w:docPartGallery w:val="Page Numbers (Top of Page)"/>
          <w:docPartUnique/>
        </w:docPartObj>
      </w:sdtPr>
      <w:sdtEndPr>
        <w:rPr>
          <w:rFonts w:asciiTheme="minorHAnsi" w:hAnsiTheme="minorHAnsi"/>
          <w:noProof/>
        </w:rPr>
      </w:sdtEndPr>
      <w:sdtContent>
        <w:r w:rsidR="00B95F67" w:rsidRPr="00097CEC">
          <w:rPr>
            <w:rFonts w:asciiTheme="minorHAnsi" w:hAnsiTheme="minorHAnsi"/>
            <w:sz w:val="18"/>
            <w:szCs w:val="18"/>
          </w:rPr>
          <w:t xml:space="preserve">- </w:t>
        </w:r>
        <w:r w:rsidR="00B95F67" w:rsidRPr="00097CEC">
          <w:rPr>
            <w:rFonts w:asciiTheme="minorHAnsi" w:hAnsiTheme="minorHAnsi"/>
            <w:sz w:val="18"/>
            <w:szCs w:val="18"/>
          </w:rPr>
          <w:fldChar w:fldCharType="begin"/>
        </w:r>
        <w:r w:rsidR="00B95F67" w:rsidRPr="00097CEC">
          <w:rPr>
            <w:rFonts w:asciiTheme="minorHAnsi" w:hAnsiTheme="minorHAnsi"/>
            <w:sz w:val="18"/>
            <w:szCs w:val="18"/>
          </w:rPr>
          <w:instrText xml:space="preserve"> PAGE   \* MERGEFORMAT </w:instrText>
        </w:r>
        <w:r w:rsidR="00B95F67" w:rsidRPr="00097CEC">
          <w:rPr>
            <w:rFonts w:asciiTheme="minorHAnsi" w:hAnsiTheme="minorHAnsi"/>
            <w:sz w:val="18"/>
            <w:szCs w:val="18"/>
          </w:rPr>
          <w:fldChar w:fldCharType="separate"/>
        </w:r>
        <w:r>
          <w:rPr>
            <w:rFonts w:asciiTheme="minorHAnsi" w:hAnsiTheme="minorHAnsi"/>
            <w:noProof/>
            <w:sz w:val="18"/>
            <w:szCs w:val="18"/>
          </w:rPr>
          <w:t>3</w:t>
        </w:r>
        <w:r w:rsidR="00B95F67" w:rsidRPr="00097CEC">
          <w:rPr>
            <w:rFonts w:asciiTheme="minorHAnsi" w:hAnsiTheme="minorHAnsi"/>
            <w:noProof/>
            <w:sz w:val="18"/>
            <w:szCs w:val="18"/>
          </w:rPr>
          <w:fldChar w:fldCharType="end"/>
        </w:r>
        <w:r w:rsidR="00B95F67" w:rsidRPr="00097CEC">
          <w:rPr>
            <w:rFonts w:asciiTheme="minorHAnsi" w:hAnsiTheme="minorHAnsi"/>
            <w:noProof/>
            <w:sz w:val="18"/>
            <w:szCs w:val="18"/>
          </w:rPr>
          <w:t xml:space="preserve"> -</w:t>
        </w:r>
      </w:sdtContent>
    </w:sdt>
  </w:p>
  <w:p w:rsidR="00AF79A2" w:rsidRPr="00097CEC" w:rsidRDefault="00AF79A2" w:rsidP="00103C1B">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1902A5" w:rsidTr="001902A5">
      <w:trPr>
        <w:jc w:val="center"/>
      </w:trPr>
      <w:tc>
        <w:tcPr>
          <w:tcW w:w="4961" w:type="dxa"/>
        </w:tcPr>
        <w:p w:rsidR="001902A5" w:rsidRDefault="001902A5" w:rsidP="001902A5">
          <w:pPr>
            <w:pStyle w:val="Header"/>
            <w:tabs>
              <w:tab w:val="clear" w:pos="794"/>
              <w:tab w:val="clear" w:pos="4820"/>
            </w:tabs>
            <w:spacing w:line="360" w:lineRule="auto"/>
          </w:pPr>
          <w:r>
            <w:rPr>
              <w:b/>
              <w:bCs/>
              <w:noProof/>
              <w:lang w:eastAsia="zh-CN"/>
            </w:rPr>
            <w:drawing>
              <wp:inline distT="0" distB="0" distL="0" distR="0" wp14:anchorId="0F181849" wp14:editId="2A685F38">
                <wp:extent cx="579396" cy="657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1902A5" w:rsidRDefault="001902A5" w:rsidP="004A5C57">
          <w:pPr>
            <w:pStyle w:val="Header"/>
            <w:tabs>
              <w:tab w:val="clear" w:pos="794"/>
              <w:tab w:val="clear" w:pos="4820"/>
            </w:tabs>
            <w:spacing w:line="240" w:lineRule="auto"/>
            <w:jc w:val="right"/>
          </w:pPr>
          <w:r w:rsidRPr="00A03501">
            <w:rPr>
              <w:noProof/>
              <w:lang w:eastAsia="zh-CN"/>
            </w:rPr>
            <w:drawing>
              <wp:inline distT="0" distB="0" distL="0" distR="0" wp14:anchorId="0119B1C0" wp14:editId="51C4D463">
                <wp:extent cx="1238250" cy="942975"/>
                <wp:effectExtent l="0" t="0" r="0" b="9525"/>
                <wp:docPr id="22" name="Picture 2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8653A4" w:rsidRPr="001322B9" w:rsidRDefault="008653A4" w:rsidP="001322B9">
    <w:pPr>
      <w:pStyle w:val="Header"/>
      <w:spacing w:line="240" w:lineRule="auto"/>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A555F42"/>
    <w:multiLevelType w:val="hybridMultilevel"/>
    <w:tmpl w:val="86BE9B64"/>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14243F"/>
    <w:multiLevelType w:val="hybridMultilevel"/>
    <w:tmpl w:val="5C56E6E0"/>
    <w:lvl w:ilvl="0" w:tplc="612686EE">
      <w:start w:val="7"/>
      <w:numFmt w:val="bullet"/>
      <w:lvlText w:val="-"/>
      <w:lvlJc w:val="left"/>
      <w:pPr>
        <w:ind w:left="1967" w:hanging="360"/>
      </w:pPr>
      <w:rPr>
        <w:rFonts w:ascii="Calibri" w:eastAsia="Times New Roman" w:hAnsi="Calibri" w:cs="Calibri"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7" w15:restartNumberingAfterBreak="0">
    <w:nsid w:val="6BA30C37"/>
    <w:multiLevelType w:val="hybridMultilevel"/>
    <w:tmpl w:val="030051E8"/>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8" w15:restartNumberingAfterBreak="0">
    <w:nsid w:val="6BA31200"/>
    <w:multiLevelType w:val="hybridMultilevel"/>
    <w:tmpl w:val="640211A8"/>
    <w:lvl w:ilvl="0" w:tplc="04090005">
      <w:start w:val="1"/>
      <w:numFmt w:val="bullet"/>
      <w:lvlText w:val=""/>
      <w:lvlJc w:val="left"/>
      <w:pPr>
        <w:ind w:left="1967" w:hanging="360"/>
      </w:pPr>
      <w:rPr>
        <w:rFonts w:ascii="Wingdings" w:hAnsi="Wingdings"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9"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7"/>
  </w:num>
  <w:num w:numId="5">
    <w:abstractNumId w:val="8"/>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451AC"/>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7CEC"/>
    <w:rsid w:val="000A096A"/>
    <w:rsid w:val="000A3042"/>
    <w:rsid w:val="000A375E"/>
    <w:rsid w:val="000A7051"/>
    <w:rsid w:val="000B0AF6"/>
    <w:rsid w:val="000B0E9B"/>
    <w:rsid w:val="000B2CAE"/>
    <w:rsid w:val="000C03C7"/>
    <w:rsid w:val="000C15D1"/>
    <w:rsid w:val="000C2AD0"/>
    <w:rsid w:val="000E3DEE"/>
    <w:rsid w:val="00100B72"/>
    <w:rsid w:val="00101F7D"/>
    <w:rsid w:val="00103C1B"/>
    <w:rsid w:val="00103C76"/>
    <w:rsid w:val="00104C35"/>
    <w:rsid w:val="0011265F"/>
    <w:rsid w:val="00117282"/>
    <w:rsid w:val="00117389"/>
    <w:rsid w:val="00121C2D"/>
    <w:rsid w:val="001322B9"/>
    <w:rsid w:val="00134404"/>
    <w:rsid w:val="00144DFB"/>
    <w:rsid w:val="00187CA3"/>
    <w:rsid w:val="001902A5"/>
    <w:rsid w:val="00196710"/>
    <w:rsid w:val="00197324"/>
    <w:rsid w:val="001A79D7"/>
    <w:rsid w:val="001B351B"/>
    <w:rsid w:val="001C06DB"/>
    <w:rsid w:val="001C6971"/>
    <w:rsid w:val="001D2785"/>
    <w:rsid w:val="001D7070"/>
    <w:rsid w:val="001F2170"/>
    <w:rsid w:val="001F2775"/>
    <w:rsid w:val="001F3948"/>
    <w:rsid w:val="001F5A49"/>
    <w:rsid w:val="00201097"/>
    <w:rsid w:val="00201B6E"/>
    <w:rsid w:val="002302B3"/>
    <w:rsid w:val="00230C66"/>
    <w:rsid w:val="00235A29"/>
    <w:rsid w:val="002374C0"/>
    <w:rsid w:val="00241526"/>
    <w:rsid w:val="002443A2"/>
    <w:rsid w:val="002451AC"/>
    <w:rsid w:val="00266E74"/>
    <w:rsid w:val="00283C3B"/>
    <w:rsid w:val="002861E6"/>
    <w:rsid w:val="00287D18"/>
    <w:rsid w:val="002936B6"/>
    <w:rsid w:val="002A2618"/>
    <w:rsid w:val="002A5DD7"/>
    <w:rsid w:val="002B0CAC"/>
    <w:rsid w:val="002C578D"/>
    <w:rsid w:val="002D5A15"/>
    <w:rsid w:val="002D5BDD"/>
    <w:rsid w:val="002E3D27"/>
    <w:rsid w:val="002F0890"/>
    <w:rsid w:val="002F21F7"/>
    <w:rsid w:val="002F2531"/>
    <w:rsid w:val="002F4967"/>
    <w:rsid w:val="00316935"/>
    <w:rsid w:val="003266ED"/>
    <w:rsid w:val="003370B8"/>
    <w:rsid w:val="00345D38"/>
    <w:rsid w:val="00352097"/>
    <w:rsid w:val="003666FF"/>
    <w:rsid w:val="0037309C"/>
    <w:rsid w:val="00380A6E"/>
    <w:rsid w:val="003836D4"/>
    <w:rsid w:val="003A1F49"/>
    <w:rsid w:val="003A5382"/>
    <w:rsid w:val="003A5D52"/>
    <w:rsid w:val="003B2BDA"/>
    <w:rsid w:val="003B55EC"/>
    <w:rsid w:val="003C2EA7"/>
    <w:rsid w:val="003C4471"/>
    <w:rsid w:val="003C7D41"/>
    <w:rsid w:val="003D0CDF"/>
    <w:rsid w:val="003D4A69"/>
    <w:rsid w:val="003E504F"/>
    <w:rsid w:val="003E78D6"/>
    <w:rsid w:val="00400573"/>
    <w:rsid w:val="004007A3"/>
    <w:rsid w:val="00406D71"/>
    <w:rsid w:val="00411A93"/>
    <w:rsid w:val="004326DB"/>
    <w:rsid w:val="0043682E"/>
    <w:rsid w:val="004378E3"/>
    <w:rsid w:val="00447ECB"/>
    <w:rsid w:val="004623F7"/>
    <w:rsid w:val="00480F51"/>
    <w:rsid w:val="00481124"/>
    <w:rsid w:val="004815EB"/>
    <w:rsid w:val="00487569"/>
    <w:rsid w:val="00496864"/>
    <w:rsid w:val="00496920"/>
    <w:rsid w:val="004A4496"/>
    <w:rsid w:val="004A5C57"/>
    <w:rsid w:val="004B11AB"/>
    <w:rsid w:val="004B7C9A"/>
    <w:rsid w:val="004C6779"/>
    <w:rsid w:val="004D733B"/>
    <w:rsid w:val="004E0DC4"/>
    <w:rsid w:val="004E0FB5"/>
    <w:rsid w:val="004E43BB"/>
    <w:rsid w:val="004E460D"/>
    <w:rsid w:val="004F178E"/>
    <w:rsid w:val="004F4543"/>
    <w:rsid w:val="004F57BB"/>
    <w:rsid w:val="0050327B"/>
    <w:rsid w:val="00505309"/>
    <w:rsid w:val="0050789B"/>
    <w:rsid w:val="005224A1"/>
    <w:rsid w:val="00534372"/>
    <w:rsid w:val="00543DF8"/>
    <w:rsid w:val="00546101"/>
    <w:rsid w:val="00553DD7"/>
    <w:rsid w:val="005638CF"/>
    <w:rsid w:val="0056741E"/>
    <w:rsid w:val="0057325A"/>
    <w:rsid w:val="0057469A"/>
    <w:rsid w:val="00580814"/>
    <w:rsid w:val="00583A0B"/>
    <w:rsid w:val="00583F08"/>
    <w:rsid w:val="005A03A3"/>
    <w:rsid w:val="005A2B92"/>
    <w:rsid w:val="005A57A7"/>
    <w:rsid w:val="005A79E9"/>
    <w:rsid w:val="005B214C"/>
    <w:rsid w:val="005D3669"/>
    <w:rsid w:val="005E5EB3"/>
    <w:rsid w:val="005E6FCC"/>
    <w:rsid w:val="005F3CB6"/>
    <w:rsid w:val="005F657C"/>
    <w:rsid w:val="00602D53"/>
    <w:rsid w:val="006047E5"/>
    <w:rsid w:val="0064371D"/>
    <w:rsid w:val="00650B2A"/>
    <w:rsid w:val="00651777"/>
    <w:rsid w:val="006550F8"/>
    <w:rsid w:val="00656226"/>
    <w:rsid w:val="006829F3"/>
    <w:rsid w:val="0069471A"/>
    <w:rsid w:val="006A518B"/>
    <w:rsid w:val="006B0590"/>
    <w:rsid w:val="006B49DA"/>
    <w:rsid w:val="006C53F8"/>
    <w:rsid w:val="006C7CDE"/>
    <w:rsid w:val="00712572"/>
    <w:rsid w:val="007234B1"/>
    <w:rsid w:val="00723D08"/>
    <w:rsid w:val="00725FDA"/>
    <w:rsid w:val="00727816"/>
    <w:rsid w:val="00730B9A"/>
    <w:rsid w:val="00750CFA"/>
    <w:rsid w:val="007553DA"/>
    <w:rsid w:val="00755D2A"/>
    <w:rsid w:val="00782354"/>
    <w:rsid w:val="007921A7"/>
    <w:rsid w:val="007957B8"/>
    <w:rsid w:val="007B3DB1"/>
    <w:rsid w:val="007B4C01"/>
    <w:rsid w:val="007C4AB2"/>
    <w:rsid w:val="007D183E"/>
    <w:rsid w:val="007D43D0"/>
    <w:rsid w:val="007E0B06"/>
    <w:rsid w:val="007E1833"/>
    <w:rsid w:val="007E3F13"/>
    <w:rsid w:val="007F751A"/>
    <w:rsid w:val="00800012"/>
    <w:rsid w:val="0080261F"/>
    <w:rsid w:val="00806160"/>
    <w:rsid w:val="008143A4"/>
    <w:rsid w:val="008144A0"/>
    <w:rsid w:val="0081513E"/>
    <w:rsid w:val="0082501C"/>
    <w:rsid w:val="00851AB0"/>
    <w:rsid w:val="00854131"/>
    <w:rsid w:val="0085652D"/>
    <w:rsid w:val="008653A4"/>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6C18"/>
    <w:rsid w:val="00947185"/>
    <w:rsid w:val="009518B3"/>
    <w:rsid w:val="00963D9D"/>
    <w:rsid w:val="00966A74"/>
    <w:rsid w:val="0098013E"/>
    <w:rsid w:val="00981B54"/>
    <w:rsid w:val="009842C3"/>
    <w:rsid w:val="009A009A"/>
    <w:rsid w:val="009A6BB6"/>
    <w:rsid w:val="009B263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4DED"/>
    <w:rsid w:val="00A63355"/>
    <w:rsid w:val="00A71E56"/>
    <w:rsid w:val="00A7596D"/>
    <w:rsid w:val="00A963DF"/>
    <w:rsid w:val="00AC0C22"/>
    <w:rsid w:val="00AC3896"/>
    <w:rsid w:val="00AD2CF2"/>
    <w:rsid w:val="00AD7DEA"/>
    <w:rsid w:val="00AE2D88"/>
    <w:rsid w:val="00AE6F6F"/>
    <w:rsid w:val="00AF3325"/>
    <w:rsid w:val="00AF34D9"/>
    <w:rsid w:val="00AF70DA"/>
    <w:rsid w:val="00AF79A2"/>
    <w:rsid w:val="00B019D3"/>
    <w:rsid w:val="00B22DDB"/>
    <w:rsid w:val="00B247A0"/>
    <w:rsid w:val="00B34CF9"/>
    <w:rsid w:val="00B37559"/>
    <w:rsid w:val="00B4054B"/>
    <w:rsid w:val="00B579B0"/>
    <w:rsid w:val="00B57D11"/>
    <w:rsid w:val="00B649D7"/>
    <w:rsid w:val="00B81C2F"/>
    <w:rsid w:val="00B9062B"/>
    <w:rsid w:val="00B90743"/>
    <w:rsid w:val="00B90C45"/>
    <w:rsid w:val="00B933BE"/>
    <w:rsid w:val="00B95F67"/>
    <w:rsid w:val="00BD6738"/>
    <w:rsid w:val="00BD7E5E"/>
    <w:rsid w:val="00BE5517"/>
    <w:rsid w:val="00BE63DB"/>
    <w:rsid w:val="00BE6574"/>
    <w:rsid w:val="00BF3743"/>
    <w:rsid w:val="00C07319"/>
    <w:rsid w:val="00C16FD2"/>
    <w:rsid w:val="00C4395E"/>
    <w:rsid w:val="00C47FFD"/>
    <w:rsid w:val="00C51E92"/>
    <w:rsid w:val="00C57E2C"/>
    <w:rsid w:val="00C608B7"/>
    <w:rsid w:val="00C66F24"/>
    <w:rsid w:val="00C76D7F"/>
    <w:rsid w:val="00C813AA"/>
    <w:rsid w:val="00C818D7"/>
    <w:rsid w:val="00C81902"/>
    <w:rsid w:val="00C9291E"/>
    <w:rsid w:val="00CA3F44"/>
    <w:rsid w:val="00CA4E58"/>
    <w:rsid w:val="00CB3771"/>
    <w:rsid w:val="00CB44BF"/>
    <w:rsid w:val="00CB5153"/>
    <w:rsid w:val="00CD4E44"/>
    <w:rsid w:val="00CD58E1"/>
    <w:rsid w:val="00CE076A"/>
    <w:rsid w:val="00CE463D"/>
    <w:rsid w:val="00D10BA0"/>
    <w:rsid w:val="00D21694"/>
    <w:rsid w:val="00D24EB5"/>
    <w:rsid w:val="00D35AB9"/>
    <w:rsid w:val="00D41571"/>
    <w:rsid w:val="00D416A0"/>
    <w:rsid w:val="00D47672"/>
    <w:rsid w:val="00D5123C"/>
    <w:rsid w:val="00D55560"/>
    <w:rsid w:val="00D61C5A"/>
    <w:rsid w:val="00D64C93"/>
    <w:rsid w:val="00D67154"/>
    <w:rsid w:val="00D6790C"/>
    <w:rsid w:val="00D73277"/>
    <w:rsid w:val="00D76586"/>
    <w:rsid w:val="00D82657"/>
    <w:rsid w:val="00D87446"/>
    <w:rsid w:val="00D87E20"/>
    <w:rsid w:val="00DA4037"/>
    <w:rsid w:val="00DB3D2F"/>
    <w:rsid w:val="00DE66A5"/>
    <w:rsid w:val="00DF2B50"/>
    <w:rsid w:val="00E04C86"/>
    <w:rsid w:val="00E07D2F"/>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0F79"/>
    <w:rsid w:val="00E915AF"/>
    <w:rsid w:val="00E96415"/>
    <w:rsid w:val="00EA15B3"/>
    <w:rsid w:val="00EB2358"/>
    <w:rsid w:val="00EB3EB8"/>
    <w:rsid w:val="00EC02FE"/>
    <w:rsid w:val="00EC4A96"/>
    <w:rsid w:val="00F424BF"/>
    <w:rsid w:val="00F44FC3"/>
    <w:rsid w:val="00F46107"/>
    <w:rsid w:val="00F468C5"/>
    <w:rsid w:val="00F52F39"/>
    <w:rsid w:val="00F6184F"/>
    <w:rsid w:val="00F67BE7"/>
    <w:rsid w:val="00F8310E"/>
    <w:rsid w:val="00F83CC0"/>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1A85AE-3BD6-4822-AE0E-F39CCA3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2451AC"/>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2451AC"/>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2451A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451AC"/>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uiPriority w:val="99"/>
    <w:rsid w:val="002451A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uiPriority w:val="99"/>
    <w:rsid w:val="002451AC"/>
    <w:rPr>
      <w:i/>
      <w:sz w:val="24"/>
      <w:szCs w:val="22"/>
      <w:lang w:val="en-US" w:eastAsia="en-US"/>
    </w:rPr>
  </w:style>
  <w:style w:type="character" w:customStyle="1" w:styleId="NormalaftertitleChar0">
    <w:name w:val="Normal after title Char"/>
    <w:basedOn w:val="DefaultParagraphFont"/>
    <w:link w:val="Normalaftertitle0"/>
    <w:uiPriority w:val="99"/>
    <w:rsid w:val="002451AC"/>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2451AC"/>
    <w:rPr>
      <w:sz w:val="24"/>
      <w:szCs w:val="22"/>
      <w:lang w:val="en-US" w:eastAsia="en-US"/>
    </w:rPr>
  </w:style>
  <w:style w:type="character" w:customStyle="1" w:styleId="TabletextChar">
    <w:name w:val="Table_text Char"/>
    <w:link w:val="Tabletext"/>
    <w:uiPriority w:val="99"/>
    <w:locked/>
    <w:rsid w:val="002451AC"/>
    <w:rPr>
      <w:szCs w:val="22"/>
      <w:lang w:val="en-US" w:eastAsia="en-US"/>
    </w:rPr>
  </w:style>
  <w:style w:type="character" w:customStyle="1" w:styleId="AnnexNoTitleChar">
    <w:name w:val="Annex_NoTitle Char"/>
    <w:basedOn w:val="DefaultParagraphFont"/>
    <w:link w:val="AnnexNoTitle"/>
    <w:uiPriority w:val="99"/>
    <w:locked/>
    <w:rsid w:val="002451AC"/>
    <w:rPr>
      <w:b/>
      <w:sz w:val="24"/>
      <w:szCs w:val="22"/>
      <w:lang w:val="en-US" w:eastAsia="en-US"/>
    </w:rPr>
  </w:style>
  <w:style w:type="character" w:customStyle="1" w:styleId="TableheadChar">
    <w:name w:val="Table_head Char"/>
    <w:basedOn w:val="DefaultParagraphFont"/>
    <w:link w:val="Tablehead"/>
    <w:uiPriority w:val="99"/>
    <w:locked/>
    <w:rsid w:val="002451AC"/>
    <w:rPr>
      <w:b/>
      <w:szCs w:val="22"/>
      <w:lang w:val="en-US" w:eastAsia="en-US"/>
    </w:rPr>
  </w:style>
  <w:style w:type="character" w:customStyle="1" w:styleId="HeadingbChar">
    <w:name w:val="Heading_b Char"/>
    <w:basedOn w:val="DefaultParagraphFont"/>
    <w:link w:val="Headingb"/>
    <w:uiPriority w:val="99"/>
    <w:locked/>
    <w:rsid w:val="002451AC"/>
    <w:rPr>
      <w:b/>
      <w:sz w:val="24"/>
      <w:szCs w:val="22"/>
      <w:lang w:val="en-US" w:eastAsia="en-US"/>
    </w:rPr>
  </w:style>
  <w:style w:type="table" w:styleId="TableGrid">
    <w:name w:val="Table Grid"/>
    <w:basedOn w:val="TableNormal"/>
    <w:rsid w:val="00CD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2A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5E6FCC"/>
    <w:rPr>
      <w:color w:val="800080" w:themeColor="followedHyperlink"/>
      <w:u w:val="single"/>
    </w:rPr>
  </w:style>
  <w:style w:type="character" w:customStyle="1" w:styleId="enumlev1Char">
    <w:name w:val="enumlev1 Char"/>
    <w:basedOn w:val="DefaultParagraphFont"/>
    <w:link w:val="enumlev1"/>
    <w:locked/>
    <w:rsid w:val="005E6FCC"/>
    <w:rPr>
      <w:sz w:val="24"/>
      <w:szCs w:val="22"/>
      <w:lang w:val="en-US" w:eastAsia="en-US"/>
    </w:rPr>
  </w:style>
  <w:style w:type="character" w:customStyle="1" w:styleId="FootnoteTextChar">
    <w:name w:val="Footnote Text Char"/>
    <w:basedOn w:val="DefaultParagraphFont"/>
    <w:link w:val="FootnoteText"/>
    <w:uiPriority w:val="99"/>
    <w:semiHidden/>
    <w:rsid w:val="003A5382"/>
    <w:rPr>
      <w:szCs w:val="22"/>
      <w:lang w:val="en-US" w:eastAsia="en-US"/>
    </w:rPr>
  </w:style>
  <w:style w:type="character" w:customStyle="1" w:styleId="FooterChar">
    <w:name w:val="Footer Char"/>
    <w:basedOn w:val="DefaultParagraphFont"/>
    <w:link w:val="Footer"/>
    <w:uiPriority w:val="99"/>
    <w:rsid w:val="003A5382"/>
    <w:rPr>
      <w:sz w:val="24"/>
      <w:szCs w:val="22"/>
      <w:lang w:val="en-US" w:eastAsia="en-US"/>
    </w:rPr>
  </w:style>
  <w:style w:type="character" w:customStyle="1" w:styleId="HeaderChar">
    <w:name w:val="Header Char"/>
    <w:basedOn w:val="DefaultParagraphFont"/>
    <w:link w:val="Header"/>
    <w:rsid w:val="00B95F6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CCIR90/Pages/default.aspx" TargetMode="External"/><Relationship Id="rId13" Type="http://schemas.openxmlformats.org/officeDocument/2006/relationships/header" Target="header3.xml"/><Relationship Id="rId18" Type="http://schemas.openxmlformats.org/officeDocument/2006/relationships/hyperlink" Target="mailto:ITUR.Registrations@itu.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en/ITU-R/CCIR90/Pages/default.aspx" TargetMode="External"/><Relationship Id="rId2" Type="http://schemas.openxmlformats.org/officeDocument/2006/relationships/numbering" Target="numbering.xml"/><Relationship Id="rId16" Type="http://schemas.openxmlformats.org/officeDocument/2006/relationships/hyperlink" Target="https://www.itu.int/en/ITU-R/RR110/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ITU-R/CCIR90/Pages/default.aspx"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ITU-R/study-groups/Pages/default.asp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conferences/wrc/2019/irwsp/Pages/2017.aspx" TargetMode="External"/><Relationship Id="rId1" Type="http://schemas.openxmlformats.org/officeDocument/2006/relationships/hyperlink" Target="https://www.itu.int/md/R00-CA-CIR-0235/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41F4-0400-4B5E-B4F4-996D4697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773</Words>
  <Characters>5140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Gimenez, Christine</cp:lastModifiedBy>
  <cp:revision>6</cp:revision>
  <cp:lastPrinted>2017-10-25T09:57:00Z</cp:lastPrinted>
  <dcterms:created xsi:type="dcterms:W3CDTF">2017-10-23T11:37:00Z</dcterms:created>
  <dcterms:modified xsi:type="dcterms:W3CDTF">2017-10-25T10:03:00Z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