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8B7DB9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A15B3" w:rsidRPr="008B7DB9" w:rsidRDefault="008B7DB9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  <w:r w:rsidRPr="008B7DB9"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  <w:t>Oficina de Radiocomunicaciones</w:t>
            </w:r>
            <w:r w:rsidR="00AF70DA" w:rsidRPr="008B7DB9"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  <w:t xml:space="preserve"> (BR)</w:t>
            </w:r>
          </w:p>
          <w:p w:rsidR="008E38B4" w:rsidRPr="008B7DB9" w:rsidRDefault="008B7DB9" w:rsidP="008B7D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</w:tabs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  <w:r w:rsidRPr="008B7DB9"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  <w:tab/>
            </w:r>
            <w:r w:rsidRPr="008B7DB9"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  <w:tab/>
            </w:r>
          </w:p>
          <w:p w:rsidR="008E38B4" w:rsidRPr="008B7DB9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"/>
              </w:rPr>
            </w:pPr>
          </w:p>
        </w:tc>
      </w:tr>
      <w:tr w:rsidR="00651777" w:rsidRPr="008B7DB9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8B7DB9" w:rsidRDefault="008B35A3" w:rsidP="00E17344">
            <w:pPr>
              <w:spacing w:before="0"/>
              <w:jc w:val="left"/>
              <w:rPr>
                <w:szCs w:val="24"/>
                <w:lang w:val="es-ES"/>
              </w:rPr>
            </w:pPr>
            <w:r w:rsidRPr="008B7DB9">
              <w:rPr>
                <w:szCs w:val="24"/>
                <w:lang w:val="es-ES"/>
              </w:rPr>
              <w:t>C</w:t>
            </w:r>
            <w:r w:rsidR="00C76D7F" w:rsidRPr="008B7DB9">
              <w:rPr>
                <w:szCs w:val="24"/>
                <w:lang w:val="es-ES"/>
              </w:rPr>
              <w:t>ircular</w:t>
            </w:r>
            <w:r w:rsidR="008B7DB9">
              <w:rPr>
                <w:szCs w:val="24"/>
                <w:lang w:val="es-ES"/>
              </w:rPr>
              <w:t xml:space="preserve"> Administrativa</w:t>
            </w:r>
          </w:p>
          <w:p w:rsidR="00651777" w:rsidRPr="008B7DB9" w:rsidRDefault="00E17344" w:rsidP="00EE1592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8B7DB9">
              <w:rPr>
                <w:b/>
                <w:bCs/>
                <w:szCs w:val="24"/>
                <w:lang w:val="es-ES"/>
              </w:rPr>
              <w:t>CA</w:t>
            </w:r>
            <w:r w:rsidR="003836D4" w:rsidRPr="008B7DB9">
              <w:rPr>
                <w:b/>
                <w:bCs/>
                <w:szCs w:val="24"/>
                <w:lang w:val="es-ES"/>
              </w:rPr>
              <w:t>/</w:t>
            </w:r>
            <w:r w:rsidR="00EE1592" w:rsidRPr="008B7DB9">
              <w:rPr>
                <w:b/>
                <w:bCs/>
                <w:szCs w:val="24"/>
                <w:lang w:val="es-ES"/>
              </w:rPr>
              <w:t>238</w:t>
            </w:r>
          </w:p>
        </w:tc>
        <w:tc>
          <w:tcPr>
            <w:tcW w:w="2835" w:type="dxa"/>
            <w:shd w:val="clear" w:color="auto" w:fill="auto"/>
          </w:tcPr>
          <w:p w:rsidR="00651777" w:rsidRPr="008B7DB9" w:rsidRDefault="00146C76" w:rsidP="008B7DB9">
            <w:pPr>
              <w:spacing w:before="0"/>
              <w:jc w:val="right"/>
              <w:rPr>
                <w:szCs w:val="24"/>
                <w:lang w:val="es-ES"/>
              </w:rPr>
            </w:pPr>
            <w:r w:rsidRPr="008B7DB9">
              <w:rPr>
                <w:szCs w:val="24"/>
                <w:lang w:val="es-ES"/>
              </w:rPr>
              <w:t>6</w:t>
            </w:r>
            <w:r w:rsidR="00895BDA" w:rsidRPr="008B7DB9">
              <w:rPr>
                <w:szCs w:val="24"/>
                <w:lang w:val="es-ES"/>
              </w:rPr>
              <w:t xml:space="preserve"> </w:t>
            </w:r>
            <w:r w:rsidR="008B7DB9" w:rsidRPr="008B7DB9">
              <w:rPr>
                <w:szCs w:val="24"/>
                <w:lang w:val="es-ES"/>
              </w:rPr>
              <w:t>de febrero de</w:t>
            </w:r>
            <w:r w:rsidR="00895BDA" w:rsidRPr="008B7DB9">
              <w:rPr>
                <w:szCs w:val="24"/>
                <w:lang w:val="es-ES"/>
              </w:rPr>
              <w:t xml:space="preserve"> 2018</w:t>
            </w:r>
          </w:p>
        </w:tc>
      </w:tr>
      <w:tr w:rsidR="0037309C" w:rsidRPr="008B7DB9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8B7DB9" w:rsidRDefault="0037309C" w:rsidP="006047E5">
            <w:pPr>
              <w:spacing w:before="0"/>
              <w:jc w:val="left"/>
              <w:rPr>
                <w:rFonts w:cs="Arial"/>
                <w:szCs w:val="24"/>
                <w:lang w:val="es-ES"/>
              </w:rPr>
            </w:pPr>
          </w:p>
        </w:tc>
      </w:tr>
      <w:tr w:rsidR="0037309C" w:rsidRPr="008B7DB9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8B7DB9" w:rsidRDefault="0037309C" w:rsidP="00D374CD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37309C" w:rsidRPr="00F4608D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8B7DB9" w:rsidRDefault="008B7DB9" w:rsidP="008B7DB9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8B7DB9">
              <w:rPr>
                <w:b/>
                <w:bCs/>
                <w:szCs w:val="24"/>
                <w:lang w:val="es-ES"/>
              </w:rPr>
              <w:t>A las Administrac</w:t>
            </w:r>
            <w:r w:rsidR="0049396C">
              <w:rPr>
                <w:b/>
                <w:bCs/>
                <w:szCs w:val="24"/>
                <w:lang w:val="es-ES"/>
              </w:rPr>
              <w:t>iones de los Estados Miembros d</w:t>
            </w:r>
            <w:r w:rsidRPr="008B7DB9">
              <w:rPr>
                <w:b/>
                <w:bCs/>
                <w:szCs w:val="24"/>
                <w:lang w:val="es-ES"/>
              </w:rPr>
              <w:t>e</w:t>
            </w:r>
            <w:r w:rsidR="0049396C">
              <w:rPr>
                <w:b/>
                <w:bCs/>
                <w:szCs w:val="24"/>
                <w:lang w:val="es-ES"/>
              </w:rPr>
              <w:t xml:space="preserve"> </w:t>
            </w:r>
            <w:bookmarkStart w:id="0" w:name="_GoBack"/>
            <w:bookmarkEnd w:id="0"/>
            <w:r w:rsidRPr="008B7DB9">
              <w:rPr>
                <w:b/>
                <w:bCs/>
                <w:szCs w:val="24"/>
                <w:lang w:val="es-ES"/>
              </w:rPr>
              <w:t>la UIT y a los Miembros del Sector de Radiocomunicaciones</w:t>
            </w:r>
          </w:p>
          <w:p w:rsidR="00D21694" w:rsidRPr="008B7DB9" w:rsidRDefault="00D21694" w:rsidP="006047E5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  <w:p w:rsidR="00D21694" w:rsidRPr="008B7DB9" w:rsidRDefault="00D21694" w:rsidP="006047E5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37309C" w:rsidRPr="00F4608D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8B7DB9" w:rsidRDefault="0037309C" w:rsidP="006047E5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B4054B" w:rsidRPr="00F4608D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8B7DB9" w:rsidRDefault="008B7DB9" w:rsidP="006A0053">
            <w:pPr>
              <w:spacing w:before="0"/>
              <w:jc w:val="left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Asunto</w:t>
            </w:r>
            <w:r w:rsidR="00B4054B" w:rsidRPr="008B7DB9">
              <w:rPr>
                <w:szCs w:val="24"/>
                <w:lang w:val="es-ES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8B7DB9" w:rsidRDefault="008B7DB9" w:rsidP="008B7DB9">
            <w:pPr>
              <w:spacing w:before="0"/>
              <w:rPr>
                <w:b/>
                <w:bCs/>
                <w:szCs w:val="24"/>
                <w:lang w:val="es-ES"/>
              </w:rPr>
            </w:pPr>
            <w:r>
              <w:rPr>
                <w:b/>
                <w:bCs/>
                <w:szCs w:val="24"/>
                <w:lang w:val="es-ES"/>
              </w:rPr>
              <w:t>Interrupción del envío por correo postal de las circulares de la BR</w:t>
            </w:r>
          </w:p>
        </w:tc>
      </w:tr>
      <w:tr w:rsidR="00B4054B" w:rsidRPr="00F4608D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8B7DB9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8B7DB9" w:rsidRDefault="00B4054B" w:rsidP="006A0053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</w:tbl>
    <w:p w:rsidR="00895BDA" w:rsidRPr="008B7DB9" w:rsidRDefault="00895BDA" w:rsidP="008B7DB9">
      <w:pPr>
        <w:pStyle w:val="Heading1"/>
        <w:spacing w:before="480"/>
        <w:rPr>
          <w:lang w:val="es-ES"/>
        </w:rPr>
      </w:pPr>
      <w:r w:rsidRPr="008B7DB9">
        <w:rPr>
          <w:lang w:val="es-ES"/>
        </w:rPr>
        <w:t>1</w:t>
      </w:r>
      <w:r w:rsidRPr="008B7DB9">
        <w:rPr>
          <w:lang w:val="es-ES"/>
        </w:rPr>
        <w:tab/>
      </w:r>
      <w:r w:rsidR="008B7DB9">
        <w:rPr>
          <w:lang w:val="es-ES"/>
        </w:rPr>
        <w:t xml:space="preserve">Envío de circulares de la </w:t>
      </w:r>
      <w:r w:rsidRPr="008B7DB9">
        <w:rPr>
          <w:lang w:val="es-ES"/>
        </w:rPr>
        <w:t xml:space="preserve">BR </w:t>
      </w:r>
      <w:r w:rsidR="008B7DB9">
        <w:rPr>
          <w:lang w:val="es-ES"/>
        </w:rPr>
        <w:t>a los Miembros de la U</w:t>
      </w:r>
      <w:r w:rsidRPr="008B7DB9">
        <w:rPr>
          <w:lang w:val="es-ES"/>
        </w:rPr>
        <w:t>IT</w:t>
      </w:r>
    </w:p>
    <w:p w:rsidR="00895BDA" w:rsidRPr="008B7DB9" w:rsidRDefault="008B7DB9" w:rsidP="008B7DB9">
      <w:pPr>
        <w:rPr>
          <w:lang w:val="es-ES"/>
        </w:rPr>
      </w:pPr>
      <w:r w:rsidRPr="00DA4B12">
        <w:rPr>
          <w:rFonts w:asciiTheme="minorHAnsi" w:hAnsiTheme="minorHAnsi"/>
          <w:lang w:val="es-ES"/>
        </w:rPr>
        <w:t>Con arreglo a</w:t>
      </w:r>
      <w:r>
        <w:rPr>
          <w:rFonts w:asciiTheme="minorHAnsi" w:hAnsiTheme="minorHAnsi"/>
          <w:lang w:val="es-ES"/>
        </w:rPr>
        <w:t xml:space="preserve"> lo dispuesto</w:t>
      </w:r>
      <w:r w:rsidR="00895BDA" w:rsidRPr="008B7DB9">
        <w:rPr>
          <w:lang w:val="es-ES"/>
        </w:rPr>
        <w:t>:</w:t>
      </w:r>
    </w:p>
    <w:p w:rsidR="00895BDA" w:rsidRPr="008B7DB9" w:rsidRDefault="008B7DB9" w:rsidP="008B7DB9">
      <w:pPr>
        <w:ind w:left="720"/>
        <w:rPr>
          <w:lang w:val="es-ES"/>
        </w:rPr>
      </w:pPr>
      <w:proofErr w:type="gramStart"/>
      <w:r>
        <w:rPr>
          <w:lang w:val="es-ES"/>
        </w:rPr>
        <w:t>en</w:t>
      </w:r>
      <w:proofErr w:type="gramEnd"/>
      <w:r>
        <w:rPr>
          <w:lang w:val="es-ES"/>
        </w:rPr>
        <w:t xml:space="preserve"> el </w:t>
      </w:r>
      <w:r w:rsidRPr="008B7DB9">
        <w:rPr>
          <w:lang w:val="es-ES"/>
        </w:rPr>
        <w:t>Anexo 2 de la Decisión 5 (</w:t>
      </w:r>
      <w:proofErr w:type="spellStart"/>
      <w:r w:rsidRPr="008B7DB9">
        <w:rPr>
          <w:lang w:val="es-ES"/>
        </w:rPr>
        <w:t>Busán</w:t>
      </w:r>
      <w:proofErr w:type="spellEnd"/>
      <w:r w:rsidRPr="008B7DB9">
        <w:rPr>
          <w:lang w:val="es-ES"/>
        </w:rPr>
        <w:t>, 2014), en el que se determina una serie de medidas para reducir los gastos entre las que figura la de "Suprimir en la medida de lo posible las comunicaciones por telefax y correo postal tradicional entre la Unión y los Estados Miembros y reemplazarlas con métodos electrónicos de comunicación modernos", y</w:t>
      </w:r>
    </w:p>
    <w:p w:rsidR="00895BDA" w:rsidRPr="008B7DB9" w:rsidRDefault="008B7DB9" w:rsidP="008B7DB9">
      <w:pPr>
        <w:ind w:left="720"/>
        <w:rPr>
          <w:lang w:val="es-ES"/>
        </w:rPr>
      </w:pPr>
      <w:r>
        <w:rPr>
          <w:lang w:val="es-ES"/>
        </w:rPr>
        <w:t xml:space="preserve">en la </w:t>
      </w:r>
      <w:r w:rsidR="00895BDA" w:rsidRPr="008B7DB9">
        <w:rPr>
          <w:lang w:val="es-ES"/>
        </w:rPr>
        <w:t xml:space="preserve">Circular </w:t>
      </w:r>
      <w:hyperlink r:id="rId8" w:history="1">
        <w:r w:rsidR="00895BDA" w:rsidRPr="008B7DB9">
          <w:rPr>
            <w:rStyle w:val="Hyperlink"/>
            <w:lang w:val="es-ES"/>
          </w:rPr>
          <w:t>CA/2</w:t>
        </w:r>
        <w:r w:rsidR="00EE1592" w:rsidRPr="008B7DB9">
          <w:rPr>
            <w:rStyle w:val="Hyperlink"/>
            <w:lang w:val="es-ES"/>
          </w:rPr>
          <w:t>2</w:t>
        </w:r>
        <w:r w:rsidR="00895BDA" w:rsidRPr="008B7DB9">
          <w:rPr>
            <w:rStyle w:val="Hyperlink"/>
            <w:lang w:val="es-ES"/>
          </w:rPr>
          <w:t>5</w:t>
        </w:r>
      </w:hyperlink>
      <w:r w:rsidR="00895BDA" w:rsidRPr="008B7DB9">
        <w:rPr>
          <w:lang w:val="es-ES"/>
        </w:rPr>
        <w:t xml:space="preserve"> </w:t>
      </w:r>
      <w:r>
        <w:rPr>
          <w:lang w:val="es-ES"/>
        </w:rPr>
        <w:t xml:space="preserve">de la BR, de </w:t>
      </w:r>
      <w:r w:rsidR="00895BDA" w:rsidRPr="008B7DB9">
        <w:rPr>
          <w:lang w:val="es-ES"/>
        </w:rPr>
        <w:t xml:space="preserve">6 </w:t>
      </w:r>
      <w:r>
        <w:rPr>
          <w:lang w:val="es-ES"/>
        </w:rPr>
        <w:t xml:space="preserve">de julio de </w:t>
      </w:r>
      <w:r w:rsidR="00895BDA" w:rsidRPr="008B7DB9">
        <w:rPr>
          <w:lang w:val="es-ES"/>
        </w:rPr>
        <w:t>2015</w:t>
      </w:r>
      <w:r>
        <w:rPr>
          <w:lang w:val="es-ES"/>
        </w:rPr>
        <w:t>, relativa a la interrupción del envío de circulares del U</w:t>
      </w:r>
      <w:r w:rsidR="00895BDA" w:rsidRPr="008B7DB9">
        <w:rPr>
          <w:lang w:val="es-ES"/>
        </w:rPr>
        <w:t xml:space="preserve">IT-R </w:t>
      </w:r>
      <w:r>
        <w:rPr>
          <w:lang w:val="es-ES"/>
        </w:rPr>
        <w:t>por correo postal y el tiempo suficiente que se ha dado a los Miembros de la UIT para prepararse a gestionar las circulares BR por medios electrónicos</w:t>
      </w:r>
      <w:r w:rsidR="005871DF" w:rsidRPr="008B7DB9">
        <w:rPr>
          <w:lang w:val="es-ES"/>
        </w:rPr>
        <w:t>,</w:t>
      </w:r>
    </w:p>
    <w:p w:rsidR="00895BDA" w:rsidRPr="008B7DB9" w:rsidRDefault="008B7DB9" w:rsidP="008B7DB9">
      <w:pPr>
        <w:rPr>
          <w:lang w:val="es-ES"/>
        </w:rPr>
      </w:pPr>
      <w:proofErr w:type="gramStart"/>
      <w:r>
        <w:rPr>
          <w:lang w:val="es-ES"/>
        </w:rPr>
        <w:t>la</w:t>
      </w:r>
      <w:proofErr w:type="gramEnd"/>
      <w:r>
        <w:rPr>
          <w:lang w:val="es-ES"/>
        </w:rPr>
        <w:t xml:space="preserve"> fecha efectiva de aplicación de la presente directiva es el </w:t>
      </w:r>
      <w:r w:rsidR="00DA1B88" w:rsidRPr="008B7DB9">
        <w:rPr>
          <w:b/>
          <w:bCs/>
          <w:u w:val="single"/>
          <w:lang w:val="es-ES"/>
        </w:rPr>
        <w:t xml:space="preserve">1 </w:t>
      </w:r>
      <w:r>
        <w:rPr>
          <w:b/>
          <w:bCs/>
          <w:u w:val="single"/>
          <w:lang w:val="es-ES"/>
        </w:rPr>
        <w:t xml:space="preserve">de marzo de </w:t>
      </w:r>
      <w:r w:rsidR="00895BDA" w:rsidRPr="008B7DB9">
        <w:rPr>
          <w:b/>
          <w:bCs/>
          <w:u w:val="single"/>
          <w:lang w:val="es-ES"/>
        </w:rPr>
        <w:t>201</w:t>
      </w:r>
      <w:r w:rsidR="0059211A" w:rsidRPr="008B7DB9">
        <w:rPr>
          <w:b/>
          <w:bCs/>
          <w:u w:val="single"/>
          <w:lang w:val="es-ES"/>
        </w:rPr>
        <w:t>8</w:t>
      </w:r>
      <w:r w:rsidR="00895BDA" w:rsidRPr="008B7DB9">
        <w:rPr>
          <w:lang w:val="es-ES"/>
        </w:rPr>
        <w:t xml:space="preserve">. </w:t>
      </w:r>
      <w:r>
        <w:rPr>
          <w:lang w:val="es-ES"/>
        </w:rPr>
        <w:t>A partir de dicha fecha</w:t>
      </w:r>
      <w:r w:rsidR="00CD1AF4" w:rsidRPr="008B7DB9">
        <w:rPr>
          <w:lang w:val="es-ES"/>
        </w:rPr>
        <w:t xml:space="preserve">, </w:t>
      </w:r>
      <w:r>
        <w:rPr>
          <w:lang w:val="es-ES"/>
        </w:rPr>
        <w:t>el envío de todas las Circulares Administrativas y Cartas Circulares se realizará exclusivamente por medios electrónicos</w:t>
      </w:r>
      <w:r w:rsidR="00CD1AF4" w:rsidRPr="008B7DB9">
        <w:rPr>
          <w:lang w:val="es-ES"/>
        </w:rPr>
        <w:t>.</w:t>
      </w:r>
    </w:p>
    <w:p w:rsidR="00895BDA" w:rsidRPr="008B7DB9" w:rsidRDefault="00895BDA" w:rsidP="008B7DB9">
      <w:pPr>
        <w:pStyle w:val="Heading1"/>
        <w:spacing w:before="480"/>
        <w:rPr>
          <w:lang w:val="es-ES"/>
        </w:rPr>
      </w:pPr>
      <w:r w:rsidRPr="008B7DB9">
        <w:rPr>
          <w:lang w:val="es-ES"/>
        </w:rPr>
        <w:t>2</w:t>
      </w:r>
      <w:r w:rsidRPr="008B7DB9">
        <w:rPr>
          <w:lang w:val="es-ES"/>
        </w:rPr>
        <w:tab/>
      </w:r>
      <w:r w:rsidR="008B7DB9" w:rsidRPr="008B7DB9">
        <w:rPr>
          <w:lang w:val="es-ES"/>
        </w:rPr>
        <w:t>Disponibilidad de Circulares de la BR en formato electrónico</w:t>
      </w:r>
    </w:p>
    <w:p w:rsidR="00895BDA" w:rsidRPr="008B7DB9" w:rsidRDefault="008B7DB9" w:rsidP="008B7DB9">
      <w:pPr>
        <w:rPr>
          <w:lang w:val="es-ES"/>
        </w:rPr>
      </w:pPr>
      <w:r>
        <w:rPr>
          <w:rFonts w:asciiTheme="minorHAnsi" w:hAnsiTheme="minorHAnsi"/>
          <w:lang w:val="es-ES"/>
        </w:rPr>
        <w:t>T</w:t>
      </w:r>
      <w:r w:rsidRPr="00DA4B12">
        <w:rPr>
          <w:rFonts w:asciiTheme="minorHAnsi" w:hAnsiTheme="minorHAnsi"/>
          <w:lang w:val="es-ES"/>
        </w:rPr>
        <w:t xml:space="preserve">odas las Circulares Administrativas y Cartas Circulares </w:t>
      </w:r>
      <w:r>
        <w:rPr>
          <w:rFonts w:asciiTheme="minorHAnsi" w:hAnsiTheme="minorHAnsi"/>
          <w:lang w:val="es-ES"/>
        </w:rPr>
        <w:t xml:space="preserve">están disponibles gratuitamente </w:t>
      </w:r>
      <w:r w:rsidRPr="00DA4B12">
        <w:rPr>
          <w:rFonts w:asciiTheme="minorHAnsi" w:hAnsiTheme="minorHAnsi"/>
          <w:lang w:val="es-ES"/>
        </w:rPr>
        <w:t xml:space="preserve">en la </w:t>
      </w:r>
      <w:r>
        <w:rPr>
          <w:rFonts w:asciiTheme="minorHAnsi" w:hAnsiTheme="minorHAnsi"/>
          <w:lang w:val="es-ES"/>
        </w:rPr>
        <w:t xml:space="preserve">siguiente </w:t>
      </w:r>
      <w:r w:rsidRPr="00DA4B12">
        <w:rPr>
          <w:rFonts w:asciiTheme="minorHAnsi" w:hAnsiTheme="minorHAnsi"/>
          <w:lang w:val="es-ES"/>
        </w:rPr>
        <w:t>dirección web de la UIT</w:t>
      </w:r>
      <w:r w:rsidR="00895BDA" w:rsidRPr="008B7DB9">
        <w:rPr>
          <w:lang w:val="es-ES"/>
        </w:rPr>
        <w:t>:</w:t>
      </w:r>
    </w:p>
    <w:p w:rsidR="00895BDA" w:rsidRPr="008B7DB9" w:rsidRDefault="0049396C" w:rsidP="005871DF">
      <w:pPr>
        <w:tabs>
          <w:tab w:val="clear" w:pos="794"/>
        </w:tabs>
        <w:jc w:val="center"/>
        <w:rPr>
          <w:rFonts w:asciiTheme="minorHAnsi" w:hAnsiTheme="minorHAnsi"/>
          <w:szCs w:val="24"/>
          <w:lang w:val="es-ES"/>
        </w:rPr>
      </w:pPr>
      <w:hyperlink r:id="rId9" w:history="1">
        <w:r w:rsidR="00895BDA" w:rsidRPr="008B7DB9">
          <w:rPr>
            <w:rStyle w:val="Hyperlink"/>
            <w:rFonts w:asciiTheme="minorHAnsi" w:hAnsiTheme="minorHAnsi" w:cs="Arial"/>
            <w:szCs w:val="24"/>
            <w:bdr w:val="none" w:sz="0" w:space="0" w:color="auto" w:frame="1"/>
            <w:shd w:val="clear" w:color="auto" w:fill="FFFFFF"/>
            <w:lang w:val="es-ES"/>
          </w:rPr>
          <w:t>www.itu.int/go/Rcirculars</w:t>
        </w:r>
      </w:hyperlink>
    </w:p>
    <w:p w:rsidR="00AF233B" w:rsidRDefault="00AF233B" w:rsidP="00AF233B">
      <w:pPr>
        <w:rPr>
          <w:lang w:val="es-ES"/>
        </w:rPr>
      </w:pPr>
      <w:r w:rsidRPr="00AF233B">
        <w:rPr>
          <w:lang w:val="es-ES"/>
        </w:rPr>
        <w:t xml:space="preserve">Mediante su cuenta </w:t>
      </w:r>
      <w:r>
        <w:rPr>
          <w:lang w:val="es-ES"/>
        </w:rPr>
        <w:t>de la UIT (</w:t>
      </w:r>
      <w:r w:rsidRPr="00AF233B">
        <w:rPr>
          <w:lang w:val="es-ES"/>
        </w:rPr>
        <w:t>TIES</w:t>
      </w:r>
      <w:r>
        <w:rPr>
          <w:lang w:val="es-ES"/>
        </w:rPr>
        <w:t>)</w:t>
      </w:r>
      <w:r w:rsidRPr="00AF233B">
        <w:rPr>
          <w:lang w:val="es-ES"/>
        </w:rPr>
        <w:t xml:space="preserve">, los miembros pueden ser informados </w:t>
      </w:r>
      <w:r>
        <w:rPr>
          <w:lang w:val="es-ES"/>
        </w:rPr>
        <w:t xml:space="preserve">por correo electrónico cuando </w:t>
      </w:r>
      <w:r w:rsidRPr="00AF233B">
        <w:rPr>
          <w:lang w:val="es-ES"/>
        </w:rPr>
        <w:t xml:space="preserve">se publica en el sitio web de la UIT </w:t>
      </w:r>
      <w:r>
        <w:rPr>
          <w:lang w:val="es-ES"/>
        </w:rPr>
        <w:t xml:space="preserve">una nueva </w:t>
      </w:r>
      <w:r w:rsidRPr="00AF233B">
        <w:rPr>
          <w:lang w:val="es-ES"/>
        </w:rPr>
        <w:t>Circular de la BR, así como otros documentos de la</w:t>
      </w:r>
      <w:r>
        <w:rPr>
          <w:lang w:val="es-ES"/>
        </w:rPr>
        <w:t> </w:t>
      </w:r>
      <w:r w:rsidRPr="00AF233B">
        <w:rPr>
          <w:lang w:val="es-ES"/>
        </w:rPr>
        <w:t>UIT</w:t>
      </w:r>
    </w:p>
    <w:p w:rsidR="00384E7E" w:rsidRPr="008B7DB9" w:rsidRDefault="00AF233B" w:rsidP="00AF233B">
      <w:pPr>
        <w:rPr>
          <w:lang w:val="es-ES"/>
        </w:rPr>
      </w:pPr>
      <w:r>
        <w:rPr>
          <w:lang w:val="es-ES"/>
        </w:rPr>
        <w:t xml:space="preserve">Para activar estas alertas y para recuperar o crear una cuenta UIT, diríjase a </w:t>
      </w:r>
      <w:hyperlink r:id="rId10" w:history="1">
        <w:r w:rsidR="00895BDA" w:rsidRPr="008B7DB9">
          <w:rPr>
            <w:rStyle w:val="Hyperlink"/>
            <w:lang w:val="es-ES"/>
          </w:rPr>
          <w:t>www.itu.int/ties</w:t>
        </w:r>
      </w:hyperlink>
      <w:r w:rsidR="00633580">
        <w:rPr>
          <w:lang w:val="es-ES"/>
        </w:rPr>
        <w:t>.</w:t>
      </w:r>
    </w:p>
    <w:p w:rsidR="00DA1B88" w:rsidRPr="008B7DB9" w:rsidRDefault="00AF233B" w:rsidP="00AF233B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 xml:space="preserve">Anexo </w:t>
      </w:r>
      <w:r>
        <w:rPr>
          <w:lang w:val="es-ES"/>
        </w:rPr>
        <w:t>se da más información sobre cómo abonarse a estas notificaciones por correo electrónico</w:t>
      </w:r>
      <w:r w:rsidR="00B753C9" w:rsidRPr="008B7DB9">
        <w:rPr>
          <w:lang w:val="es-ES"/>
        </w:rPr>
        <w:t>.</w:t>
      </w:r>
    </w:p>
    <w:p w:rsidR="00B753C9" w:rsidRPr="008B7DB9" w:rsidRDefault="00B753C9" w:rsidP="00DA1B88">
      <w:pPr>
        <w:rPr>
          <w:lang w:val="es-ES"/>
        </w:rPr>
      </w:pPr>
    </w:p>
    <w:p w:rsidR="00B753C9" w:rsidRPr="008B7DB9" w:rsidRDefault="00B753C9" w:rsidP="00DA1B88">
      <w:pPr>
        <w:rPr>
          <w:lang w:val="es-ES"/>
        </w:rPr>
      </w:pPr>
    </w:p>
    <w:p w:rsidR="00895BDA" w:rsidRPr="008B7DB9" w:rsidRDefault="00895BDA" w:rsidP="00AF233B">
      <w:pPr>
        <w:pStyle w:val="Heading1"/>
        <w:spacing w:before="480"/>
        <w:rPr>
          <w:lang w:val="es-ES"/>
        </w:rPr>
      </w:pPr>
      <w:r w:rsidRPr="008B7DB9">
        <w:rPr>
          <w:lang w:val="es-ES"/>
        </w:rPr>
        <w:lastRenderedPageBreak/>
        <w:t>3</w:t>
      </w:r>
      <w:r w:rsidRPr="008B7DB9">
        <w:rPr>
          <w:lang w:val="es-ES"/>
        </w:rPr>
        <w:tab/>
      </w:r>
      <w:r w:rsidR="00AF233B" w:rsidRPr="00DA4B12">
        <w:rPr>
          <w:lang w:val="es-ES"/>
        </w:rPr>
        <w:t>Correspondencia obligatoria</w:t>
      </w:r>
    </w:p>
    <w:p w:rsidR="00895BDA" w:rsidRPr="008B7DB9" w:rsidRDefault="00AF233B" w:rsidP="00AF233B">
      <w:pPr>
        <w:rPr>
          <w:lang w:val="es-ES"/>
        </w:rPr>
      </w:pPr>
      <w:r w:rsidRPr="00AF233B">
        <w:rPr>
          <w:lang w:val="es-ES"/>
        </w:rPr>
        <w:t>Las disposiciones citadas no se aplican a la correspondencia obligatoria a la que se hace referencia en las disposiciones correspondientes del Reglamento de Radiocomunicaciones</w:t>
      </w:r>
      <w:r w:rsidR="00B1235F" w:rsidRPr="008B7DB9">
        <w:rPr>
          <w:lang w:val="es-ES"/>
        </w:rPr>
        <w:t xml:space="preserve">, </w:t>
      </w:r>
      <w:r>
        <w:rPr>
          <w:lang w:val="es-ES"/>
        </w:rPr>
        <w:t xml:space="preserve">como por ejemplo al </w:t>
      </w:r>
      <w:hyperlink r:id="rId11" w:history="1">
        <w:r w:rsidR="00895BDA" w:rsidRPr="008B7DB9">
          <w:rPr>
            <w:rStyle w:val="Hyperlink"/>
            <w:lang w:val="es-ES"/>
          </w:rPr>
          <w:t>Telegram</w:t>
        </w:r>
        <w:r>
          <w:rPr>
            <w:rStyle w:val="Hyperlink"/>
            <w:lang w:val="es-ES"/>
          </w:rPr>
          <w:t>a circular</w:t>
        </w:r>
        <w:r w:rsidR="00895BDA" w:rsidRPr="008B7DB9">
          <w:rPr>
            <w:rStyle w:val="Hyperlink"/>
            <w:lang w:val="es-ES"/>
          </w:rPr>
          <w:t xml:space="preserve"> (CTITU)</w:t>
        </w:r>
      </w:hyperlink>
      <w:r w:rsidR="00B1235F" w:rsidRPr="008B7DB9">
        <w:rPr>
          <w:lang w:val="es-ES"/>
        </w:rPr>
        <w:t xml:space="preserve"> </w:t>
      </w:r>
      <w:r>
        <w:rPr>
          <w:lang w:val="es-ES"/>
        </w:rPr>
        <w:t>que se continuará enviando a las Administración por fax, hasta nuevo aviso</w:t>
      </w:r>
      <w:r w:rsidR="00405552" w:rsidRPr="008B7DB9">
        <w:rPr>
          <w:lang w:val="es-ES"/>
        </w:rPr>
        <w:t>.</w:t>
      </w:r>
    </w:p>
    <w:p w:rsidR="00895BDA" w:rsidRPr="008B7DB9" w:rsidRDefault="00895BDA" w:rsidP="00895BDA">
      <w:pPr>
        <w:rPr>
          <w:rFonts w:asciiTheme="minorHAnsi" w:hAnsiTheme="minorHAnsi" w:cstheme="minorHAnsi"/>
          <w:szCs w:val="24"/>
          <w:lang w:val="es-ES"/>
        </w:rPr>
      </w:pPr>
    </w:p>
    <w:p w:rsidR="00B753C9" w:rsidRPr="008B7DB9" w:rsidRDefault="00B753C9" w:rsidP="00895BDA">
      <w:pPr>
        <w:rPr>
          <w:rFonts w:asciiTheme="minorHAnsi" w:hAnsiTheme="minorHAnsi" w:cstheme="minorHAnsi"/>
          <w:szCs w:val="24"/>
          <w:lang w:val="es-ES"/>
        </w:rPr>
      </w:pPr>
    </w:p>
    <w:p w:rsidR="00B753C9" w:rsidRPr="008B7DB9" w:rsidRDefault="00B753C9" w:rsidP="00895BDA">
      <w:pPr>
        <w:rPr>
          <w:rFonts w:asciiTheme="minorHAnsi" w:hAnsiTheme="minorHAnsi" w:cstheme="minorHAnsi"/>
          <w:szCs w:val="24"/>
          <w:lang w:val="es-ES"/>
        </w:rPr>
      </w:pPr>
    </w:p>
    <w:p w:rsidR="00B753C9" w:rsidRPr="008B7DB9" w:rsidRDefault="00B753C9" w:rsidP="00895BDA">
      <w:pPr>
        <w:rPr>
          <w:rFonts w:asciiTheme="minorHAnsi" w:hAnsiTheme="minorHAnsi" w:cstheme="minorHAnsi"/>
          <w:szCs w:val="24"/>
          <w:lang w:val="es-ES"/>
        </w:rPr>
      </w:pPr>
    </w:p>
    <w:p w:rsidR="00B753C9" w:rsidRPr="008B7DB9" w:rsidRDefault="00B753C9" w:rsidP="00895BDA">
      <w:pPr>
        <w:rPr>
          <w:rFonts w:asciiTheme="minorHAnsi" w:hAnsiTheme="minorHAnsi" w:cstheme="minorHAnsi"/>
          <w:szCs w:val="24"/>
          <w:lang w:val="es-ES"/>
        </w:rPr>
      </w:pPr>
    </w:p>
    <w:p w:rsidR="00895BDA" w:rsidRPr="008B7DB9" w:rsidRDefault="00895BDA" w:rsidP="00895BDA">
      <w:pPr>
        <w:rPr>
          <w:rFonts w:asciiTheme="minorHAnsi" w:hAnsiTheme="minorHAnsi" w:cstheme="minorHAnsi"/>
          <w:szCs w:val="24"/>
          <w:lang w:val="es-ES"/>
        </w:rPr>
      </w:pPr>
    </w:p>
    <w:p w:rsidR="00895BDA" w:rsidRPr="008B7DB9" w:rsidRDefault="00895BDA" w:rsidP="00895BDA">
      <w:pPr>
        <w:rPr>
          <w:rFonts w:asciiTheme="minorHAnsi" w:hAnsiTheme="minorHAnsi" w:cstheme="minorHAnsi"/>
          <w:szCs w:val="24"/>
          <w:lang w:val="es-ES"/>
        </w:rPr>
      </w:pPr>
    </w:p>
    <w:p w:rsidR="00895BDA" w:rsidRPr="008B7DB9" w:rsidRDefault="00895BDA" w:rsidP="00895BDA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es-ES"/>
        </w:rPr>
      </w:pPr>
      <w:r w:rsidRPr="008B7DB9">
        <w:rPr>
          <w:rFonts w:asciiTheme="minorHAnsi" w:hAnsiTheme="minorHAnsi" w:cstheme="minorHAnsi"/>
          <w:szCs w:val="24"/>
          <w:lang w:val="es-ES"/>
        </w:rPr>
        <w:t xml:space="preserve">François </w:t>
      </w:r>
      <w:proofErr w:type="spellStart"/>
      <w:r w:rsidRPr="008B7DB9">
        <w:rPr>
          <w:rFonts w:asciiTheme="minorHAnsi" w:hAnsiTheme="minorHAnsi" w:cstheme="minorHAnsi"/>
          <w:szCs w:val="24"/>
          <w:lang w:val="es-ES"/>
        </w:rPr>
        <w:t>Rancy</w:t>
      </w:r>
      <w:proofErr w:type="spellEnd"/>
    </w:p>
    <w:p w:rsidR="00895BDA" w:rsidRPr="008B7DB9" w:rsidRDefault="00895BDA" w:rsidP="00895BDA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es-ES"/>
        </w:rPr>
      </w:pPr>
      <w:r w:rsidRPr="008B7DB9">
        <w:rPr>
          <w:rFonts w:asciiTheme="minorHAnsi" w:hAnsiTheme="minorHAnsi" w:cstheme="minorHAnsi"/>
          <w:szCs w:val="24"/>
          <w:lang w:val="es-ES"/>
        </w:rPr>
        <w:t>Director</w:t>
      </w:r>
    </w:p>
    <w:p w:rsidR="008E38B4" w:rsidRPr="008B7DB9" w:rsidRDefault="008E38B4" w:rsidP="00031E64">
      <w:pPr>
        <w:rPr>
          <w:rFonts w:asciiTheme="minorHAnsi" w:hAnsiTheme="minorHAnsi" w:cstheme="minorHAnsi"/>
          <w:szCs w:val="24"/>
          <w:lang w:val="es-ES"/>
        </w:rPr>
      </w:pPr>
    </w:p>
    <w:p w:rsidR="008E38B4" w:rsidRPr="008B7DB9" w:rsidRDefault="008E38B4" w:rsidP="00031E64">
      <w:pPr>
        <w:rPr>
          <w:rFonts w:asciiTheme="minorHAnsi" w:hAnsiTheme="minorHAnsi" w:cstheme="minorHAnsi"/>
          <w:szCs w:val="24"/>
          <w:lang w:val="es-ES"/>
        </w:rPr>
      </w:pPr>
    </w:p>
    <w:p w:rsidR="00712A04" w:rsidRPr="008B7DB9" w:rsidRDefault="00712A0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es-ES"/>
        </w:rPr>
      </w:pPr>
    </w:p>
    <w:p w:rsidR="00712A04" w:rsidRPr="008B7DB9" w:rsidRDefault="00712A0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es-ES"/>
        </w:rPr>
      </w:pPr>
    </w:p>
    <w:p w:rsidR="00712A04" w:rsidRPr="008B7DB9" w:rsidRDefault="00712A0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es-ES"/>
        </w:rPr>
      </w:pPr>
    </w:p>
    <w:p w:rsidR="00712A04" w:rsidRPr="008B7DB9" w:rsidRDefault="00712A0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es-ES"/>
        </w:rPr>
      </w:pPr>
    </w:p>
    <w:p w:rsidR="00712A04" w:rsidRPr="008B7DB9" w:rsidRDefault="00712A0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es-ES"/>
        </w:rPr>
      </w:pPr>
    </w:p>
    <w:p w:rsidR="00712A04" w:rsidRPr="008B7DB9" w:rsidRDefault="00712A0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es-ES"/>
        </w:rPr>
      </w:pPr>
    </w:p>
    <w:p w:rsidR="00712A04" w:rsidRPr="008B7DB9" w:rsidRDefault="00712A0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es-ES"/>
        </w:rPr>
      </w:pPr>
    </w:p>
    <w:p w:rsidR="00712A04" w:rsidRPr="008B7DB9" w:rsidRDefault="00712A0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es-ES"/>
        </w:rPr>
      </w:pPr>
    </w:p>
    <w:p w:rsidR="00712A04" w:rsidRPr="008B7DB9" w:rsidRDefault="00712A0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es-ES"/>
        </w:rPr>
      </w:pPr>
    </w:p>
    <w:p w:rsidR="00712A04" w:rsidRPr="008B7DB9" w:rsidRDefault="00712A0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es-ES"/>
        </w:rPr>
      </w:pPr>
    </w:p>
    <w:p w:rsidR="00712A04" w:rsidRPr="008B7DB9" w:rsidRDefault="00712A0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es-ES"/>
        </w:rPr>
      </w:pPr>
    </w:p>
    <w:p w:rsidR="00712A04" w:rsidRPr="008B7DB9" w:rsidRDefault="00712A0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es-ES"/>
        </w:rPr>
      </w:pPr>
    </w:p>
    <w:p w:rsidR="00712A04" w:rsidRPr="008B7DB9" w:rsidRDefault="00712A0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es-ES"/>
        </w:rPr>
      </w:pPr>
    </w:p>
    <w:p w:rsidR="00712A04" w:rsidRPr="008B7DB9" w:rsidRDefault="00712A0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es-ES"/>
        </w:rPr>
      </w:pPr>
    </w:p>
    <w:p w:rsidR="00712A04" w:rsidRPr="008B7DB9" w:rsidRDefault="00712A0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es-ES"/>
        </w:rPr>
      </w:pPr>
    </w:p>
    <w:p w:rsidR="00712A04" w:rsidRPr="008B7DB9" w:rsidRDefault="00712A04" w:rsidP="00AF23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es-ES"/>
        </w:rPr>
      </w:pPr>
      <w:r w:rsidRPr="008B7DB9">
        <w:rPr>
          <w:rFonts w:asciiTheme="minorHAnsi" w:hAnsiTheme="minorHAnsi" w:cstheme="minorHAnsi"/>
          <w:szCs w:val="24"/>
          <w:lang w:val="es-ES"/>
        </w:rPr>
        <w:t>Anex</w:t>
      </w:r>
      <w:r w:rsidR="00AF233B">
        <w:rPr>
          <w:rFonts w:asciiTheme="minorHAnsi" w:hAnsiTheme="minorHAnsi" w:cstheme="minorHAnsi"/>
          <w:szCs w:val="24"/>
          <w:lang w:val="es-ES"/>
        </w:rPr>
        <w:t>o</w:t>
      </w:r>
      <w:r w:rsidRPr="008B7DB9">
        <w:rPr>
          <w:rFonts w:asciiTheme="minorHAnsi" w:hAnsiTheme="minorHAnsi" w:cstheme="minorHAnsi"/>
          <w:szCs w:val="24"/>
          <w:lang w:val="es-ES"/>
        </w:rPr>
        <w:t>: 1</w:t>
      </w:r>
    </w:p>
    <w:p w:rsidR="00712A04" w:rsidRPr="008B7DB9" w:rsidRDefault="00712A04" w:rsidP="00712A04">
      <w:pPr>
        <w:tabs>
          <w:tab w:val="center" w:pos="7371"/>
          <w:tab w:val="right" w:pos="8505"/>
        </w:tabs>
        <w:spacing w:before="240"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</w:rPr>
      </w:pPr>
    </w:p>
    <w:p w:rsidR="00712A04" w:rsidRPr="008B7DB9" w:rsidRDefault="00712A04" w:rsidP="00712A04">
      <w:pPr>
        <w:tabs>
          <w:tab w:val="center" w:pos="7371"/>
          <w:tab w:val="right" w:pos="8505"/>
        </w:tabs>
        <w:spacing w:before="240"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</w:rPr>
      </w:pPr>
    </w:p>
    <w:p w:rsidR="00712A04" w:rsidRPr="008B7DB9" w:rsidRDefault="00712A04" w:rsidP="00712A04">
      <w:pPr>
        <w:tabs>
          <w:tab w:val="center" w:pos="7371"/>
          <w:tab w:val="right" w:pos="8505"/>
        </w:tabs>
        <w:spacing w:before="240"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</w:rPr>
      </w:pPr>
    </w:p>
    <w:p w:rsidR="00AF233B" w:rsidRPr="00DA4B12" w:rsidRDefault="00AF233B" w:rsidP="00AF233B">
      <w:pPr>
        <w:pStyle w:val="enumlev1"/>
        <w:spacing w:before="0" w:line="240" w:lineRule="auto"/>
        <w:rPr>
          <w:rFonts w:asciiTheme="minorHAnsi" w:hAnsiTheme="minorHAnsi"/>
          <w:b/>
          <w:bCs/>
          <w:sz w:val="16"/>
          <w:lang w:val="es-ES"/>
        </w:rPr>
      </w:pPr>
      <w:r w:rsidRPr="00DA4B12">
        <w:rPr>
          <w:b/>
          <w:bCs/>
          <w:sz w:val="16"/>
          <w:szCs w:val="16"/>
          <w:lang w:val="es-ES"/>
        </w:rPr>
        <w:t>Distribución</w:t>
      </w:r>
      <w:r w:rsidRPr="00DA4B12">
        <w:rPr>
          <w:rFonts w:asciiTheme="minorHAnsi" w:hAnsiTheme="minorHAnsi"/>
          <w:b/>
          <w:bCs/>
          <w:sz w:val="16"/>
          <w:lang w:val="es-ES"/>
        </w:rPr>
        <w:t>:</w:t>
      </w:r>
    </w:p>
    <w:p w:rsidR="00AF233B" w:rsidRPr="00DA4B12" w:rsidRDefault="00AF233B" w:rsidP="00AF233B">
      <w:pPr>
        <w:pStyle w:val="enumlev1"/>
        <w:tabs>
          <w:tab w:val="clear" w:pos="794"/>
          <w:tab w:val="left" w:pos="284"/>
          <w:tab w:val="left" w:pos="567"/>
          <w:tab w:val="left" w:pos="851"/>
        </w:tabs>
        <w:spacing w:before="40" w:line="240" w:lineRule="auto"/>
        <w:jc w:val="left"/>
        <w:rPr>
          <w:rFonts w:asciiTheme="minorHAnsi" w:hAnsiTheme="minorHAnsi"/>
          <w:sz w:val="16"/>
          <w:lang w:val="es-ES"/>
        </w:rPr>
      </w:pPr>
      <w:r w:rsidRPr="00DA4B12">
        <w:rPr>
          <w:rFonts w:asciiTheme="minorHAnsi" w:hAnsiTheme="minorHAnsi"/>
          <w:sz w:val="16"/>
          <w:lang w:val="es-ES"/>
        </w:rPr>
        <w:t>–</w:t>
      </w:r>
      <w:r w:rsidRPr="00DA4B12">
        <w:rPr>
          <w:rFonts w:asciiTheme="minorHAnsi" w:hAnsiTheme="minorHAnsi"/>
          <w:sz w:val="16"/>
          <w:lang w:val="es-ES"/>
        </w:rPr>
        <w:tab/>
        <w:t>Administraciones de los Estados Miembros de la UIT</w:t>
      </w:r>
    </w:p>
    <w:p w:rsidR="00AF233B" w:rsidRPr="00DA4B12" w:rsidRDefault="00AF233B" w:rsidP="00AF233B">
      <w:pPr>
        <w:pStyle w:val="enumlev1"/>
        <w:tabs>
          <w:tab w:val="clear" w:pos="794"/>
          <w:tab w:val="left" w:pos="284"/>
          <w:tab w:val="left" w:pos="567"/>
        </w:tabs>
        <w:spacing w:before="0" w:line="240" w:lineRule="auto"/>
        <w:jc w:val="left"/>
        <w:rPr>
          <w:rFonts w:asciiTheme="minorHAnsi" w:hAnsiTheme="minorHAnsi"/>
          <w:sz w:val="16"/>
          <w:lang w:val="es-ES"/>
        </w:rPr>
      </w:pPr>
      <w:r w:rsidRPr="00DA4B12">
        <w:rPr>
          <w:rFonts w:asciiTheme="minorHAnsi" w:hAnsiTheme="minorHAnsi"/>
          <w:sz w:val="16"/>
          <w:lang w:val="es-ES"/>
        </w:rPr>
        <w:t>–</w:t>
      </w:r>
      <w:r w:rsidRPr="00DA4B12">
        <w:rPr>
          <w:rFonts w:asciiTheme="minorHAnsi" w:hAnsiTheme="minorHAnsi"/>
          <w:sz w:val="16"/>
          <w:lang w:val="es-ES"/>
        </w:rPr>
        <w:tab/>
        <w:t>Miembros del Sector de Radiocomunicaciones</w:t>
      </w:r>
    </w:p>
    <w:p w:rsidR="00AF233B" w:rsidRPr="00DA4B12" w:rsidRDefault="00AF233B" w:rsidP="00AF233B">
      <w:pPr>
        <w:pStyle w:val="enumlev1"/>
        <w:tabs>
          <w:tab w:val="clear" w:pos="794"/>
          <w:tab w:val="left" w:pos="284"/>
          <w:tab w:val="left" w:pos="567"/>
        </w:tabs>
        <w:spacing w:before="0" w:line="240" w:lineRule="auto"/>
        <w:ind w:left="284" w:hanging="284"/>
        <w:jc w:val="left"/>
        <w:rPr>
          <w:rFonts w:asciiTheme="minorHAnsi" w:hAnsiTheme="minorHAnsi"/>
          <w:sz w:val="16"/>
          <w:lang w:val="es-ES"/>
        </w:rPr>
      </w:pPr>
      <w:r w:rsidRPr="00DA4B12">
        <w:rPr>
          <w:rFonts w:asciiTheme="minorHAnsi" w:hAnsiTheme="minorHAnsi"/>
          <w:sz w:val="16"/>
          <w:lang w:val="es-ES"/>
        </w:rPr>
        <w:t>–</w:t>
      </w:r>
      <w:r w:rsidRPr="00DA4B12">
        <w:rPr>
          <w:rFonts w:asciiTheme="minorHAnsi" w:hAnsiTheme="minorHAnsi"/>
          <w:sz w:val="16"/>
          <w:lang w:val="es-ES"/>
        </w:rPr>
        <w:tab/>
        <w:t xml:space="preserve">Presidentes y Vicepresidentes de las Comisiones de Estudio de Radiocomunicaciones y Comisión Especial </w:t>
      </w:r>
      <w:r w:rsidRPr="00DA4B12">
        <w:rPr>
          <w:rFonts w:asciiTheme="minorHAnsi" w:hAnsiTheme="minorHAnsi"/>
          <w:sz w:val="16"/>
          <w:lang w:val="es-ES"/>
        </w:rPr>
        <w:br/>
        <w:t>para Asuntos Reglamentarios y de Procedimiento</w:t>
      </w:r>
    </w:p>
    <w:p w:rsidR="00AF233B" w:rsidRPr="00DA4B12" w:rsidRDefault="00AF233B" w:rsidP="00AF233B">
      <w:pPr>
        <w:pStyle w:val="enumlev1"/>
        <w:tabs>
          <w:tab w:val="clear" w:pos="794"/>
          <w:tab w:val="left" w:pos="284"/>
          <w:tab w:val="left" w:pos="567"/>
        </w:tabs>
        <w:spacing w:before="0" w:line="240" w:lineRule="auto"/>
        <w:jc w:val="left"/>
        <w:rPr>
          <w:rFonts w:asciiTheme="minorHAnsi" w:hAnsiTheme="minorHAnsi"/>
          <w:sz w:val="16"/>
          <w:lang w:val="es-ES"/>
        </w:rPr>
      </w:pPr>
      <w:r w:rsidRPr="00DA4B12">
        <w:rPr>
          <w:rFonts w:asciiTheme="minorHAnsi" w:hAnsiTheme="minorHAnsi"/>
          <w:sz w:val="16"/>
          <w:lang w:val="es-ES"/>
        </w:rPr>
        <w:t>–</w:t>
      </w:r>
      <w:r w:rsidRPr="00DA4B12">
        <w:rPr>
          <w:rFonts w:asciiTheme="minorHAnsi" w:hAnsiTheme="minorHAnsi"/>
          <w:sz w:val="16"/>
          <w:lang w:val="es-ES"/>
        </w:rPr>
        <w:tab/>
        <w:t>Presidente y Vicepresidentes del Grupo Asesor de Radiocomunicaciones</w:t>
      </w:r>
    </w:p>
    <w:p w:rsidR="00AF233B" w:rsidRPr="00DA4B12" w:rsidRDefault="00AF233B" w:rsidP="00AF233B">
      <w:pPr>
        <w:pStyle w:val="enumlev1"/>
        <w:tabs>
          <w:tab w:val="clear" w:pos="794"/>
          <w:tab w:val="left" w:pos="284"/>
          <w:tab w:val="left" w:pos="567"/>
        </w:tabs>
        <w:spacing w:before="0" w:line="240" w:lineRule="auto"/>
        <w:jc w:val="left"/>
        <w:rPr>
          <w:rFonts w:asciiTheme="minorHAnsi" w:hAnsiTheme="minorHAnsi"/>
          <w:sz w:val="16"/>
          <w:lang w:val="es-ES"/>
        </w:rPr>
      </w:pPr>
      <w:r w:rsidRPr="00DA4B12">
        <w:rPr>
          <w:rFonts w:asciiTheme="minorHAnsi" w:hAnsiTheme="minorHAnsi"/>
          <w:sz w:val="16"/>
          <w:lang w:val="es-ES"/>
        </w:rPr>
        <w:t>–</w:t>
      </w:r>
      <w:r w:rsidRPr="00DA4B12">
        <w:rPr>
          <w:rFonts w:asciiTheme="minorHAnsi" w:hAnsiTheme="minorHAnsi"/>
          <w:sz w:val="16"/>
          <w:lang w:val="es-ES"/>
        </w:rPr>
        <w:tab/>
        <w:t>Presidente y Vicepresidentes de la Reunión Preparatoria de la Conferencia</w:t>
      </w:r>
    </w:p>
    <w:p w:rsidR="00AF233B" w:rsidRPr="00DA4B12" w:rsidRDefault="00AF233B" w:rsidP="00AF233B">
      <w:pPr>
        <w:pStyle w:val="enumlev1"/>
        <w:tabs>
          <w:tab w:val="clear" w:pos="794"/>
          <w:tab w:val="left" w:pos="284"/>
          <w:tab w:val="left" w:pos="567"/>
        </w:tabs>
        <w:spacing w:before="0" w:line="240" w:lineRule="auto"/>
        <w:jc w:val="left"/>
        <w:rPr>
          <w:rFonts w:asciiTheme="minorHAnsi" w:hAnsiTheme="minorHAnsi"/>
          <w:sz w:val="16"/>
          <w:lang w:val="es-ES"/>
        </w:rPr>
      </w:pPr>
      <w:r w:rsidRPr="00DA4B12">
        <w:rPr>
          <w:rFonts w:asciiTheme="minorHAnsi" w:hAnsiTheme="minorHAnsi"/>
          <w:sz w:val="16"/>
          <w:lang w:val="es-ES"/>
        </w:rPr>
        <w:t>–</w:t>
      </w:r>
      <w:r w:rsidRPr="00DA4B12">
        <w:rPr>
          <w:rFonts w:asciiTheme="minorHAnsi" w:hAnsiTheme="minorHAnsi"/>
          <w:sz w:val="16"/>
          <w:lang w:val="es-ES"/>
        </w:rPr>
        <w:tab/>
        <w:t>Miembros de la Junta del Reglamento de Radiocomunicaciones</w:t>
      </w:r>
    </w:p>
    <w:p w:rsidR="00AF233B" w:rsidRPr="00DA4B12" w:rsidRDefault="00AF233B" w:rsidP="00AF233B">
      <w:pPr>
        <w:pStyle w:val="enumlev1"/>
        <w:tabs>
          <w:tab w:val="clear" w:pos="794"/>
          <w:tab w:val="left" w:pos="284"/>
          <w:tab w:val="left" w:pos="567"/>
        </w:tabs>
        <w:spacing w:before="0" w:line="240" w:lineRule="auto"/>
        <w:ind w:left="284" w:hanging="284"/>
        <w:jc w:val="left"/>
        <w:rPr>
          <w:rFonts w:asciiTheme="minorHAnsi" w:hAnsiTheme="minorHAnsi"/>
          <w:sz w:val="16"/>
          <w:lang w:val="es-ES"/>
        </w:rPr>
      </w:pPr>
      <w:r w:rsidRPr="00DA4B12">
        <w:rPr>
          <w:rFonts w:asciiTheme="minorHAnsi" w:hAnsiTheme="minorHAnsi"/>
          <w:sz w:val="16"/>
          <w:lang w:val="es-ES"/>
        </w:rPr>
        <w:t>–</w:t>
      </w:r>
      <w:r w:rsidRPr="00DA4B12">
        <w:rPr>
          <w:rFonts w:asciiTheme="minorHAnsi" w:hAnsiTheme="minorHAnsi"/>
          <w:sz w:val="16"/>
          <w:lang w:val="es-ES"/>
        </w:rPr>
        <w:tab/>
        <w:t xml:space="preserve">Secretario General de la UIT, Director de la Oficina de Normalización de las Telecomunicaciones, </w:t>
      </w:r>
      <w:r w:rsidRPr="00DA4B12">
        <w:rPr>
          <w:rFonts w:asciiTheme="minorHAnsi" w:hAnsiTheme="minorHAnsi"/>
          <w:sz w:val="16"/>
          <w:lang w:val="es-ES"/>
        </w:rPr>
        <w:br/>
        <w:t>Director de la Oficina de Desarrollo de las Telecomunicaciones</w:t>
      </w:r>
    </w:p>
    <w:p w:rsidR="00AF233B" w:rsidRDefault="00AF23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bCs/>
          <w:szCs w:val="24"/>
          <w:lang w:val="es-ES"/>
        </w:rPr>
      </w:pPr>
      <w:r>
        <w:rPr>
          <w:rFonts w:asciiTheme="minorHAnsi" w:hAnsiTheme="minorHAnsi" w:cstheme="minorHAnsi"/>
          <w:b/>
          <w:bCs/>
          <w:szCs w:val="24"/>
          <w:lang w:val="es-ES"/>
        </w:rPr>
        <w:br w:type="page"/>
      </w:r>
    </w:p>
    <w:p w:rsidR="002A5DD7" w:rsidRPr="008B7DB9" w:rsidRDefault="00B753C9" w:rsidP="00AF233B">
      <w:pPr>
        <w:jc w:val="center"/>
        <w:rPr>
          <w:rFonts w:asciiTheme="minorHAnsi" w:hAnsiTheme="minorHAnsi" w:cstheme="minorHAnsi"/>
          <w:b/>
          <w:bCs/>
          <w:szCs w:val="24"/>
          <w:lang w:val="es-ES"/>
        </w:rPr>
      </w:pPr>
      <w:r w:rsidRPr="008B7DB9">
        <w:rPr>
          <w:rFonts w:asciiTheme="minorHAnsi" w:hAnsiTheme="minorHAnsi" w:cstheme="minorHAnsi"/>
          <w:b/>
          <w:bCs/>
          <w:szCs w:val="24"/>
          <w:lang w:val="es-ES"/>
        </w:rPr>
        <w:lastRenderedPageBreak/>
        <w:t>ANEX</w:t>
      </w:r>
      <w:r w:rsidR="00AF233B">
        <w:rPr>
          <w:rFonts w:asciiTheme="minorHAnsi" w:hAnsiTheme="minorHAnsi" w:cstheme="minorHAnsi"/>
          <w:b/>
          <w:bCs/>
          <w:szCs w:val="24"/>
          <w:lang w:val="es-ES"/>
        </w:rPr>
        <w:t>O</w:t>
      </w:r>
    </w:p>
    <w:p w:rsidR="00384E7E" w:rsidRPr="008B7DB9" w:rsidRDefault="00AF233B" w:rsidP="00AF233B">
      <w:pPr>
        <w:jc w:val="center"/>
        <w:rPr>
          <w:rFonts w:asciiTheme="minorHAnsi" w:hAnsiTheme="minorHAnsi" w:cstheme="minorHAnsi"/>
          <w:szCs w:val="24"/>
          <w:lang w:val="es-ES"/>
        </w:rPr>
      </w:pPr>
      <w:r>
        <w:rPr>
          <w:rFonts w:asciiTheme="minorHAnsi" w:hAnsiTheme="minorHAnsi" w:cstheme="minorHAnsi"/>
          <w:b/>
          <w:bCs/>
          <w:szCs w:val="24"/>
          <w:lang w:val="es-ES"/>
        </w:rPr>
        <w:t xml:space="preserve">CÓMO ACTIVAR LAS NOTIFICACIONES PARA RECIBIR UN CORREO ELECTRÓNICO </w:t>
      </w:r>
      <w:r>
        <w:rPr>
          <w:rFonts w:asciiTheme="minorHAnsi" w:hAnsiTheme="minorHAnsi" w:cstheme="minorHAnsi"/>
          <w:b/>
          <w:bCs/>
          <w:szCs w:val="24"/>
          <w:lang w:val="es-ES"/>
        </w:rPr>
        <w:br/>
        <w:t xml:space="preserve">CADA VEZ QUE SE PUBLICA UNA </w:t>
      </w:r>
      <w:r w:rsidR="00384E7E" w:rsidRPr="008B7DB9">
        <w:rPr>
          <w:rFonts w:asciiTheme="minorHAnsi" w:hAnsiTheme="minorHAnsi" w:cstheme="minorHAnsi"/>
          <w:b/>
          <w:bCs/>
          <w:szCs w:val="24"/>
          <w:lang w:val="es-ES"/>
        </w:rPr>
        <w:t xml:space="preserve">CIRCULAR </w:t>
      </w:r>
      <w:r>
        <w:rPr>
          <w:rFonts w:asciiTheme="minorHAnsi" w:hAnsiTheme="minorHAnsi" w:cstheme="minorHAnsi"/>
          <w:b/>
          <w:bCs/>
          <w:szCs w:val="24"/>
          <w:lang w:val="es-ES"/>
        </w:rPr>
        <w:t>EN EL SITIO WEB DE LA U</w:t>
      </w:r>
      <w:r w:rsidR="00384E7E" w:rsidRPr="008B7DB9">
        <w:rPr>
          <w:rFonts w:asciiTheme="minorHAnsi" w:hAnsiTheme="minorHAnsi" w:cstheme="minorHAnsi"/>
          <w:b/>
          <w:bCs/>
          <w:szCs w:val="24"/>
          <w:lang w:val="es-ES"/>
        </w:rPr>
        <w:t>IT</w:t>
      </w:r>
    </w:p>
    <w:p w:rsidR="00407292" w:rsidRPr="008B7DB9" w:rsidRDefault="00407292" w:rsidP="00031E64">
      <w:pPr>
        <w:rPr>
          <w:rFonts w:asciiTheme="minorHAnsi" w:hAnsiTheme="minorHAnsi" w:cstheme="minorHAnsi"/>
          <w:szCs w:val="24"/>
          <w:lang w:val="es-ES"/>
        </w:rPr>
      </w:pPr>
    </w:p>
    <w:p w:rsidR="00BC2756" w:rsidRPr="008B7DB9" w:rsidRDefault="00AF233B" w:rsidP="00AF233B">
      <w:pPr>
        <w:rPr>
          <w:rFonts w:asciiTheme="minorHAnsi" w:hAnsiTheme="minorHAnsi" w:cstheme="minorHAnsi"/>
          <w:szCs w:val="24"/>
          <w:lang w:val="es-ES"/>
        </w:rPr>
      </w:pPr>
      <w:r>
        <w:rPr>
          <w:rFonts w:asciiTheme="minorHAnsi" w:hAnsiTheme="minorHAnsi" w:cstheme="minorHAnsi"/>
          <w:szCs w:val="24"/>
          <w:lang w:val="es-ES"/>
        </w:rPr>
        <w:t xml:space="preserve">Vaya a </w:t>
      </w:r>
      <w:hyperlink r:id="rId12" w:history="1">
        <w:r w:rsidR="00407292" w:rsidRPr="008B7DB9">
          <w:rPr>
            <w:rStyle w:val="Hyperlink"/>
            <w:lang w:val="es-ES"/>
          </w:rPr>
          <w:t>www.itu.int/ties</w:t>
        </w:r>
      </w:hyperlink>
      <w:r w:rsidR="00407292" w:rsidRPr="008B7DB9">
        <w:rPr>
          <w:rFonts w:asciiTheme="minorHAnsi" w:hAnsiTheme="minorHAnsi" w:cstheme="minorHAnsi"/>
          <w:szCs w:val="24"/>
          <w:lang w:val="es-ES"/>
        </w:rPr>
        <w:t xml:space="preserve"> </w:t>
      </w:r>
      <w:r>
        <w:rPr>
          <w:rFonts w:asciiTheme="minorHAnsi" w:hAnsiTheme="minorHAnsi" w:cstheme="minorHAnsi"/>
          <w:szCs w:val="24"/>
          <w:lang w:val="es-ES"/>
        </w:rPr>
        <w:t>e inicie una sesión utilizando su cuenta de la U</w:t>
      </w:r>
      <w:r w:rsidR="00407292" w:rsidRPr="008B7DB9">
        <w:rPr>
          <w:rFonts w:asciiTheme="minorHAnsi" w:hAnsiTheme="minorHAnsi" w:cstheme="minorHAnsi"/>
          <w:szCs w:val="24"/>
          <w:lang w:val="es-ES"/>
        </w:rPr>
        <w:t>IT</w:t>
      </w:r>
      <w:r w:rsidR="00484E72" w:rsidRPr="008B7DB9">
        <w:rPr>
          <w:rFonts w:asciiTheme="minorHAnsi" w:hAnsiTheme="minorHAnsi" w:cstheme="minorHAnsi"/>
          <w:szCs w:val="24"/>
          <w:lang w:val="es-ES"/>
        </w:rPr>
        <w:t xml:space="preserve"> (T</w:t>
      </w:r>
      <w:r w:rsidR="00407292" w:rsidRPr="008B7DB9">
        <w:rPr>
          <w:rFonts w:asciiTheme="minorHAnsi" w:hAnsiTheme="minorHAnsi" w:cstheme="minorHAnsi"/>
          <w:szCs w:val="24"/>
          <w:lang w:val="es-ES"/>
        </w:rPr>
        <w:t>IES</w:t>
      </w:r>
      <w:r w:rsidR="00484E72" w:rsidRPr="008B7DB9">
        <w:rPr>
          <w:rFonts w:asciiTheme="minorHAnsi" w:hAnsiTheme="minorHAnsi" w:cstheme="minorHAnsi"/>
          <w:szCs w:val="24"/>
          <w:lang w:val="es-ES"/>
        </w:rPr>
        <w:t>)</w:t>
      </w:r>
      <w:r w:rsidR="00633580">
        <w:rPr>
          <w:rFonts w:asciiTheme="minorHAnsi" w:hAnsiTheme="minorHAnsi" w:cstheme="minorHAnsi"/>
          <w:szCs w:val="24"/>
          <w:lang w:val="es-ES"/>
        </w:rPr>
        <w:t>.</w:t>
      </w:r>
    </w:p>
    <w:p w:rsidR="00407292" w:rsidRPr="008B7DB9" w:rsidRDefault="00AF233B" w:rsidP="00AF233B">
      <w:pPr>
        <w:rPr>
          <w:rFonts w:asciiTheme="minorHAnsi" w:hAnsiTheme="minorHAnsi" w:cstheme="minorHAnsi"/>
          <w:szCs w:val="24"/>
          <w:lang w:val="es-ES"/>
        </w:rPr>
      </w:pPr>
      <w:r>
        <w:rPr>
          <w:rFonts w:asciiTheme="minorHAnsi" w:hAnsiTheme="minorHAnsi" w:cstheme="minorHAnsi"/>
          <w:szCs w:val="24"/>
          <w:lang w:val="es-ES"/>
        </w:rPr>
        <w:t>Si aún no tiene una cuenta en la U</w:t>
      </w:r>
      <w:r w:rsidR="00407292" w:rsidRPr="008B7DB9">
        <w:rPr>
          <w:rFonts w:asciiTheme="minorHAnsi" w:hAnsiTheme="minorHAnsi" w:cstheme="minorHAnsi"/>
          <w:szCs w:val="24"/>
          <w:lang w:val="es-ES"/>
        </w:rPr>
        <w:t xml:space="preserve">IT, </w:t>
      </w:r>
      <w:r>
        <w:rPr>
          <w:rFonts w:asciiTheme="minorHAnsi" w:hAnsiTheme="minorHAnsi" w:cstheme="minorHAnsi"/>
          <w:szCs w:val="24"/>
          <w:lang w:val="es-ES"/>
        </w:rPr>
        <w:t>puede crear una siguiendo el procedimiento de solicitud en línea</w:t>
      </w:r>
      <w:r w:rsidR="00407292" w:rsidRPr="008B7DB9">
        <w:rPr>
          <w:rFonts w:asciiTheme="minorHAnsi" w:hAnsiTheme="minorHAnsi" w:cstheme="minorHAnsi"/>
          <w:szCs w:val="24"/>
          <w:lang w:val="es-ES"/>
        </w:rPr>
        <w:t>.</w:t>
      </w:r>
    </w:p>
    <w:p w:rsidR="00407292" w:rsidRPr="008B7DB9" w:rsidRDefault="005358B0" w:rsidP="00AF233B">
      <w:pPr>
        <w:rPr>
          <w:rFonts w:asciiTheme="minorHAnsi" w:hAnsiTheme="minorHAnsi" w:cstheme="minorHAnsi"/>
          <w:szCs w:val="24"/>
          <w:lang w:val="es-ES"/>
        </w:rPr>
      </w:pPr>
      <w:r w:rsidRPr="008B7DB9">
        <w:rPr>
          <w:noProof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351155</wp:posOffset>
            </wp:positionH>
            <wp:positionV relativeFrom="paragraph">
              <wp:posOffset>683475</wp:posOffset>
            </wp:positionV>
            <wp:extent cx="5547600" cy="27684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2" r="9355" b="14460"/>
                    <a:stretch/>
                  </pic:blipFill>
                  <pic:spPr bwMode="auto">
                    <a:xfrm>
                      <a:off x="0" y="0"/>
                      <a:ext cx="5547600" cy="276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33B">
        <w:rPr>
          <w:rFonts w:asciiTheme="minorHAnsi" w:hAnsiTheme="minorHAnsi" w:cstheme="minorHAnsi"/>
          <w:szCs w:val="24"/>
          <w:lang w:val="es-ES"/>
        </w:rPr>
        <w:t>Una vez iniciada la sesión</w:t>
      </w:r>
      <w:r w:rsidR="00407292" w:rsidRPr="008B7DB9">
        <w:rPr>
          <w:rFonts w:asciiTheme="minorHAnsi" w:hAnsiTheme="minorHAnsi" w:cstheme="minorHAnsi"/>
          <w:szCs w:val="24"/>
          <w:lang w:val="es-ES"/>
        </w:rPr>
        <w:t xml:space="preserve">, </w:t>
      </w:r>
      <w:r w:rsidR="00AF233B">
        <w:rPr>
          <w:rFonts w:asciiTheme="minorHAnsi" w:hAnsiTheme="minorHAnsi" w:cstheme="minorHAnsi"/>
          <w:szCs w:val="24"/>
          <w:lang w:val="es-ES"/>
        </w:rPr>
        <w:t xml:space="preserve">en el menú de la izquierda seleccione </w:t>
      </w:r>
      <w:r w:rsidR="00407292" w:rsidRPr="008B7DB9">
        <w:rPr>
          <w:rFonts w:asciiTheme="minorHAnsi" w:hAnsiTheme="minorHAnsi" w:cstheme="minorHAnsi"/>
          <w:szCs w:val="24"/>
          <w:lang w:val="es-ES"/>
        </w:rPr>
        <w:t xml:space="preserve">"TIES </w:t>
      </w:r>
      <w:proofErr w:type="spellStart"/>
      <w:r w:rsidR="00407292" w:rsidRPr="008B7DB9">
        <w:rPr>
          <w:rFonts w:asciiTheme="minorHAnsi" w:hAnsiTheme="minorHAnsi" w:cstheme="minorHAnsi"/>
          <w:szCs w:val="24"/>
          <w:lang w:val="es-ES"/>
        </w:rPr>
        <w:t>settings</w:t>
      </w:r>
      <w:proofErr w:type="spellEnd"/>
      <w:r w:rsidR="00407292" w:rsidRPr="008B7DB9">
        <w:rPr>
          <w:rFonts w:asciiTheme="minorHAnsi" w:hAnsiTheme="minorHAnsi" w:cstheme="minorHAnsi"/>
          <w:szCs w:val="24"/>
          <w:lang w:val="es-ES"/>
        </w:rPr>
        <w:t xml:space="preserve">" </w:t>
      </w:r>
      <w:r w:rsidR="00AF233B">
        <w:rPr>
          <w:rFonts w:asciiTheme="minorHAnsi" w:hAnsiTheme="minorHAnsi" w:cstheme="minorHAnsi"/>
          <w:szCs w:val="24"/>
          <w:lang w:val="es-ES"/>
        </w:rPr>
        <w:t xml:space="preserve">y pulse </w:t>
      </w:r>
      <w:r w:rsidR="00407292" w:rsidRPr="008B7DB9">
        <w:rPr>
          <w:rFonts w:asciiTheme="minorHAnsi" w:hAnsiTheme="minorHAnsi" w:cstheme="minorHAnsi"/>
          <w:szCs w:val="24"/>
          <w:lang w:val="es-ES"/>
        </w:rPr>
        <w:t xml:space="preserve">"TIES </w:t>
      </w:r>
      <w:proofErr w:type="spellStart"/>
      <w:r w:rsidR="00407292" w:rsidRPr="008B7DB9">
        <w:rPr>
          <w:rFonts w:asciiTheme="minorHAnsi" w:hAnsiTheme="minorHAnsi" w:cstheme="minorHAnsi"/>
          <w:szCs w:val="24"/>
          <w:lang w:val="es-ES"/>
        </w:rPr>
        <w:t>Notifications</w:t>
      </w:r>
      <w:proofErr w:type="spellEnd"/>
      <w:r w:rsidR="00407292" w:rsidRPr="008B7DB9">
        <w:rPr>
          <w:rFonts w:asciiTheme="minorHAnsi" w:hAnsiTheme="minorHAnsi" w:cstheme="minorHAnsi"/>
          <w:szCs w:val="24"/>
          <w:lang w:val="es-ES"/>
        </w:rPr>
        <w:t>"</w:t>
      </w:r>
      <w:r w:rsidR="00F77620" w:rsidRPr="008B7DB9">
        <w:rPr>
          <w:rFonts w:asciiTheme="minorHAnsi" w:hAnsiTheme="minorHAnsi" w:cstheme="minorHAnsi"/>
          <w:szCs w:val="24"/>
          <w:lang w:val="es-ES"/>
        </w:rPr>
        <w:t xml:space="preserve"> </w:t>
      </w:r>
      <w:r w:rsidR="00AF233B">
        <w:rPr>
          <w:rFonts w:asciiTheme="minorHAnsi" w:hAnsiTheme="minorHAnsi" w:cstheme="minorHAnsi"/>
          <w:szCs w:val="24"/>
          <w:lang w:val="es-ES"/>
        </w:rPr>
        <w:t>para abrir y visualizar las opciones disponibles</w:t>
      </w:r>
      <w:r w:rsidR="00F77620" w:rsidRPr="008B7DB9">
        <w:rPr>
          <w:rFonts w:asciiTheme="minorHAnsi" w:hAnsiTheme="minorHAnsi" w:cstheme="minorHAnsi"/>
          <w:szCs w:val="24"/>
          <w:lang w:val="es-ES"/>
        </w:rPr>
        <w:t xml:space="preserve">. </w:t>
      </w:r>
    </w:p>
    <w:p w:rsidR="005358B0" w:rsidRPr="008B7DB9" w:rsidRDefault="005358B0" w:rsidP="005358B0">
      <w:pPr>
        <w:rPr>
          <w:lang w:val="es-ES"/>
        </w:rPr>
      </w:pPr>
    </w:p>
    <w:p w:rsidR="00AB4ED2" w:rsidRPr="008B7DB9" w:rsidRDefault="005358B0" w:rsidP="00AF233B">
      <w:pPr>
        <w:rPr>
          <w:lang w:val="es-ES"/>
        </w:rPr>
      </w:pPr>
      <w:r w:rsidRPr="008B7DB9"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298590</wp:posOffset>
            </wp:positionH>
            <wp:positionV relativeFrom="paragraph">
              <wp:posOffset>584870</wp:posOffset>
            </wp:positionV>
            <wp:extent cx="5337810" cy="299021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87" b="48137"/>
                    <a:stretch/>
                  </pic:blipFill>
                  <pic:spPr bwMode="auto">
                    <a:xfrm>
                      <a:off x="0" y="0"/>
                      <a:ext cx="5337810" cy="2990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33B">
        <w:rPr>
          <w:noProof/>
          <w:lang w:val="es-ES" w:eastAsia="zh-CN"/>
        </w:rPr>
        <w:t xml:space="preserve">Seleccione las notificaciones </w:t>
      </w:r>
      <w:r w:rsidR="00B753C9" w:rsidRPr="008B7DB9">
        <w:rPr>
          <w:lang w:val="es-ES"/>
        </w:rPr>
        <w:t xml:space="preserve">TIES </w:t>
      </w:r>
      <w:r w:rsidR="00AF233B">
        <w:rPr>
          <w:lang w:val="es-ES"/>
        </w:rPr>
        <w:t xml:space="preserve">que desea recibir y pulse </w:t>
      </w:r>
      <w:proofErr w:type="spellStart"/>
      <w:r w:rsidR="00BC2756" w:rsidRPr="008B7DB9">
        <w:rPr>
          <w:lang w:val="es-ES"/>
        </w:rPr>
        <w:t>Save</w:t>
      </w:r>
      <w:proofErr w:type="spellEnd"/>
      <w:r w:rsidR="00B753C9" w:rsidRPr="008B7DB9">
        <w:rPr>
          <w:lang w:val="es-ES"/>
        </w:rPr>
        <w:t xml:space="preserve">. </w:t>
      </w:r>
    </w:p>
    <w:p w:rsidR="00DE30C4" w:rsidRPr="008B7DB9" w:rsidRDefault="00DE30C4" w:rsidP="005358B0">
      <w:pPr>
        <w:rPr>
          <w:lang w:val="es-ES"/>
        </w:rPr>
      </w:pPr>
    </w:p>
    <w:p w:rsidR="00DE30C4" w:rsidRPr="008B7DB9" w:rsidRDefault="00DE30C4" w:rsidP="00DE30C4">
      <w:pPr>
        <w:jc w:val="center"/>
        <w:rPr>
          <w:lang w:val="es-ES"/>
        </w:rPr>
      </w:pPr>
      <w:r w:rsidRPr="008B7DB9">
        <w:rPr>
          <w:lang w:val="es-ES"/>
        </w:rPr>
        <w:t>______________</w:t>
      </w:r>
    </w:p>
    <w:sectPr w:rsidR="00DE30C4" w:rsidRPr="008B7DB9" w:rsidSect="00031E64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0D9" w:rsidRDefault="00A200D9">
      <w:r>
        <w:separator/>
      </w:r>
    </w:p>
  </w:endnote>
  <w:endnote w:type="continuationSeparator" w:id="0">
    <w:p w:rsidR="00A200D9" w:rsidRDefault="00A2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54" w:rsidRDefault="00AD4554" w:rsidP="00AD4554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0D9" w:rsidRDefault="00A200D9">
      <w:r>
        <w:t>____________________</w:t>
      </w:r>
    </w:p>
  </w:footnote>
  <w:footnote w:type="continuationSeparator" w:id="0">
    <w:p w:rsidR="00A200D9" w:rsidRDefault="00A20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B" w:rsidRPr="00FC6F6B" w:rsidRDefault="00E915AF" w:rsidP="00436CD1">
    <w:pPr>
      <w:pStyle w:val="Header"/>
      <w:rPr>
        <w:sz w:val="18"/>
        <w:szCs w:val="16"/>
      </w:rPr>
    </w:pPr>
    <w:r w:rsidRPr="00FC6F6B">
      <w:rPr>
        <w:sz w:val="18"/>
        <w:szCs w:val="16"/>
      </w:rPr>
      <w:tab/>
    </w:r>
    <w:r w:rsidRPr="00FC6F6B">
      <w:rPr>
        <w:sz w:val="18"/>
        <w:szCs w:val="16"/>
      </w:rPr>
      <w:tab/>
    </w:r>
    <w:r w:rsidR="006231F4"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49396C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 w:rsidR="006231F4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 w:rsidP="00FF0CA7">
    <w:pPr>
      <w:pStyle w:val="Header"/>
    </w:pPr>
    <w:r>
      <w:tab/>
    </w:r>
    <w:r>
      <w:tab/>
    </w:r>
    <w:r w:rsidR="00FF0CA7">
      <w:rPr>
        <w:sz w:val="18"/>
        <w:szCs w:val="16"/>
      </w:rPr>
      <w:t xml:space="preserve">- </w:t>
    </w:r>
    <w:r w:rsidR="00FF0CA7" w:rsidRPr="00FC6F6B">
      <w:rPr>
        <w:rStyle w:val="PageNumber"/>
        <w:sz w:val="18"/>
        <w:szCs w:val="16"/>
      </w:rPr>
      <w:fldChar w:fldCharType="begin"/>
    </w:r>
    <w:r w:rsidR="00FF0CA7" w:rsidRPr="00FC6F6B">
      <w:rPr>
        <w:rStyle w:val="PageNumber"/>
        <w:sz w:val="18"/>
        <w:szCs w:val="16"/>
      </w:rPr>
      <w:instrText xml:space="preserve"> PAGE </w:instrText>
    </w:r>
    <w:r w:rsidR="00FF0CA7" w:rsidRPr="00FC6F6B">
      <w:rPr>
        <w:rStyle w:val="PageNumber"/>
        <w:sz w:val="18"/>
        <w:szCs w:val="16"/>
      </w:rPr>
      <w:fldChar w:fldCharType="separate"/>
    </w:r>
    <w:r w:rsidR="0049396C">
      <w:rPr>
        <w:rStyle w:val="PageNumber"/>
        <w:noProof/>
        <w:sz w:val="18"/>
        <w:szCs w:val="16"/>
      </w:rPr>
      <w:t>3</w:t>
    </w:r>
    <w:r w:rsidR="00FF0CA7" w:rsidRPr="00FC6F6B">
      <w:rPr>
        <w:rStyle w:val="PageNumber"/>
        <w:sz w:val="18"/>
        <w:szCs w:val="16"/>
      </w:rPr>
      <w:fldChar w:fldCharType="end"/>
    </w:r>
    <w:r w:rsidR="00FF0CA7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217875" w:rsidTr="00F05CBF">
      <w:tc>
        <w:tcPr>
          <w:tcW w:w="9923" w:type="dxa"/>
        </w:tcPr>
        <w:p w:rsidR="00217875" w:rsidRDefault="00217875" w:rsidP="00217875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425FBFEF" wp14:editId="6E5313F4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51612A" w:rsidRDefault="00E915AF" w:rsidP="005161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56AC1"/>
    <w:rsid w:val="00006A31"/>
    <w:rsid w:val="00006C82"/>
    <w:rsid w:val="00010D21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46C76"/>
    <w:rsid w:val="00187CA3"/>
    <w:rsid w:val="00196710"/>
    <w:rsid w:val="00197324"/>
    <w:rsid w:val="001B351B"/>
    <w:rsid w:val="001B4D6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302B3"/>
    <w:rsid w:val="00230C66"/>
    <w:rsid w:val="00235A29"/>
    <w:rsid w:val="00241526"/>
    <w:rsid w:val="002443A2"/>
    <w:rsid w:val="00266E74"/>
    <w:rsid w:val="002835C3"/>
    <w:rsid w:val="00283C3B"/>
    <w:rsid w:val="002861E6"/>
    <w:rsid w:val="00287D18"/>
    <w:rsid w:val="00296A1D"/>
    <w:rsid w:val="00297BA5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84E7E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5552"/>
    <w:rsid w:val="00406D71"/>
    <w:rsid w:val="00407292"/>
    <w:rsid w:val="004326DB"/>
    <w:rsid w:val="0043682E"/>
    <w:rsid w:val="00436CD1"/>
    <w:rsid w:val="00447ECB"/>
    <w:rsid w:val="004623F7"/>
    <w:rsid w:val="00480F51"/>
    <w:rsid w:val="00481124"/>
    <w:rsid w:val="004815EB"/>
    <w:rsid w:val="00484E72"/>
    <w:rsid w:val="00487569"/>
    <w:rsid w:val="0049396C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612A"/>
    <w:rsid w:val="005224A1"/>
    <w:rsid w:val="0053118D"/>
    <w:rsid w:val="00534372"/>
    <w:rsid w:val="005358B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71DF"/>
    <w:rsid w:val="0059211A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31F4"/>
    <w:rsid w:val="00633580"/>
    <w:rsid w:val="00641DBF"/>
    <w:rsid w:val="0064371D"/>
    <w:rsid w:val="00650B2A"/>
    <w:rsid w:val="00651777"/>
    <w:rsid w:val="006550F8"/>
    <w:rsid w:val="00656226"/>
    <w:rsid w:val="006829F3"/>
    <w:rsid w:val="006A1921"/>
    <w:rsid w:val="006A518B"/>
    <w:rsid w:val="006B0590"/>
    <w:rsid w:val="006B49DA"/>
    <w:rsid w:val="006B4C75"/>
    <w:rsid w:val="006C53F8"/>
    <w:rsid w:val="006C7CDE"/>
    <w:rsid w:val="00712A04"/>
    <w:rsid w:val="00714B22"/>
    <w:rsid w:val="007234B1"/>
    <w:rsid w:val="00723D08"/>
    <w:rsid w:val="00725FDA"/>
    <w:rsid w:val="00727816"/>
    <w:rsid w:val="00730B9A"/>
    <w:rsid w:val="0073640B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2579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95BDA"/>
    <w:rsid w:val="008B35A3"/>
    <w:rsid w:val="008B37E1"/>
    <w:rsid w:val="008B45F8"/>
    <w:rsid w:val="008B7DB9"/>
    <w:rsid w:val="008C2E74"/>
    <w:rsid w:val="008D5409"/>
    <w:rsid w:val="008E006D"/>
    <w:rsid w:val="008E38B4"/>
    <w:rsid w:val="008F4581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578C8"/>
    <w:rsid w:val="00963D9D"/>
    <w:rsid w:val="009725D2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0D9"/>
    <w:rsid w:val="00A20392"/>
    <w:rsid w:val="00A20FBC"/>
    <w:rsid w:val="00A31370"/>
    <w:rsid w:val="00A34D6F"/>
    <w:rsid w:val="00A41F91"/>
    <w:rsid w:val="00A63355"/>
    <w:rsid w:val="00A7596D"/>
    <w:rsid w:val="00A963DF"/>
    <w:rsid w:val="00AB4ED2"/>
    <w:rsid w:val="00AC0C22"/>
    <w:rsid w:val="00AC3896"/>
    <w:rsid w:val="00AD2CF2"/>
    <w:rsid w:val="00AD4554"/>
    <w:rsid w:val="00AE2D88"/>
    <w:rsid w:val="00AE6F6F"/>
    <w:rsid w:val="00AE710E"/>
    <w:rsid w:val="00AF233B"/>
    <w:rsid w:val="00AF3325"/>
    <w:rsid w:val="00AF34D9"/>
    <w:rsid w:val="00AF70DA"/>
    <w:rsid w:val="00B019D3"/>
    <w:rsid w:val="00B1235F"/>
    <w:rsid w:val="00B34CF9"/>
    <w:rsid w:val="00B37559"/>
    <w:rsid w:val="00B4054B"/>
    <w:rsid w:val="00B52453"/>
    <w:rsid w:val="00B56AC1"/>
    <w:rsid w:val="00B579B0"/>
    <w:rsid w:val="00B57D11"/>
    <w:rsid w:val="00B649D7"/>
    <w:rsid w:val="00B753C9"/>
    <w:rsid w:val="00B81C2F"/>
    <w:rsid w:val="00B90743"/>
    <w:rsid w:val="00B90C45"/>
    <w:rsid w:val="00B933BE"/>
    <w:rsid w:val="00BA072F"/>
    <w:rsid w:val="00BC08C7"/>
    <w:rsid w:val="00BC2756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834D1"/>
    <w:rsid w:val="00C9291E"/>
    <w:rsid w:val="00CA3F44"/>
    <w:rsid w:val="00CA4E58"/>
    <w:rsid w:val="00CB3771"/>
    <w:rsid w:val="00CB44BF"/>
    <w:rsid w:val="00CB5153"/>
    <w:rsid w:val="00CB55EA"/>
    <w:rsid w:val="00CD1AF4"/>
    <w:rsid w:val="00CD4E44"/>
    <w:rsid w:val="00CE076A"/>
    <w:rsid w:val="00CE10AB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95D"/>
    <w:rsid w:val="00DA1B88"/>
    <w:rsid w:val="00DA4037"/>
    <w:rsid w:val="00DE30C4"/>
    <w:rsid w:val="00DE66A5"/>
    <w:rsid w:val="00DF2B50"/>
    <w:rsid w:val="00E04C86"/>
    <w:rsid w:val="00E14422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EE1592"/>
    <w:rsid w:val="00F424BF"/>
    <w:rsid w:val="00F44FC3"/>
    <w:rsid w:val="00F4608D"/>
    <w:rsid w:val="00F46107"/>
    <w:rsid w:val="00F468C5"/>
    <w:rsid w:val="00F52F39"/>
    <w:rsid w:val="00F6184F"/>
    <w:rsid w:val="00F77620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0CA7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5774F81-3A1D-4F86-A270-49F30EDF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5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9"/>
    <w:rsid w:val="00895BDA"/>
    <w:rPr>
      <w:b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895B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-CIR-0225/en" TargetMode="Externa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tie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00-CTITU-CIR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ti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go/Rcirculars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9BD66-7012-4079-BC75-1F61917C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4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3679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MJ Deraspe</dc:creator>
  <cp:lastModifiedBy>Faure, Graciela</cp:lastModifiedBy>
  <cp:revision>7</cp:revision>
  <cp:lastPrinted>2018-02-05T13:43:00Z</cp:lastPrinted>
  <dcterms:created xsi:type="dcterms:W3CDTF">2018-02-05T09:14:00Z</dcterms:created>
  <dcterms:modified xsi:type="dcterms:W3CDTF">2018-02-05T13:44:00Z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