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2E0AB7" w:rsidTr="00306452">
        <w:trPr>
          <w:jc w:val="center"/>
        </w:trPr>
        <w:tc>
          <w:tcPr>
            <w:tcW w:w="9889" w:type="dxa"/>
            <w:gridSpan w:val="3"/>
            <w:shd w:val="clear" w:color="auto" w:fill="auto"/>
          </w:tcPr>
          <w:p w:rsidR="00E53DCE" w:rsidRPr="002E0AB7" w:rsidRDefault="00A96D3A" w:rsidP="006160CB">
            <w:pPr>
              <w:spacing w:before="0"/>
              <w:jc w:val="left"/>
              <w:rPr>
                <w:rFonts w:cstheme="minorHAnsi"/>
                <w:b/>
                <w:bCs/>
                <w:color w:val="808080"/>
                <w:sz w:val="28"/>
                <w:szCs w:val="28"/>
                <w:lang w:val="es-ES_tradnl"/>
              </w:rPr>
            </w:pPr>
            <w:r w:rsidRPr="002E0AB7">
              <w:rPr>
                <w:rFonts w:cstheme="minorHAnsi"/>
                <w:b/>
                <w:bCs/>
                <w:color w:val="808080"/>
                <w:sz w:val="28"/>
                <w:szCs w:val="28"/>
                <w:lang w:val="es-ES_tradnl"/>
              </w:rPr>
              <w:t>Oficina de Radiocomunicaciones (BR)</w:t>
            </w:r>
          </w:p>
          <w:p w:rsidR="00E53DCE" w:rsidRPr="002E0AB7" w:rsidRDefault="00E53DCE" w:rsidP="006160CB">
            <w:pPr>
              <w:spacing w:before="0"/>
              <w:jc w:val="left"/>
              <w:rPr>
                <w:rFonts w:cstheme="minorHAnsi"/>
                <w:b/>
                <w:bCs/>
                <w:color w:val="808080"/>
                <w:sz w:val="28"/>
                <w:szCs w:val="28"/>
                <w:lang w:val="es-ES_tradnl"/>
              </w:rPr>
            </w:pPr>
          </w:p>
          <w:p w:rsidR="00E53DCE" w:rsidRPr="002E0AB7" w:rsidRDefault="00E53DCE" w:rsidP="006160CB">
            <w:pPr>
              <w:spacing w:before="0"/>
              <w:jc w:val="left"/>
              <w:rPr>
                <w:rFonts w:cs="Times New Roman Bold"/>
                <w:b/>
                <w:bCs/>
                <w:color w:val="808080"/>
                <w:sz w:val="28"/>
                <w:szCs w:val="28"/>
                <w:lang w:val="es-ES_tradnl"/>
              </w:rPr>
            </w:pPr>
          </w:p>
        </w:tc>
      </w:tr>
      <w:tr w:rsidR="00E53DCE" w:rsidRPr="002E0AB7" w:rsidTr="00306452">
        <w:trPr>
          <w:jc w:val="center"/>
        </w:trPr>
        <w:tc>
          <w:tcPr>
            <w:tcW w:w="7054" w:type="dxa"/>
            <w:gridSpan w:val="2"/>
            <w:shd w:val="clear" w:color="auto" w:fill="auto"/>
          </w:tcPr>
          <w:p w:rsidR="00E53DCE" w:rsidRPr="002E0AB7" w:rsidRDefault="00A96D3A" w:rsidP="0008167D">
            <w:pPr>
              <w:spacing w:before="0"/>
              <w:jc w:val="left"/>
              <w:rPr>
                <w:szCs w:val="24"/>
                <w:lang w:val="es-ES_tradnl"/>
              </w:rPr>
            </w:pPr>
            <w:r w:rsidRPr="002E0AB7">
              <w:rPr>
                <w:szCs w:val="24"/>
                <w:lang w:val="es-ES_tradnl"/>
              </w:rPr>
              <w:t>Circular Administrativa</w:t>
            </w:r>
          </w:p>
          <w:p w:rsidR="00E53DCE" w:rsidRPr="002E0AB7" w:rsidRDefault="001B3D4D" w:rsidP="00A01641">
            <w:pPr>
              <w:spacing w:before="0"/>
              <w:jc w:val="left"/>
              <w:rPr>
                <w:b/>
                <w:bCs/>
                <w:szCs w:val="24"/>
                <w:lang w:val="es-ES_tradnl"/>
              </w:rPr>
            </w:pPr>
            <w:r w:rsidRPr="002E0AB7">
              <w:rPr>
                <w:b/>
                <w:bCs/>
                <w:szCs w:val="24"/>
                <w:lang w:val="es-ES_tradnl"/>
              </w:rPr>
              <w:t>CA/</w:t>
            </w:r>
            <w:r w:rsidR="00A01641" w:rsidRPr="002E0AB7">
              <w:rPr>
                <w:b/>
                <w:bCs/>
                <w:szCs w:val="24"/>
                <w:lang w:val="es-ES_tradnl"/>
              </w:rPr>
              <w:t>245</w:t>
            </w:r>
          </w:p>
        </w:tc>
        <w:tc>
          <w:tcPr>
            <w:tcW w:w="2835" w:type="dxa"/>
            <w:shd w:val="clear" w:color="auto" w:fill="auto"/>
          </w:tcPr>
          <w:p w:rsidR="00E53DCE" w:rsidRPr="002E0AB7" w:rsidRDefault="00A96D3A" w:rsidP="0008167D">
            <w:pPr>
              <w:spacing w:before="0"/>
              <w:jc w:val="right"/>
              <w:rPr>
                <w:szCs w:val="24"/>
                <w:lang w:val="es-ES_tradnl"/>
              </w:rPr>
            </w:pPr>
            <w:r w:rsidRPr="002E0AB7">
              <w:rPr>
                <w:bCs/>
                <w:szCs w:val="24"/>
                <w:lang w:val="es-ES_tradnl"/>
              </w:rPr>
              <w:t>1</w:t>
            </w:r>
            <w:r w:rsidR="00A01641" w:rsidRPr="002E0AB7">
              <w:rPr>
                <w:bCs/>
                <w:szCs w:val="24"/>
                <w:lang w:val="es-ES_tradnl"/>
              </w:rPr>
              <w:t>3</w:t>
            </w:r>
            <w:r w:rsidRPr="002E0AB7">
              <w:rPr>
                <w:bCs/>
                <w:szCs w:val="24"/>
                <w:lang w:val="es-ES_tradnl"/>
              </w:rPr>
              <w:t xml:space="preserve"> de </w:t>
            </w:r>
            <w:r w:rsidR="0008167D">
              <w:rPr>
                <w:bCs/>
                <w:szCs w:val="24"/>
                <w:lang w:val="es-ES_tradnl"/>
              </w:rPr>
              <w:t>febrero</w:t>
            </w:r>
            <w:r w:rsidRPr="002E0AB7">
              <w:rPr>
                <w:bCs/>
                <w:szCs w:val="24"/>
                <w:lang w:val="es-ES_tradnl"/>
              </w:rPr>
              <w:t xml:space="preserve"> de 201</w:t>
            </w:r>
            <w:r w:rsidR="00A01641" w:rsidRPr="002E0AB7">
              <w:rPr>
                <w:bCs/>
                <w:szCs w:val="24"/>
                <w:lang w:val="es-ES_tradnl"/>
              </w:rPr>
              <w:t>9</w:t>
            </w:r>
          </w:p>
        </w:tc>
      </w:tr>
      <w:tr w:rsidR="00E53DCE" w:rsidRPr="002E0AB7" w:rsidTr="00306452">
        <w:trPr>
          <w:jc w:val="center"/>
        </w:trPr>
        <w:tc>
          <w:tcPr>
            <w:tcW w:w="9889" w:type="dxa"/>
            <w:gridSpan w:val="3"/>
            <w:shd w:val="clear" w:color="auto" w:fill="auto"/>
          </w:tcPr>
          <w:p w:rsidR="00E53DCE" w:rsidRPr="002E0AB7" w:rsidRDefault="00E53DCE" w:rsidP="006160CB">
            <w:pPr>
              <w:spacing w:before="0"/>
              <w:jc w:val="left"/>
              <w:rPr>
                <w:rFonts w:cs="Arial"/>
                <w:szCs w:val="24"/>
                <w:lang w:val="es-ES_tradnl"/>
              </w:rPr>
            </w:pPr>
          </w:p>
        </w:tc>
      </w:tr>
      <w:tr w:rsidR="00E53DCE" w:rsidRPr="002E0AB7" w:rsidTr="00306452">
        <w:trPr>
          <w:jc w:val="center"/>
        </w:trPr>
        <w:tc>
          <w:tcPr>
            <w:tcW w:w="9889" w:type="dxa"/>
            <w:gridSpan w:val="3"/>
            <w:shd w:val="clear" w:color="auto" w:fill="auto"/>
          </w:tcPr>
          <w:p w:rsidR="00E53DCE" w:rsidRPr="002E0AB7" w:rsidRDefault="00E53DCE" w:rsidP="006160CB">
            <w:pPr>
              <w:spacing w:before="0"/>
              <w:jc w:val="left"/>
              <w:rPr>
                <w:szCs w:val="24"/>
                <w:lang w:val="es-ES_tradnl"/>
              </w:rPr>
            </w:pPr>
          </w:p>
        </w:tc>
      </w:tr>
      <w:tr w:rsidR="00E53DCE" w:rsidRPr="0079636E" w:rsidTr="00306452">
        <w:trPr>
          <w:jc w:val="center"/>
        </w:trPr>
        <w:tc>
          <w:tcPr>
            <w:tcW w:w="9889" w:type="dxa"/>
            <w:gridSpan w:val="3"/>
            <w:shd w:val="clear" w:color="auto" w:fill="auto"/>
          </w:tcPr>
          <w:p w:rsidR="00E53DCE" w:rsidRPr="002E0AB7" w:rsidRDefault="00FE4822" w:rsidP="006160CB">
            <w:pPr>
              <w:spacing w:before="0"/>
              <w:jc w:val="left"/>
              <w:rPr>
                <w:b/>
                <w:bCs/>
                <w:szCs w:val="24"/>
                <w:lang w:val="es-ES_tradnl"/>
              </w:rPr>
            </w:pPr>
            <w:r w:rsidRPr="002E0AB7">
              <w:rPr>
                <w:b/>
                <w:szCs w:val="24"/>
                <w:lang w:val="es-ES_tradnl"/>
              </w:rPr>
              <w:t>A las Administraciones de los Estados Miembros de la UIT</w:t>
            </w:r>
            <w:r w:rsidR="00A01641" w:rsidRPr="002E0AB7">
              <w:rPr>
                <w:b/>
                <w:szCs w:val="24"/>
                <w:lang w:val="es-ES_tradnl"/>
              </w:rPr>
              <w:t xml:space="preserve"> y a los Observadores en la CMR-19</w:t>
            </w:r>
          </w:p>
          <w:p w:rsidR="00E53DCE" w:rsidRPr="002E0AB7" w:rsidRDefault="00E53DCE" w:rsidP="006160CB">
            <w:pPr>
              <w:spacing w:before="0"/>
              <w:jc w:val="left"/>
              <w:rPr>
                <w:b/>
                <w:bCs/>
                <w:szCs w:val="24"/>
                <w:lang w:val="es-ES_tradnl"/>
              </w:rPr>
            </w:pPr>
          </w:p>
        </w:tc>
      </w:tr>
      <w:tr w:rsidR="00E53DCE" w:rsidRPr="0079636E" w:rsidTr="00306452">
        <w:trPr>
          <w:jc w:val="center"/>
        </w:trPr>
        <w:tc>
          <w:tcPr>
            <w:tcW w:w="9889" w:type="dxa"/>
            <w:gridSpan w:val="3"/>
            <w:shd w:val="clear" w:color="auto" w:fill="auto"/>
          </w:tcPr>
          <w:p w:rsidR="00E53DCE" w:rsidRPr="002E0AB7" w:rsidRDefault="00E53DCE" w:rsidP="006160CB">
            <w:pPr>
              <w:spacing w:before="0"/>
              <w:jc w:val="left"/>
              <w:rPr>
                <w:szCs w:val="24"/>
                <w:lang w:val="es-ES_tradnl"/>
              </w:rPr>
            </w:pPr>
          </w:p>
        </w:tc>
      </w:tr>
      <w:tr w:rsidR="00E53DCE" w:rsidRPr="0079636E" w:rsidTr="00306452">
        <w:trPr>
          <w:jc w:val="center"/>
        </w:trPr>
        <w:tc>
          <w:tcPr>
            <w:tcW w:w="9889" w:type="dxa"/>
            <w:gridSpan w:val="3"/>
            <w:shd w:val="clear" w:color="auto" w:fill="auto"/>
          </w:tcPr>
          <w:p w:rsidR="00E53DCE" w:rsidRPr="002E0AB7" w:rsidRDefault="00E53DCE" w:rsidP="006160CB">
            <w:pPr>
              <w:spacing w:before="0"/>
              <w:jc w:val="left"/>
              <w:rPr>
                <w:szCs w:val="24"/>
                <w:lang w:val="es-ES_tradnl"/>
              </w:rPr>
            </w:pPr>
          </w:p>
        </w:tc>
      </w:tr>
      <w:tr w:rsidR="00E53DCE" w:rsidRPr="0079636E" w:rsidTr="00306452">
        <w:trPr>
          <w:jc w:val="center"/>
        </w:trPr>
        <w:tc>
          <w:tcPr>
            <w:tcW w:w="1526" w:type="dxa"/>
            <w:shd w:val="clear" w:color="auto" w:fill="auto"/>
          </w:tcPr>
          <w:p w:rsidR="00E53DCE" w:rsidRPr="002E0AB7" w:rsidRDefault="00311970" w:rsidP="006160CB">
            <w:pPr>
              <w:tabs>
                <w:tab w:val="clear" w:pos="1588"/>
                <w:tab w:val="left" w:pos="1560"/>
              </w:tabs>
              <w:spacing w:before="0"/>
              <w:jc w:val="left"/>
              <w:rPr>
                <w:szCs w:val="24"/>
                <w:lang w:val="es-ES_tradnl"/>
              </w:rPr>
            </w:pPr>
            <w:r w:rsidRPr="002E0AB7">
              <w:rPr>
                <w:szCs w:val="24"/>
                <w:lang w:val="es-ES_tradnl"/>
              </w:rPr>
              <w:t>Asunto:</w:t>
            </w:r>
          </w:p>
        </w:tc>
        <w:tc>
          <w:tcPr>
            <w:tcW w:w="8363" w:type="dxa"/>
            <w:gridSpan w:val="2"/>
            <w:vMerge w:val="restart"/>
            <w:shd w:val="clear" w:color="auto" w:fill="auto"/>
          </w:tcPr>
          <w:p w:rsidR="00E53DCE" w:rsidRPr="002E0AB7" w:rsidRDefault="00A01641" w:rsidP="006160CB">
            <w:pPr>
              <w:tabs>
                <w:tab w:val="clear" w:pos="1588"/>
                <w:tab w:val="left" w:pos="1560"/>
              </w:tabs>
              <w:spacing w:before="0"/>
              <w:rPr>
                <w:b/>
                <w:bCs/>
                <w:szCs w:val="24"/>
                <w:lang w:val="es-ES_tradnl"/>
              </w:rPr>
            </w:pPr>
            <w:r w:rsidRPr="002E0AB7">
              <w:rPr>
                <w:b/>
                <w:bCs/>
                <w:szCs w:val="24"/>
                <w:lang w:val="es-ES_tradnl"/>
              </w:rPr>
              <w:t>Conferencia Mundial de Radiocomunicaciones de 2019 (CMR-19)</w:t>
            </w:r>
          </w:p>
        </w:tc>
      </w:tr>
      <w:tr w:rsidR="00E53DCE" w:rsidRPr="0079636E" w:rsidTr="00306452">
        <w:trPr>
          <w:jc w:val="center"/>
        </w:trPr>
        <w:tc>
          <w:tcPr>
            <w:tcW w:w="1526" w:type="dxa"/>
            <w:shd w:val="clear" w:color="auto" w:fill="auto"/>
          </w:tcPr>
          <w:p w:rsidR="00E53DCE" w:rsidRPr="002E0AB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E0AB7" w:rsidRDefault="00E53DCE" w:rsidP="006160CB">
            <w:pPr>
              <w:tabs>
                <w:tab w:val="clear" w:pos="1588"/>
                <w:tab w:val="left" w:pos="1560"/>
              </w:tabs>
              <w:spacing w:before="0"/>
              <w:rPr>
                <w:b/>
                <w:bCs/>
                <w:szCs w:val="24"/>
                <w:lang w:val="es-ES_tradnl"/>
              </w:rPr>
            </w:pPr>
          </w:p>
        </w:tc>
      </w:tr>
      <w:tr w:rsidR="00E53DCE" w:rsidRPr="0079636E" w:rsidTr="00306452">
        <w:trPr>
          <w:jc w:val="center"/>
        </w:trPr>
        <w:tc>
          <w:tcPr>
            <w:tcW w:w="1526" w:type="dxa"/>
            <w:shd w:val="clear" w:color="auto" w:fill="auto"/>
          </w:tcPr>
          <w:p w:rsidR="00E53DCE" w:rsidRPr="002E0AB7"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E0AB7" w:rsidRDefault="00E53DCE" w:rsidP="006160CB">
            <w:pPr>
              <w:tabs>
                <w:tab w:val="clear" w:pos="1588"/>
                <w:tab w:val="left" w:pos="1560"/>
              </w:tabs>
              <w:spacing w:before="0"/>
              <w:rPr>
                <w:b/>
                <w:bCs/>
                <w:szCs w:val="24"/>
                <w:lang w:val="es-ES_tradnl"/>
              </w:rPr>
            </w:pPr>
          </w:p>
        </w:tc>
      </w:tr>
    </w:tbl>
    <w:p w:rsidR="00A01641" w:rsidRPr="002E0AB7" w:rsidRDefault="00A01641" w:rsidP="00A01641">
      <w:pPr>
        <w:pStyle w:val="Headingb"/>
        <w:rPr>
          <w:lang w:val="es-ES_tradnl"/>
        </w:rPr>
      </w:pPr>
      <w:bookmarkStart w:id="0" w:name="_GoBack"/>
      <w:bookmarkEnd w:id="0"/>
      <w:r w:rsidRPr="002E0AB7">
        <w:rPr>
          <w:lang w:val="es-ES_tradnl"/>
        </w:rPr>
        <w:t>Invitación, fecha y lugar de celebración</w:t>
      </w:r>
    </w:p>
    <w:p w:rsidR="00A01641" w:rsidRPr="002E0AB7" w:rsidRDefault="00A01641" w:rsidP="00C66C85">
      <w:pPr>
        <w:rPr>
          <w:lang w:val="es-ES_tradnl"/>
        </w:rPr>
      </w:pPr>
      <w:r w:rsidRPr="002E0AB7">
        <w:rPr>
          <w:lang w:val="es-ES_tradnl"/>
        </w:rPr>
        <w:t xml:space="preserve">Conforme a lo anunciado por el Secretario General en las Cartas Circulares </w:t>
      </w:r>
      <w:hyperlink r:id="rId8" w:history="1">
        <w:r w:rsidRPr="002E0AB7">
          <w:rPr>
            <w:rStyle w:val="Hyperlink"/>
            <w:szCs w:val="24"/>
            <w:lang w:val="es-ES_tradnl"/>
          </w:rPr>
          <w:t>CL-18/49</w:t>
        </w:r>
      </w:hyperlink>
      <w:r w:rsidRPr="002E0AB7">
        <w:rPr>
          <w:lang w:val="es-ES_tradnl"/>
        </w:rPr>
        <w:t xml:space="preserve">, </w:t>
      </w:r>
      <w:hyperlink r:id="rId9" w:history="1">
        <w:r w:rsidRPr="002E0AB7">
          <w:rPr>
            <w:rStyle w:val="Hyperlink"/>
            <w:szCs w:val="24"/>
            <w:lang w:val="es-ES_tradnl"/>
          </w:rPr>
          <w:t>DM-18/1005</w:t>
        </w:r>
      </w:hyperlink>
      <w:r w:rsidRPr="002E0AB7">
        <w:rPr>
          <w:lang w:val="es-ES_tradnl"/>
        </w:rPr>
        <w:t xml:space="preserve"> y </w:t>
      </w:r>
      <w:hyperlink r:id="rId10" w:history="1">
        <w:r w:rsidRPr="002E0AB7">
          <w:rPr>
            <w:rStyle w:val="Hyperlink"/>
            <w:szCs w:val="24"/>
            <w:lang w:val="es-ES_tradnl"/>
          </w:rPr>
          <w:t>DM-18/1006</w:t>
        </w:r>
      </w:hyperlink>
      <w:r w:rsidRPr="002E0AB7">
        <w:rPr>
          <w:lang w:val="es-ES_tradnl"/>
        </w:rPr>
        <w:t xml:space="preserve"> de 11 de noviembre de 2018, la </w:t>
      </w:r>
      <w:hyperlink r:id="rId11" w:history="1">
        <w:r w:rsidRPr="002E0AB7">
          <w:rPr>
            <w:rStyle w:val="Hyperlink"/>
            <w:lang w:val="es-ES_tradnl"/>
          </w:rPr>
          <w:t>Conferencia Mundial de Radiocomunicaciones de 2019 (CMR-19)</w:t>
        </w:r>
      </w:hyperlink>
      <w:r w:rsidRPr="002E0AB7">
        <w:rPr>
          <w:lang w:val="es-ES_tradnl"/>
        </w:rPr>
        <w:t xml:space="preserve"> se celebrará del 28 de octubre al 22 de noviembre de 2019 en el </w:t>
      </w:r>
      <w:r w:rsidRPr="002E0AB7">
        <w:rPr>
          <w:color w:val="000000"/>
          <w:lang w:val="es-ES_tradnl"/>
        </w:rPr>
        <w:t>Centro Internacional de Congresos de Sharm El Sheikh (SHICC)</w:t>
      </w:r>
      <w:r w:rsidRPr="002E0AB7">
        <w:rPr>
          <w:rFonts w:asciiTheme="minorHAnsi" w:hAnsiTheme="minorHAnsi"/>
          <w:lang w:val="es-ES_tradnl"/>
        </w:rPr>
        <w:t>, inmediatamente después de la Asamblea de Radiocomunicaciones de</w:t>
      </w:r>
      <w:r w:rsidRPr="002E0AB7">
        <w:rPr>
          <w:lang w:val="es-ES_tradnl"/>
        </w:rPr>
        <w:t xml:space="preserve"> 2019 (AR-19). </w:t>
      </w:r>
    </w:p>
    <w:p w:rsidR="00A01641" w:rsidRPr="002E0AB7" w:rsidRDefault="00A01641" w:rsidP="00A01641">
      <w:pPr>
        <w:rPr>
          <w:lang w:val="es-ES_tradnl"/>
        </w:rPr>
      </w:pPr>
      <w:r w:rsidRPr="002E0AB7">
        <w:rPr>
          <w:lang w:val="es-ES_tradnl"/>
        </w:rPr>
        <w:t>En esta Circular Administrativa se facilita información detallada sobre la CMR-19 que resultará útil a los miembros en los preparativos de la misma.</w:t>
      </w:r>
    </w:p>
    <w:p w:rsidR="00A01641" w:rsidRPr="002E0AB7" w:rsidRDefault="00A01641" w:rsidP="00A01641">
      <w:pPr>
        <w:rPr>
          <w:lang w:val="es-ES_tradnl"/>
        </w:rPr>
      </w:pPr>
      <w:r w:rsidRPr="002E0AB7">
        <w:rPr>
          <w:lang w:val="es-ES_tradnl" w:eastAsia="zh-CN"/>
        </w:rPr>
        <w:t xml:space="preserve">En el </w:t>
      </w:r>
      <w:r w:rsidRPr="002E0AB7">
        <w:rPr>
          <w:lang w:val="es-ES_tradnl"/>
        </w:rPr>
        <w:t>Anexo</w:t>
      </w:r>
      <w:r w:rsidRPr="002E0AB7">
        <w:rPr>
          <w:lang w:val="es-ES_tradnl" w:eastAsia="zh-CN"/>
        </w:rPr>
        <w:t xml:space="preserve"> puede encontrarse el orden del día de la Conferencia, reproducido de la Resolución </w:t>
      </w:r>
      <w:hyperlink r:id="rId12" w:history="1">
        <w:r w:rsidRPr="002E0AB7">
          <w:rPr>
            <w:rStyle w:val="Hyperlink"/>
            <w:lang w:val="es-ES_tradnl"/>
          </w:rPr>
          <w:t>1380</w:t>
        </w:r>
      </w:hyperlink>
      <w:r w:rsidRPr="002E0AB7">
        <w:rPr>
          <w:color w:val="000000"/>
          <w:lang w:val="es-ES_tradnl"/>
        </w:rPr>
        <w:t xml:space="preserve"> (modificada en 2017) </w:t>
      </w:r>
      <w:r w:rsidRPr="002E0AB7">
        <w:rPr>
          <w:lang w:val="es-ES_tradnl" w:eastAsia="zh-CN"/>
        </w:rPr>
        <w:t>del Consejo.</w:t>
      </w:r>
    </w:p>
    <w:p w:rsidR="00A01641" w:rsidRPr="002E0AB7" w:rsidRDefault="00A01641" w:rsidP="00A01641">
      <w:pPr>
        <w:pStyle w:val="Headingb"/>
        <w:rPr>
          <w:lang w:val="es-ES_tradnl"/>
        </w:rPr>
      </w:pPr>
      <w:r w:rsidRPr="002E0AB7">
        <w:rPr>
          <w:lang w:val="es-ES_tradnl"/>
        </w:rPr>
        <w:t>Presentación de propuestas para la CMR-19</w:t>
      </w:r>
    </w:p>
    <w:p w:rsidR="00C66C85" w:rsidRPr="002E0AB7" w:rsidRDefault="00C66C85" w:rsidP="00C66C85">
      <w:pPr>
        <w:rPr>
          <w:lang w:val="es-ES_tradnl"/>
        </w:rPr>
      </w:pPr>
      <w:r w:rsidRPr="002E0AB7">
        <w:rPr>
          <w:lang w:val="es-ES_tradnl"/>
        </w:rPr>
        <w:t xml:space="preserve">Los Estados Miembros y el Estado de Palestina pueden presentar propuestas para los trabajos de la CMR-19. De conformidad con las disposiciones de la sección 8 del Reglamento </w:t>
      </w:r>
      <w:r w:rsidR="0008167D" w:rsidRPr="002E0AB7">
        <w:rPr>
          <w:lang w:val="es-ES_tradnl"/>
        </w:rPr>
        <w:t>General</w:t>
      </w:r>
      <w:r w:rsidRPr="002E0AB7">
        <w:rPr>
          <w:lang w:val="es-ES_tradnl"/>
        </w:rPr>
        <w:t>, le invito a que presente sus propuestas para los trabajos de la Conferencia</w:t>
      </w:r>
      <w:r w:rsidRPr="002E0AB7">
        <w:rPr>
          <w:color w:val="000000"/>
          <w:lang w:val="es-ES_tradnl"/>
        </w:rPr>
        <w:t xml:space="preserve">, si lo considera apropiado. </w:t>
      </w:r>
      <w:r w:rsidRPr="002E0AB7">
        <w:rPr>
          <w:lang w:val="es-ES_tradnl"/>
        </w:rPr>
        <w:t xml:space="preserve">Estas propuestas deberán obrar en poder de la Secretaría de la UIT al menos cuatro (4) meses (esto es, el </w:t>
      </w:r>
      <w:r w:rsidRPr="002E0AB7">
        <w:rPr>
          <w:b/>
          <w:bCs/>
          <w:lang w:val="es-ES_tradnl"/>
        </w:rPr>
        <w:t>28 de junio de 2019</w:t>
      </w:r>
      <w:r w:rsidRPr="002E0AB7">
        <w:rPr>
          <w:lang w:val="es-ES_tradnl"/>
        </w:rPr>
        <w:t>) antes del comienzo de la Conferencia (número 40 del Reglamento General).</w:t>
      </w:r>
    </w:p>
    <w:p w:rsidR="00C66C85" w:rsidRPr="002E0AB7" w:rsidRDefault="00C66C85" w:rsidP="0008167D">
      <w:pPr>
        <w:rPr>
          <w:rFonts w:asciiTheme="minorHAnsi" w:hAnsiTheme="minorHAnsi" w:cstheme="minorHAnsi"/>
          <w:lang w:val="es-ES_tradnl"/>
        </w:rPr>
      </w:pPr>
      <w:r w:rsidRPr="002E0AB7">
        <w:rPr>
          <w:lang w:val="es-ES_tradnl" w:eastAsia="zh-CN"/>
        </w:rPr>
        <w:t>Además, quisiera recordar a los Estados Miembros que, de conformidad con la Resolución 165 (Rev.</w:t>
      </w:r>
      <w:r w:rsidR="0008167D">
        <w:rPr>
          <w:lang w:val="es-ES_tradnl" w:eastAsia="zh-CN"/>
        </w:rPr>
        <w:t> </w:t>
      </w:r>
      <w:r w:rsidRPr="002E0AB7">
        <w:rPr>
          <w:lang w:val="es-ES_tradnl" w:eastAsia="zh-CN"/>
        </w:rPr>
        <w:t xml:space="preserve">Dubái, 2018), el plazo fijo máximo para la presentación de las contribuciones es de veintiún (21) días naturales antes de la apertura de la Conferencia (es decir, el </w:t>
      </w:r>
      <w:r w:rsidRPr="002E0AB7">
        <w:rPr>
          <w:b/>
          <w:bCs/>
          <w:lang w:val="es-ES_tradnl" w:eastAsia="zh-CN"/>
        </w:rPr>
        <w:t>7 de octubre de 2019</w:t>
      </w:r>
      <w:r w:rsidRPr="0008167D">
        <w:rPr>
          <w:lang w:val="es-ES_tradnl" w:eastAsia="zh-CN"/>
        </w:rPr>
        <w:t>)</w:t>
      </w:r>
      <w:r w:rsidRPr="002E0AB7">
        <w:rPr>
          <w:lang w:val="es-ES_tradnl" w:eastAsia="zh-CN"/>
        </w:rPr>
        <w:t>, a fin de asegurar su pronta traducción y su examen minucioso por las delegaciones</w:t>
      </w:r>
      <w:r w:rsidRPr="002E0AB7">
        <w:rPr>
          <w:rFonts w:asciiTheme="minorHAnsi" w:hAnsiTheme="minorHAnsi" w:cstheme="minorHAnsi"/>
          <w:lang w:val="es-ES_tradnl"/>
        </w:rPr>
        <w:t>.</w:t>
      </w:r>
    </w:p>
    <w:p w:rsidR="00E53DCE" w:rsidRPr="002E0AB7" w:rsidRDefault="00C66C85" w:rsidP="00AC7D20">
      <w:pPr>
        <w:rPr>
          <w:szCs w:val="24"/>
          <w:lang w:val="es-ES_tradnl"/>
        </w:rPr>
      </w:pPr>
      <w:r w:rsidRPr="002E0AB7">
        <w:rPr>
          <w:lang w:val="es-ES_tradnl"/>
        </w:rPr>
        <w:t xml:space="preserve">El personal acreditado o el coordinador designado de la administración correspondiente deberá enviar las propuestas por correo electrónico a la Secretaría, </w:t>
      </w:r>
      <w:hyperlink r:id="rId13" w:history="1">
        <w:r w:rsidR="00AC7D20" w:rsidRPr="00AC7D20">
          <w:rPr>
            <w:rStyle w:val="Hyperlink"/>
            <w:lang w:val="es-ES"/>
          </w:rPr>
          <w:t>wrc19@itu.int</w:t>
        </w:r>
      </w:hyperlink>
      <w:r w:rsidRPr="002E0AB7">
        <w:rPr>
          <w:lang w:val="es-ES_tradnl"/>
        </w:rPr>
        <w:t>.</w:t>
      </w:r>
    </w:p>
    <w:p w:rsidR="00C66C85" w:rsidRPr="002E0AB7" w:rsidRDefault="00C66C85" w:rsidP="00C66C85">
      <w:pPr>
        <w:rPr>
          <w:lang w:val="es-ES_tradnl"/>
        </w:rPr>
      </w:pPr>
      <w:r w:rsidRPr="002E0AB7">
        <w:rPr>
          <w:lang w:val="es-ES_tradnl"/>
        </w:rPr>
        <w:t xml:space="preserve">Se insta a los Estados Miembros y al Estado de Palestina a preparar sus propuestas iniciales con el mayor cuidado a fin de evitar la innecesaria revisión de los documentos. De conformidad con lo dispuesto en los </w:t>
      </w:r>
      <w:r w:rsidRPr="00AC7D20">
        <w:rPr>
          <w:rStyle w:val="Hyperlink"/>
          <w:rFonts w:asciiTheme="minorHAnsi" w:hAnsiTheme="minorHAnsi"/>
          <w:color w:val="auto"/>
          <w:u w:val="none"/>
          <w:lang w:val="es-ES_tradnl"/>
        </w:rPr>
        <w:t xml:space="preserve">números 41 y 42 </w:t>
      </w:r>
      <w:r w:rsidRPr="00AC7D20">
        <w:rPr>
          <w:lang w:val="es-ES_tradnl"/>
        </w:rPr>
        <w:t>del</w:t>
      </w:r>
      <w:r w:rsidRPr="002E0AB7">
        <w:rPr>
          <w:lang w:val="es-ES_tradnl"/>
        </w:rPr>
        <w:t xml:space="preserve"> Reglamento </w:t>
      </w:r>
      <w:r w:rsidR="00AC7D20" w:rsidRPr="002E0AB7">
        <w:rPr>
          <w:lang w:val="es-ES_tradnl"/>
        </w:rPr>
        <w:t xml:space="preserve">General </w:t>
      </w:r>
      <w:r w:rsidRPr="002E0AB7">
        <w:rPr>
          <w:lang w:val="es-ES_tradnl"/>
        </w:rPr>
        <w:t xml:space="preserve">de las conferencias, asambleas y reuniones de la Unión en cuanto al formato de las propuestas para la Conferencia, la Secretaría ha </w:t>
      </w:r>
      <w:r w:rsidRPr="002E0AB7">
        <w:rPr>
          <w:lang w:val="es-ES_tradnl"/>
        </w:rPr>
        <w:lastRenderedPageBreak/>
        <w:t xml:space="preserve">preparado unas </w:t>
      </w:r>
      <w:hyperlink r:id="rId14" w:history="1">
        <w:r w:rsidRPr="002E0AB7">
          <w:rPr>
            <w:rStyle w:val="Hyperlink"/>
            <w:lang w:val="es-ES_tradnl"/>
          </w:rPr>
          <w:t>directrices sobre la presentación de propuestas para la CMR-19</w:t>
        </w:r>
      </w:hyperlink>
      <w:r w:rsidRPr="002E0AB7">
        <w:rPr>
          <w:lang w:val="es-ES_tradnl"/>
        </w:rPr>
        <w:t xml:space="preserve">, disponibles en el sitio web de la CMR-19 en </w:t>
      </w:r>
      <w:hyperlink r:id="rId15" w:history="1">
        <w:r w:rsidRPr="002E0AB7">
          <w:rPr>
            <w:rStyle w:val="Hyperlink"/>
            <w:lang w:val="es-ES_tradnl"/>
          </w:rPr>
          <w:t>www.itu.int/go/WRC-19</w:t>
        </w:r>
      </w:hyperlink>
      <w:r w:rsidRPr="002E0AB7">
        <w:rPr>
          <w:lang w:val="es-ES_tradnl"/>
        </w:rPr>
        <w:t>.</w:t>
      </w:r>
    </w:p>
    <w:p w:rsidR="00D21694" w:rsidRPr="002E0AB7" w:rsidRDefault="00C66C85" w:rsidP="00C66C85">
      <w:pPr>
        <w:rPr>
          <w:rFonts w:asciiTheme="minorHAnsi" w:hAnsiTheme="minorHAnsi" w:cstheme="minorHAnsi"/>
          <w:szCs w:val="24"/>
          <w:lang w:val="es-ES_tradnl"/>
        </w:rPr>
      </w:pPr>
      <w:r w:rsidRPr="002E0AB7">
        <w:rPr>
          <w:lang w:val="es-ES_tradnl"/>
        </w:rPr>
        <w:t xml:space="preserve">La </w:t>
      </w:r>
      <w:r w:rsidRPr="002E0AB7">
        <w:rPr>
          <w:b/>
          <w:bCs/>
          <w:lang w:val="es-ES_tradnl"/>
        </w:rPr>
        <w:t>Interfaz de Propuestas a la Conferencia (CPI) para la CMR-19</w:t>
      </w:r>
      <w:r w:rsidRPr="002E0AB7">
        <w:rPr>
          <w:lang w:val="es-ES_tradnl"/>
        </w:rPr>
        <w:t xml:space="preserve">, una herramienta electrónica elaborada para facilitar la preparación de las propuestas para la Conferencia que está disponible para la CMR-19, puede obtenerse con este propósito en </w:t>
      </w:r>
      <w:hyperlink r:id="rId16" w:history="1">
        <w:r w:rsidR="00DA703C" w:rsidRPr="00860347">
          <w:rPr>
            <w:rStyle w:val="Hyperlink"/>
            <w:lang w:val="es-ES_tradnl"/>
          </w:rPr>
          <w:t>www.itu.int/en/ITU-R/conferences/wrc/</w:t>
        </w:r>
        <w:r w:rsidR="00DA703C" w:rsidRPr="00860347">
          <w:rPr>
            <w:rStyle w:val="Hyperlink"/>
            <w:lang w:val="es-ES_tradnl"/>
          </w:rPr>
          <w:br/>
          <w:t>2019/Pages/Proposals.aspx</w:t>
        </w:r>
      </w:hyperlink>
      <w:r w:rsidRPr="002E0AB7">
        <w:rPr>
          <w:lang w:val="es-ES_tradnl"/>
        </w:rPr>
        <w:t>, junto con la guía de usuario.</w:t>
      </w:r>
    </w:p>
    <w:p w:rsidR="00C66C85" w:rsidRPr="002E0AB7" w:rsidRDefault="00C66C85" w:rsidP="00C66C85">
      <w:pPr>
        <w:pStyle w:val="Headingb"/>
        <w:rPr>
          <w:lang w:val="es-ES_tradnl"/>
        </w:rPr>
      </w:pPr>
      <w:r w:rsidRPr="002E0AB7">
        <w:rPr>
          <w:lang w:val="es-ES_tradnl"/>
        </w:rPr>
        <w:t>Disponibilidad de los documentos preparados antes de la CMR-19 y durante la misma</w:t>
      </w:r>
    </w:p>
    <w:p w:rsidR="00C66C85" w:rsidRPr="002E0AB7" w:rsidRDefault="00C66C85" w:rsidP="00CD7272">
      <w:pPr>
        <w:rPr>
          <w:lang w:val="es-ES_tradnl"/>
        </w:rPr>
      </w:pPr>
      <w:r w:rsidRPr="002E0AB7">
        <w:rPr>
          <w:rFonts w:eastAsia="MS PGothic"/>
          <w:lang w:val="es-ES_tradnl" w:eastAsia="zh-CN"/>
        </w:rPr>
        <w:t xml:space="preserve">De conformidad con el número 8 del Anexo 2 a la Decisión 5 (Rev. Dubái, 2018) y a fin de reducir el costo de documentación de las conferencias de la UIT, </w:t>
      </w:r>
      <w:r w:rsidRPr="002E0AB7">
        <w:rPr>
          <w:rFonts w:eastAsia="MS PGothic"/>
          <w:b/>
          <w:bCs/>
          <w:lang w:val="es-ES_tradnl" w:eastAsia="zh-CN"/>
        </w:rPr>
        <w:t>la CMR-19 se celebrará íntegramente sin papel</w:t>
      </w:r>
      <w:r w:rsidRPr="002E0AB7">
        <w:rPr>
          <w:rFonts w:eastAsia="MS PGothic"/>
          <w:lang w:val="es-ES_tradnl" w:eastAsia="zh-CN"/>
        </w:rPr>
        <w:t>. Todos los documentos podrán consultarse en formato electrónico en el sitio web de la CMR</w:t>
      </w:r>
      <w:r w:rsidR="00DA703C">
        <w:rPr>
          <w:lang w:val="es-ES_tradnl"/>
        </w:rPr>
        <w:noBreakHyphen/>
      </w:r>
      <w:r w:rsidRPr="002E0AB7">
        <w:rPr>
          <w:lang w:val="es-ES_tradnl"/>
        </w:rPr>
        <w:t>19, incluidas las Actas Finales Provisionales de la Conferencia, que s</w:t>
      </w:r>
      <w:r w:rsidR="00CD7272">
        <w:rPr>
          <w:lang w:val="es-ES_tradnl"/>
        </w:rPr>
        <w:t>ó</w:t>
      </w:r>
      <w:r w:rsidRPr="002E0AB7">
        <w:rPr>
          <w:lang w:val="es-ES_tradnl"/>
        </w:rPr>
        <w:t xml:space="preserve">lo estarán disponibles en formato electrónico. </w:t>
      </w:r>
    </w:p>
    <w:p w:rsidR="00C66C85" w:rsidRPr="002E0AB7" w:rsidRDefault="00C66C85" w:rsidP="00C66C85">
      <w:pPr>
        <w:rPr>
          <w:lang w:val="es-ES_tradnl"/>
        </w:rPr>
      </w:pPr>
      <w:r w:rsidRPr="002E0AB7">
        <w:rPr>
          <w:lang w:val="es-ES_tradnl"/>
        </w:rPr>
        <w:t xml:space="preserve">Los delegados dispondrán de instalaciones de LAN inalámbrica en las salas de reunión. </w:t>
      </w:r>
    </w:p>
    <w:p w:rsidR="00C66C85" w:rsidRPr="002E0AB7" w:rsidRDefault="00C66C85" w:rsidP="00C66C85">
      <w:pPr>
        <w:rPr>
          <w:lang w:val="es-ES_tradnl"/>
        </w:rPr>
      </w:pPr>
      <w:r w:rsidRPr="002E0AB7">
        <w:rPr>
          <w:lang w:val="es-ES_tradnl"/>
        </w:rPr>
        <w:t>El Sistema de Gestión de Propuestas de la CMR-19, que permite acceder fácilmente por web a las propuestas para los trabajos de la Conferencia, también estará disponible en el sitio web de la Conferencia junto con otras herramientas electrónicas.</w:t>
      </w:r>
    </w:p>
    <w:p w:rsidR="00C66C85" w:rsidRPr="002E0AB7" w:rsidRDefault="00C66C85" w:rsidP="00C66C85">
      <w:pPr>
        <w:rPr>
          <w:color w:val="000000"/>
          <w:shd w:val="clear" w:color="auto" w:fill="FFFFFF"/>
          <w:lang w:val="es-ES_tradnl"/>
        </w:rPr>
      </w:pPr>
      <w:r w:rsidRPr="002E0AB7">
        <w:rPr>
          <w:lang w:val="es-ES_tradnl"/>
        </w:rPr>
        <w:t xml:space="preserve">A fin de acceder a los documentos de la CMR-19 y demás recursos electrónicos será necesario disponer de una </w:t>
      </w:r>
      <w:hyperlink r:id="rId17" w:history="1">
        <w:r w:rsidRPr="002E0AB7">
          <w:rPr>
            <w:rStyle w:val="Hyperlink"/>
            <w:lang w:val="es-ES_tradnl"/>
          </w:rPr>
          <w:t>cuenta TIES</w:t>
        </w:r>
      </w:hyperlink>
      <w:r w:rsidRPr="002E0AB7">
        <w:rPr>
          <w:lang w:val="es-ES_tradnl"/>
        </w:rPr>
        <w:t xml:space="preserve"> de la UIT</w:t>
      </w:r>
      <w:r w:rsidRPr="002E0AB7">
        <w:rPr>
          <w:color w:val="000000"/>
          <w:shd w:val="clear" w:color="auto" w:fill="FFFFFF"/>
          <w:lang w:val="es-ES_tradnl"/>
        </w:rPr>
        <w:t>.</w:t>
      </w:r>
    </w:p>
    <w:p w:rsidR="00C66C85" w:rsidRPr="002E0AB7" w:rsidRDefault="00C66C85" w:rsidP="00C66C85">
      <w:pPr>
        <w:pStyle w:val="Headingb"/>
        <w:rPr>
          <w:lang w:val="es-ES_tradnl"/>
        </w:rPr>
      </w:pPr>
      <w:r w:rsidRPr="002E0AB7">
        <w:rPr>
          <w:lang w:val="es-ES_tradnl"/>
        </w:rPr>
        <w:t>Ejercicio de los derechos y credenciales para la Conferencia</w:t>
      </w:r>
    </w:p>
    <w:p w:rsidR="00C66C85" w:rsidRPr="002E0AB7" w:rsidRDefault="00C66C85" w:rsidP="00C66C85">
      <w:pPr>
        <w:rPr>
          <w:lang w:val="es-ES_tradnl"/>
        </w:rPr>
      </w:pPr>
      <w:r w:rsidRPr="002E0AB7">
        <w:rPr>
          <w:lang w:val="es-ES_tradnl"/>
        </w:rPr>
        <w:t>Además, permítame recordarle que sólo podrán ejercer plenamente su derecho soberano en la Conferencia los Estados Miembros de la UIT que hayan conservado su derecho de voto, de conformidad con los números 169 y 210 de la Constitución, y que estén representados en la Conferencia por delegaciones debidamente acreditadas, de conformidad con el Artículo 31 del Convenio. Se enviará información adicional a los Estados Miembros sobre la presentación de credenciales para la CMR-19 a la mayor brevedad posible.</w:t>
      </w:r>
    </w:p>
    <w:p w:rsidR="00C66C85" w:rsidRPr="002E0AB7" w:rsidRDefault="00C66C85" w:rsidP="00C66C85">
      <w:pPr>
        <w:pStyle w:val="Headingb"/>
        <w:rPr>
          <w:lang w:val="es-ES_tradnl"/>
        </w:rPr>
      </w:pPr>
      <w:r w:rsidRPr="002E0AB7">
        <w:rPr>
          <w:lang w:val="es-ES_tradnl"/>
        </w:rPr>
        <w:t>Inscripción y requisitos de visado</w:t>
      </w:r>
    </w:p>
    <w:p w:rsidR="00C66C85" w:rsidRPr="002E0AB7" w:rsidRDefault="00C66C85" w:rsidP="00C66C85">
      <w:pPr>
        <w:rPr>
          <w:lang w:val="es-ES_tradnl"/>
        </w:rPr>
      </w:pPr>
      <w:r w:rsidRPr="002E0AB7">
        <w:rPr>
          <w:lang w:val="es-ES_tradnl"/>
        </w:rPr>
        <w:t>La inscripción para la CMR-19 se abrirá en junio de 2019. La inscripción anticipada para la CMR-19 es obligatoria y se llevará a cabo</w:t>
      </w:r>
      <w:r w:rsidRPr="002E0AB7">
        <w:rPr>
          <w:szCs w:val="24"/>
          <w:lang w:val="es-ES_tradnl"/>
        </w:rPr>
        <w:t xml:space="preserve"> </w:t>
      </w:r>
      <w:r w:rsidRPr="002E0AB7">
        <w:rPr>
          <w:lang w:val="es-ES_tradnl"/>
        </w:rPr>
        <w:t xml:space="preserve">exclusivamente en línea a través de los coordinadores designados (DFP) para la inscripción en eventos del UIT-R. Se publicará información adicional en el </w:t>
      </w:r>
      <w:hyperlink r:id="rId18" w:history="1">
        <w:r w:rsidRPr="002E0AB7">
          <w:rPr>
            <w:rStyle w:val="Hyperlink"/>
            <w:lang w:val="es-ES_tradnl"/>
          </w:rPr>
          <w:t>sitio web de la CMR-19</w:t>
        </w:r>
      </w:hyperlink>
      <w:r w:rsidRPr="002E0AB7">
        <w:rPr>
          <w:lang w:val="es-ES_tradnl"/>
        </w:rPr>
        <w:t xml:space="preserve"> a su debido tiempo</w:t>
      </w:r>
      <w:r w:rsidR="00ED5285">
        <w:rPr>
          <w:lang w:val="es-ES_tradnl"/>
        </w:rPr>
        <w:t>.</w:t>
      </w:r>
    </w:p>
    <w:p w:rsidR="00C66C85" w:rsidRPr="002E0AB7" w:rsidRDefault="00C66C85" w:rsidP="00C66C85">
      <w:pPr>
        <w:rPr>
          <w:lang w:val="es-ES_tradnl"/>
        </w:rPr>
      </w:pPr>
      <w:r w:rsidRPr="002E0AB7">
        <w:rPr>
          <w:lang w:val="es-ES_tradnl"/>
        </w:rPr>
        <w:t>Le ruego que tenga presente que los visados para viajar a Egipto no pueden obtenerse a través de la Secretaría de la UIT. El sitio web del país anfitrión, al que se puede acceder desde el sitio web de la CMR-19, contendrá información sobre los requisitos de visado para viajar a Egipto.</w:t>
      </w:r>
    </w:p>
    <w:p w:rsidR="00C66C85" w:rsidRPr="002E0AB7" w:rsidRDefault="00C66C85" w:rsidP="00C66C85">
      <w:pPr>
        <w:rPr>
          <w:lang w:val="es-ES_tradnl"/>
        </w:rPr>
      </w:pPr>
      <w:r w:rsidRPr="002E0AB7">
        <w:rPr>
          <w:lang w:val="es-ES_tradnl"/>
        </w:rPr>
        <w:t>Para agilizar la tramitación de las solicitudes de visado por parte del país anfitrión, se invita a los países que requieran visado a incluir la información de sus pasaportes en el formulario de inscripción en línea. A continuación, la Secretaría de la UIT comunicará esta información a las autoridades de Egipto.</w:t>
      </w:r>
    </w:p>
    <w:p w:rsidR="00C66C85" w:rsidRPr="002E0AB7" w:rsidRDefault="00C66C85" w:rsidP="00C66C85">
      <w:pPr>
        <w:pStyle w:val="Headingb"/>
        <w:rPr>
          <w:lang w:val="es-ES_tradnl"/>
        </w:rPr>
      </w:pPr>
      <w:r w:rsidRPr="002E0AB7">
        <w:rPr>
          <w:lang w:val="es-ES_tradnl"/>
        </w:rPr>
        <w:t>Información práctica</w:t>
      </w:r>
    </w:p>
    <w:p w:rsidR="00C66C85" w:rsidRPr="002E0AB7" w:rsidRDefault="00C66C85" w:rsidP="00C66C85">
      <w:pPr>
        <w:rPr>
          <w:lang w:val="es-ES_tradnl"/>
        </w:rPr>
      </w:pPr>
      <w:r w:rsidRPr="002E0AB7">
        <w:rPr>
          <w:lang w:val="es-ES_tradnl"/>
        </w:rPr>
        <w:t>El sitio web del país anfitrión, al que se puede acceder desde el sitio web de la CMR-19, proporcionará información práctica sobre la reserva de alojamiento, las solicitudes de visado, el viaje a Egipto y el transporte local, entre otros asuntos. El sitio web se actualizará periódicamente a medida que se disponga de más información.</w:t>
      </w:r>
    </w:p>
    <w:p w:rsidR="00C66C85" w:rsidRPr="002E0AB7" w:rsidRDefault="00C66C85" w:rsidP="00C66C85">
      <w:pPr>
        <w:pStyle w:val="Headingb"/>
        <w:rPr>
          <w:lang w:val="es-ES_tradnl"/>
        </w:rPr>
      </w:pPr>
      <w:r w:rsidRPr="002E0AB7">
        <w:rPr>
          <w:lang w:val="es-ES_tradnl"/>
        </w:rPr>
        <w:lastRenderedPageBreak/>
        <w:t>Otra información</w:t>
      </w:r>
    </w:p>
    <w:p w:rsidR="00C66C85" w:rsidRPr="002E0AB7" w:rsidRDefault="00D5455D" w:rsidP="00D5455D">
      <w:pPr>
        <w:rPr>
          <w:lang w:val="es-ES_tradnl"/>
        </w:rPr>
      </w:pPr>
      <w:r>
        <w:rPr>
          <w:lang w:val="es-ES_tradnl"/>
        </w:rPr>
        <w:t>Sírvase dirigir sus preguntas sobre cuestiones generales en relación con la CMR-19 a la dirección</w:t>
      </w:r>
      <w:r w:rsidR="00C66C85" w:rsidRPr="002E0AB7">
        <w:rPr>
          <w:lang w:val="es-ES_tradnl"/>
        </w:rPr>
        <w:t xml:space="preserve">: </w:t>
      </w:r>
      <w:hyperlink r:id="rId19" w:history="1">
        <w:r w:rsidR="00C66C85" w:rsidRPr="002E0AB7">
          <w:rPr>
            <w:rStyle w:val="Hyperlink"/>
            <w:lang w:val="es-ES_tradnl"/>
          </w:rPr>
          <w:t>wrc19contact@itu.int</w:t>
        </w:r>
      </w:hyperlink>
      <w:r w:rsidR="00C66C85" w:rsidRPr="002E0AB7">
        <w:rPr>
          <w:lang w:val="es-ES_tradnl"/>
        </w:rPr>
        <w:t>.</w:t>
      </w:r>
    </w:p>
    <w:p w:rsidR="00031E64" w:rsidRPr="002E0AB7" w:rsidRDefault="001B3D4D" w:rsidP="00E16FD0">
      <w:pPr>
        <w:spacing w:before="1200" w:line="240" w:lineRule="auto"/>
        <w:jc w:val="left"/>
        <w:rPr>
          <w:szCs w:val="24"/>
          <w:lang w:val="es-ES_tradnl"/>
        </w:rPr>
      </w:pPr>
      <w:r w:rsidRPr="002E0AB7">
        <w:rPr>
          <w:rFonts w:asciiTheme="minorHAnsi" w:hAnsiTheme="minorHAnsi" w:cstheme="minorHAnsi"/>
          <w:lang w:val="es-ES_tradnl"/>
        </w:rPr>
        <w:t>Mario Maniewicz</w:t>
      </w:r>
      <w:r w:rsidR="00E53DCE" w:rsidRPr="002E0AB7">
        <w:rPr>
          <w:szCs w:val="24"/>
          <w:lang w:val="es-ES_tradnl"/>
        </w:rPr>
        <w:br/>
      </w:r>
      <w:r w:rsidR="00A96D3A" w:rsidRPr="002E0AB7">
        <w:rPr>
          <w:szCs w:val="24"/>
          <w:lang w:val="es-ES_tradnl"/>
        </w:rPr>
        <w:t xml:space="preserve">Director </w:t>
      </w:r>
    </w:p>
    <w:p w:rsidR="00D230C4" w:rsidRPr="002E0AB7" w:rsidRDefault="00D230C4" w:rsidP="00E16FD0">
      <w:pPr>
        <w:spacing w:before="8520" w:line="240" w:lineRule="auto"/>
        <w:jc w:val="left"/>
        <w:rPr>
          <w:szCs w:val="24"/>
          <w:lang w:val="es-ES_tradnl"/>
        </w:rPr>
      </w:pPr>
      <w:r w:rsidRPr="002E0AB7">
        <w:rPr>
          <w:b/>
          <w:bCs/>
          <w:szCs w:val="24"/>
          <w:lang w:val="es-ES_tradnl"/>
        </w:rPr>
        <w:t>Anexo</w:t>
      </w:r>
      <w:r w:rsidRPr="002E0AB7">
        <w:rPr>
          <w:szCs w:val="24"/>
          <w:lang w:val="es-ES_tradnl"/>
        </w:rPr>
        <w:t>:</w:t>
      </w:r>
      <w:r w:rsidR="005A78C1" w:rsidRPr="002E0AB7">
        <w:rPr>
          <w:szCs w:val="24"/>
          <w:lang w:val="es-ES_tradnl"/>
        </w:rPr>
        <w:t xml:space="preserve"> </w:t>
      </w:r>
      <w:r w:rsidRPr="002E0AB7">
        <w:rPr>
          <w:szCs w:val="24"/>
          <w:lang w:val="es-ES_tradnl"/>
        </w:rPr>
        <w:t>1</w:t>
      </w:r>
    </w:p>
    <w:p w:rsidR="00D230C4" w:rsidRPr="002E0AB7" w:rsidRDefault="00D230C4" w:rsidP="00E16FD0">
      <w:pPr>
        <w:spacing w:before="240"/>
        <w:jc w:val="left"/>
        <w:rPr>
          <w:b/>
          <w:bCs/>
          <w:sz w:val="18"/>
          <w:szCs w:val="18"/>
          <w:lang w:val="es-ES_tradnl"/>
        </w:rPr>
      </w:pPr>
      <w:r w:rsidRPr="002E0AB7">
        <w:rPr>
          <w:b/>
          <w:bCs/>
          <w:sz w:val="18"/>
          <w:szCs w:val="18"/>
          <w:lang w:val="es-ES_tradnl"/>
        </w:rPr>
        <w:t>Distribución:</w:t>
      </w:r>
    </w:p>
    <w:p w:rsidR="00D230C4" w:rsidRPr="002E0AB7" w:rsidRDefault="00D230C4" w:rsidP="00D230C4">
      <w:pPr>
        <w:spacing w:line="240" w:lineRule="auto"/>
        <w:rPr>
          <w:sz w:val="18"/>
          <w:szCs w:val="18"/>
          <w:lang w:val="es-ES_tradnl"/>
        </w:rPr>
      </w:pPr>
      <w:r w:rsidRPr="002E0AB7">
        <w:rPr>
          <w:sz w:val="18"/>
          <w:szCs w:val="18"/>
          <w:lang w:val="es-ES_tradnl"/>
        </w:rPr>
        <w:t>–</w:t>
      </w:r>
      <w:r w:rsidRPr="002E0AB7">
        <w:rPr>
          <w:sz w:val="18"/>
          <w:szCs w:val="18"/>
          <w:lang w:val="es-ES_tradnl"/>
        </w:rPr>
        <w:tab/>
        <w:t>Administraciones de los Estados Miembros de la UIT</w:t>
      </w:r>
    </w:p>
    <w:p w:rsidR="00D230C4" w:rsidRPr="002E0AB7" w:rsidRDefault="00D230C4" w:rsidP="00D230C4">
      <w:pPr>
        <w:spacing w:before="0" w:line="240" w:lineRule="auto"/>
        <w:rPr>
          <w:sz w:val="18"/>
          <w:szCs w:val="18"/>
          <w:lang w:val="es-ES_tradnl"/>
        </w:rPr>
      </w:pPr>
      <w:r w:rsidRPr="002E0AB7">
        <w:rPr>
          <w:sz w:val="18"/>
          <w:szCs w:val="18"/>
          <w:lang w:val="es-ES_tradnl"/>
        </w:rPr>
        <w:t>–</w:t>
      </w:r>
      <w:r w:rsidRPr="002E0AB7">
        <w:rPr>
          <w:sz w:val="18"/>
          <w:szCs w:val="18"/>
          <w:lang w:val="es-ES_tradnl"/>
        </w:rPr>
        <w:tab/>
        <w:t>Observador (Resolución 99 (Rev. Dubái, 2018))</w:t>
      </w:r>
    </w:p>
    <w:p w:rsidR="00D230C4" w:rsidRPr="002E0AB7" w:rsidRDefault="00D230C4" w:rsidP="00D230C4">
      <w:pPr>
        <w:spacing w:before="0" w:line="240" w:lineRule="auto"/>
        <w:rPr>
          <w:sz w:val="18"/>
          <w:szCs w:val="18"/>
          <w:lang w:val="es-ES_tradnl"/>
        </w:rPr>
      </w:pPr>
      <w:r w:rsidRPr="002E0AB7">
        <w:rPr>
          <w:sz w:val="18"/>
          <w:szCs w:val="18"/>
          <w:lang w:val="es-ES_tradnl"/>
        </w:rPr>
        <w:t>–</w:t>
      </w:r>
      <w:r w:rsidRPr="002E0AB7">
        <w:rPr>
          <w:sz w:val="18"/>
          <w:szCs w:val="18"/>
          <w:lang w:val="es-ES_tradnl"/>
        </w:rPr>
        <w:tab/>
        <w:t>Observadores que participan con carácter consultivo con arreglo a los números 278 y 279 del Convenio de la UIT</w:t>
      </w:r>
    </w:p>
    <w:p w:rsidR="00D230C4" w:rsidRPr="002E0AB7" w:rsidRDefault="00D230C4" w:rsidP="00D230C4">
      <w:pPr>
        <w:spacing w:before="0" w:line="240" w:lineRule="auto"/>
        <w:ind w:left="794" w:hanging="794"/>
        <w:rPr>
          <w:b/>
          <w:bCs/>
          <w:sz w:val="18"/>
          <w:szCs w:val="18"/>
          <w:lang w:val="es-ES_tradnl"/>
        </w:rPr>
      </w:pPr>
      <w:r w:rsidRPr="002E0AB7">
        <w:rPr>
          <w:sz w:val="18"/>
          <w:szCs w:val="18"/>
          <w:lang w:val="es-ES_tradnl"/>
        </w:rPr>
        <w:t>–</w:t>
      </w:r>
      <w:r w:rsidRPr="002E0AB7">
        <w:rPr>
          <w:sz w:val="18"/>
          <w:szCs w:val="18"/>
          <w:lang w:val="es-ES_tradnl"/>
        </w:rPr>
        <w:tab/>
        <w:t>Observadores de Miembros del Sector de Radiocomunicaciones que no participan con carácter consultivo con arreglo al número 280 del Convenio de la UIT</w:t>
      </w:r>
    </w:p>
    <w:p w:rsidR="00D230C4" w:rsidRPr="002E0AB7" w:rsidRDefault="00D230C4" w:rsidP="00D230C4">
      <w:pPr>
        <w:spacing w:before="0" w:line="240" w:lineRule="auto"/>
        <w:ind w:left="794" w:hanging="794"/>
        <w:rPr>
          <w:b/>
          <w:bCs/>
          <w:sz w:val="18"/>
          <w:szCs w:val="18"/>
          <w:lang w:val="es-ES_tradnl"/>
        </w:rPr>
      </w:pPr>
      <w:r w:rsidRPr="002E0AB7">
        <w:rPr>
          <w:sz w:val="18"/>
          <w:szCs w:val="18"/>
          <w:lang w:val="es-ES_tradnl"/>
        </w:rPr>
        <w:t>–</w:t>
      </w:r>
      <w:r w:rsidRPr="002E0AB7">
        <w:rPr>
          <w:sz w:val="18"/>
          <w:szCs w:val="18"/>
          <w:lang w:val="es-ES_tradnl"/>
        </w:rPr>
        <w:tab/>
        <w:t>Presidentes y Vicepresidentes de las Comisiones de Estudio de Radiocomunicaciones</w:t>
      </w:r>
    </w:p>
    <w:p w:rsidR="00D230C4" w:rsidRPr="002E0AB7" w:rsidRDefault="00D230C4" w:rsidP="00D230C4">
      <w:pPr>
        <w:spacing w:before="0" w:line="240" w:lineRule="auto"/>
        <w:rPr>
          <w:sz w:val="18"/>
          <w:szCs w:val="18"/>
          <w:lang w:val="es-ES_tradnl"/>
        </w:rPr>
      </w:pPr>
      <w:r w:rsidRPr="002E0AB7">
        <w:rPr>
          <w:sz w:val="18"/>
          <w:szCs w:val="18"/>
          <w:lang w:val="es-ES_tradnl"/>
        </w:rPr>
        <w:t>–</w:t>
      </w:r>
      <w:r w:rsidRPr="002E0AB7">
        <w:rPr>
          <w:sz w:val="18"/>
          <w:szCs w:val="18"/>
          <w:lang w:val="es-ES_tradnl"/>
        </w:rPr>
        <w:tab/>
        <w:t>Presidente y Vicepresidentes del Grupo Asesor de Radiocomunicaciones</w:t>
      </w:r>
    </w:p>
    <w:p w:rsidR="00D230C4" w:rsidRPr="002E0AB7" w:rsidRDefault="00D230C4" w:rsidP="00D230C4">
      <w:pPr>
        <w:spacing w:before="0" w:line="240" w:lineRule="auto"/>
        <w:rPr>
          <w:sz w:val="18"/>
          <w:szCs w:val="18"/>
          <w:lang w:val="es-ES_tradnl"/>
        </w:rPr>
      </w:pPr>
      <w:r w:rsidRPr="002E0AB7">
        <w:rPr>
          <w:sz w:val="18"/>
          <w:szCs w:val="18"/>
          <w:lang w:val="es-ES_tradnl"/>
        </w:rPr>
        <w:t>–</w:t>
      </w:r>
      <w:r w:rsidRPr="002E0AB7">
        <w:rPr>
          <w:sz w:val="18"/>
          <w:szCs w:val="18"/>
          <w:lang w:val="es-ES_tradnl"/>
        </w:rPr>
        <w:tab/>
        <w:t>Presidente y Vicepresidentes de la Reunión Preparatoria de la Conferencia</w:t>
      </w:r>
    </w:p>
    <w:p w:rsidR="00D230C4" w:rsidRPr="002E0AB7" w:rsidRDefault="00D230C4" w:rsidP="00D230C4">
      <w:pPr>
        <w:spacing w:before="0" w:line="240" w:lineRule="auto"/>
        <w:rPr>
          <w:sz w:val="18"/>
          <w:szCs w:val="18"/>
          <w:lang w:val="es-ES_tradnl"/>
        </w:rPr>
      </w:pPr>
      <w:r w:rsidRPr="002E0AB7">
        <w:rPr>
          <w:sz w:val="18"/>
          <w:szCs w:val="18"/>
          <w:lang w:val="es-ES_tradnl"/>
        </w:rPr>
        <w:t>–</w:t>
      </w:r>
      <w:r w:rsidRPr="002E0AB7">
        <w:rPr>
          <w:sz w:val="18"/>
          <w:szCs w:val="18"/>
          <w:lang w:val="es-ES_tradnl"/>
        </w:rPr>
        <w:tab/>
        <w:t>Miembros de la Junta del Reglamento de Radiocomunicaciones</w:t>
      </w:r>
    </w:p>
    <w:p w:rsidR="00BC426F" w:rsidRPr="002E0AB7" w:rsidRDefault="00D230C4" w:rsidP="00BC426F">
      <w:pPr>
        <w:spacing w:before="0" w:line="240" w:lineRule="auto"/>
        <w:ind w:left="794" w:hanging="794"/>
        <w:rPr>
          <w:sz w:val="18"/>
          <w:szCs w:val="18"/>
          <w:lang w:val="es-ES_tradnl"/>
        </w:rPr>
      </w:pPr>
      <w:r w:rsidRPr="002E0AB7">
        <w:rPr>
          <w:sz w:val="18"/>
          <w:szCs w:val="18"/>
          <w:lang w:val="es-ES_tradnl"/>
        </w:rPr>
        <w:t>–</w:t>
      </w:r>
      <w:r w:rsidRPr="002E0AB7">
        <w:rPr>
          <w:sz w:val="18"/>
          <w:szCs w:val="18"/>
          <w:lang w:val="es-ES_tradnl"/>
        </w:rPr>
        <w:tab/>
        <w:t>Secretario General de la UIT, Vicesecretario General de la UIT, Director de la Oficina de Normalización de las Telecomunicaciones, Director de la Oficina de Desarrollo de las Telecomunicaciones</w:t>
      </w:r>
      <w:r w:rsidR="00BC426F" w:rsidRPr="002E0AB7">
        <w:rPr>
          <w:sz w:val="18"/>
          <w:szCs w:val="18"/>
          <w:lang w:val="es-ES_tradnl"/>
        </w:rPr>
        <w:br w:type="page"/>
      </w:r>
    </w:p>
    <w:p w:rsidR="00BC426F" w:rsidRPr="002E0AB7" w:rsidRDefault="00BC426F" w:rsidP="00BC426F">
      <w:pPr>
        <w:pStyle w:val="AnnexNo"/>
        <w:rPr>
          <w:lang w:val="es-ES_tradnl"/>
        </w:rPr>
      </w:pPr>
      <w:r w:rsidRPr="002E0AB7">
        <w:rPr>
          <w:lang w:val="es-ES_tradnl"/>
        </w:rPr>
        <w:lastRenderedPageBreak/>
        <w:t>anexo</w:t>
      </w:r>
    </w:p>
    <w:p w:rsidR="00BC426F" w:rsidRPr="002E0AB7" w:rsidRDefault="00BC426F" w:rsidP="00BC426F">
      <w:pPr>
        <w:pStyle w:val="ResNo"/>
        <w:rPr>
          <w:lang w:val="es-ES_tradnl"/>
        </w:rPr>
      </w:pPr>
      <w:r w:rsidRPr="002E0AB7">
        <w:rPr>
          <w:lang w:val="es-ES_tradnl"/>
        </w:rPr>
        <w:t>RESOLUCIÓN 1380 (MODIFICADA EN 2017)</w:t>
      </w:r>
    </w:p>
    <w:p w:rsidR="00BC426F" w:rsidRPr="002E0AB7" w:rsidRDefault="00BC426F" w:rsidP="00BC426F">
      <w:pPr>
        <w:jc w:val="center"/>
        <w:rPr>
          <w:b/>
          <w:sz w:val="28"/>
          <w:szCs w:val="28"/>
          <w:lang w:val="es-ES_tradnl"/>
        </w:rPr>
      </w:pPr>
      <w:r w:rsidRPr="002E0AB7">
        <w:rPr>
          <w:sz w:val="28"/>
          <w:szCs w:val="28"/>
          <w:lang w:val="es-ES_tradnl"/>
        </w:rPr>
        <w:t>(adoptada en la octava Reunión Plenaria)</w:t>
      </w:r>
    </w:p>
    <w:p w:rsidR="00BC426F" w:rsidRPr="002E0AB7" w:rsidRDefault="00BC426F" w:rsidP="00BC426F">
      <w:pPr>
        <w:pStyle w:val="Restitle"/>
        <w:rPr>
          <w:lang w:val="es-ES_tradnl"/>
        </w:rPr>
      </w:pPr>
      <w:r w:rsidRPr="002E0AB7">
        <w:rPr>
          <w:lang w:val="es-ES_tradnl"/>
        </w:rPr>
        <w:t>Lugar, fechas y orden del día de la Conferencia</w:t>
      </w:r>
      <w:r w:rsidRPr="002E0AB7">
        <w:rPr>
          <w:lang w:val="es-ES_tradnl"/>
        </w:rPr>
        <w:br/>
        <w:t>Mundial de Radiocomunicaciones (CMR-19)</w:t>
      </w:r>
    </w:p>
    <w:p w:rsidR="00BC426F" w:rsidRPr="002E0AB7" w:rsidRDefault="00BC426F" w:rsidP="0079636E">
      <w:pPr>
        <w:pStyle w:val="Normalaftertitle"/>
        <w:rPr>
          <w:lang w:val="es-ES_tradnl"/>
        </w:rPr>
      </w:pPr>
      <w:r w:rsidRPr="002E0AB7">
        <w:rPr>
          <w:lang w:val="es-ES_tradnl"/>
        </w:rPr>
        <w:t>El Consejo,</w:t>
      </w:r>
    </w:p>
    <w:p w:rsidR="00BC426F" w:rsidRPr="002E0AB7" w:rsidRDefault="00BC426F" w:rsidP="0079636E">
      <w:pPr>
        <w:pStyle w:val="Call"/>
        <w:jc w:val="both"/>
        <w:rPr>
          <w:lang w:val="es-ES_tradnl"/>
        </w:rPr>
      </w:pPr>
      <w:r w:rsidRPr="002E0AB7">
        <w:rPr>
          <w:lang w:val="es-ES_tradnl"/>
        </w:rPr>
        <w:t>considerando</w:t>
      </w:r>
    </w:p>
    <w:p w:rsidR="00BC426F" w:rsidRPr="002E0AB7" w:rsidRDefault="00BC426F" w:rsidP="0079636E">
      <w:pPr>
        <w:rPr>
          <w:lang w:val="es-ES_tradnl"/>
        </w:rPr>
      </w:pPr>
      <w:r w:rsidRPr="002E0AB7">
        <w:rPr>
          <w:lang w:val="es-ES_tradnl"/>
        </w:rPr>
        <w:t>que en la Resolución 809 de la Conferencia Mundial de Radiocomunicaciones (Ginebra, 2015):</w:t>
      </w:r>
    </w:p>
    <w:p w:rsidR="00BC426F" w:rsidRPr="002E0AB7" w:rsidRDefault="00BC426F" w:rsidP="0079636E">
      <w:pPr>
        <w:spacing w:line="240" w:lineRule="auto"/>
        <w:rPr>
          <w:lang w:val="es-ES_tradnl"/>
        </w:rPr>
      </w:pPr>
      <w:r w:rsidRPr="002E0AB7">
        <w:rPr>
          <w:i/>
          <w:iCs/>
          <w:lang w:val="es-ES_tradnl"/>
        </w:rPr>
        <w:t>a)</w:t>
      </w:r>
      <w:r w:rsidRPr="002E0AB7">
        <w:rPr>
          <w:lang w:val="es-ES_tradnl"/>
        </w:rPr>
        <w:tab/>
        <w:t>se resuelve recomendar al Consejo la celebración de una Conferencia Mundial de Radiocomunicaciones en 2019 con una duración de cuatro semanas;</w:t>
      </w:r>
    </w:p>
    <w:p w:rsidR="00BC426F" w:rsidRPr="002E0AB7" w:rsidRDefault="00BC426F" w:rsidP="0079636E">
      <w:pPr>
        <w:spacing w:line="240" w:lineRule="auto"/>
        <w:rPr>
          <w:lang w:val="es-ES_tradnl"/>
        </w:rPr>
      </w:pPr>
      <w:r w:rsidRPr="002E0AB7">
        <w:rPr>
          <w:i/>
          <w:iCs/>
          <w:lang w:val="es-ES_tradnl"/>
        </w:rPr>
        <w:t>b)</w:t>
      </w:r>
      <w:r w:rsidRPr="002E0AB7">
        <w:rPr>
          <w:lang w:val="es-ES_tradnl"/>
        </w:rPr>
        <w:tab/>
        <w:t>se formulan recomendaciones sobre el orden del día de dicha Conferencia, y se invita al Consejo a fijar el orden del día definitivo, a tomar las disposiciones oportunas para convocar la CMR-19, y a iniciar lo antes posible las correspondientes consultas con los Estados Miembros,</w:t>
      </w:r>
    </w:p>
    <w:p w:rsidR="00BC426F" w:rsidRPr="002E0AB7" w:rsidRDefault="00BC426F" w:rsidP="0079636E">
      <w:pPr>
        <w:pStyle w:val="Call"/>
        <w:spacing w:line="240" w:lineRule="auto"/>
        <w:jc w:val="both"/>
        <w:rPr>
          <w:lang w:val="es-ES_tradnl"/>
        </w:rPr>
      </w:pPr>
      <w:r w:rsidRPr="002E0AB7">
        <w:rPr>
          <w:lang w:val="es-ES_tradnl"/>
        </w:rPr>
        <w:t>considerando además</w:t>
      </w:r>
    </w:p>
    <w:p w:rsidR="00BC426F" w:rsidRPr="002E0AB7" w:rsidRDefault="00BC426F" w:rsidP="0079636E">
      <w:pPr>
        <w:spacing w:line="240" w:lineRule="auto"/>
        <w:rPr>
          <w:lang w:val="es-ES_tradnl"/>
        </w:rPr>
      </w:pPr>
      <w:r w:rsidRPr="002E0AB7">
        <w:rPr>
          <w:lang w:val="es-ES_tradnl"/>
        </w:rPr>
        <w:t>que el Gobierno de la República Árabe de Egipto ha invitado a la Unión Internacional de Telecomunicaciones a celebrar la Conferencia Mundial de Radiocomunicaciones de 2019 en la ciudad de Sharm el-Sheikh (Egipto),</w:t>
      </w:r>
    </w:p>
    <w:p w:rsidR="00BC426F" w:rsidRPr="002E0AB7" w:rsidRDefault="00BC426F" w:rsidP="0079636E">
      <w:pPr>
        <w:pStyle w:val="Call"/>
        <w:spacing w:line="240" w:lineRule="auto"/>
        <w:jc w:val="both"/>
        <w:rPr>
          <w:lang w:val="es-ES_tradnl"/>
        </w:rPr>
      </w:pPr>
      <w:r w:rsidRPr="002E0AB7">
        <w:rPr>
          <w:lang w:val="es-ES_tradnl"/>
        </w:rPr>
        <w:t>resuelve</w:t>
      </w:r>
    </w:p>
    <w:p w:rsidR="00BC426F" w:rsidRPr="002E0AB7" w:rsidRDefault="00BC426F" w:rsidP="0079636E">
      <w:pPr>
        <w:spacing w:line="240" w:lineRule="auto"/>
        <w:rPr>
          <w:rFonts w:asciiTheme="minorHAnsi" w:hAnsiTheme="minorHAnsi" w:cstheme="minorHAnsi"/>
          <w:lang w:val="es-ES_tradnl"/>
        </w:rPr>
      </w:pPr>
      <w:r w:rsidRPr="002E0AB7">
        <w:rPr>
          <w:rFonts w:asciiTheme="minorHAnsi" w:hAnsiTheme="minorHAnsi" w:cstheme="minorHAnsi"/>
          <w:lang w:val="es-ES_tradnl"/>
        </w:rPr>
        <w:t>convocar una Conferencia Mundial de Radiocomunicaciones (CMR-19) en Sharm el-Sheikh (Egipto) del 28 de octubre al 22 de noviembre de 2019, precedida de una Asamblea de Radiocomunicaciones del 21 al 25 de octubre de 2019 con el siguiente orden del día:</w:t>
      </w:r>
    </w:p>
    <w:p w:rsidR="00BC426F" w:rsidRPr="002E0AB7" w:rsidRDefault="00BC426F" w:rsidP="0079636E">
      <w:pPr>
        <w:spacing w:line="240" w:lineRule="auto"/>
        <w:rPr>
          <w:lang w:val="es-ES_tradnl"/>
        </w:rPr>
      </w:pPr>
      <w:r w:rsidRPr="002E0AB7">
        <w:rPr>
          <w:lang w:val="es-ES_tradnl"/>
        </w:rPr>
        <w:t>1</w:t>
      </w:r>
      <w:r w:rsidRPr="002E0AB7">
        <w:rPr>
          <w:lang w:val="es-ES_tradnl"/>
        </w:rPr>
        <w:tab/>
        <w:t>sobre la base de las propuestas de las administraciones, teniendo en cuenta los resultados de la CMR</w:t>
      </w:r>
      <w:r w:rsidRPr="002E0AB7">
        <w:rPr>
          <w:lang w:val="es-ES_tradnl"/>
        </w:rPr>
        <w:noBreakHyphen/>
        <w:t>15 y del Informe de la Reunión Preparatoria de la Conferencia, y con la debida consideración a las necesidades de servicios existentes y futuros en las bandas de frecuencias consideradas, examinar y adoptar las medidas oportunas en relación con los temas siguientes:</w:t>
      </w:r>
    </w:p>
    <w:p w:rsidR="00BC426F" w:rsidRPr="002E0AB7" w:rsidRDefault="00BC426F" w:rsidP="0079636E">
      <w:pPr>
        <w:spacing w:line="240" w:lineRule="auto"/>
        <w:rPr>
          <w:lang w:val="es-ES_tradnl"/>
        </w:rPr>
      </w:pPr>
      <w:r w:rsidRPr="002E0AB7">
        <w:rPr>
          <w:lang w:val="es-ES_tradnl"/>
        </w:rPr>
        <w:t>1.1</w:t>
      </w:r>
      <w:r w:rsidRPr="002E0AB7">
        <w:rPr>
          <w:lang w:val="es-ES_tradnl"/>
        </w:rPr>
        <w:tab/>
        <w:t>considerar la posibilidad de efectuar una atribución al servicio de aficionados en la banda de frecuencias 50</w:t>
      </w:r>
      <w:r w:rsidRPr="002E0AB7">
        <w:rPr>
          <w:lang w:val="es-ES_tradnl"/>
        </w:rPr>
        <w:noBreakHyphen/>
        <w:t xml:space="preserve">54 MHz en la Región 1, de conformidad con la Resolución </w:t>
      </w:r>
      <w:r w:rsidRPr="002E0AB7">
        <w:rPr>
          <w:b/>
          <w:lang w:val="es-ES_tradnl"/>
        </w:rPr>
        <w:t>658 (CMR</w:t>
      </w:r>
      <w:r w:rsidRPr="002E0AB7">
        <w:rPr>
          <w:b/>
          <w:lang w:val="es-ES_tradnl"/>
        </w:rPr>
        <w:noBreakHyphen/>
        <w:t>15)</w:t>
      </w:r>
      <w:r w:rsidRPr="002E0AB7">
        <w:rPr>
          <w:lang w:val="es-ES_tradnl"/>
        </w:rPr>
        <w:t>;</w:t>
      </w:r>
    </w:p>
    <w:p w:rsidR="00BC426F" w:rsidRPr="002E0AB7" w:rsidRDefault="00BC426F" w:rsidP="0079636E">
      <w:pPr>
        <w:spacing w:line="240" w:lineRule="auto"/>
        <w:rPr>
          <w:lang w:val="es-ES_tradnl"/>
        </w:rPr>
      </w:pPr>
      <w:r w:rsidRPr="002E0AB7">
        <w:rPr>
          <w:lang w:val="es-ES_tradnl"/>
        </w:rPr>
        <w:t>1.2</w:t>
      </w:r>
      <w:r w:rsidRPr="002E0AB7">
        <w:rPr>
          <w:lang w:val="es-ES_tradnl"/>
        </w:rPr>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2E0AB7">
        <w:rPr>
          <w:lang w:val="es-ES_tradnl"/>
        </w:rPr>
        <w:noBreakHyphen/>
        <w:t>403 MHz y 399,9</w:t>
      </w:r>
      <w:r w:rsidRPr="002E0AB7">
        <w:rPr>
          <w:lang w:val="es-ES_tradnl"/>
        </w:rPr>
        <w:noBreakHyphen/>
        <w:t xml:space="preserve">400,05 MHz, de conformidad con la Resolución </w:t>
      </w:r>
      <w:r w:rsidRPr="002E0AB7">
        <w:rPr>
          <w:b/>
          <w:bCs/>
          <w:lang w:val="es-ES_tradnl"/>
        </w:rPr>
        <w:t xml:space="preserve">765 </w:t>
      </w:r>
      <w:r w:rsidRPr="002E0AB7">
        <w:rPr>
          <w:b/>
          <w:lang w:val="es-ES_tradnl"/>
        </w:rPr>
        <w:t>(CMR-15)</w:t>
      </w:r>
      <w:r w:rsidRPr="002E0AB7">
        <w:rPr>
          <w:bCs/>
          <w:lang w:val="es-ES_tradnl"/>
        </w:rPr>
        <w:t>;</w:t>
      </w:r>
    </w:p>
    <w:p w:rsidR="00BC426F" w:rsidRPr="002E0AB7" w:rsidRDefault="00BC426F" w:rsidP="0079636E">
      <w:pPr>
        <w:spacing w:line="240" w:lineRule="auto"/>
        <w:rPr>
          <w:lang w:val="es-ES_tradnl"/>
        </w:rPr>
      </w:pPr>
      <w:r w:rsidRPr="002E0AB7">
        <w:rPr>
          <w:lang w:val="es-ES_tradnl"/>
        </w:rPr>
        <w:t>1.3</w:t>
      </w:r>
      <w:r w:rsidRPr="002E0AB7">
        <w:rPr>
          <w:lang w:val="es-ES_tradnl"/>
        </w:rPr>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2E0AB7">
        <w:rPr>
          <w:lang w:val="es-ES_tradnl"/>
        </w:rPr>
        <w:noBreakHyphen/>
        <w:t xml:space="preserve">470 MHz, de conformidad con la Resolución </w:t>
      </w:r>
      <w:r w:rsidRPr="002E0AB7">
        <w:rPr>
          <w:b/>
          <w:bCs/>
          <w:lang w:val="es-ES_tradnl"/>
        </w:rPr>
        <w:t>766 (</w:t>
      </w:r>
      <w:r w:rsidRPr="002E0AB7">
        <w:rPr>
          <w:b/>
          <w:lang w:val="es-ES_tradnl"/>
        </w:rPr>
        <w:t>CMR</w:t>
      </w:r>
      <w:r w:rsidRPr="002E0AB7">
        <w:rPr>
          <w:b/>
          <w:lang w:val="es-ES_tradnl"/>
        </w:rPr>
        <w:noBreakHyphen/>
        <w:t>15)</w:t>
      </w:r>
      <w:r w:rsidRPr="002E0AB7">
        <w:rPr>
          <w:bCs/>
          <w:lang w:val="es-ES_tradnl"/>
        </w:rPr>
        <w:t>;</w:t>
      </w:r>
    </w:p>
    <w:p w:rsidR="00BC426F" w:rsidRPr="002E0AB7" w:rsidRDefault="00BC426F" w:rsidP="0079636E">
      <w:pPr>
        <w:spacing w:line="240" w:lineRule="auto"/>
        <w:rPr>
          <w:lang w:val="es-ES_tradnl"/>
        </w:rPr>
      </w:pPr>
      <w:r w:rsidRPr="002E0AB7">
        <w:rPr>
          <w:lang w:val="es-ES_tradnl"/>
        </w:rPr>
        <w:t>1.4</w:t>
      </w:r>
      <w:r w:rsidRPr="002E0AB7">
        <w:rPr>
          <w:lang w:val="es-ES_tradnl"/>
        </w:rPr>
        <w:tab/>
        <w:t xml:space="preserve">considerar los resultados de los estudios con arreglo a la Resolución </w:t>
      </w:r>
      <w:r w:rsidRPr="002E0AB7">
        <w:rPr>
          <w:b/>
          <w:bCs/>
          <w:lang w:val="es-ES_tradnl"/>
        </w:rPr>
        <w:t>557</w:t>
      </w:r>
      <w:r w:rsidRPr="002E0AB7">
        <w:rPr>
          <w:b/>
          <w:lang w:val="es-ES_tradnl"/>
        </w:rPr>
        <w:t xml:space="preserve"> (CMR</w:t>
      </w:r>
      <w:r w:rsidRPr="002E0AB7">
        <w:rPr>
          <w:b/>
          <w:lang w:val="es-ES_tradnl"/>
        </w:rPr>
        <w:noBreakHyphen/>
        <w:t>15)</w:t>
      </w:r>
      <w:r w:rsidRPr="002E0AB7">
        <w:rPr>
          <w:bCs/>
          <w:lang w:val="es-ES_tradnl"/>
        </w:rPr>
        <w:t>,</w:t>
      </w:r>
      <w:r w:rsidRPr="002E0AB7">
        <w:rPr>
          <w:lang w:val="es-ES_tradnl"/>
        </w:rPr>
        <w:t xml:space="preserve"> y examinar y, si procede, revisar las restricciones mencionadas en el Anexo 7 del Apéndice </w:t>
      </w:r>
      <w:r w:rsidRPr="002E0AB7">
        <w:rPr>
          <w:b/>
          <w:lang w:val="es-ES_tradnl"/>
        </w:rPr>
        <w:t>30 (Rev.CMR-15</w:t>
      </w:r>
      <w:r w:rsidRPr="002E0AB7">
        <w:rPr>
          <w:lang w:val="es-ES_tradnl"/>
        </w:rPr>
        <w:t xml:space="preserve">) garantizando al mismo tiempo la protección de las asignaciones del Plan y de la Lista </w:t>
      </w:r>
      <w:r w:rsidRPr="002E0AB7">
        <w:rPr>
          <w:lang w:val="es-ES_tradnl"/>
        </w:rPr>
        <w:lastRenderedPageBreak/>
        <w:t>y los futuros desarrollos del servicio de radiodifusión por satélite en el Plan, y las redes del servicio fijo por satélite existentes y planificadas, sin imponer restricciones adicionales a esas redes;</w:t>
      </w:r>
    </w:p>
    <w:p w:rsidR="00BC426F" w:rsidRPr="002E0AB7" w:rsidRDefault="00BC426F" w:rsidP="0079636E">
      <w:pPr>
        <w:spacing w:line="240" w:lineRule="auto"/>
        <w:rPr>
          <w:lang w:val="es-ES_tradnl"/>
        </w:rPr>
      </w:pPr>
      <w:r w:rsidRPr="002E0AB7">
        <w:rPr>
          <w:lang w:val="es-ES_tradnl"/>
        </w:rPr>
        <w:t>1.5</w:t>
      </w:r>
      <w:r w:rsidRPr="002E0AB7">
        <w:rPr>
          <w:lang w:val="es-ES_tradnl"/>
        </w:rPr>
        <w:tab/>
        <w:t>considerar la utilización de las bandas de frecuencias 17,7-19,7 GHz (espacio</w:t>
      </w:r>
      <w:r w:rsidRPr="002E0AB7">
        <w:rPr>
          <w:lang w:val="es-ES_tradnl"/>
        </w:rPr>
        <w:noBreakHyphen/>
        <w:t>Tierra) y 27,5</w:t>
      </w:r>
      <w:r w:rsidRPr="002E0AB7">
        <w:rPr>
          <w:lang w:val="es-ES_tradnl"/>
        </w:rPr>
        <w:noBreakHyphen/>
        <w:t>29,5 GHz (Tierra</w:t>
      </w:r>
      <w:r w:rsidRPr="002E0AB7">
        <w:rPr>
          <w:lang w:val="es-ES_tradnl"/>
        </w:rPr>
        <w:noBreakHyphen/>
        <w:t xml:space="preserve">espacio) utilizadas por estaciones terrenas en movimiento que se comunican con estaciones espaciales geoestacionarias en el servicio fijo por satélite, y tomar las medidas oportunas, de conformidad con la Resolución </w:t>
      </w:r>
      <w:r w:rsidRPr="002E0AB7">
        <w:rPr>
          <w:b/>
          <w:lang w:val="es-ES_tradnl"/>
        </w:rPr>
        <w:t>158 (CMR-15)</w:t>
      </w:r>
      <w:r w:rsidRPr="002E0AB7">
        <w:rPr>
          <w:lang w:val="es-ES_tradnl"/>
        </w:rPr>
        <w:t>;</w:t>
      </w:r>
    </w:p>
    <w:p w:rsidR="00BC426F" w:rsidRPr="002E0AB7" w:rsidRDefault="00BC426F" w:rsidP="0079636E">
      <w:pPr>
        <w:spacing w:line="240" w:lineRule="auto"/>
        <w:rPr>
          <w:lang w:val="es-ES_tradnl"/>
        </w:rPr>
      </w:pPr>
      <w:r w:rsidRPr="002E0AB7">
        <w:rPr>
          <w:lang w:val="es-ES_tradnl"/>
        </w:rPr>
        <w:t>1.6</w:t>
      </w:r>
      <w:r w:rsidRPr="002E0AB7">
        <w:rPr>
          <w:lang w:val="es-ES_tradnl"/>
        </w:rPr>
        <w:tab/>
      </w:r>
      <w:r w:rsidRPr="002E0AB7">
        <w:rPr>
          <w:bCs/>
          <w:szCs w:val="24"/>
          <w:lang w:val="es-ES_tradnl"/>
        </w:rPr>
        <w:t>que considere</w:t>
      </w:r>
      <w:r w:rsidRPr="002E0AB7">
        <w:rPr>
          <w:lang w:val="es-ES_tradnl" w:eastAsia="nl-NL"/>
        </w:rPr>
        <w:t xml:space="preserve"> la posibilidad de </w:t>
      </w:r>
      <w:r w:rsidRPr="002E0AB7">
        <w:rPr>
          <w:lang w:val="es-ES_tradnl"/>
        </w:rPr>
        <w:t>formular un marco reglamentario para sistemas de satélite no OSG del SFS que funcionen en las bandas de frecuencias 37,5</w:t>
      </w:r>
      <w:r w:rsidRPr="002E0AB7">
        <w:rPr>
          <w:lang w:val="es-ES_tradnl"/>
        </w:rPr>
        <w:noBreakHyphen/>
        <w:t>39,5 GHz (</w:t>
      </w:r>
      <w:r w:rsidRPr="002E0AB7">
        <w:rPr>
          <w:szCs w:val="24"/>
          <w:lang w:val="es-ES_tradnl"/>
        </w:rPr>
        <w:t>espacio</w:t>
      </w:r>
      <w:r w:rsidRPr="002E0AB7">
        <w:rPr>
          <w:szCs w:val="24"/>
          <w:lang w:val="es-ES_tradnl"/>
        </w:rPr>
        <w:noBreakHyphen/>
        <w:t>Tierra</w:t>
      </w:r>
      <w:r w:rsidRPr="002E0AB7">
        <w:rPr>
          <w:lang w:val="es-ES_tradnl"/>
        </w:rPr>
        <w:t>), 39,5</w:t>
      </w:r>
      <w:r w:rsidRPr="002E0AB7">
        <w:rPr>
          <w:lang w:val="es-ES_tradnl"/>
        </w:rPr>
        <w:noBreakHyphen/>
        <w:t>42,5 GHz (</w:t>
      </w:r>
      <w:r w:rsidRPr="002E0AB7">
        <w:rPr>
          <w:szCs w:val="24"/>
          <w:lang w:val="es-ES_tradnl"/>
        </w:rPr>
        <w:t>espacio</w:t>
      </w:r>
      <w:r w:rsidRPr="002E0AB7">
        <w:rPr>
          <w:szCs w:val="24"/>
          <w:lang w:val="es-ES_tradnl"/>
        </w:rPr>
        <w:noBreakHyphen/>
        <w:t>Tierra</w:t>
      </w:r>
      <w:r w:rsidRPr="002E0AB7">
        <w:rPr>
          <w:lang w:val="es-ES_tradnl"/>
        </w:rPr>
        <w:t>), 47,2</w:t>
      </w:r>
      <w:r w:rsidRPr="002E0AB7">
        <w:rPr>
          <w:lang w:val="es-ES_tradnl"/>
        </w:rPr>
        <w:noBreakHyphen/>
        <w:t>50,2 GHz (Tierra</w:t>
      </w:r>
      <w:r w:rsidRPr="002E0AB7">
        <w:rPr>
          <w:lang w:val="es-ES_tradnl"/>
        </w:rPr>
        <w:noBreakHyphen/>
        <w:t>espacio) y 50,4</w:t>
      </w:r>
      <w:r w:rsidRPr="002E0AB7">
        <w:rPr>
          <w:lang w:val="es-ES_tradnl"/>
        </w:rPr>
        <w:noBreakHyphen/>
        <w:t>51,4 GHz (</w:t>
      </w:r>
      <w:r w:rsidRPr="002E0AB7">
        <w:rPr>
          <w:szCs w:val="24"/>
          <w:lang w:val="es-ES_tradnl"/>
        </w:rPr>
        <w:t>Tierra</w:t>
      </w:r>
      <w:r w:rsidRPr="002E0AB7">
        <w:rPr>
          <w:szCs w:val="24"/>
          <w:lang w:val="es-ES_tradnl"/>
        </w:rPr>
        <w:noBreakHyphen/>
        <w:t>espacio</w:t>
      </w:r>
      <w:r w:rsidRPr="002E0AB7">
        <w:rPr>
          <w:lang w:val="es-ES_tradnl"/>
        </w:rPr>
        <w:t>)</w:t>
      </w:r>
      <w:r w:rsidRPr="002E0AB7">
        <w:rPr>
          <w:szCs w:val="24"/>
          <w:lang w:val="es-ES_tradnl"/>
        </w:rPr>
        <w:t>, de conformidad con la Resolución </w:t>
      </w:r>
      <w:r w:rsidRPr="002E0AB7">
        <w:rPr>
          <w:b/>
          <w:bCs/>
          <w:szCs w:val="24"/>
          <w:lang w:val="es-ES_tradnl"/>
        </w:rPr>
        <w:t>159 (CMR-15)</w:t>
      </w:r>
      <w:r w:rsidRPr="002E0AB7">
        <w:rPr>
          <w:szCs w:val="24"/>
          <w:lang w:val="es-ES_tradnl"/>
        </w:rPr>
        <w:t>;</w:t>
      </w:r>
    </w:p>
    <w:p w:rsidR="00BC426F" w:rsidRPr="002E0AB7" w:rsidRDefault="00BC426F" w:rsidP="0079636E">
      <w:pPr>
        <w:spacing w:line="240" w:lineRule="auto"/>
        <w:rPr>
          <w:lang w:val="es-ES_tradnl"/>
        </w:rPr>
      </w:pPr>
      <w:r w:rsidRPr="002E0AB7">
        <w:rPr>
          <w:lang w:val="es-ES_tradnl"/>
        </w:rPr>
        <w:t>1.7</w:t>
      </w:r>
      <w:r w:rsidRPr="002E0AB7">
        <w:rPr>
          <w:lang w:val="es-ES_tradnl"/>
        </w:rPr>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2E0AB7">
        <w:rPr>
          <w:b/>
          <w:bCs/>
          <w:lang w:val="es-ES_tradnl"/>
        </w:rPr>
        <w:t>659 (CMR</w:t>
      </w:r>
      <w:r w:rsidRPr="002E0AB7">
        <w:rPr>
          <w:b/>
          <w:bCs/>
          <w:lang w:val="es-ES_tradnl"/>
        </w:rPr>
        <w:noBreakHyphen/>
        <w:t>15)</w:t>
      </w:r>
      <w:r w:rsidRPr="002E0AB7">
        <w:rPr>
          <w:lang w:val="es-ES_tradnl"/>
        </w:rPr>
        <w:t>;</w:t>
      </w:r>
    </w:p>
    <w:p w:rsidR="00BC426F" w:rsidRPr="002E0AB7" w:rsidRDefault="00BC426F" w:rsidP="0079636E">
      <w:pPr>
        <w:spacing w:line="240" w:lineRule="auto"/>
        <w:rPr>
          <w:lang w:val="es-ES_tradnl" w:eastAsia="zh-CN"/>
        </w:rPr>
      </w:pPr>
      <w:r w:rsidRPr="002E0AB7">
        <w:rPr>
          <w:lang w:val="es-ES_tradnl"/>
        </w:rPr>
        <w:t>1.8</w:t>
      </w:r>
      <w:r w:rsidRPr="002E0AB7">
        <w:rPr>
          <w:lang w:val="es-ES_tradnl"/>
        </w:rPr>
        <w:tab/>
        <w:t>examinar las posibles medidas reglamentarias para la modernización del sistema mundial de socorro y seguridad marítimos (SMSSM) y dar soporte a la introducción de sistemas de satélites adicionales en el SMSSM, de conformidad con la Resolución </w:t>
      </w:r>
      <w:r w:rsidRPr="002E0AB7">
        <w:rPr>
          <w:b/>
          <w:lang w:val="es-ES_tradnl" w:eastAsia="zh-CN"/>
        </w:rPr>
        <w:t>359</w:t>
      </w:r>
      <w:r w:rsidRPr="002E0AB7">
        <w:rPr>
          <w:lang w:val="es-ES_tradnl" w:eastAsia="zh-CN"/>
        </w:rPr>
        <w:t xml:space="preserve"> (</w:t>
      </w:r>
      <w:r w:rsidRPr="002E0AB7">
        <w:rPr>
          <w:b/>
          <w:lang w:val="es-ES_tradnl" w:eastAsia="zh-CN"/>
        </w:rPr>
        <w:t>Rev.CMR-15</w:t>
      </w:r>
      <w:r w:rsidRPr="002E0AB7">
        <w:rPr>
          <w:lang w:val="es-ES_tradnl" w:eastAsia="zh-CN"/>
        </w:rPr>
        <w:t>);</w:t>
      </w:r>
    </w:p>
    <w:p w:rsidR="00BC426F" w:rsidRPr="002E0AB7" w:rsidRDefault="00BC426F" w:rsidP="0079636E">
      <w:pPr>
        <w:spacing w:line="240" w:lineRule="auto"/>
        <w:rPr>
          <w:lang w:val="es-ES_tradnl"/>
        </w:rPr>
      </w:pPr>
      <w:r w:rsidRPr="002E0AB7">
        <w:rPr>
          <w:lang w:val="es-ES_tradnl" w:eastAsia="zh-CN"/>
        </w:rPr>
        <w:t>1.9</w:t>
      </w:r>
      <w:r w:rsidRPr="002E0AB7">
        <w:rPr>
          <w:lang w:val="es-ES_tradnl" w:eastAsia="zh-CN"/>
        </w:rPr>
        <w:tab/>
      </w:r>
      <w:r w:rsidRPr="002E0AB7">
        <w:rPr>
          <w:lang w:val="es-ES_tradnl" w:eastAsia="nl-NL"/>
        </w:rPr>
        <w:t>considerar, basándose en los resultados de los estudios del UIT</w:t>
      </w:r>
      <w:r w:rsidRPr="002E0AB7">
        <w:rPr>
          <w:lang w:val="es-ES_tradnl" w:eastAsia="nl-NL"/>
        </w:rPr>
        <w:noBreakHyphen/>
        <w:t>R:</w:t>
      </w:r>
    </w:p>
    <w:p w:rsidR="00BC426F" w:rsidRPr="002E0AB7" w:rsidRDefault="00BC426F" w:rsidP="0079636E">
      <w:pPr>
        <w:spacing w:line="240" w:lineRule="auto"/>
        <w:rPr>
          <w:lang w:val="es-ES_tradnl"/>
        </w:rPr>
      </w:pPr>
      <w:r w:rsidRPr="002E0AB7">
        <w:rPr>
          <w:lang w:val="es-ES_tradnl"/>
        </w:rPr>
        <w:t>1.9.1</w:t>
      </w:r>
      <w:r w:rsidRPr="002E0AB7">
        <w:rPr>
          <w:lang w:val="es-ES_tradnl"/>
        </w:rPr>
        <w:tab/>
        <w:t>la posibilidad de adoptar medidas reglamentarias en la banda de frecuencias 156</w:t>
      </w:r>
      <w:r w:rsidRPr="002E0AB7">
        <w:rPr>
          <w:lang w:val="es-ES_tradnl"/>
        </w:rPr>
        <w:noBreakHyphen/>
        <w:t xml:space="preserve">162,05 MHz, para los dispositivos autónomos de radiocomunicaciones marítimas para proteger el SMSSM y el sistema de identificación automática (SIA) de conformidad con la Resolución </w:t>
      </w:r>
      <w:r w:rsidRPr="002E0AB7">
        <w:rPr>
          <w:b/>
          <w:bCs/>
          <w:lang w:val="es-ES_tradnl"/>
        </w:rPr>
        <w:t>362</w:t>
      </w:r>
      <w:r w:rsidRPr="002E0AB7">
        <w:rPr>
          <w:b/>
          <w:lang w:val="es-ES_tradnl"/>
        </w:rPr>
        <w:t xml:space="preserve"> (CMR-15)</w:t>
      </w:r>
      <w:r w:rsidRPr="002E0AB7">
        <w:rPr>
          <w:lang w:val="es-ES_tradnl"/>
        </w:rPr>
        <w:t>;</w:t>
      </w:r>
    </w:p>
    <w:p w:rsidR="00BC426F" w:rsidRPr="002E0AB7" w:rsidRDefault="00BC426F" w:rsidP="0079636E">
      <w:pPr>
        <w:spacing w:line="240" w:lineRule="auto"/>
        <w:rPr>
          <w:lang w:val="es-ES_tradnl"/>
        </w:rPr>
      </w:pPr>
      <w:r w:rsidRPr="002E0AB7">
        <w:rPr>
          <w:lang w:val="es-ES_tradnl"/>
        </w:rPr>
        <w:t>1.9.2</w:t>
      </w:r>
      <w:r w:rsidRPr="002E0AB7">
        <w:rPr>
          <w:lang w:val="es-ES_tradnl"/>
        </w:rPr>
        <w:tab/>
      </w:r>
      <w:r w:rsidRPr="002E0AB7">
        <w:rPr>
          <w:lang w:val="es-ES_tradnl" w:eastAsia="nl-NL"/>
        </w:rPr>
        <w:t>la posibilidad de modificar el Reglamento de Radiocomunicaciones, comprendidas las nuevas atribuciones de espectro al servicio móvil marítimo por satélite (Tierra-espacio y espacio-Tierra) preferentemente en las bandas de frecuencias 156,0125</w:t>
      </w:r>
      <w:r w:rsidRPr="002E0AB7">
        <w:rPr>
          <w:lang w:val="es-ES_tradnl" w:eastAsia="nl-NL"/>
        </w:rPr>
        <w:noBreakHyphen/>
        <w:t>157,4375 MHz y 160,6125</w:t>
      </w:r>
      <w:r w:rsidRPr="002E0AB7">
        <w:rPr>
          <w:lang w:val="es-ES_tradnl" w:eastAsia="nl-NL"/>
        </w:rPr>
        <w:noBreakHyphen/>
        <w:t>162,0375 MHz del Apéndice </w:t>
      </w:r>
      <w:r w:rsidRPr="002E0AB7">
        <w:rPr>
          <w:b/>
          <w:bCs/>
          <w:lang w:val="es-ES_tradnl" w:eastAsia="nl-NL"/>
        </w:rPr>
        <w:t>18</w:t>
      </w:r>
      <w:r w:rsidRPr="002E0AB7">
        <w:rPr>
          <w:lang w:val="es-ES_tradnl"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2E0AB7">
        <w:rPr>
          <w:i/>
          <w:iCs/>
          <w:lang w:val="es-ES_tradnl" w:eastAsia="nl-NL"/>
        </w:rPr>
        <w:t>reconociendo</w:t>
      </w:r>
      <w:r w:rsidRPr="002E0AB7">
        <w:rPr>
          <w:lang w:val="es-ES_tradnl" w:eastAsia="nl-NL"/>
        </w:rPr>
        <w:t xml:space="preserve"> </w:t>
      </w:r>
      <w:r w:rsidRPr="002E0AB7">
        <w:rPr>
          <w:i/>
          <w:iCs/>
          <w:lang w:val="es-ES_tradnl" w:eastAsia="nl-NL"/>
        </w:rPr>
        <w:t xml:space="preserve">d) </w:t>
      </w:r>
      <w:r w:rsidRPr="002E0AB7">
        <w:rPr>
          <w:lang w:val="es-ES_tradnl" w:eastAsia="nl-NL"/>
        </w:rPr>
        <w:t xml:space="preserve">y </w:t>
      </w:r>
      <w:r w:rsidRPr="002E0AB7">
        <w:rPr>
          <w:i/>
          <w:iCs/>
          <w:lang w:val="es-ES_tradnl" w:eastAsia="nl-NL"/>
        </w:rPr>
        <w:t>e)</w:t>
      </w:r>
      <w:r w:rsidRPr="002E0AB7">
        <w:rPr>
          <w:lang w:val="es-ES_tradnl" w:eastAsia="nl-NL"/>
        </w:rPr>
        <w:t xml:space="preserve"> de la Resolución </w:t>
      </w:r>
      <w:r w:rsidRPr="002E0AB7">
        <w:rPr>
          <w:b/>
          <w:bCs/>
          <w:lang w:val="es-ES_tradnl" w:eastAsia="nl-NL"/>
        </w:rPr>
        <w:t>360 (Rev.CMR-15</w:t>
      </w:r>
      <w:r w:rsidRPr="002E0AB7">
        <w:rPr>
          <w:lang w:val="es-ES_tradnl" w:eastAsia="nl-NL"/>
        </w:rPr>
        <w:t>);</w:t>
      </w:r>
    </w:p>
    <w:p w:rsidR="00BC426F" w:rsidRPr="002E0AB7" w:rsidRDefault="00BC426F" w:rsidP="0079636E">
      <w:pPr>
        <w:spacing w:line="240" w:lineRule="auto"/>
        <w:rPr>
          <w:lang w:val="es-ES_tradnl"/>
        </w:rPr>
      </w:pPr>
      <w:r w:rsidRPr="002E0AB7">
        <w:rPr>
          <w:lang w:val="es-ES_tradnl"/>
        </w:rPr>
        <w:t>1.10</w:t>
      </w:r>
      <w:r w:rsidRPr="002E0AB7">
        <w:rPr>
          <w:lang w:val="es-ES_tradnl"/>
        </w:rPr>
        <w:tab/>
        <w:t xml:space="preserve">las necesidades de espectro y la posibilidad de adoptar disposiciones reglamentarias para la introducción y utilización del Sistema Mundial de Socorro y Seguridad Aeronáuticos (GADSS) de conformidad con la Resolución </w:t>
      </w:r>
      <w:r w:rsidRPr="002E0AB7">
        <w:rPr>
          <w:b/>
          <w:bCs/>
          <w:lang w:val="es-ES_tradnl"/>
        </w:rPr>
        <w:t>426</w:t>
      </w:r>
      <w:r w:rsidRPr="002E0AB7">
        <w:rPr>
          <w:b/>
          <w:lang w:val="es-ES_tradnl"/>
        </w:rPr>
        <w:t xml:space="preserve"> (CMR-15)</w:t>
      </w:r>
      <w:r w:rsidRPr="002E0AB7">
        <w:rPr>
          <w:lang w:val="es-ES_tradnl"/>
        </w:rPr>
        <w:t>;</w:t>
      </w:r>
    </w:p>
    <w:p w:rsidR="00BC426F" w:rsidRPr="002E0AB7" w:rsidRDefault="00BC426F" w:rsidP="0079636E">
      <w:pPr>
        <w:spacing w:line="240" w:lineRule="auto"/>
        <w:rPr>
          <w:lang w:val="es-ES_tradnl"/>
        </w:rPr>
      </w:pPr>
      <w:r w:rsidRPr="002E0AB7">
        <w:rPr>
          <w:lang w:val="es-ES_tradnl"/>
        </w:rPr>
        <w:t>1.11</w:t>
      </w:r>
      <w:r w:rsidRPr="002E0AB7">
        <w:rPr>
          <w:lang w:val="es-ES_tradnl"/>
        </w:rPr>
        <w:tab/>
        <w:t xml:space="preserve">adoptar las medidas necesarias, según proceda, para facilitar las bandas de frecuencias armonizadas a escala mundial o regional para dar soporte a los </w:t>
      </w:r>
      <w:r w:rsidRPr="002E0AB7">
        <w:rPr>
          <w:rFonts w:eastAsia="SimSun"/>
          <w:lang w:val="es-ES_tradnl" w:eastAsia="zh-CN"/>
        </w:rPr>
        <w:t>sistemas de radiocomunicaciones entre el tren y las vías</w:t>
      </w:r>
      <w:r w:rsidRPr="002E0AB7">
        <w:rPr>
          <w:lang w:val="es-ES_tradnl"/>
        </w:rPr>
        <w:t xml:space="preserve"> </w:t>
      </w:r>
      <w:r w:rsidRPr="002E0AB7">
        <w:rPr>
          <w:rFonts w:eastAsia="SimSun"/>
          <w:lang w:val="es-ES_tradnl" w:eastAsia="zh-CN"/>
        </w:rPr>
        <w:t>dentro de las atribuciones existentes al servicio móvil, de conformidad con la Resolución </w:t>
      </w:r>
      <w:r w:rsidRPr="002E0AB7">
        <w:rPr>
          <w:rFonts w:eastAsia="SimSun"/>
          <w:b/>
          <w:bCs/>
          <w:lang w:val="es-ES_tradnl" w:eastAsia="zh-CN"/>
        </w:rPr>
        <w:t>236 (CMR</w:t>
      </w:r>
      <w:r w:rsidRPr="002E0AB7">
        <w:rPr>
          <w:rFonts w:eastAsia="SimSun"/>
          <w:b/>
          <w:bCs/>
          <w:lang w:val="es-ES_tradnl" w:eastAsia="zh-CN"/>
        </w:rPr>
        <w:noBreakHyphen/>
        <w:t>15)</w:t>
      </w:r>
      <w:r w:rsidRPr="002E0AB7">
        <w:rPr>
          <w:rFonts w:eastAsia="SimSun"/>
          <w:lang w:val="es-ES_tradnl" w:eastAsia="zh-CN"/>
        </w:rPr>
        <w:t>;</w:t>
      </w:r>
    </w:p>
    <w:p w:rsidR="00BC426F" w:rsidRPr="002E0AB7" w:rsidRDefault="00BC426F" w:rsidP="0079636E">
      <w:pPr>
        <w:spacing w:line="240" w:lineRule="auto"/>
        <w:rPr>
          <w:lang w:val="es-ES_tradnl"/>
        </w:rPr>
      </w:pPr>
      <w:r w:rsidRPr="002E0AB7">
        <w:rPr>
          <w:lang w:val="es-ES_tradnl"/>
        </w:rPr>
        <w:t>1.12</w:t>
      </w:r>
      <w:r w:rsidRPr="002E0AB7">
        <w:rPr>
          <w:lang w:val="es-ES_tradnl"/>
        </w:rPr>
        <w:tab/>
      </w:r>
      <w:r w:rsidRPr="002E0AB7">
        <w:rPr>
          <w:rFonts w:eastAsia="SimSun"/>
          <w:bCs/>
          <w:lang w:val="es-ES_tradnl"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2E0AB7">
        <w:rPr>
          <w:rFonts w:eastAsia="SimSun"/>
          <w:b/>
          <w:bCs/>
          <w:lang w:val="es-ES_tradnl" w:eastAsia="zh-CN"/>
        </w:rPr>
        <w:t>237 (CMR</w:t>
      </w:r>
      <w:r w:rsidRPr="002E0AB7">
        <w:rPr>
          <w:rFonts w:eastAsia="SimSun"/>
          <w:b/>
          <w:bCs/>
          <w:lang w:val="es-ES_tradnl" w:eastAsia="zh-CN"/>
        </w:rPr>
        <w:noBreakHyphen/>
        <w:t>15)</w:t>
      </w:r>
      <w:r w:rsidRPr="002E0AB7">
        <w:rPr>
          <w:rFonts w:eastAsia="SimSun"/>
          <w:lang w:val="es-ES_tradnl" w:eastAsia="zh-CN"/>
        </w:rPr>
        <w:t>;</w:t>
      </w:r>
    </w:p>
    <w:p w:rsidR="00BC426F" w:rsidRPr="002E0AB7" w:rsidRDefault="00BC426F" w:rsidP="0079636E">
      <w:pPr>
        <w:spacing w:line="240" w:lineRule="auto"/>
        <w:rPr>
          <w:lang w:val="es-ES_tradnl"/>
        </w:rPr>
      </w:pPr>
      <w:r w:rsidRPr="002E0AB7">
        <w:rPr>
          <w:lang w:val="es-ES_tradnl"/>
        </w:rPr>
        <w:lastRenderedPageBreak/>
        <w:t>1.13</w:t>
      </w:r>
      <w:r w:rsidRPr="002E0AB7">
        <w:rPr>
          <w:lang w:val="es-ES_tradnl"/>
        </w:rPr>
        <w:tab/>
        <w:t xml:space="preserve">considerar la identificación de bandas de frecuencias para el futuro despliegue de las Telecomunicaciones Móviles Internacionales </w:t>
      </w:r>
      <w:r w:rsidRPr="002E0AB7">
        <w:rPr>
          <w:lang w:val="es-ES_tradnl" w:eastAsia="ja-JP"/>
        </w:rPr>
        <w:t>(</w:t>
      </w:r>
      <w:r w:rsidRPr="002E0AB7">
        <w:rPr>
          <w:lang w:val="es-ES_tradnl"/>
        </w:rPr>
        <w:t>IMT</w:t>
      </w:r>
      <w:r w:rsidRPr="002E0AB7">
        <w:rPr>
          <w:lang w:val="es-ES_tradnl" w:eastAsia="ko-KR"/>
        </w:rPr>
        <w:t>)</w:t>
      </w:r>
      <w:r w:rsidRPr="002E0AB7">
        <w:rPr>
          <w:lang w:val="es-ES_tradnl"/>
        </w:rPr>
        <w:t xml:space="preserve">, incluidas posibles atribuciones adicionales al servicio móvil a título primario, de conformidad con la Resolución </w:t>
      </w:r>
      <w:r w:rsidRPr="002E0AB7">
        <w:rPr>
          <w:rFonts w:eastAsia="SimSun"/>
          <w:b/>
          <w:szCs w:val="24"/>
          <w:lang w:val="es-ES_tradnl" w:eastAsia="zh-CN"/>
        </w:rPr>
        <w:t>238 (CMR-15)</w:t>
      </w:r>
      <w:r w:rsidRPr="002E0AB7">
        <w:rPr>
          <w:rFonts w:eastAsia="SimSun"/>
          <w:szCs w:val="24"/>
          <w:lang w:val="es-ES_tradnl" w:eastAsia="zh-CN"/>
        </w:rPr>
        <w:t>;</w:t>
      </w:r>
    </w:p>
    <w:p w:rsidR="00BC426F" w:rsidRPr="002E0AB7" w:rsidRDefault="00BC426F" w:rsidP="0079636E">
      <w:pPr>
        <w:spacing w:line="240" w:lineRule="auto"/>
        <w:rPr>
          <w:lang w:val="es-ES_tradnl"/>
        </w:rPr>
      </w:pPr>
      <w:r w:rsidRPr="002E0AB7">
        <w:rPr>
          <w:lang w:val="es-ES_tradnl"/>
        </w:rPr>
        <w:t>1.14</w:t>
      </w:r>
      <w:r w:rsidRPr="002E0AB7">
        <w:rPr>
          <w:lang w:val="es-ES_tradnl"/>
        </w:rPr>
        <w:tab/>
        <w:t>considerar, basándose en los estudios del UIT</w:t>
      </w:r>
      <w:r w:rsidRPr="002E0AB7">
        <w:rPr>
          <w:lang w:val="es-ES_tradnl"/>
        </w:rPr>
        <w:noBreakHyphen/>
        <w:t xml:space="preserve">R, de conformidad con la Resolución </w:t>
      </w:r>
      <w:r w:rsidRPr="002E0AB7">
        <w:rPr>
          <w:b/>
          <w:bCs/>
          <w:lang w:val="es-ES_tradnl"/>
        </w:rPr>
        <w:t>160 (CMR-15),</w:t>
      </w:r>
      <w:r w:rsidRPr="002E0AB7">
        <w:rPr>
          <w:lang w:val="es-ES_tradnl"/>
        </w:rPr>
        <w:t xml:space="preserve"> medidas reglamentarias apropiadas para las estaciones en plataformas a gran altitud (HAPS), dentro de las atribuciones del servicio fijo existentes;</w:t>
      </w:r>
    </w:p>
    <w:p w:rsidR="00BC426F" w:rsidRPr="002E0AB7" w:rsidRDefault="00BC426F" w:rsidP="0079636E">
      <w:pPr>
        <w:spacing w:line="240" w:lineRule="auto"/>
        <w:rPr>
          <w:lang w:val="es-ES_tradnl"/>
        </w:rPr>
      </w:pPr>
      <w:r w:rsidRPr="002E0AB7">
        <w:rPr>
          <w:lang w:val="es-ES_tradnl"/>
        </w:rPr>
        <w:t>1.15</w:t>
      </w:r>
      <w:r w:rsidRPr="002E0AB7">
        <w:rPr>
          <w:lang w:val="es-ES_tradnl"/>
        </w:rPr>
        <w:tab/>
        <w:t>considerar la identificación de bandas de frecuencias para su utilización por las administraciones para las aplicaciones de los servicios móvil terrestre y fijo que funcionan en la gama de frecuencias 275</w:t>
      </w:r>
      <w:r w:rsidRPr="002E0AB7">
        <w:rPr>
          <w:lang w:val="es-ES_tradnl"/>
        </w:rPr>
        <w:noBreakHyphen/>
        <w:t xml:space="preserve">450 GHz, de conformidad con la Resolución </w:t>
      </w:r>
      <w:r w:rsidRPr="002E0AB7">
        <w:rPr>
          <w:b/>
          <w:lang w:val="es-ES_tradnl"/>
        </w:rPr>
        <w:t>767 (CMR-15)</w:t>
      </w:r>
      <w:r w:rsidRPr="002E0AB7">
        <w:rPr>
          <w:lang w:val="es-ES_tradnl"/>
        </w:rPr>
        <w:t>;</w:t>
      </w:r>
    </w:p>
    <w:p w:rsidR="00BC426F" w:rsidRPr="002E0AB7" w:rsidRDefault="00BC426F" w:rsidP="0079636E">
      <w:pPr>
        <w:spacing w:line="240" w:lineRule="auto"/>
        <w:rPr>
          <w:lang w:val="es-ES_tradnl"/>
        </w:rPr>
      </w:pPr>
      <w:r w:rsidRPr="002E0AB7">
        <w:rPr>
          <w:lang w:val="es-ES_tradnl"/>
        </w:rPr>
        <w:t>1.16</w:t>
      </w:r>
      <w:r w:rsidRPr="002E0AB7">
        <w:rPr>
          <w:lang w:val="es-ES_tradnl"/>
        </w:rPr>
        <w:tab/>
      </w:r>
      <w:r w:rsidRPr="002E0AB7">
        <w:rPr>
          <w:spacing w:val="-4"/>
          <w:lang w:val="es-ES_tradnl"/>
        </w:rPr>
        <w:t xml:space="preserve">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2E0AB7">
        <w:rPr>
          <w:b/>
          <w:bCs/>
          <w:spacing w:val="-4"/>
          <w:lang w:val="es-ES_tradnl"/>
        </w:rPr>
        <w:t>239 (CMR</w:t>
      </w:r>
      <w:r w:rsidRPr="002E0AB7">
        <w:rPr>
          <w:b/>
          <w:bCs/>
          <w:spacing w:val="-4"/>
          <w:lang w:val="es-ES_tradnl"/>
        </w:rPr>
        <w:noBreakHyphen/>
        <w:t>15)</w:t>
      </w:r>
      <w:r w:rsidRPr="002E0AB7">
        <w:rPr>
          <w:lang w:val="es-ES_tradnl"/>
        </w:rPr>
        <w:t>;</w:t>
      </w:r>
    </w:p>
    <w:p w:rsidR="00BC426F" w:rsidRPr="002E0AB7" w:rsidRDefault="00BC426F" w:rsidP="0079636E">
      <w:pPr>
        <w:spacing w:line="240" w:lineRule="auto"/>
        <w:rPr>
          <w:lang w:val="es-ES_tradnl"/>
        </w:rPr>
      </w:pPr>
      <w:r w:rsidRPr="002E0AB7">
        <w:rPr>
          <w:lang w:val="es-ES_tradnl"/>
        </w:rPr>
        <w:t>2</w:t>
      </w:r>
      <w:r w:rsidRPr="002E0AB7">
        <w:rPr>
          <w:lang w:val="es-ES_tradnl"/>
        </w:rPr>
        <w:tab/>
        <w:t>examinar las Recomendaciones UIT</w:t>
      </w:r>
      <w:r w:rsidRPr="002E0AB7">
        <w:rPr>
          <w:lang w:val="es-ES_tradnl"/>
        </w:rPr>
        <w:noBreakHyphen/>
        <w:t xml:space="preserve">R revisadas e incorporadas por referencia en el Reglamento de Radiocomunicaciones, comunicadas por la Asamblea de Radiocomunicaciones de acuerdo con la Resolución </w:t>
      </w:r>
      <w:r w:rsidRPr="002E0AB7">
        <w:rPr>
          <w:b/>
          <w:bCs/>
          <w:lang w:val="es-ES_tradnl"/>
        </w:rPr>
        <w:t>28 (Rev.CMR-15)</w:t>
      </w:r>
      <w:r w:rsidRPr="002E0AB7">
        <w:rPr>
          <w:lang w:val="es-ES_tradnl"/>
        </w:rPr>
        <w:t>, y decidir si se actualizan o no las referencias correspondientes en el Reglamento de Radiocomunicaciones, con arreglo a los principios contenidos en el Anexo 1 a la Resolución </w:t>
      </w:r>
      <w:r w:rsidRPr="002E0AB7">
        <w:rPr>
          <w:b/>
          <w:bCs/>
          <w:lang w:val="es-ES_tradnl"/>
        </w:rPr>
        <w:t>27 (Rev.CMR</w:t>
      </w:r>
      <w:r w:rsidRPr="002E0AB7">
        <w:rPr>
          <w:b/>
          <w:bCs/>
          <w:lang w:val="es-ES_tradnl"/>
        </w:rPr>
        <w:noBreakHyphen/>
        <w:t>12)</w:t>
      </w:r>
      <w:r w:rsidRPr="002E0AB7">
        <w:rPr>
          <w:lang w:val="es-ES_tradnl"/>
        </w:rPr>
        <w:t xml:space="preserve">; </w:t>
      </w:r>
    </w:p>
    <w:p w:rsidR="00BC426F" w:rsidRPr="002E0AB7" w:rsidRDefault="00BC426F" w:rsidP="0079636E">
      <w:pPr>
        <w:spacing w:line="240" w:lineRule="auto"/>
        <w:rPr>
          <w:lang w:val="es-ES_tradnl"/>
        </w:rPr>
      </w:pPr>
      <w:r w:rsidRPr="002E0AB7">
        <w:rPr>
          <w:lang w:val="es-ES_tradnl"/>
        </w:rPr>
        <w:t>3</w:t>
      </w:r>
      <w:r w:rsidRPr="002E0AB7">
        <w:rPr>
          <w:lang w:val="es-ES_tradnl"/>
        </w:rPr>
        <w:tab/>
        <w:t>examinar los cambios y las modificaciones consiguientes en el Reglamento de Radiocomunicaciones que requieran las decisiones de la Conferencia;</w:t>
      </w:r>
    </w:p>
    <w:p w:rsidR="00BC426F" w:rsidRPr="002E0AB7" w:rsidRDefault="00BC426F" w:rsidP="0079636E">
      <w:pPr>
        <w:spacing w:line="240" w:lineRule="auto"/>
        <w:rPr>
          <w:lang w:val="es-ES_tradnl"/>
        </w:rPr>
      </w:pPr>
      <w:r w:rsidRPr="002E0AB7">
        <w:rPr>
          <w:lang w:val="es-ES_tradnl"/>
        </w:rPr>
        <w:t>4</w:t>
      </w:r>
      <w:r w:rsidRPr="002E0AB7">
        <w:rPr>
          <w:lang w:val="es-ES_tradnl"/>
        </w:rPr>
        <w:tab/>
        <w:t xml:space="preserve">de conformidad con la Resolución </w:t>
      </w:r>
      <w:r w:rsidRPr="002E0AB7">
        <w:rPr>
          <w:b/>
          <w:bCs/>
          <w:lang w:val="es-ES_tradnl"/>
        </w:rPr>
        <w:t>95 (Rev.CMR-07</w:t>
      </w:r>
      <w:r w:rsidRPr="002E0AB7">
        <w:rPr>
          <w:lang w:val="es-ES_tradnl"/>
        </w:rPr>
        <w:t>), considerar las Resoluciones y Recomendaciones de las conferencias anteriores para su posible revisión, sustitución o supresión;</w:t>
      </w:r>
    </w:p>
    <w:p w:rsidR="00BC426F" w:rsidRPr="002E0AB7" w:rsidRDefault="00BC426F" w:rsidP="0079636E">
      <w:pPr>
        <w:spacing w:line="240" w:lineRule="auto"/>
        <w:rPr>
          <w:lang w:val="es-ES_tradnl"/>
        </w:rPr>
      </w:pPr>
      <w:r w:rsidRPr="002E0AB7">
        <w:rPr>
          <w:lang w:val="es-ES_tradnl"/>
        </w:rPr>
        <w:t>5</w:t>
      </w:r>
      <w:r w:rsidRPr="002E0AB7">
        <w:rPr>
          <w:lang w:val="es-ES_tradnl"/>
        </w:rPr>
        <w:tab/>
        <w:t>examinar el Informe de la Asamblea de Radiocomunicaciones presentado de acuerdo con los números 135 y 136 del Convenio, y tomar las medidas adecuadas al respecto;</w:t>
      </w:r>
    </w:p>
    <w:p w:rsidR="00BC426F" w:rsidRPr="002E0AB7" w:rsidRDefault="00BC426F" w:rsidP="0079636E">
      <w:pPr>
        <w:spacing w:line="240" w:lineRule="auto"/>
        <w:rPr>
          <w:lang w:val="es-ES_tradnl"/>
        </w:rPr>
      </w:pPr>
      <w:r w:rsidRPr="002E0AB7">
        <w:rPr>
          <w:lang w:val="es-ES_tradnl"/>
        </w:rPr>
        <w:t>6</w:t>
      </w:r>
      <w:r w:rsidRPr="002E0AB7">
        <w:rPr>
          <w:lang w:val="es-ES_tradnl"/>
        </w:rPr>
        <w:tab/>
        <w:t>identificar los temas que exigen medidas urgentes de las Comisiones de Estudio de Radiocomunicaciones para la preparación de la próxima Conferencia Mundial de Radiocomunicaciones;</w:t>
      </w:r>
    </w:p>
    <w:p w:rsidR="00BC426F" w:rsidRPr="002E0AB7" w:rsidRDefault="00BC426F" w:rsidP="0079636E">
      <w:pPr>
        <w:spacing w:line="240" w:lineRule="auto"/>
        <w:rPr>
          <w:lang w:val="es-ES_tradnl"/>
        </w:rPr>
      </w:pPr>
      <w:r w:rsidRPr="002E0AB7">
        <w:rPr>
          <w:lang w:val="es-ES_tradnl"/>
        </w:rPr>
        <w:t>7</w:t>
      </w:r>
      <w:r w:rsidRPr="002E0AB7">
        <w:rPr>
          <w:lang w:val="es-ES_tradnl"/>
        </w:rPr>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2E0AB7">
        <w:rPr>
          <w:b/>
          <w:bCs/>
          <w:lang w:val="es-ES_tradnl"/>
        </w:rPr>
        <w:t>86 (Rev.CMR-07</w:t>
      </w:r>
      <w:r w:rsidRPr="002E0AB7">
        <w:rPr>
          <w:b/>
          <w:lang w:val="es-ES_tradnl"/>
        </w:rPr>
        <w:t xml:space="preserve">) </w:t>
      </w:r>
      <w:r w:rsidRPr="002E0AB7">
        <w:rPr>
          <w:bCs/>
          <w:lang w:val="es-ES_tradnl"/>
        </w:rPr>
        <w:t>para facilitar el uso racional, eficiente y económico de las radiofrecuencias y órbitas asociadas, incluida la órbita de los satélites geoestacionarios</w:t>
      </w:r>
      <w:r w:rsidRPr="002E0AB7">
        <w:rPr>
          <w:lang w:val="es-ES_tradnl"/>
        </w:rPr>
        <w:t>;</w:t>
      </w:r>
    </w:p>
    <w:p w:rsidR="00BC426F" w:rsidRPr="002E0AB7" w:rsidRDefault="00BC426F" w:rsidP="0079636E">
      <w:pPr>
        <w:spacing w:line="240" w:lineRule="auto"/>
        <w:rPr>
          <w:lang w:val="es-ES_tradnl"/>
        </w:rPr>
      </w:pPr>
      <w:r w:rsidRPr="002E0AB7">
        <w:rPr>
          <w:lang w:val="es-ES_tradnl"/>
        </w:rPr>
        <w:t>8</w:t>
      </w:r>
      <w:r w:rsidRPr="002E0AB7">
        <w:rPr>
          <w:lang w:val="es-ES_tradnl"/>
        </w:rPr>
        <w:tab/>
        <w:t xml:space="preserve">examinar las peticiones de las administraciones de suprimir las notas de sus países o de que se suprima el nombre de sus países de las notas, cuando ya no sea necesario, teniendo en cuenta la Resolución </w:t>
      </w:r>
      <w:r w:rsidRPr="002E0AB7">
        <w:rPr>
          <w:b/>
          <w:bCs/>
          <w:lang w:val="es-ES_tradnl"/>
        </w:rPr>
        <w:t>26 (Rev.CMR-07</w:t>
      </w:r>
      <w:r w:rsidRPr="002E0AB7">
        <w:rPr>
          <w:lang w:val="es-ES_tradnl"/>
        </w:rPr>
        <w:t>), y adoptar las medidas oportunas al respecto;</w:t>
      </w:r>
    </w:p>
    <w:p w:rsidR="00BC426F" w:rsidRPr="002E0AB7" w:rsidRDefault="00BC426F" w:rsidP="0079636E">
      <w:pPr>
        <w:spacing w:line="240" w:lineRule="auto"/>
        <w:rPr>
          <w:lang w:val="es-ES_tradnl"/>
        </w:rPr>
      </w:pPr>
      <w:r w:rsidRPr="002E0AB7">
        <w:rPr>
          <w:lang w:val="es-ES_tradnl"/>
        </w:rPr>
        <w:t>9</w:t>
      </w:r>
      <w:r w:rsidRPr="002E0AB7">
        <w:rPr>
          <w:lang w:val="es-ES_tradnl"/>
        </w:rPr>
        <w:tab/>
        <w:t>examinar y aprobar el Informe del Director de la Oficina de Radiocomunicaciones, de conformidad con el Artículo 7 del Convenio:</w:t>
      </w:r>
    </w:p>
    <w:p w:rsidR="00BC426F" w:rsidRPr="002E0AB7" w:rsidRDefault="00BC426F" w:rsidP="0079636E">
      <w:pPr>
        <w:spacing w:line="240" w:lineRule="auto"/>
        <w:rPr>
          <w:lang w:val="es-ES_tradnl"/>
        </w:rPr>
      </w:pPr>
      <w:r w:rsidRPr="002E0AB7">
        <w:rPr>
          <w:lang w:val="es-ES_tradnl"/>
        </w:rPr>
        <w:t>9.1</w:t>
      </w:r>
      <w:r w:rsidRPr="002E0AB7">
        <w:rPr>
          <w:lang w:val="es-ES_tradnl"/>
        </w:rPr>
        <w:tab/>
        <w:t>sobre las actividades del Sector de Radiocomunicaciones desde la CMR</w:t>
      </w:r>
      <w:r w:rsidRPr="002E0AB7">
        <w:rPr>
          <w:lang w:val="es-ES_tradnl"/>
        </w:rPr>
        <w:noBreakHyphen/>
        <w:t>15;</w:t>
      </w:r>
    </w:p>
    <w:p w:rsidR="00BC426F" w:rsidRPr="002E0AB7" w:rsidRDefault="00BC426F" w:rsidP="0079636E">
      <w:pPr>
        <w:spacing w:line="240" w:lineRule="auto"/>
        <w:rPr>
          <w:lang w:val="es-ES_tradnl"/>
        </w:rPr>
      </w:pPr>
      <w:r w:rsidRPr="002E0AB7">
        <w:rPr>
          <w:lang w:val="es-ES_tradnl"/>
        </w:rPr>
        <w:lastRenderedPageBreak/>
        <w:t>9.2</w:t>
      </w:r>
      <w:r w:rsidRPr="002E0AB7">
        <w:rPr>
          <w:lang w:val="es-ES_tradnl"/>
        </w:rPr>
        <w:tab/>
        <w:t>sobre las dificultades o incoherencias observadas en la aplicación del Reglamento de Radiocomunicaciones</w:t>
      </w:r>
      <w:r w:rsidRPr="002E0AB7">
        <w:rPr>
          <w:position w:val="6"/>
          <w:sz w:val="18"/>
          <w:lang w:val="es-ES_tradnl"/>
        </w:rPr>
        <w:footnoteReference w:customMarkFollows="1" w:id="1"/>
        <w:t>*</w:t>
      </w:r>
      <w:r w:rsidRPr="002E0AB7">
        <w:rPr>
          <w:lang w:val="es-ES_tradnl"/>
        </w:rPr>
        <w:t>; y</w:t>
      </w:r>
    </w:p>
    <w:p w:rsidR="00BC426F" w:rsidRPr="002E0AB7" w:rsidRDefault="00BC426F" w:rsidP="0079636E">
      <w:pPr>
        <w:spacing w:line="240" w:lineRule="auto"/>
        <w:rPr>
          <w:lang w:val="es-ES_tradnl"/>
        </w:rPr>
      </w:pPr>
      <w:r w:rsidRPr="002E0AB7">
        <w:rPr>
          <w:lang w:val="es-ES_tradnl"/>
        </w:rPr>
        <w:t>9.3</w:t>
      </w:r>
      <w:r w:rsidRPr="002E0AB7">
        <w:rPr>
          <w:lang w:val="es-ES_tradnl"/>
        </w:rPr>
        <w:tab/>
        <w:t xml:space="preserve">sobre acciones en respuesta a la Resolución </w:t>
      </w:r>
      <w:r w:rsidRPr="002E0AB7">
        <w:rPr>
          <w:b/>
          <w:bCs/>
          <w:lang w:val="es-ES_tradnl"/>
        </w:rPr>
        <w:t>80 (Rev.CMR-07</w:t>
      </w:r>
      <w:r w:rsidRPr="002E0AB7">
        <w:rPr>
          <w:lang w:val="es-ES_tradnl"/>
        </w:rPr>
        <w:t>);</w:t>
      </w:r>
    </w:p>
    <w:p w:rsidR="00BC426F" w:rsidRPr="002E0AB7" w:rsidRDefault="00BC426F" w:rsidP="0079636E">
      <w:pPr>
        <w:spacing w:line="240" w:lineRule="auto"/>
        <w:rPr>
          <w:lang w:val="es-ES_tradnl"/>
        </w:rPr>
      </w:pPr>
      <w:r w:rsidRPr="002E0AB7">
        <w:rPr>
          <w:lang w:val="es-ES_tradnl"/>
        </w:rPr>
        <w:t>10</w:t>
      </w:r>
      <w:r w:rsidRPr="002E0AB7">
        <w:rPr>
          <w:lang w:val="es-ES_tradnl"/>
        </w:rPr>
        <w:tab/>
        <w:t>recomendar al Consejo los puntos que han de incluirse en el orden del día de la próxima CMR, y formular opiniones sobre el orden del día preliminar de la conferencia subsiguiente y sobre los posibles órdenes del día de futuras conferencias,</w:t>
      </w:r>
    </w:p>
    <w:p w:rsidR="00BC426F" w:rsidRPr="002E0AB7" w:rsidRDefault="00BC426F" w:rsidP="0079636E">
      <w:pPr>
        <w:pStyle w:val="Call"/>
        <w:jc w:val="both"/>
        <w:rPr>
          <w:lang w:val="es-ES_tradnl"/>
        </w:rPr>
      </w:pPr>
      <w:r w:rsidRPr="002E0AB7">
        <w:rPr>
          <w:lang w:val="es-ES_tradnl"/>
        </w:rPr>
        <w:t>encarga al Director de la Oficina de Radiocomunicaciones</w:t>
      </w:r>
    </w:p>
    <w:p w:rsidR="00BC426F" w:rsidRPr="002E0AB7" w:rsidRDefault="00BC426F" w:rsidP="0079636E">
      <w:pPr>
        <w:tabs>
          <w:tab w:val="left" w:pos="1871"/>
        </w:tabs>
        <w:spacing w:line="240" w:lineRule="auto"/>
        <w:rPr>
          <w:rFonts w:asciiTheme="minorHAnsi" w:hAnsiTheme="minorHAnsi" w:cstheme="minorHAnsi"/>
          <w:lang w:val="es-ES_tradnl"/>
        </w:rPr>
      </w:pPr>
      <w:r w:rsidRPr="002E0AB7">
        <w:rPr>
          <w:rFonts w:asciiTheme="minorHAnsi" w:hAnsiTheme="minorHAnsi" w:cstheme="minorHAnsi"/>
          <w:lang w:val="es-ES_tradnl"/>
        </w:rPr>
        <w:t>que tome las medidas necesarias para convocar las sesiones de la Reunión Preparatoria de la Conferencia y elabore un Informe a la CMR</w:t>
      </w:r>
      <w:r w:rsidRPr="002E0AB7">
        <w:rPr>
          <w:rFonts w:asciiTheme="minorHAnsi" w:hAnsiTheme="minorHAnsi" w:cstheme="minorHAnsi"/>
          <w:lang w:val="es-ES_tradnl"/>
        </w:rPr>
        <w:noBreakHyphen/>
        <w:t>19,</w:t>
      </w:r>
    </w:p>
    <w:p w:rsidR="00BC426F" w:rsidRPr="002E0AB7" w:rsidRDefault="00BC426F" w:rsidP="0079636E">
      <w:pPr>
        <w:pStyle w:val="Call"/>
        <w:jc w:val="both"/>
        <w:rPr>
          <w:lang w:val="es-ES_tradnl"/>
        </w:rPr>
      </w:pPr>
      <w:r w:rsidRPr="002E0AB7">
        <w:rPr>
          <w:lang w:val="es-ES_tradnl"/>
        </w:rPr>
        <w:t>encarga al Secretario General</w:t>
      </w:r>
    </w:p>
    <w:p w:rsidR="00BC426F" w:rsidRPr="002E0AB7" w:rsidRDefault="00BC426F" w:rsidP="0079636E">
      <w:pPr>
        <w:spacing w:line="240" w:lineRule="auto"/>
        <w:rPr>
          <w:lang w:val="es-ES_tradnl"/>
        </w:rPr>
      </w:pPr>
      <w:r w:rsidRPr="002E0AB7">
        <w:rPr>
          <w:lang w:val="es-ES_tradnl"/>
        </w:rPr>
        <w:t>1</w:t>
      </w:r>
      <w:r w:rsidRPr="002E0AB7">
        <w:rPr>
          <w:lang w:val="es-ES_tradnl"/>
        </w:rPr>
        <w:tab/>
        <w:t>consultar a los Estados Miembros sobre el lugar concreto y las fechas exactas de la Conferencia Mundial de Radiocomunicaciones y la Asamblea de Radiocomunicaciones de 2019, así como sobre el orden del día de la Conferencia Mundial de Radiocomunicaciones de 2019;</w:t>
      </w:r>
    </w:p>
    <w:p w:rsidR="00BC426F" w:rsidRPr="002E0AB7" w:rsidRDefault="00BC426F" w:rsidP="0079636E">
      <w:pPr>
        <w:spacing w:line="240" w:lineRule="auto"/>
        <w:rPr>
          <w:lang w:val="es-ES_tradnl"/>
        </w:rPr>
      </w:pPr>
      <w:r w:rsidRPr="002E0AB7">
        <w:rPr>
          <w:lang w:val="es-ES_tradnl"/>
        </w:rPr>
        <w:t>2</w:t>
      </w:r>
      <w:r w:rsidRPr="002E0AB7">
        <w:rPr>
          <w:lang w:val="es-ES_tradnl"/>
        </w:rPr>
        <w:tab/>
        <w:t>adoptar todas las disposiciones necesarias, de acuerdo con el Director de la Oficina de Radiocomunicaciones, para la convocatoria de la Conferencia;</w:t>
      </w:r>
    </w:p>
    <w:p w:rsidR="00BC426F" w:rsidRPr="002E0AB7" w:rsidRDefault="00BC426F" w:rsidP="0079636E">
      <w:pPr>
        <w:spacing w:line="240" w:lineRule="auto"/>
        <w:rPr>
          <w:lang w:val="es-ES_tradnl"/>
        </w:rPr>
      </w:pPr>
      <w:r w:rsidRPr="002E0AB7">
        <w:rPr>
          <w:lang w:val="es-ES_tradnl"/>
        </w:rPr>
        <w:t>3</w:t>
      </w:r>
      <w:r w:rsidRPr="002E0AB7">
        <w:rPr>
          <w:lang w:val="es-ES_tradnl"/>
        </w:rPr>
        <w:tab/>
        <w:t>que comunique la presente Resolución a las organizaciones internacionales y regionales interesadas.</w:t>
      </w:r>
    </w:p>
    <w:p w:rsidR="00BC426F" w:rsidRPr="002E0AB7" w:rsidRDefault="00BC426F" w:rsidP="00411C49">
      <w:pPr>
        <w:pStyle w:val="Reasons"/>
        <w:rPr>
          <w:lang w:val="es-ES_tradnl"/>
        </w:rPr>
      </w:pPr>
    </w:p>
    <w:p w:rsidR="00BC426F" w:rsidRPr="002E0AB7" w:rsidRDefault="00BC426F">
      <w:pPr>
        <w:jc w:val="center"/>
        <w:rPr>
          <w:lang w:val="es-ES_tradnl"/>
        </w:rPr>
      </w:pPr>
      <w:r w:rsidRPr="002E0AB7">
        <w:rPr>
          <w:lang w:val="es-ES_tradnl"/>
        </w:rPr>
        <w:t>______________</w:t>
      </w:r>
    </w:p>
    <w:sectPr w:rsidR="00BC426F" w:rsidRPr="002E0AB7"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E4" w:rsidRDefault="002C4AE4">
      <w:r>
        <w:separator/>
      </w:r>
    </w:p>
  </w:endnote>
  <w:endnote w:type="continuationSeparator" w:id="0">
    <w:p w:rsidR="002C4AE4" w:rsidRDefault="002C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E4" w:rsidRDefault="002C4AE4">
      <w:r>
        <w:t>____________________</w:t>
      </w:r>
    </w:p>
  </w:footnote>
  <w:footnote w:type="continuationSeparator" w:id="0">
    <w:p w:rsidR="002C4AE4" w:rsidRDefault="002C4AE4">
      <w:r>
        <w:continuationSeparator/>
      </w:r>
    </w:p>
  </w:footnote>
  <w:footnote w:id="1">
    <w:p w:rsidR="00BC426F" w:rsidRPr="00F7545A" w:rsidRDefault="00BC426F" w:rsidP="00BC426F">
      <w:pPr>
        <w:pStyle w:val="FootnoteText"/>
        <w:spacing w:line="240" w:lineRule="auto"/>
        <w:rPr>
          <w:lang w:val="es-ES_tradnl"/>
        </w:rPr>
      </w:pPr>
      <w:r w:rsidRPr="00F7545A">
        <w:rPr>
          <w:rStyle w:val="FootnoteReference"/>
          <w:lang w:val="es-ES_tradnl"/>
        </w:rPr>
        <w:t>*</w:t>
      </w:r>
      <w:r w:rsidRPr="00F7545A">
        <w:rPr>
          <w:lang w:val="es-ES_tradnl"/>
        </w:rPr>
        <w:tab/>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40318">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89" w:rsidRPr="00D239B4" w:rsidRDefault="00823A89" w:rsidP="00823A89">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240318">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C4A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167D"/>
    <w:rsid w:val="00086D03"/>
    <w:rsid w:val="000A096A"/>
    <w:rsid w:val="000A375E"/>
    <w:rsid w:val="000A7051"/>
    <w:rsid w:val="000B0AF6"/>
    <w:rsid w:val="000B0E9B"/>
    <w:rsid w:val="000B2CAE"/>
    <w:rsid w:val="000C03C7"/>
    <w:rsid w:val="000C2AD0"/>
    <w:rsid w:val="000C6DE3"/>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553F"/>
    <w:rsid w:val="001C6971"/>
    <w:rsid w:val="001D2785"/>
    <w:rsid w:val="001D7070"/>
    <w:rsid w:val="001F2170"/>
    <w:rsid w:val="001F3948"/>
    <w:rsid w:val="001F5A49"/>
    <w:rsid w:val="00201097"/>
    <w:rsid w:val="00201B6E"/>
    <w:rsid w:val="002302B3"/>
    <w:rsid w:val="00230C66"/>
    <w:rsid w:val="00235A29"/>
    <w:rsid w:val="00240318"/>
    <w:rsid w:val="00241526"/>
    <w:rsid w:val="002443A2"/>
    <w:rsid w:val="00255C59"/>
    <w:rsid w:val="00257BE7"/>
    <w:rsid w:val="00266E74"/>
    <w:rsid w:val="00283C3B"/>
    <w:rsid w:val="002861E6"/>
    <w:rsid w:val="00287D18"/>
    <w:rsid w:val="002A2618"/>
    <w:rsid w:val="002A5DD7"/>
    <w:rsid w:val="002B0CAC"/>
    <w:rsid w:val="002C4AE4"/>
    <w:rsid w:val="002D5A15"/>
    <w:rsid w:val="002D5BDD"/>
    <w:rsid w:val="002E0AB7"/>
    <w:rsid w:val="002E3D27"/>
    <w:rsid w:val="002F0890"/>
    <w:rsid w:val="002F2531"/>
    <w:rsid w:val="002F4967"/>
    <w:rsid w:val="00306452"/>
    <w:rsid w:val="00311970"/>
    <w:rsid w:val="00316935"/>
    <w:rsid w:val="003266ED"/>
    <w:rsid w:val="00326C68"/>
    <w:rsid w:val="00326F01"/>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061F"/>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8C1"/>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07106"/>
    <w:rsid w:val="007234B1"/>
    <w:rsid w:val="00723D08"/>
    <w:rsid w:val="00725FDA"/>
    <w:rsid w:val="00727816"/>
    <w:rsid w:val="00730B9A"/>
    <w:rsid w:val="00750CFA"/>
    <w:rsid w:val="007553DA"/>
    <w:rsid w:val="00775DB8"/>
    <w:rsid w:val="00782354"/>
    <w:rsid w:val="007921A7"/>
    <w:rsid w:val="0079636E"/>
    <w:rsid w:val="007B3DB1"/>
    <w:rsid w:val="007D183E"/>
    <w:rsid w:val="007D43D0"/>
    <w:rsid w:val="007E1833"/>
    <w:rsid w:val="007E3F13"/>
    <w:rsid w:val="007F751A"/>
    <w:rsid w:val="00800012"/>
    <w:rsid w:val="0080261F"/>
    <w:rsid w:val="00805A02"/>
    <w:rsid w:val="00806160"/>
    <w:rsid w:val="008143A4"/>
    <w:rsid w:val="0081513E"/>
    <w:rsid w:val="00823A89"/>
    <w:rsid w:val="00831058"/>
    <w:rsid w:val="00854131"/>
    <w:rsid w:val="0085652D"/>
    <w:rsid w:val="0087694B"/>
    <w:rsid w:val="00880F4D"/>
    <w:rsid w:val="008B0583"/>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1641"/>
    <w:rsid w:val="00A119E6"/>
    <w:rsid w:val="00A20FBC"/>
    <w:rsid w:val="00A31370"/>
    <w:rsid w:val="00A34D6F"/>
    <w:rsid w:val="00A41F91"/>
    <w:rsid w:val="00A63355"/>
    <w:rsid w:val="00A7596D"/>
    <w:rsid w:val="00A80EFE"/>
    <w:rsid w:val="00A906E1"/>
    <w:rsid w:val="00A963DF"/>
    <w:rsid w:val="00A96D3A"/>
    <w:rsid w:val="00AC0C22"/>
    <w:rsid w:val="00AC3896"/>
    <w:rsid w:val="00AC7D20"/>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C426F"/>
    <w:rsid w:val="00BD1E17"/>
    <w:rsid w:val="00BD6738"/>
    <w:rsid w:val="00BD7E5E"/>
    <w:rsid w:val="00BE63DB"/>
    <w:rsid w:val="00BE6574"/>
    <w:rsid w:val="00C07319"/>
    <w:rsid w:val="00C16FD2"/>
    <w:rsid w:val="00C4395E"/>
    <w:rsid w:val="00C47FFD"/>
    <w:rsid w:val="00C51E92"/>
    <w:rsid w:val="00C57E2C"/>
    <w:rsid w:val="00C608B7"/>
    <w:rsid w:val="00C66C85"/>
    <w:rsid w:val="00C66F24"/>
    <w:rsid w:val="00C76D7F"/>
    <w:rsid w:val="00C813AA"/>
    <w:rsid w:val="00C9291E"/>
    <w:rsid w:val="00CA3F44"/>
    <w:rsid w:val="00CA4E58"/>
    <w:rsid w:val="00CB3771"/>
    <w:rsid w:val="00CB44BF"/>
    <w:rsid w:val="00CB5153"/>
    <w:rsid w:val="00CD7272"/>
    <w:rsid w:val="00CE076A"/>
    <w:rsid w:val="00CE463D"/>
    <w:rsid w:val="00D10BA0"/>
    <w:rsid w:val="00D21694"/>
    <w:rsid w:val="00D230C4"/>
    <w:rsid w:val="00D239B4"/>
    <w:rsid w:val="00D24EB5"/>
    <w:rsid w:val="00D35AB9"/>
    <w:rsid w:val="00D41571"/>
    <w:rsid w:val="00D416A0"/>
    <w:rsid w:val="00D47672"/>
    <w:rsid w:val="00D5123C"/>
    <w:rsid w:val="00D5455D"/>
    <w:rsid w:val="00D55560"/>
    <w:rsid w:val="00D61C5A"/>
    <w:rsid w:val="00D63BFF"/>
    <w:rsid w:val="00D6790C"/>
    <w:rsid w:val="00D73277"/>
    <w:rsid w:val="00D76586"/>
    <w:rsid w:val="00D82657"/>
    <w:rsid w:val="00D87E20"/>
    <w:rsid w:val="00D97EF5"/>
    <w:rsid w:val="00DA4037"/>
    <w:rsid w:val="00DA703C"/>
    <w:rsid w:val="00DE66A5"/>
    <w:rsid w:val="00DF2B50"/>
    <w:rsid w:val="00E01059"/>
    <w:rsid w:val="00E04C86"/>
    <w:rsid w:val="00E16FD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5285"/>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AE83B02-9C9C-4D70-9781-B05D5A42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Heading1Char">
    <w:name w:val="Heading 1 Char"/>
    <w:link w:val="Heading1"/>
    <w:uiPriority w:val="99"/>
    <w:locked/>
    <w:rsid w:val="00A01641"/>
    <w:rPr>
      <w:b/>
      <w:sz w:val="24"/>
      <w:szCs w:val="22"/>
      <w:lang w:val="en-US" w:eastAsia="en-US"/>
    </w:rPr>
  </w:style>
  <w:style w:type="character" w:customStyle="1" w:styleId="CallChar">
    <w:name w:val="Call Char"/>
    <w:basedOn w:val="DefaultParagraphFont"/>
    <w:link w:val="Call"/>
    <w:rsid w:val="00BC426F"/>
    <w:rPr>
      <w:i/>
      <w:sz w:val="24"/>
      <w:szCs w:val="22"/>
      <w:lang w:val="en-US" w:eastAsia="en-US"/>
    </w:rPr>
  </w:style>
  <w:style w:type="character" w:customStyle="1" w:styleId="FootnoteTextChar">
    <w:name w:val="Footnote Text Char"/>
    <w:link w:val="FootnoteText"/>
    <w:locked/>
    <w:rsid w:val="00BC426F"/>
    <w:rPr>
      <w:szCs w:val="22"/>
      <w:lang w:val="en-US" w:eastAsia="en-US"/>
    </w:rPr>
  </w:style>
  <w:style w:type="paragraph" w:customStyle="1" w:styleId="AnnexNo">
    <w:name w:val="Annex_No"/>
    <w:basedOn w:val="Normal"/>
    <w:next w:val="Normal"/>
    <w:rsid w:val="00BC426F"/>
    <w:pPr>
      <w:tabs>
        <w:tab w:val="clear" w:pos="794"/>
        <w:tab w:val="clear" w:pos="1191"/>
        <w:tab w:val="clear" w:pos="1588"/>
        <w:tab w:val="clear" w:pos="1985"/>
      </w:tabs>
      <w:overflowPunct/>
      <w:autoSpaceDE/>
      <w:autoSpaceDN/>
      <w:adjustRightInd/>
      <w:spacing w:before="720" w:after="200" w:line="276" w:lineRule="auto"/>
      <w:jc w:val="center"/>
      <w:textAlignment w:val="auto"/>
    </w:pPr>
    <w:rPr>
      <w:rFonts w:asciiTheme="minorHAnsi" w:eastAsiaTheme="minorEastAsia" w:hAnsiTheme="minorHAnsi" w:cstheme="minorBidi"/>
      <w:caps/>
      <w:sz w:val="28"/>
      <w:lang w:eastAsia="zh-CN"/>
    </w:rPr>
  </w:style>
  <w:style w:type="character" w:customStyle="1" w:styleId="RestitleChar">
    <w:name w:val="Res_title Char"/>
    <w:link w:val="Restitle"/>
    <w:rsid w:val="00BC426F"/>
    <w:rPr>
      <w:b/>
      <w:sz w:val="28"/>
      <w:szCs w:val="22"/>
      <w:lang w:val="en-US" w:eastAsia="en-US"/>
    </w:rPr>
  </w:style>
  <w:style w:type="paragraph" w:customStyle="1" w:styleId="Reasons">
    <w:name w:val="Reasons"/>
    <w:basedOn w:val="Normal"/>
    <w:qFormat/>
    <w:rsid w:val="00BC426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AC7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SG-CIR-0049/es" TargetMode="External"/><Relationship Id="rId13" Type="http://schemas.openxmlformats.org/officeDocument/2006/relationships/hyperlink" Target="mailto:wrc19@itu.int" TargetMode="External"/><Relationship Id="rId18" Type="http://schemas.openxmlformats.org/officeDocument/2006/relationships/hyperlink" Target="http://www.itu.int/go/WRC-1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17-CL-C-0141/es" TargetMode="External"/><Relationship Id="rId17" Type="http://schemas.openxmlformats.org/officeDocument/2006/relationships/hyperlink" Target="http://www.itu.int/T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conferences/wrc/2019/Pages/Proposal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conferences/wrc/2019/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WRC-19" TargetMode="External"/><Relationship Id="rId23" Type="http://schemas.openxmlformats.org/officeDocument/2006/relationships/footer" Target="footer1.xml"/><Relationship Id="rId10" Type="http://schemas.openxmlformats.org/officeDocument/2006/relationships/hyperlink" Target="https://www.itu.int/md/S18-DM-CIR-01006/es" TargetMode="External"/><Relationship Id="rId19" Type="http://schemas.openxmlformats.org/officeDocument/2006/relationships/hyperlink" Target="mailto:wrc19contact@itu.int" TargetMode="External"/><Relationship Id="rId4" Type="http://schemas.openxmlformats.org/officeDocument/2006/relationships/settings" Target="settings.xml"/><Relationship Id="rId9" Type="http://schemas.openxmlformats.org/officeDocument/2006/relationships/hyperlink" Target="https://www.itu.int/md/S18-DM-CIR-01005/es" TargetMode="External"/><Relationship Id="rId14" Type="http://schemas.openxmlformats.org/officeDocument/2006/relationships/hyperlink" Target="https://www.itu.int/oth/R0C04000038/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79AB-9EDD-4D5C-93C4-201B2768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TotalTime>
  <Pages>7</Pages>
  <Words>2641</Words>
  <Characters>15486</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18091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Soriano, Manuel</dc:creator>
  <cp:lastModifiedBy>BR</cp:lastModifiedBy>
  <cp:revision>7</cp:revision>
  <cp:lastPrinted>2019-02-13T08:40:00Z</cp:lastPrinted>
  <dcterms:created xsi:type="dcterms:W3CDTF">2019-02-12T15:38:00Z</dcterms:created>
  <dcterms:modified xsi:type="dcterms:W3CDTF">2019-02-13T08:41:00Z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