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42" w:type="dxa"/>
        <w:tblLayout w:type="fixed"/>
        <w:tblLook w:val="04A0" w:firstRow="1" w:lastRow="0" w:firstColumn="1" w:lastColumn="0" w:noHBand="0" w:noVBand="1"/>
      </w:tblPr>
      <w:tblGrid>
        <w:gridCol w:w="1526"/>
        <w:gridCol w:w="5528"/>
        <w:gridCol w:w="2835"/>
      </w:tblGrid>
      <w:tr w:rsidR="000A77B1" w:rsidRPr="007B3DB1" w:rsidTr="00D828E7">
        <w:tc>
          <w:tcPr>
            <w:tcW w:w="9889" w:type="dxa"/>
            <w:gridSpan w:val="3"/>
            <w:shd w:val="clear" w:color="auto" w:fill="auto"/>
          </w:tcPr>
          <w:p w:rsidR="000A77B1" w:rsidRDefault="000A77B1" w:rsidP="00E149EB">
            <w:pPr>
              <w:widowControl w:val="0"/>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rsidR="000A77B1" w:rsidRDefault="000A77B1" w:rsidP="00E149EB">
            <w:pPr>
              <w:widowControl w:val="0"/>
              <w:spacing w:before="0"/>
              <w:jc w:val="left"/>
              <w:rPr>
                <w:rFonts w:cstheme="minorHAnsi"/>
                <w:b/>
                <w:bCs/>
                <w:color w:val="808080"/>
                <w:sz w:val="28"/>
                <w:szCs w:val="28"/>
                <w:lang w:val="en-GB"/>
              </w:rPr>
            </w:pPr>
          </w:p>
          <w:p w:rsidR="000A77B1" w:rsidRPr="00AF70DA" w:rsidRDefault="000A77B1" w:rsidP="00E149EB">
            <w:pPr>
              <w:widowControl w:val="0"/>
              <w:spacing w:before="0"/>
              <w:jc w:val="left"/>
              <w:rPr>
                <w:rFonts w:cs="Times New Roman Bold"/>
                <w:b/>
                <w:bCs/>
                <w:color w:val="808080"/>
                <w:sz w:val="28"/>
                <w:szCs w:val="28"/>
                <w:lang w:val="en-GB"/>
              </w:rPr>
            </w:pPr>
          </w:p>
        </w:tc>
      </w:tr>
      <w:tr w:rsidR="000A77B1" w:rsidRPr="00CD4E44" w:rsidTr="00D828E7">
        <w:tc>
          <w:tcPr>
            <w:tcW w:w="7054" w:type="dxa"/>
            <w:gridSpan w:val="2"/>
            <w:shd w:val="clear" w:color="auto" w:fill="auto"/>
          </w:tcPr>
          <w:p w:rsidR="000A77B1" w:rsidRPr="00C46628" w:rsidRDefault="000A77B1" w:rsidP="00E149EB">
            <w:pPr>
              <w:widowControl w:val="0"/>
              <w:spacing w:before="0"/>
              <w:jc w:val="left"/>
              <w:rPr>
                <w:szCs w:val="24"/>
                <w:lang w:val="en-GB"/>
              </w:rPr>
            </w:pPr>
            <w:r w:rsidRPr="00C46628">
              <w:rPr>
                <w:szCs w:val="24"/>
                <w:lang w:val="en-GB"/>
              </w:rPr>
              <w:t>Administrative Circular</w:t>
            </w:r>
          </w:p>
          <w:p w:rsidR="000A77B1" w:rsidRPr="00C46628" w:rsidRDefault="00C46628" w:rsidP="00E149EB">
            <w:pPr>
              <w:widowControl w:val="0"/>
              <w:spacing w:before="0"/>
              <w:jc w:val="left"/>
              <w:rPr>
                <w:b/>
                <w:bCs/>
                <w:szCs w:val="24"/>
                <w:lang w:val="en-GB"/>
              </w:rPr>
            </w:pPr>
            <w:r w:rsidRPr="00C46628">
              <w:rPr>
                <w:b/>
                <w:bCs/>
                <w:szCs w:val="24"/>
                <w:lang w:val="en-GB"/>
              </w:rPr>
              <w:t>Addendum 1 to</w:t>
            </w:r>
            <w:r w:rsidRPr="00C46628">
              <w:rPr>
                <w:b/>
                <w:bCs/>
                <w:szCs w:val="24"/>
                <w:lang w:val="en-GB"/>
              </w:rPr>
              <w:br/>
            </w:r>
            <w:r w:rsidR="000A77B1" w:rsidRPr="00C46628">
              <w:rPr>
                <w:b/>
                <w:bCs/>
                <w:szCs w:val="24"/>
                <w:lang w:val="en-GB"/>
              </w:rPr>
              <w:t>CA/245</w:t>
            </w:r>
          </w:p>
        </w:tc>
        <w:tc>
          <w:tcPr>
            <w:tcW w:w="2835" w:type="dxa"/>
            <w:shd w:val="clear" w:color="auto" w:fill="auto"/>
          </w:tcPr>
          <w:p w:rsidR="000A77B1" w:rsidRPr="00CD4E44" w:rsidRDefault="009C108C" w:rsidP="00F676EA">
            <w:pPr>
              <w:widowControl w:val="0"/>
              <w:spacing w:before="0"/>
              <w:jc w:val="right"/>
              <w:rPr>
                <w:szCs w:val="24"/>
                <w:lang w:val="en-GB"/>
              </w:rPr>
            </w:pPr>
            <w:r w:rsidRPr="009C108C">
              <w:rPr>
                <w:szCs w:val="24"/>
                <w:lang w:val="en-GB"/>
              </w:rPr>
              <w:t>1</w:t>
            </w:r>
            <w:r w:rsidR="00D67809">
              <w:rPr>
                <w:szCs w:val="24"/>
                <w:lang w:val="en-GB"/>
              </w:rPr>
              <w:t>5</w:t>
            </w:r>
            <w:bookmarkStart w:id="0" w:name="_GoBack"/>
            <w:bookmarkEnd w:id="0"/>
            <w:r w:rsidR="00C46628" w:rsidRPr="009C108C">
              <w:rPr>
                <w:szCs w:val="24"/>
                <w:lang w:val="en-GB"/>
              </w:rPr>
              <w:t xml:space="preserve"> </w:t>
            </w:r>
            <w:r w:rsidR="006230A0" w:rsidRPr="009C108C">
              <w:rPr>
                <w:szCs w:val="24"/>
                <w:lang w:val="en-GB"/>
              </w:rPr>
              <w:t>April</w:t>
            </w:r>
            <w:r w:rsidR="00C46628" w:rsidRPr="009C108C">
              <w:rPr>
                <w:szCs w:val="24"/>
                <w:lang w:val="en-GB"/>
              </w:rPr>
              <w:t xml:space="preserve"> 2019</w:t>
            </w:r>
          </w:p>
        </w:tc>
      </w:tr>
      <w:tr w:rsidR="000A77B1" w:rsidRPr="00CD4E44" w:rsidTr="00D828E7">
        <w:tc>
          <w:tcPr>
            <w:tcW w:w="9889" w:type="dxa"/>
            <w:gridSpan w:val="3"/>
            <w:shd w:val="clear" w:color="auto" w:fill="auto"/>
          </w:tcPr>
          <w:p w:rsidR="000A77B1" w:rsidRPr="00CD4E44" w:rsidRDefault="000A77B1" w:rsidP="00E149EB">
            <w:pPr>
              <w:widowControl w:val="0"/>
              <w:spacing w:before="0"/>
              <w:jc w:val="left"/>
              <w:rPr>
                <w:rFonts w:cs="Arial"/>
                <w:szCs w:val="24"/>
                <w:lang w:val="en-GB"/>
              </w:rPr>
            </w:pPr>
          </w:p>
        </w:tc>
      </w:tr>
      <w:tr w:rsidR="000A77B1" w:rsidRPr="00CD4E44" w:rsidTr="00D828E7">
        <w:tc>
          <w:tcPr>
            <w:tcW w:w="9889" w:type="dxa"/>
            <w:gridSpan w:val="3"/>
            <w:shd w:val="clear" w:color="auto" w:fill="auto"/>
          </w:tcPr>
          <w:p w:rsidR="000A77B1" w:rsidRPr="00CD4E44" w:rsidRDefault="000A77B1" w:rsidP="00E149EB">
            <w:pPr>
              <w:widowControl w:val="0"/>
              <w:spacing w:before="0"/>
              <w:jc w:val="left"/>
              <w:rPr>
                <w:szCs w:val="24"/>
              </w:rPr>
            </w:pPr>
          </w:p>
        </w:tc>
      </w:tr>
      <w:tr w:rsidR="000A77B1" w:rsidRPr="00CD4E44" w:rsidTr="00D828E7">
        <w:tc>
          <w:tcPr>
            <w:tcW w:w="9889" w:type="dxa"/>
            <w:gridSpan w:val="3"/>
            <w:shd w:val="clear" w:color="auto" w:fill="auto"/>
          </w:tcPr>
          <w:p w:rsidR="000A77B1" w:rsidRPr="00A471A1" w:rsidRDefault="000A77B1" w:rsidP="00E149EB">
            <w:pPr>
              <w:widowControl w:val="0"/>
              <w:spacing w:before="0"/>
              <w:jc w:val="left"/>
              <w:rPr>
                <w:rFonts w:asciiTheme="minorHAnsi" w:hAnsiTheme="minorHAnsi"/>
                <w:b/>
                <w:bCs/>
                <w:szCs w:val="24"/>
              </w:rPr>
            </w:pPr>
            <w:r w:rsidRPr="00CD4E44">
              <w:rPr>
                <w:b/>
                <w:bCs/>
                <w:szCs w:val="24"/>
              </w:rPr>
              <w:t xml:space="preserve">To </w:t>
            </w:r>
            <w:r w:rsidRPr="00E85824">
              <w:rPr>
                <w:rFonts w:asciiTheme="minorHAnsi" w:hAnsiTheme="minorHAnsi"/>
                <w:b/>
                <w:bCs/>
                <w:szCs w:val="24"/>
              </w:rPr>
              <w:t xml:space="preserve">Administrations of Member States of ITU </w:t>
            </w:r>
            <w:r w:rsidRPr="00537F52">
              <w:rPr>
                <w:rFonts w:asciiTheme="minorHAnsi" w:hAnsiTheme="minorHAnsi"/>
                <w:b/>
                <w:bCs/>
                <w:szCs w:val="24"/>
              </w:rPr>
              <w:t>and Observers at WRC-1</w:t>
            </w:r>
            <w:r>
              <w:rPr>
                <w:rFonts w:asciiTheme="minorHAnsi" w:hAnsiTheme="minorHAnsi"/>
                <w:b/>
                <w:bCs/>
                <w:szCs w:val="24"/>
              </w:rPr>
              <w:t>9</w:t>
            </w:r>
          </w:p>
          <w:p w:rsidR="000A77B1" w:rsidRPr="00CD4E44" w:rsidRDefault="000A77B1" w:rsidP="00E149EB">
            <w:pPr>
              <w:widowControl w:val="0"/>
              <w:spacing w:before="0"/>
              <w:jc w:val="left"/>
              <w:rPr>
                <w:b/>
                <w:bCs/>
                <w:szCs w:val="24"/>
              </w:rPr>
            </w:pPr>
          </w:p>
        </w:tc>
      </w:tr>
      <w:tr w:rsidR="000A77B1" w:rsidRPr="00CD4E44" w:rsidTr="00D828E7">
        <w:tc>
          <w:tcPr>
            <w:tcW w:w="9889" w:type="dxa"/>
            <w:gridSpan w:val="3"/>
            <w:shd w:val="clear" w:color="auto" w:fill="auto"/>
          </w:tcPr>
          <w:p w:rsidR="000A77B1" w:rsidRPr="00CD4E44" w:rsidRDefault="000A77B1" w:rsidP="00E149EB">
            <w:pPr>
              <w:widowControl w:val="0"/>
              <w:spacing w:before="0"/>
              <w:jc w:val="left"/>
              <w:rPr>
                <w:szCs w:val="24"/>
              </w:rPr>
            </w:pPr>
          </w:p>
        </w:tc>
      </w:tr>
      <w:tr w:rsidR="000A77B1" w:rsidRPr="00CD4E44" w:rsidTr="00D828E7">
        <w:tc>
          <w:tcPr>
            <w:tcW w:w="1526" w:type="dxa"/>
            <w:shd w:val="clear" w:color="auto" w:fill="auto"/>
          </w:tcPr>
          <w:p w:rsidR="000A77B1" w:rsidRPr="006614B5" w:rsidRDefault="000A77B1" w:rsidP="00E149EB">
            <w:pPr>
              <w:widowControl w:val="0"/>
              <w:spacing w:before="0"/>
              <w:jc w:val="left"/>
              <w:rPr>
                <w:b/>
                <w:bCs/>
                <w:szCs w:val="24"/>
                <w:lang w:val="en-GB"/>
              </w:rPr>
            </w:pPr>
            <w:r w:rsidRPr="002D2B9F">
              <w:rPr>
                <w:szCs w:val="24"/>
              </w:rPr>
              <w:t>Subject</w:t>
            </w:r>
            <w:r w:rsidRPr="006614B5">
              <w:rPr>
                <w:b/>
                <w:bCs/>
                <w:szCs w:val="24"/>
              </w:rPr>
              <w:t>:</w:t>
            </w:r>
          </w:p>
        </w:tc>
        <w:tc>
          <w:tcPr>
            <w:tcW w:w="8363" w:type="dxa"/>
            <w:gridSpan w:val="2"/>
            <w:vMerge w:val="restart"/>
            <w:shd w:val="clear" w:color="auto" w:fill="auto"/>
          </w:tcPr>
          <w:p w:rsidR="000A77B1" w:rsidRPr="006614B5" w:rsidRDefault="000A77B1" w:rsidP="00E149EB">
            <w:pPr>
              <w:widowControl w:val="0"/>
              <w:spacing w:before="0"/>
              <w:rPr>
                <w:b/>
                <w:bCs/>
                <w:szCs w:val="24"/>
                <w:lang w:val="en-GB"/>
              </w:rPr>
            </w:pPr>
            <w:r w:rsidRPr="006614B5">
              <w:rPr>
                <w:b/>
                <w:bCs/>
              </w:rPr>
              <w:t>World Radiocommunication Conference 201</w:t>
            </w:r>
            <w:r>
              <w:rPr>
                <w:b/>
                <w:bCs/>
              </w:rPr>
              <w:t>9</w:t>
            </w:r>
            <w:r w:rsidRPr="006614B5">
              <w:rPr>
                <w:b/>
                <w:bCs/>
              </w:rPr>
              <w:t xml:space="preserve"> (WRC-1</w:t>
            </w:r>
            <w:r>
              <w:rPr>
                <w:b/>
                <w:bCs/>
              </w:rPr>
              <w:t>9</w:t>
            </w:r>
            <w:r w:rsidRPr="006614B5">
              <w:rPr>
                <w:b/>
                <w:bCs/>
              </w:rPr>
              <w:t>)</w:t>
            </w:r>
            <w:r w:rsidR="00C46628">
              <w:rPr>
                <w:b/>
                <w:bCs/>
              </w:rPr>
              <w:t xml:space="preserve"> – Submissions of Proposals to WRC-19</w:t>
            </w:r>
            <w:r w:rsidR="005367CC">
              <w:rPr>
                <w:b/>
                <w:bCs/>
              </w:rPr>
              <w:t xml:space="preserve"> and availability of conference documentation</w:t>
            </w:r>
          </w:p>
        </w:tc>
      </w:tr>
      <w:tr w:rsidR="000A77B1" w:rsidRPr="00CD4E44" w:rsidTr="00D828E7">
        <w:tc>
          <w:tcPr>
            <w:tcW w:w="1526" w:type="dxa"/>
            <w:shd w:val="clear" w:color="auto" w:fill="auto"/>
          </w:tcPr>
          <w:p w:rsidR="000A77B1" w:rsidRPr="00CD4E44" w:rsidRDefault="000A77B1" w:rsidP="00E149EB">
            <w:pPr>
              <w:widowControl w:val="0"/>
              <w:spacing w:before="0"/>
              <w:jc w:val="left"/>
              <w:rPr>
                <w:b/>
                <w:bCs/>
                <w:szCs w:val="24"/>
                <w:lang w:val="en-GB"/>
              </w:rPr>
            </w:pPr>
          </w:p>
        </w:tc>
        <w:tc>
          <w:tcPr>
            <w:tcW w:w="8363" w:type="dxa"/>
            <w:gridSpan w:val="2"/>
            <w:vMerge/>
            <w:shd w:val="clear" w:color="auto" w:fill="auto"/>
          </w:tcPr>
          <w:p w:rsidR="000A77B1" w:rsidRPr="00CD4E44" w:rsidRDefault="000A77B1" w:rsidP="00E149EB">
            <w:pPr>
              <w:widowControl w:val="0"/>
              <w:spacing w:before="0"/>
              <w:rPr>
                <w:b/>
                <w:bCs/>
                <w:szCs w:val="24"/>
                <w:lang w:val="en-GB"/>
              </w:rPr>
            </w:pPr>
          </w:p>
        </w:tc>
      </w:tr>
    </w:tbl>
    <w:p w:rsidR="000A77B1" w:rsidRPr="00C82302" w:rsidRDefault="002D4469" w:rsidP="00C82302">
      <w:pPr>
        <w:pStyle w:val="Heading1"/>
        <w:rPr>
          <w:lang w:val="en-GB"/>
        </w:rPr>
      </w:pPr>
      <w:r w:rsidRPr="00C82302">
        <w:rPr>
          <w:lang w:val="en-GB"/>
        </w:rPr>
        <w:t>Invitation, date and v</w:t>
      </w:r>
      <w:r w:rsidR="000A77B1" w:rsidRPr="00C82302">
        <w:rPr>
          <w:lang w:val="en-GB"/>
        </w:rPr>
        <w:t>enue</w:t>
      </w:r>
    </w:p>
    <w:p w:rsidR="000A77B1" w:rsidRPr="00FE4C44" w:rsidRDefault="000A77B1" w:rsidP="001337D0">
      <w:pPr>
        <w:widowControl w:val="0"/>
        <w:rPr>
          <w:szCs w:val="24"/>
        </w:rPr>
      </w:pPr>
      <w:r w:rsidRPr="00FE4C44">
        <w:rPr>
          <w:szCs w:val="24"/>
        </w:rPr>
        <w:t xml:space="preserve">As announced by the Secretary-General in Circular Letters </w:t>
      </w:r>
      <w:hyperlink r:id="rId8" w:history="1">
        <w:r w:rsidRPr="00FE4C44">
          <w:rPr>
            <w:rStyle w:val="Hyperlink"/>
            <w:szCs w:val="24"/>
          </w:rPr>
          <w:t>CL-18/49</w:t>
        </w:r>
      </w:hyperlink>
      <w:r w:rsidRPr="00FE4C44">
        <w:rPr>
          <w:szCs w:val="24"/>
        </w:rPr>
        <w:t xml:space="preserve">, </w:t>
      </w:r>
      <w:hyperlink r:id="rId9" w:history="1">
        <w:r w:rsidRPr="00FE4C44">
          <w:rPr>
            <w:rStyle w:val="Hyperlink"/>
            <w:szCs w:val="24"/>
          </w:rPr>
          <w:t>DM-18/1005</w:t>
        </w:r>
      </w:hyperlink>
      <w:r w:rsidRPr="00FE4C44">
        <w:rPr>
          <w:szCs w:val="24"/>
        </w:rPr>
        <w:t xml:space="preserve"> and </w:t>
      </w:r>
      <w:hyperlink r:id="rId10" w:history="1">
        <w:r w:rsidRPr="00FE4C44">
          <w:rPr>
            <w:rStyle w:val="Hyperlink"/>
            <w:szCs w:val="24"/>
          </w:rPr>
          <w:t>DM-18/1006</w:t>
        </w:r>
      </w:hyperlink>
      <w:r w:rsidRPr="00FE4C44">
        <w:rPr>
          <w:szCs w:val="24"/>
        </w:rPr>
        <w:t xml:space="preserve"> dated 11 November 2018, the </w:t>
      </w:r>
      <w:hyperlink r:id="rId11" w:history="1">
        <w:r w:rsidRPr="00FE4C44">
          <w:rPr>
            <w:rStyle w:val="Hyperlink"/>
            <w:szCs w:val="24"/>
          </w:rPr>
          <w:t xml:space="preserve">World </w:t>
        </w:r>
        <w:proofErr w:type="spellStart"/>
        <w:r w:rsidRPr="00FE4C44">
          <w:rPr>
            <w:rStyle w:val="Hyperlink"/>
            <w:szCs w:val="24"/>
          </w:rPr>
          <w:t>Radiocommunication</w:t>
        </w:r>
        <w:proofErr w:type="spellEnd"/>
        <w:r w:rsidRPr="00FE4C44">
          <w:rPr>
            <w:rStyle w:val="Hyperlink"/>
            <w:szCs w:val="24"/>
          </w:rPr>
          <w:t xml:space="preserve"> Conference 2019 (WRC-19)</w:t>
        </w:r>
      </w:hyperlink>
      <w:r w:rsidRPr="00FE4C44">
        <w:rPr>
          <w:szCs w:val="24"/>
        </w:rPr>
        <w:t xml:space="preserve"> will be held from 28 October to 22 November 2019 at the </w:t>
      </w:r>
      <w:proofErr w:type="spellStart"/>
      <w:r w:rsidRPr="00FE4C44">
        <w:rPr>
          <w:szCs w:val="24"/>
          <w:lang w:val="en-CA" w:eastAsia="zh-CN"/>
        </w:rPr>
        <w:t>Sharm</w:t>
      </w:r>
      <w:proofErr w:type="spellEnd"/>
      <w:r w:rsidRPr="00FE4C44">
        <w:rPr>
          <w:szCs w:val="24"/>
          <w:lang w:val="en-CA" w:eastAsia="zh-CN"/>
        </w:rPr>
        <w:t xml:space="preserve"> El Sheikh International Congress Center (SHICC)</w:t>
      </w:r>
      <w:r w:rsidRPr="00FE4C44">
        <w:rPr>
          <w:rFonts w:asciiTheme="minorHAnsi" w:hAnsiTheme="minorHAnsi"/>
          <w:szCs w:val="24"/>
        </w:rPr>
        <w:t xml:space="preserve">, immediately following the </w:t>
      </w:r>
      <w:hyperlink r:id="rId12" w:history="1">
        <w:r w:rsidRPr="00533F66">
          <w:rPr>
            <w:rStyle w:val="Hyperlink"/>
            <w:rFonts w:asciiTheme="minorHAnsi" w:hAnsiTheme="minorHAnsi"/>
            <w:szCs w:val="24"/>
          </w:rPr>
          <w:t>Radi</w:t>
        </w:r>
        <w:r w:rsidRPr="00533F66">
          <w:rPr>
            <w:rStyle w:val="Hyperlink"/>
            <w:szCs w:val="24"/>
          </w:rPr>
          <w:t>ocommunication Assembly 2019 (RA-19)</w:t>
        </w:r>
      </w:hyperlink>
      <w:r w:rsidRPr="00FE4C44">
        <w:rPr>
          <w:szCs w:val="24"/>
        </w:rPr>
        <w:t xml:space="preserve">. </w:t>
      </w:r>
    </w:p>
    <w:p w:rsidR="000A77B1" w:rsidRPr="00C82302" w:rsidRDefault="001337D0" w:rsidP="001337D0">
      <w:pPr>
        <w:pStyle w:val="Normalaftertitle0"/>
        <w:widowControl w:val="0"/>
        <w:spacing w:before="160"/>
        <w:rPr>
          <w:sz w:val="24"/>
          <w:szCs w:val="24"/>
          <w:lang w:eastAsia="zh-CN"/>
        </w:rPr>
      </w:pPr>
      <w:r w:rsidRPr="001337D0">
        <w:rPr>
          <w:sz w:val="24"/>
          <w:szCs w:val="24"/>
          <w:lang w:eastAsia="zh-CN"/>
        </w:rPr>
        <w:t>Administrative Circular CA/2</w:t>
      </w:r>
      <w:r>
        <w:rPr>
          <w:sz w:val="24"/>
          <w:szCs w:val="24"/>
          <w:lang w:eastAsia="zh-CN"/>
        </w:rPr>
        <w:t>45</w:t>
      </w:r>
      <w:r w:rsidRPr="001337D0">
        <w:rPr>
          <w:sz w:val="24"/>
          <w:szCs w:val="24"/>
          <w:lang w:eastAsia="zh-CN"/>
        </w:rPr>
        <w:t>, dated 1</w:t>
      </w:r>
      <w:r>
        <w:rPr>
          <w:sz w:val="24"/>
          <w:szCs w:val="24"/>
          <w:lang w:eastAsia="zh-CN"/>
        </w:rPr>
        <w:t>3</w:t>
      </w:r>
      <w:r w:rsidRPr="001337D0">
        <w:rPr>
          <w:sz w:val="24"/>
          <w:szCs w:val="24"/>
          <w:lang w:eastAsia="zh-CN"/>
        </w:rPr>
        <w:t xml:space="preserve"> February 201</w:t>
      </w:r>
      <w:r>
        <w:rPr>
          <w:sz w:val="24"/>
          <w:szCs w:val="24"/>
          <w:lang w:eastAsia="zh-CN"/>
        </w:rPr>
        <w:t>9</w:t>
      </w:r>
      <w:r w:rsidRPr="001337D0">
        <w:rPr>
          <w:sz w:val="24"/>
          <w:szCs w:val="24"/>
          <w:lang w:eastAsia="zh-CN"/>
        </w:rPr>
        <w:t>, provided details for WRC-1</w:t>
      </w:r>
      <w:r>
        <w:rPr>
          <w:sz w:val="24"/>
          <w:szCs w:val="24"/>
          <w:lang w:eastAsia="zh-CN"/>
        </w:rPr>
        <w:t>9</w:t>
      </w:r>
      <w:r w:rsidRPr="001337D0">
        <w:rPr>
          <w:sz w:val="24"/>
          <w:szCs w:val="24"/>
          <w:lang w:eastAsia="zh-CN"/>
        </w:rPr>
        <w:t xml:space="preserve"> in order to assist participants with their preparations. </w:t>
      </w:r>
      <w:r w:rsidR="000A77B1" w:rsidRPr="00FE4C44">
        <w:rPr>
          <w:sz w:val="24"/>
          <w:szCs w:val="24"/>
          <w:lang w:eastAsia="zh-CN"/>
        </w:rPr>
        <w:t xml:space="preserve">The purpose of this </w:t>
      </w:r>
      <w:r w:rsidR="00C46628">
        <w:rPr>
          <w:sz w:val="24"/>
          <w:szCs w:val="24"/>
          <w:lang w:eastAsia="zh-CN"/>
        </w:rPr>
        <w:t xml:space="preserve">Addendum to CA/245 </w:t>
      </w:r>
      <w:r w:rsidR="000A77B1" w:rsidRPr="00FE4C44">
        <w:rPr>
          <w:sz w:val="24"/>
          <w:szCs w:val="24"/>
          <w:lang w:eastAsia="zh-CN"/>
        </w:rPr>
        <w:t>is to provide further details for WRC-19 preparations</w:t>
      </w:r>
      <w:r w:rsidR="002C0ADB">
        <w:rPr>
          <w:sz w:val="24"/>
          <w:szCs w:val="24"/>
          <w:lang w:eastAsia="zh-CN"/>
        </w:rPr>
        <w:t xml:space="preserve">, in particular </w:t>
      </w:r>
      <w:r>
        <w:rPr>
          <w:sz w:val="24"/>
          <w:szCs w:val="24"/>
          <w:lang w:eastAsia="zh-CN"/>
        </w:rPr>
        <w:t xml:space="preserve">regarding </w:t>
      </w:r>
      <w:r w:rsidR="002C0ADB">
        <w:rPr>
          <w:sz w:val="24"/>
          <w:szCs w:val="24"/>
          <w:lang w:eastAsia="zh-CN"/>
        </w:rPr>
        <w:t>the submission of proposals to the conference</w:t>
      </w:r>
      <w:r w:rsidR="005367CC">
        <w:rPr>
          <w:sz w:val="24"/>
          <w:szCs w:val="24"/>
          <w:lang w:eastAsia="zh-CN"/>
        </w:rPr>
        <w:t xml:space="preserve"> and availability of conference documentation</w:t>
      </w:r>
      <w:r w:rsidR="000A77B1" w:rsidRPr="00FE4C44">
        <w:rPr>
          <w:sz w:val="24"/>
          <w:szCs w:val="24"/>
          <w:lang w:eastAsia="zh-CN"/>
        </w:rPr>
        <w:t xml:space="preserve">.  </w:t>
      </w:r>
    </w:p>
    <w:p w:rsidR="000A77B1" w:rsidRPr="00C82302" w:rsidRDefault="000A77B1" w:rsidP="0046378B">
      <w:pPr>
        <w:pStyle w:val="Heading1"/>
        <w:spacing w:before="240"/>
        <w:rPr>
          <w:lang w:val="en-GB"/>
        </w:rPr>
      </w:pPr>
      <w:r w:rsidRPr="00C82302">
        <w:rPr>
          <w:lang w:val="en-GB"/>
        </w:rPr>
        <w:t>Submission of proposals to WRC-19</w:t>
      </w:r>
    </w:p>
    <w:p w:rsidR="000A77B1" w:rsidRDefault="006B1C3D" w:rsidP="006B1C3D">
      <w:pPr>
        <w:widowControl w:val="0"/>
        <w:rPr>
          <w:lang w:val="en-CA" w:eastAsia="zh-CN"/>
        </w:rPr>
      </w:pPr>
      <w:r w:rsidRPr="000609C9">
        <w:rPr>
          <w:lang w:val="en-GB"/>
        </w:rPr>
        <w:t xml:space="preserve">Member States and the State of Palestine are kindly reminded to refer to Administrative Circular </w:t>
      </w:r>
      <w:hyperlink r:id="rId13" w:history="1">
        <w:r w:rsidRPr="000609C9">
          <w:rPr>
            <w:rStyle w:val="Hyperlink"/>
            <w:lang w:val="en-GB"/>
          </w:rPr>
          <w:t>CA/2</w:t>
        </w:r>
        <w:r>
          <w:rPr>
            <w:rStyle w:val="Hyperlink"/>
            <w:lang w:val="en-GB"/>
          </w:rPr>
          <w:t>45</w:t>
        </w:r>
      </w:hyperlink>
      <w:r w:rsidRPr="000609C9">
        <w:rPr>
          <w:lang w:val="en-GB"/>
        </w:rPr>
        <w:t xml:space="preserve"> for the submission of their proposals for the work of WRC-1</w:t>
      </w:r>
      <w:r>
        <w:rPr>
          <w:lang w:val="en-GB"/>
        </w:rPr>
        <w:t>9</w:t>
      </w:r>
      <w:r w:rsidRPr="000609C9">
        <w:rPr>
          <w:lang w:val="en-GB"/>
        </w:rPr>
        <w:t xml:space="preserve">. </w:t>
      </w:r>
      <w:r>
        <w:rPr>
          <w:lang w:val="en-GB"/>
        </w:rPr>
        <w:t xml:space="preserve">In particular, </w:t>
      </w:r>
      <w:r>
        <w:rPr>
          <w:lang w:eastAsia="zh-CN"/>
        </w:rPr>
        <w:t>and i</w:t>
      </w:r>
      <w:r w:rsidR="000A77B1" w:rsidRPr="0092450F">
        <w:rPr>
          <w:lang w:eastAsia="zh-CN"/>
        </w:rPr>
        <w:t>n accordance with Resolution 165 (Rev. Dubai,</w:t>
      </w:r>
      <w:r w:rsidR="000A77B1">
        <w:rPr>
          <w:lang w:eastAsia="zh-CN"/>
        </w:rPr>
        <w:t xml:space="preserve"> </w:t>
      </w:r>
      <w:r w:rsidR="000A77B1" w:rsidRPr="0092450F">
        <w:rPr>
          <w:lang w:eastAsia="zh-CN"/>
        </w:rPr>
        <w:t>2018), the firm submission deadline for all contributions is established no later than twenty-one (21)</w:t>
      </w:r>
      <w:r w:rsidR="000A77B1">
        <w:rPr>
          <w:lang w:eastAsia="zh-CN"/>
        </w:rPr>
        <w:t xml:space="preserve"> </w:t>
      </w:r>
      <w:r w:rsidR="000A77B1" w:rsidRPr="0092450F">
        <w:rPr>
          <w:lang w:eastAsia="zh-CN"/>
        </w:rPr>
        <w:t xml:space="preserve">calendar days before the opening of the Conference (i.e. </w:t>
      </w:r>
      <w:r w:rsidR="000A77B1" w:rsidRPr="0092450F">
        <w:rPr>
          <w:b/>
          <w:bCs/>
          <w:lang w:eastAsia="zh-CN"/>
        </w:rPr>
        <w:t>7 October 2019</w:t>
      </w:r>
      <w:r w:rsidR="000A77B1" w:rsidRPr="0092450F">
        <w:rPr>
          <w:lang w:eastAsia="zh-CN"/>
        </w:rPr>
        <w:t>), so as to ensure timely translation</w:t>
      </w:r>
      <w:r w:rsidR="000A77B1">
        <w:rPr>
          <w:lang w:eastAsia="zh-CN"/>
        </w:rPr>
        <w:t xml:space="preserve"> </w:t>
      </w:r>
      <w:r w:rsidR="000A77B1">
        <w:rPr>
          <w:lang w:val="en-CA" w:eastAsia="zh-CN"/>
        </w:rPr>
        <w:t>and their thorough consideration by delegations.</w:t>
      </w:r>
    </w:p>
    <w:p w:rsidR="000A77B1" w:rsidRDefault="000A77B1" w:rsidP="000A77B1">
      <w:pPr>
        <w:widowControl w:val="0"/>
      </w:pPr>
      <w:r w:rsidRPr="00474D21">
        <w:t>Proposals should be submitted</w:t>
      </w:r>
      <w:r>
        <w:t xml:space="preserve"> by email to the </w:t>
      </w:r>
      <w:r w:rsidRPr="00474D21">
        <w:t>Secretariat</w:t>
      </w:r>
      <w:r>
        <w:t xml:space="preserve"> at </w:t>
      </w:r>
      <w:hyperlink r:id="rId14" w:history="1">
        <w:r w:rsidRPr="00867667">
          <w:rPr>
            <w:rStyle w:val="Hyperlink"/>
          </w:rPr>
          <w:t>wrc1</w:t>
        </w:r>
        <w:r>
          <w:rPr>
            <w:rStyle w:val="Hyperlink"/>
          </w:rPr>
          <w:t>9</w:t>
        </w:r>
        <w:r w:rsidRPr="00867667">
          <w:rPr>
            <w:rStyle w:val="Hyperlink"/>
          </w:rPr>
          <w:t>@itu.int</w:t>
        </w:r>
      </w:hyperlink>
      <w:r w:rsidRPr="007E038D">
        <w:t xml:space="preserve"> by accredited staff</w:t>
      </w:r>
      <w:r>
        <w:t xml:space="preserve"> and/or Designated Focal Point </w:t>
      </w:r>
      <w:r w:rsidRPr="007E038D">
        <w:t xml:space="preserve">of </w:t>
      </w:r>
      <w:r>
        <w:t xml:space="preserve">the submitting </w:t>
      </w:r>
      <w:r w:rsidRPr="007E038D">
        <w:t>Administration.</w:t>
      </w:r>
    </w:p>
    <w:p w:rsidR="000A77B1" w:rsidRDefault="000A77B1" w:rsidP="00E41A87">
      <w:pPr>
        <w:widowControl w:val="0"/>
      </w:pPr>
      <w:r>
        <w:rPr>
          <w:lang w:eastAsia="zh-CN"/>
        </w:rPr>
        <w:t>Member States</w:t>
      </w:r>
      <w:r w:rsidRPr="00474D21">
        <w:t xml:space="preserve"> </w:t>
      </w:r>
      <w:r w:rsidRPr="006B0A88">
        <w:t>and the State of Palestine</w:t>
      </w:r>
      <w:r w:rsidRPr="00302320">
        <w:t xml:space="preserve"> </w:t>
      </w:r>
      <w:r w:rsidRPr="00474D21">
        <w:t xml:space="preserve">are urged to give careful attention to the initial preparation of proposals </w:t>
      </w:r>
      <w:r w:rsidR="00E41A87" w:rsidRPr="00D828E7">
        <w:t>to limit the need for revisions to</w:t>
      </w:r>
      <w:r w:rsidR="00685DE4" w:rsidRPr="00D828E7">
        <w:t xml:space="preserve"> such </w:t>
      </w:r>
      <w:r w:rsidRPr="00474D21">
        <w:t xml:space="preserve">documents. </w:t>
      </w:r>
      <w:r>
        <w:t xml:space="preserve">In order to comply with </w:t>
      </w:r>
      <w:r w:rsidRPr="00726B6A">
        <w:t>provisions</w:t>
      </w:r>
      <w:r>
        <w:t xml:space="preserve"> of </w:t>
      </w:r>
      <w:r w:rsidRPr="006F2DF0">
        <w:t>Nos. 41 and 42</w:t>
      </w:r>
      <w:r>
        <w:t xml:space="preserve"> of the General Rules of conferences, Assemblies and Meetings of the Union with regard to the format of proposals for the Conference, the Secretariat has prepared </w:t>
      </w:r>
      <w:hyperlink r:id="rId15" w:history="1">
        <w:r w:rsidRPr="00302320">
          <w:rPr>
            <w:rStyle w:val="Hyperlink"/>
          </w:rPr>
          <w:t>guidelines for the presentation of proposals to WRC-19</w:t>
        </w:r>
      </w:hyperlink>
      <w:r>
        <w:t xml:space="preserve"> which can be found on the WRC-19 website </w:t>
      </w:r>
      <w:r w:rsidRPr="002D496F">
        <w:rPr>
          <w:rFonts w:asciiTheme="minorHAnsi" w:hAnsiTheme="minorHAnsi"/>
          <w:szCs w:val="24"/>
        </w:rPr>
        <w:t xml:space="preserve">at </w:t>
      </w:r>
      <w:hyperlink r:id="rId16" w:history="1">
        <w:r w:rsidRPr="00ED1C57">
          <w:rPr>
            <w:rStyle w:val="Hyperlink"/>
          </w:rPr>
          <w:t>www.itu.int/go/WRC-19</w:t>
        </w:r>
      </w:hyperlink>
      <w:r w:rsidRPr="00464E8B">
        <w:t>.</w:t>
      </w:r>
      <w:r>
        <w:t xml:space="preserve"> </w:t>
      </w:r>
    </w:p>
    <w:p w:rsidR="009C108C" w:rsidRDefault="009C108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9C108C" w:rsidRDefault="009C108C" w:rsidP="009C108C">
      <w:pPr>
        <w:widowControl w:val="0"/>
        <w:rPr>
          <w:lang w:val="en-GB"/>
        </w:rPr>
      </w:pPr>
    </w:p>
    <w:p w:rsidR="00C82302" w:rsidRDefault="004B4D61" w:rsidP="009C108C">
      <w:pPr>
        <w:widowControl w:val="0"/>
        <w:rPr>
          <w:szCs w:val="24"/>
        </w:rPr>
      </w:pPr>
      <w:r>
        <w:rPr>
          <w:lang w:val="en-GB"/>
        </w:rPr>
        <w:t xml:space="preserve">In addition, </w:t>
      </w:r>
      <w:r w:rsidRPr="000609C9">
        <w:rPr>
          <w:lang w:val="en-GB"/>
        </w:rPr>
        <w:t xml:space="preserve">Member States </w:t>
      </w:r>
      <w:r w:rsidRPr="006B0A88">
        <w:t>and the State of Palestine</w:t>
      </w:r>
      <w:r w:rsidRPr="00302320">
        <w:t xml:space="preserve"> </w:t>
      </w:r>
      <w:r w:rsidRPr="000609C9">
        <w:rPr>
          <w:lang w:val="en-GB"/>
        </w:rPr>
        <w:t xml:space="preserve">are strongly encouraged to use </w:t>
      </w:r>
      <w:r>
        <w:t>t</w:t>
      </w:r>
      <w:r w:rsidR="000A77B1">
        <w:t xml:space="preserve">he </w:t>
      </w:r>
      <w:r w:rsidR="000A77B1" w:rsidRPr="0092450F">
        <w:rPr>
          <w:b/>
          <w:bCs/>
        </w:rPr>
        <w:t xml:space="preserve">Conference </w:t>
      </w:r>
      <w:r w:rsidR="000A77B1" w:rsidRPr="00FB7739">
        <w:rPr>
          <w:b/>
          <w:bCs/>
        </w:rPr>
        <w:t>Proposal Interface (CPI) for WRC-19</w:t>
      </w:r>
      <w:r w:rsidR="000A77B1">
        <w:t xml:space="preserve">, </w:t>
      </w:r>
      <w:r>
        <w:t xml:space="preserve">which </w:t>
      </w:r>
      <w:r w:rsidR="001337D0">
        <w:t xml:space="preserve">is the ITU </w:t>
      </w:r>
      <w:r w:rsidR="00B802D3">
        <w:t xml:space="preserve">online </w:t>
      </w:r>
      <w:r w:rsidR="000A77B1">
        <w:t xml:space="preserve">electronic tool to facilitate the preparation of proposals </w:t>
      </w:r>
      <w:r w:rsidR="001337D0">
        <w:t xml:space="preserve">to </w:t>
      </w:r>
      <w:r w:rsidR="000A77B1">
        <w:t>WRC-19</w:t>
      </w:r>
      <w:r w:rsidR="00B802D3">
        <w:t xml:space="preserve">, </w:t>
      </w:r>
      <w:r w:rsidRPr="000609C9">
        <w:rPr>
          <w:lang w:val="en-GB"/>
        </w:rPr>
        <w:t>optimize the</w:t>
      </w:r>
      <w:r>
        <w:rPr>
          <w:lang w:val="en-GB"/>
        </w:rPr>
        <w:t>ir</w:t>
      </w:r>
      <w:r w:rsidRPr="000609C9">
        <w:rPr>
          <w:lang w:val="en-GB"/>
        </w:rPr>
        <w:t xml:space="preserve"> treatment by the Secretariat</w:t>
      </w:r>
      <w:r w:rsidR="00B802D3">
        <w:rPr>
          <w:lang w:val="en-GB"/>
        </w:rPr>
        <w:t>,</w:t>
      </w:r>
      <w:r w:rsidRPr="000609C9">
        <w:rPr>
          <w:lang w:val="en-GB"/>
        </w:rPr>
        <w:t xml:space="preserve"> and accelerate their publication in the six languages of the Union</w:t>
      </w:r>
      <w:r w:rsidR="001337D0">
        <w:t>.</w:t>
      </w:r>
      <w:r w:rsidR="000A77B1">
        <w:t xml:space="preserve"> </w:t>
      </w:r>
      <w:r w:rsidR="00B802D3">
        <w:t xml:space="preserve">This tool </w:t>
      </w:r>
      <w:r w:rsidR="000A77B1">
        <w:t xml:space="preserve">is </w:t>
      </w:r>
      <w:r w:rsidR="001337D0">
        <w:t xml:space="preserve">also </w:t>
      </w:r>
      <w:r w:rsidR="000A77B1">
        <w:t xml:space="preserve">available </w:t>
      </w:r>
      <w:r w:rsidR="001337D0">
        <w:t xml:space="preserve">on the </w:t>
      </w:r>
      <w:hyperlink r:id="rId17" w:history="1">
        <w:r w:rsidR="001337D0" w:rsidRPr="00236D07">
          <w:rPr>
            <w:rStyle w:val="Hyperlink"/>
          </w:rPr>
          <w:t>WRC-19 website</w:t>
        </w:r>
      </w:hyperlink>
      <w:r w:rsidR="000A77B1">
        <w:t xml:space="preserve"> along with its user guide.  </w:t>
      </w:r>
    </w:p>
    <w:p w:rsidR="000A77B1" w:rsidRPr="009C108C" w:rsidRDefault="000A77B1" w:rsidP="0046378B">
      <w:pPr>
        <w:pStyle w:val="Heading1"/>
        <w:spacing w:before="240"/>
        <w:rPr>
          <w:lang w:val="en-GB"/>
        </w:rPr>
      </w:pPr>
      <w:r w:rsidRPr="009C108C">
        <w:rPr>
          <w:lang w:val="en-GB"/>
        </w:rPr>
        <w:t>Availability of documents produced before and during WRC-19</w:t>
      </w:r>
    </w:p>
    <w:p w:rsidR="000A77B1" w:rsidRDefault="000A77B1" w:rsidP="000A77B1">
      <w:pPr>
        <w:widowControl w:val="0"/>
      </w:pPr>
      <w:r>
        <w:rPr>
          <w:rFonts w:asciiTheme="minorHAnsi" w:eastAsia="MS PGothic" w:hAnsiTheme="minorHAnsi" w:cs="Times New Roman"/>
          <w:szCs w:val="24"/>
          <w:lang w:val="en-GB" w:eastAsia="zh-CN"/>
        </w:rPr>
        <w:t xml:space="preserve">In </w:t>
      </w:r>
      <w:r w:rsidRPr="00FB7739">
        <w:t>accordance</w:t>
      </w:r>
      <w:r>
        <w:rPr>
          <w:rFonts w:asciiTheme="minorHAnsi" w:eastAsia="MS PGothic" w:hAnsiTheme="minorHAnsi" w:cs="Times New Roman"/>
          <w:szCs w:val="24"/>
          <w:lang w:val="en-GB" w:eastAsia="zh-CN"/>
        </w:rPr>
        <w:t xml:space="preserve"> with no. 8 to </w:t>
      </w:r>
      <w:r w:rsidRPr="004843EB">
        <w:rPr>
          <w:rFonts w:asciiTheme="minorHAnsi" w:eastAsia="MS PGothic" w:hAnsiTheme="minorHAnsi" w:cs="Times New Roman"/>
          <w:szCs w:val="24"/>
          <w:lang w:val="en-GB" w:eastAsia="zh-CN"/>
        </w:rPr>
        <w:t xml:space="preserve">Annex 2 to Decision 5 (Rev. </w:t>
      </w:r>
      <w:r>
        <w:rPr>
          <w:rFonts w:asciiTheme="minorHAnsi" w:eastAsia="MS PGothic" w:hAnsiTheme="minorHAnsi" w:cs="Times New Roman"/>
          <w:szCs w:val="24"/>
          <w:lang w:val="en-GB" w:eastAsia="zh-CN"/>
        </w:rPr>
        <w:t>Dubai</w:t>
      </w:r>
      <w:r w:rsidRPr="004843EB">
        <w:rPr>
          <w:rFonts w:asciiTheme="minorHAnsi" w:eastAsia="MS PGothic" w:hAnsiTheme="minorHAnsi" w:cs="Times New Roman"/>
          <w:szCs w:val="24"/>
          <w:lang w:val="en-GB" w:eastAsia="zh-CN"/>
        </w:rPr>
        <w:t xml:space="preserve">, </w:t>
      </w:r>
      <w:r>
        <w:rPr>
          <w:rFonts w:asciiTheme="minorHAnsi" w:eastAsia="MS PGothic" w:hAnsiTheme="minorHAnsi" w:cs="Times New Roman"/>
          <w:szCs w:val="24"/>
          <w:lang w:val="en-GB" w:eastAsia="zh-CN"/>
        </w:rPr>
        <w:t>2018</w:t>
      </w:r>
      <w:r w:rsidRPr="004843EB">
        <w:rPr>
          <w:rFonts w:asciiTheme="minorHAnsi" w:eastAsia="MS PGothic" w:hAnsiTheme="minorHAnsi" w:cs="Times New Roman"/>
          <w:szCs w:val="24"/>
          <w:lang w:val="en-GB" w:eastAsia="zh-CN"/>
        </w:rPr>
        <w:t>)</w:t>
      </w:r>
      <w:r w:rsidRPr="00561645">
        <w:rPr>
          <w:rFonts w:asciiTheme="minorHAnsi" w:eastAsia="MS PGothic" w:hAnsiTheme="minorHAnsi" w:cs="Times New Roman"/>
          <w:szCs w:val="24"/>
          <w:lang w:val="en-GB" w:eastAsia="zh-CN"/>
        </w:rPr>
        <w:t xml:space="preserve"> </w:t>
      </w:r>
      <w:r>
        <w:rPr>
          <w:rFonts w:asciiTheme="minorHAnsi" w:eastAsia="MS PGothic" w:hAnsiTheme="minorHAnsi" w:cs="Times New Roman"/>
          <w:szCs w:val="24"/>
          <w:lang w:val="en-GB" w:eastAsia="zh-CN"/>
        </w:rPr>
        <w:t xml:space="preserve">and </w:t>
      </w:r>
      <w:r w:rsidRPr="00561645">
        <w:rPr>
          <w:rFonts w:asciiTheme="minorHAnsi" w:eastAsia="MS PGothic" w:hAnsiTheme="minorHAnsi" w:cs="Times New Roman"/>
          <w:szCs w:val="24"/>
          <w:lang w:val="en-GB" w:eastAsia="zh-CN"/>
        </w:rPr>
        <w:t xml:space="preserve">to reduce the cost of documentation of ITU conferences, </w:t>
      </w:r>
      <w:r w:rsidRPr="004843EB">
        <w:rPr>
          <w:rFonts w:asciiTheme="minorHAnsi" w:hAnsiTheme="minorHAnsi" w:cs="Times New Roman"/>
          <w:b/>
          <w:bCs/>
          <w:szCs w:val="24"/>
          <w:lang w:val="en-GB"/>
        </w:rPr>
        <w:t>WRC-1</w:t>
      </w:r>
      <w:r>
        <w:rPr>
          <w:rFonts w:asciiTheme="minorHAnsi" w:hAnsiTheme="minorHAnsi" w:cs="Times New Roman"/>
          <w:b/>
          <w:bCs/>
          <w:szCs w:val="24"/>
          <w:lang w:val="en-GB"/>
        </w:rPr>
        <w:t>9</w:t>
      </w:r>
      <w:r w:rsidRPr="004843EB">
        <w:rPr>
          <w:rFonts w:asciiTheme="minorHAnsi" w:hAnsiTheme="minorHAnsi" w:cs="Times New Roman"/>
          <w:b/>
          <w:bCs/>
          <w:szCs w:val="24"/>
          <w:lang w:val="en-GB"/>
        </w:rPr>
        <w:t xml:space="preserve"> </w:t>
      </w:r>
      <w:r w:rsidRPr="004843EB">
        <w:rPr>
          <w:rFonts w:asciiTheme="minorHAnsi" w:eastAsia="MS PGothic" w:hAnsiTheme="minorHAnsi"/>
          <w:b/>
          <w:bCs/>
          <w:szCs w:val="24"/>
          <w:lang w:eastAsia="zh-CN"/>
        </w:rPr>
        <w:t>will be completely paperless</w:t>
      </w:r>
      <w:r>
        <w:rPr>
          <w:rFonts w:asciiTheme="minorHAnsi" w:eastAsia="MS PGothic" w:hAnsiTheme="minorHAnsi"/>
          <w:szCs w:val="24"/>
          <w:lang w:eastAsia="zh-CN"/>
        </w:rPr>
        <w:t xml:space="preserve">. </w:t>
      </w:r>
      <w:r w:rsidRPr="00055E5D">
        <w:t>All documents will be available electronically on the WRC-19 website</w:t>
      </w:r>
      <w:r w:rsidRPr="00055E5D">
        <w:rPr>
          <w:rFonts w:asciiTheme="minorHAnsi" w:hAnsiTheme="minorHAnsi"/>
          <w:szCs w:val="24"/>
        </w:rPr>
        <w:t xml:space="preserve">, </w:t>
      </w:r>
      <w:r w:rsidRPr="006B0A88">
        <w:rPr>
          <w:rFonts w:asciiTheme="minorHAnsi" w:hAnsiTheme="minorHAnsi"/>
          <w:szCs w:val="24"/>
        </w:rPr>
        <w:t>including</w:t>
      </w:r>
      <w:r w:rsidRPr="006B0A88">
        <w:t xml:space="preserve"> the Provisional Final Acts of the Conference which will be made available in electronic format only</w:t>
      </w:r>
      <w:r>
        <w:t xml:space="preserve">.  </w:t>
      </w:r>
    </w:p>
    <w:p w:rsidR="000A77B1" w:rsidRDefault="000A77B1" w:rsidP="000A77B1">
      <w:pPr>
        <w:widowControl w:val="0"/>
      </w:pPr>
      <w:r w:rsidRPr="00C41096">
        <w:rPr>
          <w:rFonts w:asciiTheme="minorHAnsi" w:eastAsia="MS PGothic" w:hAnsiTheme="minorHAnsi"/>
          <w:szCs w:val="24"/>
          <w:lang w:eastAsia="zh-CN"/>
        </w:rPr>
        <w:t xml:space="preserve">Wireless LAN facilities will be available for use by delegates in the meeting rooms. </w:t>
      </w:r>
    </w:p>
    <w:p w:rsidR="000A77B1" w:rsidRDefault="000A77B1" w:rsidP="005367CC">
      <w:pPr>
        <w:widowControl w:val="0"/>
      </w:pPr>
      <w:r>
        <w:t xml:space="preserve">The </w:t>
      </w:r>
      <w:r w:rsidRPr="009C108C">
        <w:rPr>
          <w:b/>
          <w:bCs/>
        </w:rPr>
        <w:t>WRC-19 Proposal Management System</w:t>
      </w:r>
      <w:r>
        <w:t>, providing an easy-to-use web access to the proposals for the work of the Conference, will also be made available on the conference website along with other electronic tools</w:t>
      </w:r>
      <w:r w:rsidR="005367CC">
        <w:t xml:space="preserve"> (</w:t>
      </w:r>
      <w:hyperlink r:id="rId18" w:history="1">
        <w:r w:rsidR="005367CC" w:rsidRPr="00C46628">
          <w:rPr>
            <w:rStyle w:val="Hyperlink"/>
            <w:szCs w:val="24"/>
            <w:lang w:val="en-GB"/>
          </w:rPr>
          <w:t>ITU TIES account</w:t>
        </w:r>
      </w:hyperlink>
      <w:r w:rsidR="005367CC" w:rsidRPr="005367CC">
        <w:t xml:space="preserve"> </w:t>
      </w:r>
      <w:r w:rsidR="005367CC">
        <w:t>required).</w:t>
      </w:r>
    </w:p>
    <w:p w:rsidR="00C82302" w:rsidRPr="009C108C" w:rsidRDefault="00C82302" w:rsidP="0046378B">
      <w:pPr>
        <w:pStyle w:val="Heading1"/>
        <w:spacing w:before="240"/>
        <w:rPr>
          <w:lang w:val="en-GB"/>
        </w:rPr>
      </w:pPr>
      <w:r w:rsidRPr="009C108C">
        <w:rPr>
          <w:lang w:val="en-GB"/>
        </w:rPr>
        <w:t>Document Access Policy</w:t>
      </w:r>
    </w:p>
    <w:p w:rsidR="002261A1" w:rsidRPr="009C108C" w:rsidRDefault="00CC3B69">
      <w:pPr>
        <w:widowControl w:val="0"/>
      </w:pPr>
      <w:r w:rsidRPr="009C108C">
        <w:rPr>
          <w:rFonts w:asciiTheme="minorHAnsi" w:hAnsiTheme="minorHAnsi" w:cs="Times New Roman"/>
          <w:color w:val="000000"/>
          <w:szCs w:val="24"/>
          <w:shd w:val="clear" w:color="auto" w:fill="FFFFFF"/>
          <w:lang w:val="en-GB"/>
        </w:rPr>
        <w:t xml:space="preserve">In accordance with </w:t>
      </w:r>
      <w:hyperlink r:id="rId19" w:history="1">
        <w:r w:rsidRPr="009C108C">
          <w:rPr>
            <w:rStyle w:val="Hyperlink"/>
            <w:rFonts w:asciiTheme="minorHAnsi" w:hAnsiTheme="minorHAnsi" w:cs="Times New Roman"/>
            <w:szCs w:val="24"/>
            <w:shd w:val="clear" w:color="auto" w:fill="FFFFFF"/>
            <w:lang w:val="en-GB"/>
          </w:rPr>
          <w:t>ITU Information/Document Access Policy</w:t>
        </w:r>
      </w:hyperlink>
      <w:r w:rsidRPr="009C108C">
        <w:rPr>
          <w:rFonts w:asciiTheme="minorHAnsi" w:hAnsiTheme="minorHAnsi" w:cs="Times New Roman"/>
          <w:color w:val="000000"/>
          <w:szCs w:val="24"/>
          <w:shd w:val="clear" w:color="auto" w:fill="FFFFFF"/>
          <w:lang w:val="en-GB"/>
        </w:rPr>
        <w:t xml:space="preserve">, </w:t>
      </w:r>
      <w:r w:rsidR="005367CC" w:rsidRPr="009C108C">
        <w:rPr>
          <w:rFonts w:asciiTheme="minorHAnsi" w:hAnsiTheme="minorHAnsi" w:cs="Times New Roman"/>
          <w:color w:val="000000"/>
          <w:szCs w:val="24"/>
          <w:shd w:val="clear" w:color="auto" w:fill="FFFFFF"/>
          <w:lang w:val="en-GB"/>
        </w:rPr>
        <w:t xml:space="preserve">the </w:t>
      </w:r>
      <w:r w:rsidR="002261A1" w:rsidRPr="009C108C">
        <w:t>availability of WRC-19 documents will be as follows</w:t>
      </w:r>
      <w:r w:rsidR="00236D07" w:rsidRPr="009C108C">
        <w:t>:</w:t>
      </w:r>
      <w:r w:rsidR="00C82302" w:rsidRPr="009C108C">
        <w:t xml:space="preserve"> </w:t>
      </w:r>
    </w:p>
    <w:p w:rsidR="00C82302" w:rsidRPr="009C108C" w:rsidRDefault="00236D07">
      <w:pPr>
        <w:pStyle w:val="enumlev1"/>
        <w:rPr>
          <w:color w:val="000000" w:themeColor="text1"/>
        </w:rPr>
      </w:pPr>
      <w:r w:rsidRPr="009C108C">
        <w:t>–</w:t>
      </w:r>
      <w:r w:rsidRPr="009C108C">
        <w:tab/>
      </w:r>
      <w:r w:rsidR="002261A1" w:rsidRPr="009C108C">
        <w:t xml:space="preserve">Input documents submitted to the Secretariat </w:t>
      </w:r>
      <w:r w:rsidR="005367CC" w:rsidRPr="009C108C">
        <w:t xml:space="preserve">will </w:t>
      </w:r>
      <w:r w:rsidR="002261A1" w:rsidRPr="009C108C">
        <w:t xml:space="preserve">be freely accessible, except </w:t>
      </w:r>
      <w:r w:rsidR="00C82302" w:rsidRPr="009C108C">
        <w:t>where</w:t>
      </w:r>
      <w:r w:rsidR="002261A1" w:rsidRPr="009C108C">
        <w:t xml:space="preserve"> </w:t>
      </w:r>
      <w:r w:rsidRPr="009C108C">
        <w:t xml:space="preserve">a </w:t>
      </w:r>
      <w:r w:rsidR="00C82302" w:rsidRPr="009C108C">
        <w:t>submitter</w:t>
      </w:r>
      <w:r w:rsidR="002261A1" w:rsidRPr="009C108C">
        <w:t xml:space="preserve"> has requested the Bureau </w:t>
      </w:r>
      <w:r w:rsidR="00C82302" w:rsidRPr="009C108C">
        <w:t xml:space="preserve">to restrict its </w:t>
      </w:r>
      <w:r w:rsidR="002261A1" w:rsidRPr="009C108C">
        <w:t>a</w:t>
      </w:r>
      <w:r w:rsidR="002114FC" w:rsidRPr="009C108C">
        <w:t>vailability</w:t>
      </w:r>
      <w:r w:rsidR="005367CC" w:rsidRPr="009C108C">
        <w:t xml:space="preserve"> via </w:t>
      </w:r>
      <w:hyperlink r:id="rId20" w:history="1">
        <w:r w:rsidR="005367CC" w:rsidRPr="009C108C">
          <w:rPr>
            <w:rStyle w:val="Hyperlink"/>
          </w:rPr>
          <w:t>TIES access</w:t>
        </w:r>
      </w:hyperlink>
      <w:r w:rsidR="002261A1" w:rsidRPr="009C108C">
        <w:t xml:space="preserve">. In such </w:t>
      </w:r>
      <w:r w:rsidRPr="009C108C">
        <w:t xml:space="preserve">a </w:t>
      </w:r>
      <w:r w:rsidR="002261A1" w:rsidRPr="009C108C">
        <w:t xml:space="preserve">case, </w:t>
      </w:r>
      <w:r w:rsidRPr="009C108C">
        <w:t xml:space="preserve">the </w:t>
      </w:r>
      <w:r w:rsidR="002261A1" w:rsidRPr="009C108C">
        <w:t xml:space="preserve">submitter </w:t>
      </w:r>
      <w:r w:rsidRPr="009C108C">
        <w:t xml:space="preserve">is </w:t>
      </w:r>
      <w:r w:rsidR="002261A1" w:rsidRPr="009C108C">
        <w:t xml:space="preserve">encouraged to </w:t>
      </w:r>
      <w:r w:rsidR="00685DE4">
        <w:t xml:space="preserve">provide a </w:t>
      </w:r>
      <w:r w:rsidR="00E41A87">
        <w:t>simplified version</w:t>
      </w:r>
      <w:r w:rsidR="002261A1" w:rsidRPr="009C108C">
        <w:t xml:space="preserve"> for public access whenever possible. </w:t>
      </w:r>
      <w:r w:rsidR="00C82302" w:rsidRPr="009C108C">
        <w:t>Document s</w:t>
      </w:r>
      <w:r w:rsidR="002261A1" w:rsidRPr="009C108C">
        <w:t>ubmitters are solely responsible for identifying if their document contain</w:t>
      </w:r>
      <w:r w:rsidR="00C82302" w:rsidRPr="009C108C">
        <w:t>s</w:t>
      </w:r>
      <w:r w:rsidR="002261A1" w:rsidRPr="009C108C">
        <w:t xml:space="preserve"> information that should </w:t>
      </w:r>
      <w:r w:rsidR="00C82302" w:rsidRPr="009C108C">
        <w:t>require</w:t>
      </w:r>
      <w:r w:rsidR="002261A1" w:rsidRPr="009C108C">
        <w:t xml:space="preserve"> restricted access. </w:t>
      </w:r>
    </w:p>
    <w:p w:rsidR="00C82302" w:rsidRPr="009C108C" w:rsidRDefault="00236D07" w:rsidP="009C108C">
      <w:pPr>
        <w:pStyle w:val="enumlev1"/>
      </w:pPr>
      <w:r w:rsidRPr="009C108C">
        <w:t>–</w:t>
      </w:r>
      <w:r w:rsidRPr="009C108C">
        <w:tab/>
      </w:r>
      <w:r w:rsidR="00C82302" w:rsidRPr="009C108C">
        <w:t>I</w:t>
      </w:r>
      <w:r w:rsidR="002261A1" w:rsidRPr="009C108C">
        <w:t xml:space="preserve">nput documents originated by the Secretary-General or the Director of the Radiocommunication Bureau will be </w:t>
      </w:r>
      <w:r w:rsidR="00C82302" w:rsidRPr="009C108C">
        <w:t>freely accessible</w:t>
      </w:r>
      <w:r w:rsidR="002261A1" w:rsidRPr="009C108C">
        <w:t>.</w:t>
      </w:r>
    </w:p>
    <w:p w:rsidR="002261A1" w:rsidRDefault="00236D07" w:rsidP="009C108C">
      <w:pPr>
        <w:pStyle w:val="enumlev1"/>
      </w:pPr>
      <w:r w:rsidRPr="009C108C">
        <w:t>–</w:t>
      </w:r>
      <w:r w:rsidRPr="009C108C">
        <w:tab/>
      </w:r>
      <w:r w:rsidR="00C82302" w:rsidRPr="009C108C">
        <w:t>WRC-19 Final Acts and output documents</w:t>
      </w:r>
      <w:r w:rsidR="002261A1" w:rsidRPr="009C108C">
        <w:t xml:space="preserve"> </w:t>
      </w:r>
      <w:r w:rsidR="00C82302" w:rsidRPr="009C108C">
        <w:t xml:space="preserve">will be subject to public access, while internal conference documents (e.g. documents produced by the </w:t>
      </w:r>
      <w:r w:rsidR="00C43FC9" w:rsidRPr="009C108C">
        <w:t xml:space="preserve">conference </w:t>
      </w:r>
      <w:r w:rsidR="00C82302" w:rsidRPr="009C108C">
        <w:t>committees) will be TIES-protected.</w:t>
      </w:r>
      <w:r w:rsidR="00C82302">
        <w:t xml:space="preserve"> </w:t>
      </w:r>
    </w:p>
    <w:p w:rsidR="00C46628" w:rsidRPr="000609C9" w:rsidRDefault="00C46628" w:rsidP="0046378B">
      <w:pPr>
        <w:pStyle w:val="Heading1"/>
        <w:spacing w:before="240"/>
        <w:rPr>
          <w:lang w:val="en-GB"/>
        </w:rPr>
      </w:pPr>
      <w:r w:rsidRPr="000609C9">
        <w:rPr>
          <w:lang w:val="en-GB"/>
        </w:rPr>
        <w:t>Synchronization of WRC-1</w:t>
      </w:r>
      <w:r>
        <w:rPr>
          <w:lang w:val="en-GB"/>
        </w:rPr>
        <w:t>9</w:t>
      </w:r>
      <w:r w:rsidRPr="000609C9">
        <w:rPr>
          <w:lang w:val="en-GB"/>
        </w:rPr>
        <w:t xml:space="preserve"> documents</w:t>
      </w:r>
    </w:p>
    <w:p w:rsidR="000A77B1" w:rsidRPr="00C46628" w:rsidRDefault="00C46628" w:rsidP="006B21AF">
      <w:pPr>
        <w:rPr>
          <w:szCs w:val="24"/>
          <w:lang w:val="en-GB"/>
        </w:rPr>
      </w:pPr>
      <w:r w:rsidRPr="000609C9">
        <w:rPr>
          <w:lang w:val="en-GB"/>
        </w:rPr>
        <w:t xml:space="preserve">The Secretariat </w:t>
      </w:r>
      <w:r w:rsidR="006B21AF">
        <w:rPr>
          <w:lang w:val="en-GB"/>
        </w:rPr>
        <w:t>will make</w:t>
      </w:r>
      <w:r w:rsidRPr="000609C9">
        <w:rPr>
          <w:lang w:val="en-GB"/>
        </w:rPr>
        <w:t xml:space="preserve"> available, on the </w:t>
      </w:r>
      <w:hyperlink r:id="rId21" w:history="1">
        <w:r w:rsidRPr="000609C9">
          <w:rPr>
            <w:rStyle w:val="Hyperlink"/>
            <w:rFonts w:eastAsia="SimSun"/>
            <w:lang w:val="en-GB"/>
          </w:rPr>
          <w:t>WRC-1</w:t>
        </w:r>
        <w:r>
          <w:rPr>
            <w:rStyle w:val="Hyperlink"/>
            <w:rFonts w:eastAsia="SimSun"/>
            <w:lang w:val="en-GB"/>
          </w:rPr>
          <w:t>9</w:t>
        </w:r>
        <w:r w:rsidRPr="000609C9">
          <w:rPr>
            <w:rStyle w:val="Hyperlink"/>
            <w:rFonts w:eastAsia="SimSun"/>
            <w:lang w:val="en-GB"/>
          </w:rPr>
          <w:t xml:space="preserve"> website</w:t>
        </w:r>
      </w:hyperlink>
      <w:r w:rsidRPr="000609C9">
        <w:rPr>
          <w:lang w:val="en-GB"/>
        </w:rPr>
        <w:t>, the ITU WRC-1</w:t>
      </w:r>
      <w:r>
        <w:rPr>
          <w:lang w:val="en-GB"/>
        </w:rPr>
        <w:t>9</w:t>
      </w:r>
      <w:r w:rsidRPr="000609C9">
        <w:rPr>
          <w:lang w:val="en-GB"/>
        </w:rPr>
        <w:t xml:space="preserve"> Sync Application to allow for the synchronization of WRC-1</w:t>
      </w:r>
      <w:r>
        <w:rPr>
          <w:lang w:val="en-GB"/>
        </w:rPr>
        <w:t>9</w:t>
      </w:r>
      <w:r w:rsidRPr="000609C9">
        <w:rPr>
          <w:lang w:val="en-GB"/>
        </w:rPr>
        <w:t xml:space="preserve"> </w:t>
      </w:r>
      <w:r w:rsidRPr="000609C9">
        <w:rPr>
          <w:szCs w:val="24"/>
          <w:lang w:val="en-GB"/>
        </w:rPr>
        <w:t xml:space="preserve">documents on the local drive of personal computers prior to, and during, the Conference. This application has been configured to access the ITU server and synchronize to the latest published documents on demand. The installation of this application can be performed with an </w:t>
      </w:r>
      <w:hyperlink r:id="rId22" w:history="1">
        <w:r w:rsidRPr="00C46628">
          <w:rPr>
            <w:rStyle w:val="Hyperlink"/>
            <w:szCs w:val="24"/>
            <w:lang w:val="en-GB"/>
          </w:rPr>
          <w:t>ITU TIES account</w:t>
        </w:r>
      </w:hyperlink>
      <w:r w:rsidRPr="000609C9">
        <w:rPr>
          <w:szCs w:val="24"/>
          <w:lang w:val="en-GB"/>
        </w:rPr>
        <w:t>.</w:t>
      </w:r>
    </w:p>
    <w:p w:rsidR="00C46628" w:rsidRPr="000609C9" w:rsidRDefault="00C46628" w:rsidP="0046378B">
      <w:pPr>
        <w:pStyle w:val="Heading1"/>
        <w:spacing w:before="240"/>
        <w:rPr>
          <w:lang w:val="en-GB"/>
        </w:rPr>
      </w:pPr>
      <w:r w:rsidRPr="000609C9">
        <w:rPr>
          <w:lang w:val="en-GB"/>
        </w:rPr>
        <w:t>SharePoint site for WRC-1</w:t>
      </w:r>
      <w:r>
        <w:rPr>
          <w:lang w:val="en-GB"/>
        </w:rPr>
        <w:t>9</w:t>
      </w:r>
    </w:p>
    <w:p w:rsidR="000A77B1" w:rsidRPr="00C46628" w:rsidRDefault="00C46628">
      <w:pPr>
        <w:rPr>
          <w:lang w:val="en-GB"/>
        </w:rPr>
      </w:pPr>
      <w:r w:rsidRPr="000609C9">
        <w:rPr>
          <w:lang w:val="en-GB"/>
        </w:rPr>
        <w:t xml:space="preserve">A SharePoint site, </w:t>
      </w:r>
      <w:r w:rsidRPr="000609C9">
        <w:rPr>
          <w:rFonts w:eastAsia="SimSun"/>
          <w:lang w:val="en-GB" w:eastAsia="zh-CN"/>
        </w:rPr>
        <w:t xml:space="preserve">accessible from </w:t>
      </w:r>
      <w:r w:rsidRPr="000609C9">
        <w:rPr>
          <w:rFonts w:eastAsia="SimSun"/>
          <w:lang w:val="en-GB"/>
        </w:rPr>
        <w:t xml:space="preserve">the </w:t>
      </w:r>
      <w:hyperlink r:id="rId23" w:history="1">
        <w:r w:rsidRPr="000609C9">
          <w:rPr>
            <w:rStyle w:val="Hyperlink"/>
            <w:rFonts w:eastAsia="SimSun"/>
            <w:lang w:val="en-GB"/>
          </w:rPr>
          <w:t>WRC-1</w:t>
        </w:r>
        <w:r>
          <w:rPr>
            <w:rStyle w:val="Hyperlink"/>
            <w:rFonts w:eastAsia="SimSun"/>
            <w:lang w:val="en-GB"/>
          </w:rPr>
          <w:t>9</w:t>
        </w:r>
        <w:r w:rsidRPr="000609C9">
          <w:rPr>
            <w:rStyle w:val="Hyperlink"/>
            <w:rFonts w:eastAsia="SimSun"/>
            <w:lang w:val="en-GB"/>
          </w:rPr>
          <w:t xml:space="preserve"> website</w:t>
        </w:r>
      </w:hyperlink>
      <w:r w:rsidRPr="000609C9">
        <w:rPr>
          <w:lang w:val="en-GB"/>
        </w:rPr>
        <w:t xml:space="preserve">, will be set up for the Conference. It will provide sub-sites for every WRC Committee and Working Group within which “Share Folders” will be created for informal document exchanges regarding the work of the groups. An ITU </w:t>
      </w:r>
      <w:r w:rsidRPr="000609C9">
        <w:rPr>
          <w:rFonts w:asciiTheme="minorHAnsi" w:hAnsiTheme="minorHAnsi" w:cstheme="majorBidi"/>
          <w:szCs w:val="24"/>
          <w:shd w:val="clear" w:color="auto" w:fill="FFFFFF"/>
          <w:lang w:val="en-GB"/>
        </w:rPr>
        <w:t>TIES account</w:t>
      </w:r>
      <w:r w:rsidRPr="000609C9">
        <w:rPr>
          <w:lang w:val="en-GB"/>
        </w:rPr>
        <w:t xml:space="preserve"> is required to access the SharePoint site for WRC-1</w:t>
      </w:r>
      <w:r>
        <w:rPr>
          <w:lang w:val="en-GB"/>
        </w:rPr>
        <w:t>9</w:t>
      </w:r>
      <w:r w:rsidRPr="000609C9">
        <w:rPr>
          <w:lang w:val="en-GB"/>
        </w:rPr>
        <w:t xml:space="preserve">. </w:t>
      </w:r>
    </w:p>
    <w:p w:rsidR="000A77B1" w:rsidRPr="00533F66" w:rsidRDefault="002D4469" w:rsidP="00533F66">
      <w:pPr>
        <w:pStyle w:val="Heading1"/>
        <w:rPr>
          <w:lang w:val="en-GB"/>
        </w:rPr>
      </w:pPr>
      <w:r w:rsidRPr="00533F66">
        <w:rPr>
          <w:lang w:val="en-GB"/>
        </w:rPr>
        <w:lastRenderedPageBreak/>
        <w:t>Further i</w:t>
      </w:r>
      <w:r w:rsidR="000A77B1" w:rsidRPr="00533F66">
        <w:rPr>
          <w:lang w:val="en-GB"/>
        </w:rPr>
        <w:t>nformation</w:t>
      </w:r>
    </w:p>
    <w:p w:rsidR="000A77B1" w:rsidRPr="00474D21" w:rsidRDefault="00725527" w:rsidP="00725527">
      <w:pPr>
        <w:widowControl w:val="0"/>
      </w:pPr>
      <w:r>
        <w:t xml:space="preserve">Please address any queries on general matters regarding WRC-19 to: </w:t>
      </w:r>
      <w:hyperlink r:id="rId24" w:history="1">
        <w:r w:rsidR="000A77B1">
          <w:rPr>
            <w:rStyle w:val="Hyperlink"/>
          </w:rPr>
          <w:t>wrc19contact@itu.int</w:t>
        </w:r>
      </w:hyperlink>
      <w:r w:rsidR="000A77B1" w:rsidRPr="00496A35">
        <w:t>.</w:t>
      </w:r>
    </w:p>
    <w:p w:rsidR="000A77B1" w:rsidRDefault="000A77B1" w:rsidP="000A77B1">
      <w:pPr>
        <w:widowControl w:val="0"/>
        <w:rPr>
          <w:rFonts w:asciiTheme="minorHAnsi" w:hAnsiTheme="minorHAnsi" w:cstheme="minorHAnsi"/>
          <w:szCs w:val="24"/>
        </w:rPr>
      </w:pPr>
    </w:p>
    <w:p w:rsidR="00C82302" w:rsidRDefault="00C82302" w:rsidP="000A77B1">
      <w:pPr>
        <w:widowControl w:val="0"/>
        <w:rPr>
          <w:rFonts w:asciiTheme="minorHAnsi" w:hAnsiTheme="minorHAnsi" w:cstheme="minorHAnsi"/>
          <w:szCs w:val="24"/>
        </w:rPr>
      </w:pPr>
    </w:p>
    <w:p w:rsidR="000A77B1" w:rsidRDefault="000A77B1" w:rsidP="000A77B1">
      <w:pPr>
        <w:widowControl w:val="0"/>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Mario Maniewicz</w:t>
      </w: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Director</w:t>
      </w:r>
    </w:p>
    <w:p w:rsidR="009C108C" w:rsidRDefault="009C108C" w:rsidP="000A77B1">
      <w:pPr>
        <w:widowControl w:val="0"/>
        <w:spacing w:before="0" w:line="240" w:lineRule="auto"/>
        <w:jc w:val="left"/>
        <w:rPr>
          <w:rFonts w:asciiTheme="minorHAnsi" w:hAnsiTheme="minorHAnsi" w:cstheme="minorHAnsi"/>
          <w:szCs w:val="24"/>
        </w:rPr>
      </w:pPr>
    </w:p>
    <w:p w:rsidR="009C108C" w:rsidRDefault="009C108C" w:rsidP="000A77B1">
      <w:pPr>
        <w:widowControl w:val="0"/>
        <w:spacing w:before="0" w:line="240" w:lineRule="auto"/>
        <w:jc w:val="left"/>
        <w:rPr>
          <w:rFonts w:asciiTheme="minorHAnsi" w:hAnsiTheme="minorHAnsi" w:cstheme="minorHAnsi"/>
          <w:szCs w:val="24"/>
        </w:rPr>
      </w:pPr>
    </w:p>
    <w:p w:rsidR="009C108C" w:rsidRDefault="009C108C" w:rsidP="000A77B1">
      <w:pPr>
        <w:widowControl w:val="0"/>
        <w:spacing w:before="0" w:line="240" w:lineRule="auto"/>
        <w:jc w:val="left"/>
        <w:rPr>
          <w:rFonts w:asciiTheme="minorHAnsi" w:hAnsiTheme="minorHAnsi" w:cstheme="minorHAnsi"/>
          <w:szCs w:val="24"/>
        </w:rPr>
      </w:pPr>
    </w:p>
    <w:p w:rsidR="009C108C" w:rsidRDefault="009C108C"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46378B" w:rsidRDefault="0046378B" w:rsidP="000A77B1">
      <w:pPr>
        <w:widowControl w:val="0"/>
        <w:spacing w:before="0" w:line="240" w:lineRule="auto"/>
        <w:jc w:val="left"/>
        <w:rPr>
          <w:rFonts w:asciiTheme="minorHAnsi" w:hAnsiTheme="minorHAnsi" w:cstheme="minorHAnsi"/>
          <w:szCs w:val="24"/>
        </w:rPr>
      </w:pPr>
    </w:p>
    <w:p w:rsidR="009C108C" w:rsidRDefault="009C108C" w:rsidP="000A77B1">
      <w:pPr>
        <w:widowControl w:val="0"/>
        <w:spacing w:before="0" w:line="240" w:lineRule="auto"/>
        <w:jc w:val="left"/>
        <w:rPr>
          <w:rFonts w:asciiTheme="minorHAnsi" w:hAnsiTheme="minorHAnsi" w:cstheme="minorHAnsi"/>
          <w:szCs w:val="24"/>
        </w:rPr>
      </w:pPr>
    </w:p>
    <w:p w:rsidR="009C108C" w:rsidRDefault="009C108C" w:rsidP="000A77B1">
      <w:pPr>
        <w:widowControl w:val="0"/>
        <w:spacing w:before="0" w:line="240" w:lineRule="auto"/>
        <w:jc w:val="left"/>
        <w:rPr>
          <w:rFonts w:asciiTheme="minorHAnsi" w:hAnsiTheme="minorHAnsi" w:cstheme="minorHAnsi"/>
          <w:szCs w:val="24"/>
        </w:rPr>
      </w:pPr>
    </w:p>
    <w:p w:rsidR="000A77B1" w:rsidRPr="00FB7739" w:rsidRDefault="000A77B1" w:rsidP="000A77B1">
      <w:pPr>
        <w:widowControl w:val="0"/>
        <w:tabs>
          <w:tab w:val="left" w:pos="284"/>
          <w:tab w:val="left" w:pos="568"/>
        </w:tabs>
        <w:spacing w:line="240" w:lineRule="auto"/>
        <w:rPr>
          <w:b/>
          <w:bCs/>
          <w:sz w:val="18"/>
          <w:szCs w:val="18"/>
          <w:lang w:val="en-CA"/>
        </w:rPr>
      </w:pPr>
      <w:r w:rsidRPr="00FB7739">
        <w:rPr>
          <w:b/>
          <w:bCs/>
          <w:sz w:val="18"/>
          <w:szCs w:val="18"/>
          <w:lang w:val="en-CA"/>
        </w:rPr>
        <w:t>Distribution:</w:t>
      </w:r>
    </w:p>
    <w:p w:rsidR="000A77B1" w:rsidRPr="00726B6A"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Administrations of Member States of ITU</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Observer (Resolution 99 (Rev. </w:t>
      </w:r>
      <w:r>
        <w:rPr>
          <w:sz w:val="18"/>
          <w:szCs w:val="18"/>
        </w:rPr>
        <w:t>Dubai</w:t>
      </w:r>
      <w:r w:rsidRPr="00726B6A">
        <w:rPr>
          <w:sz w:val="18"/>
          <w:szCs w:val="18"/>
        </w:rPr>
        <w:t>, 201</w:t>
      </w:r>
      <w:r>
        <w:rPr>
          <w:sz w:val="18"/>
          <w:szCs w:val="18"/>
        </w:rPr>
        <w:t>8</w:t>
      </w:r>
      <w:r w:rsidRPr="00726B6A">
        <w:rPr>
          <w:sz w:val="18"/>
          <w:szCs w:val="18"/>
        </w:rPr>
        <w:t>))</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Observers which participate in an advisory capacity pursuant to Nos. 278 and 279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Observers from Sector Members of the Radiocommunication Sector which do not participate in an advisory capacity pursuant to No. 280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Chairmen and Vice-Chairmen of Radiocommunication Study Groups </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Radiocommunication Advisory Group</w:t>
      </w:r>
    </w:p>
    <w:p w:rsidR="000A77B1" w:rsidRPr="009A2817"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Conference Preparatory Meeting</w:t>
      </w:r>
    </w:p>
    <w:p w:rsidR="000A77B1" w:rsidRPr="009A2817"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Members of the Radio Regulations Board</w:t>
      </w:r>
    </w:p>
    <w:p w:rsidR="00D21694" w:rsidRPr="000A77B1" w:rsidRDefault="000A77B1" w:rsidP="00533F66">
      <w:pPr>
        <w:widowControl w:val="0"/>
        <w:tabs>
          <w:tab w:val="left" w:pos="284"/>
        </w:tabs>
        <w:spacing w:before="0" w:line="240" w:lineRule="auto"/>
        <w:ind w:left="284" w:hanging="284"/>
        <w:rPr>
          <w:rFonts w:asciiTheme="minorHAnsi" w:hAnsiTheme="minorHAnsi" w:cstheme="minorHAnsi"/>
          <w:szCs w:val="24"/>
          <w:lang w:val="en-CA"/>
        </w:rPr>
      </w:pPr>
      <w:r w:rsidRPr="009A2817">
        <w:rPr>
          <w:sz w:val="18"/>
          <w:szCs w:val="18"/>
        </w:rPr>
        <w:t>–</w:t>
      </w:r>
      <w:r w:rsidRPr="009A2817">
        <w:rPr>
          <w:sz w:val="18"/>
          <w:szCs w:val="18"/>
        </w:rPr>
        <w:tab/>
        <w:t>Secretary-General of ITU, Deputy Secretary-General of ITU, Director of the Telecommunication Standardization Bureau, Director of the Telecommunication Development Bureau</w:t>
      </w:r>
    </w:p>
    <w:sectPr w:rsidR="00D21694" w:rsidRPr="000A77B1"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E3" w:rsidRDefault="00315DE3">
      <w:r>
        <w:separator/>
      </w:r>
    </w:p>
  </w:endnote>
  <w:endnote w:type="continuationSeparator" w:id="0">
    <w:p w:rsidR="00315DE3" w:rsidRDefault="0031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E3" w:rsidRDefault="00315DE3">
      <w:r>
        <w:t>____________________</w:t>
      </w:r>
    </w:p>
  </w:footnote>
  <w:footnote w:type="continuationSeparator" w:id="0">
    <w:p w:rsidR="00315DE3" w:rsidRDefault="00315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67809">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A90A1E" w:rsidP="00A90A1E">
    <w:pPr>
      <w:pStyle w:val="Header"/>
    </w:pPr>
    <w:r>
      <w:rPr>
        <w:sz w:val="18"/>
        <w:szCs w:val="16"/>
      </w:rPr>
      <w:tab/>
    </w:r>
    <w:r>
      <w:rPr>
        <w:sz w:val="18"/>
        <w:szCs w:val="16"/>
      </w:rPr>
      <w:tab/>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67809">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3C21"/>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A77B1"/>
    <w:rsid w:val="000B0AF6"/>
    <w:rsid w:val="000B0E9B"/>
    <w:rsid w:val="000B2CAE"/>
    <w:rsid w:val="000C03C7"/>
    <w:rsid w:val="000C2AD0"/>
    <w:rsid w:val="000C62EB"/>
    <w:rsid w:val="000E3DEE"/>
    <w:rsid w:val="00100B72"/>
    <w:rsid w:val="00101F7D"/>
    <w:rsid w:val="00103C76"/>
    <w:rsid w:val="00104020"/>
    <w:rsid w:val="00104C35"/>
    <w:rsid w:val="0011265F"/>
    <w:rsid w:val="0011321A"/>
    <w:rsid w:val="00117282"/>
    <w:rsid w:val="00117389"/>
    <w:rsid w:val="00121C2D"/>
    <w:rsid w:val="001337D0"/>
    <w:rsid w:val="00134404"/>
    <w:rsid w:val="00144DFB"/>
    <w:rsid w:val="00153709"/>
    <w:rsid w:val="00187CA3"/>
    <w:rsid w:val="00196710"/>
    <w:rsid w:val="00197324"/>
    <w:rsid w:val="001A2E40"/>
    <w:rsid w:val="001B351B"/>
    <w:rsid w:val="001C06DB"/>
    <w:rsid w:val="001C4DF2"/>
    <w:rsid w:val="001C6971"/>
    <w:rsid w:val="001D2785"/>
    <w:rsid w:val="001D7070"/>
    <w:rsid w:val="001F2170"/>
    <w:rsid w:val="001F3948"/>
    <w:rsid w:val="001F5A49"/>
    <w:rsid w:val="00201097"/>
    <w:rsid w:val="00201B6E"/>
    <w:rsid w:val="002114FC"/>
    <w:rsid w:val="00217875"/>
    <w:rsid w:val="002261A1"/>
    <w:rsid w:val="002302B3"/>
    <w:rsid w:val="00230C66"/>
    <w:rsid w:val="00235A29"/>
    <w:rsid w:val="00236D07"/>
    <w:rsid w:val="00241526"/>
    <w:rsid w:val="002443A2"/>
    <w:rsid w:val="00266E74"/>
    <w:rsid w:val="002835C3"/>
    <w:rsid w:val="00283C3B"/>
    <w:rsid w:val="00284A46"/>
    <w:rsid w:val="002861E6"/>
    <w:rsid w:val="00287D18"/>
    <w:rsid w:val="002A2618"/>
    <w:rsid w:val="002A5DD7"/>
    <w:rsid w:val="002B0CAC"/>
    <w:rsid w:val="002C0ADB"/>
    <w:rsid w:val="002D4469"/>
    <w:rsid w:val="002D5A15"/>
    <w:rsid w:val="002D5BDD"/>
    <w:rsid w:val="002E3D27"/>
    <w:rsid w:val="002F0890"/>
    <w:rsid w:val="002F2531"/>
    <w:rsid w:val="002F4967"/>
    <w:rsid w:val="00315DE3"/>
    <w:rsid w:val="00316935"/>
    <w:rsid w:val="003266ED"/>
    <w:rsid w:val="003370B8"/>
    <w:rsid w:val="00345D38"/>
    <w:rsid w:val="00352097"/>
    <w:rsid w:val="003666FF"/>
    <w:rsid w:val="0037309C"/>
    <w:rsid w:val="00380A6E"/>
    <w:rsid w:val="003836D4"/>
    <w:rsid w:val="003A1F49"/>
    <w:rsid w:val="003A5D52"/>
    <w:rsid w:val="003B2BDA"/>
    <w:rsid w:val="003B55EC"/>
    <w:rsid w:val="003C2DEA"/>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6378B"/>
    <w:rsid w:val="004718F5"/>
    <w:rsid w:val="00480F51"/>
    <w:rsid w:val="00481124"/>
    <w:rsid w:val="004815EB"/>
    <w:rsid w:val="00487569"/>
    <w:rsid w:val="00496864"/>
    <w:rsid w:val="00496920"/>
    <w:rsid w:val="004A4496"/>
    <w:rsid w:val="004B11AB"/>
    <w:rsid w:val="004B2243"/>
    <w:rsid w:val="004B4D61"/>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37A7"/>
    <w:rsid w:val="00533F66"/>
    <w:rsid w:val="00534372"/>
    <w:rsid w:val="005367CC"/>
    <w:rsid w:val="00543DF8"/>
    <w:rsid w:val="00546101"/>
    <w:rsid w:val="00553DD7"/>
    <w:rsid w:val="005638CF"/>
    <w:rsid w:val="0056741E"/>
    <w:rsid w:val="0057325A"/>
    <w:rsid w:val="0057469A"/>
    <w:rsid w:val="00580814"/>
    <w:rsid w:val="00583A0B"/>
    <w:rsid w:val="005A03A3"/>
    <w:rsid w:val="005A2B92"/>
    <w:rsid w:val="005A79E9"/>
    <w:rsid w:val="005B1AC2"/>
    <w:rsid w:val="005B214C"/>
    <w:rsid w:val="005D3669"/>
    <w:rsid w:val="005E5EB3"/>
    <w:rsid w:val="005F3CB6"/>
    <w:rsid w:val="005F657C"/>
    <w:rsid w:val="00602D53"/>
    <w:rsid w:val="006047E5"/>
    <w:rsid w:val="006230A0"/>
    <w:rsid w:val="006231F4"/>
    <w:rsid w:val="00641DBF"/>
    <w:rsid w:val="0064371D"/>
    <w:rsid w:val="00650B2A"/>
    <w:rsid w:val="00651777"/>
    <w:rsid w:val="00651B51"/>
    <w:rsid w:val="006550F8"/>
    <w:rsid w:val="00656226"/>
    <w:rsid w:val="006829F3"/>
    <w:rsid w:val="00685DE4"/>
    <w:rsid w:val="006A1921"/>
    <w:rsid w:val="006A518B"/>
    <w:rsid w:val="006B0590"/>
    <w:rsid w:val="006B0A88"/>
    <w:rsid w:val="006B1C3D"/>
    <w:rsid w:val="006B21AF"/>
    <w:rsid w:val="006B49DA"/>
    <w:rsid w:val="006B4C75"/>
    <w:rsid w:val="006C53F8"/>
    <w:rsid w:val="006C7CDE"/>
    <w:rsid w:val="006F5BF6"/>
    <w:rsid w:val="00714B22"/>
    <w:rsid w:val="007234B1"/>
    <w:rsid w:val="00723D08"/>
    <w:rsid w:val="00725527"/>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3FF0"/>
    <w:rsid w:val="00925023"/>
    <w:rsid w:val="009277BC"/>
    <w:rsid w:val="00927D57"/>
    <w:rsid w:val="00931A51"/>
    <w:rsid w:val="00947185"/>
    <w:rsid w:val="009518B3"/>
    <w:rsid w:val="009578C8"/>
    <w:rsid w:val="00963D9D"/>
    <w:rsid w:val="009653C6"/>
    <w:rsid w:val="0098013E"/>
    <w:rsid w:val="00981B54"/>
    <w:rsid w:val="009842C3"/>
    <w:rsid w:val="009A009A"/>
    <w:rsid w:val="009A6BB6"/>
    <w:rsid w:val="009B3F43"/>
    <w:rsid w:val="009B5CFA"/>
    <w:rsid w:val="009C108C"/>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64B8D"/>
    <w:rsid w:val="00A7596D"/>
    <w:rsid w:val="00A81220"/>
    <w:rsid w:val="00A90A1E"/>
    <w:rsid w:val="00A963DF"/>
    <w:rsid w:val="00AB631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02D3"/>
    <w:rsid w:val="00B81C2F"/>
    <w:rsid w:val="00B90743"/>
    <w:rsid w:val="00B90C45"/>
    <w:rsid w:val="00B933BE"/>
    <w:rsid w:val="00B940C2"/>
    <w:rsid w:val="00BA072F"/>
    <w:rsid w:val="00BD6738"/>
    <w:rsid w:val="00BD7E5E"/>
    <w:rsid w:val="00BE4BD8"/>
    <w:rsid w:val="00BE63DB"/>
    <w:rsid w:val="00BE6574"/>
    <w:rsid w:val="00BF2F0C"/>
    <w:rsid w:val="00C07319"/>
    <w:rsid w:val="00C16FD2"/>
    <w:rsid w:val="00C235E9"/>
    <w:rsid w:val="00C4395E"/>
    <w:rsid w:val="00C43FC9"/>
    <w:rsid w:val="00C46628"/>
    <w:rsid w:val="00C47FFD"/>
    <w:rsid w:val="00C51E92"/>
    <w:rsid w:val="00C52DB3"/>
    <w:rsid w:val="00C57E2C"/>
    <w:rsid w:val="00C608B7"/>
    <w:rsid w:val="00C66F24"/>
    <w:rsid w:val="00C76D7F"/>
    <w:rsid w:val="00C813AA"/>
    <w:rsid w:val="00C818D7"/>
    <w:rsid w:val="00C82302"/>
    <w:rsid w:val="00C9291E"/>
    <w:rsid w:val="00CA3F44"/>
    <w:rsid w:val="00CA4E58"/>
    <w:rsid w:val="00CB3771"/>
    <w:rsid w:val="00CB44BF"/>
    <w:rsid w:val="00CB5153"/>
    <w:rsid w:val="00CB55EA"/>
    <w:rsid w:val="00CC3B69"/>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4768"/>
    <w:rsid w:val="00D67809"/>
    <w:rsid w:val="00D6790C"/>
    <w:rsid w:val="00D73277"/>
    <w:rsid w:val="00D76586"/>
    <w:rsid w:val="00D82657"/>
    <w:rsid w:val="00D828E7"/>
    <w:rsid w:val="00D87E20"/>
    <w:rsid w:val="00DA195D"/>
    <w:rsid w:val="00DA4037"/>
    <w:rsid w:val="00DE66A5"/>
    <w:rsid w:val="00DF2B50"/>
    <w:rsid w:val="00DF42B7"/>
    <w:rsid w:val="00E04C86"/>
    <w:rsid w:val="00E17344"/>
    <w:rsid w:val="00E20F30"/>
    <w:rsid w:val="00E2189C"/>
    <w:rsid w:val="00E25BB1"/>
    <w:rsid w:val="00E27BBA"/>
    <w:rsid w:val="00E30E3F"/>
    <w:rsid w:val="00E35E8F"/>
    <w:rsid w:val="00E41A87"/>
    <w:rsid w:val="00E428AB"/>
    <w:rsid w:val="00E438E8"/>
    <w:rsid w:val="00E453A3"/>
    <w:rsid w:val="00E520E2"/>
    <w:rsid w:val="00E530C4"/>
    <w:rsid w:val="00E55996"/>
    <w:rsid w:val="00E64254"/>
    <w:rsid w:val="00E67928"/>
    <w:rsid w:val="00E70FB5"/>
    <w:rsid w:val="00E915AF"/>
    <w:rsid w:val="00E927DC"/>
    <w:rsid w:val="00E96415"/>
    <w:rsid w:val="00EA15B3"/>
    <w:rsid w:val="00EB2358"/>
    <w:rsid w:val="00EB3EB8"/>
    <w:rsid w:val="00EC02FE"/>
    <w:rsid w:val="00EC4A96"/>
    <w:rsid w:val="00F20D07"/>
    <w:rsid w:val="00F424BF"/>
    <w:rsid w:val="00F44FC3"/>
    <w:rsid w:val="00F46107"/>
    <w:rsid w:val="00F468C5"/>
    <w:rsid w:val="00F52F39"/>
    <w:rsid w:val="00F6184F"/>
    <w:rsid w:val="00F676EA"/>
    <w:rsid w:val="00F8310E"/>
    <w:rsid w:val="00F914DD"/>
    <w:rsid w:val="00FA2358"/>
    <w:rsid w:val="00FA64C3"/>
    <w:rsid w:val="00FB2592"/>
    <w:rsid w:val="00FB2810"/>
    <w:rsid w:val="00FB7A2C"/>
    <w:rsid w:val="00FC2947"/>
    <w:rsid w:val="00FC6F6B"/>
    <w:rsid w:val="00FE0818"/>
    <w:rsid w:val="00FE4C4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61A165-07C4-47DF-ABE6-69C28D98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Normalaftertitle0">
    <w:name w:val="Normal after title"/>
    <w:basedOn w:val="Normal"/>
    <w:next w:val="Normal"/>
    <w:rsid w:val="000A77B1"/>
    <w:pPr>
      <w:spacing w:before="320"/>
    </w:pPr>
    <w:rPr>
      <w:sz w:val="22"/>
    </w:rPr>
  </w:style>
  <w:style w:type="paragraph" w:styleId="NormalWeb">
    <w:name w:val="Normal (Web)"/>
    <w:basedOn w:val="Normal"/>
    <w:rsid w:val="000A77B1"/>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 w:val="22"/>
      <w:szCs w:val="24"/>
    </w:rPr>
  </w:style>
  <w:style w:type="paragraph" w:customStyle="1" w:styleId="Reasons">
    <w:name w:val="Reasons"/>
    <w:basedOn w:val="Normal"/>
    <w:qFormat/>
    <w:rsid w:val="00C235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6B0A88"/>
    <w:rPr>
      <w:sz w:val="24"/>
      <w:szCs w:val="22"/>
      <w:lang w:val="en-US" w:eastAsia="en-US"/>
    </w:rPr>
  </w:style>
  <w:style w:type="character" w:customStyle="1" w:styleId="Heading1Char">
    <w:name w:val="Heading 1 Char"/>
    <w:link w:val="Heading1"/>
    <w:uiPriority w:val="99"/>
    <w:locked/>
    <w:rsid w:val="00C46628"/>
    <w:rPr>
      <w:b/>
      <w:sz w:val="24"/>
      <w:szCs w:val="22"/>
      <w:lang w:val="en-US" w:eastAsia="en-US"/>
    </w:rPr>
  </w:style>
  <w:style w:type="character" w:styleId="FollowedHyperlink">
    <w:name w:val="FollowedHyperlink"/>
    <w:basedOn w:val="DefaultParagraphFont"/>
    <w:semiHidden/>
    <w:unhideWhenUsed/>
    <w:rsid w:val="006B2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n" TargetMode="External"/><Relationship Id="rId13" Type="http://schemas.openxmlformats.org/officeDocument/2006/relationships/hyperlink" Target="http://www.itu.int/md/R00-CA-CIR-0245/en" TargetMode="External"/><Relationship Id="rId18" Type="http://schemas.openxmlformats.org/officeDocument/2006/relationships/hyperlink" Target="http://www.itu.int/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R/conferences/wrc/2019/Pages/default.aspx" TargetMode="External"/><Relationship Id="rId7" Type="http://schemas.openxmlformats.org/officeDocument/2006/relationships/endnotes" Target="endnotes.xml"/><Relationship Id="rId12" Type="http://schemas.openxmlformats.org/officeDocument/2006/relationships/hyperlink" Target="https://www.itu.int/en/ITU-R/conferences/RA/2019/Pages/default.aspx" TargetMode="External"/><Relationship Id="rId17" Type="http://schemas.openxmlformats.org/officeDocument/2006/relationships/hyperlink" Target="http://www.itu.int/go/WRC-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yperlink" Target="http://www.itu.int/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hyperlink" Target="mailto:wrc19contact@itu.int" TargetMode="External"/><Relationship Id="rId5" Type="http://schemas.openxmlformats.org/officeDocument/2006/relationships/webSettings" Target="webSettings.xml"/><Relationship Id="rId15" Type="http://schemas.openxmlformats.org/officeDocument/2006/relationships/hyperlink" Target="https://www.itu.int/oth/R0C04000038/en" TargetMode="External"/><Relationship Id="rId23" Type="http://schemas.openxmlformats.org/officeDocument/2006/relationships/hyperlink" Target="https://www.itu.int/en/ITU-R/conferences/wrc/2019/Pages/default.aspx" TargetMode="External"/><Relationship Id="rId28" Type="http://schemas.openxmlformats.org/officeDocument/2006/relationships/footer" Target="footer1.xml"/><Relationship Id="rId10" Type="http://schemas.openxmlformats.org/officeDocument/2006/relationships/hyperlink" Target="https://www.itu.int/md/S18-DM-CIR-01006/en" TargetMode="External"/><Relationship Id="rId19" Type="http://schemas.openxmlformats.org/officeDocument/2006/relationships/hyperlink" Target="https://www.itu.int/en/access-policy/Pages/default.aspx" TargetMode="External"/><Relationship Id="rId4" Type="http://schemas.openxmlformats.org/officeDocument/2006/relationships/settings" Target="settings.xml"/><Relationship Id="rId9" Type="http://schemas.openxmlformats.org/officeDocument/2006/relationships/hyperlink" Target="https://www.itu.int/md/S18-DM-CIR-01005/en" TargetMode="External"/><Relationship Id="rId14" Type="http://schemas.openxmlformats.org/officeDocument/2006/relationships/hyperlink" Target="mailto:wrc19@itu.int" TargetMode="External"/><Relationship Id="rId22" Type="http://schemas.openxmlformats.org/officeDocument/2006/relationships/hyperlink" Target="http://www.itu.int/ti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A870-C1D0-427F-A2FC-DFF4C36B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879</Words>
  <Characters>6157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Faure, Graciela</cp:lastModifiedBy>
  <cp:revision>5</cp:revision>
  <cp:lastPrinted>2019-04-11T14:23:00Z</cp:lastPrinted>
  <dcterms:created xsi:type="dcterms:W3CDTF">2019-04-05T08:51:00Z</dcterms:created>
  <dcterms:modified xsi:type="dcterms:W3CDTF">2019-04-12T08:03:00Z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