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0A77B1" w:rsidRPr="00557B91" w14:paraId="0250AB07" w14:textId="77777777" w:rsidTr="00D828E7">
        <w:tc>
          <w:tcPr>
            <w:tcW w:w="9889" w:type="dxa"/>
            <w:gridSpan w:val="3"/>
            <w:shd w:val="clear" w:color="auto" w:fill="auto"/>
          </w:tcPr>
          <w:p w14:paraId="7720B5DD" w14:textId="77777777" w:rsidR="000A77B1" w:rsidRPr="00557B91" w:rsidRDefault="001C4FA2" w:rsidP="00D00269">
            <w:pPr>
              <w:widowControl w:val="0"/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557B91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3CEDC82F" w14:textId="77777777" w:rsidR="000A77B1" w:rsidRPr="00557B91" w:rsidRDefault="000A77B1" w:rsidP="00D00269">
            <w:pPr>
              <w:widowControl w:val="0"/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0925984E" w14:textId="77777777" w:rsidR="000A77B1" w:rsidRPr="00557B91" w:rsidRDefault="000A77B1" w:rsidP="00D00269">
            <w:pPr>
              <w:widowControl w:val="0"/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0A77B1" w:rsidRPr="00557B91" w14:paraId="19D453A9" w14:textId="77777777" w:rsidTr="00D828E7">
        <w:tc>
          <w:tcPr>
            <w:tcW w:w="7054" w:type="dxa"/>
            <w:gridSpan w:val="2"/>
            <w:shd w:val="clear" w:color="auto" w:fill="auto"/>
          </w:tcPr>
          <w:p w14:paraId="6C2D6AFE" w14:textId="0A4FA45D" w:rsidR="000A77B1" w:rsidRPr="00557B91" w:rsidRDefault="001C4FA2" w:rsidP="00D00269">
            <w:pPr>
              <w:widowControl w:val="0"/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557B91">
              <w:rPr>
                <w:b/>
                <w:bCs/>
                <w:szCs w:val="24"/>
                <w:lang w:val="fr-FR"/>
              </w:rPr>
              <w:t>Addendum 2 à la</w:t>
            </w:r>
            <w:r w:rsidR="00E71630" w:rsidRPr="00557B91">
              <w:rPr>
                <w:szCs w:val="24"/>
                <w:lang w:val="fr-FR"/>
              </w:rPr>
              <w:br/>
            </w:r>
            <w:r w:rsidRPr="00557B91">
              <w:rPr>
                <w:szCs w:val="24"/>
                <w:lang w:val="fr-FR"/>
              </w:rPr>
              <w:t>Circulaire administrative</w:t>
            </w:r>
            <w:r w:rsidR="00C46628" w:rsidRPr="00557B91">
              <w:rPr>
                <w:b/>
                <w:bCs/>
                <w:szCs w:val="24"/>
                <w:lang w:val="fr-FR"/>
              </w:rPr>
              <w:br/>
            </w:r>
            <w:r w:rsidR="000A77B1" w:rsidRPr="00557B91">
              <w:rPr>
                <w:b/>
                <w:bCs/>
                <w:szCs w:val="24"/>
                <w:lang w:val="fr-FR"/>
              </w:rPr>
              <w:t>CA/245</w:t>
            </w:r>
          </w:p>
        </w:tc>
        <w:tc>
          <w:tcPr>
            <w:tcW w:w="2835" w:type="dxa"/>
            <w:shd w:val="clear" w:color="auto" w:fill="auto"/>
          </w:tcPr>
          <w:p w14:paraId="256E76E7" w14:textId="29696D50" w:rsidR="000A77B1" w:rsidRPr="00557B91" w:rsidRDefault="00E71630" w:rsidP="00D00269">
            <w:pPr>
              <w:widowControl w:val="0"/>
              <w:spacing w:before="0" w:line="240" w:lineRule="auto"/>
              <w:jc w:val="right"/>
              <w:rPr>
                <w:szCs w:val="24"/>
                <w:lang w:val="fr-FR"/>
              </w:rPr>
            </w:pPr>
            <w:r w:rsidRPr="00557B91">
              <w:rPr>
                <w:szCs w:val="24"/>
                <w:lang w:val="fr-FR"/>
              </w:rPr>
              <w:t>L</w:t>
            </w:r>
            <w:r w:rsidR="001C4FA2" w:rsidRPr="00557B91">
              <w:rPr>
                <w:szCs w:val="24"/>
                <w:lang w:val="fr-FR"/>
              </w:rPr>
              <w:t>e 20 mai</w:t>
            </w:r>
            <w:r w:rsidR="00C46628" w:rsidRPr="00557B91">
              <w:rPr>
                <w:szCs w:val="24"/>
                <w:lang w:val="fr-FR"/>
              </w:rPr>
              <w:t xml:space="preserve"> 2019</w:t>
            </w:r>
          </w:p>
        </w:tc>
      </w:tr>
      <w:tr w:rsidR="000A77B1" w:rsidRPr="00557B91" w14:paraId="16E68742" w14:textId="77777777" w:rsidTr="00D828E7">
        <w:tc>
          <w:tcPr>
            <w:tcW w:w="9889" w:type="dxa"/>
            <w:gridSpan w:val="3"/>
            <w:shd w:val="clear" w:color="auto" w:fill="auto"/>
          </w:tcPr>
          <w:p w14:paraId="019A48C6" w14:textId="77777777" w:rsidR="000A77B1" w:rsidRPr="00557B91" w:rsidRDefault="000A77B1" w:rsidP="00D00269">
            <w:pPr>
              <w:widowControl w:val="0"/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0A77B1" w:rsidRPr="00266AAC" w14:paraId="34D7DD40" w14:textId="77777777" w:rsidTr="00D828E7">
        <w:tc>
          <w:tcPr>
            <w:tcW w:w="9889" w:type="dxa"/>
            <w:gridSpan w:val="3"/>
            <w:shd w:val="clear" w:color="auto" w:fill="auto"/>
          </w:tcPr>
          <w:p w14:paraId="24DFB2B7" w14:textId="77777777" w:rsidR="000A77B1" w:rsidRPr="00557B91" w:rsidRDefault="001C4FA2" w:rsidP="00D00269">
            <w:pPr>
              <w:widowControl w:val="0"/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557B91">
              <w:rPr>
                <w:rFonts w:asciiTheme="minorHAnsi" w:hAnsiTheme="minorHAnsi"/>
                <w:b/>
                <w:bCs/>
                <w:szCs w:val="24"/>
                <w:lang w:val="fr-FR"/>
              </w:rPr>
              <w:t>Aux Administrations des États Membres de l'UIT et aux observateurs à l'AR-19/la CMR</w:t>
            </w:r>
            <w:r w:rsidRPr="00557B91">
              <w:rPr>
                <w:rFonts w:asciiTheme="minorHAnsi" w:hAnsiTheme="minorHAnsi"/>
                <w:b/>
                <w:bCs/>
                <w:szCs w:val="24"/>
                <w:lang w:val="fr-FR"/>
              </w:rPr>
              <w:noBreakHyphen/>
              <w:t>19</w:t>
            </w:r>
          </w:p>
        </w:tc>
      </w:tr>
      <w:tr w:rsidR="000A77B1" w:rsidRPr="00266AAC" w14:paraId="05FA8216" w14:textId="77777777" w:rsidTr="00D828E7">
        <w:tc>
          <w:tcPr>
            <w:tcW w:w="9889" w:type="dxa"/>
            <w:gridSpan w:val="3"/>
            <w:shd w:val="clear" w:color="auto" w:fill="auto"/>
          </w:tcPr>
          <w:p w14:paraId="584FBC60" w14:textId="77777777" w:rsidR="000A77B1" w:rsidRPr="00557B91" w:rsidRDefault="000A77B1" w:rsidP="00D00269">
            <w:pPr>
              <w:widowControl w:val="0"/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0A77B1" w:rsidRPr="00266AAC" w14:paraId="44F75A40" w14:textId="77777777" w:rsidTr="00D828E7">
        <w:tc>
          <w:tcPr>
            <w:tcW w:w="1526" w:type="dxa"/>
            <w:shd w:val="clear" w:color="auto" w:fill="auto"/>
          </w:tcPr>
          <w:p w14:paraId="765D41A2" w14:textId="77777777" w:rsidR="000A77B1" w:rsidRPr="00557B91" w:rsidRDefault="001C4FA2" w:rsidP="00D00269">
            <w:pPr>
              <w:widowControl w:val="0"/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557B91">
              <w:rPr>
                <w:szCs w:val="24"/>
                <w:lang w:val="fr-FR"/>
              </w:rPr>
              <w:t>Objet</w:t>
            </w:r>
            <w:r w:rsidR="000A77B1" w:rsidRPr="00557B91">
              <w:rPr>
                <w:b/>
                <w:bCs/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2ABD42B" w14:textId="040AD1A6" w:rsidR="001C4FA2" w:rsidRPr="00557B91" w:rsidRDefault="001C4FA2" w:rsidP="00D00269">
            <w:pPr>
              <w:widowControl w:val="0"/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557B91">
              <w:rPr>
                <w:b/>
                <w:bCs/>
                <w:lang w:val="fr-FR"/>
              </w:rPr>
              <w:t>Assemblée des ra</w:t>
            </w:r>
            <w:r w:rsidR="00D00269" w:rsidRPr="00557B91">
              <w:rPr>
                <w:b/>
                <w:bCs/>
                <w:lang w:val="fr-FR"/>
              </w:rPr>
              <w:t>diocommunications de 2019 (AR-</w:t>
            </w:r>
            <w:r w:rsidRPr="00557B91">
              <w:rPr>
                <w:b/>
                <w:bCs/>
                <w:lang w:val="fr-FR"/>
              </w:rPr>
              <w:t xml:space="preserve">19) et </w:t>
            </w:r>
            <w:r w:rsidR="004B4EC5" w:rsidRPr="00557B91">
              <w:rPr>
                <w:b/>
                <w:bCs/>
                <w:lang w:val="fr-FR"/>
              </w:rPr>
              <w:t>Conférence mondiale des radiocommunications de 2019 (CMR-19)</w:t>
            </w:r>
            <w:r w:rsidR="00750DD5" w:rsidRPr="00557B91">
              <w:rPr>
                <w:b/>
                <w:bCs/>
                <w:lang w:val="fr-FR"/>
              </w:rPr>
              <w:t xml:space="preserve"> </w:t>
            </w:r>
            <w:r w:rsidR="00ED2070" w:rsidRPr="00557B91">
              <w:rPr>
                <w:b/>
                <w:bCs/>
                <w:lang w:val="fr-FR"/>
              </w:rPr>
              <w:t>–</w:t>
            </w:r>
            <w:r w:rsidR="00750DD5" w:rsidRPr="00557B91">
              <w:rPr>
                <w:b/>
                <w:bCs/>
                <w:lang w:val="fr-FR"/>
              </w:rPr>
              <w:t xml:space="preserve"> Inscription</w:t>
            </w:r>
            <w:r w:rsidR="004B4EC5" w:rsidRPr="00557B91">
              <w:rPr>
                <w:b/>
                <w:bCs/>
                <w:lang w:val="fr-FR"/>
              </w:rPr>
              <w:t xml:space="preserve"> et visa</w:t>
            </w:r>
          </w:p>
        </w:tc>
      </w:tr>
      <w:tr w:rsidR="000A77B1" w:rsidRPr="00266AAC" w14:paraId="348B7FFF" w14:textId="77777777" w:rsidTr="00D828E7">
        <w:tc>
          <w:tcPr>
            <w:tcW w:w="1526" w:type="dxa"/>
            <w:shd w:val="clear" w:color="auto" w:fill="auto"/>
          </w:tcPr>
          <w:p w14:paraId="604E20FD" w14:textId="77777777" w:rsidR="000A77B1" w:rsidRPr="00557B91" w:rsidRDefault="000A77B1" w:rsidP="00D00269">
            <w:pPr>
              <w:widowControl w:val="0"/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0547EA6" w14:textId="77777777" w:rsidR="000A77B1" w:rsidRPr="00557B91" w:rsidRDefault="000A77B1" w:rsidP="00D00269">
            <w:pPr>
              <w:widowControl w:val="0"/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66BA1D5F" w14:textId="77777777" w:rsidR="000A77B1" w:rsidRPr="00557B91" w:rsidRDefault="002D4469" w:rsidP="00C7026D">
      <w:pPr>
        <w:pStyle w:val="Headingb"/>
        <w:rPr>
          <w:lang w:val="fr-FR"/>
        </w:rPr>
      </w:pPr>
      <w:r w:rsidRPr="00557B91">
        <w:rPr>
          <w:lang w:val="fr-FR"/>
        </w:rPr>
        <w:t xml:space="preserve">Invitation, date </w:t>
      </w:r>
      <w:r w:rsidR="004B4EC5" w:rsidRPr="00557B91">
        <w:rPr>
          <w:lang w:val="fr-FR"/>
        </w:rPr>
        <w:t>et lieu</w:t>
      </w:r>
    </w:p>
    <w:p w14:paraId="0D05A726" w14:textId="125F25E2" w:rsidR="004B4EC5" w:rsidRPr="00557B91" w:rsidRDefault="004B4EC5" w:rsidP="00D00269">
      <w:pPr>
        <w:widowControl w:val="0"/>
        <w:spacing w:line="240" w:lineRule="auto"/>
        <w:jc w:val="left"/>
        <w:rPr>
          <w:szCs w:val="24"/>
          <w:lang w:val="fr-FR"/>
        </w:rPr>
      </w:pPr>
      <w:r w:rsidRPr="00557B91">
        <w:rPr>
          <w:szCs w:val="24"/>
          <w:lang w:val="fr-FR"/>
        </w:rPr>
        <w:t xml:space="preserve">Comme le Secrétaire général l'a annoncé dans les Lettres circulaires </w:t>
      </w:r>
      <w:hyperlink r:id="rId8" w:history="1">
        <w:r w:rsidRPr="00557B91">
          <w:rPr>
            <w:rStyle w:val="Hyperlink"/>
            <w:szCs w:val="24"/>
            <w:lang w:val="fr-FR"/>
          </w:rPr>
          <w:t>CL-18/49</w:t>
        </w:r>
      </w:hyperlink>
      <w:r w:rsidRPr="00557B91">
        <w:rPr>
          <w:szCs w:val="24"/>
          <w:lang w:val="fr-FR"/>
        </w:rPr>
        <w:t xml:space="preserve">, </w:t>
      </w:r>
      <w:hyperlink r:id="rId9" w:history="1">
        <w:r w:rsidRPr="00557B91">
          <w:rPr>
            <w:rStyle w:val="Hyperlink"/>
            <w:szCs w:val="24"/>
            <w:lang w:val="fr-FR"/>
          </w:rPr>
          <w:t>DM-18/1005</w:t>
        </w:r>
      </w:hyperlink>
      <w:r w:rsidRPr="00557B91">
        <w:rPr>
          <w:szCs w:val="24"/>
          <w:lang w:val="fr-FR"/>
        </w:rPr>
        <w:t xml:space="preserve"> et </w:t>
      </w:r>
      <w:hyperlink r:id="rId10" w:history="1">
        <w:r w:rsidR="00D00269" w:rsidRPr="00557B91">
          <w:rPr>
            <w:rStyle w:val="Hyperlink"/>
            <w:szCs w:val="24"/>
            <w:lang w:val="fr-FR"/>
          </w:rPr>
          <w:t>DM</w:t>
        </w:r>
        <w:r w:rsidR="00D00269" w:rsidRPr="00557B91">
          <w:rPr>
            <w:rStyle w:val="Hyperlink"/>
            <w:szCs w:val="24"/>
            <w:lang w:val="fr-FR"/>
          </w:rPr>
          <w:noBreakHyphen/>
        </w:r>
        <w:r w:rsidRPr="00557B91">
          <w:rPr>
            <w:rStyle w:val="Hyperlink"/>
            <w:szCs w:val="24"/>
            <w:lang w:val="fr-FR"/>
          </w:rPr>
          <w:t>18/1006</w:t>
        </w:r>
      </w:hyperlink>
      <w:r w:rsidRPr="00557B91">
        <w:rPr>
          <w:szCs w:val="24"/>
          <w:lang w:val="fr-FR"/>
        </w:rPr>
        <w:t xml:space="preserve"> en date du 11 novembre 2018,</w:t>
      </w:r>
      <w:r w:rsidR="00750DD5" w:rsidRPr="00557B91">
        <w:rPr>
          <w:szCs w:val="24"/>
          <w:lang w:val="fr-FR"/>
        </w:rPr>
        <w:t xml:space="preserve"> </w:t>
      </w:r>
      <w:r w:rsidR="00750DD5" w:rsidRPr="00557B91">
        <w:rPr>
          <w:lang w:val="fr-FR"/>
        </w:rPr>
        <w:t xml:space="preserve">la </w:t>
      </w:r>
      <w:hyperlink r:id="rId11" w:history="1">
        <w:r w:rsidR="00750DD5" w:rsidRPr="00557B91">
          <w:rPr>
            <w:rStyle w:val="Hyperlink"/>
            <w:szCs w:val="24"/>
            <w:lang w:val="fr-FR"/>
          </w:rPr>
          <w:t>Conférence mondi</w:t>
        </w:r>
        <w:r w:rsidR="00D00269" w:rsidRPr="00557B91">
          <w:rPr>
            <w:rStyle w:val="Hyperlink"/>
            <w:szCs w:val="24"/>
            <w:lang w:val="fr-FR"/>
          </w:rPr>
          <w:t>ale des radiocommunications de </w:t>
        </w:r>
        <w:r w:rsidR="00750DD5" w:rsidRPr="00557B91">
          <w:rPr>
            <w:rStyle w:val="Hyperlink"/>
            <w:szCs w:val="24"/>
            <w:lang w:val="fr-FR"/>
          </w:rPr>
          <w:t>2019 (CMR-19)</w:t>
        </w:r>
      </w:hyperlink>
      <w:r w:rsidR="00750DD5" w:rsidRPr="00557B91">
        <w:rPr>
          <w:lang w:val="fr-FR"/>
        </w:rPr>
        <w:t xml:space="preserve"> aura lieu du 28 octobre au 22 novembre 2019, au </w:t>
      </w:r>
      <w:r w:rsidR="00750DD5" w:rsidRPr="00557B91">
        <w:rPr>
          <w:color w:val="000000"/>
          <w:lang w:val="fr-FR"/>
        </w:rPr>
        <w:t xml:space="preserve">Centre international de congrès de </w:t>
      </w:r>
      <w:proofErr w:type="spellStart"/>
      <w:r w:rsidR="00750DD5" w:rsidRPr="00557B91">
        <w:rPr>
          <w:color w:val="000000"/>
          <w:lang w:val="fr-FR"/>
        </w:rPr>
        <w:t>Charm</w:t>
      </w:r>
      <w:proofErr w:type="spellEnd"/>
      <w:r w:rsidR="00750DD5" w:rsidRPr="00557B91">
        <w:rPr>
          <w:color w:val="000000"/>
          <w:lang w:val="fr-FR"/>
        </w:rPr>
        <w:t xml:space="preserve"> el-Cheikh (SHICC)</w:t>
      </w:r>
      <w:r w:rsidR="00750DD5" w:rsidRPr="00557B91">
        <w:rPr>
          <w:lang w:val="fr-FR"/>
        </w:rPr>
        <w:t>, immédiatement après l'</w:t>
      </w:r>
      <w:hyperlink r:id="rId12" w:history="1">
        <w:r w:rsidR="00750DD5" w:rsidRPr="00557B91">
          <w:rPr>
            <w:rStyle w:val="Hyperlink"/>
            <w:lang w:val="fr-FR"/>
          </w:rPr>
          <w:t>Assemblée des radiocommunications de 2019 (AR</w:t>
        </w:r>
        <w:r w:rsidR="00750DD5" w:rsidRPr="00557B91">
          <w:rPr>
            <w:rStyle w:val="Hyperlink"/>
            <w:lang w:val="fr-FR"/>
          </w:rPr>
          <w:noBreakHyphen/>
          <w:t>19)</w:t>
        </w:r>
      </w:hyperlink>
      <w:r w:rsidR="00750DD5" w:rsidRPr="00557B91">
        <w:rPr>
          <w:lang w:val="fr-FR"/>
        </w:rPr>
        <w:t>.</w:t>
      </w:r>
    </w:p>
    <w:p w14:paraId="28A5212B" w14:textId="0D971BE4" w:rsidR="00750DD5" w:rsidRPr="00557B91" w:rsidRDefault="00750DD5" w:rsidP="00D00269">
      <w:pPr>
        <w:spacing w:line="240" w:lineRule="auto"/>
        <w:jc w:val="left"/>
        <w:rPr>
          <w:lang w:val="fr-FR" w:eastAsia="zh-CN"/>
        </w:rPr>
      </w:pPr>
      <w:r w:rsidRPr="00557B91">
        <w:rPr>
          <w:lang w:val="fr-FR" w:eastAsia="zh-CN"/>
        </w:rPr>
        <w:t xml:space="preserve">La Circulaire administrative </w:t>
      </w:r>
      <w:hyperlink r:id="rId13" w:history="1">
        <w:r w:rsidRPr="00557B91">
          <w:rPr>
            <w:rStyle w:val="Hyperlink"/>
            <w:szCs w:val="24"/>
            <w:lang w:val="fr-FR" w:eastAsia="zh-CN"/>
          </w:rPr>
          <w:t>CA/245</w:t>
        </w:r>
      </w:hyperlink>
      <w:r w:rsidRPr="00557B91">
        <w:rPr>
          <w:szCs w:val="24"/>
          <w:lang w:val="fr-FR" w:eastAsia="zh-CN"/>
        </w:rPr>
        <w:t>, datée du 13 février 2019, a fourni aux participants des précisions sur la CMR</w:t>
      </w:r>
      <w:r w:rsidRPr="00557B91">
        <w:rPr>
          <w:szCs w:val="24"/>
          <w:lang w:val="fr-FR" w:eastAsia="zh-CN"/>
        </w:rPr>
        <w:noBreakHyphen/>
        <w:t xml:space="preserve">19 afin de les aider dans leur travail de préparation. L'objet du présent Addendum à la Circulaire administrative </w:t>
      </w:r>
      <w:hyperlink r:id="rId14" w:history="1">
        <w:r w:rsidRPr="00557B91">
          <w:rPr>
            <w:rStyle w:val="Hyperlink"/>
            <w:szCs w:val="24"/>
            <w:lang w:val="fr-FR" w:eastAsia="zh-CN"/>
          </w:rPr>
          <w:t>CA/245</w:t>
        </w:r>
      </w:hyperlink>
      <w:r w:rsidRPr="00557B91">
        <w:rPr>
          <w:szCs w:val="24"/>
          <w:lang w:val="fr-FR" w:eastAsia="zh-CN"/>
        </w:rPr>
        <w:t xml:space="preserve"> est d'apporter des précisions supplémentaires sur l'inscription à l'AR-19/la CMR-19 et sur les demandes de visa </w:t>
      </w:r>
      <w:r w:rsidR="00024A64" w:rsidRPr="00557B91">
        <w:rPr>
          <w:szCs w:val="24"/>
          <w:lang w:val="fr-FR" w:eastAsia="zh-CN"/>
        </w:rPr>
        <w:t xml:space="preserve">pour que les participants puissent se rendre en Égypte. </w:t>
      </w:r>
    </w:p>
    <w:p w14:paraId="61F63D72" w14:textId="3D2DCBD5" w:rsidR="000A77B1" w:rsidRPr="00557B91" w:rsidRDefault="00024A64" w:rsidP="00D00269">
      <w:pPr>
        <w:pStyle w:val="Headingb"/>
        <w:rPr>
          <w:lang w:val="fr-FR"/>
        </w:rPr>
      </w:pPr>
      <w:r w:rsidRPr="00557B91">
        <w:rPr>
          <w:lang w:val="fr-FR"/>
        </w:rPr>
        <w:t>Inscription</w:t>
      </w:r>
    </w:p>
    <w:p w14:paraId="2E5F58F3" w14:textId="07A36B02" w:rsidR="00024A64" w:rsidRPr="00557B91" w:rsidRDefault="00024A64" w:rsidP="00D00269">
      <w:pPr>
        <w:widowControl w:val="0"/>
        <w:spacing w:line="240" w:lineRule="auto"/>
        <w:jc w:val="left"/>
        <w:rPr>
          <w:lang w:val="fr-FR"/>
        </w:rPr>
      </w:pPr>
      <w:r w:rsidRPr="00557B91">
        <w:rPr>
          <w:b/>
          <w:bCs/>
          <w:lang w:val="fr-FR"/>
        </w:rPr>
        <w:t>Le Bureau des radiocommunications mettra en place une nouvelle plate-forme en ligne po</w:t>
      </w:r>
      <w:r w:rsidR="008C583D" w:rsidRPr="00557B91">
        <w:rPr>
          <w:b/>
          <w:bCs/>
          <w:lang w:val="fr-FR"/>
        </w:rPr>
        <w:t>ur les inscriptions à l'AR-19/</w:t>
      </w:r>
      <w:r w:rsidRPr="00557B91">
        <w:rPr>
          <w:b/>
          <w:bCs/>
          <w:lang w:val="fr-FR"/>
        </w:rPr>
        <w:t>la CMR-19</w:t>
      </w:r>
      <w:r w:rsidRPr="00557B91">
        <w:rPr>
          <w:lang w:val="fr-FR"/>
        </w:rPr>
        <w:t xml:space="preserve">. </w:t>
      </w:r>
      <w:r w:rsidR="00357AFD" w:rsidRPr="00557B91">
        <w:rPr>
          <w:lang w:val="fr-FR"/>
        </w:rPr>
        <w:t xml:space="preserve">Il s'agit de la même plate-forme en ligne </w:t>
      </w:r>
      <w:r w:rsidR="008748EA" w:rsidRPr="00557B91">
        <w:rPr>
          <w:lang w:val="fr-FR"/>
        </w:rPr>
        <w:t>que pour la PP-18, les sessions du Conseil</w:t>
      </w:r>
      <w:r w:rsidR="000A4FA4" w:rsidRPr="00557B91">
        <w:rPr>
          <w:lang w:val="fr-FR"/>
        </w:rPr>
        <w:t xml:space="preserve"> de l'UIT, les réunions du GCDT, etc. </w:t>
      </w:r>
      <w:r w:rsidR="00434250" w:rsidRPr="00557B91">
        <w:rPr>
          <w:lang w:val="fr-FR"/>
        </w:rPr>
        <w:t>Dorénavant, c</w:t>
      </w:r>
      <w:r w:rsidR="000A4FA4" w:rsidRPr="00557B91">
        <w:rPr>
          <w:lang w:val="fr-FR"/>
        </w:rPr>
        <w:t xml:space="preserve">ette nouvelle plate-forme </w:t>
      </w:r>
      <w:r w:rsidR="00434250" w:rsidRPr="00557B91">
        <w:rPr>
          <w:lang w:val="fr-FR"/>
        </w:rPr>
        <w:t xml:space="preserve">sera utilisée pour gérer toutes les inscriptions des délégués aux manifestations de l'UIT-R organisées à compter de septembre 2019. </w:t>
      </w:r>
      <w:r w:rsidR="000A359B" w:rsidRPr="00557B91">
        <w:rPr>
          <w:b/>
          <w:bCs/>
          <w:lang w:val="fr-FR"/>
        </w:rPr>
        <w:t>Sur cette nouvelle plate-forme d'inscription, les participants devront dans un premier temps remplir un formulaire d'inscription en ligne puis le soumettre pour validation/approbation à leurs coordonnateurs désignés pour les manifestations de l'UIT-R</w:t>
      </w:r>
      <w:r w:rsidR="000A359B" w:rsidRPr="00557B91">
        <w:rPr>
          <w:lang w:val="fr-FR"/>
        </w:rPr>
        <w:t>.</w:t>
      </w:r>
      <w:r w:rsidR="00D63274" w:rsidRPr="00557B91">
        <w:rPr>
          <w:lang w:val="fr-FR"/>
        </w:rPr>
        <w:t xml:space="preserve"> L'inscription préalable est obligatoire et s'effectue exclusivement en ligne.</w:t>
      </w:r>
    </w:p>
    <w:p w14:paraId="59EC9CCA" w14:textId="594B8640" w:rsidR="00235634" w:rsidRPr="00557B91" w:rsidRDefault="008C583D" w:rsidP="00266AAC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t xml:space="preserve">Les inscriptions à l'AR-19 et à la CMR-19 seront ouvertes à partir du 22 mai 2019. </w:t>
      </w:r>
      <w:r w:rsidR="008A4135" w:rsidRPr="00557B91">
        <w:rPr>
          <w:lang w:val="fr-FR"/>
        </w:rPr>
        <w:t xml:space="preserve">Veuillez noter qu'il sera possible de s'inscrire aux deux manifestations en remplissant un seul formulaire d'inscription en ligne. </w:t>
      </w:r>
      <w:r w:rsidR="00ED3A75" w:rsidRPr="00266AAC">
        <w:rPr>
          <w:lang w:val="fr-FR"/>
        </w:rPr>
        <w:t xml:space="preserve">Les participants qui rencontrent des difficultés sont priés de consulter le lien suivant: </w:t>
      </w:r>
      <w:hyperlink r:id="rId15" w:history="1">
        <w:r w:rsidR="00266AAC" w:rsidRPr="00266AAC">
          <w:rPr>
            <w:rStyle w:val="Hyperlink"/>
            <w:lang w:val="fr-FR"/>
          </w:rPr>
          <w:t>www.itu.int/en/ITU-R/conferences/Pages/RA-WRC-19-Registration.aspx</w:t>
        </w:r>
      </w:hyperlink>
      <w:r w:rsidR="00ED3A75" w:rsidRPr="00557B91">
        <w:rPr>
          <w:lang w:val="fr-FR"/>
        </w:rPr>
        <w:t>.</w:t>
      </w:r>
    </w:p>
    <w:p w14:paraId="457F5109" w14:textId="77777777" w:rsidR="00557B91" w:rsidRPr="00557B91" w:rsidRDefault="00557B91" w:rsidP="00D00269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br w:type="page"/>
      </w:r>
    </w:p>
    <w:p w14:paraId="032D5EC6" w14:textId="4D475B1D" w:rsidR="000D0473" w:rsidRPr="00557B91" w:rsidRDefault="000D0473" w:rsidP="00D00269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lastRenderedPageBreak/>
        <w:t xml:space="preserve">On trouvera des renseignements complémentaires sur l'admission et l'inscription à la CMR-19 sur le </w:t>
      </w:r>
      <w:r w:rsidRPr="00A31ACE">
        <w:rPr>
          <w:b/>
          <w:bCs/>
          <w:lang w:val="fr-FR"/>
        </w:rPr>
        <w:t>site web de la CMR-19</w:t>
      </w:r>
      <w:r w:rsidRPr="00557B91">
        <w:rPr>
          <w:lang w:val="fr-FR"/>
        </w:rPr>
        <w:t xml:space="preserve"> à l'adresse: </w:t>
      </w:r>
      <w:hyperlink r:id="rId16" w:history="1">
        <w:r w:rsidRPr="00557B91">
          <w:rPr>
            <w:rStyle w:val="Hyperlink"/>
            <w:b/>
            <w:bCs/>
            <w:lang w:val="fr-FR"/>
          </w:rPr>
          <w:t>www.itu.int/go/WRC-19</w:t>
        </w:r>
      </w:hyperlink>
      <w:r w:rsidRPr="00557B91">
        <w:rPr>
          <w:lang w:val="fr-FR"/>
        </w:rPr>
        <w:t>.</w:t>
      </w:r>
    </w:p>
    <w:p w14:paraId="681EF338" w14:textId="48076294" w:rsidR="000D0473" w:rsidRPr="00557B91" w:rsidRDefault="007941A7" w:rsidP="00D00269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t xml:space="preserve">Conformément </w:t>
      </w:r>
      <w:r w:rsidR="00B03FE0" w:rsidRPr="00557B91">
        <w:rPr>
          <w:lang w:val="fr-FR"/>
        </w:rPr>
        <w:t xml:space="preserve">à la politique de l'UIT relative </w:t>
      </w:r>
      <w:r w:rsidR="00C7299F" w:rsidRPr="00557B91">
        <w:rPr>
          <w:lang w:val="fr-FR"/>
        </w:rPr>
        <w:t>à l'égalité hommes-femmes</w:t>
      </w:r>
      <w:r w:rsidR="00ED2070" w:rsidRPr="00557B91">
        <w:rPr>
          <w:lang w:val="fr-FR"/>
        </w:rPr>
        <w:t xml:space="preserve"> et</w:t>
      </w:r>
      <w:r w:rsidR="00C7299F" w:rsidRPr="00557B91">
        <w:rPr>
          <w:lang w:val="fr-FR"/>
        </w:rPr>
        <w:t xml:space="preserve"> </w:t>
      </w:r>
      <w:r w:rsidR="00161307" w:rsidRPr="00557B91">
        <w:rPr>
          <w:lang w:val="fr-FR"/>
        </w:rPr>
        <w:t>à l'intégration du prin</w:t>
      </w:r>
      <w:r w:rsidR="00C7299F" w:rsidRPr="00557B91">
        <w:rPr>
          <w:lang w:val="fr-FR"/>
        </w:rPr>
        <w:t>cipe de l'égalité hommes-femmes et à la Résol</w:t>
      </w:r>
      <w:r w:rsidR="008C3B47" w:rsidRPr="00557B91">
        <w:rPr>
          <w:lang w:val="fr-FR"/>
        </w:rPr>
        <w:t>ution 198 (</w:t>
      </w:r>
      <w:proofErr w:type="spellStart"/>
      <w:r w:rsidR="00ED2070" w:rsidRPr="00557B91">
        <w:rPr>
          <w:lang w:val="fr-FR"/>
        </w:rPr>
        <w:t>Rév</w:t>
      </w:r>
      <w:proofErr w:type="spellEnd"/>
      <w:r w:rsidR="00ED2070" w:rsidRPr="00557B91">
        <w:rPr>
          <w:lang w:val="fr-FR"/>
        </w:rPr>
        <w:t xml:space="preserve">. </w:t>
      </w:r>
      <w:r w:rsidR="008C3B47" w:rsidRPr="00557B91">
        <w:rPr>
          <w:lang w:val="fr-FR"/>
        </w:rPr>
        <w:t>Dubaï, 2018) de la Conférence de plénipotentiaires</w:t>
      </w:r>
      <w:r w:rsidR="00C7299F" w:rsidRPr="00557B91">
        <w:rPr>
          <w:lang w:val="fr-FR"/>
        </w:rPr>
        <w:t xml:space="preserve"> relative </w:t>
      </w:r>
      <w:r w:rsidR="00755A93" w:rsidRPr="00557B91">
        <w:rPr>
          <w:lang w:val="fr-FR"/>
        </w:rPr>
        <w:t>à l'autonomisation des jeunes au moyen des télécommunications/TIC</w:t>
      </w:r>
      <w:r w:rsidR="00375841" w:rsidRPr="00557B91">
        <w:rPr>
          <w:lang w:val="fr-FR"/>
        </w:rPr>
        <w:t xml:space="preserve">, je </w:t>
      </w:r>
      <w:r w:rsidR="00E40772" w:rsidRPr="00557B91">
        <w:rPr>
          <w:lang w:val="fr-FR"/>
        </w:rPr>
        <w:t>tiens</w:t>
      </w:r>
      <w:r w:rsidR="00375841" w:rsidRPr="00557B91">
        <w:rPr>
          <w:lang w:val="fr-FR"/>
        </w:rPr>
        <w:t xml:space="preserve"> également </w:t>
      </w:r>
      <w:r w:rsidR="00E40772" w:rsidRPr="00557B91">
        <w:rPr>
          <w:lang w:val="fr-FR"/>
        </w:rPr>
        <w:t xml:space="preserve">à </w:t>
      </w:r>
      <w:r w:rsidR="0055657B" w:rsidRPr="00557B91">
        <w:rPr>
          <w:lang w:val="fr-FR"/>
        </w:rPr>
        <w:t xml:space="preserve">saisir cette occasion pour vous encourager </w:t>
      </w:r>
      <w:r w:rsidR="00E40772" w:rsidRPr="00557B91">
        <w:rPr>
          <w:lang w:val="fr-FR"/>
        </w:rPr>
        <w:t xml:space="preserve">à inclure des femmes et des jeunes dans </w:t>
      </w:r>
      <w:r w:rsidR="006867AB" w:rsidRPr="00557B91">
        <w:rPr>
          <w:lang w:val="fr-FR"/>
        </w:rPr>
        <w:t>votre délégation</w:t>
      </w:r>
      <w:r w:rsidR="00E40772" w:rsidRPr="00557B91">
        <w:rPr>
          <w:lang w:val="fr-FR"/>
        </w:rPr>
        <w:t xml:space="preserve">. </w:t>
      </w:r>
      <w:r w:rsidR="00C852D1" w:rsidRPr="00557B91">
        <w:rPr>
          <w:lang w:val="fr-FR"/>
        </w:rPr>
        <w:t xml:space="preserve">Compte tenu des engagements du Secrétaire général en tant qu'Ambassadeur international de l'égalité hommes-femmes, l'UIT </w:t>
      </w:r>
      <w:r w:rsidR="00DC5599" w:rsidRPr="00557B91">
        <w:rPr>
          <w:lang w:val="fr-FR"/>
        </w:rPr>
        <w:t>fait rapport sur la représentation des femmes dans toutes les réunions de l'Union.</w:t>
      </w:r>
    </w:p>
    <w:p w14:paraId="0F0F4701" w14:textId="25FD804B" w:rsidR="00FC6B16" w:rsidRPr="00557B91" w:rsidRDefault="00DC5599" w:rsidP="00D00269">
      <w:pPr>
        <w:pStyle w:val="Headingb"/>
        <w:rPr>
          <w:lang w:val="fr-FR"/>
        </w:rPr>
      </w:pPr>
      <w:r w:rsidRPr="00557B91">
        <w:rPr>
          <w:lang w:val="fr-FR"/>
        </w:rPr>
        <w:t>Assistance pour l'obtention d'un visa</w:t>
      </w:r>
    </w:p>
    <w:p w14:paraId="24F6E6EE" w14:textId="1253D155" w:rsidR="0082364B" w:rsidRPr="00557B91" w:rsidRDefault="00E1721A" w:rsidP="00D00269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t xml:space="preserve">Veuillez noter qu'il n'est pas possible d'obtenir un visa par l'intermédiaire du </w:t>
      </w:r>
      <w:r w:rsidR="00A31ACE" w:rsidRPr="00557B91">
        <w:rPr>
          <w:lang w:val="fr-FR"/>
        </w:rPr>
        <w:t>S</w:t>
      </w:r>
      <w:r w:rsidRPr="00557B91">
        <w:rPr>
          <w:lang w:val="fr-FR"/>
        </w:rPr>
        <w:t xml:space="preserve">ecrétariat de l'UIT. Toutes les demandes de visa doivent être adressées par courriel à l'adresse: </w:t>
      </w:r>
      <w:hyperlink r:id="rId17" w:tgtFrame="_blank" w:history="1">
        <w:r w:rsidRPr="00557B91">
          <w:rPr>
            <w:rStyle w:val="Hyperlink"/>
            <w:lang w:val="fr-FR"/>
          </w:rPr>
          <w:t>wrcvisa@tra.gov.eg</w:t>
        </w:r>
      </w:hyperlink>
      <w:r w:rsidRPr="00557B91">
        <w:rPr>
          <w:lang w:val="fr-FR"/>
        </w:rPr>
        <w:t>.</w:t>
      </w:r>
    </w:p>
    <w:p w14:paraId="592E29F8" w14:textId="3F89FFCA" w:rsidR="00E1721A" w:rsidRPr="00557B91" w:rsidRDefault="0042702B" w:rsidP="00D00269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t>On trouvera sur le</w:t>
      </w:r>
      <w:r w:rsidR="00BB0DD9" w:rsidRPr="00557B91">
        <w:rPr>
          <w:lang w:val="fr-FR"/>
        </w:rPr>
        <w:t xml:space="preserve"> site web du pays hôte, </w:t>
      </w:r>
      <w:r w:rsidR="00F31309" w:rsidRPr="00557B91">
        <w:rPr>
          <w:lang w:val="fr-FR"/>
        </w:rPr>
        <w:t xml:space="preserve">qui est </w:t>
      </w:r>
      <w:r w:rsidR="00BB0DD9" w:rsidRPr="00557B91">
        <w:rPr>
          <w:lang w:val="fr-FR"/>
        </w:rPr>
        <w:t xml:space="preserve">consultable à l'adresse </w:t>
      </w:r>
      <w:hyperlink r:id="rId18" w:history="1">
        <w:r w:rsidR="00BB0DD9" w:rsidRPr="00557B91">
          <w:rPr>
            <w:rStyle w:val="Hyperlink"/>
            <w:lang w:val="fr-FR"/>
          </w:rPr>
          <w:t>https://wrc19egypt.eg/</w:t>
        </w:r>
      </w:hyperlink>
      <w:r w:rsidR="00F31309" w:rsidRPr="00557B91">
        <w:rPr>
          <w:lang w:val="fr-FR"/>
        </w:rPr>
        <w:t xml:space="preserve"> et</w:t>
      </w:r>
      <w:r w:rsidR="00BB0DD9" w:rsidRPr="00557B91">
        <w:rPr>
          <w:lang w:val="fr-FR"/>
        </w:rPr>
        <w:t xml:space="preserve"> auquel il est également possible d'accéder via les sites</w:t>
      </w:r>
      <w:r w:rsidR="00F31309" w:rsidRPr="00557B91">
        <w:rPr>
          <w:lang w:val="fr-FR"/>
        </w:rPr>
        <w:t xml:space="preserve"> web de l'AR-19 et de la CMR-19, </w:t>
      </w:r>
      <w:r w:rsidR="006A0D84" w:rsidRPr="00557B91">
        <w:rPr>
          <w:lang w:val="fr-FR"/>
        </w:rPr>
        <w:t xml:space="preserve">des renseignements sur les </w:t>
      </w:r>
      <w:r w:rsidR="00A849FD" w:rsidRPr="00557B91">
        <w:rPr>
          <w:lang w:val="fr-FR"/>
        </w:rPr>
        <w:t>formalités de visa</w:t>
      </w:r>
      <w:r w:rsidR="002E0FF0" w:rsidRPr="00557B91">
        <w:rPr>
          <w:lang w:val="fr-FR"/>
        </w:rPr>
        <w:t xml:space="preserve"> </w:t>
      </w:r>
      <w:r w:rsidR="006A0D84" w:rsidRPr="00557B91">
        <w:rPr>
          <w:lang w:val="fr-FR"/>
        </w:rPr>
        <w:t xml:space="preserve">pour </w:t>
      </w:r>
      <w:r w:rsidR="00992EAA" w:rsidRPr="00557B91">
        <w:rPr>
          <w:lang w:val="fr-FR"/>
        </w:rPr>
        <w:t>se rendre</w:t>
      </w:r>
      <w:r w:rsidR="006A0D84" w:rsidRPr="00557B91">
        <w:rPr>
          <w:lang w:val="fr-FR"/>
        </w:rPr>
        <w:t xml:space="preserve"> en Égypte </w:t>
      </w:r>
      <w:r w:rsidR="00152B84" w:rsidRPr="00557B91">
        <w:rPr>
          <w:lang w:val="fr-FR"/>
        </w:rPr>
        <w:t>et</w:t>
      </w:r>
      <w:r w:rsidR="00992EAA" w:rsidRPr="00557B91">
        <w:rPr>
          <w:lang w:val="fr-FR"/>
        </w:rPr>
        <w:t xml:space="preserve"> sur</w:t>
      </w:r>
      <w:r w:rsidR="00152B84" w:rsidRPr="00557B91">
        <w:rPr>
          <w:lang w:val="fr-FR"/>
        </w:rPr>
        <w:t xml:space="preserve"> </w:t>
      </w:r>
      <w:r w:rsidR="00992EAA" w:rsidRPr="00557B91">
        <w:rPr>
          <w:lang w:val="fr-FR"/>
        </w:rPr>
        <w:t xml:space="preserve">la procédure à suivre pour demander un visa en vue de </w:t>
      </w:r>
      <w:r w:rsidR="00C4435C" w:rsidRPr="00557B91">
        <w:rPr>
          <w:lang w:val="fr-FR"/>
        </w:rPr>
        <w:t xml:space="preserve">participer à la Conférence. </w:t>
      </w:r>
    </w:p>
    <w:p w14:paraId="3D11E854" w14:textId="014CCAFD" w:rsidR="002E0FF0" w:rsidRPr="00557B91" w:rsidRDefault="00552216" w:rsidP="00A31ACE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t xml:space="preserve">Il est fortement conseillé </w:t>
      </w:r>
      <w:r w:rsidR="001A78F1" w:rsidRPr="00557B91">
        <w:rPr>
          <w:lang w:val="fr-FR"/>
        </w:rPr>
        <w:t xml:space="preserve">aux participants </w:t>
      </w:r>
      <w:r w:rsidRPr="00557B91">
        <w:rPr>
          <w:lang w:val="fr-FR"/>
        </w:rPr>
        <w:t xml:space="preserve">de s'inscrire </w:t>
      </w:r>
      <w:r w:rsidR="00710D20" w:rsidRPr="00557B91">
        <w:rPr>
          <w:lang w:val="fr-FR"/>
        </w:rPr>
        <w:t>au plus tôt</w:t>
      </w:r>
      <w:r w:rsidRPr="00557B91">
        <w:rPr>
          <w:lang w:val="fr-FR"/>
        </w:rPr>
        <w:t xml:space="preserve"> à l'AR-19 et/ou à la CMR-19 </w:t>
      </w:r>
      <w:r w:rsidR="000C6583" w:rsidRPr="00557B91">
        <w:rPr>
          <w:lang w:val="fr-FR"/>
        </w:rPr>
        <w:t xml:space="preserve">pour </w:t>
      </w:r>
      <w:r w:rsidR="001A78F1" w:rsidRPr="00557B91">
        <w:rPr>
          <w:lang w:val="fr-FR"/>
        </w:rPr>
        <w:t>pouvoir</w:t>
      </w:r>
      <w:r w:rsidR="000C6583" w:rsidRPr="00557B91">
        <w:rPr>
          <w:lang w:val="fr-FR"/>
        </w:rPr>
        <w:t xml:space="preserve"> demander leur visa d'entrée dans les délais prescrits. </w:t>
      </w:r>
      <w:r w:rsidR="00811D36" w:rsidRPr="00557B91">
        <w:rPr>
          <w:lang w:val="fr-FR"/>
        </w:rPr>
        <w:t xml:space="preserve">La demande de visa doit être accompagnée de la confirmation officielle d'inscription envoyée par l'UIT par courrier électronique. Les participants sont </w:t>
      </w:r>
      <w:r w:rsidR="009B3BD9" w:rsidRPr="00557B91">
        <w:rPr>
          <w:lang w:val="fr-FR"/>
        </w:rPr>
        <w:t>instamment invités à soumettre leur demande de visa, accompagnée des documents officiels requis, aux autorités égyptiennes de préférence 12</w:t>
      </w:r>
      <w:r w:rsidR="00A31ACE">
        <w:rPr>
          <w:lang w:val="fr-FR"/>
        </w:rPr>
        <w:t> </w:t>
      </w:r>
      <w:r w:rsidR="009B3BD9" w:rsidRPr="00557B91">
        <w:rPr>
          <w:lang w:val="fr-FR"/>
        </w:rPr>
        <w:t xml:space="preserve">semaines, mais </w:t>
      </w:r>
      <w:r w:rsidR="00121D60" w:rsidRPr="00557B91">
        <w:rPr>
          <w:lang w:val="fr-FR"/>
        </w:rPr>
        <w:t>au plus tard</w:t>
      </w:r>
      <w:r w:rsidR="009B3BD9" w:rsidRPr="00557B91">
        <w:rPr>
          <w:lang w:val="fr-FR"/>
        </w:rPr>
        <w:t xml:space="preserve"> </w:t>
      </w:r>
      <w:r w:rsidR="00A31ACE">
        <w:rPr>
          <w:lang w:val="fr-FR"/>
        </w:rPr>
        <w:t>6 </w:t>
      </w:r>
      <w:r w:rsidR="009B3BD9" w:rsidRPr="00557B91">
        <w:rPr>
          <w:lang w:val="fr-FR"/>
        </w:rPr>
        <w:t xml:space="preserve">semaines avant leur </w:t>
      </w:r>
      <w:r w:rsidR="00121D60" w:rsidRPr="00557B91">
        <w:rPr>
          <w:lang w:val="fr-FR"/>
        </w:rPr>
        <w:t xml:space="preserve">départ en </w:t>
      </w:r>
      <w:r w:rsidR="009B3BD9" w:rsidRPr="00557B91">
        <w:rPr>
          <w:lang w:val="fr-FR"/>
        </w:rPr>
        <w:t xml:space="preserve">Égypte. </w:t>
      </w:r>
    </w:p>
    <w:p w14:paraId="62C15C68" w14:textId="3B994346" w:rsidR="0028320F" w:rsidRPr="00557B91" w:rsidRDefault="00497236" w:rsidP="00D00269">
      <w:pPr>
        <w:pStyle w:val="Headingb"/>
        <w:rPr>
          <w:lang w:val="fr-FR"/>
        </w:rPr>
      </w:pPr>
      <w:r w:rsidRPr="00557B91">
        <w:rPr>
          <w:lang w:val="fr-FR"/>
        </w:rPr>
        <w:t>Cérémonie d'ouverture de la CMR-19</w:t>
      </w:r>
    </w:p>
    <w:p w14:paraId="01B6A342" w14:textId="4D2F4AE7" w:rsidR="00497236" w:rsidRPr="00557B91" w:rsidRDefault="00F11ECC" w:rsidP="00D00269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t xml:space="preserve">Conformément aux protocoles de sécurité de la République arabe d'Égypte, et </w:t>
      </w:r>
      <w:r w:rsidR="006931C1" w:rsidRPr="00557B91">
        <w:rPr>
          <w:lang w:val="fr-FR"/>
        </w:rPr>
        <w:t xml:space="preserve">afin d'être autorisés à accéder à la cérémonie d'ouverture de la CMR-19, les participants </w:t>
      </w:r>
      <w:r w:rsidR="00C04EEE" w:rsidRPr="00557B91">
        <w:rPr>
          <w:lang w:val="fr-FR"/>
        </w:rPr>
        <w:t xml:space="preserve">doivent communiquer les données qui figurent sur leur passeport lors de leur inscription. </w:t>
      </w:r>
      <w:r w:rsidR="00EB7A54" w:rsidRPr="00557B91">
        <w:rPr>
          <w:lang w:val="fr-FR"/>
        </w:rPr>
        <w:t>Pour des raisons de sécurité, le pays hôte n</w:t>
      </w:r>
      <w:r w:rsidR="00673D67" w:rsidRPr="00557B91">
        <w:rPr>
          <w:lang w:val="fr-FR"/>
        </w:rPr>
        <w:t xml:space="preserve">'autorisera pas l'accès à la cérémonie d'ouverture aux participants n'ayant pas communiqué ces </w:t>
      </w:r>
      <w:r w:rsidR="00AE4E28" w:rsidRPr="00557B91">
        <w:rPr>
          <w:lang w:val="fr-FR"/>
        </w:rPr>
        <w:t>renseignements</w:t>
      </w:r>
      <w:r w:rsidR="00673D67" w:rsidRPr="00557B91">
        <w:rPr>
          <w:lang w:val="fr-FR"/>
        </w:rPr>
        <w:t xml:space="preserve">. Les </w:t>
      </w:r>
      <w:r w:rsidR="00AE4E28" w:rsidRPr="00557B91">
        <w:rPr>
          <w:lang w:val="fr-FR"/>
        </w:rPr>
        <w:t>données</w:t>
      </w:r>
      <w:r w:rsidR="00C458CD" w:rsidRPr="00557B91">
        <w:rPr>
          <w:lang w:val="fr-FR"/>
        </w:rPr>
        <w:t xml:space="preserve"> </w:t>
      </w:r>
      <w:r w:rsidR="00557B91" w:rsidRPr="00557B91">
        <w:rPr>
          <w:lang w:val="fr-FR"/>
        </w:rPr>
        <w:t>recueillies</w:t>
      </w:r>
      <w:r w:rsidR="00AE4E28" w:rsidRPr="00557B91">
        <w:rPr>
          <w:lang w:val="fr-FR"/>
        </w:rPr>
        <w:t xml:space="preserve"> </w:t>
      </w:r>
      <w:r w:rsidR="00AE4E28" w:rsidRPr="00557B91">
        <w:rPr>
          <w:b/>
          <w:bCs/>
          <w:lang w:val="fr-FR"/>
        </w:rPr>
        <w:t>au moment de l'inscription</w:t>
      </w:r>
      <w:r w:rsidR="00AE4E28" w:rsidRPr="00557B91">
        <w:rPr>
          <w:lang w:val="fr-FR"/>
        </w:rPr>
        <w:t xml:space="preserve"> seront transmises au pays hôte </w:t>
      </w:r>
      <w:r w:rsidR="00BB7D2B" w:rsidRPr="00557B91">
        <w:rPr>
          <w:lang w:val="fr-FR"/>
        </w:rPr>
        <w:t>(la NTRA, au nom du Gouvernement</w:t>
      </w:r>
      <w:r w:rsidR="00B53D2E" w:rsidRPr="00557B91">
        <w:rPr>
          <w:lang w:val="fr-FR"/>
        </w:rPr>
        <w:t xml:space="preserve"> de l'Égypte</w:t>
      </w:r>
      <w:r w:rsidR="00BB7D2B" w:rsidRPr="00557B91">
        <w:rPr>
          <w:lang w:val="fr-FR"/>
        </w:rPr>
        <w:t xml:space="preserve">), qui sera responsable </w:t>
      </w:r>
      <w:r w:rsidR="00EF17B4" w:rsidRPr="00557B91">
        <w:rPr>
          <w:lang w:val="fr-FR"/>
        </w:rPr>
        <w:t xml:space="preserve">de la collecte et de la gestion de ces </w:t>
      </w:r>
      <w:r w:rsidR="00C458CD" w:rsidRPr="00557B91">
        <w:rPr>
          <w:lang w:val="fr-FR"/>
        </w:rPr>
        <w:t>données</w:t>
      </w:r>
      <w:r w:rsidR="00EF17B4" w:rsidRPr="00557B91">
        <w:rPr>
          <w:lang w:val="fr-FR"/>
        </w:rPr>
        <w:t xml:space="preserve">. </w:t>
      </w:r>
    </w:p>
    <w:p w14:paraId="516B6A95" w14:textId="647EE9FA" w:rsidR="00D02F6A" w:rsidRPr="00557B91" w:rsidRDefault="008F0AED" w:rsidP="00D00269">
      <w:pPr>
        <w:widowControl w:val="0"/>
        <w:spacing w:line="240" w:lineRule="auto"/>
        <w:jc w:val="left"/>
        <w:rPr>
          <w:lang w:val="fr-FR"/>
        </w:rPr>
      </w:pPr>
      <w:r w:rsidRPr="00557B91">
        <w:rPr>
          <w:lang w:val="fr-FR"/>
        </w:rPr>
        <w:t>Ces renseignements ne seront utilisés que pour préparer une "</w:t>
      </w:r>
      <w:r w:rsidRPr="00557B91">
        <w:rPr>
          <w:b/>
          <w:bCs/>
          <w:lang w:val="fr-FR"/>
        </w:rPr>
        <w:t>carte d'accès secondaire</w:t>
      </w:r>
      <w:r w:rsidRPr="00557B91">
        <w:rPr>
          <w:lang w:val="fr-FR"/>
        </w:rPr>
        <w:t xml:space="preserve">" </w:t>
      </w:r>
      <w:r w:rsidR="00992EAA" w:rsidRPr="00557B91">
        <w:rPr>
          <w:lang w:val="fr-FR"/>
        </w:rPr>
        <w:t xml:space="preserve">valable pour </w:t>
      </w:r>
      <w:r w:rsidRPr="00557B91">
        <w:rPr>
          <w:lang w:val="fr-FR"/>
        </w:rPr>
        <w:t xml:space="preserve">la cérémonie d'ouverture et seront détenus à titre absolument confidentiel par le pays hôte, qui les détruira immédiatement après la cérémonie. </w:t>
      </w:r>
    </w:p>
    <w:p w14:paraId="3029FCDB" w14:textId="77777777" w:rsidR="00557B91" w:rsidRPr="00557B91" w:rsidRDefault="00557B91" w:rsidP="00D00269">
      <w:pPr>
        <w:pStyle w:val="Headingb"/>
        <w:rPr>
          <w:lang w:val="fr-FR"/>
        </w:rPr>
      </w:pPr>
      <w:r w:rsidRPr="00557B91">
        <w:rPr>
          <w:lang w:val="fr-FR"/>
        </w:rPr>
        <w:br w:type="page"/>
      </w:r>
      <w:bookmarkStart w:id="0" w:name="_GoBack"/>
      <w:bookmarkEnd w:id="0"/>
    </w:p>
    <w:p w14:paraId="262E11B5" w14:textId="081F3467" w:rsidR="0017267A" w:rsidRPr="00557B91" w:rsidRDefault="002C59E2" w:rsidP="00D00269">
      <w:pPr>
        <w:pStyle w:val="Headingb"/>
        <w:rPr>
          <w:lang w:val="fr-FR"/>
        </w:rPr>
      </w:pPr>
      <w:r w:rsidRPr="00557B91">
        <w:rPr>
          <w:lang w:val="fr-FR"/>
        </w:rPr>
        <w:lastRenderedPageBreak/>
        <w:t>Informations complémentaires</w:t>
      </w:r>
    </w:p>
    <w:p w14:paraId="506A12D0" w14:textId="2F648BFD" w:rsidR="000A77B1" w:rsidRPr="00557B91" w:rsidRDefault="002C59E2" w:rsidP="00D00269">
      <w:pPr>
        <w:widowControl w:val="0"/>
        <w:spacing w:line="240" w:lineRule="auto"/>
        <w:rPr>
          <w:lang w:val="fr-FR"/>
        </w:rPr>
      </w:pPr>
      <w:r w:rsidRPr="00557B91">
        <w:rPr>
          <w:rFonts w:asciiTheme="minorHAnsi" w:hAnsiTheme="minorHAnsi" w:cstheme="minorHAnsi"/>
          <w:szCs w:val="24"/>
          <w:lang w:val="fr-FR"/>
        </w:rPr>
        <w:t>Pour toute question concernant l'inscription à l'AR-19 et à la CMR-19, veuillez écrire à l'adresse:</w:t>
      </w:r>
      <w:r w:rsidR="0017267A" w:rsidRPr="00557B91">
        <w:rPr>
          <w:lang w:val="fr-FR"/>
        </w:rPr>
        <w:t xml:space="preserve"> </w:t>
      </w:r>
      <w:hyperlink r:id="rId19" w:history="1">
        <w:r w:rsidR="00710D20" w:rsidRPr="00557B91">
          <w:rPr>
            <w:rStyle w:val="Hyperlink"/>
            <w:lang w:val="fr-FR"/>
          </w:rPr>
          <w:t>ITU</w:t>
        </w:r>
        <w:r w:rsidR="00710D20" w:rsidRPr="00557B91">
          <w:rPr>
            <w:rStyle w:val="Hyperlink"/>
            <w:lang w:val="fr-FR"/>
          </w:rPr>
          <w:noBreakHyphen/>
          <w:t>R.Registrations@itu.int</w:t>
        </w:r>
      </w:hyperlink>
      <w:r w:rsidR="00D00269" w:rsidRPr="00557B91">
        <w:rPr>
          <w:lang w:val="fr-FR"/>
        </w:rPr>
        <w:t>.</w:t>
      </w:r>
    </w:p>
    <w:p w14:paraId="6DD4506C" w14:textId="77777777" w:rsidR="000A77B1" w:rsidRPr="00557B91" w:rsidRDefault="000A77B1" w:rsidP="008811C9">
      <w:pPr>
        <w:widowControl w:val="0"/>
        <w:spacing w:before="108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557B91">
        <w:rPr>
          <w:rFonts w:asciiTheme="minorHAnsi" w:hAnsiTheme="minorHAnsi" w:cstheme="minorHAnsi"/>
          <w:szCs w:val="24"/>
          <w:lang w:val="fr-FR"/>
        </w:rPr>
        <w:t>Mario Maniewicz</w:t>
      </w:r>
    </w:p>
    <w:p w14:paraId="051E2451" w14:textId="4D9DD76A" w:rsidR="000A77B1" w:rsidRPr="00557B91" w:rsidRDefault="002C59E2" w:rsidP="00D00269">
      <w:pPr>
        <w:widowControl w:val="0"/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557B91">
        <w:rPr>
          <w:rFonts w:asciiTheme="minorHAnsi" w:hAnsiTheme="minorHAnsi" w:cstheme="minorHAnsi"/>
          <w:szCs w:val="24"/>
          <w:lang w:val="fr-FR"/>
        </w:rPr>
        <w:t>Directeur</w:t>
      </w:r>
    </w:p>
    <w:p w14:paraId="7063EC3F" w14:textId="77777777" w:rsidR="009C108C" w:rsidRPr="00557B91" w:rsidRDefault="009C108C" w:rsidP="00D00269">
      <w:pPr>
        <w:widowControl w:val="0"/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</w:p>
    <w:p w14:paraId="446B2F43" w14:textId="77777777" w:rsidR="000A77B1" w:rsidRPr="00557B91" w:rsidRDefault="000A77B1" w:rsidP="00557B91">
      <w:pPr>
        <w:widowControl w:val="0"/>
        <w:tabs>
          <w:tab w:val="left" w:pos="284"/>
          <w:tab w:val="left" w:pos="568"/>
        </w:tabs>
        <w:spacing w:before="960" w:line="240" w:lineRule="auto"/>
        <w:rPr>
          <w:b/>
          <w:bCs/>
          <w:sz w:val="18"/>
          <w:szCs w:val="18"/>
          <w:lang w:val="fr-FR"/>
        </w:rPr>
      </w:pPr>
      <w:r w:rsidRPr="00557B91">
        <w:rPr>
          <w:b/>
          <w:bCs/>
          <w:sz w:val="18"/>
          <w:szCs w:val="18"/>
          <w:lang w:val="fr-FR"/>
        </w:rPr>
        <w:t>Distribution:</w:t>
      </w:r>
    </w:p>
    <w:p w14:paraId="6BDD10A8" w14:textId="77777777" w:rsidR="00EB795A" w:rsidRPr="00557B91" w:rsidRDefault="00EB795A" w:rsidP="00D00269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>Administrations des États Membres de l'UIT</w:t>
      </w:r>
    </w:p>
    <w:p w14:paraId="1AD4EFD3" w14:textId="77777777" w:rsidR="00EB795A" w:rsidRPr="00557B91" w:rsidRDefault="00EB795A" w:rsidP="00D00269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>Observateur (Résolution 99 (</w:t>
      </w:r>
      <w:proofErr w:type="spellStart"/>
      <w:r w:rsidRPr="00557B91">
        <w:rPr>
          <w:sz w:val="18"/>
          <w:szCs w:val="18"/>
          <w:lang w:val="fr-FR"/>
        </w:rPr>
        <w:t>Rév</w:t>
      </w:r>
      <w:proofErr w:type="spellEnd"/>
      <w:r w:rsidRPr="00557B91">
        <w:rPr>
          <w:sz w:val="18"/>
          <w:szCs w:val="18"/>
          <w:lang w:val="fr-FR"/>
        </w:rPr>
        <w:t>. Dubaï, 2018) de la Conférence de plénipotentiaires)</w:t>
      </w:r>
    </w:p>
    <w:p w14:paraId="76012F9D" w14:textId="77777777" w:rsidR="00EB795A" w:rsidRPr="00557B91" w:rsidRDefault="00EB795A" w:rsidP="00D00269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>Observateurs qui participent à titre consultatif, conformément aux numéros 278 et 279 de la Convention de l'UIT</w:t>
      </w:r>
    </w:p>
    <w:p w14:paraId="268CA28E" w14:textId="77777777" w:rsidR="00EB795A" w:rsidRPr="00557B91" w:rsidRDefault="00EB795A" w:rsidP="00D00269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>Observateurs des Membres du Secteur des radiocommunications qui ne participent pas à titre consultatif, conformément au numéro 280 de la Convention de l'UIT</w:t>
      </w:r>
    </w:p>
    <w:p w14:paraId="7C44F9A0" w14:textId="77777777" w:rsidR="00EB795A" w:rsidRPr="00557B91" w:rsidRDefault="00EB795A" w:rsidP="00D00269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 xml:space="preserve">Présidents et Vice-Présidents des Commissions d'études des radiocommunications </w:t>
      </w:r>
    </w:p>
    <w:p w14:paraId="7D29595F" w14:textId="77777777" w:rsidR="00EB795A" w:rsidRPr="00557B91" w:rsidRDefault="00EB795A" w:rsidP="00D00269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>Président et Vice-Présidents du Groupe consultatif des radiocommunications</w:t>
      </w:r>
    </w:p>
    <w:p w14:paraId="3656813B" w14:textId="77777777" w:rsidR="00EB795A" w:rsidRPr="00557B91" w:rsidRDefault="00EB795A" w:rsidP="00D00269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14:paraId="2FA887AE" w14:textId="77777777" w:rsidR="00EB795A" w:rsidRPr="00557B91" w:rsidRDefault="00EB795A" w:rsidP="00D00269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>Membres du Comité du Règlement des radiocommunications</w:t>
      </w:r>
    </w:p>
    <w:p w14:paraId="295C2AB2" w14:textId="55D62231" w:rsidR="00D21694" w:rsidRPr="00557B91" w:rsidRDefault="00EB795A" w:rsidP="00557B9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557B91">
        <w:rPr>
          <w:sz w:val="18"/>
          <w:szCs w:val="18"/>
          <w:lang w:val="fr-FR"/>
        </w:rPr>
        <w:t>–</w:t>
      </w:r>
      <w:r w:rsidRPr="00557B91">
        <w:rPr>
          <w:sz w:val="18"/>
          <w:szCs w:val="18"/>
          <w:lang w:val="fr-FR"/>
        </w:rPr>
        <w:tab/>
        <w:t>Secrétaire général de l'UIT, Vice-Secrétaire général de l'UIT, Directeur du Bureau de la normalisation des télécommunications, Directrice du Bureau de développement des télécommunications</w:t>
      </w:r>
    </w:p>
    <w:sectPr w:rsidR="00D21694" w:rsidRPr="00557B91" w:rsidSect="00C7026D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43194" w16cid:durableId="20802C77"/>
  <w16cid:commentId w16cid:paraId="463EEA42" w16cid:durableId="20802CBB"/>
  <w16cid:commentId w16cid:paraId="76ADCA9A" w16cid:durableId="20802D2C"/>
  <w16cid:commentId w16cid:paraId="044273FB" w16cid:durableId="20802CF0"/>
  <w16cid:commentId w16cid:paraId="04680561" w16cid:durableId="20802E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705F3" w14:textId="77777777" w:rsidR="00661E03" w:rsidRDefault="00661E03">
      <w:r>
        <w:separator/>
      </w:r>
    </w:p>
  </w:endnote>
  <w:endnote w:type="continuationSeparator" w:id="0">
    <w:p w14:paraId="43A750FB" w14:textId="77777777" w:rsidR="00661E03" w:rsidRDefault="0066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F97D3" w14:textId="37F40478" w:rsidR="00AD4554" w:rsidRPr="007251F5" w:rsidRDefault="007251F5" w:rsidP="007251F5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CA4BB" w14:textId="77777777" w:rsidR="00661E03" w:rsidRDefault="00661E03">
      <w:r>
        <w:t>____________________</w:t>
      </w:r>
    </w:p>
  </w:footnote>
  <w:footnote w:type="continuationSeparator" w:id="0">
    <w:p w14:paraId="40758A09" w14:textId="77777777" w:rsidR="00661E03" w:rsidRDefault="0066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0848" w14:textId="77777777"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7026D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7821063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698ADF" w14:textId="7FB6A0A6" w:rsidR="00C7026D" w:rsidRPr="00C7026D" w:rsidRDefault="00C7026D">
        <w:pPr>
          <w:pStyle w:val="Header"/>
          <w:jc w:val="center"/>
          <w:rPr>
            <w:sz w:val="18"/>
            <w:szCs w:val="18"/>
          </w:rPr>
        </w:pPr>
        <w:r w:rsidRPr="00C7026D">
          <w:rPr>
            <w:sz w:val="18"/>
            <w:szCs w:val="18"/>
          </w:rPr>
          <w:fldChar w:fldCharType="begin"/>
        </w:r>
        <w:r w:rsidRPr="00C7026D">
          <w:rPr>
            <w:sz w:val="18"/>
            <w:szCs w:val="18"/>
          </w:rPr>
          <w:instrText xml:space="preserve"> PAGE   \* MERGEFORMAT </w:instrText>
        </w:r>
        <w:r w:rsidRPr="00C7026D">
          <w:rPr>
            <w:sz w:val="18"/>
            <w:szCs w:val="18"/>
          </w:rPr>
          <w:fldChar w:fldCharType="separate"/>
        </w:r>
        <w:r w:rsidR="008811C9">
          <w:rPr>
            <w:noProof/>
            <w:sz w:val="18"/>
            <w:szCs w:val="18"/>
          </w:rPr>
          <w:t>3</w:t>
        </w:r>
        <w:r w:rsidRPr="00C7026D">
          <w:rPr>
            <w:noProof/>
            <w:sz w:val="18"/>
            <w:szCs w:val="18"/>
          </w:rPr>
          <w:fldChar w:fldCharType="end"/>
        </w:r>
      </w:p>
    </w:sdtContent>
  </w:sdt>
  <w:p w14:paraId="2F5B6634" w14:textId="535E4428" w:rsidR="00E915AF" w:rsidRPr="00C7026D" w:rsidRDefault="00E915AF" w:rsidP="00A90A1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52F57" w14:paraId="57F5BC20" w14:textId="77777777" w:rsidTr="009E50C2">
      <w:tc>
        <w:tcPr>
          <w:tcW w:w="4800" w:type="dxa"/>
          <w:noWrap/>
          <w:tcMar>
            <w:left w:w="0" w:type="dxa"/>
          </w:tcMar>
        </w:tcPr>
        <w:p w14:paraId="4220637D" w14:textId="77777777" w:rsidR="00A52F57" w:rsidRDefault="00A52F57" w:rsidP="00A52F5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872E33E" wp14:editId="3A84833C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6F959157" w14:textId="77777777" w:rsidR="00A52F57" w:rsidRDefault="00A52F57" w:rsidP="00A52F5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8AB7A1B" wp14:editId="3578011A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3F0BD8" w14:textId="77777777" w:rsidR="00E915AF" w:rsidRPr="00A52F57" w:rsidRDefault="00E915AF" w:rsidP="00A52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3C21"/>
    <w:rsid w:val="0000592B"/>
    <w:rsid w:val="00006A31"/>
    <w:rsid w:val="00006C82"/>
    <w:rsid w:val="00010E30"/>
    <w:rsid w:val="00013588"/>
    <w:rsid w:val="00015C76"/>
    <w:rsid w:val="00024A64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5690"/>
    <w:rsid w:val="00086D03"/>
    <w:rsid w:val="000A096A"/>
    <w:rsid w:val="000A359B"/>
    <w:rsid w:val="000A375E"/>
    <w:rsid w:val="000A4FA4"/>
    <w:rsid w:val="000A7051"/>
    <w:rsid w:val="000A77B1"/>
    <w:rsid w:val="000B0AF6"/>
    <w:rsid w:val="000B0E9B"/>
    <w:rsid w:val="000B2CAE"/>
    <w:rsid w:val="000C037B"/>
    <w:rsid w:val="000C03C7"/>
    <w:rsid w:val="000C2AD0"/>
    <w:rsid w:val="000C3CC9"/>
    <w:rsid w:val="000C62EB"/>
    <w:rsid w:val="000C6583"/>
    <w:rsid w:val="000D0473"/>
    <w:rsid w:val="000E3DEE"/>
    <w:rsid w:val="000E46BE"/>
    <w:rsid w:val="00100B72"/>
    <w:rsid w:val="00101F7D"/>
    <w:rsid w:val="00103C76"/>
    <w:rsid w:val="00104020"/>
    <w:rsid w:val="00104C35"/>
    <w:rsid w:val="0011265F"/>
    <w:rsid w:val="0011321A"/>
    <w:rsid w:val="00117282"/>
    <w:rsid w:val="00117389"/>
    <w:rsid w:val="00121C2D"/>
    <w:rsid w:val="00121D60"/>
    <w:rsid w:val="0012291D"/>
    <w:rsid w:val="001256F3"/>
    <w:rsid w:val="001337D0"/>
    <w:rsid w:val="00134404"/>
    <w:rsid w:val="00144DFB"/>
    <w:rsid w:val="00152B84"/>
    <w:rsid w:val="00153709"/>
    <w:rsid w:val="0015752E"/>
    <w:rsid w:val="00161307"/>
    <w:rsid w:val="0017267A"/>
    <w:rsid w:val="00187CA3"/>
    <w:rsid w:val="00196710"/>
    <w:rsid w:val="00197324"/>
    <w:rsid w:val="001A2E40"/>
    <w:rsid w:val="001A78F1"/>
    <w:rsid w:val="001B351B"/>
    <w:rsid w:val="001C06DB"/>
    <w:rsid w:val="001C4DF2"/>
    <w:rsid w:val="001C4FA2"/>
    <w:rsid w:val="001C6971"/>
    <w:rsid w:val="001D2785"/>
    <w:rsid w:val="001D7070"/>
    <w:rsid w:val="001F2170"/>
    <w:rsid w:val="001F35E6"/>
    <w:rsid w:val="001F3948"/>
    <w:rsid w:val="001F5A49"/>
    <w:rsid w:val="00201097"/>
    <w:rsid w:val="00201B6E"/>
    <w:rsid w:val="0020324F"/>
    <w:rsid w:val="002050A5"/>
    <w:rsid w:val="002114FC"/>
    <w:rsid w:val="00217875"/>
    <w:rsid w:val="002261A1"/>
    <w:rsid w:val="002302B3"/>
    <w:rsid w:val="00230C66"/>
    <w:rsid w:val="00235634"/>
    <w:rsid w:val="00235A29"/>
    <w:rsid w:val="00236D07"/>
    <w:rsid w:val="00237D51"/>
    <w:rsid w:val="00241526"/>
    <w:rsid w:val="002443A2"/>
    <w:rsid w:val="00266AAC"/>
    <w:rsid w:val="00266E74"/>
    <w:rsid w:val="0027706D"/>
    <w:rsid w:val="0028320F"/>
    <w:rsid w:val="002835C3"/>
    <w:rsid w:val="00283C3B"/>
    <w:rsid w:val="00284A46"/>
    <w:rsid w:val="002861E6"/>
    <w:rsid w:val="00287D18"/>
    <w:rsid w:val="002A2618"/>
    <w:rsid w:val="002A5DD7"/>
    <w:rsid w:val="002B0CAC"/>
    <w:rsid w:val="002B20CF"/>
    <w:rsid w:val="002C0ADB"/>
    <w:rsid w:val="002C3A41"/>
    <w:rsid w:val="002C59E2"/>
    <w:rsid w:val="002D4469"/>
    <w:rsid w:val="002D5A15"/>
    <w:rsid w:val="002D5BDD"/>
    <w:rsid w:val="002E0FF0"/>
    <w:rsid w:val="002E3D27"/>
    <w:rsid w:val="002F0890"/>
    <w:rsid w:val="002F2531"/>
    <w:rsid w:val="002F4967"/>
    <w:rsid w:val="00310677"/>
    <w:rsid w:val="0031237B"/>
    <w:rsid w:val="00315DE3"/>
    <w:rsid w:val="00316935"/>
    <w:rsid w:val="0032115B"/>
    <w:rsid w:val="003266ED"/>
    <w:rsid w:val="003370B8"/>
    <w:rsid w:val="00345D38"/>
    <w:rsid w:val="00352097"/>
    <w:rsid w:val="00356DB9"/>
    <w:rsid w:val="00357AFD"/>
    <w:rsid w:val="003666FF"/>
    <w:rsid w:val="0037309C"/>
    <w:rsid w:val="00375841"/>
    <w:rsid w:val="00380A6E"/>
    <w:rsid w:val="003836D4"/>
    <w:rsid w:val="003A1F49"/>
    <w:rsid w:val="003A5D52"/>
    <w:rsid w:val="003A60CF"/>
    <w:rsid w:val="003B2BDA"/>
    <w:rsid w:val="003B55EC"/>
    <w:rsid w:val="003C2DEA"/>
    <w:rsid w:val="003C2EA7"/>
    <w:rsid w:val="003C4471"/>
    <w:rsid w:val="003C7D41"/>
    <w:rsid w:val="003D4A69"/>
    <w:rsid w:val="003E504F"/>
    <w:rsid w:val="003E78D6"/>
    <w:rsid w:val="003F65DC"/>
    <w:rsid w:val="00400573"/>
    <w:rsid w:val="004007A3"/>
    <w:rsid w:val="00401A9D"/>
    <w:rsid w:val="00406D71"/>
    <w:rsid w:val="004269E0"/>
    <w:rsid w:val="00426BDB"/>
    <w:rsid w:val="0042702B"/>
    <w:rsid w:val="004326DB"/>
    <w:rsid w:val="00434250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97236"/>
    <w:rsid w:val="004A4496"/>
    <w:rsid w:val="004B11AB"/>
    <w:rsid w:val="004B2243"/>
    <w:rsid w:val="004B4D61"/>
    <w:rsid w:val="004B4EC5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37A7"/>
    <w:rsid w:val="00533F66"/>
    <w:rsid w:val="00534372"/>
    <w:rsid w:val="005367CC"/>
    <w:rsid w:val="00542477"/>
    <w:rsid w:val="00543DF8"/>
    <w:rsid w:val="00546101"/>
    <w:rsid w:val="00552216"/>
    <w:rsid w:val="00553DD7"/>
    <w:rsid w:val="0055657B"/>
    <w:rsid w:val="00557B91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1AC2"/>
    <w:rsid w:val="005B214C"/>
    <w:rsid w:val="005D3669"/>
    <w:rsid w:val="005E5EB3"/>
    <w:rsid w:val="005E762A"/>
    <w:rsid w:val="005F372B"/>
    <w:rsid w:val="005F3CB6"/>
    <w:rsid w:val="005F657C"/>
    <w:rsid w:val="006023C6"/>
    <w:rsid w:val="00602D53"/>
    <w:rsid w:val="006047E5"/>
    <w:rsid w:val="006230A0"/>
    <w:rsid w:val="006231F4"/>
    <w:rsid w:val="00641DBF"/>
    <w:rsid w:val="0064371D"/>
    <w:rsid w:val="00650B2A"/>
    <w:rsid w:val="00651777"/>
    <w:rsid w:val="00651B51"/>
    <w:rsid w:val="006550F8"/>
    <w:rsid w:val="00656226"/>
    <w:rsid w:val="00661E03"/>
    <w:rsid w:val="00673D67"/>
    <w:rsid w:val="006829F3"/>
    <w:rsid w:val="00685DE4"/>
    <w:rsid w:val="006867AB"/>
    <w:rsid w:val="006931C1"/>
    <w:rsid w:val="006A0D84"/>
    <w:rsid w:val="006A1921"/>
    <w:rsid w:val="006A518B"/>
    <w:rsid w:val="006B0590"/>
    <w:rsid w:val="006B0A88"/>
    <w:rsid w:val="006B1C3D"/>
    <w:rsid w:val="006B21AF"/>
    <w:rsid w:val="006B49DA"/>
    <w:rsid w:val="006B4C75"/>
    <w:rsid w:val="006C53F8"/>
    <w:rsid w:val="006C7CDE"/>
    <w:rsid w:val="006D318E"/>
    <w:rsid w:val="006F5BF6"/>
    <w:rsid w:val="00710D20"/>
    <w:rsid w:val="00713AE3"/>
    <w:rsid w:val="00714167"/>
    <w:rsid w:val="00714B22"/>
    <w:rsid w:val="00714C5D"/>
    <w:rsid w:val="007234B1"/>
    <w:rsid w:val="00723D08"/>
    <w:rsid w:val="007251F5"/>
    <w:rsid w:val="00725527"/>
    <w:rsid w:val="00725FDA"/>
    <w:rsid w:val="00727816"/>
    <w:rsid w:val="00730B9A"/>
    <w:rsid w:val="00750CFA"/>
    <w:rsid w:val="00750DD5"/>
    <w:rsid w:val="007553DA"/>
    <w:rsid w:val="00755A93"/>
    <w:rsid w:val="00782354"/>
    <w:rsid w:val="007921A7"/>
    <w:rsid w:val="007941A7"/>
    <w:rsid w:val="007B3DB1"/>
    <w:rsid w:val="007C4AB2"/>
    <w:rsid w:val="007D183E"/>
    <w:rsid w:val="007D31D1"/>
    <w:rsid w:val="007D43D0"/>
    <w:rsid w:val="007E1833"/>
    <w:rsid w:val="007E3F13"/>
    <w:rsid w:val="007F751A"/>
    <w:rsid w:val="00800012"/>
    <w:rsid w:val="0080261F"/>
    <w:rsid w:val="00806160"/>
    <w:rsid w:val="00811D36"/>
    <w:rsid w:val="008143A4"/>
    <w:rsid w:val="00814DF4"/>
    <w:rsid w:val="0081513E"/>
    <w:rsid w:val="0082364B"/>
    <w:rsid w:val="00833D03"/>
    <w:rsid w:val="00854131"/>
    <w:rsid w:val="0085652D"/>
    <w:rsid w:val="00860A13"/>
    <w:rsid w:val="008748EA"/>
    <w:rsid w:val="0087694B"/>
    <w:rsid w:val="00880C65"/>
    <w:rsid w:val="00880F4D"/>
    <w:rsid w:val="008811C9"/>
    <w:rsid w:val="00896CEA"/>
    <w:rsid w:val="008A4135"/>
    <w:rsid w:val="008B35A3"/>
    <w:rsid w:val="008B37E1"/>
    <w:rsid w:val="008B45F8"/>
    <w:rsid w:val="008C2E74"/>
    <w:rsid w:val="008C3AD4"/>
    <w:rsid w:val="008C3B47"/>
    <w:rsid w:val="008C583D"/>
    <w:rsid w:val="008D5409"/>
    <w:rsid w:val="008E006D"/>
    <w:rsid w:val="008E38B4"/>
    <w:rsid w:val="008F0AED"/>
    <w:rsid w:val="008F3DBF"/>
    <w:rsid w:val="008F4F21"/>
    <w:rsid w:val="00904D4A"/>
    <w:rsid w:val="009151BA"/>
    <w:rsid w:val="00923FF0"/>
    <w:rsid w:val="00925023"/>
    <w:rsid w:val="009277BC"/>
    <w:rsid w:val="00927D57"/>
    <w:rsid w:val="00931A51"/>
    <w:rsid w:val="009369B4"/>
    <w:rsid w:val="00947185"/>
    <w:rsid w:val="009518B3"/>
    <w:rsid w:val="009578C8"/>
    <w:rsid w:val="00963D9D"/>
    <w:rsid w:val="009653C6"/>
    <w:rsid w:val="0098013E"/>
    <w:rsid w:val="00981B54"/>
    <w:rsid w:val="00983EF5"/>
    <w:rsid w:val="009842C3"/>
    <w:rsid w:val="009928C1"/>
    <w:rsid w:val="00992EAA"/>
    <w:rsid w:val="009A009A"/>
    <w:rsid w:val="009A6BB6"/>
    <w:rsid w:val="009B3BD9"/>
    <w:rsid w:val="009B3F43"/>
    <w:rsid w:val="009B5CFA"/>
    <w:rsid w:val="009C108C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272BC"/>
    <w:rsid w:val="00A31370"/>
    <w:rsid w:val="00A31ACE"/>
    <w:rsid w:val="00A34D6F"/>
    <w:rsid w:val="00A4085E"/>
    <w:rsid w:val="00A41F91"/>
    <w:rsid w:val="00A52F57"/>
    <w:rsid w:val="00A63355"/>
    <w:rsid w:val="00A64B8D"/>
    <w:rsid w:val="00A7596D"/>
    <w:rsid w:val="00A81220"/>
    <w:rsid w:val="00A849FD"/>
    <w:rsid w:val="00A90A1E"/>
    <w:rsid w:val="00A963DF"/>
    <w:rsid w:val="00AB631F"/>
    <w:rsid w:val="00AC0C22"/>
    <w:rsid w:val="00AC165D"/>
    <w:rsid w:val="00AC3896"/>
    <w:rsid w:val="00AD2CF2"/>
    <w:rsid w:val="00AD43CB"/>
    <w:rsid w:val="00AD4554"/>
    <w:rsid w:val="00AE2D88"/>
    <w:rsid w:val="00AE4E28"/>
    <w:rsid w:val="00AE6F6F"/>
    <w:rsid w:val="00AF3325"/>
    <w:rsid w:val="00AF34D9"/>
    <w:rsid w:val="00AF70DA"/>
    <w:rsid w:val="00B019D3"/>
    <w:rsid w:val="00B03FE0"/>
    <w:rsid w:val="00B32343"/>
    <w:rsid w:val="00B34CF9"/>
    <w:rsid w:val="00B37559"/>
    <w:rsid w:val="00B4054B"/>
    <w:rsid w:val="00B52C0B"/>
    <w:rsid w:val="00B53D2E"/>
    <w:rsid w:val="00B579B0"/>
    <w:rsid w:val="00B57D11"/>
    <w:rsid w:val="00B649D7"/>
    <w:rsid w:val="00B77AF8"/>
    <w:rsid w:val="00B802D3"/>
    <w:rsid w:val="00B81C2F"/>
    <w:rsid w:val="00B87BB8"/>
    <w:rsid w:val="00B90743"/>
    <w:rsid w:val="00B90C45"/>
    <w:rsid w:val="00B933BE"/>
    <w:rsid w:val="00B940C2"/>
    <w:rsid w:val="00BA072F"/>
    <w:rsid w:val="00BA6A38"/>
    <w:rsid w:val="00BB0DD9"/>
    <w:rsid w:val="00BB7163"/>
    <w:rsid w:val="00BB7D2B"/>
    <w:rsid w:val="00BD4E4D"/>
    <w:rsid w:val="00BD6738"/>
    <w:rsid w:val="00BD7E5E"/>
    <w:rsid w:val="00BE4BD8"/>
    <w:rsid w:val="00BE63DB"/>
    <w:rsid w:val="00BE6574"/>
    <w:rsid w:val="00BF2F0C"/>
    <w:rsid w:val="00BF4763"/>
    <w:rsid w:val="00C02385"/>
    <w:rsid w:val="00C04606"/>
    <w:rsid w:val="00C04EEE"/>
    <w:rsid w:val="00C07319"/>
    <w:rsid w:val="00C11DAD"/>
    <w:rsid w:val="00C16FD2"/>
    <w:rsid w:val="00C2148F"/>
    <w:rsid w:val="00C235E9"/>
    <w:rsid w:val="00C2671A"/>
    <w:rsid w:val="00C4395E"/>
    <w:rsid w:val="00C43FC9"/>
    <w:rsid w:val="00C4435C"/>
    <w:rsid w:val="00C458CD"/>
    <w:rsid w:val="00C46628"/>
    <w:rsid w:val="00C47FFD"/>
    <w:rsid w:val="00C51E92"/>
    <w:rsid w:val="00C52DB3"/>
    <w:rsid w:val="00C57E2C"/>
    <w:rsid w:val="00C608B7"/>
    <w:rsid w:val="00C66F24"/>
    <w:rsid w:val="00C7026D"/>
    <w:rsid w:val="00C7299F"/>
    <w:rsid w:val="00C76D7F"/>
    <w:rsid w:val="00C813AA"/>
    <w:rsid w:val="00C818D7"/>
    <w:rsid w:val="00C82302"/>
    <w:rsid w:val="00C852D1"/>
    <w:rsid w:val="00C9291E"/>
    <w:rsid w:val="00C93150"/>
    <w:rsid w:val="00CA3F44"/>
    <w:rsid w:val="00CA4E58"/>
    <w:rsid w:val="00CB3771"/>
    <w:rsid w:val="00CB44BF"/>
    <w:rsid w:val="00CB47CA"/>
    <w:rsid w:val="00CB5153"/>
    <w:rsid w:val="00CB55EA"/>
    <w:rsid w:val="00CC3B69"/>
    <w:rsid w:val="00CD4E44"/>
    <w:rsid w:val="00CE076A"/>
    <w:rsid w:val="00CE463D"/>
    <w:rsid w:val="00D00269"/>
    <w:rsid w:val="00D02F6A"/>
    <w:rsid w:val="00D10BA0"/>
    <w:rsid w:val="00D1456A"/>
    <w:rsid w:val="00D21694"/>
    <w:rsid w:val="00D24E1B"/>
    <w:rsid w:val="00D24EB5"/>
    <w:rsid w:val="00D309E7"/>
    <w:rsid w:val="00D35AB9"/>
    <w:rsid w:val="00D4021E"/>
    <w:rsid w:val="00D41571"/>
    <w:rsid w:val="00D416A0"/>
    <w:rsid w:val="00D47672"/>
    <w:rsid w:val="00D5123C"/>
    <w:rsid w:val="00D52023"/>
    <w:rsid w:val="00D55560"/>
    <w:rsid w:val="00D61C5A"/>
    <w:rsid w:val="00D63274"/>
    <w:rsid w:val="00D64768"/>
    <w:rsid w:val="00D6790C"/>
    <w:rsid w:val="00D73277"/>
    <w:rsid w:val="00D76586"/>
    <w:rsid w:val="00D82657"/>
    <w:rsid w:val="00D828E7"/>
    <w:rsid w:val="00D83DAF"/>
    <w:rsid w:val="00D87E20"/>
    <w:rsid w:val="00DA195D"/>
    <w:rsid w:val="00DA4037"/>
    <w:rsid w:val="00DB0A62"/>
    <w:rsid w:val="00DC5599"/>
    <w:rsid w:val="00DE66A5"/>
    <w:rsid w:val="00DE726B"/>
    <w:rsid w:val="00DF2B50"/>
    <w:rsid w:val="00DF42B7"/>
    <w:rsid w:val="00E04C86"/>
    <w:rsid w:val="00E1721A"/>
    <w:rsid w:val="00E17344"/>
    <w:rsid w:val="00E20F30"/>
    <w:rsid w:val="00E2189C"/>
    <w:rsid w:val="00E25BB1"/>
    <w:rsid w:val="00E27BBA"/>
    <w:rsid w:val="00E30E3F"/>
    <w:rsid w:val="00E35E8F"/>
    <w:rsid w:val="00E40772"/>
    <w:rsid w:val="00E41A87"/>
    <w:rsid w:val="00E428AB"/>
    <w:rsid w:val="00E438E8"/>
    <w:rsid w:val="00E453A3"/>
    <w:rsid w:val="00E520E2"/>
    <w:rsid w:val="00E530C4"/>
    <w:rsid w:val="00E55996"/>
    <w:rsid w:val="00E56BF5"/>
    <w:rsid w:val="00E64254"/>
    <w:rsid w:val="00E67928"/>
    <w:rsid w:val="00E70FB5"/>
    <w:rsid w:val="00E71630"/>
    <w:rsid w:val="00E915AF"/>
    <w:rsid w:val="00E96415"/>
    <w:rsid w:val="00EA0AA3"/>
    <w:rsid w:val="00EA15B3"/>
    <w:rsid w:val="00EB2358"/>
    <w:rsid w:val="00EB3EB8"/>
    <w:rsid w:val="00EB795A"/>
    <w:rsid w:val="00EB7A54"/>
    <w:rsid w:val="00EC02FE"/>
    <w:rsid w:val="00EC4A96"/>
    <w:rsid w:val="00ED2070"/>
    <w:rsid w:val="00ED3A75"/>
    <w:rsid w:val="00EF0E68"/>
    <w:rsid w:val="00EF17B4"/>
    <w:rsid w:val="00EF1DEF"/>
    <w:rsid w:val="00F11ECC"/>
    <w:rsid w:val="00F20D07"/>
    <w:rsid w:val="00F31309"/>
    <w:rsid w:val="00F369F8"/>
    <w:rsid w:val="00F40582"/>
    <w:rsid w:val="00F424BF"/>
    <w:rsid w:val="00F433B9"/>
    <w:rsid w:val="00F44FC3"/>
    <w:rsid w:val="00F46107"/>
    <w:rsid w:val="00F468C5"/>
    <w:rsid w:val="00F52F39"/>
    <w:rsid w:val="00F6184F"/>
    <w:rsid w:val="00F676EA"/>
    <w:rsid w:val="00F8310E"/>
    <w:rsid w:val="00F914DD"/>
    <w:rsid w:val="00FA2358"/>
    <w:rsid w:val="00FA64C3"/>
    <w:rsid w:val="00FB2592"/>
    <w:rsid w:val="00FB2810"/>
    <w:rsid w:val="00FB7A2C"/>
    <w:rsid w:val="00FC2947"/>
    <w:rsid w:val="00FC6B16"/>
    <w:rsid w:val="00FC6F6B"/>
    <w:rsid w:val="00FE0818"/>
    <w:rsid w:val="00FE3418"/>
    <w:rsid w:val="00FE4C44"/>
    <w:rsid w:val="00FE6FB1"/>
    <w:rsid w:val="00FF2780"/>
    <w:rsid w:val="00FF33EF"/>
    <w:rsid w:val="00FF371E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CEAABCF"/>
  <w15:docId w15:val="{0361A165-07C4-47DF-ABE6-69C28D98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uiPriority w:val="99"/>
    <w:rsid w:val="00B940C2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0A77B1"/>
    <w:pPr>
      <w:spacing w:before="320"/>
    </w:pPr>
    <w:rPr>
      <w:sz w:val="22"/>
    </w:rPr>
  </w:style>
  <w:style w:type="paragraph" w:styleId="NormalWeb">
    <w:name w:val="Normal (Web)"/>
    <w:basedOn w:val="Normal"/>
    <w:rsid w:val="000A77B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2"/>
      <w:szCs w:val="24"/>
    </w:rPr>
  </w:style>
  <w:style w:type="paragraph" w:customStyle="1" w:styleId="Reasons">
    <w:name w:val="Reasons"/>
    <w:basedOn w:val="Normal"/>
    <w:qFormat/>
    <w:rsid w:val="00C23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B0A88"/>
    <w:rPr>
      <w:sz w:val="24"/>
      <w:szCs w:val="22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C46628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B21A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50A5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50A5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050A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SG-CIR-0049/en" TargetMode="External"/><Relationship Id="rId13" Type="http://schemas.openxmlformats.org/officeDocument/2006/relationships/hyperlink" Target="https://www.itu.int/md/R00-CA-CIR-0245/en" TargetMode="External"/><Relationship Id="rId18" Type="http://schemas.openxmlformats.org/officeDocument/2006/relationships/hyperlink" Target="https://wrc19egypt.eg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conferences/RA/2019/Pages/default.aspx" TargetMode="External"/><Relationship Id="rId17" Type="http://schemas.openxmlformats.org/officeDocument/2006/relationships/hyperlink" Target="mailto:wrcvisa@tra.gov.e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C-19" TargetMode="External"/><Relationship Id="rId20" Type="http://schemas.openxmlformats.org/officeDocument/2006/relationships/header" Target="header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conferences/wrc/2019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conferences/Pages/RA-WRC-19-Registration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DM-CIR-01006/en" TargetMode="External"/><Relationship Id="rId19" Type="http://schemas.openxmlformats.org/officeDocument/2006/relationships/hyperlink" Target="mailto:ITUR.Registration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DM-CIR-01005/en" TargetMode="External"/><Relationship Id="rId14" Type="http://schemas.openxmlformats.org/officeDocument/2006/relationships/hyperlink" Target="https://www.itu.int/md/R00-CA-CIR-0245/en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6E26-BCAC-401D-AB72-7963E53A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871</Words>
  <Characters>6017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Capdessus, Isabelle</cp:lastModifiedBy>
  <cp:revision>12</cp:revision>
  <cp:lastPrinted>2019-05-15T11:58:00Z</cp:lastPrinted>
  <dcterms:created xsi:type="dcterms:W3CDTF">2019-05-15T11:44:00Z</dcterms:created>
  <dcterms:modified xsi:type="dcterms:W3CDTF">2019-05-16T13:03:00Z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