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7413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74130" w:rsidRDefault="00A96D3A" w:rsidP="0003414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074130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074130" w:rsidRDefault="00E53DCE" w:rsidP="0003414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074130" w:rsidRDefault="00E53DCE" w:rsidP="0003414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074130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074130" w:rsidRDefault="00A96D3A" w:rsidP="00800653">
            <w:pPr>
              <w:spacing w:before="0"/>
              <w:jc w:val="left"/>
              <w:rPr>
                <w:szCs w:val="24"/>
                <w:lang w:val="es-ES_tradnl"/>
              </w:rPr>
            </w:pPr>
            <w:r w:rsidRPr="00074130">
              <w:rPr>
                <w:szCs w:val="24"/>
                <w:lang w:val="es-ES_tradnl"/>
              </w:rPr>
              <w:t>Circular Administrativa</w:t>
            </w:r>
          </w:p>
          <w:p w:rsidR="00E53DCE" w:rsidRPr="00074130" w:rsidRDefault="00042F69" w:rsidP="000341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74130">
              <w:rPr>
                <w:b/>
                <w:bCs/>
                <w:szCs w:val="24"/>
                <w:lang w:val="es-ES_tradnl"/>
              </w:rPr>
              <w:t>Addéndum</w:t>
            </w:r>
            <w:r w:rsidR="00800653" w:rsidRPr="00074130">
              <w:rPr>
                <w:b/>
                <w:bCs/>
                <w:szCs w:val="24"/>
                <w:lang w:val="es-ES_tradnl"/>
              </w:rPr>
              <w:t xml:space="preserve"> </w:t>
            </w:r>
            <w:r w:rsidR="00034141" w:rsidRPr="00074130">
              <w:rPr>
                <w:b/>
                <w:bCs/>
                <w:szCs w:val="24"/>
                <w:lang w:val="es-ES_tradnl"/>
              </w:rPr>
              <w:t>2</w:t>
            </w:r>
            <w:r w:rsidR="00800653" w:rsidRPr="00074130">
              <w:rPr>
                <w:b/>
                <w:bCs/>
                <w:szCs w:val="24"/>
                <w:lang w:val="es-ES_tradnl"/>
              </w:rPr>
              <w:t xml:space="preserve"> a la</w:t>
            </w:r>
            <w:r w:rsidR="00800653" w:rsidRPr="00074130">
              <w:rPr>
                <w:b/>
                <w:bCs/>
                <w:szCs w:val="24"/>
                <w:lang w:val="es-ES_tradnl"/>
              </w:rPr>
              <w:br/>
            </w:r>
            <w:r w:rsidR="001B3D4D" w:rsidRPr="00074130">
              <w:rPr>
                <w:b/>
                <w:bCs/>
                <w:szCs w:val="24"/>
                <w:lang w:val="es-ES_tradnl"/>
              </w:rPr>
              <w:t>CA/</w:t>
            </w:r>
            <w:r w:rsidR="00800653" w:rsidRPr="00074130">
              <w:rPr>
                <w:b/>
                <w:bCs/>
                <w:szCs w:val="24"/>
                <w:lang w:val="es-ES_tradnl"/>
              </w:rPr>
              <w:t>245</w:t>
            </w:r>
          </w:p>
        </w:tc>
        <w:tc>
          <w:tcPr>
            <w:tcW w:w="2835" w:type="dxa"/>
            <w:shd w:val="clear" w:color="auto" w:fill="auto"/>
          </w:tcPr>
          <w:p w:rsidR="00E53DCE" w:rsidRPr="00074130" w:rsidRDefault="00034141" w:rsidP="00034141">
            <w:pPr>
              <w:spacing w:before="0"/>
              <w:jc w:val="right"/>
              <w:rPr>
                <w:szCs w:val="24"/>
                <w:lang w:val="es-ES_tradnl"/>
              </w:rPr>
            </w:pPr>
            <w:r w:rsidRPr="00074130">
              <w:rPr>
                <w:bCs/>
                <w:szCs w:val="24"/>
                <w:lang w:val="es-ES_tradnl"/>
              </w:rPr>
              <w:t xml:space="preserve">20 de mayo de </w:t>
            </w:r>
            <w:r w:rsidR="00800653" w:rsidRPr="00074130">
              <w:rPr>
                <w:bCs/>
                <w:szCs w:val="24"/>
                <w:lang w:val="es-ES_tradnl"/>
              </w:rPr>
              <w:t>2019</w:t>
            </w:r>
          </w:p>
        </w:tc>
      </w:tr>
      <w:tr w:rsidR="00E53DCE" w:rsidRPr="0007413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74130" w:rsidRDefault="00E53DCE" w:rsidP="00034141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07413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74130" w:rsidRDefault="00E53DCE" w:rsidP="00034141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40D5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74130" w:rsidRDefault="00800653" w:rsidP="000341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74130">
              <w:rPr>
                <w:b/>
                <w:szCs w:val="24"/>
                <w:lang w:val="es-ES_tradnl"/>
              </w:rPr>
              <w:t>A las Administraciones de los Estados Miembros de la UIT y a los Observadores en la</w:t>
            </w:r>
            <w:r w:rsidR="00034141" w:rsidRPr="00074130">
              <w:rPr>
                <w:b/>
                <w:szCs w:val="24"/>
                <w:lang w:val="es-ES_tradnl"/>
              </w:rPr>
              <w:t>s</w:t>
            </w:r>
            <w:r w:rsidRPr="00074130">
              <w:rPr>
                <w:b/>
                <w:szCs w:val="24"/>
                <w:lang w:val="es-ES_tradnl"/>
              </w:rPr>
              <w:t xml:space="preserve"> </w:t>
            </w:r>
            <w:r w:rsidR="0053320A" w:rsidRPr="00074130">
              <w:rPr>
                <w:b/>
                <w:szCs w:val="24"/>
                <w:lang w:val="es-ES_tradnl"/>
              </w:rPr>
              <w:t>AR</w:t>
            </w:r>
            <w:r w:rsidR="0053320A" w:rsidRPr="00074130">
              <w:rPr>
                <w:b/>
                <w:szCs w:val="24"/>
                <w:lang w:val="es-ES_tradnl"/>
              </w:rPr>
              <w:noBreakHyphen/>
            </w:r>
            <w:r w:rsidR="00034141" w:rsidRPr="00074130">
              <w:rPr>
                <w:b/>
                <w:szCs w:val="24"/>
                <w:lang w:val="es-ES_tradnl"/>
              </w:rPr>
              <w:t>19/</w:t>
            </w:r>
            <w:r w:rsidRPr="00074130">
              <w:rPr>
                <w:b/>
                <w:szCs w:val="24"/>
                <w:lang w:val="es-ES_tradnl"/>
              </w:rPr>
              <w:t>CMR-19</w:t>
            </w:r>
          </w:p>
          <w:p w:rsidR="00E53DCE" w:rsidRPr="00074130" w:rsidRDefault="00E53DCE" w:rsidP="000341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40D5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74130" w:rsidRDefault="00E53DCE" w:rsidP="00034141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40D5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74130" w:rsidRDefault="00311970" w:rsidP="0003414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074130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074130" w:rsidRDefault="00034141" w:rsidP="0003414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074130">
              <w:rPr>
                <w:b/>
                <w:bCs/>
                <w:szCs w:val="24"/>
                <w:lang w:val="es-ES_tradnl"/>
              </w:rPr>
              <w:t>Asamblea de</w:t>
            </w:r>
            <w:r w:rsidR="00800653" w:rsidRPr="00074130">
              <w:rPr>
                <w:b/>
                <w:bCs/>
                <w:szCs w:val="24"/>
                <w:lang w:val="es-ES_tradnl"/>
              </w:rPr>
              <w:t xml:space="preserve"> Radiocomunicaciones de 2019 (</w:t>
            </w:r>
            <w:r w:rsidRPr="00074130">
              <w:rPr>
                <w:b/>
                <w:bCs/>
                <w:szCs w:val="24"/>
                <w:lang w:val="es-ES_tradnl"/>
              </w:rPr>
              <w:t>A</w:t>
            </w:r>
            <w:r w:rsidR="00800653" w:rsidRPr="00074130">
              <w:rPr>
                <w:b/>
                <w:bCs/>
                <w:szCs w:val="24"/>
                <w:lang w:val="es-ES_tradnl"/>
              </w:rPr>
              <w:t xml:space="preserve">R-19) </w:t>
            </w:r>
            <w:r w:rsidRPr="00074130">
              <w:rPr>
                <w:b/>
                <w:bCs/>
                <w:szCs w:val="24"/>
                <w:lang w:val="es-ES_tradnl"/>
              </w:rPr>
              <w:t>y Conferencia Mundial de Radiocomunicaciones de 2019 (CMR-19) – Inscripción y visados</w:t>
            </w:r>
          </w:p>
        </w:tc>
      </w:tr>
      <w:tr w:rsidR="00E53DCE" w:rsidRPr="00040D5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74130" w:rsidRDefault="00E53DCE" w:rsidP="0003414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74130" w:rsidRDefault="00E53DCE" w:rsidP="0003414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40D5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74130" w:rsidRDefault="00E53DCE" w:rsidP="0003414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74130" w:rsidRDefault="00E53DCE" w:rsidP="0003414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40D5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7413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F52B67" w:rsidRPr="00040D5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52B67" w:rsidRPr="00074130" w:rsidRDefault="00F52B67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800653" w:rsidRPr="00074130" w:rsidRDefault="00800653" w:rsidP="00042F69">
      <w:pPr>
        <w:pStyle w:val="Headingb"/>
        <w:rPr>
          <w:lang w:val="es-ES_tradnl"/>
        </w:rPr>
      </w:pPr>
      <w:r w:rsidRPr="00074130">
        <w:rPr>
          <w:lang w:val="es-ES_tradnl"/>
        </w:rPr>
        <w:t>Invitación, fecha y lugar de celebración</w:t>
      </w:r>
    </w:p>
    <w:p w:rsidR="00800653" w:rsidRPr="00074130" w:rsidRDefault="00800653" w:rsidP="00042F69">
      <w:pPr>
        <w:rPr>
          <w:lang w:val="es-ES_tradnl"/>
        </w:rPr>
      </w:pPr>
      <w:r w:rsidRPr="00074130">
        <w:rPr>
          <w:lang w:val="es-ES_tradnl"/>
        </w:rPr>
        <w:t xml:space="preserve">Conforme a lo anunciado por el Secretario General en las Cartas Circulares </w:t>
      </w:r>
      <w:hyperlink r:id="rId8" w:history="1">
        <w:r w:rsidRPr="00074130">
          <w:rPr>
            <w:rStyle w:val="Hyperlink"/>
            <w:lang w:val="es-ES_tradnl"/>
          </w:rPr>
          <w:t>CL-18/49</w:t>
        </w:r>
      </w:hyperlink>
      <w:r w:rsidRPr="00074130">
        <w:rPr>
          <w:lang w:val="es-ES_tradnl"/>
        </w:rPr>
        <w:t xml:space="preserve">, </w:t>
      </w:r>
      <w:hyperlink r:id="rId9" w:history="1">
        <w:r w:rsidRPr="00074130">
          <w:rPr>
            <w:rStyle w:val="Hyperlink"/>
            <w:lang w:val="es-ES_tradnl"/>
          </w:rPr>
          <w:t>DM-18/1005</w:t>
        </w:r>
      </w:hyperlink>
      <w:r w:rsidRPr="00074130">
        <w:rPr>
          <w:lang w:val="es-ES_tradnl"/>
        </w:rPr>
        <w:t xml:space="preserve"> y </w:t>
      </w:r>
      <w:hyperlink r:id="rId10" w:history="1">
        <w:r w:rsidRPr="00074130">
          <w:rPr>
            <w:rStyle w:val="Hyperlink"/>
            <w:lang w:val="es-ES_tradnl"/>
          </w:rPr>
          <w:t>DM-18/1006</w:t>
        </w:r>
      </w:hyperlink>
      <w:r w:rsidRPr="00074130">
        <w:rPr>
          <w:lang w:val="es-ES_tradnl"/>
        </w:rPr>
        <w:t xml:space="preserve"> de 11 de noviembre de 2018, la </w:t>
      </w:r>
      <w:hyperlink r:id="rId11" w:history="1">
        <w:r w:rsidRPr="00074130">
          <w:rPr>
            <w:rStyle w:val="Hyperlink"/>
            <w:lang w:val="es-ES_tradnl"/>
          </w:rPr>
          <w:t>Conferencia Mundial de Radiocomunicaciones de 2019 (CMR-19)</w:t>
        </w:r>
      </w:hyperlink>
      <w:r w:rsidRPr="00074130">
        <w:rPr>
          <w:lang w:val="es-ES_tradnl"/>
        </w:rPr>
        <w:t xml:space="preserve"> se celebrará del 28 de octubre al 22 de noviembre de 2019 en el Centro Internacional de Congresos de Sharm </w:t>
      </w:r>
      <w:r w:rsidR="00042F69" w:rsidRPr="00074130">
        <w:rPr>
          <w:lang w:val="es-ES_tradnl"/>
        </w:rPr>
        <w:t>e</w:t>
      </w:r>
      <w:r w:rsidRPr="00074130">
        <w:rPr>
          <w:lang w:val="es-ES_tradnl"/>
        </w:rPr>
        <w:t>l</w:t>
      </w:r>
      <w:r w:rsidR="00042F69" w:rsidRPr="00074130">
        <w:rPr>
          <w:lang w:val="es-ES_tradnl"/>
        </w:rPr>
        <w:t>-</w:t>
      </w:r>
      <w:r w:rsidRPr="00074130">
        <w:rPr>
          <w:lang w:val="es-ES_tradnl"/>
        </w:rPr>
        <w:t xml:space="preserve">Sheikh (SHICC), inmediatamente después de la </w:t>
      </w:r>
      <w:hyperlink r:id="rId12" w:history="1">
        <w:r w:rsidRPr="00074130">
          <w:rPr>
            <w:rStyle w:val="Hyperlink"/>
            <w:lang w:val="es-ES_tradnl"/>
          </w:rPr>
          <w:t>Asamblea de Radiocomunicaciones de</w:t>
        </w:r>
        <w:r w:rsidR="007418F1" w:rsidRPr="00074130">
          <w:rPr>
            <w:rStyle w:val="Hyperlink"/>
            <w:lang w:val="es-ES_tradnl"/>
          </w:rPr>
          <w:t xml:space="preserve"> 2019 (AR-19)</w:t>
        </w:r>
      </w:hyperlink>
      <w:r w:rsidR="007418F1" w:rsidRPr="00074130">
        <w:rPr>
          <w:lang w:val="es-ES_tradnl"/>
        </w:rPr>
        <w:t>.</w:t>
      </w:r>
    </w:p>
    <w:p w:rsidR="00800653" w:rsidRPr="00074130" w:rsidRDefault="00034141" w:rsidP="001B0975">
      <w:pPr>
        <w:rPr>
          <w:lang w:val="es-ES_tradnl"/>
        </w:rPr>
      </w:pPr>
      <w:r w:rsidRPr="00074130">
        <w:rPr>
          <w:lang w:val="es-ES_tradnl"/>
        </w:rPr>
        <w:t>En l</w:t>
      </w:r>
      <w:r w:rsidR="00800653" w:rsidRPr="00074130">
        <w:rPr>
          <w:lang w:val="es-ES_tradnl"/>
        </w:rPr>
        <w:t xml:space="preserve">a Circular Administrativa </w:t>
      </w:r>
      <w:hyperlink r:id="rId13" w:history="1">
        <w:r w:rsidR="001B0975" w:rsidRPr="00074130">
          <w:rPr>
            <w:rStyle w:val="Hyperlink"/>
            <w:szCs w:val="24"/>
            <w:lang w:val="es-ES_tradnl" w:eastAsia="zh-CN"/>
          </w:rPr>
          <w:t>CA/245</w:t>
        </w:r>
      </w:hyperlink>
      <w:r w:rsidR="00800653" w:rsidRPr="00074130">
        <w:rPr>
          <w:lang w:val="es-ES_tradnl"/>
        </w:rPr>
        <w:t xml:space="preserve">, de 13 de febrero de 2019, </w:t>
      </w:r>
      <w:r w:rsidRPr="00074130">
        <w:rPr>
          <w:lang w:val="es-ES_tradnl"/>
        </w:rPr>
        <w:t>se facilita</w:t>
      </w:r>
      <w:r w:rsidR="00800653" w:rsidRPr="00074130">
        <w:rPr>
          <w:lang w:val="es-ES_tradnl"/>
        </w:rPr>
        <w:t xml:space="preserve"> información detallada sobre la CMR-19 que resultará útil a los participantes en los preparativos de la misma.</w:t>
      </w:r>
      <w:r w:rsidR="00E1464B" w:rsidRPr="00074130">
        <w:rPr>
          <w:lang w:val="es-ES_tradnl"/>
        </w:rPr>
        <w:t xml:space="preserve"> </w:t>
      </w:r>
      <w:r w:rsidR="00800653" w:rsidRPr="00074130">
        <w:rPr>
          <w:lang w:val="es-ES_tradnl"/>
        </w:rPr>
        <w:t>E</w:t>
      </w:r>
      <w:r w:rsidRPr="00074130">
        <w:rPr>
          <w:lang w:val="es-ES_tradnl"/>
        </w:rPr>
        <w:t>l presente</w:t>
      </w:r>
      <w:r w:rsidR="00800653" w:rsidRPr="00074130">
        <w:rPr>
          <w:lang w:val="es-ES_tradnl"/>
        </w:rPr>
        <w:t xml:space="preserve"> </w:t>
      </w:r>
      <w:r w:rsidR="00042F69" w:rsidRPr="00074130">
        <w:rPr>
          <w:lang w:val="es-ES_tradnl"/>
        </w:rPr>
        <w:t>Addéndum</w:t>
      </w:r>
      <w:r w:rsidR="00800653" w:rsidRPr="00074130">
        <w:rPr>
          <w:lang w:val="es-ES_tradnl"/>
        </w:rPr>
        <w:t xml:space="preserve"> a la </w:t>
      </w:r>
      <w:hyperlink r:id="rId14" w:history="1">
        <w:r w:rsidR="001B0975" w:rsidRPr="00074130">
          <w:rPr>
            <w:rStyle w:val="Hyperlink"/>
            <w:szCs w:val="24"/>
            <w:lang w:val="es-ES_tradnl" w:eastAsia="zh-CN"/>
          </w:rPr>
          <w:t>CA/245</w:t>
        </w:r>
      </w:hyperlink>
      <w:r w:rsidR="001B0975" w:rsidRPr="00074130">
        <w:rPr>
          <w:lang w:val="es-ES_tradnl"/>
        </w:rPr>
        <w:t xml:space="preserve"> </w:t>
      </w:r>
      <w:r w:rsidR="00800653" w:rsidRPr="00074130">
        <w:rPr>
          <w:lang w:val="es-ES_tradnl"/>
        </w:rPr>
        <w:t xml:space="preserve">tiene por objeto </w:t>
      </w:r>
      <w:r w:rsidR="001B0975" w:rsidRPr="00074130">
        <w:rPr>
          <w:lang w:val="es-ES_tradnl"/>
        </w:rPr>
        <w:t xml:space="preserve">ofrecer información adicional </w:t>
      </w:r>
      <w:r w:rsidR="006929E5" w:rsidRPr="00074130">
        <w:rPr>
          <w:lang w:val="es-ES_tradnl"/>
        </w:rPr>
        <w:t xml:space="preserve">acerca de </w:t>
      </w:r>
      <w:r w:rsidR="00800653" w:rsidRPr="00074130">
        <w:rPr>
          <w:lang w:val="es-ES_tradnl"/>
        </w:rPr>
        <w:t>l</w:t>
      </w:r>
      <w:r w:rsidRPr="00074130">
        <w:rPr>
          <w:lang w:val="es-ES_tradnl"/>
        </w:rPr>
        <w:t>a inscripción a la</w:t>
      </w:r>
      <w:r w:rsidR="006929E5" w:rsidRPr="00074130">
        <w:rPr>
          <w:lang w:val="es-ES_tradnl"/>
        </w:rPr>
        <w:t xml:space="preserve"> AR-19 y la </w:t>
      </w:r>
      <w:r w:rsidRPr="00074130">
        <w:rPr>
          <w:lang w:val="es-ES_tradnl"/>
        </w:rPr>
        <w:t>C</w:t>
      </w:r>
      <w:r w:rsidR="00800653" w:rsidRPr="00074130">
        <w:rPr>
          <w:lang w:val="es-ES_tradnl"/>
        </w:rPr>
        <w:t>MR-19</w:t>
      </w:r>
      <w:r w:rsidR="001B0975" w:rsidRPr="00074130">
        <w:rPr>
          <w:lang w:val="es-ES_tradnl"/>
        </w:rPr>
        <w:t xml:space="preserve"> y </w:t>
      </w:r>
      <w:r w:rsidR="006929E5" w:rsidRPr="00074130">
        <w:rPr>
          <w:lang w:val="es-ES_tradnl"/>
        </w:rPr>
        <w:t>los visados</w:t>
      </w:r>
      <w:r w:rsidR="00800653" w:rsidRPr="00074130">
        <w:rPr>
          <w:lang w:val="es-ES_tradnl"/>
        </w:rPr>
        <w:t xml:space="preserve"> </w:t>
      </w:r>
      <w:r w:rsidR="006929E5" w:rsidRPr="00074130">
        <w:rPr>
          <w:lang w:val="es-ES_tradnl"/>
        </w:rPr>
        <w:t>que permitirán a los participantes viajar a Egipto.</w:t>
      </w:r>
    </w:p>
    <w:p w:rsidR="002D61A8" w:rsidRPr="00074130" w:rsidRDefault="002F6E78" w:rsidP="00F52B67">
      <w:pPr>
        <w:pStyle w:val="Headingb"/>
        <w:rPr>
          <w:lang w:val="es-ES_tradnl"/>
        </w:rPr>
      </w:pPr>
      <w:r w:rsidRPr="00074130">
        <w:rPr>
          <w:lang w:val="es-ES_tradnl"/>
        </w:rPr>
        <w:t>Inscripción</w:t>
      </w:r>
    </w:p>
    <w:p w:rsidR="002D61A8" w:rsidRPr="00074130" w:rsidRDefault="002F6E78" w:rsidP="001B0975">
      <w:pPr>
        <w:widowControl w:val="0"/>
        <w:rPr>
          <w:lang w:val="es-ES_tradnl"/>
        </w:rPr>
      </w:pPr>
      <w:r w:rsidRPr="00074130">
        <w:rPr>
          <w:b/>
          <w:bCs/>
          <w:lang w:val="es-ES_tradnl"/>
        </w:rPr>
        <w:t>Para la inscripción a la AR-19 y la CMR</w:t>
      </w:r>
      <w:r w:rsidR="002D61A8" w:rsidRPr="00074130">
        <w:rPr>
          <w:b/>
          <w:bCs/>
          <w:lang w:val="es-ES_tradnl"/>
        </w:rPr>
        <w:t xml:space="preserve">-19, </w:t>
      </w:r>
      <w:r w:rsidRPr="00074130">
        <w:rPr>
          <w:b/>
          <w:bCs/>
          <w:lang w:val="es-ES_tradnl"/>
        </w:rPr>
        <w:t xml:space="preserve">la Oficina de Radiocomunicaciones </w:t>
      </w:r>
      <w:r w:rsidR="001B0975" w:rsidRPr="00074130">
        <w:rPr>
          <w:b/>
          <w:bCs/>
          <w:lang w:val="es-ES_tradnl"/>
        </w:rPr>
        <w:t>pondrá en marcha</w:t>
      </w:r>
      <w:r w:rsidRPr="00074130">
        <w:rPr>
          <w:b/>
          <w:bCs/>
          <w:lang w:val="es-ES_tradnl"/>
        </w:rPr>
        <w:t xml:space="preserve"> una nueva plataforma de inscripción en línea para eventos</w:t>
      </w:r>
      <w:r w:rsidR="002D61A8" w:rsidRPr="00074130">
        <w:rPr>
          <w:lang w:val="es-ES_tradnl"/>
        </w:rPr>
        <w:t>.</w:t>
      </w:r>
      <w:r w:rsidR="00F52B67" w:rsidRPr="00074130">
        <w:rPr>
          <w:lang w:val="es-ES_tradnl"/>
        </w:rPr>
        <w:t xml:space="preserve"> </w:t>
      </w:r>
      <w:r w:rsidRPr="00074130">
        <w:rPr>
          <w:lang w:val="es-ES_tradnl"/>
        </w:rPr>
        <w:t xml:space="preserve">Se trata de la misma plataforma en línea que se utilizó en la PP-18, las reuniones del Consejo de la UIT, el GADT, etc. Esta nueva plataforma se utilizará en adelante para gestionar la inscripción de </w:t>
      </w:r>
      <w:r w:rsidR="00A614E8" w:rsidRPr="00074130">
        <w:rPr>
          <w:lang w:val="es-ES_tradnl"/>
        </w:rPr>
        <w:t xml:space="preserve">los </w:t>
      </w:r>
      <w:r w:rsidRPr="00074130">
        <w:rPr>
          <w:lang w:val="es-ES_tradnl"/>
        </w:rPr>
        <w:t xml:space="preserve">delegados </w:t>
      </w:r>
      <w:r w:rsidR="001B0975" w:rsidRPr="00074130">
        <w:rPr>
          <w:lang w:val="es-ES_tradnl"/>
        </w:rPr>
        <w:t>que asistan a</w:t>
      </w:r>
      <w:r w:rsidRPr="00074130">
        <w:rPr>
          <w:lang w:val="es-ES_tradnl"/>
        </w:rPr>
        <w:t xml:space="preserve"> todos los eventos del UIT-R pr</w:t>
      </w:r>
      <w:r w:rsidR="00A614E8" w:rsidRPr="00074130">
        <w:rPr>
          <w:lang w:val="es-ES_tradnl"/>
        </w:rPr>
        <w:t>evistos</w:t>
      </w:r>
      <w:r w:rsidRPr="00074130">
        <w:rPr>
          <w:lang w:val="es-ES_tradnl"/>
        </w:rPr>
        <w:t xml:space="preserve"> a partir de septiembre de 2019</w:t>
      </w:r>
      <w:r w:rsidR="00A614E8" w:rsidRPr="00074130">
        <w:rPr>
          <w:lang w:val="es-ES_tradnl"/>
        </w:rPr>
        <w:t xml:space="preserve">. </w:t>
      </w:r>
      <w:r w:rsidRPr="00074130">
        <w:rPr>
          <w:b/>
          <w:bCs/>
          <w:lang w:val="es-ES_tradnl"/>
        </w:rPr>
        <w:t xml:space="preserve">En esta nueva plataforma de inscripción, los participantes tendrán que completar primero un formulario de inscripción en línea y presentarlo para validación/aprobación por su coordinador designado (DFP) para </w:t>
      </w:r>
      <w:r w:rsidR="001B0975" w:rsidRPr="00074130">
        <w:rPr>
          <w:b/>
          <w:bCs/>
          <w:lang w:val="es-ES_tradnl"/>
        </w:rPr>
        <w:t>los</w:t>
      </w:r>
      <w:r w:rsidRPr="00074130">
        <w:rPr>
          <w:b/>
          <w:bCs/>
          <w:lang w:val="es-ES_tradnl"/>
        </w:rPr>
        <w:t xml:space="preserve"> eventos del UIT-R</w:t>
      </w:r>
      <w:r w:rsidR="00F52B67" w:rsidRPr="00074130">
        <w:rPr>
          <w:lang w:val="es-ES_tradnl"/>
        </w:rPr>
        <w:t xml:space="preserve">. </w:t>
      </w:r>
      <w:r w:rsidR="00A614E8" w:rsidRPr="00074130">
        <w:rPr>
          <w:lang w:val="es-ES_tradnl"/>
        </w:rPr>
        <w:t>La inscripción anticipada es obligatoria y se llevará a cabo exclusivamente en línea</w:t>
      </w:r>
      <w:r w:rsidR="00F52B67" w:rsidRPr="00074130">
        <w:rPr>
          <w:lang w:val="es-ES_tradnl"/>
        </w:rPr>
        <w:t>.</w:t>
      </w:r>
    </w:p>
    <w:p w:rsidR="002D61A8" w:rsidRPr="00074130" w:rsidRDefault="00A614E8" w:rsidP="00AC0C8C">
      <w:pPr>
        <w:widowControl w:val="0"/>
        <w:rPr>
          <w:lang w:val="es-ES_tradnl"/>
        </w:rPr>
      </w:pPr>
      <w:r w:rsidRPr="00074130">
        <w:rPr>
          <w:lang w:val="es-ES_tradnl"/>
        </w:rPr>
        <w:t>Las inscripciones a la AR-19 y la CMR-19 se abrirán el 22 de mayo de 2019. Téngase en cuenta que la inscripción a ambos eventos podrá realizar</w:t>
      </w:r>
      <w:r w:rsidR="001B0975" w:rsidRPr="00074130">
        <w:rPr>
          <w:lang w:val="es-ES_tradnl"/>
        </w:rPr>
        <w:t>se</w:t>
      </w:r>
      <w:r w:rsidRPr="00074130">
        <w:rPr>
          <w:lang w:val="es-ES_tradnl"/>
        </w:rPr>
        <w:t xml:space="preserve"> completando un formulario único de inscripción en línea. </w:t>
      </w:r>
      <w:r w:rsidRPr="00AC0C8C">
        <w:rPr>
          <w:lang w:val="es-ES_tradnl"/>
        </w:rPr>
        <w:t xml:space="preserve">En caso de que tenga alguna dificultad, sírvase consultar el siguiente enlace: </w:t>
      </w:r>
      <w:hyperlink r:id="rId15" w:history="1">
        <w:r w:rsidR="00AC0C8C" w:rsidRPr="00AC0C8C">
          <w:rPr>
            <w:rStyle w:val="Hyperlink"/>
            <w:lang w:val="es-ES"/>
          </w:rPr>
          <w:t>www.itu.int/en/ITU-R/conferences/Pages/RA-WRC-19-Registration.aspx</w:t>
        </w:r>
      </w:hyperlink>
      <w:r w:rsidRPr="00074130">
        <w:rPr>
          <w:lang w:val="es-ES_tradnl"/>
        </w:rPr>
        <w:t>.</w:t>
      </w:r>
    </w:p>
    <w:p w:rsidR="002D61A8" w:rsidRPr="00074130" w:rsidRDefault="00A614E8" w:rsidP="00C725F7">
      <w:pPr>
        <w:widowControl w:val="0"/>
        <w:rPr>
          <w:lang w:val="es-ES_tradnl"/>
        </w:rPr>
      </w:pPr>
      <w:r w:rsidRPr="00074130">
        <w:rPr>
          <w:lang w:val="es-ES_tradnl"/>
        </w:rPr>
        <w:t xml:space="preserve">Para obtener información adicional sobre la admisión y la inscripción a la CMR-19, consúltese el </w:t>
      </w:r>
      <w:r w:rsidRPr="00074130">
        <w:rPr>
          <w:b/>
          <w:bCs/>
          <w:lang w:val="es-ES_tradnl"/>
        </w:rPr>
        <w:t>sitio web de la CMR-19</w:t>
      </w:r>
      <w:r w:rsidR="00C725F7" w:rsidRPr="00074130">
        <w:rPr>
          <w:lang w:val="es-ES_tradnl"/>
        </w:rPr>
        <w:t>:</w:t>
      </w:r>
      <w:r w:rsidR="002D61A8" w:rsidRPr="00074130">
        <w:rPr>
          <w:lang w:val="es-ES_tradnl"/>
        </w:rPr>
        <w:t xml:space="preserve"> </w:t>
      </w:r>
      <w:hyperlink r:id="rId16" w:history="1">
        <w:r w:rsidR="002D61A8" w:rsidRPr="00074130">
          <w:rPr>
            <w:rStyle w:val="Hyperlink"/>
            <w:b/>
            <w:bCs/>
            <w:lang w:val="es-ES_tradnl"/>
          </w:rPr>
          <w:t>www.itu.int/go/WRC-19</w:t>
        </w:r>
      </w:hyperlink>
      <w:r w:rsidR="002D61A8" w:rsidRPr="00074130">
        <w:rPr>
          <w:lang w:val="es-ES_tradnl"/>
        </w:rPr>
        <w:t>.</w:t>
      </w:r>
    </w:p>
    <w:p w:rsidR="002D61A8" w:rsidRPr="00074130" w:rsidRDefault="00C725F7" w:rsidP="00345465">
      <w:pPr>
        <w:keepNext/>
        <w:keepLines/>
        <w:widowControl w:val="0"/>
        <w:rPr>
          <w:lang w:val="es-ES_tradnl"/>
        </w:rPr>
      </w:pPr>
      <w:r w:rsidRPr="00074130">
        <w:rPr>
          <w:lang w:val="es-ES_tradnl"/>
        </w:rPr>
        <w:lastRenderedPageBreak/>
        <w:t xml:space="preserve">De conformidad </w:t>
      </w:r>
      <w:r w:rsidR="00A614E8" w:rsidRPr="00074130">
        <w:rPr>
          <w:lang w:val="es-ES_tradnl"/>
        </w:rPr>
        <w:t xml:space="preserve">con la </w:t>
      </w:r>
      <w:r w:rsidRPr="00074130">
        <w:rPr>
          <w:lang w:val="es-ES_tradnl"/>
        </w:rPr>
        <w:t>Política de Igualdad e Integración de Género de la UIT</w:t>
      </w:r>
      <w:r w:rsidR="00A614E8" w:rsidRPr="00074130">
        <w:rPr>
          <w:lang w:val="es-ES_tradnl"/>
        </w:rPr>
        <w:t xml:space="preserve"> y la Resolución 198 (</w:t>
      </w:r>
      <w:r w:rsidRPr="00074130">
        <w:rPr>
          <w:lang w:val="es-ES_tradnl"/>
        </w:rPr>
        <w:t>Dubái</w:t>
      </w:r>
      <w:r w:rsidR="00A614E8" w:rsidRPr="00074130">
        <w:rPr>
          <w:lang w:val="es-ES_tradnl"/>
        </w:rPr>
        <w:t xml:space="preserve">, 2018) sobre </w:t>
      </w:r>
      <w:r w:rsidRPr="00074130">
        <w:rPr>
          <w:lang w:val="es-ES_tradnl"/>
        </w:rPr>
        <w:t>Empoderamiento de la juventud a través de las telecomunicaciones y las tecnologías de la información y de la comunicación</w:t>
      </w:r>
      <w:r w:rsidR="00A614E8" w:rsidRPr="00074130">
        <w:rPr>
          <w:lang w:val="es-ES_tradnl"/>
        </w:rPr>
        <w:t xml:space="preserve">, quisiera también aprovechar esta oportunidad para animarles a que incluyan a mujeres y jóvenes en su delegación. </w:t>
      </w:r>
      <w:r w:rsidRPr="00074130">
        <w:rPr>
          <w:lang w:val="es-ES_tradnl"/>
        </w:rPr>
        <w:t xml:space="preserve">En el marco </w:t>
      </w:r>
      <w:r w:rsidR="00A614E8" w:rsidRPr="00074130">
        <w:rPr>
          <w:lang w:val="es-ES_tradnl"/>
        </w:rPr>
        <w:t xml:space="preserve">de los compromisos </w:t>
      </w:r>
      <w:r w:rsidRPr="00074130">
        <w:rPr>
          <w:lang w:val="es-ES_tradnl"/>
        </w:rPr>
        <w:t>adquiridos por e</w:t>
      </w:r>
      <w:r w:rsidR="00A614E8" w:rsidRPr="00074130">
        <w:rPr>
          <w:lang w:val="es-ES_tradnl"/>
        </w:rPr>
        <w:t xml:space="preserve">l Secretario General como </w:t>
      </w:r>
      <w:r w:rsidR="00426231" w:rsidRPr="00074130">
        <w:rPr>
          <w:lang w:val="es-ES_tradnl"/>
        </w:rPr>
        <w:t>International Gender Champion (d</w:t>
      </w:r>
      <w:r w:rsidR="005875F2" w:rsidRPr="00074130">
        <w:rPr>
          <w:lang w:val="es-ES_tradnl"/>
        </w:rPr>
        <w:t xml:space="preserve">efensor </w:t>
      </w:r>
      <w:r w:rsidR="00426231" w:rsidRPr="00074130">
        <w:rPr>
          <w:lang w:val="es-ES_tradnl"/>
        </w:rPr>
        <w:t>i</w:t>
      </w:r>
      <w:r w:rsidR="00A614E8" w:rsidRPr="00074130">
        <w:rPr>
          <w:lang w:val="es-ES_tradnl"/>
        </w:rPr>
        <w:t>nternacional de</w:t>
      </w:r>
      <w:r w:rsidRPr="00074130">
        <w:rPr>
          <w:lang w:val="es-ES_tradnl"/>
        </w:rPr>
        <w:t xml:space="preserve"> </w:t>
      </w:r>
      <w:r w:rsidR="00426231" w:rsidRPr="00074130">
        <w:rPr>
          <w:lang w:val="es-ES_tradnl"/>
        </w:rPr>
        <w:t>la igualdad</w:t>
      </w:r>
      <w:r w:rsidRPr="00074130">
        <w:rPr>
          <w:lang w:val="es-ES_tradnl"/>
        </w:rPr>
        <w:t xml:space="preserve"> de</w:t>
      </w:r>
      <w:r w:rsidR="00A614E8" w:rsidRPr="00074130">
        <w:rPr>
          <w:lang w:val="es-ES_tradnl"/>
        </w:rPr>
        <w:t xml:space="preserve"> </w:t>
      </w:r>
      <w:r w:rsidR="00426231" w:rsidRPr="00074130">
        <w:rPr>
          <w:lang w:val="es-ES_tradnl"/>
        </w:rPr>
        <w:t>g</w:t>
      </w:r>
      <w:r w:rsidR="00A614E8" w:rsidRPr="00074130">
        <w:rPr>
          <w:lang w:val="es-ES_tradnl"/>
        </w:rPr>
        <w:t>énero</w:t>
      </w:r>
      <w:r w:rsidR="00426231" w:rsidRPr="00074130">
        <w:rPr>
          <w:lang w:val="es-ES_tradnl"/>
        </w:rPr>
        <w:t>)</w:t>
      </w:r>
      <w:r w:rsidR="00A614E8" w:rsidRPr="00074130">
        <w:rPr>
          <w:lang w:val="es-ES_tradnl"/>
        </w:rPr>
        <w:t xml:space="preserve">, la UIT </w:t>
      </w:r>
      <w:r w:rsidR="00426231" w:rsidRPr="00074130">
        <w:rPr>
          <w:lang w:val="es-ES_tradnl"/>
        </w:rPr>
        <w:t xml:space="preserve">elabora </w:t>
      </w:r>
      <w:r w:rsidR="00A614E8" w:rsidRPr="00074130">
        <w:rPr>
          <w:lang w:val="es-ES_tradnl"/>
        </w:rPr>
        <w:t>inform</w:t>
      </w:r>
      <w:r w:rsidR="00426231" w:rsidRPr="00074130">
        <w:rPr>
          <w:lang w:val="es-ES_tradnl"/>
        </w:rPr>
        <w:t>es</w:t>
      </w:r>
      <w:r w:rsidR="00A614E8" w:rsidRPr="00074130">
        <w:rPr>
          <w:lang w:val="es-ES_tradnl"/>
        </w:rPr>
        <w:t xml:space="preserve"> sobre la representación de las mujeres en todas las reuniones de la UIT</w:t>
      </w:r>
      <w:r w:rsidR="002D61A8" w:rsidRPr="00074130">
        <w:rPr>
          <w:lang w:val="es-ES_tradnl"/>
        </w:rPr>
        <w:t>.</w:t>
      </w:r>
    </w:p>
    <w:p w:rsidR="002D61A8" w:rsidRPr="00074130" w:rsidRDefault="002D61A8" w:rsidP="00877942">
      <w:pPr>
        <w:pStyle w:val="Headingb"/>
        <w:rPr>
          <w:lang w:val="es-ES_tradnl"/>
        </w:rPr>
      </w:pPr>
      <w:r w:rsidRPr="00074130">
        <w:rPr>
          <w:lang w:val="es-ES_tradnl"/>
        </w:rPr>
        <w:t xml:space="preserve">Asistencia para </w:t>
      </w:r>
      <w:r w:rsidR="00917ED7" w:rsidRPr="00074130">
        <w:rPr>
          <w:lang w:val="es-ES_tradnl"/>
        </w:rPr>
        <w:t>el</w:t>
      </w:r>
      <w:r w:rsidR="00877942" w:rsidRPr="00074130">
        <w:rPr>
          <w:lang w:val="es-ES_tradnl"/>
        </w:rPr>
        <w:t xml:space="preserve"> visado</w:t>
      </w:r>
    </w:p>
    <w:p w:rsidR="002D61A8" w:rsidRPr="00074130" w:rsidRDefault="002D61A8" w:rsidP="00917ED7">
      <w:pPr>
        <w:widowControl w:val="0"/>
        <w:rPr>
          <w:lang w:val="es-ES_tradnl"/>
        </w:rPr>
      </w:pPr>
      <w:r w:rsidRPr="00074130">
        <w:rPr>
          <w:lang w:val="es-ES_tradnl"/>
        </w:rPr>
        <w:t xml:space="preserve">Le informamos que los visados no pueden obtenerse a través de la Secretaría de la UIT. </w:t>
      </w:r>
      <w:r w:rsidR="00426231" w:rsidRPr="00074130">
        <w:rPr>
          <w:lang w:val="es-ES_tradnl"/>
        </w:rPr>
        <w:t xml:space="preserve">Todas las </w:t>
      </w:r>
      <w:r w:rsidR="00917ED7" w:rsidRPr="00074130">
        <w:rPr>
          <w:lang w:val="es-ES_tradnl"/>
        </w:rPr>
        <w:t>consultas</w:t>
      </w:r>
      <w:r w:rsidR="00426231" w:rsidRPr="00074130">
        <w:rPr>
          <w:lang w:val="es-ES_tradnl"/>
        </w:rPr>
        <w:t xml:space="preserve"> pertinentes debe</w:t>
      </w:r>
      <w:r w:rsidR="00917ED7" w:rsidRPr="00074130">
        <w:rPr>
          <w:lang w:val="es-ES_tradnl"/>
        </w:rPr>
        <w:t>rá</w:t>
      </w:r>
      <w:r w:rsidR="00426231" w:rsidRPr="00074130">
        <w:rPr>
          <w:lang w:val="es-ES_tradnl"/>
        </w:rPr>
        <w:t>n en</w:t>
      </w:r>
      <w:r w:rsidR="00917ED7" w:rsidRPr="00074130">
        <w:rPr>
          <w:lang w:val="es-ES_tradnl"/>
        </w:rPr>
        <w:t>viarse por correo electrónico a la dirección</w:t>
      </w:r>
      <w:r w:rsidRPr="00074130">
        <w:rPr>
          <w:lang w:val="es-ES_tradnl"/>
        </w:rPr>
        <w:t xml:space="preserve">: </w:t>
      </w:r>
      <w:hyperlink r:id="rId17" w:history="1"/>
      <w:hyperlink r:id="rId18" w:tgtFrame="_blank" w:history="1">
        <w:r w:rsidRPr="00074130">
          <w:rPr>
            <w:rStyle w:val="Hyperlink"/>
            <w:lang w:val="es-ES_tradnl"/>
          </w:rPr>
          <w:t>wrcvisa@tra.gov.eg</w:t>
        </w:r>
      </w:hyperlink>
      <w:r w:rsidRPr="00074130">
        <w:rPr>
          <w:lang w:val="es-ES_tradnl"/>
        </w:rPr>
        <w:t>.</w:t>
      </w:r>
    </w:p>
    <w:p w:rsidR="002D61A8" w:rsidRPr="00074130" w:rsidRDefault="00426231" w:rsidP="00917ED7">
      <w:pPr>
        <w:widowControl w:val="0"/>
        <w:rPr>
          <w:lang w:val="es-ES_tradnl"/>
        </w:rPr>
      </w:pPr>
      <w:r w:rsidRPr="00074130">
        <w:rPr>
          <w:lang w:val="es-ES_tradnl"/>
        </w:rPr>
        <w:t xml:space="preserve">El sitio web del país anfitrión </w:t>
      </w:r>
      <w:r w:rsidR="00917ED7" w:rsidRPr="00074130">
        <w:rPr>
          <w:lang w:val="es-ES_tradnl"/>
        </w:rPr>
        <w:t>(</w:t>
      </w:r>
      <w:hyperlink r:id="rId19" w:history="1">
        <w:r w:rsidR="00917ED7" w:rsidRPr="00074130">
          <w:rPr>
            <w:rStyle w:val="Hyperlink"/>
            <w:lang w:val="es-ES_tradnl"/>
          </w:rPr>
          <w:t>https://wrc19egypt.eg/</w:t>
        </w:r>
      </w:hyperlink>
      <w:r w:rsidR="00917ED7" w:rsidRPr="00074130">
        <w:rPr>
          <w:lang w:val="es-ES_tradnl"/>
        </w:rPr>
        <w:t xml:space="preserve">), </w:t>
      </w:r>
      <w:r w:rsidRPr="00074130">
        <w:rPr>
          <w:lang w:val="es-ES_tradnl"/>
        </w:rPr>
        <w:t>al que también se puede acceder desde los sitios web de la AR-19 y de la CMR-19, contiene información sobre los requisitos de visado para viajar a Egipto y sobre cómo solicitar un visado pa</w:t>
      </w:r>
      <w:r w:rsidR="00917ED7" w:rsidRPr="00074130">
        <w:rPr>
          <w:lang w:val="es-ES_tradnl"/>
        </w:rPr>
        <w:t xml:space="preserve">ra participar en la </w:t>
      </w:r>
      <w:r w:rsidR="0063448E" w:rsidRPr="00074130">
        <w:rPr>
          <w:lang w:val="es-ES_tradnl"/>
        </w:rPr>
        <w:t>Conferencia</w:t>
      </w:r>
      <w:r w:rsidR="00877942" w:rsidRPr="00074130">
        <w:rPr>
          <w:lang w:val="es-ES_tradnl"/>
        </w:rPr>
        <w:t>.</w:t>
      </w:r>
    </w:p>
    <w:p w:rsidR="002D61A8" w:rsidRPr="00074130" w:rsidRDefault="00426231" w:rsidP="00B77538">
      <w:pPr>
        <w:widowControl w:val="0"/>
        <w:rPr>
          <w:lang w:val="es-ES_tradnl"/>
        </w:rPr>
      </w:pPr>
      <w:r w:rsidRPr="00074130">
        <w:rPr>
          <w:lang w:val="es-ES_tradnl"/>
        </w:rPr>
        <w:t>Se recomienda encarecidamente a los participantes que se inscriban</w:t>
      </w:r>
      <w:r w:rsidR="00917ED7" w:rsidRPr="00074130">
        <w:rPr>
          <w:lang w:val="es-ES_tradnl"/>
        </w:rPr>
        <w:t xml:space="preserve"> a</w:t>
      </w:r>
      <w:r w:rsidRPr="00074130">
        <w:rPr>
          <w:lang w:val="es-ES_tradnl"/>
        </w:rPr>
        <w:t xml:space="preserve"> </w:t>
      </w:r>
      <w:r w:rsidR="00917ED7" w:rsidRPr="00074130">
        <w:rPr>
          <w:lang w:val="es-ES_tradnl"/>
        </w:rPr>
        <w:t xml:space="preserve">la AR-19 y/o la CMR-19 </w:t>
      </w:r>
      <w:r w:rsidRPr="00074130">
        <w:rPr>
          <w:lang w:val="es-ES_tradnl"/>
        </w:rPr>
        <w:t xml:space="preserve">con </w:t>
      </w:r>
      <w:r w:rsidR="00917ED7" w:rsidRPr="00074130">
        <w:rPr>
          <w:lang w:val="es-ES_tradnl"/>
        </w:rPr>
        <w:t xml:space="preserve">suficiente </w:t>
      </w:r>
      <w:r w:rsidRPr="00074130">
        <w:rPr>
          <w:lang w:val="es-ES_tradnl"/>
        </w:rPr>
        <w:t>antelación para que puedan solicitar sus visados de entrada dentro del plazo es</w:t>
      </w:r>
      <w:r w:rsidR="00696365" w:rsidRPr="00074130">
        <w:rPr>
          <w:lang w:val="es-ES_tradnl"/>
        </w:rPr>
        <w:t>tablecido</w:t>
      </w:r>
      <w:r w:rsidRPr="00074130">
        <w:rPr>
          <w:lang w:val="es-ES_tradnl"/>
        </w:rPr>
        <w:t>. El</w:t>
      </w:r>
      <w:r w:rsidR="00696365" w:rsidRPr="00074130">
        <w:rPr>
          <w:lang w:val="es-ES_tradnl"/>
        </w:rPr>
        <w:t xml:space="preserve"> mensaje</w:t>
      </w:r>
      <w:r w:rsidRPr="00074130">
        <w:rPr>
          <w:lang w:val="es-ES_tradnl"/>
        </w:rPr>
        <w:t xml:space="preserve"> electrónico de confirmación </w:t>
      </w:r>
      <w:r w:rsidR="00696365" w:rsidRPr="00074130">
        <w:rPr>
          <w:lang w:val="es-ES_tradnl"/>
        </w:rPr>
        <w:t xml:space="preserve">oficial </w:t>
      </w:r>
      <w:r w:rsidRPr="00074130">
        <w:rPr>
          <w:lang w:val="es-ES_tradnl"/>
        </w:rPr>
        <w:t>de inscripción e</w:t>
      </w:r>
      <w:r w:rsidR="00B77538" w:rsidRPr="00074130">
        <w:rPr>
          <w:lang w:val="es-ES_tradnl"/>
        </w:rPr>
        <w:t>nviado</w:t>
      </w:r>
      <w:r w:rsidRPr="00074130">
        <w:rPr>
          <w:lang w:val="es-ES_tradnl"/>
        </w:rPr>
        <w:t xml:space="preserve"> por la UIT debe</w:t>
      </w:r>
      <w:r w:rsidR="00B77538" w:rsidRPr="00074130">
        <w:rPr>
          <w:lang w:val="es-ES_tradnl"/>
        </w:rPr>
        <w:t>rá</w:t>
      </w:r>
      <w:r w:rsidRPr="00074130">
        <w:rPr>
          <w:lang w:val="es-ES_tradnl"/>
        </w:rPr>
        <w:t xml:space="preserve"> presentarse con </w:t>
      </w:r>
      <w:r w:rsidR="00696365" w:rsidRPr="00074130">
        <w:rPr>
          <w:lang w:val="es-ES_tradnl"/>
        </w:rPr>
        <w:t>la</w:t>
      </w:r>
      <w:r w:rsidR="003562A6" w:rsidRPr="00074130">
        <w:rPr>
          <w:lang w:val="es-ES_tradnl"/>
        </w:rPr>
        <w:t xml:space="preserve"> solicitud de visado. </w:t>
      </w:r>
      <w:r w:rsidRPr="00074130">
        <w:rPr>
          <w:lang w:val="es-ES_tradnl"/>
        </w:rPr>
        <w:t>Se in</w:t>
      </w:r>
      <w:r w:rsidR="00B77538" w:rsidRPr="00074130">
        <w:rPr>
          <w:lang w:val="es-ES_tradnl"/>
        </w:rPr>
        <w:t>sta</w:t>
      </w:r>
      <w:r w:rsidRPr="00074130">
        <w:rPr>
          <w:lang w:val="es-ES_tradnl"/>
        </w:rPr>
        <w:t xml:space="preserve"> a los participantes a que presenten su solicitud de visado con los documentos oficiales requeridos a las autoridades egipcias, prefer</w:t>
      </w:r>
      <w:r w:rsidR="00B77538" w:rsidRPr="00074130">
        <w:rPr>
          <w:lang w:val="es-ES_tradnl"/>
        </w:rPr>
        <w:t>ente</w:t>
      </w:r>
      <w:r w:rsidRPr="00074130">
        <w:rPr>
          <w:lang w:val="es-ES_tradnl"/>
        </w:rPr>
        <w:t xml:space="preserve">mente 12 semanas, </w:t>
      </w:r>
      <w:r w:rsidR="00B77538" w:rsidRPr="00074130">
        <w:rPr>
          <w:lang w:val="es-ES_tradnl"/>
        </w:rPr>
        <w:t xml:space="preserve">y en todo caso, </w:t>
      </w:r>
      <w:r w:rsidRPr="00074130">
        <w:rPr>
          <w:lang w:val="es-ES_tradnl"/>
        </w:rPr>
        <w:t>no menos de 6</w:t>
      </w:r>
      <w:r w:rsidR="00B77538" w:rsidRPr="00074130">
        <w:rPr>
          <w:lang w:val="es-ES_tradnl"/>
        </w:rPr>
        <w:t xml:space="preserve"> semanas</w:t>
      </w:r>
      <w:r w:rsidRPr="00074130">
        <w:rPr>
          <w:lang w:val="es-ES_tradnl"/>
        </w:rPr>
        <w:t>, antes</w:t>
      </w:r>
      <w:r w:rsidR="00B77538" w:rsidRPr="00074130">
        <w:rPr>
          <w:lang w:val="es-ES_tradnl"/>
        </w:rPr>
        <w:t xml:space="preserve"> de la fecha de salida a Egipto</w:t>
      </w:r>
      <w:r w:rsidR="003562A6" w:rsidRPr="00074130">
        <w:rPr>
          <w:lang w:val="es-ES_tradnl"/>
        </w:rPr>
        <w:t>.</w:t>
      </w:r>
    </w:p>
    <w:p w:rsidR="002D61A8" w:rsidRPr="00074130" w:rsidRDefault="00996E30" w:rsidP="005D15C4">
      <w:pPr>
        <w:pStyle w:val="Headingb"/>
        <w:rPr>
          <w:lang w:val="es-ES_tradnl"/>
        </w:rPr>
      </w:pPr>
      <w:r w:rsidRPr="00074130">
        <w:rPr>
          <w:lang w:val="es-ES_tradnl"/>
        </w:rPr>
        <w:t>Ceremonia de apertura de la CMR</w:t>
      </w:r>
      <w:r w:rsidR="005D15C4" w:rsidRPr="00074130">
        <w:rPr>
          <w:lang w:val="es-ES_tradnl"/>
        </w:rPr>
        <w:t>-19</w:t>
      </w:r>
    </w:p>
    <w:p w:rsidR="002D61A8" w:rsidRPr="00074130" w:rsidRDefault="00426231" w:rsidP="00426231">
      <w:pPr>
        <w:widowControl w:val="0"/>
        <w:rPr>
          <w:lang w:val="es-ES_tradnl"/>
        </w:rPr>
      </w:pPr>
      <w:r w:rsidRPr="00074130">
        <w:rPr>
          <w:lang w:val="es-ES_tradnl"/>
        </w:rPr>
        <w:t>En cumplimiento de los protocolos de seguridad de la República Árabe de Egipto, y con el fin de poder acceder a la ceremonia de apertura de la CMR-19, los participantes deberán facilitar los datos de su pasaporte al inscribirse</w:t>
      </w:r>
      <w:r w:rsidR="002D61A8" w:rsidRPr="00074130">
        <w:rPr>
          <w:lang w:val="es-ES_tradnl"/>
        </w:rPr>
        <w:t xml:space="preserve">. </w:t>
      </w:r>
      <w:r w:rsidR="00996E30" w:rsidRPr="00074130">
        <w:rPr>
          <w:lang w:val="es-ES_tradnl"/>
        </w:rPr>
        <w:t xml:space="preserve">Por razones de seguridad, el país anfitrión denegará el acceso a la ceremonia de apertura a los participantes que no hayan proporcionado dicha información. Los datos compilados </w:t>
      </w:r>
      <w:r w:rsidR="00996E30" w:rsidRPr="00074130">
        <w:rPr>
          <w:b/>
          <w:bCs/>
          <w:lang w:val="es-ES_tradnl"/>
        </w:rPr>
        <w:t>durante las inscripciones</w:t>
      </w:r>
      <w:r w:rsidR="00996E30" w:rsidRPr="00074130">
        <w:rPr>
          <w:lang w:val="es-ES_tradnl"/>
        </w:rPr>
        <w:t xml:space="preserve"> se facilitarán al país anfitrión (la NTRA</w:t>
      </w:r>
      <w:r w:rsidRPr="00074130">
        <w:rPr>
          <w:lang w:val="es-ES_tradnl"/>
        </w:rPr>
        <w:t>,</w:t>
      </w:r>
      <w:r w:rsidR="00996E30" w:rsidRPr="00074130">
        <w:rPr>
          <w:lang w:val="es-ES_tradnl"/>
        </w:rPr>
        <w:t xml:space="preserve"> en nombre del Gobierno), que se encargará de la recogida y la gestión de los mismos.</w:t>
      </w:r>
    </w:p>
    <w:p w:rsidR="002D61A8" w:rsidRPr="00074130" w:rsidRDefault="00996E30" w:rsidP="004E65E7">
      <w:pPr>
        <w:widowControl w:val="0"/>
        <w:rPr>
          <w:lang w:val="es-ES_tradnl"/>
        </w:rPr>
      </w:pPr>
      <w:r w:rsidRPr="00074130">
        <w:rPr>
          <w:lang w:val="es-ES_tradnl"/>
        </w:rPr>
        <w:t xml:space="preserve">Esta información se utilizará únicamente a efectos de la realización de un </w:t>
      </w:r>
      <w:r w:rsidR="004E65E7" w:rsidRPr="00074130">
        <w:rPr>
          <w:lang w:val="es-ES_tradnl"/>
        </w:rPr>
        <w:t>«</w:t>
      </w:r>
      <w:r w:rsidRPr="00074130">
        <w:rPr>
          <w:b/>
          <w:bCs/>
          <w:lang w:val="es-ES_tradnl"/>
        </w:rPr>
        <w:t>pase secundario</w:t>
      </w:r>
      <w:r w:rsidR="004E65E7" w:rsidRPr="00074130">
        <w:rPr>
          <w:lang w:val="es-ES_tradnl"/>
        </w:rPr>
        <w:t>»</w:t>
      </w:r>
      <w:r w:rsidR="002F6E78" w:rsidRPr="00074130">
        <w:rPr>
          <w:lang w:val="es-ES_tradnl"/>
        </w:rPr>
        <w:t xml:space="preserve"> para acceder a la ceremonia de apertura </w:t>
      </w:r>
      <w:r w:rsidRPr="00074130">
        <w:rPr>
          <w:lang w:val="es-ES_tradnl"/>
        </w:rPr>
        <w:t>y el país anfitrión la conservará en estricta confidencialidad y la destruirá inmediatamente después de la ceremonia</w:t>
      </w:r>
      <w:r w:rsidR="002D61A8" w:rsidRPr="00074130">
        <w:rPr>
          <w:lang w:val="es-ES_tradnl"/>
        </w:rPr>
        <w:t>.</w:t>
      </w:r>
    </w:p>
    <w:p w:rsidR="00040D51" w:rsidRDefault="00040D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s-ES_tradnl"/>
        </w:rPr>
      </w:pPr>
      <w:r>
        <w:rPr>
          <w:lang w:val="es-ES_tradnl"/>
        </w:rPr>
        <w:br w:type="page"/>
      </w:r>
    </w:p>
    <w:p w:rsidR="002D61A8" w:rsidRPr="00074130" w:rsidRDefault="00DC6175" w:rsidP="004E65E7">
      <w:pPr>
        <w:pStyle w:val="Headingb"/>
        <w:rPr>
          <w:lang w:val="es-ES_tradnl"/>
        </w:rPr>
      </w:pPr>
      <w:r w:rsidRPr="00074130">
        <w:rPr>
          <w:lang w:val="es-ES_tradnl"/>
        </w:rPr>
        <w:lastRenderedPageBreak/>
        <w:t>Otra información</w:t>
      </w:r>
    </w:p>
    <w:p w:rsidR="002D61A8" w:rsidRPr="00074130" w:rsidRDefault="00DC6175" w:rsidP="004E65E7">
      <w:pPr>
        <w:widowControl w:val="0"/>
        <w:rPr>
          <w:lang w:val="es-ES_tradnl"/>
        </w:rPr>
      </w:pPr>
      <w:r w:rsidRPr="00074130">
        <w:rPr>
          <w:lang w:val="es-ES_tradnl"/>
        </w:rPr>
        <w:t>Sírvase dirigir sus preguntas sobre cuestiones relativas a la inscripción a la AR-19 y la CMR-19 a la dirección:</w:t>
      </w:r>
      <w:r w:rsidR="002D61A8" w:rsidRPr="00074130">
        <w:rPr>
          <w:lang w:val="es-ES_tradnl"/>
        </w:rPr>
        <w:t xml:space="preserve"> </w:t>
      </w:r>
      <w:hyperlink r:id="rId20" w:history="1">
        <w:r w:rsidR="002D61A8" w:rsidRPr="00074130">
          <w:rPr>
            <w:rStyle w:val="Hyperlink"/>
            <w:lang w:val="es-ES_tradnl"/>
          </w:rPr>
          <w:t>ITU-R.Registrations@itu.int</w:t>
        </w:r>
      </w:hyperlink>
      <w:r w:rsidR="004E65E7" w:rsidRPr="00074130">
        <w:rPr>
          <w:lang w:val="es-ES_tradnl"/>
        </w:rPr>
        <w:t>.</w:t>
      </w:r>
    </w:p>
    <w:p w:rsidR="00426231" w:rsidRPr="00074130" w:rsidRDefault="002D61A8" w:rsidP="00040D51">
      <w:pPr>
        <w:widowControl w:val="0"/>
        <w:spacing w:before="1080" w:line="240" w:lineRule="auto"/>
        <w:jc w:val="left"/>
        <w:rPr>
          <w:lang w:val="es-ES_tradnl"/>
        </w:rPr>
      </w:pPr>
      <w:bookmarkStart w:id="0" w:name="_GoBack"/>
      <w:bookmarkEnd w:id="0"/>
      <w:r w:rsidRPr="00074130">
        <w:rPr>
          <w:lang w:val="es-ES_tradnl"/>
        </w:rPr>
        <w:t>Mario Maniewicz</w:t>
      </w:r>
      <w:r w:rsidR="007874AB" w:rsidRPr="00074130">
        <w:rPr>
          <w:lang w:val="es-ES_tradnl"/>
        </w:rPr>
        <w:br/>
      </w:r>
      <w:r w:rsidRPr="00074130">
        <w:rPr>
          <w:lang w:val="es-ES_tradnl"/>
        </w:rPr>
        <w:t>Director</w:t>
      </w:r>
    </w:p>
    <w:p w:rsidR="00040D51" w:rsidRDefault="00040D51" w:rsidP="00426231">
      <w:pPr>
        <w:widowControl w:val="0"/>
        <w:spacing w:before="0" w:line="240" w:lineRule="auto"/>
        <w:jc w:val="left"/>
        <w:rPr>
          <w:b/>
          <w:bCs/>
          <w:sz w:val="18"/>
          <w:szCs w:val="18"/>
          <w:lang w:val="es-ES_tradnl"/>
        </w:rPr>
      </w:pPr>
    </w:p>
    <w:p w:rsidR="00040D51" w:rsidRDefault="00040D51" w:rsidP="00426231">
      <w:pPr>
        <w:widowControl w:val="0"/>
        <w:spacing w:before="0" w:line="240" w:lineRule="auto"/>
        <w:jc w:val="left"/>
        <w:rPr>
          <w:b/>
          <w:bCs/>
          <w:sz w:val="18"/>
          <w:szCs w:val="18"/>
          <w:lang w:val="es-ES_tradnl"/>
        </w:rPr>
      </w:pPr>
    </w:p>
    <w:p w:rsidR="00040D51" w:rsidRDefault="00040D51" w:rsidP="00426231">
      <w:pPr>
        <w:widowControl w:val="0"/>
        <w:spacing w:before="0" w:line="240" w:lineRule="auto"/>
        <w:jc w:val="left"/>
        <w:rPr>
          <w:b/>
          <w:bCs/>
          <w:sz w:val="18"/>
          <w:szCs w:val="18"/>
          <w:lang w:val="es-ES_tradnl"/>
        </w:rPr>
      </w:pPr>
    </w:p>
    <w:p w:rsidR="00040D51" w:rsidRDefault="00040D51" w:rsidP="00426231">
      <w:pPr>
        <w:widowControl w:val="0"/>
        <w:spacing w:before="0" w:line="240" w:lineRule="auto"/>
        <w:jc w:val="left"/>
        <w:rPr>
          <w:b/>
          <w:bCs/>
          <w:sz w:val="18"/>
          <w:szCs w:val="18"/>
          <w:lang w:val="es-ES_tradnl"/>
        </w:rPr>
      </w:pPr>
    </w:p>
    <w:p w:rsidR="00040D51" w:rsidRDefault="00040D51" w:rsidP="00426231">
      <w:pPr>
        <w:widowControl w:val="0"/>
        <w:spacing w:before="0" w:line="240" w:lineRule="auto"/>
        <w:jc w:val="left"/>
        <w:rPr>
          <w:b/>
          <w:bCs/>
          <w:sz w:val="18"/>
          <w:szCs w:val="18"/>
          <w:lang w:val="es-ES_tradnl"/>
        </w:rPr>
      </w:pPr>
    </w:p>
    <w:p w:rsidR="002D61A8" w:rsidRPr="00074130" w:rsidRDefault="00426231" w:rsidP="00426231">
      <w:pPr>
        <w:widowControl w:val="0"/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074130">
        <w:rPr>
          <w:b/>
          <w:bCs/>
          <w:sz w:val="18"/>
          <w:szCs w:val="18"/>
          <w:lang w:val="es-ES_tradnl"/>
        </w:rPr>
        <w:t>Di</w:t>
      </w:r>
      <w:r w:rsidR="002D61A8" w:rsidRPr="00074130">
        <w:rPr>
          <w:b/>
          <w:bCs/>
          <w:sz w:val="18"/>
          <w:szCs w:val="18"/>
          <w:lang w:val="es-ES_tradnl"/>
        </w:rPr>
        <w:t>stribución:</w:t>
      </w:r>
    </w:p>
    <w:p w:rsidR="002D61A8" w:rsidRPr="00074130" w:rsidRDefault="002D61A8" w:rsidP="008255AA">
      <w:pPr>
        <w:tabs>
          <w:tab w:val="clear" w:pos="794"/>
          <w:tab w:val="left" w:pos="284"/>
        </w:tabs>
        <w:spacing w:before="0"/>
        <w:jc w:val="left"/>
        <w:rPr>
          <w:sz w:val="18"/>
          <w:szCs w:val="18"/>
          <w:lang w:val="es-ES_tradnl"/>
        </w:rPr>
      </w:pPr>
      <w:r w:rsidRPr="00074130">
        <w:rPr>
          <w:sz w:val="18"/>
          <w:szCs w:val="18"/>
          <w:lang w:val="es-ES_tradnl"/>
        </w:rPr>
        <w:t>–</w:t>
      </w:r>
      <w:r w:rsidRPr="00074130">
        <w:rPr>
          <w:sz w:val="18"/>
          <w:szCs w:val="18"/>
          <w:lang w:val="es-ES_tradnl"/>
        </w:rPr>
        <w:tab/>
        <w:t>Administraciones de los Estados Miembros de la UIT</w:t>
      </w:r>
      <w:r w:rsidR="008255AA" w:rsidRPr="00074130">
        <w:rPr>
          <w:sz w:val="18"/>
          <w:szCs w:val="18"/>
          <w:lang w:val="es-ES_tradnl"/>
        </w:rPr>
        <w:br/>
      </w:r>
      <w:r w:rsidRPr="00074130">
        <w:rPr>
          <w:sz w:val="18"/>
          <w:szCs w:val="18"/>
          <w:lang w:val="es-ES_tradnl"/>
        </w:rPr>
        <w:t>–</w:t>
      </w:r>
      <w:r w:rsidRPr="00074130">
        <w:rPr>
          <w:sz w:val="18"/>
          <w:szCs w:val="18"/>
          <w:lang w:val="es-ES_tradnl"/>
        </w:rPr>
        <w:tab/>
        <w:t>Observador (Resolución 99 (Rev. Dubái, 2018))</w:t>
      </w:r>
      <w:r w:rsidR="008255AA" w:rsidRPr="00074130">
        <w:rPr>
          <w:sz w:val="18"/>
          <w:szCs w:val="18"/>
          <w:lang w:val="es-ES_tradnl"/>
        </w:rPr>
        <w:br/>
      </w:r>
      <w:r w:rsidRPr="00074130">
        <w:rPr>
          <w:sz w:val="18"/>
          <w:szCs w:val="18"/>
          <w:lang w:val="es-ES_tradnl"/>
        </w:rPr>
        <w:t>–</w:t>
      </w:r>
      <w:r w:rsidRPr="00074130">
        <w:rPr>
          <w:sz w:val="18"/>
          <w:szCs w:val="18"/>
          <w:lang w:val="es-ES_tradnl"/>
        </w:rPr>
        <w:tab/>
        <w:t>Observadores que participan con carácter consultivo con arreglo a los números 278 y 279 del Convenio de la UIT</w:t>
      </w:r>
      <w:r w:rsidR="008255AA" w:rsidRPr="00074130">
        <w:rPr>
          <w:sz w:val="18"/>
          <w:szCs w:val="18"/>
          <w:lang w:val="es-ES_tradnl"/>
        </w:rPr>
        <w:br/>
      </w:r>
      <w:r w:rsidRPr="00074130">
        <w:rPr>
          <w:sz w:val="18"/>
          <w:szCs w:val="18"/>
          <w:lang w:val="es-ES_tradnl"/>
        </w:rPr>
        <w:t>–</w:t>
      </w:r>
      <w:r w:rsidRPr="00074130">
        <w:rPr>
          <w:sz w:val="18"/>
          <w:szCs w:val="18"/>
          <w:lang w:val="es-ES_tradnl"/>
        </w:rPr>
        <w:tab/>
        <w:t xml:space="preserve">Observadores de Miembros del Sector de Radiocomunicaciones que no participan con carácter consultivo con arreglo al </w:t>
      </w:r>
      <w:r w:rsidR="008255AA" w:rsidRPr="00074130">
        <w:rPr>
          <w:sz w:val="18"/>
          <w:szCs w:val="18"/>
          <w:lang w:val="es-ES_tradnl"/>
        </w:rPr>
        <w:br/>
      </w:r>
      <w:r w:rsidR="008255AA" w:rsidRPr="00074130">
        <w:rPr>
          <w:sz w:val="18"/>
          <w:szCs w:val="18"/>
          <w:lang w:val="es-ES_tradnl"/>
        </w:rPr>
        <w:tab/>
      </w:r>
      <w:r w:rsidRPr="00074130">
        <w:rPr>
          <w:sz w:val="18"/>
          <w:szCs w:val="18"/>
          <w:lang w:val="es-ES_tradnl"/>
        </w:rPr>
        <w:t>número 280 del Convenio de la UIT</w:t>
      </w:r>
      <w:r w:rsidR="008255AA" w:rsidRPr="00074130">
        <w:rPr>
          <w:sz w:val="18"/>
          <w:szCs w:val="18"/>
          <w:lang w:val="es-ES_tradnl"/>
        </w:rPr>
        <w:br/>
      </w:r>
      <w:r w:rsidRPr="00074130">
        <w:rPr>
          <w:sz w:val="18"/>
          <w:szCs w:val="18"/>
          <w:lang w:val="es-ES_tradnl"/>
        </w:rPr>
        <w:t>–</w:t>
      </w:r>
      <w:r w:rsidRPr="00074130">
        <w:rPr>
          <w:sz w:val="18"/>
          <w:szCs w:val="18"/>
          <w:lang w:val="es-ES_tradnl"/>
        </w:rPr>
        <w:tab/>
        <w:t>Presidentes y Vicepresidentes de las Comisiones de Estudio de Radiocomunicaciones</w:t>
      </w:r>
      <w:r w:rsidR="008255AA" w:rsidRPr="00074130">
        <w:rPr>
          <w:sz w:val="18"/>
          <w:szCs w:val="18"/>
          <w:lang w:val="es-ES_tradnl"/>
        </w:rPr>
        <w:br/>
      </w:r>
      <w:r w:rsidRPr="00074130">
        <w:rPr>
          <w:sz w:val="18"/>
          <w:szCs w:val="18"/>
          <w:lang w:val="es-ES_tradnl"/>
        </w:rPr>
        <w:t>–</w:t>
      </w:r>
      <w:r w:rsidRPr="00074130">
        <w:rPr>
          <w:sz w:val="18"/>
          <w:szCs w:val="18"/>
          <w:lang w:val="es-ES_tradnl"/>
        </w:rPr>
        <w:tab/>
        <w:t>Presidente y Vicepresidentes del Grupo Asesor de Radiocomunicaciones</w:t>
      </w:r>
      <w:r w:rsidR="008255AA" w:rsidRPr="00074130">
        <w:rPr>
          <w:sz w:val="18"/>
          <w:szCs w:val="18"/>
          <w:lang w:val="es-ES_tradnl"/>
        </w:rPr>
        <w:br/>
      </w:r>
      <w:r w:rsidRPr="00074130">
        <w:rPr>
          <w:sz w:val="18"/>
          <w:szCs w:val="18"/>
          <w:lang w:val="es-ES_tradnl"/>
        </w:rPr>
        <w:t>–</w:t>
      </w:r>
      <w:r w:rsidRPr="00074130">
        <w:rPr>
          <w:sz w:val="18"/>
          <w:szCs w:val="18"/>
          <w:lang w:val="es-ES_tradnl"/>
        </w:rPr>
        <w:tab/>
        <w:t>Presidente y Vicepresidentes de la Reunión Preparatoria de la Conferencia</w:t>
      </w:r>
      <w:r w:rsidR="008255AA" w:rsidRPr="00074130">
        <w:rPr>
          <w:sz w:val="18"/>
          <w:szCs w:val="18"/>
          <w:lang w:val="es-ES_tradnl"/>
        </w:rPr>
        <w:br/>
      </w:r>
      <w:r w:rsidRPr="00074130">
        <w:rPr>
          <w:sz w:val="18"/>
          <w:szCs w:val="18"/>
          <w:lang w:val="es-ES_tradnl"/>
        </w:rPr>
        <w:t>–</w:t>
      </w:r>
      <w:r w:rsidRPr="00074130">
        <w:rPr>
          <w:sz w:val="18"/>
          <w:szCs w:val="18"/>
          <w:lang w:val="es-ES_tradnl"/>
        </w:rPr>
        <w:tab/>
        <w:t>Miembros de la Junta del Reglamento de Radiocomunicaciones</w:t>
      </w:r>
      <w:r w:rsidR="008255AA" w:rsidRPr="00074130">
        <w:rPr>
          <w:sz w:val="18"/>
          <w:szCs w:val="18"/>
          <w:lang w:val="es-ES_tradnl"/>
        </w:rPr>
        <w:br/>
      </w:r>
      <w:r w:rsidRPr="00074130">
        <w:rPr>
          <w:sz w:val="18"/>
          <w:szCs w:val="18"/>
          <w:lang w:val="es-ES_tradnl"/>
        </w:rPr>
        <w:t>–</w:t>
      </w:r>
      <w:r w:rsidRPr="00074130">
        <w:rPr>
          <w:sz w:val="18"/>
          <w:szCs w:val="18"/>
          <w:lang w:val="es-ES_tradnl"/>
        </w:rPr>
        <w:tab/>
        <w:t xml:space="preserve">Secretario General de la UIT, Vicesecretario General de la UIT, Director de la Oficina de Normalización de las </w:t>
      </w:r>
      <w:r w:rsidR="008255AA" w:rsidRPr="00074130">
        <w:rPr>
          <w:sz w:val="18"/>
          <w:szCs w:val="18"/>
          <w:lang w:val="es-ES_tradnl"/>
        </w:rPr>
        <w:br/>
      </w:r>
      <w:r w:rsidR="008255AA" w:rsidRPr="00074130">
        <w:rPr>
          <w:sz w:val="18"/>
          <w:szCs w:val="18"/>
          <w:lang w:val="es-ES_tradnl"/>
        </w:rPr>
        <w:tab/>
      </w:r>
      <w:r w:rsidRPr="00074130">
        <w:rPr>
          <w:sz w:val="18"/>
          <w:szCs w:val="18"/>
          <w:lang w:val="es-ES_tradnl"/>
        </w:rPr>
        <w:t>Telecomunicaciones, Directora de la Oficina de Desarrollo de las Telecomunicaciones</w:t>
      </w:r>
    </w:p>
    <w:sectPr w:rsidR="002D61A8" w:rsidRPr="00074130" w:rsidSect="00031E64">
      <w:headerReference w:type="even" r:id="rId21"/>
      <w:headerReference w:type="default" r:id="rId22"/>
      <w:headerReference w:type="first" r:id="rId23"/>
      <w:footerReference w:type="first" r:id="rId2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538" w:rsidRDefault="00B77538">
      <w:r>
        <w:separator/>
      </w:r>
    </w:p>
  </w:endnote>
  <w:endnote w:type="continuationSeparator" w:id="0">
    <w:p w:rsidR="00B77538" w:rsidRDefault="00B7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538" w:rsidRPr="00257BE7" w:rsidRDefault="00B77538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>Unión Internacional de Telecomunicaciones • Place des Nations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>Tel</w:t>
    </w:r>
    <w:r>
      <w:rPr>
        <w:sz w:val="18"/>
        <w:szCs w:val="18"/>
        <w:lang w:val="es-ES"/>
      </w:rPr>
      <w:t>.</w:t>
    </w:r>
    <w:r w:rsidRPr="00257BE7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538" w:rsidRDefault="00B77538">
      <w:r>
        <w:t>____________________</w:t>
      </w:r>
    </w:p>
  </w:footnote>
  <w:footnote w:type="continuationSeparator" w:id="0">
    <w:p w:rsidR="00B77538" w:rsidRDefault="00B77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538" w:rsidRPr="00D239B4" w:rsidRDefault="00B77538" w:rsidP="00042F6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040D51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538" w:rsidRPr="00042F69" w:rsidRDefault="00B77538" w:rsidP="00042F69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040D51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B77538" w:rsidTr="003F0E9F">
      <w:tc>
        <w:tcPr>
          <w:tcW w:w="4792" w:type="dxa"/>
          <w:tcMar>
            <w:left w:w="0" w:type="dxa"/>
          </w:tcMar>
        </w:tcPr>
        <w:p w:rsidR="00B77538" w:rsidRDefault="00B77538" w:rsidP="001B3D4D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09BF30" wp14:editId="2AF88F3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B77538" w:rsidRDefault="00B77538" w:rsidP="001B3D4D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C9C3290" wp14:editId="2F4C8D8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7538" w:rsidRPr="001B3D4D" w:rsidRDefault="00B77538" w:rsidP="001B3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00653"/>
    <w:rsid w:val="00006A31"/>
    <w:rsid w:val="00006C82"/>
    <w:rsid w:val="00010E30"/>
    <w:rsid w:val="00015C76"/>
    <w:rsid w:val="00026CF8"/>
    <w:rsid w:val="00030BD7"/>
    <w:rsid w:val="00031E64"/>
    <w:rsid w:val="00034141"/>
    <w:rsid w:val="00034340"/>
    <w:rsid w:val="00035CB3"/>
    <w:rsid w:val="00040D51"/>
    <w:rsid w:val="00042F69"/>
    <w:rsid w:val="00045A8D"/>
    <w:rsid w:val="0005167A"/>
    <w:rsid w:val="00054E5D"/>
    <w:rsid w:val="00070258"/>
    <w:rsid w:val="0007323C"/>
    <w:rsid w:val="00074130"/>
    <w:rsid w:val="00086D03"/>
    <w:rsid w:val="000A096A"/>
    <w:rsid w:val="000A375E"/>
    <w:rsid w:val="000A7051"/>
    <w:rsid w:val="000B0AF6"/>
    <w:rsid w:val="000B0E9B"/>
    <w:rsid w:val="000B2CAE"/>
    <w:rsid w:val="000B368C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25B5A"/>
    <w:rsid w:val="00134404"/>
    <w:rsid w:val="00144DFB"/>
    <w:rsid w:val="00187CA3"/>
    <w:rsid w:val="00195EB7"/>
    <w:rsid w:val="00196710"/>
    <w:rsid w:val="00196770"/>
    <w:rsid w:val="00197324"/>
    <w:rsid w:val="001B0975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08FF"/>
    <w:rsid w:val="002621FA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1A8"/>
    <w:rsid w:val="002E3D27"/>
    <w:rsid w:val="002F0890"/>
    <w:rsid w:val="002F2531"/>
    <w:rsid w:val="002F4967"/>
    <w:rsid w:val="002F6E78"/>
    <w:rsid w:val="00306452"/>
    <w:rsid w:val="00311970"/>
    <w:rsid w:val="00316935"/>
    <w:rsid w:val="003266ED"/>
    <w:rsid w:val="00326C68"/>
    <w:rsid w:val="0033029C"/>
    <w:rsid w:val="003370B8"/>
    <w:rsid w:val="00345465"/>
    <w:rsid w:val="00345D38"/>
    <w:rsid w:val="00352097"/>
    <w:rsid w:val="003562A6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5652"/>
    <w:rsid w:val="003C7D41"/>
    <w:rsid w:val="003D4A69"/>
    <w:rsid w:val="003E504F"/>
    <w:rsid w:val="003E78D6"/>
    <w:rsid w:val="003F0E9F"/>
    <w:rsid w:val="00400573"/>
    <w:rsid w:val="004007A3"/>
    <w:rsid w:val="00406D71"/>
    <w:rsid w:val="00415C68"/>
    <w:rsid w:val="0042623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E65E7"/>
    <w:rsid w:val="004F178E"/>
    <w:rsid w:val="004F4543"/>
    <w:rsid w:val="004F57BB"/>
    <w:rsid w:val="00502CE2"/>
    <w:rsid w:val="00505309"/>
    <w:rsid w:val="0050789B"/>
    <w:rsid w:val="00521205"/>
    <w:rsid w:val="005224A1"/>
    <w:rsid w:val="0053320A"/>
    <w:rsid w:val="00534372"/>
    <w:rsid w:val="00535B69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75F2"/>
    <w:rsid w:val="00594CB5"/>
    <w:rsid w:val="005A03A3"/>
    <w:rsid w:val="005A2B92"/>
    <w:rsid w:val="005A3F66"/>
    <w:rsid w:val="005A79E9"/>
    <w:rsid w:val="005B214C"/>
    <w:rsid w:val="005B4CDA"/>
    <w:rsid w:val="005D15C4"/>
    <w:rsid w:val="005D3669"/>
    <w:rsid w:val="005E4C7E"/>
    <w:rsid w:val="005E5EB3"/>
    <w:rsid w:val="005F3CB6"/>
    <w:rsid w:val="005F657C"/>
    <w:rsid w:val="00602D53"/>
    <w:rsid w:val="006047E5"/>
    <w:rsid w:val="0063448E"/>
    <w:rsid w:val="0063700B"/>
    <w:rsid w:val="0064371D"/>
    <w:rsid w:val="00650543"/>
    <w:rsid w:val="00650B2A"/>
    <w:rsid w:val="00651777"/>
    <w:rsid w:val="006550F8"/>
    <w:rsid w:val="00675E72"/>
    <w:rsid w:val="006829F3"/>
    <w:rsid w:val="006929E5"/>
    <w:rsid w:val="00696365"/>
    <w:rsid w:val="006A518B"/>
    <w:rsid w:val="006B0590"/>
    <w:rsid w:val="006B49DA"/>
    <w:rsid w:val="006B6195"/>
    <w:rsid w:val="006C53F8"/>
    <w:rsid w:val="006C7CDE"/>
    <w:rsid w:val="0071014F"/>
    <w:rsid w:val="007234B1"/>
    <w:rsid w:val="00723D08"/>
    <w:rsid w:val="00725FDA"/>
    <w:rsid w:val="00727816"/>
    <w:rsid w:val="00730B9A"/>
    <w:rsid w:val="00734561"/>
    <w:rsid w:val="007418F1"/>
    <w:rsid w:val="00750CFA"/>
    <w:rsid w:val="007553DA"/>
    <w:rsid w:val="00775DB8"/>
    <w:rsid w:val="0078033A"/>
    <w:rsid w:val="00782354"/>
    <w:rsid w:val="007874AB"/>
    <w:rsid w:val="007921A7"/>
    <w:rsid w:val="007B3DB1"/>
    <w:rsid w:val="007D183E"/>
    <w:rsid w:val="007D43D0"/>
    <w:rsid w:val="007E1833"/>
    <w:rsid w:val="007E3F13"/>
    <w:rsid w:val="007F2B75"/>
    <w:rsid w:val="007F751A"/>
    <w:rsid w:val="00800012"/>
    <w:rsid w:val="00800653"/>
    <w:rsid w:val="0080261F"/>
    <w:rsid w:val="00805A02"/>
    <w:rsid w:val="00806160"/>
    <w:rsid w:val="008143A4"/>
    <w:rsid w:val="0081513E"/>
    <w:rsid w:val="008255AA"/>
    <w:rsid w:val="00854131"/>
    <w:rsid w:val="0085652D"/>
    <w:rsid w:val="0087694B"/>
    <w:rsid w:val="00877942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17ED7"/>
    <w:rsid w:val="00925023"/>
    <w:rsid w:val="009277BC"/>
    <w:rsid w:val="00927D57"/>
    <w:rsid w:val="00931A51"/>
    <w:rsid w:val="009431ED"/>
    <w:rsid w:val="00947185"/>
    <w:rsid w:val="009518B3"/>
    <w:rsid w:val="00963D9D"/>
    <w:rsid w:val="0098013E"/>
    <w:rsid w:val="00981B54"/>
    <w:rsid w:val="009842C3"/>
    <w:rsid w:val="009847A9"/>
    <w:rsid w:val="00996E30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14E8"/>
    <w:rsid w:val="00A63355"/>
    <w:rsid w:val="00A7596D"/>
    <w:rsid w:val="00A80EFE"/>
    <w:rsid w:val="00A9266A"/>
    <w:rsid w:val="00A963DF"/>
    <w:rsid w:val="00A96D3A"/>
    <w:rsid w:val="00AC0C22"/>
    <w:rsid w:val="00AC0C8C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7084B"/>
    <w:rsid w:val="00B75FD4"/>
    <w:rsid w:val="00B77538"/>
    <w:rsid w:val="00B81C2F"/>
    <w:rsid w:val="00B90743"/>
    <w:rsid w:val="00B90C45"/>
    <w:rsid w:val="00B933BE"/>
    <w:rsid w:val="00BC2E51"/>
    <w:rsid w:val="00BD6738"/>
    <w:rsid w:val="00BD7E5E"/>
    <w:rsid w:val="00BE63DB"/>
    <w:rsid w:val="00BE6574"/>
    <w:rsid w:val="00C07319"/>
    <w:rsid w:val="00C16FD2"/>
    <w:rsid w:val="00C21759"/>
    <w:rsid w:val="00C4395E"/>
    <w:rsid w:val="00C47FFD"/>
    <w:rsid w:val="00C51E92"/>
    <w:rsid w:val="00C57E2C"/>
    <w:rsid w:val="00C608B7"/>
    <w:rsid w:val="00C66F24"/>
    <w:rsid w:val="00C725F7"/>
    <w:rsid w:val="00C76D7F"/>
    <w:rsid w:val="00C813AA"/>
    <w:rsid w:val="00C9291E"/>
    <w:rsid w:val="00CA3F44"/>
    <w:rsid w:val="00CA4E58"/>
    <w:rsid w:val="00CB2E7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6240"/>
    <w:rsid w:val="00D97EF5"/>
    <w:rsid w:val="00DA4037"/>
    <w:rsid w:val="00DB333E"/>
    <w:rsid w:val="00DC6175"/>
    <w:rsid w:val="00DE66A5"/>
    <w:rsid w:val="00DF2B50"/>
    <w:rsid w:val="00E01059"/>
    <w:rsid w:val="00E04C86"/>
    <w:rsid w:val="00E1464B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B67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CDFBBE0-B30C-4C8B-A867-54A87681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42F6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2D61A8"/>
    <w:rPr>
      <w:b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SG-CIR-0049/es" TargetMode="External"/><Relationship Id="rId13" Type="http://schemas.openxmlformats.org/officeDocument/2006/relationships/hyperlink" Target="https://www.itu.int/md/R00-CA-CIR-0245/es" TargetMode="External"/><Relationship Id="rId18" Type="http://schemas.openxmlformats.org/officeDocument/2006/relationships/hyperlink" Target="mailto:wrcvisa@tra.gov.e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conferences/RA/2019/Pages/default.aspx" TargetMode="External"/><Relationship Id="rId17" Type="http://schemas.openxmlformats.org/officeDocument/2006/relationships/hyperlink" Target="mailto:wrc19contact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WRC-19" TargetMode="External"/><Relationship Id="rId20" Type="http://schemas.openxmlformats.org/officeDocument/2006/relationships/hyperlink" Target="mailto:ITU-R.Registrations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conferences/wrc/2019/Pages/default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conferences/Pages/RA-WRC-19-Registration.aspx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S18-DM-CIR-01006/es" TargetMode="External"/><Relationship Id="rId19" Type="http://schemas.openxmlformats.org/officeDocument/2006/relationships/hyperlink" Target="https://wrc19egypt.e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DM-CIR-01005/es" TargetMode="External"/><Relationship Id="rId14" Type="http://schemas.openxmlformats.org/officeDocument/2006/relationships/hyperlink" Target="https://www.itu.int/md/R00-CA-CIR-0245/es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71AB-A6C0-45AA-9F37-AB8666E8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</TotalTime>
  <Pages>3</Pages>
  <Words>922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6816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Spanish83</dc:creator>
  <cp:lastModifiedBy>Capdessus, Isabelle</cp:lastModifiedBy>
  <cp:revision>5</cp:revision>
  <cp:lastPrinted>2019-05-15T09:27:00Z</cp:lastPrinted>
  <dcterms:created xsi:type="dcterms:W3CDTF">2019-05-16T09:01:00Z</dcterms:created>
  <dcterms:modified xsi:type="dcterms:W3CDTF">2019-05-16T13:05:00Z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