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7054"/>
        <w:gridCol w:w="2835"/>
      </w:tblGrid>
      <w:tr w:rsidR="00E53DCE" w:rsidRPr="007B3DB1" w:rsidTr="00306452">
        <w:trPr>
          <w:jc w:val="center"/>
        </w:trPr>
        <w:tc>
          <w:tcPr>
            <w:tcW w:w="9889" w:type="dxa"/>
            <w:gridSpan w:val="2"/>
            <w:shd w:val="clear" w:color="auto" w:fill="auto"/>
          </w:tcPr>
          <w:p w:rsidR="00E53DCE" w:rsidRDefault="00A96D3A" w:rsidP="0004249C">
            <w:pPr>
              <w:spacing w:before="0" w:line="240" w:lineRule="auto"/>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1514E8">
            <w:pPr>
              <w:spacing w:before="0" w:line="240" w:lineRule="auto"/>
              <w:jc w:val="left"/>
              <w:rPr>
                <w:rFonts w:cstheme="minorHAnsi"/>
                <w:b/>
                <w:bCs/>
                <w:color w:val="808080"/>
                <w:sz w:val="28"/>
                <w:szCs w:val="28"/>
                <w:lang w:val="en-GB"/>
              </w:rPr>
            </w:pPr>
          </w:p>
          <w:p w:rsidR="00E53DCE" w:rsidRPr="00AF70DA" w:rsidRDefault="00E53DCE" w:rsidP="001514E8">
            <w:pPr>
              <w:spacing w:before="0" w:line="240" w:lineRule="auto"/>
              <w:jc w:val="left"/>
              <w:rPr>
                <w:rFonts w:cs="Times New Roman Bold"/>
                <w:b/>
                <w:bCs/>
                <w:color w:val="808080"/>
                <w:sz w:val="28"/>
                <w:szCs w:val="28"/>
                <w:lang w:val="en-GB"/>
              </w:rPr>
            </w:pPr>
          </w:p>
        </w:tc>
      </w:tr>
      <w:tr w:rsidR="00E53DCE" w:rsidRPr="0033029C" w:rsidTr="00306452">
        <w:trPr>
          <w:jc w:val="center"/>
        </w:trPr>
        <w:tc>
          <w:tcPr>
            <w:tcW w:w="7054" w:type="dxa"/>
            <w:shd w:val="clear" w:color="auto" w:fill="auto"/>
          </w:tcPr>
          <w:p w:rsidR="00E53DCE" w:rsidRPr="001B3D4D" w:rsidRDefault="00A96D3A" w:rsidP="001514E8">
            <w:pPr>
              <w:spacing w:before="0" w:line="240" w:lineRule="auto"/>
              <w:jc w:val="left"/>
              <w:rPr>
                <w:szCs w:val="24"/>
                <w:lang w:val="es-ES"/>
              </w:rPr>
            </w:pPr>
            <w:r w:rsidRPr="001B3D4D">
              <w:rPr>
                <w:szCs w:val="24"/>
                <w:lang w:val="es-ES"/>
              </w:rPr>
              <w:t>Circular Administrativa</w:t>
            </w:r>
          </w:p>
          <w:p w:rsidR="00E53DCE" w:rsidRPr="001B3D4D" w:rsidRDefault="001B3D4D" w:rsidP="001514E8">
            <w:pPr>
              <w:spacing w:before="0" w:line="240" w:lineRule="auto"/>
              <w:jc w:val="left"/>
              <w:rPr>
                <w:b/>
                <w:bCs/>
                <w:szCs w:val="24"/>
                <w:lang w:val="es-ES"/>
              </w:rPr>
            </w:pPr>
            <w:r w:rsidRPr="001B3D4D">
              <w:rPr>
                <w:b/>
                <w:bCs/>
                <w:szCs w:val="24"/>
                <w:lang w:val="es-ES"/>
              </w:rPr>
              <w:t>CA/</w:t>
            </w:r>
            <w:r w:rsidR="007B38A2">
              <w:rPr>
                <w:b/>
                <w:bCs/>
                <w:szCs w:val="24"/>
                <w:lang w:val="es-ES"/>
              </w:rPr>
              <w:t>246</w:t>
            </w:r>
          </w:p>
        </w:tc>
        <w:tc>
          <w:tcPr>
            <w:tcW w:w="2835" w:type="dxa"/>
            <w:shd w:val="clear" w:color="auto" w:fill="auto"/>
          </w:tcPr>
          <w:p w:rsidR="00E53DCE" w:rsidRPr="0033029C" w:rsidRDefault="007B38A2" w:rsidP="001514E8">
            <w:pPr>
              <w:spacing w:before="0" w:line="240" w:lineRule="auto"/>
              <w:jc w:val="right"/>
              <w:rPr>
                <w:szCs w:val="24"/>
                <w:lang w:val="en-GB"/>
              </w:rPr>
            </w:pPr>
            <w:r>
              <w:rPr>
                <w:bCs/>
                <w:szCs w:val="24"/>
              </w:rPr>
              <w:t>24</w:t>
            </w:r>
            <w:r w:rsidR="00A96D3A" w:rsidRPr="0033029C">
              <w:rPr>
                <w:bCs/>
                <w:szCs w:val="24"/>
              </w:rPr>
              <w:t xml:space="preserve"> de </w:t>
            </w:r>
            <w:r>
              <w:rPr>
                <w:bCs/>
                <w:szCs w:val="24"/>
              </w:rPr>
              <w:t xml:space="preserve">abril </w:t>
            </w:r>
            <w:r w:rsidR="00A96D3A" w:rsidRPr="0033029C">
              <w:rPr>
                <w:bCs/>
                <w:szCs w:val="24"/>
              </w:rPr>
              <w:t>de 201</w:t>
            </w:r>
            <w:r>
              <w:rPr>
                <w:bCs/>
                <w:szCs w:val="24"/>
              </w:rPr>
              <w:t>9</w:t>
            </w:r>
          </w:p>
        </w:tc>
      </w:tr>
      <w:tr w:rsidR="00E53DCE" w:rsidRPr="0033029C" w:rsidTr="00306452">
        <w:trPr>
          <w:jc w:val="center"/>
        </w:trPr>
        <w:tc>
          <w:tcPr>
            <w:tcW w:w="9889" w:type="dxa"/>
            <w:gridSpan w:val="2"/>
            <w:shd w:val="clear" w:color="auto" w:fill="auto"/>
          </w:tcPr>
          <w:p w:rsidR="00E53DCE" w:rsidRPr="004A4951" w:rsidRDefault="00E53DCE" w:rsidP="004A4951">
            <w:pPr>
              <w:spacing w:before="0"/>
              <w:rPr>
                <w:lang w:val="es-ES_tradnl"/>
              </w:rPr>
            </w:pPr>
          </w:p>
        </w:tc>
      </w:tr>
      <w:tr w:rsidR="00E53DCE" w:rsidRPr="0033029C" w:rsidTr="00306452">
        <w:trPr>
          <w:jc w:val="center"/>
        </w:trPr>
        <w:tc>
          <w:tcPr>
            <w:tcW w:w="9889" w:type="dxa"/>
            <w:gridSpan w:val="2"/>
            <w:shd w:val="clear" w:color="auto" w:fill="auto"/>
          </w:tcPr>
          <w:p w:rsidR="00E53DCE" w:rsidRPr="004A4951" w:rsidRDefault="00E53DCE" w:rsidP="004A4951">
            <w:pPr>
              <w:spacing w:before="0"/>
              <w:rPr>
                <w:lang w:val="es-ES_tradnl"/>
              </w:rPr>
            </w:pPr>
          </w:p>
        </w:tc>
      </w:tr>
      <w:tr w:rsidR="007B38A2" w:rsidRPr="008930FD" w:rsidTr="00306452">
        <w:trPr>
          <w:jc w:val="center"/>
        </w:trPr>
        <w:tc>
          <w:tcPr>
            <w:tcW w:w="9889" w:type="dxa"/>
            <w:gridSpan w:val="2"/>
            <w:shd w:val="clear" w:color="auto" w:fill="auto"/>
          </w:tcPr>
          <w:tbl>
            <w:tblPr>
              <w:tblW w:w="9889" w:type="dxa"/>
              <w:jc w:val="center"/>
              <w:tblLayout w:type="fixed"/>
              <w:tblLook w:val="04A0" w:firstRow="1" w:lastRow="0" w:firstColumn="1" w:lastColumn="0" w:noHBand="0" w:noVBand="1"/>
            </w:tblPr>
            <w:tblGrid>
              <w:gridCol w:w="1526"/>
              <w:gridCol w:w="8363"/>
            </w:tblGrid>
            <w:tr w:rsidR="007B38A2" w:rsidRPr="008930FD" w:rsidTr="00622D6F">
              <w:trPr>
                <w:jc w:val="center"/>
              </w:trPr>
              <w:tc>
                <w:tcPr>
                  <w:tcW w:w="9889" w:type="dxa"/>
                  <w:gridSpan w:val="2"/>
                  <w:shd w:val="clear" w:color="auto" w:fill="auto"/>
                </w:tcPr>
                <w:p w:rsidR="007B38A2" w:rsidRPr="00A6392A" w:rsidRDefault="007B38A2" w:rsidP="00A6392A">
                  <w:pPr>
                    <w:spacing w:before="0"/>
                    <w:jc w:val="left"/>
                    <w:rPr>
                      <w:b/>
                      <w:bCs/>
                      <w:lang w:val="es-ES_tradnl"/>
                    </w:rPr>
                  </w:pPr>
                  <w:r w:rsidRPr="00A6392A">
                    <w:rPr>
                      <w:b/>
                      <w:bCs/>
                      <w:lang w:val="es-ES_tradnl"/>
                    </w:rPr>
                    <w:t>A las Administraciones de los Estados Miembros de la UIT y a los Miembros del Sector de Radiocomunicaciones</w:t>
                  </w:r>
                </w:p>
              </w:tc>
            </w:tr>
            <w:tr w:rsidR="007B38A2" w:rsidRPr="008930FD" w:rsidTr="00622D6F">
              <w:trPr>
                <w:jc w:val="center"/>
              </w:trPr>
              <w:tc>
                <w:tcPr>
                  <w:tcW w:w="9889" w:type="dxa"/>
                  <w:gridSpan w:val="2"/>
                  <w:shd w:val="clear" w:color="auto" w:fill="auto"/>
                </w:tcPr>
                <w:p w:rsidR="007B38A2" w:rsidRPr="00A6392A" w:rsidRDefault="007B38A2" w:rsidP="00A6392A">
                  <w:pPr>
                    <w:spacing w:before="0"/>
                    <w:rPr>
                      <w:lang w:val="es-ES_tradnl"/>
                    </w:rPr>
                  </w:pPr>
                </w:p>
              </w:tc>
            </w:tr>
            <w:tr w:rsidR="007B38A2" w:rsidRPr="008930FD" w:rsidTr="00622D6F">
              <w:trPr>
                <w:jc w:val="center"/>
              </w:trPr>
              <w:tc>
                <w:tcPr>
                  <w:tcW w:w="9889" w:type="dxa"/>
                  <w:gridSpan w:val="2"/>
                  <w:shd w:val="clear" w:color="auto" w:fill="auto"/>
                </w:tcPr>
                <w:p w:rsidR="007B38A2" w:rsidRPr="00A6392A" w:rsidRDefault="007B38A2" w:rsidP="00A6392A">
                  <w:pPr>
                    <w:spacing w:before="0"/>
                    <w:rPr>
                      <w:lang w:val="es-ES_tradnl"/>
                    </w:rPr>
                  </w:pPr>
                </w:p>
              </w:tc>
            </w:tr>
            <w:tr w:rsidR="007B38A2" w:rsidRPr="008930FD" w:rsidTr="00622D6F">
              <w:trPr>
                <w:jc w:val="center"/>
              </w:trPr>
              <w:tc>
                <w:tcPr>
                  <w:tcW w:w="1526" w:type="dxa"/>
                  <w:shd w:val="clear" w:color="auto" w:fill="auto"/>
                </w:tcPr>
                <w:p w:rsidR="007B38A2" w:rsidRPr="001514E8" w:rsidRDefault="007B38A2" w:rsidP="00A6392A">
                  <w:pPr>
                    <w:spacing w:before="0"/>
                    <w:rPr>
                      <w:lang w:val="es-ES_tradnl"/>
                    </w:rPr>
                  </w:pPr>
                  <w:r w:rsidRPr="001514E8">
                    <w:rPr>
                      <w:lang w:val="es-ES_tradnl"/>
                    </w:rPr>
                    <w:t>Asunto:</w:t>
                  </w:r>
                </w:p>
              </w:tc>
              <w:tc>
                <w:tcPr>
                  <w:tcW w:w="8363" w:type="dxa"/>
                  <w:vMerge w:val="restart"/>
                  <w:shd w:val="clear" w:color="auto" w:fill="auto"/>
                </w:tcPr>
                <w:p w:rsidR="007B38A2" w:rsidRPr="00A6392A" w:rsidRDefault="007B38A2" w:rsidP="00A6392A">
                  <w:pPr>
                    <w:spacing w:before="0"/>
                    <w:jc w:val="left"/>
                    <w:rPr>
                      <w:b/>
                      <w:bCs/>
                      <w:lang w:val="es-ES_tradnl"/>
                    </w:rPr>
                  </w:pPr>
                  <w:r w:rsidRPr="00A6392A">
                    <w:rPr>
                      <w:b/>
                      <w:bCs/>
                      <w:lang w:val="es-ES_tradnl"/>
                    </w:rPr>
                    <w:t xml:space="preserve">Resumen de conclusiones de la vigésima </w:t>
                  </w:r>
                  <w:r w:rsidR="00E1043E" w:rsidRPr="00A6392A">
                    <w:rPr>
                      <w:b/>
                      <w:bCs/>
                      <w:lang w:val="es-ES_tradnl"/>
                    </w:rPr>
                    <w:t>sexta</w:t>
                  </w:r>
                  <w:r w:rsidRPr="00A6392A">
                    <w:rPr>
                      <w:b/>
                      <w:bCs/>
                      <w:lang w:val="es-ES_tradnl"/>
                    </w:rPr>
                    <w:t xml:space="preserve"> reunión del Grupo Asesor de Radiocomunicaciones</w:t>
                  </w:r>
                </w:p>
              </w:tc>
            </w:tr>
            <w:tr w:rsidR="007B38A2" w:rsidRPr="008930FD" w:rsidTr="00622D6F">
              <w:trPr>
                <w:jc w:val="center"/>
              </w:trPr>
              <w:tc>
                <w:tcPr>
                  <w:tcW w:w="1526" w:type="dxa"/>
                  <w:shd w:val="clear" w:color="auto" w:fill="auto"/>
                </w:tcPr>
                <w:p w:rsidR="007B38A2" w:rsidRPr="00A6392A" w:rsidRDefault="007B38A2" w:rsidP="00A6392A">
                  <w:pPr>
                    <w:spacing w:before="0"/>
                    <w:jc w:val="left"/>
                    <w:rPr>
                      <w:b/>
                      <w:bCs/>
                      <w:lang w:val="es-ES_tradnl"/>
                    </w:rPr>
                  </w:pPr>
                </w:p>
              </w:tc>
              <w:tc>
                <w:tcPr>
                  <w:tcW w:w="8363" w:type="dxa"/>
                  <w:vMerge/>
                  <w:shd w:val="clear" w:color="auto" w:fill="auto"/>
                </w:tcPr>
                <w:p w:rsidR="007B38A2" w:rsidRPr="00A6392A" w:rsidRDefault="007B38A2" w:rsidP="00A6392A">
                  <w:pPr>
                    <w:spacing w:before="0"/>
                    <w:rPr>
                      <w:b/>
                      <w:bCs/>
                      <w:lang w:val="es-ES_tradnl"/>
                    </w:rPr>
                  </w:pPr>
                </w:p>
              </w:tc>
            </w:tr>
            <w:tr w:rsidR="007B38A2" w:rsidRPr="008930FD" w:rsidTr="00622D6F">
              <w:trPr>
                <w:jc w:val="center"/>
              </w:trPr>
              <w:tc>
                <w:tcPr>
                  <w:tcW w:w="1526" w:type="dxa"/>
                  <w:shd w:val="clear" w:color="auto" w:fill="auto"/>
                </w:tcPr>
                <w:p w:rsidR="007B38A2" w:rsidRPr="00A6392A" w:rsidRDefault="007B38A2" w:rsidP="00A6392A">
                  <w:pPr>
                    <w:spacing w:before="0"/>
                    <w:jc w:val="left"/>
                    <w:rPr>
                      <w:b/>
                      <w:bCs/>
                      <w:lang w:val="es-ES_tradnl"/>
                    </w:rPr>
                  </w:pPr>
                </w:p>
              </w:tc>
              <w:tc>
                <w:tcPr>
                  <w:tcW w:w="8363" w:type="dxa"/>
                  <w:vMerge/>
                  <w:shd w:val="clear" w:color="auto" w:fill="auto"/>
                </w:tcPr>
                <w:p w:rsidR="007B38A2" w:rsidRPr="00A6392A" w:rsidRDefault="007B38A2" w:rsidP="00A6392A">
                  <w:pPr>
                    <w:spacing w:before="0"/>
                    <w:rPr>
                      <w:b/>
                      <w:bCs/>
                      <w:lang w:val="es-ES_tradnl"/>
                    </w:rPr>
                  </w:pPr>
                </w:p>
              </w:tc>
            </w:tr>
            <w:tr w:rsidR="007B38A2" w:rsidRPr="008930FD" w:rsidTr="00622D6F">
              <w:trPr>
                <w:jc w:val="center"/>
              </w:trPr>
              <w:tc>
                <w:tcPr>
                  <w:tcW w:w="9889" w:type="dxa"/>
                  <w:gridSpan w:val="2"/>
                  <w:shd w:val="clear" w:color="auto" w:fill="auto"/>
                </w:tcPr>
                <w:p w:rsidR="007B38A2" w:rsidRPr="00A6392A" w:rsidRDefault="007B38A2" w:rsidP="00A6392A">
                  <w:pPr>
                    <w:spacing w:before="0"/>
                    <w:jc w:val="left"/>
                    <w:rPr>
                      <w:b/>
                      <w:bCs/>
                      <w:lang w:val="es-ES_tradnl"/>
                    </w:rPr>
                  </w:pPr>
                </w:p>
              </w:tc>
            </w:tr>
          </w:tbl>
          <w:p w:rsidR="007B38A2" w:rsidRPr="001514E8" w:rsidRDefault="007B38A2" w:rsidP="001514E8">
            <w:pPr>
              <w:pStyle w:val="Normalaftertitle"/>
              <w:spacing w:line="240" w:lineRule="auto"/>
              <w:rPr>
                <w:lang w:val="es-ES_tradnl"/>
              </w:rPr>
            </w:pPr>
          </w:p>
        </w:tc>
      </w:tr>
    </w:tbl>
    <w:p w:rsidR="0004249C" w:rsidRDefault="00A6392A" w:rsidP="00A6392A">
      <w:pPr>
        <w:rPr>
          <w:lang w:val="es-ES"/>
        </w:rPr>
      </w:pPr>
      <w:r w:rsidRPr="00A6392A">
        <w:rPr>
          <w:lang w:val="es-ES"/>
        </w:rPr>
        <w:t>La vigésima sexta reunión del Grupo Asesor de Radiocomunicaciones (GAR) tuvo lugar en Ginebra del 15 al 17 de abril de 2019.</w:t>
      </w:r>
    </w:p>
    <w:p w:rsidR="00A6392A" w:rsidRDefault="00A6392A" w:rsidP="00A6392A">
      <w:pPr>
        <w:rPr>
          <w:lang w:val="es-ES"/>
        </w:rPr>
      </w:pPr>
      <w:r w:rsidRPr="00A6392A">
        <w:rPr>
          <w:lang w:val="es-ES"/>
        </w:rPr>
        <w:t>En el Anexo a la presente Circular se adjunta el resumen de conclusiones de la reunión.</w:t>
      </w:r>
    </w:p>
    <w:p w:rsidR="00A6392A" w:rsidRPr="001514E8" w:rsidRDefault="00A6392A" w:rsidP="00A6392A">
      <w:pPr>
        <w:rPr>
          <w:lang w:val="es-ES"/>
        </w:rPr>
      </w:pPr>
      <w:r w:rsidRPr="00A6392A">
        <w:rPr>
          <w:lang w:val="es-ES"/>
        </w:rPr>
        <w:t xml:space="preserve">Véase más información sobre esta reunión en la página web del GAR en </w:t>
      </w:r>
      <w:hyperlink r:id="rId8" w:history="1">
        <w:r w:rsidRPr="00702351">
          <w:rPr>
            <w:rStyle w:val="Hyperlink"/>
            <w:lang w:val="es-ES"/>
          </w:rPr>
          <w:t>http://www.itu.int/ITU-R/go/RAG</w:t>
        </w:r>
      </w:hyperlink>
      <w:r w:rsidRPr="00A6392A">
        <w:rPr>
          <w:lang w:val="es-ES"/>
        </w:rPr>
        <w:t>.</w:t>
      </w:r>
    </w:p>
    <w:p w:rsidR="00031E64" w:rsidRPr="001514E8" w:rsidRDefault="001B3D4D" w:rsidP="00436BC6">
      <w:pPr>
        <w:spacing w:before="1320"/>
        <w:jc w:val="left"/>
        <w:rPr>
          <w:szCs w:val="24"/>
          <w:lang w:val="es-ES"/>
        </w:rPr>
      </w:pPr>
      <w:r w:rsidRPr="001514E8">
        <w:rPr>
          <w:lang w:val="es-ES"/>
        </w:rPr>
        <w:t>Mario Maniewicz</w:t>
      </w:r>
      <w:r w:rsidR="00E53DCE" w:rsidRPr="001514E8">
        <w:rPr>
          <w:szCs w:val="24"/>
          <w:lang w:val="es-ES"/>
        </w:rPr>
        <w:br/>
      </w:r>
      <w:r w:rsidR="00A96D3A" w:rsidRPr="001514E8">
        <w:rPr>
          <w:szCs w:val="24"/>
          <w:lang w:val="es-ES"/>
        </w:rPr>
        <w:t>Director</w:t>
      </w:r>
    </w:p>
    <w:p w:rsidR="007B38A2" w:rsidRPr="001514E8" w:rsidRDefault="007B38A2" w:rsidP="00A6392A">
      <w:pPr>
        <w:spacing w:before="720" w:line="240" w:lineRule="auto"/>
        <w:rPr>
          <w:lang w:val="es-ES"/>
        </w:rPr>
      </w:pPr>
      <w:r w:rsidRPr="00A6392A">
        <w:rPr>
          <w:b/>
          <w:bCs/>
          <w:lang w:val="es-ES"/>
        </w:rPr>
        <w:t>Anexo</w:t>
      </w:r>
      <w:r w:rsidR="00620661" w:rsidRPr="001514E8">
        <w:rPr>
          <w:lang w:val="es-ES"/>
        </w:rPr>
        <w:t>:</w:t>
      </w:r>
      <w:r w:rsidRPr="001514E8">
        <w:rPr>
          <w:lang w:val="es-ES"/>
        </w:rPr>
        <w:t xml:space="preserve"> 1</w:t>
      </w:r>
    </w:p>
    <w:p w:rsidR="007B38A2" w:rsidRPr="001514E8" w:rsidRDefault="007B38A2" w:rsidP="00436BC6">
      <w:pPr>
        <w:spacing w:before="840" w:line="240" w:lineRule="auto"/>
        <w:rPr>
          <w:b/>
          <w:bCs/>
          <w:sz w:val="18"/>
          <w:szCs w:val="18"/>
          <w:lang w:val="es-ES"/>
        </w:rPr>
      </w:pPr>
      <w:r w:rsidRPr="001514E8">
        <w:rPr>
          <w:b/>
          <w:bCs/>
          <w:sz w:val="18"/>
          <w:szCs w:val="18"/>
          <w:lang w:val="es-ES"/>
        </w:rPr>
        <w:t>Distribución:</w:t>
      </w:r>
    </w:p>
    <w:p w:rsidR="007B38A2" w:rsidRPr="001514E8" w:rsidRDefault="007B38A2" w:rsidP="00A6392A">
      <w:pPr>
        <w:tabs>
          <w:tab w:val="clear" w:pos="1191"/>
          <w:tab w:val="left" w:pos="284"/>
        </w:tabs>
        <w:spacing w:before="120" w:line="240" w:lineRule="auto"/>
        <w:jc w:val="left"/>
        <w:rPr>
          <w:sz w:val="18"/>
          <w:szCs w:val="18"/>
          <w:lang w:val="es-ES"/>
        </w:rPr>
      </w:pPr>
      <w:r w:rsidRPr="001514E8">
        <w:rPr>
          <w:sz w:val="18"/>
          <w:szCs w:val="18"/>
          <w:lang w:val="es-ES"/>
        </w:rPr>
        <w:t>–</w:t>
      </w:r>
      <w:r w:rsidRPr="001514E8">
        <w:rPr>
          <w:sz w:val="18"/>
          <w:szCs w:val="18"/>
          <w:lang w:val="es-ES"/>
        </w:rPr>
        <w:tab/>
        <w:t>Administraciones de los Estados Miembros de la UIT</w:t>
      </w:r>
    </w:p>
    <w:p w:rsidR="007B38A2" w:rsidRPr="001514E8" w:rsidRDefault="007B38A2" w:rsidP="00A6392A">
      <w:pPr>
        <w:tabs>
          <w:tab w:val="clear" w:pos="1191"/>
          <w:tab w:val="left" w:pos="284"/>
        </w:tabs>
        <w:spacing w:before="0" w:line="240" w:lineRule="auto"/>
        <w:jc w:val="left"/>
        <w:rPr>
          <w:sz w:val="18"/>
          <w:szCs w:val="18"/>
          <w:lang w:val="es-ES"/>
        </w:rPr>
      </w:pPr>
      <w:r w:rsidRPr="001514E8">
        <w:rPr>
          <w:sz w:val="18"/>
          <w:szCs w:val="18"/>
          <w:lang w:val="es-ES"/>
        </w:rPr>
        <w:t>–</w:t>
      </w:r>
      <w:r w:rsidRPr="001514E8">
        <w:rPr>
          <w:sz w:val="18"/>
          <w:szCs w:val="18"/>
          <w:lang w:val="es-ES"/>
        </w:rPr>
        <w:tab/>
        <w:t>Observador (Resolución 99 (Rev. Dubái, 2018))</w:t>
      </w:r>
    </w:p>
    <w:p w:rsidR="007B38A2" w:rsidRPr="001514E8" w:rsidRDefault="007B38A2" w:rsidP="00A6392A">
      <w:pPr>
        <w:tabs>
          <w:tab w:val="clear" w:pos="1191"/>
          <w:tab w:val="left" w:pos="284"/>
        </w:tabs>
        <w:spacing w:before="0" w:line="240" w:lineRule="auto"/>
        <w:jc w:val="left"/>
        <w:rPr>
          <w:sz w:val="18"/>
          <w:szCs w:val="18"/>
          <w:lang w:val="es-ES"/>
        </w:rPr>
      </w:pPr>
      <w:r w:rsidRPr="001514E8">
        <w:rPr>
          <w:sz w:val="18"/>
          <w:szCs w:val="18"/>
          <w:lang w:val="es-ES"/>
        </w:rPr>
        <w:t>–</w:t>
      </w:r>
      <w:r w:rsidRPr="001514E8">
        <w:rPr>
          <w:sz w:val="18"/>
          <w:szCs w:val="18"/>
          <w:lang w:val="es-ES"/>
        </w:rPr>
        <w:tab/>
        <w:t>Observadores que participan con carácter consultivo con arreglo a los números 278 y 279 del Convenio de la UIT</w:t>
      </w:r>
    </w:p>
    <w:p w:rsidR="007B38A2" w:rsidRPr="001514E8" w:rsidRDefault="007B38A2" w:rsidP="00A6392A">
      <w:pPr>
        <w:tabs>
          <w:tab w:val="clear" w:pos="1191"/>
          <w:tab w:val="left" w:pos="284"/>
        </w:tabs>
        <w:spacing w:before="0" w:line="240" w:lineRule="auto"/>
        <w:ind w:left="284" w:hanging="284"/>
        <w:jc w:val="left"/>
        <w:rPr>
          <w:sz w:val="18"/>
          <w:szCs w:val="18"/>
          <w:lang w:val="es-ES"/>
        </w:rPr>
      </w:pPr>
      <w:r w:rsidRPr="001514E8">
        <w:rPr>
          <w:sz w:val="18"/>
          <w:szCs w:val="18"/>
          <w:lang w:val="es-ES"/>
        </w:rPr>
        <w:t>–</w:t>
      </w:r>
      <w:r w:rsidRPr="001514E8">
        <w:rPr>
          <w:sz w:val="18"/>
          <w:szCs w:val="18"/>
          <w:lang w:val="es-ES"/>
        </w:rPr>
        <w:tab/>
        <w:t>Observadores de Miembros del Sector de Radiocomunicaciones que no participan con carácter consultivo con arreglo al número 280 del Convenio de la UIT</w:t>
      </w:r>
    </w:p>
    <w:p w:rsidR="007B38A2" w:rsidRPr="001514E8" w:rsidRDefault="007B38A2" w:rsidP="00A6392A">
      <w:pPr>
        <w:tabs>
          <w:tab w:val="clear" w:pos="1191"/>
          <w:tab w:val="left" w:pos="284"/>
        </w:tabs>
        <w:spacing w:before="0" w:line="240" w:lineRule="auto"/>
        <w:jc w:val="left"/>
        <w:rPr>
          <w:sz w:val="18"/>
          <w:szCs w:val="18"/>
          <w:lang w:val="es-ES"/>
        </w:rPr>
      </w:pPr>
      <w:r w:rsidRPr="001514E8">
        <w:rPr>
          <w:sz w:val="18"/>
          <w:szCs w:val="18"/>
          <w:lang w:val="es-ES"/>
        </w:rPr>
        <w:t>–</w:t>
      </w:r>
      <w:r w:rsidRPr="001514E8">
        <w:rPr>
          <w:sz w:val="18"/>
          <w:szCs w:val="18"/>
          <w:lang w:val="es-ES"/>
        </w:rPr>
        <w:tab/>
        <w:t>Presidentes y Vicepresidentes de las Comisiones de Estudio de Radiocomunicaciones</w:t>
      </w:r>
    </w:p>
    <w:p w:rsidR="007B38A2" w:rsidRPr="001514E8" w:rsidRDefault="007B38A2" w:rsidP="00A6392A">
      <w:pPr>
        <w:tabs>
          <w:tab w:val="clear" w:pos="1191"/>
          <w:tab w:val="left" w:pos="284"/>
        </w:tabs>
        <w:spacing w:before="0" w:line="240" w:lineRule="auto"/>
        <w:jc w:val="left"/>
        <w:rPr>
          <w:sz w:val="18"/>
          <w:szCs w:val="18"/>
          <w:lang w:val="es-ES"/>
        </w:rPr>
      </w:pPr>
      <w:r w:rsidRPr="001514E8">
        <w:rPr>
          <w:sz w:val="18"/>
          <w:szCs w:val="18"/>
          <w:lang w:val="es-ES"/>
        </w:rPr>
        <w:t>–</w:t>
      </w:r>
      <w:r w:rsidRPr="001514E8">
        <w:rPr>
          <w:sz w:val="18"/>
          <w:szCs w:val="18"/>
          <w:lang w:val="es-ES"/>
        </w:rPr>
        <w:tab/>
        <w:t>Presidente y Vicepresidentes del Grupo Asesor de Radiocomunicaciones</w:t>
      </w:r>
    </w:p>
    <w:p w:rsidR="007B38A2" w:rsidRPr="001514E8" w:rsidRDefault="007B38A2" w:rsidP="00A6392A">
      <w:pPr>
        <w:tabs>
          <w:tab w:val="clear" w:pos="1191"/>
          <w:tab w:val="left" w:pos="284"/>
        </w:tabs>
        <w:spacing w:before="0" w:line="240" w:lineRule="auto"/>
        <w:jc w:val="left"/>
        <w:rPr>
          <w:sz w:val="18"/>
          <w:szCs w:val="18"/>
          <w:lang w:val="es-ES"/>
        </w:rPr>
      </w:pPr>
      <w:r w:rsidRPr="001514E8">
        <w:rPr>
          <w:sz w:val="18"/>
          <w:szCs w:val="18"/>
          <w:lang w:val="es-ES"/>
        </w:rPr>
        <w:t>–</w:t>
      </w:r>
      <w:r w:rsidRPr="001514E8">
        <w:rPr>
          <w:sz w:val="18"/>
          <w:szCs w:val="18"/>
          <w:lang w:val="es-ES"/>
        </w:rPr>
        <w:tab/>
        <w:t>Presidente y Vicepresidentes de la Reunión Preparatoria de la Conferencia</w:t>
      </w:r>
    </w:p>
    <w:p w:rsidR="007B38A2" w:rsidRPr="001514E8" w:rsidRDefault="007B38A2" w:rsidP="00A6392A">
      <w:pPr>
        <w:tabs>
          <w:tab w:val="clear" w:pos="1191"/>
          <w:tab w:val="left" w:pos="284"/>
        </w:tabs>
        <w:spacing w:before="0" w:line="240" w:lineRule="auto"/>
        <w:jc w:val="left"/>
        <w:rPr>
          <w:sz w:val="18"/>
          <w:szCs w:val="18"/>
          <w:lang w:val="es-ES"/>
        </w:rPr>
      </w:pPr>
      <w:r w:rsidRPr="001514E8">
        <w:rPr>
          <w:sz w:val="18"/>
          <w:szCs w:val="18"/>
          <w:lang w:val="es-ES"/>
        </w:rPr>
        <w:t>–</w:t>
      </w:r>
      <w:r w:rsidRPr="001514E8">
        <w:rPr>
          <w:sz w:val="18"/>
          <w:szCs w:val="18"/>
          <w:lang w:val="es-ES"/>
        </w:rPr>
        <w:tab/>
        <w:t>Miembros de la Junta del Reglamento de Radiocomunicaciones</w:t>
      </w:r>
    </w:p>
    <w:p w:rsidR="007B38A2" w:rsidRPr="001514E8" w:rsidRDefault="007B38A2" w:rsidP="00A6392A">
      <w:pPr>
        <w:tabs>
          <w:tab w:val="clear" w:pos="1191"/>
          <w:tab w:val="left" w:pos="284"/>
        </w:tabs>
        <w:spacing w:before="0" w:line="240" w:lineRule="auto"/>
        <w:ind w:left="284" w:hanging="284"/>
        <w:jc w:val="left"/>
        <w:rPr>
          <w:sz w:val="18"/>
          <w:szCs w:val="18"/>
          <w:lang w:val="es-ES"/>
        </w:rPr>
      </w:pPr>
      <w:r w:rsidRPr="001514E8">
        <w:rPr>
          <w:sz w:val="18"/>
          <w:szCs w:val="18"/>
          <w:lang w:val="es-ES"/>
        </w:rPr>
        <w:t>–</w:t>
      </w:r>
      <w:r w:rsidRPr="001514E8">
        <w:rPr>
          <w:sz w:val="18"/>
          <w:szCs w:val="18"/>
          <w:lang w:val="es-ES"/>
        </w:rPr>
        <w:tab/>
        <w:t>Secretario General de la UIT, Vicesecretario General de la UIT, Director de la O</w:t>
      </w:r>
      <w:r w:rsidR="00A6392A">
        <w:rPr>
          <w:sz w:val="18"/>
          <w:szCs w:val="18"/>
          <w:lang w:val="es-ES"/>
        </w:rPr>
        <w:t xml:space="preserve">ficina de Normalización de las </w:t>
      </w:r>
      <w:r w:rsidRPr="001514E8">
        <w:rPr>
          <w:sz w:val="18"/>
          <w:szCs w:val="18"/>
          <w:lang w:val="es-ES"/>
        </w:rPr>
        <w:t>Telecomunicaciones, Directora de la Oficina de Desarrollo de las Telecomunicaciones</w:t>
      </w:r>
    </w:p>
    <w:p w:rsidR="00A6392A" w:rsidRDefault="007B38A2" w:rsidP="00A6392A">
      <w:pPr>
        <w:rPr>
          <w:lang w:val="es-ES"/>
        </w:rPr>
      </w:pPr>
      <w:r w:rsidRPr="0004249C">
        <w:rPr>
          <w:lang w:val="es-ES"/>
        </w:rPr>
        <w:br w:type="page"/>
      </w:r>
    </w:p>
    <w:p w:rsidR="004A4951" w:rsidRPr="008930FD" w:rsidRDefault="00513A0E" w:rsidP="004A4951">
      <w:pPr>
        <w:pStyle w:val="AnnexNo"/>
        <w:rPr>
          <w:lang w:val="es-ES"/>
        </w:rPr>
      </w:pPr>
      <w:r w:rsidRPr="008930FD">
        <w:rPr>
          <w:lang w:val="es-ES"/>
        </w:rPr>
        <w:lastRenderedPageBreak/>
        <w:t>Anexo</w:t>
      </w:r>
    </w:p>
    <w:p w:rsidR="004A4951" w:rsidRPr="00E5116A" w:rsidRDefault="004A4951" w:rsidP="004A4951">
      <w:pPr>
        <w:pStyle w:val="Annextitle"/>
      </w:pPr>
      <w:r>
        <w:t xml:space="preserve">Resumen de conclusiones de la vigésima sexta reunión </w:t>
      </w:r>
      <w:r>
        <w:br/>
        <w:t>del Grupo Asesor de Radiocomunicaciones</w:t>
      </w:r>
    </w:p>
    <w:p w:rsidR="007B38A2" w:rsidRPr="00513A0E" w:rsidRDefault="007B38A2" w:rsidP="00513A0E">
      <w:pPr>
        <w:rPr>
          <w:lang w:val="es-ES" w:eastAsia="zh-CN"/>
        </w:rPr>
      </w:pPr>
    </w:p>
    <w:tbl>
      <w:tblPr>
        <w:tblW w:w="9889" w:type="dxa"/>
        <w:tblLayout w:type="fixed"/>
        <w:tblLook w:val="0000" w:firstRow="0" w:lastRow="0" w:firstColumn="0" w:lastColumn="0" w:noHBand="0" w:noVBand="0"/>
      </w:tblPr>
      <w:tblGrid>
        <w:gridCol w:w="6271"/>
        <w:gridCol w:w="3618"/>
      </w:tblGrid>
      <w:tr w:rsidR="007B38A2" w:rsidRPr="008930FD" w:rsidTr="00622D6F">
        <w:trPr>
          <w:cantSplit/>
        </w:trPr>
        <w:tc>
          <w:tcPr>
            <w:tcW w:w="6271" w:type="dxa"/>
            <w:vAlign w:val="center"/>
          </w:tcPr>
          <w:p w:rsidR="007B38A2" w:rsidRPr="001514E8" w:rsidRDefault="007B38A2" w:rsidP="009741B7">
            <w:pPr>
              <w:shd w:val="solid" w:color="FFFFFF" w:fill="FFFFFF"/>
              <w:tabs>
                <w:tab w:val="left" w:pos="568"/>
              </w:tabs>
              <w:spacing w:before="360" w:after="240" w:line="240" w:lineRule="auto"/>
              <w:jc w:val="left"/>
              <w:rPr>
                <w:b/>
                <w:caps/>
                <w:sz w:val="32"/>
                <w:lang w:val="es-ES_tradnl"/>
              </w:rPr>
            </w:pPr>
            <w:r w:rsidRPr="001514E8">
              <w:rPr>
                <w:rFonts w:ascii="Verdana" w:hAnsi="Verdana" w:cs="Times New Roman Bold"/>
                <w:b/>
                <w:sz w:val="26"/>
                <w:szCs w:val="26"/>
                <w:lang w:val="es-ES_tradnl"/>
              </w:rPr>
              <w:t>Grupo Asesor de Radiocomunicaciones</w:t>
            </w:r>
            <w:r w:rsidRPr="001514E8">
              <w:rPr>
                <w:b/>
                <w:caps/>
                <w:sz w:val="32"/>
                <w:lang w:val="es-ES_tradnl"/>
              </w:rPr>
              <w:br/>
            </w:r>
            <w:r w:rsidRPr="001514E8">
              <w:rPr>
                <w:rFonts w:ascii="Verdana" w:hAnsi="Verdana" w:cs="Times New Roman Bold"/>
                <w:b/>
                <w:bCs/>
                <w:sz w:val="20"/>
                <w:lang w:val="es-ES_tradnl"/>
              </w:rPr>
              <w:t xml:space="preserve">Ginebra, </w:t>
            </w:r>
            <w:r w:rsidR="009741B7">
              <w:rPr>
                <w:rFonts w:ascii="Verdana" w:hAnsi="Verdana" w:cs="Times New Roman Bold"/>
                <w:b/>
                <w:bCs/>
                <w:sz w:val="20"/>
                <w:lang w:val="es-ES_tradnl"/>
              </w:rPr>
              <w:t>15</w:t>
            </w:r>
            <w:r w:rsidRPr="001514E8">
              <w:rPr>
                <w:rFonts w:ascii="Verdana" w:hAnsi="Verdana" w:cs="Times New Roman Bold"/>
                <w:b/>
                <w:bCs/>
                <w:sz w:val="20"/>
                <w:lang w:val="es-ES_tradnl"/>
              </w:rPr>
              <w:t>-</w:t>
            </w:r>
            <w:r w:rsidR="009741B7">
              <w:rPr>
                <w:rFonts w:ascii="Verdana" w:hAnsi="Verdana" w:cs="Times New Roman Bold"/>
                <w:b/>
                <w:bCs/>
                <w:sz w:val="20"/>
                <w:lang w:val="es-ES_tradnl"/>
              </w:rPr>
              <w:t>17</w:t>
            </w:r>
            <w:r w:rsidRPr="001514E8">
              <w:rPr>
                <w:rFonts w:ascii="Verdana" w:hAnsi="Verdana" w:cs="Times New Roman Bold"/>
                <w:b/>
                <w:bCs/>
                <w:sz w:val="20"/>
                <w:lang w:val="es-ES_tradnl"/>
              </w:rPr>
              <w:t xml:space="preserve"> de </w:t>
            </w:r>
            <w:r w:rsidR="009741B7">
              <w:rPr>
                <w:rFonts w:ascii="Verdana" w:hAnsi="Verdana" w:cs="Times New Roman Bold"/>
                <w:b/>
                <w:bCs/>
                <w:sz w:val="20"/>
                <w:lang w:val="es-ES_tradnl"/>
              </w:rPr>
              <w:t>abril</w:t>
            </w:r>
            <w:r w:rsidRPr="001514E8">
              <w:rPr>
                <w:rFonts w:ascii="Verdana" w:hAnsi="Verdana" w:cs="Times New Roman Bold"/>
                <w:b/>
                <w:bCs/>
                <w:sz w:val="20"/>
                <w:lang w:val="es-ES_tradnl"/>
              </w:rPr>
              <w:t xml:space="preserve"> de 2019</w:t>
            </w:r>
          </w:p>
        </w:tc>
        <w:tc>
          <w:tcPr>
            <w:tcW w:w="3618" w:type="dxa"/>
            <w:vAlign w:val="center"/>
          </w:tcPr>
          <w:p w:rsidR="007B38A2" w:rsidRPr="001514E8" w:rsidRDefault="007B38A2" w:rsidP="001514E8">
            <w:pPr>
              <w:shd w:val="solid" w:color="FFFFFF" w:fill="FFFFFF"/>
              <w:spacing w:before="0" w:line="240" w:lineRule="auto"/>
              <w:jc w:val="right"/>
              <w:rPr>
                <w:lang w:val="es-ES_tradnl"/>
              </w:rPr>
            </w:pPr>
            <w:r w:rsidRPr="001514E8">
              <w:rPr>
                <w:rFonts w:cstheme="minorHAnsi"/>
                <w:b/>
                <w:bCs/>
                <w:noProof/>
                <w:szCs w:val="24"/>
                <w:lang w:eastAsia="zh-CN"/>
              </w:rPr>
              <w:drawing>
                <wp:anchor distT="0" distB="0" distL="114300" distR="114300" simplePos="0" relativeHeight="251659264" behindDoc="0" locked="0" layoutInCell="1" allowOverlap="1" wp14:anchorId="57D28664" wp14:editId="427A81D8">
                  <wp:simplePos x="0" y="0"/>
                  <wp:positionH relativeFrom="column">
                    <wp:posOffset>386080</wp:posOffset>
                  </wp:positionH>
                  <wp:positionV relativeFrom="paragraph">
                    <wp:posOffset>18415</wp:posOffset>
                  </wp:positionV>
                  <wp:extent cx="1771650" cy="695325"/>
                  <wp:effectExtent l="0" t="0" r="0" b="9525"/>
                  <wp:wrapSquare wrapText="bothSides"/>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B38A2" w:rsidRPr="008930FD" w:rsidTr="00622D6F">
        <w:trPr>
          <w:cantSplit/>
        </w:trPr>
        <w:tc>
          <w:tcPr>
            <w:tcW w:w="6271" w:type="dxa"/>
            <w:tcBorders>
              <w:bottom w:val="single" w:sz="12" w:space="0" w:color="auto"/>
            </w:tcBorders>
          </w:tcPr>
          <w:p w:rsidR="007B38A2" w:rsidRPr="001514E8" w:rsidRDefault="007B38A2" w:rsidP="001514E8">
            <w:pPr>
              <w:shd w:val="solid" w:color="FFFFFF" w:fill="FFFFFF"/>
              <w:spacing w:before="0" w:after="48" w:line="240" w:lineRule="auto"/>
              <w:rPr>
                <w:rFonts w:ascii="Verdana" w:hAnsi="Verdana" w:cs="Times New Roman Bold"/>
                <w:b/>
                <w:sz w:val="22"/>
                <w:lang w:val="es-ES_tradnl"/>
              </w:rPr>
            </w:pPr>
          </w:p>
        </w:tc>
        <w:tc>
          <w:tcPr>
            <w:tcW w:w="3618" w:type="dxa"/>
            <w:tcBorders>
              <w:bottom w:val="single" w:sz="12" w:space="0" w:color="auto"/>
            </w:tcBorders>
          </w:tcPr>
          <w:p w:rsidR="007B38A2" w:rsidRPr="001514E8" w:rsidRDefault="007B38A2" w:rsidP="001514E8">
            <w:pPr>
              <w:shd w:val="solid" w:color="FFFFFF" w:fill="FFFFFF"/>
              <w:spacing w:before="0" w:after="48" w:line="240" w:lineRule="auto"/>
              <w:rPr>
                <w:sz w:val="22"/>
                <w:lang w:val="es-ES_tradnl"/>
              </w:rPr>
            </w:pPr>
          </w:p>
        </w:tc>
      </w:tr>
      <w:tr w:rsidR="007B38A2" w:rsidRPr="008930FD" w:rsidTr="00622D6F">
        <w:trPr>
          <w:cantSplit/>
        </w:trPr>
        <w:tc>
          <w:tcPr>
            <w:tcW w:w="6271" w:type="dxa"/>
            <w:tcBorders>
              <w:top w:val="single" w:sz="12" w:space="0" w:color="auto"/>
            </w:tcBorders>
          </w:tcPr>
          <w:p w:rsidR="007B38A2" w:rsidRPr="001514E8" w:rsidRDefault="007B38A2" w:rsidP="001514E8">
            <w:pPr>
              <w:shd w:val="solid" w:color="FFFFFF" w:fill="FFFFFF"/>
              <w:spacing w:before="0" w:after="48" w:line="240" w:lineRule="auto"/>
              <w:rPr>
                <w:rFonts w:ascii="Verdana" w:hAnsi="Verdana" w:cs="Times New Roman Bold"/>
                <w:bCs/>
                <w:sz w:val="22"/>
                <w:lang w:val="es-ES_tradnl"/>
              </w:rPr>
            </w:pPr>
          </w:p>
        </w:tc>
        <w:tc>
          <w:tcPr>
            <w:tcW w:w="3618" w:type="dxa"/>
            <w:tcBorders>
              <w:top w:val="single" w:sz="12" w:space="0" w:color="auto"/>
            </w:tcBorders>
          </w:tcPr>
          <w:p w:rsidR="007B38A2" w:rsidRPr="001514E8" w:rsidRDefault="007B38A2" w:rsidP="001514E8">
            <w:pPr>
              <w:shd w:val="solid" w:color="FFFFFF" w:fill="FFFFFF"/>
              <w:spacing w:before="0" w:after="48" w:line="240" w:lineRule="auto"/>
              <w:rPr>
                <w:rFonts w:ascii="Verdana" w:hAnsi="Verdana"/>
                <w:sz w:val="22"/>
                <w:lang w:val="es-ES_tradnl"/>
              </w:rPr>
            </w:pPr>
          </w:p>
        </w:tc>
      </w:tr>
      <w:tr w:rsidR="007B38A2" w:rsidRPr="008930FD" w:rsidTr="00622D6F">
        <w:trPr>
          <w:cantSplit/>
        </w:trPr>
        <w:tc>
          <w:tcPr>
            <w:tcW w:w="6271" w:type="dxa"/>
            <w:vMerge w:val="restart"/>
          </w:tcPr>
          <w:p w:rsidR="007B38A2" w:rsidRPr="001514E8" w:rsidRDefault="007B38A2" w:rsidP="001514E8">
            <w:pPr>
              <w:shd w:val="solid" w:color="FFFFFF" w:fill="FFFFFF"/>
              <w:spacing w:after="240" w:line="240" w:lineRule="auto"/>
              <w:rPr>
                <w:sz w:val="20"/>
                <w:lang w:val="es-ES_tradnl"/>
              </w:rPr>
            </w:pPr>
            <w:bookmarkStart w:id="0" w:name="dnum" w:colFirst="1" w:colLast="1"/>
          </w:p>
        </w:tc>
        <w:tc>
          <w:tcPr>
            <w:tcW w:w="3618" w:type="dxa"/>
          </w:tcPr>
          <w:p w:rsidR="007B38A2" w:rsidRPr="001514E8" w:rsidRDefault="007B38A2" w:rsidP="001514E8">
            <w:pPr>
              <w:shd w:val="solid" w:color="FFFFFF" w:fill="FFFFFF"/>
              <w:spacing w:before="0" w:line="240" w:lineRule="auto"/>
              <w:jc w:val="left"/>
              <w:rPr>
                <w:rFonts w:ascii="Verdana" w:hAnsi="Verdana"/>
                <w:sz w:val="20"/>
                <w:lang w:val="es-ES_tradnl"/>
              </w:rPr>
            </w:pPr>
            <w:r w:rsidRPr="001514E8">
              <w:rPr>
                <w:rFonts w:ascii="Verdana" w:hAnsi="Verdana"/>
                <w:b/>
                <w:sz w:val="20"/>
                <w:lang w:val="es-ES_tradnl"/>
              </w:rPr>
              <w:t>Documento RAG1</w:t>
            </w:r>
            <w:r w:rsidR="004E116E" w:rsidRPr="001514E8">
              <w:rPr>
                <w:rFonts w:ascii="Verdana" w:hAnsi="Verdana"/>
                <w:b/>
                <w:sz w:val="20"/>
                <w:lang w:val="es-ES_tradnl"/>
              </w:rPr>
              <w:t>9</w:t>
            </w:r>
            <w:r w:rsidRPr="001514E8">
              <w:rPr>
                <w:rFonts w:ascii="Verdana" w:hAnsi="Verdana"/>
                <w:b/>
                <w:sz w:val="20"/>
                <w:lang w:val="es-ES_tradnl"/>
              </w:rPr>
              <w:t>/TEMP/</w:t>
            </w:r>
            <w:r w:rsidR="004E116E" w:rsidRPr="001514E8">
              <w:rPr>
                <w:rFonts w:ascii="Verdana" w:hAnsi="Verdana"/>
                <w:b/>
                <w:sz w:val="20"/>
                <w:lang w:val="es-ES_tradnl"/>
              </w:rPr>
              <w:t>2</w:t>
            </w:r>
            <w:r w:rsidRPr="001514E8">
              <w:rPr>
                <w:rFonts w:ascii="Verdana" w:hAnsi="Verdana"/>
                <w:b/>
                <w:sz w:val="20"/>
                <w:lang w:val="es-ES_tradnl"/>
              </w:rPr>
              <w:t>-S (editado)</w:t>
            </w:r>
          </w:p>
        </w:tc>
      </w:tr>
      <w:tr w:rsidR="007B38A2" w:rsidRPr="001514E8" w:rsidTr="00622D6F">
        <w:trPr>
          <w:cantSplit/>
        </w:trPr>
        <w:tc>
          <w:tcPr>
            <w:tcW w:w="6271" w:type="dxa"/>
            <w:vMerge/>
          </w:tcPr>
          <w:p w:rsidR="007B38A2" w:rsidRPr="001514E8" w:rsidRDefault="007B38A2" w:rsidP="001514E8">
            <w:pPr>
              <w:spacing w:before="60" w:line="240" w:lineRule="auto"/>
              <w:jc w:val="center"/>
              <w:rPr>
                <w:b/>
                <w:smallCaps/>
                <w:sz w:val="32"/>
                <w:lang w:val="es-ES_tradnl"/>
              </w:rPr>
            </w:pPr>
            <w:bookmarkStart w:id="1" w:name="ddate" w:colFirst="1" w:colLast="1"/>
            <w:bookmarkEnd w:id="0"/>
          </w:p>
        </w:tc>
        <w:tc>
          <w:tcPr>
            <w:tcW w:w="3618" w:type="dxa"/>
          </w:tcPr>
          <w:p w:rsidR="007B38A2" w:rsidRPr="001514E8" w:rsidRDefault="004E116E" w:rsidP="001514E8">
            <w:pPr>
              <w:shd w:val="solid" w:color="FFFFFF" w:fill="FFFFFF"/>
              <w:spacing w:before="0" w:line="240" w:lineRule="auto"/>
              <w:jc w:val="left"/>
              <w:rPr>
                <w:rFonts w:ascii="Verdana" w:hAnsi="Verdana"/>
                <w:sz w:val="20"/>
                <w:lang w:val="es-ES_tradnl"/>
              </w:rPr>
            </w:pPr>
            <w:r w:rsidRPr="001514E8">
              <w:rPr>
                <w:rFonts w:ascii="Verdana" w:hAnsi="Verdana"/>
                <w:b/>
                <w:sz w:val="20"/>
                <w:lang w:val="es-ES_tradnl"/>
              </w:rPr>
              <w:t>16</w:t>
            </w:r>
            <w:r w:rsidR="007B38A2" w:rsidRPr="001514E8">
              <w:rPr>
                <w:rFonts w:ascii="Verdana" w:hAnsi="Verdana"/>
                <w:b/>
                <w:sz w:val="20"/>
                <w:lang w:val="es-ES_tradnl"/>
              </w:rPr>
              <w:t xml:space="preserve"> de </w:t>
            </w:r>
            <w:r w:rsidRPr="001514E8">
              <w:rPr>
                <w:rFonts w:ascii="Verdana" w:hAnsi="Verdana"/>
                <w:b/>
                <w:sz w:val="20"/>
                <w:lang w:val="es-ES_tradnl"/>
              </w:rPr>
              <w:t xml:space="preserve">abril </w:t>
            </w:r>
            <w:r w:rsidR="007B38A2" w:rsidRPr="001514E8">
              <w:rPr>
                <w:rFonts w:ascii="Verdana" w:hAnsi="Verdana"/>
                <w:b/>
                <w:sz w:val="20"/>
                <w:lang w:val="es-ES_tradnl"/>
              </w:rPr>
              <w:t>de 201</w:t>
            </w:r>
            <w:r w:rsidRPr="001514E8">
              <w:rPr>
                <w:rFonts w:ascii="Verdana" w:hAnsi="Verdana"/>
                <w:b/>
                <w:sz w:val="20"/>
                <w:lang w:val="es-ES_tradnl"/>
              </w:rPr>
              <w:t>9</w:t>
            </w:r>
          </w:p>
        </w:tc>
      </w:tr>
      <w:tr w:rsidR="007B38A2" w:rsidRPr="001514E8" w:rsidTr="00622D6F">
        <w:trPr>
          <w:cantSplit/>
        </w:trPr>
        <w:tc>
          <w:tcPr>
            <w:tcW w:w="6271" w:type="dxa"/>
            <w:vMerge/>
          </w:tcPr>
          <w:p w:rsidR="007B38A2" w:rsidRPr="001514E8" w:rsidRDefault="007B38A2" w:rsidP="001514E8">
            <w:pPr>
              <w:spacing w:before="60" w:line="240" w:lineRule="auto"/>
              <w:jc w:val="center"/>
              <w:rPr>
                <w:b/>
                <w:smallCaps/>
                <w:sz w:val="32"/>
                <w:lang w:val="es-ES_tradnl"/>
              </w:rPr>
            </w:pPr>
            <w:bookmarkStart w:id="2" w:name="dorlang" w:colFirst="1" w:colLast="1"/>
            <w:bookmarkEnd w:id="1"/>
          </w:p>
        </w:tc>
        <w:tc>
          <w:tcPr>
            <w:tcW w:w="3618" w:type="dxa"/>
          </w:tcPr>
          <w:p w:rsidR="007B38A2" w:rsidRPr="001514E8" w:rsidRDefault="00E1043E" w:rsidP="001514E8">
            <w:pPr>
              <w:shd w:val="solid" w:color="FFFFFF" w:fill="FFFFFF"/>
              <w:spacing w:before="0" w:after="120" w:line="240" w:lineRule="auto"/>
              <w:jc w:val="left"/>
              <w:rPr>
                <w:rFonts w:ascii="Verdana" w:hAnsi="Verdana"/>
                <w:sz w:val="20"/>
                <w:lang w:val="es-ES_tradnl"/>
              </w:rPr>
            </w:pPr>
            <w:r w:rsidRPr="001514E8">
              <w:rPr>
                <w:rFonts w:ascii="Verdana" w:hAnsi="Verdana"/>
                <w:b/>
                <w:sz w:val="20"/>
                <w:lang w:val="es-ES_tradnl"/>
              </w:rPr>
              <w:t>Inglés únicamente</w:t>
            </w:r>
          </w:p>
        </w:tc>
      </w:tr>
      <w:tr w:rsidR="007B38A2" w:rsidRPr="008930FD" w:rsidTr="00622D6F">
        <w:trPr>
          <w:cantSplit/>
        </w:trPr>
        <w:tc>
          <w:tcPr>
            <w:tcW w:w="9889" w:type="dxa"/>
            <w:gridSpan w:val="2"/>
          </w:tcPr>
          <w:p w:rsidR="007B38A2" w:rsidRPr="004A4951" w:rsidRDefault="007B38A2" w:rsidP="00513A0E">
            <w:pPr>
              <w:pStyle w:val="Source"/>
              <w:rPr>
                <w:lang w:val="es-ES"/>
              </w:rPr>
            </w:pPr>
            <w:bookmarkStart w:id="3" w:name="dsource" w:colFirst="0" w:colLast="0"/>
            <w:bookmarkEnd w:id="2"/>
            <w:r w:rsidRPr="004A4951">
              <w:rPr>
                <w:lang w:val="es-ES"/>
              </w:rPr>
              <w:t>Presidente del Grupo Asesor de Radiocomunicaciones</w:t>
            </w:r>
          </w:p>
        </w:tc>
      </w:tr>
      <w:tr w:rsidR="007B38A2" w:rsidRPr="008930FD" w:rsidTr="00622D6F">
        <w:trPr>
          <w:cantSplit/>
        </w:trPr>
        <w:tc>
          <w:tcPr>
            <w:tcW w:w="9889" w:type="dxa"/>
            <w:gridSpan w:val="2"/>
          </w:tcPr>
          <w:p w:rsidR="007B38A2" w:rsidRPr="004A4951" w:rsidRDefault="007B38A2" w:rsidP="00513A0E">
            <w:pPr>
              <w:pStyle w:val="Title1"/>
              <w:rPr>
                <w:lang w:val="es-ES"/>
              </w:rPr>
            </w:pPr>
            <w:bookmarkStart w:id="4" w:name="dtitle1" w:colFirst="0" w:colLast="0"/>
            <w:bookmarkEnd w:id="3"/>
            <w:r w:rsidRPr="004A4951">
              <w:rPr>
                <w:lang w:val="es-ES"/>
              </w:rPr>
              <w:t xml:space="preserve">VIGÉSIMa </w:t>
            </w:r>
            <w:r w:rsidR="00620661" w:rsidRPr="004A4951">
              <w:rPr>
                <w:lang w:val="es-ES"/>
              </w:rPr>
              <w:t>sexta</w:t>
            </w:r>
            <w:r w:rsidRPr="004A4951">
              <w:rPr>
                <w:lang w:val="es-ES"/>
              </w:rPr>
              <w:t xml:space="preserve"> REUNIÓN DEL GRUPO </w:t>
            </w:r>
            <w:r w:rsidRPr="004A4951">
              <w:rPr>
                <w:lang w:val="es-ES"/>
              </w:rPr>
              <w:br/>
              <w:t>ASESOR DE RADIOCOMUNICACIONES</w:t>
            </w:r>
          </w:p>
        </w:tc>
      </w:tr>
      <w:tr w:rsidR="00AF27BC" w:rsidRPr="00CD755C" w:rsidTr="00622D6F">
        <w:trPr>
          <w:cantSplit/>
        </w:trPr>
        <w:tc>
          <w:tcPr>
            <w:tcW w:w="9889" w:type="dxa"/>
            <w:gridSpan w:val="2"/>
          </w:tcPr>
          <w:p w:rsidR="00AF27BC" w:rsidRPr="00513A0E" w:rsidRDefault="00AF27BC" w:rsidP="00AF27BC">
            <w:pPr>
              <w:pStyle w:val="Title2"/>
            </w:pPr>
            <w:r w:rsidRPr="00AF27BC">
              <w:t>RESUMEN DE CONCLUSIONES</w:t>
            </w:r>
          </w:p>
        </w:tc>
      </w:tr>
      <w:bookmarkEnd w:id="4"/>
    </w:tbl>
    <w:p w:rsidR="007B38A2" w:rsidRPr="001514E8" w:rsidRDefault="007B38A2" w:rsidP="001514E8">
      <w:pPr>
        <w:spacing w:line="240" w:lineRule="auto"/>
        <w:rPr>
          <w:lang w:val="es-ES_tradnl"/>
        </w:rPr>
      </w:pPr>
    </w:p>
    <w:p w:rsidR="007B38A2" w:rsidRPr="001514E8" w:rsidRDefault="007B38A2" w:rsidP="001514E8">
      <w:pPr>
        <w:spacing w:line="240" w:lineRule="auto"/>
        <w:rPr>
          <w:rFonts w:asciiTheme="minorHAnsi" w:hAnsiTheme="minorHAnsi" w:cstheme="minorHAnsi"/>
          <w:szCs w:val="24"/>
          <w:lang w:val="es-ES_tradnl"/>
        </w:rPr>
        <w:sectPr w:rsidR="007B38A2" w:rsidRPr="001514E8"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pPr>
    </w:p>
    <w:p w:rsidR="007B38A2" w:rsidRPr="001514E8" w:rsidRDefault="007B38A2" w:rsidP="00AF27BC">
      <w:pPr>
        <w:pStyle w:val="Title2"/>
        <w:spacing w:before="0" w:after="120"/>
        <w:rPr>
          <w:lang w:val="es-ES_tradnl"/>
        </w:rPr>
      </w:pPr>
      <w:r w:rsidRPr="001514E8">
        <w:rPr>
          <w:lang w:val="es-ES_tradnl"/>
        </w:rPr>
        <w:lastRenderedPageBreak/>
        <w:t>RESUMEN DE CONCLUSIONES</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14"/>
        <w:gridCol w:w="3136"/>
        <w:gridCol w:w="9928"/>
      </w:tblGrid>
      <w:tr w:rsidR="004E116E" w:rsidRPr="001514E8" w:rsidTr="00AF27BC">
        <w:trPr>
          <w:tblHeader/>
          <w:jc w:val="center"/>
        </w:trPr>
        <w:tc>
          <w:tcPr>
            <w:tcW w:w="1014" w:type="dxa"/>
            <w:vAlign w:val="center"/>
          </w:tcPr>
          <w:p w:rsidR="004E116E" w:rsidRPr="001514E8" w:rsidRDefault="00513A0E" w:rsidP="001514E8">
            <w:pPr>
              <w:pStyle w:val="Tablehead"/>
              <w:rPr>
                <w:lang w:val="es-ES_tradnl"/>
              </w:rPr>
            </w:pPr>
            <w:r>
              <w:rPr>
                <w:lang w:val="es-ES_tradnl"/>
              </w:rPr>
              <w:br w:type="page"/>
              <w:t>Punto del orden del día</w:t>
            </w:r>
          </w:p>
        </w:tc>
        <w:tc>
          <w:tcPr>
            <w:tcW w:w="3136" w:type="dxa"/>
            <w:vAlign w:val="center"/>
          </w:tcPr>
          <w:p w:rsidR="004E116E" w:rsidRPr="001514E8" w:rsidRDefault="004E116E" w:rsidP="001514E8">
            <w:pPr>
              <w:pStyle w:val="Tablehead"/>
              <w:rPr>
                <w:lang w:val="es-ES_tradnl"/>
              </w:rPr>
            </w:pPr>
            <w:r w:rsidRPr="001514E8">
              <w:rPr>
                <w:lang w:val="es-ES_tradnl"/>
              </w:rPr>
              <w:t>Asunto</w:t>
            </w:r>
          </w:p>
        </w:tc>
        <w:tc>
          <w:tcPr>
            <w:tcW w:w="9928" w:type="dxa"/>
            <w:vAlign w:val="center"/>
          </w:tcPr>
          <w:p w:rsidR="004E116E" w:rsidRPr="001514E8" w:rsidRDefault="004E116E" w:rsidP="001514E8">
            <w:pPr>
              <w:pStyle w:val="Tablehead"/>
              <w:rPr>
                <w:lang w:val="es-ES_tradnl"/>
              </w:rPr>
            </w:pPr>
            <w:r w:rsidRPr="001514E8">
              <w:rPr>
                <w:lang w:val="es-ES_tradnl"/>
              </w:rPr>
              <w:t>Conclusiones</w:t>
            </w:r>
          </w:p>
        </w:tc>
      </w:tr>
      <w:tr w:rsidR="004E116E" w:rsidRPr="008930FD" w:rsidTr="00AF27BC">
        <w:trPr>
          <w:jc w:val="center"/>
        </w:trPr>
        <w:tc>
          <w:tcPr>
            <w:tcW w:w="1014" w:type="dxa"/>
          </w:tcPr>
          <w:p w:rsidR="004E116E" w:rsidRPr="00352192" w:rsidRDefault="004E116E" w:rsidP="00352192">
            <w:pPr>
              <w:pStyle w:val="Tabletext"/>
              <w:jc w:val="center"/>
            </w:pPr>
            <w:r w:rsidRPr="00352192">
              <w:t>1</w:t>
            </w:r>
          </w:p>
        </w:tc>
        <w:tc>
          <w:tcPr>
            <w:tcW w:w="3136" w:type="dxa"/>
          </w:tcPr>
          <w:p w:rsidR="004E116E" w:rsidRPr="00352192" w:rsidRDefault="00AF27BC" w:rsidP="001514E8">
            <w:pPr>
              <w:pStyle w:val="Tabletext"/>
            </w:pPr>
            <w:r>
              <w:t>Observaciones preliminares</w:t>
            </w:r>
          </w:p>
        </w:tc>
        <w:tc>
          <w:tcPr>
            <w:tcW w:w="9928" w:type="dxa"/>
          </w:tcPr>
          <w:p w:rsidR="00B76B4E" w:rsidRDefault="00E1043E" w:rsidP="00B76B4E">
            <w:pPr>
              <w:pStyle w:val="Tabletext"/>
            </w:pPr>
            <w:r w:rsidRPr="00F116D7">
              <w:t>El Presidente</w:t>
            </w:r>
            <w:r w:rsidR="004E116E" w:rsidRPr="00F116D7">
              <w:t>, Sr. Daniel Obam (Kenya)</w:t>
            </w:r>
            <w:r w:rsidRPr="00F116D7">
              <w:t>, declaró oficialmente abierta la reunión</w:t>
            </w:r>
            <w:r w:rsidR="004E116E" w:rsidRPr="00F116D7">
              <w:t xml:space="preserve">. </w:t>
            </w:r>
            <w:r w:rsidRPr="00F116D7">
              <w:t>El Secretario General de la UIT pronunció su alocución de apertura y pidió a los participantes que en su trabajo tuvieran en mente la próxima Conferencia, que se celebrará en</w:t>
            </w:r>
            <w:r w:rsidR="004E116E" w:rsidRPr="00F116D7">
              <w:t xml:space="preserve"> Sharm el-Sheikh </w:t>
            </w:r>
            <w:r w:rsidRPr="00F116D7">
              <w:t>del 28 de octubre al 22 de noviembre de</w:t>
            </w:r>
            <w:r w:rsidR="004E116E" w:rsidRPr="00F116D7">
              <w:t xml:space="preserve"> 2019. </w:t>
            </w:r>
            <w:bookmarkStart w:id="5" w:name="lt_pId076"/>
            <w:r w:rsidRPr="00F116D7">
              <w:t>Al pronunciar su discurso de apertura, la Directora de la BDT dio la bienvenida a los participantes e insistió en su deseo de cooperar con la Oficina de Radiocomunicaciones. El Director de la BR también dio la bienvenida a los participantes a esta primera reunión del GAR del ciclo subrayando la importancia del GAR como asesor del Director sobre la mejor manera de responder a las necesidades de los Miembros de manera eficiente y efectiva</w:t>
            </w:r>
            <w:bookmarkStart w:id="6" w:name="lt_pId077"/>
            <w:bookmarkEnd w:id="5"/>
            <w:r w:rsidR="004E116E" w:rsidRPr="00F116D7">
              <w:t>.</w:t>
            </w:r>
            <w:bookmarkEnd w:id="6"/>
          </w:p>
          <w:p w:rsidR="004E116E" w:rsidRPr="00F116D7" w:rsidRDefault="004E116E" w:rsidP="00B76B4E">
            <w:pPr>
              <w:pStyle w:val="Tabletext"/>
            </w:pPr>
            <w:r w:rsidRPr="00F116D7">
              <w:t xml:space="preserve">El </w:t>
            </w:r>
            <w:r w:rsidR="00E1043E" w:rsidRPr="00F116D7">
              <w:t>Presidente dio las gracias al Secretario General y a los dos Directores y</w:t>
            </w:r>
            <w:r w:rsidRPr="00F116D7">
              <w:t xml:space="preserve"> expresó su agradecimiento a todos los Estados Miembros y Miembros de Sector por su contribución a los trabajos del GAR. </w:t>
            </w:r>
            <w:r w:rsidR="00E1043E" w:rsidRPr="00F116D7">
              <w:t>A continuación</w:t>
            </w:r>
            <w:r w:rsidRPr="00F116D7">
              <w:t xml:space="preserve"> invitó a los Vicepresidentes del GAR </w:t>
            </w:r>
            <w:r w:rsidR="00E1043E" w:rsidRPr="00F116D7">
              <w:t xml:space="preserve">y a los miembros de la RRB </w:t>
            </w:r>
            <w:r w:rsidRPr="00F116D7">
              <w:t>presentes en la reunión a presentarse.</w:t>
            </w:r>
          </w:p>
        </w:tc>
      </w:tr>
      <w:tr w:rsidR="004E116E" w:rsidRPr="008930FD" w:rsidTr="00AF27BC">
        <w:trPr>
          <w:jc w:val="center"/>
        </w:trPr>
        <w:tc>
          <w:tcPr>
            <w:tcW w:w="1014" w:type="dxa"/>
          </w:tcPr>
          <w:p w:rsidR="004E116E" w:rsidRPr="00352192" w:rsidDel="002A034D" w:rsidRDefault="004E116E" w:rsidP="00352192">
            <w:pPr>
              <w:pStyle w:val="Tabletext"/>
              <w:jc w:val="center"/>
            </w:pPr>
            <w:r w:rsidRPr="00352192">
              <w:t>2</w:t>
            </w:r>
          </w:p>
        </w:tc>
        <w:tc>
          <w:tcPr>
            <w:tcW w:w="3136" w:type="dxa"/>
          </w:tcPr>
          <w:p w:rsidR="004E116E" w:rsidRPr="00352192" w:rsidRDefault="00AF27BC" w:rsidP="004A4951">
            <w:pPr>
              <w:pStyle w:val="Tabletext"/>
              <w:rPr>
                <w:i/>
                <w:iCs/>
              </w:rPr>
            </w:pPr>
            <w:r>
              <w:t>Aprobación del orden del día</w:t>
            </w:r>
            <w:r w:rsidR="004A4951">
              <w:br/>
            </w:r>
            <w:r w:rsidR="004E116E" w:rsidRPr="00352192">
              <w:rPr>
                <w:i/>
                <w:iCs/>
              </w:rPr>
              <w:t>(Documento RAG19/ADM/1(Rev.1))</w:t>
            </w:r>
          </w:p>
        </w:tc>
        <w:tc>
          <w:tcPr>
            <w:tcW w:w="9928" w:type="dxa"/>
          </w:tcPr>
          <w:p w:rsidR="004E116E" w:rsidRPr="00352192" w:rsidRDefault="004E116E" w:rsidP="001514E8">
            <w:pPr>
              <w:pStyle w:val="Tabletext"/>
            </w:pPr>
            <w:r w:rsidRPr="00352192">
              <w:t xml:space="preserve">Se aprobó </w:t>
            </w:r>
            <w:r w:rsidR="00E1043E" w:rsidRPr="00352192">
              <w:t xml:space="preserve">sin cambios </w:t>
            </w:r>
            <w:r w:rsidRPr="00352192">
              <w:t xml:space="preserve">el proyecto de orden del día </w:t>
            </w:r>
            <w:r w:rsidR="00E1043E" w:rsidRPr="00352192">
              <w:t>d</w:t>
            </w:r>
            <w:r w:rsidRPr="00352192">
              <w:t>el Documento RAG19/ADM/1(Rev.1)</w:t>
            </w:r>
            <w:r w:rsidR="00E1043E" w:rsidRPr="00352192">
              <w:t>.</w:t>
            </w:r>
          </w:p>
        </w:tc>
      </w:tr>
      <w:tr w:rsidR="004E116E" w:rsidRPr="008930FD" w:rsidTr="00AF27BC">
        <w:trPr>
          <w:jc w:val="center"/>
        </w:trPr>
        <w:tc>
          <w:tcPr>
            <w:tcW w:w="1014" w:type="dxa"/>
          </w:tcPr>
          <w:p w:rsidR="004E116E" w:rsidRPr="00352192" w:rsidRDefault="004E116E" w:rsidP="00352192">
            <w:pPr>
              <w:pStyle w:val="Tabletext"/>
              <w:jc w:val="center"/>
            </w:pPr>
            <w:r w:rsidRPr="00352192">
              <w:t>3</w:t>
            </w:r>
          </w:p>
        </w:tc>
        <w:tc>
          <w:tcPr>
            <w:tcW w:w="3136" w:type="dxa"/>
          </w:tcPr>
          <w:p w:rsidR="004E116E" w:rsidRPr="00352192" w:rsidRDefault="00E1043E" w:rsidP="001514E8">
            <w:pPr>
              <w:pStyle w:val="Tabletext"/>
            </w:pPr>
            <w:r w:rsidRPr="00352192">
              <w:t>Resultados de la PP-18</w:t>
            </w:r>
          </w:p>
        </w:tc>
        <w:tc>
          <w:tcPr>
            <w:tcW w:w="9928" w:type="dxa"/>
          </w:tcPr>
          <w:p w:rsidR="004E116E" w:rsidRPr="00352192" w:rsidRDefault="002207B9" w:rsidP="00A23A6E">
            <w:pPr>
              <w:pStyle w:val="Tabletext"/>
            </w:pPr>
            <w:bookmarkStart w:id="7" w:name="lt_pId088"/>
            <w:r>
              <w:t xml:space="preserve">El GAR tomó nota del </w:t>
            </w:r>
            <w:r w:rsidR="00A23A6E">
              <w:t>i</w:t>
            </w:r>
            <w:r>
              <w:t>nforme</w:t>
            </w:r>
            <w:r w:rsidR="00E1043E" w:rsidRPr="00352192">
              <w:t xml:space="preserve"> sobre los resultados de la PP-18 y, en particular, de los temas relacionados con los trabajos del Sector UIT-R, incluidos los Planes Estratégico y Financiero para el periodo</w:t>
            </w:r>
            <w:r w:rsidR="004E116E" w:rsidRPr="00352192">
              <w:t xml:space="preserve"> 2020-2023.</w:t>
            </w:r>
            <w:bookmarkEnd w:id="7"/>
          </w:p>
        </w:tc>
      </w:tr>
      <w:tr w:rsidR="00F13298" w:rsidRPr="008930FD" w:rsidTr="00AF27BC">
        <w:trPr>
          <w:jc w:val="center"/>
        </w:trPr>
        <w:tc>
          <w:tcPr>
            <w:tcW w:w="1014" w:type="dxa"/>
          </w:tcPr>
          <w:p w:rsidR="00F13298" w:rsidRPr="00352192" w:rsidRDefault="00F13298" w:rsidP="00352192">
            <w:pPr>
              <w:pStyle w:val="Tabletext"/>
              <w:jc w:val="center"/>
            </w:pPr>
            <w:r w:rsidRPr="00352192">
              <w:t>4</w:t>
            </w:r>
          </w:p>
        </w:tc>
        <w:tc>
          <w:tcPr>
            <w:tcW w:w="3136" w:type="dxa"/>
          </w:tcPr>
          <w:p w:rsidR="00F13298" w:rsidRPr="00352192" w:rsidRDefault="00F13298" w:rsidP="004A4951">
            <w:pPr>
              <w:pStyle w:val="Tabletext"/>
              <w:rPr>
                <w:i/>
                <w:iCs/>
              </w:rPr>
            </w:pPr>
            <w:r w:rsidRPr="00352192">
              <w:t>Cuestiones relacionadas con el Consejo-19</w:t>
            </w:r>
            <w:r w:rsidR="004A4951">
              <w:br/>
            </w:r>
            <w:r w:rsidRPr="00352192">
              <w:rPr>
                <w:i/>
                <w:iCs/>
              </w:rPr>
              <w:t>(Documento RAG19/1 + Add.2)</w:t>
            </w:r>
          </w:p>
        </w:tc>
        <w:tc>
          <w:tcPr>
            <w:tcW w:w="9928" w:type="dxa"/>
          </w:tcPr>
          <w:p w:rsidR="00F13298" w:rsidRPr="00352192" w:rsidRDefault="00F13298" w:rsidP="00F13298">
            <w:pPr>
              <w:pStyle w:val="Tabletext"/>
            </w:pPr>
            <w:r w:rsidRPr="00352192">
              <w:t>El GAR tomó nota de los constantes progresos en relación con el acceso gratuito en línea a las publicaciones del UIT</w:t>
            </w:r>
            <w:r w:rsidRPr="00352192">
              <w:noBreakHyphen/>
              <w:t>R, así como de los esfuerzos realizados en el ámbito de la conformidad y la interop</w:t>
            </w:r>
            <w:r w:rsidR="00AF27BC">
              <w:t>erabilidad.</w:t>
            </w:r>
          </w:p>
          <w:p w:rsidR="003E5FC1" w:rsidRPr="00352192" w:rsidRDefault="00F13298" w:rsidP="00A23A6E">
            <w:pPr>
              <w:pStyle w:val="Tabletext"/>
            </w:pPr>
            <w:r w:rsidRPr="00352192">
              <w:t xml:space="preserve">El GAR estuvo de acuerdo con la propuesta del Director de modificar la estructura del </w:t>
            </w:r>
            <w:r w:rsidR="00A23A6E">
              <w:t>i</w:t>
            </w:r>
            <w:r w:rsidRPr="00352192">
              <w:t xml:space="preserve">nforme que se presenta a la reunión a fin de garantizar un cierto grado de coherencia con otros </w:t>
            </w:r>
            <w:r w:rsidR="00A23A6E">
              <w:t>i</w:t>
            </w:r>
            <w:r w:rsidRPr="00352192">
              <w:t xml:space="preserve">nformes de la UIT, en particular los presentados al Consejo con información similar. Sin embargo, el GAR recordó a la Oficina que se ha de establecer una clara distinción entre los </w:t>
            </w:r>
            <w:r w:rsidR="00A23A6E">
              <w:t>i</w:t>
            </w:r>
            <w:r w:rsidRPr="00352192">
              <w:t>nformes, pues no están dirigidos al mismo público y se han de tener pr</w:t>
            </w:r>
            <w:r w:rsidR="00513A0E">
              <w:t>esentes los distintos mandatos.</w:t>
            </w:r>
          </w:p>
          <w:p w:rsidR="003E5FC1" w:rsidRPr="00352192" w:rsidRDefault="00F13298" w:rsidP="003E5FC1">
            <w:pPr>
              <w:pStyle w:val="Tabletext"/>
            </w:pPr>
            <w:r w:rsidRPr="00352192">
              <w:t>El GAR tomó nota de la información presentada en el Informe del Director sobre la recuperación de costos aplicada a las notificaciones de redes de satélites y pidió a la Oficina que informe a la CMR-19 del número excesivo de notificaciones presentadas en virtud del Artículo 6 del Apéndice 30B, la enorme mayoría de las cuales poseen una cobertura mundial con una zona de servicio pequeña y limitada.</w:t>
            </w:r>
          </w:p>
          <w:p w:rsidR="00F13298" w:rsidRPr="00352192" w:rsidRDefault="00F13298" w:rsidP="00F929F6">
            <w:pPr>
              <w:pStyle w:val="Tabletext"/>
            </w:pPr>
            <w:r w:rsidRPr="00352192">
              <w:t>El GAR tomó nota del proyecto de presupuesto de la Ofic</w:t>
            </w:r>
            <w:r w:rsidR="00AF27BC">
              <w:t xml:space="preserve">ina para el periodo 2020-2021. </w:t>
            </w:r>
            <w:r w:rsidRPr="00352192">
              <w:t xml:space="preserve">Se tomó nota del </w:t>
            </w:r>
            <w:r w:rsidR="00A23A6E">
              <w:t>i</w:t>
            </w:r>
            <w:r w:rsidRPr="00352192">
              <w:t>nforme sobre el Protocolo Espacial tras las deci</w:t>
            </w:r>
            <w:r w:rsidR="00AF27BC">
              <w:t xml:space="preserve">siones adoptadas por la PP-18. </w:t>
            </w:r>
            <w:r w:rsidRPr="00352192">
              <w:t>El GAR también invit</w:t>
            </w:r>
            <w:r w:rsidR="00F929F6">
              <w:t>a</w:t>
            </w:r>
            <w:r w:rsidRPr="00352192">
              <w:t xml:space="preserve"> a la Oficina a racionalizar su participación en las reuniones preparatorias regionales recurriendo, cuando sea posible, a la participación a distancia y otros medios de participación electrónica. Se pidió al Director que comunicase la lista de misiones a la próxima reunión del GAR. También se hizo hincapié en la necesidad de cubrir prontamente los puestos cuyo presupuesto se acaba de aprobar a fin de que el personal contratado para cubrirlos pueda asumir sus funciones el primer día de 2020, coincidiendo con la </w:t>
            </w:r>
            <w:r w:rsidR="00AF27BC">
              <w:t>disponibilidad del presupuesto.</w:t>
            </w:r>
          </w:p>
        </w:tc>
      </w:tr>
      <w:tr w:rsidR="004E116E" w:rsidRPr="008930FD" w:rsidTr="00AF27BC">
        <w:trPr>
          <w:jc w:val="center"/>
        </w:trPr>
        <w:tc>
          <w:tcPr>
            <w:tcW w:w="1014" w:type="dxa"/>
          </w:tcPr>
          <w:p w:rsidR="004E116E" w:rsidRPr="00352192" w:rsidRDefault="004E116E" w:rsidP="001514E8">
            <w:pPr>
              <w:pStyle w:val="Tabletext"/>
              <w:jc w:val="center"/>
            </w:pPr>
            <w:r w:rsidRPr="00352192">
              <w:lastRenderedPageBreak/>
              <w:t>5</w:t>
            </w:r>
          </w:p>
        </w:tc>
        <w:tc>
          <w:tcPr>
            <w:tcW w:w="3136" w:type="dxa"/>
          </w:tcPr>
          <w:p w:rsidR="004E116E" w:rsidRPr="00352192" w:rsidRDefault="006F5FA7" w:rsidP="00025B7E">
            <w:pPr>
              <w:pStyle w:val="Tabletext"/>
              <w:rPr>
                <w:i/>
                <w:iCs/>
              </w:rPr>
            </w:pPr>
            <w:r w:rsidRPr="00352192">
              <w:t>Aplicación</w:t>
            </w:r>
            <w:r w:rsidR="00AF27BC">
              <w:t xml:space="preserve"> de las decisiones de la</w:t>
            </w:r>
            <w:r w:rsidR="00025B7E">
              <w:t> </w:t>
            </w:r>
            <w:r w:rsidR="00AF27BC">
              <w:t>CMR-15</w:t>
            </w:r>
            <w:r w:rsidR="004A4951">
              <w:br/>
            </w:r>
            <w:r w:rsidRPr="00352192">
              <w:rPr>
                <w:i/>
                <w:iCs/>
              </w:rPr>
              <w:t>(Documentos RAG19/1, 13)</w:t>
            </w:r>
          </w:p>
        </w:tc>
        <w:tc>
          <w:tcPr>
            <w:tcW w:w="9928" w:type="dxa"/>
          </w:tcPr>
          <w:p w:rsidR="003E5FC1" w:rsidRPr="00352192" w:rsidRDefault="006F5FA7" w:rsidP="00B77DFC">
            <w:pPr>
              <w:pStyle w:val="Tabletext"/>
            </w:pPr>
            <w:r w:rsidRPr="00352192">
              <w:t>El GAR tomó nota de las acciones realizadas hasta ahora por la Oficina para la aplicación de las decisiones de la CMR</w:t>
            </w:r>
            <w:r w:rsidRPr="00352192">
              <w:noBreakHyphen/>
              <w:t xml:space="preserve">15 relativas a los servicios espaciales y terrenales, en particular las actividades de desarrollo de programas informáticos para la aplicación de la Resolución 907 y la Resolución 908. </w:t>
            </w:r>
            <w:r w:rsidR="005A268E" w:rsidRPr="00352192">
              <w:t xml:space="preserve">El GAR subrayó también la satisfacción expresada por aquéllos que han empezado a utilizar los sistemas creados por la Oficina e instó a la Oficina a seguir en esa dirección a fin de garantizar la adhesión de todos los </w:t>
            </w:r>
            <w:r w:rsidR="00B77DFC">
              <w:t>m</w:t>
            </w:r>
            <w:r w:rsidR="005A268E" w:rsidRPr="00352192">
              <w:t xml:space="preserve">iembros. El GAR tomó nota de que la Oficina ya puede publicar </w:t>
            </w:r>
            <w:r w:rsidR="00E56195" w:rsidRPr="00352192">
              <w:t>«</w:t>
            </w:r>
            <w:r w:rsidR="005A268E" w:rsidRPr="00352192">
              <w:t>tal y como se recibe</w:t>
            </w:r>
            <w:r w:rsidR="00E56195" w:rsidRPr="00352192">
              <w:t>»</w:t>
            </w:r>
            <w:r w:rsidR="005A268E" w:rsidRPr="00352192">
              <w:t xml:space="preserve"> la mayoría de notificaciones de redes de satélites en un plazo de 7 días, cuando la Resolución 55 (Rev.CMR</w:t>
            </w:r>
            <w:r w:rsidR="00AF27BC">
              <w:noBreakHyphen/>
            </w:r>
            <w:r w:rsidR="005A268E" w:rsidRPr="00352192">
              <w:t>15) estipula un plazo de 30 días</w:t>
            </w:r>
            <w:bookmarkStart w:id="8" w:name="lt_pId108"/>
            <w:r w:rsidRPr="00352192">
              <w:t>.</w:t>
            </w:r>
            <w:bookmarkStart w:id="9" w:name="lt_pId109"/>
            <w:bookmarkEnd w:id="8"/>
          </w:p>
          <w:p w:rsidR="003E5FC1" w:rsidRPr="00352192" w:rsidRDefault="005A268E" w:rsidP="00B269E4">
            <w:pPr>
              <w:pStyle w:val="Tabletext"/>
            </w:pPr>
            <w:r w:rsidRPr="00352192">
              <w:t>El GAR consideró el Documento</w:t>
            </w:r>
            <w:bookmarkEnd w:id="9"/>
            <w:r w:rsidR="006F5FA7" w:rsidRPr="00352192">
              <w:t xml:space="preserve"> </w:t>
            </w:r>
            <w:bookmarkStart w:id="10" w:name="lt_pId110"/>
            <w:r w:rsidR="006F5FA7" w:rsidRPr="00352192">
              <w:t xml:space="preserve">RAG19/13 </w:t>
            </w:r>
            <w:r w:rsidRPr="00352192">
              <w:t>de Japón y tomó nota de las propuestas que en él se presentan. En el documento se ponen de manifiesto la importancia y la eficacia de la utilización de las herramientas de</w:t>
            </w:r>
            <w:r w:rsidR="00DF5EF1" w:rsidRPr="00352192">
              <w:t xml:space="preserve"> </w:t>
            </w:r>
            <w:r w:rsidRPr="00352192">
              <w:t>notificación en línea y se insta a la Oficina a acelerar el proceso utilizándolas para todos los tipos de observaciones y comunicaciones, además de modernizar las páginas web dedicadas a los servicios espaciales en su sitio web, habida cuenta del éxito logrado hasta la fecha con la Resolución</w:t>
            </w:r>
            <w:bookmarkStart w:id="11" w:name="lt_pId111"/>
            <w:bookmarkEnd w:id="10"/>
            <w:r w:rsidR="006F5FA7" w:rsidRPr="00352192">
              <w:t xml:space="preserve"> 908.</w:t>
            </w:r>
            <w:bookmarkEnd w:id="11"/>
          </w:p>
          <w:p w:rsidR="004E116E" w:rsidRPr="00352192" w:rsidRDefault="006F5FA7" w:rsidP="003E5FC1">
            <w:pPr>
              <w:pStyle w:val="Tabletext"/>
            </w:pPr>
            <w:r w:rsidRPr="00352192">
              <w:t xml:space="preserve">El GAR manifestó su agradecimiento a la Administración de Japón por su </w:t>
            </w:r>
            <w:r w:rsidR="005A268E" w:rsidRPr="00352192">
              <w:t xml:space="preserve">constante apoyo y su </w:t>
            </w:r>
            <w:r w:rsidRPr="00352192">
              <w:t xml:space="preserve">contribución a la aplicación de la Resolución 908, que ha permitido a la BR contratar programadores web y </w:t>
            </w:r>
            <w:r w:rsidR="005A268E" w:rsidRPr="00352192">
              <w:t>a un</w:t>
            </w:r>
            <w:r w:rsidRPr="00352192">
              <w:t xml:space="preserve"> ingeniero destacado por Japón para ayudar </w:t>
            </w:r>
            <w:r w:rsidR="005A268E" w:rsidRPr="00352192">
              <w:t xml:space="preserve">a la UIT </w:t>
            </w:r>
            <w:r w:rsidRPr="00352192">
              <w:t>en este proyecto.</w:t>
            </w:r>
          </w:p>
        </w:tc>
      </w:tr>
      <w:tr w:rsidR="004E116E" w:rsidRPr="008930FD" w:rsidTr="00AF27BC">
        <w:trPr>
          <w:jc w:val="center"/>
        </w:trPr>
        <w:tc>
          <w:tcPr>
            <w:tcW w:w="1014" w:type="dxa"/>
          </w:tcPr>
          <w:p w:rsidR="004E116E" w:rsidRPr="00352192" w:rsidRDefault="004E116E" w:rsidP="00352192">
            <w:pPr>
              <w:pStyle w:val="Tabletext"/>
              <w:jc w:val="center"/>
            </w:pPr>
            <w:r w:rsidRPr="00352192">
              <w:t>6</w:t>
            </w:r>
          </w:p>
        </w:tc>
        <w:tc>
          <w:tcPr>
            <w:tcW w:w="3136" w:type="dxa"/>
          </w:tcPr>
          <w:p w:rsidR="004E116E" w:rsidRPr="00352192" w:rsidRDefault="00BE12B9" w:rsidP="00025B7E">
            <w:pPr>
              <w:pStyle w:val="Tabletext"/>
              <w:rPr>
                <w:i/>
                <w:iCs/>
              </w:rPr>
            </w:pPr>
            <w:r w:rsidRPr="00352192">
              <w:t>Preparación de la AR/CMR-19</w:t>
            </w:r>
            <w:r w:rsidR="00025B7E">
              <w:br/>
            </w:r>
            <w:r w:rsidR="00AD041B">
              <w:rPr>
                <w:i/>
                <w:iCs/>
              </w:rPr>
              <w:t>(Documento</w:t>
            </w:r>
            <w:r w:rsidRPr="00352192">
              <w:rPr>
                <w:i/>
                <w:iCs/>
              </w:rPr>
              <w:t xml:space="preserve"> RAG19/1)</w:t>
            </w:r>
          </w:p>
        </w:tc>
        <w:tc>
          <w:tcPr>
            <w:tcW w:w="9928" w:type="dxa"/>
          </w:tcPr>
          <w:p w:rsidR="003E5FC1" w:rsidRPr="00352192" w:rsidRDefault="00BE12B9" w:rsidP="00AD041B">
            <w:pPr>
              <w:pStyle w:val="Tabletext"/>
            </w:pPr>
            <w:bookmarkStart w:id="12" w:name="lt_pId118"/>
            <w:r w:rsidRPr="00352192">
              <w:t xml:space="preserve">El GAR tomó nota del informe sobre la preparación de la AR/CMR-19 y </w:t>
            </w:r>
            <w:r w:rsidR="005A268E" w:rsidRPr="00352192">
              <w:t xml:space="preserve">del éxito de </w:t>
            </w:r>
            <w:r w:rsidRPr="00352192">
              <w:t xml:space="preserve">la RPC19-2. </w:t>
            </w:r>
            <w:r w:rsidR="005A268E" w:rsidRPr="00352192">
              <w:t>Los presentes reconocieron también los esfuerzos que hace la Oficina por prestar asistencia a los Estados Miembros en la preparación de la Conferencia, asistiendo a las reuniones preparatorias regionales para explicar todos los detalles de los puntos del orden del día. El GAR también recordó que la AR</w:t>
            </w:r>
            <w:bookmarkStart w:id="13" w:name="lt_pId119"/>
            <w:bookmarkEnd w:id="12"/>
            <w:r w:rsidRPr="00352192">
              <w:t xml:space="preserve">-19 </w:t>
            </w:r>
            <w:r w:rsidR="005A268E" w:rsidRPr="00352192">
              <w:t>y la CMR</w:t>
            </w:r>
            <w:r w:rsidRPr="00352192">
              <w:t xml:space="preserve">-19 </w:t>
            </w:r>
            <w:r w:rsidR="005A268E" w:rsidRPr="00352192">
              <w:t>se celebrarán sin papel, de conformidad con lo dispuesto en el Anexo 2 a la Decisión 5 de la</w:t>
            </w:r>
            <w:r w:rsidRPr="00352192">
              <w:t xml:space="preserve"> PP-18</w:t>
            </w:r>
            <w:r w:rsidR="005A268E" w:rsidRPr="00352192">
              <w:t xml:space="preserve">. El GAR tomó nota también del éxito de los dos </w:t>
            </w:r>
            <w:r w:rsidR="00AD041B">
              <w:t>t</w:t>
            </w:r>
            <w:r w:rsidR="005A268E" w:rsidRPr="00352192">
              <w:t>alleres interregionales organizados en Ginebra en el marco de la preparación de la Conferencia y de que la próxima sesión se celebrará del 4 al 6 de septiembre en</w:t>
            </w:r>
            <w:bookmarkStart w:id="14" w:name="lt_pId120"/>
            <w:bookmarkEnd w:id="13"/>
            <w:r w:rsidRPr="00352192">
              <w:t xml:space="preserve"> 2019 </w:t>
            </w:r>
            <w:r w:rsidR="005A268E" w:rsidRPr="00352192">
              <w:t>e</w:t>
            </w:r>
            <w:r w:rsidRPr="00352192">
              <w:t>n G</w:t>
            </w:r>
            <w:r w:rsidR="005A268E" w:rsidRPr="00352192">
              <w:t>inebra</w:t>
            </w:r>
            <w:r w:rsidRPr="00352192">
              <w:t>.</w:t>
            </w:r>
            <w:bookmarkEnd w:id="14"/>
            <w:r w:rsidRPr="00352192">
              <w:t xml:space="preserve"> </w:t>
            </w:r>
            <w:bookmarkStart w:id="15" w:name="lt_pId121"/>
            <w:r w:rsidR="00822190" w:rsidRPr="00352192">
              <w:t xml:space="preserve">Se agradeció a la Oficina su participación en las actividades preparatorias regionales y se invitó a la Oficina a planificar cuidadosamente su participación en las primeras reuniones preparatorias regionales del ciclo entre CMR a fin de concentrar sus esfuerzos en las reuniones finales, donde se celebrarán los debates más sustantivos. Se informó al GAR de que el Acuerdo de </w:t>
            </w:r>
            <w:r w:rsidR="00AD041B">
              <w:t>p</w:t>
            </w:r>
            <w:r w:rsidR="00822190" w:rsidRPr="00352192">
              <w:t xml:space="preserve">aís </w:t>
            </w:r>
            <w:r w:rsidR="00AD041B">
              <w:t>a</w:t>
            </w:r>
            <w:r w:rsidR="00822190" w:rsidRPr="00352192">
              <w:t>nfitrión para la celebración de la AR</w:t>
            </w:r>
            <w:bookmarkStart w:id="16" w:name="lt_pId122"/>
            <w:bookmarkEnd w:id="15"/>
            <w:r w:rsidRPr="00352192">
              <w:t>-19/</w:t>
            </w:r>
            <w:r w:rsidR="00822190" w:rsidRPr="00352192">
              <w:t>CMR</w:t>
            </w:r>
            <w:r w:rsidRPr="00352192">
              <w:t>-19/</w:t>
            </w:r>
            <w:r w:rsidR="00822190" w:rsidRPr="00352192">
              <w:t>RPC</w:t>
            </w:r>
            <w:r w:rsidRPr="00352192">
              <w:t xml:space="preserve">23-1 </w:t>
            </w:r>
            <w:r w:rsidR="00822190" w:rsidRPr="00352192">
              <w:t>en Egipto se firmó el 25 de marzo de 2019 y de que ya se están haciendo todos los preparativos</w:t>
            </w:r>
            <w:r w:rsidRPr="00352192">
              <w:t>.</w:t>
            </w:r>
            <w:bookmarkStart w:id="17" w:name="lt_pId123"/>
            <w:bookmarkEnd w:id="16"/>
          </w:p>
          <w:p w:rsidR="004E116E" w:rsidRPr="00352192" w:rsidRDefault="00822190" w:rsidP="003E5FC1">
            <w:pPr>
              <w:pStyle w:val="Tabletext"/>
            </w:pPr>
            <w:r w:rsidRPr="00352192">
              <w:t>El GAR tomó nota de algunos problemas relacionados con la Resolución UIT-R 2 e instó a los Estados Miembros a reflexionar sobre la cuestión. Se propuso la creación de un Grupo por Correspondencia para examinar y eventualmente proponer una revisión de la Resolución a la AR</w:t>
            </w:r>
            <w:bookmarkStart w:id="18" w:name="lt_pId124"/>
            <w:bookmarkEnd w:id="17"/>
            <w:r w:rsidR="00BE12B9" w:rsidRPr="00352192">
              <w:t>-19.</w:t>
            </w:r>
            <w:bookmarkEnd w:id="18"/>
            <w:r w:rsidR="00BE12B9" w:rsidRPr="00352192">
              <w:t xml:space="preserve"> </w:t>
            </w:r>
            <w:bookmarkStart w:id="19" w:name="lt_pId125"/>
            <w:r w:rsidRPr="00352192">
              <w:t>El GAR aceptó la propuesta de nombrar al Sr.</w:t>
            </w:r>
            <w:r w:rsidR="00BE12B9" w:rsidRPr="00352192">
              <w:t xml:space="preserve"> Alexander Vassiliev </w:t>
            </w:r>
            <w:r w:rsidRPr="00352192">
              <w:t>Presidente del Grupo por Correspondencia y aprobó el Mandato del Grupo (véase el Anexo</w:t>
            </w:r>
            <w:r w:rsidR="00BE12B9" w:rsidRPr="00352192">
              <w:t xml:space="preserve"> 2).</w:t>
            </w:r>
            <w:bookmarkEnd w:id="19"/>
          </w:p>
        </w:tc>
      </w:tr>
      <w:tr w:rsidR="004E116E" w:rsidRPr="008930FD" w:rsidTr="00AF27BC">
        <w:trPr>
          <w:cantSplit/>
          <w:jc w:val="center"/>
        </w:trPr>
        <w:tc>
          <w:tcPr>
            <w:tcW w:w="1014" w:type="dxa"/>
          </w:tcPr>
          <w:p w:rsidR="004E116E" w:rsidRPr="00352192" w:rsidRDefault="004E116E" w:rsidP="00352192">
            <w:pPr>
              <w:pStyle w:val="Tabletext"/>
              <w:jc w:val="center"/>
            </w:pPr>
            <w:r w:rsidRPr="00352192">
              <w:lastRenderedPageBreak/>
              <w:t>7</w:t>
            </w:r>
          </w:p>
        </w:tc>
        <w:tc>
          <w:tcPr>
            <w:tcW w:w="3136" w:type="dxa"/>
          </w:tcPr>
          <w:p w:rsidR="004E116E" w:rsidRPr="00352192" w:rsidRDefault="0038718F" w:rsidP="00025B7E">
            <w:pPr>
              <w:pStyle w:val="Tabletext"/>
              <w:rPr>
                <w:i/>
                <w:iCs/>
              </w:rPr>
            </w:pPr>
            <w:r w:rsidRPr="00352192">
              <w:t>Actividades de las Comisiones de Estudio</w:t>
            </w:r>
            <w:r w:rsidR="00025B7E">
              <w:br/>
            </w:r>
            <w:r w:rsidRPr="00352192">
              <w:rPr>
                <w:i/>
                <w:iCs/>
              </w:rPr>
              <w:t>(Documentos RAG19/1(Add.1), 14, 17, 18, 19)</w:t>
            </w:r>
          </w:p>
        </w:tc>
        <w:tc>
          <w:tcPr>
            <w:tcW w:w="9928" w:type="dxa"/>
          </w:tcPr>
          <w:p w:rsidR="003E5FC1" w:rsidRPr="00352192" w:rsidRDefault="0038718F" w:rsidP="00F47F6B">
            <w:pPr>
              <w:pStyle w:val="Tabletext"/>
            </w:pPr>
            <w:r w:rsidRPr="00352192">
              <w:t xml:space="preserve">El GAR tomó nota del informe sobre las actividades de las Comisiones de Estudio, en particular </w:t>
            </w:r>
            <w:r w:rsidR="00822190" w:rsidRPr="00352192">
              <w:t xml:space="preserve">de </w:t>
            </w:r>
            <w:r w:rsidRPr="00352192">
              <w:t xml:space="preserve">los progresos logrados en </w:t>
            </w:r>
            <w:r w:rsidR="00822190" w:rsidRPr="00352192">
              <w:t>sus</w:t>
            </w:r>
            <w:r w:rsidRPr="00352192">
              <w:t xml:space="preserve"> trabajo</w:t>
            </w:r>
            <w:r w:rsidR="00822190" w:rsidRPr="00352192">
              <w:t>s y en la utilización de herramientas modernas. La reunión también tomó nota de los avances logrados en el trabajo</w:t>
            </w:r>
            <w:r w:rsidRPr="00352192">
              <w:t xml:space="preserve"> </w:t>
            </w:r>
            <w:r w:rsidR="00822190" w:rsidRPr="00352192">
              <w:t>que cada Comisión de Estudio emprende para preparar la AR-19, la CMR-19 y el periodo posterior. Se o</w:t>
            </w:r>
            <w:r w:rsidRPr="00352192">
              <w:t>bservó asimismo que la mayor participación en las reuniones de las Comisiones de Estudio y la apretada agenda de reuniones de la UIT, junto con la limitada disponibilidad de salas con aforo adecuado en la UIT, sigu</w:t>
            </w:r>
            <w:r w:rsidR="00822190" w:rsidRPr="00352192">
              <w:t>e</w:t>
            </w:r>
            <w:r w:rsidRPr="00352192">
              <w:t xml:space="preserve"> causando problemas logísticos para programar las reuniones de las Comisiones de Estudio del UIT-R y sus correspondientes Grupos </w:t>
            </w:r>
            <w:r w:rsidR="00822190" w:rsidRPr="00352192">
              <w:t xml:space="preserve">y Subgrupos </w:t>
            </w:r>
            <w:r w:rsidR="00AF27BC">
              <w:t>de Trabajo.</w:t>
            </w:r>
            <w:r w:rsidR="00F47F6B">
              <w:t xml:space="preserve"> </w:t>
            </w:r>
            <w:r w:rsidR="00822190" w:rsidRPr="00352192">
              <w:t>El GAR tomó nota del Documento</w:t>
            </w:r>
            <w:r w:rsidRPr="00352192">
              <w:t xml:space="preserve"> 17 </w:t>
            </w:r>
            <w:r w:rsidR="00AF27BC">
              <w:t xml:space="preserve">de la Federación </w:t>
            </w:r>
            <w:r w:rsidR="00822190" w:rsidRPr="00352192">
              <w:t>de Rusia e indicó que la Federación de Rusia puede considerar su presentación a la AR</w:t>
            </w:r>
            <w:r w:rsidRPr="00352192">
              <w:t>-19</w:t>
            </w:r>
            <w:r w:rsidR="00822190" w:rsidRPr="00352192">
              <w:t>. El GAR también tomó nota del Documento</w:t>
            </w:r>
            <w:bookmarkStart w:id="20" w:name="lt_pId134"/>
            <w:r w:rsidRPr="00352192">
              <w:t xml:space="preserve"> 14 </w:t>
            </w:r>
            <w:r w:rsidR="00822190" w:rsidRPr="00352192">
              <w:t>de Japón</w:t>
            </w:r>
            <w:r w:rsidRPr="00352192">
              <w:t>.</w:t>
            </w:r>
            <w:bookmarkStart w:id="21" w:name="lt_pId135"/>
            <w:bookmarkEnd w:id="20"/>
          </w:p>
          <w:p w:rsidR="004E116E" w:rsidRPr="00352192" w:rsidRDefault="00822190" w:rsidP="003E5FC1">
            <w:pPr>
              <w:pStyle w:val="Tabletext"/>
            </w:pPr>
            <w:r w:rsidRPr="00352192">
              <w:t>El GAR tomó nota además de los Documentos</w:t>
            </w:r>
            <w:r w:rsidR="0038718F" w:rsidRPr="00352192">
              <w:t xml:space="preserve"> 18 </w:t>
            </w:r>
            <w:r w:rsidRPr="00352192">
              <w:t>y</w:t>
            </w:r>
            <w:r w:rsidR="0038718F" w:rsidRPr="00352192">
              <w:t xml:space="preserve"> 19 </w:t>
            </w:r>
            <w:r w:rsidRPr="00352192">
              <w:t>de la Federación de Rusia, indicando que ese país puede considerar su presentación</w:t>
            </w:r>
            <w:r w:rsidR="00E211EC" w:rsidRPr="00352192">
              <w:t xml:space="preserve"> a la atención de la AR</w:t>
            </w:r>
            <w:r w:rsidR="0038718F" w:rsidRPr="00352192">
              <w:t>-19.</w:t>
            </w:r>
            <w:bookmarkEnd w:id="21"/>
          </w:p>
        </w:tc>
      </w:tr>
      <w:tr w:rsidR="004E116E" w:rsidRPr="008930FD" w:rsidTr="00AF27BC">
        <w:trPr>
          <w:jc w:val="center"/>
        </w:trPr>
        <w:tc>
          <w:tcPr>
            <w:tcW w:w="1014" w:type="dxa"/>
          </w:tcPr>
          <w:p w:rsidR="004E116E" w:rsidRPr="00352192" w:rsidRDefault="004E116E" w:rsidP="00352192">
            <w:pPr>
              <w:pStyle w:val="Tabletext"/>
              <w:jc w:val="center"/>
            </w:pPr>
            <w:r w:rsidRPr="00352192">
              <w:t>8</w:t>
            </w:r>
          </w:p>
        </w:tc>
        <w:tc>
          <w:tcPr>
            <w:tcW w:w="3136" w:type="dxa"/>
          </w:tcPr>
          <w:p w:rsidR="004E116E" w:rsidRPr="00352192" w:rsidRDefault="00741F78" w:rsidP="00EB1319">
            <w:pPr>
              <w:pStyle w:val="Tabletext"/>
              <w:rPr>
                <w:i/>
                <w:iCs/>
              </w:rPr>
            </w:pPr>
            <w:r w:rsidRPr="00352192">
              <w:t>Proyecto de Plan Operacional renovable para el periodo 20</w:t>
            </w:r>
            <w:r w:rsidR="00EB1319">
              <w:t>20</w:t>
            </w:r>
            <w:r w:rsidR="00AF27BC">
              <w:noBreakHyphen/>
            </w:r>
            <w:r w:rsidRPr="00352192">
              <w:t>202</w:t>
            </w:r>
            <w:r w:rsidR="00EB1319">
              <w:t>3</w:t>
            </w:r>
            <w:r w:rsidR="00025B7E">
              <w:br/>
            </w:r>
            <w:r w:rsidRPr="00352192">
              <w:rPr>
                <w:i/>
                <w:iCs/>
              </w:rPr>
              <w:t>(Documentos RAG19/1(Add.2), 20)</w:t>
            </w:r>
          </w:p>
        </w:tc>
        <w:tc>
          <w:tcPr>
            <w:tcW w:w="9928" w:type="dxa"/>
          </w:tcPr>
          <w:p w:rsidR="003E5FC1" w:rsidRPr="00352192" w:rsidRDefault="00E211EC" w:rsidP="00EB1319">
            <w:pPr>
              <w:pStyle w:val="Tabletext"/>
            </w:pPr>
            <w:bookmarkStart w:id="22" w:name="lt_pId140"/>
            <w:r w:rsidRPr="00352192">
              <w:t>El GAR tomó nota del proyecto de Plan Operacional renovable del UIT-R para el periodo</w:t>
            </w:r>
            <w:r w:rsidR="00741F78" w:rsidRPr="00352192">
              <w:t xml:space="preserve"> 2020-2023 (</w:t>
            </w:r>
            <w:r w:rsidRPr="00352192">
              <w:t>presentado en el Anexo 1) y formuló observaciones sobre los resultados y los indicadores de resultados. Se pidió un examen de la Sección</w:t>
            </w:r>
            <w:bookmarkStart w:id="23" w:name="lt_pId141"/>
            <w:bookmarkEnd w:id="22"/>
            <w:r w:rsidR="00741F78" w:rsidRPr="00352192">
              <w:t xml:space="preserve"> 5.1</w:t>
            </w:r>
            <w:r w:rsidRPr="00352192">
              <w:t xml:space="preserve"> y se pidió a la</w:t>
            </w:r>
            <w:r w:rsidR="00741F78" w:rsidRPr="00352192">
              <w:t xml:space="preserve"> </w:t>
            </w:r>
            <w:r w:rsidRPr="00352192">
              <w:t>Oficina que revise lo que se mide y considere la mejor manera de reflejar los puntos trata</w:t>
            </w:r>
            <w:r w:rsidR="00EB1319">
              <w:t>d</w:t>
            </w:r>
            <w:r w:rsidRPr="00352192">
              <w:t xml:space="preserve">os en el </w:t>
            </w:r>
            <w:r w:rsidR="00EB1319">
              <w:t>i</w:t>
            </w:r>
            <w:r w:rsidRPr="00352192">
              <w:t>nforme en los futuros Planes Operacionales. El GAR también tomó nota de que el método utilizado es el aprobado por la</w:t>
            </w:r>
            <w:bookmarkStart w:id="24" w:name="lt_pId142"/>
            <w:bookmarkEnd w:id="23"/>
            <w:r w:rsidR="00741F78" w:rsidRPr="00352192">
              <w:t xml:space="preserve"> PP-18 </w:t>
            </w:r>
            <w:r w:rsidRPr="00352192">
              <w:t>en el Plan Estratégico de la Unión, que sirve de base para el Plan Operacional. El GAR solicitó al Director que revise el proyecto de Plan Operacional para 2020 propuesto y, de ser posible, presente nuevas propuestas</w:t>
            </w:r>
            <w:bookmarkStart w:id="25" w:name="lt_pId143"/>
            <w:bookmarkEnd w:id="24"/>
            <w:r w:rsidR="00741F78" w:rsidRPr="00352192">
              <w:t>.</w:t>
            </w:r>
            <w:bookmarkEnd w:id="25"/>
          </w:p>
          <w:p w:rsidR="004E116E" w:rsidRPr="00352192" w:rsidRDefault="004E116E" w:rsidP="003E5FC1">
            <w:pPr>
              <w:pStyle w:val="Tabletext"/>
            </w:pPr>
            <w:r w:rsidRPr="00352192">
              <w:t xml:space="preserve">El GAR tomó nota además </w:t>
            </w:r>
            <w:r w:rsidR="00E211EC" w:rsidRPr="00352192">
              <w:t>del</w:t>
            </w:r>
            <w:r w:rsidRPr="00352192">
              <w:t xml:space="preserve"> proyecto de Plan Operacional renovable para </w:t>
            </w:r>
            <w:r w:rsidR="00741F78" w:rsidRPr="00352192">
              <w:t>2020</w:t>
            </w:r>
            <w:r w:rsidRPr="00352192">
              <w:t>-202</w:t>
            </w:r>
            <w:r w:rsidR="00741F78" w:rsidRPr="00352192">
              <w:t>3</w:t>
            </w:r>
            <w:r w:rsidRPr="00352192">
              <w:t xml:space="preserve"> de la Secretaría General</w:t>
            </w:r>
            <w:r w:rsidR="00E211EC" w:rsidRPr="00352192">
              <w:t xml:space="preserve"> propuesto</w:t>
            </w:r>
            <w:r w:rsidRPr="00352192">
              <w:t>.</w:t>
            </w:r>
          </w:p>
        </w:tc>
      </w:tr>
      <w:tr w:rsidR="004E116E" w:rsidRPr="008930FD" w:rsidTr="00AF27BC">
        <w:trPr>
          <w:jc w:val="center"/>
        </w:trPr>
        <w:tc>
          <w:tcPr>
            <w:tcW w:w="1014" w:type="dxa"/>
          </w:tcPr>
          <w:p w:rsidR="004E116E" w:rsidRPr="00352192" w:rsidRDefault="004E116E" w:rsidP="00352192">
            <w:pPr>
              <w:pStyle w:val="Tabletext"/>
              <w:jc w:val="center"/>
            </w:pPr>
            <w:r w:rsidRPr="00352192">
              <w:t>9</w:t>
            </w:r>
          </w:p>
        </w:tc>
        <w:tc>
          <w:tcPr>
            <w:tcW w:w="3136" w:type="dxa"/>
          </w:tcPr>
          <w:p w:rsidR="004E116E" w:rsidRPr="00352192" w:rsidRDefault="00AF27BC" w:rsidP="00025B7E">
            <w:pPr>
              <w:pStyle w:val="Tabletext"/>
              <w:rPr>
                <w:i/>
                <w:iCs/>
              </w:rPr>
            </w:pPr>
            <w:r>
              <w:t>Sistema de información de la BR</w:t>
            </w:r>
            <w:r w:rsidR="00025B7E">
              <w:br/>
            </w:r>
            <w:r w:rsidR="004E116E" w:rsidRPr="00352192">
              <w:rPr>
                <w:i/>
                <w:iCs/>
              </w:rPr>
              <w:t>(Documento RAG1</w:t>
            </w:r>
            <w:r w:rsidR="007D56BA" w:rsidRPr="00352192">
              <w:rPr>
                <w:i/>
                <w:iCs/>
              </w:rPr>
              <w:t>9</w:t>
            </w:r>
            <w:r w:rsidR="004E116E" w:rsidRPr="00352192">
              <w:rPr>
                <w:i/>
                <w:iCs/>
              </w:rPr>
              <w:t>/1)</w:t>
            </w:r>
          </w:p>
        </w:tc>
        <w:tc>
          <w:tcPr>
            <w:tcW w:w="9928" w:type="dxa"/>
          </w:tcPr>
          <w:p w:rsidR="003E5FC1" w:rsidRPr="00352192" w:rsidRDefault="00CF7EB6" w:rsidP="00FB2288">
            <w:pPr>
              <w:pStyle w:val="Tabletext"/>
            </w:pPr>
            <w:bookmarkStart w:id="26" w:name="lt_pId149"/>
            <w:r w:rsidRPr="00352192">
              <w:t>El GAR tomó nota de los avances realizados por la BR en la creación de</w:t>
            </w:r>
            <w:r w:rsidR="007D56BA" w:rsidRPr="00352192">
              <w:t xml:space="preserve"> </w:t>
            </w:r>
            <w:r w:rsidR="007D56BA" w:rsidRPr="00025B7E">
              <w:rPr>
                <w:i/>
                <w:iCs/>
              </w:rPr>
              <w:t>software</w:t>
            </w:r>
            <w:r w:rsidRPr="00352192">
              <w:t xml:space="preserve">. Se reconocieron, además, los esfuerzos invertidos por la BR en la migración de las aplicaciones existentes a plataformas modernas. El GAR se mostró muy satisfecho del empeño demostrado por la BR en modernizar sus sistemas de </w:t>
            </w:r>
            <w:r w:rsidRPr="00025B7E">
              <w:rPr>
                <w:i/>
                <w:iCs/>
              </w:rPr>
              <w:t>software</w:t>
            </w:r>
            <w:r w:rsidRPr="00352192">
              <w:t xml:space="preserve"> y ofrecer, siempre que es posible, interfaces de fácil utilización. El GAR tomó nota además de la importancia </w:t>
            </w:r>
            <w:r w:rsidR="00FB2288">
              <w:t>qu</w:t>
            </w:r>
            <w:r w:rsidRPr="00352192">
              <w:t xml:space="preserve">e la Oficina otorga a la utilización de aplicaciones modernas para facilitar el trabajo de los </w:t>
            </w:r>
            <w:r w:rsidR="00FB2288">
              <w:t>m</w:t>
            </w:r>
            <w:r w:rsidRPr="00352192">
              <w:t>iembros</w:t>
            </w:r>
            <w:bookmarkStart w:id="27" w:name="lt_pId152"/>
            <w:bookmarkEnd w:id="26"/>
            <w:r w:rsidR="007D56BA" w:rsidRPr="00352192">
              <w:t>.</w:t>
            </w:r>
            <w:bookmarkStart w:id="28" w:name="lt_pId153"/>
            <w:bookmarkEnd w:id="27"/>
          </w:p>
          <w:p w:rsidR="004E116E" w:rsidRPr="00352192" w:rsidRDefault="00CF7EB6" w:rsidP="003E5FC1">
            <w:pPr>
              <w:pStyle w:val="Tabletext"/>
            </w:pPr>
            <w:r w:rsidRPr="00352192">
              <w:t xml:space="preserve">Se tomó nota con agradecimiento de algunos programas creados y mejorados por la BR, entre los que se cuentan, para los servicios terrenales, el </w:t>
            </w:r>
            <w:r w:rsidRPr="00025B7E">
              <w:rPr>
                <w:i/>
                <w:iCs/>
              </w:rPr>
              <w:t>software</w:t>
            </w:r>
            <w:r w:rsidRPr="00352192">
              <w:t xml:space="preserve"> y los calendarios HFBC gratuitos en línea, la integración del procedimiento del Artículo 4 del Acuerdo</w:t>
            </w:r>
            <w:bookmarkStart w:id="29" w:name="lt_pId154"/>
            <w:bookmarkEnd w:id="28"/>
            <w:r w:rsidR="007D56BA" w:rsidRPr="001514E8">
              <w:t xml:space="preserve"> GE06 </w:t>
            </w:r>
            <w:r w:rsidRPr="001514E8">
              <w:t xml:space="preserve">en </w:t>
            </w:r>
            <w:r w:rsidR="007D56BA" w:rsidRPr="001514E8">
              <w:t xml:space="preserve">TerRaSys, </w:t>
            </w:r>
            <w:r w:rsidRPr="001514E8">
              <w:t>la extensión de herramientas web con datos, cálculos y correspondencias terrenales y la creación de herramientas</w:t>
            </w:r>
            <w:r w:rsidR="007D56BA" w:rsidRPr="001514E8">
              <w:t xml:space="preserve"> GIS</w:t>
            </w:r>
            <w:r w:rsidRPr="001514E8">
              <w:t>. Para los servicios espaciales, los logros más importantes son los avances en el plan de sistemas informáticos espaciales de la BR y la publicación de la versión operativa de la aplicación en línea</w:t>
            </w:r>
            <w:bookmarkStart w:id="30" w:name="lt_pId155"/>
            <w:bookmarkEnd w:id="29"/>
            <w:r w:rsidR="007D56BA" w:rsidRPr="00352192">
              <w:t xml:space="preserve"> </w:t>
            </w:r>
            <w:r w:rsidR="00E56195" w:rsidRPr="00352192">
              <w:t>«</w:t>
            </w:r>
            <w:r w:rsidR="007D56BA" w:rsidRPr="00352192">
              <w:t>Satellite Interference Reporting and Resolution System</w:t>
            </w:r>
            <w:r w:rsidR="00E56195" w:rsidRPr="00352192">
              <w:t>»</w:t>
            </w:r>
            <w:r w:rsidR="007D56BA" w:rsidRPr="00352192">
              <w:t>.</w:t>
            </w:r>
            <w:bookmarkEnd w:id="30"/>
          </w:p>
        </w:tc>
      </w:tr>
      <w:tr w:rsidR="004E116E" w:rsidRPr="008930FD" w:rsidTr="00AF27BC">
        <w:trPr>
          <w:cantSplit/>
          <w:jc w:val="center"/>
        </w:trPr>
        <w:tc>
          <w:tcPr>
            <w:tcW w:w="1014" w:type="dxa"/>
          </w:tcPr>
          <w:p w:rsidR="004E116E" w:rsidRPr="00352192" w:rsidRDefault="004E116E" w:rsidP="001514E8">
            <w:pPr>
              <w:pStyle w:val="Tabletext"/>
              <w:jc w:val="center"/>
            </w:pPr>
            <w:r w:rsidRPr="00352192">
              <w:lastRenderedPageBreak/>
              <w:t>10</w:t>
            </w:r>
          </w:p>
        </w:tc>
        <w:tc>
          <w:tcPr>
            <w:tcW w:w="3136" w:type="dxa"/>
          </w:tcPr>
          <w:p w:rsidR="004E116E" w:rsidRPr="00352192" w:rsidRDefault="004E116E" w:rsidP="00025B7E">
            <w:pPr>
              <w:pStyle w:val="Tabletext"/>
              <w:rPr>
                <w:i/>
                <w:iCs/>
              </w:rPr>
            </w:pPr>
            <w:r w:rsidRPr="00352192">
              <w:t>Coordinación intersectorial</w:t>
            </w:r>
            <w:r w:rsidR="00025B7E">
              <w:br/>
            </w:r>
            <w:r w:rsidRPr="00352192">
              <w:rPr>
                <w:i/>
                <w:iCs/>
              </w:rPr>
              <w:t>(Documentos RAG1</w:t>
            </w:r>
            <w:r w:rsidR="007D56BA" w:rsidRPr="00352192">
              <w:rPr>
                <w:i/>
                <w:iCs/>
              </w:rPr>
              <w:t>9</w:t>
            </w:r>
            <w:r w:rsidRPr="00352192">
              <w:rPr>
                <w:i/>
                <w:iCs/>
              </w:rPr>
              <w:t xml:space="preserve">/1, 2, 3, </w:t>
            </w:r>
            <w:r w:rsidR="007D56BA" w:rsidRPr="00352192">
              <w:rPr>
                <w:i/>
                <w:iCs/>
              </w:rPr>
              <w:t xml:space="preserve">4, 5, </w:t>
            </w:r>
            <w:r w:rsidRPr="00352192">
              <w:rPr>
                <w:i/>
                <w:iCs/>
              </w:rPr>
              <w:t>6,</w:t>
            </w:r>
            <w:r w:rsidR="007D56BA" w:rsidRPr="00352192">
              <w:rPr>
                <w:i/>
                <w:iCs/>
              </w:rPr>
              <w:t xml:space="preserve"> 7, 8, 9, 10, 11, 12, 21</w:t>
            </w:r>
            <w:r w:rsidRPr="00352192">
              <w:rPr>
                <w:i/>
                <w:iCs/>
              </w:rPr>
              <w:t>)</w:t>
            </w:r>
          </w:p>
        </w:tc>
        <w:tc>
          <w:tcPr>
            <w:tcW w:w="9928" w:type="dxa"/>
          </w:tcPr>
          <w:p w:rsidR="003E5FC1" w:rsidRPr="00352192" w:rsidRDefault="004E116E" w:rsidP="00352192">
            <w:pPr>
              <w:pStyle w:val="Tabletext"/>
            </w:pPr>
            <w:r w:rsidRPr="00352192">
              <w:t xml:space="preserve">El GAR tomó nota de la información contenida en el </w:t>
            </w:r>
            <w:r w:rsidR="001C3E0A" w:rsidRPr="00352192">
              <w:t xml:space="preserve">Addéndum </w:t>
            </w:r>
            <w:r w:rsidR="00CF7EB6" w:rsidRPr="00352192">
              <w:t>del I</w:t>
            </w:r>
            <w:r w:rsidRPr="00352192">
              <w:t>nforme del Director sobre la cooperación del UIT-R con el UIT-D y el UIT-T, así como las organizaciones internacionales y regionales.</w:t>
            </w:r>
          </w:p>
          <w:p w:rsidR="00262591" w:rsidRPr="00352192" w:rsidRDefault="004E116E" w:rsidP="0079405D">
            <w:pPr>
              <w:pStyle w:val="Tabletext"/>
            </w:pPr>
            <w:r w:rsidRPr="00352192">
              <w:t xml:space="preserve">El GAR también examinó las </w:t>
            </w:r>
            <w:r w:rsidR="00CF7EB6" w:rsidRPr="00352192">
              <w:t>D</w:t>
            </w:r>
            <w:r w:rsidRPr="00352192">
              <w:t xml:space="preserve">eclaraciones de </w:t>
            </w:r>
            <w:r w:rsidR="00CF7EB6" w:rsidRPr="00352192">
              <w:t>C</w:t>
            </w:r>
            <w:r w:rsidRPr="00352192">
              <w:t>oordinación relativas a la coordinación intersectorial contenidas en los Documento</w:t>
            </w:r>
            <w:r w:rsidR="00262591" w:rsidRPr="00352192">
              <w:t>s RAG19</w:t>
            </w:r>
            <w:r w:rsidRPr="00352192">
              <w:t>/2 de la Comisión de Estudio 5 del UIT-T</w:t>
            </w:r>
            <w:r w:rsidR="0079405D">
              <w:t>;</w:t>
            </w:r>
            <w:r w:rsidRPr="00352192">
              <w:t xml:space="preserve"> </w:t>
            </w:r>
            <w:r w:rsidR="0079405D">
              <w:t>RAG</w:t>
            </w:r>
            <w:r w:rsidR="00262591" w:rsidRPr="00352192">
              <w:t xml:space="preserve">19/3 </w:t>
            </w:r>
            <w:r w:rsidR="00CF7EB6" w:rsidRPr="00352192">
              <w:t>de los Grupos de Trabajo</w:t>
            </w:r>
            <w:r w:rsidR="00262591" w:rsidRPr="00352192">
              <w:t xml:space="preserve"> 5A, 5B </w:t>
            </w:r>
            <w:r w:rsidR="00CF7EB6" w:rsidRPr="00352192">
              <w:t>y</w:t>
            </w:r>
            <w:r w:rsidR="00262591" w:rsidRPr="00352192">
              <w:t xml:space="preserve"> 5C </w:t>
            </w:r>
            <w:r w:rsidR="00CF7EB6" w:rsidRPr="00352192">
              <w:t>del UIT-R a las Comisiones de Estudio</w:t>
            </w:r>
            <w:r w:rsidR="00262591" w:rsidRPr="00352192">
              <w:t xml:space="preserve"> 2,</w:t>
            </w:r>
            <w:r w:rsidR="00FB2288">
              <w:t xml:space="preserve"> </w:t>
            </w:r>
            <w:r w:rsidR="00262591" w:rsidRPr="00352192">
              <w:t>5,</w:t>
            </w:r>
            <w:r w:rsidR="00FB2288">
              <w:t xml:space="preserve"> </w:t>
            </w:r>
            <w:r w:rsidR="00262591" w:rsidRPr="00352192">
              <w:t>9,</w:t>
            </w:r>
            <w:r w:rsidR="00FB2288">
              <w:t xml:space="preserve"> </w:t>
            </w:r>
            <w:r w:rsidR="00262591" w:rsidRPr="00352192">
              <w:t>12,</w:t>
            </w:r>
            <w:r w:rsidR="00FB2288">
              <w:t xml:space="preserve"> </w:t>
            </w:r>
            <w:r w:rsidR="00262591" w:rsidRPr="00352192">
              <w:t>13,</w:t>
            </w:r>
            <w:r w:rsidR="00FB2288">
              <w:t xml:space="preserve"> </w:t>
            </w:r>
            <w:r w:rsidR="00262591" w:rsidRPr="00352192">
              <w:t>15</w:t>
            </w:r>
            <w:r w:rsidR="00FB2288">
              <w:t xml:space="preserve"> y </w:t>
            </w:r>
            <w:r w:rsidR="00262591" w:rsidRPr="00352192">
              <w:t xml:space="preserve">16 </w:t>
            </w:r>
            <w:r w:rsidR="00CF7EB6" w:rsidRPr="00352192">
              <w:t>del UIT-T y el GAR</w:t>
            </w:r>
            <w:r w:rsidR="0079405D">
              <w:t>;</w:t>
            </w:r>
            <w:r w:rsidR="00262591" w:rsidRPr="00352192">
              <w:t xml:space="preserve"> RAG19/4 </w:t>
            </w:r>
            <w:r w:rsidR="00CF7EB6" w:rsidRPr="00352192">
              <w:t>del GADT al Presidente del GAR</w:t>
            </w:r>
            <w:r w:rsidR="00262591" w:rsidRPr="00352192">
              <w:t>19</w:t>
            </w:r>
            <w:r w:rsidR="0079405D">
              <w:t>;</w:t>
            </w:r>
            <w:r w:rsidR="00262591" w:rsidRPr="00352192">
              <w:t xml:space="preserve"> RAG</w:t>
            </w:r>
            <w:r w:rsidR="0079405D">
              <w:t>19</w:t>
            </w:r>
            <w:r w:rsidR="00262591" w:rsidRPr="00352192">
              <w:t xml:space="preserve">/5 </w:t>
            </w:r>
            <w:r w:rsidR="00CF7EB6" w:rsidRPr="00352192">
              <w:t>de la Comisión de E</w:t>
            </w:r>
            <w:r w:rsidR="00DF5EF1" w:rsidRPr="00352192">
              <w:t>s</w:t>
            </w:r>
            <w:r w:rsidR="00CF7EB6" w:rsidRPr="00352192">
              <w:t>tudio 5 del UIT-T a los Grupos de Trabajo</w:t>
            </w:r>
            <w:r w:rsidR="00262591" w:rsidRPr="00352192">
              <w:t xml:space="preserve"> 1A, 1B </w:t>
            </w:r>
            <w:r w:rsidR="00CF7EB6" w:rsidRPr="00352192">
              <w:t>y</w:t>
            </w:r>
            <w:r w:rsidR="00262591" w:rsidRPr="00352192">
              <w:t xml:space="preserve"> 1C</w:t>
            </w:r>
            <w:r w:rsidR="00CF7EB6" w:rsidRPr="00352192">
              <w:t xml:space="preserve"> del UIT-R</w:t>
            </w:r>
            <w:r w:rsidR="0079405D">
              <w:t>;</w:t>
            </w:r>
            <w:r w:rsidR="00262591" w:rsidRPr="00352192">
              <w:t xml:space="preserve"> RAG</w:t>
            </w:r>
            <w:r w:rsidR="0079405D">
              <w:t>19</w:t>
            </w:r>
            <w:r w:rsidR="00262591" w:rsidRPr="00352192">
              <w:t xml:space="preserve">/6 </w:t>
            </w:r>
            <w:r w:rsidR="00CF7EB6" w:rsidRPr="00352192">
              <w:t>de la Comisión de Estudio 5 del UIT-T a los Grupos de Trabajo</w:t>
            </w:r>
            <w:r w:rsidR="00262591" w:rsidRPr="00352192">
              <w:t xml:space="preserve"> 5A, 5B </w:t>
            </w:r>
            <w:r w:rsidR="00CF7EB6" w:rsidRPr="00352192">
              <w:t>y</w:t>
            </w:r>
            <w:r w:rsidR="00262591" w:rsidRPr="00352192">
              <w:t xml:space="preserve"> 5C</w:t>
            </w:r>
            <w:r w:rsidR="00FB2288">
              <w:t xml:space="preserve"> </w:t>
            </w:r>
            <w:r w:rsidR="00CF7EB6" w:rsidRPr="00352192">
              <w:t>del UIT-R</w:t>
            </w:r>
            <w:r w:rsidR="0079405D">
              <w:t>;</w:t>
            </w:r>
            <w:r w:rsidR="00262591" w:rsidRPr="00352192">
              <w:t xml:space="preserve"> RAG19/7 </w:t>
            </w:r>
            <w:r w:rsidR="00CF7EB6" w:rsidRPr="00352192">
              <w:t>del Presidente del Grupo de Coordinación Intersectorial (GCIS) al GAR para su consideración</w:t>
            </w:r>
            <w:r w:rsidR="0079405D">
              <w:t>; RAG1</w:t>
            </w:r>
            <w:r w:rsidR="00262591" w:rsidRPr="00352192">
              <w:t xml:space="preserve">9/8 </w:t>
            </w:r>
            <w:r w:rsidR="00CF7EB6" w:rsidRPr="00352192">
              <w:t>del GANT al GAR sobre la actualización de la correspondencia entre temas de interés común</w:t>
            </w:r>
            <w:r w:rsidR="0079405D">
              <w:t>; RAG</w:t>
            </w:r>
            <w:r w:rsidR="00262591" w:rsidRPr="00352192">
              <w:t xml:space="preserve">19/9 </w:t>
            </w:r>
            <w:r w:rsidR="00CF7EB6" w:rsidRPr="00352192">
              <w:t>de la Comisión de Estudio 9 del UIT-T al GAR</w:t>
            </w:r>
            <w:r w:rsidR="0079405D">
              <w:t>; RAG</w:t>
            </w:r>
            <w:r w:rsidR="00262591" w:rsidRPr="00352192">
              <w:t xml:space="preserve">19/10 </w:t>
            </w:r>
            <w:r w:rsidR="00CF7EB6" w:rsidRPr="00352192">
              <w:t>del</w:t>
            </w:r>
            <w:r w:rsidR="00F14149">
              <w:t> </w:t>
            </w:r>
            <w:r w:rsidR="00CF7EB6" w:rsidRPr="00352192">
              <w:t>GANT al GAR para su examen y posible respuesta</w:t>
            </w:r>
            <w:r w:rsidR="00C317B8" w:rsidRPr="00352192">
              <w:t xml:space="preserve"> y </w:t>
            </w:r>
            <w:r w:rsidR="008C301E" w:rsidRPr="00352192">
              <w:t>R</w:t>
            </w:r>
            <w:r w:rsidR="00C317B8" w:rsidRPr="00352192">
              <w:t>A</w:t>
            </w:r>
            <w:r w:rsidR="008C301E" w:rsidRPr="00352192">
              <w:t>G</w:t>
            </w:r>
            <w:r w:rsidR="00262591" w:rsidRPr="00352192">
              <w:t>19</w:t>
            </w:r>
            <w:r w:rsidR="008C301E">
              <w:t>/21</w:t>
            </w:r>
            <w:r w:rsidR="00C317B8" w:rsidRPr="00352192">
              <w:t>, que ha resumido las Declaraciones de Coordinación presentadas en este Informe</w:t>
            </w:r>
            <w:r w:rsidR="00AF27BC">
              <w:t>.</w:t>
            </w:r>
          </w:p>
          <w:p w:rsidR="004E116E" w:rsidRPr="00352192" w:rsidRDefault="00C317B8" w:rsidP="00F14149">
            <w:pPr>
              <w:pStyle w:val="Tabletext"/>
            </w:pPr>
            <w:bookmarkStart w:id="31" w:name="lt_pId163"/>
            <w:r w:rsidRPr="00352192">
              <w:t>El GAR instó a los consejeros de las Comisiones de Estudio a seguir señalando a la atención de los participantes en sus respectivas Comisiones de Estudio los temas destacados en las Declaraciones de Coordinación y recomendó que no se responda directamente a las Declaraciones de Coordinación. El GAR tomó nota de la correspondencia propuesta por el</w:t>
            </w:r>
            <w:r w:rsidR="00F14149">
              <w:t> </w:t>
            </w:r>
            <w:r w:rsidRPr="00352192">
              <w:t>GANT y las Comisiones de Estudio del UIT-T. El GAR tomó nota, además, del Documento</w:t>
            </w:r>
            <w:bookmarkStart w:id="32" w:name="lt_pId165"/>
            <w:bookmarkEnd w:id="31"/>
            <w:r w:rsidR="00262591" w:rsidRPr="001514E8">
              <w:t xml:space="preserve"> RAG19/21</w:t>
            </w:r>
            <w:r w:rsidRPr="001514E8">
              <w:t>, que contiene el texto de la Declaración de Coordinación del GANT en que figura la correspondencia entre las Cuestiones y Resoluciones de interés común. La correspondencia entre las Cuestiones de las Comisiones de Estudio 1 y 2 del UIT-D y las Comisiones de Estudio del UIT-R pertinentes se publicarán en el sitio web del Grupo de Coordinación Intersectorial (GCIS) (Cuadro</w:t>
            </w:r>
            <w:bookmarkStart w:id="33" w:name="lt_pId166"/>
            <w:bookmarkEnd w:id="32"/>
            <w:r w:rsidR="00262591" w:rsidRPr="001514E8">
              <w:t xml:space="preserve"> 1</w:t>
            </w:r>
            <w:r w:rsidRPr="001514E8">
              <w:t xml:space="preserve"> del </w:t>
            </w:r>
            <w:r w:rsidR="00262591" w:rsidRPr="001514E8">
              <w:t>Anex</w:t>
            </w:r>
            <w:r w:rsidRPr="001514E8">
              <w:t>o</w:t>
            </w:r>
            <w:r w:rsidR="00262591" w:rsidRPr="001514E8">
              <w:t xml:space="preserve"> 3 </w:t>
            </w:r>
            <w:r w:rsidRPr="001514E8">
              <w:t>al Documento</w:t>
            </w:r>
            <w:r w:rsidR="00262591" w:rsidRPr="001514E8">
              <w:t xml:space="preserve"> RAG19/21).</w:t>
            </w:r>
            <w:bookmarkEnd w:id="33"/>
          </w:p>
        </w:tc>
      </w:tr>
      <w:tr w:rsidR="004E116E" w:rsidRPr="008930FD" w:rsidTr="00AF27BC">
        <w:trPr>
          <w:cantSplit/>
          <w:jc w:val="center"/>
        </w:trPr>
        <w:tc>
          <w:tcPr>
            <w:tcW w:w="1014" w:type="dxa"/>
          </w:tcPr>
          <w:p w:rsidR="004E116E" w:rsidRPr="00352192" w:rsidRDefault="004E116E" w:rsidP="001514E8">
            <w:pPr>
              <w:pStyle w:val="Tabletext"/>
              <w:jc w:val="center"/>
            </w:pPr>
            <w:r w:rsidRPr="00352192">
              <w:lastRenderedPageBreak/>
              <w:t>11</w:t>
            </w:r>
          </w:p>
        </w:tc>
        <w:tc>
          <w:tcPr>
            <w:tcW w:w="3136" w:type="dxa"/>
          </w:tcPr>
          <w:p w:rsidR="004E116E" w:rsidRPr="00352192" w:rsidRDefault="004E116E" w:rsidP="00025B7E">
            <w:pPr>
              <w:pStyle w:val="Tabletext"/>
              <w:rPr>
                <w:i/>
                <w:iCs/>
              </w:rPr>
            </w:pPr>
            <w:r w:rsidRPr="00352192">
              <w:t>Actividades de contacto con los miembros</w:t>
            </w:r>
            <w:r w:rsidR="00025B7E">
              <w:br/>
            </w:r>
            <w:r w:rsidRPr="00352192">
              <w:rPr>
                <w:i/>
                <w:iCs/>
              </w:rPr>
              <w:t>(Documentos RAG1</w:t>
            </w:r>
            <w:r w:rsidR="001D0A1C" w:rsidRPr="00352192">
              <w:rPr>
                <w:i/>
                <w:iCs/>
              </w:rPr>
              <w:t>9</w:t>
            </w:r>
            <w:r w:rsidRPr="00352192">
              <w:rPr>
                <w:i/>
                <w:iCs/>
              </w:rPr>
              <w:t>/1, 1</w:t>
            </w:r>
            <w:r w:rsidR="001D0A1C" w:rsidRPr="00352192">
              <w:rPr>
                <w:i/>
                <w:iCs/>
              </w:rPr>
              <w:t>5, 16</w:t>
            </w:r>
            <w:r w:rsidRPr="00352192">
              <w:rPr>
                <w:i/>
                <w:iCs/>
              </w:rPr>
              <w:t>)</w:t>
            </w:r>
          </w:p>
        </w:tc>
        <w:tc>
          <w:tcPr>
            <w:tcW w:w="9928" w:type="dxa"/>
          </w:tcPr>
          <w:p w:rsidR="009A485F" w:rsidRPr="00352192" w:rsidRDefault="00966C06" w:rsidP="00BB2352">
            <w:pPr>
              <w:pStyle w:val="Tabletext"/>
            </w:pPr>
            <w:bookmarkStart w:id="34" w:name="lt_pId171"/>
            <w:r w:rsidRPr="00352192">
              <w:t xml:space="preserve">El GAR tomó nota de los constantes esfuerzos invertidos por la BR para facilitar el acceso gratuito en línea a sus publicaciones. Se dio cuenta de los distintos tipos de publicaciones de la BR y del enfoque adoptado para dar acceso a los mismos. El GAR tomó nota también de los trabajos realizados por la BR en la prestación de asistencia a los </w:t>
            </w:r>
            <w:r w:rsidR="00BB2352">
              <w:t>m</w:t>
            </w:r>
            <w:r w:rsidRPr="00352192">
              <w:t>iembros e instó a la Oficina a seguir en la misma dirección. El GAR consideró el Documento</w:t>
            </w:r>
            <w:bookmarkStart w:id="35" w:name="lt_pId174"/>
            <w:bookmarkEnd w:id="34"/>
            <w:r w:rsidR="001D0A1C" w:rsidRPr="00352192">
              <w:t xml:space="preserve"> 15 </w:t>
            </w:r>
            <w:r w:rsidRPr="00352192">
              <w:t>de</w:t>
            </w:r>
            <w:r w:rsidR="001D0A1C" w:rsidRPr="00352192">
              <w:t xml:space="preserve"> China</w:t>
            </w:r>
            <w:r w:rsidRPr="00352192">
              <w:t>, en el que se plantean dos grandes cuestiones</w:t>
            </w:r>
            <w:r w:rsidR="001D0A1C" w:rsidRPr="00352192">
              <w:t xml:space="preserve">: a) </w:t>
            </w:r>
            <w:r w:rsidRPr="00352192">
              <w:t>la formación para los operadores de nanosatélites y picosatélites y</w:t>
            </w:r>
            <w:r w:rsidR="001D0A1C" w:rsidRPr="00352192">
              <w:t xml:space="preserve"> b) </w:t>
            </w:r>
            <w:r w:rsidRPr="00352192">
              <w:t>la elaboración de un Manual al respecto. Se aconsejó a la Administración de China tomar las siguientes medidas</w:t>
            </w:r>
            <w:bookmarkStart w:id="36" w:name="lt_pId175"/>
            <w:bookmarkEnd w:id="35"/>
            <w:r w:rsidR="001D0A1C" w:rsidRPr="00352192">
              <w:t xml:space="preserve">: a) </w:t>
            </w:r>
            <w:r w:rsidRPr="00352192">
              <w:t>dar a los operadores de nanosatélites y picosatélites información sobre los Seminarios y Talleres de la UIT que tratan de estos temas (el GAR también tomó nota de que la UIT queda a la disposición de la Administración de China para tratar de sus necesidades de formación y estructurar la mejor manera de impartirla) y</w:t>
            </w:r>
            <w:bookmarkStart w:id="37" w:name="lt_pId176"/>
            <w:bookmarkEnd w:id="36"/>
            <w:r w:rsidR="001D0A1C" w:rsidRPr="00352192">
              <w:t xml:space="preserve"> b) </w:t>
            </w:r>
            <w:r w:rsidR="00DF5EF1" w:rsidRPr="00352192">
              <w:t>presenta</w:t>
            </w:r>
            <w:r w:rsidRPr="00352192">
              <w:t>r su propuesta a la consideración de las Comisiones de Estudio del UIT-R pertinentes a fin de estudiar la posibilidad de elaborar un Manual sobre nanosatélites y picosatélites</w:t>
            </w:r>
            <w:r w:rsidR="001D0A1C" w:rsidRPr="00352192">
              <w:t>.</w:t>
            </w:r>
            <w:bookmarkStart w:id="38" w:name="lt_pId177"/>
            <w:bookmarkEnd w:id="37"/>
          </w:p>
          <w:p w:rsidR="009A485F" w:rsidRPr="00352192" w:rsidRDefault="00966C06" w:rsidP="00A27D6D">
            <w:pPr>
              <w:pStyle w:val="Tabletext"/>
            </w:pPr>
            <w:r w:rsidRPr="00352192">
              <w:t xml:space="preserve">El GAR se mostró también a favor de la propuesta de Brasil de mantener un archivo de las sesiones grabadas del SMR, incluidos sus talleres, que contribuye a la compartición de conocimientos con las pequeñas empresas y permite a los </w:t>
            </w:r>
            <w:r w:rsidR="00A27D6D">
              <w:t xml:space="preserve">miembros </w:t>
            </w:r>
            <w:r w:rsidRPr="00352192">
              <w:t>acceder al contenido con posterioridad. El Director de la BR se ofreció a considerar esta posibilidad, aunque dicho que no todas las sesiones se celebran en salas con las instalaciones necesarias para la grabación</w:t>
            </w:r>
            <w:bookmarkStart w:id="39" w:name="lt_pId179"/>
            <w:bookmarkEnd w:id="38"/>
            <w:r w:rsidR="001D0A1C" w:rsidRPr="00352192">
              <w:t>.</w:t>
            </w:r>
            <w:bookmarkStart w:id="40" w:name="lt_pId180"/>
            <w:bookmarkEnd w:id="39"/>
          </w:p>
          <w:p w:rsidR="001D0A1C" w:rsidRPr="00352192" w:rsidRDefault="00966C06" w:rsidP="00352192">
            <w:pPr>
              <w:pStyle w:val="Tabletext"/>
            </w:pPr>
            <w:r w:rsidRPr="00352192">
              <w:t xml:space="preserve">El GAR consideró el Documento </w:t>
            </w:r>
            <w:r w:rsidR="001D0A1C" w:rsidRPr="00352192">
              <w:t xml:space="preserve">16 </w:t>
            </w:r>
            <w:r w:rsidRPr="00352192">
              <w:t>de</w:t>
            </w:r>
            <w:r w:rsidR="001D0A1C" w:rsidRPr="00352192">
              <w:t xml:space="preserve"> Cuba </w:t>
            </w:r>
            <w:r w:rsidRPr="00352192">
              <w:t xml:space="preserve">y tomó nota de sus inquietudes acerca del acceso a las herramientas de </w:t>
            </w:r>
            <w:r w:rsidRPr="00025B7E">
              <w:rPr>
                <w:i/>
                <w:iCs/>
              </w:rPr>
              <w:t>software</w:t>
            </w:r>
            <w:r w:rsidRPr="00352192">
              <w:t xml:space="preserve"> creadas por la BR, haciendo hincapi</w:t>
            </w:r>
            <w:r w:rsidR="005E49EE" w:rsidRPr="00352192">
              <w:t>é en las herramientas de consulta del Reglamento de Radiocomunicaciones. El GAR señaló que este tipo de herramientas no suelen incluirse en la categoría de herramientas en línea gratuitas. Sin embargo, el GAR solicitó al Director que considere más detalladamente esta solicitud y evalúe las opciones que se podrían ofrecer a los países en desarrollo y facilitar la adquisición de tales herramientas</w:t>
            </w:r>
            <w:bookmarkStart w:id="41" w:name="lt_pId182"/>
            <w:bookmarkEnd w:id="40"/>
            <w:r w:rsidR="001D0A1C" w:rsidRPr="00352192">
              <w:t>.</w:t>
            </w:r>
            <w:bookmarkEnd w:id="41"/>
          </w:p>
          <w:p w:rsidR="004E116E" w:rsidRPr="00352192" w:rsidRDefault="005E49EE" w:rsidP="00352192">
            <w:pPr>
              <w:pStyle w:val="Tabletext"/>
            </w:pPr>
            <w:bookmarkStart w:id="42" w:name="lt_pId183"/>
            <w:r w:rsidRPr="00352192">
              <w:t>El GAR tomó nota de la solicitud de armonización de los sitios web de la UIT, actividad que el Vicesecretario General está coordinando con la Secretaría</w:t>
            </w:r>
            <w:bookmarkEnd w:id="42"/>
            <w:r w:rsidR="004E116E" w:rsidRPr="00352192">
              <w:t>.</w:t>
            </w:r>
          </w:p>
        </w:tc>
      </w:tr>
      <w:tr w:rsidR="004E116E" w:rsidRPr="008930FD" w:rsidTr="00AF27BC">
        <w:trPr>
          <w:jc w:val="center"/>
        </w:trPr>
        <w:tc>
          <w:tcPr>
            <w:tcW w:w="1014" w:type="dxa"/>
          </w:tcPr>
          <w:p w:rsidR="004E116E" w:rsidRPr="00352192" w:rsidRDefault="004E116E" w:rsidP="001514E8">
            <w:pPr>
              <w:pStyle w:val="Tabletext"/>
              <w:jc w:val="center"/>
            </w:pPr>
            <w:r w:rsidRPr="00352192">
              <w:t>12</w:t>
            </w:r>
          </w:p>
        </w:tc>
        <w:tc>
          <w:tcPr>
            <w:tcW w:w="3136" w:type="dxa"/>
          </w:tcPr>
          <w:p w:rsidR="004E116E" w:rsidRPr="00352192" w:rsidRDefault="004E116E" w:rsidP="001514E8">
            <w:pPr>
              <w:pStyle w:val="Tabletext"/>
            </w:pPr>
            <w:r w:rsidRPr="00352192">
              <w:t>Fecha de la próxima reunión</w:t>
            </w:r>
          </w:p>
        </w:tc>
        <w:tc>
          <w:tcPr>
            <w:tcW w:w="9928" w:type="dxa"/>
          </w:tcPr>
          <w:p w:rsidR="004E116E" w:rsidRPr="00352192" w:rsidRDefault="005E49EE" w:rsidP="001514E8">
            <w:pPr>
              <w:pStyle w:val="Tabletext"/>
            </w:pPr>
            <w:bookmarkStart w:id="43" w:name="lt_pId186"/>
            <w:r w:rsidRPr="00352192">
              <w:t>Se prevé que la</w:t>
            </w:r>
            <w:r w:rsidR="001D0A1C" w:rsidRPr="00352192">
              <w:t xml:space="preserve"> 27</w:t>
            </w:r>
            <w:r w:rsidRPr="00352192">
              <w:t>ª reunión del GAR se celebre del 6 al 9 de abril de</w:t>
            </w:r>
            <w:r w:rsidR="001D0A1C" w:rsidRPr="00352192">
              <w:t xml:space="preserve"> 2020.</w:t>
            </w:r>
            <w:bookmarkEnd w:id="43"/>
          </w:p>
        </w:tc>
      </w:tr>
      <w:tr w:rsidR="004E116E" w:rsidRPr="001514E8" w:rsidTr="00AF27BC">
        <w:trPr>
          <w:jc w:val="center"/>
        </w:trPr>
        <w:tc>
          <w:tcPr>
            <w:tcW w:w="1014" w:type="dxa"/>
          </w:tcPr>
          <w:p w:rsidR="004E116E" w:rsidRPr="00352192" w:rsidRDefault="004E116E" w:rsidP="001514E8">
            <w:pPr>
              <w:pStyle w:val="Tabletext"/>
              <w:jc w:val="center"/>
            </w:pPr>
            <w:r w:rsidRPr="00352192">
              <w:t>13</w:t>
            </w:r>
          </w:p>
        </w:tc>
        <w:tc>
          <w:tcPr>
            <w:tcW w:w="3136" w:type="dxa"/>
          </w:tcPr>
          <w:p w:rsidR="004E116E" w:rsidRPr="00352192" w:rsidRDefault="004E116E" w:rsidP="00352192">
            <w:pPr>
              <w:pStyle w:val="Tabletext"/>
            </w:pPr>
            <w:r w:rsidRPr="00352192">
              <w:t>Otros asuntos</w:t>
            </w:r>
          </w:p>
        </w:tc>
        <w:tc>
          <w:tcPr>
            <w:tcW w:w="9928" w:type="dxa"/>
          </w:tcPr>
          <w:p w:rsidR="004E116E" w:rsidRPr="00352192" w:rsidRDefault="004E116E" w:rsidP="00352192">
            <w:pPr>
              <w:pStyle w:val="Tabletext"/>
            </w:pPr>
          </w:p>
        </w:tc>
      </w:tr>
    </w:tbl>
    <w:p w:rsidR="004E116E" w:rsidRPr="001514E8" w:rsidRDefault="004E116E" w:rsidP="00513A0E">
      <w:pPr>
        <w:spacing w:before="360"/>
        <w:rPr>
          <w:lang w:val="es-ES_tradnl"/>
        </w:rPr>
      </w:pPr>
      <w:r w:rsidRPr="00352192">
        <w:rPr>
          <w:u w:val="single"/>
          <w:lang w:val="es-ES_tradnl"/>
        </w:rPr>
        <w:t>ANEXOS</w:t>
      </w:r>
      <w:r w:rsidRPr="001514E8">
        <w:rPr>
          <w:lang w:val="es-ES_tradnl"/>
        </w:rPr>
        <w:t>:</w:t>
      </w:r>
    </w:p>
    <w:p w:rsidR="004E116E" w:rsidRPr="001514E8" w:rsidRDefault="004E116E" w:rsidP="00A27D6D">
      <w:pPr>
        <w:jc w:val="left"/>
        <w:rPr>
          <w:lang w:val="es-ES_tradnl"/>
        </w:rPr>
      </w:pPr>
      <w:r w:rsidRPr="001514E8">
        <w:rPr>
          <w:lang w:val="es-ES_tradnl"/>
        </w:rPr>
        <w:t>ANEXO 1:</w:t>
      </w:r>
      <w:r w:rsidRPr="001514E8">
        <w:rPr>
          <w:lang w:val="es-ES_tradnl"/>
        </w:rPr>
        <w:tab/>
      </w:r>
      <w:r w:rsidR="005E49EE" w:rsidRPr="001514E8">
        <w:rPr>
          <w:lang w:val="es-ES_tradnl"/>
        </w:rPr>
        <w:t>Proyecto de Plan Operacional cuadrienal renovable del UIT-R (fuente</w:t>
      </w:r>
      <w:r w:rsidR="001D0A1C" w:rsidRPr="001514E8">
        <w:rPr>
          <w:rFonts w:asciiTheme="minorHAnsi" w:hAnsiTheme="minorHAnsi"/>
          <w:lang w:val="es-ES_tradnl"/>
        </w:rPr>
        <w:t xml:space="preserve">: Doc. </w:t>
      </w:r>
      <w:bookmarkStart w:id="44" w:name="lt_pId191"/>
      <w:r w:rsidR="001D0A1C" w:rsidRPr="001514E8">
        <w:rPr>
          <w:rFonts w:asciiTheme="minorHAnsi" w:hAnsiTheme="minorHAnsi"/>
          <w:lang w:val="es-ES_tradnl"/>
        </w:rPr>
        <w:t>RAG19/1 Add.2)</w:t>
      </w:r>
      <w:bookmarkEnd w:id="44"/>
    </w:p>
    <w:p w:rsidR="004E116E" w:rsidRPr="0004249C" w:rsidRDefault="004E116E" w:rsidP="00A27D6D">
      <w:pPr>
        <w:ind w:left="1191" w:hanging="1191"/>
        <w:jc w:val="left"/>
        <w:rPr>
          <w:rFonts w:asciiTheme="minorHAnsi" w:hAnsiTheme="minorHAnsi"/>
          <w:lang w:val="es-ES"/>
        </w:rPr>
      </w:pPr>
      <w:r w:rsidRPr="001514E8">
        <w:rPr>
          <w:lang w:val="es-ES_tradnl"/>
        </w:rPr>
        <w:t>ANEXO 2:</w:t>
      </w:r>
      <w:r w:rsidRPr="001514E8">
        <w:rPr>
          <w:lang w:val="es-ES_tradnl"/>
        </w:rPr>
        <w:tab/>
      </w:r>
      <w:r w:rsidR="005E49EE" w:rsidRPr="001514E8">
        <w:rPr>
          <w:lang w:val="es-ES_tradnl"/>
        </w:rPr>
        <w:t>Mandato del Grupo por Correspondencia del GAR sobre el examen y la posible revisión de la Resolución</w:t>
      </w:r>
      <w:r w:rsidR="00F14149">
        <w:rPr>
          <w:rFonts w:asciiTheme="minorHAnsi" w:hAnsiTheme="minorHAnsi"/>
          <w:lang w:val="es-ES_tradnl"/>
        </w:rPr>
        <w:t> </w:t>
      </w:r>
      <w:r w:rsidR="005E49EE" w:rsidRPr="001514E8">
        <w:rPr>
          <w:rFonts w:asciiTheme="minorHAnsi" w:hAnsiTheme="minorHAnsi"/>
          <w:lang w:val="es-ES_tradnl"/>
        </w:rPr>
        <w:t>UIT</w:t>
      </w:r>
      <w:r w:rsidR="001D0A1C" w:rsidRPr="001514E8">
        <w:rPr>
          <w:rFonts w:asciiTheme="minorHAnsi" w:hAnsiTheme="minorHAnsi"/>
          <w:lang w:val="es-ES_tradnl"/>
        </w:rPr>
        <w:t>-R</w:t>
      </w:r>
      <w:r w:rsidR="00F14149">
        <w:rPr>
          <w:rFonts w:asciiTheme="minorHAnsi" w:hAnsiTheme="minorHAnsi"/>
          <w:lang w:val="es-ES_tradnl"/>
        </w:rPr>
        <w:t> </w:t>
      </w:r>
      <w:r w:rsidR="001D0A1C" w:rsidRPr="001514E8">
        <w:rPr>
          <w:rFonts w:asciiTheme="minorHAnsi" w:hAnsiTheme="minorHAnsi"/>
          <w:lang w:val="es-ES_tradnl"/>
        </w:rPr>
        <w:t>2-7 (</w:t>
      </w:r>
      <w:r w:rsidR="005E49EE" w:rsidRPr="001514E8">
        <w:rPr>
          <w:rFonts w:asciiTheme="minorHAnsi" w:hAnsiTheme="minorHAnsi"/>
          <w:lang w:val="es-ES_tradnl"/>
        </w:rPr>
        <w:t>fuente</w:t>
      </w:r>
      <w:r w:rsidR="001D0A1C" w:rsidRPr="001514E8">
        <w:rPr>
          <w:rFonts w:asciiTheme="minorHAnsi" w:hAnsiTheme="minorHAnsi"/>
          <w:lang w:val="es-ES_tradnl"/>
        </w:rPr>
        <w:t>:</w:t>
      </w:r>
      <w:r w:rsidR="00513A0E">
        <w:rPr>
          <w:rFonts w:asciiTheme="minorHAnsi" w:hAnsiTheme="minorHAnsi"/>
          <w:lang w:val="es-ES_tradnl"/>
        </w:rPr>
        <w:t> </w:t>
      </w:r>
      <w:r w:rsidR="001D0A1C" w:rsidRPr="001514E8">
        <w:rPr>
          <w:rFonts w:asciiTheme="minorHAnsi" w:hAnsiTheme="minorHAnsi"/>
          <w:lang w:val="es-ES_tradnl"/>
        </w:rPr>
        <w:t>Doc.</w:t>
      </w:r>
      <w:bookmarkStart w:id="45" w:name="lt_pId193"/>
      <w:r w:rsidR="00513A0E">
        <w:rPr>
          <w:rFonts w:asciiTheme="minorHAnsi" w:hAnsiTheme="minorHAnsi"/>
          <w:lang w:val="es-ES_tradnl"/>
        </w:rPr>
        <w:t> </w:t>
      </w:r>
      <w:r w:rsidR="001D0A1C" w:rsidRPr="0004249C">
        <w:rPr>
          <w:rFonts w:asciiTheme="minorHAnsi" w:hAnsiTheme="minorHAnsi"/>
          <w:lang w:val="es-ES"/>
        </w:rPr>
        <w:t>TEMP/1</w:t>
      </w:r>
      <w:r w:rsidR="00A27D6D">
        <w:rPr>
          <w:rFonts w:asciiTheme="minorHAnsi" w:hAnsiTheme="minorHAnsi"/>
          <w:lang w:val="es-ES"/>
        </w:rPr>
        <w:t> </w:t>
      </w:r>
      <w:r w:rsidR="001D0A1C" w:rsidRPr="0004249C">
        <w:rPr>
          <w:rFonts w:asciiTheme="minorHAnsi" w:hAnsiTheme="minorHAnsi"/>
          <w:lang w:val="es-ES"/>
        </w:rPr>
        <w:t>Rev.1)</w:t>
      </w:r>
      <w:bookmarkEnd w:id="45"/>
    </w:p>
    <w:p w:rsidR="000C01DF" w:rsidRPr="0004249C" w:rsidRDefault="000C01DF" w:rsidP="001514E8">
      <w:pPr>
        <w:tabs>
          <w:tab w:val="clear" w:pos="794"/>
          <w:tab w:val="clear" w:pos="1191"/>
          <w:tab w:val="clear" w:pos="1588"/>
          <w:tab w:val="clear" w:pos="1985"/>
        </w:tabs>
        <w:overflowPunct/>
        <w:autoSpaceDE/>
        <w:autoSpaceDN/>
        <w:adjustRightInd/>
        <w:spacing w:before="0" w:line="240" w:lineRule="auto"/>
        <w:jc w:val="left"/>
        <w:textAlignment w:val="auto"/>
        <w:rPr>
          <w:bCs/>
          <w:spacing w:val="-6"/>
          <w:lang w:val="es-ES"/>
        </w:rPr>
      </w:pPr>
    </w:p>
    <w:p w:rsidR="000C01DF" w:rsidRPr="0004249C" w:rsidRDefault="000C01DF" w:rsidP="00A27D6D">
      <w:pPr>
        <w:rPr>
          <w:lang w:val="es-ES"/>
        </w:rPr>
        <w:sectPr w:rsidR="000C01DF" w:rsidRPr="0004249C" w:rsidSect="004E116E">
          <w:headerReference w:type="even" r:id="rId16"/>
          <w:headerReference w:type="default" r:id="rId17"/>
          <w:footerReference w:type="even" r:id="rId18"/>
          <w:headerReference w:type="first" r:id="rId19"/>
          <w:footerReference w:type="first" r:id="rId20"/>
          <w:pgSz w:w="16834" w:h="11907" w:orient="landscape" w:code="9"/>
          <w:pgMar w:top="1134" w:right="1134" w:bottom="1134" w:left="993" w:header="567" w:footer="397" w:gutter="0"/>
          <w:cols w:space="720"/>
          <w:titlePg/>
          <w:docGrid w:linePitch="326"/>
        </w:sectPr>
      </w:pPr>
    </w:p>
    <w:p w:rsidR="004A4951" w:rsidRPr="008930FD" w:rsidRDefault="00513A0E" w:rsidP="004A4951">
      <w:pPr>
        <w:pStyle w:val="AnnexNo"/>
        <w:rPr>
          <w:lang w:val="es-ES"/>
        </w:rPr>
      </w:pPr>
      <w:bookmarkStart w:id="46" w:name="lt_pId194"/>
      <w:r w:rsidRPr="008930FD">
        <w:rPr>
          <w:lang w:val="es-ES"/>
        </w:rPr>
        <w:lastRenderedPageBreak/>
        <w:t xml:space="preserve">Anexo </w:t>
      </w:r>
      <w:r w:rsidR="000C01DF" w:rsidRPr="008930FD">
        <w:rPr>
          <w:lang w:val="es-ES"/>
        </w:rPr>
        <w:t>1</w:t>
      </w:r>
      <w:bookmarkStart w:id="47" w:name="lt_pId195"/>
      <w:bookmarkEnd w:id="46"/>
    </w:p>
    <w:p w:rsidR="000C01DF" w:rsidRPr="004A4951" w:rsidRDefault="00513A0E" w:rsidP="004A4951">
      <w:pPr>
        <w:pStyle w:val="Annextitle"/>
        <w:rPr>
          <w:rFonts w:asciiTheme="minorHAnsi" w:hAnsiTheme="minorHAnsi" w:cstheme="minorHAnsi"/>
          <w:sz w:val="24"/>
          <w:szCs w:val="24"/>
          <w:lang w:val="es-ES"/>
        </w:rPr>
      </w:pPr>
      <w:r w:rsidRPr="004A4951">
        <w:t xml:space="preserve">Proyecto de Plan Operacional cuadrienal renovable del </w:t>
      </w:r>
      <w:r w:rsidR="005E49EE" w:rsidRPr="004A4951">
        <w:t>UIT-R</w:t>
      </w:r>
      <w:bookmarkStart w:id="48" w:name="lt_pId196"/>
      <w:bookmarkEnd w:id="47"/>
      <w:r w:rsidR="004610A7">
        <w:br/>
      </w:r>
      <w:r w:rsidR="004A4951" w:rsidRPr="004A4951">
        <w:rPr>
          <w:sz w:val="24"/>
          <w:szCs w:val="24"/>
        </w:rPr>
        <w:br/>
      </w:r>
      <w:r w:rsidR="000C01DF" w:rsidRPr="004A4951">
        <w:rPr>
          <w:rFonts w:asciiTheme="minorHAnsi" w:hAnsiTheme="minorHAnsi" w:cstheme="minorHAnsi"/>
          <w:b w:val="0"/>
          <w:bCs/>
          <w:sz w:val="24"/>
          <w:szCs w:val="24"/>
          <w:lang w:val="es-ES"/>
        </w:rPr>
        <w:t>(</w:t>
      </w:r>
      <w:r w:rsidR="00AF27BC" w:rsidRPr="004A4951">
        <w:rPr>
          <w:rFonts w:asciiTheme="minorHAnsi" w:hAnsiTheme="minorHAnsi" w:cstheme="minorHAnsi"/>
          <w:b w:val="0"/>
          <w:bCs/>
          <w:sz w:val="24"/>
          <w:szCs w:val="24"/>
          <w:lang w:val="es-ES"/>
        </w:rPr>
        <w:t>Fuente</w:t>
      </w:r>
      <w:r w:rsidR="000C01DF" w:rsidRPr="004A4951">
        <w:rPr>
          <w:rFonts w:asciiTheme="minorHAnsi" w:hAnsiTheme="minorHAnsi" w:cstheme="minorHAnsi"/>
          <w:b w:val="0"/>
          <w:bCs/>
          <w:sz w:val="24"/>
          <w:szCs w:val="24"/>
          <w:lang w:val="es-ES"/>
        </w:rPr>
        <w:t>: Doc.</w:t>
      </w:r>
      <w:bookmarkEnd w:id="48"/>
      <w:r w:rsidR="000C01DF" w:rsidRPr="004A4951">
        <w:rPr>
          <w:rFonts w:asciiTheme="minorHAnsi" w:hAnsiTheme="minorHAnsi" w:cstheme="minorHAnsi"/>
          <w:b w:val="0"/>
          <w:bCs/>
          <w:sz w:val="24"/>
          <w:szCs w:val="24"/>
          <w:lang w:val="es-ES"/>
        </w:rPr>
        <w:t xml:space="preserve"> </w:t>
      </w:r>
      <w:bookmarkStart w:id="49" w:name="lt_pId197"/>
      <w:r w:rsidR="000C01DF" w:rsidRPr="004A4951">
        <w:rPr>
          <w:rFonts w:asciiTheme="minorHAnsi" w:hAnsiTheme="minorHAnsi" w:cstheme="minorHAnsi"/>
          <w:b w:val="0"/>
          <w:bCs/>
          <w:sz w:val="24"/>
          <w:szCs w:val="24"/>
          <w:lang w:val="es-ES"/>
        </w:rPr>
        <w:t>RAG19/1-Add.2)</w:t>
      </w:r>
      <w:bookmarkEnd w:id="49"/>
    </w:p>
    <w:p w:rsidR="000C01DF" w:rsidRPr="00513A0E" w:rsidRDefault="000C01DF" w:rsidP="00513A0E">
      <w:pPr>
        <w:rPr>
          <w:lang w:val="es-ES"/>
        </w:rPr>
      </w:pPr>
    </w:p>
    <w:tbl>
      <w:tblPr>
        <w:tblpPr w:leftFromText="180" w:rightFromText="180" w:vertAnchor="page" w:horzAnchor="margin" w:tblpY="3811"/>
        <w:tblW w:w="9889" w:type="dxa"/>
        <w:tblLayout w:type="fixed"/>
        <w:tblLook w:val="0000" w:firstRow="0" w:lastRow="0" w:firstColumn="0" w:lastColumn="0" w:noHBand="0" w:noVBand="0"/>
      </w:tblPr>
      <w:tblGrid>
        <w:gridCol w:w="6772"/>
        <w:gridCol w:w="3117"/>
      </w:tblGrid>
      <w:tr w:rsidR="000C01DF" w:rsidRPr="008930FD" w:rsidTr="000C01DF">
        <w:trPr>
          <w:cantSplit/>
        </w:trPr>
        <w:tc>
          <w:tcPr>
            <w:tcW w:w="6772" w:type="dxa"/>
            <w:vAlign w:val="center"/>
          </w:tcPr>
          <w:p w:rsidR="000C01DF" w:rsidRPr="001514E8" w:rsidRDefault="000C01DF" w:rsidP="001514E8">
            <w:pPr>
              <w:shd w:val="solid" w:color="FFFFFF" w:fill="FFFFFF"/>
              <w:tabs>
                <w:tab w:val="left" w:pos="568"/>
              </w:tabs>
              <w:spacing w:before="360" w:after="240" w:line="240" w:lineRule="auto"/>
              <w:jc w:val="left"/>
              <w:rPr>
                <w:b/>
                <w:caps/>
                <w:sz w:val="32"/>
                <w:lang w:val="es-ES"/>
              </w:rPr>
            </w:pPr>
            <w:r w:rsidRPr="001514E8">
              <w:rPr>
                <w:rFonts w:ascii="Verdana" w:hAnsi="Verdana" w:cs="Times New Roman Bold"/>
                <w:b/>
                <w:sz w:val="26"/>
                <w:szCs w:val="26"/>
                <w:lang w:val="es-ES"/>
              </w:rPr>
              <w:t>Grupo Asesor de Radiocomunicaciones</w:t>
            </w:r>
            <w:r w:rsidRPr="001514E8">
              <w:rPr>
                <w:b/>
                <w:caps/>
                <w:sz w:val="32"/>
                <w:lang w:val="es-ES"/>
              </w:rPr>
              <w:br/>
            </w:r>
            <w:r w:rsidRPr="001514E8">
              <w:rPr>
                <w:rFonts w:ascii="Verdana" w:hAnsi="Verdana" w:cs="Times New Roman Bold"/>
                <w:b/>
                <w:bCs/>
                <w:sz w:val="20"/>
                <w:lang w:val="es-ES"/>
              </w:rPr>
              <w:t>Ginebra, 15-17 de abril de 2019</w:t>
            </w:r>
          </w:p>
        </w:tc>
        <w:tc>
          <w:tcPr>
            <w:tcW w:w="3117" w:type="dxa"/>
            <w:vAlign w:val="center"/>
          </w:tcPr>
          <w:p w:rsidR="000C01DF" w:rsidRPr="001514E8" w:rsidRDefault="000C01DF" w:rsidP="001514E8">
            <w:pPr>
              <w:shd w:val="solid" w:color="FFFFFF" w:fill="FFFFFF"/>
              <w:spacing w:before="0" w:line="240" w:lineRule="auto"/>
              <w:jc w:val="right"/>
              <w:rPr>
                <w:lang w:val="es-ES"/>
              </w:rPr>
            </w:pPr>
            <w:r w:rsidRPr="001514E8">
              <w:rPr>
                <w:rFonts w:cstheme="minorHAnsi"/>
                <w:b/>
                <w:bCs/>
                <w:noProof/>
                <w:szCs w:val="24"/>
                <w:lang w:eastAsia="zh-CN"/>
              </w:rPr>
              <w:drawing>
                <wp:anchor distT="0" distB="0" distL="114300" distR="114300" simplePos="0" relativeHeight="251660288" behindDoc="0" locked="0" layoutInCell="1" allowOverlap="1">
                  <wp:simplePos x="0" y="0"/>
                  <wp:positionH relativeFrom="column">
                    <wp:posOffset>59055</wp:posOffset>
                  </wp:positionH>
                  <wp:positionV relativeFrom="paragraph">
                    <wp:posOffset>-614045</wp:posOffset>
                  </wp:positionV>
                  <wp:extent cx="1771650" cy="695325"/>
                  <wp:effectExtent l="0" t="0" r="0" b="9525"/>
                  <wp:wrapTopAndBottom/>
                  <wp:docPr id="9" name="Picture 9"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01DF" w:rsidRPr="008930FD" w:rsidTr="000C01DF">
        <w:trPr>
          <w:cantSplit/>
        </w:trPr>
        <w:tc>
          <w:tcPr>
            <w:tcW w:w="6772" w:type="dxa"/>
            <w:tcBorders>
              <w:bottom w:val="single" w:sz="12" w:space="0" w:color="auto"/>
            </w:tcBorders>
          </w:tcPr>
          <w:p w:rsidR="000C01DF" w:rsidRPr="001514E8" w:rsidRDefault="000C01DF" w:rsidP="001514E8">
            <w:pPr>
              <w:shd w:val="solid" w:color="FFFFFF" w:fill="FFFFFF"/>
              <w:spacing w:before="0" w:after="48" w:line="240" w:lineRule="auto"/>
              <w:rPr>
                <w:rFonts w:ascii="Verdana" w:hAnsi="Verdana" w:cs="Times New Roman Bold"/>
                <w:b/>
                <w:sz w:val="22"/>
                <w:lang w:val="es-ES"/>
              </w:rPr>
            </w:pPr>
          </w:p>
        </w:tc>
        <w:tc>
          <w:tcPr>
            <w:tcW w:w="3117" w:type="dxa"/>
            <w:tcBorders>
              <w:bottom w:val="single" w:sz="12" w:space="0" w:color="auto"/>
            </w:tcBorders>
          </w:tcPr>
          <w:p w:rsidR="000C01DF" w:rsidRPr="001514E8" w:rsidRDefault="000C01DF" w:rsidP="001514E8">
            <w:pPr>
              <w:shd w:val="solid" w:color="FFFFFF" w:fill="FFFFFF"/>
              <w:spacing w:before="0" w:after="48" w:line="240" w:lineRule="auto"/>
              <w:rPr>
                <w:sz w:val="22"/>
                <w:lang w:val="es-ES"/>
              </w:rPr>
            </w:pPr>
          </w:p>
        </w:tc>
      </w:tr>
      <w:tr w:rsidR="000C01DF" w:rsidRPr="008930FD" w:rsidTr="000C01DF">
        <w:trPr>
          <w:cantSplit/>
        </w:trPr>
        <w:tc>
          <w:tcPr>
            <w:tcW w:w="6772" w:type="dxa"/>
            <w:tcBorders>
              <w:top w:val="single" w:sz="12" w:space="0" w:color="auto"/>
            </w:tcBorders>
          </w:tcPr>
          <w:p w:rsidR="000C01DF" w:rsidRPr="001514E8" w:rsidRDefault="000C01DF" w:rsidP="001514E8">
            <w:pPr>
              <w:shd w:val="solid" w:color="FFFFFF" w:fill="FFFFFF"/>
              <w:spacing w:before="0" w:after="48" w:line="240" w:lineRule="auto"/>
              <w:rPr>
                <w:rFonts w:ascii="Verdana" w:hAnsi="Verdana" w:cs="Times New Roman Bold"/>
                <w:bCs/>
                <w:sz w:val="22"/>
                <w:lang w:val="es-ES"/>
              </w:rPr>
            </w:pPr>
          </w:p>
        </w:tc>
        <w:tc>
          <w:tcPr>
            <w:tcW w:w="3117" w:type="dxa"/>
            <w:tcBorders>
              <w:top w:val="single" w:sz="12" w:space="0" w:color="auto"/>
            </w:tcBorders>
          </w:tcPr>
          <w:p w:rsidR="000C01DF" w:rsidRPr="001514E8" w:rsidRDefault="000C01DF" w:rsidP="001514E8">
            <w:pPr>
              <w:shd w:val="solid" w:color="FFFFFF" w:fill="FFFFFF"/>
              <w:spacing w:before="0" w:after="48" w:line="240" w:lineRule="auto"/>
              <w:rPr>
                <w:rFonts w:ascii="Verdana" w:hAnsi="Verdana"/>
                <w:sz w:val="22"/>
                <w:lang w:val="es-ES"/>
              </w:rPr>
            </w:pPr>
          </w:p>
        </w:tc>
      </w:tr>
      <w:tr w:rsidR="000C01DF" w:rsidRPr="008930FD" w:rsidTr="000C01DF">
        <w:trPr>
          <w:cantSplit/>
        </w:trPr>
        <w:tc>
          <w:tcPr>
            <w:tcW w:w="6772" w:type="dxa"/>
            <w:vMerge w:val="restart"/>
          </w:tcPr>
          <w:p w:rsidR="000C01DF" w:rsidRPr="001514E8" w:rsidRDefault="000C01DF" w:rsidP="001514E8">
            <w:pPr>
              <w:shd w:val="solid" w:color="FFFFFF" w:fill="FFFFFF"/>
              <w:spacing w:after="240" w:line="240" w:lineRule="auto"/>
              <w:rPr>
                <w:sz w:val="20"/>
                <w:lang w:val="es-ES"/>
              </w:rPr>
            </w:pPr>
          </w:p>
        </w:tc>
        <w:tc>
          <w:tcPr>
            <w:tcW w:w="3117" w:type="dxa"/>
          </w:tcPr>
          <w:p w:rsidR="000C01DF" w:rsidRPr="001514E8" w:rsidRDefault="000C01DF" w:rsidP="00352192">
            <w:pPr>
              <w:shd w:val="solid" w:color="FFFFFF" w:fill="FFFFFF"/>
              <w:spacing w:before="0" w:line="240" w:lineRule="auto"/>
              <w:jc w:val="left"/>
              <w:rPr>
                <w:rFonts w:ascii="Verdana" w:hAnsi="Verdana"/>
                <w:sz w:val="20"/>
                <w:lang w:val="es-ES"/>
              </w:rPr>
            </w:pPr>
            <w:r w:rsidRPr="001514E8">
              <w:rPr>
                <w:rFonts w:ascii="Verdana" w:hAnsi="Verdana"/>
                <w:b/>
                <w:sz w:val="20"/>
                <w:lang w:val="es-ES"/>
              </w:rPr>
              <w:t>Revisión 1 al</w:t>
            </w:r>
            <w:r w:rsidR="00352192">
              <w:rPr>
                <w:rFonts w:ascii="Verdana" w:hAnsi="Verdana"/>
                <w:b/>
                <w:sz w:val="20"/>
                <w:lang w:val="es-ES"/>
              </w:rPr>
              <w:br/>
            </w:r>
            <w:r w:rsidRPr="001514E8">
              <w:rPr>
                <w:rFonts w:ascii="Verdana" w:hAnsi="Verdana"/>
                <w:b/>
                <w:sz w:val="20"/>
                <w:lang w:val="es-ES"/>
              </w:rPr>
              <w:t>Addéndum 2 al</w:t>
            </w:r>
            <w:r w:rsidRPr="001514E8">
              <w:rPr>
                <w:rFonts w:ascii="Verdana" w:hAnsi="Verdana"/>
                <w:b/>
                <w:sz w:val="20"/>
                <w:lang w:val="es-ES"/>
              </w:rPr>
              <w:br/>
              <w:t>Documento RAG19/1-S</w:t>
            </w:r>
          </w:p>
        </w:tc>
      </w:tr>
      <w:tr w:rsidR="000C01DF" w:rsidRPr="001514E8" w:rsidTr="000C01DF">
        <w:trPr>
          <w:cantSplit/>
        </w:trPr>
        <w:tc>
          <w:tcPr>
            <w:tcW w:w="6772" w:type="dxa"/>
            <w:vMerge/>
          </w:tcPr>
          <w:p w:rsidR="000C01DF" w:rsidRPr="001514E8" w:rsidRDefault="000C01DF" w:rsidP="001514E8">
            <w:pPr>
              <w:spacing w:before="60" w:line="240" w:lineRule="auto"/>
              <w:jc w:val="center"/>
              <w:rPr>
                <w:b/>
                <w:smallCaps/>
                <w:sz w:val="32"/>
                <w:lang w:val="es-ES"/>
              </w:rPr>
            </w:pPr>
          </w:p>
        </w:tc>
        <w:tc>
          <w:tcPr>
            <w:tcW w:w="3117" w:type="dxa"/>
          </w:tcPr>
          <w:p w:rsidR="000C01DF" w:rsidRPr="001514E8" w:rsidRDefault="000C01DF" w:rsidP="001514E8">
            <w:pPr>
              <w:shd w:val="solid" w:color="FFFFFF" w:fill="FFFFFF"/>
              <w:spacing w:before="0" w:line="240" w:lineRule="auto"/>
              <w:rPr>
                <w:rFonts w:ascii="Verdana" w:hAnsi="Verdana"/>
                <w:sz w:val="20"/>
              </w:rPr>
            </w:pPr>
            <w:r w:rsidRPr="001514E8">
              <w:rPr>
                <w:rFonts w:ascii="Verdana" w:hAnsi="Verdana"/>
                <w:b/>
                <w:sz w:val="20"/>
              </w:rPr>
              <w:t>27 de marzo de 2019</w:t>
            </w:r>
          </w:p>
        </w:tc>
      </w:tr>
      <w:tr w:rsidR="000C01DF" w:rsidRPr="001514E8" w:rsidTr="000C01DF">
        <w:trPr>
          <w:cantSplit/>
        </w:trPr>
        <w:tc>
          <w:tcPr>
            <w:tcW w:w="6772" w:type="dxa"/>
            <w:vMerge/>
          </w:tcPr>
          <w:p w:rsidR="000C01DF" w:rsidRPr="001514E8" w:rsidRDefault="000C01DF" w:rsidP="001514E8">
            <w:pPr>
              <w:spacing w:before="60" w:line="240" w:lineRule="auto"/>
              <w:jc w:val="center"/>
              <w:rPr>
                <w:b/>
                <w:smallCaps/>
                <w:sz w:val="32"/>
              </w:rPr>
            </w:pPr>
          </w:p>
        </w:tc>
        <w:tc>
          <w:tcPr>
            <w:tcW w:w="3117" w:type="dxa"/>
          </w:tcPr>
          <w:p w:rsidR="000C01DF" w:rsidRPr="001514E8" w:rsidRDefault="000C01DF" w:rsidP="001514E8">
            <w:pPr>
              <w:shd w:val="solid" w:color="FFFFFF" w:fill="FFFFFF"/>
              <w:spacing w:before="0" w:after="120" w:line="240" w:lineRule="auto"/>
              <w:rPr>
                <w:rFonts w:ascii="Verdana" w:hAnsi="Verdana"/>
                <w:sz w:val="20"/>
              </w:rPr>
            </w:pPr>
            <w:r w:rsidRPr="001514E8">
              <w:rPr>
                <w:rFonts w:ascii="Verdana" w:hAnsi="Verdana"/>
                <w:b/>
                <w:sz w:val="20"/>
              </w:rPr>
              <w:t>Original: inglés</w:t>
            </w:r>
          </w:p>
        </w:tc>
      </w:tr>
      <w:tr w:rsidR="00513A0E" w:rsidRPr="008930FD" w:rsidTr="004A4951">
        <w:trPr>
          <w:cantSplit/>
          <w:trHeight w:val="1352"/>
        </w:trPr>
        <w:tc>
          <w:tcPr>
            <w:tcW w:w="9889" w:type="dxa"/>
            <w:gridSpan w:val="2"/>
          </w:tcPr>
          <w:p w:rsidR="00513A0E" w:rsidRPr="00513A0E" w:rsidRDefault="00513A0E" w:rsidP="00513A0E">
            <w:pPr>
              <w:pStyle w:val="Source"/>
              <w:rPr>
                <w:lang w:val="es-ES"/>
              </w:rPr>
            </w:pPr>
            <w:r w:rsidRPr="00513A0E">
              <w:rPr>
                <w:lang w:val="es-ES"/>
              </w:rPr>
              <w:t>Director de la Oficina de Radiocomunicaciones</w:t>
            </w:r>
          </w:p>
        </w:tc>
      </w:tr>
      <w:tr w:rsidR="00513A0E" w:rsidRPr="008930FD" w:rsidTr="004A4951">
        <w:trPr>
          <w:cantSplit/>
          <w:trHeight w:val="1352"/>
        </w:trPr>
        <w:tc>
          <w:tcPr>
            <w:tcW w:w="9889" w:type="dxa"/>
            <w:gridSpan w:val="2"/>
          </w:tcPr>
          <w:p w:rsidR="00513A0E" w:rsidRPr="00513A0E" w:rsidRDefault="00513A0E" w:rsidP="006812DF">
            <w:pPr>
              <w:pStyle w:val="Title1"/>
              <w:rPr>
                <w:lang w:val="es-ES"/>
              </w:rPr>
            </w:pPr>
            <w:r w:rsidRPr="00513A0E">
              <w:rPr>
                <w:lang w:val="es-ES"/>
              </w:rPr>
              <w:t>INFORME A LA VIGÉSIM</w:t>
            </w:r>
            <w:r w:rsidR="006812DF">
              <w:rPr>
                <w:lang w:val="es-ES"/>
              </w:rPr>
              <w:t>A</w:t>
            </w:r>
            <w:r w:rsidRPr="00513A0E">
              <w:rPr>
                <w:lang w:val="es-ES"/>
              </w:rPr>
              <w:t xml:space="preserve"> sexta REUNIÓN DEL </w:t>
            </w:r>
            <w:r w:rsidRPr="00513A0E">
              <w:rPr>
                <w:lang w:val="es-ES"/>
              </w:rPr>
              <w:br/>
              <w:t>GRUPO ASESOR DE RADIOCOMUNICACIONES</w:t>
            </w:r>
          </w:p>
        </w:tc>
      </w:tr>
    </w:tbl>
    <w:p w:rsidR="000C01DF" w:rsidRPr="001514E8" w:rsidRDefault="000C01DF" w:rsidP="005B2C16">
      <w:pPr>
        <w:pStyle w:val="Heading1"/>
        <w:rPr>
          <w:lang w:val="es-ES"/>
        </w:rPr>
      </w:pPr>
      <w:r w:rsidRPr="001514E8">
        <w:rPr>
          <w:lang w:val="es-ES"/>
        </w:rPr>
        <w:t>1</w:t>
      </w:r>
      <w:r w:rsidRPr="001514E8">
        <w:rPr>
          <w:lang w:val="es-ES"/>
        </w:rPr>
        <w:tab/>
      </w:r>
      <w:r w:rsidRPr="00CD755C">
        <w:rPr>
          <w:lang w:val="es-ES"/>
        </w:rPr>
        <w:t>Introducción</w:t>
      </w:r>
    </w:p>
    <w:p w:rsidR="000C01DF" w:rsidRDefault="000C01DF" w:rsidP="006812DF">
      <w:pPr>
        <w:rPr>
          <w:lang w:val="es-ES"/>
        </w:rPr>
      </w:pPr>
      <w:r w:rsidRPr="001514E8">
        <w:rPr>
          <w:lang w:val="es-ES"/>
        </w:rPr>
        <w:t>El Plan Operacional cua</w:t>
      </w:r>
      <w:r w:rsidR="006812DF">
        <w:rPr>
          <w:lang w:val="es-ES"/>
        </w:rPr>
        <w:t>d</w:t>
      </w:r>
      <w:r w:rsidRPr="001514E8">
        <w:rPr>
          <w:lang w:val="es-ES"/>
        </w:rPr>
        <w:t>rienal renovable del Sector de Radiocomunicaciones (UIT-R) se ha elaborado de conformidad con el Plan Estratégico de la UIT para 2020-2023, dentro de los límites fijados en el Plan Financiero para 2020-2023 y el presupuesto bienal para 2020-2021. La estructura se ajusta al marco de resultados de la UIT y refleja los objetivos del Sector, sus correspondientes resultados y los indicadores para la medición del progreso, así como los productos (artículos y servicios) resultantes de las actividades del Sector y de los facilitadores de la Oficina.</w:t>
      </w:r>
    </w:p>
    <w:p w:rsidR="00352192" w:rsidRPr="001514E8" w:rsidRDefault="00352192" w:rsidP="005B2C16">
      <w:pPr>
        <w:rPr>
          <w:lang w:val="es-ES"/>
        </w:rPr>
      </w:pPr>
    </w:p>
    <w:p w:rsidR="000C01DF" w:rsidRPr="001514E8" w:rsidRDefault="000C01DF" w:rsidP="006812DF">
      <w:pPr>
        <w:rPr>
          <w:lang w:val="es-ES"/>
        </w:rPr>
        <w:sectPr w:rsidR="000C01DF" w:rsidRPr="001514E8" w:rsidSect="000C01DF">
          <w:pgSz w:w="11907" w:h="16834" w:code="9"/>
          <w:pgMar w:top="1134" w:right="1134" w:bottom="993" w:left="1134" w:header="567" w:footer="397" w:gutter="0"/>
          <w:cols w:space="720"/>
          <w:titlePg/>
          <w:docGrid w:linePitch="326"/>
        </w:sectPr>
      </w:pPr>
    </w:p>
    <w:p w:rsidR="000C01DF" w:rsidRDefault="000C01DF" w:rsidP="00BD10C6">
      <w:pPr>
        <w:pStyle w:val="Figure"/>
        <w:rPr>
          <w:lang w:val="es-ES_tradnl"/>
        </w:rPr>
      </w:pPr>
      <w:r w:rsidRPr="00BD10C6">
        <w:rPr>
          <w:noProof/>
          <w:lang w:eastAsia="zh-CN"/>
        </w:rPr>
        <w:lastRenderedPageBreak/>
        <w:drawing>
          <wp:inline distT="0" distB="0" distL="0" distR="0" wp14:anchorId="5B49E803" wp14:editId="3D56AB7C">
            <wp:extent cx="1924050" cy="2115185"/>
            <wp:effectExtent l="0" t="0" r="0"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21">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r w:rsidRPr="001514E8">
        <w:rPr>
          <w:noProof/>
          <w:lang w:eastAsia="zh-CN"/>
        </w:rPr>
        <w:drawing>
          <wp:inline distT="0" distB="0" distL="0" distR="0" wp14:anchorId="40FD7935" wp14:editId="571FB2D4">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22">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rsidR="00CD755C" w:rsidRPr="00025B7E" w:rsidRDefault="00CD755C" w:rsidP="00CD755C">
      <w:pPr>
        <w:rPr>
          <w:lang w:val="es-ES_tradnl"/>
        </w:rPr>
      </w:pPr>
    </w:p>
    <w:p w:rsidR="000C01DF" w:rsidRPr="001514E8" w:rsidRDefault="000C01DF" w:rsidP="00513A0E">
      <w:pPr>
        <w:rPr>
          <w:lang w:val="es-ES"/>
        </w:rPr>
        <w:sectPr w:rsidR="000C01DF" w:rsidRPr="001514E8" w:rsidSect="000C01DF">
          <w:pgSz w:w="16834" w:h="11907" w:orient="landscape" w:code="9"/>
          <w:pgMar w:top="1134" w:right="1134" w:bottom="1134" w:left="993" w:header="567" w:footer="397" w:gutter="0"/>
          <w:cols w:space="720"/>
          <w:titlePg/>
          <w:docGrid w:linePitch="326"/>
        </w:sectPr>
      </w:pPr>
    </w:p>
    <w:p w:rsidR="000C01DF" w:rsidRPr="001514E8" w:rsidRDefault="000C01DF" w:rsidP="005B2C16">
      <w:pPr>
        <w:pStyle w:val="Heading1"/>
        <w:rPr>
          <w:lang w:val="es-ES"/>
        </w:rPr>
      </w:pPr>
      <w:r w:rsidRPr="001514E8">
        <w:rPr>
          <w:lang w:val="es-ES"/>
        </w:rPr>
        <w:lastRenderedPageBreak/>
        <w:t>2</w:t>
      </w:r>
      <w:r w:rsidRPr="001514E8">
        <w:rPr>
          <w:lang w:val="es-ES"/>
        </w:rPr>
        <w:tab/>
      </w:r>
      <w:r w:rsidRPr="00CD755C">
        <w:rPr>
          <w:lang w:val="es-ES"/>
        </w:rPr>
        <w:t>Prioridades</w:t>
      </w:r>
      <w:r w:rsidRPr="001514E8">
        <w:rPr>
          <w:lang w:val="es-ES"/>
        </w:rPr>
        <w:t xml:space="preserve"> fundamentales</w:t>
      </w:r>
    </w:p>
    <w:p w:rsidR="000C01DF" w:rsidRPr="00CD755C" w:rsidRDefault="000C01DF" w:rsidP="005B2C16">
      <w:pPr>
        <w:pStyle w:val="Headingb"/>
        <w:rPr>
          <w:lang w:val="es-ES"/>
        </w:rPr>
      </w:pPr>
      <w:r w:rsidRPr="001514E8">
        <w:rPr>
          <w:lang w:val="es-ES"/>
        </w:rPr>
        <w:t xml:space="preserve">El </w:t>
      </w:r>
      <w:r w:rsidRPr="00CD755C">
        <w:rPr>
          <w:lang w:val="es-ES"/>
        </w:rPr>
        <w:t>Sector UIT-R</w:t>
      </w:r>
    </w:p>
    <w:p w:rsidR="000C01DF" w:rsidRPr="001514E8" w:rsidRDefault="000C01DF" w:rsidP="005B2C16">
      <w:pPr>
        <w:pStyle w:val="Headingb"/>
        <w:rPr>
          <w:lang w:val="es-ES"/>
        </w:rPr>
      </w:pPr>
      <w:r w:rsidRPr="00CD755C">
        <w:rPr>
          <w:lang w:val="es-ES"/>
        </w:rPr>
        <w:t>Contex</w:t>
      </w:r>
      <w:r w:rsidRPr="001514E8">
        <w:rPr>
          <w:lang w:val="es-ES"/>
        </w:rPr>
        <w:t>to y prioridades fundamentales del Sector UIT-R</w:t>
      </w:r>
    </w:p>
    <w:p w:rsidR="000C01DF" w:rsidRPr="001514E8" w:rsidRDefault="000C01DF" w:rsidP="005B2C16">
      <w:pPr>
        <w:rPr>
          <w:iCs/>
          <w:lang w:val="es-ES"/>
        </w:rPr>
      </w:pPr>
      <w:r w:rsidRPr="001514E8">
        <w:rPr>
          <w:lang w:val="es-ES"/>
        </w:rPr>
        <w:t>El periodo 2020-2023 se distinguirá por la aplicación total de las decisiones de la AR-19 y la CMR-19, la preparación de la AR-23 y la CMR-23, así como la aplicación de sus decisiones, y la elaboración de normas esenciales y prácticas óptimas en materia de radiocomunicaciones. A continuación figuran las esferas prioritarias de las cuatro actividades operacionales del UIT-R y de los servicios de apoyo de la Oficina de Radiocomunicaciones.</w:t>
      </w:r>
    </w:p>
    <w:p w:rsidR="000C01DF" w:rsidRPr="001514E8" w:rsidRDefault="000C01DF" w:rsidP="005B2C16">
      <w:pPr>
        <w:pStyle w:val="Heading2"/>
        <w:rPr>
          <w:lang w:val="es-ES"/>
        </w:rPr>
      </w:pPr>
      <w:r w:rsidRPr="001514E8">
        <w:rPr>
          <w:lang w:val="es-ES"/>
        </w:rPr>
        <w:t>2.1</w:t>
      </w:r>
      <w:r w:rsidRPr="001514E8">
        <w:rPr>
          <w:lang w:val="es-ES"/>
        </w:rPr>
        <w:tab/>
      </w:r>
      <w:r w:rsidRPr="00CD755C">
        <w:rPr>
          <w:lang w:val="es-ES"/>
        </w:rPr>
        <w:t>Establecer</w:t>
      </w:r>
      <w:r w:rsidRPr="001514E8">
        <w:rPr>
          <w:lang w:val="es-ES"/>
        </w:rPr>
        <w:t xml:space="preserve"> y actualizar la reglamentación internacional sobre la utilización del espectro de radiofrecuencias y las órbitas de los satélites</w:t>
      </w:r>
    </w:p>
    <w:p w:rsidR="000C01DF" w:rsidRPr="00CD755C" w:rsidRDefault="000C01DF" w:rsidP="00CD755C">
      <w:pPr>
        <w:pStyle w:val="enumlev1"/>
      </w:pPr>
      <w:r w:rsidRPr="00CD755C">
        <w:t>•</w:t>
      </w:r>
      <w:r w:rsidRPr="00CD755C">
        <w:tab/>
        <w:t>Aplicar las decisiones de la CMR-19.</w:t>
      </w:r>
    </w:p>
    <w:p w:rsidR="000C01DF" w:rsidRPr="00CD755C" w:rsidRDefault="000C01DF" w:rsidP="00CD755C">
      <w:pPr>
        <w:pStyle w:val="enumlev1"/>
      </w:pPr>
      <w:r w:rsidRPr="00CD755C">
        <w:t>•</w:t>
      </w:r>
      <w:r w:rsidRPr="00CD755C">
        <w:tab/>
        <w:t>Adoptar las reglas de procedimiento conexas en el marco de la RRB.</w:t>
      </w:r>
    </w:p>
    <w:p w:rsidR="000C01DF" w:rsidRPr="001514E8" w:rsidRDefault="000C01DF" w:rsidP="005B2C16">
      <w:pPr>
        <w:pStyle w:val="Heading2"/>
        <w:rPr>
          <w:lang w:val="es-ES"/>
        </w:rPr>
      </w:pPr>
      <w:r w:rsidRPr="001514E8">
        <w:rPr>
          <w:lang w:val="es-ES"/>
        </w:rPr>
        <w:t>2.2</w:t>
      </w:r>
      <w:r w:rsidRPr="001514E8">
        <w:rPr>
          <w:lang w:val="es-ES"/>
        </w:rPr>
        <w:tab/>
      </w:r>
      <w:r w:rsidRPr="00CD755C">
        <w:rPr>
          <w:lang w:val="es-ES"/>
        </w:rPr>
        <w:t>Implementar</w:t>
      </w:r>
      <w:r w:rsidRPr="001514E8">
        <w:rPr>
          <w:lang w:val="es-ES"/>
        </w:rPr>
        <w:t xml:space="preserve"> y aplicar la reglamentación internacional sobre la utilización del espectro de radiofrecuencias y las órbitas de los satélites</w:t>
      </w:r>
    </w:p>
    <w:p w:rsidR="000C01DF" w:rsidRPr="004A4951" w:rsidRDefault="000C01DF" w:rsidP="00CD755C">
      <w:pPr>
        <w:pStyle w:val="enumlev1"/>
      </w:pPr>
      <w:r w:rsidRPr="004A4951">
        <w:t>•</w:t>
      </w:r>
      <w:r w:rsidRPr="004A4951">
        <w:tab/>
        <w:t xml:space="preserve">Desarrollar y facilitar a los miembros las herramientas informáticas relativas a la aplicación del Reglamento de Radiocomunicaciones y las Reglas de Procedimiento conexas. </w:t>
      </w:r>
    </w:p>
    <w:p w:rsidR="000C01DF" w:rsidRPr="004A4951" w:rsidRDefault="000C01DF" w:rsidP="00CD755C">
      <w:pPr>
        <w:pStyle w:val="enumlev1"/>
      </w:pPr>
      <w:r w:rsidRPr="004A4951">
        <w:t>•</w:t>
      </w:r>
      <w:r w:rsidRPr="004A4951">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0C01DF" w:rsidRPr="004A4951" w:rsidRDefault="000C01DF" w:rsidP="00CD755C">
      <w:pPr>
        <w:pStyle w:val="enumlev1"/>
      </w:pPr>
      <w:r w:rsidRPr="004A4951">
        <w:t>•</w:t>
      </w:r>
      <w:r w:rsidRPr="004A4951">
        <w:tab/>
        <w:t>Realizar un seguimiento de los casos de interferencia perjudicial y, en general, de las controversias dimanantes del uso compartido de recursos del espectro de radiofrecuencias y las órbitas de satélites, y proceder a su resolución.</w:t>
      </w:r>
    </w:p>
    <w:p w:rsidR="000C01DF" w:rsidRPr="004A4951" w:rsidRDefault="000C01DF" w:rsidP="00CD755C">
      <w:pPr>
        <w:pStyle w:val="enumlev1"/>
      </w:pPr>
      <w:r w:rsidRPr="004A4951">
        <w:t>•</w:t>
      </w:r>
      <w:r w:rsidRPr="004A4951">
        <w:tab/>
        <w:t>Las publicaciones asociadas (véanse la BR IFIC, las publicaciones relativas al servicio marítimo, el nomenclátor de las estaciones de comprobación técnica internacional de las emisiones, etc.).</w:t>
      </w:r>
    </w:p>
    <w:p w:rsidR="000C01DF" w:rsidRPr="001514E8" w:rsidRDefault="000C01DF" w:rsidP="005B2C16">
      <w:pPr>
        <w:pStyle w:val="Heading2"/>
        <w:rPr>
          <w:lang w:val="es-ES"/>
        </w:rPr>
      </w:pPr>
      <w:r w:rsidRPr="001514E8">
        <w:rPr>
          <w:lang w:val="es-ES"/>
        </w:rPr>
        <w:t>2.3</w:t>
      </w:r>
      <w:r w:rsidRPr="001514E8">
        <w:rPr>
          <w:lang w:val="es-ES"/>
        </w:rPr>
        <w:tab/>
      </w:r>
      <w:r w:rsidRPr="00CD755C">
        <w:rPr>
          <w:lang w:val="es-ES"/>
        </w:rPr>
        <w:t>Establecer</w:t>
      </w:r>
      <w:r w:rsidRPr="001514E8">
        <w:rPr>
          <w:lang w:val="es-ES"/>
        </w:rPr>
        <w:t xml:space="preserve"> y actualizar Recomendaciones, Informes y Manuales de ámbito mundial para lograr una utilización más eficaz del espectro de radiofrecuencias y de las órbitas de los satélites</w:t>
      </w:r>
    </w:p>
    <w:p w:rsidR="000C01DF" w:rsidRPr="004A4951" w:rsidRDefault="000C01DF" w:rsidP="00CD755C">
      <w:pPr>
        <w:pStyle w:val="enumlev1"/>
      </w:pPr>
      <w:r w:rsidRPr="004A4951">
        <w:t>•</w:t>
      </w:r>
      <w:r w:rsidRPr="004A4951">
        <w:tab/>
        <w:t>Preparar la AR-23 y la CMR-23 en el seno de las Comisiones de Estudio del UIT-R y, en estrecha colaboración con los Grupos Regionales, elaborar proyectos de textos técnicos, reglamentarios y de procedimiento en apoyo de la RPC23-2.</w:t>
      </w:r>
    </w:p>
    <w:p w:rsidR="000C01DF" w:rsidRPr="004A4951" w:rsidRDefault="000C01DF" w:rsidP="00CD755C">
      <w:pPr>
        <w:pStyle w:val="enumlev1"/>
      </w:pPr>
      <w:r w:rsidRPr="004A4951">
        <w:t>•</w:t>
      </w:r>
      <w:r w:rsidRPr="004A4951">
        <w:tab/>
        <w:t>Elaborar Recomendaciones, Informes y Manuales clave, en particular, sobre la interfaz radioeléctrica de las IMT 2020, en estrecha colaboración con el UIT-T, las organizaciones regionales y otros organismos de normalización.</w:t>
      </w:r>
    </w:p>
    <w:p w:rsidR="000C01DF" w:rsidRPr="001514E8" w:rsidRDefault="000C01DF" w:rsidP="005B2C16">
      <w:pPr>
        <w:pStyle w:val="Heading2"/>
        <w:rPr>
          <w:lang w:val="es-ES"/>
        </w:rPr>
      </w:pPr>
      <w:r w:rsidRPr="001514E8">
        <w:rPr>
          <w:lang w:val="es-ES"/>
        </w:rPr>
        <w:t>2.4</w:t>
      </w:r>
      <w:r w:rsidRPr="001514E8">
        <w:rPr>
          <w:lang w:val="es-ES"/>
        </w:rPr>
        <w:tab/>
      </w:r>
      <w:r w:rsidRPr="00CD755C">
        <w:rPr>
          <w:lang w:val="es-ES"/>
        </w:rPr>
        <w:t>Informar</w:t>
      </w:r>
      <w:r w:rsidRPr="001514E8">
        <w:rPr>
          <w:lang w:val="es-ES"/>
        </w:rPr>
        <w:t xml:space="preserve"> y ayudar a los Miembros del UIT-R en asuntos de radiocomunicaciones</w:t>
      </w:r>
    </w:p>
    <w:p w:rsidR="000C01DF" w:rsidRPr="004A4951" w:rsidRDefault="000C01DF" w:rsidP="00CD755C">
      <w:pPr>
        <w:pStyle w:val="enumlev1"/>
      </w:pPr>
      <w:r w:rsidRPr="004A4951">
        <w:t>•</w:t>
      </w:r>
      <w:r w:rsidRPr="004A4951">
        <w:tab/>
        <w:t>Publicar y promover productos del UIT-R, tales como el Reglamento de Radiocomunicaciones, las Recomendaciones, los Informes y los Manuales.</w:t>
      </w:r>
    </w:p>
    <w:p w:rsidR="000C01DF" w:rsidRPr="004A4951" w:rsidRDefault="000C01DF" w:rsidP="00CD755C">
      <w:pPr>
        <w:pStyle w:val="enumlev1"/>
      </w:pPr>
      <w:r w:rsidRPr="004A4951">
        <w:lastRenderedPageBreak/>
        <w:t>•</w:t>
      </w:r>
      <w:r w:rsidRPr="004A4951">
        <w:tab/>
        <w:t xml:space="preserve">En estrecha colaboración con los demás Sectores, las </w:t>
      </w:r>
      <w:r w:rsidR="00497F4D" w:rsidRPr="004A4951">
        <w:t xml:space="preserve">Oficinas Regionales </w:t>
      </w:r>
      <w:r w:rsidRPr="004A4951">
        <w:t>de la UIT, las organizaciones regionales pertinentes y los miembros:</w:t>
      </w:r>
    </w:p>
    <w:p w:rsidR="000C01DF" w:rsidRPr="00CD755C" w:rsidRDefault="000C01DF" w:rsidP="00CD755C">
      <w:pPr>
        <w:pStyle w:val="enumlev2"/>
      </w:pPr>
      <w:r w:rsidRPr="00CD755C">
        <w:t>–</w:t>
      </w:r>
      <w:r w:rsidRPr="00CD755C">
        <w:tab/>
        <w:t>divulgar e intercambiar información, por ejemplo, en seminarios, conferencias, talleres y otros eventos mundiales o regionales relacionados con las radiocomunicaciones; y</w:t>
      </w:r>
    </w:p>
    <w:p w:rsidR="000C01DF" w:rsidRPr="00CD755C" w:rsidRDefault="000C01DF" w:rsidP="00CD755C">
      <w:pPr>
        <w:pStyle w:val="enumlev2"/>
      </w:pPr>
      <w:r w:rsidRPr="00CD755C">
        <w:t>–</w:t>
      </w:r>
      <w:r w:rsidRPr="00CD755C">
        <w:tab/>
        <w:t>prestar asistencia a los miembros que experimenten dificultades en el desarrollo de sus servicios de radiocomunicaciones, en particular, con respecto a la transición a la radiodifusión de televisión digital y a la utilización del dividendo digital.</w:t>
      </w:r>
    </w:p>
    <w:p w:rsidR="000C01DF" w:rsidRPr="001514E8" w:rsidRDefault="000C01DF" w:rsidP="005B2C16">
      <w:pPr>
        <w:pStyle w:val="Heading2"/>
        <w:rPr>
          <w:lang w:val="es-ES"/>
        </w:rPr>
      </w:pPr>
      <w:r w:rsidRPr="001514E8">
        <w:rPr>
          <w:lang w:val="es-ES"/>
        </w:rPr>
        <w:t>2.5</w:t>
      </w:r>
      <w:r w:rsidRPr="001514E8">
        <w:rPr>
          <w:lang w:val="es-ES"/>
        </w:rPr>
        <w:tab/>
      </w:r>
      <w:r w:rsidRPr="00CD755C">
        <w:rPr>
          <w:lang w:val="es-ES"/>
        </w:rPr>
        <w:t>Respaldar</w:t>
      </w:r>
      <w:r w:rsidRPr="001514E8">
        <w:rPr>
          <w:lang w:val="es-ES"/>
        </w:rPr>
        <w:t xml:space="preserve"> las actividades de la Oficina de Radiocomunicaciones</w:t>
      </w:r>
    </w:p>
    <w:p w:rsidR="000C01DF" w:rsidRPr="00CD755C" w:rsidRDefault="000C01DF" w:rsidP="00CD755C">
      <w:pPr>
        <w:pStyle w:val="enumlev1"/>
      </w:pPr>
      <w:r w:rsidRPr="00CD755C">
        <w:t>•</w:t>
      </w:r>
      <w:r w:rsidRPr="00CD755C">
        <w:tab/>
        <w:t xml:space="preserve">Elaborar, mejorar y actualizar de forma constante las herramientas de </w:t>
      </w:r>
      <w:r w:rsidRPr="00025B7E">
        <w:rPr>
          <w:i/>
          <w:iCs/>
        </w:rPr>
        <w:t>software</w:t>
      </w:r>
      <w:r w:rsidRPr="00CD755C">
        <w:t xml:space="preserve"> de la BR, con objeto de mantener un alto nivel de eficacia, fiabilidad, facilidad de uso y satisfacción de los miembros.</w:t>
      </w:r>
    </w:p>
    <w:p w:rsidR="000C01DF" w:rsidRPr="00CD755C" w:rsidRDefault="000C01DF" w:rsidP="00CD755C">
      <w:pPr>
        <w:pStyle w:val="enumlev1"/>
      </w:pPr>
      <w:r w:rsidRPr="00CD755C">
        <w:t>•</w:t>
      </w:r>
      <w:r w:rsidRPr="00CD755C">
        <w:tab/>
        <w:t xml:space="preserve">Conceder apoyo logístico y administrativo a las Comisiones de Estudio del UIT-R y participar en las actividades conexas de los </w:t>
      </w:r>
      <w:r w:rsidR="00B84F48" w:rsidRPr="00CD755C">
        <w:t>Grupos Regionales</w:t>
      </w:r>
      <w:r w:rsidRPr="00CD755C">
        <w:t>.</w:t>
      </w:r>
    </w:p>
    <w:p w:rsidR="000C01DF" w:rsidRPr="00CD755C" w:rsidRDefault="000C01DF" w:rsidP="00CD755C">
      <w:pPr>
        <w:pStyle w:val="enumlev1"/>
      </w:pPr>
      <w:r w:rsidRPr="00CD755C">
        <w:t>•</w:t>
      </w:r>
      <w:r w:rsidRPr="00CD755C">
        <w:tab/>
        <w:t xml:space="preserve">Prestar asistencia a los miembros, en estrecha colaboración con las demás Oficinas, las </w:t>
      </w:r>
      <w:r w:rsidR="00497F4D" w:rsidRPr="00CD755C">
        <w:t xml:space="preserve">Oficinas Regionales </w:t>
      </w:r>
      <w:r w:rsidRPr="00CD755C">
        <w:t>de la UIT y las organizaciones regionales pertinentes.</w:t>
      </w:r>
    </w:p>
    <w:p w:rsidR="000C01DF" w:rsidRPr="004A4951" w:rsidRDefault="000C01DF" w:rsidP="00352192">
      <w:pPr>
        <w:rPr>
          <w:lang w:val="es-ES"/>
        </w:rPr>
      </w:pPr>
    </w:p>
    <w:p w:rsidR="000C01DF" w:rsidRPr="001514E8" w:rsidRDefault="000C01DF" w:rsidP="00CD755C">
      <w:pPr>
        <w:rPr>
          <w:lang w:val="es-ES"/>
        </w:rPr>
        <w:sectPr w:rsidR="000C01DF" w:rsidRPr="001514E8" w:rsidSect="000C01DF">
          <w:pgSz w:w="11907" w:h="16834" w:code="9"/>
          <w:pgMar w:top="1134" w:right="1134" w:bottom="993" w:left="1134" w:header="567" w:footer="397" w:gutter="0"/>
          <w:cols w:space="720"/>
          <w:titlePg/>
          <w:docGrid w:linePitch="326"/>
        </w:sectPr>
      </w:pPr>
    </w:p>
    <w:p w:rsidR="000C01DF" w:rsidRPr="00352192" w:rsidRDefault="000C01DF" w:rsidP="00352192">
      <w:pPr>
        <w:pStyle w:val="Heading1"/>
        <w:spacing w:before="240"/>
        <w:rPr>
          <w:lang w:val="es-ES"/>
        </w:rPr>
      </w:pPr>
      <w:r w:rsidRPr="00352192">
        <w:rPr>
          <w:lang w:val="es-ES"/>
        </w:rPr>
        <w:lastRenderedPageBreak/>
        <w:t>3</w:t>
      </w:r>
      <w:r w:rsidRPr="00352192">
        <w:rPr>
          <w:lang w:val="es-ES"/>
        </w:rPr>
        <w:tab/>
        <w:t>Objetivos, resultados y productos del UIT-R</w:t>
      </w:r>
    </w:p>
    <w:p w:rsidR="000C01DF" w:rsidRPr="00352192" w:rsidRDefault="000C01DF" w:rsidP="00352192">
      <w:pPr>
        <w:pStyle w:val="Heading2"/>
        <w:spacing w:before="120" w:after="120"/>
        <w:rPr>
          <w:lang w:val="es-ES"/>
        </w:rPr>
      </w:pPr>
      <w:r w:rsidRPr="00352192">
        <w:rPr>
          <w:lang w:val="es-ES"/>
        </w:rPr>
        <w:t>3.1</w:t>
      </w:r>
      <w:r w:rsidRPr="00352192">
        <w:rPr>
          <w:lang w:val="es-ES"/>
        </w:rPr>
        <w:tab/>
        <w:t>Atribución de recursos a los objetivos y productos del UIT-R en 2020-2021</w:t>
      </w: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0C01DF" w:rsidRPr="008930FD" w:rsidTr="00352192">
        <w:tc>
          <w:tcPr>
            <w:tcW w:w="7230" w:type="dxa"/>
            <w:vMerge w:val="restart"/>
          </w:tcPr>
          <w:p w:rsidR="000C01DF" w:rsidRPr="001514E8" w:rsidRDefault="007D1988" w:rsidP="007D1988">
            <w:pPr>
              <w:pStyle w:val="Figure"/>
              <w:rPr>
                <w:rFonts w:eastAsiaTheme="minorHAnsi"/>
                <w:lang w:val="es-ES" w:eastAsia="zh-CN"/>
              </w:rPr>
            </w:pPr>
            <w:r>
              <w:rPr>
                <w:noProof/>
                <w:lang w:eastAsia="zh-CN"/>
              </w:rPr>
              <w:drawing>
                <wp:inline distT="0" distB="0" distL="0" distR="0">
                  <wp:extent cx="4269600" cy="2415600"/>
                  <wp:effectExtent l="0" t="0" r="0" b="3810"/>
                  <wp:docPr id="3" name="Picture 3" descr="C:\Users\hernandf\AppData\Local\Microsoft\Windows\INetCache\Content.Word\453793_Objet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df\AppData\Local\Microsoft\Windows\INetCache\Content.Word\453793_Objetivo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9600" cy="2415600"/>
                          </a:xfrm>
                          <a:prstGeom prst="rect">
                            <a:avLst/>
                          </a:prstGeom>
                          <a:noFill/>
                          <a:ln>
                            <a:noFill/>
                          </a:ln>
                        </pic:spPr>
                      </pic:pic>
                    </a:graphicData>
                  </a:graphic>
                </wp:inline>
              </w:drawing>
            </w:r>
          </w:p>
        </w:tc>
        <w:tc>
          <w:tcPr>
            <w:tcW w:w="7272" w:type="dxa"/>
            <w:gridSpan w:val="3"/>
            <w:tcBorders>
              <w:bottom w:val="single" w:sz="4" w:space="0" w:color="auto"/>
            </w:tcBorders>
          </w:tcPr>
          <w:p w:rsidR="000C01DF" w:rsidRPr="001514E8" w:rsidRDefault="000C01DF" w:rsidP="00220CDA">
            <w:pPr>
              <w:pStyle w:val="Tablehead"/>
              <w:jc w:val="left"/>
              <w:rPr>
                <w:rFonts w:eastAsiaTheme="minorHAnsi" w:cstheme="minorBidi"/>
                <w:color w:val="4F81BD" w:themeColor="accent1"/>
                <w:lang w:val="es-ES" w:eastAsia="zh-CN"/>
              </w:rPr>
            </w:pPr>
            <w:r w:rsidRPr="00675B25">
              <w:rPr>
                <w:color w:val="4F81BD" w:themeColor="accent1"/>
                <w:lang w:val="es-ES" w:eastAsia="zh-CN"/>
              </w:rPr>
              <w:t>Atribución de recursos planificada por Producto</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rPr>
                <w:rFonts w:cs="Times New Roman Bold"/>
                <w:b/>
                <w:bCs/>
                <w:color w:val="0070C0"/>
                <w:sz w:val="18"/>
                <w:szCs w:val="18"/>
                <w:lang w:val="es-ES"/>
              </w:rPr>
            </w:pPr>
          </w:p>
        </w:tc>
        <w:tc>
          <w:tcPr>
            <w:tcW w:w="5386" w:type="dxa"/>
            <w:tcBorders>
              <w:top w:val="single" w:sz="4" w:space="0" w:color="auto"/>
              <w:bottom w:val="single" w:sz="4" w:space="0" w:color="auto"/>
            </w:tcBorders>
          </w:tcPr>
          <w:p w:rsidR="000C01DF" w:rsidRPr="001514E8" w:rsidRDefault="000C01DF" w:rsidP="001514E8">
            <w:pPr>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center"/>
              <w:rPr>
                <w:rFonts w:cs="Times New Roman Bold"/>
                <w:b/>
                <w:bCs/>
                <w:color w:val="0070C0"/>
                <w:sz w:val="18"/>
                <w:szCs w:val="18"/>
                <w:lang w:val="es-ES"/>
              </w:rPr>
            </w:pPr>
          </w:p>
        </w:tc>
        <w:tc>
          <w:tcPr>
            <w:tcW w:w="906" w:type="dxa"/>
            <w:tcBorders>
              <w:top w:val="single" w:sz="4" w:space="0" w:color="auto"/>
              <w:bottom w:val="single" w:sz="4" w:space="0" w:color="auto"/>
            </w:tcBorders>
          </w:tcPr>
          <w:p w:rsidR="000C01DF" w:rsidRPr="00675B25" w:rsidRDefault="000C01DF" w:rsidP="00675B25">
            <w:pPr>
              <w:pStyle w:val="Tablehead"/>
              <w:rPr>
                <w:color w:val="4F81BD" w:themeColor="accent1"/>
                <w:lang w:val="es-ES" w:eastAsia="zh-CN"/>
              </w:rPr>
            </w:pPr>
            <w:r w:rsidRPr="00675B25">
              <w:rPr>
                <w:color w:val="4F81BD" w:themeColor="accent1"/>
                <w:lang w:val="es-ES" w:eastAsia="zh-CN"/>
              </w:rPr>
              <w:t>% del total</w:t>
            </w:r>
          </w:p>
        </w:tc>
        <w:tc>
          <w:tcPr>
            <w:tcW w:w="980" w:type="dxa"/>
            <w:tcBorders>
              <w:top w:val="single" w:sz="4" w:space="0" w:color="auto"/>
              <w:bottom w:val="single" w:sz="4" w:space="0" w:color="auto"/>
            </w:tcBorders>
          </w:tcPr>
          <w:p w:rsidR="000C01DF" w:rsidRPr="00675B25" w:rsidRDefault="000C01DF" w:rsidP="00675B25">
            <w:pPr>
              <w:pStyle w:val="Tablehead"/>
              <w:rPr>
                <w:color w:val="4F81BD" w:themeColor="accent1"/>
                <w:lang w:val="es-ES" w:eastAsia="zh-CN"/>
              </w:rPr>
            </w:pPr>
            <w:r w:rsidRPr="00675B25">
              <w:rPr>
                <w:color w:val="4F81BD" w:themeColor="accent1"/>
                <w:lang w:val="es-ES" w:eastAsia="zh-CN"/>
              </w:rPr>
              <w:t>% del objetivo</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rPr>
                <w:sz w:val="16"/>
                <w:szCs w:val="16"/>
              </w:rPr>
            </w:pPr>
          </w:p>
        </w:tc>
        <w:tc>
          <w:tcPr>
            <w:tcW w:w="5386" w:type="dxa"/>
            <w:tcBorders>
              <w:top w:val="single" w:sz="4" w:space="0" w:color="auto"/>
            </w:tcBorders>
          </w:tcPr>
          <w:p w:rsidR="000C01DF" w:rsidRPr="001514E8" w:rsidRDefault="000C01DF" w:rsidP="001514E8">
            <w:pPr>
              <w:pStyle w:val="Tabletext"/>
            </w:pPr>
            <w:r w:rsidRPr="001514E8">
              <w:rPr>
                <w:b/>
                <w:bCs/>
                <w:color w:val="548DD4" w:themeColor="text2" w:themeTint="99"/>
              </w:rPr>
              <w:t>R.1-1</w:t>
            </w:r>
            <w:r w:rsidRPr="001514E8">
              <w:t>:</w:t>
            </w:r>
            <w:r w:rsidRPr="001514E8">
              <w:tab/>
              <w:t>Actas Finales de Conferencias Mundiales de Radiocomunicaciones, Reglamento de Radiocomunicaciones actualizado</w:t>
            </w:r>
          </w:p>
        </w:tc>
        <w:tc>
          <w:tcPr>
            <w:tcW w:w="906" w:type="dxa"/>
            <w:tcBorders>
              <w:top w:val="single" w:sz="4" w:space="0" w:color="auto"/>
            </w:tcBorders>
            <w:vAlign w:val="center"/>
          </w:tcPr>
          <w:p w:rsidR="000C01DF" w:rsidRPr="001514E8" w:rsidRDefault="000C01DF" w:rsidP="001514E8">
            <w:pPr>
              <w:pStyle w:val="Tabletext"/>
              <w:jc w:val="right"/>
            </w:pPr>
            <w:r w:rsidRPr="001514E8">
              <w:t>3%</w:t>
            </w:r>
          </w:p>
        </w:tc>
        <w:tc>
          <w:tcPr>
            <w:tcW w:w="980" w:type="dxa"/>
            <w:tcBorders>
              <w:top w:val="single" w:sz="4" w:space="0" w:color="auto"/>
            </w:tcBorders>
            <w:vAlign w:val="center"/>
          </w:tcPr>
          <w:p w:rsidR="000C01DF" w:rsidRPr="001514E8" w:rsidRDefault="000C01DF" w:rsidP="001514E8">
            <w:pPr>
              <w:pStyle w:val="Tabletext"/>
              <w:jc w:val="right"/>
            </w:pPr>
            <w:r w:rsidRPr="001514E8">
              <w:rPr>
                <w:b/>
                <w:bCs/>
              </w:rPr>
              <w:t>4%</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rPr>
                <w:sz w:val="16"/>
                <w:szCs w:val="16"/>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R.1-2</w:t>
            </w:r>
            <w:r w:rsidRPr="001514E8">
              <w:t>:</w:t>
            </w:r>
            <w:r w:rsidRPr="001514E8">
              <w:tab/>
              <w:t>Actas Finales de Conferencias Regionales de Radiocomunicaciones, Acuerdos Regionales</w:t>
            </w:r>
          </w:p>
        </w:tc>
        <w:tc>
          <w:tcPr>
            <w:tcW w:w="906" w:type="dxa"/>
            <w:vAlign w:val="center"/>
          </w:tcPr>
          <w:p w:rsidR="000C01DF" w:rsidRPr="001514E8" w:rsidRDefault="000C01DF" w:rsidP="001514E8">
            <w:pPr>
              <w:pStyle w:val="Tabletext"/>
              <w:jc w:val="right"/>
            </w:pPr>
            <w:r w:rsidRPr="001514E8">
              <w:t>1%</w:t>
            </w:r>
          </w:p>
        </w:tc>
        <w:tc>
          <w:tcPr>
            <w:tcW w:w="980" w:type="dxa"/>
            <w:vAlign w:val="center"/>
          </w:tcPr>
          <w:p w:rsidR="000C01DF" w:rsidRPr="001514E8" w:rsidRDefault="000C01DF" w:rsidP="001514E8">
            <w:pPr>
              <w:pStyle w:val="Tabletext"/>
              <w:jc w:val="right"/>
              <w:rPr>
                <w:b/>
                <w:bCs/>
              </w:rPr>
            </w:pPr>
            <w:r w:rsidRPr="001514E8">
              <w:rPr>
                <w:b/>
                <w:bCs/>
              </w:rPr>
              <w:t>2%</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rPr>
                <w:sz w:val="16"/>
                <w:szCs w:val="16"/>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R.1-3</w:t>
            </w:r>
            <w:r w:rsidRPr="001514E8">
              <w:t>:</w:t>
            </w:r>
            <w:r w:rsidRPr="001514E8">
              <w:tab/>
              <w:t>Reglas de Procedimiento adoptadas por la Junta del Reglamento de Radiocomunicaciones (RRB)</w:t>
            </w:r>
          </w:p>
        </w:tc>
        <w:tc>
          <w:tcPr>
            <w:tcW w:w="906" w:type="dxa"/>
            <w:vAlign w:val="center"/>
          </w:tcPr>
          <w:p w:rsidR="000C01DF" w:rsidRPr="001514E8" w:rsidRDefault="000C01DF" w:rsidP="001514E8">
            <w:pPr>
              <w:pStyle w:val="Tabletext"/>
              <w:jc w:val="right"/>
            </w:pPr>
            <w:r w:rsidRPr="001514E8">
              <w:t>4%</w:t>
            </w:r>
          </w:p>
        </w:tc>
        <w:tc>
          <w:tcPr>
            <w:tcW w:w="980" w:type="dxa"/>
            <w:vAlign w:val="center"/>
          </w:tcPr>
          <w:p w:rsidR="000C01DF" w:rsidRPr="001514E8" w:rsidRDefault="000C01DF" w:rsidP="001514E8">
            <w:pPr>
              <w:pStyle w:val="Tabletext"/>
              <w:jc w:val="right"/>
              <w:rPr>
                <w:b/>
                <w:bCs/>
              </w:rPr>
            </w:pPr>
            <w:r w:rsidRPr="001514E8">
              <w:rPr>
                <w:b/>
                <w:bCs/>
              </w:rPr>
              <w:t>7%</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rPr>
                <w:sz w:val="16"/>
                <w:szCs w:val="16"/>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R.1-4</w:t>
            </w:r>
            <w:r w:rsidRPr="001514E8">
              <w:t>:</w:t>
            </w:r>
            <w:r w:rsidRPr="001514E8">
              <w:tab/>
              <w:t>Publicación de notificaciones espaciales y otras actividades conexas</w:t>
            </w:r>
          </w:p>
        </w:tc>
        <w:tc>
          <w:tcPr>
            <w:tcW w:w="906" w:type="dxa"/>
            <w:vAlign w:val="center"/>
          </w:tcPr>
          <w:p w:rsidR="000C01DF" w:rsidRPr="001514E8" w:rsidRDefault="000C01DF" w:rsidP="001514E8">
            <w:pPr>
              <w:pStyle w:val="Tabletext"/>
              <w:jc w:val="right"/>
            </w:pPr>
            <w:r w:rsidRPr="001514E8">
              <w:t>35%</w:t>
            </w:r>
          </w:p>
        </w:tc>
        <w:tc>
          <w:tcPr>
            <w:tcW w:w="980" w:type="dxa"/>
            <w:vAlign w:val="center"/>
          </w:tcPr>
          <w:p w:rsidR="000C01DF" w:rsidRPr="001514E8" w:rsidRDefault="000C01DF" w:rsidP="001514E8">
            <w:pPr>
              <w:pStyle w:val="Tabletext"/>
              <w:jc w:val="right"/>
              <w:rPr>
                <w:b/>
                <w:bCs/>
              </w:rPr>
            </w:pPr>
            <w:r w:rsidRPr="001514E8">
              <w:rPr>
                <w:b/>
                <w:bCs/>
              </w:rPr>
              <w:t>59%</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rPr>
                <w:sz w:val="16"/>
                <w:szCs w:val="16"/>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R.1-5</w:t>
            </w:r>
            <w:r w:rsidRPr="001514E8">
              <w:t>:</w:t>
            </w:r>
            <w:r w:rsidRPr="001514E8">
              <w:tab/>
              <w:t>Publicación de notificaciones terrenales y otras actividades conexas</w:t>
            </w:r>
          </w:p>
        </w:tc>
        <w:tc>
          <w:tcPr>
            <w:tcW w:w="906" w:type="dxa"/>
            <w:vAlign w:val="center"/>
          </w:tcPr>
          <w:p w:rsidR="000C01DF" w:rsidRPr="001514E8" w:rsidRDefault="000C01DF" w:rsidP="001514E8">
            <w:pPr>
              <w:pStyle w:val="Tabletext"/>
              <w:jc w:val="right"/>
            </w:pPr>
            <w:r w:rsidRPr="001514E8">
              <w:t>17%</w:t>
            </w:r>
          </w:p>
        </w:tc>
        <w:tc>
          <w:tcPr>
            <w:tcW w:w="980" w:type="dxa"/>
            <w:vAlign w:val="center"/>
          </w:tcPr>
          <w:p w:rsidR="000C01DF" w:rsidRPr="001514E8" w:rsidRDefault="000C01DF" w:rsidP="001514E8">
            <w:pPr>
              <w:pStyle w:val="Tabletext"/>
              <w:jc w:val="right"/>
              <w:rPr>
                <w:b/>
                <w:bCs/>
              </w:rPr>
            </w:pPr>
            <w:r w:rsidRPr="001514E8">
              <w:rPr>
                <w:b/>
                <w:bCs/>
              </w:rPr>
              <w:t>28%</w:t>
            </w:r>
          </w:p>
        </w:tc>
      </w:tr>
      <w:tr w:rsidR="000C01DF" w:rsidRPr="001514E8" w:rsidTr="00352192">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0C01DF" w:rsidRPr="001514E8" w:rsidTr="00622D6F">
              <w:trPr>
                <w:jc w:val="center"/>
              </w:trPr>
              <w:tc>
                <w:tcPr>
                  <w:tcW w:w="6096" w:type="dxa"/>
                  <w:tcMar>
                    <w:left w:w="57" w:type="dxa"/>
                    <w:right w:w="57" w:type="dxa"/>
                  </w:tcMar>
                </w:tcPr>
                <w:p w:rsidR="000C01DF" w:rsidRPr="001514E8" w:rsidRDefault="000C01DF" w:rsidP="00352192">
                  <w:pPr>
                    <w:pStyle w:val="Tabletext"/>
                    <w:tabs>
                      <w:tab w:val="clear" w:pos="284"/>
                      <w:tab w:val="left" w:pos="402"/>
                    </w:tabs>
                  </w:pPr>
                  <w:r w:rsidRPr="001514E8">
                    <w:rPr>
                      <w:b/>
                      <w:bCs/>
                      <w:color w:val="4F81BD" w:themeColor="accent1"/>
                      <w:lang w:eastAsia="zh-CN"/>
                    </w:rPr>
                    <w:t>R.1</w:t>
                  </w:r>
                  <w:r w:rsidRPr="001514E8">
                    <w:rPr>
                      <w:color w:val="4F81BD" w:themeColor="accent1"/>
                      <w:lang w:eastAsia="zh-CN"/>
                    </w:rPr>
                    <w:tab/>
                  </w:r>
                  <w:r w:rsidRPr="001514E8">
                    <w:t>Regulación y gestión del espectro/órbita</w:t>
                  </w:r>
                </w:p>
              </w:tc>
              <w:tc>
                <w:tcPr>
                  <w:tcW w:w="992" w:type="dxa"/>
                  <w:tcMar>
                    <w:left w:w="57" w:type="dxa"/>
                    <w:right w:w="57" w:type="dxa"/>
                  </w:tcMar>
                </w:tcPr>
                <w:p w:rsidR="000C01DF" w:rsidRPr="001514E8" w:rsidRDefault="000C01DF" w:rsidP="001514E8">
                  <w:pPr>
                    <w:pStyle w:val="Tabletext"/>
                    <w:rPr>
                      <w:b/>
                      <w:bCs/>
                    </w:rPr>
                  </w:pPr>
                  <w:r w:rsidRPr="001514E8">
                    <w:rPr>
                      <w:b/>
                      <w:bCs/>
                    </w:rPr>
                    <w:t>60%</w:t>
                  </w:r>
                </w:p>
              </w:tc>
            </w:tr>
            <w:tr w:rsidR="000C01DF" w:rsidRPr="001514E8" w:rsidTr="00622D6F">
              <w:trPr>
                <w:jc w:val="center"/>
              </w:trPr>
              <w:tc>
                <w:tcPr>
                  <w:tcW w:w="6096" w:type="dxa"/>
                  <w:tcMar>
                    <w:left w:w="57" w:type="dxa"/>
                    <w:right w:w="57" w:type="dxa"/>
                  </w:tcMar>
                </w:tcPr>
                <w:p w:rsidR="000C01DF" w:rsidRPr="001514E8" w:rsidRDefault="000C01DF" w:rsidP="00352192">
                  <w:pPr>
                    <w:pStyle w:val="Tabletext"/>
                    <w:tabs>
                      <w:tab w:val="clear" w:pos="284"/>
                      <w:tab w:val="left" w:pos="402"/>
                    </w:tabs>
                    <w:rPr>
                      <w:b/>
                      <w:bCs/>
                      <w:color w:val="548DD4" w:themeColor="text2" w:themeTint="99"/>
                    </w:rPr>
                  </w:pPr>
                  <w:r w:rsidRPr="001514E8">
                    <w:rPr>
                      <w:b/>
                      <w:bCs/>
                      <w:color w:val="548DD4" w:themeColor="text2" w:themeTint="99"/>
                    </w:rPr>
                    <w:t>R.2</w:t>
                  </w:r>
                  <w:r w:rsidRPr="001514E8">
                    <w:tab/>
                    <w:t>Normas en materia de radiocomunicaciones</w:t>
                  </w:r>
                </w:p>
              </w:tc>
              <w:tc>
                <w:tcPr>
                  <w:tcW w:w="992" w:type="dxa"/>
                  <w:tcMar>
                    <w:left w:w="57" w:type="dxa"/>
                    <w:right w:w="57" w:type="dxa"/>
                  </w:tcMar>
                </w:tcPr>
                <w:p w:rsidR="000C01DF" w:rsidRPr="001514E8" w:rsidRDefault="000C01DF" w:rsidP="001514E8">
                  <w:pPr>
                    <w:pStyle w:val="Tabletext"/>
                    <w:rPr>
                      <w:b/>
                      <w:bCs/>
                    </w:rPr>
                  </w:pPr>
                  <w:r w:rsidRPr="001514E8">
                    <w:rPr>
                      <w:b/>
                      <w:bCs/>
                    </w:rPr>
                    <w:t>13%</w:t>
                  </w:r>
                </w:p>
              </w:tc>
            </w:tr>
            <w:tr w:rsidR="000C01DF" w:rsidRPr="001514E8" w:rsidTr="00622D6F">
              <w:trPr>
                <w:jc w:val="center"/>
              </w:trPr>
              <w:tc>
                <w:tcPr>
                  <w:tcW w:w="6096" w:type="dxa"/>
                  <w:tcMar>
                    <w:left w:w="57" w:type="dxa"/>
                    <w:right w:w="57" w:type="dxa"/>
                  </w:tcMar>
                </w:tcPr>
                <w:p w:rsidR="000C01DF" w:rsidRPr="001514E8" w:rsidRDefault="000C01DF" w:rsidP="00352192">
                  <w:pPr>
                    <w:pStyle w:val="Tabletext"/>
                    <w:tabs>
                      <w:tab w:val="clear" w:pos="284"/>
                      <w:tab w:val="left" w:pos="402"/>
                    </w:tabs>
                    <w:rPr>
                      <w:b/>
                      <w:bCs/>
                      <w:color w:val="548DD4" w:themeColor="text2" w:themeTint="99"/>
                    </w:rPr>
                  </w:pPr>
                  <w:r w:rsidRPr="001514E8">
                    <w:rPr>
                      <w:b/>
                      <w:bCs/>
                      <w:color w:val="548DD4" w:themeColor="text2" w:themeTint="99"/>
                    </w:rPr>
                    <w:t>R.3</w:t>
                  </w:r>
                  <w:r w:rsidRPr="001514E8">
                    <w:tab/>
                    <w:t>Compartición de conocimientos</w:t>
                  </w:r>
                </w:p>
              </w:tc>
              <w:tc>
                <w:tcPr>
                  <w:tcW w:w="992" w:type="dxa"/>
                  <w:tcMar>
                    <w:left w:w="57" w:type="dxa"/>
                    <w:right w:w="57" w:type="dxa"/>
                  </w:tcMar>
                </w:tcPr>
                <w:p w:rsidR="000C01DF" w:rsidRPr="001514E8" w:rsidRDefault="000C01DF" w:rsidP="001514E8">
                  <w:pPr>
                    <w:pStyle w:val="Tabletext"/>
                    <w:rPr>
                      <w:b/>
                      <w:bCs/>
                    </w:rPr>
                  </w:pPr>
                  <w:r w:rsidRPr="001514E8">
                    <w:rPr>
                      <w:b/>
                      <w:bCs/>
                    </w:rPr>
                    <w:t>27%</w:t>
                  </w:r>
                </w:p>
              </w:tc>
            </w:tr>
          </w:tbl>
          <w:p w:rsidR="000C01DF" w:rsidRPr="001514E8" w:rsidRDefault="000C01DF" w:rsidP="001514E8">
            <w:pPr>
              <w:tabs>
                <w:tab w:val="clear" w:pos="794"/>
                <w:tab w:val="clear" w:pos="1191"/>
                <w:tab w:val="clear" w:pos="1588"/>
                <w:tab w:val="clear" w:pos="1985"/>
              </w:tabs>
              <w:spacing w:before="60" w:after="60" w:line="240" w:lineRule="auto"/>
              <w:ind w:right="340"/>
              <w:rPr>
                <w:b/>
                <w:bCs/>
                <w:sz w:val="18"/>
                <w:szCs w:val="18"/>
              </w:rPr>
            </w:pPr>
          </w:p>
        </w:tc>
        <w:tc>
          <w:tcPr>
            <w:tcW w:w="5386" w:type="dxa"/>
            <w:tcBorders>
              <w:top w:val="single" w:sz="4" w:space="0" w:color="auto"/>
            </w:tcBorders>
          </w:tcPr>
          <w:p w:rsidR="000C01DF" w:rsidRPr="001514E8" w:rsidRDefault="000C01DF" w:rsidP="001514E8">
            <w:pPr>
              <w:pStyle w:val="Tabletext"/>
            </w:pPr>
            <w:r w:rsidRPr="001514E8">
              <w:rPr>
                <w:b/>
                <w:bCs/>
                <w:color w:val="548DD4" w:themeColor="text2" w:themeTint="99"/>
              </w:rPr>
              <w:t>R.2-1</w:t>
            </w:r>
            <w:r w:rsidRPr="001514E8">
              <w:t>:</w:t>
            </w:r>
            <w:r w:rsidRPr="001514E8">
              <w:tab/>
              <w:t>Decisiones de la Asamblea de Radiocomunicaciones, Resoluciones del UIT-R</w:t>
            </w:r>
          </w:p>
        </w:tc>
        <w:tc>
          <w:tcPr>
            <w:tcW w:w="906" w:type="dxa"/>
            <w:tcBorders>
              <w:top w:val="single" w:sz="4" w:space="0" w:color="auto"/>
            </w:tcBorders>
            <w:vAlign w:val="center"/>
          </w:tcPr>
          <w:p w:rsidR="000C01DF" w:rsidRPr="001514E8" w:rsidRDefault="000C01DF" w:rsidP="001514E8">
            <w:pPr>
              <w:pStyle w:val="Tabletext"/>
              <w:jc w:val="right"/>
            </w:pPr>
            <w:r w:rsidRPr="001514E8">
              <w:t>1%</w:t>
            </w:r>
          </w:p>
        </w:tc>
        <w:tc>
          <w:tcPr>
            <w:tcW w:w="980" w:type="dxa"/>
            <w:tcBorders>
              <w:top w:val="single" w:sz="4" w:space="0" w:color="auto"/>
            </w:tcBorders>
            <w:vAlign w:val="center"/>
          </w:tcPr>
          <w:p w:rsidR="000C01DF" w:rsidRPr="001514E8" w:rsidRDefault="000C01DF" w:rsidP="001514E8">
            <w:pPr>
              <w:pStyle w:val="Tabletext"/>
              <w:jc w:val="right"/>
              <w:rPr>
                <w:b/>
                <w:bCs/>
              </w:rPr>
            </w:pPr>
            <w:r w:rsidRPr="001514E8">
              <w:rPr>
                <w:b/>
                <w:bCs/>
              </w:rPr>
              <w:t>9%</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ind w:right="340"/>
              <w:jc w:val="right"/>
              <w:rPr>
                <w:b/>
                <w:bCs/>
                <w:sz w:val="18"/>
                <w:szCs w:val="18"/>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R.2-2</w:t>
            </w:r>
            <w:r w:rsidRPr="001514E8">
              <w:t>:</w:t>
            </w:r>
            <w:r w:rsidRPr="001514E8">
              <w:tab/>
              <w:t>Recomendaciones, Informes (incluido el Informe de la RPC) y Manuales del UIT-R</w:t>
            </w:r>
          </w:p>
        </w:tc>
        <w:tc>
          <w:tcPr>
            <w:tcW w:w="906" w:type="dxa"/>
            <w:vAlign w:val="center"/>
          </w:tcPr>
          <w:p w:rsidR="000C01DF" w:rsidRPr="001514E8" w:rsidRDefault="000C01DF" w:rsidP="001514E8">
            <w:pPr>
              <w:pStyle w:val="Tabletext"/>
              <w:jc w:val="right"/>
            </w:pPr>
            <w:r w:rsidRPr="001514E8">
              <w:t>10%</w:t>
            </w:r>
          </w:p>
        </w:tc>
        <w:tc>
          <w:tcPr>
            <w:tcW w:w="980" w:type="dxa"/>
            <w:vAlign w:val="center"/>
          </w:tcPr>
          <w:p w:rsidR="000C01DF" w:rsidRPr="001514E8" w:rsidRDefault="000C01DF" w:rsidP="001514E8">
            <w:pPr>
              <w:pStyle w:val="Tabletext"/>
              <w:jc w:val="right"/>
              <w:rPr>
                <w:b/>
                <w:bCs/>
              </w:rPr>
            </w:pPr>
            <w:r w:rsidRPr="001514E8">
              <w:rPr>
                <w:b/>
                <w:bCs/>
              </w:rPr>
              <w:t>73%</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ind w:right="340"/>
              <w:jc w:val="right"/>
              <w:rPr>
                <w:b/>
                <w:bCs/>
                <w:sz w:val="18"/>
                <w:szCs w:val="18"/>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R.2-3</w:t>
            </w:r>
            <w:r w:rsidRPr="001514E8">
              <w:t>:</w:t>
            </w:r>
            <w:r w:rsidRPr="001514E8">
              <w:tab/>
              <w:t>Asesoramiento del Grupo Asesor de Radiocomunicaciones</w:t>
            </w:r>
          </w:p>
        </w:tc>
        <w:tc>
          <w:tcPr>
            <w:tcW w:w="906" w:type="dxa"/>
            <w:vAlign w:val="center"/>
          </w:tcPr>
          <w:p w:rsidR="000C01DF" w:rsidRPr="001514E8" w:rsidRDefault="000C01DF" w:rsidP="001514E8">
            <w:pPr>
              <w:pStyle w:val="Tabletext"/>
              <w:jc w:val="right"/>
            </w:pPr>
            <w:r w:rsidRPr="001514E8">
              <w:t>2%</w:t>
            </w:r>
          </w:p>
        </w:tc>
        <w:tc>
          <w:tcPr>
            <w:tcW w:w="980" w:type="dxa"/>
            <w:vAlign w:val="center"/>
          </w:tcPr>
          <w:p w:rsidR="000C01DF" w:rsidRPr="001514E8" w:rsidRDefault="000C01DF" w:rsidP="001514E8">
            <w:pPr>
              <w:pStyle w:val="Tabletext"/>
              <w:jc w:val="right"/>
              <w:rPr>
                <w:b/>
                <w:bCs/>
              </w:rPr>
            </w:pPr>
            <w:r w:rsidRPr="001514E8">
              <w:rPr>
                <w:b/>
                <w:bCs/>
              </w:rPr>
              <w:t>18%</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ind w:right="340"/>
              <w:jc w:val="right"/>
              <w:rPr>
                <w:b/>
                <w:bCs/>
                <w:sz w:val="18"/>
                <w:szCs w:val="18"/>
              </w:rPr>
            </w:pPr>
          </w:p>
        </w:tc>
        <w:tc>
          <w:tcPr>
            <w:tcW w:w="5386" w:type="dxa"/>
            <w:tcBorders>
              <w:top w:val="single" w:sz="4" w:space="0" w:color="auto"/>
            </w:tcBorders>
          </w:tcPr>
          <w:p w:rsidR="000C01DF" w:rsidRPr="001514E8" w:rsidRDefault="000C01DF" w:rsidP="001514E8">
            <w:pPr>
              <w:pStyle w:val="Tabletext"/>
            </w:pPr>
            <w:r w:rsidRPr="001514E8">
              <w:rPr>
                <w:b/>
                <w:bCs/>
                <w:color w:val="548DD4" w:themeColor="text2" w:themeTint="99"/>
              </w:rPr>
              <w:t>R.3-1</w:t>
            </w:r>
            <w:r w:rsidRPr="001514E8">
              <w:t>:</w:t>
            </w:r>
            <w:r w:rsidRPr="001514E8">
              <w:tab/>
              <w:t>Publicaciones del UIT-R</w:t>
            </w:r>
          </w:p>
        </w:tc>
        <w:tc>
          <w:tcPr>
            <w:tcW w:w="906" w:type="dxa"/>
            <w:tcBorders>
              <w:top w:val="single" w:sz="4" w:space="0" w:color="auto"/>
            </w:tcBorders>
            <w:vAlign w:val="center"/>
          </w:tcPr>
          <w:p w:rsidR="000C01DF" w:rsidRPr="001514E8" w:rsidRDefault="000C01DF" w:rsidP="001514E8">
            <w:pPr>
              <w:pStyle w:val="Tabletext"/>
              <w:jc w:val="right"/>
            </w:pPr>
            <w:r w:rsidRPr="001514E8">
              <w:t>11%</w:t>
            </w:r>
          </w:p>
        </w:tc>
        <w:tc>
          <w:tcPr>
            <w:tcW w:w="980" w:type="dxa"/>
            <w:tcBorders>
              <w:top w:val="single" w:sz="4" w:space="0" w:color="auto"/>
            </w:tcBorders>
            <w:vAlign w:val="center"/>
          </w:tcPr>
          <w:p w:rsidR="000C01DF" w:rsidRPr="001514E8" w:rsidRDefault="000C01DF" w:rsidP="001514E8">
            <w:pPr>
              <w:pStyle w:val="Tabletext"/>
              <w:jc w:val="right"/>
              <w:rPr>
                <w:b/>
                <w:bCs/>
              </w:rPr>
            </w:pPr>
            <w:r w:rsidRPr="001514E8">
              <w:rPr>
                <w:b/>
                <w:bCs/>
              </w:rPr>
              <w:t>39%</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ind w:right="340"/>
              <w:jc w:val="right"/>
              <w:rPr>
                <w:b/>
                <w:bCs/>
                <w:sz w:val="18"/>
                <w:szCs w:val="18"/>
              </w:rPr>
            </w:pPr>
          </w:p>
        </w:tc>
        <w:tc>
          <w:tcPr>
            <w:tcW w:w="5386" w:type="dxa"/>
          </w:tcPr>
          <w:p w:rsidR="000C01DF" w:rsidRPr="001514E8" w:rsidRDefault="000C01DF" w:rsidP="001514E8">
            <w:pPr>
              <w:pStyle w:val="Tabletext"/>
              <w:rPr>
                <w:b/>
                <w:bCs/>
                <w:color w:val="548DD4" w:themeColor="text2" w:themeTint="99"/>
              </w:rPr>
            </w:pPr>
            <w:r w:rsidRPr="001514E8">
              <w:rPr>
                <w:b/>
                <w:bCs/>
                <w:color w:val="548DD4" w:themeColor="text2" w:themeTint="99"/>
              </w:rPr>
              <w:t>R.3-2</w:t>
            </w:r>
            <w:r w:rsidRPr="001514E8">
              <w:t>:</w:t>
            </w:r>
            <w:r w:rsidRPr="001514E8">
              <w:tab/>
              <w:t xml:space="preserve">Asistencia a los </w:t>
            </w:r>
            <w:r w:rsidR="00A31BB6" w:rsidRPr="001514E8">
              <w:t>Miembros</w:t>
            </w:r>
            <w:r w:rsidRPr="001514E8">
              <w:t>, en particular países en desarrollo y PMA</w:t>
            </w:r>
          </w:p>
        </w:tc>
        <w:tc>
          <w:tcPr>
            <w:tcW w:w="906" w:type="dxa"/>
            <w:vAlign w:val="center"/>
          </w:tcPr>
          <w:p w:rsidR="000C01DF" w:rsidRPr="001514E8" w:rsidRDefault="000C01DF" w:rsidP="001514E8">
            <w:pPr>
              <w:pStyle w:val="Tabletext"/>
              <w:jc w:val="right"/>
            </w:pPr>
            <w:r w:rsidRPr="001514E8">
              <w:t>7%</w:t>
            </w:r>
          </w:p>
        </w:tc>
        <w:tc>
          <w:tcPr>
            <w:tcW w:w="980" w:type="dxa"/>
            <w:vAlign w:val="center"/>
          </w:tcPr>
          <w:p w:rsidR="000C01DF" w:rsidRPr="001514E8" w:rsidRDefault="000C01DF" w:rsidP="001514E8">
            <w:pPr>
              <w:pStyle w:val="Tabletext"/>
              <w:jc w:val="right"/>
              <w:rPr>
                <w:b/>
                <w:bCs/>
              </w:rPr>
            </w:pPr>
            <w:r w:rsidRPr="001514E8">
              <w:rPr>
                <w:b/>
                <w:bCs/>
              </w:rPr>
              <w:t>26%</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ind w:right="340"/>
              <w:jc w:val="right"/>
              <w:rPr>
                <w:b/>
                <w:bCs/>
                <w:sz w:val="18"/>
                <w:szCs w:val="18"/>
              </w:rPr>
            </w:pPr>
          </w:p>
        </w:tc>
        <w:tc>
          <w:tcPr>
            <w:tcW w:w="5386" w:type="dxa"/>
            <w:tcBorders>
              <w:bottom w:val="nil"/>
            </w:tcBorders>
          </w:tcPr>
          <w:p w:rsidR="000C01DF" w:rsidRPr="001514E8" w:rsidRDefault="000C01DF" w:rsidP="001514E8">
            <w:pPr>
              <w:pStyle w:val="Tabletext"/>
              <w:rPr>
                <w:b/>
                <w:bCs/>
                <w:color w:val="548DD4" w:themeColor="text2" w:themeTint="99"/>
              </w:rPr>
            </w:pPr>
            <w:r w:rsidRPr="001514E8">
              <w:rPr>
                <w:b/>
                <w:bCs/>
                <w:color w:val="548DD4" w:themeColor="text2" w:themeTint="99"/>
              </w:rPr>
              <w:t>R.3-3</w:t>
            </w:r>
            <w:r w:rsidRPr="001514E8">
              <w:t>:</w:t>
            </w:r>
            <w:r w:rsidRPr="001514E8">
              <w:tab/>
              <w:t>Coordinación/apoyo a actividades de desarrollo</w:t>
            </w:r>
          </w:p>
        </w:tc>
        <w:tc>
          <w:tcPr>
            <w:tcW w:w="906" w:type="dxa"/>
            <w:tcBorders>
              <w:bottom w:val="nil"/>
            </w:tcBorders>
            <w:vAlign w:val="center"/>
          </w:tcPr>
          <w:p w:rsidR="000C01DF" w:rsidRPr="001514E8" w:rsidRDefault="000C01DF" w:rsidP="001514E8">
            <w:pPr>
              <w:pStyle w:val="Tabletext"/>
              <w:jc w:val="right"/>
            </w:pPr>
            <w:r w:rsidRPr="001514E8">
              <w:t>2%</w:t>
            </w:r>
          </w:p>
        </w:tc>
        <w:tc>
          <w:tcPr>
            <w:tcW w:w="980" w:type="dxa"/>
            <w:tcBorders>
              <w:bottom w:val="nil"/>
            </w:tcBorders>
            <w:vAlign w:val="center"/>
          </w:tcPr>
          <w:p w:rsidR="000C01DF" w:rsidRPr="001514E8" w:rsidRDefault="000C01DF" w:rsidP="001514E8">
            <w:pPr>
              <w:pStyle w:val="Tabletext"/>
              <w:jc w:val="right"/>
              <w:rPr>
                <w:b/>
                <w:bCs/>
              </w:rPr>
            </w:pPr>
            <w:r w:rsidRPr="001514E8">
              <w:rPr>
                <w:b/>
                <w:bCs/>
              </w:rPr>
              <w:t>9%</w:t>
            </w:r>
          </w:p>
        </w:tc>
      </w:tr>
      <w:tr w:rsidR="000C01DF" w:rsidRPr="001514E8" w:rsidTr="00352192">
        <w:tc>
          <w:tcPr>
            <w:tcW w:w="7230" w:type="dxa"/>
            <w:vMerge/>
          </w:tcPr>
          <w:p w:rsidR="000C01DF" w:rsidRPr="001514E8" w:rsidRDefault="000C01DF" w:rsidP="001514E8">
            <w:pPr>
              <w:tabs>
                <w:tab w:val="clear" w:pos="794"/>
                <w:tab w:val="clear" w:pos="1191"/>
                <w:tab w:val="clear" w:pos="1588"/>
                <w:tab w:val="clear" w:pos="1985"/>
              </w:tabs>
              <w:spacing w:before="0" w:line="240" w:lineRule="auto"/>
              <w:ind w:right="340"/>
              <w:jc w:val="right"/>
              <w:rPr>
                <w:b/>
                <w:bCs/>
                <w:sz w:val="18"/>
                <w:szCs w:val="18"/>
              </w:rPr>
            </w:pPr>
          </w:p>
        </w:tc>
        <w:tc>
          <w:tcPr>
            <w:tcW w:w="5386" w:type="dxa"/>
            <w:tcBorders>
              <w:bottom w:val="single" w:sz="4" w:space="0" w:color="auto"/>
            </w:tcBorders>
          </w:tcPr>
          <w:p w:rsidR="000C01DF" w:rsidRPr="001514E8" w:rsidRDefault="000C01DF" w:rsidP="001514E8">
            <w:pPr>
              <w:pStyle w:val="Tabletext"/>
              <w:rPr>
                <w:b/>
                <w:bCs/>
                <w:color w:val="548DD4" w:themeColor="text2" w:themeTint="99"/>
              </w:rPr>
            </w:pPr>
            <w:r w:rsidRPr="001514E8">
              <w:rPr>
                <w:b/>
                <w:bCs/>
                <w:color w:val="548DD4" w:themeColor="text2" w:themeTint="99"/>
              </w:rPr>
              <w:t>R.3-4</w:t>
            </w:r>
            <w:r w:rsidRPr="001514E8">
              <w:t>:</w:t>
            </w:r>
            <w:r w:rsidRPr="001514E8">
              <w:tab/>
              <w:t>Seminarios, talleres y otros eventos</w:t>
            </w:r>
          </w:p>
        </w:tc>
        <w:tc>
          <w:tcPr>
            <w:tcW w:w="906" w:type="dxa"/>
            <w:tcBorders>
              <w:bottom w:val="single" w:sz="4" w:space="0" w:color="auto"/>
            </w:tcBorders>
            <w:vAlign w:val="center"/>
          </w:tcPr>
          <w:p w:rsidR="000C01DF" w:rsidRPr="001514E8" w:rsidRDefault="000C01DF" w:rsidP="001514E8">
            <w:pPr>
              <w:pStyle w:val="Tabletext"/>
              <w:jc w:val="right"/>
            </w:pPr>
            <w:r w:rsidRPr="001514E8">
              <w:t>7%</w:t>
            </w:r>
          </w:p>
        </w:tc>
        <w:tc>
          <w:tcPr>
            <w:tcW w:w="980" w:type="dxa"/>
            <w:tcBorders>
              <w:bottom w:val="single" w:sz="4" w:space="0" w:color="auto"/>
            </w:tcBorders>
            <w:vAlign w:val="center"/>
          </w:tcPr>
          <w:p w:rsidR="000C01DF" w:rsidRPr="001514E8" w:rsidRDefault="000C01DF" w:rsidP="001514E8">
            <w:pPr>
              <w:pStyle w:val="Tabletext"/>
              <w:jc w:val="right"/>
              <w:rPr>
                <w:b/>
                <w:bCs/>
              </w:rPr>
            </w:pPr>
            <w:r w:rsidRPr="001514E8">
              <w:rPr>
                <w:b/>
                <w:bCs/>
              </w:rPr>
              <w:t>26%</w:t>
            </w:r>
          </w:p>
        </w:tc>
      </w:tr>
      <w:tr w:rsidR="000C01DF" w:rsidRPr="008930FD" w:rsidTr="00352192">
        <w:tc>
          <w:tcPr>
            <w:tcW w:w="7230" w:type="dxa"/>
            <w:vMerge/>
          </w:tcPr>
          <w:p w:rsidR="000C01DF" w:rsidRPr="001514E8" w:rsidRDefault="000C01DF" w:rsidP="001514E8">
            <w:pPr>
              <w:tabs>
                <w:tab w:val="clear" w:pos="794"/>
                <w:tab w:val="clear" w:pos="1191"/>
                <w:tab w:val="clear" w:pos="1588"/>
                <w:tab w:val="clear" w:pos="1985"/>
              </w:tabs>
              <w:spacing w:before="60" w:after="60" w:line="240" w:lineRule="auto"/>
              <w:ind w:right="340"/>
              <w:jc w:val="right"/>
              <w:rPr>
                <w:b/>
                <w:bCs/>
                <w:sz w:val="18"/>
                <w:szCs w:val="18"/>
              </w:rPr>
            </w:pPr>
          </w:p>
        </w:tc>
        <w:tc>
          <w:tcPr>
            <w:tcW w:w="7272" w:type="dxa"/>
            <w:gridSpan w:val="3"/>
            <w:tcBorders>
              <w:top w:val="single" w:sz="4" w:space="0" w:color="auto"/>
            </w:tcBorders>
          </w:tcPr>
          <w:p w:rsidR="000C01DF" w:rsidRPr="001514E8" w:rsidRDefault="000C01DF" w:rsidP="001514E8">
            <w:pPr>
              <w:pStyle w:val="Tablelegend"/>
              <w:spacing w:before="0" w:line="240" w:lineRule="auto"/>
              <w:rPr>
                <w:b/>
                <w:bCs/>
                <w:lang w:val="es-ES"/>
              </w:rPr>
            </w:pPr>
            <w:r w:rsidRPr="00675B25">
              <w:rPr>
                <w:sz w:val="20"/>
                <w:szCs w:val="18"/>
                <w:lang w:val="es-ES"/>
              </w:rPr>
              <w:t>*</w:t>
            </w:r>
            <w:r w:rsidRPr="00675B25">
              <w:rPr>
                <w:sz w:val="20"/>
                <w:szCs w:val="18"/>
                <w:lang w:val="es-ES"/>
              </w:rPr>
              <w:tab/>
            </w:r>
            <w:r w:rsidRPr="00675B25">
              <w:rPr>
                <w:i/>
                <w:iCs/>
                <w:sz w:val="20"/>
                <w:szCs w:val="18"/>
                <w:lang w:val="es-ES"/>
              </w:rPr>
              <w:t>El coste de estos productos se asigna a todos los objetivos de la Unión.</w:t>
            </w:r>
          </w:p>
        </w:tc>
      </w:tr>
    </w:tbl>
    <w:p w:rsidR="00352192" w:rsidRDefault="000C01DF" w:rsidP="00352192">
      <w:pPr>
        <w:rPr>
          <w:lang w:val="es-ES"/>
        </w:rPr>
      </w:pPr>
      <w:r w:rsidRPr="001514E8">
        <w:rPr>
          <w:lang w:val="es-ES"/>
        </w:rPr>
        <w:br w:type="page"/>
      </w:r>
    </w:p>
    <w:p w:rsidR="000C01DF" w:rsidRPr="004A4951" w:rsidRDefault="000C01DF" w:rsidP="00EE3732">
      <w:pPr>
        <w:pStyle w:val="Heading1"/>
        <w:rPr>
          <w:lang w:val="es-ES"/>
        </w:rPr>
      </w:pPr>
      <w:r w:rsidRPr="004A4951">
        <w:rPr>
          <w:lang w:val="es-ES"/>
        </w:rPr>
        <w:lastRenderedPageBreak/>
        <w:t>4</w:t>
      </w:r>
      <w:r w:rsidRPr="004A4951">
        <w:rPr>
          <w:lang w:val="es-ES"/>
        </w:rPr>
        <w:tab/>
        <w:t>Análisis de riesgos</w:t>
      </w:r>
    </w:p>
    <w:p w:rsidR="000C01DF" w:rsidRPr="001514E8" w:rsidRDefault="000C01DF" w:rsidP="00352192">
      <w:pPr>
        <w:spacing w:after="120"/>
        <w:rPr>
          <w:lang w:val="es-ES"/>
        </w:rPr>
      </w:pPr>
      <w:r w:rsidRPr="001514E8">
        <w:rPr>
          <w:lang w:val="es-ES"/>
        </w:rPr>
        <w:t>Al pasar de la estrategia a la ejecución, se han identificado, analizado y evaluado los riesgos operacionales de nivel superior que figuran en el cuadro</w:t>
      </w:r>
      <w:r w:rsidRPr="001514E8">
        <w:rPr>
          <w:i/>
          <w:iCs/>
          <w:lang w:val="es-ES"/>
        </w:rPr>
        <w:t xml:space="preserve"> infra</w:t>
      </w:r>
      <w:r w:rsidRPr="001514E8">
        <w:rPr>
          <w:lang w:val="es-ES"/>
        </w:rPr>
        <w:t>. Las Oficinas y los Departamentos gestionarán todos los riesgos asociados a la consecución de los resultados pertinentes.</w:t>
      </w:r>
    </w:p>
    <w:tbl>
      <w:tblPr>
        <w:tblStyle w:val="GridTable4-Accent11"/>
        <w:tblW w:w="14041" w:type="dxa"/>
        <w:jc w:val="center"/>
        <w:tblLook w:val="04A0" w:firstRow="1" w:lastRow="0" w:firstColumn="1" w:lastColumn="0" w:noHBand="0" w:noVBand="1"/>
      </w:tblPr>
      <w:tblGrid>
        <w:gridCol w:w="1409"/>
        <w:gridCol w:w="4395"/>
        <w:gridCol w:w="1417"/>
        <w:gridCol w:w="1511"/>
        <w:gridCol w:w="5309"/>
      </w:tblGrid>
      <w:tr w:rsidR="000C01DF" w:rsidRPr="00EE3732" w:rsidTr="00D50A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9" w:type="dxa"/>
            <w:hideMark/>
          </w:tcPr>
          <w:p w:rsidR="000C01DF" w:rsidRPr="00EE3732" w:rsidRDefault="000C01DF" w:rsidP="00EE3732">
            <w:pPr>
              <w:pStyle w:val="Tablehead"/>
              <w:rPr>
                <w:b/>
                <w:bCs w:val="0"/>
                <w:sz w:val="18"/>
                <w:szCs w:val="18"/>
              </w:rPr>
            </w:pPr>
            <w:r w:rsidRPr="00EE3732">
              <w:rPr>
                <w:b/>
                <w:bCs w:val="0"/>
                <w:sz w:val="18"/>
                <w:szCs w:val="18"/>
              </w:rPr>
              <w:t>PERSPECTIVA</w:t>
            </w:r>
          </w:p>
        </w:tc>
        <w:tc>
          <w:tcPr>
            <w:tcW w:w="4395" w:type="dxa"/>
            <w:hideMark/>
          </w:tcPr>
          <w:p w:rsidR="000C01DF" w:rsidRPr="00EE3732" w:rsidRDefault="000C01DF" w:rsidP="00DA5B7F">
            <w:pPr>
              <w:pStyle w:val="Tablehead"/>
              <w:cnfStyle w:val="100000000000" w:firstRow="1" w:lastRow="0" w:firstColumn="0" w:lastColumn="0" w:oddVBand="0" w:evenVBand="0" w:oddHBand="0" w:evenHBand="0" w:firstRowFirstColumn="0" w:firstRowLastColumn="0" w:lastRowFirstColumn="0" w:lastRowLastColumn="0"/>
              <w:rPr>
                <w:b/>
                <w:bCs w:val="0"/>
                <w:sz w:val="18"/>
                <w:szCs w:val="18"/>
              </w:rPr>
            </w:pPr>
            <w:r w:rsidRPr="00EE3732">
              <w:rPr>
                <w:b/>
                <w:bCs w:val="0"/>
                <w:sz w:val="18"/>
                <w:szCs w:val="18"/>
              </w:rPr>
              <w:t>DESCRIPCIÓN DEL RIESGO</w:t>
            </w:r>
          </w:p>
        </w:tc>
        <w:tc>
          <w:tcPr>
            <w:tcW w:w="1417" w:type="dxa"/>
            <w:hideMark/>
          </w:tcPr>
          <w:p w:rsidR="000C01DF" w:rsidRPr="00EE3732" w:rsidRDefault="000C01DF" w:rsidP="001514E8">
            <w:pPr>
              <w:pStyle w:val="Tablehead"/>
              <w:cnfStyle w:val="100000000000" w:firstRow="1" w:lastRow="0" w:firstColumn="0" w:lastColumn="0" w:oddVBand="0" w:evenVBand="0" w:oddHBand="0" w:evenHBand="0" w:firstRowFirstColumn="0" w:firstRowLastColumn="0" w:lastRowFirstColumn="0" w:lastRowLastColumn="0"/>
              <w:rPr>
                <w:b/>
                <w:bCs w:val="0"/>
                <w:sz w:val="18"/>
                <w:szCs w:val="18"/>
              </w:rPr>
            </w:pPr>
            <w:r w:rsidRPr="00EE3732">
              <w:rPr>
                <w:b/>
                <w:bCs w:val="0"/>
                <w:sz w:val="18"/>
                <w:szCs w:val="18"/>
              </w:rPr>
              <w:t>PROBABILIDAD</w:t>
            </w:r>
          </w:p>
        </w:tc>
        <w:tc>
          <w:tcPr>
            <w:tcW w:w="1511" w:type="dxa"/>
            <w:hideMark/>
          </w:tcPr>
          <w:p w:rsidR="000C01DF" w:rsidRPr="00EE3732" w:rsidRDefault="000C01DF" w:rsidP="001514E8">
            <w:pPr>
              <w:pStyle w:val="Tablehead"/>
              <w:cnfStyle w:val="100000000000" w:firstRow="1" w:lastRow="0" w:firstColumn="0" w:lastColumn="0" w:oddVBand="0" w:evenVBand="0" w:oddHBand="0" w:evenHBand="0" w:firstRowFirstColumn="0" w:firstRowLastColumn="0" w:lastRowFirstColumn="0" w:lastRowLastColumn="0"/>
              <w:rPr>
                <w:b/>
                <w:bCs w:val="0"/>
                <w:sz w:val="18"/>
                <w:szCs w:val="18"/>
              </w:rPr>
            </w:pPr>
            <w:r w:rsidRPr="00EE3732">
              <w:rPr>
                <w:b/>
                <w:bCs w:val="0"/>
                <w:sz w:val="18"/>
                <w:szCs w:val="18"/>
              </w:rPr>
              <w:t>NIVEL DE REPERCUSIÓN</w:t>
            </w:r>
          </w:p>
        </w:tc>
        <w:tc>
          <w:tcPr>
            <w:tcW w:w="5309" w:type="dxa"/>
            <w:hideMark/>
          </w:tcPr>
          <w:p w:rsidR="000C01DF" w:rsidRPr="00EE3732" w:rsidRDefault="000C01DF" w:rsidP="00DA5B7F">
            <w:pPr>
              <w:pStyle w:val="Tablehead"/>
              <w:cnfStyle w:val="100000000000" w:firstRow="1" w:lastRow="0" w:firstColumn="0" w:lastColumn="0" w:oddVBand="0" w:evenVBand="0" w:oddHBand="0" w:evenHBand="0" w:firstRowFirstColumn="0" w:firstRowLastColumn="0" w:lastRowFirstColumn="0" w:lastRowLastColumn="0"/>
              <w:rPr>
                <w:b/>
                <w:sz w:val="18"/>
                <w:szCs w:val="18"/>
              </w:rPr>
            </w:pPr>
            <w:r w:rsidRPr="00EE3732">
              <w:rPr>
                <w:b/>
                <w:sz w:val="18"/>
                <w:szCs w:val="18"/>
              </w:rPr>
              <w:t>MEDIDAS DE MITIGACIÓN</w:t>
            </w:r>
            <w:r w:rsidR="00DA5B7F" w:rsidRPr="00EE3732">
              <w:rPr>
                <w:rStyle w:val="FootnoteReference"/>
                <w:szCs w:val="18"/>
              </w:rPr>
              <w:footnoteReference w:id="1"/>
            </w:r>
          </w:p>
        </w:tc>
      </w:tr>
      <w:tr w:rsidR="000C01DF" w:rsidRPr="008930FD" w:rsidTr="00D50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9" w:type="dxa"/>
            <w:vMerge w:val="restart"/>
            <w:hideMark/>
          </w:tcPr>
          <w:p w:rsidR="000C01DF" w:rsidRPr="00EE3732" w:rsidRDefault="000C01DF" w:rsidP="00EE3732">
            <w:pPr>
              <w:pStyle w:val="Tabletext"/>
              <w:rPr>
                <w:sz w:val="18"/>
                <w:szCs w:val="18"/>
              </w:rPr>
            </w:pPr>
            <w:r w:rsidRPr="00EE3732">
              <w:rPr>
                <w:sz w:val="18"/>
                <w:szCs w:val="18"/>
              </w:rPr>
              <w:t>OPERACIONAL</w:t>
            </w:r>
          </w:p>
        </w:tc>
        <w:tc>
          <w:tcPr>
            <w:tcW w:w="4395" w:type="dxa"/>
            <w:hideMark/>
          </w:tcPr>
          <w:p w:rsidR="000C01DF" w:rsidRPr="00EE3732" w:rsidRDefault="000C01DF" w:rsidP="00DA5B7F">
            <w:pPr>
              <w:pStyle w:val="Tabletext"/>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EE3732">
              <w:rPr>
                <w:b/>
                <w:bCs/>
                <w:sz w:val="18"/>
                <w:szCs w:val="18"/>
              </w:rPr>
              <w:t>a)</w:t>
            </w:r>
            <w:r w:rsidRPr="00EE3732">
              <w:rPr>
                <w:sz w:val="18"/>
                <w:szCs w:val="18"/>
              </w:rPr>
              <w:tab/>
              <w:t>Una pérdida total o parcial de la integridad de los datos del MIFR o de cualesquiera planes, que resulta en una protección inadecuada de los derechos de las administraciones a utilizar recursos del espectro de radiofrecuencias y/o las órbitas de satélites</w:t>
            </w:r>
            <w:r w:rsidR="00B93EA8">
              <w:rPr>
                <w:sz w:val="18"/>
                <w:szCs w:val="18"/>
              </w:rPr>
              <w:t>.</w:t>
            </w:r>
          </w:p>
          <w:p w:rsidR="000C01DF" w:rsidRPr="00EE3732" w:rsidRDefault="000C01DF" w:rsidP="00DA5B7F">
            <w:pPr>
              <w:pStyle w:val="Tabletext"/>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EE3732">
              <w:rPr>
                <w:b/>
                <w:bCs/>
                <w:sz w:val="18"/>
                <w:szCs w:val="18"/>
              </w:rPr>
              <w:t>b)</w:t>
            </w:r>
            <w:r w:rsidRPr="00EE3732">
              <w:rPr>
                <w:sz w:val="18"/>
                <w:szCs w:val="18"/>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r w:rsidR="00B93EA8">
              <w:rPr>
                <w:sz w:val="18"/>
                <w:szCs w:val="18"/>
              </w:rPr>
              <w:t>.</w:t>
            </w:r>
          </w:p>
        </w:tc>
        <w:tc>
          <w:tcPr>
            <w:tcW w:w="1417" w:type="dxa"/>
            <w:hideMark/>
          </w:tcPr>
          <w:p w:rsidR="000C01DF" w:rsidRPr="00EE3732" w:rsidRDefault="000C01DF" w:rsidP="00DA5B7F">
            <w:pPr>
              <w:pStyle w:val="Tabletext"/>
              <w:jc w:val="center"/>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Baja</w:t>
            </w:r>
          </w:p>
        </w:tc>
        <w:tc>
          <w:tcPr>
            <w:tcW w:w="1511" w:type="dxa"/>
            <w:hideMark/>
          </w:tcPr>
          <w:p w:rsidR="000C01DF" w:rsidRPr="00EE3732" w:rsidRDefault="000C01DF" w:rsidP="001514E8">
            <w:pPr>
              <w:pStyle w:val="Tabletext"/>
              <w:jc w:val="center"/>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Muy elevado</w:t>
            </w:r>
          </w:p>
        </w:tc>
        <w:tc>
          <w:tcPr>
            <w:tcW w:w="5309" w:type="dxa"/>
            <w:hideMark/>
          </w:tcPr>
          <w:p w:rsidR="000C01DF" w:rsidRPr="00EE3732" w:rsidRDefault="000C01DF" w:rsidP="00DA5B7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w:t>
            </w:r>
            <w:r w:rsidRPr="00EE3732">
              <w:rPr>
                <w:sz w:val="18"/>
                <w:szCs w:val="18"/>
              </w:rPr>
              <w:tab/>
              <w:t>Realizar copias de seguridad de los datos a diario</w:t>
            </w:r>
          </w:p>
          <w:p w:rsidR="000C01DF" w:rsidRPr="00EE3732" w:rsidRDefault="000C01DF" w:rsidP="00DA5B7F">
            <w:pPr>
              <w:pStyle w:val="Tabletext"/>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w:t>
            </w:r>
            <w:r w:rsidRPr="00EE3732">
              <w:rPr>
                <w:sz w:val="18"/>
                <w:szCs w:val="18"/>
              </w:rPr>
              <w:tab/>
              <w:t>Elaborar un programa con un elevado nivel de protección de los datos</w:t>
            </w:r>
          </w:p>
          <w:p w:rsidR="000C01DF" w:rsidRPr="00EE3732" w:rsidRDefault="000C01DF" w:rsidP="00DA5B7F">
            <w:pPr>
              <w:pStyle w:val="Tabletext"/>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w:t>
            </w:r>
            <w:r w:rsidRPr="00EE3732">
              <w:rPr>
                <w:sz w:val="18"/>
                <w:szCs w:val="18"/>
              </w:rPr>
              <w:tab/>
              <w:t>Crear las capacidades necesarias para restaurar datos u operaciones en un periodo de tiempo limitado</w:t>
            </w:r>
          </w:p>
        </w:tc>
      </w:tr>
      <w:tr w:rsidR="000C01DF" w:rsidRPr="008930FD" w:rsidTr="00D50AD7">
        <w:trPr>
          <w:jc w:val="center"/>
        </w:trPr>
        <w:tc>
          <w:tcPr>
            <w:cnfStyle w:val="001000000000" w:firstRow="0" w:lastRow="0" w:firstColumn="1" w:lastColumn="0" w:oddVBand="0" w:evenVBand="0" w:oddHBand="0" w:evenHBand="0" w:firstRowFirstColumn="0" w:firstRowLastColumn="0" w:lastRowFirstColumn="0" w:lastRowLastColumn="0"/>
            <w:tcW w:w="1409" w:type="dxa"/>
            <w:vMerge/>
            <w:hideMark/>
          </w:tcPr>
          <w:p w:rsidR="000C01DF" w:rsidRPr="00EE3732" w:rsidRDefault="000C01DF" w:rsidP="001514E8">
            <w:pPr>
              <w:spacing w:before="40" w:after="40" w:line="240" w:lineRule="auto"/>
              <w:rPr>
                <w:rFonts w:cstheme="minorHAnsi"/>
                <w:sz w:val="18"/>
                <w:szCs w:val="18"/>
                <w:lang w:val="es-ES"/>
              </w:rPr>
            </w:pPr>
          </w:p>
        </w:tc>
        <w:tc>
          <w:tcPr>
            <w:tcW w:w="4395" w:type="dxa"/>
          </w:tcPr>
          <w:p w:rsidR="000C01DF" w:rsidRPr="00EE3732" w:rsidRDefault="000C01DF" w:rsidP="00DA5B7F">
            <w:pPr>
              <w:pStyle w:val="Tabletext"/>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EE3732">
              <w:rPr>
                <w:b/>
                <w:bCs/>
                <w:sz w:val="18"/>
                <w:szCs w:val="18"/>
              </w:rPr>
              <w:t>c)</w:t>
            </w:r>
            <w:r w:rsidRPr="00EE3732">
              <w:rPr>
                <w:sz w:val="18"/>
                <w:szCs w:val="18"/>
              </w:rPr>
              <w:tab/>
              <w:t>La aparición de una interferencia perjudicial (por ejemplo, debido a la inobservancia de las disposiciones reglamentarias), que ocasiona interrupciones en los servicios de radiocomunicaciones prestados por los miembros</w:t>
            </w:r>
            <w:r w:rsidR="00B93EA8">
              <w:rPr>
                <w:sz w:val="18"/>
                <w:szCs w:val="18"/>
              </w:rPr>
              <w:t>.</w:t>
            </w:r>
          </w:p>
        </w:tc>
        <w:tc>
          <w:tcPr>
            <w:tcW w:w="1417" w:type="dxa"/>
            <w:hideMark/>
          </w:tcPr>
          <w:p w:rsidR="000C01DF" w:rsidRPr="00EE3732" w:rsidRDefault="000C01DF" w:rsidP="001514E8">
            <w:pPr>
              <w:pStyle w:val="Tabletext"/>
              <w:jc w:val="center"/>
              <w:cnfStyle w:val="000000000000" w:firstRow="0" w:lastRow="0" w:firstColumn="0" w:lastColumn="0" w:oddVBand="0" w:evenVBand="0" w:oddHBand="0" w:evenHBand="0" w:firstRowFirstColumn="0" w:firstRowLastColumn="0" w:lastRowFirstColumn="0" w:lastRowLastColumn="0"/>
              <w:rPr>
                <w:sz w:val="18"/>
                <w:szCs w:val="18"/>
              </w:rPr>
            </w:pPr>
            <w:r w:rsidRPr="00EE3732">
              <w:rPr>
                <w:sz w:val="18"/>
                <w:szCs w:val="18"/>
              </w:rPr>
              <w:t>Baja</w:t>
            </w:r>
          </w:p>
        </w:tc>
        <w:tc>
          <w:tcPr>
            <w:tcW w:w="1511" w:type="dxa"/>
            <w:hideMark/>
          </w:tcPr>
          <w:p w:rsidR="000C01DF" w:rsidRPr="00EE3732" w:rsidRDefault="000C01DF" w:rsidP="001514E8">
            <w:pPr>
              <w:pStyle w:val="Tabletext"/>
              <w:jc w:val="center"/>
              <w:cnfStyle w:val="000000000000" w:firstRow="0" w:lastRow="0" w:firstColumn="0" w:lastColumn="0" w:oddVBand="0" w:evenVBand="0" w:oddHBand="0" w:evenHBand="0" w:firstRowFirstColumn="0" w:firstRowLastColumn="0" w:lastRowFirstColumn="0" w:lastRowLastColumn="0"/>
              <w:rPr>
                <w:sz w:val="18"/>
                <w:szCs w:val="18"/>
              </w:rPr>
            </w:pPr>
            <w:r w:rsidRPr="00EE3732">
              <w:rPr>
                <w:sz w:val="18"/>
                <w:szCs w:val="18"/>
              </w:rPr>
              <w:t>Elevado</w:t>
            </w:r>
          </w:p>
        </w:tc>
        <w:tc>
          <w:tcPr>
            <w:tcW w:w="5309" w:type="dxa"/>
            <w:hideMark/>
          </w:tcPr>
          <w:p w:rsidR="000C01DF" w:rsidRPr="00EE3732" w:rsidRDefault="000C01DF" w:rsidP="00DA5B7F">
            <w:pPr>
              <w:pStyle w:val="Tabletext"/>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EE3732">
              <w:rPr>
                <w:sz w:val="18"/>
                <w:szCs w:val="18"/>
              </w:rPr>
              <w:t>–</w:t>
            </w:r>
            <w:r w:rsidRPr="00EE3732">
              <w:rPr>
                <w:sz w:val="18"/>
                <w:szCs w:val="18"/>
              </w:rPr>
              <w:tab/>
              <w:t>Promover la creación de capacidades en los reglamentos internacionales, a través de seminarios regionales y mundiales, y cualesquiera otros eventos apropiados</w:t>
            </w:r>
          </w:p>
          <w:p w:rsidR="000C01DF" w:rsidRPr="00EE3732" w:rsidRDefault="000C01DF" w:rsidP="00DA5B7F">
            <w:pPr>
              <w:pStyle w:val="Tabletext"/>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EE3732">
              <w:rPr>
                <w:sz w:val="18"/>
                <w:szCs w:val="18"/>
              </w:rPr>
              <w:t>–</w:t>
            </w:r>
            <w:r w:rsidRPr="00EE3732">
              <w:rPr>
                <w:sz w:val="18"/>
                <w:szCs w:val="18"/>
              </w:rPr>
              <w:tab/>
              <w:t>Proporcionar asistencia de la BR en materia de aplicación de reglamentos internacionales</w:t>
            </w:r>
          </w:p>
          <w:p w:rsidR="000C01DF" w:rsidRPr="00EE3732" w:rsidRDefault="000C01DF" w:rsidP="00DA5B7F">
            <w:pPr>
              <w:pStyle w:val="Tabletext"/>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EE3732">
              <w:rPr>
                <w:sz w:val="18"/>
                <w:szCs w:val="18"/>
              </w:rPr>
              <w:t>–</w:t>
            </w:r>
            <w:r w:rsidRPr="00EE3732">
              <w:rPr>
                <w:sz w:val="18"/>
                <w:szCs w:val="18"/>
              </w:rPr>
              <w:tab/>
              <w:t>Fomentar la coordinación regional o subregional para la resolución de problemas relativos a las interferencias, con el apoyo de la BR</w:t>
            </w:r>
          </w:p>
          <w:p w:rsidR="000C01DF" w:rsidRPr="00EE3732" w:rsidRDefault="000C01DF" w:rsidP="001F227D">
            <w:pPr>
              <w:pStyle w:val="Tabletext"/>
              <w:ind w:left="284" w:hanging="284"/>
              <w:cnfStyle w:val="000000000000" w:firstRow="0" w:lastRow="0" w:firstColumn="0" w:lastColumn="0" w:oddVBand="0" w:evenVBand="0" w:oddHBand="0" w:evenHBand="0" w:firstRowFirstColumn="0" w:firstRowLastColumn="0" w:lastRowFirstColumn="0" w:lastRowLastColumn="0"/>
              <w:rPr>
                <w:sz w:val="18"/>
                <w:szCs w:val="18"/>
              </w:rPr>
            </w:pPr>
            <w:r w:rsidRPr="00EE3732">
              <w:rPr>
                <w:sz w:val="18"/>
                <w:szCs w:val="18"/>
              </w:rPr>
              <w:t>–</w:t>
            </w:r>
            <w:r w:rsidRPr="00EE3732">
              <w:rPr>
                <w:sz w:val="18"/>
                <w:szCs w:val="18"/>
              </w:rPr>
              <w:tab/>
              <w:t>Documentar, informar y prestar asistencia para resolver casos de interferencia perjudicial con arreglo a las instrucciones del Director de la Oficina (Resolución 186 (</w:t>
            </w:r>
            <w:r w:rsidR="001F227D">
              <w:rPr>
                <w:sz w:val="18"/>
                <w:szCs w:val="18"/>
              </w:rPr>
              <w:t>Rev. Dubái</w:t>
            </w:r>
            <w:r w:rsidRPr="00EE3732">
              <w:rPr>
                <w:sz w:val="18"/>
                <w:szCs w:val="18"/>
              </w:rPr>
              <w:t>, 201</w:t>
            </w:r>
            <w:r w:rsidR="001F227D">
              <w:rPr>
                <w:sz w:val="18"/>
                <w:szCs w:val="18"/>
              </w:rPr>
              <w:t>8</w:t>
            </w:r>
            <w:r w:rsidRPr="00EE3732">
              <w:rPr>
                <w:sz w:val="18"/>
                <w:szCs w:val="18"/>
              </w:rPr>
              <w:t>))</w:t>
            </w:r>
          </w:p>
        </w:tc>
      </w:tr>
      <w:tr w:rsidR="000C01DF" w:rsidRPr="008930FD" w:rsidTr="00D50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9" w:type="dxa"/>
            <w:hideMark/>
          </w:tcPr>
          <w:p w:rsidR="000C01DF" w:rsidRPr="00EE3732" w:rsidRDefault="000C01DF" w:rsidP="001514E8">
            <w:pPr>
              <w:pStyle w:val="Tabletext"/>
              <w:rPr>
                <w:sz w:val="18"/>
                <w:szCs w:val="18"/>
              </w:rPr>
            </w:pPr>
            <w:r w:rsidRPr="00EE3732">
              <w:rPr>
                <w:sz w:val="18"/>
                <w:szCs w:val="18"/>
              </w:rPr>
              <w:t>INSTITUCIONAL</w:t>
            </w:r>
          </w:p>
        </w:tc>
        <w:tc>
          <w:tcPr>
            <w:tcW w:w="4395" w:type="dxa"/>
            <w:hideMark/>
          </w:tcPr>
          <w:p w:rsidR="000C01DF" w:rsidRPr="001F227D" w:rsidRDefault="000C01DF" w:rsidP="001F227D">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1F227D">
              <w:rPr>
                <w:sz w:val="18"/>
                <w:szCs w:val="18"/>
              </w:rPr>
              <w:t>Instalaciones inadecuadas para las reuniones de la UIT (por ejemplo, debido a la falta de salas y a la saturación del calendario de reuniones), que suscitan el descontento de los miembros y generan retrasos en los programas de trabajo</w:t>
            </w:r>
            <w:r w:rsidR="00B93EA8" w:rsidRPr="001F227D">
              <w:rPr>
                <w:sz w:val="18"/>
                <w:szCs w:val="18"/>
              </w:rPr>
              <w:t>.</w:t>
            </w:r>
          </w:p>
        </w:tc>
        <w:tc>
          <w:tcPr>
            <w:tcW w:w="1417" w:type="dxa"/>
            <w:hideMark/>
          </w:tcPr>
          <w:p w:rsidR="000C01DF" w:rsidRPr="00EE3732" w:rsidRDefault="000C01DF" w:rsidP="001514E8">
            <w:pPr>
              <w:pStyle w:val="Tabletext"/>
              <w:jc w:val="center"/>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Media</w:t>
            </w:r>
          </w:p>
        </w:tc>
        <w:tc>
          <w:tcPr>
            <w:tcW w:w="1511" w:type="dxa"/>
            <w:hideMark/>
          </w:tcPr>
          <w:p w:rsidR="000C01DF" w:rsidRPr="00EE3732" w:rsidRDefault="000C01DF" w:rsidP="001514E8">
            <w:pPr>
              <w:pStyle w:val="Tabletext"/>
              <w:jc w:val="center"/>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Elevado</w:t>
            </w:r>
          </w:p>
        </w:tc>
        <w:tc>
          <w:tcPr>
            <w:tcW w:w="5309" w:type="dxa"/>
            <w:hideMark/>
          </w:tcPr>
          <w:p w:rsidR="000C01DF" w:rsidRPr="00EE3732" w:rsidRDefault="000C01DF" w:rsidP="00DA5B7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w:t>
            </w:r>
            <w:r w:rsidRPr="00EE3732">
              <w:rPr>
                <w:sz w:val="18"/>
                <w:szCs w:val="18"/>
              </w:rPr>
              <w:tab/>
              <w:t>Celebrar más reuniones externas</w:t>
            </w:r>
          </w:p>
          <w:p w:rsidR="000C01DF" w:rsidRPr="00EE3732" w:rsidRDefault="000C01DF" w:rsidP="00DA5B7F">
            <w:pPr>
              <w:pStyle w:val="Tabletext"/>
              <w:ind w:left="284" w:hanging="284"/>
              <w:cnfStyle w:val="000000100000" w:firstRow="0" w:lastRow="0" w:firstColumn="0" w:lastColumn="0" w:oddVBand="0" w:evenVBand="0" w:oddHBand="1" w:evenHBand="0" w:firstRowFirstColumn="0" w:firstRowLastColumn="0" w:lastRowFirstColumn="0" w:lastRowLastColumn="0"/>
              <w:rPr>
                <w:sz w:val="18"/>
                <w:szCs w:val="18"/>
              </w:rPr>
            </w:pPr>
            <w:r w:rsidRPr="00EE3732">
              <w:rPr>
                <w:sz w:val="18"/>
                <w:szCs w:val="18"/>
              </w:rPr>
              <w:t>–</w:t>
            </w:r>
            <w:r w:rsidRPr="00EE3732">
              <w:rPr>
                <w:sz w:val="18"/>
                <w:szCs w:val="18"/>
              </w:rPr>
              <w:tab/>
              <w:t>Incrementar el uso de salas de reunión virtuales para reuniones pequeñas</w:t>
            </w:r>
          </w:p>
        </w:tc>
      </w:tr>
    </w:tbl>
    <w:p w:rsidR="000C01DF" w:rsidRPr="001514E8" w:rsidRDefault="000C01DF" w:rsidP="00F52E4B">
      <w:pPr>
        <w:pStyle w:val="Heading1"/>
        <w:rPr>
          <w:lang w:val="es-ES"/>
        </w:rPr>
      </w:pPr>
      <w:r w:rsidRPr="001514E8">
        <w:rPr>
          <w:lang w:val="es-ES"/>
        </w:rPr>
        <w:lastRenderedPageBreak/>
        <w:t>5</w:t>
      </w:r>
      <w:r w:rsidRPr="001514E8">
        <w:rPr>
          <w:lang w:val="es-ES"/>
        </w:rPr>
        <w:tab/>
        <w:t>Objetivos, resultados y productos del UIT-R para 2020-2023</w:t>
      </w:r>
    </w:p>
    <w:p w:rsidR="000C01DF" w:rsidRPr="001514E8" w:rsidRDefault="000C01DF" w:rsidP="000F3B35">
      <w:pPr>
        <w:rPr>
          <w:lang w:val="es-ES"/>
        </w:rPr>
      </w:pPr>
      <w:r w:rsidRPr="001514E8">
        <w:rPr>
          <w:lang w:val="es-ES"/>
        </w:rPr>
        <w:t>Los objetivos se lograrán al alcanzar los resultados correspondientes mediante la aplicación de los productos. Los objetivos sectoriales e intersectoriales, en el ámbito de competencia de cada Sector y de la SG, contribuirán a conquistar las metas generales de la Unión.</w:t>
      </w:r>
    </w:p>
    <w:p w:rsidR="000C01DF" w:rsidRPr="001514E8" w:rsidRDefault="000C01DF" w:rsidP="000F3B35">
      <w:pPr>
        <w:pStyle w:val="Heading2"/>
        <w:rPr>
          <w:lang w:val="es-ES"/>
        </w:rPr>
      </w:pPr>
      <w:r w:rsidRPr="001514E8">
        <w:rPr>
          <w:lang w:val="es-ES"/>
        </w:rPr>
        <w:t>5.1</w:t>
      </w:r>
      <w:r w:rsidRPr="001514E8">
        <w:rPr>
          <w:lang w:val="es-ES"/>
        </w:rPr>
        <w:tab/>
      </w:r>
      <w:r w:rsidRPr="00CD755C">
        <w:rPr>
          <w:lang w:val="es-ES"/>
        </w:rPr>
        <w:t>UIT</w:t>
      </w:r>
      <w:r w:rsidRPr="001514E8">
        <w:rPr>
          <w:lang w:val="es-ES"/>
        </w:rPr>
        <w:t>-R</w:t>
      </w:r>
    </w:p>
    <w:p w:rsidR="000C01DF" w:rsidRPr="001514E8" w:rsidRDefault="000C01DF" w:rsidP="00EE3732">
      <w:pPr>
        <w:spacing w:after="120"/>
        <w:rPr>
          <w:lang w:val="es-ES"/>
        </w:rPr>
      </w:pPr>
      <w:r w:rsidRPr="001514E8">
        <w:rPr>
          <w:lang w:val="es-ES"/>
        </w:rPr>
        <w:t>R.1:</w:t>
      </w:r>
      <w:r w:rsidRPr="001514E8">
        <w:rPr>
          <w:lang w:val="es-ES"/>
        </w:rPr>
        <w:tab/>
        <w:t>Atender de manera racional, equitativa, eficiente, económica y oportuna a las necesidades de los miembros de la UIT en materia de recursos de espectro de radiofrecuencias y órbitas de satélites, evitando interferencias perjudiciales.</w:t>
      </w: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91"/>
        <w:gridCol w:w="4303"/>
        <w:gridCol w:w="907"/>
        <w:gridCol w:w="907"/>
        <w:gridCol w:w="907"/>
        <w:gridCol w:w="907"/>
        <w:gridCol w:w="1134"/>
        <w:gridCol w:w="1247"/>
      </w:tblGrid>
      <w:tr w:rsidR="000C01DF" w:rsidRPr="001514E8" w:rsidTr="00A31BB6">
        <w:trPr>
          <w:tblHeader/>
          <w:jc w:val="center"/>
        </w:trPr>
        <w:tc>
          <w:tcPr>
            <w:tcW w:w="3691" w:type="dxa"/>
            <w:shd w:val="clear" w:color="auto" w:fill="4F81BD" w:themeFill="accent1"/>
          </w:tcPr>
          <w:p w:rsidR="000C01DF" w:rsidRPr="001514E8" w:rsidRDefault="000C01DF" w:rsidP="001514E8">
            <w:pPr>
              <w:pStyle w:val="Tablehead"/>
              <w:rPr>
                <w:color w:val="FFFFFF" w:themeColor="background1"/>
              </w:rPr>
            </w:pPr>
            <w:r w:rsidRPr="001514E8">
              <w:rPr>
                <w:color w:val="FFFFFF" w:themeColor="background1"/>
              </w:rPr>
              <w:t>Resultado</w:t>
            </w:r>
          </w:p>
        </w:tc>
        <w:tc>
          <w:tcPr>
            <w:tcW w:w="4303" w:type="dxa"/>
            <w:shd w:val="clear" w:color="auto" w:fill="4F81BD" w:themeFill="accent1"/>
          </w:tcPr>
          <w:p w:rsidR="000C01DF" w:rsidRPr="001514E8" w:rsidRDefault="00FB7DD0" w:rsidP="001514E8">
            <w:pPr>
              <w:pStyle w:val="Tablehead"/>
              <w:rPr>
                <w:color w:val="FFFFFF" w:themeColor="background1"/>
              </w:rPr>
            </w:pPr>
            <w:r>
              <w:rPr>
                <w:color w:val="FFFFFF" w:themeColor="background1"/>
              </w:rPr>
              <w:t>Indicador de resultados</w:t>
            </w:r>
            <w:bookmarkStart w:id="50" w:name="_GoBack"/>
            <w:bookmarkEnd w:id="50"/>
          </w:p>
        </w:tc>
        <w:tc>
          <w:tcPr>
            <w:tcW w:w="907" w:type="dxa"/>
            <w:shd w:val="clear" w:color="auto" w:fill="4F81BD" w:themeFill="accent1"/>
          </w:tcPr>
          <w:p w:rsidR="000C01DF" w:rsidRPr="001514E8" w:rsidRDefault="000C01DF" w:rsidP="001514E8">
            <w:pPr>
              <w:pStyle w:val="Tablehead"/>
              <w:rPr>
                <w:rFonts w:eastAsiaTheme="minorHAnsi"/>
                <w:color w:val="FFFFFF" w:themeColor="background1"/>
              </w:rPr>
            </w:pPr>
            <w:r w:rsidRPr="001514E8">
              <w:rPr>
                <w:rFonts w:eastAsiaTheme="minorHAnsi"/>
                <w:color w:val="FFFFFF" w:themeColor="background1"/>
              </w:rPr>
              <w:t>2015</w:t>
            </w:r>
          </w:p>
        </w:tc>
        <w:tc>
          <w:tcPr>
            <w:tcW w:w="907" w:type="dxa"/>
            <w:shd w:val="clear" w:color="auto" w:fill="4F81BD" w:themeFill="accent1"/>
          </w:tcPr>
          <w:p w:rsidR="000C01DF" w:rsidRPr="001514E8" w:rsidRDefault="000C01DF" w:rsidP="001514E8">
            <w:pPr>
              <w:pStyle w:val="Tablehead"/>
              <w:rPr>
                <w:rFonts w:eastAsiaTheme="minorHAnsi"/>
                <w:color w:val="FFFFFF" w:themeColor="background1"/>
              </w:rPr>
            </w:pPr>
            <w:r w:rsidRPr="001514E8">
              <w:rPr>
                <w:rFonts w:eastAsiaTheme="minorHAnsi"/>
                <w:color w:val="FFFFFF" w:themeColor="background1"/>
              </w:rPr>
              <w:t>2016</w:t>
            </w:r>
          </w:p>
        </w:tc>
        <w:tc>
          <w:tcPr>
            <w:tcW w:w="907" w:type="dxa"/>
            <w:shd w:val="clear" w:color="auto" w:fill="4F81BD" w:themeFill="accent1"/>
          </w:tcPr>
          <w:p w:rsidR="000C01DF" w:rsidRPr="001514E8" w:rsidRDefault="000C01DF" w:rsidP="001514E8">
            <w:pPr>
              <w:pStyle w:val="Tablehead"/>
              <w:rPr>
                <w:rFonts w:eastAsiaTheme="minorHAnsi"/>
                <w:color w:val="FFFFFF" w:themeColor="background1"/>
              </w:rPr>
            </w:pPr>
            <w:r w:rsidRPr="001514E8">
              <w:rPr>
                <w:rFonts w:eastAsiaTheme="minorHAnsi"/>
                <w:color w:val="FFFFFF" w:themeColor="background1"/>
              </w:rPr>
              <w:t>2017</w:t>
            </w:r>
          </w:p>
        </w:tc>
        <w:tc>
          <w:tcPr>
            <w:tcW w:w="907" w:type="dxa"/>
            <w:shd w:val="clear" w:color="auto" w:fill="4F81BD" w:themeFill="accent1"/>
          </w:tcPr>
          <w:p w:rsidR="000C01DF" w:rsidRPr="001514E8" w:rsidRDefault="000C01DF" w:rsidP="001514E8">
            <w:pPr>
              <w:pStyle w:val="Tablehead"/>
              <w:rPr>
                <w:rFonts w:eastAsiaTheme="minorHAnsi"/>
                <w:color w:val="FFFFFF" w:themeColor="background1"/>
              </w:rPr>
            </w:pPr>
            <w:r w:rsidRPr="001514E8">
              <w:rPr>
                <w:rFonts w:eastAsiaTheme="minorHAnsi"/>
                <w:color w:val="FFFFFF" w:themeColor="background1"/>
              </w:rPr>
              <w:t>2018</w:t>
            </w:r>
          </w:p>
        </w:tc>
        <w:tc>
          <w:tcPr>
            <w:tcW w:w="1134" w:type="dxa"/>
            <w:shd w:val="clear" w:color="auto" w:fill="4F81BD" w:themeFill="accent1"/>
          </w:tcPr>
          <w:p w:rsidR="000C01DF" w:rsidRPr="001514E8" w:rsidRDefault="000C01DF" w:rsidP="001514E8">
            <w:pPr>
              <w:pStyle w:val="Tablehead"/>
              <w:rPr>
                <w:color w:val="FFFFFF" w:themeColor="background1"/>
              </w:rPr>
            </w:pPr>
            <w:r w:rsidRPr="001514E8">
              <w:rPr>
                <w:color w:val="FFFFFF" w:themeColor="background1"/>
              </w:rPr>
              <w:t>Meta 2023</w:t>
            </w:r>
          </w:p>
        </w:tc>
        <w:tc>
          <w:tcPr>
            <w:tcW w:w="1247" w:type="dxa"/>
            <w:shd w:val="clear" w:color="auto" w:fill="4F81BD" w:themeFill="accent1"/>
          </w:tcPr>
          <w:p w:rsidR="000C01DF" w:rsidRPr="001514E8" w:rsidRDefault="000C01DF" w:rsidP="001514E8">
            <w:pPr>
              <w:pStyle w:val="Tablehead"/>
              <w:rPr>
                <w:color w:val="FFFFFF" w:themeColor="background1"/>
              </w:rPr>
            </w:pPr>
            <w:r w:rsidRPr="001514E8">
              <w:rPr>
                <w:color w:val="FFFFFF" w:themeColor="background1"/>
              </w:rPr>
              <w:t>Origen</w:t>
            </w:r>
          </w:p>
        </w:tc>
      </w:tr>
      <w:tr w:rsidR="000C01DF" w:rsidRPr="001514E8" w:rsidTr="00A31BB6">
        <w:trPr>
          <w:jc w:val="center"/>
        </w:trPr>
        <w:tc>
          <w:tcPr>
            <w:tcW w:w="3691" w:type="dxa"/>
            <w:vMerge w:val="restart"/>
          </w:tcPr>
          <w:p w:rsidR="000C01DF" w:rsidRPr="001514E8" w:rsidRDefault="000C01DF" w:rsidP="001514E8">
            <w:pPr>
              <w:pStyle w:val="Tabletext"/>
              <w:rPr>
                <w:rFonts w:cs="Arial"/>
              </w:rPr>
            </w:pPr>
            <w:r w:rsidRPr="001514E8">
              <w:rPr>
                <w:rFonts w:cs="Arial"/>
                <w:b/>
                <w:bCs/>
                <w:color w:val="4F81BD" w:themeColor="accent1"/>
              </w:rPr>
              <w:t>R.1-1:</w:t>
            </w:r>
            <w:r w:rsidRPr="001514E8">
              <w:rPr>
                <w:rFonts w:cs="Arial"/>
              </w:rPr>
              <w:t xml:space="preserve"> </w:t>
            </w:r>
            <w:r w:rsidRPr="001514E8">
              <w:t>Aumento del número de países que tienen redes de satélite y estaciones terrenas inscritas en el Registro Internacional de Frecuencias (MIFR)</w:t>
            </w:r>
          </w:p>
        </w:tc>
        <w:tc>
          <w:tcPr>
            <w:tcW w:w="4303" w:type="dxa"/>
          </w:tcPr>
          <w:p w:rsidR="000C01DF" w:rsidRPr="001514E8" w:rsidRDefault="000C01DF" w:rsidP="001514E8">
            <w:pPr>
              <w:pStyle w:val="Tabletext"/>
            </w:pPr>
            <w:r w:rsidRPr="001514E8">
              <w:t>Número de países que tienen redes de satélite inscritas en el MIFR</w:t>
            </w:r>
          </w:p>
        </w:tc>
        <w:tc>
          <w:tcPr>
            <w:tcW w:w="907" w:type="dxa"/>
          </w:tcPr>
          <w:p w:rsidR="000C01DF" w:rsidRPr="00F52E4B" w:rsidRDefault="000C01DF" w:rsidP="001514E8">
            <w:pPr>
              <w:pStyle w:val="Tabletext"/>
              <w:jc w:val="center"/>
            </w:pPr>
            <w:r w:rsidRPr="00F52E4B">
              <w:t>52</w:t>
            </w:r>
          </w:p>
        </w:tc>
        <w:tc>
          <w:tcPr>
            <w:tcW w:w="907" w:type="dxa"/>
          </w:tcPr>
          <w:p w:rsidR="000C01DF" w:rsidRPr="00F52E4B" w:rsidRDefault="000C01DF" w:rsidP="001514E8">
            <w:pPr>
              <w:pStyle w:val="Tabletext"/>
              <w:jc w:val="center"/>
            </w:pPr>
            <w:r w:rsidRPr="00F52E4B">
              <w:t>56</w:t>
            </w:r>
          </w:p>
        </w:tc>
        <w:tc>
          <w:tcPr>
            <w:tcW w:w="907" w:type="dxa"/>
          </w:tcPr>
          <w:p w:rsidR="000C01DF" w:rsidRPr="00F52E4B" w:rsidRDefault="000C01DF" w:rsidP="001514E8">
            <w:pPr>
              <w:pStyle w:val="Tabletext"/>
              <w:jc w:val="center"/>
            </w:pPr>
            <w:r w:rsidRPr="00F52E4B">
              <w:t>63</w:t>
            </w:r>
          </w:p>
        </w:tc>
        <w:tc>
          <w:tcPr>
            <w:tcW w:w="907" w:type="dxa"/>
          </w:tcPr>
          <w:p w:rsidR="000C01DF" w:rsidRPr="00F52E4B" w:rsidRDefault="000C01DF" w:rsidP="001514E8">
            <w:pPr>
              <w:pStyle w:val="Tabletext"/>
              <w:jc w:val="center"/>
            </w:pPr>
            <w:r w:rsidRPr="00F52E4B">
              <w:t>69</w:t>
            </w:r>
          </w:p>
        </w:tc>
        <w:tc>
          <w:tcPr>
            <w:tcW w:w="1134" w:type="dxa"/>
          </w:tcPr>
          <w:p w:rsidR="000C01DF" w:rsidRPr="00F52E4B" w:rsidRDefault="000C01DF" w:rsidP="001514E8">
            <w:pPr>
              <w:pStyle w:val="Tabletext"/>
              <w:jc w:val="center"/>
            </w:pPr>
            <w:r w:rsidRPr="00F52E4B">
              <w:t>70</w:t>
            </w:r>
          </w:p>
        </w:tc>
        <w:tc>
          <w:tcPr>
            <w:tcW w:w="1247" w:type="dxa"/>
            <w:vMerge w:val="restart"/>
          </w:tcPr>
          <w:p w:rsidR="000C01DF" w:rsidRPr="001514E8" w:rsidRDefault="000C01DF" w:rsidP="001514E8">
            <w:pPr>
              <w:pStyle w:val="Tabletext"/>
              <w:jc w:val="center"/>
            </w:pPr>
            <w:r w:rsidRPr="001514E8">
              <w:t>BR/MIFR</w:t>
            </w:r>
          </w:p>
        </w:tc>
      </w:tr>
      <w:tr w:rsidR="000C01DF" w:rsidRPr="001514E8" w:rsidTr="00A31BB6">
        <w:trPr>
          <w:jc w:val="center"/>
        </w:trPr>
        <w:tc>
          <w:tcPr>
            <w:tcW w:w="3691" w:type="dxa"/>
            <w:vMerge/>
          </w:tcPr>
          <w:p w:rsidR="000C01DF" w:rsidRPr="001514E8" w:rsidRDefault="000C01DF" w:rsidP="001514E8">
            <w:pPr>
              <w:pStyle w:val="Tabletext"/>
              <w:rPr>
                <w:rFonts w:cs="Arial"/>
                <w:color w:val="4F81BD" w:themeColor="accent1"/>
              </w:rPr>
            </w:pPr>
          </w:p>
        </w:tc>
        <w:tc>
          <w:tcPr>
            <w:tcW w:w="4303" w:type="dxa"/>
          </w:tcPr>
          <w:p w:rsidR="000C01DF" w:rsidRPr="001514E8" w:rsidRDefault="000C01DF" w:rsidP="001514E8">
            <w:pPr>
              <w:pStyle w:val="Tabletext"/>
            </w:pPr>
            <w:r w:rsidRPr="001514E8">
              <w:t>Número de países que tienen estaciones terrenas inscritas en el MIFR</w:t>
            </w:r>
          </w:p>
        </w:tc>
        <w:tc>
          <w:tcPr>
            <w:tcW w:w="907" w:type="dxa"/>
          </w:tcPr>
          <w:p w:rsidR="000C01DF" w:rsidRPr="00F52E4B" w:rsidRDefault="000C01DF" w:rsidP="001514E8">
            <w:pPr>
              <w:pStyle w:val="Tabletext"/>
              <w:jc w:val="center"/>
            </w:pPr>
            <w:r w:rsidRPr="00F52E4B">
              <w:t>76</w:t>
            </w:r>
          </w:p>
        </w:tc>
        <w:tc>
          <w:tcPr>
            <w:tcW w:w="907" w:type="dxa"/>
          </w:tcPr>
          <w:p w:rsidR="000C01DF" w:rsidRPr="00F52E4B" w:rsidRDefault="000C01DF" w:rsidP="001514E8">
            <w:pPr>
              <w:pStyle w:val="Tabletext"/>
              <w:jc w:val="center"/>
            </w:pPr>
            <w:r w:rsidRPr="00F52E4B">
              <w:t>77</w:t>
            </w:r>
          </w:p>
        </w:tc>
        <w:tc>
          <w:tcPr>
            <w:tcW w:w="907" w:type="dxa"/>
          </w:tcPr>
          <w:p w:rsidR="000C01DF" w:rsidRPr="00F52E4B" w:rsidRDefault="000C01DF" w:rsidP="001514E8">
            <w:pPr>
              <w:pStyle w:val="Tabletext"/>
              <w:jc w:val="center"/>
            </w:pPr>
            <w:r w:rsidRPr="00F52E4B">
              <w:t>78</w:t>
            </w:r>
          </w:p>
        </w:tc>
        <w:tc>
          <w:tcPr>
            <w:tcW w:w="907" w:type="dxa"/>
          </w:tcPr>
          <w:p w:rsidR="000C01DF" w:rsidRPr="00F52E4B" w:rsidRDefault="000C01DF" w:rsidP="001514E8">
            <w:pPr>
              <w:pStyle w:val="Tabletext"/>
              <w:jc w:val="center"/>
            </w:pPr>
            <w:r w:rsidRPr="00F52E4B">
              <w:t>81</w:t>
            </w:r>
          </w:p>
        </w:tc>
        <w:tc>
          <w:tcPr>
            <w:tcW w:w="1134" w:type="dxa"/>
          </w:tcPr>
          <w:p w:rsidR="000C01DF" w:rsidRPr="00F52E4B" w:rsidRDefault="000C01DF" w:rsidP="001514E8">
            <w:pPr>
              <w:pStyle w:val="Tabletext"/>
              <w:jc w:val="center"/>
            </w:pPr>
            <w:r w:rsidRPr="00F52E4B">
              <w:t>120</w:t>
            </w:r>
          </w:p>
        </w:tc>
        <w:tc>
          <w:tcPr>
            <w:tcW w:w="1247" w:type="dxa"/>
            <w:vMerge/>
          </w:tcPr>
          <w:p w:rsidR="000C01DF" w:rsidRPr="001514E8" w:rsidRDefault="000C01DF" w:rsidP="001514E8">
            <w:pPr>
              <w:pStyle w:val="Tabletext"/>
              <w:jc w:val="center"/>
            </w:pPr>
          </w:p>
        </w:tc>
      </w:tr>
      <w:tr w:rsidR="000C01DF" w:rsidRPr="001514E8" w:rsidTr="00A31BB6">
        <w:trPr>
          <w:jc w:val="center"/>
        </w:trPr>
        <w:tc>
          <w:tcPr>
            <w:tcW w:w="3691" w:type="dxa"/>
            <w:vMerge w:val="restart"/>
          </w:tcPr>
          <w:p w:rsidR="000C01DF" w:rsidRPr="001514E8" w:rsidRDefault="000C01DF" w:rsidP="001514E8">
            <w:pPr>
              <w:pStyle w:val="Tabletext"/>
              <w:rPr>
                <w:rFonts w:cs="Arial"/>
              </w:rPr>
            </w:pPr>
            <w:r w:rsidRPr="001514E8">
              <w:rPr>
                <w:rFonts w:cs="Arial"/>
                <w:b/>
                <w:bCs/>
                <w:color w:val="4F81BD" w:themeColor="accent1"/>
              </w:rPr>
              <w:t>R.1-2:</w:t>
            </w:r>
            <w:r w:rsidRPr="001514E8">
              <w:t xml:space="preserve"> Mayor número de países que tienen asignaciones de frecuencias terrenales inscritas en el MIFR</w:t>
            </w:r>
          </w:p>
        </w:tc>
        <w:tc>
          <w:tcPr>
            <w:tcW w:w="4303" w:type="dxa"/>
          </w:tcPr>
          <w:p w:rsidR="000C01DF" w:rsidRPr="001514E8" w:rsidRDefault="000C01DF" w:rsidP="001514E8">
            <w:pPr>
              <w:pStyle w:val="Tabletext"/>
            </w:pPr>
            <w:r w:rsidRPr="001514E8">
              <w:t>Número de países que tienen asignaciones de frecuencias terrenales inscritas en el MIFR</w:t>
            </w:r>
          </w:p>
        </w:tc>
        <w:tc>
          <w:tcPr>
            <w:tcW w:w="907" w:type="dxa"/>
          </w:tcPr>
          <w:p w:rsidR="000C01DF" w:rsidRPr="00F52E4B" w:rsidRDefault="000C01DF" w:rsidP="001514E8">
            <w:pPr>
              <w:pStyle w:val="Tabletext"/>
              <w:jc w:val="center"/>
            </w:pPr>
            <w:r w:rsidRPr="00F52E4B">
              <w:t>190</w:t>
            </w:r>
          </w:p>
        </w:tc>
        <w:tc>
          <w:tcPr>
            <w:tcW w:w="907" w:type="dxa"/>
          </w:tcPr>
          <w:p w:rsidR="000C01DF" w:rsidRPr="00F52E4B" w:rsidRDefault="000C01DF" w:rsidP="001514E8">
            <w:pPr>
              <w:pStyle w:val="Tabletext"/>
              <w:jc w:val="center"/>
            </w:pPr>
            <w:r w:rsidRPr="00F52E4B">
              <w:t>190</w:t>
            </w:r>
          </w:p>
        </w:tc>
        <w:tc>
          <w:tcPr>
            <w:tcW w:w="907" w:type="dxa"/>
          </w:tcPr>
          <w:p w:rsidR="000C01DF" w:rsidRPr="00F52E4B" w:rsidRDefault="000C01DF" w:rsidP="001514E8">
            <w:pPr>
              <w:pStyle w:val="Tabletext"/>
              <w:jc w:val="center"/>
            </w:pPr>
            <w:r w:rsidRPr="00F52E4B">
              <w:t>190</w:t>
            </w:r>
          </w:p>
        </w:tc>
        <w:tc>
          <w:tcPr>
            <w:tcW w:w="907" w:type="dxa"/>
          </w:tcPr>
          <w:p w:rsidR="000C01DF" w:rsidRPr="00F52E4B" w:rsidRDefault="000C01DF" w:rsidP="001514E8">
            <w:pPr>
              <w:pStyle w:val="Tabletext"/>
              <w:jc w:val="center"/>
            </w:pPr>
            <w:r w:rsidRPr="00F52E4B">
              <w:t>192</w:t>
            </w:r>
          </w:p>
        </w:tc>
        <w:tc>
          <w:tcPr>
            <w:tcW w:w="1134" w:type="dxa"/>
          </w:tcPr>
          <w:p w:rsidR="000C01DF" w:rsidRPr="00F52E4B" w:rsidRDefault="000C01DF" w:rsidP="001514E8">
            <w:pPr>
              <w:pStyle w:val="Tabletext"/>
              <w:jc w:val="center"/>
            </w:pPr>
            <w:r w:rsidRPr="00F52E4B">
              <w:t>193</w:t>
            </w:r>
          </w:p>
        </w:tc>
        <w:tc>
          <w:tcPr>
            <w:tcW w:w="1247" w:type="dxa"/>
            <w:vMerge w:val="restart"/>
          </w:tcPr>
          <w:p w:rsidR="000C01DF" w:rsidRPr="001514E8" w:rsidRDefault="000C01DF" w:rsidP="001514E8">
            <w:pPr>
              <w:pStyle w:val="Tabletext"/>
              <w:jc w:val="center"/>
            </w:pPr>
            <w:r w:rsidRPr="001514E8">
              <w:t>BR/MIFR</w:t>
            </w:r>
          </w:p>
        </w:tc>
      </w:tr>
      <w:tr w:rsidR="000C01DF" w:rsidRPr="001514E8" w:rsidTr="00A31BB6">
        <w:trPr>
          <w:jc w:val="center"/>
        </w:trPr>
        <w:tc>
          <w:tcPr>
            <w:tcW w:w="3691" w:type="dxa"/>
            <w:vMerge/>
          </w:tcPr>
          <w:p w:rsidR="000C01DF" w:rsidRPr="001514E8" w:rsidRDefault="000C01DF" w:rsidP="001514E8">
            <w:pPr>
              <w:pStyle w:val="Tabletext"/>
              <w:rPr>
                <w:rFonts w:cs="Arial"/>
                <w:color w:val="4F81BD" w:themeColor="accent1"/>
              </w:rPr>
            </w:pPr>
          </w:p>
        </w:tc>
        <w:tc>
          <w:tcPr>
            <w:tcW w:w="4303" w:type="dxa"/>
          </w:tcPr>
          <w:p w:rsidR="000C01DF" w:rsidRPr="001514E8" w:rsidRDefault="000C01DF" w:rsidP="00F14149">
            <w:pPr>
              <w:pStyle w:val="Tabletext"/>
            </w:pPr>
            <w:r w:rsidRPr="001514E8">
              <w:t>Número de países que inscribieron asignaciones de frecuencias terrenales inscritas en el MIFR en los 4</w:t>
            </w:r>
            <w:r w:rsidR="00F14149">
              <w:t> </w:t>
            </w:r>
            <w:r w:rsidRPr="001514E8">
              <w:t>últimos años</w:t>
            </w:r>
          </w:p>
        </w:tc>
        <w:tc>
          <w:tcPr>
            <w:tcW w:w="907" w:type="dxa"/>
          </w:tcPr>
          <w:p w:rsidR="000C01DF" w:rsidRPr="00F52E4B" w:rsidRDefault="000C01DF" w:rsidP="001514E8">
            <w:pPr>
              <w:pStyle w:val="Tabletext"/>
              <w:jc w:val="center"/>
            </w:pPr>
            <w:r w:rsidRPr="00F52E4B">
              <w:t>84</w:t>
            </w:r>
          </w:p>
        </w:tc>
        <w:tc>
          <w:tcPr>
            <w:tcW w:w="907" w:type="dxa"/>
          </w:tcPr>
          <w:p w:rsidR="000C01DF" w:rsidRPr="00F52E4B" w:rsidRDefault="000C01DF" w:rsidP="001514E8">
            <w:pPr>
              <w:pStyle w:val="Tabletext"/>
              <w:jc w:val="center"/>
            </w:pPr>
            <w:r w:rsidRPr="00F52E4B">
              <w:t>79</w:t>
            </w:r>
          </w:p>
        </w:tc>
        <w:tc>
          <w:tcPr>
            <w:tcW w:w="907" w:type="dxa"/>
          </w:tcPr>
          <w:p w:rsidR="000C01DF" w:rsidRPr="00F52E4B" w:rsidRDefault="000C01DF" w:rsidP="001514E8">
            <w:pPr>
              <w:pStyle w:val="Tabletext"/>
              <w:jc w:val="center"/>
            </w:pPr>
            <w:r w:rsidRPr="00F52E4B">
              <w:t>81</w:t>
            </w:r>
          </w:p>
        </w:tc>
        <w:tc>
          <w:tcPr>
            <w:tcW w:w="907" w:type="dxa"/>
          </w:tcPr>
          <w:p w:rsidR="000C01DF" w:rsidRPr="00F52E4B" w:rsidRDefault="000C01DF" w:rsidP="001514E8">
            <w:pPr>
              <w:pStyle w:val="Tabletext"/>
              <w:jc w:val="center"/>
            </w:pPr>
            <w:r w:rsidRPr="00F52E4B">
              <w:t>81</w:t>
            </w:r>
          </w:p>
        </w:tc>
        <w:tc>
          <w:tcPr>
            <w:tcW w:w="1134" w:type="dxa"/>
          </w:tcPr>
          <w:p w:rsidR="000C01DF" w:rsidRPr="00F52E4B" w:rsidRDefault="000C01DF" w:rsidP="001514E8">
            <w:pPr>
              <w:pStyle w:val="Tabletext"/>
              <w:jc w:val="center"/>
            </w:pPr>
            <w:r w:rsidRPr="00F52E4B">
              <w:t>90</w:t>
            </w:r>
          </w:p>
        </w:tc>
        <w:tc>
          <w:tcPr>
            <w:tcW w:w="1247" w:type="dxa"/>
            <w:vMerge/>
          </w:tcPr>
          <w:p w:rsidR="000C01DF" w:rsidRPr="001514E8" w:rsidRDefault="000C01DF" w:rsidP="001514E8">
            <w:pPr>
              <w:pStyle w:val="Tabletext"/>
              <w:jc w:val="center"/>
            </w:pPr>
          </w:p>
        </w:tc>
      </w:tr>
      <w:tr w:rsidR="000C01DF" w:rsidRPr="001514E8" w:rsidTr="00A31BB6">
        <w:trPr>
          <w:jc w:val="center"/>
        </w:trPr>
        <w:tc>
          <w:tcPr>
            <w:tcW w:w="3691" w:type="dxa"/>
            <w:vMerge w:val="restart"/>
          </w:tcPr>
          <w:p w:rsidR="000C01DF" w:rsidRPr="001514E8" w:rsidRDefault="000C01DF" w:rsidP="001514E8">
            <w:pPr>
              <w:pStyle w:val="Tabletext"/>
              <w:rPr>
                <w:rFonts w:cs="Arial"/>
              </w:rPr>
            </w:pPr>
            <w:r w:rsidRPr="001514E8">
              <w:rPr>
                <w:rFonts w:cs="Arial"/>
                <w:b/>
                <w:bCs/>
                <w:color w:val="4F81BD" w:themeColor="accent1"/>
              </w:rPr>
              <w:t>R.1-3:</w:t>
            </w:r>
            <w:r w:rsidRPr="001514E8">
              <w:rPr>
                <w:rFonts w:cs="Arial"/>
              </w:rPr>
              <w:t xml:space="preserve"> </w:t>
            </w:r>
            <w:r w:rsidRPr="001514E8">
              <w:t>Mayor porcentaje de asignaciones inscritas en el Registro Internacional de Frecuencias con conclusión favorable</w:t>
            </w:r>
          </w:p>
        </w:tc>
        <w:tc>
          <w:tcPr>
            <w:tcW w:w="4303" w:type="dxa"/>
          </w:tcPr>
          <w:p w:rsidR="000C01DF" w:rsidRPr="001514E8" w:rsidRDefault="000C01DF" w:rsidP="001514E8">
            <w:pPr>
              <w:pStyle w:val="Tabletext"/>
            </w:pPr>
            <w:r w:rsidRPr="001514E8">
              <w:t>Sujetas a coordinación (Terrenal)</w:t>
            </w:r>
          </w:p>
        </w:tc>
        <w:tc>
          <w:tcPr>
            <w:tcW w:w="907" w:type="dxa"/>
          </w:tcPr>
          <w:p w:rsidR="000C01DF" w:rsidRPr="00F52E4B" w:rsidRDefault="000C01DF" w:rsidP="001514E8">
            <w:pPr>
              <w:pStyle w:val="Tabletext"/>
              <w:jc w:val="center"/>
            </w:pPr>
            <w:r w:rsidRPr="00F52E4B">
              <w:t>99,87%</w:t>
            </w:r>
          </w:p>
        </w:tc>
        <w:tc>
          <w:tcPr>
            <w:tcW w:w="907" w:type="dxa"/>
          </w:tcPr>
          <w:p w:rsidR="000C01DF" w:rsidRPr="00F52E4B" w:rsidRDefault="000C01DF" w:rsidP="001514E8">
            <w:pPr>
              <w:pStyle w:val="Tabletext"/>
              <w:jc w:val="center"/>
            </w:pPr>
            <w:r w:rsidRPr="00F52E4B">
              <w:t>99,88%</w:t>
            </w:r>
          </w:p>
        </w:tc>
        <w:tc>
          <w:tcPr>
            <w:tcW w:w="907" w:type="dxa"/>
          </w:tcPr>
          <w:p w:rsidR="000C01DF" w:rsidRPr="00F52E4B" w:rsidRDefault="000C01DF" w:rsidP="001514E8">
            <w:pPr>
              <w:pStyle w:val="Tabletext"/>
              <w:jc w:val="center"/>
            </w:pPr>
            <w:r w:rsidRPr="00F52E4B">
              <w:t>99,86%</w:t>
            </w:r>
          </w:p>
        </w:tc>
        <w:tc>
          <w:tcPr>
            <w:tcW w:w="907" w:type="dxa"/>
          </w:tcPr>
          <w:p w:rsidR="000C01DF" w:rsidRPr="00F52E4B" w:rsidRDefault="000C01DF" w:rsidP="001514E8">
            <w:pPr>
              <w:pStyle w:val="Tabletext"/>
              <w:jc w:val="center"/>
            </w:pPr>
            <w:r w:rsidRPr="00F52E4B">
              <w:t>99,87%</w:t>
            </w:r>
          </w:p>
        </w:tc>
        <w:tc>
          <w:tcPr>
            <w:tcW w:w="1134" w:type="dxa"/>
          </w:tcPr>
          <w:p w:rsidR="000C01DF" w:rsidRPr="00F52E4B" w:rsidRDefault="000C01DF" w:rsidP="001514E8">
            <w:pPr>
              <w:pStyle w:val="Tabletext"/>
              <w:jc w:val="center"/>
            </w:pPr>
            <w:r w:rsidRPr="00F52E4B">
              <w:t>99,99%</w:t>
            </w:r>
          </w:p>
        </w:tc>
        <w:tc>
          <w:tcPr>
            <w:tcW w:w="1247" w:type="dxa"/>
            <w:vMerge w:val="restart"/>
          </w:tcPr>
          <w:p w:rsidR="000C01DF" w:rsidRPr="001514E8" w:rsidRDefault="000C01DF" w:rsidP="001514E8">
            <w:pPr>
              <w:pStyle w:val="Tabletext"/>
              <w:jc w:val="center"/>
            </w:pPr>
            <w:r w:rsidRPr="001514E8">
              <w:t>BR/MIFR</w:t>
            </w:r>
          </w:p>
        </w:tc>
      </w:tr>
      <w:tr w:rsidR="000C01DF" w:rsidRPr="001514E8" w:rsidTr="00A31BB6">
        <w:trPr>
          <w:jc w:val="center"/>
        </w:trPr>
        <w:tc>
          <w:tcPr>
            <w:tcW w:w="3691" w:type="dxa"/>
            <w:vMerge/>
          </w:tcPr>
          <w:p w:rsidR="000C01DF" w:rsidRPr="001514E8" w:rsidRDefault="000C01DF" w:rsidP="001514E8">
            <w:pPr>
              <w:pStyle w:val="Tabletext"/>
              <w:rPr>
                <w:rFonts w:cs="Arial"/>
                <w:color w:val="4F81BD" w:themeColor="accent1"/>
              </w:rPr>
            </w:pPr>
          </w:p>
        </w:tc>
        <w:tc>
          <w:tcPr>
            <w:tcW w:w="4303" w:type="dxa"/>
          </w:tcPr>
          <w:p w:rsidR="000C01DF" w:rsidRPr="001514E8" w:rsidRDefault="000C01DF" w:rsidP="001514E8">
            <w:pPr>
              <w:pStyle w:val="Tabletext"/>
            </w:pPr>
            <w:r w:rsidRPr="001514E8">
              <w:t>Sujetas a un Plan (Terrenal)</w:t>
            </w:r>
          </w:p>
        </w:tc>
        <w:tc>
          <w:tcPr>
            <w:tcW w:w="907" w:type="dxa"/>
          </w:tcPr>
          <w:p w:rsidR="000C01DF" w:rsidRPr="00F52E4B" w:rsidRDefault="000C01DF" w:rsidP="001514E8">
            <w:pPr>
              <w:pStyle w:val="Tabletext"/>
              <w:jc w:val="center"/>
            </w:pPr>
            <w:r w:rsidRPr="00F52E4B">
              <w:t>74,46%</w:t>
            </w:r>
          </w:p>
        </w:tc>
        <w:tc>
          <w:tcPr>
            <w:tcW w:w="907" w:type="dxa"/>
          </w:tcPr>
          <w:p w:rsidR="000C01DF" w:rsidRPr="00F52E4B" w:rsidRDefault="000C01DF" w:rsidP="001514E8">
            <w:pPr>
              <w:pStyle w:val="Tabletext"/>
              <w:jc w:val="center"/>
            </w:pPr>
            <w:r w:rsidRPr="00F52E4B">
              <w:t>74,32%</w:t>
            </w:r>
          </w:p>
        </w:tc>
        <w:tc>
          <w:tcPr>
            <w:tcW w:w="907" w:type="dxa"/>
          </w:tcPr>
          <w:p w:rsidR="000C01DF" w:rsidRPr="00F52E4B" w:rsidRDefault="000C01DF" w:rsidP="001514E8">
            <w:pPr>
              <w:pStyle w:val="Tabletext"/>
              <w:jc w:val="center"/>
            </w:pPr>
            <w:r w:rsidRPr="00F52E4B">
              <w:t>74,40%</w:t>
            </w:r>
          </w:p>
        </w:tc>
        <w:tc>
          <w:tcPr>
            <w:tcW w:w="907" w:type="dxa"/>
          </w:tcPr>
          <w:p w:rsidR="000C01DF" w:rsidRPr="00F52E4B" w:rsidRDefault="000C01DF" w:rsidP="001514E8">
            <w:pPr>
              <w:pStyle w:val="Tabletext"/>
              <w:jc w:val="center"/>
            </w:pPr>
            <w:r w:rsidRPr="00F52E4B">
              <w:t>74,46%</w:t>
            </w:r>
          </w:p>
        </w:tc>
        <w:tc>
          <w:tcPr>
            <w:tcW w:w="1134" w:type="dxa"/>
          </w:tcPr>
          <w:p w:rsidR="000C01DF" w:rsidRPr="00F52E4B" w:rsidRDefault="000C01DF" w:rsidP="001514E8">
            <w:pPr>
              <w:pStyle w:val="Tabletext"/>
              <w:jc w:val="center"/>
            </w:pPr>
            <w:r w:rsidRPr="00F52E4B">
              <w:t>75%</w:t>
            </w:r>
          </w:p>
        </w:tc>
        <w:tc>
          <w:tcPr>
            <w:tcW w:w="1247" w:type="dxa"/>
            <w:vMerge/>
          </w:tcPr>
          <w:p w:rsidR="000C01DF" w:rsidRPr="001514E8" w:rsidRDefault="000C01DF" w:rsidP="001514E8">
            <w:pPr>
              <w:pStyle w:val="Tabletext"/>
              <w:jc w:val="center"/>
            </w:pPr>
          </w:p>
        </w:tc>
      </w:tr>
      <w:tr w:rsidR="000C01DF" w:rsidRPr="001514E8" w:rsidTr="00A31BB6">
        <w:trPr>
          <w:jc w:val="center"/>
        </w:trPr>
        <w:tc>
          <w:tcPr>
            <w:tcW w:w="3691" w:type="dxa"/>
            <w:vMerge/>
          </w:tcPr>
          <w:p w:rsidR="000C01DF" w:rsidRPr="001514E8" w:rsidRDefault="000C01DF" w:rsidP="001514E8">
            <w:pPr>
              <w:pStyle w:val="Tabletext"/>
              <w:rPr>
                <w:rFonts w:cs="Arial"/>
                <w:color w:val="4F81BD" w:themeColor="accent1"/>
              </w:rPr>
            </w:pPr>
          </w:p>
        </w:tc>
        <w:tc>
          <w:tcPr>
            <w:tcW w:w="4303" w:type="dxa"/>
          </w:tcPr>
          <w:p w:rsidR="000C01DF" w:rsidRPr="001514E8" w:rsidRDefault="000C01DF" w:rsidP="001514E8">
            <w:pPr>
              <w:pStyle w:val="Tabletext"/>
            </w:pPr>
            <w:r w:rsidRPr="001514E8">
              <w:t>Otras</w:t>
            </w:r>
          </w:p>
        </w:tc>
        <w:tc>
          <w:tcPr>
            <w:tcW w:w="907" w:type="dxa"/>
          </w:tcPr>
          <w:p w:rsidR="000C01DF" w:rsidRPr="00F52E4B" w:rsidRDefault="000C01DF" w:rsidP="001514E8">
            <w:pPr>
              <w:pStyle w:val="Tabletext"/>
              <w:jc w:val="center"/>
            </w:pPr>
            <w:r w:rsidRPr="00F52E4B">
              <w:t>98,37%</w:t>
            </w:r>
          </w:p>
        </w:tc>
        <w:tc>
          <w:tcPr>
            <w:tcW w:w="907" w:type="dxa"/>
          </w:tcPr>
          <w:p w:rsidR="000C01DF" w:rsidRPr="00F52E4B" w:rsidRDefault="000C01DF" w:rsidP="001514E8">
            <w:pPr>
              <w:pStyle w:val="Tabletext"/>
              <w:jc w:val="center"/>
            </w:pPr>
            <w:r w:rsidRPr="00F52E4B">
              <w:t>98,46%</w:t>
            </w:r>
          </w:p>
        </w:tc>
        <w:tc>
          <w:tcPr>
            <w:tcW w:w="907" w:type="dxa"/>
          </w:tcPr>
          <w:p w:rsidR="000C01DF" w:rsidRPr="00F52E4B" w:rsidRDefault="000C01DF" w:rsidP="001514E8">
            <w:pPr>
              <w:pStyle w:val="Tabletext"/>
              <w:jc w:val="center"/>
            </w:pPr>
            <w:r w:rsidRPr="00F52E4B">
              <w:t>98,46%</w:t>
            </w:r>
          </w:p>
        </w:tc>
        <w:tc>
          <w:tcPr>
            <w:tcW w:w="907" w:type="dxa"/>
          </w:tcPr>
          <w:p w:rsidR="000C01DF" w:rsidRPr="00F52E4B" w:rsidRDefault="000C01DF" w:rsidP="001514E8">
            <w:pPr>
              <w:pStyle w:val="Tabletext"/>
              <w:jc w:val="center"/>
            </w:pPr>
            <w:r w:rsidRPr="00F52E4B">
              <w:t>98,49%</w:t>
            </w:r>
          </w:p>
        </w:tc>
        <w:tc>
          <w:tcPr>
            <w:tcW w:w="1134" w:type="dxa"/>
          </w:tcPr>
          <w:p w:rsidR="000C01DF" w:rsidRPr="00F52E4B" w:rsidRDefault="000C01DF" w:rsidP="001514E8">
            <w:pPr>
              <w:pStyle w:val="Tabletext"/>
              <w:jc w:val="center"/>
            </w:pPr>
            <w:r w:rsidRPr="00F52E4B">
              <w:t>98,49%</w:t>
            </w:r>
          </w:p>
        </w:tc>
        <w:tc>
          <w:tcPr>
            <w:tcW w:w="1247" w:type="dxa"/>
            <w:vMerge/>
          </w:tcPr>
          <w:p w:rsidR="000C01DF" w:rsidRPr="001514E8" w:rsidRDefault="000C01DF" w:rsidP="001514E8">
            <w:pPr>
              <w:pStyle w:val="Tabletext"/>
              <w:jc w:val="center"/>
            </w:pPr>
          </w:p>
        </w:tc>
      </w:tr>
      <w:tr w:rsidR="000C01DF" w:rsidRPr="001514E8" w:rsidTr="00A31BB6">
        <w:trPr>
          <w:jc w:val="center"/>
        </w:trPr>
        <w:tc>
          <w:tcPr>
            <w:tcW w:w="3691" w:type="dxa"/>
          </w:tcPr>
          <w:p w:rsidR="000C01DF" w:rsidRPr="001514E8" w:rsidRDefault="000C01DF" w:rsidP="001514E8">
            <w:pPr>
              <w:pStyle w:val="Tabletext"/>
              <w:rPr>
                <w:rFonts w:cs="Arial"/>
              </w:rPr>
            </w:pPr>
            <w:r w:rsidRPr="001514E8">
              <w:rPr>
                <w:rFonts w:cs="Arial"/>
                <w:b/>
                <w:bCs/>
                <w:color w:val="4F81BD" w:themeColor="accent1"/>
              </w:rPr>
              <w:t>R.1-4:</w:t>
            </w:r>
            <w:r w:rsidRPr="001514E8">
              <w:rPr>
                <w:rFonts w:cs="Arial"/>
              </w:rPr>
              <w:t xml:space="preserve"> </w:t>
            </w:r>
            <w:r w:rsidRPr="001514E8">
              <w:t>Mayor porcentaje de países que han completado la transición a la radiodifusión de televisión terrenal digital</w:t>
            </w:r>
          </w:p>
        </w:tc>
        <w:tc>
          <w:tcPr>
            <w:tcW w:w="4303" w:type="dxa"/>
          </w:tcPr>
          <w:p w:rsidR="000C01DF" w:rsidRPr="001514E8" w:rsidRDefault="000C01DF" w:rsidP="001514E8">
            <w:pPr>
              <w:pStyle w:val="Tabletext"/>
            </w:pPr>
            <w:r w:rsidRPr="001514E8">
              <w:t>Porcentaje de países que han completado la transición a la radiodifusión de televisión terrenal digital</w:t>
            </w:r>
          </w:p>
        </w:tc>
        <w:tc>
          <w:tcPr>
            <w:tcW w:w="907" w:type="dxa"/>
          </w:tcPr>
          <w:p w:rsidR="000C01DF" w:rsidRPr="00F52E4B" w:rsidRDefault="000C01DF" w:rsidP="001514E8">
            <w:pPr>
              <w:pStyle w:val="Tabletext"/>
              <w:jc w:val="center"/>
            </w:pPr>
            <w:r w:rsidRPr="00F52E4B">
              <w:t>27%</w:t>
            </w:r>
          </w:p>
        </w:tc>
        <w:tc>
          <w:tcPr>
            <w:tcW w:w="907" w:type="dxa"/>
          </w:tcPr>
          <w:p w:rsidR="000C01DF" w:rsidRPr="00F52E4B" w:rsidRDefault="000C01DF" w:rsidP="001514E8">
            <w:pPr>
              <w:pStyle w:val="Tabletext"/>
              <w:jc w:val="center"/>
            </w:pPr>
            <w:r w:rsidRPr="00F52E4B">
              <w:t>28%</w:t>
            </w:r>
          </w:p>
        </w:tc>
        <w:tc>
          <w:tcPr>
            <w:tcW w:w="907" w:type="dxa"/>
          </w:tcPr>
          <w:p w:rsidR="000C01DF" w:rsidRPr="00F52E4B" w:rsidRDefault="000C01DF" w:rsidP="001514E8">
            <w:pPr>
              <w:pStyle w:val="Tabletext"/>
              <w:jc w:val="center"/>
            </w:pPr>
            <w:r w:rsidRPr="00F52E4B">
              <w:t>30%</w:t>
            </w:r>
          </w:p>
        </w:tc>
        <w:tc>
          <w:tcPr>
            <w:tcW w:w="907" w:type="dxa"/>
          </w:tcPr>
          <w:p w:rsidR="000C01DF" w:rsidRPr="00F52E4B" w:rsidRDefault="000C01DF" w:rsidP="001514E8">
            <w:pPr>
              <w:pStyle w:val="Tabletext"/>
              <w:jc w:val="center"/>
            </w:pPr>
            <w:r w:rsidRPr="00F52E4B">
              <w:t>30%</w:t>
            </w:r>
          </w:p>
        </w:tc>
        <w:tc>
          <w:tcPr>
            <w:tcW w:w="1134" w:type="dxa"/>
          </w:tcPr>
          <w:p w:rsidR="000C01DF" w:rsidRPr="00F52E4B" w:rsidRDefault="000C01DF" w:rsidP="001514E8">
            <w:pPr>
              <w:pStyle w:val="Tabletext"/>
              <w:jc w:val="center"/>
            </w:pPr>
            <w:r w:rsidRPr="00F52E4B">
              <w:t>70%</w:t>
            </w:r>
          </w:p>
        </w:tc>
        <w:tc>
          <w:tcPr>
            <w:tcW w:w="1247" w:type="dxa"/>
          </w:tcPr>
          <w:p w:rsidR="000C01DF" w:rsidRPr="001514E8" w:rsidRDefault="000C01DF" w:rsidP="001514E8">
            <w:pPr>
              <w:pStyle w:val="Tabletext"/>
              <w:jc w:val="center"/>
            </w:pPr>
            <w:r w:rsidRPr="001514E8">
              <w:t>BR y BDT</w:t>
            </w:r>
          </w:p>
        </w:tc>
      </w:tr>
      <w:tr w:rsidR="000C01DF" w:rsidRPr="001514E8" w:rsidTr="00A31BB6">
        <w:trPr>
          <w:jc w:val="center"/>
        </w:trPr>
        <w:tc>
          <w:tcPr>
            <w:tcW w:w="3691" w:type="dxa"/>
          </w:tcPr>
          <w:p w:rsidR="000C01DF" w:rsidRPr="001514E8" w:rsidRDefault="000C01DF" w:rsidP="001514E8">
            <w:pPr>
              <w:pStyle w:val="Tabletext"/>
              <w:rPr>
                <w:rFonts w:cs="Arial"/>
                <w:color w:val="4F81BD" w:themeColor="accent1"/>
              </w:rPr>
            </w:pPr>
            <w:r w:rsidRPr="001514E8">
              <w:rPr>
                <w:rFonts w:cs="Arial"/>
                <w:b/>
                <w:bCs/>
                <w:color w:val="4F81BD" w:themeColor="accent1"/>
              </w:rPr>
              <w:t>R.1-5:</w:t>
            </w:r>
            <w:r w:rsidRPr="001514E8">
              <w:rPr>
                <w:rFonts w:cs="Arial"/>
                <w:color w:val="4F81BD" w:themeColor="accent1"/>
              </w:rPr>
              <w:t xml:space="preserve"> </w:t>
            </w:r>
            <w:r w:rsidRPr="001514E8">
              <w:rPr>
                <w:rFonts w:cs="Arial"/>
                <w:color w:val="000000" w:themeColor="text1"/>
              </w:rPr>
              <w:t>Mayor porcentaje de espectro exento de interferencia perjudicial asignado a redes de satélite</w:t>
            </w:r>
          </w:p>
        </w:tc>
        <w:tc>
          <w:tcPr>
            <w:tcW w:w="4303" w:type="dxa"/>
          </w:tcPr>
          <w:p w:rsidR="000C01DF" w:rsidRPr="001514E8" w:rsidRDefault="000C01DF" w:rsidP="001514E8">
            <w:pPr>
              <w:pStyle w:val="Tabletext"/>
            </w:pPr>
            <w:r w:rsidRPr="001514E8">
              <w:t>Porcentaje de espectro asignado a redes de satélites que está libre de interferencia perjudicial</w:t>
            </w:r>
          </w:p>
        </w:tc>
        <w:tc>
          <w:tcPr>
            <w:tcW w:w="907" w:type="dxa"/>
          </w:tcPr>
          <w:p w:rsidR="000C01DF" w:rsidRPr="001514E8" w:rsidRDefault="000C01DF" w:rsidP="001514E8">
            <w:pPr>
              <w:pStyle w:val="Tabletext"/>
              <w:jc w:val="center"/>
            </w:pPr>
            <w:r w:rsidRPr="001514E8">
              <w:t>99,96%</w:t>
            </w:r>
          </w:p>
        </w:tc>
        <w:tc>
          <w:tcPr>
            <w:tcW w:w="907" w:type="dxa"/>
          </w:tcPr>
          <w:p w:rsidR="000C01DF" w:rsidRPr="001514E8" w:rsidRDefault="000C01DF" w:rsidP="001514E8">
            <w:pPr>
              <w:pStyle w:val="Tabletext"/>
              <w:jc w:val="center"/>
            </w:pPr>
            <w:r w:rsidRPr="001514E8">
              <w:t>99,96%</w:t>
            </w:r>
          </w:p>
        </w:tc>
        <w:tc>
          <w:tcPr>
            <w:tcW w:w="907" w:type="dxa"/>
          </w:tcPr>
          <w:p w:rsidR="000C01DF" w:rsidRPr="001514E8" w:rsidRDefault="000C01DF" w:rsidP="001514E8">
            <w:pPr>
              <w:pStyle w:val="Tabletext"/>
              <w:jc w:val="center"/>
            </w:pPr>
            <w:r w:rsidRPr="001514E8">
              <w:t>99,96%</w:t>
            </w:r>
          </w:p>
        </w:tc>
        <w:tc>
          <w:tcPr>
            <w:tcW w:w="907" w:type="dxa"/>
          </w:tcPr>
          <w:p w:rsidR="000C01DF" w:rsidRPr="001514E8" w:rsidRDefault="000C01DF" w:rsidP="001514E8">
            <w:pPr>
              <w:pStyle w:val="Tabletext"/>
              <w:jc w:val="center"/>
            </w:pPr>
            <w:r w:rsidRPr="001514E8">
              <w:t>99,94%</w:t>
            </w:r>
          </w:p>
        </w:tc>
        <w:tc>
          <w:tcPr>
            <w:tcW w:w="1134" w:type="dxa"/>
          </w:tcPr>
          <w:p w:rsidR="000C01DF" w:rsidRPr="001514E8" w:rsidRDefault="000C01DF" w:rsidP="001514E8">
            <w:pPr>
              <w:pStyle w:val="Tabletext"/>
              <w:jc w:val="center"/>
            </w:pPr>
            <w:r w:rsidRPr="001514E8">
              <w:t>99,99%</w:t>
            </w:r>
          </w:p>
        </w:tc>
        <w:tc>
          <w:tcPr>
            <w:tcW w:w="1247" w:type="dxa"/>
          </w:tcPr>
          <w:p w:rsidR="000C01DF" w:rsidRPr="001514E8" w:rsidRDefault="000C01DF" w:rsidP="001514E8">
            <w:pPr>
              <w:pStyle w:val="Tabletext"/>
              <w:jc w:val="center"/>
            </w:pPr>
            <w:r w:rsidRPr="001514E8">
              <w:t>BR/MIFR</w:t>
            </w:r>
          </w:p>
        </w:tc>
      </w:tr>
      <w:tr w:rsidR="000C01DF" w:rsidRPr="001514E8" w:rsidTr="00A31BB6">
        <w:trPr>
          <w:jc w:val="center"/>
        </w:trPr>
        <w:tc>
          <w:tcPr>
            <w:tcW w:w="3691" w:type="dxa"/>
          </w:tcPr>
          <w:p w:rsidR="000C01DF" w:rsidRPr="001514E8" w:rsidRDefault="000C01DF" w:rsidP="001514E8">
            <w:pPr>
              <w:pStyle w:val="Tabletext"/>
              <w:rPr>
                <w:rFonts w:cs="Arial"/>
                <w:color w:val="4F81BD" w:themeColor="accent1"/>
              </w:rPr>
            </w:pPr>
            <w:r w:rsidRPr="001514E8">
              <w:rPr>
                <w:rFonts w:cs="Arial"/>
                <w:b/>
                <w:bCs/>
                <w:color w:val="4F81BD" w:themeColor="accent1"/>
              </w:rPr>
              <w:t>R.1-6:</w:t>
            </w:r>
            <w:r w:rsidRPr="001514E8">
              <w:rPr>
                <w:rFonts w:cs="Arial"/>
                <w:color w:val="4F81BD" w:themeColor="accent1"/>
              </w:rPr>
              <w:t xml:space="preserve"> </w:t>
            </w:r>
            <w:r w:rsidRPr="001514E8">
              <w:rPr>
                <w:rFonts w:cs="Arial"/>
                <w:color w:val="000000" w:themeColor="text1"/>
              </w:rPr>
              <w:t>Mayor porcentaje de asignaciones exentas de interferencias perjudiciales a servicios terrenales inscritas en el Registro</w:t>
            </w:r>
          </w:p>
        </w:tc>
        <w:tc>
          <w:tcPr>
            <w:tcW w:w="4303" w:type="dxa"/>
          </w:tcPr>
          <w:p w:rsidR="000C01DF" w:rsidRPr="001514E8" w:rsidRDefault="000C01DF" w:rsidP="001514E8">
            <w:pPr>
              <w:pStyle w:val="Tabletext"/>
            </w:pPr>
            <w:r w:rsidRPr="001514E8">
              <w:t>Porcentaje de asignaciones a los servicios terrenales inscritas en el Registro que están libres de interferencia perjudicial (sobre la base del número de casos presentados a la UIT)</w:t>
            </w:r>
          </w:p>
        </w:tc>
        <w:tc>
          <w:tcPr>
            <w:tcW w:w="907" w:type="dxa"/>
          </w:tcPr>
          <w:p w:rsidR="000C01DF" w:rsidRPr="001514E8" w:rsidRDefault="000C01DF" w:rsidP="001514E8">
            <w:pPr>
              <w:pStyle w:val="Tabletext"/>
              <w:jc w:val="center"/>
            </w:pPr>
            <w:r w:rsidRPr="001514E8">
              <w:t>99,99%</w:t>
            </w:r>
          </w:p>
        </w:tc>
        <w:tc>
          <w:tcPr>
            <w:tcW w:w="907" w:type="dxa"/>
          </w:tcPr>
          <w:p w:rsidR="000C01DF" w:rsidRPr="001514E8" w:rsidRDefault="000C01DF" w:rsidP="001514E8">
            <w:pPr>
              <w:pStyle w:val="Tabletext"/>
              <w:jc w:val="center"/>
            </w:pPr>
            <w:r w:rsidRPr="001514E8">
              <w:t>99,99%</w:t>
            </w:r>
          </w:p>
        </w:tc>
        <w:tc>
          <w:tcPr>
            <w:tcW w:w="907" w:type="dxa"/>
          </w:tcPr>
          <w:p w:rsidR="000C01DF" w:rsidRPr="001514E8" w:rsidRDefault="000C01DF" w:rsidP="001514E8">
            <w:pPr>
              <w:pStyle w:val="Tabletext"/>
              <w:jc w:val="center"/>
            </w:pPr>
            <w:r w:rsidRPr="001514E8">
              <w:t>99,99%</w:t>
            </w:r>
          </w:p>
        </w:tc>
        <w:tc>
          <w:tcPr>
            <w:tcW w:w="907" w:type="dxa"/>
          </w:tcPr>
          <w:p w:rsidR="000C01DF" w:rsidRPr="001514E8" w:rsidRDefault="000C01DF" w:rsidP="001514E8">
            <w:pPr>
              <w:pStyle w:val="Tabletext"/>
              <w:jc w:val="center"/>
            </w:pPr>
            <w:r w:rsidRPr="001514E8">
              <w:t>99,99%</w:t>
            </w:r>
          </w:p>
        </w:tc>
        <w:tc>
          <w:tcPr>
            <w:tcW w:w="1134" w:type="dxa"/>
          </w:tcPr>
          <w:p w:rsidR="000C01DF" w:rsidRPr="001514E8" w:rsidRDefault="000C01DF" w:rsidP="001514E8">
            <w:pPr>
              <w:pStyle w:val="Tabletext"/>
              <w:jc w:val="center"/>
            </w:pPr>
            <w:r w:rsidRPr="001514E8">
              <w:t>99,99%</w:t>
            </w:r>
          </w:p>
        </w:tc>
        <w:tc>
          <w:tcPr>
            <w:tcW w:w="1247" w:type="dxa"/>
          </w:tcPr>
          <w:p w:rsidR="000C01DF" w:rsidRPr="001514E8" w:rsidRDefault="000C01DF" w:rsidP="001514E8">
            <w:pPr>
              <w:pStyle w:val="Tabletext"/>
              <w:jc w:val="center"/>
            </w:pPr>
            <w:r w:rsidRPr="001514E8">
              <w:t>BR/MIFR</w:t>
            </w:r>
          </w:p>
        </w:tc>
      </w:tr>
    </w:tbl>
    <w:p w:rsidR="000C01DF" w:rsidRDefault="000C01DF" w:rsidP="00513A0E"/>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698"/>
        <w:gridCol w:w="1386"/>
        <w:gridCol w:w="1343"/>
        <w:gridCol w:w="1358"/>
        <w:gridCol w:w="1372"/>
      </w:tblGrid>
      <w:tr w:rsidR="000C01DF" w:rsidRPr="008930FD" w:rsidTr="00A31BB6">
        <w:trPr>
          <w:jc w:val="center"/>
        </w:trPr>
        <w:tc>
          <w:tcPr>
            <w:tcW w:w="8698" w:type="dxa"/>
            <w:shd w:val="clear" w:color="auto" w:fill="4F81BD" w:themeFill="accent1"/>
          </w:tcPr>
          <w:p w:rsidR="000C01DF" w:rsidRPr="001514E8" w:rsidRDefault="000C01DF" w:rsidP="001514E8">
            <w:pPr>
              <w:pStyle w:val="Tablehead"/>
              <w:rPr>
                <w:color w:val="FFFFFF" w:themeColor="background1"/>
              </w:rPr>
            </w:pPr>
            <w:r w:rsidRPr="001514E8">
              <w:rPr>
                <w:color w:val="FFFFFF" w:themeColor="background1"/>
              </w:rPr>
              <w:t>Producto</w:t>
            </w:r>
          </w:p>
        </w:tc>
        <w:tc>
          <w:tcPr>
            <w:tcW w:w="5459" w:type="dxa"/>
            <w:gridSpan w:val="4"/>
            <w:shd w:val="clear" w:color="auto" w:fill="4F81BD" w:themeFill="accent1"/>
          </w:tcPr>
          <w:p w:rsidR="000C01DF" w:rsidRPr="001514E8" w:rsidRDefault="000C01DF" w:rsidP="009350DF">
            <w:pPr>
              <w:pStyle w:val="Tablehead"/>
              <w:rPr>
                <w:color w:val="FFFFFF" w:themeColor="background1"/>
                <w:lang w:val="es-ES"/>
              </w:rPr>
            </w:pPr>
            <w:r w:rsidRPr="001514E8">
              <w:rPr>
                <w:color w:val="FFFFFF" w:themeColor="background1"/>
                <w:lang w:val="es-ES"/>
              </w:rPr>
              <w:t>Recursos financieros</w:t>
            </w:r>
            <w:r w:rsidR="009350DF">
              <w:rPr>
                <w:rStyle w:val="FootnoteReference"/>
                <w:color w:val="FFFFFF" w:themeColor="background1"/>
                <w:lang w:val="es-ES"/>
              </w:rPr>
              <w:footnoteReference w:id="2"/>
            </w:r>
            <w:r w:rsidRPr="001514E8">
              <w:rPr>
                <w:color w:val="FFFFFF" w:themeColor="background1"/>
                <w:lang w:val="es-ES"/>
              </w:rPr>
              <w:t xml:space="preserve"> (en miles CHF)</w:t>
            </w:r>
          </w:p>
        </w:tc>
      </w:tr>
      <w:tr w:rsidR="000C01DF" w:rsidRPr="001514E8" w:rsidTr="00A31BB6">
        <w:trPr>
          <w:jc w:val="center"/>
        </w:trPr>
        <w:tc>
          <w:tcPr>
            <w:tcW w:w="8698" w:type="dxa"/>
          </w:tcPr>
          <w:p w:rsidR="000C01DF" w:rsidRPr="001514E8" w:rsidRDefault="000C01DF" w:rsidP="001514E8">
            <w:pPr>
              <w:pStyle w:val="Tablehead"/>
              <w:rPr>
                <w:lang w:val="es-ES"/>
              </w:rPr>
            </w:pPr>
          </w:p>
        </w:tc>
        <w:tc>
          <w:tcPr>
            <w:tcW w:w="1386" w:type="dxa"/>
          </w:tcPr>
          <w:p w:rsidR="000C01DF" w:rsidRPr="001514E8" w:rsidRDefault="000C01DF" w:rsidP="001514E8">
            <w:pPr>
              <w:pStyle w:val="Tablehead"/>
              <w:rPr>
                <w:color w:val="4F81BD" w:themeColor="accent1"/>
              </w:rPr>
            </w:pPr>
            <w:r w:rsidRPr="001514E8">
              <w:rPr>
                <w:color w:val="4F81BD" w:themeColor="accent1"/>
              </w:rPr>
              <w:t>2020</w:t>
            </w:r>
          </w:p>
        </w:tc>
        <w:tc>
          <w:tcPr>
            <w:tcW w:w="1343" w:type="dxa"/>
          </w:tcPr>
          <w:p w:rsidR="000C01DF" w:rsidRPr="001514E8" w:rsidRDefault="000C01DF" w:rsidP="001514E8">
            <w:pPr>
              <w:pStyle w:val="Tablehead"/>
              <w:rPr>
                <w:color w:val="4F81BD" w:themeColor="accent1"/>
              </w:rPr>
            </w:pPr>
            <w:r w:rsidRPr="001514E8">
              <w:rPr>
                <w:color w:val="4F81BD" w:themeColor="accent1"/>
              </w:rPr>
              <w:t>2021</w:t>
            </w:r>
          </w:p>
        </w:tc>
        <w:tc>
          <w:tcPr>
            <w:tcW w:w="1358" w:type="dxa"/>
          </w:tcPr>
          <w:p w:rsidR="000C01DF" w:rsidRPr="001514E8" w:rsidRDefault="000C01DF" w:rsidP="001514E8">
            <w:pPr>
              <w:pStyle w:val="Tablehead"/>
              <w:rPr>
                <w:color w:val="4F81BD" w:themeColor="accent1"/>
              </w:rPr>
            </w:pPr>
            <w:r w:rsidRPr="001514E8">
              <w:rPr>
                <w:color w:val="4F81BD" w:themeColor="accent1"/>
              </w:rPr>
              <w:t>2022</w:t>
            </w:r>
          </w:p>
        </w:tc>
        <w:tc>
          <w:tcPr>
            <w:tcW w:w="1372" w:type="dxa"/>
          </w:tcPr>
          <w:p w:rsidR="000C01DF" w:rsidRPr="001514E8" w:rsidRDefault="000C01DF" w:rsidP="001514E8">
            <w:pPr>
              <w:pStyle w:val="Tablehead"/>
              <w:rPr>
                <w:color w:val="4F81BD" w:themeColor="accent1"/>
              </w:rPr>
            </w:pPr>
            <w:r w:rsidRPr="001514E8">
              <w:rPr>
                <w:color w:val="4F81BD" w:themeColor="accent1"/>
              </w:rPr>
              <w:t>2023</w:t>
            </w:r>
          </w:p>
        </w:tc>
      </w:tr>
      <w:tr w:rsidR="000C01DF" w:rsidRPr="001514E8" w:rsidTr="0008742A">
        <w:trPr>
          <w:jc w:val="center"/>
        </w:trPr>
        <w:tc>
          <w:tcPr>
            <w:tcW w:w="8698" w:type="dxa"/>
            <w:vAlign w:val="center"/>
          </w:tcPr>
          <w:p w:rsidR="000C01DF" w:rsidRPr="001514E8" w:rsidRDefault="000C01DF" w:rsidP="001514E8">
            <w:pPr>
              <w:pStyle w:val="Tabletext"/>
              <w:rPr>
                <w:lang w:eastAsia="zh-CN"/>
              </w:rPr>
            </w:pPr>
            <w:r w:rsidRPr="001514E8">
              <w:rPr>
                <w:rFonts w:cs="Arial"/>
                <w:b/>
                <w:bCs/>
                <w:color w:val="4F81BD" w:themeColor="accent1"/>
              </w:rPr>
              <w:t>R.1-1:</w:t>
            </w:r>
            <w:r w:rsidRPr="001514E8">
              <w:rPr>
                <w:color w:val="000000"/>
              </w:rPr>
              <w:t xml:space="preserve"> </w:t>
            </w:r>
            <w:r w:rsidRPr="001514E8">
              <w:t>Actas Finales de Conferencias Mundiales de Radiocomunicaciones, Reglamento de Radiocomunicaciones actualizado</w:t>
            </w:r>
          </w:p>
        </w:tc>
        <w:tc>
          <w:tcPr>
            <w:tcW w:w="1386" w:type="dxa"/>
          </w:tcPr>
          <w:p w:rsidR="000C01DF" w:rsidRPr="00513A0E" w:rsidRDefault="000C01DF" w:rsidP="0008742A">
            <w:pPr>
              <w:pStyle w:val="Tabletext"/>
              <w:jc w:val="center"/>
            </w:pPr>
            <w:r w:rsidRPr="00513A0E">
              <w:t>1 622</w:t>
            </w:r>
          </w:p>
        </w:tc>
        <w:tc>
          <w:tcPr>
            <w:tcW w:w="1343" w:type="dxa"/>
          </w:tcPr>
          <w:p w:rsidR="000C01DF" w:rsidRPr="00513A0E" w:rsidRDefault="000C01DF" w:rsidP="0008742A">
            <w:pPr>
              <w:pStyle w:val="Tabletext"/>
              <w:jc w:val="center"/>
            </w:pPr>
            <w:r w:rsidRPr="00513A0E">
              <w:t>1 685</w:t>
            </w:r>
          </w:p>
        </w:tc>
        <w:tc>
          <w:tcPr>
            <w:tcW w:w="1358" w:type="dxa"/>
          </w:tcPr>
          <w:p w:rsidR="000C01DF" w:rsidRPr="00513A0E" w:rsidRDefault="000C01DF" w:rsidP="0008742A">
            <w:pPr>
              <w:pStyle w:val="Tabletext"/>
              <w:jc w:val="center"/>
            </w:pPr>
            <w:r w:rsidRPr="00513A0E">
              <w:t>1 958</w:t>
            </w:r>
          </w:p>
        </w:tc>
        <w:tc>
          <w:tcPr>
            <w:tcW w:w="1372" w:type="dxa"/>
          </w:tcPr>
          <w:p w:rsidR="000C01DF" w:rsidRPr="00513A0E" w:rsidRDefault="000C01DF" w:rsidP="0008742A">
            <w:pPr>
              <w:pStyle w:val="Tabletext"/>
              <w:jc w:val="center"/>
            </w:pPr>
            <w:r w:rsidRPr="00513A0E">
              <w:t>8 934</w:t>
            </w:r>
          </w:p>
        </w:tc>
      </w:tr>
      <w:tr w:rsidR="000C01DF" w:rsidRPr="001514E8" w:rsidTr="0008742A">
        <w:trPr>
          <w:jc w:val="center"/>
        </w:trPr>
        <w:tc>
          <w:tcPr>
            <w:tcW w:w="8698" w:type="dxa"/>
            <w:vAlign w:val="center"/>
          </w:tcPr>
          <w:p w:rsidR="000C01DF" w:rsidRPr="001514E8" w:rsidRDefault="000C01DF" w:rsidP="001514E8">
            <w:pPr>
              <w:pStyle w:val="Tabletext"/>
              <w:rPr>
                <w:lang w:eastAsia="zh-CN"/>
              </w:rPr>
            </w:pPr>
            <w:r w:rsidRPr="001514E8">
              <w:rPr>
                <w:rFonts w:cs="Arial"/>
                <w:b/>
                <w:bCs/>
                <w:color w:val="4F81BD" w:themeColor="accent1"/>
              </w:rPr>
              <w:t>R.1-2:</w:t>
            </w:r>
            <w:r w:rsidRPr="001514E8">
              <w:rPr>
                <w:color w:val="000000"/>
              </w:rPr>
              <w:t xml:space="preserve"> </w:t>
            </w:r>
            <w:r w:rsidRPr="001514E8">
              <w:t>Actas Finales de Conferencias Regionales de Radiocomunicaciones, Acuerdos Regionales</w:t>
            </w:r>
          </w:p>
        </w:tc>
        <w:tc>
          <w:tcPr>
            <w:tcW w:w="1386" w:type="dxa"/>
          </w:tcPr>
          <w:p w:rsidR="000C01DF" w:rsidRPr="00513A0E" w:rsidRDefault="000C01DF" w:rsidP="0008742A">
            <w:pPr>
              <w:pStyle w:val="Tabletext"/>
              <w:jc w:val="center"/>
            </w:pPr>
            <w:r w:rsidRPr="00513A0E">
              <w:t>644</w:t>
            </w:r>
          </w:p>
        </w:tc>
        <w:tc>
          <w:tcPr>
            <w:tcW w:w="1343" w:type="dxa"/>
          </w:tcPr>
          <w:p w:rsidR="000C01DF" w:rsidRPr="00513A0E" w:rsidRDefault="000C01DF" w:rsidP="0008742A">
            <w:pPr>
              <w:pStyle w:val="Tabletext"/>
              <w:jc w:val="center"/>
            </w:pPr>
            <w:r w:rsidRPr="00513A0E">
              <w:t>637</w:t>
            </w:r>
          </w:p>
        </w:tc>
        <w:tc>
          <w:tcPr>
            <w:tcW w:w="1358" w:type="dxa"/>
          </w:tcPr>
          <w:p w:rsidR="000C01DF" w:rsidRPr="00513A0E" w:rsidRDefault="000C01DF" w:rsidP="0008742A">
            <w:pPr>
              <w:pStyle w:val="Tabletext"/>
              <w:jc w:val="center"/>
            </w:pPr>
            <w:r w:rsidRPr="00513A0E">
              <w:t>258</w:t>
            </w:r>
          </w:p>
        </w:tc>
        <w:tc>
          <w:tcPr>
            <w:tcW w:w="1372" w:type="dxa"/>
          </w:tcPr>
          <w:p w:rsidR="000C01DF" w:rsidRPr="00513A0E" w:rsidRDefault="000C01DF" w:rsidP="0008742A">
            <w:pPr>
              <w:pStyle w:val="Tabletext"/>
              <w:jc w:val="center"/>
            </w:pPr>
            <w:r w:rsidRPr="00513A0E">
              <w:t>344</w:t>
            </w:r>
          </w:p>
        </w:tc>
      </w:tr>
      <w:tr w:rsidR="000C01DF" w:rsidRPr="001514E8" w:rsidTr="0008742A">
        <w:trPr>
          <w:jc w:val="center"/>
        </w:trPr>
        <w:tc>
          <w:tcPr>
            <w:tcW w:w="8698" w:type="dxa"/>
            <w:vAlign w:val="center"/>
          </w:tcPr>
          <w:p w:rsidR="000C01DF" w:rsidRPr="001514E8" w:rsidRDefault="000C01DF" w:rsidP="001514E8">
            <w:pPr>
              <w:pStyle w:val="Tabletext"/>
              <w:rPr>
                <w:lang w:eastAsia="zh-CN"/>
              </w:rPr>
            </w:pPr>
            <w:r w:rsidRPr="001514E8">
              <w:rPr>
                <w:rFonts w:cs="Arial"/>
                <w:b/>
                <w:bCs/>
                <w:color w:val="4F81BD" w:themeColor="accent1"/>
              </w:rPr>
              <w:t>R.1-3:</w:t>
            </w:r>
            <w:r w:rsidRPr="001514E8">
              <w:rPr>
                <w:color w:val="000000"/>
              </w:rPr>
              <w:t xml:space="preserve"> </w:t>
            </w:r>
            <w:r w:rsidRPr="001514E8">
              <w:t>Reglas de Procedimiento adoptadas por la Junta del Reglamento de Radiocomunicaciones (RRB)</w:t>
            </w:r>
          </w:p>
        </w:tc>
        <w:tc>
          <w:tcPr>
            <w:tcW w:w="1386" w:type="dxa"/>
          </w:tcPr>
          <w:p w:rsidR="000C01DF" w:rsidRPr="00513A0E" w:rsidRDefault="000C01DF" w:rsidP="0008742A">
            <w:pPr>
              <w:pStyle w:val="Tabletext"/>
              <w:jc w:val="center"/>
            </w:pPr>
            <w:r w:rsidRPr="00513A0E">
              <w:t>2 387</w:t>
            </w:r>
          </w:p>
        </w:tc>
        <w:tc>
          <w:tcPr>
            <w:tcW w:w="1343" w:type="dxa"/>
          </w:tcPr>
          <w:p w:rsidR="000C01DF" w:rsidRPr="00513A0E" w:rsidRDefault="000C01DF" w:rsidP="0008742A">
            <w:pPr>
              <w:pStyle w:val="Tabletext"/>
              <w:jc w:val="center"/>
            </w:pPr>
            <w:r w:rsidRPr="00513A0E">
              <w:t>2 055</w:t>
            </w:r>
          </w:p>
        </w:tc>
        <w:tc>
          <w:tcPr>
            <w:tcW w:w="1358" w:type="dxa"/>
          </w:tcPr>
          <w:p w:rsidR="000C01DF" w:rsidRPr="00513A0E" w:rsidRDefault="000C01DF" w:rsidP="0008742A">
            <w:pPr>
              <w:pStyle w:val="Tabletext"/>
              <w:jc w:val="center"/>
            </w:pPr>
            <w:r w:rsidRPr="00513A0E">
              <w:t>2 311</w:t>
            </w:r>
          </w:p>
        </w:tc>
        <w:tc>
          <w:tcPr>
            <w:tcW w:w="1372" w:type="dxa"/>
          </w:tcPr>
          <w:p w:rsidR="000C01DF" w:rsidRPr="00513A0E" w:rsidRDefault="000C01DF" w:rsidP="0008742A">
            <w:pPr>
              <w:pStyle w:val="Tabletext"/>
              <w:jc w:val="center"/>
            </w:pPr>
            <w:r w:rsidRPr="00513A0E">
              <w:t>2 322</w:t>
            </w:r>
          </w:p>
        </w:tc>
      </w:tr>
      <w:tr w:rsidR="000C01DF" w:rsidRPr="001514E8" w:rsidTr="0008742A">
        <w:trPr>
          <w:jc w:val="center"/>
        </w:trPr>
        <w:tc>
          <w:tcPr>
            <w:tcW w:w="8698" w:type="dxa"/>
            <w:vAlign w:val="center"/>
          </w:tcPr>
          <w:p w:rsidR="000C01DF" w:rsidRPr="001514E8" w:rsidRDefault="000C01DF" w:rsidP="001514E8">
            <w:pPr>
              <w:pStyle w:val="Tabletext"/>
              <w:rPr>
                <w:lang w:eastAsia="zh-CN"/>
              </w:rPr>
            </w:pPr>
            <w:r w:rsidRPr="001514E8">
              <w:rPr>
                <w:rFonts w:cs="Arial"/>
                <w:b/>
                <w:bCs/>
                <w:color w:val="4F81BD" w:themeColor="accent1"/>
              </w:rPr>
              <w:t>R.1-4:</w:t>
            </w:r>
            <w:r w:rsidRPr="001514E8">
              <w:t xml:space="preserve"> Publicación de notificaciones espaciales y otras actividades conexas</w:t>
            </w:r>
          </w:p>
        </w:tc>
        <w:tc>
          <w:tcPr>
            <w:tcW w:w="1386" w:type="dxa"/>
          </w:tcPr>
          <w:p w:rsidR="000C01DF" w:rsidRPr="00513A0E" w:rsidRDefault="000C01DF" w:rsidP="0008742A">
            <w:pPr>
              <w:pStyle w:val="Tabletext"/>
              <w:jc w:val="center"/>
            </w:pPr>
            <w:r w:rsidRPr="00513A0E">
              <w:t>21 608</w:t>
            </w:r>
          </w:p>
        </w:tc>
        <w:tc>
          <w:tcPr>
            <w:tcW w:w="1343" w:type="dxa"/>
          </w:tcPr>
          <w:p w:rsidR="000C01DF" w:rsidRPr="00513A0E" w:rsidRDefault="000C01DF" w:rsidP="0008742A">
            <w:pPr>
              <w:pStyle w:val="Tabletext"/>
              <w:jc w:val="center"/>
            </w:pPr>
            <w:r w:rsidRPr="00513A0E">
              <w:t>21 280</w:t>
            </w:r>
          </w:p>
        </w:tc>
        <w:tc>
          <w:tcPr>
            <w:tcW w:w="1358" w:type="dxa"/>
          </w:tcPr>
          <w:p w:rsidR="000C01DF" w:rsidRPr="00513A0E" w:rsidRDefault="000C01DF" w:rsidP="0008742A">
            <w:pPr>
              <w:pStyle w:val="Tabletext"/>
              <w:jc w:val="center"/>
            </w:pPr>
            <w:r w:rsidRPr="00513A0E">
              <w:t>16 933</w:t>
            </w:r>
          </w:p>
        </w:tc>
        <w:tc>
          <w:tcPr>
            <w:tcW w:w="1372" w:type="dxa"/>
          </w:tcPr>
          <w:p w:rsidR="000C01DF" w:rsidRPr="00513A0E" w:rsidRDefault="000C01DF" w:rsidP="0008742A">
            <w:pPr>
              <w:pStyle w:val="Tabletext"/>
              <w:jc w:val="center"/>
            </w:pPr>
            <w:r w:rsidRPr="00513A0E">
              <w:t>16 933</w:t>
            </w:r>
          </w:p>
        </w:tc>
      </w:tr>
      <w:tr w:rsidR="000C01DF" w:rsidRPr="001514E8" w:rsidTr="0008742A">
        <w:trPr>
          <w:jc w:val="center"/>
        </w:trPr>
        <w:tc>
          <w:tcPr>
            <w:tcW w:w="8698" w:type="dxa"/>
            <w:vAlign w:val="center"/>
          </w:tcPr>
          <w:p w:rsidR="000C01DF" w:rsidRPr="001514E8" w:rsidRDefault="000C01DF" w:rsidP="001514E8">
            <w:pPr>
              <w:pStyle w:val="Tabletext"/>
              <w:rPr>
                <w:lang w:eastAsia="zh-CN"/>
              </w:rPr>
            </w:pPr>
            <w:r w:rsidRPr="001514E8">
              <w:rPr>
                <w:rFonts w:cs="Arial"/>
                <w:b/>
                <w:bCs/>
                <w:color w:val="4F81BD" w:themeColor="accent1"/>
              </w:rPr>
              <w:t>R.1-5:</w:t>
            </w:r>
            <w:r w:rsidRPr="001514E8">
              <w:rPr>
                <w:b/>
                <w:bCs/>
                <w:color w:val="5B9BD5"/>
              </w:rPr>
              <w:t xml:space="preserve"> </w:t>
            </w:r>
            <w:r w:rsidRPr="001514E8">
              <w:t>Publicación de notificaciones terrenales y otras actividades conexas</w:t>
            </w:r>
          </w:p>
        </w:tc>
        <w:tc>
          <w:tcPr>
            <w:tcW w:w="1386" w:type="dxa"/>
          </w:tcPr>
          <w:p w:rsidR="000C01DF" w:rsidRPr="00513A0E" w:rsidRDefault="000C01DF" w:rsidP="0008742A">
            <w:pPr>
              <w:pStyle w:val="Tabletext"/>
              <w:jc w:val="center"/>
            </w:pPr>
            <w:r w:rsidRPr="00513A0E">
              <w:t>10 321</w:t>
            </w:r>
          </w:p>
        </w:tc>
        <w:tc>
          <w:tcPr>
            <w:tcW w:w="1343" w:type="dxa"/>
          </w:tcPr>
          <w:p w:rsidR="000C01DF" w:rsidRPr="00513A0E" w:rsidRDefault="000C01DF" w:rsidP="0008742A">
            <w:pPr>
              <w:pStyle w:val="Tabletext"/>
              <w:jc w:val="center"/>
            </w:pPr>
            <w:r w:rsidRPr="00513A0E">
              <w:t>10 138</w:t>
            </w:r>
          </w:p>
        </w:tc>
        <w:tc>
          <w:tcPr>
            <w:tcW w:w="1358" w:type="dxa"/>
          </w:tcPr>
          <w:p w:rsidR="000C01DF" w:rsidRPr="00513A0E" w:rsidRDefault="000C01DF" w:rsidP="0008742A">
            <w:pPr>
              <w:pStyle w:val="Tabletext"/>
              <w:jc w:val="center"/>
            </w:pPr>
            <w:r w:rsidRPr="00513A0E">
              <w:t>8 412</w:t>
            </w:r>
          </w:p>
        </w:tc>
        <w:tc>
          <w:tcPr>
            <w:tcW w:w="1372" w:type="dxa"/>
          </w:tcPr>
          <w:p w:rsidR="000C01DF" w:rsidRPr="00513A0E" w:rsidRDefault="000C01DF" w:rsidP="0008742A">
            <w:pPr>
              <w:pStyle w:val="Tabletext"/>
              <w:jc w:val="center"/>
            </w:pPr>
            <w:r w:rsidRPr="00513A0E">
              <w:t>8 083</w:t>
            </w:r>
          </w:p>
        </w:tc>
      </w:tr>
      <w:tr w:rsidR="000C01DF" w:rsidRPr="008930FD" w:rsidTr="0008742A">
        <w:trPr>
          <w:jc w:val="center"/>
        </w:trPr>
        <w:tc>
          <w:tcPr>
            <w:tcW w:w="8698" w:type="dxa"/>
            <w:vAlign w:val="center"/>
          </w:tcPr>
          <w:p w:rsidR="000C01DF" w:rsidRPr="001514E8" w:rsidRDefault="000C01DF" w:rsidP="001514E8">
            <w:pPr>
              <w:pStyle w:val="Tabletext"/>
              <w:rPr>
                <w:b/>
                <w:bCs/>
                <w:color w:val="5B9BD5"/>
              </w:rPr>
            </w:pPr>
            <w:r w:rsidRPr="001514E8">
              <w:t xml:space="preserve">Atribución de costos a las actividades de la Conferencia de Plenipotenciarios y el Consejo </w:t>
            </w:r>
            <w:r w:rsidRPr="001514E8">
              <w:br/>
            </w:r>
            <w:r w:rsidRPr="001514E8">
              <w:rPr>
                <w:b/>
                <w:bCs/>
                <w:color w:val="4F81BD" w:themeColor="accent1"/>
              </w:rPr>
              <w:t>(PP</w:t>
            </w:r>
            <w:r w:rsidRPr="001514E8">
              <w:rPr>
                <w:color w:val="4F81BD" w:themeColor="accent1"/>
              </w:rPr>
              <w:t xml:space="preserve">, </w:t>
            </w:r>
            <w:r w:rsidRPr="001514E8">
              <w:rPr>
                <w:b/>
                <w:bCs/>
                <w:color w:val="4F81BD" w:themeColor="accent1"/>
              </w:rPr>
              <w:t>Consejo/GTC)</w:t>
            </w:r>
          </w:p>
        </w:tc>
        <w:tc>
          <w:tcPr>
            <w:tcW w:w="1386" w:type="dxa"/>
          </w:tcPr>
          <w:p w:rsidR="000C01DF" w:rsidRPr="001514E8" w:rsidRDefault="000C01DF" w:rsidP="0008742A">
            <w:pPr>
              <w:pStyle w:val="Tabletext"/>
              <w:jc w:val="center"/>
            </w:pPr>
          </w:p>
        </w:tc>
        <w:tc>
          <w:tcPr>
            <w:tcW w:w="1343" w:type="dxa"/>
          </w:tcPr>
          <w:p w:rsidR="000C01DF" w:rsidRPr="001514E8" w:rsidRDefault="000C01DF" w:rsidP="0008742A">
            <w:pPr>
              <w:pStyle w:val="Tabletext"/>
              <w:jc w:val="center"/>
            </w:pPr>
          </w:p>
        </w:tc>
        <w:tc>
          <w:tcPr>
            <w:tcW w:w="1358" w:type="dxa"/>
          </w:tcPr>
          <w:p w:rsidR="000C01DF" w:rsidRPr="001514E8" w:rsidRDefault="000C01DF" w:rsidP="0008742A">
            <w:pPr>
              <w:pStyle w:val="Tabletext"/>
              <w:jc w:val="center"/>
            </w:pPr>
          </w:p>
        </w:tc>
        <w:tc>
          <w:tcPr>
            <w:tcW w:w="1372" w:type="dxa"/>
          </w:tcPr>
          <w:p w:rsidR="000C01DF" w:rsidRPr="001514E8" w:rsidRDefault="000C01DF" w:rsidP="0008742A">
            <w:pPr>
              <w:pStyle w:val="Tabletext"/>
              <w:jc w:val="center"/>
            </w:pPr>
          </w:p>
        </w:tc>
      </w:tr>
      <w:tr w:rsidR="000C01DF" w:rsidRPr="008930FD" w:rsidTr="0008742A">
        <w:trPr>
          <w:jc w:val="center"/>
        </w:trPr>
        <w:tc>
          <w:tcPr>
            <w:tcW w:w="8698" w:type="dxa"/>
            <w:vAlign w:val="center"/>
          </w:tcPr>
          <w:p w:rsidR="000C01DF" w:rsidRPr="001514E8" w:rsidRDefault="000C01DF" w:rsidP="001514E8">
            <w:pPr>
              <w:pStyle w:val="Tabletext"/>
              <w:rPr>
                <w:b/>
                <w:bCs/>
                <w:color w:val="4F81BD" w:themeColor="accent1"/>
                <w:lang w:eastAsia="zh-CN"/>
              </w:rPr>
            </w:pPr>
            <w:r w:rsidRPr="001514E8">
              <w:rPr>
                <w:b/>
                <w:bCs/>
                <w:color w:val="4F81BD" w:themeColor="accent1"/>
              </w:rPr>
              <w:t>Total para el Objetivo R.1</w:t>
            </w:r>
          </w:p>
        </w:tc>
        <w:tc>
          <w:tcPr>
            <w:tcW w:w="1386" w:type="dxa"/>
          </w:tcPr>
          <w:p w:rsidR="000C01DF" w:rsidRPr="00513A0E" w:rsidRDefault="000C01DF" w:rsidP="0008742A">
            <w:pPr>
              <w:pStyle w:val="Tabletext"/>
              <w:jc w:val="center"/>
              <w:rPr>
                <w:b/>
                <w:bCs/>
              </w:rPr>
            </w:pPr>
          </w:p>
        </w:tc>
        <w:tc>
          <w:tcPr>
            <w:tcW w:w="1343" w:type="dxa"/>
          </w:tcPr>
          <w:p w:rsidR="000C01DF" w:rsidRPr="00513A0E" w:rsidRDefault="000C01DF" w:rsidP="0008742A">
            <w:pPr>
              <w:pStyle w:val="Tabletext"/>
              <w:jc w:val="center"/>
              <w:rPr>
                <w:b/>
                <w:bCs/>
              </w:rPr>
            </w:pPr>
          </w:p>
        </w:tc>
        <w:tc>
          <w:tcPr>
            <w:tcW w:w="1358" w:type="dxa"/>
          </w:tcPr>
          <w:p w:rsidR="000C01DF" w:rsidRPr="00513A0E" w:rsidRDefault="000C01DF" w:rsidP="0008742A">
            <w:pPr>
              <w:pStyle w:val="Tabletext"/>
              <w:jc w:val="center"/>
              <w:rPr>
                <w:b/>
                <w:bCs/>
              </w:rPr>
            </w:pPr>
          </w:p>
        </w:tc>
        <w:tc>
          <w:tcPr>
            <w:tcW w:w="1372" w:type="dxa"/>
          </w:tcPr>
          <w:p w:rsidR="000C01DF" w:rsidRPr="00513A0E" w:rsidRDefault="000C01DF" w:rsidP="0008742A">
            <w:pPr>
              <w:pStyle w:val="Tabletext"/>
              <w:jc w:val="center"/>
              <w:rPr>
                <w:b/>
                <w:bCs/>
              </w:rPr>
            </w:pPr>
          </w:p>
        </w:tc>
      </w:tr>
    </w:tbl>
    <w:p w:rsidR="000C01DF" w:rsidRPr="001514E8" w:rsidRDefault="000C01DF" w:rsidP="00513A0E">
      <w:pPr>
        <w:rPr>
          <w:lang w:val="es-ES"/>
        </w:rPr>
      </w:pPr>
      <w:r w:rsidRPr="001514E8">
        <w:rPr>
          <w:lang w:val="es-ES"/>
        </w:rPr>
        <w:br w:type="page"/>
      </w:r>
    </w:p>
    <w:p w:rsidR="000C01DF" w:rsidRPr="001514E8" w:rsidRDefault="000C01DF" w:rsidP="001514E8">
      <w:pPr>
        <w:spacing w:after="120" w:line="240" w:lineRule="auto"/>
        <w:rPr>
          <w:lang w:val="es-ES"/>
        </w:rPr>
      </w:pPr>
      <w:r w:rsidRPr="001514E8">
        <w:rPr>
          <w:lang w:val="es-ES"/>
        </w:rPr>
        <w:lastRenderedPageBreak/>
        <w:t>R.2:</w:t>
      </w:r>
      <w:r w:rsidRPr="001514E8">
        <w:rPr>
          <w:lang w:val="es-ES"/>
        </w:rPr>
        <w:tab/>
        <w:t>Asegurar una conectividad e interoperabilidad mundiales, mejora de la calidad de funcionamiento, calidad, asequibilidad y puntualidad de la economía de los servicios y global del sistema en las radiocomunicaciones, incluso mediante la elaboración de normas internacionales.</w:t>
      </w:r>
    </w:p>
    <w:tbl>
      <w:tblPr>
        <w:tblW w:w="14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46"/>
        <w:gridCol w:w="2926"/>
        <w:gridCol w:w="850"/>
        <w:gridCol w:w="842"/>
        <w:gridCol w:w="850"/>
        <w:gridCol w:w="850"/>
        <w:gridCol w:w="850"/>
        <w:gridCol w:w="1184"/>
        <w:gridCol w:w="3145"/>
      </w:tblGrid>
      <w:tr w:rsidR="000C01DF" w:rsidRPr="000F3B35" w:rsidTr="00A31BB6">
        <w:trPr>
          <w:tblHeader/>
          <w:jc w:val="center"/>
        </w:trPr>
        <w:tc>
          <w:tcPr>
            <w:tcW w:w="2646"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Resultado</w:t>
            </w:r>
          </w:p>
        </w:tc>
        <w:tc>
          <w:tcPr>
            <w:tcW w:w="2926" w:type="dxa"/>
            <w:shd w:val="clear" w:color="auto" w:fill="4F81BD" w:themeFill="accent1"/>
            <w:vAlign w:val="center"/>
          </w:tcPr>
          <w:p w:rsidR="000C01DF" w:rsidRPr="000F3B35" w:rsidRDefault="000C01DF" w:rsidP="009350DF">
            <w:pPr>
              <w:pStyle w:val="Tablehead"/>
              <w:rPr>
                <w:color w:val="FFFFFF" w:themeColor="background1"/>
              </w:rPr>
            </w:pPr>
            <w:r w:rsidRPr="000F3B35">
              <w:rPr>
                <w:color w:val="FFFFFF" w:themeColor="background1"/>
              </w:rPr>
              <w:t>Indicador de resultados</w:t>
            </w:r>
            <w:r w:rsidR="00C51037">
              <w:rPr>
                <w:rStyle w:val="FootnoteReference"/>
                <w:color w:val="FFFFFF" w:themeColor="background1"/>
              </w:rPr>
              <w:footnoteReference w:id="3"/>
            </w:r>
          </w:p>
        </w:tc>
        <w:tc>
          <w:tcPr>
            <w:tcW w:w="850"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2014</w:t>
            </w:r>
          </w:p>
        </w:tc>
        <w:tc>
          <w:tcPr>
            <w:tcW w:w="842"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2015</w:t>
            </w:r>
          </w:p>
        </w:tc>
        <w:tc>
          <w:tcPr>
            <w:tcW w:w="850"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2016</w:t>
            </w:r>
          </w:p>
        </w:tc>
        <w:tc>
          <w:tcPr>
            <w:tcW w:w="850"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2017</w:t>
            </w:r>
          </w:p>
        </w:tc>
        <w:tc>
          <w:tcPr>
            <w:tcW w:w="850"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2018</w:t>
            </w:r>
          </w:p>
        </w:tc>
        <w:tc>
          <w:tcPr>
            <w:tcW w:w="1184"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Meta 2023</w:t>
            </w:r>
          </w:p>
        </w:tc>
        <w:tc>
          <w:tcPr>
            <w:tcW w:w="3145" w:type="dxa"/>
            <w:shd w:val="clear" w:color="auto" w:fill="4F81BD" w:themeFill="accent1"/>
            <w:vAlign w:val="center"/>
          </w:tcPr>
          <w:p w:rsidR="000C01DF" w:rsidRPr="000F3B35" w:rsidRDefault="000C01DF" w:rsidP="000F3B35">
            <w:pPr>
              <w:pStyle w:val="Tablehead"/>
              <w:rPr>
                <w:color w:val="FFFFFF" w:themeColor="background1"/>
              </w:rPr>
            </w:pPr>
            <w:r w:rsidRPr="000F3B35">
              <w:rPr>
                <w:color w:val="FFFFFF" w:themeColor="background1"/>
              </w:rPr>
              <w:t>Origen</w:t>
            </w:r>
          </w:p>
        </w:tc>
      </w:tr>
      <w:tr w:rsidR="000C01DF" w:rsidRPr="001514E8" w:rsidTr="0094109E">
        <w:trPr>
          <w:jc w:val="center"/>
        </w:trPr>
        <w:tc>
          <w:tcPr>
            <w:tcW w:w="2646" w:type="dxa"/>
            <w:vMerge w:val="restart"/>
          </w:tcPr>
          <w:p w:rsidR="000C01DF" w:rsidRPr="00CD755C" w:rsidRDefault="000C01DF" w:rsidP="000F3B35">
            <w:pPr>
              <w:pStyle w:val="Tabletext"/>
            </w:pPr>
            <w:r w:rsidRPr="000F3B35">
              <w:rPr>
                <w:rFonts w:asciiTheme="minorHAnsi" w:eastAsiaTheme="minorHAnsi" w:hAnsiTheme="minorHAnsi" w:cs="Arial"/>
                <w:b/>
                <w:bCs/>
                <w:color w:val="4F81BD" w:themeColor="accent1"/>
                <w:szCs w:val="20"/>
              </w:rPr>
              <w:t>R.2-1:</w:t>
            </w:r>
            <w:r w:rsidRPr="00CD755C">
              <w:t xml:space="preserve"> Mayor acceso de banda ancha móvil, incluso en bandas de frecuencias identificadas para las telecomunicaciones móviles internacionales (IMT)</w:t>
            </w:r>
          </w:p>
        </w:tc>
        <w:tc>
          <w:tcPr>
            <w:tcW w:w="2926" w:type="dxa"/>
          </w:tcPr>
          <w:p w:rsidR="000C01DF" w:rsidRPr="000F3B35" w:rsidRDefault="000C01DF" w:rsidP="000F3B35">
            <w:pPr>
              <w:pStyle w:val="Tabletext"/>
            </w:pPr>
            <w:r w:rsidRPr="000F3B35">
              <w:t>Número de abonos/abonados</w:t>
            </w:r>
          </w:p>
        </w:tc>
        <w:tc>
          <w:tcPr>
            <w:tcW w:w="850" w:type="dxa"/>
          </w:tcPr>
          <w:p w:rsidR="000C01DF" w:rsidRPr="000F3B35" w:rsidRDefault="000C01DF" w:rsidP="0094109E">
            <w:pPr>
              <w:pStyle w:val="Tabletext"/>
              <w:jc w:val="center"/>
            </w:pPr>
            <w:r w:rsidRPr="000F3B35">
              <w:t>7,01</w:t>
            </w:r>
          </w:p>
        </w:tc>
        <w:tc>
          <w:tcPr>
            <w:tcW w:w="842" w:type="dxa"/>
          </w:tcPr>
          <w:p w:rsidR="000C01DF" w:rsidRPr="000F3B35" w:rsidRDefault="000C01DF" w:rsidP="0094109E">
            <w:pPr>
              <w:pStyle w:val="Tabletext"/>
              <w:jc w:val="center"/>
            </w:pPr>
            <w:r w:rsidRPr="000F3B35">
              <w:t>7,22</w:t>
            </w:r>
          </w:p>
        </w:tc>
        <w:tc>
          <w:tcPr>
            <w:tcW w:w="850" w:type="dxa"/>
            <w:shd w:val="clear" w:color="auto" w:fill="auto"/>
          </w:tcPr>
          <w:p w:rsidR="000C01DF" w:rsidRPr="000F3B35" w:rsidRDefault="000C01DF" w:rsidP="0094109E">
            <w:pPr>
              <w:pStyle w:val="Tabletext"/>
              <w:jc w:val="center"/>
            </w:pPr>
            <w:r w:rsidRPr="000F3B35">
              <w:t>7,51</w:t>
            </w:r>
          </w:p>
        </w:tc>
        <w:tc>
          <w:tcPr>
            <w:tcW w:w="850" w:type="dxa"/>
            <w:shd w:val="clear" w:color="auto" w:fill="auto"/>
          </w:tcPr>
          <w:p w:rsidR="000C01DF" w:rsidRPr="000F3B35" w:rsidRDefault="000C01DF" w:rsidP="0094109E">
            <w:pPr>
              <w:pStyle w:val="Tabletext"/>
              <w:jc w:val="center"/>
            </w:pPr>
            <w:r w:rsidRPr="000F3B35">
              <w:t>7,81</w:t>
            </w:r>
          </w:p>
        </w:tc>
        <w:tc>
          <w:tcPr>
            <w:tcW w:w="850" w:type="dxa"/>
          </w:tcPr>
          <w:p w:rsidR="000C01DF" w:rsidRPr="000F3B35" w:rsidRDefault="000C01DF" w:rsidP="0094109E">
            <w:pPr>
              <w:pStyle w:val="Tabletext"/>
              <w:jc w:val="center"/>
            </w:pPr>
            <w:r w:rsidRPr="000F3B35">
              <w:t>8,16</w:t>
            </w:r>
          </w:p>
        </w:tc>
        <w:tc>
          <w:tcPr>
            <w:tcW w:w="1184" w:type="dxa"/>
            <w:shd w:val="clear" w:color="auto" w:fill="auto"/>
          </w:tcPr>
          <w:p w:rsidR="000C01DF" w:rsidRPr="000F3B35" w:rsidRDefault="000C01DF" w:rsidP="0094109E">
            <w:pPr>
              <w:pStyle w:val="Tabletext"/>
              <w:jc w:val="center"/>
            </w:pPr>
            <w:r w:rsidRPr="000F3B35">
              <w:t>9,2</w:t>
            </w:r>
          </w:p>
        </w:tc>
        <w:tc>
          <w:tcPr>
            <w:tcW w:w="3145" w:type="dxa"/>
            <w:vMerge w:val="restart"/>
          </w:tcPr>
          <w:p w:rsidR="000C01DF" w:rsidRPr="000F3B35" w:rsidRDefault="000C01DF" w:rsidP="000F3B35">
            <w:pPr>
              <w:pStyle w:val="Tabletext"/>
            </w:pPr>
            <w:r w:rsidRPr="000F3B35">
              <w:t>Estadísticas de TIC de la BDT de la UIT</w:t>
            </w: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0F3B35">
            <w:pPr>
              <w:pStyle w:val="Tabletext"/>
            </w:pPr>
            <w:r w:rsidRPr="00CD755C">
              <w:t>% de abonos a la banda ancha móvil</w:t>
            </w:r>
          </w:p>
        </w:tc>
        <w:tc>
          <w:tcPr>
            <w:tcW w:w="850" w:type="dxa"/>
          </w:tcPr>
          <w:p w:rsidR="000C01DF" w:rsidRPr="000F3B35" w:rsidRDefault="000C01DF" w:rsidP="0094109E">
            <w:pPr>
              <w:pStyle w:val="Tabletext"/>
              <w:jc w:val="center"/>
            </w:pPr>
            <w:r w:rsidRPr="000F3B35">
              <w:t>38%</w:t>
            </w:r>
          </w:p>
        </w:tc>
        <w:tc>
          <w:tcPr>
            <w:tcW w:w="842" w:type="dxa"/>
          </w:tcPr>
          <w:p w:rsidR="000C01DF" w:rsidRPr="000F3B35" w:rsidRDefault="000C01DF" w:rsidP="0094109E">
            <w:pPr>
              <w:pStyle w:val="Tabletext"/>
              <w:jc w:val="center"/>
            </w:pPr>
            <w:r w:rsidRPr="000F3B35">
              <w:t>45%</w:t>
            </w:r>
          </w:p>
        </w:tc>
        <w:tc>
          <w:tcPr>
            <w:tcW w:w="850" w:type="dxa"/>
            <w:shd w:val="clear" w:color="auto" w:fill="auto"/>
          </w:tcPr>
          <w:p w:rsidR="000C01DF" w:rsidRPr="000F3B35" w:rsidRDefault="000C01DF" w:rsidP="0094109E">
            <w:pPr>
              <w:pStyle w:val="Tabletext"/>
              <w:jc w:val="center"/>
            </w:pPr>
            <w:r w:rsidRPr="000F3B35">
              <w:t>51%</w:t>
            </w:r>
            <w:r w:rsidR="009350DF">
              <w:rPr>
                <w:rStyle w:val="FootnoteReference"/>
              </w:rPr>
              <w:footnoteReference w:customMarkFollows="1" w:id="4"/>
              <w:t>*</w:t>
            </w:r>
          </w:p>
        </w:tc>
        <w:tc>
          <w:tcPr>
            <w:tcW w:w="850" w:type="dxa"/>
            <w:shd w:val="clear" w:color="auto" w:fill="auto"/>
          </w:tcPr>
          <w:p w:rsidR="000C01DF" w:rsidRPr="000F3B35" w:rsidRDefault="000C01DF" w:rsidP="0094109E">
            <w:pPr>
              <w:pStyle w:val="Tabletext"/>
              <w:jc w:val="center"/>
            </w:pPr>
            <w:r w:rsidRPr="000F3B35">
              <w:t>55%</w:t>
            </w:r>
            <w:r w:rsidRPr="003036F6">
              <w:rPr>
                <w:rStyle w:val="FootnoteReference"/>
              </w:rPr>
              <w:t>*</w:t>
            </w:r>
          </w:p>
        </w:tc>
        <w:tc>
          <w:tcPr>
            <w:tcW w:w="850" w:type="dxa"/>
          </w:tcPr>
          <w:p w:rsidR="000C01DF" w:rsidRPr="000F3B35" w:rsidRDefault="000C01DF" w:rsidP="0094109E">
            <w:pPr>
              <w:pStyle w:val="Tabletext"/>
              <w:jc w:val="center"/>
            </w:pPr>
            <w:r w:rsidRPr="000F3B35">
              <w:t>65%</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0F3B35">
            <w:pPr>
              <w:pStyle w:val="Tabletext"/>
            </w:pPr>
            <w:r w:rsidRPr="00CD755C">
              <w:t>Número de abonados (miles de millones)</w:t>
            </w:r>
          </w:p>
        </w:tc>
        <w:tc>
          <w:tcPr>
            <w:tcW w:w="850" w:type="dxa"/>
          </w:tcPr>
          <w:p w:rsidR="000C01DF" w:rsidRPr="000F3B35" w:rsidRDefault="000C01DF" w:rsidP="0094109E">
            <w:pPr>
              <w:pStyle w:val="Tabletext"/>
              <w:jc w:val="center"/>
            </w:pPr>
            <w:r w:rsidRPr="000F3B35">
              <w:t>4,83</w:t>
            </w:r>
          </w:p>
        </w:tc>
        <w:tc>
          <w:tcPr>
            <w:tcW w:w="842" w:type="dxa"/>
          </w:tcPr>
          <w:p w:rsidR="000C01DF" w:rsidRPr="000F3B35" w:rsidRDefault="000C01DF" w:rsidP="0094109E">
            <w:pPr>
              <w:pStyle w:val="Tabletext"/>
              <w:jc w:val="center"/>
            </w:pPr>
            <w:r w:rsidRPr="000F3B35">
              <w:t>4,98</w:t>
            </w:r>
          </w:p>
        </w:tc>
        <w:tc>
          <w:tcPr>
            <w:tcW w:w="850" w:type="dxa"/>
            <w:shd w:val="clear" w:color="auto" w:fill="auto"/>
          </w:tcPr>
          <w:p w:rsidR="000C01DF" w:rsidRPr="000F3B35" w:rsidRDefault="000C01DF" w:rsidP="0094109E">
            <w:pPr>
              <w:pStyle w:val="Tabletext"/>
              <w:jc w:val="center"/>
            </w:pPr>
            <w:r w:rsidRPr="000F3B35">
              <w:t>5,18</w:t>
            </w:r>
          </w:p>
        </w:tc>
        <w:tc>
          <w:tcPr>
            <w:tcW w:w="850" w:type="dxa"/>
            <w:shd w:val="clear" w:color="auto" w:fill="auto"/>
          </w:tcPr>
          <w:p w:rsidR="000C01DF" w:rsidRPr="000F3B35" w:rsidRDefault="000C01DF" w:rsidP="0094109E">
            <w:pPr>
              <w:pStyle w:val="Tabletext"/>
              <w:jc w:val="center"/>
            </w:pPr>
            <w:r w:rsidRPr="000F3B35">
              <w:t>5,63</w:t>
            </w:r>
          </w:p>
        </w:tc>
        <w:tc>
          <w:tcPr>
            <w:tcW w:w="850" w:type="dxa"/>
          </w:tcPr>
          <w:p w:rsidR="000C01DF" w:rsidRPr="000F3B35" w:rsidRDefault="000C01DF" w:rsidP="0094109E">
            <w:pPr>
              <w:pStyle w:val="Tabletext"/>
              <w:jc w:val="center"/>
            </w:pPr>
            <w:r w:rsidRPr="000F3B35">
              <w:t>6,34</w:t>
            </w:r>
          </w:p>
        </w:tc>
        <w:tc>
          <w:tcPr>
            <w:tcW w:w="1184" w:type="dxa"/>
            <w:shd w:val="clear" w:color="auto" w:fill="auto"/>
          </w:tcPr>
          <w:p w:rsidR="000C01DF" w:rsidRPr="000F3B35" w:rsidRDefault="000C01DF" w:rsidP="0094109E">
            <w:pPr>
              <w:pStyle w:val="Tabletext"/>
              <w:jc w:val="center"/>
            </w:pPr>
            <w:r w:rsidRPr="000F3B35">
              <w:t>6,34</w:t>
            </w:r>
          </w:p>
        </w:tc>
        <w:tc>
          <w:tcPr>
            <w:tcW w:w="3145" w:type="dxa"/>
          </w:tcPr>
          <w:p w:rsidR="000C01DF" w:rsidRPr="000F3B35" w:rsidRDefault="000C01DF" w:rsidP="000F3B35">
            <w:pPr>
              <w:pStyle w:val="Tabletext"/>
            </w:pPr>
          </w:p>
        </w:tc>
      </w:tr>
      <w:tr w:rsidR="000C01DF" w:rsidRPr="001514E8" w:rsidTr="0094109E">
        <w:trPr>
          <w:jc w:val="center"/>
        </w:trPr>
        <w:tc>
          <w:tcPr>
            <w:tcW w:w="2646" w:type="dxa"/>
            <w:vMerge w:val="restart"/>
          </w:tcPr>
          <w:p w:rsidR="000C01DF" w:rsidRPr="00CD755C" w:rsidRDefault="000C01DF" w:rsidP="000F3B35">
            <w:pPr>
              <w:pStyle w:val="Tabletext"/>
            </w:pPr>
            <w:r w:rsidRPr="000F3B35">
              <w:rPr>
                <w:rFonts w:asciiTheme="minorHAnsi" w:eastAsiaTheme="minorHAnsi" w:hAnsiTheme="minorHAnsi" w:cs="Arial"/>
                <w:b/>
                <w:bCs/>
                <w:color w:val="4F81BD" w:themeColor="accent1"/>
                <w:szCs w:val="20"/>
              </w:rPr>
              <w:t>R.2-2:</w:t>
            </w:r>
            <w:r w:rsidRPr="00CD755C">
              <w:t xml:space="preserve"> Disminución de la cesta de precios de la banda ancha móvil en porcentaje de la Renta Nacional Bruta (RNB) por habitante</w:t>
            </w:r>
          </w:p>
        </w:tc>
        <w:tc>
          <w:tcPr>
            <w:tcW w:w="2926" w:type="dxa"/>
          </w:tcPr>
          <w:p w:rsidR="000C01DF" w:rsidRPr="00CD755C" w:rsidRDefault="000C01DF" w:rsidP="000F3B35">
            <w:pPr>
              <w:pStyle w:val="Tabletext"/>
            </w:pPr>
            <w:r w:rsidRPr="00CD755C">
              <w:t>Cesta de precios de la banda ancha móvil en porcentaje de la RNB por habitante (prepago, teléfono móvil, 500 MB)</w:t>
            </w:r>
          </w:p>
        </w:tc>
        <w:tc>
          <w:tcPr>
            <w:tcW w:w="850" w:type="dxa"/>
          </w:tcPr>
          <w:p w:rsidR="000C01DF" w:rsidRPr="000F3B35" w:rsidRDefault="000C01DF" w:rsidP="0094109E">
            <w:pPr>
              <w:pStyle w:val="Tabletext"/>
              <w:jc w:val="center"/>
            </w:pPr>
            <w:r w:rsidRPr="000F3B35">
              <w:t>5,50</w:t>
            </w:r>
          </w:p>
        </w:tc>
        <w:tc>
          <w:tcPr>
            <w:tcW w:w="842" w:type="dxa"/>
          </w:tcPr>
          <w:p w:rsidR="000C01DF" w:rsidRPr="000F3B35" w:rsidRDefault="000C01DF" w:rsidP="0094109E">
            <w:pPr>
              <w:pStyle w:val="Tabletext"/>
              <w:jc w:val="center"/>
            </w:pPr>
            <w:r w:rsidRPr="000F3B35">
              <w:t>3,88</w:t>
            </w:r>
          </w:p>
        </w:tc>
        <w:tc>
          <w:tcPr>
            <w:tcW w:w="850" w:type="dxa"/>
            <w:shd w:val="clear" w:color="auto" w:fill="auto"/>
          </w:tcPr>
          <w:p w:rsidR="000C01DF" w:rsidRPr="000F3B35" w:rsidRDefault="000C01DF" w:rsidP="0094109E">
            <w:pPr>
              <w:pStyle w:val="Tabletext"/>
              <w:jc w:val="center"/>
            </w:pPr>
            <w:r w:rsidRPr="000F3B35">
              <w:t>3,61</w:t>
            </w:r>
          </w:p>
        </w:tc>
        <w:tc>
          <w:tcPr>
            <w:tcW w:w="850" w:type="dxa"/>
            <w:shd w:val="clear" w:color="auto" w:fill="auto"/>
          </w:tcPr>
          <w:p w:rsidR="000C01DF" w:rsidRPr="000F3B35" w:rsidRDefault="000C01DF" w:rsidP="0094109E">
            <w:pPr>
              <w:pStyle w:val="Tabletext"/>
              <w:jc w:val="center"/>
            </w:pPr>
            <w:r w:rsidRPr="000F3B35">
              <w:t>3,6</w:t>
            </w:r>
          </w:p>
        </w:tc>
        <w:tc>
          <w:tcPr>
            <w:tcW w:w="850" w:type="dxa"/>
          </w:tcPr>
          <w:p w:rsidR="000C01DF" w:rsidRPr="000F3B35" w:rsidRDefault="000C01DF" w:rsidP="0094109E">
            <w:pPr>
              <w:pStyle w:val="Tabletext"/>
              <w:jc w:val="center"/>
            </w:pPr>
            <w:r w:rsidRPr="000F3B35">
              <w:t>3,6</w:t>
            </w:r>
          </w:p>
        </w:tc>
        <w:tc>
          <w:tcPr>
            <w:tcW w:w="1184" w:type="dxa"/>
            <w:shd w:val="clear" w:color="auto" w:fill="auto"/>
          </w:tcPr>
          <w:p w:rsidR="000C01DF" w:rsidRPr="000F3B35" w:rsidRDefault="000C01DF" w:rsidP="0094109E">
            <w:pPr>
              <w:pStyle w:val="Tabletext"/>
              <w:jc w:val="center"/>
            </w:pPr>
            <w:r w:rsidRPr="000F3B35">
              <w:t>4</w:t>
            </w:r>
          </w:p>
        </w:tc>
        <w:tc>
          <w:tcPr>
            <w:tcW w:w="3145" w:type="dxa"/>
            <w:vMerge w:val="restart"/>
          </w:tcPr>
          <w:p w:rsidR="000C01DF" w:rsidRPr="000F3B35" w:rsidRDefault="000C01DF" w:rsidP="000F3B35">
            <w:pPr>
              <w:pStyle w:val="Tabletext"/>
            </w:pPr>
            <w:r w:rsidRPr="000F3B35">
              <w:t>Estadísticas de TIC de la BDT de la UIT</w:t>
            </w: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8F5A18" w:rsidRDefault="000C01DF" w:rsidP="000F3B35">
            <w:pPr>
              <w:pStyle w:val="Tabletext"/>
              <w:rPr>
                <w:i/>
                <w:iCs/>
              </w:rPr>
            </w:pPr>
            <w:r w:rsidRPr="008F5A18">
              <w:rPr>
                <w:i/>
                <w:iCs/>
              </w:rPr>
              <w:t>Países desarrollados</w:t>
            </w:r>
          </w:p>
        </w:tc>
        <w:tc>
          <w:tcPr>
            <w:tcW w:w="850" w:type="dxa"/>
          </w:tcPr>
          <w:p w:rsidR="000C01DF" w:rsidRPr="008F5A18" w:rsidRDefault="000C01DF" w:rsidP="0094109E">
            <w:pPr>
              <w:pStyle w:val="Tabletext"/>
              <w:jc w:val="center"/>
              <w:rPr>
                <w:i/>
                <w:iCs/>
              </w:rPr>
            </w:pPr>
            <w:r w:rsidRPr="008F5A18">
              <w:rPr>
                <w:i/>
                <w:iCs/>
              </w:rPr>
              <w:t>0,75</w:t>
            </w:r>
          </w:p>
        </w:tc>
        <w:tc>
          <w:tcPr>
            <w:tcW w:w="842" w:type="dxa"/>
          </w:tcPr>
          <w:p w:rsidR="000C01DF" w:rsidRPr="008F5A18" w:rsidRDefault="000C01DF" w:rsidP="0094109E">
            <w:pPr>
              <w:pStyle w:val="Tabletext"/>
              <w:jc w:val="center"/>
              <w:rPr>
                <w:i/>
                <w:iCs/>
              </w:rPr>
            </w:pPr>
            <w:r w:rsidRPr="008F5A18">
              <w:rPr>
                <w:i/>
                <w:iCs/>
              </w:rPr>
              <w:t>0,57</w:t>
            </w:r>
          </w:p>
        </w:tc>
        <w:tc>
          <w:tcPr>
            <w:tcW w:w="850" w:type="dxa"/>
            <w:shd w:val="clear" w:color="auto" w:fill="auto"/>
          </w:tcPr>
          <w:p w:rsidR="000C01DF" w:rsidRPr="000F3B35" w:rsidRDefault="000C01DF" w:rsidP="0094109E">
            <w:pPr>
              <w:pStyle w:val="Tabletext"/>
              <w:jc w:val="center"/>
            </w:pPr>
            <w:r w:rsidRPr="000F3B35">
              <w:t>0,65</w:t>
            </w:r>
          </w:p>
        </w:tc>
        <w:tc>
          <w:tcPr>
            <w:tcW w:w="850" w:type="dxa"/>
            <w:shd w:val="clear" w:color="auto" w:fill="auto"/>
          </w:tcPr>
          <w:p w:rsidR="000C01DF" w:rsidRPr="000F3B35" w:rsidRDefault="000C01DF" w:rsidP="0094109E">
            <w:pPr>
              <w:pStyle w:val="Tabletext"/>
              <w:jc w:val="center"/>
            </w:pPr>
            <w:r w:rsidRPr="000F3B35">
              <w:t>0,6</w:t>
            </w:r>
          </w:p>
        </w:tc>
        <w:tc>
          <w:tcPr>
            <w:tcW w:w="850" w:type="dxa"/>
          </w:tcPr>
          <w:p w:rsidR="000C01DF" w:rsidRPr="000F3B35" w:rsidRDefault="000C01DF" w:rsidP="0094109E">
            <w:pPr>
              <w:pStyle w:val="Tabletext"/>
              <w:jc w:val="center"/>
            </w:pPr>
            <w:r w:rsidRPr="000F3B35">
              <w:t>0,6</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8F5A18" w:rsidRDefault="000C01DF" w:rsidP="000F3B35">
            <w:pPr>
              <w:pStyle w:val="Tabletext"/>
              <w:rPr>
                <w:i/>
                <w:iCs/>
              </w:rPr>
            </w:pPr>
            <w:r w:rsidRPr="008F5A18">
              <w:rPr>
                <w:i/>
                <w:iCs/>
              </w:rPr>
              <w:t>Países en desarrollo</w:t>
            </w:r>
          </w:p>
        </w:tc>
        <w:tc>
          <w:tcPr>
            <w:tcW w:w="850" w:type="dxa"/>
          </w:tcPr>
          <w:p w:rsidR="000C01DF" w:rsidRPr="008F5A18" w:rsidRDefault="000C01DF" w:rsidP="0094109E">
            <w:pPr>
              <w:pStyle w:val="Tabletext"/>
              <w:jc w:val="center"/>
              <w:rPr>
                <w:i/>
                <w:iCs/>
              </w:rPr>
            </w:pPr>
            <w:r w:rsidRPr="008F5A18">
              <w:rPr>
                <w:i/>
                <w:iCs/>
              </w:rPr>
              <w:t>7,2</w:t>
            </w:r>
          </w:p>
        </w:tc>
        <w:tc>
          <w:tcPr>
            <w:tcW w:w="842" w:type="dxa"/>
          </w:tcPr>
          <w:p w:rsidR="000C01DF" w:rsidRPr="008F5A18" w:rsidRDefault="000C01DF" w:rsidP="0094109E">
            <w:pPr>
              <w:pStyle w:val="Tabletext"/>
              <w:jc w:val="center"/>
              <w:rPr>
                <w:i/>
                <w:iCs/>
              </w:rPr>
            </w:pPr>
            <w:r w:rsidRPr="008F5A18">
              <w:rPr>
                <w:i/>
                <w:iCs/>
              </w:rPr>
              <w:t>5,1</w:t>
            </w:r>
          </w:p>
        </w:tc>
        <w:tc>
          <w:tcPr>
            <w:tcW w:w="850" w:type="dxa"/>
            <w:shd w:val="clear" w:color="auto" w:fill="auto"/>
          </w:tcPr>
          <w:p w:rsidR="000C01DF" w:rsidRPr="000F3B35" w:rsidRDefault="000C01DF" w:rsidP="0094109E">
            <w:pPr>
              <w:pStyle w:val="Tabletext"/>
              <w:jc w:val="center"/>
            </w:pPr>
            <w:r w:rsidRPr="000F3B35">
              <w:t>4,6</w:t>
            </w:r>
          </w:p>
        </w:tc>
        <w:tc>
          <w:tcPr>
            <w:tcW w:w="850" w:type="dxa"/>
            <w:shd w:val="clear" w:color="auto" w:fill="auto"/>
          </w:tcPr>
          <w:p w:rsidR="000C01DF" w:rsidRPr="000F3B35" w:rsidRDefault="000C01DF" w:rsidP="0094109E">
            <w:pPr>
              <w:pStyle w:val="Tabletext"/>
              <w:jc w:val="center"/>
            </w:pPr>
            <w:r w:rsidRPr="000F3B35">
              <w:t>4,8</w:t>
            </w:r>
          </w:p>
        </w:tc>
        <w:tc>
          <w:tcPr>
            <w:tcW w:w="850" w:type="dxa"/>
          </w:tcPr>
          <w:p w:rsidR="000C01DF" w:rsidRPr="000F3B35" w:rsidRDefault="000C01DF" w:rsidP="0094109E">
            <w:pPr>
              <w:pStyle w:val="Tabletext"/>
              <w:jc w:val="center"/>
            </w:pPr>
            <w:r w:rsidRPr="000F3B35">
              <w:t>4,8</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8F5A18" w:rsidRDefault="000C01DF" w:rsidP="000F3B35">
            <w:pPr>
              <w:pStyle w:val="Tabletext"/>
              <w:rPr>
                <w:i/>
                <w:iCs/>
              </w:rPr>
            </w:pPr>
            <w:r w:rsidRPr="008F5A18">
              <w:rPr>
                <w:i/>
                <w:iCs/>
              </w:rPr>
              <w:t>Países menos adelantados</w:t>
            </w:r>
          </w:p>
        </w:tc>
        <w:tc>
          <w:tcPr>
            <w:tcW w:w="850" w:type="dxa"/>
          </w:tcPr>
          <w:p w:rsidR="000C01DF" w:rsidRPr="008F5A18" w:rsidRDefault="000C01DF" w:rsidP="0094109E">
            <w:pPr>
              <w:pStyle w:val="Tabletext"/>
              <w:jc w:val="center"/>
              <w:rPr>
                <w:i/>
                <w:iCs/>
              </w:rPr>
            </w:pPr>
            <w:r w:rsidRPr="008F5A18">
              <w:rPr>
                <w:i/>
                <w:iCs/>
              </w:rPr>
              <w:t>17,0</w:t>
            </w:r>
          </w:p>
        </w:tc>
        <w:tc>
          <w:tcPr>
            <w:tcW w:w="842" w:type="dxa"/>
          </w:tcPr>
          <w:p w:rsidR="000C01DF" w:rsidRPr="008F5A18" w:rsidRDefault="000C01DF" w:rsidP="0094109E">
            <w:pPr>
              <w:pStyle w:val="Tabletext"/>
              <w:jc w:val="center"/>
              <w:rPr>
                <w:i/>
                <w:iCs/>
              </w:rPr>
            </w:pPr>
            <w:r w:rsidRPr="008F5A18">
              <w:rPr>
                <w:i/>
                <w:iCs/>
              </w:rPr>
              <w:t>11,4</w:t>
            </w:r>
          </w:p>
        </w:tc>
        <w:tc>
          <w:tcPr>
            <w:tcW w:w="850" w:type="dxa"/>
            <w:shd w:val="clear" w:color="auto" w:fill="auto"/>
          </w:tcPr>
          <w:p w:rsidR="000C01DF" w:rsidRPr="000F3B35" w:rsidRDefault="000C01DF" w:rsidP="0094109E">
            <w:pPr>
              <w:pStyle w:val="Tabletext"/>
              <w:jc w:val="center"/>
            </w:pPr>
            <w:r w:rsidRPr="000F3B35">
              <w:t>9,21</w:t>
            </w:r>
          </w:p>
        </w:tc>
        <w:tc>
          <w:tcPr>
            <w:tcW w:w="850" w:type="dxa"/>
            <w:shd w:val="clear" w:color="auto" w:fill="auto"/>
          </w:tcPr>
          <w:p w:rsidR="000C01DF" w:rsidRPr="000F3B35" w:rsidRDefault="000C01DF" w:rsidP="0094109E">
            <w:pPr>
              <w:pStyle w:val="Tabletext"/>
              <w:jc w:val="center"/>
            </w:pPr>
            <w:r w:rsidRPr="000F3B35">
              <w:t>10,4</w:t>
            </w:r>
          </w:p>
        </w:tc>
        <w:tc>
          <w:tcPr>
            <w:tcW w:w="850" w:type="dxa"/>
          </w:tcPr>
          <w:p w:rsidR="000C01DF" w:rsidRPr="000F3B35" w:rsidRDefault="000C01DF" w:rsidP="0094109E">
            <w:pPr>
              <w:pStyle w:val="Tabletext"/>
              <w:jc w:val="center"/>
            </w:pPr>
            <w:r w:rsidRPr="000F3B35">
              <w:t>10,4</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0F3B35">
            <w:pPr>
              <w:pStyle w:val="Tabletext"/>
            </w:pPr>
            <w:r w:rsidRPr="00CD755C">
              <w:t>Número de países con una cesta de precios por debajo del 5%</w:t>
            </w:r>
          </w:p>
        </w:tc>
        <w:tc>
          <w:tcPr>
            <w:tcW w:w="850" w:type="dxa"/>
          </w:tcPr>
          <w:p w:rsidR="000C01DF" w:rsidRPr="000F3B35" w:rsidRDefault="000C01DF" w:rsidP="0094109E">
            <w:pPr>
              <w:pStyle w:val="Tabletext"/>
              <w:jc w:val="center"/>
            </w:pPr>
            <w:r w:rsidRPr="000F3B35">
              <w:t>117</w:t>
            </w:r>
          </w:p>
        </w:tc>
        <w:tc>
          <w:tcPr>
            <w:tcW w:w="842" w:type="dxa"/>
          </w:tcPr>
          <w:p w:rsidR="000C01DF" w:rsidRPr="000F3B35" w:rsidRDefault="000C01DF" w:rsidP="0094109E">
            <w:pPr>
              <w:pStyle w:val="Tabletext"/>
              <w:jc w:val="center"/>
            </w:pPr>
            <w:r w:rsidRPr="000F3B35">
              <w:t>135</w:t>
            </w:r>
          </w:p>
        </w:tc>
        <w:tc>
          <w:tcPr>
            <w:tcW w:w="850" w:type="dxa"/>
            <w:shd w:val="clear" w:color="auto" w:fill="auto"/>
          </w:tcPr>
          <w:p w:rsidR="000C01DF" w:rsidRPr="000F3B35" w:rsidRDefault="000C01DF" w:rsidP="0094109E">
            <w:pPr>
              <w:pStyle w:val="Tabletext"/>
              <w:jc w:val="center"/>
            </w:pPr>
            <w:r w:rsidRPr="000F3B35">
              <w:t>150</w:t>
            </w:r>
          </w:p>
        </w:tc>
        <w:tc>
          <w:tcPr>
            <w:tcW w:w="850" w:type="dxa"/>
            <w:shd w:val="clear" w:color="auto" w:fill="auto"/>
          </w:tcPr>
          <w:p w:rsidR="000C01DF" w:rsidRPr="000F3B35" w:rsidRDefault="000C01DF" w:rsidP="0094109E">
            <w:pPr>
              <w:pStyle w:val="Tabletext"/>
              <w:jc w:val="center"/>
            </w:pPr>
            <w:r w:rsidRPr="000F3B35">
              <w:t>145</w:t>
            </w:r>
          </w:p>
        </w:tc>
        <w:tc>
          <w:tcPr>
            <w:tcW w:w="850" w:type="dxa"/>
          </w:tcPr>
          <w:p w:rsidR="000C01DF" w:rsidRPr="000F3B35" w:rsidRDefault="000C01DF" w:rsidP="0094109E">
            <w:pPr>
              <w:pStyle w:val="Tabletext"/>
              <w:jc w:val="center"/>
            </w:pPr>
            <w:r w:rsidRPr="000F3B35">
              <w:t>145</w:t>
            </w:r>
          </w:p>
        </w:tc>
        <w:tc>
          <w:tcPr>
            <w:tcW w:w="1184" w:type="dxa"/>
            <w:shd w:val="clear" w:color="auto" w:fill="auto"/>
          </w:tcPr>
          <w:p w:rsidR="000C01DF" w:rsidRPr="000F3B35" w:rsidRDefault="000C01DF" w:rsidP="0094109E">
            <w:pPr>
              <w:pStyle w:val="Tabletext"/>
              <w:jc w:val="center"/>
            </w:pPr>
            <w:r w:rsidRPr="000F3B35">
              <w:t>193</w:t>
            </w: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val="restart"/>
          </w:tcPr>
          <w:p w:rsidR="000C01DF" w:rsidRPr="00CD755C" w:rsidRDefault="000C01DF" w:rsidP="000F3B35">
            <w:pPr>
              <w:pStyle w:val="Tabletext"/>
            </w:pPr>
            <w:r w:rsidRPr="000F3B35">
              <w:rPr>
                <w:rFonts w:asciiTheme="minorHAnsi" w:eastAsiaTheme="minorHAnsi" w:hAnsiTheme="minorHAnsi" w:cs="Arial"/>
                <w:b/>
                <w:bCs/>
                <w:color w:val="4F81BD" w:themeColor="accent1"/>
                <w:szCs w:val="20"/>
              </w:rPr>
              <w:t>R.2-4:</w:t>
            </w:r>
            <w:r w:rsidRPr="00CD755C">
              <w:t xml:space="preserve"> Mayor número de hogares con recepción de televisión digital terrenal</w:t>
            </w:r>
          </w:p>
        </w:tc>
        <w:tc>
          <w:tcPr>
            <w:tcW w:w="2926" w:type="dxa"/>
          </w:tcPr>
          <w:p w:rsidR="000C01DF" w:rsidRPr="00CD755C" w:rsidRDefault="000C01DF" w:rsidP="000F3B35">
            <w:pPr>
              <w:pStyle w:val="Tabletext"/>
            </w:pPr>
            <w:r w:rsidRPr="00CD755C">
              <w:t>Número de hogares con TDT (millones)</w:t>
            </w:r>
          </w:p>
        </w:tc>
        <w:tc>
          <w:tcPr>
            <w:tcW w:w="850" w:type="dxa"/>
          </w:tcPr>
          <w:p w:rsidR="000C01DF" w:rsidRPr="000F3B35" w:rsidRDefault="000C01DF" w:rsidP="0094109E">
            <w:pPr>
              <w:pStyle w:val="Tabletext"/>
              <w:jc w:val="center"/>
            </w:pPr>
            <w:r w:rsidRPr="000F3B35">
              <w:t>203,3</w:t>
            </w:r>
          </w:p>
        </w:tc>
        <w:tc>
          <w:tcPr>
            <w:tcW w:w="842" w:type="dxa"/>
          </w:tcPr>
          <w:p w:rsidR="000C01DF" w:rsidRPr="000F3B35" w:rsidRDefault="000C01DF" w:rsidP="0094109E">
            <w:pPr>
              <w:pStyle w:val="Tabletext"/>
              <w:jc w:val="center"/>
            </w:pPr>
            <w:r w:rsidRPr="000F3B35">
              <w:t>235,5</w:t>
            </w:r>
          </w:p>
        </w:tc>
        <w:tc>
          <w:tcPr>
            <w:tcW w:w="850" w:type="dxa"/>
            <w:shd w:val="clear" w:color="auto" w:fill="auto"/>
          </w:tcPr>
          <w:p w:rsidR="000C01DF" w:rsidRPr="000F3B35" w:rsidRDefault="000C01DF" w:rsidP="0094109E">
            <w:pPr>
              <w:pStyle w:val="Tabletext"/>
              <w:jc w:val="center"/>
            </w:pPr>
            <w:r w:rsidRPr="000F3B35">
              <w:t>271,9</w:t>
            </w:r>
          </w:p>
        </w:tc>
        <w:tc>
          <w:tcPr>
            <w:tcW w:w="850" w:type="dxa"/>
            <w:shd w:val="clear" w:color="auto" w:fill="auto"/>
          </w:tcPr>
          <w:p w:rsidR="000C01DF" w:rsidRPr="000F3B35" w:rsidRDefault="000C01DF" w:rsidP="0094109E">
            <w:pPr>
              <w:pStyle w:val="Tabletext"/>
              <w:jc w:val="center"/>
            </w:pPr>
            <w:r w:rsidRPr="000F3B35">
              <w:t>311</w:t>
            </w:r>
          </w:p>
        </w:tc>
        <w:tc>
          <w:tcPr>
            <w:tcW w:w="850" w:type="dxa"/>
          </w:tcPr>
          <w:p w:rsidR="000C01DF" w:rsidRPr="000F3B35" w:rsidRDefault="000C01DF" w:rsidP="0094109E">
            <w:pPr>
              <w:pStyle w:val="Tabletext"/>
              <w:jc w:val="center"/>
            </w:pPr>
            <w:r w:rsidRPr="000F3B35">
              <w:t>335</w:t>
            </w:r>
          </w:p>
        </w:tc>
        <w:tc>
          <w:tcPr>
            <w:tcW w:w="1184" w:type="dxa"/>
            <w:shd w:val="clear" w:color="auto" w:fill="auto"/>
          </w:tcPr>
          <w:p w:rsidR="000C01DF" w:rsidRPr="000F3B35" w:rsidRDefault="000C01DF" w:rsidP="0094109E">
            <w:pPr>
              <w:pStyle w:val="Tabletext"/>
              <w:jc w:val="center"/>
            </w:pPr>
            <w:r w:rsidRPr="000F3B35">
              <w:t>453</w:t>
            </w:r>
          </w:p>
        </w:tc>
        <w:tc>
          <w:tcPr>
            <w:tcW w:w="3145" w:type="dxa"/>
            <w:vMerge w:val="restart"/>
          </w:tcPr>
          <w:p w:rsidR="000C01DF" w:rsidRPr="004A4951" w:rsidRDefault="000C01DF" w:rsidP="000F3B35">
            <w:pPr>
              <w:pStyle w:val="Tabletext"/>
              <w:rPr>
                <w:lang w:val="en-US"/>
              </w:rPr>
            </w:pPr>
            <w:r w:rsidRPr="004A4951">
              <w:rPr>
                <w:lang w:val="en-US"/>
              </w:rPr>
              <w:t>Digital TV World Databook report, julio de 2017; Digital TV Research Ltd</w:t>
            </w:r>
            <w:r w:rsidRPr="004A4951">
              <w:rPr>
                <w:lang w:val="en-US"/>
              </w:rPr>
              <w:br/>
              <w:t>Databook report</w:t>
            </w:r>
          </w:p>
        </w:tc>
      </w:tr>
      <w:tr w:rsidR="000C01DF" w:rsidRPr="001514E8" w:rsidTr="0094109E">
        <w:trPr>
          <w:jc w:val="center"/>
        </w:trPr>
        <w:tc>
          <w:tcPr>
            <w:tcW w:w="2646" w:type="dxa"/>
            <w:vMerge/>
          </w:tcPr>
          <w:p w:rsidR="000C01DF" w:rsidRPr="004A4951" w:rsidRDefault="000C01DF" w:rsidP="000F3B35">
            <w:pPr>
              <w:pStyle w:val="Tabletext"/>
              <w:rPr>
                <w:lang w:val="en-US"/>
              </w:rPr>
            </w:pPr>
          </w:p>
        </w:tc>
        <w:tc>
          <w:tcPr>
            <w:tcW w:w="2926" w:type="dxa"/>
          </w:tcPr>
          <w:p w:rsidR="000C01DF" w:rsidRPr="008930FD" w:rsidRDefault="000C01DF" w:rsidP="000F3B35">
            <w:pPr>
              <w:pStyle w:val="Tabletext"/>
              <w:rPr>
                <w:i/>
                <w:iCs/>
              </w:rPr>
            </w:pPr>
            <w:r w:rsidRPr="008930FD">
              <w:rPr>
                <w:i/>
                <w:iCs/>
              </w:rPr>
              <w:t>Número de hogares con TAT (millones)</w:t>
            </w:r>
          </w:p>
        </w:tc>
        <w:tc>
          <w:tcPr>
            <w:tcW w:w="850" w:type="dxa"/>
          </w:tcPr>
          <w:p w:rsidR="000C01DF" w:rsidRPr="008930FD" w:rsidRDefault="000C01DF" w:rsidP="0094109E">
            <w:pPr>
              <w:pStyle w:val="Tabletext"/>
              <w:jc w:val="center"/>
              <w:rPr>
                <w:i/>
                <w:iCs/>
              </w:rPr>
            </w:pPr>
            <w:r w:rsidRPr="008930FD">
              <w:rPr>
                <w:i/>
                <w:iCs/>
              </w:rPr>
              <w:t>319,8</w:t>
            </w:r>
          </w:p>
        </w:tc>
        <w:tc>
          <w:tcPr>
            <w:tcW w:w="842" w:type="dxa"/>
          </w:tcPr>
          <w:p w:rsidR="000C01DF" w:rsidRPr="008930FD" w:rsidRDefault="000C01DF" w:rsidP="0094109E">
            <w:pPr>
              <w:pStyle w:val="Tabletext"/>
              <w:jc w:val="center"/>
              <w:rPr>
                <w:i/>
                <w:iCs/>
              </w:rPr>
            </w:pPr>
            <w:r w:rsidRPr="008930FD">
              <w:rPr>
                <w:i/>
                <w:iCs/>
              </w:rPr>
              <w:t>251,6</w:t>
            </w:r>
          </w:p>
        </w:tc>
        <w:tc>
          <w:tcPr>
            <w:tcW w:w="850" w:type="dxa"/>
            <w:shd w:val="clear" w:color="auto" w:fill="auto"/>
          </w:tcPr>
          <w:p w:rsidR="000C01DF" w:rsidRPr="000F3B35" w:rsidRDefault="000C01DF" w:rsidP="0094109E">
            <w:pPr>
              <w:pStyle w:val="Tabletext"/>
              <w:jc w:val="center"/>
            </w:pPr>
            <w:r w:rsidRPr="000F3B35">
              <w:t>184,1</w:t>
            </w:r>
          </w:p>
        </w:tc>
        <w:tc>
          <w:tcPr>
            <w:tcW w:w="850" w:type="dxa"/>
            <w:shd w:val="clear" w:color="auto" w:fill="auto"/>
          </w:tcPr>
          <w:p w:rsidR="000C01DF" w:rsidRPr="000F3B35" w:rsidRDefault="000C01DF" w:rsidP="0094109E">
            <w:pPr>
              <w:pStyle w:val="Tabletext"/>
              <w:jc w:val="center"/>
            </w:pPr>
            <w:r w:rsidRPr="000F3B35">
              <w:t>136</w:t>
            </w:r>
          </w:p>
        </w:tc>
        <w:tc>
          <w:tcPr>
            <w:tcW w:w="850" w:type="dxa"/>
          </w:tcPr>
          <w:p w:rsidR="000C01DF" w:rsidRPr="000F3B35" w:rsidRDefault="000C01DF" w:rsidP="0094109E">
            <w:pPr>
              <w:pStyle w:val="Tabletext"/>
              <w:jc w:val="center"/>
            </w:pPr>
            <w:r w:rsidRPr="000F3B35">
              <w:t>104</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8930FD" w:rsidRDefault="000C01DF" w:rsidP="000F3B35">
            <w:pPr>
              <w:pStyle w:val="Tabletext"/>
              <w:rPr>
                <w:i/>
                <w:iCs/>
              </w:rPr>
            </w:pPr>
            <w:r w:rsidRPr="008930FD">
              <w:rPr>
                <w:i/>
                <w:iCs/>
              </w:rPr>
              <w:t>Número total de hogares con TDT+TAT (millones)</w:t>
            </w:r>
          </w:p>
        </w:tc>
        <w:tc>
          <w:tcPr>
            <w:tcW w:w="850" w:type="dxa"/>
          </w:tcPr>
          <w:p w:rsidR="000C01DF" w:rsidRPr="008930FD" w:rsidRDefault="000C01DF" w:rsidP="0094109E">
            <w:pPr>
              <w:pStyle w:val="Tabletext"/>
              <w:jc w:val="center"/>
              <w:rPr>
                <w:i/>
                <w:iCs/>
              </w:rPr>
            </w:pPr>
            <w:r w:rsidRPr="008930FD">
              <w:rPr>
                <w:i/>
                <w:iCs/>
              </w:rPr>
              <w:t>514,1</w:t>
            </w:r>
          </w:p>
        </w:tc>
        <w:tc>
          <w:tcPr>
            <w:tcW w:w="842" w:type="dxa"/>
          </w:tcPr>
          <w:p w:rsidR="000C01DF" w:rsidRPr="008930FD" w:rsidRDefault="000C01DF" w:rsidP="0094109E">
            <w:pPr>
              <w:pStyle w:val="Tabletext"/>
              <w:jc w:val="center"/>
              <w:rPr>
                <w:i/>
                <w:iCs/>
              </w:rPr>
            </w:pPr>
            <w:r w:rsidRPr="008930FD">
              <w:rPr>
                <w:i/>
                <w:iCs/>
              </w:rPr>
              <w:t>487,1</w:t>
            </w:r>
          </w:p>
        </w:tc>
        <w:tc>
          <w:tcPr>
            <w:tcW w:w="850" w:type="dxa"/>
            <w:shd w:val="clear" w:color="auto" w:fill="auto"/>
          </w:tcPr>
          <w:p w:rsidR="000C01DF" w:rsidRPr="000F3B35" w:rsidRDefault="000C01DF" w:rsidP="0094109E">
            <w:pPr>
              <w:pStyle w:val="Tabletext"/>
              <w:jc w:val="center"/>
            </w:pPr>
            <w:r w:rsidRPr="000F3B35">
              <w:t>456</w:t>
            </w:r>
          </w:p>
        </w:tc>
        <w:tc>
          <w:tcPr>
            <w:tcW w:w="850" w:type="dxa"/>
            <w:shd w:val="clear" w:color="auto" w:fill="auto"/>
          </w:tcPr>
          <w:p w:rsidR="000C01DF" w:rsidRPr="000F3B35" w:rsidRDefault="000C01DF" w:rsidP="0094109E">
            <w:pPr>
              <w:pStyle w:val="Tabletext"/>
              <w:jc w:val="center"/>
            </w:pPr>
            <w:r w:rsidRPr="000F3B35">
              <w:t>447</w:t>
            </w:r>
          </w:p>
        </w:tc>
        <w:tc>
          <w:tcPr>
            <w:tcW w:w="850" w:type="dxa"/>
          </w:tcPr>
          <w:p w:rsidR="000C01DF" w:rsidRPr="000F3B35" w:rsidRDefault="000C01DF" w:rsidP="0094109E">
            <w:pPr>
              <w:pStyle w:val="Tabletext"/>
              <w:jc w:val="center"/>
            </w:pPr>
            <w:r w:rsidRPr="000F3B35">
              <w:t>439</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0F3B35" w:rsidRDefault="000C01DF" w:rsidP="000F3B35">
            <w:pPr>
              <w:pStyle w:val="Tabletext"/>
            </w:pPr>
            <w:r w:rsidRPr="000F3B35">
              <w:t>% de hogares con TDT</w:t>
            </w:r>
          </w:p>
        </w:tc>
        <w:tc>
          <w:tcPr>
            <w:tcW w:w="850" w:type="dxa"/>
          </w:tcPr>
          <w:p w:rsidR="000C01DF" w:rsidRPr="000F3B35" w:rsidRDefault="000C01DF" w:rsidP="0094109E">
            <w:pPr>
              <w:pStyle w:val="Tabletext"/>
              <w:jc w:val="center"/>
            </w:pPr>
            <w:r w:rsidRPr="000F3B35">
              <w:t>10,3%</w:t>
            </w:r>
          </w:p>
        </w:tc>
        <w:tc>
          <w:tcPr>
            <w:tcW w:w="842" w:type="dxa"/>
          </w:tcPr>
          <w:p w:rsidR="000C01DF" w:rsidRPr="000F3B35" w:rsidRDefault="000C01DF" w:rsidP="0094109E">
            <w:pPr>
              <w:pStyle w:val="Tabletext"/>
              <w:jc w:val="center"/>
            </w:pPr>
            <w:r w:rsidRPr="000F3B35">
              <w:t>11,8%</w:t>
            </w:r>
          </w:p>
        </w:tc>
        <w:tc>
          <w:tcPr>
            <w:tcW w:w="850" w:type="dxa"/>
            <w:shd w:val="clear" w:color="auto" w:fill="auto"/>
          </w:tcPr>
          <w:p w:rsidR="000C01DF" w:rsidRPr="000F3B35" w:rsidRDefault="000C01DF" w:rsidP="0094109E">
            <w:pPr>
              <w:pStyle w:val="Tabletext"/>
              <w:jc w:val="center"/>
            </w:pPr>
            <w:r w:rsidRPr="000F3B35">
              <w:t>13,5%</w:t>
            </w:r>
          </w:p>
        </w:tc>
        <w:tc>
          <w:tcPr>
            <w:tcW w:w="850" w:type="dxa"/>
            <w:shd w:val="clear" w:color="auto" w:fill="auto"/>
          </w:tcPr>
          <w:p w:rsidR="000C01DF" w:rsidRPr="000F3B35" w:rsidRDefault="000C01DF" w:rsidP="0094109E">
            <w:pPr>
              <w:pStyle w:val="Tabletext"/>
              <w:jc w:val="center"/>
            </w:pPr>
            <w:r w:rsidRPr="000F3B35">
              <w:t>14,90%</w:t>
            </w:r>
          </w:p>
        </w:tc>
        <w:tc>
          <w:tcPr>
            <w:tcW w:w="850" w:type="dxa"/>
          </w:tcPr>
          <w:p w:rsidR="000C01DF" w:rsidRPr="000F3B35" w:rsidRDefault="000C01DF" w:rsidP="0094109E">
            <w:pPr>
              <w:pStyle w:val="Tabletext"/>
              <w:jc w:val="center"/>
            </w:pPr>
            <w:r w:rsidRPr="000F3B35">
              <w:t>15,80%</w:t>
            </w:r>
          </w:p>
        </w:tc>
        <w:tc>
          <w:tcPr>
            <w:tcW w:w="1184" w:type="dxa"/>
            <w:shd w:val="clear" w:color="auto" w:fill="auto"/>
          </w:tcPr>
          <w:p w:rsidR="000C01DF" w:rsidRPr="000F3B35" w:rsidRDefault="000C01DF" w:rsidP="0094109E">
            <w:pPr>
              <w:pStyle w:val="Tabletext"/>
              <w:jc w:val="center"/>
            </w:pPr>
            <w:r w:rsidRPr="000F3B35">
              <w:t>22,70%</w:t>
            </w: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0F3B35" w:rsidRDefault="000C01DF" w:rsidP="000F3B35">
            <w:pPr>
              <w:pStyle w:val="Tabletext"/>
            </w:pPr>
            <w:r w:rsidRPr="000F3B35">
              <w:t>% de hogares con TAT</w:t>
            </w:r>
          </w:p>
        </w:tc>
        <w:tc>
          <w:tcPr>
            <w:tcW w:w="850" w:type="dxa"/>
          </w:tcPr>
          <w:p w:rsidR="000C01DF" w:rsidRPr="000F3B35" w:rsidRDefault="000C01DF" w:rsidP="0094109E">
            <w:pPr>
              <w:pStyle w:val="Tabletext"/>
              <w:jc w:val="center"/>
            </w:pPr>
            <w:r w:rsidRPr="000F3B35">
              <w:t>16,3%</w:t>
            </w:r>
          </w:p>
        </w:tc>
        <w:tc>
          <w:tcPr>
            <w:tcW w:w="842" w:type="dxa"/>
          </w:tcPr>
          <w:p w:rsidR="000C01DF" w:rsidRPr="000F3B35" w:rsidRDefault="000C01DF" w:rsidP="0094109E">
            <w:pPr>
              <w:pStyle w:val="Tabletext"/>
              <w:jc w:val="center"/>
            </w:pPr>
            <w:r w:rsidRPr="000F3B35">
              <w:t>12,6%</w:t>
            </w:r>
          </w:p>
        </w:tc>
        <w:tc>
          <w:tcPr>
            <w:tcW w:w="850" w:type="dxa"/>
            <w:shd w:val="clear" w:color="auto" w:fill="auto"/>
          </w:tcPr>
          <w:p w:rsidR="000C01DF" w:rsidRPr="000F3B35" w:rsidRDefault="000C01DF" w:rsidP="0094109E">
            <w:pPr>
              <w:pStyle w:val="Tabletext"/>
              <w:jc w:val="center"/>
            </w:pPr>
            <w:r w:rsidRPr="000F3B35">
              <w:t>9,1%</w:t>
            </w:r>
          </w:p>
        </w:tc>
        <w:tc>
          <w:tcPr>
            <w:tcW w:w="850" w:type="dxa"/>
            <w:shd w:val="clear" w:color="auto" w:fill="auto"/>
          </w:tcPr>
          <w:p w:rsidR="000C01DF" w:rsidRPr="000F3B35" w:rsidRDefault="000C01DF" w:rsidP="0094109E">
            <w:pPr>
              <w:pStyle w:val="Tabletext"/>
              <w:jc w:val="center"/>
            </w:pPr>
            <w:r w:rsidRPr="000F3B35">
              <w:t>6,50%</w:t>
            </w:r>
          </w:p>
        </w:tc>
        <w:tc>
          <w:tcPr>
            <w:tcW w:w="850" w:type="dxa"/>
          </w:tcPr>
          <w:p w:rsidR="000C01DF" w:rsidRPr="000F3B35" w:rsidRDefault="000C01DF" w:rsidP="0094109E">
            <w:pPr>
              <w:pStyle w:val="Tabletext"/>
              <w:jc w:val="center"/>
            </w:pPr>
            <w:r w:rsidRPr="000F3B35">
              <w:t>4,90%</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1514E8" w:rsidTr="0094109E">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0F3B35">
            <w:pPr>
              <w:pStyle w:val="Tabletext"/>
            </w:pPr>
            <w:r w:rsidRPr="00CD755C">
              <w:t>% de hogares con TV terrenal</w:t>
            </w:r>
          </w:p>
        </w:tc>
        <w:tc>
          <w:tcPr>
            <w:tcW w:w="850" w:type="dxa"/>
          </w:tcPr>
          <w:p w:rsidR="000C01DF" w:rsidRPr="000F3B35" w:rsidRDefault="000C01DF" w:rsidP="0094109E">
            <w:pPr>
              <w:pStyle w:val="Tabletext"/>
              <w:jc w:val="center"/>
            </w:pPr>
            <w:r w:rsidRPr="000F3B35">
              <w:t>26,6%</w:t>
            </w:r>
          </w:p>
        </w:tc>
        <w:tc>
          <w:tcPr>
            <w:tcW w:w="842" w:type="dxa"/>
          </w:tcPr>
          <w:p w:rsidR="000C01DF" w:rsidRPr="000F3B35" w:rsidRDefault="000C01DF" w:rsidP="0094109E">
            <w:pPr>
              <w:pStyle w:val="Tabletext"/>
              <w:jc w:val="center"/>
            </w:pPr>
            <w:r w:rsidRPr="000F3B35">
              <w:t>24,5%</w:t>
            </w:r>
          </w:p>
        </w:tc>
        <w:tc>
          <w:tcPr>
            <w:tcW w:w="850" w:type="dxa"/>
            <w:shd w:val="clear" w:color="auto" w:fill="auto"/>
          </w:tcPr>
          <w:p w:rsidR="000C01DF" w:rsidRPr="000F3B35" w:rsidRDefault="000C01DF" w:rsidP="0094109E">
            <w:pPr>
              <w:pStyle w:val="Tabletext"/>
              <w:jc w:val="center"/>
            </w:pPr>
            <w:r w:rsidRPr="000F3B35">
              <w:t>22,6%</w:t>
            </w:r>
          </w:p>
        </w:tc>
        <w:tc>
          <w:tcPr>
            <w:tcW w:w="850" w:type="dxa"/>
            <w:shd w:val="clear" w:color="auto" w:fill="auto"/>
          </w:tcPr>
          <w:p w:rsidR="000C01DF" w:rsidRPr="000F3B35" w:rsidRDefault="000C01DF" w:rsidP="0094109E">
            <w:pPr>
              <w:pStyle w:val="Tabletext"/>
              <w:jc w:val="center"/>
            </w:pPr>
            <w:r w:rsidRPr="000F3B35">
              <w:t>21,40%</w:t>
            </w:r>
          </w:p>
        </w:tc>
        <w:tc>
          <w:tcPr>
            <w:tcW w:w="850" w:type="dxa"/>
          </w:tcPr>
          <w:p w:rsidR="000C01DF" w:rsidRPr="000F3B35" w:rsidRDefault="000C01DF" w:rsidP="0094109E">
            <w:pPr>
              <w:pStyle w:val="Tabletext"/>
              <w:jc w:val="center"/>
            </w:pPr>
            <w:r w:rsidRPr="000F3B35">
              <w:t>20,80%</w:t>
            </w:r>
          </w:p>
        </w:tc>
        <w:tc>
          <w:tcPr>
            <w:tcW w:w="1184" w:type="dxa"/>
            <w:shd w:val="clear" w:color="auto" w:fill="auto"/>
          </w:tcPr>
          <w:p w:rsidR="000C01DF" w:rsidRPr="000F3B35" w:rsidRDefault="000C01DF" w:rsidP="0094109E">
            <w:pPr>
              <w:pStyle w:val="Tabletext"/>
              <w:jc w:val="center"/>
            </w:pPr>
          </w:p>
        </w:tc>
        <w:tc>
          <w:tcPr>
            <w:tcW w:w="3145" w:type="dxa"/>
            <w:vMerge/>
          </w:tcPr>
          <w:p w:rsidR="000C01DF" w:rsidRPr="000F3B35" w:rsidRDefault="000C01DF" w:rsidP="000F3B35">
            <w:pPr>
              <w:pStyle w:val="Tabletext"/>
            </w:pPr>
          </w:p>
        </w:tc>
      </w:tr>
      <w:tr w:rsidR="000C01DF" w:rsidRPr="008930FD" w:rsidTr="00A31BB6">
        <w:trPr>
          <w:jc w:val="center"/>
        </w:trPr>
        <w:tc>
          <w:tcPr>
            <w:tcW w:w="2646" w:type="dxa"/>
            <w:vMerge w:val="restart"/>
          </w:tcPr>
          <w:p w:rsidR="000C01DF" w:rsidRPr="00CD755C" w:rsidRDefault="000C01DF" w:rsidP="000F3B35">
            <w:pPr>
              <w:pStyle w:val="Tabletext"/>
            </w:pPr>
            <w:r w:rsidRPr="000F3B35">
              <w:rPr>
                <w:rFonts w:asciiTheme="minorHAnsi" w:eastAsiaTheme="minorHAnsi" w:hAnsiTheme="minorHAnsi" w:cs="Arial"/>
                <w:b/>
                <w:bCs/>
                <w:color w:val="4F81BD" w:themeColor="accent1"/>
                <w:szCs w:val="20"/>
              </w:rPr>
              <w:lastRenderedPageBreak/>
              <w:t>R.2-5:</w:t>
            </w:r>
            <w:r w:rsidRPr="00CD755C">
              <w:t xml:space="preserve"> Mayor número de transpondedores de satélite (equivalente a 36 MHz) en funcionamiento y capacidad correspondiente (Tbit/s), número de terminales VSAR, número de hogares con recepción de televisión por satélite</w:t>
            </w:r>
          </w:p>
        </w:tc>
        <w:tc>
          <w:tcPr>
            <w:tcW w:w="2926" w:type="dxa"/>
          </w:tcPr>
          <w:p w:rsidR="000C01DF" w:rsidRPr="00CD755C" w:rsidRDefault="000C01DF" w:rsidP="000F3B35">
            <w:pPr>
              <w:pStyle w:val="Tabletext"/>
            </w:pPr>
            <w:r w:rsidRPr="00CD755C">
              <w:t>Número de transpondedores de satélite (equivalente 36 MHz) en explotación</w:t>
            </w:r>
          </w:p>
        </w:tc>
        <w:tc>
          <w:tcPr>
            <w:tcW w:w="850" w:type="dxa"/>
          </w:tcPr>
          <w:p w:rsidR="000C01DF" w:rsidRPr="000F3B35" w:rsidRDefault="000C01DF" w:rsidP="000D02E1">
            <w:pPr>
              <w:pStyle w:val="Tabletext"/>
              <w:jc w:val="center"/>
            </w:pPr>
            <w:r w:rsidRPr="000F3B35">
              <w:t>15 997</w:t>
            </w:r>
          </w:p>
        </w:tc>
        <w:tc>
          <w:tcPr>
            <w:tcW w:w="842" w:type="dxa"/>
          </w:tcPr>
          <w:p w:rsidR="000C01DF" w:rsidRPr="000F3B35" w:rsidRDefault="000C01DF" w:rsidP="000D02E1">
            <w:pPr>
              <w:pStyle w:val="Tabletext"/>
              <w:jc w:val="center"/>
            </w:pPr>
            <w:r w:rsidRPr="000F3B35">
              <w:t>17 953</w:t>
            </w:r>
          </w:p>
        </w:tc>
        <w:tc>
          <w:tcPr>
            <w:tcW w:w="850" w:type="dxa"/>
            <w:shd w:val="clear" w:color="auto" w:fill="auto"/>
          </w:tcPr>
          <w:p w:rsidR="000C01DF" w:rsidRPr="000F3B35" w:rsidRDefault="000C01DF" w:rsidP="000D02E1">
            <w:pPr>
              <w:pStyle w:val="Tabletext"/>
              <w:jc w:val="center"/>
            </w:pPr>
            <w:r w:rsidRPr="000F3B35">
              <w:t>19 772</w:t>
            </w:r>
          </w:p>
        </w:tc>
        <w:tc>
          <w:tcPr>
            <w:tcW w:w="850" w:type="dxa"/>
            <w:shd w:val="clear" w:color="auto" w:fill="auto"/>
          </w:tcPr>
          <w:p w:rsidR="000C01DF" w:rsidRPr="000F3B35" w:rsidRDefault="000C01DF" w:rsidP="000D02E1">
            <w:pPr>
              <w:pStyle w:val="Tabletext"/>
              <w:jc w:val="center"/>
            </w:pPr>
            <w:r w:rsidRPr="000F3B35">
              <w:t>25 056</w:t>
            </w:r>
          </w:p>
        </w:tc>
        <w:tc>
          <w:tcPr>
            <w:tcW w:w="850" w:type="dxa"/>
          </w:tcPr>
          <w:p w:rsidR="000C01DF" w:rsidRPr="000F3B35" w:rsidRDefault="000C01DF" w:rsidP="000D02E1">
            <w:pPr>
              <w:pStyle w:val="Tabletext"/>
              <w:jc w:val="center"/>
            </w:pPr>
            <w:r w:rsidRPr="000F3B35">
              <w:t>30 742</w:t>
            </w:r>
          </w:p>
        </w:tc>
        <w:tc>
          <w:tcPr>
            <w:tcW w:w="1184" w:type="dxa"/>
            <w:shd w:val="clear" w:color="auto" w:fill="auto"/>
          </w:tcPr>
          <w:p w:rsidR="000C01DF" w:rsidRPr="000F3B35" w:rsidRDefault="000C01DF" w:rsidP="000D02E1">
            <w:pPr>
              <w:pStyle w:val="Tabletext"/>
              <w:jc w:val="center"/>
            </w:pPr>
          </w:p>
        </w:tc>
        <w:tc>
          <w:tcPr>
            <w:tcW w:w="3145" w:type="dxa"/>
          </w:tcPr>
          <w:p w:rsidR="000C01DF" w:rsidRPr="000F3B35" w:rsidRDefault="000C01DF" w:rsidP="000F3B35">
            <w:pPr>
              <w:pStyle w:val="Tabletext"/>
            </w:pPr>
            <w:r w:rsidRPr="000F3B35">
              <w:t>Euroconsult</w:t>
            </w:r>
            <w:r w:rsidRPr="000F3B35">
              <w:br/>
              <w:t>(</w:t>
            </w:r>
            <w:hyperlink r:id="rId24" w:history="1">
              <w:r w:rsidR="00F14149" w:rsidRPr="00072269">
                <w:rPr>
                  <w:rStyle w:val="Hyperlink"/>
                </w:rPr>
                <w:t>http://www.euroconsult-ec.com</w:t>
              </w:r>
            </w:hyperlink>
            <w:r w:rsidRPr="000F3B35">
              <w:t>)</w:t>
            </w:r>
          </w:p>
        </w:tc>
      </w:tr>
      <w:tr w:rsidR="000C01DF" w:rsidRPr="008930FD" w:rsidTr="00A31BB6">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F14149">
            <w:pPr>
              <w:pStyle w:val="Tabletext"/>
            </w:pPr>
            <w:r w:rsidRPr="00CD755C">
              <w:t>Capacidad correspondiente (en</w:t>
            </w:r>
            <w:r w:rsidR="00F14149">
              <w:t> </w:t>
            </w:r>
            <w:r w:rsidRPr="00CD755C">
              <w:t>Tbit/s)</w:t>
            </w:r>
          </w:p>
        </w:tc>
        <w:tc>
          <w:tcPr>
            <w:tcW w:w="850" w:type="dxa"/>
          </w:tcPr>
          <w:p w:rsidR="000C01DF" w:rsidRPr="000F3B35" w:rsidRDefault="000C01DF" w:rsidP="000D02E1">
            <w:pPr>
              <w:pStyle w:val="Tabletext"/>
              <w:jc w:val="center"/>
            </w:pPr>
            <w:r w:rsidRPr="000F3B35">
              <w:t>1,095</w:t>
            </w:r>
          </w:p>
        </w:tc>
        <w:tc>
          <w:tcPr>
            <w:tcW w:w="842" w:type="dxa"/>
          </w:tcPr>
          <w:p w:rsidR="000C01DF" w:rsidRPr="000F3B35" w:rsidRDefault="000C01DF" w:rsidP="000D02E1">
            <w:pPr>
              <w:pStyle w:val="Tabletext"/>
              <w:jc w:val="center"/>
            </w:pPr>
            <w:r w:rsidRPr="000F3B35">
              <w:t>1,269</w:t>
            </w:r>
          </w:p>
        </w:tc>
        <w:tc>
          <w:tcPr>
            <w:tcW w:w="850" w:type="dxa"/>
            <w:shd w:val="clear" w:color="auto" w:fill="auto"/>
          </w:tcPr>
          <w:p w:rsidR="000C01DF" w:rsidRPr="000F3B35" w:rsidRDefault="000C01DF" w:rsidP="000D02E1">
            <w:pPr>
              <w:pStyle w:val="Tabletext"/>
              <w:jc w:val="center"/>
            </w:pPr>
            <w:r w:rsidRPr="000F3B35">
              <w:t>1,491</w:t>
            </w:r>
          </w:p>
        </w:tc>
        <w:tc>
          <w:tcPr>
            <w:tcW w:w="850" w:type="dxa"/>
            <w:shd w:val="clear" w:color="auto" w:fill="auto"/>
          </w:tcPr>
          <w:p w:rsidR="000C01DF" w:rsidRPr="000F3B35" w:rsidRDefault="000C01DF" w:rsidP="000D02E1">
            <w:pPr>
              <w:pStyle w:val="Tabletext"/>
              <w:jc w:val="center"/>
            </w:pPr>
            <w:r w:rsidRPr="000F3B35">
              <w:t>1,978</w:t>
            </w:r>
          </w:p>
        </w:tc>
        <w:tc>
          <w:tcPr>
            <w:tcW w:w="850" w:type="dxa"/>
          </w:tcPr>
          <w:p w:rsidR="000C01DF" w:rsidRPr="000F3B35" w:rsidRDefault="000C01DF" w:rsidP="000D02E1">
            <w:pPr>
              <w:pStyle w:val="Tabletext"/>
              <w:jc w:val="center"/>
            </w:pPr>
            <w:r w:rsidRPr="000F3B35">
              <w:t>2,581</w:t>
            </w:r>
          </w:p>
        </w:tc>
        <w:tc>
          <w:tcPr>
            <w:tcW w:w="1184" w:type="dxa"/>
            <w:shd w:val="clear" w:color="auto" w:fill="auto"/>
          </w:tcPr>
          <w:p w:rsidR="000C01DF" w:rsidRPr="000F3B35" w:rsidRDefault="000C01DF" w:rsidP="000D02E1">
            <w:pPr>
              <w:pStyle w:val="Tabletext"/>
              <w:jc w:val="center"/>
            </w:pPr>
          </w:p>
        </w:tc>
        <w:tc>
          <w:tcPr>
            <w:tcW w:w="3145" w:type="dxa"/>
          </w:tcPr>
          <w:p w:rsidR="000C01DF" w:rsidRPr="000F3B35" w:rsidRDefault="000C01DF" w:rsidP="000F3B35">
            <w:pPr>
              <w:pStyle w:val="Tabletext"/>
            </w:pPr>
            <w:r w:rsidRPr="000F3B35">
              <w:t>Euroconsult</w:t>
            </w:r>
            <w:r w:rsidRPr="000F3B35">
              <w:br/>
              <w:t>(</w:t>
            </w:r>
            <w:hyperlink r:id="rId25" w:history="1">
              <w:r w:rsidR="00F14149" w:rsidRPr="00072269">
                <w:rPr>
                  <w:rStyle w:val="Hyperlink"/>
                </w:rPr>
                <w:t>http://www.euroconsult-ec.com</w:t>
              </w:r>
            </w:hyperlink>
            <w:r w:rsidRPr="000F3B35">
              <w:t>)</w:t>
            </w:r>
          </w:p>
        </w:tc>
      </w:tr>
      <w:tr w:rsidR="000C01DF" w:rsidRPr="001514E8" w:rsidTr="00A31BB6">
        <w:trPr>
          <w:jc w:val="center"/>
        </w:trPr>
        <w:tc>
          <w:tcPr>
            <w:tcW w:w="2646" w:type="dxa"/>
            <w:vMerge/>
          </w:tcPr>
          <w:p w:rsidR="000C01DF" w:rsidRPr="000F3B35" w:rsidRDefault="000C01DF" w:rsidP="000F3B35">
            <w:pPr>
              <w:pStyle w:val="Tabletext"/>
            </w:pPr>
          </w:p>
        </w:tc>
        <w:tc>
          <w:tcPr>
            <w:tcW w:w="2926" w:type="dxa"/>
          </w:tcPr>
          <w:p w:rsidR="000C01DF" w:rsidRPr="000F3B35" w:rsidRDefault="000C01DF" w:rsidP="000F3B35">
            <w:pPr>
              <w:pStyle w:val="Tabletext"/>
            </w:pPr>
            <w:r w:rsidRPr="000F3B35">
              <w:t>Número de VSAT (millones)</w:t>
            </w:r>
          </w:p>
        </w:tc>
        <w:tc>
          <w:tcPr>
            <w:tcW w:w="850" w:type="dxa"/>
          </w:tcPr>
          <w:p w:rsidR="000C01DF" w:rsidRPr="000F3B35" w:rsidRDefault="000C01DF" w:rsidP="000D02E1">
            <w:pPr>
              <w:pStyle w:val="Tabletext"/>
              <w:jc w:val="center"/>
            </w:pPr>
            <w:r w:rsidRPr="000F3B35">
              <w:t>3,786</w:t>
            </w:r>
          </w:p>
        </w:tc>
        <w:tc>
          <w:tcPr>
            <w:tcW w:w="842" w:type="dxa"/>
          </w:tcPr>
          <w:p w:rsidR="000C01DF" w:rsidRPr="000F3B35" w:rsidRDefault="000C01DF" w:rsidP="000D02E1">
            <w:pPr>
              <w:pStyle w:val="Tabletext"/>
              <w:jc w:val="center"/>
            </w:pPr>
            <w:r w:rsidRPr="000F3B35">
              <w:t>3,891</w:t>
            </w:r>
          </w:p>
        </w:tc>
        <w:tc>
          <w:tcPr>
            <w:tcW w:w="850" w:type="dxa"/>
            <w:shd w:val="clear" w:color="auto" w:fill="auto"/>
          </w:tcPr>
          <w:p w:rsidR="000C01DF" w:rsidRPr="000F3B35" w:rsidRDefault="000C01DF" w:rsidP="000D02E1">
            <w:pPr>
              <w:pStyle w:val="Tabletext"/>
              <w:jc w:val="center"/>
            </w:pPr>
            <w:r w:rsidRPr="000F3B35">
              <w:t>3,838</w:t>
            </w:r>
          </w:p>
        </w:tc>
        <w:tc>
          <w:tcPr>
            <w:tcW w:w="850" w:type="dxa"/>
            <w:shd w:val="clear" w:color="auto" w:fill="auto"/>
          </w:tcPr>
          <w:p w:rsidR="000C01DF" w:rsidRPr="000F3B35" w:rsidRDefault="000C01DF" w:rsidP="000D02E1">
            <w:pPr>
              <w:pStyle w:val="Tabletext"/>
              <w:jc w:val="center"/>
            </w:pPr>
            <w:r w:rsidRPr="000F3B35">
              <w:t>3,972</w:t>
            </w:r>
          </w:p>
        </w:tc>
        <w:tc>
          <w:tcPr>
            <w:tcW w:w="850" w:type="dxa"/>
          </w:tcPr>
          <w:p w:rsidR="000C01DF" w:rsidRPr="000F3B35" w:rsidRDefault="000C01DF" w:rsidP="000D02E1">
            <w:pPr>
              <w:pStyle w:val="Tabletext"/>
              <w:jc w:val="center"/>
            </w:pPr>
            <w:r w:rsidRPr="000F3B35">
              <w:t>4,082</w:t>
            </w:r>
          </w:p>
        </w:tc>
        <w:tc>
          <w:tcPr>
            <w:tcW w:w="1184" w:type="dxa"/>
            <w:shd w:val="clear" w:color="auto" w:fill="auto"/>
          </w:tcPr>
          <w:p w:rsidR="000C01DF" w:rsidRPr="000F3B35" w:rsidRDefault="000C01DF" w:rsidP="000D02E1">
            <w:pPr>
              <w:pStyle w:val="Tabletext"/>
              <w:jc w:val="center"/>
            </w:pPr>
            <w:r w:rsidRPr="000F3B35">
              <w:t>4,35</w:t>
            </w:r>
          </w:p>
        </w:tc>
        <w:tc>
          <w:tcPr>
            <w:tcW w:w="3145" w:type="dxa"/>
          </w:tcPr>
          <w:p w:rsidR="000C01DF" w:rsidRPr="000F3B35" w:rsidRDefault="000C01DF" w:rsidP="000F3B35">
            <w:pPr>
              <w:pStyle w:val="Tabletext"/>
            </w:pPr>
            <w:r w:rsidRPr="000F3B35">
              <w:t>Global VSAT Forum</w:t>
            </w:r>
            <w:r w:rsidRPr="000F3B35">
              <w:br/>
              <w:t>(</w:t>
            </w:r>
            <w:hyperlink r:id="rId26" w:history="1">
              <w:r w:rsidR="00F14149" w:rsidRPr="00072269">
                <w:rPr>
                  <w:rStyle w:val="Hyperlink"/>
                </w:rPr>
                <w:t>https://gvf.org</w:t>
              </w:r>
            </w:hyperlink>
            <w:r w:rsidRPr="000F3B35">
              <w:t>)</w:t>
            </w:r>
          </w:p>
        </w:tc>
      </w:tr>
      <w:tr w:rsidR="000C01DF" w:rsidRPr="001514E8" w:rsidTr="00A31BB6">
        <w:trPr>
          <w:jc w:val="center"/>
        </w:trPr>
        <w:tc>
          <w:tcPr>
            <w:tcW w:w="2646" w:type="dxa"/>
            <w:vMerge/>
          </w:tcPr>
          <w:p w:rsidR="000C01DF" w:rsidRPr="000F3B35" w:rsidRDefault="000C01DF" w:rsidP="000F3B35">
            <w:pPr>
              <w:pStyle w:val="Tabletext"/>
            </w:pPr>
          </w:p>
        </w:tc>
        <w:tc>
          <w:tcPr>
            <w:tcW w:w="2926" w:type="dxa"/>
          </w:tcPr>
          <w:p w:rsidR="000C01DF" w:rsidRPr="000F3B35" w:rsidRDefault="000C01DF" w:rsidP="000F3B35">
            <w:pPr>
              <w:pStyle w:val="Tabletext"/>
            </w:pPr>
            <w:r w:rsidRPr="000F3B35">
              <w:t>Número de DTH (millones)</w:t>
            </w:r>
          </w:p>
        </w:tc>
        <w:tc>
          <w:tcPr>
            <w:tcW w:w="850" w:type="dxa"/>
          </w:tcPr>
          <w:p w:rsidR="000C01DF" w:rsidRPr="000F3B35" w:rsidRDefault="000C01DF" w:rsidP="000D02E1">
            <w:pPr>
              <w:pStyle w:val="Tabletext"/>
              <w:jc w:val="center"/>
            </w:pPr>
            <w:r w:rsidRPr="000F3B35">
              <w:t>359,2</w:t>
            </w:r>
          </w:p>
        </w:tc>
        <w:tc>
          <w:tcPr>
            <w:tcW w:w="842" w:type="dxa"/>
          </w:tcPr>
          <w:p w:rsidR="000C01DF" w:rsidRPr="000F3B35" w:rsidRDefault="000C01DF" w:rsidP="000D02E1">
            <w:pPr>
              <w:pStyle w:val="Tabletext"/>
              <w:jc w:val="center"/>
            </w:pPr>
            <w:r w:rsidRPr="000F3B35">
              <w:t>407,9</w:t>
            </w:r>
          </w:p>
        </w:tc>
        <w:tc>
          <w:tcPr>
            <w:tcW w:w="850" w:type="dxa"/>
            <w:shd w:val="clear" w:color="auto" w:fill="auto"/>
          </w:tcPr>
          <w:p w:rsidR="000C01DF" w:rsidRPr="000F3B35" w:rsidRDefault="000C01DF" w:rsidP="000D02E1">
            <w:pPr>
              <w:pStyle w:val="Tabletext"/>
              <w:jc w:val="center"/>
            </w:pPr>
            <w:r w:rsidRPr="000F3B35">
              <w:t>411,1</w:t>
            </w:r>
          </w:p>
        </w:tc>
        <w:tc>
          <w:tcPr>
            <w:tcW w:w="850" w:type="dxa"/>
            <w:shd w:val="clear" w:color="auto" w:fill="auto"/>
          </w:tcPr>
          <w:p w:rsidR="000C01DF" w:rsidRPr="000F3B35" w:rsidRDefault="000C01DF" w:rsidP="000D02E1">
            <w:pPr>
              <w:pStyle w:val="Tabletext"/>
              <w:jc w:val="center"/>
            </w:pPr>
            <w:r w:rsidRPr="000F3B35">
              <w:t>416</w:t>
            </w:r>
          </w:p>
        </w:tc>
        <w:tc>
          <w:tcPr>
            <w:tcW w:w="850" w:type="dxa"/>
          </w:tcPr>
          <w:p w:rsidR="000C01DF" w:rsidRPr="000F3B35" w:rsidRDefault="000C01DF" w:rsidP="000D02E1">
            <w:pPr>
              <w:pStyle w:val="Tabletext"/>
              <w:jc w:val="center"/>
            </w:pPr>
            <w:r w:rsidRPr="000F3B35">
              <w:t>424</w:t>
            </w:r>
          </w:p>
        </w:tc>
        <w:tc>
          <w:tcPr>
            <w:tcW w:w="1184" w:type="dxa"/>
            <w:shd w:val="clear" w:color="auto" w:fill="auto"/>
          </w:tcPr>
          <w:p w:rsidR="000C01DF" w:rsidRPr="000F3B35" w:rsidRDefault="000C01DF" w:rsidP="000D02E1">
            <w:pPr>
              <w:pStyle w:val="Tabletext"/>
              <w:jc w:val="center"/>
            </w:pPr>
            <w:r w:rsidRPr="000F3B35">
              <w:t>439</w:t>
            </w:r>
          </w:p>
        </w:tc>
        <w:tc>
          <w:tcPr>
            <w:tcW w:w="3145" w:type="dxa"/>
          </w:tcPr>
          <w:p w:rsidR="000C01DF" w:rsidRPr="004A4951" w:rsidRDefault="000C01DF" w:rsidP="000F3B35">
            <w:pPr>
              <w:pStyle w:val="Tabletext"/>
              <w:rPr>
                <w:lang w:val="en-US"/>
              </w:rPr>
            </w:pPr>
            <w:r w:rsidRPr="004A4951">
              <w:rPr>
                <w:lang w:val="en-US"/>
              </w:rPr>
              <w:t>Digital TV World Databook report, julio de 2017; Digital TV Research Ltd</w:t>
            </w:r>
          </w:p>
        </w:tc>
      </w:tr>
      <w:tr w:rsidR="000C01DF" w:rsidRPr="001514E8" w:rsidTr="00A31BB6">
        <w:trPr>
          <w:jc w:val="center"/>
        </w:trPr>
        <w:tc>
          <w:tcPr>
            <w:tcW w:w="2646" w:type="dxa"/>
            <w:vMerge w:val="restart"/>
          </w:tcPr>
          <w:p w:rsidR="000C01DF" w:rsidRPr="00CD755C" w:rsidRDefault="000C01DF" w:rsidP="000F3B35">
            <w:pPr>
              <w:pStyle w:val="Tabletext"/>
            </w:pPr>
            <w:r w:rsidRPr="000F3B35">
              <w:rPr>
                <w:rFonts w:asciiTheme="minorHAnsi" w:eastAsiaTheme="minorHAnsi" w:hAnsiTheme="minorHAnsi" w:cs="Arial"/>
                <w:b/>
                <w:bCs/>
                <w:color w:val="4F81BD" w:themeColor="accent1"/>
                <w:szCs w:val="20"/>
              </w:rPr>
              <w:t>R.2-6:</w:t>
            </w:r>
            <w:r w:rsidRPr="00CD755C">
              <w:t xml:space="preserve"> Mayor número de dispositivos con recepción de radionavegación por satélite</w:t>
            </w:r>
          </w:p>
        </w:tc>
        <w:tc>
          <w:tcPr>
            <w:tcW w:w="2926" w:type="dxa"/>
          </w:tcPr>
          <w:p w:rsidR="000C01DF" w:rsidRPr="00CD755C" w:rsidRDefault="000C01DF" w:rsidP="000F3B35">
            <w:pPr>
              <w:pStyle w:val="Tabletext"/>
            </w:pPr>
            <w:r w:rsidRPr="00CD755C">
              <w:t>Número de satélites/constelaciones del GNSS en funcionamiento</w:t>
            </w:r>
          </w:p>
        </w:tc>
        <w:tc>
          <w:tcPr>
            <w:tcW w:w="850" w:type="dxa"/>
          </w:tcPr>
          <w:p w:rsidR="000C01DF" w:rsidRPr="000F3B35" w:rsidRDefault="000C01DF" w:rsidP="000D02E1">
            <w:pPr>
              <w:pStyle w:val="Tabletext"/>
              <w:jc w:val="center"/>
            </w:pPr>
            <w:r w:rsidRPr="000F3B35">
              <w:t>2/48</w:t>
            </w:r>
          </w:p>
        </w:tc>
        <w:tc>
          <w:tcPr>
            <w:tcW w:w="842" w:type="dxa"/>
          </w:tcPr>
          <w:p w:rsidR="000C01DF" w:rsidRPr="000F3B35" w:rsidRDefault="000C01DF" w:rsidP="000D02E1">
            <w:pPr>
              <w:pStyle w:val="Tabletext"/>
              <w:jc w:val="center"/>
            </w:pPr>
            <w:r w:rsidRPr="000F3B35">
              <w:t>4/75</w:t>
            </w:r>
          </w:p>
        </w:tc>
        <w:tc>
          <w:tcPr>
            <w:tcW w:w="850" w:type="dxa"/>
            <w:shd w:val="clear" w:color="auto" w:fill="auto"/>
          </w:tcPr>
          <w:p w:rsidR="000C01DF" w:rsidRPr="000F3B35" w:rsidRDefault="000C01DF" w:rsidP="000D02E1">
            <w:pPr>
              <w:pStyle w:val="Tabletext"/>
              <w:jc w:val="center"/>
            </w:pPr>
            <w:r w:rsidRPr="000F3B35">
              <w:t>5/90</w:t>
            </w:r>
          </w:p>
        </w:tc>
        <w:tc>
          <w:tcPr>
            <w:tcW w:w="850" w:type="dxa"/>
            <w:shd w:val="clear" w:color="auto" w:fill="auto"/>
          </w:tcPr>
          <w:p w:rsidR="000C01DF" w:rsidRPr="000F3B35" w:rsidRDefault="000C01DF" w:rsidP="000D02E1">
            <w:pPr>
              <w:pStyle w:val="Tabletext"/>
              <w:jc w:val="center"/>
            </w:pPr>
          </w:p>
        </w:tc>
        <w:tc>
          <w:tcPr>
            <w:tcW w:w="850" w:type="dxa"/>
          </w:tcPr>
          <w:p w:rsidR="000C01DF" w:rsidRPr="000F3B35" w:rsidRDefault="000C01DF" w:rsidP="000D02E1">
            <w:pPr>
              <w:pStyle w:val="Tabletext"/>
              <w:jc w:val="center"/>
            </w:pPr>
            <w:r w:rsidRPr="000F3B35">
              <w:t>6/137</w:t>
            </w:r>
          </w:p>
        </w:tc>
        <w:tc>
          <w:tcPr>
            <w:tcW w:w="1184" w:type="dxa"/>
            <w:shd w:val="clear" w:color="auto" w:fill="auto"/>
          </w:tcPr>
          <w:p w:rsidR="000C01DF" w:rsidRPr="000F3B35" w:rsidRDefault="000C01DF" w:rsidP="000D02E1">
            <w:pPr>
              <w:pStyle w:val="Tabletext"/>
              <w:jc w:val="center"/>
            </w:pPr>
            <w:r w:rsidRPr="000F3B35">
              <w:t>6/144</w:t>
            </w:r>
          </w:p>
        </w:tc>
        <w:tc>
          <w:tcPr>
            <w:tcW w:w="3145" w:type="dxa"/>
          </w:tcPr>
          <w:p w:rsidR="000C01DF" w:rsidRPr="000F3B35" w:rsidRDefault="000C01DF" w:rsidP="000F3B35">
            <w:pPr>
              <w:pStyle w:val="Tabletext"/>
            </w:pPr>
            <w:r w:rsidRPr="000F3B35">
              <w:t>BR/MIFR</w:t>
            </w:r>
          </w:p>
        </w:tc>
      </w:tr>
      <w:tr w:rsidR="000C01DF" w:rsidRPr="001514E8" w:rsidTr="00A31BB6">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0F3B35">
            <w:pPr>
              <w:pStyle w:val="Tabletext"/>
            </w:pPr>
            <w:r w:rsidRPr="00CD755C">
              <w:t>Número de dispositivos con receptor GNSS incorporado (miles de millones)</w:t>
            </w:r>
          </w:p>
        </w:tc>
        <w:tc>
          <w:tcPr>
            <w:tcW w:w="850" w:type="dxa"/>
          </w:tcPr>
          <w:p w:rsidR="000C01DF" w:rsidRPr="000F3B35" w:rsidRDefault="000C01DF" w:rsidP="000D02E1">
            <w:pPr>
              <w:pStyle w:val="Tabletext"/>
              <w:jc w:val="center"/>
            </w:pPr>
            <w:r w:rsidRPr="000F3B35">
              <w:t>3,6</w:t>
            </w:r>
          </w:p>
        </w:tc>
        <w:tc>
          <w:tcPr>
            <w:tcW w:w="842" w:type="dxa"/>
          </w:tcPr>
          <w:p w:rsidR="000C01DF" w:rsidRPr="000F3B35" w:rsidRDefault="000C01DF" w:rsidP="000D02E1">
            <w:pPr>
              <w:pStyle w:val="Tabletext"/>
              <w:jc w:val="center"/>
            </w:pPr>
            <w:r w:rsidRPr="000F3B35">
              <w:t>4,2</w:t>
            </w:r>
          </w:p>
        </w:tc>
        <w:tc>
          <w:tcPr>
            <w:tcW w:w="850" w:type="dxa"/>
            <w:shd w:val="clear" w:color="auto" w:fill="auto"/>
          </w:tcPr>
          <w:p w:rsidR="000C01DF" w:rsidRPr="000F3B35" w:rsidRDefault="000C01DF" w:rsidP="000D02E1">
            <w:pPr>
              <w:pStyle w:val="Tabletext"/>
              <w:jc w:val="center"/>
            </w:pPr>
            <w:r w:rsidRPr="000F3B35">
              <w:t>5,0</w:t>
            </w:r>
          </w:p>
        </w:tc>
        <w:tc>
          <w:tcPr>
            <w:tcW w:w="850" w:type="dxa"/>
            <w:shd w:val="clear" w:color="auto" w:fill="auto"/>
          </w:tcPr>
          <w:p w:rsidR="000C01DF" w:rsidRPr="000F3B35" w:rsidRDefault="000C01DF" w:rsidP="000D02E1">
            <w:pPr>
              <w:pStyle w:val="Tabletext"/>
              <w:jc w:val="center"/>
            </w:pPr>
            <w:r w:rsidRPr="000F3B35">
              <w:t>5,8*</w:t>
            </w:r>
          </w:p>
        </w:tc>
        <w:tc>
          <w:tcPr>
            <w:tcW w:w="850" w:type="dxa"/>
          </w:tcPr>
          <w:p w:rsidR="000C01DF" w:rsidRPr="000F3B35" w:rsidRDefault="000C01DF" w:rsidP="000D02E1">
            <w:pPr>
              <w:pStyle w:val="Tabletext"/>
              <w:jc w:val="center"/>
            </w:pPr>
            <w:r w:rsidRPr="000F3B35">
              <w:t>6,5*</w:t>
            </w:r>
          </w:p>
        </w:tc>
        <w:tc>
          <w:tcPr>
            <w:tcW w:w="1184" w:type="dxa"/>
            <w:shd w:val="clear" w:color="auto" w:fill="auto"/>
          </w:tcPr>
          <w:p w:rsidR="000C01DF" w:rsidRPr="000F3B35" w:rsidRDefault="000C01DF" w:rsidP="000D02E1">
            <w:pPr>
              <w:pStyle w:val="Tabletext"/>
              <w:jc w:val="center"/>
            </w:pPr>
          </w:p>
        </w:tc>
        <w:tc>
          <w:tcPr>
            <w:tcW w:w="3145" w:type="dxa"/>
          </w:tcPr>
          <w:p w:rsidR="000C01DF" w:rsidRPr="004A4951" w:rsidRDefault="000C01DF" w:rsidP="000F3B35">
            <w:pPr>
              <w:pStyle w:val="Tabletext"/>
              <w:rPr>
                <w:lang w:val="en-US"/>
              </w:rPr>
            </w:pPr>
            <w:r w:rsidRPr="004A4951">
              <w:rPr>
                <w:lang w:val="en-US"/>
              </w:rPr>
              <w:t>European GNSS Agency: GNNS Report </w:t>
            </w:r>
            <w:r w:rsidRPr="004A4951">
              <w:rPr>
                <w:lang w:val="en-US"/>
              </w:rPr>
              <w:br/>
              <w:t>(</w:t>
            </w:r>
            <w:hyperlink r:id="rId27" w:history="1">
              <w:r w:rsidR="00F14149" w:rsidRPr="00072269">
                <w:rPr>
                  <w:rStyle w:val="Hyperlink"/>
                  <w:lang w:val="en-US"/>
                </w:rPr>
                <w:t>https://www.gsa.europa.eu</w:t>
              </w:r>
            </w:hyperlink>
            <w:r w:rsidRPr="004A4951">
              <w:rPr>
                <w:lang w:val="en-US"/>
              </w:rPr>
              <w:t>)</w:t>
            </w:r>
          </w:p>
        </w:tc>
      </w:tr>
      <w:tr w:rsidR="000C01DF" w:rsidRPr="001514E8" w:rsidTr="00A31BB6">
        <w:trPr>
          <w:jc w:val="center"/>
        </w:trPr>
        <w:tc>
          <w:tcPr>
            <w:tcW w:w="2646" w:type="dxa"/>
            <w:vMerge w:val="restart"/>
          </w:tcPr>
          <w:p w:rsidR="000C01DF" w:rsidRPr="00CD755C" w:rsidRDefault="000C01DF" w:rsidP="000F3B35">
            <w:pPr>
              <w:pStyle w:val="Tabletext"/>
            </w:pPr>
            <w:r w:rsidRPr="000F3B35">
              <w:rPr>
                <w:rFonts w:asciiTheme="minorHAnsi" w:eastAsiaTheme="minorHAnsi" w:hAnsiTheme="minorHAnsi" w:cs="Arial"/>
                <w:b/>
                <w:bCs/>
                <w:color w:val="4F81BD" w:themeColor="accent1"/>
                <w:szCs w:val="20"/>
              </w:rPr>
              <w:t>R.2-7:</w:t>
            </w:r>
            <w:r w:rsidRPr="00CD755C">
              <w:t xml:space="preserve"> Mayor número de satélites de exploración de la Tierra en funcionamiento, cantidad y resolución correspondientes de las imágenes transmitidas y los volúmenes de datos descargados (Tbytes)</w:t>
            </w:r>
          </w:p>
        </w:tc>
        <w:tc>
          <w:tcPr>
            <w:tcW w:w="2926" w:type="dxa"/>
          </w:tcPr>
          <w:p w:rsidR="000C01DF" w:rsidRPr="00CD755C" w:rsidRDefault="000C01DF" w:rsidP="000F3B35">
            <w:pPr>
              <w:pStyle w:val="Tabletext"/>
            </w:pPr>
            <w:r w:rsidRPr="00CD755C">
              <w:t>Número de satélites de estudio de los recursos terrestres</w:t>
            </w:r>
          </w:p>
        </w:tc>
        <w:tc>
          <w:tcPr>
            <w:tcW w:w="850" w:type="dxa"/>
          </w:tcPr>
          <w:p w:rsidR="000C01DF" w:rsidRPr="000F3B35" w:rsidRDefault="000C01DF" w:rsidP="000D02E1">
            <w:pPr>
              <w:pStyle w:val="Tabletext"/>
              <w:jc w:val="center"/>
            </w:pPr>
            <w:r w:rsidRPr="000F3B35">
              <w:t>180</w:t>
            </w:r>
          </w:p>
        </w:tc>
        <w:tc>
          <w:tcPr>
            <w:tcW w:w="842" w:type="dxa"/>
          </w:tcPr>
          <w:p w:rsidR="000C01DF" w:rsidRPr="000F3B35" w:rsidRDefault="000C01DF" w:rsidP="000D02E1">
            <w:pPr>
              <w:pStyle w:val="Tabletext"/>
              <w:jc w:val="center"/>
            </w:pPr>
            <w:r w:rsidRPr="000F3B35">
              <w:t>215</w:t>
            </w:r>
          </w:p>
        </w:tc>
        <w:tc>
          <w:tcPr>
            <w:tcW w:w="850" w:type="dxa"/>
            <w:shd w:val="clear" w:color="auto" w:fill="auto"/>
          </w:tcPr>
          <w:p w:rsidR="000C01DF" w:rsidRPr="000F3B35" w:rsidRDefault="000C01DF" w:rsidP="000D02E1">
            <w:pPr>
              <w:pStyle w:val="Tabletext"/>
              <w:jc w:val="center"/>
            </w:pPr>
            <w:r w:rsidRPr="000F3B35">
              <w:t>219</w:t>
            </w:r>
          </w:p>
        </w:tc>
        <w:tc>
          <w:tcPr>
            <w:tcW w:w="850" w:type="dxa"/>
            <w:shd w:val="clear" w:color="auto" w:fill="auto"/>
          </w:tcPr>
          <w:p w:rsidR="000C01DF" w:rsidRPr="000F3B35" w:rsidRDefault="000C01DF" w:rsidP="000D02E1">
            <w:pPr>
              <w:pStyle w:val="Tabletext"/>
              <w:jc w:val="center"/>
            </w:pPr>
          </w:p>
        </w:tc>
        <w:tc>
          <w:tcPr>
            <w:tcW w:w="850" w:type="dxa"/>
          </w:tcPr>
          <w:p w:rsidR="000C01DF" w:rsidRPr="000F3B35" w:rsidRDefault="000C01DF" w:rsidP="000D02E1">
            <w:pPr>
              <w:pStyle w:val="Tabletext"/>
              <w:jc w:val="center"/>
            </w:pPr>
            <w:r w:rsidRPr="000F3B35">
              <w:t>265</w:t>
            </w:r>
          </w:p>
        </w:tc>
        <w:tc>
          <w:tcPr>
            <w:tcW w:w="1184" w:type="dxa"/>
            <w:shd w:val="clear" w:color="auto" w:fill="auto"/>
          </w:tcPr>
          <w:p w:rsidR="000C01DF" w:rsidRPr="000F3B35" w:rsidRDefault="000C01DF" w:rsidP="000D02E1">
            <w:pPr>
              <w:pStyle w:val="Tabletext"/>
              <w:jc w:val="center"/>
            </w:pPr>
            <w:r w:rsidRPr="000F3B35">
              <w:t>440</w:t>
            </w:r>
          </w:p>
        </w:tc>
        <w:tc>
          <w:tcPr>
            <w:tcW w:w="3145" w:type="dxa"/>
          </w:tcPr>
          <w:p w:rsidR="000C01DF" w:rsidRPr="000F3B35" w:rsidRDefault="000C01DF" w:rsidP="000F3B35">
            <w:pPr>
              <w:pStyle w:val="Tabletext"/>
            </w:pPr>
            <w:r w:rsidRPr="000F3B35">
              <w:t>BR/MIFR</w:t>
            </w:r>
          </w:p>
        </w:tc>
      </w:tr>
      <w:tr w:rsidR="000C01DF" w:rsidRPr="008930FD" w:rsidTr="00A31BB6">
        <w:trPr>
          <w:jc w:val="center"/>
        </w:trPr>
        <w:tc>
          <w:tcPr>
            <w:tcW w:w="2646" w:type="dxa"/>
            <w:vMerge/>
          </w:tcPr>
          <w:p w:rsidR="000C01DF" w:rsidRPr="000F3B35" w:rsidRDefault="000C01DF" w:rsidP="000F3B35">
            <w:pPr>
              <w:pStyle w:val="Tabletext"/>
            </w:pPr>
          </w:p>
        </w:tc>
        <w:tc>
          <w:tcPr>
            <w:tcW w:w="2926" w:type="dxa"/>
          </w:tcPr>
          <w:p w:rsidR="000C01DF" w:rsidRPr="00CD755C" w:rsidRDefault="000C01DF" w:rsidP="000F3B35">
            <w:pPr>
              <w:pStyle w:val="Tabletext"/>
            </w:pPr>
            <w:r w:rsidRPr="00CD755C">
              <w:t>Cantidad de imágenes transmitidas (millones)</w:t>
            </w:r>
          </w:p>
        </w:tc>
        <w:tc>
          <w:tcPr>
            <w:tcW w:w="850" w:type="dxa"/>
          </w:tcPr>
          <w:p w:rsidR="000C01DF" w:rsidRPr="000F3B35" w:rsidRDefault="000C01DF" w:rsidP="000D02E1">
            <w:pPr>
              <w:pStyle w:val="Tabletext"/>
              <w:jc w:val="center"/>
            </w:pPr>
            <w:r w:rsidRPr="000F3B35">
              <w:t>62</w:t>
            </w:r>
          </w:p>
        </w:tc>
        <w:tc>
          <w:tcPr>
            <w:tcW w:w="842" w:type="dxa"/>
          </w:tcPr>
          <w:p w:rsidR="000C01DF" w:rsidRPr="000F3B35" w:rsidRDefault="000C01DF" w:rsidP="000D02E1">
            <w:pPr>
              <w:pStyle w:val="Tabletext"/>
              <w:jc w:val="center"/>
            </w:pPr>
            <w:r w:rsidRPr="000F3B35">
              <w:t>68</w:t>
            </w:r>
          </w:p>
        </w:tc>
        <w:tc>
          <w:tcPr>
            <w:tcW w:w="850" w:type="dxa"/>
            <w:shd w:val="clear" w:color="auto" w:fill="auto"/>
          </w:tcPr>
          <w:p w:rsidR="000C01DF" w:rsidRPr="000F3B35" w:rsidRDefault="000C01DF" w:rsidP="000D02E1">
            <w:pPr>
              <w:pStyle w:val="Tabletext"/>
              <w:jc w:val="center"/>
            </w:pPr>
            <w:r w:rsidRPr="000F3B35">
              <w:t>71</w:t>
            </w:r>
          </w:p>
        </w:tc>
        <w:tc>
          <w:tcPr>
            <w:tcW w:w="850" w:type="dxa"/>
            <w:shd w:val="clear" w:color="auto" w:fill="auto"/>
          </w:tcPr>
          <w:p w:rsidR="000C01DF" w:rsidRPr="000F3B35" w:rsidRDefault="000C01DF" w:rsidP="000D02E1">
            <w:pPr>
              <w:pStyle w:val="Tabletext"/>
              <w:jc w:val="center"/>
            </w:pPr>
          </w:p>
        </w:tc>
        <w:tc>
          <w:tcPr>
            <w:tcW w:w="850" w:type="dxa"/>
          </w:tcPr>
          <w:p w:rsidR="000C01DF" w:rsidRPr="000F3B35" w:rsidRDefault="000C01DF" w:rsidP="000D02E1">
            <w:pPr>
              <w:pStyle w:val="Tabletext"/>
              <w:jc w:val="center"/>
            </w:pPr>
          </w:p>
        </w:tc>
        <w:tc>
          <w:tcPr>
            <w:tcW w:w="1184" w:type="dxa"/>
            <w:shd w:val="clear" w:color="auto" w:fill="auto"/>
          </w:tcPr>
          <w:p w:rsidR="000C01DF" w:rsidRPr="000F3B35" w:rsidRDefault="000C01DF" w:rsidP="000D02E1">
            <w:pPr>
              <w:pStyle w:val="Tabletext"/>
              <w:jc w:val="center"/>
            </w:pPr>
          </w:p>
        </w:tc>
        <w:tc>
          <w:tcPr>
            <w:tcW w:w="3145" w:type="dxa"/>
          </w:tcPr>
          <w:p w:rsidR="000C01DF" w:rsidRPr="00CD755C" w:rsidRDefault="000C01DF" w:rsidP="000F3B35">
            <w:pPr>
              <w:pStyle w:val="Tabletext"/>
            </w:pPr>
            <w:r w:rsidRPr="00CD755C">
              <w:t>Se obtendrá de la Oficina de las Naciones Unidas de Asuntos del Espacio Ultraterrestre; Grupo de Trabajo de las Naciones Unidas</w:t>
            </w:r>
          </w:p>
        </w:tc>
      </w:tr>
      <w:tr w:rsidR="000C01DF" w:rsidRPr="008930FD" w:rsidTr="00A31BB6">
        <w:trPr>
          <w:jc w:val="center"/>
        </w:trPr>
        <w:tc>
          <w:tcPr>
            <w:tcW w:w="2646" w:type="dxa"/>
            <w:vMerge/>
          </w:tcPr>
          <w:p w:rsidR="000C01DF" w:rsidRPr="00CD755C" w:rsidRDefault="000C01DF" w:rsidP="000F3B35">
            <w:pPr>
              <w:pStyle w:val="Tabletext"/>
            </w:pPr>
          </w:p>
        </w:tc>
        <w:tc>
          <w:tcPr>
            <w:tcW w:w="2926" w:type="dxa"/>
          </w:tcPr>
          <w:p w:rsidR="000C01DF" w:rsidRPr="00CD755C" w:rsidRDefault="000C01DF" w:rsidP="000F3B35">
            <w:pPr>
              <w:pStyle w:val="Tabletext"/>
            </w:pPr>
            <w:r w:rsidRPr="00CD755C">
              <w:t>Tamaño de las imágenes descargadas (Terabytes)</w:t>
            </w:r>
          </w:p>
        </w:tc>
        <w:tc>
          <w:tcPr>
            <w:tcW w:w="850" w:type="dxa"/>
          </w:tcPr>
          <w:p w:rsidR="000C01DF" w:rsidRPr="000F3B35" w:rsidRDefault="000C01DF" w:rsidP="000D02E1">
            <w:pPr>
              <w:pStyle w:val="Tabletext"/>
              <w:jc w:val="center"/>
            </w:pPr>
            <w:r w:rsidRPr="000F3B35">
              <w:t>27 000</w:t>
            </w:r>
          </w:p>
        </w:tc>
        <w:tc>
          <w:tcPr>
            <w:tcW w:w="842" w:type="dxa"/>
          </w:tcPr>
          <w:p w:rsidR="000C01DF" w:rsidRPr="000F3B35" w:rsidRDefault="000C01DF" w:rsidP="000D02E1">
            <w:pPr>
              <w:pStyle w:val="Tabletext"/>
              <w:jc w:val="center"/>
            </w:pPr>
            <w:r w:rsidRPr="000F3B35">
              <w:t>35 000</w:t>
            </w:r>
          </w:p>
        </w:tc>
        <w:tc>
          <w:tcPr>
            <w:tcW w:w="850" w:type="dxa"/>
            <w:shd w:val="clear" w:color="auto" w:fill="auto"/>
          </w:tcPr>
          <w:p w:rsidR="000C01DF" w:rsidRPr="000F3B35" w:rsidRDefault="000C01DF" w:rsidP="000D02E1">
            <w:pPr>
              <w:pStyle w:val="Tabletext"/>
              <w:jc w:val="center"/>
            </w:pPr>
            <w:r w:rsidRPr="000F3B35">
              <w:t>37 000</w:t>
            </w:r>
          </w:p>
        </w:tc>
        <w:tc>
          <w:tcPr>
            <w:tcW w:w="850" w:type="dxa"/>
            <w:shd w:val="clear" w:color="auto" w:fill="auto"/>
          </w:tcPr>
          <w:p w:rsidR="000C01DF" w:rsidRPr="000F3B35" w:rsidRDefault="000C01DF" w:rsidP="000D02E1">
            <w:pPr>
              <w:pStyle w:val="Tabletext"/>
              <w:jc w:val="center"/>
            </w:pPr>
          </w:p>
        </w:tc>
        <w:tc>
          <w:tcPr>
            <w:tcW w:w="850" w:type="dxa"/>
          </w:tcPr>
          <w:p w:rsidR="000C01DF" w:rsidRPr="000F3B35" w:rsidRDefault="000C01DF" w:rsidP="000D02E1">
            <w:pPr>
              <w:pStyle w:val="Tabletext"/>
              <w:jc w:val="center"/>
            </w:pPr>
          </w:p>
        </w:tc>
        <w:tc>
          <w:tcPr>
            <w:tcW w:w="1184" w:type="dxa"/>
            <w:shd w:val="clear" w:color="auto" w:fill="auto"/>
          </w:tcPr>
          <w:p w:rsidR="000C01DF" w:rsidRPr="000F3B35" w:rsidRDefault="000C01DF" w:rsidP="000D02E1">
            <w:pPr>
              <w:pStyle w:val="Tabletext"/>
              <w:jc w:val="center"/>
            </w:pPr>
          </w:p>
        </w:tc>
        <w:tc>
          <w:tcPr>
            <w:tcW w:w="3145" w:type="dxa"/>
          </w:tcPr>
          <w:p w:rsidR="000C01DF" w:rsidRPr="00CD755C" w:rsidRDefault="000C01DF" w:rsidP="000F3B35">
            <w:pPr>
              <w:pStyle w:val="Tabletext"/>
            </w:pPr>
            <w:r w:rsidRPr="00CD755C">
              <w:t>Se obtendrá de la Oficina de las Naciones Unidas de Asuntos del Espacio Ultraterrestre; Grupo de Trabajo de las Naciones Unidas</w:t>
            </w:r>
          </w:p>
        </w:tc>
      </w:tr>
    </w:tbl>
    <w:p w:rsidR="00D22A8A" w:rsidRDefault="00D22A8A" w:rsidP="00CA70FE">
      <w:pPr>
        <w:rPr>
          <w:lang w:val="es-ES"/>
        </w:rPr>
      </w:pPr>
      <w:r>
        <w:rPr>
          <w:lang w:val="es-ES"/>
        </w:rPr>
        <w:br w:type="page"/>
      </w:r>
    </w:p>
    <w:tbl>
      <w:tblPr>
        <w:tblStyle w:val="GridTable4-Accent11"/>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92"/>
        <w:gridCol w:w="1559"/>
        <w:gridCol w:w="1559"/>
        <w:gridCol w:w="1559"/>
        <w:gridCol w:w="1560"/>
      </w:tblGrid>
      <w:tr w:rsidR="000C01DF" w:rsidRPr="008930FD" w:rsidTr="00975C74">
        <w:trPr>
          <w:cnfStyle w:val="100000000000" w:firstRow="1" w:lastRow="0" w:firstColumn="0" w:lastColumn="0" w:oddVBand="0" w:evenVBand="0" w:oddHBand="0" w:evenHBand="0" w:firstRowFirstColumn="0" w:firstRowLastColumn="0" w:lastRowFirstColumn="0" w:lastRowLastColumn="0"/>
          <w:jc w:val="center"/>
        </w:trPr>
        <w:tc>
          <w:tcPr>
            <w:tcW w:w="7792" w:type="dxa"/>
            <w:tcBorders>
              <w:top w:val="none" w:sz="0" w:space="0" w:color="auto"/>
              <w:left w:val="none" w:sz="0" w:space="0" w:color="auto"/>
              <w:bottom w:val="none" w:sz="0" w:space="0" w:color="auto"/>
              <w:right w:val="none" w:sz="0" w:space="0" w:color="auto"/>
            </w:tcBorders>
          </w:tcPr>
          <w:p w:rsidR="000C01DF" w:rsidRPr="001514E8" w:rsidRDefault="000C01DF" w:rsidP="001514E8">
            <w:pPr>
              <w:pStyle w:val="Tablehead"/>
              <w:rPr>
                <w:b/>
                <w:bCs w:val="0"/>
              </w:rPr>
            </w:pPr>
            <w:r w:rsidRPr="001514E8">
              <w:rPr>
                <w:b/>
                <w:bCs w:val="0"/>
              </w:rPr>
              <w:lastRenderedPageBreak/>
              <w:t>Producto</w:t>
            </w:r>
          </w:p>
        </w:tc>
        <w:tc>
          <w:tcPr>
            <w:tcW w:w="6237" w:type="dxa"/>
            <w:gridSpan w:val="4"/>
            <w:tcBorders>
              <w:top w:val="none" w:sz="0" w:space="0" w:color="auto"/>
              <w:left w:val="none" w:sz="0" w:space="0" w:color="auto"/>
              <w:bottom w:val="none" w:sz="0" w:space="0" w:color="auto"/>
              <w:right w:val="none" w:sz="0" w:space="0" w:color="auto"/>
            </w:tcBorders>
          </w:tcPr>
          <w:p w:rsidR="000C01DF" w:rsidRPr="001514E8" w:rsidRDefault="000C01DF" w:rsidP="001514E8">
            <w:pPr>
              <w:pStyle w:val="Tablehead"/>
              <w:rPr>
                <w:b/>
                <w:bCs w:val="0"/>
                <w:lang w:val="es-ES"/>
              </w:rPr>
            </w:pPr>
            <w:r w:rsidRPr="001514E8">
              <w:rPr>
                <w:b/>
                <w:bCs w:val="0"/>
                <w:lang w:val="es-ES"/>
              </w:rPr>
              <w:t>Recursos financieros</w:t>
            </w:r>
            <w:r w:rsidRPr="001514E8">
              <w:rPr>
                <w:rStyle w:val="FootnoteReference"/>
                <w:b/>
                <w:bCs w:val="0"/>
              </w:rPr>
              <w:footnoteReference w:id="5"/>
            </w:r>
            <w:r w:rsidRPr="001514E8">
              <w:rPr>
                <w:b/>
                <w:bCs w:val="0"/>
                <w:lang w:val="es-ES"/>
              </w:rPr>
              <w:t xml:space="preserve"> (en miles CHF)</w:t>
            </w:r>
          </w:p>
        </w:tc>
      </w:tr>
      <w:tr w:rsidR="000C01DF" w:rsidRPr="001514E8" w:rsidTr="00975C74">
        <w:trPr>
          <w:jc w:val="center"/>
        </w:trPr>
        <w:tc>
          <w:tcPr>
            <w:tcW w:w="7792" w:type="dxa"/>
          </w:tcPr>
          <w:p w:rsidR="000C01DF" w:rsidRPr="001514E8" w:rsidRDefault="000C01DF" w:rsidP="001514E8">
            <w:pPr>
              <w:pStyle w:val="Tabletext"/>
            </w:pPr>
          </w:p>
        </w:tc>
        <w:tc>
          <w:tcPr>
            <w:tcW w:w="1559" w:type="dxa"/>
          </w:tcPr>
          <w:p w:rsidR="000C01DF" w:rsidRPr="001514E8" w:rsidRDefault="000C01DF" w:rsidP="001514E8">
            <w:pPr>
              <w:pStyle w:val="Tabletext"/>
              <w:jc w:val="center"/>
              <w:rPr>
                <w:rFonts w:cs="Arial"/>
                <w:b/>
                <w:bCs/>
                <w:color w:val="4F81BD" w:themeColor="accent1"/>
                <w:szCs w:val="20"/>
              </w:rPr>
            </w:pPr>
            <w:r w:rsidRPr="001514E8">
              <w:rPr>
                <w:rFonts w:cs="Arial"/>
                <w:b/>
                <w:bCs/>
                <w:color w:val="4F81BD" w:themeColor="accent1"/>
                <w:szCs w:val="20"/>
              </w:rPr>
              <w:t>2020</w:t>
            </w:r>
          </w:p>
        </w:tc>
        <w:tc>
          <w:tcPr>
            <w:tcW w:w="1559" w:type="dxa"/>
          </w:tcPr>
          <w:p w:rsidR="000C01DF" w:rsidRPr="001514E8" w:rsidRDefault="000C01DF" w:rsidP="001514E8">
            <w:pPr>
              <w:pStyle w:val="Tabletext"/>
              <w:jc w:val="center"/>
              <w:rPr>
                <w:rFonts w:cs="Arial"/>
                <w:b/>
                <w:bCs/>
                <w:color w:val="4F81BD" w:themeColor="accent1"/>
                <w:szCs w:val="20"/>
              </w:rPr>
            </w:pPr>
            <w:r w:rsidRPr="001514E8">
              <w:rPr>
                <w:rFonts w:cs="Arial"/>
                <w:b/>
                <w:bCs/>
                <w:color w:val="4F81BD" w:themeColor="accent1"/>
                <w:szCs w:val="20"/>
              </w:rPr>
              <w:t>2021</w:t>
            </w:r>
          </w:p>
        </w:tc>
        <w:tc>
          <w:tcPr>
            <w:tcW w:w="1559" w:type="dxa"/>
          </w:tcPr>
          <w:p w:rsidR="000C01DF" w:rsidRPr="001514E8" w:rsidRDefault="000C01DF" w:rsidP="001514E8">
            <w:pPr>
              <w:pStyle w:val="Tabletext"/>
              <w:jc w:val="center"/>
              <w:rPr>
                <w:rFonts w:cs="Arial"/>
                <w:b/>
                <w:bCs/>
                <w:color w:val="4F81BD" w:themeColor="accent1"/>
                <w:szCs w:val="20"/>
              </w:rPr>
            </w:pPr>
            <w:r w:rsidRPr="001514E8">
              <w:rPr>
                <w:rFonts w:cs="Arial"/>
                <w:b/>
                <w:bCs/>
                <w:color w:val="4F81BD" w:themeColor="accent1"/>
                <w:szCs w:val="20"/>
              </w:rPr>
              <w:t>2022</w:t>
            </w:r>
          </w:p>
        </w:tc>
        <w:tc>
          <w:tcPr>
            <w:tcW w:w="1560" w:type="dxa"/>
          </w:tcPr>
          <w:p w:rsidR="000C01DF" w:rsidRPr="001514E8" w:rsidRDefault="000C01DF" w:rsidP="001514E8">
            <w:pPr>
              <w:pStyle w:val="Tabletext"/>
              <w:jc w:val="center"/>
              <w:rPr>
                <w:rFonts w:cs="Arial"/>
                <w:b/>
                <w:bCs/>
                <w:color w:val="4F81BD" w:themeColor="accent1"/>
                <w:szCs w:val="20"/>
              </w:rPr>
            </w:pPr>
            <w:r w:rsidRPr="001514E8">
              <w:rPr>
                <w:rFonts w:cs="Arial"/>
                <w:b/>
                <w:bCs/>
                <w:color w:val="4F81BD" w:themeColor="accent1"/>
                <w:szCs w:val="20"/>
              </w:rPr>
              <w:t>2023</w:t>
            </w:r>
          </w:p>
        </w:tc>
      </w:tr>
      <w:tr w:rsidR="000C01DF" w:rsidRPr="001514E8" w:rsidTr="00975C74">
        <w:trPr>
          <w:jc w:val="center"/>
        </w:trPr>
        <w:tc>
          <w:tcPr>
            <w:tcW w:w="7792" w:type="dxa"/>
          </w:tcPr>
          <w:p w:rsidR="000C01DF" w:rsidRPr="001514E8" w:rsidRDefault="000C01DF" w:rsidP="001514E8">
            <w:pPr>
              <w:pStyle w:val="Tabletext"/>
              <w:rPr>
                <w:szCs w:val="20"/>
              </w:rPr>
            </w:pPr>
            <w:r w:rsidRPr="001514E8">
              <w:rPr>
                <w:rFonts w:cs="Arial"/>
                <w:b/>
                <w:bCs/>
                <w:color w:val="4F81BD" w:themeColor="accent1"/>
                <w:szCs w:val="20"/>
              </w:rPr>
              <w:t>R.2-1:</w:t>
            </w:r>
            <w:r w:rsidRPr="001514E8">
              <w:rPr>
                <w:b/>
                <w:bCs/>
                <w:color w:val="4F81BD" w:themeColor="accent1"/>
                <w:szCs w:val="20"/>
                <w:lang w:eastAsia="zh-CN"/>
              </w:rPr>
              <w:t xml:space="preserve"> </w:t>
            </w:r>
            <w:r w:rsidRPr="001514E8">
              <w:t>Decisiones de la Asamblea de Radiocomunicaciones, Resoluciones del UIT-R</w:t>
            </w:r>
          </w:p>
        </w:tc>
        <w:tc>
          <w:tcPr>
            <w:tcW w:w="1559" w:type="dxa"/>
            <w:tcMar>
              <w:right w:w="284" w:type="dxa"/>
            </w:tcMar>
            <w:vAlign w:val="center"/>
          </w:tcPr>
          <w:p w:rsidR="000C01DF" w:rsidRPr="00EE3732" w:rsidRDefault="000C01DF" w:rsidP="00EE3732">
            <w:pPr>
              <w:pStyle w:val="Tabletext"/>
              <w:jc w:val="center"/>
            </w:pPr>
            <w:r w:rsidRPr="00EE3732">
              <w:t>711</w:t>
            </w:r>
          </w:p>
        </w:tc>
        <w:tc>
          <w:tcPr>
            <w:tcW w:w="1559" w:type="dxa"/>
            <w:tcMar>
              <w:right w:w="284" w:type="dxa"/>
            </w:tcMar>
            <w:vAlign w:val="center"/>
          </w:tcPr>
          <w:p w:rsidR="000C01DF" w:rsidRPr="00EE3732" w:rsidRDefault="000C01DF" w:rsidP="001514E8">
            <w:pPr>
              <w:pStyle w:val="Tabletext"/>
              <w:jc w:val="center"/>
            </w:pPr>
            <w:r w:rsidRPr="00EE3732">
              <w:t>703</w:t>
            </w:r>
          </w:p>
        </w:tc>
        <w:tc>
          <w:tcPr>
            <w:tcW w:w="1559" w:type="dxa"/>
            <w:tcMar>
              <w:right w:w="284" w:type="dxa"/>
            </w:tcMar>
            <w:vAlign w:val="center"/>
          </w:tcPr>
          <w:p w:rsidR="000C01DF" w:rsidRPr="00EE3732" w:rsidRDefault="000C01DF" w:rsidP="001514E8">
            <w:pPr>
              <w:pStyle w:val="Tabletext"/>
              <w:jc w:val="center"/>
            </w:pPr>
            <w:r w:rsidRPr="00EE3732">
              <w:t>8 670</w:t>
            </w:r>
          </w:p>
        </w:tc>
        <w:tc>
          <w:tcPr>
            <w:tcW w:w="1560" w:type="dxa"/>
            <w:tcMar>
              <w:right w:w="284" w:type="dxa"/>
            </w:tcMar>
            <w:vAlign w:val="center"/>
          </w:tcPr>
          <w:p w:rsidR="000C01DF" w:rsidRPr="00EE3732" w:rsidRDefault="000C01DF" w:rsidP="001514E8">
            <w:pPr>
              <w:pStyle w:val="Tabletext"/>
              <w:jc w:val="center"/>
            </w:pPr>
            <w:r w:rsidRPr="00EE3732">
              <w:t>9 019</w:t>
            </w:r>
          </w:p>
        </w:tc>
      </w:tr>
      <w:tr w:rsidR="000C01DF" w:rsidRPr="001514E8" w:rsidTr="00975C74">
        <w:trPr>
          <w:jc w:val="center"/>
        </w:trPr>
        <w:tc>
          <w:tcPr>
            <w:tcW w:w="7792" w:type="dxa"/>
          </w:tcPr>
          <w:p w:rsidR="000C01DF" w:rsidRPr="001514E8" w:rsidRDefault="000C01DF" w:rsidP="001514E8">
            <w:pPr>
              <w:pStyle w:val="Tabletext"/>
              <w:rPr>
                <w:szCs w:val="20"/>
              </w:rPr>
            </w:pPr>
            <w:r w:rsidRPr="001514E8">
              <w:rPr>
                <w:rFonts w:cs="Arial"/>
                <w:b/>
                <w:bCs/>
                <w:color w:val="4F81BD" w:themeColor="accent1"/>
                <w:szCs w:val="20"/>
              </w:rPr>
              <w:t>R.2-2:</w:t>
            </w:r>
            <w:r w:rsidRPr="001514E8">
              <w:rPr>
                <w:b/>
                <w:bCs/>
                <w:color w:val="4F81BD" w:themeColor="accent1"/>
                <w:szCs w:val="20"/>
                <w:lang w:eastAsia="zh-CN"/>
              </w:rPr>
              <w:t xml:space="preserve"> </w:t>
            </w:r>
            <w:r w:rsidRPr="001514E8">
              <w:t xml:space="preserve">Recomendaciones, Informes (incluido el </w:t>
            </w:r>
            <w:r w:rsidR="00CA70FE" w:rsidRPr="001514E8">
              <w:t xml:space="preserve">Informe </w:t>
            </w:r>
            <w:r w:rsidRPr="001514E8">
              <w:t>de la RPC) y Manuales del UIT-R</w:t>
            </w:r>
          </w:p>
        </w:tc>
        <w:tc>
          <w:tcPr>
            <w:tcW w:w="1559" w:type="dxa"/>
            <w:tcMar>
              <w:right w:w="284" w:type="dxa"/>
            </w:tcMar>
            <w:vAlign w:val="center"/>
          </w:tcPr>
          <w:p w:rsidR="000C01DF" w:rsidRPr="00EE3732" w:rsidRDefault="000C01DF" w:rsidP="00EE3732">
            <w:pPr>
              <w:pStyle w:val="Tabletext"/>
              <w:jc w:val="center"/>
            </w:pPr>
            <w:r w:rsidRPr="00EE3732">
              <w:t>5 929</w:t>
            </w:r>
          </w:p>
        </w:tc>
        <w:tc>
          <w:tcPr>
            <w:tcW w:w="1559" w:type="dxa"/>
            <w:tcMar>
              <w:right w:w="284" w:type="dxa"/>
            </w:tcMar>
            <w:vAlign w:val="center"/>
          </w:tcPr>
          <w:p w:rsidR="000C01DF" w:rsidRPr="00EE3732" w:rsidRDefault="000C01DF" w:rsidP="001514E8">
            <w:pPr>
              <w:pStyle w:val="Tabletext"/>
              <w:jc w:val="center"/>
            </w:pPr>
            <w:r w:rsidRPr="00EE3732">
              <w:t>6 109</w:t>
            </w:r>
          </w:p>
        </w:tc>
        <w:tc>
          <w:tcPr>
            <w:tcW w:w="1559" w:type="dxa"/>
            <w:tcMar>
              <w:right w:w="284" w:type="dxa"/>
            </w:tcMar>
            <w:vAlign w:val="center"/>
          </w:tcPr>
          <w:p w:rsidR="000C01DF" w:rsidRPr="00EE3732" w:rsidRDefault="000C01DF" w:rsidP="001514E8">
            <w:pPr>
              <w:pStyle w:val="Tabletext"/>
              <w:jc w:val="center"/>
            </w:pPr>
            <w:r w:rsidRPr="00EE3732">
              <w:t>5 635</w:t>
            </w:r>
          </w:p>
        </w:tc>
        <w:tc>
          <w:tcPr>
            <w:tcW w:w="1560" w:type="dxa"/>
            <w:tcMar>
              <w:right w:w="284" w:type="dxa"/>
            </w:tcMar>
            <w:vAlign w:val="center"/>
          </w:tcPr>
          <w:p w:rsidR="000C01DF" w:rsidRPr="00EE3732" w:rsidRDefault="000C01DF" w:rsidP="001514E8">
            <w:pPr>
              <w:pStyle w:val="Tabletext"/>
              <w:jc w:val="center"/>
            </w:pPr>
            <w:r w:rsidRPr="00EE3732">
              <w:t>6 063</w:t>
            </w:r>
          </w:p>
        </w:tc>
      </w:tr>
      <w:tr w:rsidR="000C01DF" w:rsidRPr="001514E8" w:rsidTr="00975C74">
        <w:trPr>
          <w:jc w:val="center"/>
        </w:trPr>
        <w:tc>
          <w:tcPr>
            <w:tcW w:w="7792" w:type="dxa"/>
          </w:tcPr>
          <w:p w:rsidR="000C01DF" w:rsidRPr="001514E8" w:rsidRDefault="000C01DF" w:rsidP="001514E8">
            <w:pPr>
              <w:pStyle w:val="Tabletext"/>
            </w:pPr>
            <w:r w:rsidRPr="001514E8">
              <w:rPr>
                <w:rFonts w:cs="Arial"/>
                <w:b/>
                <w:bCs/>
                <w:color w:val="4F81BD" w:themeColor="accent1"/>
                <w:szCs w:val="20"/>
              </w:rPr>
              <w:t>R.2-3:</w:t>
            </w:r>
            <w:r w:rsidRPr="001514E8">
              <w:rPr>
                <w:b/>
                <w:bCs/>
                <w:color w:val="4F81BD" w:themeColor="accent1"/>
                <w:szCs w:val="20"/>
                <w:lang w:eastAsia="zh-CN"/>
              </w:rPr>
              <w:t xml:space="preserve"> </w:t>
            </w:r>
            <w:r w:rsidRPr="001514E8">
              <w:t>Asesoramiento del Grupo Asesor de Radiocomunicaciones</w:t>
            </w:r>
          </w:p>
        </w:tc>
        <w:tc>
          <w:tcPr>
            <w:tcW w:w="1559" w:type="dxa"/>
            <w:tcMar>
              <w:right w:w="284" w:type="dxa"/>
            </w:tcMar>
            <w:vAlign w:val="center"/>
          </w:tcPr>
          <w:p w:rsidR="000C01DF" w:rsidRPr="00EE3732" w:rsidRDefault="000C01DF" w:rsidP="00EE3732">
            <w:pPr>
              <w:pStyle w:val="Tabletext"/>
              <w:jc w:val="center"/>
            </w:pPr>
            <w:r w:rsidRPr="00EE3732">
              <w:t>1 430</w:t>
            </w:r>
          </w:p>
        </w:tc>
        <w:tc>
          <w:tcPr>
            <w:tcW w:w="1559" w:type="dxa"/>
            <w:tcMar>
              <w:right w:w="284" w:type="dxa"/>
            </w:tcMar>
            <w:vAlign w:val="center"/>
          </w:tcPr>
          <w:p w:rsidR="000C01DF" w:rsidRPr="00EE3732" w:rsidRDefault="000C01DF" w:rsidP="001514E8">
            <w:pPr>
              <w:pStyle w:val="Tabletext"/>
              <w:jc w:val="center"/>
            </w:pPr>
            <w:r w:rsidRPr="00EE3732">
              <w:t>1 521</w:t>
            </w:r>
          </w:p>
        </w:tc>
        <w:tc>
          <w:tcPr>
            <w:tcW w:w="1559" w:type="dxa"/>
            <w:tcMar>
              <w:right w:w="284" w:type="dxa"/>
            </w:tcMar>
            <w:vAlign w:val="center"/>
          </w:tcPr>
          <w:p w:rsidR="000C01DF" w:rsidRPr="00EE3732" w:rsidRDefault="000C01DF" w:rsidP="001514E8">
            <w:pPr>
              <w:pStyle w:val="Tabletext"/>
              <w:jc w:val="center"/>
            </w:pPr>
            <w:r w:rsidRPr="00EE3732">
              <w:t>1 367</w:t>
            </w:r>
          </w:p>
        </w:tc>
        <w:tc>
          <w:tcPr>
            <w:tcW w:w="1560" w:type="dxa"/>
            <w:tcMar>
              <w:right w:w="284" w:type="dxa"/>
            </w:tcMar>
            <w:vAlign w:val="center"/>
          </w:tcPr>
          <w:p w:rsidR="000C01DF" w:rsidRPr="00EE3732" w:rsidRDefault="000C01DF" w:rsidP="001514E8">
            <w:pPr>
              <w:pStyle w:val="Tabletext"/>
              <w:jc w:val="center"/>
            </w:pPr>
            <w:r w:rsidRPr="00EE3732">
              <w:t>1 340</w:t>
            </w:r>
          </w:p>
        </w:tc>
      </w:tr>
      <w:tr w:rsidR="000C01DF" w:rsidRPr="008930FD" w:rsidTr="00975C74">
        <w:trPr>
          <w:jc w:val="center"/>
        </w:trPr>
        <w:tc>
          <w:tcPr>
            <w:tcW w:w="7792" w:type="dxa"/>
            <w:vAlign w:val="center"/>
          </w:tcPr>
          <w:p w:rsidR="000C01DF" w:rsidRPr="001514E8" w:rsidRDefault="000C01DF" w:rsidP="001514E8">
            <w:pPr>
              <w:pStyle w:val="Tabletext"/>
              <w:rPr>
                <w:b/>
                <w:bCs/>
                <w:color w:val="5B9BD5"/>
                <w:szCs w:val="20"/>
              </w:rPr>
            </w:pPr>
            <w:r w:rsidRPr="001514E8">
              <w:rPr>
                <w:rFonts w:cs="Arial"/>
              </w:rPr>
              <w:t xml:space="preserve">Atribución de costos a las actividades de la Conferencia de Plenipotenciarios y el Consejo </w:t>
            </w:r>
            <w:r w:rsidRPr="00F52E4B">
              <w:rPr>
                <w:b/>
                <w:bCs/>
                <w:color w:val="5B9BD5"/>
                <w:szCs w:val="20"/>
              </w:rPr>
              <w:t>(PP, Consejo/GTC)</w:t>
            </w:r>
          </w:p>
        </w:tc>
        <w:tc>
          <w:tcPr>
            <w:tcW w:w="1559" w:type="dxa"/>
            <w:tcMar>
              <w:right w:w="284" w:type="dxa"/>
            </w:tcMar>
            <w:vAlign w:val="center"/>
          </w:tcPr>
          <w:p w:rsidR="000C01DF" w:rsidRPr="00EE3732" w:rsidRDefault="000C01DF" w:rsidP="00EE3732">
            <w:pPr>
              <w:pStyle w:val="Tabletext"/>
              <w:jc w:val="center"/>
            </w:pPr>
          </w:p>
        </w:tc>
        <w:tc>
          <w:tcPr>
            <w:tcW w:w="1559" w:type="dxa"/>
            <w:tcMar>
              <w:right w:w="284" w:type="dxa"/>
            </w:tcMar>
            <w:vAlign w:val="center"/>
          </w:tcPr>
          <w:p w:rsidR="000C01DF" w:rsidRPr="001514E8" w:rsidRDefault="000C01DF" w:rsidP="001514E8">
            <w:pPr>
              <w:pStyle w:val="Tabletext"/>
              <w:jc w:val="center"/>
            </w:pPr>
          </w:p>
        </w:tc>
        <w:tc>
          <w:tcPr>
            <w:tcW w:w="1559" w:type="dxa"/>
            <w:tcMar>
              <w:right w:w="284" w:type="dxa"/>
            </w:tcMar>
            <w:vAlign w:val="center"/>
          </w:tcPr>
          <w:p w:rsidR="000C01DF" w:rsidRPr="001514E8" w:rsidRDefault="000C01DF" w:rsidP="001514E8">
            <w:pPr>
              <w:pStyle w:val="Tabletext"/>
              <w:jc w:val="center"/>
            </w:pPr>
          </w:p>
        </w:tc>
        <w:tc>
          <w:tcPr>
            <w:tcW w:w="1560" w:type="dxa"/>
            <w:tcMar>
              <w:right w:w="284" w:type="dxa"/>
            </w:tcMar>
            <w:vAlign w:val="center"/>
          </w:tcPr>
          <w:p w:rsidR="000C01DF" w:rsidRPr="001514E8" w:rsidRDefault="000C01DF" w:rsidP="001514E8">
            <w:pPr>
              <w:pStyle w:val="Tabletext"/>
              <w:jc w:val="center"/>
            </w:pPr>
          </w:p>
        </w:tc>
      </w:tr>
      <w:tr w:rsidR="000C01DF" w:rsidRPr="008930FD" w:rsidTr="00975C74">
        <w:trPr>
          <w:jc w:val="center"/>
        </w:trPr>
        <w:tc>
          <w:tcPr>
            <w:tcW w:w="7792" w:type="dxa"/>
            <w:vAlign w:val="center"/>
          </w:tcPr>
          <w:p w:rsidR="000C01DF" w:rsidRPr="001514E8" w:rsidRDefault="000C01DF" w:rsidP="001514E8">
            <w:pPr>
              <w:pStyle w:val="Tabletext"/>
              <w:rPr>
                <w:b/>
                <w:bCs/>
                <w:color w:val="4F81BD" w:themeColor="accent1"/>
                <w:szCs w:val="20"/>
                <w:lang w:eastAsia="zh-CN"/>
              </w:rPr>
            </w:pPr>
            <w:r w:rsidRPr="001514E8">
              <w:rPr>
                <w:b/>
                <w:bCs/>
                <w:color w:val="5B9BD5"/>
                <w:szCs w:val="20"/>
              </w:rPr>
              <w:t>Total para el Objetivo R.2</w:t>
            </w:r>
          </w:p>
        </w:tc>
        <w:tc>
          <w:tcPr>
            <w:tcW w:w="1559" w:type="dxa"/>
            <w:tcMar>
              <w:right w:w="284" w:type="dxa"/>
            </w:tcMar>
            <w:vAlign w:val="center"/>
          </w:tcPr>
          <w:p w:rsidR="000C01DF" w:rsidRPr="00EE3732" w:rsidRDefault="000C01DF" w:rsidP="001514E8">
            <w:pPr>
              <w:pStyle w:val="Tabletext"/>
              <w:jc w:val="center"/>
              <w:rPr>
                <w:b/>
                <w:bCs/>
              </w:rPr>
            </w:pPr>
          </w:p>
        </w:tc>
        <w:tc>
          <w:tcPr>
            <w:tcW w:w="1559" w:type="dxa"/>
            <w:tcMar>
              <w:right w:w="284" w:type="dxa"/>
            </w:tcMar>
            <w:vAlign w:val="center"/>
          </w:tcPr>
          <w:p w:rsidR="000C01DF" w:rsidRPr="00EE3732" w:rsidRDefault="000C01DF" w:rsidP="001514E8">
            <w:pPr>
              <w:pStyle w:val="Tabletext"/>
              <w:jc w:val="center"/>
              <w:rPr>
                <w:b/>
                <w:bCs/>
              </w:rPr>
            </w:pPr>
          </w:p>
        </w:tc>
        <w:tc>
          <w:tcPr>
            <w:tcW w:w="1559" w:type="dxa"/>
            <w:tcMar>
              <w:right w:w="284" w:type="dxa"/>
            </w:tcMar>
            <w:vAlign w:val="center"/>
          </w:tcPr>
          <w:p w:rsidR="000C01DF" w:rsidRPr="00EE3732" w:rsidRDefault="000C01DF" w:rsidP="001514E8">
            <w:pPr>
              <w:pStyle w:val="Tabletext"/>
              <w:jc w:val="center"/>
              <w:rPr>
                <w:b/>
                <w:bCs/>
              </w:rPr>
            </w:pPr>
          </w:p>
        </w:tc>
        <w:tc>
          <w:tcPr>
            <w:tcW w:w="1560" w:type="dxa"/>
            <w:tcMar>
              <w:right w:w="284" w:type="dxa"/>
            </w:tcMar>
            <w:vAlign w:val="center"/>
          </w:tcPr>
          <w:p w:rsidR="000C01DF" w:rsidRPr="00EE3732" w:rsidRDefault="000C01DF" w:rsidP="001514E8">
            <w:pPr>
              <w:pStyle w:val="Tabletext"/>
              <w:jc w:val="center"/>
              <w:rPr>
                <w:b/>
                <w:bCs/>
              </w:rPr>
            </w:pPr>
          </w:p>
        </w:tc>
      </w:tr>
    </w:tbl>
    <w:p w:rsidR="000C01DF" w:rsidRPr="001514E8" w:rsidRDefault="000C01DF" w:rsidP="00CA70FE">
      <w:pPr>
        <w:pStyle w:val="Normalaftertitle"/>
        <w:spacing w:after="120"/>
        <w:rPr>
          <w:lang w:val="es-ES"/>
        </w:rPr>
      </w:pPr>
      <w:r w:rsidRPr="001514E8">
        <w:rPr>
          <w:lang w:val="es-ES"/>
        </w:rPr>
        <w:t>R.3:</w:t>
      </w:r>
      <w:r w:rsidRPr="001514E8">
        <w:rPr>
          <w:lang w:val="es-ES"/>
        </w:rPr>
        <w:tab/>
        <w:t>Fomentar la adquisición y divulgación de conocimientos teóricos y prácticos sobre radiocomunicaciones.</w:t>
      </w:r>
    </w:p>
    <w:tbl>
      <w:tblPr>
        <w:tblW w:w="14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726"/>
        <w:gridCol w:w="3260"/>
        <w:gridCol w:w="992"/>
        <w:gridCol w:w="992"/>
        <w:gridCol w:w="993"/>
        <w:gridCol w:w="992"/>
        <w:gridCol w:w="1134"/>
        <w:gridCol w:w="2977"/>
      </w:tblGrid>
      <w:tr w:rsidR="000C01DF" w:rsidRPr="001514E8" w:rsidTr="00A31BB6">
        <w:trPr>
          <w:tblHeader/>
          <w:jc w:val="center"/>
        </w:trPr>
        <w:tc>
          <w:tcPr>
            <w:tcW w:w="2726"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Resultado</w:t>
            </w:r>
          </w:p>
        </w:tc>
        <w:tc>
          <w:tcPr>
            <w:tcW w:w="3260"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Indicador de resultados</w:t>
            </w:r>
          </w:p>
        </w:tc>
        <w:tc>
          <w:tcPr>
            <w:tcW w:w="992"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2015</w:t>
            </w:r>
          </w:p>
        </w:tc>
        <w:tc>
          <w:tcPr>
            <w:tcW w:w="992"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2016</w:t>
            </w:r>
          </w:p>
        </w:tc>
        <w:tc>
          <w:tcPr>
            <w:tcW w:w="993"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2017</w:t>
            </w:r>
          </w:p>
        </w:tc>
        <w:tc>
          <w:tcPr>
            <w:tcW w:w="992"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2018</w:t>
            </w:r>
          </w:p>
        </w:tc>
        <w:tc>
          <w:tcPr>
            <w:tcW w:w="1134"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Meta 2023</w:t>
            </w:r>
          </w:p>
        </w:tc>
        <w:tc>
          <w:tcPr>
            <w:tcW w:w="2977" w:type="dxa"/>
            <w:shd w:val="clear" w:color="auto" w:fill="4F81BD" w:themeFill="accent1"/>
            <w:vAlign w:val="center"/>
          </w:tcPr>
          <w:p w:rsidR="000C01DF" w:rsidRPr="001514E8" w:rsidRDefault="000C01DF" w:rsidP="001514E8">
            <w:pPr>
              <w:pStyle w:val="Tablehead"/>
              <w:rPr>
                <w:color w:val="FFFFFF" w:themeColor="background1"/>
              </w:rPr>
            </w:pPr>
            <w:r w:rsidRPr="001514E8">
              <w:rPr>
                <w:color w:val="FFFFFF" w:themeColor="background1"/>
              </w:rPr>
              <w:t>Origen</w:t>
            </w:r>
          </w:p>
        </w:tc>
      </w:tr>
      <w:tr w:rsidR="000C01DF" w:rsidRPr="008930FD" w:rsidTr="00A31BB6">
        <w:trPr>
          <w:jc w:val="center"/>
        </w:trPr>
        <w:tc>
          <w:tcPr>
            <w:tcW w:w="2726" w:type="dxa"/>
            <w:vMerge w:val="restart"/>
          </w:tcPr>
          <w:p w:rsidR="000C01DF" w:rsidRPr="001514E8" w:rsidRDefault="000C01DF" w:rsidP="001514E8">
            <w:pPr>
              <w:pStyle w:val="Tabletext"/>
              <w:rPr>
                <w:rFonts w:cs="Arial"/>
                <w:b/>
                <w:bCs/>
              </w:rPr>
            </w:pPr>
            <w:r w:rsidRPr="001514E8">
              <w:rPr>
                <w:rFonts w:cs="Arial"/>
                <w:b/>
                <w:bCs/>
                <w:color w:val="4F81BD" w:themeColor="accent1"/>
              </w:rPr>
              <w:t>R.3-1:</w:t>
            </w:r>
            <w:r w:rsidRPr="001514E8">
              <w:rPr>
                <w:rFonts w:cs="Arial"/>
              </w:rPr>
              <w:t xml:space="preserve"> </w:t>
            </w:r>
            <w:r w:rsidRPr="001514E8">
              <w:t xml:space="preserve">Mayores conocimientos teóricos y prácticos del Reglamento de Radiocomunicaciones, las Reglas de Procedimiento, los Acuerdos </w:t>
            </w:r>
            <w:r w:rsidR="00CA70FE" w:rsidRPr="001514E8">
              <w:t>Regionales</w:t>
            </w:r>
            <w:r w:rsidRPr="001514E8">
              <w:t>, las Recomendaciones y las prácticas idóneas sobre la utilización del espectro</w:t>
            </w:r>
          </w:p>
        </w:tc>
        <w:tc>
          <w:tcPr>
            <w:tcW w:w="3260" w:type="dxa"/>
          </w:tcPr>
          <w:p w:rsidR="000C01DF" w:rsidRPr="001514E8" w:rsidRDefault="000C01DF" w:rsidP="001514E8">
            <w:pPr>
              <w:pStyle w:val="Tabletext"/>
            </w:pPr>
            <w:r w:rsidRPr="001514E8">
              <w:t>Número de descargas en línea de publicaciones gratuitas del UIT-R (millones)</w:t>
            </w:r>
            <w:r w:rsidRPr="001514E8">
              <w:rPr>
                <w:rStyle w:val="FootnoteReference"/>
              </w:rPr>
              <w:footnoteReference w:id="6"/>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0,9</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1,0</w:t>
            </w:r>
          </w:p>
        </w:tc>
        <w:tc>
          <w:tcPr>
            <w:tcW w:w="993"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1,7</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1,57</w:t>
            </w:r>
          </w:p>
        </w:tc>
        <w:tc>
          <w:tcPr>
            <w:tcW w:w="1134"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4</w:t>
            </w:r>
          </w:p>
        </w:tc>
        <w:tc>
          <w:tcPr>
            <w:tcW w:w="2977" w:type="dxa"/>
            <w:vMerge w:val="restart"/>
          </w:tcPr>
          <w:p w:rsidR="000C01DF" w:rsidRPr="001514E8" w:rsidRDefault="000C01DF" w:rsidP="001514E8">
            <w:pPr>
              <w:pStyle w:val="Tabletext"/>
            </w:pPr>
            <w:r w:rsidRPr="001514E8">
              <w:t>Base de datos en materia de inscripciones a eventos del UIT-R</w:t>
            </w:r>
          </w:p>
        </w:tc>
      </w:tr>
      <w:tr w:rsidR="000C01DF" w:rsidRPr="001514E8" w:rsidTr="00A31BB6">
        <w:trPr>
          <w:jc w:val="center"/>
        </w:trPr>
        <w:tc>
          <w:tcPr>
            <w:tcW w:w="2726" w:type="dxa"/>
            <w:vMerge/>
          </w:tcPr>
          <w:p w:rsidR="000C01DF" w:rsidRPr="001514E8" w:rsidRDefault="000C01DF" w:rsidP="001514E8">
            <w:pPr>
              <w:pStyle w:val="Tabletext"/>
              <w:rPr>
                <w:rFonts w:cs="Arial"/>
                <w:b/>
                <w:bCs/>
                <w:color w:val="4F81BD" w:themeColor="accent1"/>
              </w:rPr>
            </w:pPr>
          </w:p>
        </w:tc>
        <w:tc>
          <w:tcPr>
            <w:tcW w:w="3260" w:type="dxa"/>
          </w:tcPr>
          <w:p w:rsidR="000C01DF" w:rsidRPr="001514E8" w:rsidRDefault="000C01DF" w:rsidP="001514E8">
            <w:pPr>
              <w:pStyle w:val="Tabletext"/>
            </w:pPr>
            <w:r w:rsidRPr="001514E8">
              <w:t>Número de eventos de capacitación organizados/respaldados por la BR (presenciales y virtuales)</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25</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38</w:t>
            </w:r>
          </w:p>
        </w:tc>
        <w:tc>
          <w:tcPr>
            <w:tcW w:w="993"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37</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34</w:t>
            </w:r>
          </w:p>
        </w:tc>
        <w:tc>
          <w:tcPr>
            <w:tcW w:w="1134"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29</w:t>
            </w:r>
          </w:p>
        </w:tc>
        <w:tc>
          <w:tcPr>
            <w:tcW w:w="2977" w:type="dxa"/>
            <w:vMerge/>
          </w:tcPr>
          <w:p w:rsidR="000C01DF" w:rsidRPr="001514E8" w:rsidRDefault="000C01DF" w:rsidP="001514E8">
            <w:pPr>
              <w:pStyle w:val="Tabletext"/>
            </w:pPr>
          </w:p>
        </w:tc>
      </w:tr>
      <w:tr w:rsidR="000C01DF" w:rsidRPr="001514E8" w:rsidTr="00A31BB6">
        <w:trPr>
          <w:jc w:val="center"/>
        </w:trPr>
        <w:tc>
          <w:tcPr>
            <w:tcW w:w="2726" w:type="dxa"/>
            <w:vMerge/>
          </w:tcPr>
          <w:p w:rsidR="000C01DF" w:rsidRPr="001514E8" w:rsidRDefault="000C01DF" w:rsidP="001514E8">
            <w:pPr>
              <w:pStyle w:val="Tabletext"/>
              <w:rPr>
                <w:rFonts w:cs="Arial"/>
                <w:b/>
                <w:bCs/>
                <w:color w:val="4F81BD" w:themeColor="accent1"/>
              </w:rPr>
            </w:pPr>
          </w:p>
        </w:tc>
        <w:tc>
          <w:tcPr>
            <w:tcW w:w="3260" w:type="dxa"/>
          </w:tcPr>
          <w:p w:rsidR="000C01DF" w:rsidRPr="001514E8" w:rsidRDefault="000C01DF" w:rsidP="001514E8">
            <w:pPr>
              <w:pStyle w:val="Tabletext"/>
            </w:pPr>
            <w:r w:rsidRPr="001514E8">
              <w:t>Número de participantes en los eventos de capacitación organizados/respaldados por la UIT/BR (acumulado en el periodo entre dos CMR)</w:t>
            </w:r>
          </w:p>
        </w:tc>
        <w:tc>
          <w:tcPr>
            <w:tcW w:w="992" w:type="dxa"/>
          </w:tcPr>
          <w:p w:rsidR="000C01DF" w:rsidRPr="00D22A8A" w:rsidRDefault="000C01DF" w:rsidP="00F14149">
            <w:pPr>
              <w:pStyle w:val="Tabletext"/>
              <w:jc w:val="center"/>
              <w:rPr>
                <w:rFonts w:asciiTheme="minorHAnsi" w:hAnsiTheme="minorHAnsi" w:cstheme="minorHAnsi"/>
                <w:color w:val="000000"/>
              </w:rPr>
            </w:pPr>
            <w:r w:rsidRPr="00D22A8A">
              <w:rPr>
                <w:rFonts w:asciiTheme="minorHAnsi" w:hAnsiTheme="minorHAnsi" w:cstheme="minorHAnsi"/>
                <w:color w:val="000000"/>
              </w:rPr>
              <w:t>1</w:t>
            </w:r>
            <w:r w:rsidR="00F14149">
              <w:rPr>
                <w:rFonts w:asciiTheme="minorHAnsi" w:hAnsiTheme="minorHAnsi" w:cstheme="minorHAnsi"/>
                <w:color w:val="000000"/>
              </w:rPr>
              <w:t> </w:t>
            </w:r>
            <w:r w:rsidRPr="00D22A8A">
              <w:rPr>
                <w:rFonts w:asciiTheme="minorHAnsi" w:hAnsiTheme="minorHAnsi" w:cstheme="minorHAnsi"/>
                <w:color w:val="000000"/>
              </w:rPr>
              <w:t>518</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737</w:t>
            </w:r>
          </w:p>
        </w:tc>
        <w:tc>
          <w:tcPr>
            <w:tcW w:w="993"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1 363</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669</w:t>
            </w:r>
          </w:p>
        </w:tc>
        <w:tc>
          <w:tcPr>
            <w:tcW w:w="1134"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2 000</w:t>
            </w:r>
          </w:p>
        </w:tc>
        <w:tc>
          <w:tcPr>
            <w:tcW w:w="2977" w:type="dxa"/>
            <w:vMerge/>
          </w:tcPr>
          <w:p w:rsidR="000C01DF" w:rsidRPr="001514E8" w:rsidRDefault="000C01DF" w:rsidP="001514E8">
            <w:pPr>
              <w:pStyle w:val="Tabletext"/>
            </w:pPr>
          </w:p>
        </w:tc>
      </w:tr>
      <w:tr w:rsidR="000C01DF" w:rsidRPr="008930FD" w:rsidTr="00A31BB6">
        <w:trPr>
          <w:cantSplit/>
          <w:jc w:val="center"/>
        </w:trPr>
        <w:tc>
          <w:tcPr>
            <w:tcW w:w="2726" w:type="dxa"/>
            <w:vMerge w:val="restart"/>
          </w:tcPr>
          <w:p w:rsidR="000C01DF" w:rsidRPr="001514E8" w:rsidRDefault="000C01DF" w:rsidP="001514E8">
            <w:pPr>
              <w:pStyle w:val="Tabletext"/>
              <w:rPr>
                <w:rFonts w:cs="Arial"/>
                <w:b/>
                <w:bCs/>
              </w:rPr>
            </w:pPr>
            <w:r w:rsidRPr="001514E8">
              <w:rPr>
                <w:rFonts w:cs="Arial"/>
                <w:b/>
                <w:bCs/>
                <w:color w:val="4F81BD" w:themeColor="accent1"/>
              </w:rPr>
              <w:lastRenderedPageBreak/>
              <w:t>R.3-2:</w:t>
            </w:r>
            <w:r w:rsidRPr="001514E8">
              <w:rPr>
                <w:rFonts w:cs="Arial"/>
              </w:rPr>
              <w:t xml:space="preserve"> </w:t>
            </w:r>
            <w:r w:rsidRPr="001514E8">
              <w:t>Mayor participación, en particular de países en desarrollo, en actividades del UIT-R (incluso a través de la participación a distancia)</w:t>
            </w:r>
          </w:p>
        </w:tc>
        <w:tc>
          <w:tcPr>
            <w:tcW w:w="3260" w:type="dxa"/>
          </w:tcPr>
          <w:p w:rsidR="000C01DF" w:rsidRPr="001514E8" w:rsidRDefault="000C01DF" w:rsidP="001514E8">
            <w:pPr>
              <w:pStyle w:val="Tabletext"/>
            </w:pPr>
            <w:r w:rsidRPr="001514E8">
              <w:t>Número de eventos técnicos y/o iniciativas de prestación de asistencia técnica en los que ha participado la BR</w:t>
            </w:r>
          </w:p>
        </w:tc>
        <w:tc>
          <w:tcPr>
            <w:tcW w:w="992" w:type="dxa"/>
          </w:tcPr>
          <w:p w:rsidR="000C01DF" w:rsidRPr="00D22A8A" w:rsidRDefault="000C01DF" w:rsidP="001514E8">
            <w:pPr>
              <w:pStyle w:val="Tabletext"/>
              <w:keepNext/>
              <w:keepLines/>
              <w:jc w:val="center"/>
              <w:rPr>
                <w:rFonts w:asciiTheme="minorHAnsi" w:hAnsiTheme="minorHAnsi" w:cstheme="minorHAnsi"/>
                <w:color w:val="000000"/>
              </w:rPr>
            </w:pPr>
            <w:r w:rsidRPr="00D22A8A">
              <w:rPr>
                <w:rFonts w:asciiTheme="minorHAnsi" w:hAnsiTheme="minorHAnsi" w:cstheme="minorHAnsi"/>
                <w:color w:val="000000"/>
              </w:rPr>
              <w:t>93</w:t>
            </w:r>
          </w:p>
        </w:tc>
        <w:tc>
          <w:tcPr>
            <w:tcW w:w="992" w:type="dxa"/>
          </w:tcPr>
          <w:p w:rsidR="000C01DF" w:rsidRPr="00D22A8A" w:rsidRDefault="000C01DF" w:rsidP="001514E8">
            <w:pPr>
              <w:pStyle w:val="Tabletext"/>
              <w:keepNext/>
              <w:keepLines/>
              <w:jc w:val="center"/>
              <w:rPr>
                <w:rFonts w:asciiTheme="minorHAnsi" w:hAnsiTheme="minorHAnsi" w:cstheme="minorHAnsi"/>
                <w:color w:val="000000"/>
              </w:rPr>
            </w:pPr>
            <w:r w:rsidRPr="00D22A8A">
              <w:rPr>
                <w:rFonts w:asciiTheme="minorHAnsi" w:hAnsiTheme="minorHAnsi" w:cstheme="minorHAnsi"/>
                <w:color w:val="000000" w:themeColor="text1"/>
              </w:rPr>
              <w:t>100</w:t>
            </w:r>
          </w:p>
        </w:tc>
        <w:tc>
          <w:tcPr>
            <w:tcW w:w="993" w:type="dxa"/>
          </w:tcPr>
          <w:p w:rsidR="000C01DF" w:rsidRPr="00D22A8A" w:rsidRDefault="000C01DF" w:rsidP="001514E8">
            <w:pPr>
              <w:pStyle w:val="Tabletext"/>
              <w:keepNext/>
              <w:keepLines/>
              <w:jc w:val="center"/>
              <w:rPr>
                <w:rFonts w:asciiTheme="minorHAnsi" w:hAnsiTheme="minorHAnsi" w:cstheme="minorHAnsi"/>
                <w:color w:val="000000" w:themeColor="text1"/>
              </w:rPr>
            </w:pPr>
            <w:r w:rsidRPr="00D22A8A">
              <w:rPr>
                <w:rFonts w:asciiTheme="minorHAnsi" w:hAnsiTheme="minorHAnsi" w:cstheme="minorHAnsi"/>
                <w:color w:val="000000" w:themeColor="text1"/>
              </w:rPr>
              <w:t>111</w:t>
            </w:r>
          </w:p>
        </w:tc>
        <w:tc>
          <w:tcPr>
            <w:tcW w:w="992" w:type="dxa"/>
          </w:tcPr>
          <w:p w:rsidR="000C01DF" w:rsidRPr="00D22A8A" w:rsidRDefault="000C01DF" w:rsidP="001514E8">
            <w:pPr>
              <w:pStyle w:val="Tabletext"/>
              <w:keepNext/>
              <w:keepLines/>
              <w:jc w:val="center"/>
              <w:rPr>
                <w:rFonts w:asciiTheme="minorHAnsi" w:hAnsiTheme="minorHAnsi" w:cstheme="minorHAnsi"/>
                <w:color w:val="000000" w:themeColor="text1"/>
              </w:rPr>
            </w:pPr>
            <w:r w:rsidRPr="00D22A8A">
              <w:rPr>
                <w:rFonts w:asciiTheme="minorHAnsi" w:hAnsiTheme="minorHAnsi" w:cstheme="minorHAnsi"/>
                <w:color w:val="000000" w:themeColor="text1"/>
              </w:rPr>
              <w:t>110</w:t>
            </w:r>
          </w:p>
        </w:tc>
        <w:tc>
          <w:tcPr>
            <w:tcW w:w="1134" w:type="dxa"/>
          </w:tcPr>
          <w:p w:rsidR="000C01DF" w:rsidRPr="00D22A8A" w:rsidRDefault="000C01DF" w:rsidP="001514E8">
            <w:pPr>
              <w:pStyle w:val="Tabletext"/>
              <w:keepNext/>
              <w:keepLines/>
              <w:jc w:val="center"/>
              <w:rPr>
                <w:rFonts w:asciiTheme="minorHAnsi" w:hAnsiTheme="minorHAnsi" w:cstheme="minorHAnsi"/>
                <w:b/>
                <w:bCs/>
                <w:color w:val="000000" w:themeColor="text1"/>
              </w:rPr>
            </w:pPr>
            <w:r w:rsidRPr="00D22A8A">
              <w:rPr>
                <w:rFonts w:asciiTheme="minorHAnsi" w:hAnsiTheme="minorHAnsi" w:cstheme="minorHAnsi"/>
                <w:b/>
                <w:bCs/>
                <w:color w:val="000000" w:themeColor="text1"/>
              </w:rPr>
              <w:t>100</w:t>
            </w:r>
          </w:p>
        </w:tc>
        <w:tc>
          <w:tcPr>
            <w:tcW w:w="2977" w:type="dxa"/>
          </w:tcPr>
          <w:p w:rsidR="000C01DF" w:rsidRPr="001514E8" w:rsidRDefault="000C01DF" w:rsidP="001514E8">
            <w:pPr>
              <w:pStyle w:val="Tabletext"/>
            </w:pPr>
            <w:r w:rsidRPr="001514E8">
              <w:t>Plan de Misión del UIT-R</w:t>
            </w:r>
          </w:p>
        </w:tc>
      </w:tr>
      <w:tr w:rsidR="000C01DF" w:rsidRPr="008930FD" w:rsidTr="00A31BB6">
        <w:trPr>
          <w:jc w:val="center"/>
        </w:trPr>
        <w:tc>
          <w:tcPr>
            <w:tcW w:w="2726" w:type="dxa"/>
            <w:vMerge/>
          </w:tcPr>
          <w:p w:rsidR="000C01DF" w:rsidRPr="001514E8" w:rsidRDefault="000C01DF" w:rsidP="001514E8">
            <w:pPr>
              <w:pStyle w:val="Tabletext"/>
              <w:rPr>
                <w:rFonts w:cs="Arial"/>
                <w:b/>
                <w:bCs/>
                <w:color w:val="4F81BD" w:themeColor="accent1"/>
              </w:rPr>
            </w:pPr>
          </w:p>
        </w:tc>
        <w:tc>
          <w:tcPr>
            <w:tcW w:w="3260" w:type="dxa"/>
          </w:tcPr>
          <w:p w:rsidR="000C01DF" w:rsidRPr="001514E8" w:rsidRDefault="000C01DF" w:rsidP="001514E8">
            <w:pPr>
              <w:pStyle w:val="Tabletext"/>
            </w:pPr>
            <w:r w:rsidRPr="001514E8">
              <w:t>Número de países que reciben asistencia técnica o acogen eventos técnicos de la BR</w:t>
            </w:r>
          </w:p>
        </w:tc>
        <w:tc>
          <w:tcPr>
            <w:tcW w:w="992" w:type="dxa"/>
          </w:tcPr>
          <w:p w:rsidR="000C01DF" w:rsidRPr="00D22A8A" w:rsidRDefault="000C01DF" w:rsidP="001514E8">
            <w:pPr>
              <w:pStyle w:val="Tabletext"/>
              <w:keepNext/>
              <w:keepLines/>
              <w:jc w:val="center"/>
              <w:rPr>
                <w:rFonts w:asciiTheme="minorHAnsi" w:hAnsiTheme="minorHAnsi" w:cstheme="minorHAnsi"/>
                <w:color w:val="000000"/>
              </w:rPr>
            </w:pPr>
            <w:r w:rsidRPr="00D22A8A">
              <w:rPr>
                <w:rFonts w:asciiTheme="minorHAnsi" w:hAnsiTheme="minorHAnsi" w:cstheme="minorHAnsi"/>
                <w:color w:val="000000"/>
              </w:rPr>
              <w:t>78</w:t>
            </w:r>
          </w:p>
        </w:tc>
        <w:tc>
          <w:tcPr>
            <w:tcW w:w="992" w:type="dxa"/>
          </w:tcPr>
          <w:p w:rsidR="000C01DF" w:rsidRPr="00D22A8A" w:rsidRDefault="000C01DF" w:rsidP="001514E8">
            <w:pPr>
              <w:pStyle w:val="Tabletext"/>
              <w:keepNext/>
              <w:keepLines/>
              <w:jc w:val="center"/>
              <w:rPr>
                <w:rFonts w:asciiTheme="minorHAnsi" w:hAnsiTheme="minorHAnsi" w:cstheme="minorHAnsi"/>
                <w:color w:val="000000"/>
              </w:rPr>
            </w:pPr>
            <w:r w:rsidRPr="00D22A8A">
              <w:rPr>
                <w:rFonts w:asciiTheme="minorHAnsi" w:hAnsiTheme="minorHAnsi" w:cstheme="minorHAnsi"/>
                <w:color w:val="000000" w:themeColor="text1"/>
              </w:rPr>
              <w:t>61</w:t>
            </w:r>
          </w:p>
        </w:tc>
        <w:tc>
          <w:tcPr>
            <w:tcW w:w="993" w:type="dxa"/>
          </w:tcPr>
          <w:p w:rsidR="000C01DF" w:rsidRPr="00D22A8A" w:rsidRDefault="000C01DF" w:rsidP="001514E8">
            <w:pPr>
              <w:pStyle w:val="Tabletext"/>
              <w:keepNext/>
              <w:keepLines/>
              <w:jc w:val="center"/>
              <w:rPr>
                <w:rFonts w:asciiTheme="minorHAnsi" w:hAnsiTheme="minorHAnsi" w:cstheme="minorHAnsi"/>
                <w:color w:val="000000" w:themeColor="text1"/>
              </w:rPr>
            </w:pPr>
            <w:r w:rsidRPr="00D22A8A">
              <w:rPr>
                <w:rFonts w:asciiTheme="minorHAnsi" w:hAnsiTheme="minorHAnsi" w:cstheme="minorHAnsi"/>
                <w:color w:val="000000" w:themeColor="text1"/>
              </w:rPr>
              <w:t>62</w:t>
            </w:r>
          </w:p>
        </w:tc>
        <w:tc>
          <w:tcPr>
            <w:tcW w:w="992" w:type="dxa"/>
          </w:tcPr>
          <w:p w:rsidR="000C01DF" w:rsidRPr="00D22A8A" w:rsidRDefault="000C01DF" w:rsidP="001514E8">
            <w:pPr>
              <w:pStyle w:val="Tabletext"/>
              <w:keepNext/>
              <w:keepLines/>
              <w:jc w:val="center"/>
              <w:rPr>
                <w:rFonts w:asciiTheme="minorHAnsi" w:hAnsiTheme="minorHAnsi" w:cstheme="minorHAnsi"/>
                <w:color w:val="000000" w:themeColor="text1"/>
              </w:rPr>
            </w:pPr>
            <w:r w:rsidRPr="00D22A8A">
              <w:rPr>
                <w:rFonts w:asciiTheme="minorHAnsi" w:hAnsiTheme="minorHAnsi" w:cstheme="minorHAnsi"/>
                <w:color w:val="000000" w:themeColor="text1"/>
              </w:rPr>
              <w:t>74</w:t>
            </w:r>
          </w:p>
        </w:tc>
        <w:tc>
          <w:tcPr>
            <w:tcW w:w="1134" w:type="dxa"/>
          </w:tcPr>
          <w:p w:rsidR="000C01DF" w:rsidRPr="00D22A8A" w:rsidRDefault="000C01DF" w:rsidP="001514E8">
            <w:pPr>
              <w:pStyle w:val="Tabletext"/>
              <w:keepNext/>
              <w:keepLines/>
              <w:jc w:val="center"/>
              <w:rPr>
                <w:rFonts w:asciiTheme="minorHAnsi" w:hAnsiTheme="minorHAnsi" w:cstheme="minorHAnsi"/>
                <w:b/>
                <w:bCs/>
                <w:color w:val="000000" w:themeColor="text1"/>
              </w:rPr>
            </w:pPr>
            <w:r w:rsidRPr="00D22A8A">
              <w:rPr>
                <w:rFonts w:asciiTheme="minorHAnsi" w:hAnsiTheme="minorHAnsi" w:cstheme="minorHAnsi"/>
                <w:b/>
                <w:bCs/>
                <w:color w:val="000000" w:themeColor="text1"/>
              </w:rPr>
              <w:t>80</w:t>
            </w:r>
          </w:p>
        </w:tc>
        <w:tc>
          <w:tcPr>
            <w:tcW w:w="2977" w:type="dxa"/>
          </w:tcPr>
          <w:p w:rsidR="000C01DF" w:rsidRPr="001514E8" w:rsidRDefault="000C01DF" w:rsidP="001514E8">
            <w:pPr>
              <w:pStyle w:val="Tabletext"/>
            </w:pPr>
            <w:r w:rsidRPr="001514E8">
              <w:t>Plan de Misión del UIT-R</w:t>
            </w:r>
          </w:p>
        </w:tc>
      </w:tr>
      <w:tr w:rsidR="000C01DF" w:rsidRPr="008930FD" w:rsidTr="00A31BB6">
        <w:trPr>
          <w:jc w:val="center"/>
        </w:trPr>
        <w:tc>
          <w:tcPr>
            <w:tcW w:w="2726" w:type="dxa"/>
            <w:vMerge/>
          </w:tcPr>
          <w:p w:rsidR="000C01DF" w:rsidRPr="001514E8" w:rsidRDefault="000C01DF" w:rsidP="001514E8">
            <w:pPr>
              <w:pStyle w:val="Tabletext"/>
              <w:rPr>
                <w:rFonts w:cs="Arial"/>
                <w:b/>
                <w:bCs/>
                <w:color w:val="4F81BD" w:themeColor="accent1"/>
              </w:rPr>
            </w:pPr>
          </w:p>
        </w:tc>
        <w:tc>
          <w:tcPr>
            <w:tcW w:w="3260" w:type="dxa"/>
          </w:tcPr>
          <w:p w:rsidR="000C01DF" w:rsidRPr="001514E8" w:rsidRDefault="000C01DF" w:rsidP="001514E8">
            <w:pPr>
              <w:pStyle w:val="Tabletext"/>
            </w:pPr>
            <w:r w:rsidRPr="001514E8">
              <w:t>Número de participantes/eventos en las conferencias, asambleas y reuniones relacionadas con las Comisiones de Estudio del UIT-R (presenciales y virtuales)</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8</w:t>
            </w:r>
            <w:r w:rsidR="00F14149">
              <w:rPr>
                <w:rFonts w:asciiTheme="minorHAnsi" w:hAnsiTheme="minorHAnsi" w:cstheme="minorHAnsi"/>
                <w:color w:val="000000"/>
              </w:rPr>
              <w:t> </w:t>
            </w:r>
            <w:r w:rsidRPr="00D22A8A">
              <w:rPr>
                <w:rFonts w:asciiTheme="minorHAnsi" w:hAnsiTheme="minorHAnsi" w:cstheme="minorHAnsi"/>
                <w:color w:val="000000"/>
              </w:rPr>
              <w:t>972/38</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bCs/>
                <w:color w:val="000000" w:themeColor="text1"/>
              </w:rPr>
              <w:t>6</w:t>
            </w:r>
            <w:r w:rsidR="00F14149">
              <w:rPr>
                <w:rFonts w:asciiTheme="minorHAnsi" w:hAnsiTheme="minorHAnsi" w:cstheme="minorHAnsi"/>
                <w:bCs/>
                <w:color w:val="000000" w:themeColor="text1"/>
              </w:rPr>
              <w:t> </w:t>
            </w:r>
            <w:r w:rsidRPr="00D22A8A">
              <w:rPr>
                <w:rFonts w:asciiTheme="minorHAnsi" w:hAnsiTheme="minorHAnsi" w:cstheme="minorHAnsi"/>
                <w:bCs/>
                <w:color w:val="000000" w:themeColor="text1"/>
              </w:rPr>
              <w:t>042/48</w:t>
            </w:r>
          </w:p>
        </w:tc>
        <w:tc>
          <w:tcPr>
            <w:tcW w:w="993" w:type="dxa"/>
          </w:tcPr>
          <w:p w:rsidR="000C01DF" w:rsidRPr="00D22A8A" w:rsidRDefault="000C01DF" w:rsidP="001514E8">
            <w:pPr>
              <w:pStyle w:val="Tabletext"/>
              <w:jc w:val="center"/>
              <w:rPr>
                <w:rFonts w:asciiTheme="minorHAnsi" w:hAnsiTheme="minorHAnsi" w:cstheme="minorHAnsi"/>
                <w:bCs/>
                <w:color w:val="000000" w:themeColor="text1"/>
              </w:rPr>
            </w:pPr>
            <w:r w:rsidRPr="00D22A8A">
              <w:rPr>
                <w:rFonts w:asciiTheme="minorHAnsi" w:hAnsiTheme="minorHAnsi" w:cstheme="minorHAnsi"/>
                <w:bCs/>
                <w:color w:val="000000" w:themeColor="text1"/>
              </w:rPr>
              <w:t>7</w:t>
            </w:r>
            <w:r w:rsidR="00F14149">
              <w:rPr>
                <w:rFonts w:asciiTheme="minorHAnsi" w:hAnsiTheme="minorHAnsi" w:cstheme="minorHAnsi"/>
                <w:bCs/>
                <w:color w:val="000000" w:themeColor="text1"/>
              </w:rPr>
              <w:t> </w:t>
            </w:r>
            <w:r w:rsidRPr="00D22A8A">
              <w:rPr>
                <w:rFonts w:asciiTheme="minorHAnsi" w:hAnsiTheme="minorHAnsi" w:cstheme="minorHAnsi"/>
                <w:bCs/>
                <w:color w:val="000000" w:themeColor="text1"/>
              </w:rPr>
              <w:t>061/52</w:t>
            </w:r>
          </w:p>
        </w:tc>
        <w:tc>
          <w:tcPr>
            <w:tcW w:w="992" w:type="dxa"/>
          </w:tcPr>
          <w:p w:rsidR="000C01DF" w:rsidRPr="00D22A8A" w:rsidRDefault="000C01DF" w:rsidP="001514E8">
            <w:pPr>
              <w:pStyle w:val="Tabletext"/>
              <w:jc w:val="center"/>
              <w:rPr>
                <w:rFonts w:asciiTheme="minorHAnsi" w:hAnsiTheme="minorHAnsi" w:cstheme="minorHAnsi"/>
                <w:bCs/>
                <w:color w:val="000000" w:themeColor="text1"/>
              </w:rPr>
            </w:pPr>
            <w:r w:rsidRPr="00D22A8A">
              <w:rPr>
                <w:rFonts w:asciiTheme="minorHAnsi" w:hAnsiTheme="minorHAnsi" w:cstheme="minorHAnsi"/>
                <w:bCs/>
                <w:color w:val="000000" w:themeColor="text1"/>
              </w:rPr>
              <w:t>4</w:t>
            </w:r>
            <w:r w:rsidR="00F14149">
              <w:rPr>
                <w:rFonts w:asciiTheme="minorHAnsi" w:hAnsiTheme="minorHAnsi" w:cstheme="minorHAnsi"/>
                <w:bCs/>
                <w:color w:val="000000" w:themeColor="text1"/>
              </w:rPr>
              <w:t> </w:t>
            </w:r>
            <w:r w:rsidRPr="00D22A8A">
              <w:rPr>
                <w:rFonts w:asciiTheme="minorHAnsi" w:hAnsiTheme="minorHAnsi" w:cstheme="minorHAnsi"/>
                <w:bCs/>
                <w:color w:val="000000" w:themeColor="text1"/>
              </w:rPr>
              <w:t>560/47</w:t>
            </w:r>
          </w:p>
        </w:tc>
        <w:tc>
          <w:tcPr>
            <w:tcW w:w="1134" w:type="dxa"/>
          </w:tcPr>
          <w:p w:rsidR="000C01DF" w:rsidRPr="00D22A8A" w:rsidRDefault="000C01DF" w:rsidP="001514E8">
            <w:pPr>
              <w:pStyle w:val="Tabletext"/>
              <w:jc w:val="center"/>
              <w:rPr>
                <w:rFonts w:asciiTheme="minorHAnsi" w:hAnsiTheme="minorHAnsi" w:cstheme="minorHAnsi"/>
                <w:b/>
                <w:bCs/>
                <w:color w:val="000000" w:themeColor="text1"/>
              </w:rPr>
            </w:pPr>
            <w:r w:rsidRPr="00D22A8A">
              <w:rPr>
                <w:rFonts w:asciiTheme="minorHAnsi" w:hAnsiTheme="minorHAnsi" w:cstheme="minorHAnsi"/>
                <w:b/>
                <w:bCs/>
                <w:color w:val="000000" w:themeColor="text1"/>
              </w:rPr>
              <w:t>4</w:t>
            </w:r>
            <w:r w:rsidR="00F14149">
              <w:rPr>
                <w:rFonts w:asciiTheme="minorHAnsi" w:hAnsiTheme="minorHAnsi" w:cstheme="minorHAnsi"/>
                <w:b/>
                <w:bCs/>
                <w:color w:val="000000" w:themeColor="text1"/>
              </w:rPr>
              <w:t> </w:t>
            </w:r>
            <w:r w:rsidRPr="00D22A8A">
              <w:rPr>
                <w:rFonts w:asciiTheme="minorHAnsi" w:hAnsiTheme="minorHAnsi" w:cstheme="minorHAnsi"/>
                <w:b/>
                <w:bCs/>
                <w:color w:val="000000" w:themeColor="text1"/>
              </w:rPr>
              <w:t>560/47</w:t>
            </w:r>
          </w:p>
        </w:tc>
        <w:tc>
          <w:tcPr>
            <w:tcW w:w="2977" w:type="dxa"/>
          </w:tcPr>
          <w:p w:rsidR="000C01DF" w:rsidRPr="001514E8" w:rsidRDefault="000C01DF" w:rsidP="001514E8">
            <w:pPr>
              <w:pStyle w:val="Tabletext"/>
            </w:pPr>
            <w:r w:rsidRPr="001514E8">
              <w:t>Base de datos en materia de inscripciones a eventos del UIT-R</w:t>
            </w:r>
          </w:p>
        </w:tc>
      </w:tr>
      <w:tr w:rsidR="000C01DF" w:rsidRPr="008930FD" w:rsidTr="00A31BB6">
        <w:trPr>
          <w:jc w:val="center"/>
        </w:trPr>
        <w:tc>
          <w:tcPr>
            <w:tcW w:w="2726" w:type="dxa"/>
            <w:vMerge/>
          </w:tcPr>
          <w:p w:rsidR="000C01DF" w:rsidRPr="001514E8" w:rsidRDefault="000C01DF" w:rsidP="001514E8">
            <w:pPr>
              <w:pStyle w:val="Tabletext"/>
              <w:rPr>
                <w:rFonts w:cs="Arial"/>
                <w:b/>
                <w:bCs/>
                <w:color w:val="4F81BD" w:themeColor="accent1"/>
              </w:rPr>
            </w:pPr>
          </w:p>
        </w:tc>
        <w:tc>
          <w:tcPr>
            <w:tcW w:w="3260" w:type="dxa"/>
          </w:tcPr>
          <w:p w:rsidR="000C01DF" w:rsidRPr="001514E8" w:rsidRDefault="000C01DF" w:rsidP="001514E8">
            <w:pPr>
              <w:pStyle w:val="Tabletext"/>
            </w:pPr>
            <w:r w:rsidRPr="001514E8">
              <w:t>Número de países que participan en seminarios y talleres, reuniones de CE y GT y eventos del UIT-R (presenciales y virtuales)</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161</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130</w:t>
            </w:r>
          </w:p>
        </w:tc>
        <w:tc>
          <w:tcPr>
            <w:tcW w:w="993"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78</w:t>
            </w:r>
          </w:p>
        </w:tc>
        <w:tc>
          <w:tcPr>
            <w:tcW w:w="992"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137</w:t>
            </w:r>
          </w:p>
        </w:tc>
        <w:tc>
          <w:tcPr>
            <w:tcW w:w="1134" w:type="dxa"/>
          </w:tcPr>
          <w:p w:rsidR="000C01DF" w:rsidRPr="00D22A8A" w:rsidRDefault="000C01DF" w:rsidP="001514E8">
            <w:pPr>
              <w:pStyle w:val="Tabletext"/>
              <w:jc w:val="center"/>
              <w:rPr>
                <w:rFonts w:asciiTheme="minorHAnsi" w:hAnsiTheme="minorHAnsi" w:cstheme="minorHAnsi"/>
                <w:color w:val="000000"/>
              </w:rPr>
            </w:pPr>
            <w:r w:rsidRPr="00D22A8A">
              <w:rPr>
                <w:rFonts w:asciiTheme="minorHAnsi" w:hAnsiTheme="minorHAnsi" w:cstheme="minorHAnsi"/>
                <w:color w:val="000000"/>
              </w:rPr>
              <w:t>193</w:t>
            </w:r>
          </w:p>
        </w:tc>
        <w:tc>
          <w:tcPr>
            <w:tcW w:w="2977" w:type="dxa"/>
          </w:tcPr>
          <w:p w:rsidR="000C01DF" w:rsidRPr="001514E8" w:rsidRDefault="000C01DF" w:rsidP="001514E8">
            <w:pPr>
              <w:pStyle w:val="Tabletext"/>
            </w:pPr>
            <w:r w:rsidRPr="001514E8">
              <w:t>Base de datos en materia de inscripciones a eventos del UIT-R</w:t>
            </w:r>
          </w:p>
        </w:tc>
      </w:tr>
    </w:tbl>
    <w:p w:rsidR="000C01DF" w:rsidRPr="001514E8" w:rsidRDefault="000C01DF" w:rsidP="001514E8">
      <w:pPr>
        <w:overflowPunct/>
        <w:autoSpaceDE/>
        <w:autoSpaceDN/>
        <w:adjustRightInd/>
        <w:spacing w:before="0" w:line="240" w:lineRule="auto"/>
        <w:textAlignment w:val="auto"/>
        <w:rPr>
          <w:rFonts w:asciiTheme="minorHAnsi" w:hAnsiTheme="minorHAnsi"/>
          <w:lang w:val="es-ES"/>
        </w:rPr>
      </w:pP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707"/>
        <w:gridCol w:w="1092"/>
        <w:gridCol w:w="1091"/>
        <w:gridCol w:w="1092"/>
        <w:gridCol w:w="1092"/>
      </w:tblGrid>
      <w:tr w:rsidR="000C01DF" w:rsidRPr="008930FD" w:rsidTr="00A31BB6">
        <w:trPr>
          <w:jc w:val="center"/>
        </w:trPr>
        <w:tc>
          <w:tcPr>
            <w:tcW w:w="9707" w:type="dxa"/>
            <w:shd w:val="clear" w:color="auto" w:fill="4F81BD" w:themeFill="accent1"/>
          </w:tcPr>
          <w:p w:rsidR="000C01DF" w:rsidRPr="001514E8" w:rsidRDefault="000C01DF" w:rsidP="001514E8">
            <w:pPr>
              <w:pStyle w:val="Tablehead"/>
              <w:rPr>
                <w:color w:val="FFFFFF" w:themeColor="background1"/>
              </w:rPr>
            </w:pPr>
            <w:r w:rsidRPr="001514E8">
              <w:rPr>
                <w:color w:val="FFFFFF" w:themeColor="background1"/>
              </w:rPr>
              <w:t>Producto</w:t>
            </w:r>
          </w:p>
        </w:tc>
        <w:tc>
          <w:tcPr>
            <w:tcW w:w="4367" w:type="dxa"/>
            <w:gridSpan w:val="4"/>
            <w:shd w:val="clear" w:color="auto" w:fill="4F81BD" w:themeFill="accent1"/>
          </w:tcPr>
          <w:p w:rsidR="000C01DF" w:rsidRPr="001514E8" w:rsidRDefault="000C01DF" w:rsidP="001514E8">
            <w:pPr>
              <w:pStyle w:val="Tablehead"/>
              <w:rPr>
                <w:color w:val="FFFFFF" w:themeColor="background1"/>
                <w:lang w:val="es-ES"/>
              </w:rPr>
            </w:pPr>
            <w:r w:rsidRPr="001514E8">
              <w:rPr>
                <w:color w:val="FFFFFF" w:themeColor="background1"/>
                <w:lang w:val="es-ES"/>
              </w:rPr>
              <w:t>Recursos financieros</w:t>
            </w:r>
            <w:r w:rsidRPr="001514E8">
              <w:rPr>
                <w:rStyle w:val="FootnoteReference"/>
                <w:color w:val="FFFFFF" w:themeColor="background1"/>
              </w:rPr>
              <w:footnoteReference w:id="7"/>
            </w:r>
            <w:r w:rsidRPr="001514E8">
              <w:rPr>
                <w:color w:val="FFFFFF" w:themeColor="background1"/>
                <w:lang w:val="es-ES"/>
              </w:rPr>
              <w:t xml:space="preserve"> (en miles CHF)</w:t>
            </w:r>
          </w:p>
        </w:tc>
      </w:tr>
      <w:tr w:rsidR="000C01DF" w:rsidRPr="001514E8" w:rsidTr="00A31BB6">
        <w:trPr>
          <w:jc w:val="center"/>
        </w:trPr>
        <w:tc>
          <w:tcPr>
            <w:tcW w:w="9707" w:type="dxa"/>
          </w:tcPr>
          <w:p w:rsidR="000C01DF" w:rsidRPr="001514E8" w:rsidRDefault="000C01DF" w:rsidP="001514E8">
            <w:pPr>
              <w:pStyle w:val="Tablehead"/>
              <w:rPr>
                <w:lang w:val="es-ES"/>
              </w:rPr>
            </w:pPr>
          </w:p>
        </w:tc>
        <w:tc>
          <w:tcPr>
            <w:tcW w:w="1092" w:type="dxa"/>
            <w:vAlign w:val="center"/>
          </w:tcPr>
          <w:p w:rsidR="000C01DF" w:rsidRPr="001514E8" w:rsidRDefault="000C01DF" w:rsidP="001514E8">
            <w:pPr>
              <w:pStyle w:val="Tabletext"/>
              <w:jc w:val="center"/>
              <w:rPr>
                <w:b/>
                <w:bCs/>
                <w:color w:val="4F81BD" w:themeColor="accent1"/>
                <w:lang w:eastAsia="zh-CN"/>
              </w:rPr>
            </w:pPr>
            <w:r w:rsidRPr="001514E8">
              <w:rPr>
                <w:b/>
                <w:bCs/>
                <w:color w:val="4F81BD" w:themeColor="accent1"/>
                <w:lang w:eastAsia="zh-CN"/>
              </w:rPr>
              <w:t>2020</w:t>
            </w:r>
          </w:p>
        </w:tc>
        <w:tc>
          <w:tcPr>
            <w:tcW w:w="1091" w:type="dxa"/>
            <w:vAlign w:val="center"/>
          </w:tcPr>
          <w:p w:rsidR="000C01DF" w:rsidRPr="001514E8" w:rsidRDefault="000C01DF" w:rsidP="001514E8">
            <w:pPr>
              <w:pStyle w:val="Tabletext"/>
              <w:jc w:val="center"/>
              <w:rPr>
                <w:b/>
                <w:bCs/>
                <w:color w:val="4F81BD" w:themeColor="accent1"/>
                <w:lang w:eastAsia="zh-CN"/>
              </w:rPr>
            </w:pPr>
            <w:r w:rsidRPr="001514E8">
              <w:rPr>
                <w:b/>
                <w:bCs/>
                <w:color w:val="4F81BD" w:themeColor="accent1"/>
                <w:lang w:eastAsia="zh-CN"/>
              </w:rPr>
              <w:t>2021</w:t>
            </w:r>
          </w:p>
        </w:tc>
        <w:tc>
          <w:tcPr>
            <w:tcW w:w="1092" w:type="dxa"/>
            <w:vAlign w:val="center"/>
          </w:tcPr>
          <w:p w:rsidR="000C01DF" w:rsidRPr="001514E8" w:rsidRDefault="000C01DF" w:rsidP="001514E8">
            <w:pPr>
              <w:pStyle w:val="Tabletext"/>
              <w:jc w:val="center"/>
              <w:rPr>
                <w:b/>
                <w:bCs/>
                <w:color w:val="4F81BD" w:themeColor="accent1"/>
                <w:lang w:eastAsia="zh-CN"/>
              </w:rPr>
            </w:pPr>
            <w:r w:rsidRPr="001514E8">
              <w:rPr>
                <w:b/>
                <w:bCs/>
                <w:color w:val="4F81BD" w:themeColor="accent1"/>
                <w:lang w:eastAsia="zh-CN"/>
              </w:rPr>
              <w:t>2022</w:t>
            </w:r>
          </w:p>
        </w:tc>
        <w:tc>
          <w:tcPr>
            <w:tcW w:w="1092" w:type="dxa"/>
            <w:vAlign w:val="center"/>
          </w:tcPr>
          <w:p w:rsidR="000C01DF" w:rsidRPr="001514E8" w:rsidRDefault="000C01DF" w:rsidP="001514E8">
            <w:pPr>
              <w:pStyle w:val="Tabletext"/>
              <w:jc w:val="center"/>
              <w:rPr>
                <w:b/>
                <w:bCs/>
                <w:color w:val="4F81BD" w:themeColor="accent1"/>
                <w:lang w:eastAsia="zh-CN"/>
              </w:rPr>
            </w:pPr>
            <w:r w:rsidRPr="001514E8">
              <w:rPr>
                <w:b/>
                <w:bCs/>
                <w:color w:val="4F81BD" w:themeColor="accent1"/>
                <w:lang w:eastAsia="zh-CN"/>
              </w:rPr>
              <w:t>2023</w:t>
            </w:r>
          </w:p>
        </w:tc>
      </w:tr>
      <w:tr w:rsidR="000C01DF" w:rsidRPr="001514E8" w:rsidTr="00A31BB6">
        <w:trPr>
          <w:jc w:val="center"/>
        </w:trPr>
        <w:tc>
          <w:tcPr>
            <w:tcW w:w="9707" w:type="dxa"/>
            <w:vAlign w:val="center"/>
          </w:tcPr>
          <w:p w:rsidR="000C01DF" w:rsidRPr="001514E8" w:rsidRDefault="000C01DF" w:rsidP="001514E8">
            <w:pPr>
              <w:pStyle w:val="Tabletext"/>
              <w:rPr>
                <w:lang w:eastAsia="zh-CN"/>
              </w:rPr>
            </w:pPr>
            <w:r w:rsidRPr="001514E8">
              <w:rPr>
                <w:b/>
                <w:bCs/>
                <w:color w:val="5B9BD5"/>
              </w:rPr>
              <w:t>R.3-1:</w:t>
            </w:r>
            <w:r w:rsidRPr="001514E8">
              <w:t xml:space="preserve"> Publicaciones del UIT-R</w:t>
            </w:r>
          </w:p>
        </w:tc>
        <w:tc>
          <w:tcPr>
            <w:tcW w:w="1092" w:type="dxa"/>
            <w:vAlign w:val="center"/>
          </w:tcPr>
          <w:p w:rsidR="000C01DF" w:rsidRPr="00513A0E" w:rsidRDefault="000C01DF" w:rsidP="00513A0E">
            <w:pPr>
              <w:pStyle w:val="Tabletext"/>
              <w:jc w:val="center"/>
            </w:pPr>
            <w:r w:rsidRPr="00513A0E">
              <w:t>6 611</w:t>
            </w:r>
          </w:p>
        </w:tc>
        <w:tc>
          <w:tcPr>
            <w:tcW w:w="1091" w:type="dxa"/>
            <w:vAlign w:val="center"/>
          </w:tcPr>
          <w:p w:rsidR="000C01DF" w:rsidRPr="00513A0E" w:rsidRDefault="000C01DF" w:rsidP="001514E8">
            <w:pPr>
              <w:pStyle w:val="Tabletext"/>
              <w:jc w:val="center"/>
            </w:pPr>
            <w:r w:rsidRPr="00513A0E">
              <w:t>6 495</w:t>
            </w:r>
          </w:p>
        </w:tc>
        <w:tc>
          <w:tcPr>
            <w:tcW w:w="1092" w:type="dxa"/>
            <w:vAlign w:val="center"/>
          </w:tcPr>
          <w:p w:rsidR="000C01DF" w:rsidRPr="00513A0E" w:rsidRDefault="000C01DF" w:rsidP="001514E8">
            <w:pPr>
              <w:pStyle w:val="Tabletext"/>
              <w:jc w:val="center"/>
            </w:pPr>
            <w:r w:rsidRPr="00513A0E">
              <w:t>7 237</w:t>
            </w:r>
          </w:p>
        </w:tc>
        <w:tc>
          <w:tcPr>
            <w:tcW w:w="1092" w:type="dxa"/>
            <w:vAlign w:val="center"/>
          </w:tcPr>
          <w:p w:rsidR="000C01DF" w:rsidRPr="00513A0E" w:rsidRDefault="000C01DF" w:rsidP="001514E8">
            <w:pPr>
              <w:pStyle w:val="Tabletext"/>
              <w:jc w:val="center"/>
            </w:pPr>
            <w:r w:rsidRPr="00513A0E">
              <w:t>5 938</w:t>
            </w:r>
          </w:p>
        </w:tc>
      </w:tr>
      <w:tr w:rsidR="000C01DF" w:rsidRPr="001514E8" w:rsidTr="00A31BB6">
        <w:trPr>
          <w:jc w:val="center"/>
        </w:trPr>
        <w:tc>
          <w:tcPr>
            <w:tcW w:w="9707" w:type="dxa"/>
            <w:vAlign w:val="center"/>
          </w:tcPr>
          <w:p w:rsidR="000C01DF" w:rsidRPr="001514E8" w:rsidRDefault="000C01DF" w:rsidP="001514E8">
            <w:pPr>
              <w:pStyle w:val="Tabletext"/>
              <w:rPr>
                <w:b/>
                <w:bCs/>
                <w:color w:val="4F81BD" w:themeColor="accent1"/>
                <w:lang w:eastAsia="zh-CN"/>
              </w:rPr>
            </w:pPr>
            <w:r w:rsidRPr="001514E8">
              <w:rPr>
                <w:b/>
                <w:bCs/>
                <w:color w:val="5B9BD5"/>
              </w:rPr>
              <w:t>R.3-2:</w:t>
            </w:r>
            <w:r w:rsidRPr="001514E8">
              <w:t xml:space="preserve"> Asistencia a los Miembros, en particular países en desarrollo y PMA</w:t>
            </w:r>
          </w:p>
        </w:tc>
        <w:tc>
          <w:tcPr>
            <w:tcW w:w="1092" w:type="dxa"/>
            <w:vAlign w:val="center"/>
          </w:tcPr>
          <w:p w:rsidR="000C01DF" w:rsidRPr="00513A0E" w:rsidRDefault="000C01DF" w:rsidP="001514E8">
            <w:pPr>
              <w:pStyle w:val="Tabletext"/>
              <w:jc w:val="center"/>
            </w:pPr>
            <w:r w:rsidRPr="00513A0E">
              <w:t>4 312</w:t>
            </w:r>
          </w:p>
        </w:tc>
        <w:tc>
          <w:tcPr>
            <w:tcW w:w="1091" w:type="dxa"/>
            <w:vAlign w:val="center"/>
          </w:tcPr>
          <w:p w:rsidR="000C01DF" w:rsidRPr="00513A0E" w:rsidRDefault="000C01DF" w:rsidP="001514E8">
            <w:pPr>
              <w:pStyle w:val="Tabletext"/>
              <w:jc w:val="center"/>
            </w:pPr>
            <w:r w:rsidRPr="00513A0E">
              <w:t>4 321</w:t>
            </w:r>
          </w:p>
        </w:tc>
        <w:tc>
          <w:tcPr>
            <w:tcW w:w="1092" w:type="dxa"/>
            <w:vAlign w:val="center"/>
          </w:tcPr>
          <w:p w:rsidR="000C01DF" w:rsidRPr="00513A0E" w:rsidRDefault="000C01DF" w:rsidP="001514E8">
            <w:pPr>
              <w:pStyle w:val="Tabletext"/>
              <w:jc w:val="center"/>
            </w:pPr>
            <w:r w:rsidRPr="00513A0E">
              <w:t>2 871</w:t>
            </w:r>
          </w:p>
        </w:tc>
        <w:tc>
          <w:tcPr>
            <w:tcW w:w="1092" w:type="dxa"/>
            <w:vAlign w:val="center"/>
          </w:tcPr>
          <w:p w:rsidR="000C01DF" w:rsidRPr="00513A0E" w:rsidRDefault="000C01DF" w:rsidP="001514E8">
            <w:pPr>
              <w:pStyle w:val="Tabletext"/>
              <w:jc w:val="center"/>
            </w:pPr>
            <w:r w:rsidRPr="00513A0E">
              <w:t>2 644</w:t>
            </w:r>
          </w:p>
        </w:tc>
      </w:tr>
      <w:tr w:rsidR="000C01DF" w:rsidRPr="001514E8" w:rsidTr="00A31BB6">
        <w:trPr>
          <w:jc w:val="center"/>
        </w:trPr>
        <w:tc>
          <w:tcPr>
            <w:tcW w:w="9707" w:type="dxa"/>
            <w:vAlign w:val="center"/>
          </w:tcPr>
          <w:p w:rsidR="000C01DF" w:rsidRPr="001514E8" w:rsidRDefault="000C01DF" w:rsidP="001514E8">
            <w:pPr>
              <w:pStyle w:val="Tabletext"/>
            </w:pPr>
            <w:r w:rsidRPr="001514E8">
              <w:rPr>
                <w:b/>
                <w:bCs/>
                <w:color w:val="5B9BD5"/>
              </w:rPr>
              <w:t>R.3-3:</w:t>
            </w:r>
            <w:r w:rsidRPr="001514E8">
              <w:t xml:space="preserve"> Coordinación/apoyo a actividades de desarrollo</w:t>
            </w:r>
          </w:p>
        </w:tc>
        <w:tc>
          <w:tcPr>
            <w:tcW w:w="1092" w:type="dxa"/>
            <w:vAlign w:val="center"/>
          </w:tcPr>
          <w:p w:rsidR="000C01DF" w:rsidRPr="00513A0E" w:rsidRDefault="000C01DF" w:rsidP="001514E8">
            <w:pPr>
              <w:pStyle w:val="Tabletext"/>
              <w:jc w:val="center"/>
            </w:pPr>
            <w:r w:rsidRPr="00513A0E">
              <w:t>1 521</w:t>
            </w:r>
          </w:p>
        </w:tc>
        <w:tc>
          <w:tcPr>
            <w:tcW w:w="1091" w:type="dxa"/>
            <w:vAlign w:val="center"/>
          </w:tcPr>
          <w:p w:rsidR="000C01DF" w:rsidRPr="00513A0E" w:rsidRDefault="000C01DF" w:rsidP="001514E8">
            <w:pPr>
              <w:pStyle w:val="Tabletext"/>
              <w:jc w:val="center"/>
            </w:pPr>
            <w:r w:rsidRPr="00513A0E">
              <w:t>1 456</w:t>
            </w:r>
          </w:p>
        </w:tc>
        <w:tc>
          <w:tcPr>
            <w:tcW w:w="1092" w:type="dxa"/>
            <w:vAlign w:val="center"/>
          </w:tcPr>
          <w:p w:rsidR="000C01DF" w:rsidRPr="00513A0E" w:rsidRDefault="000C01DF" w:rsidP="001514E8">
            <w:pPr>
              <w:pStyle w:val="Tabletext"/>
              <w:jc w:val="center"/>
            </w:pPr>
            <w:r w:rsidRPr="00513A0E">
              <w:t>1 637</w:t>
            </w:r>
          </w:p>
        </w:tc>
        <w:tc>
          <w:tcPr>
            <w:tcW w:w="1092" w:type="dxa"/>
            <w:vAlign w:val="center"/>
          </w:tcPr>
          <w:p w:rsidR="000C01DF" w:rsidRPr="00513A0E" w:rsidRDefault="000C01DF" w:rsidP="001514E8">
            <w:pPr>
              <w:pStyle w:val="Tabletext"/>
              <w:jc w:val="center"/>
            </w:pPr>
            <w:r w:rsidRPr="00513A0E">
              <w:t>1 674</w:t>
            </w:r>
          </w:p>
        </w:tc>
      </w:tr>
      <w:tr w:rsidR="000C01DF" w:rsidRPr="001514E8" w:rsidTr="00A31BB6">
        <w:trPr>
          <w:jc w:val="center"/>
        </w:trPr>
        <w:tc>
          <w:tcPr>
            <w:tcW w:w="9707" w:type="dxa"/>
            <w:vAlign w:val="center"/>
          </w:tcPr>
          <w:p w:rsidR="000C01DF" w:rsidRPr="001514E8" w:rsidRDefault="000C01DF" w:rsidP="001514E8">
            <w:pPr>
              <w:pStyle w:val="Tabletext"/>
              <w:rPr>
                <w:lang w:eastAsia="zh-CN"/>
              </w:rPr>
            </w:pPr>
            <w:r w:rsidRPr="001514E8">
              <w:rPr>
                <w:b/>
                <w:bCs/>
                <w:color w:val="5B9BD5"/>
              </w:rPr>
              <w:t>R.3-4:</w:t>
            </w:r>
            <w:r w:rsidRPr="001514E8">
              <w:t xml:space="preserve"> Seminarios, talleres y otros eventos</w:t>
            </w:r>
          </w:p>
        </w:tc>
        <w:tc>
          <w:tcPr>
            <w:tcW w:w="1092" w:type="dxa"/>
            <w:vAlign w:val="center"/>
          </w:tcPr>
          <w:p w:rsidR="000C01DF" w:rsidRPr="00513A0E" w:rsidRDefault="000C01DF" w:rsidP="001514E8">
            <w:pPr>
              <w:pStyle w:val="Tabletext"/>
              <w:jc w:val="center"/>
            </w:pPr>
            <w:r w:rsidRPr="00513A0E">
              <w:t>4 355</w:t>
            </w:r>
          </w:p>
        </w:tc>
        <w:tc>
          <w:tcPr>
            <w:tcW w:w="1091" w:type="dxa"/>
            <w:vAlign w:val="center"/>
          </w:tcPr>
          <w:p w:rsidR="000C01DF" w:rsidRPr="00513A0E" w:rsidRDefault="000C01DF" w:rsidP="001514E8">
            <w:pPr>
              <w:pStyle w:val="Tabletext"/>
              <w:jc w:val="center"/>
            </w:pPr>
            <w:r w:rsidRPr="00513A0E">
              <w:t>4 625</w:t>
            </w:r>
          </w:p>
        </w:tc>
        <w:tc>
          <w:tcPr>
            <w:tcW w:w="1092" w:type="dxa"/>
            <w:vAlign w:val="center"/>
          </w:tcPr>
          <w:p w:rsidR="000C01DF" w:rsidRPr="00513A0E" w:rsidRDefault="000C01DF" w:rsidP="001514E8">
            <w:pPr>
              <w:pStyle w:val="Tabletext"/>
              <w:jc w:val="center"/>
            </w:pPr>
            <w:r w:rsidRPr="00513A0E">
              <w:t>3 862</w:t>
            </w:r>
          </w:p>
        </w:tc>
        <w:tc>
          <w:tcPr>
            <w:tcW w:w="1092" w:type="dxa"/>
            <w:vAlign w:val="center"/>
          </w:tcPr>
          <w:p w:rsidR="000C01DF" w:rsidRPr="00513A0E" w:rsidRDefault="000C01DF" w:rsidP="001514E8">
            <w:pPr>
              <w:pStyle w:val="Tabletext"/>
              <w:jc w:val="center"/>
            </w:pPr>
            <w:r w:rsidRPr="00513A0E">
              <w:t>3 677</w:t>
            </w:r>
          </w:p>
        </w:tc>
      </w:tr>
      <w:tr w:rsidR="000C01DF" w:rsidRPr="008930FD" w:rsidTr="00A31BB6">
        <w:trPr>
          <w:jc w:val="center"/>
        </w:trPr>
        <w:tc>
          <w:tcPr>
            <w:tcW w:w="9707" w:type="dxa"/>
            <w:vAlign w:val="center"/>
          </w:tcPr>
          <w:p w:rsidR="000C01DF" w:rsidRPr="001514E8" w:rsidRDefault="000C01DF" w:rsidP="001514E8">
            <w:pPr>
              <w:pStyle w:val="Tabletext"/>
              <w:rPr>
                <w:b/>
                <w:bCs/>
                <w:color w:val="5B9BD5"/>
              </w:rPr>
            </w:pPr>
            <w:r w:rsidRPr="001514E8">
              <w:rPr>
                <w:rFonts w:cs="Arial"/>
              </w:rPr>
              <w:t xml:space="preserve">Atribución de costos a las actividades de la Conferencia de Plenipotenciarios y el Consejo </w:t>
            </w:r>
            <w:r w:rsidRPr="001514E8">
              <w:rPr>
                <w:rFonts w:cs="Arial"/>
                <w:b/>
                <w:bCs/>
                <w:color w:val="4F81BD" w:themeColor="accent1"/>
              </w:rPr>
              <w:t>(</w:t>
            </w:r>
            <w:r w:rsidRPr="001514E8">
              <w:rPr>
                <w:b/>
                <w:bCs/>
                <w:color w:val="4F81BD" w:themeColor="accent1"/>
              </w:rPr>
              <w:t>PP</w:t>
            </w:r>
            <w:r w:rsidRPr="001514E8">
              <w:rPr>
                <w:rFonts w:cs="Arial"/>
                <w:color w:val="4F81BD" w:themeColor="accent1"/>
              </w:rPr>
              <w:t xml:space="preserve">, </w:t>
            </w:r>
            <w:r w:rsidRPr="001514E8">
              <w:rPr>
                <w:b/>
                <w:bCs/>
                <w:color w:val="4F81BD" w:themeColor="accent1"/>
              </w:rPr>
              <w:t>Consejo/GTC</w:t>
            </w:r>
            <w:r w:rsidRPr="001514E8">
              <w:rPr>
                <w:rFonts w:cs="Arial"/>
                <w:b/>
                <w:bCs/>
                <w:color w:val="4F81BD" w:themeColor="accent1"/>
              </w:rPr>
              <w:t>)</w:t>
            </w:r>
          </w:p>
        </w:tc>
        <w:tc>
          <w:tcPr>
            <w:tcW w:w="1092" w:type="dxa"/>
            <w:vAlign w:val="center"/>
          </w:tcPr>
          <w:p w:rsidR="000C01DF" w:rsidRPr="00513A0E" w:rsidRDefault="000C01DF" w:rsidP="001514E8">
            <w:pPr>
              <w:pStyle w:val="Tabletext"/>
              <w:jc w:val="center"/>
            </w:pPr>
          </w:p>
        </w:tc>
        <w:tc>
          <w:tcPr>
            <w:tcW w:w="1091" w:type="dxa"/>
            <w:vAlign w:val="center"/>
          </w:tcPr>
          <w:p w:rsidR="000C01DF" w:rsidRPr="00513A0E" w:rsidRDefault="000C01DF" w:rsidP="001514E8">
            <w:pPr>
              <w:pStyle w:val="Tabletext"/>
              <w:jc w:val="center"/>
            </w:pPr>
          </w:p>
        </w:tc>
        <w:tc>
          <w:tcPr>
            <w:tcW w:w="1092" w:type="dxa"/>
            <w:vAlign w:val="center"/>
          </w:tcPr>
          <w:p w:rsidR="000C01DF" w:rsidRPr="001514E8" w:rsidRDefault="000C01DF" w:rsidP="001514E8">
            <w:pPr>
              <w:pStyle w:val="Tabletext"/>
              <w:jc w:val="center"/>
            </w:pPr>
          </w:p>
        </w:tc>
        <w:tc>
          <w:tcPr>
            <w:tcW w:w="1092" w:type="dxa"/>
            <w:vAlign w:val="center"/>
          </w:tcPr>
          <w:p w:rsidR="000C01DF" w:rsidRPr="001514E8" w:rsidRDefault="000C01DF" w:rsidP="001514E8">
            <w:pPr>
              <w:pStyle w:val="Tabletext"/>
              <w:jc w:val="center"/>
            </w:pPr>
          </w:p>
        </w:tc>
      </w:tr>
      <w:tr w:rsidR="000C01DF" w:rsidRPr="008930FD" w:rsidTr="00A31BB6">
        <w:trPr>
          <w:jc w:val="center"/>
        </w:trPr>
        <w:tc>
          <w:tcPr>
            <w:tcW w:w="9707" w:type="dxa"/>
            <w:vAlign w:val="center"/>
          </w:tcPr>
          <w:p w:rsidR="000C01DF" w:rsidRPr="001514E8" w:rsidRDefault="000C01DF" w:rsidP="001514E8">
            <w:pPr>
              <w:pStyle w:val="Tabletext"/>
              <w:rPr>
                <w:b/>
                <w:bCs/>
                <w:color w:val="4F81BD" w:themeColor="accent1"/>
                <w:lang w:eastAsia="zh-CN"/>
              </w:rPr>
            </w:pPr>
            <w:r w:rsidRPr="001514E8">
              <w:rPr>
                <w:b/>
                <w:bCs/>
                <w:color w:val="5B9BD5"/>
              </w:rPr>
              <w:t>Total para el Objetivo R.3</w:t>
            </w:r>
          </w:p>
        </w:tc>
        <w:tc>
          <w:tcPr>
            <w:tcW w:w="1092" w:type="dxa"/>
            <w:vAlign w:val="center"/>
          </w:tcPr>
          <w:p w:rsidR="000C01DF" w:rsidRPr="00513A0E" w:rsidRDefault="000C01DF" w:rsidP="001514E8">
            <w:pPr>
              <w:pStyle w:val="Tabletext"/>
              <w:jc w:val="center"/>
              <w:rPr>
                <w:b/>
                <w:bCs/>
              </w:rPr>
            </w:pPr>
          </w:p>
        </w:tc>
        <w:tc>
          <w:tcPr>
            <w:tcW w:w="1091" w:type="dxa"/>
            <w:vAlign w:val="center"/>
          </w:tcPr>
          <w:p w:rsidR="000C01DF" w:rsidRPr="00513A0E" w:rsidRDefault="000C01DF" w:rsidP="001514E8">
            <w:pPr>
              <w:pStyle w:val="Tabletext"/>
              <w:jc w:val="center"/>
              <w:rPr>
                <w:b/>
                <w:bCs/>
              </w:rPr>
            </w:pPr>
          </w:p>
        </w:tc>
        <w:tc>
          <w:tcPr>
            <w:tcW w:w="1092" w:type="dxa"/>
            <w:vAlign w:val="center"/>
          </w:tcPr>
          <w:p w:rsidR="000C01DF" w:rsidRPr="00513A0E" w:rsidRDefault="000C01DF" w:rsidP="001514E8">
            <w:pPr>
              <w:pStyle w:val="Tabletext"/>
              <w:jc w:val="center"/>
              <w:rPr>
                <w:b/>
                <w:bCs/>
              </w:rPr>
            </w:pPr>
          </w:p>
        </w:tc>
        <w:tc>
          <w:tcPr>
            <w:tcW w:w="1092" w:type="dxa"/>
            <w:vAlign w:val="center"/>
          </w:tcPr>
          <w:p w:rsidR="000C01DF" w:rsidRPr="00513A0E" w:rsidRDefault="000C01DF" w:rsidP="001514E8">
            <w:pPr>
              <w:pStyle w:val="Tabletext"/>
              <w:jc w:val="center"/>
              <w:rPr>
                <w:b/>
                <w:bCs/>
              </w:rPr>
            </w:pPr>
          </w:p>
        </w:tc>
      </w:tr>
    </w:tbl>
    <w:p w:rsidR="000C01DF" w:rsidRPr="0004249C" w:rsidRDefault="000C01DF" w:rsidP="00513A0E">
      <w:pPr>
        <w:rPr>
          <w:lang w:val="es-ES"/>
        </w:rPr>
      </w:pPr>
    </w:p>
    <w:p w:rsidR="000C01DF" w:rsidRPr="0004249C" w:rsidRDefault="000C01DF" w:rsidP="00C51037">
      <w:pPr>
        <w:rPr>
          <w:lang w:val="es-ES"/>
        </w:rPr>
        <w:sectPr w:rsidR="000C01DF" w:rsidRPr="0004249C" w:rsidSect="00622D6F">
          <w:pgSz w:w="16834" w:h="11907" w:orient="landscape"/>
          <w:pgMar w:top="1418" w:right="1418" w:bottom="1134" w:left="1418" w:header="720" w:footer="720" w:gutter="0"/>
          <w:paperSrc w:first="15" w:other="15"/>
          <w:cols w:space="720"/>
          <w:titlePg/>
          <w:docGrid w:linePitch="326"/>
        </w:sectPr>
      </w:pPr>
    </w:p>
    <w:p w:rsidR="004A4951" w:rsidRPr="008930FD" w:rsidRDefault="00513A0E" w:rsidP="004A4951">
      <w:pPr>
        <w:pStyle w:val="AnnexNo"/>
        <w:rPr>
          <w:lang w:val="es-ES"/>
        </w:rPr>
      </w:pPr>
      <w:bookmarkStart w:id="51" w:name="lt_pId742"/>
      <w:r w:rsidRPr="008930FD">
        <w:rPr>
          <w:lang w:val="es-ES"/>
        </w:rPr>
        <w:lastRenderedPageBreak/>
        <w:t xml:space="preserve">Anexo </w:t>
      </w:r>
      <w:r w:rsidR="00180173" w:rsidRPr="008930FD">
        <w:rPr>
          <w:lang w:val="es-ES"/>
        </w:rPr>
        <w:t>2</w:t>
      </w:r>
      <w:bookmarkStart w:id="52" w:name="lt_pId743"/>
      <w:bookmarkEnd w:id="51"/>
    </w:p>
    <w:p w:rsidR="00180173" w:rsidRPr="004A4951" w:rsidRDefault="00513A0E" w:rsidP="004A4951">
      <w:pPr>
        <w:pStyle w:val="Annextitle"/>
        <w:rPr>
          <w:b w:val="0"/>
          <w:sz w:val="24"/>
          <w:szCs w:val="24"/>
        </w:rPr>
      </w:pPr>
      <w:r w:rsidRPr="001514E8">
        <w:t xml:space="preserve">Mandato del Grupo por Correspondencia del </w:t>
      </w:r>
      <w:r w:rsidR="005E49EE" w:rsidRPr="001514E8">
        <w:t xml:space="preserve">GAR </w:t>
      </w:r>
      <w:r w:rsidRPr="001514E8">
        <w:t xml:space="preserve">para el examen </w:t>
      </w:r>
      <w:r>
        <w:br/>
      </w:r>
      <w:r w:rsidRPr="001514E8">
        <w:t xml:space="preserve">y la posible revisión de la Resolución </w:t>
      </w:r>
      <w:r w:rsidR="005E49EE" w:rsidRPr="001514E8">
        <w:t>UIT</w:t>
      </w:r>
      <w:r w:rsidR="00180173" w:rsidRPr="001514E8">
        <w:t>-R 2-7</w:t>
      </w:r>
      <w:bookmarkEnd w:id="52"/>
      <w:r w:rsidR="00180173" w:rsidRPr="001514E8">
        <w:t xml:space="preserve"> </w:t>
      </w:r>
      <w:r w:rsidR="00180173" w:rsidRPr="001514E8">
        <w:br/>
      </w:r>
      <w:r w:rsidR="00180173" w:rsidRPr="004A4951">
        <w:rPr>
          <w:b w:val="0"/>
          <w:sz w:val="24"/>
          <w:szCs w:val="24"/>
        </w:rPr>
        <w:br/>
      </w:r>
      <w:bookmarkStart w:id="53" w:name="lt_pId744"/>
      <w:r w:rsidR="00180173" w:rsidRPr="004A4951">
        <w:rPr>
          <w:b w:val="0"/>
          <w:sz w:val="24"/>
          <w:szCs w:val="24"/>
        </w:rPr>
        <w:t>(</w:t>
      </w:r>
      <w:r w:rsidR="009350DF" w:rsidRPr="004A4951">
        <w:rPr>
          <w:b w:val="0"/>
          <w:sz w:val="24"/>
          <w:szCs w:val="24"/>
        </w:rPr>
        <w:t>Fuente</w:t>
      </w:r>
      <w:r w:rsidR="00180173" w:rsidRPr="004A4951">
        <w:rPr>
          <w:b w:val="0"/>
          <w:sz w:val="24"/>
          <w:szCs w:val="24"/>
        </w:rPr>
        <w:t>: Doc.</w:t>
      </w:r>
      <w:bookmarkEnd w:id="53"/>
      <w:r w:rsidR="00180173" w:rsidRPr="004A4951">
        <w:rPr>
          <w:b w:val="0"/>
          <w:sz w:val="24"/>
          <w:szCs w:val="24"/>
        </w:rPr>
        <w:t xml:space="preserve"> </w:t>
      </w:r>
      <w:bookmarkStart w:id="54" w:name="lt_pId745"/>
      <w:r w:rsidR="00180173" w:rsidRPr="004A4951">
        <w:rPr>
          <w:b w:val="0"/>
          <w:sz w:val="24"/>
          <w:szCs w:val="24"/>
        </w:rPr>
        <w:t>TEMP/1-Rev.1)</w:t>
      </w:r>
      <w:bookmarkEnd w:id="54"/>
    </w:p>
    <w:p w:rsidR="00180173" w:rsidRPr="00513A0E" w:rsidRDefault="00180173" w:rsidP="00513A0E">
      <w:pPr>
        <w:rPr>
          <w:lang w:val="es-ES"/>
        </w:rPr>
      </w:pPr>
    </w:p>
    <w:tbl>
      <w:tblPr>
        <w:tblW w:w="9889" w:type="dxa"/>
        <w:tblLayout w:type="fixed"/>
        <w:tblLook w:val="0000" w:firstRow="0" w:lastRow="0" w:firstColumn="0" w:lastColumn="0" w:noHBand="0" w:noVBand="0"/>
      </w:tblPr>
      <w:tblGrid>
        <w:gridCol w:w="6477"/>
        <w:gridCol w:w="10"/>
        <w:gridCol w:w="3402"/>
      </w:tblGrid>
      <w:tr w:rsidR="00180173" w:rsidRPr="001514E8" w:rsidTr="00622D6F">
        <w:trPr>
          <w:cantSplit/>
        </w:trPr>
        <w:tc>
          <w:tcPr>
            <w:tcW w:w="6477" w:type="dxa"/>
            <w:vAlign w:val="center"/>
          </w:tcPr>
          <w:p w:rsidR="00180173" w:rsidRPr="00F31A9C" w:rsidRDefault="00F31A9C" w:rsidP="001514E8">
            <w:pPr>
              <w:shd w:val="solid" w:color="FFFFFF" w:fill="FFFFFF"/>
              <w:tabs>
                <w:tab w:val="clear" w:pos="794"/>
                <w:tab w:val="left" w:pos="601"/>
              </w:tabs>
              <w:spacing w:before="360" w:after="240" w:line="240" w:lineRule="auto"/>
              <w:jc w:val="left"/>
              <w:rPr>
                <w:rFonts w:ascii="Verdana" w:hAnsi="Verdana" w:cs="Times New Roman Bold"/>
                <w:b/>
                <w:bCs/>
                <w:lang w:val="es-ES"/>
              </w:rPr>
            </w:pPr>
            <w:r w:rsidRPr="00F31A9C">
              <w:rPr>
                <w:rFonts w:ascii="Verdana" w:hAnsi="Verdana" w:cs="Times New Roman Bold"/>
                <w:b/>
                <w:sz w:val="26"/>
                <w:szCs w:val="26"/>
                <w:lang w:val="es-ES"/>
              </w:rPr>
              <w:t>Grupo Asesor de Radiocomunicaciones</w:t>
            </w:r>
            <w:r w:rsidRPr="00F31A9C">
              <w:rPr>
                <w:b/>
                <w:caps/>
                <w:sz w:val="32"/>
                <w:lang w:val="es-ES"/>
              </w:rPr>
              <w:br/>
            </w:r>
            <w:r w:rsidRPr="00F31A9C">
              <w:rPr>
                <w:rFonts w:ascii="Verdana" w:hAnsi="Verdana" w:cs="Times New Roman Bold"/>
                <w:b/>
                <w:bCs/>
                <w:sz w:val="20"/>
                <w:lang w:val="es-ES"/>
              </w:rPr>
              <w:t>Ginebra, 15-17 de abril de 2019</w:t>
            </w:r>
          </w:p>
        </w:tc>
        <w:tc>
          <w:tcPr>
            <w:tcW w:w="3412" w:type="dxa"/>
            <w:gridSpan w:val="2"/>
            <w:vAlign w:val="center"/>
          </w:tcPr>
          <w:p w:rsidR="00180173" w:rsidRPr="001514E8" w:rsidRDefault="00180173" w:rsidP="001514E8">
            <w:pPr>
              <w:shd w:val="solid" w:color="FFFFFF" w:fill="FFFFFF"/>
              <w:spacing w:before="0" w:line="240" w:lineRule="auto"/>
              <w:jc w:val="right"/>
            </w:pPr>
            <w:r w:rsidRPr="001514E8">
              <w:rPr>
                <w:rFonts w:ascii="Verdana" w:hAnsi="Verdana"/>
                <w:noProof/>
                <w:color w:val="FFFFFF"/>
                <w:sz w:val="26"/>
                <w:szCs w:val="26"/>
                <w:lang w:eastAsia="zh-CN"/>
              </w:rPr>
              <w:drawing>
                <wp:inline distT="0" distB="0" distL="0" distR="0" wp14:anchorId="4E210081" wp14:editId="631D34D8">
                  <wp:extent cx="1765300" cy="7429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44541"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765300" cy="742950"/>
                          </a:xfrm>
                          <a:prstGeom prst="rect">
                            <a:avLst/>
                          </a:prstGeom>
                          <a:noFill/>
                          <a:ln>
                            <a:noFill/>
                          </a:ln>
                        </pic:spPr>
                      </pic:pic>
                    </a:graphicData>
                  </a:graphic>
                </wp:inline>
              </w:drawing>
            </w:r>
          </w:p>
        </w:tc>
      </w:tr>
      <w:tr w:rsidR="00180173" w:rsidRPr="001514E8" w:rsidTr="00622D6F">
        <w:trPr>
          <w:cantSplit/>
        </w:trPr>
        <w:tc>
          <w:tcPr>
            <w:tcW w:w="6487" w:type="dxa"/>
            <w:gridSpan w:val="2"/>
            <w:tcBorders>
              <w:bottom w:val="single" w:sz="12" w:space="0" w:color="auto"/>
            </w:tcBorders>
          </w:tcPr>
          <w:p w:rsidR="00180173" w:rsidRPr="001514E8" w:rsidRDefault="00180173" w:rsidP="001514E8">
            <w:pPr>
              <w:shd w:val="solid" w:color="FFFFFF" w:fill="FFFFFF"/>
              <w:spacing w:before="0" w:after="48" w:line="240" w:lineRule="auto"/>
              <w:rPr>
                <w:rFonts w:ascii="Verdana" w:hAnsi="Verdana" w:cs="Times New Roman Bold"/>
                <w:b/>
                <w:sz w:val="22"/>
              </w:rPr>
            </w:pPr>
          </w:p>
        </w:tc>
        <w:tc>
          <w:tcPr>
            <w:tcW w:w="3402" w:type="dxa"/>
            <w:tcBorders>
              <w:bottom w:val="single" w:sz="12" w:space="0" w:color="auto"/>
            </w:tcBorders>
          </w:tcPr>
          <w:p w:rsidR="00180173" w:rsidRPr="001514E8" w:rsidRDefault="00180173" w:rsidP="001514E8">
            <w:pPr>
              <w:shd w:val="solid" w:color="FFFFFF" w:fill="FFFFFF"/>
              <w:spacing w:before="0" w:after="48" w:line="240" w:lineRule="auto"/>
              <w:rPr>
                <w:sz w:val="22"/>
              </w:rPr>
            </w:pPr>
          </w:p>
        </w:tc>
      </w:tr>
      <w:tr w:rsidR="00180173" w:rsidRPr="001514E8" w:rsidTr="00622D6F">
        <w:trPr>
          <w:cantSplit/>
        </w:trPr>
        <w:tc>
          <w:tcPr>
            <w:tcW w:w="6487" w:type="dxa"/>
            <w:gridSpan w:val="2"/>
            <w:tcBorders>
              <w:top w:val="single" w:sz="12" w:space="0" w:color="auto"/>
            </w:tcBorders>
          </w:tcPr>
          <w:p w:rsidR="00180173" w:rsidRPr="001514E8" w:rsidRDefault="00180173" w:rsidP="001514E8">
            <w:pPr>
              <w:shd w:val="solid" w:color="FFFFFF" w:fill="FFFFFF"/>
              <w:spacing w:before="0" w:after="48" w:line="240" w:lineRule="auto"/>
              <w:rPr>
                <w:rFonts w:ascii="Verdana" w:hAnsi="Verdana" w:cs="Times New Roman Bold"/>
                <w:bCs/>
                <w:sz w:val="22"/>
              </w:rPr>
            </w:pPr>
          </w:p>
        </w:tc>
        <w:tc>
          <w:tcPr>
            <w:tcW w:w="3402" w:type="dxa"/>
            <w:tcBorders>
              <w:top w:val="single" w:sz="12" w:space="0" w:color="auto"/>
            </w:tcBorders>
          </w:tcPr>
          <w:p w:rsidR="00180173" w:rsidRPr="001514E8" w:rsidRDefault="00180173" w:rsidP="001514E8">
            <w:pPr>
              <w:shd w:val="solid" w:color="FFFFFF" w:fill="FFFFFF"/>
              <w:spacing w:before="0" w:after="48" w:line="240" w:lineRule="auto"/>
            </w:pPr>
          </w:p>
        </w:tc>
      </w:tr>
      <w:tr w:rsidR="00180173" w:rsidRPr="008930FD" w:rsidTr="00622D6F">
        <w:trPr>
          <w:cantSplit/>
        </w:trPr>
        <w:tc>
          <w:tcPr>
            <w:tcW w:w="6487" w:type="dxa"/>
            <w:gridSpan w:val="2"/>
            <w:vMerge w:val="restart"/>
          </w:tcPr>
          <w:p w:rsidR="00180173" w:rsidRPr="00F31A9C" w:rsidRDefault="00513A0E" w:rsidP="00513A0E">
            <w:pPr>
              <w:rPr>
                <w:lang w:val="es-ES"/>
              </w:rPr>
            </w:pPr>
            <w:bookmarkStart w:id="55" w:name="lt_pId748"/>
            <w:r>
              <w:rPr>
                <w:lang w:val="es-ES"/>
              </w:rPr>
              <w:t xml:space="preserve">Fuente: </w:t>
            </w:r>
            <w:r w:rsidR="00F31A9C" w:rsidRPr="00F31A9C">
              <w:rPr>
                <w:lang w:val="es-ES"/>
              </w:rPr>
              <w:t>Addé</w:t>
            </w:r>
            <w:r w:rsidR="00180173" w:rsidRPr="00F31A9C">
              <w:rPr>
                <w:lang w:val="es-ES"/>
              </w:rPr>
              <w:t xml:space="preserve">ndum 1 </w:t>
            </w:r>
            <w:r w:rsidR="00F31A9C" w:rsidRPr="00F31A9C">
              <w:rPr>
                <w:lang w:val="es-ES"/>
              </w:rPr>
              <w:t xml:space="preserve">al </w:t>
            </w:r>
            <w:r w:rsidR="00180173" w:rsidRPr="00F31A9C">
              <w:rPr>
                <w:lang w:val="es-ES"/>
              </w:rPr>
              <w:t>Document</w:t>
            </w:r>
            <w:r w:rsidR="00F31A9C" w:rsidRPr="00F31A9C">
              <w:rPr>
                <w:lang w:val="es-ES"/>
              </w:rPr>
              <w:t>o</w:t>
            </w:r>
            <w:r w:rsidR="00180173" w:rsidRPr="00F31A9C">
              <w:rPr>
                <w:lang w:val="es-ES"/>
              </w:rPr>
              <w:t xml:space="preserve"> RAG19/1</w:t>
            </w:r>
            <w:bookmarkEnd w:id="55"/>
          </w:p>
        </w:tc>
        <w:tc>
          <w:tcPr>
            <w:tcW w:w="3402" w:type="dxa"/>
          </w:tcPr>
          <w:p w:rsidR="00180173" w:rsidRPr="00F31A9C" w:rsidRDefault="00180173" w:rsidP="00F31A9C">
            <w:pPr>
              <w:shd w:val="solid" w:color="FFFFFF" w:fill="FFFFFF"/>
              <w:spacing w:before="0" w:line="240" w:lineRule="auto"/>
              <w:ind w:right="-142"/>
              <w:jc w:val="left"/>
              <w:rPr>
                <w:rFonts w:ascii="Verdana" w:hAnsi="Verdana" w:cstheme="majorBidi"/>
                <w:sz w:val="20"/>
                <w:lang w:val="es-ES"/>
              </w:rPr>
            </w:pPr>
            <w:bookmarkStart w:id="56" w:name="lt_pId749"/>
            <w:r w:rsidRPr="00F31A9C">
              <w:rPr>
                <w:rFonts w:ascii="Verdana" w:hAnsi="Verdana"/>
                <w:b/>
                <w:sz w:val="20"/>
                <w:lang w:val="es-ES"/>
              </w:rPr>
              <w:t>R</w:t>
            </w:r>
            <w:r w:rsidR="00F31A9C" w:rsidRPr="00F31A9C">
              <w:rPr>
                <w:rFonts w:ascii="Verdana" w:hAnsi="Verdana"/>
                <w:b/>
                <w:sz w:val="20"/>
                <w:lang w:val="es-ES"/>
              </w:rPr>
              <w:t>evisió</w:t>
            </w:r>
            <w:r w:rsidRPr="00F31A9C">
              <w:rPr>
                <w:rFonts w:ascii="Verdana" w:hAnsi="Verdana"/>
                <w:b/>
                <w:sz w:val="20"/>
                <w:lang w:val="es-ES"/>
              </w:rPr>
              <w:t xml:space="preserve">n 1 </w:t>
            </w:r>
            <w:r w:rsidR="00F31A9C" w:rsidRPr="00F31A9C">
              <w:rPr>
                <w:rFonts w:ascii="Verdana" w:hAnsi="Verdana"/>
                <w:b/>
                <w:sz w:val="20"/>
                <w:lang w:val="es-ES"/>
              </w:rPr>
              <w:t>al</w:t>
            </w:r>
            <w:r w:rsidRPr="00F31A9C">
              <w:rPr>
                <w:rFonts w:ascii="Verdana" w:hAnsi="Verdana"/>
                <w:b/>
                <w:sz w:val="20"/>
                <w:lang w:val="es-ES"/>
              </w:rPr>
              <w:t xml:space="preserve"> Document</w:t>
            </w:r>
            <w:r w:rsidR="00F31A9C" w:rsidRPr="00F31A9C">
              <w:rPr>
                <w:rFonts w:ascii="Verdana" w:hAnsi="Verdana"/>
                <w:b/>
                <w:sz w:val="20"/>
                <w:lang w:val="es-ES"/>
              </w:rPr>
              <w:t>o</w:t>
            </w:r>
            <w:r w:rsidRPr="00F31A9C">
              <w:rPr>
                <w:rFonts w:ascii="Verdana" w:hAnsi="Verdana"/>
                <w:b/>
                <w:sz w:val="20"/>
                <w:lang w:val="es-ES"/>
              </w:rPr>
              <w:t xml:space="preserve"> RAG19/TEMP/1-</w:t>
            </w:r>
            <w:r w:rsidR="00F31A9C">
              <w:rPr>
                <w:rFonts w:ascii="Verdana" w:hAnsi="Verdana"/>
                <w:b/>
                <w:sz w:val="20"/>
                <w:lang w:val="es-ES"/>
              </w:rPr>
              <w:t>S</w:t>
            </w:r>
            <w:r w:rsidR="00B0028E">
              <w:rPr>
                <w:rFonts w:ascii="Verdana" w:hAnsi="Verdana"/>
                <w:b/>
                <w:sz w:val="20"/>
                <w:lang w:val="es-ES"/>
              </w:rPr>
              <w:t xml:space="preserve"> (edita</w:t>
            </w:r>
            <w:r w:rsidRPr="00F31A9C">
              <w:rPr>
                <w:rFonts w:ascii="Verdana" w:hAnsi="Verdana"/>
                <w:b/>
                <w:sz w:val="20"/>
                <w:lang w:val="es-ES"/>
              </w:rPr>
              <w:t>d</w:t>
            </w:r>
            <w:r w:rsidR="00B0028E">
              <w:rPr>
                <w:rFonts w:ascii="Verdana" w:hAnsi="Verdana"/>
                <w:b/>
                <w:sz w:val="20"/>
                <w:lang w:val="es-ES"/>
              </w:rPr>
              <w:t>o</w:t>
            </w:r>
            <w:r w:rsidRPr="00F31A9C">
              <w:rPr>
                <w:rFonts w:ascii="Verdana" w:hAnsi="Verdana"/>
                <w:b/>
                <w:sz w:val="20"/>
                <w:lang w:val="es-ES"/>
              </w:rPr>
              <w:t>)</w:t>
            </w:r>
            <w:bookmarkEnd w:id="56"/>
          </w:p>
        </w:tc>
      </w:tr>
      <w:tr w:rsidR="00180173" w:rsidRPr="001514E8" w:rsidTr="00622D6F">
        <w:trPr>
          <w:cantSplit/>
        </w:trPr>
        <w:tc>
          <w:tcPr>
            <w:tcW w:w="6487" w:type="dxa"/>
            <w:gridSpan w:val="2"/>
            <w:vMerge/>
          </w:tcPr>
          <w:p w:rsidR="00180173" w:rsidRPr="00F31A9C" w:rsidRDefault="00180173" w:rsidP="001514E8">
            <w:pPr>
              <w:spacing w:before="60" w:line="240" w:lineRule="auto"/>
              <w:jc w:val="center"/>
              <w:rPr>
                <w:rFonts w:asciiTheme="majorBidi" w:hAnsiTheme="majorBidi" w:cstheme="majorBidi"/>
                <w:b/>
                <w:smallCaps/>
                <w:sz w:val="32"/>
                <w:lang w:val="es-ES"/>
              </w:rPr>
            </w:pPr>
          </w:p>
        </w:tc>
        <w:tc>
          <w:tcPr>
            <w:tcW w:w="3402" w:type="dxa"/>
          </w:tcPr>
          <w:p w:rsidR="00180173" w:rsidRPr="001514E8" w:rsidRDefault="00180173" w:rsidP="00F31A9C">
            <w:pPr>
              <w:shd w:val="solid" w:color="FFFFFF" w:fill="FFFFFF"/>
              <w:spacing w:before="0" w:line="240" w:lineRule="auto"/>
              <w:jc w:val="left"/>
              <w:rPr>
                <w:rFonts w:ascii="Verdana" w:hAnsi="Verdana" w:cstheme="majorBidi"/>
                <w:sz w:val="20"/>
              </w:rPr>
            </w:pPr>
            <w:r w:rsidRPr="001514E8">
              <w:rPr>
                <w:rFonts w:ascii="Verdana" w:hAnsi="Verdana" w:cstheme="majorBidi"/>
                <w:b/>
                <w:sz w:val="20"/>
              </w:rPr>
              <w:t xml:space="preserve">16 </w:t>
            </w:r>
            <w:bookmarkStart w:id="57" w:name="lt_pId751"/>
            <w:r w:rsidR="00F31A9C">
              <w:rPr>
                <w:rFonts w:ascii="Verdana" w:hAnsi="Verdana" w:cstheme="majorBidi"/>
                <w:b/>
                <w:sz w:val="20"/>
              </w:rPr>
              <w:t xml:space="preserve">de abril de </w:t>
            </w:r>
            <w:r w:rsidRPr="001514E8">
              <w:rPr>
                <w:rFonts w:ascii="Verdana" w:hAnsi="Verdana" w:cstheme="majorBidi"/>
                <w:b/>
                <w:sz w:val="20"/>
              </w:rPr>
              <w:t>2019</w:t>
            </w:r>
            <w:bookmarkEnd w:id="57"/>
          </w:p>
        </w:tc>
      </w:tr>
      <w:tr w:rsidR="00180173" w:rsidRPr="001514E8" w:rsidTr="00622D6F">
        <w:trPr>
          <w:cantSplit/>
        </w:trPr>
        <w:tc>
          <w:tcPr>
            <w:tcW w:w="6487" w:type="dxa"/>
            <w:gridSpan w:val="2"/>
            <w:vMerge/>
          </w:tcPr>
          <w:p w:rsidR="00180173" w:rsidRPr="001514E8" w:rsidRDefault="00180173" w:rsidP="001514E8">
            <w:pPr>
              <w:spacing w:before="60" w:line="240" w:lineRule="auto"/>
              <w:jc w:val="center"/>
              <w:rPr>
                <w:rFonts w:asciiTheme="majorBidi" w:hAnsiTheme="majorBidi" w:cstheme="majorBidi"/>
                <w:b/>
                <w:smallCaps/>
                <w:sz w:val="32"/>
              </w:rPr>
            </w:pPr>
          </w:p>
        </w:tc>
        <w:tc>
          <w:tcPr>
            <w:tcW w:w="3402" w:type="dxa"/>
          </w:tcPr>
          <w:p w:rsidR="00180173" w:rsidRPr="001514E8" w:rsidRDefault="00B0028E" w:rsidP="001514E8">
            <w:pPr>
              <w:shd w:val="solid" w:color="FFFFFF" w:fill="FFFFFF"/>
              <w:spacing w:before="0" w:after="120" w:line="240" w:lineRule="auto"/>
              <w:jc w:val="left"/>
              <w:rPr>
                <w:rFonts w:ascii="Verdana" w:hAnsi="Verdana" w:cstheme="majorBidi"/>
                <w:sz w:val="20"/>
              </w:rPr>
            </w:pPr>
            <w:r>
              <w:rPr>
                <w:rFonts w:ascii="Verdana" w:hAnsi="Verdana" w:cstheme="majorBidi"/>
                <w:b/>
                <w:sz w:val="20"/>
              </w:rPr>
              <w:t>Inglés únicamente</w:t>
            </w:r>
          </w:p>
        </w:tc>
      </w:tr>
      <w:tr w:rsidR="00180173" w:rsidRPr="001514E8" w:rsidTr="00622D6F">
        <w:trPr>
          <w:cantSplit/>
        </w:trPr>
        <w:tc>
          <w:tcPr>
            <w:tcW w:w="9889" w:type="dxa"/>
            <w:gridSpan w:val="3"/>
          </w:tcPr>
          <w:p w:rsidR="00180173" w:rsidRPr="001514E8" w:rsidRDefault="005E49EE" w:rsidP="003B719B">
            <w:pPr>
              <w:pStyle w:val="Source"/>
              <w:rPr>
                <w:lang w:val="es-ES"/>
              </w:rPr>
            </w:pPr>
            <w:bookmarkStart w:id="58" w:name="lt_pId753"/>
            <w:r w:rsidRPr="001514E8">
              <w:rPr>
                <w:lang w:val="es-ES"/>
              </w:rPr>
              <w:t xml:space="preserve">Grupo </w:t>
            </w:r>
            <w:r w:rsidRPr="003B719B">
              <w:t>Asesor</w:t>
            </w:r>
            <w:r w:rsidRPr="001514E8">
              <w:rPr>
                <w:lang w:val="es-ES"/>
              </w:rPr>
              <w:t xml:space="preserve"> de Radiocomunicaciones</w:t>
            </w:r>
            <w:bookmarkEnd w:id="58"/>
          </w:p>
        </w:tc>
      </w:tr>
      <w:tr w:rsidR="00180173" w:rsidRPr="008930FD" w:rsidTr="00622D6F">
        <w:trPr>
          <w:cantSplit/>
        </w:trPr>
        <w:tc>
          <w:tcPr>
            <w:tcW w:w="9889" w:type="dxa"/>
            <w:gridSpan w:val="3"/>
          </w:tcPr>
          <w:p w:rsidR="00180173" w:rsidRPr="001514E8" w:rsidRDefault="005E49EE" w:rsidP="003B719B">
            <w:pPr>
              <w:pStyle w:val="Title1"/>
              <w:rPr>
                <w:lang w:val="es-ES"/>
              </w:rPr>
            </w:pPr>
            <w:bookmarkStart w:id="59" w:name="lt_pId754"/>
            <w:r w:rsidRPr="001514E8">
              <w:rPr>
                <w:lang w:val="es-ES"/>
              </w:rPr>
              <w:t xml:space="preserve">MANDATO DEL GRUPO POR CORRESPONDENCIA DEL GAR </w:t>
            </w:r>
            <w:r w:rsidR="005955C8">
              <w:rPr>
                <w:lang w:val="es-ES"/>
              </w:rPr>
              <w:br/>
            </w:r>
            <w:r w:rsidRPr="001514E8">
              <w:rPr>
                <w:lang w:val="es-ES"/>
              </w:rPr>
              <w:t xml:space="preserve">SOBRE EL </w:t>
            </w:r>
            <w:r w:rsidRPr="00CD755C">
              <w:rPr>
                <w:lang w:val="es-ES"/>
              </w:rPr>
              <w:t>EXAMEN</w:t>
            </w:r>
            <w:r w:rsidRPr="001514E8">
              <w:rPr>
                <w:lang w:val="es-ES"/>
              </w:rPr>
              <w:t xml:space="preserve"> Y LA POSIBLE REVISIÓN </w:t>
            </w:r>
            <w:r w:rsidR="005955C8">
              <w:rPr>
                <w:lang w:val="es-ES"/>
              </w:rPr>
              <w:br/>
            </w:r>
            <w:r w:rsidRPr="001514E8">
              <w:rPr>
                <w:lang w:val="es-ES"/>
              </w:rPr>
              <w:t>DE LA RESOLUCIÓN UIT</w:t>
            </w:r>
            <w:bookmarkStart w:id="60" w:name="lt_pId755"/>
            <w:bookmarkEnd w:id="59"/>
            <w:r w:rsidR="00180173" w:rsidRPr="001514E8">
              <w:rPr>
                <w:lang w:val="es-ES"/>
              </w:rPr>
              <w:t xml:space="preserve">-R 2-7 </w:t>
            </w:r>
            <w:r w:rsidRPr="001514E8">
              <w:rPr>
                <w:lang w:val="es-ES"/>
              </w:rPr>
              <w:t>SOBRE LA</w:t>
            </w:r>
            <w:bookmarkEnd w:id="60"/>
          </w:p>
        </w:tc>
      </w:tr>
      <w:tr w:rsidR="00180173" w:rsidRPr="008930FD" w:rsidTr="00622D6F">
        <w:trPr>
          <w:cantSplit/>
        </w:trPr>
        <w:tc>
          <w:tcPr>
            <w:tcW w:w="9889" w:type="dxa"/>
            <w:gridSpan w:val="3"/>
          </w:tcPr>
          <w:p w:rsidR="00180173" w:rsidRPr="001514E8" w:rsidRDefault="005E49EE" w:rsidP="003B719B">
            <w:pPr>
              <w:pStyle w:val="Title4"/>
              <w:rPr>
                <w:lang w:val="es-ES"/>
              </w:rPr>
            </w:pPr>
            <w:bookmarkStart w:id="61" w:name="lt_pId756"/>
            <w:r w:rsidRPr="001514E8">
              <w:rPr>
                <w:lang w:val="es-ES"/>
              </w:rPr>
              <w:t>Reunión Preparatoria de la Conferencia</w:t>
            </w:r>
            <w:bookmarkEnd w:id="61"/>
          </w:p>
        </w:tc>
      </w:tr>
    </w:tbl>
    <w:p w:rsidR="00180173" w:rsidRPr="0004249C" w:rsidRDefault="00180173" w:rsidP="003B719B">
      <w:pPr>
        <w:pStyle w:val="Headingb"/>
        <w:rPr>
          <w:lang w:val="es-ES"/>
        </w:rPr>
      </w:pPr>
      <w:bookmarkStart w:id="62" w:name="lt_pId757"/>
      <w:r w:rsidRPr="00CD755C">
        <w:rPr>
          <w:lang w:val="es-ES"/>
        </w:rPr>
        <w:t>Introduc</w:t>
      </w:r>
      <w:r w:rsidR="005E49EE" w:rsidRPr="00CD755C">
        <w:rPr>
          <w:lang w:val="es-ES"/>
        </w:rPr>
        <w:t>ción</w:t>
      </w:r>
      <w:bookmarkEnd w:id="62"/>
    </w:p>
    <w:p w:rsidR="00180173" w:rsidRPr="001514E8" w:rsidRDefault="00180173" w:rsidP="00F14149">
      <w:pPr>
        <w:rPr>
          <w:lang w:val="es-ES"/>
        </w:rPr>
      </w:pPr>
      <w:r w:rsidRPr="001514E8">
        <w:rPr>
          <w:lang w:val="es-ES"/>
        </w:rPr>
        <w:t>Durante la Sesión Plenaria de clausura de la RPC19-2 se solicitó incluir en el resumen de los debates que puede resultar conveniente revisar la Resolución UIT-R</w:t>
      </w:r>
      <w:r w:rsidR="00F14149">
        <w:rPr>
          <w:lang w:val="es-ES"/>
        </w:rPr>
        <w:t> </w:t>
      </w:r>
      <w:r w:rsidRPr="001514E8">
        <w:rPr>
          <w:lang w:val="es-ES"/>
        </w:rPr>
        <w:t xml:space="preserve">2-7 a fin de tratar varias cuestiones relativas a la RPC, incluidos los métodos para responder a los puntos del orden del día y la eventual inclusión de opciones, alternativas y opiniones asociadas con esos métodos (véase la </w:t>
      </w:r>
      <w:r w:rsidR="00F14149" w:rsidRPr="001514E8">
        <w:rPr>
          <w:lang w:val="es-ES"/>
        </w:rPr>
        <w:t xml:space="preserve">Sección </w:t>
      </w:r>
      <w:r w:rsidRPr="001514E8">
        <w:rPr>
          <w:lang w:val="es-ES"/>
        </w:rPr>
        <w:t>4 del Documento</w:t>
      </w:r>
      <w:r w:rsidR="00F14149">
        <w:rPr>
          <w:lang w:val="es-ES"/>
        </w:rPr>
        <w:t> </w:t>
      </w:r>
      <w:hyperlink r:id="rId29" w:history="1">
        <w:r w:rsidRPr="001514E8">
          <w:rPr>
            <w:rStyle w:val="Hyperlink"/>
            <w:lang w:val="es-ES"/>
          </w:rPr>
          <w:t>CPM19-2/248</w:t>
        </w:r>
      </w:hyperlink>
      <w:r w:rsidRPr="001514E8">
        <w:rPr>
          <w:lang w:val="es-ES"/>
        </w:rPr>
        <w:t>).</w:t>
      </w:r>
    </w:p>
    <w:p w:rsidR="00180173" w:rsidRPr="001514E8" w:rsidRDefault="00180173" w:rsidP="0075565D">
      <w:pPr>
        <w:rPr>
          <w:lang w:val="es-ES"/>
        </w:rPr>
      </w:pPr>
      <w:r w:rsidRPr="001514E8">
        <w:rPr>
          <w:lang w:val="es-ES"/>
        </w:rPr>
        <w:t>Además, se invita amablemente al Director de la Oficina de Radiocomunicaciones a indicar, de ser posible, toda mejora de la Resolución UIT-R 2-7 que pueda facilitar los trabajos de la AR</w:t>
      </w:r>
      <w:r w:rsidRPr="001514E8">
        <w:rPr>
          <w:lang w:val="es-ES"/>
        </w:rPr>
        <w:noBreakHyphen/>
        <w:t>19 a la hora de considerar la posibilidad de revisar esa Resolución.</w:t>
      </w:r>
    </w:p>
    <w:p w:rsidR="00180173" w:rsidRPr="001514E8" w:rsidRDefault="00180173" w:rsidP="00F14149">
      <w:pPr>
        <w:rPr>
          <w:lang w:val="es-ES"/>
        </w:rPr>
      </w:pPr>
      <w:r w:rsidRPr="001514E8">
        <w:rPr>
          <w:lang w:val="es-ES"/>
        </w:rPr>
        <w:t>Además de varias cuestiones incluidas en el Documento</w:t>
      </w:r>
      <w:r w:rsidR="00F14149">
        <w:rPr>
          <w:lang w:val="es-ES"/>
        </w:rPr>
        <w:t> </w:t>
      </w:r>
      <w:hyperlink r:id="rId30" w:history="1">
        <w:r w:rsidRPr="001514E8">
          <w:rPr>
            <w:rStyle w:val="Hyperlink"/>
            <w:lang w:val="es-ES"/>
          </w:rPr>
          <w:t>CPM19-2/248</w:t>
        </w:r>
      </w:hyperlink>
      <w:r w:rsidRPr="001514E8">
        <w:rPr>
          <w:lang w:val="es-ES"/>
        </w:rPr>
        <w:t xml:space="preserve">, se solicitaron aclaraciones durante la CPM19-2 sobre la aplicación de la última frase del </w:t>
      </w:r>
      <w:r w:rsidRPr="001514E8">
        <w:rPr>
          <w:i/>
          <w:iCs/>
          <w:lang w:val="es-ES"/>
        </w:rPr>
        <w:t>resuelve</w:t>
      </w:r>
      <w:r w:rsidRPr="001514E8">
        <w:rPr>
          <w:lang w:val="es-ES"/>
        </w:rPr>
        <w:t xml:space="preserve"> 1 de la Resolución</w:t>
      </w:r>
      <w:r w:rsidR="00F14149">
        <w:rPr>
          <w:lang w:val="es-ES"/>
        </w:rPr>
        <w:t> </w:t>
      </w:r>
      <w:r w:rsidRPr="001514E8">
        <w:rPr>
          <w:lang w:val="es-ES"/>
        </w:rPr>
        <w:t>UIT-R</w:t>
      </w:r>
      <w:r w:rsidR="00F14149">
        <w:rPr>
          <w:lang w:val="es-ES"/>
        </w:rPr>
        <w:t> </w:t>
      </w:r>
      <w:r w:rsidRPr="001514E8">
        <w:rPr>
          <w:lang w:val="es-ES"/>
        </w:rPr>
        <w:t>2</w:t>
      </w:r>
      <w:r w:rsidRPr="001514E8">
        <w:rPr>
          <w:lang w:val="es-ES"/>
        </w:rPr>
        <w:noBreakHyphen/>
        <w:t xml:space="preserve">7 y, en la respuesta del Asesor Jurídico de la UIT, se indicó que debería preverse una revisión de ese texto según proceda. </w:t>
      </w:r>
      <w:bookmarkStart w:id="63" w:name="lt_pId763"/>
      <w:r w:rsidR="005E49EE" w:rsidRPr="001514E8">
        <w:rPr>
          <w:lang w:val="es-ES"/>
        </w:rPr>
        <w:t>El Grupo debe tener también en cuenta las decisiones de reuniones anteriores del GAR, siempre que proceda y convenga</w:t>
      </w:r>
      <w:r w:rsidRPr="001514E8">
        <w:rPr>
          <w:rFonts w:asciiTheme="minorHAnsi" w:hAnsiTheme="minorHAnsi" w:cstheme="minorHAnsi"/>
          <w:lang w:val="es-ES"/>
        </w:rPr>
        <w:t>.</w:t>
      </w:r>
      <w:bookmarkEnd w:id="63"/>
    </w:p>
    <w:p w:rsidR="00180173" w:rsidRPr="001514E8" w:rsidRDefault="00180173" w:rsidP="00F14149">
      <w:pPr>
        <w:rPr>
          <w:lang w:val="es-ES"/>
        </w:rPr>
      </w:pPr>
      <w:r w:rsidRPr="001514E8">
        <w:rPr>
          <w:lang w:val="es-ES"/>
        </w:rPr>
        <w:lastRenderedPageBreak/>
        <w:t>Habida cuenta de lo anterior, se invit</w:t>
      </w:r>
      <w:r w:rsidR="005E49EE" w:rsidRPr="001514E8">
        <w:rPr>
          <w:lang w:val="es-ES"/>
        </w:rPr>
        <w:t>ó</w:t>
      </w:r>
      <w:r w:rsidRPr="001514E8">
        <w:rPr>
          <w:lang w:val="es-ES"/>
        </w:rPr>
        <w:t xml:space="preserve"> al GAR</w:t>
      </w:r>
      <w:r w:rsidR="005E49EE" w:rsidRPr="001514E8">
        <w:rPr>
          <w:lang w:val="es-ES"/>
        </w:rPr>
        <w:t>, en su reunión de 2019,</w:t>
      </w:r>
      <w:r w:rsidRPr="001514E8">
        <w:rPr>
          <w:lang w:val="es-ES"/>
        </w:rPr>
        <w:t xml:space="preserve"> a considerar las medidas adecuadas para iniciar antes de la AR-19 la revisión y elaboración de un posible proyecto de revisión de la Resolución</w:t>
      </w:r>
      <w:r w:rsidR="00F14149">
        <w:rPr>
          <w:lang w:val="es-ES"/>
        </w:rPr>
        <w:t> </w:t>
      </w:r>
      <w:r w:rsidRPr="001514E8">
        <w:rPr>
          <w:lang w:val="es-ES"/>
        </w:rPr>
        <w:t>UIT-R</w:t>
      </w:r>
      <w:r w:rsidR="00F14149">
        <w:rPr>
          <w:lang w:val="es-ES"/>
        </w:rPr>
        <w:t> </w:t>
      </w:r>
      <w:r w:rsidRPr="001514E8">
        <w:rPr>
          <w:lang w:val="es-ES"/>
        </w:rPr>
        <w:t xml:space="preserve">2-7. </w:t>
      </w:r>
      <w:r w:rsidR="005E49EE" w:rsidRPr="001514E8">
        <w:rPr>
          <w:lang w:val="es-ES"/>
        </w:rPr>
        <w:t>El GAR decidió crear un Grupo por Correspondencia cuyo Mandato se recoge en el Anexo</w:t>
      </w:r>
      <w:r w:rsidRPr="001514E8">
        <w:rPr>
          <w:lang w:val="es-ES"/>
        </w:rPr>
        <w:t>.</w:t>
      </w:r>
    </w:p>
    <w:p w:rsidR="004A4951" w:rsidRPr="008930FD" w:rsidRDefault="00513A0E" w:rsidP="004A4951">
      <w:pPr>
        <w:pStyle w:val="AnnexNo"/>
        <w:rPr>
          <w:lang w:val="es-ES"/>
        </w:rPr>
      </w:pPr>
      <w:bookmarkStart w:id="64" w:name="lt_pId766"/>
      <w:r w:rsidRPr="008930FD">
        <w:rPr>
          <w:lang w:val="es-ES"/>
        </w:rPr>
        <w:t>A</w:t>
      </w:r>
      <w:bookmarkEnd w:id="64"/>
      <w:r w:rsidRPr="008930FD">
        <w:rPr>
          <w:lang w:val="es-ES"/>
        </w:rPr>
        <w:t>nexo</w:t>
      </w:r>
      <w:bookmarkStart w:id="65" w:name="lt_pId767"/>
    </w:p>
    <w:p w:rsidR="00622D6F" w:rsidRPr="001514E8" w:rsidRDefault="005E49EE" w:rsidP="004A4951">
      <w:pPr>
        <w:pStyle w:val="Annextitle"/>
      </w:pPr>
      <w:r w:rsidRPr="001514E8">
        <w:t xml:space="preserve">Mandato del Grupo por Correspondencia del GAR sobre el examen </w:t>
      </w:r>
      <w:r w:rsidR="005705D7">
        <w:br/>
      </w:r>
      <w:r w:rsidRPr="001514E8">
        <w:t xml:space="preserve">y la posible </w:t>
      </w:r>
      <w:r w:rsidRPr="00513A0E">
        <w:t>revisión</w:t>
      </w:r>
      <w:r w:rsidRPr="001514E8">
        <w:t xml:space="preserve"> de la Resolución UIT</w:t>
      </w:r>
      <w:bookmarkStart w:id="66" w:name="lt_pId768"/>
      <w:bookmarkEnd w:id="65"/>
      <w:r w:rsidR="00622D6F" w:rsidRPr="001514E8">
        <w:t>-R 2-7</w:t>
      </w:r>
      <w:bookmarkEnd w:id="66"/>
    </w:p>
    <w:p w:rsidR="00622D6F" w:rsidRPr="001514E8" w:rsidRDefault="00622D6F" w:rsidP="00A27B9D">
      <w:pPr>
        <w:pStyle w:val="Normalaftertitle"/>
        <w:rPr>
          <w:lang w:val="es-ES_tradnl"/>
        </w:rPr>
      </w:pPr>
      <w:r w:rsidRPr="001514E8">
        <w:rPr>
          <w:lang w:val="es-ES_tradnl"/>
        </w:rPr>
        <w:t>Con arreglo a</w:t>
      </w:r>
      <w:r w:rsidR="00DF5EF1" w:rsidRPr="001514E8">
        <w:rPr>
          <w:lang w:val="es-ES_tradnl"/>
        </w:rPr>
        <w:t xml:space="preserve"> </w:t>
      </w:r>
      <w:r w:rsidRPr="001514E8">
        <w:rPr>
          <w:lang w:val="es-ES_tradnl"/>
        </w:rPr>
        <w:t>l</w:t>
      </w:r>
      <w:r w:rsidR="00DF5EF1" w:rsidRPr="001514E8">
        <w:rPr>
          <w:lang w:val="es-ES_tradnl"/>
        </w:rPr>
        <w:t>os</w:t>
      </w:r>
      <w:r w:rsidRPr="001514E8">
        <w:rPr>
          <w:lang w:val="es-ES_tradnl"/>
        </w:rPr>
        <w:t xml:space="preserve"> §</w:t>
      </w:r>
      <w:r w:rsidR="00352192">
        <w:rPr>
          <w:lang w:val="es-ES_tradnl"/>
        </w:rPr>
        <w:t> </w:t>
      </w:r>
      <w:r w:rsidR="00DF5EF1" w:rsidRPr="001514E8">
        <w:rPr>
          <w:lang w:val="es-ES_tradnl"/>
        </w:rPr>
        <w:t>A1.4.1 a A1.4.4</w:t>
      </w:r>
      <w:r w:rsidRPr="001514E8">
        <w:rPr>
          <w:lang w:val="es-ES_tradnl"/>
        </w:rPr>
        <w:t xml:space="preserve"> de la Resolución</w:t>
      </w:r>
      <w:r w:rsidR="00F14149">
        <w:rPr>
          <w:lang w:val="es-ES_tradnl"/>
        </w:rPr>
        <w:t> </w:t>
      </w:r>
      <w:r w:rsidRPr="001514E8">
        <w:rPr>
          <w:lang w:val="es-ES_tradnl"/>
        </w:rPr>
        <w:t>UIT</w:t>
      </w:r>
      <w:r w:rsidRPr="001514E8">
        <w:rPr>
          <w:lang w:val="es-ES_tradnl"/>
        </w:rPr>
        <w:noBreakHyphen/>
        <w:t>R</w:t>
      </w:r>
      <w:r w:rsidR="00F14149">
        <w:rPr>
          <w:lang w:val="es-ES_tradnl"/>
        </w:rPr>
        <w:t> </w:t>
      </w:r>
      <w:r w:rsidRPr="001514E8">
        <w:rPr>
          <w:lang w:val="es-ES_tradnl"/>
        </w:rPr>
        <w:t>1-</w:t>
      </w:r>
      <w:r w:rsidR="00DF5EF1" w:rsidRPr="001514E8">
        <w:rPr>
          <w:lang w:val="es-ES_tradnl"/>
        </w:rPr>
        <w:t>7</w:t>
      </w:r>
      <w:r w:rsidRPr="001514E8">
        <w:rPr>
          <w:lang w:val="es-ES_tradnl"/>
        </w:rPr>
        <w:t xml:space="preserve"> y la Resolución</w:t>
      </w:r>
      <w:r w:rsidR="00F14149">
        <w:rPr>
          <w:lang w:val="es-ES_tradnl"/>
        </w:rPr>
        <w:t> </w:t>
      </w:r>
      <w:r w:rsidRPr="001514E8">
        <w:rPr>
          <w:lang w:val="es-ES_tradnl"/>
        </w:rPr>
        <w:t>UIT-R 52</w:t>
      </w:r>
      <w:r w:rsidR="00DF5EF1" w:rsidRPr="001514E8">
        <w:rPr>
          <w:lang w:val="es-ES_tradnl"/>
        </w:rPr>
        <w:t>-1</w:t>
      </w:r>
      <w:r w:rsidRPr="001514E8">
        <w:rPr>
          <w:lang w:val="es-ES_tradnl"/>
        </w:rPr>
        <w:t>,</w:t>
      </w:r>
      <w:r w:rsidR="00DF5EF1" w:rsidRPr="001514E8">
        <w:rPr>
          <w:lang w:val="es-ES_tradnl"/>
        </w:rPr>
        <w:t xml:space="preserve"> examinar y</w:t>
      </w:r>
      <w:r w:rsidRPr="001514E8">
        <w:rPr>
          <w:lang w:val="es-ES_tradnl"/>
        </w:rPr>
        <w:t xml:space="preserve"> preparar un proyecto de revisión de la Resolución UIT-R</w:t>
      </w:r>
      <w:r w:rsidR="00A27B9D">
        <w:rPr>
          <w:lang w:val="es-ES_tradnl"/>
        </w:rPr>
        <w:t> 2</w:t>
      </w:r>
      <w:r w:rsidRPr="001514E8">
        <w:rPr>
          <w:lang w:val="es-ES_tradnl"/>
        </w:rPr>
        <w:t>-</w:t>
      </w:r>
      <w:r w:rsidR="00A27B9D">
        <w:rPr>
          <w:lang w:val="es-ES_tradnl"/>
        </w:rPr>
        <w:t>7</w:t>
      </w:r>
      <w:r w:rsidRPr="001514E8">
        <w:rPr>
          <w:lang w:val="es-ES_tradnl"/>
        </w:rPr>
        <w:t xml:space="preserve"> para </w:t>
      </w:r>
      <w:r w:rsidR="00DF5EF1" w:rsidRPr="001514E8">
        <w:rPr>
          <w:lang w:val="es-ES_tradnl"/>
        </w:rPr>
        <w:t>su consideración por el Presidente del GAR y posterior presentación</w:t>
      </w:r>
      <w:r w:rsidRPr="001514E8">
        <w:rPr>
          <w:lang w:val="es-ES_tradnl"/>
        </w:rPr>
        <w:t xml:space="preserve"> a la Asamblea de Radiocomunicaciones de 201</w:t>
      </w:r>
      <w:r w:rsidR="00DF5EF1" w:rsidRPr="001514E8">
        <w:rPr>
          <w:lang w:val="es-ES_tradnl"/>
        </w:rPr>
        <w:t>9</w:t>
      </w:r>
      <w:r w:rsidRPr="001514E8">
        <w:rPr>
          <w:lang w:val="es-ES_tradnl"/>
        </w:rPr>
        <w:t>, teniendo en cuenta la</w:t>
      </w:r>
      <w:r w:rsidR="00DF5EF1" w:rsidRPr="001514E8">
        <w:rPr>
          <w:lang w:val="es-ES_tradnl"/>
        </w:rPr>
        <w:t xml:space="preserve"> información presentada en la Sección</w:t>
      </w:r>
      <w:r w:rsidR="00F14149">
        <w:rPr>
          <w:lang w:val="es-ES_tradnl"/>
        </w:rPr>
        <w:t> </w:t>
      </w:r>
      <w:r w:rsidR="00DF5EF1" w:rsidRPr="001514E8">
        <w:rPr>
          <w:lang w:val="es-ES_tradnl"/>
        </w:rPr>
        <w:t>6.8 del Addéndum</w:t>
      </w:r>
      <w:r w:rsidR="00F14149">
        <w:rPr>
          <w:lang w:val="es-ES_tradnl"/>
        </w:rPr>
        <w:t> </w:t>
      </w:r>
      <w:r w:rsidR="00DF5EF1" w:rsidRPr="001514E8">
        <w:rPr>
          <w:lang w:val="es-ES_tradnl"/>
        </w:rPr>
        <w:t>1 del Documento</w:t>
      </w:r>
      <w:r w:rsidR="00F14149">
        <w:rPr>
          <w:lang w:val="es-ES_tradnl"/>
        </w:rPr>
        <w:t> </w:t>
      </w:r>
      <w:r w:rsidR="00DF5EF1" w:rsidRPr="001514E8">
        <w:rPr>
          <w:lang w:val="es-ES_tradnl"/>
        </w:rPr>
        <w:t>RAG19/1</w:t>
      </w:r>
      <w:r w:rsidRPr="001514E8">
        <w:rPr>
          <w:lang w:val="es-ES_tradnl"/>
        </w:rPr>
        <w:t xml:space="preserve"> y toda otra propuesta presentada al Grupo por Correspondencia.</w:t>
      </w:r>
    </w:p>
    <w:p w:rsidR="00622D6F" w:rsidRPr="001514E8" w:rsidRDefault="00DF5EF1" w:rsidP="005705D7">
      <w:pPr>
        <w:rPr>
          <w:lang w:val="es-ES_tradnl"/>
        </w:rPr>
      </w:pPr>
      <w:bookmarkStart w:id="67" w:name="lt_pId771"/>
      <w:r w:rsidRPr="001514E8">
        <w:rPr>
          <w:lang w:val="es-ES_tradnl"/>
        </w:rPr>
        <w:t>Concretamente, el Grupo por Correspondencia deberá abordar la estructura de la descripción de los métodos para responder a los puntos del orden del día, así como los criterios aplicables a las opciones, opiniones y alternativas, de haberlas, y a la necesidad de dar cuenta de las ventajas e inconvenientes y, existir tal necesidad, considerar el lugar idóneo para incluirlos</w:t>
      </w:r>
      <w:r w:rsidR="00622D6F" w:rsidRPr="001514E8">
        <w:rPr>
          <w:lang w:val="es-ES_tradnl"/>
        </w:rPr>
        <w:t>.</w:t>
      </w:r>
      <w:bookmarkEnd w:id="67"/>
    </w:p>
    <w:p w:rsidR="00622D6F" w:rsidRPr="001514E8" w:rsidRDefault="00622D6F" w:rsidP="00352192">
      <w:pPr>
        <w:rPr>
          <w:lang w:val="es-ES_tradnl"/>
        </w:rPr>
      </w:pPr>
      <w:r w:rsidRPr="001514E8">
        <w:rPr>
          <w:lang w:val="es-ES_tradnl"/>
        </w:rPr>
        <w:t xml:space="preserve">El Grupo por Correspondencia presentará su Informe </w:t>
      </w:r>
      <w:r w:rsidR="00A27B9D" w:rsidRPr="001514E8">
        <w:rPr>
          <w:lang w:val="es-ES_tradnl"/>
        </w:rPr>
        <w:t xml:space="preserve">Final </w:t>
      </w:r>
      <w:r w:rsidR="00DF5EF1" w:rsidRPr="001514E8">
        <w:rPr>
          <w:lang w:val="es-ES_tradnl"/>
        </w:rPr>
        <w:t>al Presidente del GAR a más tardar el 20 de septiembre de 2019</w:t>
      </w:r>
      <w:r w:rsidRPr="001514E8">
        <w:rPr>
          <w:lang w:val="es-ES_tradnl"/>
        </w:rPr>
        <w:t>.</w:t>
      </w:r>
    </w:p>
    <w:p w:rsidR="00622D6F" w:rsidRPr="00352192" w:rsidRDefault="00622D6F" w:rsidP="00F14149">
      <w:pPr>
        <w:rPr>
          <w:lang w:val="es-ES_tradnl"/>
        </w:rPr>
      </w:pPr>
      <w:r w:rsidRPr="001514E8">
        <w:rPr>
          <w:lang w:val="es-ES_tradnl"/>
        </w:rPr>
        <w:t>El Presidente del Grupo por Correspondencia es el Sr.</w:t>
      </w:r>
      <w:r w:rsidR="00F14149">
        <w:rPr>
          <w:lang w:val="es-ES_tradnl"/>
        </w:rPr>
        <w:t> </w:t>
      </w:r>
      <w:r w:rsidRPr="001514E8">
        <w:rPr>
          <w:lang w:val="es-ES_tradnl"/>
        </w:rPr>
        <w:t>Alexandre</w:t>
      </w:r>
      <w:r w:rsidR="00F14149">
        <w:rPr>
          <w:lang w:val="es-ES_tradnl"/>
        </w:rPr>
        <w:t> </w:t>
      </w:r>
      <w:r w:rsidRPr="001514E8">
        <w:rPr>
          <w:lang w:val="es-ES_tradnl"/>
        </w:rPr>
        <w:t>V.</w:t>
      </w:r>
      <w:r w:rsidR="00F14149">
        <w:rPr>
          <w:lang w:val="es-ES_tradnl"/>
        </w:rPr>
        <w:t> </w:t>
      </w:r>
      <w:r w:rsidRPr="001514E8">
        <w:rPr>
          <w:lang w:val="es-ES_tradnl"/>
        </w:rPr>
        <w:t>Vassiliev</w:t>
      </w:r>
      <w:r w:rsidRPr="00352192">
        <w:rPr>
          <w:lang w:val="es-ES_tradnl"/>
        </w:rPr>
        <w:t xml:space="preserve"> </w:t>
      </w:r>
      <w:r w:rsidRPr="001514E8">
        <w:rPr>
          <w:lang w:val="es-ES_tradnl"/>
        </w:rPr>
        <w:t>(</w:t>
      </w:r>
      <w:hyperlink r:id="rId31" w:history="1">
        <w:r w:rsidR="00352192" w:rsidRPr="00352192">
          <w:rPr>
            <w:rStyle w:val="Hyperlink"/>
            <w:lang w:val="es-ES"/>
          </w:rPr>
          <w:t>alexandre.vassiliev@mail.ru</w:t>
        </w:r>
      </w:hyperlink>
      <w:r w:rsidRPr="00352192">
        <w:rPr>
          <w:lang w:val="es-ES_tradnl"/>
        </w:rPr>
        <w:t xml:space="preserve">). </w:t>
      </w:r>
      <w:r w:rsidR="00DF5EF1" w:rsidRPr="00352192">
        <w:rPr>
          <w:lang w:val="es-ES_tradnl"/>
        </w:rPr>
        <w:t>Toda información pertinente para los trabajos del Grupo por Correspondencia (por ejemplo, dirección de correo electrónico) se facilitará en la página web del</w:t>
      </w:r>
      <w:r w:rsidR="00513A0E">
        <w:rPr>
          <w:lang w:val="es-ES_tradnl"/>
        </w:rPr>
        <w:t> </w:t>
      </w:r>
      <w:r w:rsidR="00DF5EF1" w:rsidRPr="00352192">
        <w:rPr>
          <w:lang w:val="es-ES_tradnl"/>
        </w:rPr>
        <w:t>GAR</w:t>
      </w:r>
      <w:r w:rsidRPr="00352192">
        <w:rPr>
          <w:lang w:val="es-ES_tradnl"/>
        </w:rPr>
        <w:t>.</w:t>
      </w:r>
    </w:p>
    <w:p w:rsidR="00352192" w:rsidRPr="00513A0E" w:rsidRDefault="00352192" w:rsidP="00352192">
      <w:pPr>
        <w:rPr>
          <w:lang w:val="es-ES"/>
        </w:rPr>
      </w:pPr>
    </w:p>
    <w:p w:rsidR="00352192" w:rsidRDefault="00352192">
      <w:pPr>
        <w:jc w:val="center"/>
      </w:pPr>
      <w:r>
        <w:t>______________</w:t>
      </w:r>
    </w:p>
    <w:sectPr w:rsidR="00352192" w:rsidSect="000C01DF">
      <w:pgSz w:w="11907" w:h="16834"/>
      <w:pgMar w:top="1418" w:right="1134" w:bottom="1418"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74" w:rsidRDefault="00975C74">
      <w:r>
        <w:separator/>
      </w:r>
    </w:p>
  </w:endnote>
  <w:endnote w:type="continuationSeparator" w:id="0">
    <w:p w:rsidR="00975C74" w:rsidRDefault="0097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436BC6" w:rsidRDefault="00975C74" w:rsidP="00436BC6">
    <w:pPr>
      <w:pStyle w:val="Footer"/>
      <w:rPr>
        <w:sz w:val="16"/>
        <w:szCs w:val="16"/>
        <w:lang w:val="es-ES"/>
      </w:rPr>
    </w:pPr>
    <w:r w:rsidRPr="00C51037">
      <w:rPr>
        <w:sz w:val="16"/>
        <w:szCs w:val="16"/>
        <w:lang w:val="es-ES"/>
      </w:rPr>
      <w:fldChar w:fldCharType="begin"/>
    </w:r>
    <w:r w:rsidRPr="00C51037">
      <w:rPr>
        <w:sz w:val="16"/>
        <w:szCs w:val="16"/>
        <w:lang w:val="es-ES"/>
      </w:rPr>
      <w:instrText xml:space="preserve"> FILENAME \p \* MERGEFORMAT </w:instrText>
    </w:r>
    <w:r w:rsidRPr="00C51037">
      <w:rPr>
        <w:sz w:val="16"/>
        <w:szCs w:val="16"/>
        <w:lang w:val="es-ES"/>
      </w:rPr>
      <w:fldChar w:fldCharType="separate"/>
    </w:r>
    <w:r>
      <w:rPr>
        <w:noProof/>
        <w:sz w:val="16"/>
        <w:szCs w:val="16"/>
        <w:lang w:val="es-ES"/>
      </w:rPr>
      <w:t>P:\ESP\ITU-R\BR\DIR\CA\200\246S.docx</w:t>
    </w:r>
    <w:r w:rsidRPr="00C51037">
      <w:rPr>
        <w:sz w:val="16"/>
        <w:szCs w:val="16"/>
        <w:lang w:val="es-ES"/>
      </w:rPr>
      <w:fldChar w:fldCharType="end"/>
    </w:r>
    <w:r w:rsidRPr="00C51037">
      <w:rPr>
        <w:sz w:val="16"/>
        <w:szCs w:val="16"/>
        <w:lang w:val="es-ES"/>
      </w:rPr>
      <w:t xml:space="preserve"> </w:t>
    </w:r>
    <w:r w:rsidRPr="00C51037">
      <w:rPr>
        <w:noProof/>
        <w:sz w:val="16"/>
        <w:szCs w:val="16"/>
        <w:lang w:val="es-ES"/>
      </w:rPr>
      <w:t>(453793)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352192" w:rsidRDefault="00975C74" w:rsidP="00622D6F">
    <w:pPr>
      <w:pStyle w:val="Footer"/>
      <w:rPr>
        <w:noProof/>
        <w:sz w:val="16"/>
        <w:szCs w:val="16"/>
        <w:lang w:val="es-ES"/>
      </w:rPr>
    </w:pPr>
    <w:r w:rsidRPr="00352192">
      <w:rPr>
        <w:noProof/>
        <w:sz w:val="16"/>
        <w:szCs w:val="16"/>
      </w:rPr>
      <w:fldChar w:fldCharType="begin"/>
    </w:r>
    <w:r w:rsidRPr="00352192">
      <w:rPr>
        <w:noProof/>
        <w:sz w:val="16"/>
        <w:szCs w:val="16"/>
        <w:lang w:val="es-ES"/>
      </w:rPr>
      <w:instrText xml:space="preserve"> FILENAME \p \* MERGEFORMAT </w:instrText>
    </w:r>
    <w:r w:rsidRPr="00352192">
      <w:rPr>
        <w:noProof/>
        <w:sz w:val="16"/>
        <w:szCs w:val="16"/>
      </w:rPr>
      <w:fldChar w:fldCharType="separate"/>
    </w:r>
    <w:r>
      <w:rPr>
        <w:noProof/>
        <w:sz w:val="16"/>
        <w:szCs w:val="16"/>
        <w:lang w:val="es-ES"/>
      </w:rPr>
      <w:t>P:\ESP\ITU-R\BR\DIR\CA\200\246S.docx</w:t>
    </w:r>
    <w:r w:rsidRPr="00352192">
      <w:rPr>
        <w:noProof/>
        <w:sz w:val="16"/>
        <w:szCs w:val="16"/>
      </w:rPr>
      <w:fldChar w:fldCharType="end"/>
    </w:r>
    <w:r w:rsidRPr="00352192">
      <w:rPr>
        <w:noProof/>
        <w:sz w:val="16"/>
        <w:szCs w:val="16"/>
        <w:lang w:val="es-ES"/>
      </w:rPr>
      <w:t xml:space="preserve"> (453793)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257BE7" w:rsidRDefault="00975C74"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F14149" w:rsidRDefault="00975C74">
    <w:pPr>
      <w:pStyle w:val="Footer"/>
      <w:rPr>
        <w:sz w:val="16"/>
        <w:szCs w:val="16"/>
        <w:lang w:val="es-ES"/>
      </w:rPr>
    </w:pPr>
    <w:r w:rsidRPr="00F14149">
      <w:rPr>
        <w:sz w:val="16"/>
        <w:szCs w:val="16"/>
      </w:rPr>
      <w:fldChar w:fldCharType="begin"/>
    </w:r>
    <w:r w:rsidRPr="00F14149">
      <w:rPr>
        <w:sz w:val="16"/>
        <w:szCs w:val="16"/>
        <w:lang w:val="es-ES"/>
      </w:rPr>
      <w:instrText xml:space="preserve"> FILENAME \p \* MERGEFORMAT </w:instrText>
    </w:r>
    <w:r w:rsidRPr="00F14149">
      <w:rPr>
        <w:sz w:val="16"/>
        <w:szCs w:val="16"/>
      </w:rPr>
      <w:fldChar w:fldCharType="separate"/>
    </w:r>
    <w:r>
      <w:rPr>
        <w:noProof/>
        <w:sz w:val="16"/>
        <w:szCs w:val="16"/>
        <w:lang w:val="es-ES"/>
      </w:rPr>
      <w:t>P:\ESP\ITU-R\BR\DIR\CA\200\246S.docx</w:t>
    </w:r>
    <w:r w:rsidRPr="00F14149">
      <w:rPr>
        <w:sz w:val="16"/>
        <w:szCs w:val="16"/>
      </w:rPr>
      <w:fldChar w:fldCharType="end"/>
    </w:r>
    <w:r w:rsidRPr="00F14149">
      <w:rPr>
        <w:sz w:val="16"/>
        <w:szCs w:val="16"/>
        <w:lang w:val="es-ES"/>
      </w:rPr>
      <w:t xml:space="preserve"> (453793)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C51037" w:rsidRDefault="00975C74" w:rsidP="000C01DF">
    <w:pPr>
      <w:pStyle w:val="Footer"/>
      <w:rPr>
        <w:sz w:val="16"/>
        <w:szCs w:val="16"/>
        <w:lang w:val="es-ES"/>
      </w:rPr>
    </w:pPr>
    <w:r w:rsidRPr="00C51037">
      <w:rPr>
        <w:sz w:val="16"/>
        <w:szCs w:val="16"/>
        <w:lang w:val="es-ES"/>
      </w:rPr>
      <w:fldChar w:fldCharType="begin"/>
    </w:r>
    <w:r w:rsidRPr="00C51037">
      <w:rPr>
        <w:sz w:val="16"/>
        <w:szCs w:val="16"/>
        <w:lang w:val="es-ES"/>
      </w:rPr>
      <w:instrText xml:space="preserve"> FILENAME \p \* MERGEFORMAT </w:instrText>
    </w:r>
    <w:r w:rsidRPr="00C51037">
      <w:rPr>
        <w:sz w:val="16"/>
        <w:szCs w:val="16"/>
        <w:lang w:val="es-ES"/>
      </w:rPr>
      <w:fldChar w:fldCharType="separate"/>
    </w:r>
    <w:r>
      <w:rPr>
        <w:noProof/>
        <w:sz w:val="16"/>
        <w:szCs w:val="16"/>
        <w:lang w:val="es-ES"/>
      </w:rPr>
      <w:t>P:\ESP\ITU-R\BR\DIR\CA\200\246S.docx</w:t>
    </w:r>
    <w:r w:rsidRPr="00C51037">
      <w:rPr>
        <w:sz w:val="16"/>
        <w:szCs w:val="16"/>
        <w:lang w:val="es-ES"/>
      </w:rPr>
      <w:fldChar w:fldCharType="end"/>
    </w:r>
    <w:r w:rsidRPr="00C51037">
      <w:rPr>
        <w:sz w:val="16"/>
        <w:szCs w:val="16"/>
        <w:lang w:val="es-ES"/>
      </w:rPr>
      <w:t xml:space="preserve"> </w:t>
    </w:r>
    <w:r w:rsidRPr="00C51037">
      <w:rPr>
        <w:noProof/>
        <w:sz w:val="16"/>
        <w:szCs w:val="16"/>
        <w:lang w:val="es-ES"/>
      </w:rPr>
      <w:t>(453793)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74" w:rsidRDefault="00975C74">
      <w:r>
        <w:t>____________________</w:t>
      </w:r>
    </w:p>
  </w:footnote>
  <w:footnote w:type="continuationSeparator" w:id="0">
    <w:p w:rsidR="00975C74" w:rsidRDefault="00975C74">
      <w:r>
        <w:continuationSeparator/>
      </w:r>
    </w:p>
  </w:footnote>
  <w:footnote w:id="1">
    <w:p w:rsidR="00975C74" w:rsidRPr="00DA5B7F" w:rsidRDefault="00975C74" w:rsidP="00DA5B7F">
      <w:pPr>
        <w:pStyle w:val="FootnoteText"/>
        <w:rPr>
          <w:lang w:val="es-ES"/>
        </w:rPr>
      </w:pPr>
      <w:r>
        <w:rPr>
          <w:rStyle w:val="FootnoteReference"/>
        </w:rPr>
        <w:footnoteRef/>
      </w:r>
      <w:r w:rsidRPr="00DA5B7F">
        <w:rPr>
          <w:lang w:val="es-ES"/>
        </w:rPr>
        <w:tab/>
        <w:t>El Director de la Oficina nombrará a las personas responsables de los riesgos</w:t>
      </w:r>
      <w:r>
        <w:rPr>
          <w:lang w:val="es-ES"/>
        </w:rPr>
        <w:t>.</w:t>
      </w:r>
    </w:p>
  </w:footnote>
  <w:footnote w:id="2">
    <w:p w:rsidR="00975C74" w:rsidRPr="009350DF" w:rsidRDefault="00975C74" w:rsidP="009350DF">
      <w:pPr>
        <w:pStyle w:val="FootnoteText"/>
        <w:rPr>
          <w:lang w:val="es-ES"/>
        </w:rPr>
      </w:pPr>
      <w:r>
        <w:rPr>
          <w:rStyle w:val="FootnoteReference"/>
        </w:rPr>
        <w:footnoteRef/>
      </w:r>
      <w:r w:rsidRPr="009350DF">
        <w:rPr>
          <w:lang w:val="es-ES"/>
        </w:rPr>
        <w:tab/>
        <w:t>Estimación para el periodo 2022-2023. La atribución de recursos para los años posteriores podrá modificarse en función de lo que decida la Alta Dirección.</w:t>
      </w:r>
    </w:p>
  </w:footnote>
  <w:footnote w:id="3">
    <w:p w:rsidR="00975C74" w:rsidRPr="009350DF" w:rsidRDefault="00975C74" w:rsidP="009350DF">
      <w:pPr>
        <w:pStyle w:val="FootnoteText"/>
        <w:rPr>
          <w:lang w:val="es-ES"/>
        </w:rPr>
      </w:pPr>
      <w:r>
        <w:rPr>
          <w:rStyle w:val="FootnoteReference"/>
        </w:rPr>
        <w:footnoteRef/>
      </w:r>
      <w:r w:rsidRPr="009350DF">
        <w:rPr>
          <w:lang w:val="es-ES"/>
        </w:rPr>
        <w:tab/>
        <w:t>«n/a» significa que aún no se dispone de valores para el indicador.</w:t>
      </w:r>
    </w:p>
  </w:footnote>
  <w:footnote w:id="4">
    <w:p w:rsidR="00975C74" w:rsidRPr="009350DF" w:rsidRDefault="00975C74" w:rsidP="009350DF">
      <w:pPr>
        <w:pStyle w:val="FootnoteText"/>
        <w:rPr>
          <w:lang w:val="es-ES"/>
        </w:rPr>
      </w:pPr>
      <w:r w:rsidRPr="004A4951">
        <w:rPr>
          <w:rStyle w:val="FootnoteReference"/>
          <w:lang w:val="es-ES"/>
        </w:rPr>
        <w:t>*</w:t>
      </w:r>
      <w:r w:rsidRPr="004A4951">
        <w:rPr>
          <w:lang w:val="es-ES"/>
        </w:rPr>
        <w:tab/>
        <w:t>Estimación.</w:t>
      </w:r>
    </w:p>
  </w:footnote>
  <w:footnote w:id="5">
    <w:p w:rsidR="00975C74" w:rsidRPr="000C01DF" w:rsidRDefault="00975C74" w:rsidP="000C01DF">
      <w:pPr>
        <w:pStyle w:val="FootnoteText"/>
        <w:rPr>
          <w:lang w:val="es-ES"/>
        </w:rPr>
      </w:pPr>
      <w:r>
        <w:rPr>
          <w:rStyle w:val="FootnoteReference"/>
        </w:rPr>
        <w:footnoteRef/>
      </w:r>
      <w:r w:rsidRPr="000C01DF">
        <w:rPr>
          <w:lang w:val="es-ES"/>
        </w:rPr>
        <w:tab/>
        <w:t>Estimación para el periodo 2022-2023. La atribución de recursos para los años posteriores podrá modificarse en función de lo que decida la Alta Dirección.</w:t>
      </w:r>
    </w:p>
    <w:p w:rsidR="00975C74" w:rsidRPr="00F309A4" w:rsidRDefault="00975C74" w:rsidP="000C01DF">
      <w:pPr>
        <w:pStyle w:val="FootnoteText"/>
        <w:rPr>
          <w:lang w:val="es-ES"/>
        </w:rPr>
      </w:pPr>
      <w:r w:rsidRPr="000C01DF">
        <w:rPr>
          <w:rFonts w:asciiTheme="majorBidi" w:hAnsiTheme="majorBidi" w:cstheme="majorBidi"/>
          <w:lang w:val="es-ES"/>
        </w:rPr>
        <w:t>*</w:t>
      </w:r>
      <w:r w:rsidRPr="000C01DF">
        <w:rPr>
          <w:rFonts w:asciiTheme="majorBidi" w:hAnsiTheme="majorBidi" w:cstheme="majorBidi"/>
          <w:lang w:val="es-ES"/>
        </w:rPr>
        <w:tab/>
      </w:r>
      <w:r w:rsidRPr="000C01DF">
        <w:rPr>
          <w:lang w:val="es-ES"/>
        </w:rPr>
        <w:t>Estimación</w:t>
      </w:r>
      <w:r w:rsidRPr="000C01DF">
        <w:rPr>
          <w:rFonts w:asciiTheme="majorBidi" w:hAnsiTheme="majorBidi" w:cstheme="majorBidi"/>
          <w:lang w:val="es-ES"/>
        </w:rPr>
        <w:t>.</w:t>
      </w:r>
    </w:p>
  </w:footnote>
  <w:footnote w:id="6">
    <w:p w:rsidR="00975C74" w:rsidRPr="004A46B4" w:rsidRDefault="00975C74" w:rsidP="000C01DF">
      <w:pPr>
        <w:pStyle w:val="FootnoteText"/>
        <w:rPr>
          <w:lang w:val="es-ES"/>
        </w:rPr>
      </w:pPr>
      <w:r>
        <w:rPr>
          <w:rStyle w:val="FootnoteReference"/>
        </w:rPr>
        <w:footnoteRef/>
      </w:r>
      <w:r>
        <w:rPr>
          <w:lang w:val="es-ES"/>
        </w:rPr>
        <w:tab/>
        <w:t>Esta cifra sólo resulta apropiada para comparaciones, ya que la descarga de un mismo documento/publicación puede contar como varias descargas.</w:t>
      </w:r>
    </w:p>
  </w:footnote>
  <w:footnote w:id="7">
    <w:p w:rsidR="00975C74" w:rsidRPr="00F309A4" w:rsidRDefault="00975C74" w:rsidP="000C01DF">
      <w:pPr>
        <w:pStyle w:val="FootnoteText"/>
        <w:rPr>
          <w:lang w:val="es-ES"/>
        </w:rPr>
      </w:pPr>
      <w:r>
        <w:rPr>
          <w:rStyle w:val="FootnoteReference"/>
        </w:rPr>
        <w:footnoteRef/>
      </w:r>
      <w:r w:rsidRPr="000C01DF">
        <w:rPr>
          <w:lang w:val="es-ES"/>
        </w:rPr>
        <w:tab/>
        <w:t>Estimación para para el periodo 2022-2023. La atribución de recursos para los años posteriores podrá modificarse en función de lo que decida la Alta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D239B4" w:rsidRDefault="00975C74" w:rsidP="00622D6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FB7DD0">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7B38A2" w:rsidRDefault="00975C74">
    <w:pPr>
      <w:pStyle w:val="Header"/>
      <w:rPr>
        <w:rStyle w:val="PageNumber"/>
        <w:sz w:val="18"/>
        <w:szCs w:val="18"/>
      </w:rPr>
    </w:pPr>
    <w:r>
      <w:tab/>
    </w:r>
    <w:r>
      <w:tab/>
      <w:t xml:space="preserve">- </w:t>
    </w:r>
    <w:r w:rsidRPr="007B38A2">
      <w:rPr>
        <w:rStyle w:val="PageNumber"/>
        <w:sz w:val="18"/>
        <w:szCs w:val="18"/>
      </w:rPr>
      <w:fldChar w:fldCharType="begin"/>
    </w:r>
    <w:r w:rsidRPr="007B38A2">
      <w:rPr>
        <w:rStyle w:val="PageNumber"/>
        <w:sz w:val="18"/>
        <w:szCs w:val="18"/>
      </w:rPr>
      <w:instrText xml:space="preserve"> PAGE  \* MERGEFORMAT </w:instrText>
    </w:r>
    <w:r w:rsidRPr="007B38A2">
      <w:rPr>
        <w:rStyle w:val="PageNumber"/>
        <w:sz w:val="18"/>
        <w:szCs w:val="18"/>
      </w:rPr>
      <w:fldChar w:fldCharType="separate"/>
    </w:r>
    <w:r>
      <w:rPr>
        <w:rStyle w:val="PageNumber"/>
        <w:noProof/>
        <w:sz w:val="18"/>
        <w:szCs w:val="18"/>
      </w:rPr>
      <w:t>3</w:t>
    </w:r>
    <w:r w:rsidRPr="007B38A2">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975C74" w:rsidTr="004A1D8C">
      <w:tc>
        <w:tcPr>
          <w:tcW w:w="4792" w:type="dxa"/>
          <w:tcMar>
            <w:left w:w="0" w:type="dxa"/>
          </w:tcMar>
        </w:tcPr>
        <w:p w:rsidR="00975C74" w:rsidRDefault="00975C74" w:rsidP="00C57165">
          <w:pPr>
            <w:pStyle w:val="Header"/>
            <w:spacing w:before="120" w:line="360" w:lineRule="auto"/>
          </w:pPr>
          <w:r w:rsidRPr="008E52B1">
            <w:rPr>
              <w:noProof/>
              <w:color w:val="3399FF"/>
              <w:lang w:eastAsia="zh-CN"/>
            </w:rPr>
            <w:drawing>
              <wp:inline distT="0" distB="0" distL="0" distR="0" wp14:anchorId="0BD1F38D" wp14:editId="107925AB">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975C74" w:rsidRDefault="00975C74" w:rsidP="00C57165">
          <w:pPr>
            <w:pStyle w:val="Header"/>
            <w:spacing w:before="240" w:line="360" w:lineRule="auto"/>
            <w:jc w:val="right"/>
          </w:pPr>
          <w:r>
            <w:rPr>
              <w:noProof/>
              <w:lang w:eastAsia="zh-CN"/>
            </w:rPr>
            <w:drawing>
              <wp:inline distT="0" distB="0" distL="0" distR="0" wp14:anchorId="12A6C280" wp14:editId="228076E1">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75C74" w:rsidRPr="000D3F3B" w:rsidRDefault="00975C74" w:rsidP="000D3F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D239B4" w:rsidRDefault="00975C74" w:rsidP="0062066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FB7DD0">
      <w:rPr>
        <w:rStyle w:val="PageNumber"/>
        <w:noProof/>
        <w:sz w:val="18"/>
        <w:szCs w:val="16"/>
      </w:rPr>
      <w:t>18</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7B38A2" w:rsidRDefault="00975C74" w:rsidP="00620661">
    <w:pPr>
      <w:pStyle w:val="Header"/>
      <w:jc w:val="center"/>
      <w:rPr>
        <w:rStyle w:val="PageNumber"/>
        <w:sz w:val="18"/>
        <w:szCs w:val="18"/>
      </w:rPr>
    </w:pPr>
    <w:r w:rsidRPr="007B38A2">
      <w:rPr>
        <w:sz w:val="18"/>
        <w:szCs w:val="18"/>
      </w:rPr>
      <w:t xml:space="preserve">- </w:t>
    </w:r>
    <w:r w:rsidRPr="007B38A2">
      <w:rPr>
        <w:rStyle w:val="PageNumber"/>
        <w:sz w:val="18"/>
        <w:szCs w:val="18"/>
      </w:rPr>
      <w:fldChar w:fldCharType="begin"/>
    </w:r>
    <w:r w:rsidRPr="007B38A2">
      <w:rPr>
        <w:rStyle w:val="PageNumber"/>
        <w:sz w:val="18"/>
        <w:szCs w:val="18"/>
      </w:rPr>
      <w:instrText xml:space="preserve"> PAGE  \* MERGEFORMAT </w:instrText>
    </w:r>
    <w:r w:rsidRPr="007B38A2">
      <w:rPr>
        <w:rStyle w:val="PageNumber"/>
        <w:sz w:val="18"/>
        <w:szCs w:val="18"/>
      </w:rPr>
      <w:fldChar w:fldCharType="separate"/>
    </w:r>
    <w:r w:rsidR="00FB7DD0">
      <w:rPr>
        <w:rStyle w:val="PageNumber"/>
        <w:noProof/>
        <w:sz w:val="18"/>
        <w:szCs w:val="18"/>
      </w:rPr>
      <w:t>21</w:t>
    </w:r>
    <w:r w:rsidRPr="007B38A2">
      <w:rPr>
        <w:rStyle w:val="PageNumber"/>
        <w:sz w:val="18"/>
        <w:szCs w:val="18"/>
      </w:rPr>
      <w:fldChar w:fldCharType="end"/>
    </w:r>
    <w:r w:rsidRPr="007B38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74" w:rsidRPr="001B3D4D" w:rsidRDefault="00975C74" w:rsidP="00CD755C">
    <w:pPr>
      <w:pStyle w:val="Header"/>
      <w:jc w:val="center"/>
    </w:pPr>
    <w:r w:rsidRPr="00620661">
      <w:rPr>
        <w:sz w:val="18"/>
        <w:szCs w:val="18"/>
      </w:rPr>
      <w:t xml:space="preserve">- </w:t>
    </w:r>
    <w:sdt>
      <w:sdtPr>
        <w:rPr>
          <w:sz w:val="18"/>
          <w:szCs w:val="18"/>
        </w:rPr>
        <w:id w:val="-1382469707"/>
        <w:docPartObj>
          <w:docPartGallery w:val="Page Numbers (Top of Page)"/>
          <w:docPartUnique/>
        </w:docPartObj>
      </w:sdtPr>
      <w:sdtEndPr>
        <w:rPr>
          <w:noProof/>
          <w:sz w:val="24"/>
          <w:szCs w:val="22"/>
        </w:rPr>
      </w:sdtEndPr>
      <w:sdtContent>
        <w:r w:rsidRPr="00620661">
          <w:rPr>
            <w:sz w:val="18"/>
            <w:szCs w:val="18"/>
          </w:rPr>
          <w:fldChar w:fldCharType="begin"/>
        </w:r>
        <w:r w:rsidRPr="00620661">
          <w:rPr>
            <w:sz w:val="18"/>
            <w:szCs w:val="18"/>
          </w:rPr>
          <w:instrText xml:space="preserve"> PAGE   \* MERGEFORMAT </w:instrText>
        </w:r>
        <w:r w:rsidRPr="00620661">
          <w:rPr>
            <w:sz w:val="18"/>
            <w:szCs w:val="18"/>
          </w:rPr>
          <w:fldChar w:fldCharType="separate"/>
        </w:r>
        <w:r w:rsidR="00FB7DD0">
          <w:rPr>
            <w:noProof/>
            <w:sz w:val="18"/>
            <w:szCs w:val="18"/>
          </w:rPr>
          <w:t>20</w:t>
        </w:r>
        <w:r w:rsidRPr="00620661">
          <w:rPr>
            <w:noProof/>
            <w:sz w:val="18"/>
            <w:szCs w:val="18"/>
          </w:rPr>
          <w:fldChar w:fldCharType="end"/>
        </w:r>
        <w:r w:rsidRPr="00620661">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12B4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A3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DC00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46A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F021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A5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E4AD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E6E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E42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845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D1B08"/>
    <w:rsid w:val="00006A31"/>
    <w:rsid w:val="00006C82"/>
    <w:rsid w:val="00010E30"/>
    <w:rsid w:val="00015C76"/>
    <w:rsid w:val="00025B7E"/>
    <w:rsid w:val="00026CF8"/>
    <w:rsid w:val="00030BD7"/>
    <w:rsid w:val="00031E64"/>
    <w:rsid w:val="00034340"/>
    <w:rsid w:val="00035CB3"/>
    <w:rsid w:val="0004249C"/>
    <w:rsid w:val="00045A8D"/>
    <w:rsid w:val="00047E04"/>
    <w:rsid w:val="0005167A"/>
    <w:rsid w:val="00054E5D"/>
    <w:rsid w:val="00070258"/>
    <w:rsid w:val="0007323C"/>
    <w:rsid w:val="000768E0"/>
    <w:rsid w:val="00086D03"/>
    <w:rsid w:val="0008742A"/>
    <w:rsid w:val="000A096A"/>
    <w:rsid w:val="000A2DE6"/>
    <w:rsid w:val="000A375E"/>
    <w:rsid w:val="000A7051"/>
    <w:rsid w:val="000B0AF6"/>
    <w:rsid w:val="000B0E9B"/>
    <w:rsid w:val="000B2CAE"/>
    <w:rsid w:val="000C01DF"/>
    <w:rsid w:val="000C03C7"/>
    <w:rsid w:val="000C2AD0"/>
    <w:rsid w:val="000D02E1"/>
    <w:rsid w:val="000D3F3B"/>
    <w:rsid w:val="000E3DEE"/>
    <w:rsid w:val="000E4BCD"/>
    <w:rsid w:val="000F3B35"/>
    <w:rsid w:val="00100B72"/>
    <w:rsid w:val="00101F7D"/>
    <w:rsid w:val="00103C76"/>
    <w:rsid w:val="0011265F"/>
    <w:rsid w:val="00117282"/>
    <w:rsid w:val="00117389"/>
    <w:rsid w:val="00121C2D"/>
    <w:rsid w:val="00125F70"/>
    <w:rsid w:val="00134404"/>
    <w:rsid w:val="00144DFB"/>
    <w:rsid w:val="001514E8"/>
    <w:rsid w:val="00180173"/>
    <w:rsid w:val="00187CA3"/>
    <w:rsid w:val="001915DD"/>
    <w:rsid w:val="00191A05"/>
    <w:rsid w:val="00195EB7"/>
    <w:rsid w:val="00196710"/>
    <w:rsid w:val="00196770"/>
    <w:rsid w:val="00197324"/>
    <w:rsid w:val="001B351B"/>
    <w:rsid w:val="001B3D4D"/>
    <w:rsid w:val="001B42C9"/>
    <w:rsid w:val="001C06DB"/>
    <w:rsid w:val="001C3E0A"/>
    <w:rsid w:val="001C6971"/>
    <w:rsid w:val="001D0A1C"/>
    <w:rsid w:val="001D2785"/>
    <w:rsid w:val="001D7070"/>
    <w:rsid w:val="001F2170"/>
    <w:rsid w:val="001F227D"/>
    <w:rsid w:val="001F3948"/>
    <w:rsid w:val="001F5A49"/>
    <w:rsid w:val="00201097"/>
    <w:rsid w:val="00201B6E"/>
    <w:rsid w:val="002207B9"/>
    <w:rsid w:val="00220CDA"/>
    <w:rsid w:val="002302B3"/>
    <w:rsid w:val="00230C66"/>
    <w:rsid w:val="00231045"/>
    <w:rsid w:val="00235A29"/>
    <w:rsid w:val="00241526"/>
    <w:rsid w:val="002443A2"/>
    <w:rsid w:val="00257BE7"/>
    <w:rsid w:val="00262591"/>
    <w:rsid w:val="00266E74"/>
    <w:rsid w:val="00273814"/>
    <w:rsid w:val="00283C3B"/>
    <w:rsid w:val="002861E6"/>
    <w:rsid w:val="00287D18"/>
    <w:rsid w:val="002A2618"/>
    <w:rsid w:val="002A5DD7"/>
    <w:rsid w:val="002B0CAC"/>
    <w:rsid w:val="002D5A15"/>
    <w:rsid w:val="002D5BDD"/>
    <w:rsid w:val="002E3D27"/>
    <w:rsid w:val="002F0890"/>
    <w:rsid w:val="002F2531"/>
    <w:rsid w:val="002F4967"/>
    <w:rsid w:val="003036F6"/>
    <w:rsid w:val="00306452"/>
    <w:rsid w:val="00311970"/>
    <w:rsid w:val="00316935"/>
    <w:rsid w:val="003266ED"/>
    <w:rsid w:val="00326C68"/>
    <w:rsid w:val="0033029C"/>
    <w:rsid w:val="003370B8"/>
    <w:rsid w:val="00345D38"/>
    <w:rsid w:val="00352097"/>
    <w:rsid w:val="00352192"/>
    <w:rsid w:val="003666FF"/>
    <w:rsid w:val="0037309C"/>
    <w:rsid w:val="00380A6E"/>
    <w:rsid w:val="003836D4"/>
    <w:rsid w:val="0038718F"/>
    <w:rsid w:val="003974CD"/>
    <w:rsid w:val="003A1F49"/>
    <w:rsid w:val="003A55ED"/>
    <w:rsid w:val="003A5D52"/>
    <w:rsid w:val="003B2BDA"/>
    <w:rsid w:val="003B55EC"/>
    <w:rsid w:val="003B719B"/>
    <w:rsid w:val="003C2EA7"/>
    <w:rsid w:val="003C4471"/>
    <w:rsid w:val="003C7D41"/>
    <w:rsid w:val="003D4A69"/>
    <w:rsid w:val="003E504F"/>
    <w:rsid w:val="003E5FC1"/>
    <w:rsid w:val="003E78D6"/>
    <w:rsid w:val="003F0E9F"/>
    <w:rsid w:val="00400573"/>
    <w:rsid w:val="004007A3"/>
    <w:rsid w:val="00406D71"/>
    <w:rsid w:val="004308AF"/>
    <w:rsid w:val="004326DB"/>
    <w:rsid w:val="0043682E"/>
    <w:rsid w:val="00436BC6"/>
    <w:rsid w:val="00447ECB"/>
    <w:rsid w:val="00456B67"/>
    <w:rsid w:val="004610A7"/>
    <w:rsid w:val="004623F7"/>
    <w:rsid w:val="004805DF"/>
    <w:rsid w:val="00480F51"/>
    <w:rsid w:val="00481124"/>
    <w:rsid w:val="004815EB"/>
    <w:rsid w:val="00487569"/>
    <w:rsid w:val="00496864"/>
    <w:rsid w:val="00496920"/>
    <w:rsid w:val="00497F4D"/>
    <w:rsid w:val="004A1D8C"/>
    <w:rsid w:val="004A4496"/>
    <w:rsid w:val="004A4951"/>
    <w:rsid w:val="004A5F47"/>
    <w:rsid w:val="004B11AB"/>
    <w:rsid w:val="004B7C9A"/>
    <w:rsid w:val="004C6779"/>
    <w:rsid w:val="004D733B"/>
    <w:rsid w:val="004E0DC4"/>
    <w:rsid w:val="004E0FB5"/>
    <w:rsid w:val="004E116E"/>
    <w:rsid w:val="004E43BB"/>
    <w:rsid w:val="004E460D"/>
    <w:rsid w:val="004F178E"/>
    <w:rsid w:val="004F4543"/>
    <w:rsid w:val="004F57BB"/>
    <w:rsid w:val="00505309"/>
    <w:rsid w:val="0050789B"/>
    <w:rsid w:val="00513A0E"/>
    <w:rsid w:val="005224A1"/>
    <w:rsid w:val="00525DE0"/>
    <w:rsid w:val="00530E0C"/>
    <w:rsid w:val="00534372"/>
    <w:rsid w:val="00535FEF"/>
    <w:rsid w:val="005370F0"/>
    <w:rsid w:val="00543DF8"/>
    <w:rsid w:val="00546101"/>
    <w:rsid w:val="00553DD7"/>
    <w:rsid w:val="005638CF"/>
    <w:rsid w:val="0056741E"/>
    <w:rsid w:val="005705D7"/>
    <w:rsid w:val="0057325A"/>
    <w:rsid w:val="0057469A"/>
    <w:rsid w:val="00580814"/>
    <w:rsid w:val="00583A0B"/>
    <w:rsid w:val="005955C8"/>
    <w:rsid w:val="005A03A3"/>
    <w:rsid w:val="005A268E"/>
    <w:rsid w:val="005A2B92"/>
    <w:rsid w:val="005A3F66"/>
    <w:rsid w:val="005A79E9"/>
    <w:rsid w:val="005B214C"/>
    <w:rsid w:val="005B2C16"/>
    <w:rsid w:val="005B4CDA"/>
    <w:rsid w:val="005D3669"/>
    <w:rsid w:val="005E49EE"/>
    <w:rsid w:val="005E5EB3"/>
    <w:rsid w:val="005F1418"/>
    <w:rsid w:val="005F3CB6"/>
    <w:rsid w:val="005F657C"/>
    <w:rsid w:val="00602D53"/>
    <w:rsid w:val="006047E5"/>
    <w:rsid w:val="006171DC"/>
    <w:rsid w:val="00620661"/>
    <w:rsid w:val="00622D6F"/>
    <w:rsid w:val="0064371D"/>
    <w:rsid w:val="00650543"/>
    <w:rsid w:val="00650B2A"/>
    <w:rsid w:val="00651777"/>
    <w:rsid w:val="006550F8"/>
    <w:rsid w:val="00675B25"/>
    <w:rsid w:val="006812DF"/>
    <w:rsid w:val="006829F3"/>
    <w:rsid w:val="006A518B"/>
    <w:rsid w:val="006B0590"/>
    <w:rsid w:val="006B49DA"/>
    <w:rsid w:val="006C53F8"/>
    <w:rsid w:val="006C7CDE"/>
    <w:rsid w:val="006F5FA7"/>
    <w:rsid w:val="007234B1"/>
    <w:rsid w:val="00723D08"/>
    <w:rsid w:val="00725FDA"/>
    <w:rsid w:val="00727816"/>
    <w:rsid w:val="00730B9A"/>
    <w:rsid w:val="00741F78"/>
    <w:rsid w:val="00750CFA"/>
    <w:rsid w:val="007553DA"/>
    <w:rsid w:val="0075565D"/>
    <w:rsid w:val="00775DB8"/>
    <w:rsid w:val="00782354"/>
    <w:rsid w:val="00790AC3"/>
    <w:rsid w:val="007921A7"/>
    <w:rsid w:val="0079405D"/>
    <w:rsid w:val="007B38A2"/>
    <w:rsid w:val="007B3DB1"/>
    <w:rsid w:val="007D183E"/>
    <w:rsid w:val="007D1988"/>
    <w:rsid w:val="007D43D0"/>
    <w:rsid w:val="007D56BA"/>
    <w:rsid w:val="007E1833"/>
    <w:rsid w:val="007E3F13"/>
    <w:rsid w:val="007F751A"/>
    <w:rsid w:val="00800012"/>
    <w:rsid w:val="0080261F"/>
    <w:rsid w:val="00805A02"/>
    <w:rsid w:val="00806160"/>
    <w:rsid w:val="008143A4"/>
    <w:rsid w:val="0081513E"/>
    <w:rsid w:val="00822190"/>
    <w:rsid w:val="00854131"/>
    <w:rsid w:val="0085652D"/>
    <w:rsid w:val="0087694B"/>
    <w:rsid w:val="00880F4D"/>
    <w:rsid w:val="008930FD"/>
    <w:rsid w:val="008A6B3E"/>
    <w:rsid w:val="008B35A3"/>
    <w:rsid w:val="008B37E1"/>
    <w:rsid w:val="008B45F8"/>
    <w:rsid w:val="008C2E74"/>
    <w:rsid w:val="008C301E"/>
    <w:rsid w:val="008D5409"/>
    <w:rsid w:val="008D6955"/>
    <w:rsid w:val="008E006D"/>
    <w:rsid w:val="008E38B4"/>
    <w:rsid w:val="008F4F21"/>
    <w:rsid w:val="008F5A18"/>
    <w:rsid w:val="00904D4A"/>
    <w:rsid w:val="009076D7"/>
    <w:rsid w:val="00912DAB"/>
    <w:rsid w:val="009151BA"/>
    <w:rsid w:val="00925023"/>
    <w:rsid w:val="009277BC"/>
    <w:rsid w:val="00927A80"/>
    <w:rsid w:val="00927D57"/>
    <w:rsid w:val="00931A51"/>
    <w:rsid w:val="009350DF"/>
    <w:rsid w:val="0094109E"/>
    <w:rsid w:val="00947185"/>
    <w:rsid w:val="009518B3"/>
    <w:rsid w:val="0096325B"/>
    <w:rsid w:val="00963D9D"/>
    <w:rsid w:val="00966C06"/>
    <w:rsid w:val="009741B7"/>
    <w:rsid w:val="00975C74"/>
    <w:rsid w:val="0098013E"/>
    <w:rsid w:val="00981B54"/>
    <w:rsid w:val="009842C3"/>
    <w:rsid w:val="009A009A"/>
    <w:rsid w:val="009A485F"/>
    <w:rsid w:val="009A6BB6"/>
    <w:rsid w:val="009B3F43"/>
    <w:rsid w:val="009B5CFA"/>
    <w:rsid w:val="009C161F"/>
    <w:rsid w:val="009C56B4"/>
    <w:rsid w:val="009D51A2"/>
    <w:rsid w:val="009E04A8"/>
    <w:rsid w:val="009E4595"/>
    <w:rsid w:val="009E4AEC"/>
    <w:rsid w:val="009E5BD8"/>
    <w:rsid w:val="009E681E"/>
    <w:rsid w:val="00A119E6"/>
    <w:rsid w:val="00A20FBC"/>
    <w:rsid w:val="00A23A6E"/>
    <w:rsid w:val="00A27B9D"/>
    <w:rsid w:val="00A27D6D"/>
    <w:rsid w:val="00A31370"/>
    <w:rsid w:val="00A31BB6"/>
    <w:rsid w:val="00A34D6F"/>
    <w:rsid w:val="00A41F91"/>
    <w:rsid w:val="00A63355"/>
    <w:rsid w:val="00A6392A"/>
    <w:rsid w:val="00A7596D"/>
    <w:rsid w:val="00A80EFE"/>
    <w:rsid w:val="00A963DF"/>
    <w:rsid w:val="00A96D3A"/>
    <w:rsid w:val="00AC0C22"/>
    <w:rsid w:val="00AC3896"/>
    <w:rsid w:val="00AD041B"/>
    <w:rsid w:val="00AD2CF2"/>
    <w:rsid w:val="00AE2D88"/>
    <w:rsid w:val="00AE6F6F"/>
    <w:rsid w:val="00AF27BC"/>
    <w:rsid w:val="00AF3325"/>
    <w:rsid w:val="00AF34D9"/>
    <w:rsid w:val="00AF5B37"/>
    <w:rsid w:val="00AF682C"/>
    <w:rsid w:val="00AF70DA"/>
    <w:rsid w:val="00B0028E"/>
    <w:rsid w:val="00B019D3"/>
    <w:rsid w:val="00B048F1"/>
    <w:rsid w:val="00B269E4"/>
    <w:rsid w:val="00B34CF9"/>
    <w:rsid w:val="00B37559"/>
    <w:rsid w:val="00B4054B"/>
    <w:rsid w:val="00B579B0"/>
    <w:rsid w:val="00B57D11"/>
    <w:rsid w:val="00B649D7"/>
    <w:rsid w:val="00B76B4E"/>
    <w:rsid w:val="00B77DFC"/>
    <w:rsid w:val="00B81C2F"/>
    <w:rsid w:val="00B84F48"/>
    <w:rsid w:val="00B90743"/>
    <w:rsid w:val="00B90C45"/>
    <w:rsid w:val="00B933BE"/>
    <w:rsid w:val="00B93EA8"/>
    <w:rsid w:val="00B94CD0"/>
    <w:rsid w:val="00BB2352"/>
    <w:rsid w:val="00BD10C6"/>
    <w:rsid w:val="00BD6738"/>
    <w:rsid w:val="00BD7E5E"/>
    <w:rsid w:val="00BE12B9"/>
    <w:rsid w:val="00BE63DB"/>
    <w:rsid w:val="00BE6574"/>
    <w:rsid w:val="00C07319"/>
    <w:rsid w:val="00C16FD2"/>
    <w:rsid w:val="00C317B8"/>
    <w:rsid w:val="00C4395E"/>
    <w:rsid w:val="00C47FFD"/>
    <w:rsid w:val="00C51037"/>
    <w:rsid w:val="00C51E92"/>
    <w:rsid w:val="00C57165"/>
    <w:rsid w:val="00C57E2C"/>
    <w:rsid w:val="00C608B7"/>
    <w:rsid w:val="00C66B48"/>
    <w:rsid w:val="00C66F24"/>
    <w:rsid w:val="00C76D7F"/>
    <w:rsid w:val="00C813AA"/>
    <w:rsid w:val="00C9291E"/>
    <w:rsid w:val="00CA3F44"/>
    <w:rsid w:val="00CA4E58"/>
    <w:rsid w:val="00CA70FE"/>
    <w:rsid w:val="00CB3771"/>
    <w:rsid w:val="00CB44BF"/>
    <w:rsid w:val="00CB5153"/>
    <w:rsid w:val="00CD1094"/>
    <w:rsid w:val="00CD755C"/>
    <w:rsid w:val="00CE076A"/>
    <w:rsid w:val="00CE463D"/>
    <w:rsid w:val="00CE55A9"/>
    <w:rsid w:val="00CF7EB6"/>
    <w:rsid w:val="00D10BA0"/>
    <w:rsid w:val="00D21694"/>
    <w:rsid w:val="00D22A8A"/>
    <w:rsid w:val="00D239B4"/>
    <w:rsid w:val="00D24EB5"/>
    <w:rsid w:val="00D35AB9"/>
    <w:rsid w:val="00D41571"/>
    <w:rsid w:val="00D416A0"/>
    <w:rsid w:val="00D47672"/>
    <w:rsid w:val="00D50AD7"/>
    <w:rsid w:val="00D50DFB"/>
    <w:rsid w:val="00D5123C"/>
    <w:rsid w:val="00D55560"/>
    <w:rsid w:val="00D61C5A"/>
    <w:rsid w:val="00D63BFF"/>
    <w:rsid w:val="00D6790C"/>
    <w:rsid w:val="00D73277"/>
    <w:rsid w:val="00D76586"/>
    <w:rsid w:val="00D82657"/>
    <w:rsid w:val="00D84F5E"/>
    <w:rsid w:val="00D87E20"/>
    <w:rsid w:val="00D97EF5"/>
    <w:rsid w:val="00DA4037"/>
    <w:rsid w:val="00DA5B7F"/>
    <w:rsid w:val="00DD1B08"/>
    <w:rsid w:val="00DE66A5"/>
    <w:rsid w:val="00DF2B50"/>
    <w:rsid w:val="00DF5EF1"/>
    <w:rsid w:val="00E01059"/>
    <w:rsid w:val="00E04C86"/>
    <w:rsid w:val="00E1043E"/>
    <w:rsid w:val="00E17344"/>
    <w:rsid w:val="00E20F30"/>
    <w:rsid w:val="00E211EC"/>
    <w:rsid w:val="00E2189C"/>
    <w:rsid w:val="00E25BB1"/>
    <w:rsid w:val="00E27BBA"/>
    <w:rsid w:val="00E30E3F"/>
    <w:rsid w:val="00E35E8F"/>
    <w:rsid w:val="00E428AB"/>
    <w:rsid w:val="00E4309B"/>
    <w:rsid w:val="00E438E8"/>
    <w:rsid w:val="00E453A3"/>
    <w:rsid w:val="00E520E2"/>
    <w:rsid w:val="00E530C4"/>
    <w:rsid w:val="00E53DCE"/>
    <w:rsid w:val="00E55996"/>
    <w:rsid w:val="00E56195"/>
    <w:rsid w:val="00E64254"/>
    <w:rsid w:val="00E67928"/>
    <w:rsid w:val="00E70FB5"/>
    <w:rsid w:val="00E915AF"/>
    <w:rsid w:val="00E96415"/>
    <w:rsid w:val="00EA15B3"/>
    <w:rsid w:val="00EA43CD"/>
    <w:rsid w:val="00EB1319"/>
    <w:rsid w:val="00EB2358"/>
    <w:rsid w:val="00EB3EB8"/>
    <w:rsid w:val="00EC00EF"/>
    <w:rsid w:val="00EC02FE"/>
    <w:rsid w:val="00EC4A96"/>
    <w:rsid w:val="00EE03A0"/>
    <w:rsid w:val="00EE3732"/>
    <w:rsid w:val="00F116D7"/>
    <w:rsid w:val="00F13298"/>
    <w:rsid w:val="00F14149"/>
    <w:rsid w:val="00F16791"/>
    <w:rsid w:val="00F31A9C"/>
    <w:rsid w:val="00F424BF"/>
    <w:rsid w:val="00F44FC3"/>
    <w:rsid w:val="00F46107"/>
    <w:rsid w:val="00F468C5"/>
    <w:rsid w:val="00F47F6B"/>
    <w:rsid w:val="00F52E4B"/>
    <w:rsid w:val="00F52F39"/>
    <w:rsid w:val="00F6184F"/>
    <w:rsid w:val="00F66EE7"/>
    <w:rsid w:val="00F8310E"/>
    <w:rsid w:val="00F914DD"/>
    <w:rsid w:val="00F929F6"/>
    <w:rsid w:val="00FA2231"/>
    <w:rsid w:val="00FA2358"/>
    <w:rsid w:val="00FB2288"/>
    <w:rsid w:val="00FB2592"/>
    <w:rsid w:val="00FB2810"/>
    <w:rsid w:val="00FB7A2C"/>
    <w:rsid w:val="00FB7DD0"/>
    <w:rsid w:val="00FC2947"/>
    <w:rsid w:val="00FC7C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67AC6E-9D68-4CC7-9A68-97073C3E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A6392A"/>
    <w:pPr>
      <w:spacing w:before="80"/>
      <w:ind w:left="794" w:hanging="794"/>
    </w:pPr>
    <w:rPr>
      <w:lang w:val="es-ES"/>
    </w:rPr>
  </w:style>
  <w:style w:type="paragraph" w:customStyle="1" w:styleId="enumlev2">
    <w:name w:val="enumlev2"/>
    <w:basedOn w:val="enumlev1"/>
    <w:rsid w:val="00A6392A"/>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3521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lang w:val="es-E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basedOn w:val="DefaultParagraphFont"/>
    <w:link w:val="Header"/>
    <w:uiPriority w:val="99"/>
    <w:rsid w:val="001B3D4D"/>
    <w:rPr>
      <w:sz w:val="24"/>
      <w:szCs w:val="22"/>
      <w:lang w:val="en-US" w:eastAsia="en-US"/>
    </w:rPr>
  </w:style>
  <w:style w:type="character" w:customStyle="1" w:styleId="NormalaftertitleChar">
    <w:name w:val="Normal_after_title Char"/>
    <w:basedOn w:val="DefaultParagraphFont"/>
    <w:link w:val="Normalaftertitle"/>
    <w:locked/>
    <w:rsid w:val="007B38A2"/>
    <w:rPr>
      <w:sz w:val="24"/>
      <w:szCs w:val="22"/>
      <w:lang w:val="en-US" w:eastAsia="en-US"/>
    </w:rPr>
  </w:style>
  <w:style w:type="paragraph" w:customStyle="1" w:styleId="Annextitle">
    <w:name w:val="Annex_title"/>
    <w:basedOn w:val="Normal"/>
    <w:next w:val="Normal"/>
    <w:link w:val="AnnextitleChar1"/>
    <w:rsid w:val="007B38A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es-ES_tradnl"/>
    </w:rPr>
  </w:style>
  <w:style w:type="character" w:customStyle="1" w:styleId="FooterChar">
    <w:name w:val="Footer Char"/>
    <w:basedOn w:val="DefaultParagraphFont"/>
    <w:link w:val="Footer"/>
    <w:rsid w:val="007B38A2"/>
    <w:rPr>
      <w:sz w:val="24"/>
      <w:szCs w:val="22"/>
      <w:lang w:val="en-US" w:eastAsia="en-US"/>
    </w:rPr>
  </w:style>
  <w:style w:type="character" w:customStyle="1" w:styleId="enumlev1Char">
    <w:name w:val="enumlev1 Char"/>
    <w:basedOn w:val="DefaultParagraphFont"/>
    <w:link w:val="enumlev1"/>
    <w:rsid w:val="00A6392A"/>
    <w:rPr>
      <w:sz w:val="24"/>
      <w:szCs w:val="22"/>
      <w:lang w:val="es-ES" w:eastAsia="en-US"/>
    </w:rPr>
  </w:style>
  <w:style w:type="character" w:customStyle="1" w:styleId="TabletextChar">
    <w:name w:val="Table_text Char"/>
    <w:basedOn w:val="DefaultParagraphFont"/>
    <w:link w:val="Tabletext"/>
    <w:locked/>
    <w:rsid w:val="00352192"/>
    <w:rPr>
      <w:szCs w:val="22"/>
      <w:lang w:val="es-ES" w:eastAsia="en-US"/>
    </w:rPr>
  </w:style>
  <w:style w:type="character" w:customStyle="1" w:styleId="HeadingbChar">
    <w:name w:val="Heading_b Char"/>
    <w:link w:val="Headingb"/>
    <w:locked/>
    <w:rsid w:val="000C01DF"/>
    <w:rPr>
      <w:b/>
      <w:sz w:val="24"/>
      <w:szCs w:val="22"/>
      <w:lang w:val="en-US"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0C01DF"/>
    <w:rPr>
      <w:szCs w:val="22"/>
      <w:lang w:val="en-US" w:eastAsia="en-US"/>
    </w:rPr>
  </w:style>
  <w:style w:type="paragraph" w:customStyle="1" w:styleId="Reasons">
    <w:name w:val="Reasons"/>
    <w:basedOn w:val="Normal"/>
    <w:qFormat/>
    <w:rsid w:val="000C01DF"/>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table" w:customStyle="1" w:styleId="GridTable4-Accent11">
    <w:name w:val="Grid Table 4 - Accent 11"/>
    <w:basedOn w:val="TableNormal"/>
    <w:uiPriority w:val="49"/>
    <w:rsid w:val="000C01DF"/>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
    <w:name w:val="Annex_No"/>
    <w:basedOn w:val="Normal"/>
    <w:next w:val="Normal"/>
    <w:link w:val="AnnexNoChar"/>
    <w:rsid w:val="004A4951"/>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8"/>
      <w:szCs w:val="20"/>
      <w:lang w:val="ru-RU"/>
    </w:rPr>
  </w:style>
  <w:style w:type="character" w:customStyle="1" w:styleId="AnnexNoChar">
    <w:name w:val="Annex_No Char"/>
    <w:link w:val="AnnexNo"/>
    <w:locked/>
    <w:rsid w:val="004A4951"/>
    <w:rPr>
      <w:rFonts w:cs="Times New Roman"/>
      <w:caps/>
      <w:sz w:val="28"/>
      <w:lang w:val="ru-RU" w:eastAsia="en-US"/>
    </w:rPr>
  </w:style>
  <w:style w:type="character" w:customStyle="1" w:styleId="AnnextitleChar1">
    <w:name w:val="Annex_title Char1"/>
    <w:link w:val="Annextitle"/>
    <w:locked/>
    <w:rsid w:val="00622D6F"/>
    <w:rPr>
      <w:rFonts w:cs="Times New Roman"/>
      <w:b/>
      <w:sz w:val="28"/>
      <w:lang w:val="es-ES_tradnl" w:eastAsia="en-US"/>
    </w:rPr>
  </w:style>
  <w:style w:type="paragraph" w:customStyle="1" w:styleId="AnnexNotitle0">
    <w:name w:val="Annex_No &amp; title"/>
    <w:basedOn w:val="Normal"/>
    <w:next w:val="Normal"/>
    <w:rsid w:val="00622D6F"/>
    <w:pPr>
      <w:keepNext/>
      <w:keepLines/>
      <w:spacing w:before="480" w:line="240" w:lineRule="auto"/>
      <w:jc w:val="center"/>
    </w:pPr>
    <w:rPr>
      <w:rFonts w:ascii="Times New Roman" w:hAnsi="Times New Roman" w:cs="Times New Roman"/>
      <w:b/>
      <w:sz w:val="28"/>
      <w:szCs w:val="20"/>
      <w:lang w:val="en-GB"/>
    </w:rPr>
  </w:style>
  <w:style w:type="character" w:customStyle="1" w:styleId="CommentTextChar">
    <w:name w:val="Comment Text Char"/>
    <w:basedOn w:val="DefaultParagraphFont"/>
    <w:link w:val="CommentText"/>
    <w:semiHidden/>
    <w:rsid w:val="00513A0E"/>
    <w:rPr>
      <w:szCs w:val="22"/>
      <w:lang w:val="en-US" w:eastAsia="en-US"/>
    </w:rPr>
  </w:style>
  <w:style w:type="paragraph" w:styleId="Revision">
    <w:name w:val="Revision"/>
    <w:hidden/>
    <w:uiPriority w:val="99"/>
    <w:semiHidden/>
    <w:rsid w:val="00025B7E"/>
    <w:rPr>
      <w:sz w:val="24"/>
      <w:szCs w:val="22"/>
      <w:lang w:val="en-US" w:eastAsia="en-US"/>
    </w:rPr>
  </w:style>
  <w:style w:type="paragraph" w:styleId="NormalWeb">
    <w:name w:val="Normal (Web)"/>
    <w:basedOn w:val="Normal"/>
    <w:uiPriority w:val="99"/>
    <w:semiHidden/>
    <w:unhideWhenUsed/>
    <w:rsid w:val="00220CD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gvf.org"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euroconsult-ec.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www.itu.int/md/R15-CPM19.02-C-024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uroconsult-ec.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mailto:alexandre.vassiliev@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hyperlink" Target="https://www.gsa.europa.eu" TargetMode="External"/><Relationship Id="rId30" Type="http://schemas.openxmlformats.org/officeDocument/2006/relationships/hyperlink" Target="https://www.itu.int/md/R15-CPM19.02-C-0248/es" TargetMode="External"/><Relationship Id="rId8" Type="http://schemas.openxmlformats.org/officeDocument/2006/relationships/hyperlink" Target="http://www.itu.int/ITU-R/go/RA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EC37-BB56-4453-B584-0C03910D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537</TotalTime>
  <Pages>21</Pages>
  <Words>6081</Words>
  <Characters>32931</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38935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Santiago, Genoveva</dc:creator>
  <cp:lastModifiedBy>Spanish83</cp:lastModifiedBy>
  <cp:revision>77</cp:revision>
  <cp:lastPrinted>2019-05-02T08:36:00Z</cp:lastPrinted>
  <dcterms:created xsi:type="dcterms:W3CDTF">2019-04-25T14:19:00Z</dcterms:created>
  <dcterms:modified xsi:type="dcterms:W3CDTF">2019-05-02T13:55:00Z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