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946D" w14:textId="77777777" w:rsidR="00351D76" w:rsidRDefault="00351D76"/>
    <w:tbl>
      <w:tblPr>
        <w:tblW w:w="9889" w:type="dxa"/>
        <w:jc w:val="center"/>
        <w:tblLayout w:type="fixed"/>
        <w:tblLook w:val="04A0" w:firstRow="1" w:lastRow="0" w:firstColumn="1" w:lastColumn="0" w:noHBand="0" w:noVBand="1"/>
      </w:tblPr>
      <w:tblGrid>
        <w:gridCol w:w="1526"/>
        <w:gridCol w:w="5528"/>
        <w:gridCol w:w="2835"/>
      </w:tblGrid>
      <w:tr w:rsidR="00351D76" w:rsidRPr="007B3DB1" w14:paraId="74702A18" w14:textId="77777777" w:rsidTr="004A3E21">
        <w:trPr>
          <w:jc w:val="center"/>
        </w:trPr>
        <w:tc>
          <w:tcPr>
            <w:tcW w:w="9889" w:type="dxa"/>
            <w:gridSpan w:val="3"/>
            <w:shd w:val="clear" w:color="auto" w:fill="auto"/>
          </w:tcPr>
          <w:p w14:paraId="6241E0B4" w14:textId="77777777" w:rsidR="00351D76" w:rsidRDefault="00351D76" w:rsidP="004A3E21">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145641B2" w14:textId="77777777" w:rsidR="00351D76" w:rsidRDefault="00351D76" w:rsidP="004A3E21">
            <w:pPr>
              <w:spacing w:before="0"/>
              <w:jc w:val="left"/>
              <w:rPr>
                <w:rFonts w:cstheme="minorHAnsi"/>
                <w:b/>
                <w:bCs/>
                <w:color w:val="808080"/>
                <w:sz w:val="28"/>
                <w:szCs w:val="28"/>
                <w:lang w:val="en-GB"/>
              </w:rPr>
            </w:pPr>
          </w:p>
          <w:p w14:paraId="4C22F725" w14:textId="77777777" w:rsidR="00351D76" w:rsidRPr="00AF70DA" w:rsidRDefault="00351D76" w:rsidP="004A3E21">
            <w:pPr>
              <w:spacing w:before="0"/>
              <w:jc w:val="left"/>
              <w:rPr>
                <w:rFonts w:cs="Times New Roman Bold"/>
                <w:b/>
                <w:bCs/>
                <w:color w:val="808080"/>
                <w:sz w:val="28"/>
                <w:szCs w:val="28"/>
                <w:lang w:val="en-GB"/>
              </w:rPr>
            </w:pPr>
          </w:p>
        </w:tc>
      </w:tr>
      <w:tr w:rsidR="00351D76" w:rsidRPr="00CD4E44" w14:paraId="0C7040B6" w14:textId="77777777" w:rsidTr="004A3E21">
        <w:trPr>
          <w:jc w:val="center"/>
        </w:trPr>
        <w:tc>
          <w:tcPr>
            <w:tcW w:w="7054" w:type="dxa"/>
            <w:gridSpan w:val="2"/>
            <w:shd w:val="clear" w:color="auto" w:fill="auto"/>
          </w:tcPr>
          <w:p w14:paraId="0E0BCAE4" w14:textId="3A64BC58" w:rsidR="00351D76" w:rsidRPr="00773F7E" w:rsidRDefault="00351D76" w:rsidP="004A3E21">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75733D27" w14:textId="044866A5" w:rsidR="00351D76" w:rsidRPr="00CD4E44" w:rsidRDefault="00351D76" w:rsidP="004A3E21">
            <w:pPr>
              <w:spacing w:before="0"/>
              <w:jc w:val="left"/>
              <w:rPr>
                <w:b/>
                <w:bCs/>
                <w:szCs w:val="24"/>
                <w:lang w:val="fr-CH"/>
              </w:rPr>
            </w:pPr>
            <w:r w:rsidRPr="00773F7E">
              <w:rPr>
                <w:b/>
                <w:bCs/>
                <w:szCs w:val="24"/>
                <w:lang w:val="fr-CH"/>
              </w:rPr>
              <w:t>CA/</w:t>
            </w:r>
            <w:r w:rsidR="0050148A">
              <w:rPr>
                <w:b/>
                <w:bCs/>
                <w:szCs w:val="24"/>
                <w:lang w:val="fr-CH"/>
              </w:rPr>
              <w:t>252</w:t>
            </w:r>
          </w:p>
        </w:tc>
        <w:tc>
          <w:tcPr>
            <w:tcW w:w="2835" w:type="dxa"/>
            <w:shd w:val="clear" w:color="auto" w:fill="auto"/>
          </w:tcPr>
          <w:p w14:paraId="60FE0770" w14:textId="46A24FBA" w:rsidR="00351D76" w:rsidRPr="007D67AF" w:rsidRDefault="0050148A" w:rsidP="007D67AF">
            <w:pPr>
              <w:spacing w:before="0"/>
              <w:jc w:val="right"/>
              <w:rPr>
                <w:szCs w:val="24"/>
                <w:lang w:val="fr-CH"/>
              </w:rPr>
            </w:pPr>
            <w:r w:rsidRPr="007D67AF">
              <w:rPr>
                <w:szCs w:val="24"/>
                <w:lang w:val="fr-CH"/>
              </w:rPr>
              <w:t>1 June</w:t>
            </w:r>
            <w:r w:rsidR="00351D76" w:rsidRPr="007D67AF">
              <w:rPr>
                <w:szCs w:val="24"/>
                <w:lang w:val="fr-CH"/>
              </w:rPr>
              <w:t xml:space="preserve"> 2020</w:t>
            </w:r>
          </w:p>
        </w:tc>
      </w:tr>
      <w:tr w:rsidR="00351D76" w:rsidRPr="00CD4E44" w14:paraId="4CA7DAE1" w14:textId="77777777" w:rsidTr="004A3E21">
        <w:trPr>
          <w:jc w:val="center"/>
        </w:trPr>
        <w:tc>
          <w:tcPr>
            <w:tcW w:w="9889" w:type="dxa"/>
            <w:gridSpan w:val="3"/>
            <w:shd w:val="clear" w:color="auto" w:fill="auto"/>
          </w:tcPr>
          <w:p w14:paraId="496F449B" w14:textId="77777777" w:rsidR="00351D76" w:rsidRPr="00CD4E44" w:rsidRDefault="00351D76" w:rsidP="004A3E21">
            <w:pPr>
              <w:spacing w:before="0"/>
              <w:jc w:val="left"/>
              <w:rPr>
                <w:rFonts w:cs="Arial"/>
                <w:szCs w:val="24"/>
                <w:lang w:val="en-GB"/>
              </w:rPr>
            </w:pPr>
          </w:p>
        </w:tc>
      </w:tr>
      <w:tr w:rsidR="00351D76" w:rsidRPr="00CD4E44" w14:paraId="27722961" w14:textId="77777777" w:rsidTr="004A3E21">
        <w:trPr>
          <w:jc w:val="center"/>
        </w:trPr>
        <w:tc>
          <w:tcPr>
            <w:tcW w:w="9889" w:type="dxa"/>
            <w:gridSpan w:val="3"/>
            <w:shd w:val="clear" w:color="auto" w:fill="auto"/>
          </w:tcPr>
          <w:p w14:paraId="5E84CB25" w14:textId="77777777" w:rsidR="00351D76" w:rsidRPr="00CD4E44" w:rsidRDefault="00351D76" w:rsidP="004A3E21">
            <w:pPr>
              <w:spacing w:before="0"/>
              <w:jc w:val="left"/>
              <w:rPr>
                <w:szCs w:val="24"/>
              </w:rPr>
            </w:pPr>
          </w:p>
        </w:tc>
      </w:tr>
      <w:tr w:rsidR="00351D76" w:rsidRPr="00CD4E44" w14:paraId="70D61A91" w14:textId="77777777" w:rsidTr="004A3E21">
        <w:trPr>
          <w:jc w:val="center"/>
        </w:trPr>
        <w:tc>
          <w:tcPr>
            <w:tcW w:w="9889" w:type="dxa"/>
            <w:gridSpan w:val="3"/>
            <w:shd w:val="clear" w:color="auto" w:fill="auto"/>
          </w:tcPr>
          <w:p w14:paraId="61AA2708" w14:textId="77777777" w:rsidR="00351D76" w:rsidRPr="00CD4E44" w:rsidRDefault="00351D76" w:rsidP="004A3E21">
            <w:pPr>
              <w:spacing w:before="0"/>
              <w:jc w:val="left"/>
              <w:rPr>
                <w:b/>
                <w:bCs/>
                <w:szCs w:val="24"/>
              </w:rPr>
            </w:pPr>
            <w:r w:rsidRPr="00CD4E44">
              <w:rPr>
                <w:b/>
                <w:bCs/>
                <w:szCs w:val="24"/>
              </w:rPr>
              <w:t>To Administrations of Member States of the ITU</w:t>
            </w:r>
            <w:r w:rsidRPr="00FA444D">
              <w:rPr>
                <w:b/>
                <w:bCs/>
                <w:szCs w:val="24"/>
                <w:lang w:val="en-GB"/>
              </w:rPr>
              <w:t xml:space="preserve"> and Radiocommunication Sector Members</w:t>
            </w:r>
          </w:p>
          <w:p w14:paraId="57A851F8" w14:textId="77777777" w:rsidR="00351D76" w:rsidRPr="00CD4E44" w:rsidRDefault="00351D76" w:rsidP="004A3E21">
            <w:pPr>
              <w:spacing w:before="0"/>
              <w:jc w:val="left"/>
              <w:rPr>
                <w:b/>
                <w:bCs/>
                <w:szCs w:val="24"/>
              </w:rPr>
            </w:pPr>
          </w:p>
          <w:p w14:paraId="6F5D7ECB" w14:textId="77777777" w:rsidR="00351D76" w:rsidRPr="00CD4E44" w:rsidRDefault="00351D76" w:rsidP="004A3E21">
            <w:pPr>
              <w:spacing w:before="0"/>
              <w:jc w:val="left"/>
              <w:rPr>
                <w:b/>
                <w:bCs/>
                <w:szCs w:val="24"/>
              </w:rPr>
            </w:pPr>
          </w:p>
        </w:tc>
      </w:tr>
      <w:tr w:rsidR="00351D76" w:rsidRPr="00CD4E44" w14:paraId="2E60FDBA" w14:textId="77777777" w:rsidTr="004A3E21">
        <w:trPr>
          <w:jc w:val="center"/>
        </w:trPr>
        <w:tc>
          <w:tcPr>
            <w:tcW w:w="9889" w:type="dxa"/>
            <w:gridSpan w:val="3"/>
            <w:shd w:val="clear" w:color="auto" w:fill="auto"/>
          </w:tcPr>
          <w:p w14:paraId="60C6315F" w14:textId="77777777" w:rsidR="00351D76" w:rsidRPr="00CD4E44" w:rsidRDefault="00351D76" w:rsidP="004A3E21">
            <w:pPr>
              <w:spacing w:before="0"/>
              <w:jc w:val="left"/>
              <w:rPr>
                <w:szCs w:val="24"/>
              </w:rPr>
            </w:pPr>
          </w:p>
        </w:tc>
      </w:tr>
      <w:tr w:rsidR="00351D76" w:rsidRPr="00CD4E44" w14:paraId="4AB81A0D" w14:textId="77777777" w:rsidTr="004A3E21">
        <w:trPr>
          <w:jc w:val="center"/>
        </w:trPr>
        <w:tc>
          <w:tcPr>
            <w:tcW w:w="9889" w:type="dxa"/>
            <w:gridSpan w:val="3"/>
            <w:shd w:val="clear" w:color="auto" w:fill="auto"/>
          </w:tcPr>
          <w:p w14:paraId="59F297D8" w14:textId="77777777" w:rsidR="00351D76" w:rsidRPr="00CD4E44" w:rsidRDefault="00351D76" w:rsidP="004A3E21">
            <w:pPr>
              <w:spacing w:before="0"/>
              <w:jc w:val="left"/>
              <w:rPr>
                <w:szCs w:val="24"/>
              </w:rPr>
            </w:pPr>
          </w:p>
        </w:tc>
      </w:tr>
      <w:tr w:rsidR="00351D76" w:rsidRPr="00CD4E44" w14:paraId="61CC8664" w14:textId="77777777" w:rsidTr="004A3E21">
        <w:trPr>
          <w:jc w:val="center"/>
        </w:trPr>
        <w:tc>
          <w:tcPr>
            <w:tcW w:w="1526" w:type="dxa"/>
            <w:shd w:val="clear" w:color="auto" w:fill="auto"/>
          </w:tcPr>
          <w:p w14:paraId="13CC43BC" w14:textId="77777777" w:rsidR="00351D76" w:rsidRPr="00CD4E44" w:rsidRDefault="00351D76" w:rsidP="004A3E21">
            <w:pPr>
              <w:spacing w:before="0"/>
              <w:jc w:val="left"/>
              <w:rPr>
                <w:szCs w:val="24"/>
                <w:lang w:val="en-GB"/>
              </w:rPr>
            </w:pPr>
            <w:r w:rsidRPr="00CD4E44">
              <w:rPr>
                <w:szCs w:val="24"/>
              </w:rPr>
              <w:t>Subject:</w:t>
            </w:r>
          </w:p>
        </w:tc>
        <w:tc>
          <w:tcPr>
            <w:tcW w:w="8363" w:type="dxa"/>
            <w:gridSpan w:val="2"/>
            <w:vMerge w:val="restart"/>
            <w:shd w:val="clear" w:color="auto" w:fill="auto"/>
          </w:tcPr>
          <w:p w14:paraId="1E4F4310" w14:textId="77777777" w:rsidR="00351D76" w:rsidRPr="00CD4E44" w:rsidRDefault="00351D76" w:rsidP="004A3E21">
            <w:pPr>
              <w:spacing w:before="0"/>
              <w:rPr>
                <w:b/>
                <w:bCs/>
                <w:szCs w:val="24"/>
                <w:lang w:val="en-GB"/>
              </w:rPr>
            </w:pPr>
            <w:r w:rsidRPr="00FA444D">
              <w:rPr>
                <w:b/>
                <w:bCs/>
                <w:szCs w:val="24"/>
                <w:lang w:val="en-GB"/>
              </w:rPr>
              <w:t>Summary of conclusions of the twenty-s</w:t>
            </w:r>
            <w:r>
              <w:rPr>
                <w:b/>
                <w:bCs/>
                <w:szCs w:val="24"/>
                <w:lang w:val="en-GB"/>
              </w:rPr>
              <w:t>even</w:t>
            </w:r>
            <w:r w:rsidRPr="00FA444D">
              <w:rPr>
                <w:b/>
                <w:bCs/>
                <w:szCs w:val="24"/>
                <w:lang w:val="en-GB"/>
              </w:rPr>
              <w:t>th Radiocommunication Advisory Group meeting</w:t>
            </w:r>
          </w:p>
        </w:tc>
      </w:tr>
      <w:tr w:rsidR="00351D76" w:rsidRPr="00CD4E44" w14:paraId="48D3A8DD" w14:textId="77777777" w:rsidTr="004A3E21">
        <w:trPr>
          <w:jc w:val="center"/>
        </w:trPr>
        <w:tc>
          <w:tcPr>
            <w:tcW w:w="1526" w:type="dxa"/>
            <w:shd w:val="clear" w:color="auto" w:fill="auto"/>
          </w:tcPr>
          <w:p w14:paraId="7E4C9266" w14:textId="77777777" w:rsidR="00351D76" w:rsidRPr="00CD4E44" w:rsidRDefault="00351D76" w:rsidP="004A3E21">
            <w:pPr>
              <w:spacing w:before="0"/>
              <w:jc w:val="left"/>
              <w:rPr>
                <w:b/>
                <w:bCs/>
                <w:szCs w:val="24"/>
                <w:lang w:val="en-GB"/>
              </w:rPr>
            </w:pPr>
          </w:p>
        </w:tc>
        <w:tc>
          <w:tcPr>
            <w:tcW w:w="8363" w:type="dxa"/>
            <w:gridSpan w:val="2"/>
            <w:vMerge/>
            <w:shd w:val="clear" w:color="auto" w:fill="auto"/>
          </w:tcPr>
          <w:p w14:paraId="5A995EB8" w14:textId="77777777" w:rsidR="00351D76" w:rsidRPr="00CD4E44" w:rsidRDefault="00351D76" w:rsidP="004A3E21">
            <w:pPr>
              <w:spacing w:before="0"/>
              <w:rPr>
                <w:b/>
                <w:bCs/>
                <w:szCs w:val="24"/>
                <w:lang w:val="en-GB"/>
              </w:rPr>
            </w:pPr>
          </w:p>
        </w:tc>
      </w:tr>
      <w:tr w:rsidR="00351D76" w:rsidRPr="00CD4E44" w14:paraId="77618D1C" w14:textId="77777777" w:rsidTr="004A3E21">
        <w:trPr>
          <w:jc w:val="center"/>
        </w:trPr>
        <w:tc>
          <w:tcPr>
            <w:tcW w:w="1526" w:type="dxa"/>
            <w:shd w:val="clear" w:color="auto" w:fill="auto"/>
          </w:tcPr>
          <w:p w14:paraId="7B01EEF6" w14:textId="77777777" w:rsidR="00351D76" w:rsidRPr="00CD4E44" w:rsidRDefault="00351D76" w:rsidP="004A3E21">
            <w:pPr>
              <w:spacing w:before="0"/>
              <w:jc w:val="left"/>
              <w:rPr>
                <w:b/>
                <w:bCs/>
                <w:szCs w:val="24"/>
                <w:lang w:val="en-GB"/>
              </w:rPr>
            </w:pPr>
          </w:p>
        </w:tc>
        <w:tc>
          <w:tcPr>
            <w:tcW w:w="8363" w:type="dxa"/>
            <w:gridSpan w:val="2"/>
            <w:vMerge/>
            <w:shd w:val="clear" w:color="auto" w:fill="auto"/>
          </w:tcPr>
          <w:p w14:paraId="14395AEA" w14:textId="77777777" w:rsidR="00351D76" w:rsidRPr="00CD4E44" w:rsidRDefault="00351D76" w:rsidP="004A3E21">
            <w:pPr>
              <w:spacing w:before="0"/>
              <w:rPr>
                <w:b/>
                <w:bCs/>
                <w:szCs w:val="24"/>
                <w:lang w:val="en-GB"/>
              </w:rPr>
            </w:pPr>
          </w:p>
        </w:tc>
      </w:tr>
      <w:tr w:rsidR="00351D76" w:rsidRPr="00CD4E44" w14:paraId="6F690B36" w14:textId="77777777" w:rsidTr="004A3E21">
        <w:trPr>
          <w:jc w:val="center"/>
        </w:trPr>
        <w:tc>
          <w:tcPr>
            <w:tcW w:w="9889" w:type="dxa"/>
            <w:gridSpan w:val="3"/>
            <w:shd w:val="clear" w:color="auto" w:fill="auto"/>
          </w:tcPr>
          <w:p w14:paraId="746F5DA9" w14:textId="77777777" w:rsidR="00351D76" w:rsidRPr="00CD4E44" w:rsidRDefault="00351D76" w:rsidP="004A3E21">
            <w:pPr>
              <w:spacing w:before="0"/>
              <w:jc w:val="left"/>
              <w:rPr>
                <w:b/>
                <w:bCs/>
                <w:szCs w:val="24"/>
              </w:rPr>
            </w:pPr>
          </w:p>
        </w:tc>
      </w:tr>
      <w:tr w:rsidR="00351D76" w:rsidRPr="00CD4E44" w14:paraId="4CD2DF50" w14:textId="77777777" w:rsidTr="004A3E21">
        <w:trPr>
          <w:jc w:val="center"/>
        </w:trPr>
        <w:tc>
          <w:tcPr>
            <w:tcW w:w="9889" w:type="dxa"/>
            <w:gridSpan w:val="3"/>
            <w:shd w:val="clear" w:color="auto" w:fill="auto"/>
          </w:tcPr>
          <w:p w14:paraId="2BE00955" w14:textId="77777777" w:rsidR="00351D76" w:rsidRPr="00CD4E44" w:rsidRDefault="00351D76" w:rsidP="004A3E21">
            <w:pPr>
              <w:spacing w:before="0"/>
              <w:jc w:val="left"/>
              <w:rPr>
                <w:b/>
                <w:bCs/>
                <w:szCs w:val="24"/>
              </w:rPr>
            </w:pPr>
          </w:p>
        </w:tc>
      </w:tr>
    </w:tbl>
    <w:p w14:paraId="50CDED4F" w14:textId="545BC4A1" w:rsidR="00351D76" w:rsidRPr="00340ADE" w:rsidRDefault="00351D76" w:rsidP="00C22410">
      <w:pPr>
        <w:spacing w:before="0"/>
        <w:rPr>
          <w:szCs w:val="24"/>
        </w:rPr>
      </w:pPr>
      <w:r w:rsidRPr="0050148A">
        <w:rPr>
          <w:rFonts w:asciiTheme="minorHAnsi" w:hAnsiTheme="minorHAnsi"/>
          <w:szCs w:val="24"/>
        </w:rPr>
        <w:t>The Radiocommunication Advisory Group (RAG) met for the twenty-s</w:t>
      </w:r>
      <w:r w:rsidR="00C22410" w:rsidRPr="0050148A">
        <w:rPr>
          <w:rFonts w:asciiTheme="minorHAnsi" w:hAnsiTheme="minorHAnsi"/>
          <w:szCs w:val="24"/>
        </w:rPr>
        <w:t>eventh</w:t>
      </w:r>
      <w:r w:rsidRPr="0050148A">
        <w:rPr>
          <w:rFonts w:asciiTheme="minorHAnsi" w:hAnsiTheme="minorHAnsi"/>
          <w:szCs w:val="24"/>
        </w:rPr>
        <w:t xml:space="preserve"> time from </w:t>
      </w:r>
      <w:r w:rsidR="00ED40A6" w:rsidRPr="0050148A">
        <w:rPr>
          <w:rFonts w:asciiTheme="minorHAnsi" w:hAnsiTheme="minorHAnsi"/>
          <w:szCs w:val="24"/>
        </w:rPr>
        <w:t>25</w:t>
      </w:r>
      <w:r w:rsidRPr="0050148A">
        <w:rPr>
          <w:rFonts w:asciiTheme="minorHAnsi" w:hAnsiTheme="minorHAnsi"/>
          <w:szCs w:val="24"/>
        </w:rPr>
        <w:t xml:space="preserve"> to </w:t>
      </w:r>
      <w:r w:rsidR="00ED40A6" w:rsidRPr="0050148A">
        <w:rPr>
          <w:rFonts w:asciiTheme="minorHAnsi" w:hAnsiTheme="minorHAnsi"/>
          <w:szCs w:val="24"/>
        </w:rPr>
        <w:t>27 May</w:t>
      </w:r>
      <w:r w:rsidR="00C22410" w:rsidRPr="0050148A">
        <w:rPr>
          <w:rFonts w:asciiTheme="minorHAnsi" w:hAnsiTheme="minorHAnsi"/>
          <w:szCs w:val="24"/>
        </w:rPr>
        <w:t xml:space="preserve"> 2020</w:t>
      </w:r>
      <w:r w:rsidRPr="0050148A">
        <w:rPr>
          <w:rFonts w:asciiTheme="minorHAnsi" w:hAnsiTheme="minorHAnsi"/>
          <w:szCs w:val="24"/>
        </w:rPr>
        <w:t>.</w:t>
      </w:r>
    </w:p>
    <w:p w14:paraId="0715C319" w14:textId="77777777" w:rsidR="00351D76" w:rsidRPr="00340ADE" w:rsidRDefault="00351D76" w:rsidP="00351D76">
      <w:pPr>
        <w:rPr>
          <w:rFonts w:asciiTheme="minorHAnsi" w:hAnsiTheme="minorHAnsi" w:cstheme="minorHAnsi"/>
          <w:szCs w:val="24"/>
        </w:rPr>
      </w:pPr>
      <w:r w:rsidRPr="00340ADE">
        <w:rPr>
          <w:rFonts w:asciiTheme="minorHAnsi" w:hAnsiTheme="minorHAnsi"/>
          <w:szCs w:val="24"/>
        </w:rPr>
        <w:t>The summary of conclusions of the meeting is contained in the Annex to this letter</w:t>
      </w:r>
      <w:r w:rsidRPr="00340ADE">
        <w:rPr>
          <w:rFonts w:asciiTheme="minorHAnsi" w:hAnsiTheme="minorHAnsi"/>
          <w:szCs w:val="24"/>
          <w:lang w:eastAsia="zh-CN"/>
        </w:rPr>
        <w:t>.</w:t>
      </w:r>
    </w:p>
    <w:p w14:paraId="68EA4FED" w14:textId="0E772E70" w:rsidR="00351D76" w:rsidRPr="00340ADE" w:rsidRDefault="00351D76" w:rsidP="00351D76">
      <w:pPr>
        <w:rPr>
          <w:rFonts w:asciiTheme="minorHAnsi" w:hAnsiTheme="minorHAnsi" w:cstheme="minorHAnsi"/>
          <w:szCs w:val="24"/>
        </w:rPr>
      </w:pPr>
      <w:r w:rsidRPr="00340ADE">
        <w:rPr>
          <w:rFonts w:asciiTheme="minorHAnsi" w:hAnsiTheme="minorHAnsi"/>
          <w:szCs w:val="24"/>
        </w:rPr>
        <w:t xml:space="preserve">Additional information about this meeting may be found on the RAG website at </w:t>
      </w:r>
      <w:hyperlink r:id="rId7" w:history="1">
        <w:r w:rsidR="00144227" w:rsidRPr="006C20BF">
          <w:rPr>
            <w:rStyle w:val="Hyperlink"/>
            <w:rFonts w:asciiTheme="minorHAnsi" w:hAnsiTheme="minorHAnsi"/>
            <w:szCs w:val="24"/>
          </w:rPr>
          <w:t>www.itu.int/ITU</w:t>
        </w:r>
        <w:r w:rsidR="00144227" w:rsidRPr="006C20BF">
          <w:rPr>
            <w:rStyle w:val="Hyperlink"/>
            <w:rFonts w:asciiTheme="minorHAnsi" w:hAnsiTheme="minorHAnsi"/>
            <w:szCs w:val="24"/>
          </w:rPr>
          <w:noBreakHyphen/>
          <w:t>R/go/RAG</w:t>
        </w:r>
      </w:hyperlink>
      <w:r w:rsidRPr="00340ADE">
        <w:rPr>
          <w:rFonts w:asciiTheme="minorHAnsi" w:hAnsiTheme="minorHAnsi"/>
          <w:szCs w:val="24"/>
        </w:rPr>
        <w:t>.</w:t>
      </w:r>
    </w:p>
    <w:p w14:paraId="000919A2" w14:textId="0D3D4473" w:rsidR="00351D76" w:rsidRDefault="00351D76" w:rsidP="00351D76">
      <w:pPr>
        <w:rPr>
          <w:rFonts w:asciiTheme="minorHAnsi" w:hAnsiTheme="minorHAnsi" w:cstheme="minorHAnsi"/>
          <w:szCs w:val="24"/>
        </w:rPr>
      </w:pPr>
    </w:p>
    <w:p w14:paraId="0277A761" w14:textId="77777777" w:rsidR="00144227" w:rsidRPr="00FA444D" w:rsidRDefault="00144227" w:rsidP="00351D76">
      <w:pPr>
        <w:rPr>
          <w:rFonts w:asciiTheme="minorHAnsi" w:hAnsiTheme="minorHAnsi" w:cstheme="minorHAnsi"/>
          <w:szCs w:val="24"/>
        </w:rPr>
      </w:pPr>
    </w:p>
    <w:p w14:paraId="782909DB" w14:textId="77777777" w:rsidR="00351D76" w:rsidRPr="00FA444D" w:rsidRDefault="00351D76" w:rsidP="00351D76">
      <w:pPr>
        <w:rPr>
          <w:rFonts w:asciiTheme="minorHAnsi" w:hAnsiTheme="minorHAnsi" w:cstheme="minorHAnsi"/>
          <w:szCs w:val="24"/>
          <w:lang w:val="en-GB"/>
        </w:rPr>
      </w:pPr>
    </w:p>
    <w:p w14:paraId="596C04A1" w14:textId="77777777" w:rsidR="00351D76" w:rsidRPr="00393D9C" w:rsidRDefault="00351D76" w:rsidP="00351D76">
      <w:pPr>
        <w:spacing w:before="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14:paraId="1FFA7586" w14:textId="77777777" w:rsidR="00351D76" w:rsidRPr="00393D9C" w:rsidRDefault="00351D76" w:rsidP="00351D76">
      <w:pPr>
        <w:spacing w:before="0" w:line="240" w:lineRule="auto"/>
        <w:jc w:val="left"/>
        <w:rPr>
          <w:rFonts w:asciiTheme="minorHAnsi" w:hAnsiTheme="minorHAnsi" w:cstheme="minorHAnsi"/>
          <w:szCs w:val="24"/>
          <w:lang w:val="en-GB"/>
        </w:rPr>
      </w:pPr>
      <w:r w:rsidRPr="00393D9C">
        <w:rPr>
          <w:rFonts w:asciiTheme="minorHAnsi" w:hAnsiTheme="minorHAnsi" w:cstheme="minorHAnsi"/>
          <w:szCs w:val="24"/>
          <w:lang w:val="en-GB"/>
        </w:rPr>
        <w:t>Director</w:t>
      </w:r>
    </w:p>
    <w:p w14:paraId="667B51C5" w14:textId="77777777" w:rsidR="00351D76" w:rsidRPr="000E2C47" w:rsidRDefault="00351D76" w:rsidP="00351D76">
      <w:pPr>
        <w:widowControl w:val="0"/>
        <w:spacing w:before="0" w:line="240" w:lineRule="auto"/>
        <w:jc w:val="left"/>
        <w:rPr>
          <w:rFonts w:asciiTheme="minorHAnsi" w:hAnsiTheme="minorHAnsi" w:cstheme="minorHAnsi"/>
          <w:szCs w:val="24"/>
        </w:rPr>
      </w:pPr>
    </w:p>
    <w:p w14:paraId="23FCE655" w14:textId="77777777" w:rsidR="00351D76" w:rsidRPr="00A6707C" w:rsidRDefault="00351D76" w:rsidP="00DD208C">
      <w:pPr>
        <w:spacing w:before="360"/>
        <w:rPr>
          <w:lang w:val="en-GB"/>
        </w:rPr>
      </w:pPr>
      <w:r w:rsidRPr="00A6707C">
        <w:rPr>
          <w:lang w:val="en-GB"/>
        </w:rPr>
        <w:t xml:space="preserve">Annex: </w:t>
      </w:r>
      <w:r w:rsidRPr="00A6707C">
        <w:rPr>
          <w:lang w:val="en-GB"/>
        </w:rPr>
        <w:tab/>
      </w:r>
      <w:r>
        <w:rPr>
          <w:lang w:val="en-GB"/>
        </w:rPr>
        <w:t>1</w:t>
      </w:r>
    </w:p>
    <w:p w14:paraId="381D16B5" w14:textId="77777777" w:rsidR="00351D76" w:rsidRPr="00FB7739" w:rsidRDefault="00351D76" w:rsidP="00DD208C">
      <w:pPr>
        <w:widowControl w:val="0"/>
        <w:tabs>
          <w:tab w:val="left" w:pos="284"/>
          <w:tab w:val="left" w:pos="568"/>
        </w:tabs>
        <w:spacing w:before="360" w:line="240" w:lineRule="auto"/>
        <w:rPr>
          <w:b/>
          <w:bCs/>
          <w:sz w:val="18"/>
          <w:szCs w:val="18"/>
          <w:lang w:val="en-CA"/>
        </w:rPr>
      </w:pPr>
      <w:r w:rsidRPr="00FB7739">
        <w:rPr>
          <w:b/>
          <w:bCs/>
          <w:sz w:val="18"/>
          <w:szCs w:val="18"/>
          <w:lang w:val="en-CA"/>
        </w:rPr>
        <w:t>Distribution:</w:t>
      </w:r>
    </w:p>
    <w:p w14:paraId="638F70BA" w14:textId="77777777" w:rsidR="00161334" w:rsidRDefault="00D83A02" w:rsidP="00A434BF">
      <w:pPr>
        <w:tabs>
          <w:tab w:val="left" w:pos="284"/>
        </w:tabs>
        <w:spacing w:before="120" w:line="240" w:lineRule="auto"/>
        <w:jc w:val="left"/>
        <w:rPr>
          <w:sz w:val="18"/>
          <w:szCs w:val="18"/>
        </w:rPr>
      </w:pPr>
      <w:r w:rsidRPr="006B45A0">
        <w:rPr>
          <w:sz w:val="18"/>
          <w:szCs w:val="18"/>
        </w:rPr>
        <w:t>–</w:t>
      </w:r>
      <w:r w:rsidRPr="006B45A0">
        <w:rPr>
          <w:sz w:val="18"/>
          <w:szCs w:val="18"/>
        </w:rPr>
        <w:tab/>
        <w:t>Administrations of Member States of the ITU</w:t>
      </w:r>
      <w:bookmarkStart w:id="0" w:name="_GoBack"/>
      <w:bookmarkEnd w:id="0"/>
      <w:r w:rsidRPr="006B45A0">
        <w:rPr>
          <w:sz w:val="18"/>
          <w:szCs w:val="18"/>
          <w:lang w:val="en-GB"/>
        </w:rPr>
        <w:br/>
      </w:r>
      <w:r w:rsidRPr="006B45A0">
        <w:rPr>
          <w:sz w:val="18"/>
          <w:szCs w:val="18"/>
        </w:rPr>
        <w:t>–</w:t>
      </w:r>
      <w:r w:rsidRPr="006B45A0">
        <w:rPr>
          <w:sz w:val="18"/>
          <w:szCs w:val="18"/>
        </w:rPr>
        <w:tab/>
        <w:t>Radiocommunication Sector Members</w:t>
      </w:r>
      <w:r w:rsidRPr="006B45A0">
        <w:rPr>
          <w:sz w:val="18"/>
          <w:szCs w:val="18"/>
        </w:rPr>
        <w:br/>
        <w:t>–</w:t>
      </w:r>
      <w:r w:rsidRPr="006B45A0">
        <w:rPr>
          <w:sz w:val="18"/>
          <w:szCs w:val="18"/>
        </w:rPr>
        <w:tab/>
      </w:r>
      <w:r w:rsidRPr="00CF6585">
        <w:rPr>
          <w:sz w:val="18"/>
          <w:szCs w:val="18"/>
        </w:rPr>
        <w:t>ITU A</w:t>
      </w:r>
      <w:r w:rsidRPr="006B45A0">
        <w:rPr>
          <w:sz w:val="18"/>
          <w:szCs w:val="18"/>
        </w:rPr>
        <w:t>cademia</w:t>
      </w:r>
      <w:r w:rsidRPr="006B45A0">
        <w:rPr>
          <w:sz w:val="18"/>
          <w:szCs w:val="18"/>
        </w:rPr>
        <w:br/>
        <w:t>–</w:t>
      </w:r>
      <w:r w:rsidRPr="006B45A0">
        <w:rPr>
          <w:sz w:val="18"/>
          <w:szCs w:val="18"/>
        </w:rPr>
        <w:tab/>
        <w:t xml:space="preserve">Chairmen and Vice-Chairmen of Radiocommunication Study Groups </w:t>
      </w:r>
      <w:r>
        <w:rPr>
          <w:sz w:val="18"/>
          <w:szCs w:val="18"/>
        </w:rPr>
        <w:br/>
        <w:t>–</w:t>
      </w:r>
      <w:r>
        <w:rPr>
          <w:sz w:val="18"/>
          <w:szCs w:val="18"/>
        </w:rPr>
        <w:tab/>
        <w:t>Chairman and Vice-Chairmen of the Radiocommunication Advisory Group</w:t>
      </w:r>
      <w:r>
        <w:rPr>
          <w:sz w:val="18"/>
          <w:szCs w:val="18"/>
        </w:rPr>
        <w:br/>
        <w:t>–</w:t>
      </w:r>
      <w:r>
        <w:rPr>
          <w:sz w:val="18"/>
          <w:szCs w:val="18"/>
        </w:rPr>
        <w:tab/>
        <w:t>Chairman and Vice-Chairmen of the Conference Preparatory Meeting</w:t>
      </w:r>
      <w:r>
        <w:rPr>
          <w:sz w:val="18"/>
          <w:szCs w:val="18"/>
        </w:rPr>
        <w:br/>
        <w:t>–</w:t>
      </w:r>
      <w:r>
        <w:rPr>
          <w:sz w:val="18"/>
          <w:szCs w:val="18"/>
        </w:rPr>
        <w:tab/>
        <w:t>Members of the Radio Regulations Board</w:t>
      </w:r>
      <w:r w:rsidR="00A434BF">
        <w:rPr>
          <w:sz w:val="18"/>
          <w:szCs w:val="18"/>
        </w:rPr>
        <w:br/>
      </w:r>
      <w:r>
        <w:rPr>
          <w:sz w:val="18"/>
          <w:szCs w:val="18"/>
        </w:rPr>
        <w:t xml:space="preserve">– </w:t>
      </w:r>
      <w:r w:rsidR="00A434BF">
        <w:rPr>
          <w:sz w:val="18"/>
          <w:szCs w:val="18"/>
        </w:rPr>
        <w:tab/>
      </w:r>
      <w:r>
        <w:rPr>
          <w:sz w:val="18"/>
          <w:szCs w:val="18"/>
        </w:rPr>
        <w:t>Secretary-General of the ITU, Director of the Telecommunication Standardization Bureau, Director of the Telecommunication Development Bureau</w:t>
      </w:r>
    </w:p>
    <w:p w14:paraId="29A3652B" w14:textId="77777777" w:rsidR="00161334" w:rsidRDefault="00161334" w:rsidP="00A434BF">
      <w:pPr>
        <w:tabs>
          <w:tab w:val="left" w:pos="284"/>
        </w:tabs>
        <w:spacing w:before="120" w:line="240" w:lineRule="auto"/>
        <w:jc w:val="left"/>
        <w:rPr>
          <w:sz w:val="18"/>
          <w:szCs w:val="18"/>
        </w:rPr>
      </w:pPr>
    </w:p>
    <w:p w14:paraId="3228D9F3" w14:textId="10E483DD" w:rsidR="00161334" w:rsidRDefault="00161334" w:rsidP="00A434BF">
      <w:pPr>
        <w:tabs>
          <w:tab w:val="left" w:pos="284"/>
        </w:tabs>
        <w:spacing w:before="120" w:line="240" w:lineRule="auto"/>
        <w:jc w:val="left"/>
        <w:rPr>
          <w:sz w:val="18"/>
          <w:szCs w:val="18"/>
        </w:rPr>
        <w:sectPr w:rsidR="00161334" w:rsidSect="00161334">
          <w:headerReference w:type="default" r:id="rId8"/>
          <w:footerReference w:type="default" r:id="rId9"/>
          <w:headerReference w:type="first" r:id="rId10"/>
          <w:footerReference w:type="first" r:id="rId11"/>
          <w:pgSz w:w="11907" w:h="16834" w:code="9"/>
          <w:pgMar w:top="2376" w:right="1134" w:bottom="993" w:left="1134" w:header="567" w:footer="801" w:gutter="0"/>
          <w:cols w:space="720"/>
          <w:titlePg/>
          <w:docGrid w:linePitch="326"/>
        </w:sectPr>
      </w:pPr>
    </w:p>
    <w:p w14:paraId="55E2FB21" w14:textId="77777777" w:rsidR="0037271D" w:rsidRDefault="0037271D" w:rsidP="00600246">
      <w:pPr>
        <w:pStyle w:val="ResNo"/>
      </w:pPr>
    </w:p>
    <w:p w14:paraId="4F62ED23" w14:textId="4518723A" w:rsidR="00600246" w:rsidRDefault="00600246" w:rsidP="00600246">
      <w:pPr>
        <w:pStyle w:val="ResNo"/>
      </w:pPr>
      <w:r>
        <w:t>ANNEX</w:t>
      </w:r>
    </w:p>
    <w:p w14:paraId="2130305B" w14:textId="77777777" w:rsidR="00600246" w:rsidRDefault="00600246" w:rsidP="00600246">
      <w:pPr>
        <w:jc w:val="center"/>
        <w:rPr>
          <w:rFonts w:asciiTheme="minorHAnsi" w:hAnsiTheme="minorHAnsi" w:cstheme="minorHAnsi"/>
          <w:szCs w:val="24"/>
        </w:rPr>
      </w:pPr>
    </w:p>
    <w:p w14:paraId="50BBE854" w14:textId="77777777" w:rsidR="00600246" w:rsidRDefault="00600246" w:rsidP="00600246">
      <w:pPr>
        <w:jc w:val="center"/>
        <w:rPr>
          <w:rFonts w:asciiTheme="minorHAnsi" w:hAnsiTheme="minorHAnsi" w:cstheme="minorHAnsi"/>
          <w:szCs w:val="24"/>
        </w:rPr>
      </w:pPr>
      <w:r>
        <w:rPr>
          <w:rFonts w:asciiTheme="minorHAnsi" w:hAnsiTheme="minorHAnsi" w:cstheme="minorHAnsi"/>
          <w:szCs w:val="24"/>
        </w:rPr>
        <w:t>SUMMARY OF CONCLUSIONS OF THE</w:t>
      </w:r>
      <w:r>
        <w:rPr>
          <w:rFonts w:asciiTheme="minorHAnsi" w:hAnsiTheme="minorHAnsi" w:cstheme="minorHAnsi"/>
          <w:szCs w:val="24"/>
        </w:rPr>
        <w:br/>
        <w:t>TWENTY-SEVENTH</w:t>
      </w:r>
      <w:r w:rsidRPr="007E76AA">
        <w:rPr>
          <w:rFonts w:asciiTheme="minorHAnsi" w:hAnsiTheme="minorHAnsi" w:cstheme="minorHAnsi"/>
          <w:szCs w:val="24"/>
        </w:rPr>
        <w:t xml:space="preserve"> RADIOCOMMUNICATION ADVISORY GROUP MEETING</w:t>
      </w:r>
    </w:p>
    <w:p w14:paraId="53CCAD1D" w14:textId="77777777" w:rsidR="00600246" w:rsidRDefault="00600246" w:rsidP="00600246">
      <w:pPr>
        <w:jc w:val="center"/>
        <w:rPr>
          <w:rFonts w:asciiTheme="minorHAnsi" w:hAnsiTheme="minorHAnsi" w:cstheme="minorHAnsi"/>
          <w:szCs w:val="24"/>
        </w:rPr>
      </w:pPr>
      <w:r w:rsidRPr="00A977C4">
        <w:rPr>
          <w:rFonts w:asciiTheme="minorHAnsi" w:hAnsiTheme="minorHAnsi" w:cstheme="minorHAnsi"/>
          <w:szCs w:val="24"/>
        </w:rPr>
        <w:t>(Source: Doc. RAG</w:t>
      </w:r>
      <w:r>
        <w:rPr>
          <w:rFonts w:asciiTheme="minorHAnsi" w:hAnsiTheme="minorHAnsi" w:cstheme="minorHAnsi"/>
          <w:szCs w:val="24"/>
        </w:rPr>
        <w:t>20</w:t>
      </w:r>
      <w:r w:rsidRPr="00A977C4">
        <w:rPr>
          <w:rFonts w:asciiTheme="minorHAnsi" w:hAnsiTheme="minorHAnsi" w:cstheme="minorHAnsi"/>
          <w:szCs w:val="24"/>
        </w:rPr>
        <w:t>/</w:t>
      </w:r>
      <w:r>
        <w:rPr>
          <w:rFonts w:asciiTheme="minorHAnsi" w:hAnsiTheme="minorHAnsi" w:cstheme="minorHAnsi"/>
          <w:szCs w:val="24"/>
        </w:rPr>
        <w:t>TEMP/3 (edited))</w:t>
      </w:r>
    </w:p>
    <w:p w14:paraId="27D8ECBE" w14:textId="47FEFE14" w:rsidR="00600246" w:rsidRDefault="00600246" w:rsidP="00351D76">
      <w:pPr>
        <w:jc w:val="center"/>
        <w:rPr>
          <w:rFonts w:asciiTheme="minorHAnsi" w:hAnsiTheme="minorHAnsi" w:cstheme="minorHAns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97"/>
        <w:gridCol w:w="2945"/>
        <w:gridCol w:w="10755"/>
      </w:tblGrid>
      <w:tr w:rsidR="00600246" w14:paraId="31227890" w14:textId="77777777" w:rsidTr="007D4747">
        <w:trPr>
          <w:tblHeader/>
          <w:jc w:val="center"/>
        </w:trPr>
        <w:tc>
          <w:tcPr>
            <w:tcW w:w="339" w:type="pct"/>
            <w:vAlign w:val="center"/>
          </w:tcPr>
          <w:p w14:paraId="1556B9E3" w14:textId="77777777" w:rsidR="00600246" w:rsidRPr="007E76AA" w:rsidRDefault="00600246" w:rsidP="00B1108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rPr>
            </w:pPr>
            <w:r w:rsidRPr="007E76AA">
              <w:rPr>
                <w:rFonts w:asciiTheme="minorHAnsi" w:hAnsiTheme="minorHAnsi"/>
                <w:b/>
              </w:rPr>
              <w:br w:type="page"/>
              <w:t>Agenda Item</w:t>
            </w:r>
          </w:p>
        </w:tc>
        <w:tc>
          <w:tcPr>
            <w:tcW w:w="1002" w:type="pct"/>
            <w:vAlign w:val="center"/>
          </w:tcPr>
          <w:p w14:paraId="3B26007F" w14:textId="77777777" w:rsidR="00600246" w:rsidRPr="00E75D7F" w:rsidRDefault="00600246" w:rsidP="00B1108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b/>
              </w:rPr>
            </w:pPr>
            <w:r w:rsidRPr="006866BA">
              <w:rPr>
                <w:rFonts w:asciiTheme="minorHAnsi" w:hAnsiTheme="minorHAnsi"/>
                <w:b/>
              </w:rPr>
              <w:t>Subject /</w:t>
            </w:r>
            <w:r w:rsidRPr="006866BA">
              <w:rPr>
                <w:rFonts w:asciiTheme="minorHAnsi" w:hAnsiTheme="minorHAnsi"/>
                <w:b/>
              </w:rPr>
              <w:br/>
            </w:r>
            <w:r w:rsidRPr="000A3215">
              <w:rPr>
                <w:rFonts w:asciiTheme="minorHAnsi" w:hAnsiTheme="minorHAnsi"/>
                <w:b/>
              </w:rPr>
              <w:t>Document</w:t>
            </w:r>
          </w:p>
        </w:tc>
        <w:tc>
          <w:tcPr>
            <w:tcW w:w="3659" w:type="pct"/>
            <w:vAlign w:val="center"/>
          </w:tcPr>
          <w:p w14:paraId="3BEDE978" w14:textId="77777777" w:rsidR="00600246" w:rsidRPr="007E76AA" w:rsidRDefault="00600246" w:rsidP="00B1108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Theme="minorHAnsi" w:hAnsiTheme="minorHAnsi"/>
                <w:b/>
              </w:rPr>
            </w:pPr>
            <w:r w:rsidRPr="007E76AA">
              <w:rPr>
                <w:rFonts w:asciiTheme="minorHAnsi" w:hAnsiTheme="minorHAnsi"/>
                <w:b/>
              </w:rPr>
              <w:t>Conclusions</w:t>
            </w:r>
          </w:p>
        </w:tc>
      </w:tr>
      <w:tr w:rsidR="00600246" w14:paraId="0C8C06CA" w14:textId="77777777" w:rsidTr="007D4747">
        <w:trPr>
          <w:jc w:val="center"/>
        </w:trPr>
        <w:tc>
          <w:tcPr>
            <w:tcW w:w="339" w:type="pct"/>
          </w:tcPr>
          <w:p w14:paraId="1277E93B"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7E76AA">
              <w:rPr>
                <w:rFonts w:asciiTheme="minorHAnsi" w:hAnsiTheme="minorHAnsi"/>
              </w:rPr>
              <w:t>1</w:t>
            </w:r>
          </w:p>
        </w:tc>
        <w:tc>
          <w:tcPr>
            <w:tcW w:w="1002" w:type="pct"/>
          </w:tcPr>
          <w:p w14:paraId="1D3B49C3" w14:textId="77777777" w:rsidR="00600246" w:rsidRPr="001D38C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1D38CA">
              <w:rPr>
                <w:rFonts w:asciiTheme="minorHAnsi" w:hAnsiTheme="minorHAnsi"/>
              </w:rPr>
              <w:t>Opening remarks</w:t>
            </w:r>
          </w:p>
        </w:tc>
        <w:tc>
          <w:tcPr>
            <w:tcW w:w="3659" w:type="pct"/>
          </w:tcPr>
          <w:p w14:paraId="068982B4"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rPr>
                <w:rFonts w:asciiTheme="minorHAnsi" w:hAnsiTheme="minorHAnsi"/>
              </w:rPr>
            </w:pPr>
            <w:r>
              <w:rPr>
                <w:rFonts w:asciiTheme="minorHAnsi" w:hAnsiTheme="minorHAnsi"/>
              </w:rPr>
              <w:t>The meeting was officially</w:t>
            </w:r>
            <w:r w:rsidRPr="007E76AA">
              <w:rPr>
                <w:rFonts w:asciiTheme="minorHAnsi" w:hAnsiTheme="minorHAnsi"/>
              </w:rPr>
              <w:t xml:space="preserve"> opened by the Chairman, Mr. Daniel </w:t>
            </w:r>
            <w:proofErr w:type="spellStart"/>
            <w:r w:rsidRPr="007E76AA">
              <w:rPr>
                <w:rFonts w:asciiTheme="minorHAnsi" w:hAnsiTheme="minorHAnsi"/>
              </w:rPr>
              <w:t>Obam</w:t>
            </w:r>
            <w:proofErr w:type="spellEnd"/>
            <w:r w:rsidRPr="007E76AA">
              <w:rPr>
                <w:rFonts w:asciiTheme="minorHAnsi" w:hAnsiTheme="minorHAnsi"/>
              </w:rPr>
              <w:t xml:space="preserve"> (Kenya). </w:t>
            </w:r>
          </w:p>
          <w:p w14:paraId="6467E418"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rPr>
                <w:rFonts w:asciiTheme="minorHAnsi" w:hAnsiTheme="minorHAnsi"/>
              </w:rPr>
            </w:pPr>
            <w:r w:rsidRPr="1909A468">
              <w:rPr>
                <w:rFonts w:asciiTheme="minorHAnsi" w:hAnsiTheme="minorHAnsi"/>
              </w:rPr>
              <w:t xml:space="preserve">The ITU Secretary-general delivered his opening remarks and </w:t>
            </w:r>
            <w:r w:rsidRPr="1909A468">
              <w:rPr>
                <w:rFonts w:eastAsia="Calibri"/>
              </w:rPr>
              <w:t xml:space="preserve">presented his sincere congratulations to the election of the chairman and vice </w:t>
            </w:r>
            <w:r w:rsidRPr="5D743E64">
              <w:rPr>
                <w:rFonts w:eastAsia="Calibri"/>
              </w:rPr>
              <w:t>chairmen</w:t>
            </w:r>
            <w:r w:rsidRPr="1909A468">
              <w:rPr>
                <w:rFonts w:eastAsia="Calibri"/>
              </w:rPr>
              <w:t xml:space="preserve"> of the RAG. He highlighted that WRC achieved many important agreements and applauded the Gender Declaration. He thanked the Egyptian Administration for their generosity and hospitality. The SG highlighted the importance of the intersectoral cooperation between the </w:t>
            </w:r>
            <w:proofErr w:type="spellStart"/>
            <w:r w:rsidRPr="5D743E64">
              <w:rPr>
                <w:rFonts w:eastAsia="Calibri"/>
              </w:rPr>
              <w:t>Bureaux</w:t>
            </w:r>
            <w:proofErr w:type="spellEnd"/>
            <w:r w:rsidRPr="1909A468">
              <w:rPr>
                <w:rFonts w:eastAsia="Calibri"/>
              </w:rPr>
              <w:t xml:space="preserve"> and the delegates.</w:t>
            </w:r>
            <w:r w:rsidRPr="1909A468">
              <w:rPr>
                <w:rFonts w:asciiTheme="minorHAnsi" w:hAnsiTheme="minorHAnsi"/>
              </w:rPr>
              <w:t xml:space="preserve">  </w:t>
            </w:r>
          </w:p>
          <w:p w14:paraId="00A6491C"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rPr>
                <w:rFonts w:asciiTheme="minorHAnsi" w:hAnsiTheme="minorHAnsi"/>
              </w:rPr>
            </w:pPr>
            <w:r>
              <w:rPr>
                <w:rFonts w:asciiTheme="minorHAnsi" w:hAnsiTheme="minorHAnsi"/>
              </w:rPr>
              <w:t xml:space="preserve">The BR Director also welcomed all participants to this first RAG meeting during this study period and </w:t>
            </w:r>
            <w:r w:rsidRPr="1909A468">
              <w:rPr>
                <w:rFonts w:eastAsia="Calibri"/>
              </w:rPr>
              <w:t>congratulated the Members for the successful conclusion of the WRC-19 and the RA-19. The Director highlighted that the BR is committed to continue delivering towards their mandate and that ITU-R meetings will continue to be held virtually during this pandemic period. The Director highlighted the topics that RA-19 and WRC-19 invited the RAG to consider.</w:t>
            </w:r>
          </w:p>
          <w:p w14:paraId="064F693A"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rPr>
                <w:rFonts w:asciiTheme="minorHAnsi" w:hAnsiTheme="minorHAnsi"/>
              </w:rPr>
            </w:pPr>
            <w:r w:rsidRPr="00A350A8">
              <w:rPr>
                <w:rFonts w:asciiTheme="minorHAnsi" w:hAnsiTheme="minorHAnsi"/>
              </w:rPr>
              <w:t xml:space="preserve">In his opening remarks, the </w:t>
            </w:r>
            <w:r>
              <w:rPr>
                <w:rFonts w:asciiTheme="minorHAnsi" w:hAnsiTheme="minorHAnsi"/>
              </w:rPr>
              <w:t>C</w:t>
            </w:r>
            <w:r w:rsidRPr="00A350A8">
              <w:rPr>
                <w:rFonts w:asciiTheme="minorHAnsi" w:hAnsiTheme="minorHAnsi"/>
              </w:rPr>
              <w:t>hairman</w:t>
            </w:r>
            <w:r>
              <w:rPr>
                <w:rFonts w:asciiTheme="minorHAnsi" w:hAnsiTheme="minorHAnsi"/>
              </w:rPr>
              <w:t xml:space="preserve"> of the RAG</w:t>
            </w:r>
            <w:r w:rsidRPr="00A350A8">
              <w:rPr>
                <w:rFonts w:asciiTheme="minorHAnsi" w:hAnsiTheme="minorHAnsi"/>
              </w:rPr>
              <w:t xml:space="preserve"> thanked all the ITU Administrations for showing confidence in him by re-electing for a second term. He promised to work diligently and cooperatively with everyone in carrying out the mandate of RAG. He also thanked the Secretary General and the Directors of the other </w:t>
            </w:r>
            <w:proofErr w:type="spellStart"/>
            <w:r w:rsidRPr="00A350A8">
              <w:rPr>
                <w:rFonts w:asciiTheme="minorHAnsi" w:hAnsiTheme="minorHAnsi"/>
              </w:rPr>
              <w:t>Bureaux</w:t>
            </w:r>
            <w:proofErr w:type="spellEnd"/>
            <w:r w:rsidRPr="00A350A8">
              <w:rPr>
                <w:rFonts w:asciiTheme="minorHAnsi" w:hAnsiTheme="minorHAnsi"/>
              </w:rPr>
              <w:t xml:space="preserve"> for attending the meeting.</w:t>
            </w:r>
            <w:r>
              <w:rPr>
                <w:rFonts w:asciiTheme="minorHAnsi" w:hAnsiTheme="minorHAnsi"/>
              </w:rPr>
              <w:t xml:space="preserve">   He </w:t>
            </w:r>
            <w:r w:rsidRPr="00A350A8">
              <w:rPr>
                <w:rFonts w:asciiTheme="minorHAnsi" w:hAnsiTheme="minorHAnsi"/>
              </w:rPr>
              <w:t xml:space="preserve">expressed his appreciation to the Director, the Deputy Director and staff of the BR for the effort they had put in to prepare for this unprecedented online meeting. He congratulated the newly elected chairmen and vice </w:t>
            </w:r>
            <w:r w:rsidRPr="5D743E64">
              <w:rPr>
                <w:rFonts w:asciiTheme="minorHAnsi" w:hAnsiTheme="minorHAnsi"/>
              </w:rPr>
              <w:t>chairmen</w:t>
            </w:r>
            <w:r w:rsidRPr="00A350A8">
              <w:rPr>
                <w:rFonts w:asciiTheme="minorHAnsi" w:hAnsiTheme="minorHAnsi"/>
              </w:rPr>
              <w:t xml:space="preserve"> of the Study Groups, CCV and CPM and wished well in their work during the study cycle. He also congratulated and </w:t>
            </w:r>
            <w:r w:rsidRPr="4EA2476D">
              <w:rPr>
                <w:rFonts w:asciiTheme="minorHAnsi" w:hAnsiTheme="minorHAnsi"/>
              </w:rPr>
              <w:t>recognized</w:t>
            </w:r>
            <w:r w:rsidRPr="00A350A8">
              <w:rPr>
                <w:rFonts w:asciiTheme="minorHAnsi" w:hAnsiTheme="minorHAnsi"/>
              </w:rPr>
              <w:t xml:space="preserve"> the new RAG vice chairmen and expressed the wish to work with them for the next 3 years.</w:t>
            </w:r>
          </w:p>
          <w:p w14:paraId="2F849670"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rPr>
                <w:rFonts w:asciiTheme="minorHAnsi" w:hAnsiTheme="minorHAnsi"/>
              </w:rPr>
            </w:pPr>
            <w:r w:rsidRPr="00A350A8">
              <w:rPr>
                <w:rFonts w:asciiTheme="minorHAnsi" w:hAnsiTheme="minorHAnsi"/>
              </w:rPr>
              <w:lastRenderedPageBreak/>
              <w:t>Finally, the chairman expressed his appreciation to previous secretaries to the RAG meeting Mr. Fabio Leite, Mr. Mario Maniewicz and Mr. William Ijeh for their contribution to the work of RAG. He wished the delegates a fruitful meeting.</w:t>
            </w:r>
          </w:p>
        </w:tc>
      </w:tr>
      <w:tr w:rsidR="00600246" w14:paraId="71E31801" w14:textId="77777777" w:rsidTr="007D4747">
        <w:trPr>
          <w:trHeight w:val="948"/>
          <w:jc w:val="center"/>
        </w:trPr>
        <w:tc>
          <w:tcPr>
            <w:tcW w:w="339" w:type="pct"/>
          </w:tcPr>
          <w:p w14:paraId="72ED1B21" w14:textId="77777777" w:rsidR="00600246" w:rsidRPr="007E76AA" w:rsidDel="002A034D"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7E76AA">
              <w:rPr>
                <w:rFonts w:asciiTheme="minorHAnsi" w:hAnsiTheme="minorHAnsi"/>
              </w:rPr>
              <w:lastRenderedPageBreak/>
              <w:t>2</w:t>
            </w:r>
          </w:p>
        </w:tc>
        <w:tc>
          <w:tcPr>
            <w:tcW w:w="1002" w:type="pct"/>
          </w:tcPr>
          <w:p w14:paraId="0D36BBD6" w14:textId="77777777" w:rsidR="00600246" w:rsidRPr="001D38C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1D38CA">
              <w:rPr>
                <w:rFonts w:asciiTheme="minorHAnsi" w:hAnsiTheme="minorHAnsi"/>
              </w:rPr>
              <w:t>Approval of the agenda</w:t>
            </w:r>
          </w:p>
          <w:p w14:paraId="07D0BFC3" w14:textId="77777777" w:rsidR="00600246" w:rsidRPr="001D38C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B412B5">
              <w:rPr>
                <w:rFonts w:asciiTheme="minorHAnsi" w:hAnsiTheme="minorHAnsi"/>
                <w:i/>
              </w:rPr>
              <w:t>RAG20</w:t>
            </w:r>
            <w:r w:rsidRPr="000A3215">
              <w:rPr>
                <w:rFonts w:asciiTheme="minorHAnsi" w:hAnsiTheme="minorHAnsi"/>
                <w:i/>
              </w:rPr>
              <w:t>/ADM/1</w:t>
            </w:r>
          </w:p>
        </w:tc>
        <w:tc>
          <w:tcPr>
            <w:tcW w:w="3659" w:type="pct"/>
          </w:tcPr>
          <w:p w14:paraId="6E594619" w14:textId="77777777" w:rsidR="00600246" w:rsidRPr="006E785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6E785A">
              <w:rPr>
                <w:rFonts w:asciiTheme="minorHAnsi" w:hAnsiTheme="minorHAnsi"/>
              </w:rPr>
              <w:t xml:space="preserve">The draft agenda in Doc. RAG20/ADM/1 was adopted without changes. </w:t>
            </w:r>
          </w:p>
        </w:tc>
      </w:tr>
      <w:tr w:rsidR="00600246" w14:paraId="72678506" w14:textId="77777777" w:rsidTr="007D4747">
        <w:trPr>
          <w:jc w:val="center"/>
        </w:trPr>
        <w:tc>
          <w:tcPr>
            <w:tcW w:w="339" w:type="pct"/>
          </w:tcPr>
          <w:p w14:paraId="301CBFFF"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3</w:t>
            </w:r>
          </w:p>
        </w:tc>
        <w:tc>
          <w:tcPr>
            <w:tcW w:w="1002" w:type="pct"/>
          </w:tcPr>
          <w:p w14:paraId="59FE6730" w14:textId="77777777" w:rsidR="00600246" w:rsidRPr="001D38C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1D38CA">
              <w:rPr>
                <w:rFonts w:asciiTheme="minorHAnsi" w:hAnsiTheme="minorHAnsi"/>
              </w:rPr>
              <w:t>Council issues</w:t>
            </w:r>
          </w:p>
          <w:p w14:paraId="0FC97634"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0A3215">
              <w:rPr>
                <w:rFonts w:asciiTheme="minorHAnsi" w:hAnsiTheme="minorHAnsi"/>
                <w:i/>
                <w:iCs/>
              </w:rPr>
              <w:t>RAG20/1-Rev1</w:t>
            </w:r>
            <w:r>
              <w:rPr>
                <w:rFonts w:asciiTheme="minorHAnsi" w:hAnsiTheme="minorHAnsi"/>
                <w:i/>
                <w:iCs/>
              </w:rPr>
              <w:t>(</w:t>
            </w:r>
            <w:r>
              <w:rPr>
                <w:rFonts w:asciiTheme="minorHAnsi" w:hAnsiTheme="minorHAnsi" w:cstheme="minorHAnsi"/>
                <w:i/>
                <w:iCs/>
              </w:rPr>
              <w:t>§</w:t>
            </w:r>
            <w:r>
              <w:rPr>
                <w:rFonts w:asciiTheme="minorHAnsi" w:hAnsiTheme="minorHAnsi"/>
                <w:i/>
                <w:iCs/>
              </w:rPr>
              <w:t xml:space="preserve">2 &amp; </w:t>
            </w:r>
            <w:r>
              <w:rPr>
                <w:rFonts w:asciiTheme="minorHAnsi" w:hAnsiTheme="minorHAnsi" w:cstheme="minorHAnsi"/>
                <w:i/>
                <w:iCs/>
              </w:rPr>
              <w:t>§</w:t>
            </w:r>
            <w:r>
              <w:rPr>
                <w:rFonts w:asciiTheme="minorHAnsi" w:hAnsiTheme="minorHAnsi"/>
                <w:i/>
                <w:iCs/>
              </w:rPr>
              <w:t>3.2.3)</w:t>
            </w:r>
          </w:p>
        </w:tc>
        <w:tc>
          <w:tcPr>
            <w:tcW w:w="3659" w:type="pct"/>
          </w:tcPr>
          <w:p w14:paraId="3EC87398" w14:textId="77777777" w:rsidR="00600246" w:rsidRPr="00DA640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rPr>
            </w:pPr>
            <w:r w:rsidRPr="00DA6406">
              <w:rPr>
                <w:rFonts w:asciiTheme="minorHAnsi" w:hAnsiTheme="minorHAnsi" w:cstheme="minorHAnsi"/>
              </w:rPr>
              <w:t xml:space="preserve">RAG noted the information provided on Cost recovery for satellite network fillings. </w:t>
            </w:r>
          </w:p>
          <w:p w14:paraId="2B076BBB"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rPr>
            </w:pPr>
            <w:r w:rsidRPr="00DA6406">
              <w:rPr>
                <w:rFonts w:asciiTheme="minorHAnsi" w:hAnsiTheme="minorHAnsi" w:cstheme="minorHAnsi"/>
              </w:rPr>
              <w:t>RAG noted the information on the Financial implications of WRC-19 Decision</w:t>
            </w:r>
            <w:r>
              <w:rPr>
                <w:rFonts w:asciiTheme="minorHAnsi" w:hAnsiTheme="minorHAnsi" w:cstheme="minorHAnsi"/>
              </w:rPr>
              <w:t xml:space="preserve">s and </w:t>
            </w:r>
            <w:r w:rsidRPr="00DA6406">
              <w:rPr>
                <w:rFonts w:asciiTheme="minorHAnsi" w:hAnsiTheme="minorHAnsi" w:cstheme="minorHAnsi"/>
              </w:rPr>
              <w:t xml:space="preserve">recognized the importance of the BR having </w:t>
            </w:r>
            <w:proofErr w:type="gramStart"/>
            <w:r w:rsidRPr="00DA6406">
              <w:rPr>
                <w:rFonts w:asciiTheme="minorHAnsi" w:hAnsiTheme="minorHAnsi" w:cstheme="minorHAnsi"/>
              </w:rPr>
              <w:t>sufficient</w:t>
            </w:r>
            <w:proofErr w:type="gramEnd"/>
            <w:r w:rsidRPr="00DA6406">
              <w:rPr>
                <w:rFonts w:asciiTheme="minorHAnsi" w:hAnsiTheme="minorHAnsi" w:cstheme="minorHAnsi"/>
              </w:rPr>
              <w:t xml:space="preserve"> funding to implement the decisions of the WRC-19 over the full study cycle.</w:t>
            </w:r>
          </w:p>
          <w:p w14:paraId="56BCB2C8" w14:textId="77777777" w:rsidR="00600246" w:rsidRPr="00220CBB"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rPr>
            </w:pPr>
            <w:r w:rsidRPr="00DA6406">
              <w:rPr>
                <w:rFonts w:asciiTheme="minorHAnsi" w:hAnsiTheme="minorHAnsi" w:cstheme="minorHAnsi"/>
              </w:rPr>
              <w:t>The RAG also noted that the financial regulations do not allow the BR to utilize its annual budget for projects that extend beyond the end of the year, which would be the types of projects undertaken to implement the WRC-19 decisions.</w:t>
            </w:r>
            <w:r>
              <w:rPr>
                <w:rFonts w:asciiTheme="minorHAnsi" w:hAnsiTheme="minorHAnsi" w:cstheme="minorHAnsi"/>
              </w:rPr>
              <w:t xml:space="preserve">  </w:t>
            </w:r>
            <w:r w:rsidRPr="00DA6406">
              <w:rPr>
                <w:rFonts w:asciiTheme="minorHAnsi" w:hAnsiTheme="minorHAnsi" w:cstheme="minorHAnsi"/>
              </w:rPr>
              <w:t>As such, it is important for Council to earmark funds that can be used by the BR for this purpose, which can be taken from existing annual savings.</w:t>
            </w:r>
          </w:p>
          <w:p w14:paraId="2023984C" w14:textId="77777777" w:rsidR="00600246" w:rsidRDefault="00600246" w:rsidP="00B1108B">
            <w:pPr>
              <w:spacing w:after="160" w:line="259" w:lineRule="auto"/>
              <w:rPr>
                <w:rFonts w:asciiTheme="minorHAnsi" w:hAnsiTheme="minorHAnsi" w:cstheme="minorBidi"/>
              </w:rPr>
            </w:pPr>
            <w:r w:rsidRPr="6AE3529D">
              <w:rPr>
                <w:rFonts w:asciiTheme="minorHAnsi" w:hAnsiTheme="minorHAnsi" w:cstheme="minorBidi"/>
              </w:rPr>
              <w:t>RAG also recognized that the estimates made by the WRC-19 were based on the best available information at the time of the conference. RAG also noted that any savings that may occur from the actual implementation of these decisions would be returned to the ITU budget.</w:t>
            </w:r>
          </w:p>
          <w:p w14:paraId="109655D5" w14:textId="77777777" w:rsidR="00600246" w:rsidRPr="005C1CF7" w:rsidRDefault="00600246" w:rsidP="00B1108B">
            <w:pPr>
              <w:spacing w:after="160" w:line="259" w:lineRule="auto"/>
              <w:rPr>
                <w:rFonts w:asciiTheme="minorHAnsi" w:hAnsiTheme="minorHAnsi" w:cstheme="minorHAnsi"/>
                <w:lang w:val="en-GB"/>
              </w:rPr>
            </w:pPr>
            <w:r>
              <w:rPr>
                <w:rFonts w:asciiTheme="minorHAnsi" w:hAnsiTheme="minorHAnsi" w:cstheme="minorHAnsi"/>
              </w:rPr>
              <w:t>USA expressed their reservation regarding the financial implications of WRC-19 that have been submitted to Council.</w:t>
            </w:r>
          </w:p>
        </w:tc>
      </w:tr>
      <w:tr w:rsidR="00600246" w14:paraId="3E8383B2" w14:textId="77777777" w:rsidTr="007D4747">
        <w:trPr>
          <w:jc w:val="center"/>
        </w:trPr>
        <w:tc>
          <w:tcPr>
            <w:tcW w:w="339" w:type="pct"/>
          </w:tcPr>
          <w:p w14:paraId="08671D50"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4</w:t>
            </w:r>
          </w:p>
        </w:tc>
        <w:tc>
          <w:tcPr>
            <w:tcW w:w="1002" w:type="pct"/>
          </w:tcPr>
          <w:p w14:paraId="76DC295A"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rPr>
            </w:pPr>
            <w:r w:rsidRPr="001D38CA">
              <w:rPr>
                <w:rFonts w:asciiTheme="minorHAnsi" w:hAnsiTheme="minorHAnsi" w:cstheme="majorBidi"/>
              </w:rPr>
              <w:t>Result of RA-19 and WRC-19 and consequential actions</w:t>
            </w:r>
          </w:p>
          <w:p w14:paraId="772B50BC"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rPr>
            </w:pPr>
            <w:r w:rsidRPr="000A3215">
              <w:rPr>
                <w:rFonts w:asciiTheme="minorHAnsi" w:hAnsiTheme="minorHAnsi"/>
                <w:i/>
                <w:iCs/>
              </w:rPr>
              <w:t>RAG20/1-Rev1</w:t>
            </w:r>
            <w:r>
              <w:rPr>
                <w:rFonts w:asciiTheme="minorHAnsi" w:hAnsiTheme="minorHAnsi"/>
                <w:i/>
                <w:iCs/>
              </w:rPr>
              <w:t>(</w:t>
            </w:r>
            <w:r>
              <w:rPr>
                <w:rFonts w:asciiTheme="minorHAnsi" w:hAnsiTheme="minorHAnsi" w:cstheme="minorHAnsi"/>
                <w:i/>
                <w:iCs/>
              </w:rPr>
              <w:t>§</w:t>
            </w:r>
            <w:r>
              <w:rPr>
                <w:rFonts w:asciiTheme="minorHAnsi" w:hAnsiTheme="minorHAnsi"/>
                <w:i/>
                <w:iCs/>
              </w:rPr>
              <w:t>3)</w:t>
            </w:r>
            <w:r w:rsidRPr="000A3215">
              <w:rPr>
                <w:rFonts w:asciiTheme="minorHAnsi" w:hAnsiTheme="minorHAnsi"/>
                <w:i/>
                <w:iCs/>
              </w:rPr>
              <w:t>, 7, 11, 13, 15, 16, 19, 21</w:t>
            </w:r>
          </w:p>
        </w:tc>
        <w:tc>
          <w:tcPr>
            <w:tcW w:w="3659" w:type="pct"/>
          </w:tcPr>
          <w:tbl>
            <w:tblPr>
              <w:tblW w:w="0" w:type="auto"/>
              <w:tblLook w:val="06A0" w:firstRow="1" w:lastRow="0" w:firstColumn="1" w:lastColumn="0" w:noHBand="1" w:noVBand="1"/>
            </w:tblPr>
            <w:tblGrid>
              <w:gridCol w:w="10537"/>
            </w:tblGrid>
            <w:tr w:rsidR="00600246" w14:paraId="3481DB82" w14:textId="77777777" w:rsidTr="00B1108B">
              <w:tc>
                <w:tcPr>
                  <w:tcW w:w="10537" w:type="dxa"/>
                </w:tcPr>
                <w:p w14:paraId="53C543FE" w14:textId="77777777" w:rsidR="00600246" w:rsidRPr="00E0277D" w:rsidRDefault="00600246" w:rsidP="00B1108B">
                  <w:pPr>
                    <w:spacing w:after="120"/>
                  </w:pPr>
                  <w:r w:rsidRPr="00E0277D">
                    <w:rPr>
                      <w:rFonts w:eastAsia="Calibri"/>
                    </w:rPr>
                    <w:t xml:space="preserve">RAG noted the information provided in the Director’s report on the results of the Radiocommunication Assembly 2019 (RA-19). </w:t>
                  </w:r>
                </w:p>
                <w:p w14:paraId="51CE3F50" w14:textId="77777777" w:rsidR="00600246" w:rsidRDefault="00600246" w:rsidP="00B1108B">
                  <w:pPr>
                    <w:spacing w:after="120"/>
                    <w:rPr>
                      <w:rFonts w:eastAsia="Calibri"/>
                    </w:rPr>
                  </w:pPr>
                  <w:r w:rsidRPr="05791A34">
                    <w:rPr>
                      <w:rFonts w:eastAsia="Calibri"/>
                    </w:rPr>
                    <w:t xml:space="preserve">RAG considered Doc. RAG20/7 from Iran (Islamic Republic of) and noted the proposals contained therein. The Bureau informed </w:t>
                  </w:r>
                  <w:r>
                    <w:rPr>
                      <w:rFonts w:eastAsia="Calibri"/>
                    </w:rPr>
                    <w:t xml:space="preserve">delegates </w:t>
                  </w:r>
                  <w:r w:rsidRPr="05791A34">
                    <w:rPr>
                      <w:rFonts w:eastAsia="Calibri"/>
                    </w:rPr>
                    <w:t>that</w:t>
                  </w:r>
                  <w:r>
                    <w:rPr>
                      <w:rFonts w:eastAsia="Calibri"/>
                    </w:rPr>
                    <w:t>,</w:t>
                  </w:r>
                  <w:r w:rsidRPr="05791A34">
                    <w:rPr>
                      <w:rFonts w:eastAsia="Calibri"/>
                    </w:rPr>
                    <w:t xml:space="preserve"> as a result of a decision of the Radio Regulations Board (RRB) at its 68</w:t>
                  </w:r>
                  <w:r w:rsidRPr="05791A34">
                    <w:rPr>
                      <w:rFonts w:eastAsia="Calibri"/>
                      <w:vertAlign w:val="superscript"/>
                    </w:rPr>
                    <w:t>th</w:t>
                  </w:r>
                  <w:r w:rsidRPr="05791A34">
                    <w:rPr>
                      <w:rFonts w:eastAsia="Calibri"/>
                    </w:rPr>
                    <w:t xml:space="preserve"> meeting, a collection (“</w:t>
                  </w:r>
                  <w:hyperlink r:id="rId12">
                    <w:r w:rsidRPr="05791A34">
                      <w:rPr>
                        <w:rStyle w:val="Hyperlink"/>
                        <w:rFonts w:eastAsia="Calibri"/>
                      </w:rPr>
                      <w:t>Decisions of past WRCs concerning the application of the Radio Regulations</w:t>
                    </w:r>
                  </w:hyperlink>
                  <w:r w:rsidRPr="05791A34">
                    <w:rPr>
                      <w:rFonts w:eastAsia="Calibri"/>
                    </w:rPr>
                    <w:t xml:space="preserve">”) of the decisions in the Minutes of the Plenary sessions of WRC-95 to WRC-12 that are not contained in the Final Acts of these conferences, is available on the </w:t>
                  </w:r>
                  <w:hyperlink r:id="rId13">
                    <w:r w:rsidRPr="05791A34">
                      <w:rPr>
                        <w:rStyle w:val="Hyperlink"/>
                        <w:rFonts w:eastAsia="Calibri"/>
                      </w:rPr>
                      <w:t>website</w:t>
                    </w:r>
                  </w:hyperlink>
                  <w:r w:rsidRPr="05791A34">
                    <w:rPr>
                      <w:rFonts w:eastAsia="Calibri"/>
                    </w:rPr>
                    <w:t xml:space="preserve"> of the RRB under the “Special Topics” tab.  </w:t>
                  </w:r>
                  <w:r>
                    <w:rPr>
                      <w:rFonts w:eastAsia="Calibri"/>
                    </w:rPr>
                    <w:t>A</w:t>
                  </w:r>
                  <w:r w:rsidRPr="05791A34">
                    <w:rPr>
                      <w:rFonts w:eastAsia="Calibri"/>
                    </w:rPr>
                    <w:t>t its 74</w:t>
                  </w:r>
                  <w:r w:rsidRPr="05791A34">
                    <w:rPr>
                      <w:rFonts w:eastAsia="Calibri"/>
                      <w:vertAlign w:val="superscript"/>
                    </w:rPr>
                    <w:t>th</w:t>
                  </w:r>
                  <w:r w:rsidRPr="05791A34">
                    <w:rPr>
                      <w:rFonts w:eastAsia="Calibri"/>
                    </w:rPr>
                    <w:t xml:space="preserve"> meeting, the Board decided to publish those decisions in the Minutes of the Plenary sessions of </w:t>
                  </w:r>
                  <w:r w:rsidRPr="05791A34">
                    <w:rPr>
                      <w:rFonts w:eastAsia="Calibri"/>
                    </w:rPr>
                    <w:lastRenderedPageBreak/>
                    <w:t xml:space="preserve">WRC-15 that are not contained in the Final Acts of that conference and that have an impact on the Rules of Procedure or Radio Regulations, as </w:t>
                  </w:r>
                  <w:r>
                    <w:rPr>
                      <w:rFonts w:eastAsia="Calibri"/>
                    </w:rPr>
                    <w:t>“N</w:t>
                  </w:r>
                  <w:r w:rsidRPr="05791A34">
                    <w:rPr>
                      <w:rFonts w:eastAsia="Calibri"/>
                    </w:rPr>
                    <w:t>otes</w:t>
                  </w:r>
                  <w:r>
                    <w:rPr>
                      <w:rFonts w:eastAsia="Calibri"/>
                    </w:rPr>
                    <w:t>”</w:t>
                  </w:r>
                  <w:r w:rsidRPr="05791A34">
                    <w:rPr>
                      <w:rFonts w:eastAsia="Calibri"/>
                    </w:rPr>
                    <w:t xml:space="preserve"> in the 2017 </w:t>
                  </w:r>
                  <w:r>
                    <w:rPr>
                      <w:rFonts w:eastAsia="Calibri"/>
                    </w:rPr>
                    <w:t>E</w:t>
                  </w:r>
                  <w:r w:rsidRPr="05791A34">
                    <w:rPr>
                      <w:rFonts w:eastAsia="Calibri"/>
                    </w:rPr>
                    <w:t>dition of the Rules of Procedure (</w:t>
                  </w:r>
                  <w:proofErr w:type="spellStart"/>
                  <w:r w:rsidRPr="05791A34">
                    <w:rPr>
                      <w:rFonts w:eastAsia="Calibri"/>
                    </w:rPr>
                    <w:t>RoPs</w:t>
                  </w:r>
                  <w:proofErr w:type="spellEnd"/>
                  <w:r w:rsidRPr="05791A34">
                    <w:rPr>
                      <w:rFonts w:eastAsia="Calibri"/>
                    </w:rPr>
                    <w:t xml:space="preserve">).  </w:t>
                  </w:r>
                  <w:r>
                    <w:rPr>
                      <w:rFonts w:eastAsia="Calibri"/>
                    </w:rPr>
                    <w:t>The meeting was also informed that</w:t>
                  </w:r>
                  <w:r w:rsidRPr="05791A34">
                    <w:rPr>
                      <w:rFonts w:eastAsia="Calibri"/>
                    </w:rPr>
                    <w:t xml:space="preserve"> Circular Letter (</w:t>
                  </w:r>
                  <w:hyperlink r:id="rId14">
                    <w:r w:rsidRPr="05791A34">
                      <w:rPr>
                        <w:rStyle w:val="Hyperlink"/>
                        <w:rFonts w:eastAsia="Calibri"/>
                      </w:rPr>
                      <w:t>CR/456</w:t>
                    </w:r>
                  </w:hyperlink>
                  <w:r w:rsidRPr="05791A34">
                    <w:rPr>
                      <w:rFonts w:eastAsia="Calibri"/>
                    </w:rPr>
                    <w:t xml:space="preserve">) contains a table with the decision(s) of WRC-19 included in the Minutes of its Plenary sessions and such a </w:t>
                  </w:r>
                  <w:hyperlink r:id="rId15">
                    <w:r w:rsidRPr="05791A34">
                      <w:rPr>
                        <w:rStyle w:val="Hyperlink"/>
                        <w:rFonts w:eastAsia="Calibri"/>
                      </w:rPr>
                      <w:t>table</w:t>
                    </w:r>
                  </w:hyperlink>
                  <w:r w:rsidRPr="05791A34">
                    <w:rPr>
                      <w:rFonts w:eastAsia="Calibri"/>
                    </w:rPr>
                    <w:t xml:space="preserve"> was published on the RRB website.</w:t>
                  </w:r>
                </w:p>
                <w:p w14:paraId="705FCA4F" w14:textId="77777777" w:rsidR="00600246" w:rsidRPr="00E0277D" w:rsidRDefault="00600246" w:rsidP="00B1108B">
                  <w:pPr>
                    <w:spacing w:after="120"/>
                    <w:rPr>
                      <w:rFonts w:eastAsia="Calibri"/>
                    </w:rPr>
                  </w:pPr>
                  <w:r w:rsidRPr="05791A34">
                    <w:rPr>
                      <w:rFonts w:eastAsia="Calibri"/>
                    </w:rPr>
                    <w:t xml:space="preserve">Based on the discussion, it was agreed that this information, which is currently on the RRB website, would be made more </w:t>
                  </w:r>
                  <w:r>
                    <w:rPr>
                      <w:rFonts w:eastAsia="Calibri"/>
                    </w:rPr>
                    <w:t>prominently displayed on the ITU-R website for</w:t>
                  </w:r>
                  <w:r w:rsidRPr="05791A34">
                    <w:rPr>
                      <w:rFonts w:eastAsia="Calibri"/>
                    </w:rPr>
                    <w:t xml:space="preserve"> </w:t>
                  </w:r>
                  <w:r>
                    <w:rPr>
                      <w:rFonts w:eastAsia="Calibri"/>
                    </w:rPr>
                    <w:t xml:space="preserve">easier access by </w:t>
                  </w:r>
                  <w:r w:rsidRPr="05791A34">
                    <w:rPr>
                      <w:rFonts w:eastAsia="Calibri"/>
                    </w:rPr>
                    <w:t>the membership.</w:t>
                  </w:r>
                </w:p>
                <w:p w14:paraId="25E12845" w14:textId="77777777" w:rsidR="00600246" w:rsidRPr="003B06EA" w:rsidRDefault="00600246" w:rsidP="00B1108B">
                  <w:pPr>
                    <w:spacing w:after="120"/>
                    <w:rPr>
                      <w:rFonts w:eastAsia="Calibri"/>
                    </w:rPr>
                  </w:pPr>
                  <w:r w:rsidRPr="00E0277D">
                    <w:rPr>
                      <w:rFonts w:eastAsia="Calibri"/>
                    </w:rPr>
                    <w:t>RAG considered Doc. RAG20/11 from Iran (Islamic Republic of) and the proposal on categorizing new and revised Resolutions adopted by previous WRCs and taking consequential actions</w:t>
                  </w:r>
                  <w:r w:rsidRPr="008E5D54">
                    <w:rPr>
                      <w:rFonts w:eastAsia="Calibri"/>
                    </w:rPr>
                    <w:t xml:space="preserve">. The objective of Document 11 was to prepare a consolidated document containing all Resolutions of previous WRCs in force as far as the responsibility and the mandate of the Bureau is concerned taking into account the categorization provided by </w:t>
                  </w:r>
                  <w:r w:rsidRPr="003B06EA">
                    <w:rPr>
                      <w:rFonts w:eastAsia="Calibri"/>
                    </w:rPr>
                    <w:t xml:space="preserve">Document 11 and made it available or posted on the RAG and the Bureau’s website as well as publishing that </w:t>
                  </w:r>
                  <w:r w:rsidRPr="760FD15A">
                    <w:rPr>
                      <w:rFonts w:eastAsia="Calibri"/>
                    </w:rPr>
                    <w:t xml:space="preserve">in a </w:t>
                  </w:r>
                  <w:r w:rsidRPr="003B06EA">
                    <w:rPr>
                      <w:rFonts w:eastAsia="Calibri"/>
                    </w:rPr>
                    <w:t xml:space="preserve">circular letter addressed to Membership. </w:t>
                  </w:r>
                </w:p>
                <w:p w14:paraId="49D2A460" w14:textId="77777777" w:rsidR="00600246" w:rsidRPr="003B06EA" w:rsidRDefault="00600246" w:rsidP="00B1108B">
                  <w:pPr>
                    <w:spacing w:after="120"/>
                    <w:rPr>
                      <w:rFonts w:eastAsia="Calibri"/>
                    </w:rPr>
                  </w:pPr>
                  <w:r w:rsidRPr="003B06EA">
                    <w:rPr>
                      <w:rFonts w:eastAsia="Calibri"/>
                    </w:rPr>
                    <w:t>The Bureau informed delegates that the proposal is partially implemented in Doc. 1 of each Study Group. Additional elements presented in the proposal will be consolidated in a separate single document. Other actions will be reported to RAG-21.</w:t>
                  </w:r>
                </w:p>
                <w:p w14:paraId="30F8D164" w14:textId="77777777" w:rsidR="00600246" w:rsidRDefault="00600246" w:rsidP="00B1108B">
                  <w:pPr>
                    <w:spacing w:after="120"/>
                    <w:rPr>
                      <w:rFonts w:eastAsia="Calibri"/>
                    </w:rPr>
                  </w:pPr>
                  <w:r w:rsidRPr="003B06EA">
                    <w:rPr>
                      <w:rFonts w:eastAsia="Calibri"/>
                    </w:rPr>
                    <w:t>RAG considered Docs. RAG20/13, 15, 16</w:t>
                  </w:r>
                  <w:r w:rsidRPr="00B94FB1">
                    <w:rPr>
                      <w:rFonts w:eastAsia="Calibri"/>
                    </w:rPr>
                    <w:t xml:space="preserve"> and 19 that refer to the instructions provided to the RAG by the RA-19 and the WRC-1</w:t>
                  </w:r>
                  <w:r>
                    <w:rPr>
                      <w:rFonts w:eastAsia="Calibri"/>
                    </w:rPr>
                    <w:t>9 and concluded as follows:</w:t>
                  </w:r>
                </w:p>
                <w:p w14:paraId="5485ACFD" w14:textId="77777777" w:rsidR="00600246" w:rsidRPr="007C0C5B" w:rsidRDefault="00600246" w:rsidP="00600246">
                  <w:pPr>
                    <w:pStyle w:val="ListParagraph"/>
                    <w:numPr>
                      <w:ilvl w:val="0"/>
                      <w:numId w:val="9"/>
                    </w:numPr>
                    <w:spacing w:after="120"/>
                    <w:rPr>
                      <w:rFonts w:eastAsia="Calibri"/>
                    </w:rPr>
                  </w:pPr>
                  <w:r>
                    <w:rPr>
                      <w:rFonts w:ascii="Calibri" w:eastAsia="Calibri" w:hAnsi="Calibri" w:cs="Calibri"/>
                    </w:rPr>
                    <w:t>T</w:t>
                  </w:r>
                  <w:r w:rsidRPr="004C5B59">
                    <w:rPr>
                      <w:rFonts w:ascii="Calibri" w:eastAsia="Calibri" w:hAnsi="Calibri" w:cs="Calibri"/>
                    </w:rPr>
                    <w:t xml:space="preserve">o </w:t>
                  </w:r>
                  <w:r w:rsidRPr="007C0C5B">
                    <w:rPr>
                      <w:rFonts w:ascii="Calibri" w:eastAsia="Calibri" w:hAnsi="Calibri" w:cs="Calibri"/>
                    </w:rPr>
                    <w:t>establish a RAG Correspondence Group on Gender with the terms of reference presented in Annex 1.</w:t>
                  </w:r>
                </w:p>
                <w:p w14:paraId="274A4093" w14:textId="77777777" w:rsidR="00600246" w:rsidRPr="007C0C5B" w:rsidRDefault="00600246" w:rsidP="00600246">
                  <w:pPr>
                    <w:pStyle w:val="ListParagraph"/>
                    <w:numPr>
                      <w:ilvl w:val="0"/>
                      <w:numId w:val="9"/>
                    </w:numPr>
                    <w:rPr>
                      <w:rFonts w:asciiTheme="minorHAnsi" w:eastAsia="Calibri" w:hAnsiTheme="minorHAnsi" w:cstheme="minorHAnsi"/>
                    </w:rPr>
                  </w:pPr>
                  <w:r w:rsidRPr="007C0C5B">
                    <w:rPr>
                      <w:rFonts w:asciiTheme="minorHAnsi" w:hAnsiTheme="minorHAnsi" w:cstheme="minorHAnsi"/>
                    </w:rPr>
                    <w:t>To consider, at its meeting in 2021, the establishment of a</w:t>
                  </w:r>
                  <w:r w:rsidRPr="007C0C5B">
                    <w:rPr>
                      <w:rFonts w:asciiTheme="minorHAnsi" w:eastAsia="Calibri" w:hAnsiTheme="minorHAnsi" w:cstheme="minorHAnsi"/>
                    </w:rPr>
                    <w:t xml:space="preserve"> second </w:t>
                  </w:r>
                  <w:r w:rsidRPr="007C0C5B">
                    <w:rPr>
                      <w:rFonts w:asciiTheme="minorHAnsi" w:hAnsiTheme="minorHAnsi" w:cstheme="minorHAnsi"/>
                    </w:rPr>
                    <w:t>Correspondence Group</w:t>
                  </w:r>
                  <w:r w:rsidRPr="007C0C5B">
                    <w:rPr>
                      <w:rFonts w:asciiTheme="minorHAnsi" w:eastAsia="Calibri" w:hAnsiTheme="minorHAnsi" w:cstheme="minorHAnsi"/>
                    </w:rPr>
                    <w:t xml:space="preserve"> to discuss the a) maximum term of office for Chairmen of ITU-R working parties and b) approval of Recommendations</w:t>
                  </w:r>
                  <w:r w:rsidRPr="0009781F">
                    <w:rPr>
                      <w:rFonts w:asciiTheme="minorHAnsi" w:eastAsia="Calibri" w:hAnsiTheme="minorHAnsi" w:cstheme="minorHAnsi"/>
                    </w:rPr>
                    <w:t xml:space="preserve"> of interest to multiple study </w:t>
                  </w:r>
                  <w:r w:rsidRPr="007C0C5B">
                    <w:rPr>
                      <w:rFonts w:asciiTheme="minorHAnsi" w:eastAsia="Calibri" w:hAnsiTheme="minorHAnsi" w:cstheme="minorHAnsi"/>
                    </w:rPr>
                    <w:t>groups, c)</w:t>
                  </w:r>
                  <w:r w:rsidRPr="007C0C5B">
                    <w:t xml:space="preserve"> </w:t>
                  </w:r>
                  <w:r w:rsidRPr="007C0C5B">
                    <w:rPr>
                      <w:rFonts w:asciiTheme="minorHAnsi" w:eastAsia="Calibri" w:hAnsiTheme="minorHAnsi" w:cstheme="minorHAnsi"/>
                    </w:rPr>
                    <w:t>the need of fixing, if identified, any omissions or contradictions of the existing texts as instructed by RA-19. In preparation for that discussion, RAG requested administrations to consider and provide further enhancements, as required, to the draft terms of reference presented in Annex 2. This issue will be further discussed and decided by RAG 21.</w:t>
                  </w:r>
                </w:p>
                <w:p w14:paraId="669C18FF" w14:textId="77777777" w:rsidR="00600246" w:rsidRDefault="00600246" w:rsidP="00B1108B">
                  <w:pPr>
                    <w:spacing w:after="120"/>
                    <w:rPr>
                      <w:rFonts w:eastAsia="Calibri"/>
                    </w:rPr>
                  </w:pPr>
                  <w:r w:rsidRPr="007C0C5B">
                    <w:rPr>
                      <w:rFonts w:eastAsia="Calibri"/>
                    </w:rPr>
                    <w:lastRenderedPageBreak/>
                    <w:t>RAG noted Doc. RAG20/21 from China and the BR informed t</w:t>
                  </w:r>
                  <w:r w:rsidRPr="05791A34">
                    <w:rPr>
                      <w:rFonts w:eastAsia="Calibri"/>
                    </w:rPr>
                    <w:t>he meeting</w:t>
                  </w:r>
                  <w:r w:rsidRPr="00B94FB1">
                    <w:rPr>
                      <w:rFonts w:eastAsia="Calibri"/>
                    </w:rPr>
                    <w:t xml:space="preserve"> that the Guidelines for the Working Methods have been updated.</w:t>
                  </w:r>
                </w:p>
                <w:p w14:paraId="0D77E76D" w14:textId="77777777" w:rsidR="00600246" w:rsidRDefault="00600246" w:rsidP="00B1108B">
                  <w:pPr>
                    <w:spacing w:after="120"/>
                    <w:rPr>
                      <w:rFonts w:eastAsia="Calibri"/>
                    </w:rPr>
                  </w:pPr>
                  <w:r>
                    <w:rPr>
                      <w:rFonts w:eastAsia="Calibri"/>
                    </w:rPr>
                    <w:t xml:space="preserve">RAG encouraged Working Party Chairs to identify one or two Vice Chairs for their Working Party.  </w:t>
                  </w:r>
                </w:p>
                <w:p w14:paraId="4BF5EC95" w14:textId="77777777" w:rsidR="00600246" w:rsidRPr="006E06A2" w:rsidRDefault="00600246" w:rsidP="00B1108B">
                  <w:pPr>
                    <w:spacing w:after="120"/>
                  </w:pPr>
                  <w:r>
                    <w:rPr>
                      <w:rFonts w:eastAsia="Calibri"/>
                    </w:rPr>
                    <w:t xml:space="preserve">The RAG also noted that the BR can undertake training opportunities prior to the RA-23 and that this topic can be further considered at meetings of the </w:t>
                  </w:r>
                  <w:r w:rsidRPr="760FD15A">
                    <w:rPr>
                      <w:rFonts w:eastAsia="Calibri"/>
                    </w:rPr>
                    <w:t>Chairmen</w:t>
                  </w:r>
                  <w:r>
                    <w:rPr>
                      <w:rFonts w:eastAsia="Calibri"/>
                    </w:rPr>
                    <w:t xml:space="preserve"> and Vice </w:t>
                  </w:r>
                  <w:r w:rsidRPr="760FD15A">
                    <w:rPr>
                      <w:rFonts w:eastAsia="Calibri"/>
                    </w:rPr>
                    <w:t>Chairmen</w:t>
                  </w:r>
                  <w:r>
                    <w:rPr>
                      <w:rFonts w:eastAsia="Calibri"/>
                    </w:rPr>
                    <w:t xml:space="preserve"> of Study Groups.  RAG also invited the Director to hold a meeting of </w:t>
                  </w:r>
                  <w:r w:rsidRPr="760FD15A">
                    <w:rPr>
                      <w:rFonts w:eastAsia="Calibri"/>
                    </w:rPr>
                    <w:t>Chairmen</w:t>
                  </w:r>
                  <w:r>
                    <w:rPr>
                      <w:rFonts w:eastAsia="Calibri"/>
                    </w:rPr>
                    <w:t xml:space="preserve"> and Vice </w:t>
                  </w:r>
                  <w:r w:rsidRPr="760FD15A">
                    <w:rPr>
                      <w:rFonts w:eastAsia="Calibri"/>
                    </w:rPr>
                    <w:t>Chairmen of Study Groups</w:t>
                  </w:r>
                  <w:r>
                    <w:rPr>
                      <w:rFonts w:eastAsia="Calibri"/>
                    </w:rPr>
                    <w:t xml:space="preserve"> to consider this and other matters related to the functioning of their groups.</w:t>
                  </w:r>
                </w:p>
              </w:tc>
            </w:tr>
          </w:tbl>
          <w:p w14:paraId="74CED9B9"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highlight w:val="green"/>
              </w:rPr>
            </w:pPr>
          </w:p>
        </w:tc>
      </w:tr>
      <w:tr w:rsidR="00600246" w14:paraId="0E677729" w14:textId="77777777" w:rsidTr="007D4747">
        <w:trPr>
          <w:jc w:val="center"/>
        </w:trPr>
        <w:tc>
          <w:tcPr>
            <w:tcW w:w="339" w:type="pct"/>
          </w:tcPr>
          <w:p w14:paraId="5660164F"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Pr>
                <w:rFonts w:asciiTheme="minorHAnsi" w:hAnsiTheme="minorHAnsi" w:cstheme="minorHAnsi"/>
              </w:rPr>
              <w:lastRenderedPageBreak/>
              <w:t>5</w:t>
            </w:r>
          </w:p>
        </w:tc>
        <w:tc>
          <w:tcPr>
            <w:tcW w:w="1002" w:type="pct"/>
          </w:tcPr>
          <w:p w14:paraId="3F44BBF3"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1D38CA">
              <w:rPr>
                <w:rFonts w:asciiTheme="minorHAnsi" w:hAnsiTheme="minorHAnsi" w:cstheme="minorHAnsi"/>
              </w:rPr>
              <w:t>WRC-23 preparation</w:t>
            </w:r>
          </w:p>
          <w:p w14:paraId="4AEB3EA8"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0A3215">
              <w:rPr>
                <w:rFonts w:asciiTheme="minorHAnsi" w:hAnsiTheme="minorHAnsi"/>
                <w:i/>
              </w:rPr>
              <w:t>RAG20/1</w:t>
            </w:r>
            <w:r>
              <w:rPr>
                <w:rFonts w:asciiTheme="minorHAnsi" w:hAnsiTheme="minorHAnsi"/>
                <w:i/>
              </w:rPr>
              <w:t>-Rev1</w:t>
            </w:r>
            <w:r>
              <w:rPr>
                <w:rFonts w:asciiTheme="minorHAnsi" w:hAnsiTheme="minorHAnsi"/>
                <w:i/>
                <w:iCs/>
              </w:rPr>
              <w:t>(</w:t>
            </w:r>
            <w:r>
              <w:rPr>
                <w:rFonts w:asciiTheme="minorHAnsi" w:hAnsiTheme="minorHAnsi" w:cstheme="minorHAnsi"/>
                <w:i/>
                <w:iCs/>
              </w:rPr>
              <w:t>§</w:t>
            </w:r>
            <w:r>
              <w:rPr>
                <w:rFonts w:asciiTheme="minorHAnsi" w:hAnsiTheme="minorHAnsi"/>
                <w:i/>
                <w:iCs/>
              </w:rPr>
              <w:t>5)</w:t>
            </w:r>
          </w:p>
        </w:tc>
        <w:tc>
          <w:tcPr>
            <w:tcW w:w="3659" w:type="pct"/>
          </w:tcPr>
          <w:p w14:paraId="3DCF83A8" w14:textId="77777777" w:rsidR="00600246" w:rsidRPr="00BA752B"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Cs w:val="28"/>
              </w:rPr>
            </w:pPr>
            <w:r w:rsidRPr="00BA752B">
              <w:rPr>
                <w:rFonts w:asciiTheme="minorHAnsi" w:hAnsiTheme="minorHAnsi"/>
                <w:szCs w:val="28"/>
              </w:rPr>
              <w:t>RAG noted the report on the preparations for WRC-23.</w:t>
            </w:r>
          </w:p>
          <w:p w14:paraId="5CFA8897" w14:textId="77777777" w:rsidR="00600246" w:rsidRPr="00BA752B"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BA752B">
              <w:rPr>
                <w:rFonts w:eastAsia="Calibri"/>
              </w:rPr>
              <w:t xml:space="preserve">The RAG noted the comments from the US that requested more information with regards to the WRC-23 preparation and the revision of the Host Country Agreement. </w:t>
            </w:r>
          </w:p>
          <w:p w14:paraId="1256EA6A" w14:textId="77777777" w:rsidR="00600246" w:rsidRPr="00BA752B"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BA752B">
              <w:rPr>
                <w:rFonts w:eastAsia="Calibri"/>
              </w:rPr>
              <w:t xml:space="preserve"> </w:t>
            </w:r>
          </w:p>
          <w:p w14:paraId="2B6BAB04" w14:textId="77777777" w:rsidR="00600246" w:rsidRPr="00BA752B"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Calibri"/>
              </w:rPr>
            </w:pPr>
            <w:r w:rsidRPr="00BA752B">
              <w:rPr>
                <w:rFonts w:eastAsia="Calibri"/>
              </w:rPr>
              <w:t xml:space="preserve">RAG noted the clarifications </w:t>
            </w:r>
            <w:r>
              <w:rPr>
                <w:rFonts w:eastAsia="Calibri"/>
              </w:rPr>
              <w:t xml:space="preserve">provided by </w:t>
            </w:r>
            <w:r w:rsidRPr="00BA752B">
              <w:rPr>
                <w:rFonts w:eastAsia="Calibri"/>
              </w:rPr>
              <w:t>the ITU Legal Affairs Unit (LAU) on Resolutions that govern the Host Country Agreements</w:t>
            </w:r>
            <w:r>
              <w:rPr>
                <w:rFonts w:eastAsia="Calibri"/>
              </w:rPr>
              <w:t xml:space="preserve"> as well as the clarification provided by LAU highlighting</w:t>
            </w:r>
            <w:r w:rsidRPr="00BA752B">
              <w:rPr>
                <w:rFonts w:eastAsia="Calibri"/>
              </w:rPr>
              <w:t xml:space="preserve"> that the Council is the competent body to review and comment on the Host Country Agreements.</w:t>
            </w:r>
          </w:p>
          <w:p w14:paraId="5C8C8F5E" w14:textId="77777777" w:rsidR="00600246" w:rsidRPr="00BA752B"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p>
          <w:p w14:paraId="186FA707" w14:textId="089A18B8" w:rsidR="00600246" w:rsidRPr="000A3215"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Calibri"/>
                <w:highlight w:val="yellow"/>
              </w:rPr>
            </w:pPr>
            <w:r w:rsidRPr="00BA752B">
              <w:rPr>
                <w:rFonts w:eastAsia="Calibri"/>
              </w:rPr>
              <w:t xml:space="preserve">RAG invited the BR Director </w:t>
            </w:r>
            <w:r>
              <w:rPr>
                <w:rFonts w:eastAsia="Calibri"/>
              </w:rPr>
              <w:t>to continue providing</w:t>
            </w:r>
            <w:r w:rsidRPr="00BA752B">
              <w:rPr>
                <w:rFonts w:eastAsia="Calibri"/>
              </w:rPr>
              <w:t xml:space="preserve"> regular</w:t>
            </w:r>
            <w:r>
              <w:rPr>
                <w:rFonts w:eastAsia="Calibri"/>
              </w:rPr>
              <w:t xml:space="preserve"> reports on the progress</w:t>
            </w:r>
            <w:r w:rsidRPr="00BA752B">
              <w:rPr>
                <w:rFonts w:eastAsia="Calibri"/>
              </w:rPr>
              <w:t xml:space="preserve"> o</w:t>
            </w:r>
            <w:r>
              <w:rPr>
                <w:rFonts w:eastAsia="Calibri"/>
              </w:rPr>
              <w:t>f</w:t>
            </w:r>
            <w:r w:rsidRPr="00BA752B">
              <w:rPr>
                <w:rFonts w:eastAsia="Calibri"/>
              </w:rPr>
              <w:t xml:space="preserve"> WRC-23 preparations</w:t>
            </w:r>
            <w:r>
              <w:rPr>
                <w:rFonts w:eastAsia="Calibri"/>
              </w:rPr>
              <w:t>, including details on the status of the Host Country Agreement</w:t>
            </w:r>
            <w:r w:rsidRPr="00BA752B">
              <w:rPr>
                <w:rFonts w:eastAsia="Calibri"/>
              </w:rPr>
              <w:t>.</w:t>
            </w:r>
          </w:p>
        </w:tc>
      </w:tr>
      <w:tr w:rsidR="00600246" w14:paraId="7175EF7E" w14:textId="77777777" w:rsidTr="007D4747">
        <w:trPr>
          <w:jc w:val="center"/>
        </w:trPr>
        <w:tc>
          <w:tcPr>
            <w:tcW w:w="339" w:type="pct"/>
          </w:tcPr>
          <w:p w14:paraId="32531B8A"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Pr>
                <w:rFonts w:asciiTheme="minorHAnsi" w:hAnsiTheme="minorHAnsi" w:cstheme="minorHAnsi"/>
              </w:rPr>
              <w:t>6</w:t>
            </w:r>
          </w:p>
        </w:tc>
        <w:tc>
          <w:tcPr>
            <w:tcW w:w="1002" w:type="pct"/>
          </w:tcPr>
          <w:p w14:paraId="39544716"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1D38CA">
              <w:rPr>
                <w:rFonts w:asciiTheme="minorHAnsi" w:hAnsiTheme="minorHAnsi" w:cstheme="minorHAnsi"/>
              </w:rPr>
              <w:t>Study Group activities</w:t>
            </w:r>
          </w:p>
          <w:p w14:paraId="7137FB8B"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Bidi"/>
              </w:rPr>
            </w:pPr>
            <w:r w:rsidRPr="000A3215">
              <w:rPr>
                <w:rFonts w:asciiTheme="minorHAnsi" w:hAnsiTheme="minorHAnsi"/>
                <w:i/>
                <w:iCs/>
              </w:rPr>
              <w:t>RAG20/1-Rev1</w:t>
            </w:r>
            <w:r>
              <w:rPr>
                <w:rFonts w:asciiTheme="minorHAnsi" w:hAnsiTheme="minorHAnsi"/>
                <w:i/>
                <w:iCs/>
              </w:rPr>
              <w:t>(</w:t>
            </w:r>
            <w:r>
              <w:rPr>
                <w:rFonts w:asciiTheme="minorHAnsi" w:hAnsiTheme="minorHAnsi" w:cstheme="minorHAnsi"/>
                <w:i/>
                <w:iCs/>
              </w:rPr>
              <w:t>§</w:t>
            </w:r>
            <w:r>
              <w:rPr>
                <w:rFonts w:asciiTheme="minorHAnsi" w:hAnsiTheme="minorHAnsi"/>
                <w:i/>
                <w:iCs/>
              </w:rPr>
              <w:t>4 &amp; ADD1),</w:t>
            </w:r>
            <w:r w:rsidRPr="000A3215">
              <w:rPr>
                <w:rFonts w:asciiTheme="minorHAnsi" w:hAnsiTheme="minorHAnsi"/>
                <w:i/>
                <w:iCs/>
              </w:rPr>
              <w:t xml:space="preserve"> 12-Rev1, 14, 18</w:t>
            </w:r>
          </w:p>
        </w:tc>
        <w:tc>
          <w:tcPr>
            <w:tcW w:w="3659" w:type="pct"/>
          </w:tcPr>
          <w:p w14:paraId="0BB9FA90" w14:textId="6D1A0DA2" w:rsidR="00600246"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Calibri"/>
              </w:rPr>
            </w:pPr>
            <w:r w:rsidRPr="007D4747">
              <w:rPr>
                <w:rFonts w:eastAsia="Calibri"/>
              </w:rPr>
              <w:t>RAG noted the report on the ITU-R Study Group activities.</w:t>
            </w:r>
          </w:p>
          <w:p w14:paraId="1B89FFAF" w14:textId="77777777" w:rsidR="007D4747" w:rsidRPr="007D4747" w:rsidRDefault="007D4747"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Calibri"/>
              </w:rPr>
            </w:pPr>
          </w:p>
          <w:p w14:paraId="78CE0B8C" w14:textId="77777777" w:rsidR="00600246" w:rsidRPr="00A85611"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Calibri"/>
              </w:rPr>
            </w:pPr>
            <w:r>
              <w:rPr>
                <w:rFonts w:eastAsia="Calibri"/>
              </w:rPr>
              <w:t>R</w:t>
            </w:r>
            <w:r w:rsidRPr="005A5540">
              <w:rPr>
                <w:rFonts w:eastAsia="Calibri"/>
              </w:rPr>
              <w:t>AG considered Doc</w:t>
            </w:r>
            <w:r>
              <w:rPr>
                <w:rFonts w:eastAsia="Calibri"/>
              </w:rPr>
              <w:t>.</w:t>
            </w:r>
            <w:r w:rsidRPr="005A5540">
              <w:rPr>
                <w:rFonts w:eastAsia="Calibri"/>
              </w:rPr>
              <w:t xml:space="preserve"> RAG20/12rev.1 and 14 from Iran </w:t>
            </w:r>
            <w:r>
              <w:rPr>
                <w:rFonts w:eastAsia="Calibri"/>
              </w:rPr>
              <w:t>providing</w:t>
            </w:r>
            <w:r w:rsidRPr="005A5540">
              <w:rPr>
                <w:rFonts w:eastAsia="Calibri"/>
              </w:rPr>
              <w:t xml:space="preserve"> guidance for addressing WRC-23 agenda items.</w:t>
            </w:r>
          </w:p>
          <w:p w14:paraId="139E04A1" w14:textId="77777777" w:rsidR="00600246" w:rsidRDefault="00600246" w:rsidP="007D4747">
            <w:pPr>
              <w:spacing w:before="0" w:line="259" w:lineRule="auto"/>
              <w:ind w:left="720"/>
              <w:rPr>
                <w:rFonts w:asciiTheme="minorHAnsi" w:eastAsia="Courier New" w:hAnsiTheme="minorHAnsi" w:cstheme="minorBidi"/>
              </w:rPr>
            </w:pPr>
            <w:r w:rsidRPr="5A1E6A10">
              <w:rPr>
                <w:rFonts w:asciiTheme="minorHAnsi" w:eastAsia="Courier New" w:hAnsiTheme="minorHAnsi" w:cstheme="minorBidi"/>
              </w:rPr>
              <w:t xml:space="preserve">On Document 12 (Rev. 1), RAG took note of the contribution with thanks and invited the Director to convey this document, as soon as possible, to </w:t>
            </w:r>
            <w:r w:rsidRPr="5D743E64">
              <w:rPr>
                <w:rFonts w:asciiTheme="minorHAnsi" w:eastAsia="Courier New" w:hAnsiTheme="minorHAnsi" w:cstheme="minorBidi"/>
              </w:rPr>
              <w:t>the</w:t>
            </w:r>
            <w:r w:rsidRPr="5A1E6A10">
              <w:rPr>
                <w:rFonts w:asciiTheme="minorHAnsi" w:eastAsia="Courier New" w:hAnsiTheme="minorHAnsi" w:cstheme="minorBidi"/>
              </w:rPr>
              <w:t xml:space="preserve"> meeting of Chairmen and Vice-Chairmen of Study Groups and Working Parties to discuss the document and its treatment</w:t>
            </w:r>
            <w:r>
              <w:rPr>
                <w:rFonts w:asciiTheme="minorHAnsi" w:eastAsia="Courier New" w:hAnsiTheme="minorHAnsi" w:cstheme="minorBidi"/>
              </w:rPr>
              <w:t>, and to i</w:t>
            </w:r>
            <w:r w:rsidRPr="5A1E6A10">
              <w:rPr>
                <w:rFonts w:asciiTheme="minorHAnsi" w:eastAsia="Courier New" w:hAnsiTheme="minorHAnsi" w:cstheme="minorBidi"/>
              </w:rPr>
              <w:t>nvit</w:t>
            </w:r>
            <w:r>
              <w:rPr>
                <w:rFonts w:asciiTheme="minorHAnsi" w:eastAsia="Courier New" w:hAnsiTheme="minorHAnsi" w:cstheme="minorBidi"/>
              </w:rPr>
              <w:t>e</w:t>
            </w:r>
            <w:r w:rsidRPr="5A1E6A10">
              <w:rPr>
                <w:rFonts w:asciiTheme="minorHAnsi" w:eastAsia="Courier New" w:hAnsiTheme="minorHAnsi" w:cstheme="minorBidi"/>
              </w:rPr>
              <w:t xml:space="preserve"> the contributing Administration to attend the meeting. Following which, the document would be referred to the relevant Study Groups and Working Parties to take into consideration, as appropriate.</w:t>
            </w:r>
          </w:p>
          <w:p w14:paraId="30245740" w14:textId="6EEEB88E" w:rsidR="00600246" w:rsidRDefault="00600246" w:rsidP="007D4747">
            <w:pPr>
              <w:spacing w:before="0" w:line="259" w:lineRule="auto"/>
              <w:ind w:left="720"/>
              <w:rPr>
                <w:rFonts w:asciiTheme="minorHAnsi" w:eastAsia="Courier New" w:hAnsiTheme="minorHAnsi" w:cstheme="minorHAnsi"/>
              </w:rPr>
            </w:pPr>
            <w:r w:rsidRPr="005A5540">
              <w:rPr>
                <w:rFonts w:asciiTheme="minorHAnsi" w:eastAsia="Courier New" w:hAnsiTheme="minorHAnsi" w:cstheme="minorHAnsi"/>
              </w:rPr>
              <w:lastRenderedPageBreak/>
              <w:t xml:space="preserve">On Document 14, RAG noted the contribution and </w:t>
            </w:r>
            <w:r>
              <w:rPr>
                <w:rFonts w:asciiTheme="minorHAnsi" w:eastAsia="Courier New" w:hAnsiTheme="minorHAnsi" w:cstheme="minorHAnsi"/>
              </w:rPr>
              <w:t>invited</w:t>
            </w:r>
            <w:r w:rsidRPr="005A5540">
              <w:rPr>
                <w:rFonts w:asciiTheme="minorHAnsi" w:eastAsia="Courier New" w:hAnsiTheme="minorHAnsi" w:cstheme="minorHAnsi"/>
              </w:rPr>
              <w:t xml:space="preserve"> the Director to convey the proposal to the various Study Groups and Working Parties.</w:t>
            </w:r>
          </w:p>
          <w:p w14:paraId="572B15D2" w14:textId="77777777" w:rsidR="007D4747" w:rsidRPr="005A5540" w:rsidRDefault="007D4747" w:rsidP="007D4747">
            <w:pPr>
              <w:spacing w:before="0" w:line="259" w:lineRule="auto"/>
              <w:ind w:left="720"/>
              <w:rPr>
                <w:rFonts w:asciiTheme="minorHAnsi" w:eastAsia="Courier New" w:hAnsiTheme="minorHAnsi" w:cstheme="minorHAnsi"/>
              </w:rPr>
            </w:pPr>
          </w:p>
          <w:p w14:paraId="7D340604" w14:textId="2AF10B68" w:rsidR="00600246" w:rsidRDefault="00600246" w:rsidP="007D4747">
            <w:pPr>
              <w:spacing w:before="0"/>
              <w:rPr>
                <w:rFonts w:eastAsia="Calibri"/>
              </w:rPr>
            </w:pPr>
            <w:r w:rsidRPr="005A5540">
              <w:rPr>
                <w:rFonts w:eastAsia="Calibri"/>
              </w:rPr>
              <w:t xml:space="preserve">RAG considered Doc. RAG20/18 from Japan regarding the referencing of external standards in an ITU-R Recommendation. </w:t>
            </w:r>
          </w:p>
          <w:p w14:paraId="7C4F60C1" w14:textId="77777777" w:rsidR="007D4747" w:rsidRDefault="007D4747" w:rsidP="007D4747">
            <w:pPr>
              <w:spacing w:before="0"/>
              <w:rPr>
                <w:rFonts w:eastAsia="Calibri"/>
              </w:rPr>
            </w:pPr>
          </w:p>
          <w:p w14:paraId="4FD7CA81" w14:textId="0C3FD35D" w:rsidR="00600246" w:rsidRDefault="00600246" w:rsidP="007D4747">
            <w:pPr>
              <w:spacing w:before="0"/>
              <w:ind w:left="720"/>
              <w:rPr>
                <w:rFonts w:asciiTheme="minorHAnsi" w:eastAsia="Courier New" w:hAnsiTheme="minorHAnsi" w:cstheme="minorHAnsi"/>
              </w:rPr>
            </w:pPr>
            <w:r w:rsidRPr="00B86C7C">
              <w:rPr>
                <w:rFonts w:asciiTheme="minorHAnsi" w:eastAsia="Courier New" w:hAnsiTheme="minorHAnsi" w:cstheme="minorHAnsi"/>
              </w:rPr>
              <w:t xml:space="preserve">RAG noted the proposal and </w:t>
            </w:r>
            <w:r>
              <w:rPr>
                <w:rFonts w:asciiTheme="minorHAnsi" w:eastAsia="Courier New" w:hAnsiTheme="minorHAnsi" w:cstheme="minorHAnsi"/>
              </w:rPr>
              <w:t>invited</w:t>
            </w:r>
            <w:r w:rsidRPr="00B86C7C">
              <w:rPr>
                <w:rFonts w:asciiTheme="minorHAnsi" w:eastAsia="Courier New" w:hAnsiTheme="minorHAnsi" w:cstheme="minorHAnsi"/>
              </w:rPr>
              <w:t xml:space="preserve"> the Director to use it to improve the guidelines in preparing recommendations, </w:t>
            </w:r>
            <w:proofErr w:type="gramStart"/>
            <w:r w:rsidRPr="00B86C7C">
              <w:rPr>
                <w:rFonts w:asciiTheme="minorHAnsi" w:eastAsia="Courier New" w:hAnsiTheme="minorHAnsi" w:cstheme="minorHAnsi"/>
              </w:rPr>
              <w:t>taking into account</w:t>
            </w:r>
            <w:proofErr w:type="gramEnd"/>
            <w:r w:rsidRPr="00B86C7C">
              <w:rPr>
                <w:rFonts w:asciiTheme="minorHAnsi" w:eastAsia="Courier New" w:hAnsiTheme="minorHAnsi" w:cstheme="minorHAnsi"/>
              </w:rPr>
              <w:t xml:space="preserve"> the advice provided b</w:t>
            </w:r>
            <w:r>
              <w:rPr>
                <w:rFonts w:asciiTheme="minorHAnsi" w:eastAsia="Courier New" w:hAnsiTheme="minorHAnsi" w:cstheme="minorHAnsi"/>
              </w:rPr>
              <w:t xml:space="preserve">y the ITU Legal Affairs Unit.  </w:t>
            </w:r>
            <w:r w:rsidRPr="00B86C7C">
              <w:rPr>
                <w:rFonts w:asciiTheme="minorHAnsi" w:eastAsia="Courier New" w:hAnsiTheme="minorHAnsi" w:cstheme="minorHAnsi"/>
              </w:rPr>
              <w:t xml:space="preserve">RAG </w:t>
            </w:r>
            <w:r>
              <w:rPr>
                <w:rFonts w:asciiTheme="minorHAnsi" w:eastAsia="Courier New" w:hAnsiTheme="minorHAnsi" w:cstheme="minorHAnsi"/>
              </w:rPr>
              <w:t>also invited</w:t>
            </w:r>
            <w:r w:rsidRPr="00B86C7C">
              <w:rPr>
                <w:rFonts w:asciiTheme="minorHAnsi" w:eastAsia="Courier New" w:hAnsiTheme="minorHAnsi" w:cstheme="minorHAnsi"/>
              </w:rPr>
              <w:t xml:space="preserve"> the Director to provide a report on this matter to the next RAG meeting.</w:t>
            </w:r>
          </w:p>
          <w:p w14:paraId="079C4505" w14:textId="77777777" w:rsidR="007D4747" w:rsidRDefault="007D4747" w:rsidP="007D4747">
            <w:pPr>
              <w:spacing w:before="0"/>
              <w:ind w:left="720"/>
              <w:rPr>
                <w:rFonts w:asciiTheme="minorHAnsi" w:eastAsia="Courier New" w:hAnsiTheme="minorHAnsi" w:cstheme="minorHAnsi"/>
              </w:rPr>
            </w:pPr>
          </w:p>
          <w:p w14:paraId="421A5E22" w14:textId="77777777" w:rsidR="00600246" w:rsidRDefault="00600246" w:rsidP="007D4747">
            <w:pPr>
              <w:spacing w:before="0"/>
              <w:rPr>
                <w:rFonts w:asciiTheme="minorHAnsi" w:hAnsiTheme="minorHAnsi" w:cstheme="minorBidi"/>
              </w:rPr>
            </w:pPr>
            <w:r w:rsidRPr="004971A1">
              <w:rPr>
                <w:rFonts w:asciiTheme="minorHAnsi" w:hAnsiTheme="minorHAnsi" w:cstheme="minorBidi"/>
              </w:rPr>
              <w:t xml:space="preserve">RAG noted the intervention of WP 5D Chairman who stated that, based on consideration of overall work programs and deadlines, WP 5D Meeting #34 in February 2020 decided to extend the duration of each WP 5D meeting until mid- </w:t>
            </w:r>
            <w:r w:rsidRPr="00552C4A">
              <w:rPr>
                <w:rFonts w:asciiTheme="minorHAnsi" w:hAnsiTheme="minorHAnsi" w:cstheme="minorBidi"/>
              </w:rPr>
              <w:t>2023 in order to implement Resolution 245 (WRC-19) under WRC-23 AI 1.2 and to complete other study work.</w:t>
            </w:r>
            <w:r w:rsidRPr="5D743E64">
              <w:rPr>
                <w:rFonts w:asciiTheme="minorHAnsi" w:hAnsiTheme="minorHAnsi" w:cstheme="minorBidi"/>
              </w:rPr>
              <w:t xml:space="preserve"> </w:t>
            </w:r>
            <w:r w:rsidRPr="5A1E6A10">
              <w:rPr>
                <w:rFonts w:asciiTheme="minorHAnsi" w:hAnsiTheme="minorHAnsi" w:cstheme="minorBidi"/>
              </w:rPr>
              <w:t xml:space="preserve">However, </w:t>
            </w:r>
            <w:proofErr w:type="gramStart"/>
            <w:r w:rsidRPr="5A1E6A10">
              <w:rPr>
                <w:rFonts w:asciiTheme="minorHAnsi" w:hAnsiTheme="minorHAnsi" w:cstheme="minorBidi"/>
              </w:rPr>
              <w:t>taking into account</w:t>
            </w:r>
            <w:proofErr w:type="gramEnd"/>
            <w:r w:rsidRPr="5A1E6A10">
              <w:rPr>
                <w:rFonts w:asciiTheme="minorHAnsi" w:hAnsiTheme="minorHAnsi" w:cstheme="minorBidi"/>
              </w:rPr>
              <w:t xml:space="preserve"> the prevailing circumstances, it was requested to the chairman of WP 5D to maintain the initial timeframe or with an extension of up to two days.</w:t>
            </w:r>
          </w:p>
          <w:p w14:paraId="248084DE" w14:textId="11108711" w:rsidR="007D4747" w:rsidRPr="009F2152" w:rsidRDefault="007D4747" w:rsidP="007D4747">
            <w:pPr>
              <w:spacing w:before="0"/>
              <w:rPr>
                <w:rFonts w:asciiTheme="minorHAnsi" w:eastAsia="Courier New" w:hAnsiTheme="minorHAnsi" w:cstheme="minorBidi"/>
              </w:rPr>
            </w:pPr>
          </w:p>
        </w:tc>
      </w:tr>
      <w:tr w:rsidR="00600246" w14:paraId="02F8699C" w14:textId="77777777" w:rsidTr="007D4747">
        <w:trPr>
          <w:jc w:val="center"/>
        </w:trPr>
        <w:tc>
          <w:tcPr>
            <w:tcW w:w="339" w:type="pct"/>
          </w:tcPr>
          <w:p w14:paraId="5471B37A"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Pr>
                <w:rFonts w:asciiTheme="minorHAnsi" w:hAnsiTheme="minorHAnsi" w:cstheme="minorHAnsi"/>
              </w:rPr>
              <w:lastRenderedPageBreak/>
              <w:t>7</w:t>
            </w:r>
          </w:p>
        </w:tc>
        <w:tc>
          <w:tcPr>
            <w:tcW w:w="1002" w:type="pct"/>
          </w:tcPr>
          <w:p w14:paraId="28FF2F28"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i/>
                <w:iCs/>
              </w:rPr>
            </w:pPr>
            <w:r w:rsidRPr="001D38CA">
              <w:rPr>
                <w:rFonts w:asciiTheme="minorHAnsi" w:hAnsiTheme="minorHAnsi" w:cstheme="minorBidi"/>
              </w:rPr>
              <w:t>Inter-sector activities</w:t>
            </w:r>
            <w:r w:rsidRPr="001D38CA">
              <w:br/>
            </w:r>
            <w:r w:rsidRPr="000A3215">
              <w:rPr>
                <w:rFonts w:asciiTheme="minorHAnsi" w:hAnsiTheme="minorHAnsi"/>
                <w:i/>
                <w:iCs/>
              </w:rPr>
              <w:t xml:space="preserve">ITU-T/TSAG: RAG20/2, 3, 6, 9, 5-Rev1, 8  </w:t>
            </w:r>
          </w:p>
          <w:p w14:paraId="60C0D138"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i/>
                <w:iCs/>
              </w:rPr>
            </w:pPr>
            <w:r w:rsidRPr="000A3215">
              <w:rPr>
                <w:rFonts w:asciiTheme="minorHAnsi" w:hAnsiTheme="minorHAnsi"/>
                <w:i/>
              </w:rPr>
              <w:t>ITU-D/TDAG:  RAG20/4</w:t>
            </w:r>
          </w:p>
        </w:tc>
        <w:tc>
          <w:tcPr>
            <w:tcW w:w="3659" w:type="pct"/>
          </w:tcPr>
          <w:p w14:paraId="60273A51" w14:textId="77777777" w:rsidR="00600246" w:rsidRPr="00E468FB" w:rsidRDefault="00600246" w:rsidP="00B1108B">
            <w:pPr>
              <w:spacing w:after="120"/>
              <w:rPr>
                <w:color w:val="000000"/>
              </w:rPr>
            </w:pPr>
            <w:r w:rsidRPr="00E468FB">
              <w:rPr>
                <w:rFonts w:asciiTheme="minorHAnsi" w:hAnsiTheme="minorHAnsi"/>
              </w:rPr>
              <w:t xml:space="preserve">RAG noted the information contained in the document 9 on inter-sectoral activities, </w:t>
            </w:r>
            <w:r>
              <w:rPr>
                <w:rFonts w:asciiTheme="minorHAnsi" w:hAnsiTheme="minorHAnsi"/>
              </w:rPr>
              <w:t xml:space="preserve">which </w:t>
            </w:r>
            <w:r w:rsidRPr="00E468FB">
              <w:rPr>
                <w:rFonts w:asciiTheme="minorHAnsi" w:hAnsiTheme="minorHAnsi"/>
              </w:rPr>
              <w:t>supersed</w:t>
            </w:r>
            <w:r>
              <w:rPr>
                <w:rFonts w:asciiTheme="minorHAnsi" w:hAnsiTheme="minorHAnsi"/>
              </w:rPr>
              <w:t>ed</w:t>
            </w:r>
            <w:r w:rsidRPr="00E468FB">
              <w:rPr>
                <w:rFonts w:asciiTheme="minorHAnsi" w:hAnsiTheme="minorHAnsi"/>
              </w:rPr>
              <w:t xml:space="preserve"> that in documents 2, 3, and 6</w:t>
            </w:r>
            <w:r>
              <w:rPr>
                <w:rFonts w:asciiTheme="minorHAnsi" w:hAnsiTheme="minorHAnsi"/>
              </w:rPr>
              <w:t xml:space="preserve">; </w:t>
            </w:r>
            <w:r w:rsidRPr="00E468FB">
              <w:rPr>
                <w:rFonts w:asciiTheme="minorHAnsi" w:hAnsiTheme="minorHAnsi"/>
              </w:rPr>
              <w:t xml:space="preserve">and the information contained in documents 5Rev1 and 8 on streamlining Resolutions and the </w:t>
            </w:r>
            <w:r>
              <w:rPr>
                <w:rFonts w:asciiTheme="minorHAnsi" w:hAnsiTheme="minorHAnsi"/>
              </w:rPr>
              <w:t>mapping</w:t>
            </w:r>
            <w:r w:rsidRPr="00E468FB">
              <w:rPr>
                <w:color w:val="000000"/>
              </w:rPr>
              <w:t xml:space="preserve"> ITU-R WPs of interest to ITU-T study groups. </w:t>
            </w:r>
          </w:p>
          <w:p w14:paraId="5BF5219F" w14:textId="77777777" w:rsidR="00600246" w:rsidRDefault="00600246" w:rsidP="00B1108B">
            <w:pPr>
              <w:spacing w:after="120"/>
              <w:rPr>
                <w:rFonts w:asciiTheme="minorHAnsi" w:eastAsia="Courier New" w:hAnsiTheme="minorHAnsi" w:cstheme="minorBidi"/>
              </w:rPr>
            </w:pPr>
            <w:r w:rsidRPr="6E34AAC8">
              <w:rPr>
                <w:rFonts w:asciiTheme="minorHAnsi" w:eastAsia="Courier New" w:hAnsiTheme="minorHAnsi" w:cstheme="minorBidi"/>
              </w:rPr>
              <w:t>RAG noted the oral report presented by the Chairman of the Inter-Sector Coordination Group (ISCG)</w:t>
            </w:r>
            <w:r>
              <w:rPr>
                <w:rFonts w:asciiTheme="minorHAnsi" w:eastAsia="Courier New" w:hAnsiTheme="minorHAnsi" w:cstheme="minorBidi"/>
              </w:rPr>
              <w:t xml:space="preserve">, in particular the fact that the </w:t>
            </w:r>
            <w:r w:rsidRPr="00552C4A">
              <w:rPr>
                <w:rFonts w:asciiTheme="minorHAnsi" w:eastAsia="Courier New" w:hAnsiTheme="minorHAnsi" w:cstheme="minorBidi"/>
              </w:rPr>
              <w:t xml:space="preserve">most updated </w:t>
            </w:r>
            <w:r>
              <w:rPr>
                <w:rFonts w:asciiTheme="minorHAnsi" w:eastAsia="Courier New" w:hAnsiTheme="minorHAnsi" w:cstheme="minorBidi"/>
              </w:rPr>
              <w:t xml:space="preserve">situation of mapping tables of study and Resolutions of the three sectors and the General Secretariat are given in the </w:t>
            </w:r>
            <w:proofErr w:type="spellStart"/>
            <w:r>
              <w:rPr>
                <w:rFonts w:asciiTheme="minorHAnsi" w:eastAsia="Courier New" w:hAnsiTheme="minorHAnsi" w:cstheme="minorBidi"/>
              </w:rPr>
              <w:t>intersector</w:t>
            </w:r>
            <w:proofErr w:type="spellEnd"/>
            <w:r>
              <w:rPr>
                <w:rFonts w:asciiTheme="minorHAnsi" w:eastAsia="Courier New" w:hAnsiTheme="minorHAnsi" w:cstheme="minorBidi"/>
              </w:rPr>
              <w:t xml:space="preserve"> coordination group website (</w:t>
            </w:r>
            <w:hyperlink r:id="rId16" w:tgtFrame="blank" w:history="1">
              <w:r w:rsidRPr="00E57CF6">
                <w:rPr>
                  <w:rFonts w:asciiTheme="minorHAnsi" w:eastAsia="Courier New" w:hAnsiTheme="minorHAnsi" w:cstheme="minorBidi"/>
                </w:rPr>
                <w:t>https://www.itu.int/en/general-secretariat/Pages/ISCG/default.aspx</w:t>
              </w:r>
            </w:hyperlink>
            <w:r w:rsidRPr="00E57CF6">
              <w:rPr>
                <w:rFonts w:asciiTheme="minorHAnsi" w:eastAsia="Courier New" w:hAnsiTheme="minorHAnsi" w:cstheme="minorBidi"/>
              </w:rPr>
              <w:t>)</w:t>
            </w:r>
            <w:r>
              <w:rPr>
                <w:rFonts w:asciiTheme="minorHAnsi" w:eastAsia="Courier New" w:hAnsiTheme="minorHAnsi" w:cstheme="minorBidi"/>
              </w:rPr>
              <w:t xml:space="preserve">. </w:t>
            </w:r>
          </w:p>
          <w:p w14:paraId="6617B5B0" w14:textId="77777777" w:rsidR="00600246" w:rsidRPr="00A65663" w:rsidRDefault="00600246" w:rsidP="00B1108B">
            <w:pPr>
              <w:spacing w:after="120"/>
              <w:rPr>
                <w:rFonts w:asciiTheme="minorHAnsi" w:eastAsia="Courier New" w:hAnsiTheme="minorHAnsi" w:cstheme="minorHAnsi"/>
              </w:rPr>
            </w:pPr>
            <w:r>
              <w:rPr>
                <w:rFonts w:asciiTheme="minorHAnsi" w:eastAsia="Courier New" w:hAnsiTheme="minorHAnsi" w:cstheme="minorBidi"/>
              </w:rPr>
              <w:t>RAG was informed that the next virtual meeting of the ISCG will be held on 1</w:t>
            </w:r>
            <w:r w:rsidRPr="00E57CF6">
              <w:rPr>
                <w:rFonts w:asciiTheme="minorHAnsi" w:eastAsia="Courier New" w:hAnsiTheme="minorHAnsi" w:cstheme="minorBidi"/>
                <w:vertAlign w:val="superscript"/>
              </w:rPr>
              <w:t>st</w:t>
            </w:r>
            <w:r>
              <w:rPr>
                <w:rFonts w:asciiTheme="minorHAnsi" w:eastAsia="Courier New" w:hAnsiTheme="minorHAnsi" w:cstheme="minorBidi"/>
              </w:rPr>
              <w:t xml:space="preserve"> June and appointed its two Vice Chairman </w:t>
            </w:r>
            <w:r w:rsidRPr="00A65663">
              <w:rPr>
                <w:rFonts w:asciiTheme="minorHAnsi" w:eastAsia="Courier New" w:hAnsiTheme="minorHAnsi" w:cstheme="minorBidi"/>
              </w:rPr>
              <w:t xml:space="preserve">Mr. </w:t>
            </w:r>
            <w:proofErr w:type="spellStart"/>
            <w:r w:rsidRPr="00A65663">
              <w:rPr>
                <w:rFonts w:asciiTheme="minorHAnsi" w:eastAsia="Courier New" w:hAnsiTheme="minorHAnsi" w:cstheme="minorBidi"/>
              </w:rPr>
              <w:t>Abdouramane</w:t>
            </w:r>
            <w:proofErr w:type="spellEnd"/>
            <w:r w:rsidRPr="00A65663">
              <w:rPr>
                <w:rFonts w:asciiTheme="minorHAnsi" w:eastAsia="Courier New" w:hAnsiTheme="minorHAnsi" w:cstheme="minorBidi"/>
              </w:rPr>
              <w:t xml:space="preserve"> El </w:t>
            </w:r>
            <w:proofErr w:type="spellStart"/>
            <w:r w:rsidRPr="00A65663">
              <w:rPr>
                <w:rFonts w:asciiTheme="minorHAnsi" w:eastAsia="Courier New" w:hAnsiTheme="minorHAnsi" w:cstheme="minorBidi"/>
              </w:rPr>
              <w:t>Hadjar</w:t>
            </w:r>
            <w:proofErr w:type="spellEnd"/>
            <w:r w:rsidRPr="00A65663">
              <w:rPr>
                <w:rFonts w:asciiTheme="minorHAnsi" w:eastAsia="Courier New" w:hAnsiTheme="minorHAnsi" w:cstheme="minorBidi"/>
              </w:rPr>
              <w:t xml:space="preserve"> </w:t>
            </w:r>
            <w:r>
              <w:rPr>
                <w:rFonts w:asciiTheme="minorHAnsi" w:eastAsia="Courier New" w:hAnsiTheme="minorHAnsi" w:cstheme="minorBidi"/>
              </w:rPr>
              <w:t xml:space="preserve">(Cameroon) </w:t>
            </w:r>
            <w:r w:rsidRPr="00A65663">
              <w:rPr>
                <w:rFonts w:asciiTheme="minorHAnsi" w:eastAsia="Courier New" w:hAnsiTheme="minorHAnsi" w:cstheme="minorBidi"/>
              </w:rPr>
              <w:t xml:space="preserve">and </w:t>
            </w:r>
            <w:r>
              <w:rPr>
                <w:rFonts w:asciiTheme="minorHAnsi" w:eastAsia="Courier New" w:hAnsiTheme="minorHAnsi" w:cstheme="minorBidi"/>
              </w:rPr>
              <w:t>Mr. Victor Martinez (Mexico) to represent the Sector at the ISCG during this cycle.</w:t>
            </w:r>
          </w:p>
          <w:p w14:paraId="36A2147A" w14:textId="77777777" w:rsidR="00600246" w:rsidRPr="00ED0A51" w:rsidRDefault="00600246" w:rsidP="00B1108B">
            <w:pPr>
              <w:spacing w:after="120"/>
              <w:rPr>
                <w:rFonts w:asciiTheme="minorHAnsi" w:eastAsia="Courier New" w:hAnsiTheme="minorHAnsi" w:cstheme="minorHAnsi"/>
                <w:highlight w:val="yellow"/>
              </w:rPr>
            </w:pPr>
            <w:r w:rsidRPr="00ED0A51">
              <w:rPr>
                <w:rFonts w:asciiTheme="minorHAnsi" w:eastAsia="Courier New" w:hAnsiTheme="minorHAnsi" w:cstheme="minorHAnsi"/>
              </w:rPr>
              <w:lastRenderedPageBreak/>
              <w:t>RAG noted the liaison statement from the TDAG in Document 8 and expressed appreciation for the continuing working relationship between the two sectors. RAG will continue to work together with the TDAG on issues that are relevant to both group</w:t>
            </w:r>
            <w:r>
              <w:rPr>
                <w:rFonts w:asciiTheme="minorHAnsi" w:eastAsia="Courier New" w:hAnsiTheme="minorHAnsi" w:cstheme="minorHAnsi"/>
              </w:rPr>
              <w:t>s.</w:t>
            </w:r>
          </w:p>
        </w:tc>
      </w:tr>
      <w:tr w:rsidR="00600246" w14:paraId="1AA2079B" w14:textId="77777777" w:rsidTr="007D4747">
        <w:trPr>
          <w:jc w:val="center"/>
        </w:trPr>
        <w:tc>
          <w:tcPr>
            <w:tcW w:w="339" w:type="pct"/>
          </w:tcPr>
          <w:p w14:paraId="0EF83E9F"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Pr>
                <w:rFonts w:asciiTheme="minorHAnsi" w:hAnsiTheme="minorHAnsi" w:cstheme="minorHAnsi"/>
              </w:rPr>
              <w:lastRenderedPageBreak/>
              <w:t>8</w:t>
            </w:r>
          </w:p>
        </w:tc>
        <w:tc>
          <w:tcPr>
            <w:tcW w:w="1002" w:type="pct"/>
          </w:tcPr>
          <w:p w14:paraId="64870F09"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Bidi"/>
              </w:rPr>
            </w:pPr>
            <w:r w:rsidRPr="001D38CA">
              <w:rPr>
                <w:rFonts w:asciiTheme="minorHAnsi" w:eastAsia="Arial Unicode MS" w:hAnsiTheme="minorHAnsi" w:cstheme="minorBidi"/>
              </w:rPr>
              <w:t>Operational Planning</w:t>
            </w:r>
            <w:r w:rsidRPr="001D38CA">
              <w:br/>
            </w:r>
            <w:r w:rsidRPr="000A3215">
              <w:rPr>
                <w:rFonts w:asciiTheme="minorHAnsi" w:hAnsiTheme="minorHAnsi"/>
                <w:i/>
                <w:iCs/>
              </w:rPr>
              <w:t>RAG20/1-Rev1</w:t>
            </w:r>
            <w:r>
              <w:rPr>
                <w:rFonts w:asciiTheme="minorHAnsi" w:hAnsiTheme="minorHAnsi"/>
                <w:i/>
                <w:iCs/>
              </w:rPr>
              <w:t>(</w:t>
            </w:r>
            <w:r>
              <w:rPr>
                <w:rFonts w:asciiTheme="minorHAnsi" w:hAnsiTheme="minorHAnsi" w:cstheme="minorHAnsi"/>
                <w:i/>
                <w:iCs/>
              </w:rPr>
              <w:t>§6)</w:t>
            </w:r>
            <w:r w:rsidRPr="6E34AAC8">
              <w:rPr>
                <w:rFonts w:asciiTheme="minorHAnsi" w:hAnsiTheme="minorHAnsi"/>
                <w:i/>
                <w:iCs/>
              </w:rPr>
              <w:t>,</w:t>
            </w:r>
            <w:r w:rsidRPr="000A3215">
              <w:rPr>
                <w:rFonts w:asciiTheme="minorHAnsi" w:hAnsiTheme="minorHAnsi"/>
                <w:i/>
                <w:iCs/>
              </w:rPr>
              <w:t xml:space="preserve"> 10, 20</w:t>
            </w:r>
          </w:p>
        </w:tc>
        <w:tc>
          <w:tcPr>
            <w:tcW w:w="3659" w:type="pct"/>
          </w:tcPr>
          <w:p w14:paraId="2C58C2BC"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2E7D96">
              <w:rPr>
                <w:rFonts w:asciiTheme="minorHAnsi" w:hAnsiTheme="minorHAnsi"/>
              </w:rPr>
              <w:t xml:space="preserve">RAG noted the draft rolling Operational Plan of the ITU-R for the period 2021-2024. </w:t>
            </w:r>
          </w:p>
          <w:p w14:paraId="64336070"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p>
          <w:p w14:paraId="2207A718" w14:textId="77777777" w:rsidR="00600246" w:rsidRPr="00CD42B3"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070CD4">
              <w:rPr>
                <w:rFonts w:asciiTheme="minorHAnsi" w:eastAsia="Courier New" w:hAnsiTheme="minorHAnsi" w:cstheme="minorHAnsi"/>
              </w:rPr>
              <w:t>On Document 20</w:t>
            </w:r>
            <w:r>
              <w:rPr>
                <w:rFonts w:asciiTheme="minorHAnsi" w:eastAsia="Courier New" w:hAnsiTheme="minorHAnsi" w:cstheme="minorHAnsi"/>
              </w:rPr>
              <w:t xml:space="preserve"> from China</w:t>
            </w:r>
            <w:r w:rsidRPr="00070CD4">
              <w:rPr>
                <w:rFonts w:asciiTheme="minorHAnsi" w:eastAsia="Courier New" w:hAnsiTheme="minorHAnsi" w:cstheme="minorHAnsi"/>
              </w:rPr>
              <w:t xml:space="preserve">, RAG </w:t>
            </w:r>
            <w:r>
              <w:rPr>
                <w:rFonts w:asciiTheme="minorHAnsi" w:eastAsia="Courier New" w:hAnsiTheme="minorHAnsi" w:cstheme="minorHAnsi"/>
              </w:rPr>
              <w:t>invited</w:t>
            </w:r>
            <w:r w:rsidRPr="00070CD4">
              <w:rPr>
                <w:rFonts w:asciiTheme="minorHAnsi" w:eastAsia="Courier New" w:hAnsiTheme="minorHAnsi" w:cstheme="minorHAnsi"/>
              </w:rPr>
              <w:t xml:space="preserve"> the Director to take into account </w:t>
            </w:r>
            <w:r>
              <w:rPr>
                <w:rFonts w:asciiTheme="minorHAnsi" w:eastAsia="Courier New" w:hAnsiTheme="minorHAnsi" w:cstheme="minorHAnsi"/>
              </w:rPr>
              <w:t>RAG’s</w:t>
            </w:r>
            <w:r w:rsidRPr="00070CD4">
              <w:rPr>
                <w:rFonts w:asciiTheme="minorHAnsi" w:eastAsia="Courier New" w:hAnsiTheme="minorHAnsi" w:cstheme="minorHAnsi"/>
              </w:rPr>
              <w:t xml:space="preserve"> support for improving </w:t>
            </w:r>
            <w:r>
              <w:rPr>
                <w:rFonts w:asciiTheme="minorHAnsi" w:eastAsia="Courier New" w:hAnsiTheme="minorHAnsi" w:cstheme="minorHAnsi"/>
              </w:rPr>
              <w:t>ITU’s</w:t>
            </w:r>
            <w:r w:rsidRPr="00070CD4">
              <w:rPr>
                <w:rFonts w:asciiTheme="minorHAnsi" w:eastAsia="Courier New" w:hAnsiTheme="minorHAnsi" w:cstheme="minorHAnsi"/>
              </w:rPr>
              <w:t xml:space="preserve"> remote participation platform in his reporting to Council, bearing in mind the different views expressed by delegates on the benefits and challenges of using virtual versus physical meetings to progress the work of the ITU-R.</w:t>
            </w:r>
          </w:p>
        </w:tc>
      </w:tr>
      <w:tr w:rsidR="00600246" w14:paraId="482578D9" w14:textId="77777777" w:rsidTr="007D4747">
        <w:trPr>
          <w:jc w:val="center"/>
        </w:trPr>
        <w:tc>
          <w:tcPr>
            <w:tcW w:w="339" w:type="pct"/>
          </w:tcPr>
          <w:p w14:paraId="550A8E83" w14:textId="77777777" w:rsidR="00600246" w:rsidRPr="007E76AA"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7E76AA">
              <w:rPr>
                <w:rFonts w:asciiTheme="minorHAnsi" w:hAnsiTheme="minorHAnsi" w:cstheme="minorHAnsi"/>
              </w:rPr>
              <w:br w:type="page"/>
            </w:r>
            <w:r>
              <w:rPr>
                <w:rFonts w:asciiTheme="minorHAnsi" w:hAnsiTheme="minorHAnsi" w:cstheme="minorHAnsi"/>
              </w:rPr>
              <w:t>9</w:t>
            </w:r>
          </w:p>
        </w:tc>
        <w:tc>
          <w:tcPr>
            <w:tcW w:w="1002" w:type="pct"/>
          </w:tcPr>
          <w:p w14:paraId="110A2331" w14:textId="77777777" w:rsidR="00600246" w:rsidRPr="000A3215"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lang w:val="de-CH"/>
              </w:rPr>
            </w:pPr>
            <w:r w:rsidRPr="001D38CA">
              <w:rPr>
                <w:rFonts w:asciiTheme="minorHAnsi" w:hAnsiTheme="minorHAnsi" w:cstheme="minorHAnsi"/>
                <w:lang w:val="de-CH"/>
              </w:rPr>
              <w:t>BR information system</w:t>
            </w:r>
          </w:p>
          <w:p w14:paraId="4CF4BBFB" w14:textId="77777777" w:rsidR="00600246" w:rsidRPr="004B3ED5"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Bidi"/>
                <w:highlight w:val="yellow"/>
                <w:lang w:val="de-CH"/>
              </w:rPr>
            </w:pPr>
            <w:r w:rsidRPr="000A3215">
              <w:rPr>
                <w:rFonts w:asciiTheme="minorHAnsi" w:hAnsiTheme="minorHAnsi"/>
                <w:i/>
                <w:iCs/>
                <w:lang w:val="de-CH"/>
              </w:rPr>
              <w:t>RAG20/1-Rev1</w:t>
            </w:r>
            <w:r>
              <w:rPr>
                <w:rFonts w:asciiTheme="minorHAnsi" w:hAnsiTheme="minorHAnsi"/>
                <w:i/>
                <w:iCs/>
                <w:lang w:val="de-CH"/>
              </w:rPr>
              <w:t>(</w:t>
            </w:r>
            <w:r>
              <w:rPr>
                <w:rFonts w:asciiTheme="minorHAnsi" w:hAnsiTheme="minorHAnsi" w:cstheme="minorHAnsi"/>
                <w:i/>
                <w:iCs/>
                <w:lang w:val="de-CH"/>
              </w:rPr>
              <w:t>§</w:t>
            </w:r>
            <w:r>
              <w:rPr>
                <w:rFonts w:asciiTheme="minorHAnsi" w:hAnsiTheme="minorHAnsi"/>
                <w:i/>
                <w:iCs/>
                <w:lang w:val="de-CH"/>
              </w:rPr>
              <w:t>7)</w:t>
            </w:r>
            <w:r w:rsidRPr="000A3215">
              <w:rPr>
                <w:rFonts w:asciiTheme="minorHAnsi" w:hAnsiTheme="minorHAnsi"/>
                <w:i/>
                <w:iCs/>
                <w:lang w:val="de-CH"/>
              </w:rPr>
              <w:t>, 17, 22, 23</w:t>
            </w:r>
          </w:p>
        </w:tc>
        <w:tc>
          <w:tcPr>
            <w:tcW w:w="3659" w:type="pct"/>
          </w:tcPr>
          <w:p w14:paraId="63DC7A54" w14:textId="77777777" w:rsidR="00600246" w:rsidRPr="000F01FF"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r w:rsidRPr="000F01FF">
              <w:rPr>
                <w:rFonts w:asciiTheme="minorHAnsi" w:eastAsia="Courier New" w:hAnsiTheme="minorHAnsi" w:cstheme="minorHAnsi"/>
              </w:rPr>
              <w:t xml:space="preserve">RAG noted with thanks the work that has been done in enhancing the BR information system and invites the Director to continue further enhancing these systems to facilitate the work on this sector. </w:t>
            </w:r>
          </w:p>
          <w:p w14:paraId="1C4DC2CF" w14:textId="77777777" w:rsidR="00600246" w:rsidRPr="000F01FF"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r w:rsidRPr="000F01FF">
              <w:rPr>
                <w:rFonts w:asciiTheme="minorHAnsi" w:eastAsia="Courier New" w:hAnsiTheme="minorHAnsi" w:cstheme="minorHAnsi"/>
              </w:rPr>
              <w:t xml:space="preserve"> </w:t>
            </w:r>
          </w:p>
          <w:p w14:paraId="6E372DF4" w14:textId="77777777" w:rsidR="00600246" w:rsidRPr="000F01FF"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r w:rsidRPr="000F01FF">
              <w:rPr>
                <w:rFonts w:asciiTheme="minorHAnsi" w:eastAsia="Courier New" w:hAnsiTheme="minorHAnsi" w:cstheme="minorHAnsi"/>
              </w:rPr>
              <w:t xml:space="preserve">On Document 17 from Japan, RAG noted with thanks and invited the Director to take it into account as they enhance the BR information systems. The Director also took the opportunity to thank Japan for their continued support given to BR as part of resolution 908 in enhancing the Bureau’s information systems. RAG invited the Director to take the necessary action and report at the next RAG meeting on how the BR has enhanced the BR information systems, with regards to the proposal from Japan. </w:t>
            </w:r>
          </w:p>
          <w:p w14:paraId="55EAD0AB" w14:textId="77777777" w:rsidR="00600246" w:rsidRPr="000F01FF"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r w:rsidRPr="000F01FF">
              <w:rPr>
                <w:rFonts w:asciiTheme="minorHAnsi" w:eastAsia="Courier New" w:hAnsiTheme="minorHAnsi" w:cstheme="minorHAnsi"/>
              </w:rPr>
              <w:t xml:space="preserve"> </w:t>
            </w:r>
          </w:p>
          <w:p w14:paraId="2C5400AC" w14:textId="77777777" w:rsidR="00600246" w:rsidRPr="000F01FF"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r w:rsidRPr="000F01FF">
              <w:rPr>
                <w:rFonts w:asciiTheme="minorHAnsi" w:eastAsia="Courier New" w:hAnsiTheme="minorHAnsi" w:cstheme="minorHAnsi"/>
              </w:rPr>
              <w:t xml:space="preserve">On Document 22 from Brazil, RAG noted the contribution and invited Director to implement some of the proposals therein, within the available resource and as practicable, and to report to the RAG at its next meeting. </w:t>
            </w:r>
          </w:p>
          <w:p w14:paraId="2DAA8414" w14:textId="77777777" w:rsidR="00600246" w:rsidRPr="000F01FF"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p>
          <w:p w14:paraId="0199B296" w14:textId="77777777" w:rsidR="00600246" w:rsidRPr="000F01FF" w:rsidRDefault="00600246" w:rsidP="007D47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Courier New" w:hAnsiTheme="minorHAnsi" w:cstheme="minorHAnsi"/>
              </w:rPr>
            </w:pPr>
            <w:r w:rsidRPr="000F01FF">
              <w:rPr>
                <w:rFonts w:asciiTheme="minorHAnsi" w:eastAsia="Courier New" w:hAnsiTheme="minorHAnsi" w:cstheme="minorHAnsi"/>
              </w:rPr>
              <w:t xml:space="preserve">On Document RAG20/23 from Brazil, RAG was informed by the Bureau of a very satisfying rate of adoption of the e-Communication tool by administrations and noted that the recent pandemic crisis led to a surge in use of this application. The Bureau also mentioned its strong commitment to continue to develop this tool in order to make it as useful as possible for users, notably by adding further functionalities (e.g. taking into account intergovernmental organizations, and including the possibility for administrations to manage the correspondence with their satellite operating agencies). </w:t>
            </w:r>
          </w:p>
          <w:p w14:paraId="0064C444" w14:textId="77777777" w:rsidR="00600246" w:rsidRDefault="00600246" w:rsidP="007D4747">
            <w:pPr>
              <w:rPr>
                <w:rFonts w:asciiTheme="minorHAnsi" w:eastAsia="Courier New" w:hAnsiTheme="minorHAnsi" w:cstheme="minorHAnsi"/>
              </w:rPr>
            </w:pPr>
            <w:r w:rsidRPr="000F01FF">
              <w:rPr>
                <w:rFonts w:asciiTheme="minorHAnsi" w:eastAsia="Courier New" w:hAnsiTheme="minorHAnsi" w:cstheme="minorHAnsi"/>
              </w:rPr>
              <w:lastRenderedPageBreak/>
              <w:t>RAG noted this contribution and invited the Director to encourage Administrations to use electronic communications to the maximum extent possible.</w:t>
            </w:r>
          </w:p>
          <w:p w14:paraId="34CA18C8" w14:textId="77777777" w:rsidR="00600246" w:rsidRPr="000F01FF" w:rsidRDefault="00600246" w:rsidP="007D4747">
            <w:pPr>
              <w:rPr>
                <w:rFonts w:asciiTheme="minorHAnsi" w:eastAsia="Courier New" w:hAnsiTheme="minorHAnsi" w:cstheme="minorHAnsi"/>
              </w:rPr>
            </w:pPr>
          </w:p>
        </w:tc>
      </w:tr>
      <w:tr w:rsidR="00600246" w14:paraId="3727CDE5" w14:textId="77777777" w:rsidTr="007D4747">
        <w:trPr>
          <w:jc w:val="center"/>
        </w:trPr>
        <w:tc>
          <w:tcPr>
            <w:tcW w:w="339" w:type="pct"/>
          </w:tcPr>
          <w:p w14:paraId="6099F625"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Pr>
                <w:rFonts w:asciiTheme="minorHAnsi" w:hAnsiTheme="minorHAnsi" w:cstheme="minorHAnsi"/>
              </w:rPr>
              <w:lastRenderedPageBreak/>
              <w:t>10</w:t>
            </w:r>
          </w:p>
        </w:tc>
        <w:tc>
          <w:tcPr>
            <w:tcW w:w="1002" w:type="pct"/>
          </w:tcPr>
          <w:p w14:paraId="0D84D711" w14:textId="77777777" w:rsidR="00600246" w:rsidRPr="004B3ED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Bidi"/>
                <w:highlight w:val="yellow"/>
              </w:rPr>
            </w:pPr>
            <w:r w:rsidRPr="0205C14B">
              <w:rPr>
                <w:rFonts w:asciiTheme="minorHAnsi" w:hAnsiTheme="minorHAnsi" w:cstheme="minorBidi"/>
              </w:rPr>
              <w:t>Outreach</w:t>
            </w:r>
            <w:r w:rsidRPr="0205C14B">
              <w:rPr>
                <w:rFonts w:asciiTheme="minorHAnsi" w:hAnsiTheme="minorHAnsi"/>
                <w:i/>
                <w:iCs/>
              </w:rPr>
              <w:t xml:space="preserve"> </w:t>
            </w:r>
            <w:r>
              <w:br/>
            </w:r>
            <w:r w:rsidRPr="000A3215">
              <w:rPr>
                <w:rFonts w:asciiTheme="minorHAnsi" w:hAnsiTheme="minorHAnsi"/>
                <w:i/>
                <w:iCs/>
              </w:rPr>
              <w:t>RAG20/1-Rev1</w:t>
            </w:r>
            <w:r>
              <w:rPr>
                <w:rFonts w:asciiTheme="minorHAnsi" w:hAnsiTheme="minorHAnsi"/>
                <w:i/>
                <w:iCs/>
              </w:rPr>
              <w:t>(</w:t>
            </w:r>
            <w:r>
              <w:rPr>
                <w:rFonts w:asciiTheme="minorHAnsi" w:hAnsiTheme="minorHAnsi" w:cstheme="minorHAnsi"/>
                <w:i/>
                <w:iCs/>
              </w:rPr>
              <w:t>§</w:t>
            </w:r>
            <w:r>
              <w:rPr>
                <w:rFonts w:asciiTheme="minorHAnsi" w:hAnsiTheme="minorHAnsi"/>
                <w:i/>
                <w:iCs/>
              </w:rPr>
              <w:t>8)</w:t>
            </w:r>
          </w:p>
        </w:tc>
        <w:tc>
          <w:tcPr>
            <w:tcW w:w="3659" w:type="pct"/>
          </w:tcPr>
          <w:p w14:paraId="3C3B50B0"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r w:rsidRPr="001B18A7">
              <w:rPr>
                <w:rFonts w:asciiTheme="minorHAnsi" w:hAnsiTheme="minorHAnsi"/>
              </w:rPr>
              <w:t>RAG noted the report and</w:t>
            </w:r>
            <w:r>
              <w:rPr>
                <w:rFonts w:asciiTheme="minorHAnsi" w:hAnsiTheme="minorHAnsi"/>
              </w:rPr>
              <w:t xml:space="preserve"> invited the Director to</w:t>
            </w:r>
            <w:r w:rsidRPr="001B18A7">
              <w:rPr>
                <w:rFonts w:asciiTheme="minorHAnsi" w:hAnsiTheme="minorHAnsi"/>
              </w:rPr>
              <w:t xml:space="preserve"> continue efforts of the BR to </w:t>
            </w:r>
            <w:proofErr w:type="gramStart"/>
            <w:r w:rsidRPr="001B18A7">
              <w:rPr>
                <w:rFonts w:asciiTheme="minorHAnsi" w:hAnsiTheme="minorHAnsi"/>
              </w:rPr>
              <w:t>provide assistance</w:t>
            </w:r>
            <w:proofErr w:type="gramEnd"/>
            <w:r w:rsidRPr="001B18A7">
              <w:rPr>
                <w:rFonts w:asciiTheme="minorHAnsi" w:hAnsiTheme="minorHAnsi"/>
              </w:rPr>
              <w:t xml:space="preserve"> and capacity building</w:t>
            </w:r>
            <w:r>
              <w:rPr>
                <w:rFonts w:asciiTheme="minorHAnsi" w:hAnsiTheme="minorHAnsi"/>
              </w:rPr>
              <w:t xml:space="preserve"> within the means that is at his disposal</w:t>
            </w:r>
            <w:r w:rsidRPr="001B18A7">
              <w:rPr>
                <w:rFonts w:asciiTheme="minorHAnsi" w:hAnsiTheme="minorHAnsi"/>
              </w:rPr>
              <w:t xml:space="preserve">. </w:t>
            </w:r>
          </w:p>
          <w:p w14:paraId="4A933B8A" w14:textId="77777777" w:rsidR="00600246"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p>
          <w:p w14:paraId="0D60018A" w14:textId="77777777" w:rsidR="00600246" w:rsidRPr="000A3215"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E57CF6">
              <w:rPr>
                <w:rFonts w:asciiTheme="minorHAnsi" w:hAnsiTheme="minorHAnsi"/>
              </w:rPr>
              <w:t>Regarding WRS</w:t>
            </w:r>
            <w:r>
              <w:rPr>
                <w:rFonts w:asciiTheme="minorHAnsi" w:hAnsiTheme="minorHAnsi"/>
              </w:rPr>
              <w:t>-</w:t>
            </w:r>
            <w:r w:rsidRPr="00E57CF6">
              <w:rPr>
                <w:rFonts w:asciiTheme="minorHAnsi" w:hAnsiTheme="minorHAnsi"/>
              </w:rPr>
              <w:t>2020, RAG advised the Director about the importance of making the workshops (space and terrestrial) fully available online and recorded for future consultations by the membership, not only due to COVID situation, but on a permanent basis.</w:t>
            </w:r>
          </w:p>
        </w:tc>
      </w:tr>
      <w:tr w:rsidR="00600246" w14:paraId="2F234F55" w14:textId="77777777" w:rsidTr="007D4747">
        <w:trPr>
          <w:jc w:val="center"/>
        </w:trPr>
        <w:tc>
          <w:tcPr>
            <w:tcW w:w="339" w:type="pct"/>
          </w:tcPr>
          <w:p w14:paraId="0D129DF7"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7E76AA">
              <w:rPr>
                <w:rFonts w:asciiTheme="minorHAnsi" w:hAnsiTheme="minorHAnsi" w:cstheme="minorHAnsi"/>
              </w:rPr>
              <w:t>1</w:t>
            </w:r>
            <w:r>
              <w:rPr>
                <w:rFonts w:asciiTheme="minorHAnsi" w:hAnsiTheme="minorHAnsi" w:cstheme="minorHAnsi"/>
              </w:rPr>
              <w:t>1</w:t>
            </w:r>
          </w:p>
        </w:tc>
        <w:tc>
          <w:tcPr>
            <w:tcW w:w="1002" w:type="pct"/>
          </w:tcPr>
          <w:p w14:paraId="1E42C30E"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7E76AA">
              <w:rPr>
                <w:rFonts w:asciiTheme="minorHAnsi" w:hAnsiTheme="minorHAnsi" w:cstheme="minorHAnsi"/>
              </w:rPr>
              <w:t>Date of next meeting</w:t>
            </w:r>
          </w:p>
        </w:tc>
        <w:tc>
          <w:tcPr>
            <w:tcW w:w="3659" w:type="pct"/>
          </w:tcPr>
          <w:p w14:paraId="0241BE04"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rPr>
            </w:pPr>
            <w:r w:rsidRPr="007E76AA">
              <w:rPr>
                <w:rFonts w:asciiTheme="minorHAnsi" w:hAnsiTheme="minorHAnsi"/>
              </w:rPr>
              <w:t>The 2</w:t>
            </w:r>
            <w:r>
              <w:rPr>
                <w:rFonts w:asciiTheme="minorHAnsi" w:hAnsiTheme="minorHAnsi"/>
              </w:rPr>
              <w:t>8</w:t>
            </w:r>
            <w:r w:rsidRPr="007E76AA">
              <w:rPr>
                <w:rFonts w:asciiTheme="minorHAnsi" w:hAnsiTheme="minorHAnsi"/>
                <w:vertAlign w:val="superscript"/>
              </w:rPr>
              <w:t>th</w:t>
            </w:r>
            <w:r w:rsidRPr="007E76AA">
              <w:rPr>
                <w:rFonts w:asciiTheme="minorHAnsi" w:hAnsiTheme="minorHAnsi"/>
              </w:rPr>
              <w:t xml:space="preserve"> meeting of the RAG is planned to take place from </w:t>
            </w:r>
            <w:r>
              <w:rPr>
                <w:rFonts w:asciiTheme="minorHAnsi" w:hAnsiTheme="minorHAnsi"/>
              </w:rPr>
              <w:t xml:space="preserve">29 March </w:t>
            </w:r>
            <w:r w:rsidRPr="007E76AA">
              <w:rPr>
                <w:rFonts w:asciiTheme="minorHAnsi" w:hAnsiTheme="minorHAnsi"/>
              </w:rPr>
              <w:t>to</w:t>
            </w:r>
            <w:r>
              <w:rPr>
                <w:rFonts w:asciiTheme="minorHAnsi" w:hAnsiTheme="minorHAnsi"/>
              </w:rPr>
              <w:t xml:space="preserve"> 1</w:t>
            </w:r>
            <w:r w:rsidRPr="007E76AA">
              <w:rPr>
                <w:rFonts w:asciiTheme="minorHAnsi" w:hAnsiTheme="minorHAnsi"/>
              </w:rPr>
              <w:t xml:space="preserve"> </w:t>
            </w:r>
            <w:r>
              <w:rPr>
                <w:rFonts w:asciiTheme="minorHAnsi" w:hAnsiTheme="minorHAnsi"/>
              </w:rPr>
              <w:t>April</w:t>
            </w:r>
            <w:r w:rsidRPr="007E76AA">
              <w:rPr>
                <w:rFonts w:asciiTheme="minorHAnsi" w:hAnsiTheme="minorHAnsi"/>
              </w:rPr>
              <w:t xml:space="preserve"> 20</w:t>
            </w:r>
            <w:r>
              <w:rPr>
                <w:rFonts w:asciiTheme="minorHAnsi" w:hAnsiTheme="minorHAnsi"/>
              </w:rPr>
              <w:t>21</w:t>
            </w:r>
            <w:r w:rsidRPr="007E76AA">
              <w:rPr>
                <w:rFonts w:asciiTheme="minorHAnsi" w:hAnsiTheme="minorHAnsi"/>
              </w:rPr>
              <w:t>.</w:t>
            </w:r>
            <w:r w:rsidRPr="007E76AA">
              <w:rPr>
                <w:rFonts w:asciiTheme="minorHAnsi" w:hAnsiTheme="minorHAnsi" w:cstheme="minorHAnsi"/>
              </w:rPr>
              <w:t xml:space="preserve">  </w:t>
            </w:r>
          </w:p>
        </w:tc>
      </w:tr>
      <w:tr w:rsidR="00600246" w14:paraId="77915FB9" w14:textId="77777777" w:rsidTr="007D4747">
        <w:trPr>
          <w:jc w:val="center"/>
        </w:trPr>
        <w:tc>
          <w:tcPr>
            <w:tcW w:w="339" w:type="pct"/>
          </w:tcPr>
          <w:p w14:paraId="78A74C57"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7E76AA">
              <w:rPr>
                <w:rFonts w:asciiTheme="minorHAnsi" w:hAnsiTheme="minorHAnsi" w:cstheme="minorHAnsi"/>
              </w:rPr>
              <w:t>1</w:t>
            </w:r>
            <w:r>
              <w:rPr>
                <w:rFonts w:asciiTheme="minorHAnsi" w:hAnsiTheme="minorHAnsi" w:cstheme="minorHAnsi"/>
              </w:rPr>
              <w:t>2</w:t>
            </w:r>
          </w:p>
        </w:tc>
        <w:tc>
          <w:tcPr>
            <w:tcW w:w="1002" w:type="pct"/>
          </w:tcPr>
          <w:p w14:paraId="45289BFE"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rPr>
            </w:pPr>
            <w:r w:rsidRPr="007E76AA">
              <w:rPr>
                <w:rFonts w:asciiTheme="minorHAnsi" w:hAnsiTheme="minorHAnsi" w:cstheme="minorHAnsi"/>
              </w:rPr>
              <w:t>Any other business</w:t>
            </w:r>
          </w:p>
        </w:tc>
        <w:tc>
          <w:tcPr>
            <w:tcW w:w="3659" w:type="pct"/>
          </w:tcPr>
          <w:p w14:paraId="41F538D0" w14:textId="77777777" w:rsidR="00600246" w:rsidRPr="007E76AA" w:rsidRDefault="00600246" w:rsidP="00B1108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rPr>
            </w:pPr>
          </w:p>
        </w:tc>
      </w:tr>
    </w:tbl>
    <w:p w14:paraId="1C6622EE" w14:textId="77777777" w:rsidR="00600246" w:rsidRDefault="00600246" w:rsidP="00351D76">
      <w:pPr>
        <w:jc w:val="center"/>
        <w:rPr>
          <w:rFonts w:asciiTheme="minorHAnsi" w:hAnsiTheme="minorHAnsi" w:cstheme="minorHAnsi"/>
          <w:szCs w:val="24"/>
        </w:rPr>
      </w:pPr>
    </w:p>
    <w:p w14:paraId="44BB2FFD" w14:textId="77777777" w:rsidR="00161334" w:rsidRDefault="00161334" w:rsidP="00161334">
      <w:pPr>
        <w:rPr>
          <w:rFonts w:asciiTheme="minorHAnsi" w:hAnsiTheme="minorHAnsi"/>
        </w:rPr>
      </w:pPr>
      <w:r w:rsidRPr="007E76AA">
        <w:rPr>
          <w:rFonts w:asciiTheme="minorHAnsi" w:hAnsiTheme="minorHAnsi"/>
          <w:u w:val="single"/>
        </w:rPr>
        <w:t>ANNEXES</w:t>
      </w:r>
      <w:r w:rsidRPr="007E76AA">
        <w:rPr>
          <w:rFonts w:asciiTheme="minorHAnsi" w:hAnsiTheme="minorHAnsi"/>
        </w:rPr>
        <w:t>:</w:t>
      </w:r>
    </w:p>
    <w:p w14:paraId="3E6B3E9B" w14:textId="6B482A15" w:rsidR="00161334" w:rsidRDefault="00161334" w:rsidP="00161334">
      <w:pPr>
        <w:jc w:val="left"/>
        <w:rPr>
          <w:rFonts w:asciiTheme="minorHAnsi" w:hAnsiTheme="minorHAnsi"/>
        </w:rPr>
      </w:pPr>
      <w:r>
        <w:rPr>
          <w:rFonts w:asciiTheme="minorHAnsi" w:hAnsiTheme="minorHAnsi"/>
        </w:rPr>
        <w:t xml:space="preserve">ANNEX 1: </w:t>
      </w:r>
      <w:r w:rsidR="00CA5BBF">
        <w:rPr>
          <w:rFonts w:asciiTheme="minorHAnsi" w:hAnsiTheme="minorHAnsi"/>
        </w:rPr>
        <w:t>T</w:t>
      </w:r>
      <w:r w:rsidR="00CA5BBF" w:rsidRPr="00CA5BBF">
        <w:rPr>
          <w:rFonts w:asciiTheme="minorHAnsi" w:hAnsiTheme="minorHAnsi"/>
        </w:rPr>
        <w:t xml:space="preserve">erms of reference of the </w:t>
      </w:r>
      <w:r w:rsidR="00CA5BBF">
        <w:rPr>
          <w:rFonts w:asciiTheme="minorHAnsi" w:hAnsiTheme="minorHAnsi"/>
        </w:rPr>
        <w:t>RAG</w:t>
      </w:r>
      <w:r w:rsidR="00CA5BBF" w:rsidRPr="00CA5BBF">
        <w:rPr>
          <w:rFonts w:asciiTheme="minorHAnsi" w:hAnsiTheme="minorHAnsi"/>
        </w:rPr>
        <w:t xml:space="preserve"> </w:t>
      </w:r>
      <w:r w:rsidR="00CA5BBF">
        <w:rPr>
          <w:rFonts w:asciiTheme="minorHAnsi" w:hAnsiTheme="minorHAnsi"/>
        </w:rPr>
        <w:t>C</w:t>
      </w:r>
      <w:r w:rsidR="00CA5BBF" w:rsidRPr="00CA5BBF">
        <w:rPr>
          <w:rFonts w:asciiTheme="minorHAnsi" w:hAnsiTheme="minorHAnsi"/>
        </w:rPr>
        <w:t xml:space="preserve">orrespondence </w:t>
      </w:r>
      <w:r w:rsidR="00CA5BBF">
        <w:rPr>
          <w:rFonts w:asciiTheme="minorHAnsi" w:hAnsiTheme="minorHAnsi"/>
        </w:rPr>
        <w:t>G</w:t>
      </w:r>
      <w:r w:rsidR="00CA5BBF" w:rsidRPr="00CA5BBF">
        <w:rPr>
          <w:rFonts w:asciiTheme="minorHAnsi" w:hAnsiTheme="minorHAnsi"/>
        </w:rPr>
        <w:t xml:space="preserve">roup 1 on the implementation of </w:t>
      </w:r>
      <w:r w:rsidR="00CA5BBF">
        <w:rPr>
          <w:rFonts w:asciiTheme="minorHAnsi" w:hAnsiTheme="minorHAnsi"/>
        </w:rPr>
        <w:t>WRC</w:t>
      </w:r>
      <w:r w:rsidR="00CA5BBF" w:rsidRPr="00CA5BBF">
        <w:rPr>
          <w:rFonts w:asciiTheme="minorHAnsi" w:hAnsiTheme="minorHAnsi"/>
        </w:rPr>
        <w:t xml:space="preserve">-19 </w:t>
      </w:r>
      <w:r w:rsidR="00CA5BBF">
        <w:rPr>
          <w:rFonts w:asciiTheme="minorHAnsi" w:hAnsiTheme="minorHAnsi"/>
        </w:rPr>
        <w:t>G</w:t>
      </w:r>
      <w:r w:rsidR="00CA5BBF" w:rsidRPr="00CA5BBF">
        <w:rPr>
          <w:rFonts w:asciiTheme="minorHAnsi" w:hAnsiTheme="minorHAnsi"/>
        </w:rPr>
        <w:t xml:space="preserve">ender </w:t>
      </w:r>
      <w:r w:rsidR="00CA5BBF">
        <w:rPr>
          <w:rFonts w:asciiTheme="minorHAnsi" w:hAnsiTheme="minorHAnsi"/>
        </w:rPr>
        <w:t>D</w:t>
      </w:r>
      <w:r w:rsidR="00CA5BBF" w:rsidRPr="00CA5BBF">
        <w:rPr>
          <w:rFonts w:asciiTheme="minorHAnsi" w:hAnsiTheme="minorHAnsi"/>
        </w:rPr>
        <w:t xml:space="preserve">eclaration and drafting of a possible </w:t>
      </w:r>
      <w:r w:rsidR="00CA5BBF">
        <w:rPr>
          <w:rFonts w:asciiTheme="minorHAnsi" w:hAnsiTheme="minorHAnsi"/>
        </w:rPr>
        <w:t>RA</w:t>
      </w:r>
      <w:r w:rsidR="00CA5BBF" w:rsidRPr="00CA5BBF">
        <w:rPr>
          <w:rFonts w:asciiTheme="minorHAnsi" w:hAnsiTheme="minorHAnsi"/>
        </w:rPr>
        <w:t xml:space="preserve">-23 </w:t>
      </w:r>
      <w:r w:rsidR="00CA5BBF">
        <w:rPr>
          <w:rFonts w:asciiTheme="minorHAnsi" w:hAnsiTheme="minorHAnsi"/>
        </w:rPr>
        <w:t>G</w:t>
      </w:r>
      <w:r w:rsidR="00CA5BBF" w:rsidRPr="00CA5BBF">
        <w:rPr>
          <w:rFonts w:asciiTheme="minorHAnsi" w:hAnsiTheme="minorHAnsi"/>
        </w:rPr>
        <w:t xml:space="preserve">ender </w:t>
      </w:r>
      <w:r w:rsidR="00CA5BBF">
        <w:rPr>
          <w:rFonts w:asciiTheme="minorHAnsi" w:hAnsiTheme="minorHAnsi"/>
        </w:rPr>
        <w:t>R</w:t>
      </w:r>
      <w:r w:rsidR="00CA5BBF" w:rsidRPr="00CA5BBF">
        <w:rPr>
          <w:rFonts w:asciiTheme="minorHAnsi" w:hAnsiTheme="minorHAnsi"/>
        </w:rPr>
        <w:t xml:space="preserve">esolution  </w:t>
      </w:r>
    </w:p>
    <w:p w14:paraId="39EA710C" w14:textId="0014A106" w:rsidR="00D909E1" w:rsidRPr="00D909E1" w:rsidRDefault="00161334" w:rsidP="00D909E1">
      <w:pPr>
        <w:jc w:val="left"/>
        <w:rPr>
          <w:rFonts w:asciiTheme="minorHAnsi" w:hAnsiTheme="minorHAnsi"/>
        </w:rPr>
      </w:pPr>
      <w:r w:rsidRPr="00B412B5">
        <w:rPr>
          <w:rFonts w:asciiTheme="minorHAnsi" w:hAnsiTheme="minorHAnsi"/>
        </w:rPr>
        <w:t xml:space="preserve">ANNEX 2: </w:t>
      </w:r>
      <w:r w:rsidR="00D909E1" w:rsidRPr="00D909E1">
        <w:rPr>
          <w:rFonts w:asciiTheme="minorHAnsi" w:hAnsiTheme="minorHAnsi"/>
        </w:rPr>
        <w:t>D</w:t>
      </w:r>
      <w:r w:rsidR="00D909E1">
        <w:rPr>
          <w:rFonts w:asciiTheme="minorHAnsi" w:hAnsiTheme="minorHAnsi"/>
        </w:rPr>
        <w:t>raft</w:t>
      </w:r>
      <w:r w:rsidR="00D909E1" w:rsidRPr="00D909E1">
        <w:rPr>
          <w:rFonts w:asciiTheme="minorHAnsi" w:hAnsiTheme="minorHAnsi"/>
        </w:rPr>
        <w:t xml:space="preserve"> Terms of Reference of the RAG Correspondence Group 2 on possible revisions of Resolutions ITU-R 1-8 and 15-6</w:t>
      </w:r>
    </w:p>
    <w:p w14:paraId="0DD674D5" w14:textId="3272093F" w:rsidR="00161334" w:rsidRDefault="00161334" w:rsidP="00161334">
      <w:pPr>
        <w:jc w:val="left"/>
        <w:rPr>
          <w:rFonts w:asciiTheme="minorHAnsi" w:hAnsiTheme="minorHAnsi" w:cstheme="minorHAnsi"/>
          <w:szCs w:val="24"/>
        </w:rPr>
      </w:pPr>
    </w:p>
    <w:p w14:paraId="56AE1F4C" w14:textId="77777777" w:rsidR="00161334" w:rsidRDefault="00161334" w:rsidP="00351D76">
      <w:pPr>
        <w:jc w:val="center"/>
        <w:rPr>
          <w:rFonts w:asciiTheme="minorHAnsi" w:hAnsiTheme="minorHAnsi" w:cstheme="minorHAnsi"/>
          <w:szCs w:val="24"/>
        </w:rPr>
      </w:pPr>
    </w:p>
    <w:p w14:paraId="3215728F" w14:textId="77777777" w:rsidR="00F96AB0" w:rsidRDefault="00F96AB0" w:rsidP="00351D76">
      <w:pPr>
        <w:jc w:val="center"/>
        <w:rPr>
          <w:rFonts w:asciiTheme="minorHAnsi" w:hAnsiTheme="minorHAnsi" w:cstheme="minorHAnsi"/>
          <w:szCs w:val="24"/>
        </w:rPr>
        <w:sectPr w:rsidR="00F96AB0" w:rsidSect="00FD6F16">
          <w:headerReference w:type="default" r:id="rId17"/>
          <w:footerReference w:type="default" r:id="rId18"/>
          <w:headerReference w:type="first" r:id="rId19"/>
          <w:footerReference w:type="first" r:id="rId20"/>
          <w:pgSz w:w="16834" w:h="11907" w:orient="landscape" w:code="9"/>
          <w:pgMar w:top="1134" w:right="1134" w:bottom="1134" w:left="993" w:header="567" w:footer="824" w:gutter="0"/>
          <w:cols w:space="720"/>
          <w:titlePg/>
          <w:docGrid w:linePitch="326"/>
        </w:sectPr>
      </w:pPr>
    </w:p>
    <w:p w14:paraId="7826AC56" w14:textId="7F3AB0A4" w:rsidR="00A977C4" w:rsidRPr="00BC356B" w:rsidRDefault="00A977C4" w:rsidP="00A977C4">
      <w:pPr>
        <w:jc w:val="center"/>
        <w:rPr>
          <w:rFonts w:asciiTheme="minorHAnsi" w:hAnsiTheme="minorHAnsi" w:cstheme="minorHAnsi"/>
          <w:szCs w:val="24"/>
          <w:lang w:val="en-GB"/>
        </w:rPr>
      </w:pPr>
      <w:r w:rsidRPr="00BC356B">
        <w:rPr>
          <w:rFonts w:asciiTheme="minorHAnsi" w:hAnsiTheme="minorHAnsi" w:cstheme="minorHAnsi"/>
          <w:szCs w:val="24"/>
          <w:lang w:val="en-GB"/>
        </w:rPr>
        <w:lastRenderedPageBreak/>
        <w:t>ANNEX 1</w:t>
      </w:r>
    </w:p>
    <w:p w14:paraId="06EDF1B7" w14:textId="4A3B65D9" w:rsidR="00A977C4" w:rsidRPr="00BC356B" w:rsidRDefault="00A977C4" w:rsidP="00351D76">
      <w:pPr>
        <w:jc w:val="center"/>
        <w:rPr>
          <w:rFonts w:asciiTheme="minorHAnsi" w:hAnsiTheme="minorHAnsi" w:cstheme="minorHAnsi"/>
          <w:szCs w:val="24"/>
        </w:rPr>
      </w:pPr>
      <w:r w:rsidRPr="00BC356B">
        <w:rPr>
          <w:rFonts w:asciiTheme="minorHAnsi" w:hAnsiTheme="minorHAnsi" w:cstheme="minorHAnsi"/>
          <w:szCs w:val="24"/>
        </w:rPr>
        <w:t>(Source: Doc. RAG20/TEMP/</w:t>
      </w:r>
      <w:r w:rsidR="00600246" w:rsidRPr="00BC356B">
        <w:rPr>
          <w:rFonts w:asciiTheme="minorHAnsi" w:hAnsiTheme="minorHAnsi" w:cstheme="minorHAnsi"/>
          <w:szCs w:val="24"/>
        </w:rPr>
        <w:t>3-Annex 1</w:t>
      </w:r>
      <w:r w:rsidRPr="00BC356B">
        <w:rPr>
          <w:rFonts w:asciiTheme="minorHAnsi" w:hAnsiTheme="minorHAnsi" w:cstheme="minorHAnsi"/>
          <w:szCs w:val="24"/>
        </w:rPr>
        <w:t>)</w:t>
      </w:r>
      <w:r w:rsidRPr="00BC356B">
        <w:rPr>
          <w:rFonts w:asciiTheme="minorHAnsi" w:hAnsiTheme="minorHAnsi" w:cstheme="minorHAnsi"/>
          <w:szCs w:val="24"/>
        </w:rPr>
        <w:br/>
      </w:r>
    </w:p>
    <w:p w14:paraId="6B7F8F97" w14:textId="77777777" w:rsidR="006B73B4" w:rsidRPr="00BC356B" w:rsidRDefault="006B73B4" w:rsidP="00351D76">
      <w:pPr>
        <w:jc w:val="center"/>
        <w:rPr>
          <w:rFonts w:asciiTheme="minorHAnsi" w:hAnsiTheme="minorHAnsi" w:cstheme="minorHAnsi"/>
          <w:szCs w:val="24"/>
        </w:rPr>
      </w:pPr>
    </w:p>
    <w:p w14:paraId="6926AC3E" w14:textId="77777777" w:rsidR="00CA5BBF" w:rsidRPr="00CA5BBF" w:rsidRDefault="00CA5BBF" w:rsidP="00CA5BBF">
      <w:pPr>
        <w:jc w:val="center"/>
        <w:rPr>
          <w:rFonts w:asciiTheme="minorHAnsi" w:hAnsiTheme="minorHAnsi" w:cstheme="minorHAnsi"/>
          <w:caps/>
          <w:szCs w:val="24"/>
          <w:lang w:val="en-GB"/>
        </w:rPr>
      </w:pPr>
      <w:r w:rsidRPr="00CA5BBF">
        <w:rPr>
          <w:rFonts w:asciiTheme="minorHAnsi" w:hAnsiTheme="minorHAnsi" w:cstheme="minorHAnsi"/>
          <w:caps/>
          <w:szCs w:val="24"/>
          <w:lang w:val="en-GB"/>
        </w:rPr>
        <w:t xml:space="preserve">Terms of Reference of the RAG Correspondence Group 1 on the IMPLEMENTATION OF WRC-19 GENDER dECLARATION AND DRAFTING OF A POSSIBLE RA-23 GENDER RESOLUTION  </w:t>
      </w:r>
    </w:p>
    <w:p w14:paraId="7F1228D1" w14:textId="77777777" w:rsidR="00176EB5" w:rsidRPr="00BC356B" w:rsidRDefault="00176EB5" w:rsidP="00351D76">
      <w:pPr>
        <w:jc w:val="center"/>
        <w:rPr>
          <w:rFonts w:asciiTheme="minorHAnsi" w:hAnsiTheme="minorHAnsi" w:cstheme="minorHAnsi"/>
          <w:szCs w:val="24"/>
        </w:rPr>
      </w:pPr>
    </w:p>
    <w:p w14:paraId="6145C1F2" w14:textId="77777777" w:rsidR="00031913" w:rsidRPr="00031913" w:rsidRDefault="00031913" w:rsidP="00031913">
      <w:pPr>
        <w:spacing w:before="120" w:line="240" w:lineRule="auto"/>
        <w:jc w:val="left"/>
        <w:rPr>
          <w:rFonts w:asciiTheme="minorHAnsi" w:hAnsiTheme="minorHAnsi" w:cstheme="minorHAnsi"/>
          <w:szCs w:val="24"/>
          <w:lang w:val="en-GB"/>
        </w:rPr>
      </w:pPr>
      <w:r w:rsidRPr="00031913">
        <w:rPr>
          <w:rFonts w:asciiTheme="minorHAnsi" w:hAnsiTheme="minorHAnsi" w:cstheme="minorHAnsi"/>
          <w:szCs w:val="24"/>
          <w:lang w:val="en-GB"/>
        </w:rPr>
        <w:t xml:space="preserve">In accordance with §§ A1.4.1 to A1.4.4 of Resolution ITU-R 1-8 and with Resolution ITUR 52-1, to consider an appropriate course of action to initiate prior to RA-23 toward implementing the provisions of the WRC-19 Gender Declaration.  In particular, the RAG Correspondence Group 1 (RAG CG-1) should consider means of: </w:t>
      </w:r>
      <w:r w:rsidRPr="00031913">
        <w:rPr>
          <w:rFonts w:asciiTheme="minorHAnsi" w:hAnsiTheme="minorHAnsi" w:cstheme="minorHAnsi"/>
          <w:szCs w:val="24"/>
          <w:lang w:val="en-GB"/>
        </w:rPr>
        <w:br/>
      </w:r>
    </w:p>
    <w:p w14:paraId="4C2E580D" w14:textId="77777777" w:rsidR="00031913" w:rsidRPr="00031913" w:rsidRDefault="00031913" w:rsidP="00031913">
      <w:pPr>
        <w:numPr>
          <w:ilvl w:val="0"/>
          <w:numId w:val="10"/>
        </w:numPr>
        <w:tabs>
          <w:tab w:val="clear" w:pos="794"/>
          <w:tab w:val="clear" w:pos="1191"/>
          <w:tab w:val="clear" w:pos="1588"/>
          <w:tab w:val="clear" w:pos="1985"/>
        </w:tabs>
        <w:overflowPunct/>
        <w:autoSpaceDE/>
        <w:autoSpaceDN/>
        <w:adjustRightInd/>
        <w:spacing w:before="120" w:after="160" w:line="259" w:lineRule="auto"/>
        <w:contextualSpacing/>
        <w:jc w:val="left"/>
        <w:textAlignment w:val="auto"/>
        <w:rPr>
          <w:rFonts w:asciiTheme="minorHAnsi" w:eastAsia="SimSun" w:hAnsiTheme="minorHAnsi" w:cstheme="minorHAnsi"/>
          <w:szCs w:val="24"/>
          <w:lang w:eastAsia="zh-CN"/>
        </w:rPr>
      </w:pPr>
      <w:r w:rsidRPr="00031913">
        <w:rPr>
          <w:rFonts w:asciiTheme="minorHAnsi" w:eastAsia="SimSun" w:hAnsiTheme="minorHAnsi" w:cstheme="minorHAnsi"/>
          <w:szCs w:val="24"/>
          <w:lang w:eastAsia="zh-CN"/>
        </w:rPr>
        <w:t>providing guidance and encouragement toward the equitable selection of chairmen, vice chairmen and rapporteurs in the work of the ITU-R Study Groups, the CPM and in the work of the RAG itself;</w:t>
      </w:r>
    </w:p>
    <w:p w14:paraId="28F4BD38" w14:textId="77777777" w:rsidR="00031913" w:rsidRPr="00031913" w:rsidRDefault="00031913" w:rsidP="00031913">
      <w:pPr>
        <w:numPr>
          <w:ilvl w:val="0"/>
          <w:numId w:val="10"/>
        </w:numPr>
        <w:tabs>
          <w:tab w:val="clear" w:pos="794"/>
          <w:tab w:val="clear" w:pos="1191"/>
          <w:tab w:val="clear" w:pos="1588"/>
          <w:tab w:val="clear" w:pos="1985"/>
        </w:tabs>
        <w:overflowPunct/>
        <w:autoSpaceDE/>
        <w:autoSpaceDN/>
        <w:adjustRightInd/>
        <w:spacing w:before="120" w:after="160" w:line="259" w:lineRule="auto"/>
        <w:contextualSpacing/>
        <w:jc w:val="left"/>
        <w:textAlignment w:val="auto"/>
        <w:rPr>
          <w:rFonts w:asciiTheme="minorHAnsi" w:eastAsia="SimSun" w:hAnsiTheme="minorHAnsi" w:cstheme="minorHAnsi"/>
          <w:szCs w:val="24"/>
          <w:lang w:eastAsia="zh-CN"/>
        </w:rPr>
      </w:pPr>
      <w:r w:rsidRPr="00031913">
        <w:rPr>
          <w:rFonts w:asciiTheme="minorHAnsi" w:eastAsia="SimSun" w:hAnsiTheme="minorHAnsi" w:cstheme="minorHAnsi"/>
          <w:szCs w:val="24"/>
          <w:lang w:eastAsia="zh-CN"/>
        </w:rPr>
        <w:t>supporting and providing input to the ongoing work of the “Network of Women” to enhance and maximize the effectiveness of this initiative;</w:t>
      </w:r>
    </w:p>
    <w:p w14:paraId="500BE6A8" w14:textId="77777777" w:rsidR="00031913" w:rsidRPr="00031913" w:rsidRDefault="00031913" w:rsidP="00031913">
      <w:pPr>
        <w:numPr>
          <w:ilvl w:val="0"/>
          <w:numId w:val="10"/>
        </w:numPr>
        <w:tabs>
          <w:tab w:val="clear" w:pos="794"/>
          <w:tab w:val="clear" w:pos="1191"/>
          <w:tab w:val="clear" w:pos="1588"/>
          <w:tab w:val="clear" w:pos="1985"/>
        </w:tabs>
        <w:overflowPunct/>
        <w:autoSpaceDE/>
        <w:autoSpaceDN/>
        <w:adjustRightInd/>
        <w:spacing w:before="120" w:after="160" w:line="259" w:lineRule="auto"/>
        <w:contextualSpacing/>
        <w:jc w:val="left"/>
        <w:textAlignment w:val="auto"/>
        <w:rPr>
          <w:rFonts w:asciiTheme="minorHAnsi" w:eastAsia="SimSun" w:hAnsiTheme="minorHAnsi" w:cstheme="minorHAnsi"/>
          <w:szCs w:val="24"/>
          <w:lang w:eastAsia="zh-CN"/>
        </w:rPr>
      </w:pPr>
      <w:r w:rsidRPr="00031913">
        <w:rPr>
          <w:rFonts w:asciiTheme="minorHAnsi" w:eastAsia="SimSun" w:hAnsiTheme="minorHAnsi" w:cstheme="minorHAnsi"/>
          <w:szCs w:val="24"/>
          <w:lang w:eastAsia="zh-CN"/>
        </w:rPr>
        <w:t>providing advice, where possible, on ITU-R matters supporting the goal of achieving gender equality, equity and parity in the work of the sector.</w:t>
      </w:r>
    </w:p>
    <w:p w14:paraId="35987969" w14:textId="77777777" w:rsidR="00031913" w:rsidRPr="00BC356B" w:rsidRDefault="00031913" w:rsidP="00031913">
      <w:pPr>
        <w:spacing w:before="120" w:line="240" w:lineRule="auto"/>
        <w:jc w:val="left"/>
        <w:rPr>
          <w:rFonts w:asciiTheme="minorHAnsi" w:hAnsiTheme="minorHAnsi" w:cstheme="minorHAnsi"/>
          <w:szCs w:val="24"/>
          <w:lang w:val="en-GB"/>
        </w:rPr>
      </w:pPr>
    </w:p>
    <w:p w14:paraId="739CA8A6" w14:textId="61452B3C" w:rsidR="00031913" w:rsidRPr="00031913" w:rsidRDefault="00031913" w:rsidP="00031913">
      <w:pPr>
        <w:spacing w:before="120" w:line="240" w:lineRule="auto"/>
        <w:jc w:val="left"/>
        <w:rPr>
          <w:rFonts w:asciiTheme="minorHAnsi" w:hAnsiTheme="minorHAnsi" w:cstheme="minorHAnsi"/>
          <w:szCs w:val="24"/>
          <w:lang w:val="en-GB"/>
        </w:rPr>
      </w:pPr>
      <w:r w:rsidRPr="00031913">
        <w:rPr>
          <w:rFonts w:asciiTheme="minorHAnsi" w:hAnsiTheme="minorHAnsi" w:cstheme="minorHAnsi"/>
          <w:szCs w:val="24"/>
          <w:lang w:val="en-GB"/>
        </w:rPr>
        <w:t>Additionally, the  (RAG CG-1) should prepare a possible ne</w:t>
      </w:r>
      <w:bookmarkStart w:id="1" w:name="_Hlk41234744"/>
      <w:r w:rsidRPr="00031913">
        <w:rPr>
          <w:rFonts w:asciiTheme="minorHAnsi" w:hAnsiTheme="minorHAnsi" w:cstheme="minorHAnsi"/>
          <w:szCs w:val="24"/>
          <w:lang w:val="en-GB"/>
        </w:rPr>
        <w:t xml:space="preserve">w ITU-R Resolution  </w:t>
      </w:r>
      <w:r w:rsidRPr="00031913">
        <w:rPr>
          <w:rFonts w:asciiTheme="minorHAnsi" w:hAnsiTheme="minorHAnsi" w:cstheme="minorHAnsi"/>
          <w:i/>
          <w:iCs/>
          <w:szCs w:val="24"/>
          <w:lang w:val="en-GB"/>
        </w:rPr>
        <w:t>“Promoting Gender Equality, Equity and Parity in the ITU Radiocommunication Sect</w:t>
      </w:r>
      <w:bookmarkEnd w:id="1"/>
      <w:r w:rsidRPr="00031913">
        <w:rPr>
          <w:rFonts w:asciiTheme="minorHAnsi" w:hAnsiTheme="minorHAnsi" w:cstheme="minorHAnsi"/>
          <w:i/>
          <w:iCs/>
          <w:szCs w:val="24"/>
          <w:lang w:val="en-GB"/>
        </w:rPr>
        <w:t>or”</w:t>
      </w:r>
      <w:r w:rsidRPr="00031913">
        <w:rPr>
          <w:rFonts w:asciiTheme="minorHAnsi" w:hAnsiTheme="minorHAnsi" w:cstheme="minorHAnsi"/>
          <w:szCs w:val="24"/>
          <w:lang w:val="en-GB"/>
        </w:rPr>
        <w:t xml:space="preserve"> for consideration by the Chairman of the RAG and subsequent submission to the Radiocommunication Assembly 2023, taking into account the provisions of the </w:t>
      </w:r>
      <w:r w:rsidRPr="00031913">
        <w:rPr>
          <w:rFonts w:asciiTheme="minorHAnsi" w:hAnsiTheme="minorHAnsi" w:cstheme="minorHAnsi"/>
          <w:i/>
          <w:iCs/>
          <w:szCs w:val="24"/>
          <w:lang w:val="en-GB"/>
        </w:rPr>
        <w:t>WRC-19 Declaration on Promoting Gender Equality, Equity and Parity in the ITU Radiocommunication Sector</w:t>
      </w:r>
      <w:r w:rsidRPr="00031913">
        <w:rPr>
          <w:rFonts w:asciiTheme="minorHAnsi" w:hAnsiTheme="minorHAnsi" w:cstheme="minorHAnsi"/>
          <w:szCs w:val="24"/>
          <w:lang w:val="en-GB"/>
        </w:rPr>
        <w:t>, the information provided in Section 3.2.5 of Doc. RAG20/1Rev.1, and any other additional proposals submitted to the  (RAG CG-1).</w:t>
      </w:r>
    </w:p>
    <w:p w14:paraId="5BFEDE8A" w14:textId="77777777" w:rsidR="00031913" w:rsidRPr="00031913" w:rsidRDefault="00031913" w:rsidP="00031913">
      <w:pPr>
        <w:tabs>
          <w:tab w:val="center" w:pos="7088"/>
        </w:tabs>
        <w:spacing w:before="120" w:line="240" w:lineRule="auto"/>
        <w:jc w:val="left"/>
        <w:rPr>
          <w:rFonts w:asciiTheme="minorHAnsi" w:hAnsiTheme="minorHAnsi" w:cstheme="minorHAnsi"/>
          <w:szCs w:val="24"/>
          <w:lang w:val="en-GB"/>
        </w:rPr>
      </w:pPr>
      <w:r w:rsidRPr="00031913">
        <w:rPr>
          <w:rFonts w:asciiTheme="minorHAnsi" w:hAnsiTheme="minorHAnsi" w:cstheme="minorHAnsi"/>
          <w:szCs w:val="24"/>
          <w:lang w:val="en-GB"/>
        </w:rPr>
        <w:t>The (RAG CG-1) shall submit its final report to the Chairman of the RAG in time for consideration at the 30</w:t>
      </w:r>
      <w:r w:rsidRPr="00031913">
        <w:rPr>
          <w:rFonts w:asciiTheme="minorHAnsi" w:hAnsiTheme="minorHAnsi" w:cstheme="minorHAnsi"/>
          <w:szCs w:val="24"/>
          <w:vertAlign w:val="superscript"/>
          <w:lang w:val="en-GB"/>
        </w:rPr>
        <w:t>th</w:t>
      </w:r>
      <w:r w:rsidRPr="00031913">
        <w:rPr>
          <w:rFonts w:asciiTheme="minorHAnsi" w:hAnsiTheme="minorHAnsi" w:cstheme="minorHAnsi"/>
          <w:szCs w:val="24"/>
          <w:lang w:val="en-GB"/>
        </w:rPr>
        <w:t xml:space="preserve"> meeting of the RAG.</w:t>
      </w:r>
    </w:p>
    <w:p w14:paraId="3D759D2C" w14:textId="70859162" w:rsidR="002F0984" w:rsidRPr="00BC356B" w:rsidRDefault="00031913" w:rsidP="00031913">
      <w:pPr>
        <w:tabs>
          <w:tab w:val="center" w:pos="7088"/>
        </w:tabs>
        <w:spacing w:before="120" w:line="240" w:lineRule="auto"/>
        <w:jc w:val="left"/>
        <w:rPr>
          <w:rFonts w:asciiTheme="minorHAnsi" w:hAnsiTheme="minorHAnsi" w:cstheme="minorHAnsi"/>
          <w:szCs w:val="24"/>
        </w:rPr>
      </w:pPr>
      <w:r w:rsidRPr="00031913">
        <w:rPr>
          <w:rFonts w:asciiTheme="minorHAnsi" w:hAnsiTheme="minorHAnsi" w:cstheme="minorHAnsi"/>
          <w:szCs w:val="24"/>
          <w:lang w:val="en-GB"/>
        </w:rPr>
        <w:t xml:space="preserve">The Chairman of the  (RAG CG-1) is Mrs. Lucia Luisa La </w:t>
      </w:r>
      <w:proofErr w:type="spellStart"/>
      <w:r w:rsidRPr="00031913">
        <w:rPr>
          <w:rFonts w:asciiTheme="minorHAnsi" w:hAnsiTheme="minorHAnsi" w:cstheme="minorHAnsi"/>
          <w:szCs w:val="24"/>
          <w:lang w:val="en-GB"/>
        </w:rPr>
        <w:t>Franceschina</w:t>
      </w:r>
      <w:proofErr w:type="spellEnd"/>
      <w:r w:rsidRPr="00031913">
        <w:rPr>
          <w:rFonts w:asciiTheme="minorHAnsi" w:hAnsiTheme="minorHAnsi" w:cstheme="minorHAnsi"/>
          <w:szCs w:val="24"/>
          <w:lang w:val="en-GB"/>
        </w:rPr>
        <w:t xml:space="preserve"> (Italy)  (E-mail: </w:t>
      </w:r>
      <w:hyperlink r:id="rId21">
        <w:r w:rsidRPr="00031913">
          <w:rPr>
            <w:rFonts w:asciiTheme="minorHAnsi" w:hAnsiTheme="minorHAnsi" w:cstheme="minorHAnsi"/>
            <w:color w:val="0000FF"/>
            <w:szCs w:val="24"/>
            <w:u w:val="single"/>
            <w:lang w:val="en-GB"/>
          </w:rPr>
          <w:t>lucialuisa.lafranceschina@raiway.it</w:t>
        </w:r>
      </w:hyperlink>
      <w:r w:rsidRPr="00031913">
        <w:rPr>
          <w:rFonts w:asciiTheme="minorHAnsi" w:hAnsiTheme="minorHAnsi" w:cstheme="minorHAnsi"/>
          <w:szCs w:val="24"/>
          <w:lang w:val="en-GB"/>
        </w:rPr>
        <w:t xml:space="preserve">) and Vice Chairman is Mrs. </w:t>
      </w:r>
      <w:proofErr w:type="spellStart"/>
      <w:r w:rsidRPr="00031913">
        <w:rPr>
          <w:rFonts w:asciiTheme="minorHAnsi" w:hAnsiTheme="minorHAnsi" w:cstheme="minorHAnsi"/>
          <w:szCs w:val="24"/>
          <w:lang w:val="en-GB"/>
        </w:rPr>
        <w:t>Olfa</w:t>
      </w:r>
      <w:proofErr w:type="spellEnd"/>
      <w:r w:rsidRPr="00031913">
        <w:rPr>
          <w:rFonts w:asciiTheme="minorHAnsi" w:hAnsiTheme="minorHAnsi" w:cstheme="minorHAnsi"/>
          <w:szCs w:val="24"/>
          <w:lang w:val="en-GB"/>
        </w:rPr>
        <w:t xml:space="preserve"> </w:t>
      </w:r>
      <w:proofErr w:type="spellStart"/>
      <w:r w:rsidRPr="00031913">
        <w:rPr>
          <w:rFonts w:asciiTheme="minorHAnsi" w:hAnsiTheme="minorHAnsi" w:cstheme="minorHAnsi"/>
          <w:szCs w:val="24"/>
          <w:lang w:val="en-GB"/>
        </w:rPr>
        <w:t>Jammeli</w:t>
      </w:r>
      <w:proofErr w:type="spellEnd"/>
      <w:r w:rsidRPr="00031913">
        <w:rPr>
          <w:rFonts w:asciiTheme="minorHAnsi" w:hAnsiTheme="minorHAnsi" w:cstheme="minorHAnsi"/>
          <w:szCs w:val="24"/>
          <w:lang w:val="en-GB"/>
        </w:rPr>
        <w:t xml:space="preserve"> (Tunisia) (E-mail:</w:t>
      </w:r>
      <w:r w:rsidRPr="00031913">
        <w:rPr>
          <w:rFonts w:asciiTheme="minorHAnsi" w:hAnsiTheme="minorHAnsi" w:cstheme="minorHAnsi"/>
          <w:szCs w:val="24"/>
          <w:lang w:eastAsia="en-GB"/>
        </w:rPr>
        <w:t xml:space="preserve"> </w:t>
      </w:r>
      <w:hyperlink r:id="rId22">
        <w:r w:rsidRPr="00031913">
          <w:rPr>
            <w:rFonts w:asciiTheme="minorHAnsi" w:hAnsiTheme="minorHAnsi" w:cstheme="minorHAnsi"/>
            <w:color w:val="0000FF"/>
            <w:szCs w:val="24"/>
            <w:u w:val="single"/>
            <w:lang w:val="en-GB"/>
          </w:rPr>
          <w:t>olfa.jammeli@anf.tn</w:t>
        </w:r>
      </w:hyperlink>
      <w:r w:rsidRPr="00031913">
        <w:rPr>
          <w:rFonts w:asciiTheme="minorHAnsi" w:hAnsiTheme="minorHAnsi" w:cstheme="minorHAnsi"/>
          <w:szCs w:val="24"/>
          <w:lang w:val="en-GB"/>
        </w:rPr>
        <w:t>). Other relevant information for the work of this Correspondence Group (e.g. email reflector) will be provided on the RAG webpage.</w:t>
      </w:r>
      <w:r w:rsidR="002F0984" w:rsidRPr="00BC356B">
        <w:rPr>
          <w:rFonts w:asciiTheme="minorHAnsi" w:hAnsiTheme="minorHAnsi" w:cstheme="minorHAnsi"/>
          <w:szCs w:val="24"/>
        </w:rPr>
        <w:br w:type="page"/>
      </w:r>
    </w:p>
    <w:p w14:paraId="5EA55A54" w14:textId="6FA258AF" w:rsidR="002F0984" w:rsidRPr="00BC356B" w:rsidRDefault="00176EB5" w:rsidP="00351D76">
      <w:pPr>
        <w:jc w:val="center"/>
        <w:rPr>
          <w:rFonts w:asciiTheme="minorHAnsi" w:hAnsiTheme="minorHAnsi" w:cstheme="minorHAnsi"/>
          <w:szCs w:val="24"/>
          <w:lang w:val="en-GB"/>
        </w:rPr>
      </w:pPr>
      <w:r w:rsidRPr="00BC356B">
        <w:rPr>
          <w:rFonts w:asciiTheme="minorHAnsi" w:hAnsiTheme="minorHAnsi" w:cstheme="minorHAnsi"/>
          <w:szCs w:val="24"/>
          <w:lang w:val="en-GB"/>
        </w:rPr>
        <w:lastRenderedPageBreak/>
        <w:t>ANNEX 2</w:t>
      </w:r>
    </w:p>
    <w:p w14:paraId="42311AB3" w14:textId="7296D3ED" w:rsidR="00A977C4" w:rsidRPr="00BC356B" w:rsidRDefault="00A977C4" w:rsidP="00351D76">
      <w:pPr>
        <w:jc w:val="center"/>
        <w:rPr>
          <w:rFonts w:asciiTheme="minorHAnsi" w:hAnsiTheme="minorHAnsi" w:cstheme="minorHAnsi"/>
          <w:szCs w:val="24"/>
          <w:lang w:val="en-GB"/>
        </w:rPr>
      </w:pPr>
      <w:r w:rsidRPr="00BC356B">
        <w:rPr>
          <w:rFonts w:asciiTheme="minorHAnsi" w:hAnsiTheme="minorHAnsi" w:cstheme="minorHAnsi"/>
          <w:szCs w:val="24"/>
        </w:rPr>
        <w:t>(Source: Doc. RAG20/TEMP/</w:t>
      </w:r>
      <w:r w:rsidR="00600246" w:rsidRPr="00BC356B">
        <w:rPr>
          <w:rFonts w:asciiTheme="minorHAnsi" w:hAnsiTheme="minorHAnsi" w:cstheme="minorHAnsi"/>
          <w:szCs w:val="24"/>
        </w:rPr>
        <w:t>3 - Annex 2</w:t>
      </w:r>
      <w:r w:rsidRPr="00BC356B">
        <w:rPr>
          <w:rFonts w:asciiTheme="minorHAnsi" w:hAnsiTheme="minorHAnsi" w:cstheme="minorHAnsi"/>
          <w:szCs w:val="24"/>
        </w:rPr>
        <w:t>)</w:t>
      </w:r>
      <w:r w:rsidRPr="00BC356B">
        <w:rPr>
          <w:rFonts w:asciiTheme="minorHAnsi" w:hAnsiTheme="minorHAnsi" w:cstheme="minorHAnsi"/>
          <w:szCs w:val="24"/>
        </w:rPr>
        <w:br/>
      </w:r>
    </w:p>
    <w:p w14:paraId="1F4D28FB" w14:textId="77777777" w:rsidR="00F85DEF" w:rsidRPr="00BC356B" w:rsidRDefault="00F85DEF" w:rsidP="00351D76">
      <w:pPr>
        <w:jc w:val="center"/>
        <w:rPr>
          <w:rFonts w:asciiTheme="minorHAnsi" w:hAnsiTheme="minorHAnsi" w:cstheme="minorHAnsi"/>
          <w:szCs w:val="24"/>
          <w:lang w:val="en-GB"/>
        </w:rPr>
      </w:pPr>
    </w:p>
    <w:p w14:paraId="2A4C3108" w14:textId="4DD9F097" w:rsidR="00176EB5" w:rsidRPr="00BC356B" w:rsidRDefault="00D909E1" w:rsidP="00351D76">
      <w:pPr>
        <w:jc w:val="center"/>
        <w:rPr>
          <w:rFonts w:asciiTheme="minorHAnsi" w:hAnsiTheme="minorHAnsi" w:cstheme="minorHAnsi"/>
          <w:caps/>
          <w:szCs w:val="24"/>
          <w:lang w:val="en-GB"/>
        </w:rPr>
      </w:pPr>
      <w:r w:rsidRPr="00D909E1">
        <w:rPr>
          <w:rFonts w:asciiTheme="minorHAnsi" w:hAnsiTheme="minorHAnsi" w:cstheme="minorHAnsi"/>
          <w:caps/>
          <w:szCs w:val="24"/>
          <w:lang w:val="en-GB"/>
        </w:rPr>
        <w:t xml:space="preserve">DRAFT TERMS OF REFERENCE OF THE RAG CORRESPONDENCE GROUP 2 ON </w:t>
      </w:r>
      <w:r>
        <w:rPr>
          <w:rFonts w:asciiTheme="minorHAnsi" w:hAnsiTheme="minorHAnsi" w:cstheme="minorHAnsi"/>
          <w:caps/>
          <w:szCs w:val="24"/>
          <w:lang w:val="en-GB"/>
        </w:rPr>
        <w:br/>
      </w:r>
      <w:r w:rsidRPr="00D909E1">
        <w:rPr>
          <w:rFonts w:asciiTheme="minorHAnsi" w:hAnsiTheme="minorHAnsi" w:cstheme="minorHAnsi"/>
          <w:caps/>
          <w:szCs w:val="24"/>
          <w:lang w:val="en-GB"/>
        </w:rPr>
        <w:t>POSSIBLE REVISIONS OF RESOLUTIONS ITU-R 1-8 AND 15-6</w:t>
      </w:r>
    </w:p>
    <w:p w14:paraId="2B917D3F" w14:textId="77777777" w:rsidR="00A977C4" w:rsidRPr="00BC356B" w:rsidRDefault="00A977C4" w:rsidP="00351D76">
      <w:pPr>
        <w:jc w:val="center"/>
        <w:rPr>
          <w:rFonts w:asciiTheme="minorHAnsi" w:hAnsiTheme="minorHAnsi" w:cstheme="minorHAnsi"/>
          <w:caps/>
          <w:szCs w:val="24"/>
          <w:lang w:val="en-GB"/>
        </w:rPr>
      </w:pPr>
    </w:p>
    <w:p w14:paraId="35469F47" w14:textId="05C6B778" w:rsidR="00A977C4" w:rsidRPr="00AE65CC" w:rsidRDefault="00A977C4" w:rsidP="00351D76">
      <w:pPr>
        <w:jc w:val="center"/>
        <w:rPr>
          <w:rFonts w:asciiTheme="minorHAnsi" w:hAnsiTheme="minorHAnsi" w:cstheme="minorHAnsi"/>
          <w:caps/>
          <w:szCs w:val="24"/>
        </w:rPr>
      </w:pPr>
      <w:r w:rsidRPr="00AE65CC">
        <w:rPr>
          <w:rFonts w:asciiTheme="minorHAnsi" w:hAnsiTheme="minorHAnsi" w:cstheme="minorHAnsi"/>
          <w:szCs w:val="24"/>
          <w:lang w:val="en-GB"/>
        </w:rPr>
        <w:t xml:space="preserve">(with revisions proposed by the </w:t>
      </w:r>
      <w:r w:rsidRPr="00AE65CC">
        <w:rPr>
          <w:rFonts w:asciiTheme="minorHAnsi" w:hAnsiTheme="minorHAnsi" w:cstheme="minorHAnsi"/>
          <w:szCs w:val="24"/>
          <w:highlight w:val="cyan"/>
          <w:lang w:val="en-GB"/>
        </w:rPr>
        <w:t>Russian Federation</w:t>
      </w:r>
      <w:r w:rsidRPr="00AE65CC">
        <w:rPr>
          <w:rFonts w:asciiTheme="minorHAnsi" w:hAnsiTheme="minorHAnsi" w:cstheme="minorHAnsi"/>
          <w:szCs w:val="24"/>
          <w:lang w:val="en-GB"/>
        </w:rPr>
        <w:t xml:space="preserve"> and </w:t>
      </w:r>
      <w:r w:rsidRPr="00AE65CC">
        <w:rPr>
          <w:rFonts w:asciiTheme="minorHAnsi" w:hAnsiTheme="minorHAnsi" w:cstheme="minorHAnsi"/>
          <w:szCs w:val="24"/>
          <w:highlight w:val="green"/>
          <w:lang w:val="en-GB"/>
        </w:rPr>
        <w:t>USA</w:t>
      </w:r>
      <w:r w:rsidRPr="00AE65CC">
        <w:rPr>
          <w:rFonts w:asciiTheme="minorHAnsi" w:hAnsiTheme="minorHAnsi" w:cstheme="minorHAnsi"/>
          <w:szCs w:val="24"/>
          <w:lang w:val="en-GB"/>
        </w:rPr>
        <w:t>)</w:t>
      </w:r>
    </w:p>
    <w:p w14:paraId="080E78A8" w14:textId="77777777" w:rsidR="00A977C4" w:rsidRPr="00BC356B" w:rsidRDefault="00A977C4" w:rsidP="00351D76">
      <w:pPr>
        <w:jc w:val="center"/>
        <w:rPr>
          <w:rFonts w:asciiTheme="minorHAnsi" w:hAnsiTheme="minorHAnsi" w:cstheme="minorHAnsi"/>
          <w:szCs w:val="24"/>
        </w:rPr>
      </w:pPr>
    </w:p>
    <w:p w14:paraId="725C7491" w14:textId="77777777" w:rsidR="00F41709" w:rsidRPr="00F41709" w:rsidRDefault="00F41709" w:rsidP="00F41709">
      <w:pPr>
        <w:keepNext/>
        <w:keepLines/>
        <w:spacing w:before="360" w:line="240" w:lineRule="auto"/>
        <w:ind w:left="794" w:hanging="794"/>
        <w:jc w:val="left"/>
        <w:outlineLvl w:val="0"/>
        <w:rPr>
          <w:rFonts w:asciiTheme="minorHAnsi" w:hAnsiTheme="minorHAnsi" w:cstheme="minorHAnsi"/>
          <w:b/>
          <w:szCs w:val="24"/>
          <w:lang w:val="en-GB"/>
        </w:rPr>
      </w:pPr>
      <w:r w:rsidRPr="00F41709">
        <w:rPr>
          <w:rFonts w:asciiTheme="minorHAnsi" w:hAnsiTheme="minorHAnsi" w:cstheme="minorHAnsi"/>
          <w:b/>
          <w:szCs w:val="24"/>
          <w:lang w:val="en-GB"/>
        </w:rPr>
        <w:t>Introduction</w:t>
      </w:r>
    </w:p>
    <w:p w14:paraId="5FF0DF1A" w14:textId="77777777"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szCs w:val="24"/>
          <w:lang w:val="en-GB"/>
        </w:rPr>
        <w:t xml:space="preserve">In accordance with §§ A1.4.1 to A1.4.4 of Resolution ITU-R 1-8, </w:t>
      </w:r>
      <w:r w:rsidRPr="00F41709">
        <w:rPr>
          <w:rFonts w:asciiTheme="minorHAnsi" w:hAnsiTheme="minorHAnsi" w:cstheme="minorHAnsi"/>
          <w:szCs w:val="24"/>
          <w:highlight w:val="green"/>
          <w:lang w:val="en-GB"/>
        </w:rPr>
        <w:t>Radiocommunication Assembly 2019 in RA19/84 “invited</w:t>
      </w:r>
      <w:r w:rsidRPr="00F41709">
        <w:rPr>
          <w:rFonts w:asciiTheme="minorHAnsi" w:hAnsiTheme="minorHAnsi" w:cstheme="minorHAnsi"/>
          <w:szCs w:val="24"/>
          <w:lang w:val="en-GB"/>
        </w:rPr>
        <w:t xml:space="preserve"> the RAG </w:t>
      </w:r>
      <w:r w:rsidRPr="00F41709">
        <w:rPr>
          <w:rFonts w:asciiTheme="minorHAnsi" w:hAnsiTheme="minorHAnsi" w:cstheme="minorHAnsi"/>
          <w:szCs w:val="24"/>
          <w:highlight w:val="green"/>
          <w:lang w:val="en-GB"/>
        </w:rPr>
        <w:t>to identify possible modifications to Resolution ITU-R</w:t>
      </w:r>
      <w:r w:rsidRPr="00F41709">
        <w:rPr>
          <w:rFonts w:asciiTheme="minorHAnsi" w:hAnsiTheme="minorHAnsi" w:cstheme="minorHAnsi"/>
          <w:szCs w:val="24"/>
          <w:lang w:val="en-GB"/>
        </w:rPr>
        <w:t xml:space="preserve"> 1 </w:t>
      </w:r>
      <w:r w:rsidRPr="00F41709">
        <w:rPr>
          <w:rFonts w:asciiTheme="minorHAnsi" w:hAnsiTheme="minorHAnsi" w:cstheme="minorHAnsi"/>
          <w:szCs w:val="24"/>
          <w:highlight w:val="green"/>
          <w:lang w:val="en-GB"/>
        </w:rPr>
        <w:t>with respect to approval procedures when a text is relevant to the topics of multiple SGs” and “to  review the maximum term of office for Chairmen of Radiocommunication Working Parties”</w:t>
      </w:r>
      <w:r w:rsidRPr="00F41709">
        <w:rPr>
          <w:rFonts w:asciiTheme="minorHAnsi" w:hAnsiTheme="minorHAnsi" w:cstheme="minorHAnsi"/>
          <w:szCs w:val="24"/>
          <w:highlight w:val="green"/>
        </w:rPr>
        <w:t>Based</w:t>
      </w:r>
      <w:r w:rsidRPr="00F41709">
        <w:rPr>
          <w:rFonts w:asciiTheme="minorHAnsi" w:hAnsiTheme="minorHAnsi" w:cstheme="minorHAnsi"/>
          <w:szCs w:val="24"/>
        </w:rPr>
        <w:t xml:space="preserve"> on proposals from the Member States and Sector Members and in consultation with the Study Group Chairmen,</w:t>
      </w:r>
      <w:r w:rsidRPr="00F41709">
        <w:rPr>
          <w:rFonts w:asciiTheme="minorHAnsi" w:hAnsiTheme="minorHAnsi" w:cstheme="minorHAnsi"/>
          <w:szCs w:val="24"/>
          <w:lang w:val="en-GB"/>
        </w:rPr>
        <w:t xml:space="preserve"> </w:t>
      </w:r>
      <w:r w:rsidRPr="00F41709">
        <w:rPr>
          <w:rFonts w:asciiTheme="minorHAnsi" w:hAnsiTheme="minorHAnsi" w:cstheme="minorHAnsi"/>
          <w:szCs w:val="24"/>
          <w:highlight w:val="green"/>
          <w:lang w:val="en-GB"/>
        </w:rPr>
        <w:t>the RAG Correspondence Group 2</w:t>
      </w:r>
      <w:r w:rsidRPr="00F41709">
        <w:rPr>
          <w:rFonts w:asciiTheme="minorHAnsi" w:hAnsiTheme="minorHAnsi" w:cstheme="minorHAnsi"/>
          <w:szCs w:val="24"/>
          <w:lang w:val="en-GB"/>
        </w:rPr>
        <w:t xml:space="preserve"> </w:t>
      </w:r>
      <w:r w:rsidRPr="00F41709">
        <w:rPr>
          <w:rFonts w:asciiTheme="minorHAnsi" w:hAnsiTheme="minorHAnsi" w:cstheme="minorHAnsi"/>
          <w:szCs w:val="24"/>
          <w:highlight w:val="green"/>
          <w:lang w:val="en-GB"/>
        </w:rPr>
        <w:t>(RAG CG-2)</w:t>
      </w:r>
      <w:r w:rsidRPr="00F41709">
        <w:rPr>
          <w:rFonts w:asciiTheme="minorHAnsi" w:hAnsiTheme="minorHAnsi" w:cstheme="minorHAnsi"/>
          <w:szCs w:val="24"/>
          <w:lang w:val="en-GB"/>
        </w:rPr>
        <w:t xml:space="preserve"> is invited to provide possible revisions of Resolution ITU-R 1-8 and Resolution ITU-R 15-6 with the following Terms of Reference:</w:t>
      </w:r>
    </w:p>
    <w:p w14:paraId="36ABCF2C" w14:textId="77777777"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szCs w:val="24"/>
          <w:lang w:val="en-GB"/>
        </w:rPr>
        <w:t xml:space="preserve"> </w:t>
      </w:r>
    </w:p>
    <w:p w14:paraId="7837A5F2" w14:textId="679DE972"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b/>
          <w:bCs/>
          <w:szCs w:val="24"/>
          <w:lang w:val="en-GB"/>
        </w:rPr>
        <w:t xml:space="preserve">1. </w:t>
      </w:r>
      <w:r w:rsidRPr="00BC356B">
        <w:rPr>
          <w:rFonts w:asciiTheme="minorHAnsi" w:hAnsiTheme="minorHAnsi" w:cstheme="minorHAnsi"/>
          <w:b/>
          <w:bCs/>
          <w:szCs w:val="24"/>
          <w:lang w:val="en-GB"/>
        </w:rPr>
        <w:tab/>
      </w:r>
      <w:r w:rsidRPr="00F41709">
        <w:rPr>
          <w:rFonts w:asciiTheme="minorHAnsi" w:hAnsiTheme="minorHAnsi" w:cstheme="minorHAnsi"/>
          <w:b/>
          <w:bCs/>
          <w:szCs w:val="24"/>
          <w:lang w:val="en-GB"/>
        </w:rPr>
        <w:t xml:space="preserve">Possible revision of Resolution ITU-R 1-8 with respect to </w:t>
      </w:r>
      <w:r w:rsidRPr="00F41709">
        <w:rPr>
          <w:rFonts w:asciiTheme="minorHAnsi" w:hAnsiTheme="minorHAnsi" w:cstheme="minorHAnsi"/>
          <w:b/>
          <w:bCs/>
          <w:szCs w:val="24"/>
          <w:highlight w:val="green"/>
          <w:lang w:val="en-GB"/>
        </w:rPr>
        <w:t>Section A2.6.2.1.3</w:t>
      </w:r>
      <w:r w:rsidRPr="00F41709">
        <w:rPr>
          <w:rFonts w:asciiTheme="minorHAnsi" w:hAnsiTheme="minorHAnsi" w:cstheme="minorHAnsi"/>
          <w:b/>
          <w:bCs/>
          <w:szCs w:val="24"/>
          <w:lang w:val="en-GB"/>
        </w:rPr>
        <w:t>:</w:t>
      </w:r>
    </w:p>
    <w:p w14:paraId="09E62263" w14:textId="77777777" w:rsidR="00F41709" w:rsidRPr="00F41709" w:rsidRDefault="00F41709" w:rsidP="00F41709">
      <w:pPr>
        <w:numPr>
          <w:ilvl w:val="1"/>
          <w:numId w:val="11"/>
        </w:numPr>
        <w:tabs>
          <w:tab w:val="clear" w:pos="794"/>
          <w:tab w:val="clear" w:pos="1191"/>
          <w:tab w:val="clear" w:pos="1588"/>
          <w:tab w:val="clear" w:pos="1985"/>
        </w:tabs>
        <w:overflowPunct/>
        <w:autoSpaceDE/>
        <w:autoSpaceDN/>
        <w:adjustRightInd/>
        <w:spacing w:before="120" w:line="240" w:lineRule="auto"/>
        <w:contextualSpacing/>
        <w:jc w:val="left"/>
        <w:textAlignment w:val="auto"/>
        <w:rPr>
          <w:rFonts w:asciiTheme="minorHAnsi" w:hAnsiTheme="minorHAnsi" w:cstheme="minorHAnsi"/>
          <w:szCs w:val="24"/>
          <w:lang w:val="en-GB"/>
        </w:rPr>
      </w:pPr>
      <w:r w:rsidRPr="00F41709">
        <w:rPr>
          <w:rFonts w:asciiTheme="minorHAnsi" w:hAnsiTheme="minorHAnsi" w:cstheme="minorHAnsi"/>
          <w:szCs w:val="24"/>
        </w:rPr>
        <w:t xml:space="preserve">the </w:t>
      </w:r>
      <w:r w:rsidRPr="00F41709">
        <w:rPr>
          <w:rFonts w:asciiTheme="minorHAnsi" w:hAnsiTheme="minorHAnsi" w:cstheme="minorHAnsi"/>
          <w:szCs w:val="24"/>
          <w:highlight w:val="green"/>
        </w:rPr>
        <w:t>adoption and</w:t>
      </w:r>
      <w:r w:rsidRPr="00F41709">
        <w:rPr>
          <w:rFonts w:asciiTheme="minorHAnsi" w:hAnsiTheme="minorHAnsi" w:cstheme="minorHAnsi"/>
          <w:szCs w:val="24"/>
        </w:rPr>
        <w:t xml:space="preserve"> approval procedures when a text is relevant to the topics of multiple SGs and to the circulation of objections received during the approval process;</w:t>
      </w:r>
    </w:p>
    <w:p w14:paraId="5CC1F1FA" w14:textId="77777777" w:rsidR="00F41709" w:rsidRPr="00F41709" w:rsidRDefault="00F41709" w:rsidP="00F41709">
      <w:pPr>
        <w:numPr>
          <w:ilvl w:val="1"/>
          <w:numId w:val="11"/>
        </w:numPr>
        <w:tabs>
          <w:tab w:val="clear" w:pos="794"/>
          <w:tab w:val="clear" w:pos="1191"/>
          <w:tab w:val="clear" w:pos="1588"/>
          <w:tab w:val="clear" w:pos="1985"/>
        </w:tabs>
        <w:overflowPunct/>
        <w:autoSpaceDE/>
        <w:autoSpaceDN/>
        <w:adjustRightInd/>
        <w:spacing w:before="120" w:line="240" w:lineRule="auto"/>
        <w:contextualSpacing/>
        <w:jc w:val="left"/>
        <w:textAlignment w:val="auto"/>
        <w:rPr>
          <w:rFonts w:asciiTheme="minorHAnsi" w:hAnsiTheme="minorHAnsi" w:cstheme="minorHAnsi"/>
          <w:szCs w:val="24"/>
          <w:lang w:val="en-GB"/>
        </w:rPr>
      </w:pPr>
      <w:r w:rsidRPr="00F41709">
        <w:rPr>
          <w:rFonts w:asciiTheme="minorHAnsi" w:hAnsiTheme="minorHAnsi" w:cstheme="minorHAnsi"/>
          <w:szCs w:val="24"/>
          <w:lang w:val="en-GB"/>
        </w:rPr>
        <w:t xml:space="preserve">the need, if any, for revisions to ITU-R working methods for the </w:t>
      </w:r>
      <w:r w:rsidRPr="00F41709">
        <w:rPr>
          <w:rFonts w:asciiTheme="minorHAnsi" w:hAnsiTheme="minorHAnsi" w:cstheme="minorHAnsi"/>
          <w:szCs w:val="24"/>
          <w:highlight w:val="green"/>
          <w:lang w:val="en-GB"/>
        </w:rPr>
        <w:t>adoption and</w:t>
      </w:r>
      <w:r w:rsidRPr="00F41709">
        <w:rPr>
          <w:rFonts w:asciiTheme="minorHAnsi" w:hAnsiTheme="minorHAnsi" w:cstheme="minorHAnsi"/>
          <w:szCs w:val="24"/>
          <w:lang w:val="en-GB"/>
        </w:rPr>
        <w:t xml:space="preserve"> approval of recommendations of interest to multiple ITU-R Study Groups.</w:t>
      </w:r>
    </w:p>
    <w:p w14:paraId="176CDEA3" w14:textId="77777777" w:rsidR="00F41709" w:rsidRPr="00F41709" w:rsidRDefault="00F41709" w:rsidP="00F41709">
      <w:pPr>
        <w:numPr>
          <w:ilvl w:val="1"/>
          <w:numId w:val="11"/>
        </w:numPr>
        <w:tabs>
          <w:tab w:val="clear" w:pos="794"/>
          <w:tab w:val="clear" w:pos="1191"/>
          <w:tab w:val="clear" w:pos="1588"/>
          <w:tab w:val="clear" w:pos="1985"/>
        </w:tabs>
        <w:overflowPunct/>
        <w:autoSpaceDE/>
        <w:autoSpaceDN/>
        <w:adjustRightInd/>
        <w:spacing w:before="120" w:line="240" w:lineRule="auto"/>
        <w:contextualSpacing/>
        <w:jc w:val="left"/>
        <w:textAlignment w:val="auto"/>
        <w:rPr>
          <w:rFonts w:asciiTheme="minorHAnsi" w:hAnsiTheme="minorHAnsi" w:cstheme="minorHAnsi"/>
          <w:szCs w:val="24"/>
          <w:highlight w:val="cyan"/>
          <w:lang w:val="en-GB"/>
        </w:rPr>
      </w:pPr>
      <w:r w:rsidRPr="00F41709">
        <w:rPr>
          <w:rFonts w:asciiTheme="minorHAnsi" w:hAnsiTheme="minorHAnsi" w:cstheme="minorHAnsi"/>
          <w:szCs w:val="24"/>
          <w:highlight w:val="cyan"/>
          <w:lang w:val="en-GB"/>
        </w:rPr>
        <w:t>the need of fixing, if identified, any omissions, and/or contradictions of the existing texts</w:t>
      </w:r>
    </w:p>
    <w:p w14:paraId="73EF1216" w14:textId="77777777" w:rsidR="00F41709" w:rsidRPr="00F41709" w:rsidRDefault="00F41709" w:rsidP="00F41709">
      <w:pPr>
        <w:spacing w:before="120" w:line="240" w:lineRule="auto"/>
        <w:jc w:val="left"/>
        <w:rPr>
          <w:rFonts w:asciiTheme="minorHAnsi" w:hAnsiTheme="minorHAnsi" w:cstheme="minorHAnsi"/>
          <w:szCs w:val="24"/>
          <w:lang w:val="en-GB"/>
        </w:rPr>
      </w:pPr>
    </w:p>
    <w:p w14:paraId="21A4AA8A" w14:textId="2E06CC90"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b/>
          <w:bCs/>
          <w:szCs w:val="24"/>
          <w:lang w:val="en-GB"/>
        </w:rPr>
        <w:t xml:space="preserve">2. </w:t>
      </w:r>
      <w:r w:rsidRPr="00BC356B">
        <w:rPr>
          <w:rFonts w:asciiTheme="minorHAnsi" w:hAnsiTheme="minorHAnsi" w:cstheme="minorHAnsi"/>
          <w:b/>
          <w:bCs/>
          <w:szCs w:val="24"/>
          <w:lang w:val="en-GB"/>
        </w:rPr>
        <w:tab/>
      </w:r>
      <w:r w:rsidRPr="00F41709">
        <w:rPr>
          <w:rFonts w:asciiTheme="minorHAnsi" w:hAnsiTheme="minorHAnsi" w:cstheme="minorHAnsi"/>
          <w:b/>
          <w:bCs/>
          <w:szCs w:val="24"/>
          <w:lang w:val="en-GB"/>
        </w:rPr>
        <w:t>Possible revision of Resolution ITU-R 15-6 with respect to:</w:t>
      </w:r>
    </w:p>
    <w:p w14:paraId="452F3478" w14:textId="6B6B3369"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szCs w:val="24"/>
          <w:lang w:val="en-GB"/>
        </w:rPr>
        <w:t>2.1</w:t>
      </w:r>
      <w:r w:rsidRPr="00BC356B">
        <w:rPr>
          <w:rFonts w:asciiTheme="minorHAnsi" w:hAnsiTheme="minorHAnsi" w:cstheme="minorHAnsi"/>
          <w:szCs w:val="24"/>
          <w:lang w:val="en-GB"/>
        </w:rPr>
        <w:tab/>
      </w:r>
      <w:r w:rsidRPr="00F41709">
        <w:rPr>
          <w:rFonts w:asciiTheme="minorHAnsi" w:hAnsiTheme="minorHAnsi" w:cstheme="minorHAnsi"/>
          <w:szCs w:val="24"/>
          <w:lang w:val="en-GB"/>
        </w:rPr>
        <w:t>the possibility of establishing maximum term of office for ITU-R Working Party Chairmen.</w:t>
      </w:r>
    </w:p>
    <w:p w14:paraId="7E68BFC1" w14:textId="77777777"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szCs w:val="24"/>
          <w:lang w:val="en-GB"/>
        </w:rPr>
        <w:t xml:space="preserve">The  (RAG CG-2) shall </w:t>
      </w:r>
      <w:r w:rsidRPr="00F41709">
        <w:rPr>
          <w:rFonts w:asciiTheme="minorHAnsi" w:hAnsiTheme="minorHAnsi" w:cstheme="minorHAnsi"/>
          <w:szCs w:val="24"/>
          <w:highlight w:val="green"/>
          <w:lang w:val="en-GB"/>
        </w:rPr>
        <w:t>commence work at RAG-21 and</w:t>
      </w:r>
      <w:r w:rsidRPr="00F41709">
        <w:rPr>
          <w:rFonts w:asciiTheme="minorHAnsi" w:hAnsiTheme="minorHAnsi" w:cstheme="minorHAnsi"/>
          <w:szCs w:val="24"/>
          <w:lang w:val="en-GB"/>
        </w:rPr>
        <w:t xml:space="preserve"> submit the outcome of its work for consideration by the </w:t>
      </w:r>
      <w:r w:rsidRPr="00F41709">
        <w:rPr>
          <w:rFonts w:asciiTheme="minorHAnsi" w:hAnsiTheme="minorHAnsi" w:cstheme="minorHAnsi"/>
          <w:szCs w:val="24"/>
          <w:highlight w:val="green"/>
          <w:lang w:val="en-GB"/>
        </w:rPr>
        <w:t>RAG-22 meeting</w:t>
      </w:r>
      <w:r w:rsidRPr="00F41709">
        <w:rPr>
          <w:rFonts w:asciiTheme="minorHAnsi" w:hAnsiTheme="minorHAnsi" w:cstheme="minorHAnsi"/>
          <w:szCs w:val="24"/>
          <w:lang w:val="en-GB"/>
        </w:rPr>
        <w:t xml:space="preserve">, taking into account the information provided in Section 3.1.1 of Doc. RAG20/1Rev.1, and any other proposals </w:t>
      </w:r>
      <w:r w:rsidRPr="00F41709">
        <w:rPr>
          <w:rFonts w:asciiTheme="minorHAnsi" w:hAnsiTheme="minorHAnsi" w:cstheme="minorHAnsi"/>
          <w:szCs w:val="24"/>
          <w:highlight w:val="green"/>
          <w:lang w:val="en-GB"/>
        </w:rPr>
        <w:t>relevant under the above Terms of Reference</w:t>
      </w:r>
      <w:r w:rsidRPr="00F41709">
        <w:rPr>
          <w:rFonts w:asciiTheme="minorHAnsi" w:hAnsiTheme="minorHAnsi" w:cstheme="minorHAnsi"/>
          <w:szCs w:val="24"/>
          <w:lang w:val="en-GB"/>
        </w:rPr>
        <w:t xml:space="preserve"> submitted to RAG Correspondence Group 2.</w:t>
      </w:r>
    </w:p>
    <w:p w14:paraId="13914B46" w14:textId="77777777"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szCs w:val="24"/>
          <w:lang w:val="en-GB"/>
        </w:rPr>
        <w:t>The work of the (RAG CG-2) should be performed, as much as possible, by correspondence in accordance with § A1.3.2.7 of Resolution ITU-R 1-8.</w:t>
      </w:r>
    </w:p>
    <w:p w14:paraId="48016F28" w14:textId="53982CAB" w:rsidR="00AE65CC" w:rsidRDefault="00AE65CC">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heme="minorHAnsi"/>
          <w:szCs w:val="24"/>
          <w:lang w:val="en-GB"/>
        </w:rPr>
      </w:pPr>
      <w:r>
        <w:rPr>
          <w:rFonts w:asciiTheme="minorHAnsi" w:hAnsiTheme="minorHAnsi" w:cstheme="minorHAnsi"/>
          <w:szCs w:val="24"/>
          <w:lang w:val="en-GB"/>
        </w:rPr>
        <w:br w:type="page"/>
      </w:r>
    </w:p>
    <w:p w14:paraId="0FF68E77" w14:textId="77777777" w:rsidR="00F41709" w:rsidRPr="00F41709" w:rsidRDefault="00F41709" w:rsidP="00F41709">
      <w:pPr>
        <w:spacing w:before="120" w:line="240" w:lineRule="auto"/>
        <w:jc w:val="left"/>
        <w:rPr>
          <w:rFonts w:asciiTheme="minorHAnsi" w:hAnsiTheme="minorHAnsi" w:cstheme="minorHAnsi"/>
          <w:szCs w:val="24"/>
          <w:lang w:val="en-GB"/>
        </w:rPr>
      </w:pPr>
    </w:p>
    <w:p w14:paraId="7A122A3E" w14:textId="77777777" w:rsidR="00F41709" w:rsidRPr="00F41709" w:rsidRDefault="00F41709" w:rsidP="00F4170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sidRPr="00F41709">
        <w:rPr>
          <w:rFonts w:asciiTheme="minorHAnsi" w:hAnsiTheme="minorHAnsi" w:cstheme="minorHAnsi"/>
          <w:szCs w:val="24"/>
          <w:lang w:val="en-GB"/>
        </w:rPr>
        <w:t xml:space="preserve">The Chairman of the  (RAG CG-2) is </w:t>
      </w:r>
      <w:r w:rsidRPr="00F41709">
        <w:rPr>
          <w:rFonts w:asciiTheme="minorHAnsi" w:hAnsiTheme="minorHAnsi" w:cstheme="minorHAnsi"/>
          <w:szCs w:val="24"/>
          <w:highlight w:val="yellow"/>
          <w:lang w:val="en-GB"/>
        </w:rPr>
        <w:t>&lt;name&gt;</w:t>
      </w:r>
      <w:r w:rsidRPr="00F41709">
        <w:rPr>
          <w:rFonts w:asciiTheme="minorHAnsi" w:hAnsiTheme="minorHAnsi" w:cstheme="minorHAnsi"/>
          <w:szCs w:val="24"/>
          <w:lang w:val="en-GB"/>
        </w:rPr>
        <w:t xml:space="preserve">  (E-mail: </w:t>
      </w:r>
      <w:hyperlink r:id="rId23">
        <w:r w:rsidRPr="00F41709">
          <w:rPr>
            <w:rFonts w:asciiTheme="minorHAnsi" w:hAnsiTheme="minorHAnsi" w:cstheme="minorHAnsi"/>
            <w:color w:val="0000FF"/>
            <w:szCs w:val="24"/>
            <w:highlight w:val="yellow"/>
            <w:u w:val="single"/>
            <w:lang w:val="en-GB"/>
          </w:rPr>
          <w:t>&lt;</w:t>
        </w:r>
        <w:proofErr w:type="spellStart"/>
        <w:r w:rsidRPr="00F41709">
          <w:rPr>
            <w:rFonts w:asciiTheme="minorHAnsi" w:hAnsiTheme="minorHAnsi" w:cstheme="minorHAnsi"/>
            <w:color w:val="0000FF"/>
            <w:szCs w:val="24"/>
            <w:highlight w:val="yellow"/>
            <w:u w:val="single"/>
            <w:lang w:val="en-GB"/>
          </w:rPr>
          <w:t>email@address</w:t>
        </w:r>
        <w:proofErr w:type="spellEnd"/>
        <w:r w:rsidRPr="00F41709">
          <w:rPr>
            <w:rFonts w:asciiTheme="minorHAnsi" w:hAnsiTheme="minorHAnsi" w:cstheme="minorHAnsi"/>
            <w:color w:val="0000FF"/>
            <w:szCs w:val="24"/>
            <w:highlight w:val="yellow"/>
            <w:u w:val="single"/>
            <w:lang w:val="en-GB"/>
          </w:rPr>
          <w:t>&gt;</w:t>
        </w:r>
      </w:hyperlink>
      <w:r w:rsidRPr="00F41709">
        <w:rPr>
          <w:rFonts w:asciiTheme="minorHAnsi" w:hAnsiTheme="minorHAnsi" w:cstheme="minorHAnsi"/>
          <w:szCs w:val="24"/>
          <w:lang w:val="en-GB"/>
        </w:rPr>
        <w:t xml:space="preserve">). </w:t>
      </w:r>
      <w:r w:rsidRPr="00F41709">
        <w:rPr>
          <w:rFonts w:asciiTheme="minorHAnsi" w:hAnsiTheme="minorHAnsi" w:cstheme="minorHAnsi"/>
          <w:color w:val="000000"/>
          <w:szCs w:val="24"/>
          <w:highlight w:val="green"/>
        </w:rPr>
        <w:t>Correspondence Group dates: RAG-21 – TBD (45 days prior to the next meeting of RAG in 2022).</w:t>
      </w:r>
    </w:p>
    <w:p w14:paraId="25EB8F20" w14:textId="77777777" w:rsidR="00F41709" w:rsidRPr="00F41709" w:rsidRDefault="00F41709" w:rsidP="00F41709">
      <w:pPr>
        <w:spacing w:before="120" w:line="240" w:lineRule="auto"/>
        <w:jc w:val="left"/>
        <w:rPr>
          <w:rFonts w:asciiTheme="minorHAnsi" w:hAnsiTheme="minorHAnsi" w:cstheme="minorHAnsi"/>
          <w:szCs w:val="24"/>
          <w:lang w:val="en-GB"/>
        </w:rPr>
      </w:pPr>
      <w:r w:rsidRPr="00F41709">
        <w:rPr>
          <w:rFonts w:asciiTheme="minorHAnsi" w:hAnsiTheme="minorHAnsi" w:cstheme="minorHAnsi"/>
          <w:szCs w:val="24"/>
          <w:lang w:val="en-GB"/>
        </w:rPr>
        <w:t>Other relevant information for the work of this Correspondence Group (e.g. email reflector) will be provided on the RAG webpage.</w:t>
      </w:r>
    </w:p>
    <w:p w14:paraId="58DE892D" w14:textId="77777777" w:rsidR="00F41709" w:rsidRPr="00F41709" w:rsidRDefault="00F41709" w:rsidP="00F41709">
      <w:pPr>
        <w:spacing w:before="120" w:line="240" w:lineRule="auto"/>
        <w:jc w:val="left"/>
        <w:rPr>
          <w:rFonts w:asciiTheme="minorHAnsi" w:hAnsiTheme="minorHAnsi" w:cstheme="minorHAnsi"/>
          <w:szCs w:val="24"/>
          <w:lang w:val="en-GB"/>
        </w:rPr>
      </w:pPr>
    </w:p>
    <w:p w14:paraId="0A3A218A" w14:textId="7ECECD42" w:rsidR="008A59B9" w:rsidRPr="00BC356B" w:rsidRDefault="008A59B9" w:rsidP="00351D76">
      <w:pPr>
        <w:jc w:val="center"/>
        <w:rPr>
          <w:rFonts w:asciiTheme="minorHAnsi" w:hAnsiTheme="minorHAnsi" w:cstheme="minorHAnsi"/>
          <w:sz w:val="22"/>
          <w:lang w:val="en-GB"/>
        </w:rPr>
      </w:pPr>
    </w:p>
    <w:p w14:paraId="228806E2" w14:textId="77777777" w:rsidR="00351D76" w:rsidRPr="00BC356B" w:rsidRDefault="00351D76" w:rsidP="00351D76">
      <w:pPr>
        <w:jc w:val="center"/>
        <w:rPr>
          <w:rFonts w:asciiTheme="minorHAnsi" w:hAnsiTheme="minorHAnsi" w:cstheme="minorHAnsi"/>
          <w:sz w:val="22"/>
          <w:lang w:val="en-CA"/>
        </w:rPr>
      </w:pPr>
      <w:r w:rsidRPr="00BC356B">
        <w:rPr>
          <w:rFonts w:asciiTheme="minorHAnsi" w:hAnsiTheme="minorHAnsi" w:cstheme="minorHAnsi"/>
          <w:sz w:val="22"/>
        </w:rPr>
        <w:t>______________</w:t>
      </w:r>
    </w:p>
    <w:p w14:paraId="577CD5AE" w14:textId="77777777" w:rsidR="00351D76" w:rsidRPr="00BC356B" w:rsidRDefault="00351D76" w:rsidP="00351D76">
      <w:pPr>
        <w:jc w:val="center"/>
        <w:rPr>
          <w:rFonts w:asciiTheme="minorHAnsi" w:hAnsiTheme="minorHAnsi" w:cstheme="minorHAnsi"/>
          <w:sz w:val="22"/>
        </w:rPr>
      </w:pPr>
    </w:p>
    <w:p w14:paraId="6B1E5C49" w14:textId="77777777" w:rsidR="00BC53A0" w:rsidRDefault="00BC53A0"/>
    <w:sectPr w:rsidR="00BC53A0" w:rsidSect="00FD6F16">
      <w:headerReference w:type="default" r:id="rId24"/>
      <w:footerReference w:type="default" r:id="rId25"/>
      <w:headerReference w:type="first" r:id="rId26"/>
      <w:footerReference w:type="first" r:id="rId27"/>
      <w:pgSz w:w="11907" w:h="16834" w:code="9"/>
      <w:pgMar w:top="1670" w:right="1134" w:bottom="993" w:left="1134" w:header="567" w:footer="6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488FE" w14:textId="77777777" w:rsidR="00C468D6" w:rsidRDefault="00C468D6" w:rsidP="00351D76">
      <w:pPr>
        <w:spacing w:before="0" w:line="240" w:lineRule="auto"/>
      </w:pPr>
      <w:r>
        <w:separator/>
      </w:r>
    </w:p>
  </w:endnote>
  <w:endnote w:type="continuationSeparator" w:id="0">
    <w:p w14:paraId="31088CB1" w14:textId="77777777" w:rsidR="00C468D6" w:rsidRDefault="00C468D6" w:rsidP="00351D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B518" w14:textId="77777777" w:rsidR="00351D76" w:rsidRPr="00874EFB" w:rsidRDefault="00351D76" w:rsidP="00924655">
    <w:pPr>
      <w:pStyle w:val="Footer"/>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03C7" w14:textId="205B43C5" w:rsidR="00351D76" w:rsidRPr="00161334" w:rsidRDefault="00161334" w:rsidP="0016133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F85B" w14:textId="77777777" w:rsidR="00161334" w:rsidRPr="00874EFB" w:rsidRDefault="00161334" w:rsidP="00924655">
    <w:pPr>
      <w:pStyle w:val="Footer"/>
      <w:jc w:val="center"/>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3F21" w14:textId="77777777" w:rsidR="00161334" w:rsidRDefault="00161334" w:rsidP="0092465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CEBF" w14:textId="77777777" w:rsidR="00161334" w:rsidRPr="00874EFB" w:rsidRDefault="00161334" w:rsidP="00924655">
    <w:pPr>
      <w:pStyle w:val="Footer"/>
      <w:jc w:val="center"/>
      <w:rPr>
        <w:rFonts w:asciiTheme="minorHAnsi" w:hAnsiTheme="minorHAnsi" w:cs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3C43" w14:textId="77777777" w:rsidR="00161334" w:rsidRDefault="00161334" w:rsidP="009246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3AB63" w14:textId="77777777" w:rsidR="00C468D6" w:rsidRDefault="00C468D6" w:rsidP="00351D76">
      <w:pPr>
        <w:spacing w:before="0" w:line="240" w:lineRule="auto"/>
      </w:pPr>
      <w:r>
        <w:separator/>
      </w:r>
    </w:p>
  </w:footnote>
  <w:footnote w:type="continuationSeparator" w:id="0">
    <w:p w14:paraId="14090D2E" w14:textId="77777777" w:rsidR="00C468D6" w:rsidRDefault="00C468D6" w:rsidP="00351D7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7138" w14:textId="77777777" w:rsidR="00351D76" w:rsidRPr="00924655" w:rsidRDefault="00351D76" w:rsidP="009246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5604B">
      <w:rPr>
        <w:rStyle w:val="PageNumber"/>
        <w:noProof/>
        <w:sz w:val="18"/>
        <w:szCs w:val="16"/>
      </w:rPr>
      <w:t>21</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57DC" w14:textId="44743980" w:rsidR="00161334" w:rsidRDefault="00161334">
    <w:pPr>
      <w:pStyle w:val="Header"/>
    </w:pPr>
    <w:r>
      <w:rPr>
        <w:b/>
        <w:bCs/>
        <w:noProof/>
        <w:lang w:val="en-GB" w:eastAsia="en-GB"/>
      </w:rPr>
      <w:drawing>
        <wp:anchor distT="0" distB="0" distL="114300" distR="114300" simplePos="0" relativeHeight="251658240" behindDoc="0" locked="0" layoutInCell="1" allowOverlap="1" wp14:anchorId="39CEB9D1" wp14:editId="5C9CB981">
          <wp:simplePos x="0" y="0"/>
          <wp:positionH relativeFrom="margin">
            <wp:align>center</wp:align>
          </wp:positionH>
          <wp:positionV relativeFrom="paragraph">
            <wp:posOffset>191364</wp:posOffset>
          </wp:positionV>
          <wp:extent cx="579396" cy="657225"/>
          <wp:effectExtent l="0" t="0" r="0" b="0"/>
          <wp:wrapSquare wrapText="bothSides"/>
          <wp:docPr id="134986949" name="Picture 13498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96" cy="6572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FF3D" w14:textId="77777777" w:rsidR="00161334" w:rsidRPr="00924655" w:rsidRDefault="00161334" w:rsidP="009246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21</w:t>
    </w:r>
    <w:r w:rsidRPr="00FC6F6B">
      <w:rPr>
        <w:rStyle w:val="PageNumber"/>
        <w:sz w:val="18"/>
        <w:szCs w:val="16"/>
      </w:rPr>
      <w:fldChar w:fldCharType="end"/>
    </w:r>
    <w:r>
      <w:rPr>
        <w:rStyle w:val="PageNumber"/>
        <w:sz w:val="18"/>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DA2B" w14:textId="65FB0B82" w:rsidR="00161334" w:rsidRDefault="00161334" w:rsidP="00161334">
    <w:pPr>
      <w:pStyle w:val="Header"/>
      <w:jc w:val="center"/>
    </w:pPr>
    <w:r w:rsidRPr="00161334">
      <w:rPr>
        <w:sz w:val="20"/>
        <w:szCs w:val="20"/>
      </w:rPr>
      <w:t xml:space="preserve">- </w:t>
    </w:r>
    <w:r w:rsidRPr="00161334">
      <w:rPr>
        <w:sz w:val="20"/>
        <w:szCs w:val="20"/>
      </w:rPr>
      <w:fldChar w:fldCharType="begin"/>
    </w:r>
    <w:r w:rsidRPr="00161334">
      <w:rPr>
        <w:sz w:val="20"/>
        <w:szCs w:val="20"/>
      </w:rPr>
      <w:instrText xml:space="preserve"> PAGE   \* MERGEFORMAT </w:instrText>
    </w:r>
    <w:r w:rsidRPr="00161334">
      <w:rPr>
        <w:sz w:val="20"/>
        <w:szCs w:val="20"/>
      </w:rPr>
      <w:fldChar w:fldCharType="separate"/>
    </w:r>
    <w:r>
      <w:rPr>
        <w:sz w:val="20"/>
        <w:szCs w:val="20"/>
      </w:rPr>
      <w:t>2</w:t>
    </w:r>
    <w:r w:rsidRPr="00161334">
      <w:rPr>
        <w:noProof/>
        <w:sz w:val="20"/>
        <w:szCs w:val="20"/>
      </w:rPr>
      <w:fldChar w:fldCharType="end"/>
    </w:r>
    <w:r w:rsidRPr="00161334">
      <w:rPr>
        <w:noProof/>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EFB2" w14:textId="77777777" w:rsidR="00161334" w:rsidRPr="00924655" w:rsidRDefault="00161334" w:rsidP="009246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21</w:t>
    </w:r>
    <w:r w:rsidRPr="00FC6F6B">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BE63" w14:textId="5B2A5EA3" w:rsidR="00161334" w:rsidRDefault="00161334" w:rsidP="00161334">
    <w:pPr>
      <w:pStyle w:val="Header"/>
      <w:jc w:val="center"/>
    </w:pPr>
    <w:r w:rsidRPr="00161334">
      <w:rPr>
        <w:sz w:val="20"/>
        <w:szCs w:val="20"/>
      </w:rPr>
      <w:t xml:space="preserve">- </w:t>
    </w:r>
    <w:r w:rsidRPr="00161334">
      <w:rPr>
        <w:sz w:val="20"/>
        <w:szCs w:val="20"/>
      </w:rPr>
      <w:fldChar w:fldCharType="begin"/>
    </w:r>
    <w:r w:rsidRPr="00161334">
      <w:rPr>
        <w:sz w:val="20"/>
        <w:szCs w:val="20"/>
      </w:rPr>
      <w:instrText xml:space="preserve"> PAGE   \* MERGEFORMAT </w:instrText>
    </w:r>
    <w:r w:rsidRPr="00161334">
      <w:rPr>
        <w:sz w:val="20"/>
        <w:szCs w:val="20"/>
      </w:rPr>
      <w:fldChar w:fldCharType="separate"/>
    </w:r>
    <w:r>
      <w:rPr>
        <w:sz w:val="20"/>
        <w:szCs w:val="20"/>
      </w:rPr>
      <w:t>2</w:t>
    </w:r>
    <w:r w:rsidRPr="00161334">
      <w:rPr>
        <w:noProof/>
        <w:sz w:val="20"/>
        <w:szCs w:val="20"/>
      </w:rPr>
      <w:fldChar w:fldCharType="end"/>
    </w:r>
    <w:r w:rsidRPr="00161334">
      <w:rPr>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7"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8"/>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76"/>
    <w:rsid w:val="00031913"/>
    <w:rsid w:val="000F01FF"/>
    <w:rsid w:val="00144227"/>
    <w:rsid w:val="00161334"/>
    <w:rsid w:val="00176EB5"/>
    <w:rsid w:val="001F446A"/>
    <w:rsid w:val="00266B8A"/>
    <w:rsid w:val="002F0984"/>
    <w:rsid w:val="003400FA"/>
    <w:rsid w:val="00351D76"/>
    <w:rsid w:val="0037271D"/>
    <w:rsid w:val="004F4598"/>
    <w:rsid w:val="0050148A"/>
    <w:rsid w:val="00600246"/>
    <w:rsid w:val="006B73B4"/>
    <w:rsid w:val="00790D91"/>
    <w:rsid w:val="007D4747"/>
    <w:rsid w:val="007D67AF"/>
    <w:rsid w:val="00802DBE"/>
    <w:rsid w:val="008A59B9"/>
    <w:rsid w:val="00A434BF"/>
    <w:rsid w:val="00A977C4"/>
    <w:rsid w:val="00AC0E5C"/>
    <w:rsid w:val="00AE65CC"/>
    <w:rsid w:val="00B348F9"/>
    <w:rsid w:val="00B77794"/>
    <w:rsid w:val="00BC356B"/>
    <w:rsid w:val="00BC53A0"/>
    <w:rsid w:val="00BD54E1"/>
    <w:rsid w:val="00C22410"/>
    <w:rsid w:val="00C468D6"/>
    <w:rsid w:val="00CA5BBF"/>
    <w:rsid w:val="00CC7292"/>
    <w:rsid w:val="00CE003E"/>
    <w:rsid w:val="00CE4AC2"/>
    <w:rsid w:val="00D83A02"/>
    <w:rsid w:val="00D909E1"/>
    <w:rsid w:val="00DD208C"/>
    <w:rsid w:val="00ED40A6"/>
    <w:rsid w:val="00F20C02"/>
    <w:rsid w:val="00F41709"/>
    <w:rsid w:val="00F5604B"/>
    <w:rsid w:val="00F85DEF"/>
    <w:rsid w:val="00F96AB0"/>
    <w:rsid w:val="00FD6F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64EDC"/>
  <w15:chartTrackingRefBased/>
  <w15:docId w15:val="{99118B89-F6AF-4A3A-B40D-15C9B10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C4"/>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paragraph" w:styleId="Heading1">
    <w:name w:val="heading 1"/>
    <w:basedOn w:val="Normal"/>
    <w:next w:val="Normal"/>
    <w:link w:val="Heading1Char"/>
    <w:qFormat/>
    <w:rsid w:val="00351D76"/>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351D76"/>
    <w:pPr>
      <w:spacing w:before="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D76"/>
    <w:rPr>
      <w:rFonts w:ascii="Calibri" w:eastAsia="Times New Roman" w:hAnsi="Calibri" w:cs="Calibri"/>
      <w:b/>
      <w:sz w:val="24"/>
      <w:lang w:val="en-US" w:eastAsia="en-US"/>
    </w:rPr>
  </w:style>
  <w:style w:type="character" w:customStyle="1" w:styleId="Heading2Char">
    <w:name w:val="Heading 2 Char"/>
    <w:basedOn w:val="DefaultParagraphFont"/>
    <w:link w:val="Heading2"/>
    <w:rsid w:val="00351D76"/>
    <w:rPr>
      <w:rFonts w:ascii="Calibri" w:eastAsia="Times New Roman" w:hAnsi="Calibri" w:cs="Calibri"/>
      <w:b/>
      <w:sz w:val="24"/>
      <w:lang w:val="en-US" w:eastAsia="en-US"/>
    </w:rPr>
  </w:style>
  <w:style w:type="paragraph" w:styleId="Footer">
    <w:name w:val="footer"/>
    <w:basedOn w:val="Normal"/>
    <w:link w:val="FooterChar"/>
    <w:uiPriority w:val="99"/>
    <w:rsid w:val="00351D76"/>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351D76"/>
    <w:rPr>
      <w:rFonts w:ascii="Calibri" w:eastAsia="Times New Roman" w:hAnsi="Calibri" w:cs="Calibri"/>
      <w:sz w:val="24"/>
      <w:lang w:val="en-US" w:eastAsia="en-US"/>
    </w:rPr>
  </w:style>
  <w:style w:type="paragraph" w:styleId="Header">
    <w:name w:val="header"/>
    <w:aliases w:val="encabezado,he"/>
    <w:basedOn w:val="Normal"/>
    <w:link w:val="HeaderChar"/>
    <w:rsid w:val="00351D76"/>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he Char"/>
    <w:basedOn w:val="DefaultParagraphFont"/>
    <w:link w:val="Header"/>
    <w:rsid w:val="00351D76"/>
    <w:rPr>
      <w:rFonts w:ascii="Calibri" w:eastAsia="Times New Roman" w:hAnsi="Calibri" w:cs="Calibri"/>
      <w:sz w:val="24"/>
      <w:lang w:val="en-US" w:eastAsia="en-US"/>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351D76"/>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351D76"/>
    <w:pPr>
      <w:keepLines/>
      <w:tabs>
        <w:tab w:val="left" w:pos="255"/>
      </w:tabs>
      <w:spacing w:before="80" w:line="240" w:lineRule="exact"/>
      <w:ind w:left="255" w:hanging="255"/>
    </w:pPr>
    <w:rPr>
      <w:sz w:val="20"/>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351D76"/>
    <w:rPr>
      <w:rFonts w:ascii="Calibri" w:eastAsia="Times New Roman" w:hAnsi="Calibri" w:cs="Calibri"/>
      <w:sz w:val="20"/>
      <w:lang w:val="en-US" w:eastAsia="en-US"/>
    </w:rPr>
  </w:style>
  <w:style w:type="character" w:styleId="PageNumber">
    <w:name w:val="page number"/>
    <w:basedOn w:val="DefaultParagraphFont"/>
    <w:rsid w:val="00351D76"/>
  </w:style>
  <w:style w:type="paragraph" w:customStyle="1" w:styleId="FirstFooter">
    <w:name w:val="FirstFooter"/>
    <w:basedOn w:val="Normal"/>
    <w:rsid w:val="00351D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ResNo">
    <w:name w:val="Res_No"/>
    <w:basedOn w:val="Normal"/>
    <w:next w:val="Restitle"/>
    <w:rsid w:val="00351D76"/>
    <w:pPr>
      <w:keepNext/>
      <w:keepLines/>
      <w:tabs>
        <w:tab w:val="clear" w:pos="794"/>
        <w:tab w:val="clear" w:pos="1191"/>
        <w:tab w:val="clear" w:pos="1588"/>
        <w:tab w:val="clear" w:pos="1985"/>
      </w:tabs>
      <w:spacing w:before="0"/>
      <w:jc w:val="center"/>
    </w:pPr>
    <w:rPr>
      <w:caps/>
      <w:sz w:val="28"/>
    </w:rPr>
  </w:style>
  <w:style w:type="paragraph" w:customStyle="1" w:styleId="Restitle">
    <w:name w:val="Res_title"/>
    <w:basedOn w:val="Normal"/>
    <w:next w:val="Normal"/>
    <w:rsid w:val="00351D76"/>
    <w:pPr>
      <w:keepNext/>
      <w:keepLines/>
      <w:spacing w:before="360" w:line="240" w:lineRule="auto"/>
      <w:jc w:val="center"/>
    </w:pPr>
    <w:rPr>
      <w:b/>
      <w:sz w:val="28"/>
    </w:rPr>
  </w:style>
  <w:style w:type="paragraph" w:customStyle="1" w:styleId="Source">
    <w:name w:val="Source"/>
    <w:basedOn w:val="Normal"/>
    <w:next w:val="Normal"/>
    <w:rsid w:val="00351D76"/>
    <w:pPr>
      <w:spacing w:before="840" w:after="200"/>
      <w:jc w:val="center"/>
    </w:pPr>
    <w:rPr>
      <w:b/>
      <w:sz w:val="28"/>
    </w:rPr>
  </w:style>
  <w:style w:type="paragraph" w:customStyle="1" w:styleId="Title1">
    <w:name w:val="Title 1"/>
    <w:basedOn w:val="Source"/>
    <w:next w:val="Normal"/>
    <w:rsid w:val="00351D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character" w:styleId="Hyperlink">
    <w:name w:val="Hyperlink"/>
    <w:aliases w:val="CEO_Hyperlink"/>
    <w:basedOn w:val="DefaultParagraphFont"/>
    <w:rsid w:val="00351D76"/>
    <w:rPr>
      <w:color w:val="0000FF"/>
      <w:u w:val="single"/>
    </w:rPr>
  </w:style>
  <w:style w:type="table" w:styleId="TableGrid">
    <w:name w:val="Table Grid"/>
    <w:basedOn w:val="TableNormal"/>
    <w:rsid w:val="00351D76"/>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link w:val="AnnexNoChar"/>
    <w:rsid w:val="00351D7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6"/>
      <w:szCs w:val="20"/>
      <w:lang w:val="ru-RU"/>
    </w:rPr>
  </w:style>
  <w:style w:type="character" w:customStyle="1" w:styleId="AnnexNoChar">
    <w:name w:val="Annex_No Char"/>
    <w:link w:val="AnnexNo"/>
    <w:locked/>
    <w:rsid w:val="00351D76"/>
    <w:rPr>
      <w:rFonts w:ascii="Times New Roman" w:eastAsia="Times New Roman" w:hAnsi="Times New Roman" w:cs="Times New Roman"/>
      <w:caps/>
      <w:sz w:val="26"/>
      <w:szCs w:val="20"/>
      <w:lang w:val="ru-RU" w:eastAsia="en-US"/>
    </w:rPr>
  </w:style>
  <w:style w:type="paragraph" w:customStyle="1" w:styleId="Annextitle">
    <w:name w:val="Annex_title"/>
    <w:basedOn w:val="Normal"/>
    <w:next w:val="Normal"/>
    <w:link w:val="AnnextitleChar1"/>
    <w:rsid w:val="00351D7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6"/>
      <w:szCs w:val="20"/>
      <w:lang w:val="ru-RU"/>
    </w:rPr>
  </w:style>
  <w:style w:type="character" w:customStyle="1" w:styleId="AnnextitleChar1">
    <w:name w:val="Annex_title Char1"/>
    <w:link w:val="Annextitle"/>
    <w:locked/>
    <w:rsid w:val="00351D76"/>
    <w:rPr>
      <w:rFonts w:ascii="Times New Roman Bold" w:eastAsia="Times New Roman" w:hAnsi="Times New Roman Bold" w:cs="Times New Roman"/>
      <w:b/>
      <w:sz w:val="26"/>
      <w:szCs w:val="20"/>
      <w:lang w:val="ru-RU" w:eastAsia="en-US"/>
    </w:rPr>
  </w:style>
  <w:style w:type="table" w:customStyle="1" w:styleId="GridTable1Light-Accent512">
    <w:name w:val="Grid Table 1 Light - Accent 512"/>
    <w:basedOn w:val="TableNormal"/>
    <w:uiPriority w:val="46"/>
    <w:rsid w:val="00351D76"/>
    <w:pPr>
      <w:spacing w:after="0" w:line="240" w:lineRule="auto"/>
    </w:pPr>
    <w:rPr>
      <w:rFonts w:ascii="Calibri" w:eastAsia="Calibri" w:hAnsi="Calibri" w:cs="Arial"/>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351D76"/>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F96AB0"/>
    <w:pPr>
      <w:spacing w:before="120" w:line="240" w:lineRule="auto"/>
      <w:ind w:left="720"/>
      <w:contextualSpacing/>
      <w:jc w:val="left"/>
    </w:pPr>
    <w:rPr>
      <w:rFonts w:ascii="Times New Roman" w:hAnsi="Times New Roman" w:cs="Times New Roman"/>
      <w:szCs w:val="20"/>
      <w:lang w:val="en-GB"/>
    </w:rPr>
  </w:style>
  <w:style w:type="character" w:styleId="UnresolvedMention">
    <w:name w:val="Unresolved Mention"/>
    <w:basedOn w:val="DefaultParagraphFont"/>
    <w:uiPriority w:val="99"/>
    <w:semiHidden/>
    <w:unhideWhenUsed/>
    <w:rsid w:val="00144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84582">
      <w:bodyDiv w:val="1"/>
      <w:marLeft w:val="0"/>
      <w:marRight w:val="0"/>
      <w:marTop w:val="0"/>
      <w:marBottom w:val="0"/>
      <w:divBdr>
        <w:top w:val="none" w:sz="0" w:space="0" w:color="auto"/>
        <w:left w:val="none" w:sz="0" w:space="0" w:color="auto"/>
        <w:bottom w:val="none" w:sz="0" w:space="0" w:color="auto"/>
        <w:right w:val="none" w:sz="0" w:space="0" w:color="auto"/>
      </w:divBdr>
    </w:div>
    <w:div w:id="11126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en/ITU-R/conferences/RRB/Pages/default.aspx"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mailto:lucialuisa.lafranceschina@raiway.it" TargetMode="External"/><Relationship Id="rId7" Type="http://schemas.openxmlformats.org/officeDocument/2006/relationships/hyperlink" Target="http://www.itu.int/ITUR/go/RAG" TargetMode="External"/><Relationship Id="rId12" Type="http://schemas.openxmlformats.org/officeDocument/2006/relationships/hyperlink" Target="https://www.itu.int/en/ITU-R/conferences/RRB/Documents/ai%204_1_compendium%20to%20be%20published%20as%20special%20topics_English.docx"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itu.int/en/general-secretariat/Pages/ISCG/default.aspx"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itu.int/md/R20-RRB20.2-C-0001/en" TargetMode="External"/><Relationship Id="rId23" Type="http://schemas.openxmlformats.org/officeDocument/2006/relationships/hyperlink" Target="mailto:alexandre.vassiliev@mail.r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R00-CR-CIR-0456/en" TargetMode="External"/><Relationship Id="rId22" Type="http://schemas.openxmlformats.org/officeDocument/2006/relationships/hyperlink" Target="mailto:olfa.jammeli@anf.tn" TargetMode="Externa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
  <cp:lastModifiedBy>Panoussopoulos, Sonia</cp:lastModifiedBy>
  <cp:revision>2</cp:revision>
  <dcterms:created xsi:type="dcterms:W3CDTF">2020-06-01T06:30:00Z</dcterms:created>
  <dcterms:modified xsi:type="dcterms:W3CDTF">2020-06-01T06:30:00Z</dcterms:modified>
</cp:coreProperties>
</file>