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2A1E40" w14:paraId="18308A4B" w14:textId="77777777" w:rsidTr="004228FA">
        <w:trPr>
          <w:jc w:val="center"/>
        </w:trPr>
        <w:tc>
          <w:tcPr>
            <w:tcW w:w="9889" w:type="dxa"/>
            <w:gridSpan w:val="3"/>
            <w:shd w:val="clear" w:color="auto" w:fill="auto"/>
          </w:tcPr>
          <w:p w14:paraId="569A0E4F" w14:textId="77777777" w:rsidR="00E53DCE" w:rsidRPr="002A1E40" w:rsidRDefault="00E53DCE" w:rsidP="00224F0B">
            <w:pPr>
              <w:spacing w:before="0" w:line="240" w:lineRule="auto"/>
              <w:jc w:val="left"/>
              <w:rPr>
                <w:rFonts w:cstheme="minorHAnsi"/>
                <w:b/>
                <w:bCs/>
                <w:color w:val="808080"/>
                <w:sz w:val="28"/>
                <w:szCs w:val="28"/>
                <w:lang w:val="fr-FR"/>
              </w:rPr>
            </w:pPr>
            <w:r w:rsidRPr="002A1E40">
              <w:rPr>
                <w:rFonts w:cstheme="minorHAnsi"/>
                <w:b/>
                <w:bCs/>
                <w:color w:val="808080"/>
                <w:sz w:val="28"/>
                <w:szCs w:val="28"/>
                <w:lang w:val="fr-FR"/>
              </w:rPr>
              <w:t>Bureau des radiocommunications (BR)</w:t>
            </w:r>
          </w:p>
          <w:p w14:paraId="6F23CF74" w14:textId="77777777" w:rsidR="00E53DCE" w:rsidRPr="002A1E40" w:rsidRDefault="00E53DCE" w:rsidP="00224F0B">
            <w:pPr>
              <w:spacing w:before="0" w:line="240" w:lineRule="auto"/>
              <w:jc w:val="left"/>
              <w:rPr>
                <w:rFonts w:cstheme="minorHAnsi"/>
                <w:b/>
                <w:bCs/>
                <w:color w:val="808080"/>
                <w:sz w:val="28"/>
                <w:szCs w:val="28"/>
                <w:lang w:val="fr-FR"/>
              </w:rPr>
            </w:pPr>
          </w:p>
          <w:p w14:paraId="4BDA7E6A" w14:textId="77777777" w:rsidR="00E53DCE" w:rsidRPr="002A1E40" w:rsidRDefault="00E53DCE" w:rsidP="00224F0B">
            <w:pPr>
              <w:spacing w:before="0" w:line="240" w:lineRule="auto"/>
              <w:jc w:val="left"/>
              <w:rPr>
                <w:rFonts w:cs="Times New Roman Bold"/>
                <w:b/>
                <w:bCs/>
                <w:color w:val="808080"/>
                <w:sz w:val="28"/>
                <w:szCs w:val="28"/>
                <w:lang w:val="fr-FR"/>
              </w:rPr>
            </w:pPr>
          </w:p>
        </w:tc>
      </w:tr>
      <w:tr w:rsidR="00E53DCE" w:rsidRPr="002A1E40" w14:paraId="7299B578" w14:textId="77777777" w:rsidTr="004228FA">
        <w:trPr>
          <w:jc w:val="center"/>
        </w:trPr>
        <w:tc>
          <w:tcPr>
            <w:tcW w:w="7054" w:type="dxa"/>
            <w:gridSpan w:val="2"/>
            <w:shd w:val="clear" w:color="auto" w:fill="auto"/>
          </w:tcPr>
          <w:p w14:paraId="1936144C" w14:textId="2363D7D6" w:rsidR="00E53DCE" w:rsidRPr="002A1E40" w:rsidRDefault="00E53DCE" w:rsidP="00224F0B">
            <w:pPr>
              <w:spacing w:before="0" w:line="240" w:lineRule="auto"/>
              <w:jc w:val="left"/>
              <w:rPr>
                <w:sz w:val="28"/>
                <w:szCs w:val="28"/>
                <w:lang w:val="fr-FR"/>
              </w:rPr>
            </w:pPr>
            <w:r w:rsidRPr="002A1E40">
              <w:rPr>
                <w:szCs w:val="24"/>
                <w:lang w:val="fr-FR"/>
              </w:rPr>
              <w:t>Circulaire administrative</w:t>
            </w:r>
          </w:p>
          <w:p w14:paraId="4AB5722A" w14:textId="037269D3" w:rsidR="00E53DCE" w:rsidRPr="002A1E40" w:rsidRDefault="00E53DCE" w:rsidP="00224F0B">
            <w:pPr>
              <w:spacing w:before="0" w:line="240" w:lineRule="auto"/>
              <w:jc w:val="left"/>
              <w:rPr>
                <w:b/>
                <w:bCs/>
                <w:sz w:val="28"/>
                <w:szCs w:val="28"/>
                <w:lang w:val="fr-FR"/>
              </w:rPr>
            </w:pPr>
            <w:r w:rsidRPr="002A1E40">
              <w:rPr>
                <w:b/>
                <w:bCs/>
                <w:szCs w:val="24"/>
                <w:lang w:val="fr-FR"/>
              </w:rPr>
              <w:t>CA/</w:t>
            </w:r>
            <w:r w:rsidR="00AF37FD" w:rsidRPr="002A1E40">
              <w:rPr>
                <w:b/>
                <w:bCs/>
                <w:szCs w:val="24"/>
                <w:lang w:val="fr-FR"/>
              </w:rPr>
              <w:t>252</w:t>
            </w:r>
            <w:r w:rsidR="00AA781A" w:rsidRPr="002A1E40">
              <w:rPr>
                <w:b/>
                <w:bCs/>
                <w:szCs w:val="24"/>
                <w:lang w:val="fr-FR"/>
              </w:rPr>
              <w:t xml:space="preserve"> </w:t>
            </w:r>
          </w:p>
        </w:tc>
        <w:tc>
          <w:tcPr>
            <w:tcW w:w="2835" w:type="dxa"/>
            <w:shd w:val="clear" w:color="auto" w:fill="auto"/>
          </w:tcPr>
          <w:p w14:paraId="2DE984D5" w14:textId="5BBBF414" w:rsidR="00E53DCE" w:rsidRPr="002A1E40" w:rsidRDefault="00AA781A" w:rsidP="00224F0B">
            <w:pPr>
              <w:spacing w:before="0" w:line="240" w:lineRule="auto"/>
              <w:jc w:val="right"/>
              <w:rPr>
                <w:sz w:val="28"/>
                <w:szCs w:val="28"/>
                <w:lang w:val="fr-FR"/>
              </w:rPr>
            </w:pPr>
            <w:r w:rsidRPr="002A1E40">
              <w:rPr>
                <w:szCs w:val="24"/>
                <w:lang w:val="fr-FR"/>
              </w:rPr>
              <w:t xml:space="preserve">Le </w:t>
            </w:r>
            <w:r w:rsidR="00AF37FD" w:rsidRPr="002A1E40">
              <w:rPr>
                <w:rFonts w:cs="Arial"/>
                <w:szCs w:val="24"/>
                <w:lang w:val="fr-FR"/>
              </w:rPr>
              <w:t>1er juin 2020</w:t>
            </w:r>
          </w:p>
        </w:tc>
      </w:tr>
      <w:tr w:rsidR="00E53DCE" w:rsidRPr="002A1E40" w14:paraId="0D4CA350" w14:textId="77777777" w:rsidTr="004228FA">
        <w:trPr>
          <w:jc w:val="center"/>
        </w:trPr>
        <w:tc>
          <w:tcPr>
            <w:tcW w:w="9889" w:type="dxa"/>
            <w:gridSpan w:val="3"/>
            <w:shd w:val="clear" w:color="auto" w:fill="auto"/>
          </w:tcPr>
          <w:p w14:paraId="0DD3B17C" w14:textId="77777777" w:rsidR="00E53DCE" w:rsidRPr="002A1E40" w:rsidRDefault="00E53DCE" w:rsidP="00224F0B">
            <w:pPr>
              <w:spacing w:before="0" w:line="240" w:lineRule="auto"/>
              <w:jc w:val="left"/>
              <w:rPr>
                <w:rFonts w:cs="Arial"/>
                <w:szCs w:val="24"/>
                <w:lang w:val="fr-FR"/>
              </w:rPr>
            </w:pPr>
          </w:p>
        </w:tc>
      </w:tr>
      <w:tr w:rsidR="00E53DCE" w:rsidRPr="002A1E40" w14:paraId="40EFFCF8" w14:textId="77777777" w:rsidTr="004228FA">
        <w:trPr>
          <w:jc w:val="center"/>
        </w:trPr>
        <w:tc>
          <w:tcPr>
            <w:tcW w:w="9889" w:type="dxa"/>
            <w:gridSpan w:val="3"/>
            <w:shd w:val="clear" w:color="auto" w:fill="auto"/>
          </w:tcPr>
          <w:p w14:paraId="5021EF8E" w14:textId="77777777" w:rsidR="00E53DCE" w:rsidRPr="002A1E40" w:rsidRDefault="00E53DCE" w:rsidP="00224F0B">
            <w:pPr>
              <w:spacing w:before="0" w:line="240" w:lineRule="auto"/>
              <w:jc w:val="left"/>
              <w:rPr>
                <w:szCs w:val="24"/>
                <w:lang w:val="fr-FR"/>
              </w:rPr>
            </w:pPr>
          </w:p>
        </w:tc>
      </w:tr>
      <w:tr w:rsidR="00E53DCE" w:rsidRPr="00543B5D" w14:paraId="1BA4E0D9" w14:textId="77777777" w:rsidTr="004228FA">
        <w:trPr>
          <w:jc w:val="center"/>
        </w:trPr>
        <w:tc>
          <w:tcPr>
            <w:tcW w:w="9889" w:type="dxa"/>
            <w:gridSpan w:val="3"/>
            <w:shd w:val="clear" w:color="auto" w:fill="auto"/>
          </w:tcPr>
          <w:p w14:paraId="51C87C87" w14:textId="44493D96" w:rsidR="00E53DCE" w:rsidRPr="002A1E40" w:rsidRDefault="00AF37FD" w:rsidP="00224F0B">
            <w:pPr>
              <w:spacing w:before="0" w:line="240" w:lineRule="auto"/>
              <w:jc w:val="left"/>
              <w:rPr>
                <w:b/>
                <w:bCs/>
                <w:szCs w:val="24"/>
                <w:lang w:val="fr-FR"/>
              </w:rPr>
            </w:pPr>
            <w:r w:rsidRPr="002A1E40">
              <w:rPr>
                <w:b/>
                <w:bCs/>
                <w:szCs w:val="24"/>
                <w:lang w:val="fr-FR"/>
              </w:rPr>
              <w:t>Aux Administrations des États Membres de l'UI</w:t>
            </w:r>
            <w:r w:rsidR="00543B5D">
              <w:rPr>
                <w:b/>
                <w:bCs/>
                <w:szCs w:val="24"/>
                <w:lang w:val="fr-FR"/>
              </w:rPr>
              <w:t>T et aux Membres du Secteur des </w:t>
            </w:r>
            <w:r w:rsidRPr="002A1E40">
              <w:rPr>
                <w:b/>
                <w:bCs/>
                <w:szCs w:val="24"/>
                <w:lang w:val="fr-FR"/>
              </w:rPr>
              <w:t>radiocommunications</w:t>
            </w:r>
          </w:p>
          <w:p w14:paraId="135E16FF" w14:textId="77777777" w:rsidR="00E53DCE" w:rsidRPr="002A1E40" w:rsidRDefault="00E53DCE" w:rsidP="00224F0B">
            <w:pPr>
              <w:spacing w:before="0" w:line="240" w:lineRule="auto"/>
              <w:jc w:val="left"/>
              <w:rPr>
                <w:b/>
                <w:bCs/>
                <w:szCs w:val="24"/>
                <w:lang w:val="fr-FR"/>
              </w:rPr>
            </w:pPr>
          </w:p>
        </w:tc>
      </w:tr>
      <w:tr w:rsidR="00E53DCE" w:rsidRPr="00543B5D" w14:paraId="3FA11540" w14:textId="77777777" w:rsidTr="004228FA">
        <w:trPr>
          <w:jc w:val="center"/>
        </w:trPr>
        <w:tc>
          <w:tcPr>
            <w:tcW w:w="9889" w:type="dxa"/>
            <w:gridSpan w:val="3"/>
            <w:shd w:val="clear" w:color="auto" w:fill="auto"/>
          </w:tcPr>
          <w:p w14:paraId="1F529EC1" w14:textId="77777777" w:rsidR="00E53DCE" w:rsidRPr="002A1E40" w:rsidRDefault="00E53DCE" w:rsidP="00224F0B">
            <w:pPr>
              <w:spacing w:before="0" w:line="240" w:lineRule="auto"/>
              <w:jc w:val="left"/>
              <w:rPr>
                <w:szCs w:val="24"/>
                <w:lang w:val="fr-FR"/>
              </w:rPr>
            </w:pPr>
          </w:p>
        </w:tc>
      </w:tr>
      <w:tr w:rsidR="00E53DCE" w:rsidRPr="00543B5D" w14:paraId="5287DE95" w14:textId="77777777" w:rsidTr="004228FA">
        <w:trPr>
          <w:jc w:val="center"/>
        </w:trPr>
        <w:tc>
          <w:tcPr>
            <w:tcW w:w="9889" w:type="dxa"/>
            <w:gridSpan w:val="3"/>
            <w:shd w:val="clear" w:color="auto" w:fill="auto"/>
          </w:tcPr>
          <w:p w14:paraId="21B90880" w14:textId="77777777" w:rsidR="00E53DCE" w:rsidRPr="002A1E40" w:rsidRDefault="00E53DCE" w:rsidP="00224F0B">
            <w:pPr>
              <w:spacing w:before="0" w:line="240" w:lineRule="auto"/>
              <w:jc w:val="left"/>
              <w:rPr>
                <w:szCs w:val="24"/>
                <w:lang w:val="fr-FR"/>
              </w:rPr>
            </w:pPr>
          </w:p>
        </w:tc>
      </w:tr>
      <w:tr w:rsidR="00E53DCE" w:rsidRPr="00543B5D" w14:paraId="44A7A53E" w14:textId="77777777" w:rsidTr="004228FA">
        <w:trPr>
          <w:jc w:val="center"/>
        </w:trPr>
        <w:tc>
          <w:tcPr>
            <w:tcW w:w="1526" w:type="dxa"/>
            <w:shd w:val="clear" w:color="auto" w:fill="auto"/>
          </w:tcPr>
          <w:p w14:paraId="4172C9EE" w14:textId="77777777" w:rsidR="00E53DCE" w:rsidRPr="002A1E40" w:rsidRDefault="003471C9" w:rsidP="00224F0B">
            <w:pPr>
              <w:tabs>
                <w:tab w:val="clear" w:pos="1588"/>
                <w:tab w:val="left" w:pos="1560"/>
              </w:tabs>
              <w:spacing w:before="0" w:line="240" w:lineRule="auto"/>
              <w:jc w:val="left"/>
              <w:rPr>
                <w:szCs w:val="24"/>
                <w:lang w:val="fr-FR"/>
              </w:rPr>
            </w:pPr>
            <w:proofErr w:type="gramStart"/>
            <w:r w:rsidRPr="002A1E40">
              <w:rPr>
                <w:lang w:val="fr-FR"/>
              </w:rPr>
              <w:t>Objet</w:t>
            </w:r>
            <w:r w:rsidR="00E53DCE" w:rsidRPr="002A1E40">
              <w:rPr>
                <w:szCs w:val="24"/>
                <w:lang w:val="fr-FR"/>
              </w:rPr>
              <w:t>:</w:t>
            </w:r>
            <w:proofErr w:type="gramEnd"/>
          </w:p>
        </w:tc>
        <w:tc>
          <w:tcPr>
            <w:tcW w:w="8363" w:type="dxa"/>
            <w:gridSpan w:val="2"/>
            <w:vMerge w:val="restart"/>
            <w:shd w:val="clear" w:color="auto" w:fill="auto"/>
          </w:tcPr>
          <w:p w14:paraId="6BB97418" w14:textId="60C14C43" w:rsidR="00E53DCE" w:rsidRPr="002A1E40" w:rsidRDefault="00AF37FD" w:rsidP="00224F0B">
            <w:pPr>
              <w:tabs>
                <w:tab w:val="clear" w:pos="1588"/>
                <w:tab w:val="left" w:pos="1560"/>
              </w:tabs>
              <w:spacing w:before="0" w:line="240" w:lineRule="auto"/>
              <w:jc w:val="left"/>
              <w:rPr>
                <w:b/>
                <w:bCs/>
                <w:szCs w:val="24"/>
                <w:lang w:val="fr-FR"/>
              </w:rPr>
            </w:pPr>
            <w:r w:rsidRPr="002A1E40">
              <w:rPr>
                <w:b/>
                <w:bCs/>
                <w:szCs w:val="24"/>
                <w:lang w:val="fr-FR"/>
              </w:rPr>
              <w:t>Résumé des conclusions de la vingt-septième réunion du Groupe consultatif des</w:t>
            </w:r>
            <w:r w:rsidR="00543B5D">
              <w:rPr>
                <w:b/>
                <w:bCs/>
                <w:szCs w:val="24"/>
                <w:lang w:val="fr-FR"/>
              </w:rPr>
              <w:t> </w:t>
            </w:r>
            <w:r w:rsidRPr="002A1E40">
              <w:rPr>
                <w:b/>
                <w:bCs/>
                <w:szCs w:val="24"/>
                <w:lang w:val="fr-FR"/>
              </w:rPr>
              <w:t>radiocommunications</w:t>
            </w:r>
          </w:p>
        </w:tc>
      </w:tr>
      <w:tr w:rsidR="00E53DCE" w:rsidRPr="00543B5D" w14:paraId="5BA3B62D" w14:textId="77777777" w:rsidTr="004228FA">
        <w:trPr>
          <w:jc w:val="center"/>
        </w:trPr>
        <w:tc>
          <w:tcPr>
            <w:tcW w:w="1526" w:type="dxa"/>
            <w:shd w:val="clear" w:color="auto" w:fill="auto"/>
          </w:tcPr>
          <w:p w14:paraId="6E7B2458" w14:textId="77777777" w:rsidR="00E53DCE" w:rsidRPr="002A1E40" w:rsidRDefault="00E53DCE" w:rsidP="00224F0B">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052E4899" w14:textId="77777777" w:rsidR="00E53DCE" w:rsidRPr="002A1E40" w:rsidRDefault="00E53DCE" w:rsidP="00224F0B">
            <w:pPr>
              <w:tabs>
                <w:tab w:val="clear" w:pos="1588"/>
                <w:tab w:val="left" w:pos="1560"/>
              </w:tabs>
              <w:spacing w:before="0" w:line="240" w:lineRule="auto"/>
              <w:rPr>
                <w:b/>
                <w:bCs/>
                <w:szCs w:val="24"/>
                <w:lang w:val="fr-FR"/>
              </w:rPr>
            </w:pPr>
          </w:p>
        </w:tc>
      </w:tr>
      <w:tr w:rsidR="00E53DCE" w:rsidRPr="00543B5D" w14:paraId="41B1EDCC" w14:textId="77777777" w:rsidTr="004228FA">
        <w:trPr>
          <w:jc w:val="center"/>
        </w:trPr>
        <w:tc>
          <w:tcPr>
            <w:tcW w:w="1526" w:type="dxa"/>
            <w:shd w:val="clear" w:color="auto" w:fill="auto"/>
          </w:tcPr>
          <w:p w14:paraId="3290B6B6" w14:textId="77777777" w:rsidR="00E53DCE" w:rsidRPr="002A1E40" w:rsidRDefault="00E53DCE" w:rsidP="00224F0B">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74BE4033" w14:textId="77777777" w:rsidR="00E53DCE" w:rsidRPr="002A1E40" w:rsidRDefault="00E53DCE" w:rsidP="00224F0B">
            <w:pPr>
              <w:tabs>
                <w:tab w:val="clear" w:pos="1588"/>
                <w:tab w:val="left" w:pos="1560"/>
              </w:tabs>
              <w:spacing w:before="0" w:line="240" w:lineRule="auto"/>
              <w:rPr>
                <w:b/>
                <w:bCs/>
                <w:szCs w:val="24"/>
                <w:lang w:val="fr-FR"/>
              </w:rPr>
            </w:pPr>
          </w:p>
        </w:tc>
      </w:tr>
      <w:tr w:rsidR="00E53DCE" w:rsidRPr="00543B5D" w14:paraId="2E2C3F78" w14:textId="77777777" w:rsidTr="004228FA">
        <w:trPr>
          <w:jc w:val="center"/>
        </w:trPr>
        <w:tc>
          <w:tcPr>
            <w:tcW w:w="9889" w:type="dxa"/>
            <w:gridSpan w:val="3"/>
            <w:shd w:val="clear" w:color="auto" w:fill="auto"/>
          </w:tcPr>
          <w:p w14:paraId="61FC7BF5" w14:textId="77777777" w:rsidR="00E53DCE" w:rsidRPr="002A1E40" w:rsidRDefault="00E53DCE" w:rsidP="00224F0B">
            <w:pPr>
              <w:tabs>
                <w:tab w:val="clear" w:pos="1588"/>
                <w:tab w:val="left" w:pos="1560"/>
              </w:tabs>
              <w:spacing w:before="0" w:line="240" w:lineRule="auto"/>
              <w:jc w:val="left"/>
              <w:rPr>
                <w:szCs w:val="24"/>
                <w:lang w:val="fr-FR"/>
              </w:rPr>
            </w:pPr>
          </w:p>
        </w:tc>
      </w:tr>
      <w:tr w:rsidR="00E53DCE" w:rsidRPr="00543B5D" w14:paraId="747D1403" w14:textId="77777777" w:rsidTr="004228FA">
        <w:trPr>
          <w:jc w:val="center"/>
        </w:trPr>
        <w:tc>
          <w:tcPr>
            <w:tcW w:w="9889" w:type="dxa"/>
            <w:gridSpan w:val="3"/>
            <w:shd w:val="clear" w:color="auto" w:fill="auto"/>
          </w:tcPr>
          <w:p w14:paraId="728BB3C9" w14:textId="77777777" w:rsidR="00E53DCE" w:rsidRPr="002A1E40" w:rsidRDefault="00E53DCE" w:rsidP="00224F0B">
            <w:pPr>
              <w:spacing w:before="0" w:line="240" w:lineRule="auto"/>
              <w:jc w:val="left"/>
              <w:rPr>
                <w:b/>
                <w:bCs/>
                <w:szCs w:val="24"/>
                <w:lang w:val="fr-FR"/>
              </w:rPr>
            </w:pPr>
          </w:p>
        </w:tc>
      </w:tr>
    </w:tbl>
    <w:p w14:paraId="5677E16C" w14:textId="508A583A" w:rsidR="00AF37FD" w:rsidRPr="002A1E40" w:rsidRDefault="00AF37FD" w:rsidP="00224F0B">
      <w:pPr>
        <w:spacing w:before="360" w:line="240" w:lineRule="auto"/>
        <w:jc w:val="left"/>
        <w:rPr>
          <w:szCs w:val="24"/>
          <w:lang w:val="fr-FR"/>
        </w:rPr>
      </w:pPr>
      <w:r w:rsidRPr="002A1E40">
        <w:rPr>
          <w:szCs w:val="24"/>
          <w:lang w:val="fr-FR"/>
        </w:rPr>
        <w:t>Le Groupe consultatif des radiocommunications (GCR) a tenu sa vingt-septième réunion du 25 au 27 mai 2020.</w:t>
      </w:r>
    </w:p>
    <w:p w14:paraId="500FD8A8" w14:textId="77777777" w:rsidR="00AF37FD" w:rsidRPr="002A1E40" w:rsidRDefault="00AF37FD" w:rsidP="00224F0B">
      <w:pPr>
        <w:spacing w:before="120" w:line="240" w:lineRule="auto"/>
        <w:rPr>
          <w:rFonts w:asciiTheme="minorHAnsi" w:hAnsiTheme="minorHAnsi" w:cstheme="minorHAnsi"/>
          <w:szCs w:val="24"/>
          <w:lang w:val="fr-FR"/>
        </w:rPr>
      </w:pPr>
      <w:r w:rsidRPr="002A1E40">
        <w:rPr>
          <w:rFonts w:asciiTheme="minorHAnsi" w:hAnsiTheme="minorHAnsi" w:cstheme="minorHAnsi"/>
          <w:szCs w:val="24"/>
          <w:lang w:val="fr-FR"/>
        </w:rPr>
        <w:t>Le résumé des conclusions de la réunion figure dans l'Annexe de la présente lettre.</w:t>
      </w:r>
    </w:p>
    <w:p w14:paraId="0AF77881" w14:textId="0D37594B" w:rsidR="00AF37FD" w:rsidRPr="002A1E40" w:rsidRDefault="00AF37FD" w:rsidP="00224F0B">
      <w:pPr>
        <w:spacing w:before="120" w:line="240" w:lineRule="auto"/>
        <w:jc w:val="left"/>
        <w:rPr>
          <w:rFonts w:asciiTheme="minorHAnsi" w:hAnsiTheme="minorHAnsi" w:cstheme="minorHAnsi"/>
          <w:szCs w:val="24"/>
          <w:lang w:val="fr-FR"/>
        </w:rPr>
      </w:pPr>
      <w:r w:rsidRPr="002A1E40">
        <w:rPr>
          <w:rFonts w:asciiTheme="minorHAnsi" w:hAnsiTheme="minorHAnsi"/>
          <w:szCs w:val="24"/>
          <w:lang w:val="fr-FR"/>
        </w:rPr>
        <w:t xml:space="preserve">On trouvera des renseignements complémentaires sur cette réunion sur le site web du GCR, à </w:t>
      </w:r>
      <w:proofErr w:type="gramStart"/>
      <w:r w:rsidRPr="002A1E40">
        <w:rPr>
          <w:rFonts w:asciiTheme="minorHAnsi" w:hAnsiTheme="minorHAnsi"/>
          <w:szCs w:val="24"/>
          <w:lang w:val="fr-FR"/>
        </w:rPr>
        <w:t>l'adresse:</w:t>
      </w:r>
      <w:proofErr w:type="gramEnd"/>
      <w:r w:rsidRPr="002A1E40">
        <w:rPr>
          <w:rFonts w:asciiTheme="minorHAnsi" w:hAnsiTheme="minorHAnsi"/>
          <w:szCs w:val="24"/>
          <w:lang w:val="fr-FR"/>
        </w:rPr>
        <w:t xml:space="preserve"> </w:t>
      </w:r>
      <w:hyperlink r:id="rId8" w:history="1">
        <w:r w:rsidR="00AE636E" w:rsidRPr="00AE636E">
          <w:rPr>
            <w:rStyle w:val="Hyperlink"/>
            <w:lang w:val="fr-FR"/>
          </w:rPr>
          <w:t>www.itu.int/ITU</w:t>
        </w:r>
        <w:r w:rsidR="00AE636E" w:rsidRPr="00AE636E">
          <w:rPr>
            <w:rStyle w:val="Hyperlink"/>
            <w:lang w:val="fr-FR"/>
          </w:rPr>
          <w:noBreakHyphen/>
          <w:t>R/go/RAG</w:t>
        </w:r>
      </w:hyperlink>
      <w:r w:rsidRPr="002A1E40">
        <w:rPr>
          <w:rFonts w:asciiTheme="minorHAnsi" w:hAnsiTheme="minorHAnsi"/>
          <w:szCs w:val="24"/>
          <w:lang w:val="fr-FR"/>
        </w:rPr>
        <w:t>.</w:t>
      </w:r>
    </w:p>
    <w:p w14:paraId="52D6ADAD" w14:textId="77777777" w:rsidR="00AF37FD" w:rsidRPr="002A1E40" w:rsidRDefault="00AF37FD" w:rsidP="004A6A04">
      <w:pPr>
        <w:spacing w:before="1080" w:line="240" w:lineRule="auto"/>
        <w:jc w:val="left"/>
        <w:rPr>
          <w:lang w:val="fr-FR"/>
        </w:rPr>
      </w:pPr>
      <w:r w:rsidRPr="002A1E40">
        <w:rPr>
          <w:lang w:val="fr-FR"/>
        </w:rPr>
        <w:t>Mario Maniewicz</w:t>
      </w:r>
      <w:r w:rsidRPr="002A1E40">
        <w:rPr>
          <w:lang w:val="fr-FR"/>
        </w:rPr>
        <w:br/>
        <w:t>Directeur</w:t>
      </w:r>
    </w:p>
    <w:p w14:paraId="10D1A443" w14:textId="77777777" w:rsidR="00AF37FD" w:rsidRPr="002A1E40" w:rsidRDefault="00AF37FD" w:rsidP="004A6A04">
      <w:pPr>
        <w:spacing w:before="1080" w:line="240" w:lineRule="auto"/>
        <w:rPr>
          <w:lang w:val="fr-FR"/>
        </w:rPr>
      </w:pPr>
      <w:bookmarkStart w:id="0" w:name="_GoBack"/>
      <w:proofErr w:type="gramStart"/>
      <w:r w:rsidRPr="002A1E40">
        <w:rPr>
          <w:b/>
          <w:bCs/>
          <w:lang w:val="fr-FR"/>
        </w:rPr>
        <w:t>Annexe</w:t>
      </w:r>
      <w:r w:rsidRPr="002A1E40">
        <w:rPr>
          <w:lang w:val="fr-FR"/>
        </w:rPr>
        <w:t>:</w:t>
      </w:r>
      <w:proofErr w:type="gramEnd"/>
      <w:r w:rsidRPr="002A1E40">
        <w:rPr>
          <w:lang w:val="fr-FR"/>
        </w:rPr>
        <w:t xml:space="preserve"> 1</w:t>
      </w:r>
    </w:p>
    <w:bookmarkEnd w:id="0"/>
    <w:p w14:paraId="55974CB8" w14:textId="77777777" w:rsidR="00AF37FD" w:rsidRPr="002A1E40" w:rsidRDefault="00AF37FD" w:rsidP="00224F0B">
      <w:pPr>
        <w:widowControl w:val="0"/>
        <w:tabs>
          <w:tab w:val="left" w:pos="284"/>
          <w:tab w:val="left" w:pos="568"/>
        </w:tabs>
        <w:spacing w:before="360" w:line="240" w:lineRule="auto"/>
        <w:rPr>
          <w:b/>
          <w:bCs/>
          <w:sz w:val="18"/>
          <w:szCs w:val="18"/>
          <w:lang w:val="fr-FR"/>
        </w:rPr>
      </w:pPr>
      <w:proofErr w:type="gramStart"/>
      <w:r w:rsidRPr="002A1E40">
        <w:rPr>
          <w:b/>
          <w:bCs/>
          <w:sz w:val="18"/>
          <w:szCs w:val="18"/>
          <w:lang w:val="fr-FR"/>
        </w:rPr>
        <w:t>Distribution:</w:t>
      </w:r>
      <w:proofErr w:type="gramEnd"/>
    </w:p>
    <w:p w14:paraId="28671965" w14:textId="77777777" w:rsidR="00AF37FD" w:rsidRPr="002A1E40" w:rsidRDefault="00AF37FD" w:rsidP="00224F0B">
      <w:pPr>
        <w:widowControl w:val="0"/>
        <w:tabs>
          <w:tab w:val="left" w:pos="284"/>
        </w:tabs>
        <w:spacing w:before="0" w:line="240" w:lineRule="auto"/>
        <w:ind w:left="284" w:hanging="284"/>
        <w:jc w:val="left"/>
        <w:rPr>
          <w:sz w:val="18"/>
          <w:szCs w:val="18"/>
          <w:lang w:val="fr-FR"/>
        </w:rPr>
      </w:pPr>
      <w:r w:rsidRPr="002A1E40">
        <w:rPr>
          <w:sz w:val="18"/>
          <w:szCs w:val="18"/>
          <w:lang w:val="fr-FR"/>
        </w:rPr>
        <w:t>–</w:t>
      </w:r>
      <w:r w:rsidRPr="002A1E40">
        <w:rPr>
          <w:sz w:val="18"/>
          <w:szCs w:val="18"/>
          <w:lang w:val="fr-FR"/>
        </w:rPr>
        <w:tab/>
        <w:t>Administrations des États Membres de l'UIT</w:t>
      </w:r>
    </w:p>
    <w:p w14:paraId="1645F669" w14:textId="77777777" w:rsidR="00AF37FD" w:rsidRPr="002A1E40" w:rsidRDefault="00AF37FD" w:rsidP="00224F0B">
      <w:pPr>
        <w:widowControl w:val="0"/>
        <w:tabs>
          <w:tab w:val="left" w:pos="284"/>
        </w:tabs>
        <w:spacing w:before="0" w:line="240" w:lineRule="auto"/>
        <w:ind w:left="284" w:hanging="284"/>
        <w:jc w:val="left"/>
        <w:rPr>
          <w:sz w:val="18"/>
          <w:szCs w:val="18"/>
          <w:lang w:val="fr-FR"/>
        </w:rPr>
      </w:pPr>
      <w:r w:rsidRPr="002A1E40">
        <w:rPr>
          <w:sz w:val="18"/>
          <w:szCs w:val="18"/>
          <w:lang w:val="fr-FR"/>
        </w:rPr>
        <w:t>–</w:t>
      </w:r>
      <w:r w:rsidRPr="002A1E40">
        <w:rPr>
          <w:sz w:val="18"/>
          <w:szCs w:val="18"/>
          <w:lang w:val="fr-FR"/>
        </w:rPr>
        <w:tab/>
        <w:t>Membres du Secteur des radiocommunications</w:t>
      </w:r>
    </w:p>
    <w:p w14:paraId="150ACEE6" w14:textId="3F43A4E2" w:rsidR="00AF37FD" w:rsidRPr="002A1E40" w:rsidRDefault="00AF37FD" w:rsidP="00224F0B">
      <w:pPr>
        <w:widowControl w:val="0"/>
        <w:tabs>
          <w:tab w:val="left" w:pos="284"/>
        </w:tabs>
        <w:spacing w:before="0" w:line="240" w:lineRule="auto"/>
        <w:ind w:left="284" w:hanging="284"/>
        <w:jc w:val="left"/>
        <w:rPr>
          <w:sz w:val="18"/>
          <w:szCs w:val="18"/>
          <w:lang w:val="fr-FR"/>
        </w:rPr>
      </w:pPr>
      <w:r w:rsidRPr="002A1E40">
        <w:rPr>
          <w:sz w:val="18"/>
          <w:szCs w:val="18"/>
          <w:lang w:val="fr-FR"/>
        </w:rPr>
        <w:t>–</w:t>
      </w:r>
      <w:r w:rsidRPr="002A1E40">
        <w:rPr>
          <w:sz w:val="18"/>
          <w:szCs w:val="18"/>
          <w:lang w:val="fr-FR"/>
        </w:rPr>
        <w:tab/>
        <w:t>Établissements universitaires participant aux travaux de l'UIT</w:t>
      </w:r>
    </w:p>
    <w:p w14:paraId="5AAFFC3C" w14:textId="4D0E6BB0" w:rsidR="00AF37FD" w:rsidRPr="002A1E40" w:rsidRDefault="00AF37FD" w:rsidP="00224F0B">
      <w:pPr>
        <w:widowControl w:val="0"/>
        <w:tabs>
          <w:tab w:val="left" w:pos="284"/>
        </w:tabs>
        <w:spacing w:before="0" w:line="240" w:lineRule="auto"/>
        <w:ind w:left="284" w:hanging="284"/>
        <w:jc w:val="left"/>
        <w:rPr>
          <w:sz w:val="18"/>
          <w:szCs w:val="18"/>
          <w:lang w:val="fr-FR"/>
        </w:rPr>
      </w:pPr>
      <w:r w:rsidRPr="002A1E40">
        <w:rPr>
          <w:sz w:val="18"/>
          <w:szCs w:val="18"/>
          <w:lang w:val="fr-FR"/>
        </w:rPr>
        <w:t>–</w:t>
      </w:r>
      <w:r w:rsidRPr="002A1E40">
        <w:rPr>
          <w:sz w:val="18"/>
          <w:szCs w:val="18"/>
          <w:lang w:val="fr-FR"/>
        </w:rPr>
        <w:tab/>
        <w:t xml:space="preserve">Présidents et Vice-Présidents des </w:t>
      </w:r>
      <w:r w:rsidR="00AE636E">
        <w:rPr>
          <w:sz w:val="18"/>
          <w:szCs w:val="18"/>
          <w:lang w:val="fr-FR"/>
        </w:rPr>
        <w:t>C</w:t>
      </w:r>
      <w:r w:rsidRPr="002A1E40">
        <w:rPr>
          <w:sz w:val="18"/>
          <w:szCs w:val="18"/>
          <w:lang w:val="fr-FR"/>
        </w:rPr>
        <w:t xml:space="preserve">ommissions d'études des radiocommunications </w:t>
      </w:r>
    </w:p>
    <w:p w14:paraId="2C6C69DB" w14:textId="77777777" w:rsidR="00AF37FD" w:rsidRPr="002A1E40" w:rsidRDefault="00AF37FD" w:rsidP="00224F0B">
      <w:pPr>
        <w:widowControl w:val="0"/>
        <w:tabs>
          <w:tab w:val="left" w:pos="284"/>
        </w:tabs>
        <w:spacing w:before="0" w:line="240" w:lineRule="auto"/>
        <w:ind w:left="284" w:hanging="284"/>
        <w:jc w:val="left"/>
        <w:rPr>
          <w:sz w:val="18"/>
          <w:szCs w:val="18"/>
          <w:lang w:val="fr-FR"/>
        </w:rPr>
      </w:pPr>
      <w:r w:rsidRPr="002A1E40">
        <w:rPr>
          <w:sz w:val="18"/>
          <w:szCs w:val="18"/>
          <w:lang w:val="fr-FR"/>
        </w:rPr>
        <w:t>–</w:t>
      </w:r>
      <w:r w:rsidRPr="002A1E40">
        <w:rPr>
          <w:sz w:val="18"/>
          <w:szCs w:val="18"/>
          <w:lang w:val="fr-FR"/>
        </w:rPr>
        <w:tab/>
        <w:t>Président et Vice-Présidents du Groupe consultatif des radiocommunications</w:t>
      </w:r>
    </w:p>
    <w:p w14:paraId="5625CB27" w14:textId="49A87D95" w:rsidR="00AF37FD" w:rsidRPr="002A1E40" w:rsidRDefault="00AF37FD" w:rsidP="00224F0B">
      <w:pPr>
        <w:widowControl w:val="0"/>
        <w:tabs>
          <w:tab w:val="left" w:pos="284"/>
        </w:tabs>
        <w:spacing w:before="0" w:line="240" w:lineRule="auto"/>
        <w:ind w:left="284" w:hanging="284"/>
        <w:jc w:val="left"/>
        <w:rPr>
          <w:sz w:val="18"/>
          <w:szCs w:val="18"/>
          <w:lang w:val="fr-FR"/>
        </w:rPr>
      </w:pPr>
      <w:r w:rsidRPr="002A1E40">
        <w:rPr>
          <w:sz w:val="18"/>
          <w:szCs w:val="18"/>
          <w:lang w:val="fr-FR"/>
        </w:rPr>
        <w:t>–</w:t>
      </w:r>
      <w:r w:rsidRPr="002A1E40">
        <w:rPr>
          <w:sz w:val="18"/>
          <w:szCs w:val="18"/>
          <w:lang w:val="fr-FR"/>
        </w:rPr>
        <w:tab/>
        <w:t>Président</w:t>
      </w:r>
      <w:r w:rsidR="00AE636E">
        <w:rPr>
          <w:sz w:val="18"/>
          <w:szCs w:val="18"/>
          <w:lang w:val="fr-FR"/>
        </w:rPr>
        <w:t>e</w:t>
      </w:r>
      <w:r w:rsidRPr="002A1E40">
        <w:rPr>
          <w:sz w:val="18"/>
          <w:szCs w:val="18"/>
          <w:lang w:val="fr-FR"/>
        </w:rPr>
        <w:t xml:space="preserve"> et Vice-Présidents de la Réunion de préparation à la Conférence</w:t>
      </w:r>
    </w:p>
    <w:p w14:paraId="02EF73C9" w14:textId="77777777" w:rsidR="00AF37FD" w:rsidRPr="002A1E40" w:rsidRDefault="00AF37FD" w:rsidP="00224F0B">
      <w:pPr>
        <w:widowControl w:val="0"/>
        <w:tabs>
          <w:tab w:val="left" w:pos="284"/>
        </w:tabs>
        <w:spacing w:before="0" w:line="240" w:lineRule="auto"/>
        <w:ind w:left="284" w:hanging="284"/>
        <w:jc w:val="left"/>
        <w:rPr>
          <w:sz w:val="18"/>
          <w:szCs w:val="18"/>
          <w:lang w:val="fr-FR"/>
        </w:rPr>
      </w:pPr>
      <w:r w:rsidRPr="002A1E40">
        <w:rPr>
          <w:sz w:val="18"/>
          <w:szCs w:val="18"/>
          <w:lang w:val="fr-FR"/>
        </w:rPr>
        <w:t>–</w:t>
      </w:r>
      <w:r w:rsidRPr="002A1E40">
        <w:rPr>
          <w:sz w:val="18"/>
          <w:szCs w:val="18"/>
          <w:lang w:val="fr-FR"/>
        </w:rPr>
        <w:tab/>
        <w:t>Membres du Comité du Règlement des radiocommunications (RRB)</w:t>
      </w:r>
    </w:p>
    <w:p w14:paraId="3739869D" w14:textId="77777777" w:rsidR="00AF37FD" w:rsidRPr="002A1E40" w:rsidRDefault="00AF37FD" w:rsidP="00224F0B">
      <w:pPr>
        <w:widowControl w:val="0"/>
        <w:tabs>
          <w:tab w:val="left" w:pos="284"/>
        </w:tabs>
        <w:spacing w:before="0" w:line="240" w:lineRule="auto"/>
        <w:ind w:left="284" w:hanging="284"/>
        <w:jc w:val="left"/>
        <w:rPr>
          <w:lang w:val="fr-FR"/>
        </w:rPr>
      </w:pPr>
      <w:r w:rsidRPr="002A1E40">
        <w:rPr>
          <w:sz w:val="18"/>
          <w:szCs w:val="18"/>
          <w:lang w:val="fr-FR"/>
        </w:rPr>
        <w:t>–</w:t>
      </w:r>
      <w:r w:rsidRPr="002A1E40">
        <w:rPr>
          <w:sz w:val="18"/>
          <w:szCs w:val="18"/>
          <w:lang w:val="fr-FR"/>
        </w:rPr>
        <w:tab/>
        <w:t>Secrétaire général de l'UIT, Directeur du Bureau de la normalisation des télécommunications, Directrice du Bureau de développement des télécommunications</w:t>
      </w:r>
    </w:p>
    <w:p w14:paraId="0717DB92" w14:textId="77777777" w:rsidR="00AF37FD" w:rsidRPr="002A1E40" w:rsidRDefault="00AF37FD" w:rsidP="00224F0B">
      <w:pPr>
        <w:spacing w:line="240" w:lineRule="auto"/>
        <w:rPr>
          <w:szCs w:val="24"/>
          <w:lang w:val="fr-FR"/>
        </w:rPr>
        <w:sectPr w:rsidR="00AF37FD" w:rsidRPr="002A1E40" w:rsidSect="003F2F34">
          <w:headerReference w:type="even" r:id="rId9"/>
          <w:headerReference w:type="default" r:id="rId10"/>
          <w:footerReference w:type="even" r:id="rId11"/>
          <w:footerReference w:type="default" r:id="rId12"/>
          <w:headerReference w:type="first" r:id="rId13"/>
          <w:footerReference w:type="first" r:id="rId14"/>
          <w:pgSz w:w="11907" w:h="16834" w:code="9"/>
          <w:pgMar w:top="1134" w:right="1134" w:bottom="993" w:left="1134" w:header="567" w:footer="397" w:gutter="0"/>
          <w:cols w:space="720"/>
          <w:titlePg/>
          <w:docGrid w:linePitch="326"/>
        </w:sectPr>
      </w:pPr>
    </w:p>
    <w:p w14:paraId="5F98CC30" w14:textId="77777777" w:rsidR="00AF37FD" w:rsidRPr="002A1E40" w:rsidRDefault="00AF37FD" w:rsidP="00224F0B">
      <w:pPr>
        <w:pStyle w:val="AnnexNoTitle"/>
        <w:spacing w:before="120" w:line="240" w:lineRule="auto"/>
        <w:rPr>
          <w:lang w:val="fr-FR"/>
        </w:rPr>
      </w:pPr>
      <w:r w:rsidRPr="002A1E40">
        <w:rPr>
          <w:lang w:val="fr-FR"/>
        </w:rPr>
        <w:lastRenderedPageBreak/>
        <w:t>ANNEXE</w:t>
      </w:r>
    </w:p>
    <w:p w14:paraId="03DE3F2F" w14:textId="75CCD02E" w:rsidR="00AF37FD" w:rsidRPr="00AE636E" w:rsidRDefault="00AF37FD" w:rsidP="00224F0B">
      <w:pPr>
        <w:pStyle w:val="AnnexNoTitle"/>
        <w:spacing w:before="120" w:line="240" w:lineRule="auto"/>
        <w:rPr>
          <w:b w:val="0"/>
          <w:lang w:val="fr-FR"/>
        </w:rPr>
      </w:pPr>
      <w:r w:rsidRPr="00AE636E">
        <w:rPr>
          <w:b w:val="0"/>
          <w:lang w:val="fr-FR"/>
        </w:rPr>
        <w:t xml:space="preserve">RÉSUMÉ DES CONCLUSIONS DE LA VINGT-SEPTIÈME RÉUNION DU </w:t>
      </w:r>
      <w:r w:rsidR="00AE636E" w:rsidRPr="00AE636E">
        <w:rPr>
          <w:b w:val="0"/>
          <w:lang w:val="fr-FR"/>
        </w:rPr>
        <w:br/>
      </w:r>
      <w:r w:rsidRPr="00AE636E">
        <w:rPr>
          <w:b w:val="0"/>
          <w:lang w:val="fr-FR"/>
        </w:rPr>
        <w:t>GROUPE CONSULTATIF DES RADIOCOMMUNICATIONS</w:t>
      </w:r>
    </w:p>
    <w:p w14:paraId="002A9737" w14:textId="77777777" w:rsidR="00AF37FD" w:rsidRPr="00AE636E" w:rsidRDefault="00AF37FD" w:rsidP="00224F0B">
      <w:pPr>
        <w:pStyle w:val="AnnexNoTitle"/>
        <w:spacing w:before="120" w:line="240" w:lineRule="auto"/>
        <w:rPr>
          <w:b w:val="0"/>
          <w:lang w:val="fr-FR"/>
        </w:rPr>
      </w:pPr>
      <w:r w:rsidRPr="00AE636E">
        <w:rPr>
          <w:b w:val="0"/>
          <w:lang w:val="fr-FR"/>
        </w:rPr>
        <w:t>(</w:t>
      </w:r>
      <w:proofErr w:type="gramStart"/>
      <w:r w:rsidRPr="00AE636E">
        <w:rPr>
          <w:b w:val="0"/>
          <w:lang w:val="fr-FR"/>
        </w:rPr>
        <w:t>Source:</w:t>
      </w:r>
      <w:proofErr w:type="gramEnd"/>
      <w:r w:rsidRPr="00AE636E">
        <w:rPr>
          <w:b w:val="0"/>
          <w:lang w:val="fr-FR"/>
        </w:rPr>
        <w:t xml:space="preserve"> Doc. RAG20/TEMP/3 (édité))</w:t>
      </w:r>
    </w:p>
    <w:p w14:paraId="7CF7C1BD" w14:textId="77777777" w:rsidR="00AF37FD" w:rsidRPr="002A1E40" w:rsidRDefault="00AF37FD" w:rsidP="00224F0B">
      <w:pPr>
        <w:spacing w:line="240" w:lineRule="auto"/>
        <w:rPr>
          <w:szCs w:val="24"/>
          <w:lang w:val="fr-F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996"/>
        <w:gridCol w:w="2543"/>
        <w:gridCol w:w="11158"/>
      </w:tblGrid>
      <w:tr w:rsidR="00AF37FD" w:rsidRPr="002A1E40" w14:paraId="0A42D45A" w14:textId="77777777" w:rsidTr="00974E51">
        <w:trPr>
          <w:tblHeader/>
          <w:jc w:val="center"/>
        </w:trPr>
        <w:tc>
          <w:tcPr>
            <w:tcW w:w="339" w:type="pct"/>
          </w:tcPr>
          <w:p w14:paraId="47D068AC" w14:textId="77777777" w:rsidR="00AF37FD" w:rsidRPr="002A1E40" w:rsidRDefault="00AF37FD" w:rsidP="00224F0B">
            <w:pPr>
              <w:pStyle w:val="Tablehead"/>
              <w:rPr>
                <w:lang w:val="fr-FR"/>
              </w:rPr>
            </w:pPr>
            <w:r w:rsidRPr="002A1E40">
              <w:rPr>
                <w:lang w:val="fr-FR"/>
              </w:rPr>
              <w:br w:type="page"/>
              <w:t>Point de l'ordre du jour</w:t>
            </w:r>
          </w:p>
        </w:tc>
        <w:tc>
          <w:tcPr>
            <w:tcW w:w="865" w:type="pct"/>
          </w:tcPr>
          <w:p w14:paraId="214C5DD6" w14:textId="77777777" w:rsidR="00AF37FD" w:rsidRPr="002A1E40" w:rsidRDefault="00AF37FD" w:rsidP="00224F0B">
            <w:pPr>
              <w:pStyle w:val="Tablehead"/>
              <w:rPr>
                <w:lang w:val="fr-FR"/>
              </w:rPr>
            </w:pPr>
            <w:r w:rsidRPr="002A1E40">
              <w:rPr>
                <w:lang w:val="fr-FR"/>
              </w:rPr>
              <w:t>Sujet/</w:t>
            </w:r>
            <w:r w:rsidRPr="002A1E40">
              <w:rPr>
                <w:lang w:val="fr-FR"/>
              </w:rPr>
              <w:br/>
              <w:t>Document</w:t>
            </w:r>
          </w:p>
        </w:tc>
        <w:tc>
          <w:tcPr>
            <w:tcW w:w="3796" w:type="pct"/>
          </w:tcPr>
          <w:p w14:paraId="09B89BEF" w14:textId="77777777" w:rsidR="00AF37FD" w:rsidRPr="002A1E40" w:rsidRDefault="00AF37FD" w:rsidP="00224F0B">
            <w:pPr>
              <w:pStyle w:val="Tablehead"/>
              <w:rPr>
                <w:lang w:val="fr-FR"/>
              </w:rPr>
            </w:pPr>
            <w:r w:rsidRPr="002A1E40">
              <w:rPr>
                <w:lang w:val="fr-FR"/>
              </w:rPr>
              <w:t>Conclusions</w:t>
            </w:r>
          </w:p>
        </w:tc>
      </w:tr>
      <w:tr w:rsidR="00AF37FD" w:rsidRPr="002A1E40" w14:paraId="62343105" w14:textId="77777777" w:rsidTr="00974E51">
        <w:trPr>
          <w:jc w:val="center"/>
        </w:trPr>
        <w:tc>
          <w:tcPr>
            <w:tcW w:w="339" w:type="pct"/>
          </w:tcPr>
          <w:p w14:paraId="40D940D6" w14:textId="77777777" w:rsidR="00AF37FD" w:rsidRPr="002A1E40" w:rsidRDefault="00AF37FD" w:rsidP="00224F0B">
            <w:pPr>
              <w:pStyle w:val="Tabletext"/>
              <w:jc w:val="center"/>
              <w:rPr>
                <w:lang w:val="fr-FR"/>
              </w:rPr>
            </w:pPr>
            <w:r w:rsidRPr="002A1E40">
              <w:rPr>
                <w:lang w:val="fr-FR"/>
              </w:rPr>
              <w:t>1</w:t>
            </w:r>
          </w:p>
        </w:tc>
        <w:tc>
          <w:tcPr>
            <w:tcW w:w="865" w:type="pct"/>
          </w:tcPr>
          <w:p w14:paraId="699917CC" w14:textId="77777777" w:rsidR="00AF37FD" w:rsidRPr="002A1E40" w:rsidRDefault="00AF37FD" w:rsidP="00224F0B">
            <w:pPr>
              <w:pStyle w:val="Tabletext"/>
              <w:rPr>
                <w:lang w:val="fr-FR"/>
              </w:rPr>
            </w:pPr>
            <w:r w:rsidRPr="002A1E40">
              <w:rPr>
                <w:lang w:val="fr-FR"/>
              </w:rPr>
              <w:t>Remarques liminaires</w:t>
            </w:r>
          </w:p>
        </w:tc>
        <w:tc>
          <w:tcPr>
            <w:tcW w:w="3796" w:type="pct"/>
          </w:tcPr>
          <w:p w14:paraId="3132E6F2" w14:textId="77777777" w:rsidR="00AF37FD" w:rsidRPr="002A1E40" w:rsidRDefault="00AF37FD" w:rsidP="00224F0B">
            <w:pPr>
              <w:pStyle w:val="Tabletext"/>
              <w:rPr>
                <w:lang w:val="fr-FR"/>
              </w:rPr>
            </w:pPr>
            <w:r w:rsidRPr="002A1E40">
              <w:rPr>
                <w:lang w:val="fr-FR"/>
              </w:rPr>
              <w:t>Le Président, M. Daniel Obam (Kenya), a officiellement déclaré la réunion ouverte.</w:t>
            </w:r>
          </w:p>
          <w:p w14:paraId="08D292BB" w14:textId="31E8F5FC" w:rsidR="00AF37FD" w:rsidRPr="002A1E40" w:rsidRDefault="00AF37FD" w:rsidP="00224F0B">
            <w:pPr>
              <w:pStyle w:val="Tabletext"/>
              <w:rPr>
                <w:lang w:val="fr-FR"/>
              </w:rPr>
            </w:pPr>
            <w:r w:rsidRPr="002A1E40">
              <w:rPr>
                <w:color w:val="000000"/>
                <w:lang w:val="fr-FR"/>
              </w:rPr>
              <w:t xml:space="preserve">Le Secrétaire général de l'UIT a prononcé des remarques liminaires et adressé ses sincères félicitations au Président et </w:t>
            </w:r>
            <w:r w:rsidR="00AE636E">
              <w:rPr>
                <w:color w:val="000000"/>
                <w:lang w:val="fr-FR"/>
              </w:rPr>
              <w:t>aux Vice</w:t>
            </w:r>
            <w:r w:rsidR="00AE636E">
              <w:rPr>
                <w:color w:val="000000"/>
                <w:lang w:val="fr-FR"/>
              </w:rPr>
              <w:noBreakHyphen/>
            </w:r>
            <w:r w:rsidRPr="002A1E40">
              <w:rPr>
                <w:color w:val="000000"/>
                <w:lang w:val="fr-FR"/>
              </w:rPr>
              <w:t>Présidents du GCR pour leur élection. Il a souligné que la CMR était parvenue à un grand nombre d'accords importants et s'est félicité de la D</w:t>
            </w:r>
            <w:r w:rsidR="00224F0B">
              <w:rPr>
                <w:color w:val="000000"/>
                <w:lang w:val="fr-FR"/>
              </w:rPr>
              <w:t>éclaration sur l'égalité hommes-</w:t>
            </w:r>
            <w:r w:rsidRPr="002A1E40">
              <w:rPr>
                <w:color w:val="000000"/>
                <w:lang w:val="fr-FR"/>
              </w:rPr>
              <w:t>femmes. Il a remercié l'Administration égyptienne pour sa générosité et son hospitalité. Le Secrétaire général a également insisté sur l'importance de la coopération intersectorielle entre les Bureaux et les délégués.</w:t>
            </w:r>
            <w:r w:rsidRPr="002A1E40">
              <w:rPr>
                <w:lang w:val="fr-FR"/>
              </w:rPr>
              <w:t xml:space="preserve"> </w:t>
            </w:r>
          </w:p>
          <w:p w14:paraId="1153C7FC" w14:textId="1AC40070" w:rsidR="00AF37FD" w:rsidRPr="002A1E40" w:rsidRDefault="00AF37FD" w:rsidP="00224F0B">
            <w:pPr>
              <w:pStyle w:val="Tabletext"/>
              <w:rPr>
                <w:lang w:val="fr-FR"/>
              </w:rPr>
            </w:pPr>
            <w:r w:rsidRPr="002A1E40">
              <w:rPr>
                <w:lang w:val="fr-FR"/>
              </w:rPr>
              <w:t>Le Directeur du BR a lui aussi souhaité la bienvenue aux participants à cette première réunion du GCR pendant l'actuelle période d'étude</w:t>
            </w:r>
            <w:r w:rsidR="00AE636E">
              <w:rPr>
                <w:lang w:val="fr-FR"/>
              </w:rPr>
              <w:t>s</w:t>
            </w:r>
            <w:r w:rsidRPr="002A1E40">
              <w:rPr>
                <w:lang w:val="fr-FR"/>
              </w:rPr>
              <w:t xml:space="preserve"> et a félicité les Membres d'avoir contribué à assurer le succès de la CMR-19 et de l'AR-19. Il a souligné que le BR était résolu à continuer de s'acquitter de son mandat et que les réunions de l'UIT-R continueraient d'avoir lieu de manière virtuelle </w:t>
            </w:r>
            <w:r w:rsidRPr="002A1E40">
              <w:rPr>
                <w:color w:val="000000"/>
                <w:lang w:val="fr-FR"/>
              </w:rPr>
              <w:t>pendant la pandémie.</w:t>
            </w:r>
            <w:r w:rsidRPr="002A1E40">
              <w:rPr>
                <w:lang w:val="fr-FR"/>
              </w:rPr>
              <w:t xml:space="preserve"> Le Directeur a mis l'accent sur les thèmes que </w:t>
            </w:r>
            <w:r w:rsidRPr="002A1E40">
              <w:rPr>
                <w:color w:val="000000"/>
                <w:lang w:val="fr-FR"/>
              </w:rPr>
              <w:t xml:space="preserve">le GCR a été invité à examiner par </w:t>
            </w:r>
            <w:r w:rsidRPr="002A1E40">
              <w:rPr>
                <w:lang w:val="fr-FR"/>
              </w:rPr>
              <w:t>l'AR-19 et la CMR-19.</w:t>
            </w:r>
          </w:p>
          <w:p w14:paraId="562BBCED" w14:textId="3D9FCA87" w:rsidR="00AF37FD" w:rsidRPr="002A1E40" w:rsidRDefault="00AF37FD" w:rsidP="00224F0B">
            <w:pPr>
              <w:pStyle w:val="Tabletext"/>
              <w:rPr>
                <w:lang w:val="fr-FR"/>
              </w:rPr>
            </w:pPr>
            <w:r w:rsidRPr="002A1E40">
              <w:rPr>
                <w:lang w:val="fr-FR"/>
              </w:rPr>
              <w:t xml:space="preserve">Dans ses remarques liminaires, le Président du GCR a remercié toutes les </w:t>
            </w:r>
            <w:r w:rsidR="00AE636E">
              <w:rPr>
                <w:lang w:val="fr-FR"/>
              </w:rPr>
              <w:t>A</w:t>
            </w:r>
            <w:r w:rsidRPr="002A1E40">
              <w:rPr>
                <w:lang w:val="fr-FR"/>
              </w:rPr>
              <w:t xml:space="preserve">dministrations </w:t>
            </w:r>
            <w:r w:rsidRPr="002A1E40">
              <w:rPr>
                <w:color w:val="000000"/>
                <w:lang w:val="fr-FR"/>
              </w:rPr>
              <w:t>Membres de l'UIT de la confiance qu'elles lui avai</w:t>
            </w:r>
            <w:r w:rsidR="00AE636E">
              <w:rPr>
                <w:color w:val="000000"/>
                <w:lang w:val="fr-FR"/>
              </w:rPr>
              <w:t>ent témoignée</w:t>
            </w:r>
            <w:r w:rsidRPr="002A1E40">
              <w:rPr>
                <w:color w:val="000000"/>
                <w:lang w:val="fr-FR"/>
              </w:rPr>
              <w:t xml:space="preserve"> en le reconduisant dans ses fonctions pour un deuxième mandat</w:t>
            </w:r>
            <w:r w:rsidRPr="002A1E40">
              <w:rPr>
                <w:lang w:val="fr-FR"/>
              </w:rPr>
              <w:t>. Il a assuré qu'il travaillerait avec diligence et en coopération avec tout un chacun dans l'accomplissement du mandat du GCR. En outre, il a remercié le Secrétaire général et les Directeurs des autres Bureaux d'avoir participé à la réunion. Il a exprimé sa gratitude au Directeur, au Directeur adjoint et aux fonctionnaires du BR pour les efforts qu'ils ont déployés dans la préparation de cette réunion en l</w:t>
            </w:r>
            <w:r w:rsidR="00AE636E">
              <w:rPr>
                <w:lang w:val="fr-FR"/>
              </w:rPr>
              <w:t>igne qui n'a pas de précédent.</w:t>
            </w:r>
            <w:r w:rsidRPr="002A1E40">
              <w:rPr>
                <w:lang w:val="fr-FR"/>
              </w:rPr>
              <w:t xml:space="preserve"> Il a adressé ses félicitations aux nouveaux </w:t>
            </w:r>
            <w:r w:rsidRPr="002A1E40">
              <w:rPr>
                <w:color w:val="000000"/>
                <w:lang w:val="fr-FR"/>
              </w:rPr>
              <w:t>Présiden</w:t>
            </w:r>
            <w:r w:rsidR="00AE636E">
              <w:rPr>
                <w:color w:val="000000"/>
                <w:lang w:val="fr-FR"/>
              </w:rPr>
              <w:t>ts et Vice-Présidents élus des C</w:t>
            </w:r>
            <w:r w:rsidRPr="002A1E40">
              <w:rPr>
                <w:color w:val="000000"/>
                <w:lang w:val="fr-FR"/>
              </w:rPr>
              <w:t xml:space="preserve">ommissions d'études, du </w:t>
            </w:r>
            <w:r w:rsidRPr="002A1E40">
              <w:rPr>
                <w:lang w:val="fr-FR"/>
              </w:rPr>
              <w:t xml:space="preserve">CCV et de la RPC et leur a souhaité plein succès dans leurs travaux pendant la période d'études. Il a également félicité les nouveaux </w:t>
            </w:r>
            <w:r w:rsidR="00AE636E">
              <w:rPr>
                <w:color w:val="000000"/>
                <w:lang w:val="fr-FR"/>
              </w:rPr>
              <w:t>Vice</w:t>
            </w:r>
            <w:r w:rsidR="00AE636E">
              <w:rPr>
                <w:color w:val="000000"/>
                <w:lang w:val="fr-FR"/>
              </w:rPr>
              <w:noBreakHyphen/>
            </w:r>
            <w:r w:rsidRPr="002A1E40">
              <w:rPr>
                <w:color w:val="000000"/>
                <w:lang w:val="fr-FR"/>
              </w:rPr>
              <w:t xml:space="preserve">Présidents </w:t>
            </w:r>
            <w:r w:rsidRPr="002A1E40">
              <w:rPr>
                <w:lang w:val="fr-FR"/>
              </w:rPr>
              <w:t>du GCR et leur a rendu hommage, en déclarant qu'il était impatient de travailler avec eux au cours des trois prochaines années.</w:t>
            </w:r>
          </w:p>
          <w:p w14:paraId="66FBBAA5" w14:textId="25954EED" w:rsidR="00AF37FD" w:rsidRPr="002A1E40" w:rsidRDefault="00AF37FD" w:rsidP="00224F0B">
            <w:pPr>
              <w:pStyle w:val="Tabletext"/>
              <w:rPr>
                <w:lang w:val="fr-FR"/>
              </w:rPr>
            </w:pPr>
            <w:r w:rsidRPr="002A1E40">
              <w:rPr>
                <w:lang w:val="fr-FR"/>
              </w:rPr>
              <w:t xml:space="preserve">Enfin, le Président a exprimé sa reconnaissance aux anciens secrétaires de la réunion du GCR, à savoir M. Fabio Leite, M. Mario Maniewicz et M. William Ijeh, pour leur contribution aux travaux du GCR. Il a souhaité aux délégués </w:t>
            </w:r>
            <w:r w:rsidRPr="002A1E40">
              <w:rPr>
                <w:color w:val="000000"/>
                <w:lang w:val="fr-FR"/>
              </w:rPr>
              <w:t>des débats fructueux.</w:t>
            </w:r>
          </w:p>
        </w:tc>
      </w:tr>
      <w:tr w:rsidR="00AF37FD" w:rsidRPr="00543B5D" w14:paraId="753D0333" w14:textId="77777777" w:rsidTr="00974E51">
        <w:trPr>
          <w:trHeight w:val="948"/>
          <w:jc w:val="center"/>
        </w:trPr>
        <w:tc>
          <w:tcPr>
            <w:tcW w:w="339" w:type="pct"/>
          </w:tcPr>
          <w:p w14:paraId="074967EF" w14:textId="77777777" w:rsidR="00AF37FD" w:rsidRPr="002A1E40" w:rsidDel="002A034D" w:rsidRDefault="00AF37FD" w:rsidP="00224F0B">
            <w:pPr>
              <w:pStyle w:val="Tabletext"/>
              <w:jc w:val="center"/>
              <w:rPr>
                <w:lang w:val="fr-FR"/>
              </w:rPr>
            </w:pPr>
            <w:r w:rsidRPr="002A1E40">
              <w:rPr>
                <w:lang w:val="fr-FR"/>
              </w:rPr>
              <w:t>2</w:t>
            </w:r>
          </w:p>
        </w:tc>
        <w:tc>
          <w:tcPr>
            <w:tcW w:w="865" w:type="pct"/>
          </w:tcPr>
          <w:p w14:paraId="2624EA82" w14:textId="77777777" w:rsidR="00AF37FD" w:rsidRPr="002A1E40" w:rsidRDefault="00AF37FD" w:rsidP="00224F0B">
            <w:pPr>
              <w:pStyle w:val="Tabletext"/>
              <w:rPr>
                <w:lang w:val="fr-FR"/>
              </w:rPr>
            </w:pPr>
            <w:r w:rsidRPr="002A1E40">
              <w:rPr>
                <w:lang w:val="fr-FR"/>
              </w:rPr>
              <w:t>Adoption de l'ordre du jour</w:t>
            </w:r>
          </w:p>
          <w:p w14:paraId="714536EB" w14:textId="77777777" w:rsidR="00AF37FD" w:rsidRPr="002A1E40" w:rsidRDefault="00AF37FD" w:rsidP="00224F0B">
            <w:pPr>
              <w:pStyle w:val="Tabletext"/>
              <w:rPr>
                <w:lang w:val="fr-FR"/>
              </w:rPr>
            </w:pPr>
            <w:r w:rsidRPr="002A1E40">
              <w:rPr>
                <w:i/>
                <w:lang w:val="fr-FR"/>
              </w:rPr>
              <w:t>RAG20/ADM/1</w:t>
            </w:r>
          </w:p>
        </w:tc>
        <w:tc>
          <w:tcPr>
            <w:tcW w:w="3796" w:type="pct"/>
          </w:tcPr>
          <w:p w14:paraId="0758D055" w14:textId="4898349A" w:rsidR="00AF37FD" w:rsidRPr="002A1E40" w:rsidRDefault="00AF37FD" w:rsidP="00224F0B">
            <w:pPr>
              <w:pStyle w:val="Tabletext"/>
              <w:rPr>
                <w:lang w:val="fr-FR"/>
              </w:rPr>
            </w:pPr>
            <w:r w:rsidRPr="002A1E40">
              <w:rPr>
                <w:lang w:val="fr-FR"/>
              </w:rPr>
              <w:t>Le projet d'ordre du jour (Doc. RAG20/ADM/1) a été adopté sans modification.</w:t>
            </w:r>
          </w:p>
        </w:tc>
      </w:tr>
      <w:tr w:rsidR="00AF37FD" w:rsidRPr="00543B5D" w14:paraId="02E6E32E" w14:textId="77777777" w:rsidTr="00974E51">
        <w:trPr>
          <w:jc w:val="center"/>
        </w:trPr>
        <w:tc>
          <w:tcPr>
            <w:tcW w:w="339" w:type="pct"/>
          </w:tcPr>
          <w:p w14:paraId="40B0AFD1" w14:textId="77777777" w:rsidR="00AF37FD" w:rsidRPr="002A1E40" w:rsidRDefault="00AF37FD" w:rsidP="00224F0B">
            <w:pPr>
              <w:pStyle w:val="Tabletext"/>
              <w:jc w:val="center"/>
              <w:rPr>
                <w:lang w:val="fr-FR"/>
              </w:rPr>
            </w:pPr>
            <w:r w:rsidRPr="002A1E40">
              <w:rPr>
                <w:lang w:val="fr-FR"/>
              </w:rPr>
              <w:t>3</w:t>
            </w:r>
          </w:p>
        </w:tc>
        <w:tc>
          <w:tcPr>
            <w:tcW w:w="865" w:type="pct"/>
          </w:tcPr>
          <w:p w14:paraId="5555BB2B" w14:textId="19F144E6" w:rsidR="00AF37FD" w:rsidRPr="002A1E40" w:rsidRDefault="00AF37FD" w:rsidP="00224F0B">
            <w:pPr>
              <w:pStyle w:val="Tabletext"/>
              <w:rPr>
                <w:lang w:val="fr-FR"/>
              </w:rPr>
            </w:pPr>
            <w:r w:rsidRPr="002A1E40">
              <w:rPr>
                <w:color w:val="000000"/>
                <w:lang w:val="fr-FR"/>
              </w:rPr>
              <w:t xml:space="preserve">Questions relatives au Conseil </w:t>
            </w:r>
            <w:r w:rsidR="00974E51">
              <w:rPr>
                <w:i/>
                <w:iCs/>
                <w:lang w:val="fr-FR"/>
              </w:rPr>
              <w:t>RAG20/1(Rév.1) (§ 2 et </w:t>
            </w:r>
            <w:r w:rsidRPr="002A1E40">
              <w:rPr>
                <w:i/>
                <w:iCs/>
                <w:lang w:val="fr-FR"/>
              </w:rPr>
              <w:t>§ 3.2.3)</w:t>
            </w:r>
          </w:p>
        </w:tc>
        <w:tc>
          <w:tcPr>
            <w:tcW w:w="3796" w:type="pct"/>
          </w:tcPr>
          <w:p w14:paraId="54FA3D15" w14:textId="476F1089" w:rsidR="00AF37FD" w:rsidRPr="002A1E40" w:rsidRDefault="00AF37FD" w:rsidP="00224F0B">
            <w:pPr>
              <w:pStyle w:val="Tabletext"/>
              <w:rPr>
                <w:lang w:val="fr-FR"/>
              </w:rPr>
            </w:pPr>
            <w:r w:rsidRPr="002A1E40">
              <w:rPr>
                <w:lang w:val="fr-FR"/>
              </w:rPr>
              <w:t xml:space="preserve">Le GCR a pris note des renseignements fournis concernant </w:t>
            </w:r>
            <w:r w:rsidRPr="002A1E40">
              <w:rPr>
                <w:color w:val="000000"/>
                <w:lang w:val="fr-FR"/>
              </w:rPr>
              <w:t>le recouvrement des coûts pour le traitement des fiches de notification de réseaux à satellite</w:t>
            </w:r>
            <w:r w:rsidRPr="002A1E40">
              <w:rPr>
                <w:lang w:val="fr-FR"/>
              </w:rPr>
              <w:t>.</w:t>
            </w:r>
          </w:p>
          <w:p w14:paraId="1F062E04" w14:textId="3B33A5DE" w:rsidR="00AF37FD" w:rsidRPr="002A1E40" w:rsidRDefault="00AF37FD" w:rsidP="00224F0B">
            <w:pPr>
              <w:pStyle w:val="Tabletext"/>
              <w:rPr>
                <w:lang w:val="fr-FR"/>
              </w:rPr>
            </w:pPr>
            <w:r w:rsidRPr="002A1E40">
              <w:rPr>
                <w:lang w:val="fr-FR"/>
              </w:rPr>
              <w:lastRenderedPageBreak/>
              <w:t xml:space="preserve">Le GCR a pris note des informations relatives aux incidences financières des décisions de la CMR-19 et a reconnu qu'il était important que le BR dispose de </w:t>
            </w:r>
            <w:r w:rsidRPr="002A1E40">
              <w:rPr>
                <w:color w:val="000000"/>
                <w:lang w:val="fr-FR"/>
              </w:rPr>
              <w:t>ressources financières suffisantes</w:t>
            </w:r>
            <w:r w:rsidRPr="002A1E40">
              <w:rPr>
                <w:lang w:val="fr-FR"/>
              </w:rPr>
              <w:t xml:space="preserve"> pour mettre en œuvre les décisions de la CMR-19 pendant l'intégralité de la période d'études.</w:t>
            </w:r>
          </w:p>
          <w:p w14:paraId="4B200BB2" w14:textId="3B089A3D" w:rsidR="00AF37FD" w:rsidRPr="002A1E40" w:rsidRDefault="00D17387" w:rsidP="00224F0B">
            <w:pPr>
              <w:pStyle w:val="Tabletext"/>
              <w:rPr>
                <w:lang w:val="fr-FR"/>
              </w:rPr>
            </w:pPr>
            <w:r>
              <w:rPr>
                <w:lang w:val="fr-FR"/>
              </w:rPr>
              <w:t>E</w:t>
            </w:r>
            <w:r w:rsidR="00AF37FD" w:rsidRPr="002A1E40">
              <w:rPr>
                <w:lang w:val="fr-FR"/>
              </w:rPr>
              <w:t>n outre, le GCR a relevé que le Règlement financier ne permet pas au BR d'utiliser son budget annuel pour des projets qui se prolongent au-delà de la fin de l'année, c'est-à-dire les types de projets entrepris en application des décisions de la CMR-19, il est donc important que le Conseil affecte des fonds susceptibles d'être utilisés par le BR à cette fin, qui peuvent être prélevés sur les économies annuelles existantes.</w:t>
            </w:r>
          </w:p>
          <w:p w14:paraId="2FE0F4F3" w14:textId="156FB1BF" w:rsidR="00AF37FD" w:rsidRPr="002A1E40" w:rsidRDefault="00AF37FD" w:rsidP="00224F0B">
            <w:pPr>
              <w:pStyle w:val="Tabletext"/>
              <w:rPr>
                <w:lang w:val="fr-FR"/>
              </w:rPr>
            </w:pPr>
            <w:r w:rsidRPr="002A1E40">
              <w:rPr>
                <w:lang w:val="fr-FR"/>
              </w:rPr>
              <w:t>Le GCR a également reconnu que les estimations faites par la CMR-19 reposaient sur les meilleures informations disponibles au moment de la conférence. Le GCR a également noté que les économies susceptibles d'être réalisées par suite de la mise en œuvre effective de ces décisions seraient reversées au budget de l'UIT.</w:t>
            </w:r>
          </w:p>
          <w:p w14:paraId="6421E1F8" w14:textId="7902A4F4" w:rsidR="00AF37FD" w:rsidRPr="002A1E40" w:rsidRDefault="00AF37FD" w:rsidP="00224F0B">
            <w:pPr>
              <w:pStyle w:val="Tabletext"/>
              <w:rPr>
                <w:lang w:val="fr-FR"/>
              </w:rPr>
            </w:pPr>
            <w:r w:rsidRPr="002A1E40">
              <w:rPr>
                <w:lang w:val="fr-FR"/>
              </w:rPr>
              <w:t>Le représentant des États-Unis d'Amérique a émis une réserve concernant les incidences financières de la CMR-19 qui ont été soumises au Conseil.</w:t>
            </w:r>
          </w:p>
        </w:tc>
      </w:tr>
      <w:tr w:rsidR="00AF37FD" w:rsidRPr="00543B5D" w14:paraId="558A3829" w14:textId="77777777" w:rsidTr="00974E51">
        <w:trPr>
          <w:jc w:val="center"/>
        </w:trPr>
        <w:tc>
          <w:tcPr>
            <w:tcW w:w="339" w:type="pct"/>
          </w:tcPr>
          <w:p w14:paraId="6EA60764" w14:textId="77777777" w:rsidR="00AF37FD" w:rsidRPr="002A1E40" w:rsidRDefault="00AF37FD" w:rsidP="00224F0B">
            <w:pPr>
              <w:pStyle w:val="Tabletext"/>
              <w:jc w:val="center"/>
              <w:rPr>
                <w:lang w:val="fr-FR"/>
              </w:rPr>
            </w:pPr>
            <w:r w:rsidRPr="002A1E40">
              <w:rPr>
                <w:lang w:val="fr-FR"/>
              </w:rPr>
              <w:lastRenderedPageBreak/>
              <w:t>4</w:t>
            </w:r>
          </w:p>
        </w:tc>
        <w:tc>
          <w:tcPr>
            <w:tcW w:w="865" w:type="pct"/>
          </w:tcPr>
          <w:p w14:paraId="7276838F" w14:textId="26B05CBC" w:rsidR="00AF37FD" w:rsidRPr="002A1E40" w:rsidRDefault="00AF37FD" w:rsidP="00224F0B">
            <w:pPr>
              <w:pStyle w:val="Tabletext"/>
              <w:rPr>
                <w:lang w:val="fr-FR"/>
              </w:rPr>
            </w:pPr>
            <w:r w:rsidRPr="002A1E40">
              <w:rPr>
                <w:lang w:val="fr-FR"/>
              </w:rPr>
              <w:t xml:space="preserve">Résultats de l'AR-19 </w:t>
            </w:r>
            <w:r w:rsidR="00D17387">
              <w:rPr>
                <w:lang w:val="fr-FR"/>
              </w:rPr>
              <w:t>et de la </w:t>
            </w:r>
            <w:r w:rsidRPr="002A1E40">
              <w:rPr>
                <w:lang w:val="fr-FR"/>
              </w:rPr>
              <w:t xml:space="preserve">CMR-19 </w:t>
            </w:r>
            <w:r w:rsidR="00974E51">
              <w:rPr>
                <w:color w:val="000000"/>
                <w:lang w:val="fr-FR"/>
              </w:rPr>
              <w:t>et mesures prises en </w:t>
            </w:r>
            <w:r w:rsidRPr="002A1E40">
              <w:rPr>
                <w:color w:val="000000"/>
                <w:lang w:val="fr-FR"/>
              </w:rPr>
              <w:t>conséquence</w:t>
            </w:r>
          </w:p>
          <w:p w14:paraId="47A1FC03" w14:textId="3DEDFBBC" w:rsidR="00AF37FD" w:rsidRPr="002A1E40" w:rsidRDefault="00AF37FD" w:rsidP="00224F0B">
            <w:pPr>
              <w:pStyle w:val="Tabletext"/>
              <w:rPr>
                <w:lang w:val="fr-FR"/>
              </w:rPr>
            </w:pPr>
            <w:r w:rsidRPr="002A1E40">
              <w:rPr>
                <w:i/>
                <w:iCs/>
                <w:lang w:val="fr-FR"/>
              </w:rPr>
              <w:t>RAG20/1(Rév.1) (§ 3), 7, 11, 13, 15, 16, 19, 21</w:t>
            </w:r>
          </w:p>
        </w:tc>
        <w:tc>
          <w:tcPr>
            <w:tcW w:w="3796" w:type="pct"/>
          </w:tcPr>
          <w:p w14:paraId="2C4DCAB2" w14:textId="006536C3" w:rsidR="00AF37FD" w:rsidRPr="002A1E40" w:rsidRDefault="00AF37FD" w:rsidP="00224F0B">
            <w:pPr>
              <w:pStyle w:val="Tabletext"/>
              <w:rPr>
                <w:lang w:val="fr-FR"/>
              </w:rPr>
            </w:pPr>
            <w:r w:rsidRPr="002A1E40">
              <w:rPr>
                <w:lang w:val="fr-FR"/>
              </w:rPr>
              <w:t>Le GCR a pris note des renseignements figurant dans le rapport du Directeur sur les résultats de l'Assemblée des radiocommunications de 2019 (AR-19).</w:t>
            </w:r>
          </w:p>
          <w:p w14:paraId="3F65CCB4" w14:textId="47E6E8F4" w:rsidR="00AF37FD" w:rsidRPr="002A1E40" w:rsidRDefault="00AF37FD" w:rsidP="00224F0B">
            <w:pPr>
              <w:pStyle w:val="Tabletext"/>
              <w:rPr>
                <w:lang w:val="fr-FR"/>
              </w:rPr>
            </w:pPr>
            <w:r w:rsidRPr="002A1E40">
              <w:rPr>
                <w:lang w:val="fr-FR"/>
              </w:rPr>
              <w:t xml:space="preserve">Le GCR a examiné le </w:t>
            </w:r>
            <w:r w:rsidR="00974E51">
              <w:rPr>
                <w:lang w:val="fr-FR"/>
              </w:rPr>
              <w:t>D</w:t>
            </w:r>
            <w:r w:rsidRPr="002A1E40">
              <w:rPr>
                <w:lang w:val="fr-FR"/>
              </w:rPr>
              <w:t>ocument RAG20/7 soumis par l'Iran (République islamique d') et a pris note des propositions qui y figurent. Le Bureau a informé les délégués qu'à la suite de la décision prise par le Comité du Règlement des radiocommunications (RRB) à sa 68ème réunion, un recueil des</w:t>
            </w:r>
            <w:r w:rsidRPr="002A1E40">
              <w:rPr>
                <w:color w:val="000000"/>
                <w:lang w:val="fr-FR"/>
              </w:rPr>
              <w:t xml:space="preserve"> décisions</w:t>
            </w:r>
            <w:r w:rsidRPr="002A1E40">
              <w:rPr>
                <w:lang w:val="fr-FR"/>
              </w:rPr>
              <w:t xml:space="preserve"> («</w:t>
            </w:r>
            <w:hyperlink r:id="rId15" w:history="1">
              <w:r w:rsidRPr="002A1E40">
                <w:rPr>
                  <w:rStyle w:val="Hyperlink"/>
                  <w:lang w:val="fr-FR"/>
                </w:rPr>
                <w:t>Décisions des CMR précédentes concernant l'application du Règlement des radiocommunications</w:t>
              </w:r>
            </w:hyperlink>
            <w:r w:rsidRPr="002A1E40">
              <w:rPr>
                <w:lang w:val="fr-FR"/>
              </w:rPr>
              <w:t xml:space="preserve">») </w:t>
            </w:r>
            <w:r w:rsidRPr="002A1E40">
              <w:rPr>
                <w:color w:val="000000"/>
                <w:lang w:val="fr-FR"/>
              </w:rPr>
              <w:t xml:space="preserve">consignées dans les procès-verbaux des séances plénières de la </w:t>
            </w:r>
            <w:r w:rsidRPr="002A1E40">
              <w:rPr>
                <w:lang w:val="fr-FR"/>
              </w:rPr>
              <w:t>CMR</w:t>
            </w:r>
            <w:r w:rsidR="00974E51">
              <w:rPr>
                <w:lang w:val="fr-FR"/>
              </w:rPr>
              <w:t>-95 à la CMR-12 qui ne figurent </w:t>
            </w:r>
            <w:r w:rsidRPr="002A1E40">
              <w:rPr>
                <w:lang w:val="fr-FR"/>
              </w:rPr>
              <w:t xml:space="preserve">pas dans les Actes finals de ces conférences est accessible sur le </w:t>
            </w:r>
            <w:hyperlink r:id="rId16" w:history="1">
              <w:r w:rsidRPr="002A1E40">
                <w:rPr>
                  <w:rStyle w:val="Hyperlink"/>
                  <w:lang w:val="fr-FR"/>
                </w:rPr>
                <w:t>site web</w:t>
              </w:r>
            </w:hyperlink>
            <w:r w:rsidRPr="002A1E40">
              <w:rPr>
                <w:lang w:val="fr-FR"/>
              </w:rPr>
              <w:t xml:space="preserve"> du RRB sous l'onglet «</w:t>
            </w:r>
            <w:r w:rsidRPr="002A1E40">
              <w:rPr>
                <w:color w:val="000000"/>
                <w:lang w:val="fr-FR"/>
              </w:rPr>
              <w:t>Thèmes particuliers». À</w:t>
            </w:r>
            <w:r w:rsidR="00974E51">
              <w:rPr>
                <w:lang w:val="fr-FR"/>
              </w:rPr>
              <w:t> </w:t>
            </w:r>
            <w:r w:rsidRPr="002A1E40">
              <w:rPr>
                <w:lang w:val="fr-FR"/>
              </w:rPr>
              <w:t xml:space="preserve">sa 74ème réunion, le Comité a décidé de publier ces décisions </w:t>
            </w:r>
            <w:r w:rsidRPr="002A1E40">
              <w:rPr>
                <w:color w:val="000000"/>
                <w:lang w:val="fr-FR"/>
              </w:rPr>
              <w:t xml:space="preserve">consignées </w:t>
            </w:r>
            <w:r w:rsidRPr="002A1E40">
              <w:rPr>
                <w:lang w:val="fr-FR"/>
              </w:rPr>
              <w:t xml:space="preserve">dans les </w:t>
            </w:r>
            <w:r w:rsidRPr="002A1E40">
              <w:rPr>
                <w:color w:val="000000"/>
                <w:lang w:val="fr-FR"/>
              </w:rPr>
              <w:t>procès-verbaux des séances plénières de la</w:t>
            </w:r>
            <w:r w:rsidR="00974E51">
              <w:rPr>
                <w:lang w:val="fr-FR"/>
              </w:rPr>
              <w:t> </w:t>
            </w:r>
            <w:r w:rsidRPr="002A1E40">
              <w:rPr>
                <w:lang w:val="fr-FR"/>
              </w:rPr>
              <w:t>CMR</w:t>
            </w:r>
            <w:r w:rsidRPr="002A1E40">
              <w:rPr>
                <w:lang w:val="fr-FR"/>
              </w:rPr>
              <w:noBreakHyphen/>
              <w:t xml:space="preserve">15 qui ne figurent pas dans les Actes finals de cette conférence et ont </w:t>
            </w:r>
            <w:r w:rsidRPr="002A1E40">
              <w:rPr>
                <w:color w:val="000000"/>
                <w:lang w:val="fr-FR"/>
              </w:rPr>
              <w:t xml:space="preserve">des incidences sur les Règles de procédure ou le Règlement des radiocommunications </w:t>
            </w:r>
            <w:r w:rsidRPr="002A1E40">
              <w:rPr>
                <w:lang w:val="fr-FR"/>
              </w:rPr>
              <w:t>sous la forme de</w:t>
            </w:r>
            <w:proofErr w:type="gramStart"/>
            <w:r w:rsidRPr="002A1E40">
              <w:rPr>
                <w:lang w:val="fr-FR"/>
              </w:rPr>
              <w:t xml:space="preserve"> «Notes</w:t>
            </w:r>
            <w:proofErr w:type="gramEnd"/>
            <w:r w:rsidRPr="002A1E40">
              <w:rPr>
                <w:lang w:val="fr-FR"/>
              </w:rPr>
              <w:t xml:space="preserve">» dans l'édition de 2017 des </w:t>
            </w:r>
            <w:r w:rsidRPr="002A1E40">
              <w:rPr>
                <w:color w:val="000000"/>
                <w:lang w:val="fr-FR"/>
              </w:rPr>
              <w:t xml:space="preserve">Règles de procédure. En outre, les participants ont été informés que la Lettre circulaire </w:t>
            </w:r>
            <w:hyperlink r:id="rId17">
              <w:r w:rsidRPr="002A1E40">
                <w:rPr>
                  <w:rStyle w:val="Hyperlink"/>
                  <w:lang w:val="fr-FR"/>
                </w:rPr>
                <w:t>CR/456</w:t>
              </w:r>
            </w:hyperlink>
            <w:r w:rsidRPr="002A1E40">
              <w:rPr>
                <w:lang w:val="fr-FR"/>
              </w:rPr>
              <w:t xml:space="preserve"> contient un tableau indiquant la (les) décision(s) de la CMR 19 consignée(s) dans les procès-verbaux des séances plénières de cette conférence et que ce </w:t>
            </w:r>
            <w:hyperlink r:id="rId18" w:history="1">
              <w:r w:rsidRPr="002A1E40">
                <w:rPr>
                  <w:rStyle w:val="Hyperlink"/>
                  <w:lang w:val="fr-FR"/>
                </w:rPr>
                <w:t>tableau</w:t>
              </w:r>
            </w:hyperlink>
            <w:r w:rsidRPr="002A1E40">
              <w:rPr>
                <w:lang w:val="fr-FR"/>
              </w:rPr>
              <w:t xml:space="preserve"> a été publié sur le site web du RRB.</w:t>
            </w:r>
          </w:p>
          <w:p w14:paraId="06B2E1BA" w14:textId="1CD308BF" w:rsidR="00AF37FD" w:rsidRPr="002A1E40" w:rsidRDefault="00AF37FD" w:rsidP="00224F0B">
            <w:pPr>
              <w:pStyle w:val="Tabletext"/>
              <w:rPr>
                <w:lang w:val="fr-FR"/>
              </w:rPr>
            </w:pPr>
            <w:r w:rsidRPr="002A1E40">
              <w:rPr>
                <w:lang w:val="fr-FR"/>
              </w:rPr>
              <w:t xml:space="preserve">Compte tenu des débats, il a été convenu que ces informations, qui figurent actuellement sur le site web du RRB, seraient affichées </w:t>
            </w:r>
            <w:r w:rsidRPr="002A1E40">
              <w:rPr>
                <w:color w:val="000000"/>
                <w:lang w:val="fr-FR"/>
              </w:rPr>
              <w:t xml:space="preserve">de façon plus visible sur </w:t>
            </w:r>
            <w:r w:rsidRPr="002A1E40">
              <w:rPr>
                <w:lang w:val="fr-FR"/>
              </w:rPr>
              <w:t>le site web de l'UIT-R, afin de faciliter l'accès des membres.</w:t>
            </w:r>
          </w:p>
          <w:p w14:paraId="178A52E5" w14:textId="767DF85B" w:rsidR="00AF37FD" w:rsidRPr="002A1E40" w:rsidRDefault="00AF37FD" w:rsidP="00224F0B">
            <w:pPr>
              <w:pStyle w:val="Tabletext"/>
              <w:rPr>
                <w:lang w:val="fr-FR"/>
              </w:rPr>
            </w:pPr>
            <w:r w:rsidRPr="002A1E40">
              <w:rPr>
                <w:lang w:val="fr-FR"/>
              </w:rPr>
              <w:t xml:space="preserve">Le GCR a examiné le </w:t>
            </w:r>
            <w:r w:rsidR="00974E51">
              <w:rPr>
                <w:lang w:val="fr-FR"/>
              </w:rPr>
              <w:t>D</w:t>
            </w:r>
            <w:r w:rsidRPr="002A1E40">
              <w:rPr>
                <w:lang w:val="fr-FR"/>
              </w:rPr>
              <w:t xml:space="preserve">ocument RAG20/11 soumis par l'Iran (République islamique d') et la proposition visant à </w:t>
            </w:r>
            <w:r w:rsidRPr="002A1E40">
              <w:rPr>
                <w:color w:val="000000"/>
                <w:lang w:val="fr-FR"/>
              </w:rPr>
              <w:t>classer par catégorie les</w:t>
            </w:r>
            <w:r w:rsidRPr="002A1E40">
              <w:rPr>
                <w:lang w:val="fr-FR"/>
              </w:rPr>
              <w:t xml:space="preserve"> Résolutions, nouvelles ou révisées, adoptées par les CMR précédentes et à prendre des mesures en conséquence. L'objectif du Document 11 est d'établir un document de synthèse reprenant toutes les Résolutions en vigueur des CMR précédentes, du point de vue de la responsabilité et du mandat du Bureau, en tenant compte du classement par catégorie présenté dans le Document 11, de mettre à disposition ce document ou de le poster sur le site web du GCR et du Bureau, et de le publier dans une lettre circulaire à l'intention des membres.</w:t>
            </w:r>
          </w:p>
          <w:p w14:paraId="309AE91E" w14:textId="61435C35" w:rsidR="00AF37FD" w:rsidRPr="002A1E40" w:rsidRDefault="00AF37FD" w:rsidP="00224F0B">
            <w:pPr>
              <w:pStyle w:val="Tabletext"/>
              <w:rPr>
                <w:lang w:val="fr-FR"/>
              </w:rPr>
            </w:pPr>
            <w:r w:rsidRPr="002A1E40">
              <w:rPr>
                <w:lang w:val="fr-FR"/>
              </w:rPr>
              <w:lastRenderedPageBreak/>
              <w:t xml:space="preserve">Le Bureau a informé les délégués que cette proposition était en partie mise en œuvre dans le </w:t>
            </w:r>
            <w:r w:rsidR="004D502E" w:rsidRPr="002A1E40">
              <w:rPr>
                <w:lang w:val="fr-FR"/>
              </w:rPr>
              <w:t>D</w:t>
            </w:r>
            <w:r w:rsidRPr="002A1E40">
              <w:rPr>
                <w:lang w:val="fr-FR"/>
              </w:rPr>
              <w:t xml:space="preserve">ocument 1 de chaque commission d'études. Les autres éléments repris dans la proposition seront regroupés dans un document distinct unique. Un rapport sur les autres mesures à prendre sera présenté au </w:t>
            </w:r>
            <w:r w:rsidRPr="002A1E40">
              <w:rPr>
                <w:color w:val="000000"/>
                <w:lang w:val="fr-FR"/>
              </w:rPr>
              <w:t>GCR à sa réunion de 2021</w:t>
            </w:r>
            <w:r w:rsidRPr="002A1E40">
              <w:rPr>
                <w:lang w:val="fr-FR"/>
              </w:rPr>
              <w:t>.</w:t>
            </w:r>
          </w:p>
          <w:p w14:paraId="41EDFA24" w14:textId="43FFD349" w:rsidR="00AF37FD" w:rsidRPr="002A1E40" w:rsidRDefault="00974E51" w:rsidP="00224F0B">
            <w:pPr>
              <w:pStyle w:val="Tabletext"/>
              <w:rPr>
                <w:lang w:val="fr-FR"/>
              </w:rPr>
            </w:pPr>
            <w:r>
              <w:rPr>
                <w:lang w:val="fr-FR"/>
              </w:rPr>
              <w:t>Après avoir examiné les D</w:t>
            </w:r>
            <w:r w:rsidR="00AF37FD" w:rsidRPr="002A1E40">
              <w:rPr>
                <w:lang w:val="fr-FR"/>
              </w:rPr>
              <w:t>ocuments RAG20/13, 15, 16 et 19, qui traitent des instructions d</w:t>
            </w:r>
            <w:r>
              <w:rPr>
                <w:lang w:val="fr-FR"/>
              </w:rPr>
              <w:t>onnées au GCR par l'AR-19 et la </w:t>
            </w:r>
            <w:r w:rsidR="00AF37FD" w:rsidRPr="002A1E40">
              <w:rPr>
                <w:lang w:val="fr-FR"/>
              </w:rPr>
              <w:t>CMR</w:t>
            </w:r>
            <w:r w:rsidR="004D502E" w:rsidRPr="002A1E40">
              <w:rPr>
                <w:lang w:val="fr-FR"/>
              </w:rPr>
              <w:noBreakHyphen/>
            </w:r>
            <w:r w:rsidR="00461BA1">
              <w:rPr>
                <w:lang w:val="fr-FR"/>
              </w:rPr>
              <w:t>19, le </w:t>
            </w:r>
            <w:r w:rsidR="00AF37FD" w:rsidRPr="002A1E40">
              <w:rPr>
                <w:lang w:val="fr-FR"/>
              </w:rPr>
              <w:t xml:space="preserve">GCR est parvenu aux conclusions </w:t>
            </w:r>
            <w:proofErr w:type="gramStart"/>
            <w:r w:rsidR="00AF37FD" w:rsidRPr="002A1E40">
              <w:rPr>
                <w:lang w:val="fr-FR"/>
              </w:rPr>
              <w:t>suivantes:</w:t>
            </w:r>
            <w:proofErr w:type="gramEnd"/>
          </w:p>
          <w:p w14:paraId="61A2138A" w14:textId="61363150" w:rsidR="00AF37FD" w:rsidRPr="002A1E40" w:rsidRDefault="00AF37FD" w:rsidP="00224F0B">
            <w:pPr>
              <w:pStyle w:val="Tabletext"/>
              <w:ind w:left="284" w:hanging="284"/>
              <w:rPr>
                <w:lang w:val="fr-FR"/>
              </w:rPr>
            </w:pPr>
            <w:r w:rsidRPr="002A1E40">
              <w:rPr>
                <w:lang w:val="fr-FR"/>
              </w:rPr>
              <w:t>•</w:t>
            </w:r>
            <w:r w:rsidRPr="002A1E40">
              <w:rPr>
                <w:lang w:val="fr-FR"/>
              </w:rPr>
              <w:tab/>
            </w:r>
            <w:r w:rsidR="004D502E" w:rsidRPr="002A1E40">
              <w:rPr>
                <w:lang w:val="fr-FR"/>
              </w:rPr>
              <w:t>I</w:t>
            </w:r>
            <w:r w:rsidR="00974E51">
              <w:rPr>
                <w:lang w:val="fr-FR"/>
              </w:rPr>
              <w:t>l convient de créer un G</w:t>
            </w:r>
            <w:r w:rsidRPr="002A1E40">
              <w:rPr>
                <w:lang w:val="fr-FR"/>
              </w:rPr>
              <w:t>roupe de travail par correspondance du GCR</w:t>
            </w:r>
            <w:r w:rsidRPr="002A1E40">
              <w:rPr>
                <w:color w:val="000000"/>
                <w:lang w:val="fr-FR"/>
              </w:rPr>
              <w:t xml:space="preserve"> sur l'égalité femmes/hommes, dont le mandat est présenté dans l'</w:t>
            </w:r>
            <w:r w:rsidR="004D502E" w:rsidRPr="002A1E40">
              <w:rPr>
                <w:color w:val="000000"/>
                <w:lang w:val="fr-FR"/>
              </w:rPr>
              <w:t>A</w:t>
            </w:r>
            <w:r w:rsidRPr="002A1E40">
              <w:rPr>
                <w:color w:val="000000"/>
                <w:lang w:val="fr-FR"/>
              </w:rPr>
              <w:t>nnexe 1</w:t>
            </w:r>
            <w:r w:rsidR="004D502E" w:rsidRPr="002A1E40">
              <w:rPr>
                <w:color w:val="000000"/>
                <w:lang w:val="fr-FR"/>
              </w:rPr>
              <w:t>.</w:t>
            </w:r>
          </w:p>
          <w:p w14:paraId="21D47485" w14:textId="36FAF8ED" w:rsidR="00AF37FD" w:rsidRPr="002A1E40" w:rsidRDefault="00974E51" w:rsidP="00224F0B">
            <w:pPr>
              <w:pStyle w:val="Tabletext"/>
              <w:ind w:left="284" w:hanging="284"/>
              <w:rPr>
                <w:lang w:val="fr-FR"/>
              </w:rPr>
            </w:pPr>
            <w:r>
              <w:rPr>
                <w:lang w:val="fr-FR"/>
              </w:rPr>
              <w:t>•</w:t>
            </w:r>
            <w:r>
              <w:rPr>
                <w:lang w:val="fr-FR"/>
              </w:rPr>
              <w:tab/>
              <w:t>L</w:t>
            </w:r>
            <w:r w:rsidR="00AF37FD" w:rsidRPr="002A1E40">
              <w:rPr>
                <w:lang w:val="fr-FR"/>
              </w:rPr>
              <w:t>e GCR envisagera la possibilité, à sa réuni</w:t>
            </w:r>
            <w:r>
              <w:rPr>
                <w:lang w:val="fr-FR"/>
              </w:rPr>
              <w:t>on de 2021, de créer un second G</w:t>
            </w:r>
            <w:r w:rsidR="00AF37FD" w:rsidRPr="002A1E40">
              <w:rPr>
                <w:lang w:val="fr-FR"/>
              </w:rPr>
              <w:t xml:space="preserve">roupe de travail par correspondance, qui sera chargé d'étudier a) </w:t>
            </w:r>
            <w:r w:rsidR="00AF37FD" w:rsidRPr="002A1E40">
              <w:rPr>
                <w:color w:val="000000"/>
                <w:lang w:val="fr-FR"/>
              </w:rPr>
              <w:t>la durée maximale du mandat des Présidents des groupes de travail de l'</w:t>
            </w:r>
            <w:r w:rsidR="00AF37FD" w:rsidRPr="002A1E40">
              <w:rPr>
                <w:lang w:val="fr-FR"/>
              </w:rPr>
              <w:t>UIT-</w:t>
            </w:r>
            <w:proofErr w:type="gramStart"/>
            <w:r w:rsidR="00AF37FD" w:rsidRPr="002A1E40">
              <w:rPr>
                <w:lang w:val="fr-FR"/>
              </w:rPr>
              <w:t>R</w:t>
            </w:r>
            <w:r>
              <w:rPr>
                <w:lang w:val="fr-FR"/>
              </w:rPr>
              <w:t>;</w:t>
            </w:r>
            <w:proofErr w:type="gramEnd"/>
            <w:r w:rsidR="00AF37FD" w:rsidRPr="002A1E40">
              <w:rPr>
                <w:lang w:val="fr-FR"/>
              </w:rPr>
              <w:t xml:space="preserve"> b) d'approuver les recommandations présentant de l'intérêt pour plusieurs commissions d'études</w:t>
            </w:r>
            <w:r>
              <w:rPr>
                <w:lang w:val="fr-FR"/>
              </w:rPr>
              <w:t>; et</w:t>
            </w:r>
            <w:r w:rsidR="00AF37FD" w:rsidRPr="002A1E40">
              <w:rPr>
                <w:lang w:val="fr-FR"/>
              </w:rPr>
              <w:t xml:space="preserve"> c) de remédier aux omissions ou aux contradictions qui pourraient être relevées dans les textes existants, conformément aux instructions de l'AR-19. Dans la perspective de ces discussions, le GCR a demandé aux administrations d'examiner le projet de mandat présenté dans l'</w:t>
            </w:r>
            <w:r w:rsidR="004D502E" w:rsidRPr="002A1E40">
              <w:rPr>
                <w:lang w:val="fr-FR"/>
              </w:rPr>
              <w:t>A</w:t>
            </w:r>
            <w:r w:rsidR="00AF37FD" w:rsidRPr="002A1E40">
              <w:rPr>
                <w:lang w:val="fr-FR"/>
              </w:rPr>
              <w:t>nnexe</w:t>
            </w:r>
            <w:r w:rsidR="004D502E" w:rsidRPr="002A1E40">
              <w:rPr>
                <w:lang w:val="fr-FR"/>
              </w:rPr>
              <w:t> </w:t>
            </w:r>
            <w:r w:rsidR="00AF37FD" w:rsidRPr="002A1E40">
              <w:rPr>
                <w:lang w:val="fr-FR"/>
              </w:rPr>
              <w:t xml:space="preserve">2 et de lui apporter de nouvelles améliorations, le cas échéant. Cette question fera </w:t>
            </w:r>
            <w:r w:rsidR="00AF37FD" w:rsidRPr="002A1E40">
              <w:rPr>
                <w:color w:val="000000"/>
                <w:lang w:val="fr-FR"/>
              </w:rPr>
              <w:t>l'objet d'un examen plus approfondi et d'une décision lors de la réunion</w:t>
            </w:r>
            <w:r w:rsidR="00AF37FD" w:rsidRPr="002A1E40">
              <w:rPr>
                <w:lang w:val="fr-FR"/>
              </w:rPr>
              <w:t xml:space="preserve"> </w:t>
            </w:r>
            <w:r w:rsidR="00AF37FD" w:rsidRPr="002A1E40">
              <w:rPr>
                <w:color w:val="000000"/>
                <w:lang w:val="fr-FR"/>
              </w:rPr>
              <w:t>de 2021</w:t>
            </w:r>
            <w:r w:rsidR="004D502E" w:rsidRPr="002A1E40">
              <w:rPr>
                <w:color w:val="000000"/>
                <w:lang w:val="fr-FR"/>
              </w:rPr>
              <w:t xml:space="preserve"> </w:t>
            </w:r>
            <w:r w:rsidR="00AF37FD" w:rsidRPr="002A1E40">
              <w:rPr>
                <w:lang w:val="fr-FR"/>
              </w:rPr>
              <w:t>du GCR</w:t>
            </w:r>
            <w:r w:rsidR="004D502E" w:rsidRPr="002A1E40">
              <w:rPr>
                <w:lang w:val="fr-FR"/>
              </w:rPr>
              <w:t>.</w:t>
            </w:r>
          </w:p>
          <w:p w14:paraId="6E86CE8E" w14:textId="3639E38D" w:rsidR="00AF37FD" w:rsidRPr="002A1E40" w:rsidRDefault="00AF37FD" w:rsidP="00224F0B">
            <w:pPr>
              <w:pStyle w:val="Tabletext"/>
              <w:rPr>
                <w:lang w:val="fr-FR"/>
              </w:rPr>
            </w:pPr>
            <w:r w:rsidRPr="002A1E40">
              <w:rPr>
                <w:lang w:val="fr-FR"/>
              </w:rPr>
              <w:t xml:space="preserve">Le GCR a pris note du </w:t>
            </w:r>
            <w:r w:rsidR="004D502E" w:rsidRPr="002A1E40">
              <w:rPr>
                <w:lang w:val="fr-FR"/>
              </w:rPr>
              <w:t>D</w:t>
            </w:r>
            <w:r w:rsidRPr="002A1E40">
              <w:rPr>
                <w:lang w:val="fr-FR"/>
              </w:rPr>
              <w:t xml:space="preserve">ocument RAG20/21 présenté par la Chine et le BR a informé les participants que </w:t>
            </w:r>
            <w:r w:rsidRPr="002A1E40">
              <w:rPr>
                <w:color w:val="000000"/>
                <w:lang w:val="fr-FR"/>
              </w:rPr>
              <w:t>les lignes directrices relatives aux méthodes de travail avaient été mises à jour.</w:t>
            </w:r>
          </w:p>
          <w:p w14:paraId="44AF1F49" w14:textId="1DCA77EB" w:rsidR="00AF37FD" w:rsidRPr="002A1E40" w:rsidRDefault="00AF37FD" w:rsidP="00224F0B">
            <w:pPr>
              <w:pStyle w:val="Tabletext"/>
              <w:rPr>
                <w:lang w:val="fr-FR"/>
              </w:rPr>
            </w:pPr>
            <w:r w:rsidRPr="002A1E40">
              <w:rPr>
                <w:lang w:val="fr-FR"/>
              </w:rPr>
              <w:t xml:space="preserve">Le GCR a encouragé les </w:t>
            </w:r>
            <w:r w:rsidR="00974E51">
              <w:rPr>
                <w:lang w:val="fr-FR"/>
              </w:rPr>
              <w:t>Présidents des G</w:t>
            </w:r>
            <w:r w:rsidRPr="002A1E40">
              <w:rPr>
                <w:lang w:val="fr-FR"/>
              </w:rPr>
              <w:t xml:space="preserve">roupes de travail à désigner un ou deux </w:t>
            </w:r>
            <w:r w:rsidR="00974E51">
              <w:rPr>
                <w:lang w:val="fr-FR"/>
              </w:rPr>
              <w:t>Vice-Présidents pour leur G</w:t>
            </w:r>
            <w:r w:rsidRPr="002A1E40">
              <w:rPr>
                <w:lang w:val="fr-FR"/>
              </w:rPr>
              <w:t>roupe de travail</w:t>
            </w:r>
            <w:r w:rsidR="004D502E" w:rsidRPr="002A1E40">
              <w:rPr>
                <w:lang w:val="fr-FR"/>
              </w:rPr>
              <w:t>.</w:t>
            </w:r>
          </w:p>
          <w:p w14:paraId="0D501D8C" w14:textId="4664073D" w:rsidR="00AF37FD" w:rsidRPr="002A1E40" w:rsidRDefault="00AF37FD" w:rsidP="00224F0B">
            <w:pPr>
              <w:pStyle w:val="Tabletext"/>
              <w:rPr>
                <w:lang w:val="fr-FR"/>
              </w:rPr>
            </w:pPr>
            <w:r w:rsidRPr="002A1E40">
              <w:rPr>
                <w:lang w:val="fr-FR"/>
              </w:rPr>
              <w:t>Le GCR a également noté que le BR pouvait offrir des possibilités de formation avant l'AR-23 et que cette question serait étudiée de façon plus app</w:t>
            </w:r>
            <w:r w:rsidR="00974E51">
              <w:rPr>
                <w:lang w:val="fr-FR"/>
              </w:rPr>
              <w:t>rofondie lors des réunions des P</w:t>
            </w:r>
            <w:r w:rsidRPr="002A1E40">
              <w:rPr>
                <w:lang w:val="fr-FR"/>
              </w:rPr>
              <w:t xml:space="preserve">résidents et </w:t>
            </w:r>
            <w:r w:rsidR="00974E51">
              <w:rPr>
                <w:lang w:val="fr-FR"/>
              </w:rPr>
              <w:t>Vice-Présidents des C</w:t>
            </w:r>
            <w:r w:rsidRPr="002A1E40">
              <w:rPr>
                <w:lang w:val="fr-FR"/>
              </w:rPr>
              <w:t xml:space="preserve">ommissions d'études. En outre, le GCR a invité le Directeur à organiser une réunion des </w:t>
            </w:r>
            <w:r w:rsidR="00974E51">
              <w:rPr>
                <w:lang w:val="fr-FR"/>
              </w:rPr>
              <w:t>Présidents et Vice-Présidents des C</w:t>
            </w:r>
            <w:r w:rsidRPr="002A1E40">
              <w:rPr>
                <w:lang w:val="fr-FR"/>
              </w:rPr>
              <w:t>ommissions d'études pour étudier cette question et d'autres thèmes relatifs au fonctionnement des groupes qui leur sont rattachés</w:t>
            </w:r>
            <w:r w:rsidR="004D502E" w:rsidRPr="002A1E40">
              <w:rPr>
                <w:lang w:val="fr-FR"/>
              </w:rPr>
              <w:t>.</w:t>
            </w:r>
          </w:p>
        </w:tc>
      </w:tr>
      <w:tr w:rsidR="00AF37FD" w:rsidRPr="00543B5D" w14:paraId="0D453D7A" w14:textId="77777777" w:rsidTr="00974E51">
        <w:trPr>
          <w:jc w:val="center"/>
        </w:trPr>
        <w:tc>
          <w:tcPr>
            <w:tcW w:w="339" w:type="pct"/>
          </w:tcPr>
          <w:p w14:paraId="32994E7E" w14:textId="77777777" w:rsidR="00AF37FD" w:rsidRPr="002A1E40" w:rsidRDefault="00AF37FD" w:rsidP="00224F0B">
            <w:pPr>
              <w:pStyle w:val="Tabletext"/>
              <w:jc w:val="center"/>
              <w:rPr>
                <w:lang w:val="fr-FR"/>
              </w:rPr>
            </w:pPr>
            <w:r w:rsidRPr="002A1E40">
              <w:rPr>
                <w:lang w:val="fr-FR"/>
              </w:rPr>
              <w:lastRenderedPageBreak/>
              <w:t>5</w:t>
            </w:r>
          </w:p>
        </w:tc>
        <w:tc>
          <w:tcPr>
            <w:tcW w:w="865" w:type="pct"/>
          </w:tcPr>
          <w:p w14:paraId="3E650A32" w14:textId="77777777" w:rsidR="00AF37FD" w:rsidRPr="002A1E40" w:rsidRDefault="00AF37FD" w:rsidP="00224F0B">
            <w:pPr>
              <w:pStyle w:val="Tabletext"/>
              <w:rPr>
                <w:lang w:val="fr-FR"/>
              </w:rPr>
            </w:pPr>
            <w:r w:rsidRPr="002A1E40">
              <w:rPr>
                <w:lang w:val="fr-FR"/>
              </w:rPr>
              <w:t>Préparation de la CMR 23</w:t>
            </w:r>
          </w:p>
          <w:p w14:paraId="4544F283" w14:textId="32DF2856" w:rsidR="00AF37FD" w:rsidRPr="002A1E40" w:rsidRDefault="00AF37FD" w:rsidP="00224F0B">
            <w:pPr>
              <w:pStyle w:val="Tabletext"/>
              <w:rPr>
                <w:lang w:val="fr-FR"/>
              </w:rPr>
            </w:pPr>
            <w:r w:rsidRPr="002A1E40">
              <w:rPr>
                <w:i/>
                <w:lang w:val="fr-FR"/>
              </w:rPr>
              <w:t>RAG20/1</w:t>
            </w:r>
            <w:r w:rsidR="004D502E" w:rsidRPr="002A1E40">
              <w:rPr>
                <w:i/>
                <w:lang w:val="fr-FR"/>
              </w:rPr>
              <w:t>(</w:t>
            </w:r>
            <w:r w:rsidRPr="002A1E40">
              <w:rPr>
                <w:i/>
                <w:lang w:val="fr-FR"/>
              </w:rPr>
              <w:t>R</w:t>
            </w:r>
            <w:r w:rsidR="004D502E" w:rsidRPr="002A1E40">
              <w:rPr>
                <w:i/>
                <w:lang w:val="fr-FR"/>
              </w:rPr>
              <w:t>é</w:t>
            </w:r>
            <w:r w:rsidRPr="002A1E40">
              <w:rPr>
                <w:i/>
                <w:lang w:val="fr-FR"/>
              </w:rPr>
              <w:t>v</w:t>
            </w:r>
            <w:r w:rsidR="004D502E" w:rsidRPr="002A1E40">
              <w:rPr>
                <w:i/>
                <w:lang w:val="fr-FR"/>
              </w:rPr>
              <w:t>.</w:t>
            </w:r>
            <w:r w:rsidRPr="002A1E40">
              <w:rPr>
                <w:i/>
                <w:lang w:val="fr-FR"/>
              </w:rPr>
              <w:t>1</w:t>
            </w:r>
            <w:r w:rsidR="004D502E" w:rsidRPr="002A1E40">
              <w:rPr>
                <w:i/>
                <w:lang w:val="fr-FR"/>
              </w:rPr>
              <w:t xml:space="preserve">) </w:t>
            </w:r>
            <w:r w:rsidRPr="002A1E40">
              <w:rPr>
                <w:i/>
                <w:iCs/>
                <w:lang w:val="fr-FR"/>
              </w:rPr>
              <w:t>(§</w:t>
            </w:r>
            <w:r w:rsidR="004D502E" w:rsidRPr="002A1E40">
              <w:rPr>
                <w:i/>
                <w:iCs/>
                <w:lang w:val="fr-FR"/>
              </w:rPr>
              <w:t xml:space="preserve"> </w:t>
            </w:r>
            <w:r w:rsidRPr="002A1E40">
              <w:rPr>
                <w:i/>
                <w:iCs/>
                <w:lang w:val="fr-FR"/>
              </w:rPr>
              <w:t>5)</w:t>
            </w:r>
          </w:p>
        </w:tc>
        <w:tc>
          <w:tcPr>
            <w:tcW w:w="3796" w:type="pct"/>
          </w:tcPr>
          <w:p w14:paraId="011856F9" w14:textId="42E541B5" w:rsidR="00AF37FD" w:rsidRPr="002A1E40" w:rsidRDefault="00AF37FD" w:rsidP="00224F0B">
            <w:pPr>
              <w:pStyle w:val="Tabletext"/>
              <w:rPr>
                <w:lang w:val="fr-FR"/>
              </w:rPr>
            </w:pPr>
            <w:r w:rsidRPr="002A1E40">
              <w:rPr>
                <w:lang w:val="fr-FR"/>
              </w:rPr>
              <w:t>Le GCR a pris note du rapport relatif aux travaux préparatoires en vue de la CMR-23.</w:t>
            </w:r>
          </w:p>
          <w:p w14:paraId="1DCD3798" w14:textId="61AAD2C6" w:rsidR="00AF37FD" w:rsidRPr="002A1E40" w:rsidRDefault="00AF37FD" w:rsidP="00224F0B">
            <w:pPr>
              <w:pStyle w:val="Tabletext"/>
              <w:rPr>
                <w:lang w:val="fr-FR"/>
              </w:rPr>
            </w:pPr>
            <w:r w:rsidRPr="002A1E40">
              <w:rPr>
                <w:lang w:val="fr-FR"/>
              </w:rPr>
              <w:t xml:space="preserve">Le GCR a pris acte des observations formulées par les États-Unis, qui souhaitent obtenir davantage de renseignements sur les travaux préparatoires en vue de la CMR-23 et la </w:t>
            </w:r>
            <w:r w:rsidRPr="002A1E40">
              <w:rPr>
                <w:color w:val="000000"/>
                <w:lang w:val="fr-FR"/>
              </w:rPr>
              <w:t>révision de l'accord de pays hôte</w:t>
            </w:r>
            <w:r w:rsidR="004D502E" w:rsidRPr="002A1E40">
              <w:rPr>
                <w:color w:val="000000"/>
                <w:lang w:val="fr-FR"/>
              </w:rPr>
              <w:t>.</w:t>
            </w:r>
          </w:p>
          <w:p w14:paraId="64DA9158" w14:textId="6D38303E" w:rsidR="00AF37FD" w:rsidRPr="002A1E40" w:rsidRDefault="00AF37FD" w:rsidP="00224F0B">
            <w:pPr>
              <w:pStyle w:val="Tabletext"/>
              <w:rPr>
                <w:lang w:val="fr-FR"/>
              </w:rPr>
            </w:pPr>
            <w:r w:rsidRPr="002A1E40">
              <w:rPr>
                <w:lang w:val="fr-FR"/>
              </w:rPr>
              <w:t>Le GCR a pris note des précisions fournies par l'Unité des affaires juridiques (LAU) de l'UIT au sujet des Résolutions régissant les accords de pays hôte ainsi que des éclaircissements apportés par l'Unité LAU, selon lesquels le Conseil est l'organe compétent pour examiner les accords de pays hôte et formuler des commentaires à cet égard.</w:t>
            </w:r>
          </w:p>
          <w:p w14:paraId="3006BB1E" w14:textId="620B5BA9" w:rsidR="00AF37FD" w:rsidRPr="002A1E40" w:rsidRDefault="00AF37FD" w:rsidP="00224F0B">
            <w:pPr>
              <w:pStyle w:val="Tabletext"/>
              <w:rPr>
                <w:lang w:val="fr-FR"/>
              </w:rPr>
            </w:pPr>
            <w:r w:rsidRPr="002A1E40">
              <w:rPr>
                <w:lang w:val="fr-FR"/>
              </w:rPr>
              <w:t>Le GCR a invité le Directeur du BR à continuer de présenter périodiquement des rapports sur l'état d'avancement des travaux préparatoires en vue de la CMR-23, en fournissant des précisions sur le statut de l'accord de pays hôte</w:t>
            </w:r>
            <w:r w:rsidR="004D502E" w:rsidRPr="002A1E40">
              <w:rPr>
                <w:lang w:val="fr-FR"/>
              </w:rPr>
              <w:t>.</w:t>
            </w:r>
          </w:p>
        </w:tc>
      </w:tr>
      <w:tr w:rsidR="00AF37FD" w:rsidRPr="00543B5D" w14:paraId="72ED9C8C" w14:textId="77777777" w:rsidTr="00974E51">
        <w:trPr>
          <w:jc w:val="center"/>
        </w:trPr>
        <w:tc>
          <w:tcPr>
            <w:tcW w:w="339" w:type="pct"/>
          </w:tcPr>
          <w:p w14:paraId="3454210D" w14:textId="77777777" w:rsidR="00AF37FD" w:rsidRPr="002A1E40" w:rsidRDefault="00AF37FD" w:rsidP="00224F0B">
            <w:pPr>
              <w:pStyle w:val="Tabletext"/>
              <w:keepNext/>
              <w:keepLines/>
              <w:jc w:val="center"/>
              <w:rPr>
                <w:lang w:val="fr-FR"/>
              </w:rPr>
            </w:pPr>
            <w:r w:rsidRPr="002A1E40">
              <w:rPr>
                <w:lang w:val="fr-FR"/>
              </w:rPr>
              <w:lastRenderedPageBreak/>
              <w:t>6</w:t>
            </w:r>
          </w:p>
        </w:tc>
        <w:tc>
          <w:tcPr>
            <w:tcW w:w="865" w:type="pct"/>
          </w:tcPr>
          <w:p w14:paraId="1A84BE40" w14:textId="264B423B" w:rsidR="00AF37FD" w:rsidRPr="002A1E40" w:rsidRDefault="00974E51" w:rsidP="00224F0B">
            <w:pPr>
              <w:pStyle w:val="Tabletext"/>
              <w:keepNext/>
              <w:keepLines/>
              <w:rPr>
                <w:lang w:val="fr-FR"/>
              </w:rPr>
            </w:pPr>
            <w:r>
              <w:rPr>
                <w:lang w:val="fr-FR"/>
              </w:rPr>
              <w:t>Activités des C</w:t>
            </w:r>
            <w:r w:rsidR="00AF37FD" w:rsidRPr="002A1E40">
              <w:rPr>
                <w:lang w:val="fr-FR"/>
              </w:rPr>
              <w:t>ommissions d'études</w:t>
            </w:r>
          </w:p>
          <w:p w14:paraId="71835E83" w14:textId="34BCB93A" w:rsidR="00AF37FD" w:rsidRPr="002A1E40" w:rsidRDefault="00AF37FD" w:rsidP="00224F0B">
            <w:pPr>
              <w:pStyle w:val="Tabletext"/>
              <w:keepNext/>
              <w:keepLines/>
              <w:rPr>
                <w:lang w:val="fr-FR"/>
              </w:rPr>
            </w:pPr>
            <w:r w:rsidRPr="002A1E40">
              <w:rPr>
                <w:i/>
                <w:iCs/>
                <w:lang w:val="fr-FR"/>
              </w:rPr>
              <w:t>RAG20/1</w:t>
            </w:r>
            <w:r w:rsidR="004D502E" w:rsidRPr="002A1E40">
              <w:rPr>
                <w:i/>
                <w:iCs/>
                <w:lang w:val="fr-FR"/>
              </w:rPr>
              <w:t>(</w:t>
            </w:r>
            <w:r w:rsidRPr="002A1E40">
              <w:rPr>
                <w:i/>
                <w:iCs/>
                <w:lang w:val="fr-FR"/>
              </w:rPr>
              <w:t>R</w:t>
            </w:r>
            <w:r w:rsidR="004D502E" w:rsidRPr="002A1E40">
              <w:rPr>
                <w:i/>
                <w:iCs/>
                <w:lang w:val="fr-FR"/>
              </w:rPr>
              <w:t>é</w:t>
            </w:r>
            <w:r w:rsidRPr="002A1E40">
              <w:rPr>
                <w:i/>
                <w:iCs/>
                <w:lang w:val="fr-FR"/>
              </w:rPr>
              <w:t>v</w:t>
            </w:r>
            <w:r w:rsidR="004D502E" w:rsidRPr="002A1E40">
              <w:rPr>
                <w:i/>
                <w:iCs/>
                <w:lang w:val="fr-FR"/>
              </w:rPr>
              <w:t>.</w:t>
            </w:r>
            <w:r w:rsidRPr="002A1E40">
              <w:rPr>
                <w:i/>
                <w:iCs/>
                <w:lang w:val="fr-FR"/>
              </w:rPr>
              <w:t>1</w:t>
            </w:r>
            <w:r w:rsidR="004D502E" w:rsidRPr="002A1E40">
              <w:rPr>
                <w:i/>
                <w:iCs/>
                <w:lang w:val="fr-FR"/>
              </w:rPr>
              <w:t xml:space="preserve">) </w:t>
            </w:r>
            <w:r w:rsidRPr="002A1E40">
              <w:rPr>
                <w:i/>
                <w:iCs/>
                <w:lang w:val="fr-FR"/>
              </w:rPr>
              <w:t>(§</w:t>
            </w:r>
            <w:r w:rsidR="004D502E" w:rsidRPr="002A1E40">
              <w:rPr>
                <w:i/>
                <w:iCs/>
                <w:lang w:val="fr-FR"/>
              </w:rPr>
              <w:t xml:space="preserve"> </w:t>
            </w:r>
            <w:r w:rsidRPr="002A1E40">
              <w:rPr>
                <w:i/>
                <w:iCs/>
                <w:lang w:val="fr-FR"/>
              </w:rPr>
              <w:t>4 et ADD1), 12</w:t>
            </w:r>
            <w:r w:rsidR="004D502E" w:rsidRPr="002A1E40">
              <w:rPr>
                <w:i/>
                <w:iCs/>
                <w:lang w:val="fr-FR"/>
              </w:rPr>
              <w:t>(</w:t>
            </w:r>
            <w:r w:rsidRPr="002A1E40">
              <w:rPr>
                <w:i/>
                <w:iCs/>
                <w:lang w:val="fr-FR"/>
              </w:rPr>
              <w:t>Rév.1</w:t>
            </w:r>
            <w:r w:rsidR="004D502E" w:rsidRPr="002A1E40">
              <w:rPr>
                <w:i/>
                <w:iCs/>
                <w:lang w:val="fr-FR"/>
              </w:rPr>
              <w:t>)</w:t>
            </w:r>
            <w:r w:rsidRPr="002A1E40">
              <w:rPr>
                <w:i/>
                <w:iCs/>
                <w:lang w:val="fr-FR"/>
              </w:rPr>
              <w:t>, 14, 18</w:t>
            </w:r>
          </w:p>
        </w:tc>
        <w:tc>
          <w:tcPr>
            <w:tcW w:w="3796" w:type="pct"/>
          </w:tcPr>
          <w:p w14:paraId="07EA5CF3" w14:textId="19A6458D" w:rsidR="00AF37FD" w:rsidRPr="002A1E40" w:rsidRDefault="00AF37FD" w:rsidP="00224F0B">
            <w:pPr>
              <w:pStyle w:val="Tabletext"/>
              <w:keepNext/>
              <w:keepLines/>
              <w:rPr>
                <w:lang w:val="fr-FR"/>
              </w:rPr>
            </w:pPr>
            <w:r w:rsidRPr="002A1E40">
              <w:rPr>
                <w:lang w:val="fr-FR"/>
              </w:rPr>
              <w:t xml:space="preserve">Le GCR a pris note du rapport sur les activités des </w:t>
            </w:r>
            <w:r w:rsidR="002A1E40">
              <w:rPr>
                <w:lang w:val="fr-FR"/>
              </w:rPr>
              <w:t>C</w:t>
            </w:r>
            <w:r w:rsidRPr="002A1E40">
              <w:rPr>
                <w:lang w:val="fr-FR"/>
              </w:rPr>
              <w:t>ommissions d'études de l'UIT-R</w:t>
            </w:r>
            <w:r w:rsidR="004D502E" w:rsidRPr="002A1E40">
              <w:rPr>
                <w:lang w:val="fr-FR"/>
              </w:rPr>
              <w:t>.</w:t>
            </w:r>
          </w:p>
          <w:p w14:paraId="44FC8449" w14:textId="250C8B2D" w:rsidR="00AF37FD" w:rsidRPr="002A1E40" w:rsidRDefault="00461BA1" w:rsidP="00224F0B">
            <w:pPr>
              <w:pStyle w:val="Tabletext"/>
              <w:keepNext/>
              <w:keepLines/>
              <w:rPr>
                <w:lang w:val="fr-FR"/>
              </w:rPr>
            </w:pPr>
            <w:r>
              <w:rPr>
                <w:lang w:val="fr-FR"/>
              </w:rPr>
              <w:t>Le GCR a examiné les D</w:t>
            </w:r>
            <w:r w:rsidR="00AF37FD" w:rsidRPr="002A1E40">
              <w:rPr>
                <w:lang w:val="fr-FR"/>
              </w:rPr>
              <w:t>ocuments RAG20/12</w:t>
            </w:r>
            <w:r w:rsidR="004D502E" w:rsidRPr="002A1E40">
              <w:rPr>
                <w:lang w:val="fr-FR"/>
              </w:rPr>
              <w:t>(Ré</w:t>
            </w:r>
            <w:r w:rsidR="00AF37FD" w:rsidRPr="002A1E40">
              <w:rPr>
                <w:lang w:val="fr-FR"/>
              </w:rPr>
              <w:t>v.1</w:t>
            </w:r>
            <w:r w:rsidR="004D502E" w:rsidRPr="002A1E40">
              <w:rPr>
                <w:lang w:val="fr-FR"/>
              </w:rPr>
              <w:t>)</w:t>
            </w:r>
            <w:r w:rsidR="00AF37FD" w:rsidRPr="002A1E40">
              <w:rPr>
                <w:lang w:val="fr-FR"/>
              </w:rPr>
              <w:t xml:space="preserve"> et 14 soumis par l'Iran, qui fournissent des orientations sur l'examen des points de l'ordre du jour de la CMR-23</w:t>
            </w:r>
            <w:r w:rsidR="004D502E" w:rsidRPr="002A1E40">
              <w:rPr>
                <w:lang w:val="fr-FR"/>
              </w:rPr>
              <w:t>.</w:t>
            </w:r>
          </w:p>
          <w:p w14:paraId="266BAC3A" w14:textId="7B995981" w:rsidR="00AF37FD" w:rsidRPr="002A1E40" w:rsidRDefault="00974E51" w:rsidP="00224F0B">
            <w:pPr>
              <w:pStyle w:val="Tabletext"/>
              <w:keepNext/>
              <w:keepLines/>
              <w:rPr>
                <w:lang w:val="fr-FR"/>
              </w:rPr>
            </w:pPr>
            <w:r>
              <w:rPr>
                <w:lang w:val="fr-FR"/>
              </w:rPr>
              <w:t>E</w:t>
            </w:r>
            <w:r w:rsidR="00AF37FD" w:rsidRPr="002A1E40">
              <w:rPr>
                <w:lang w:val="fr-FR"/>
              </w:rPr>
              <w:t>n ce qui concerne le Document 12(R</w:t>
            </w:r>
            <w:r w:rsidR="004D502E" w:rsidRPr="002A1E40">
              <w:rPr>
                <w:lang w:val="fr-FR"/>
              </w:rPr>
              <w:t>é</w:t>
            </w:r>
            <w:r w:rsidR="00AF37FD" w:rsidRPr="002A1E40">
              <w:rPr>
                <w:lang w:val="fr-FR"/>
              </w:rPr>
              <w:t xml:space="preserve">v.1), le GCR a pris note avec satisfaction de la contribution et a invité le Directeur à soumettre ce document dès que possible à la réunion des </w:t>
            </w:r>
            <w:r w:rsidR="00461BA1">
              <w:rPr>
                <w:lang w:val="fr-FR"/>
              </w:rPr>
              <w:t>P</w:t>
            </w:r>
            <w:r w:rsidR="00AF37FD" w:rsidRPr="002A1E40">
              <w:rPr>
                <w:lang w:val="fr-FR"/>
              </w:rPr>
              <w:t xml:space="preserve">résidents et des </w:t>
            </w:r>
            <w:r w:rsidR="00461BA1">
              <w:rPr>
                <w:lang w:val="fr-FR"/>
              </w:rPr>
              <w:t>Vice-P</w:t>
            </w:r>
            <w:r w:rsidR="00AF37FD" w:rsidRPr="002A1E40">
              <w:rPr>
                <w:lang w:val="fr-FR"/>
              </w:rPr>
              <w:t xml:space="preserve">résidents des </w:t>
            </w:r>
            <w:r w:rsidR="00461BA1">
              <w:rPr>
                <w:lang w:val="fr-FR"/>
              </w:rPr>
              <w:t>Commissions d'études et des G</w:t>
            </w:r>
            <w:r w:rsidR="00AF37FD" w:rsidRPr="002A1E40">
              <w:rPr>
                <w:lang w:val="fr-FR"/>
              </w:rPr>
              <w:t xml:space="preserve">roupes de travail, pour examen et traitement, et a prié l'administration ayant soumis la contribution à participer à cette réunion. Par la suite, le document serait soumis aux </w:t>
            </w:r>
            <w:r w:rsidR="00461BA1">
              <w:rPr>
                <w:lang w:val="fr-FR"/>
              </w:rPr>
              <w:t>Commissions d'études et aux G</w:t>
            </w:r>
            <w:r w:rsidR="00AF37FD" w:rsidRPr="002A1E40">
              <w:rPr>
                <w:lang w:val="fr-FR"/>
              </w:rPr>
              <w:t>roupes de travail compétents, afin qu'ils le prennent en considération, le cas échéant.</w:t>
            </w:r>
          </w:p>
          <w:p w14:paraId="0BBB0065" w14:textId="531D9997" w:rsidR="00AF37FD" w:rsidRPr="002A1E40" w:rsidRDefault="00AF37FD" w:rsidP="00224F0B">
            <w:pPr>
              <w:pStyle w:val="Tabletext"/>
              <w:keepNext/>
              <w:keepLines/>
              <w:rPr>
                <w:lang w:val="fr-FR"/>
              </w:rPr>
            </w:pPr>
            <w:r w:rsidRPr="002A1E40">
              <w:rPr>
                <w:lang w:val="fr-FR"/>
              </w:rPr>
              <w:t>Pour ce qui est du Document 14, le GCR a pris note de la contribution et a invité le Directeur à transmettre la proposition aux diverses commissions d'études et aux différents groupes de travail.</w:t>
            </w:r>
          </w:p>
          <w:p w14:paraId="2D562483" w14:textId="35E9B639" w:rsidR="00AF37FD" w:rsidRPr="002A1E40" w:rsidRDefault="00461BA1" w:rsidP="00224F0B">
            <w:pPr>
              <w:pStyle w:val="Tabletext"/>
              <w:keepNext/>
              <w:keepLines/>
              <w:rPr>
                <w:lang w:val="fr-FR"/>
              </w:rPr>
            </w:pPr>
            <w:r>
              <w:rPr>
                <w:lang w:val="fr-FR"/>
              </w:rPr>
              <w:t>Le GCR a examiné le D</w:t>
            </w:r>
            <w:r w:rsidR="00AF37FD" w:rsidRPr="002A1E40">
              <w:rPr>
                <w:lang w:val="fr-FR"/>
              </w:rPr>
              <w:t xml:space="preserve">ocument RAG20/18 présenté par le Japon, qui traite des </w:t>
            </w:r>
            <w:r w:rsidR="00AF37FD" w:rsidRPr="002A1E40">
              <w:rPr>
                <w:color w:val="000000"/>
                <w:lang w:val="fr-FR"/>
              </w:rPr>
              <w:t>références à des normes extérieures dans une Recommandation de l'UIT-R</w:t>
            </w:r>
            <w:r w:rsidR="004D502E" w:rsidRPr="002A1E40">
              <w:rPr>
                <w:color w:val="000000"/>
                <w:lang w:val="fr-FR"/>
              </w:rPr>
              <w:t>.</w:t>
            </w:r>
          </w:p>
          <w:p w14:paraId="5CC380D1" w14:textId="187BECC6" w:rsidR="00AF37FD" w:rsidRPr="002A1E40" w:rsidRDefault="00AF37FD" w:rsidP="00224F0B">
            <w:pPr>
              <w:pStyle w:val="Tabletext"/>
              <w:keepNext/>
              <w:keepLines/>
              <w:rPr>
                <w:lang w:val="fr-FR"/>
              </w:rPr>
            </w:pPr>
            <w:r w:rsidRPr="002A1E40">
              <w:rPr>
                <w:lang w:val="fr-FR"/>
              </w:rPr>
              <w:t>Le GCR a pris note de la proposition et a invité le Directeur à l'utiliser pour améliorer les lignes directrices lors de l'élaboration de recommandations, compte tenu de l'avis rendu par l'Unité des affaires juridiques de l'UIT. En outre, le GCR a invité le Directeur à présenter un rapport sur cette question à la prochaine réunion du GCR.</w:t>
            </w:r>
          </w:p>
          <w:p w14:paraId="4A95E135" w14:textId="218D3765" w:rsidR="00AF37FD" w:rsidRPr="002A1E40" w:rsidRDefault="00AF37FD" w:rsidP="00224F0B">
            <w:pPr>
              <w:pStyle w:val="Tabletext"/>
              <w:keepNext/>
              <w:keepLines/>
              <w:rPr>
                <w:lang w:val="fr-FR"/>
              </w:rPr>
            </w:pPr>
            <w:r w:rsidRPr="002A1E40">
              <w:rPr>
                <w:lang w:val="fr-FR"/>
              </w:rPr>
              <w:t>Le GCR a pris note de l'intervention du Président du GT 5D, selon laquelle, compte tenu des programmes de travail et des délais dans leur ensemble, les participants à la 34</w:t>
            </w:r>
            <w:r w:rsidR="004D502E" w:rsidRPr="002A1E40">
              <w:rPr>
                <w:lang w:val="fr-FR"/>
              </w:rPr>
              <w:t>ème</w:t>
            </w:r>
            <w:r w:rsidRPr="002A1E40">
              <w:rPr>
                <w:lang w:val="fr-FR"/>
              </w:rPr>
              <w:t xml:space="preserve"> réunion du GT 5D tenue en février 2020 ont décidé de prolonger la durée de chaque réunion du GT 5D jusqu'à la mi-2023, afin de mettre en œuvre la Résolution 245 (CMR-19) au titre du poi</w:t>
            </w:r>
            <w:r w:rsidR="00461BA1">
              <w:rPr>
                <w:lang w:val="fr-FR"/>
              </w:rPr>
              <w:t>nt 1.2 de l'ordre du jour de la </w:t>
            </w:r>
            <w:r w:rsidRPr="002A1E40">
              <w:rPr>
                <w:lang w:val="fr-FR"/>
              </w:rPr>
              <w:t>CMR-23 et d'achever d'autres travaux. Cependant, compte tenu des circonstances actuelles, il a été demandé au Président du GT 5D de maintenir le calendrier initial, ou de prévoir une prorogation de deux jours au maximum</w:t>
            </w:r>
            <w:r w:rsidR="004D502E" w:rsidRPr="002A1E40">
              <w:rPr>
                <w:lang w:val="fr-FR"/>
              </w:rPr>
              <w:t>.</w:t>
            </w:r>
          </w:p>
        </w:tc>
      </w:tr>
      <w:tr w:rsidR="00AF37FD" w:rsidRPr="00543B5D" w14:paraId="520BBAC2" w14:textId="77777777" w:rsidTr="00974E51">
        <w:trPr>
          <w:jc w:val="center"/>
        </w:trPr>
        <w:tc>
          <w:tcPr>
            <w:tcW w:w="339" w:type="pct"/>
          </w:tcPr>
          <w:p w14:paraId="209B8F16" w14:textId="77777777" w:rsidR="00AF37FD" w:rsidRPr="002A1E40" w:rsidRDefault="00AF37FD" w:rsidP="00224F0B">
            <w:pPr>
              <w:pStyle w:val="Tabletext"/>
              <w:jc w:val="center"/>
              <w:rPr>
                <w:lang w:val="fr-FR"/>
              </w:rPr>
            </w:pPr>
            <w:r w:rsidRPr="002A1E40">
              <w:rPr>
                <w:lang w:val="fr-FR"/>
              </w:rPr>
              <w:t>7</w:t>
            </w:r>
          </w:p>
        </w:tc>
        <w:tc>
          <w:tcPr>
            <w:tcW w:w="865" w:type="pct"/>
          </w:tcPr>
          <w:p w14:paraId="0ACD0BF2" w14:textId="79242801" w:rsidR="00AF37FD" w:rsidRPr="002A1E40" w:rsidRDefault="00AF37FD" w:rsidP="00224F0B">
            <w:pPr>
              <w:pStyle w:val="Tabletext"/>
              <w:rPr>
                <w:i/>
                <w:iCs/>
                <w:lang w:val="fr-FR"/>
              </w:rPr>
            </w:pPr>
            <w:r w:rsidRPr="002A1E40">
              <w:rPr>
                <w:lang w:val="fr-FR"/>
              </w:rPr>
              <w:t>Activités intersectorielles</w:t>
            </w:r>
            <w:r w:rsidRPr="002A1E40">
              <w:rPr>
                <w:lang w:val="fr-FR"/>
              </w:rPr>
              <w:br/>
            </w:r>
            <w:r w:rsidRPr="002A1E40">
              <w:rPr>
                <w:i/>
                <w:iCs/>
                <w:lang w:val="fr-FR"/>
              </w:rPr>
              <w:t>UIT-T/</w:t>
            </w:r>
            <w:proofErr w:type="gramStart"/>
            <w:r w:rsidRPr="002A1E40">
              <w:rPr>
                <w:i/>
                <w:iCs/>
                <w:lang w:val="fr-FR"/>
              </w:rPr>
              <w:t>GCNT:</w:t>
            </w:r>
            <w:proofErr w:type="gramEnd"/>
            <w:r w:rsidRPr="002A1E40">
              <w:rPr>
                <w:i/>
                <w:iCs/>
                <w:lang w:val="fr-FR"/>
              </w:rPr>
              <w:t xml:space="preserve"> RAG20/2, 3, 6, 9, 5</w:t>
            </w:r>
            <w:r w:rsidR="004D502E" w:rsidRPr="002A1E40">
              <w:rPr>
                <w:i/>
                <w:iCs/>
                <w:lang w:val="fr-FR"/>
              </w:rPr>
              <w:t>(</w:t>
            </w:r>
            <w:r w:rsidRPr="002A1E40">
              <w:rPr>
                <w:i/>
                <w:iCs/>
                <w:lang w:val="fr-FR"/>
              </w:rPr>
              <w:t>R</w:t>
            </w:r>
            <w:r w:rsidR="004D502E" w:rsidRPr="002A1E40">
              <w:rPr>
                <w:i/>
                <w:iCs/>
                <w:lang w:val="fr-FR"/>
              </w:rPr>
              <w:t>é</w:t>
            </w:r>
            <w:r w:rsidRPr="002A1E40">
              <w:rPr>
                <w:i/>
                <w:iCs/>
                <w:lang w:val="fr-FR"/>
              </w:rPr>
              <w:t>v</w:t>
            </w:r>
            <w:r w:rsidR="004D502E" w:rsidRPr="002A1E40">
              <w:rPr>
                <w:i/>
                <w:iCs/>
                <w:lang w:val="fr-FR"/>
              </w:rPr>
              <w:t>.</w:t>
            </w:r>
            <w:r w:rsidRPr="002A1E40">
              <w:rPr>
                <w:i/>
                <w:iCs/>
                <w:lang w:val="fr-FR"/>
              </w:rPr>
              <w:t>1</w:t>
            </w:r>
            <w:r w:rsidR="004D502E" w:rsidRPr="002A1E40">
              <w:rPr>
                <w:i/>
                <w:iCs/>
                <w:lang w:val="fr-FR"/>
              </w:rPr>
              <w:t>)</w:t>
            </w:r>
            <w:r w:rsidRPr="002A1E40">
              <w:rPr>
                <w:i/>
                <w:iCs/>
                <w:lang w:val="fr-FR"/>
              </w:rPr>
              <w:t xml:space="preserve">, 8 </w:t>
            </w:r>
          </w:p>
          <w:p w14:paraId="77500B4B" w14:textId="3D8B284B" w:rsidR="00AF37FD" w:rsidRPr="002A1E40" w:rsidRDefault="00AF37FD" w:rsidP="00224F0B">
            <w:pPr>
              <w:pStyle w:val="Tabletext"/>
              <w:rPr>
                <w:i/>
                <w:iCs/>
                <w:lang w:val="fr-FR"/>
              </w:rPr>
            </w:pPr>
            <w:r w:rsidRPr="002A1E40">
              <w:rPr>
                <w:i/>
                <w:lang w:val="fr-FR"/>
              </w:rPr>
              <w:t>UIT-D/</w:t>
            </w:r>
            <w:proofErr w:type="gramStart"/>
            <w:r w:rsidRPr="002A1E40">
              <w:rPr>
                <w:i/>
                <w:lang w:val="fr-FR"/>
              </w:rPr>
              <w:t>GCDT:</w:t>
            </w:r>
            <w:proofErr w:type="gramEnd"/>
            <w:r w:rsidRPr="002A1E40">
              <w:rPr>
                <w:i/>
                <w:lang w:val="fr-FR"/>
              </w:rPr>
              <w:t xml:space="preserve"> RAG20/4</w:t>
            </w:r>
          </w:p>
        </w:tc>
        <w:tc>
          <w:tcPr>
            <w:tcW w:w="3796" w:type="pct"/>
          </w:tcPr>
          <w:p w14:paraId="54CE27EB" w14:textId="139F5138" w:rsidR="00AF37FD" w:rsidRPr="002A1E40" w:rsidRDefault="00AF37FD" w:rsidP="00224F0B">
            <w:pPr>
              <w:pStyle w:val="Tabletext"/>
              <w:rPr>
                <w:lang w:val="fr-FR"/>
              </w:rPr>
            </w:pPr>
            <w:r w:rsidRPr="002A1E40">
              <w:rPr>
                <w:lang w:val="fr-FR"/>
              </w:rPr>
              <w:t xml:space="preserve">Le GCR a pris note des renseignements figurant dans le </w:t>
            </w:r>
            <w:r w:rsidR="004D502E" w:rsidRPr="002A1E40">
              <w:rPr>
                <w:lang w:val="fr-FR"/>
              </w:rPr>
              <w:t>D</w:t>
            </w:r>
            <w:r w:rsidRPr="002A1E40">
              <w:rPr>
                <w:lang w:val="fr-FR"/>
              </w:rPr>
              <w:t xml:space="preserve">ocument 9 sur les activités intersectorielles, qui remplacent ceux qui figurent dans les </w:t>
            </w:r>
            <w:r w:rsidR="004D502E" w:rsidRPr="002A1E40">
              <w:rPr>
                <w:lang w:val="fr-FR"/>
              </w:rPr>
              <w:t>D</w:t>
            </w:r>
            <w:r w:rsidRPr="002A1E40">
              <w:rPr>
                <w:lang w:val="fr-FR"/>
              </w:rPr>
              <w:t xml:space="preserve">ocuments 2, 3, et 6, ainsi que des renseignements reproduits dans les </w:t>
            </w:r>
            <w:r w:rsidR="004D502E" w:rsidRPr="002A1E40">
              <w:rPr>
                <w:lang w:val="fr-FR"/>
              </w:rPr>
              <w:t>D</w:t>
            </w:r>
            <w:r w:rsidRPr="002A1E40">
              <w:rPr>
                <w:lang w:val="fr-FR"/>
              </w:rPr>
              <w:t>ocuments 5</w:t>
            </w:r>
            <w:r w:rsidR="004D502E" w:rsidRPr="002A1E40">
              <w:rPr>
                <w:lang w:val="fr-FR"/>
              </w:rPr>
              <w:t>(</w:t>
            </w:r>
            <w:r w:rsidRPr="002A1E40">
              <w:rPr>
                <w:lang w:val="fr-FR"/>
              </w:rPr>
              <w:t>R</w:t>
            </w:r>
            <w:r w:rsidR="004D502E" w:rsidRPr="002A1E40">
              <w:rPr>
                <w:lang w:val="fr-FR"/>
              </w:rPr>
              <w:t>é</w:t>
            </w:r>
            <w:r w:rsidRPr="002A1E40">
              <w:rPr>
                <w:lang w:val="fr-FR"/>
              </w:rPr>
              <w:t>v</w:t>
            </w:r>
            <w:r w:rsidR="004D502E" w:rsidRPr="002A1E40">
              <w:rPr>
                <w:lang w:val="fr-FR"/>
              </w:rPr>
              <w:t>.</w:t>
            </w:r>
            <w:r w:rsidRPr="002A1E40">
              <w:rPr>
                <w:lang w:val="fr-FR"/>
              </w:rPr>
              <w:t>1</w:t>
            </w:r>
            <w:r w:rsidR="004D502E" w:rsidRPr="002A1E40">
              <w:rPr>
                <w:lang w:val="fr-FR"/>
              </w:rPr>
              <w:t>)</w:t>
            </w:r>
            <w:r w:rsidRPr="002A1E40">
              <w:rPr>
                <w:lang w:val="fr-FR"/>
              </w:rPr>
              <w:t xml:space="preserve"> et 8 sur la rationalisation des Résolutions et la mise en correspondance des travaux des GT de l'UIT-R présentant de l'intérêt pour les </w:t>
            </w:r>
            <w:r w:rsidR="004D502E" w:rsidRPr="002A1E40">
              <w:rPr>
                <w:lang w:val="fr-FR"/>
              </w:rPr>
              <w:t>C</w:t>
            </w:r>
            <w:r w:rsidRPr="002A1E40">
              <w:rPr>
                <w:lang w:val="fr-FR"/>
              </w:rPr>
              <w:t>ommissions d'études de l'UIT-T</w:t>
            </w:r>
            <w:r w:rsidR="004D502E" w:rsidRPr="002A1E40">
              <w:rPr>
                <w:lang w:val="fr-FR"/>
              </w:rPr>
              <w:t>.</w:t>
            </w:r>
          </w:p>
          <w:p w14:paraId="03DE3CF7" w14:textId="61FB91B5" w:rsidR="00AF37FD" w:rsidRPr="002A1E40" w:rsidRDefault="00AF37FD" w:rsidP="00224F0B">
            <w:pPr>
              <w:pStyle w:val="Tabletext"/>
              <w:rPr>
                <w:lang w:val="fr-FR"/>
              </w:rPr>
            </w:pPr>
            <w:r w:rsidRPr="002A1E40">
              <w:rPr>
                <w:lang w:val="fr-FR"/>
              </w:rPr>
              <w:t>Le GCR a pris note du rapport verbal présenté par le Président du Groupe de coordination intersectorielle (ISCG), en particulier du fait que la situation la plus récente des tableaux de correspondance entre les sujets d'étude et les Résolutions des trois Secteurs et le Secrétariat général est présentée sur le site web du Groupe de coordination intersectorielle (</w:t>
            </w:r>
            <w:hyperlink r:id="rId19" w:tgtFrame="blank" w:history="1">
              <w:r w:rsidRPr="002A1E40">
                <w:rPr>
                  <w:rStyle w:val="Hyperlink"/>
                  <w:szCs w:val="24"/>
                  <w:lang w:val="fr-FR"/>
                </w:rPr>
                <w:t>https://www.itu.int/en/general-secretariat/Pages/ISCG/default.aspx</w:t>
              </w:r>
            </w:hyperlink>
            <w:r w:rsidRPr="002A1E40">
              <w:rPr>
                <w:lang w:val="fr-FR"/>
              </w:rPr>
              <w:t>).</w:t>
            </w:r>
          </w:p>
          <w:p w14:paraId="7FD573FE" w14:textId="0B4CEE65" w:rsidR="00AF37FD" w:rsidRPr="002A1E40" w:rsidRDefault="00AF37FD" w:rsidP="00224F0B">
            <w:pPr>
              <w:pStyle w:val="Tabletext"/>
              <w:rPr>
                <w:lang w:val="fr-FR"/>
              </w:rPr>
            </w:pPr>
            <w:r w:rsidRPr="002A1E40">
              <w:rPr>
                <w:lang w:val="fr-FR"/>
              </w:rPr>
              <w:t>Le GCR a été informé que la prochaine réunion virtuelle du groupe ISCG aurait lieu le</w:t>
            </w:r>
            <w:r w:rsidR="00461BA1">
              <w:rPr>
                <w:lang w:val="fr-FR"/>
              </w:rPr>
              <w:t xml:space="preserve"> 1er juin et a nommé ses deux Vice-P</w:t>
            </w:r>
            <w:r w:rsidRPr="002A1E40">
              <w:rPr>
                <w:lang w:val="fr-FR"/>
              </w:rPr>
              <w:t>résidents, à savoir M.</w:t>
            </w:r>
            <w:r w:rsidR="004D502E" w:rsidRPr="002A1E40">
              <w:rPr>
                <w:lang w:val="fr-FR"/>
              </w:rPr>
              <w:t xml:space="preserve"> </w:t>
            </w:r>
            <w:r w:rsidRPr="002A1E40">
              <w:rPr>
                <w:lang w:val="fr-FR"/>
              </w:rPr>
              <w:t>Abdouramane El Hadjar (Cameroun) et M.</w:t>
            </w:r>
            <w:r w:rsidR="004D502E" w:rsidRPr="002A1E40">
              <w:rPr>
                <w:lang w:val="fr-FR"/>
              </w:rPr>
              <w:t xml:space="preserve"> </w:t>
            </w:r>
            <w:r w:rsidRPr="002A1E40">
              <w:rPr>
                <w:lang w:val="fr-FR"/>
              </w:rPr>
              <w:t>Victor Martinez (Mexique), pour représenter le Secteur au sein du groupe ISCG pendant l'actuelle période d'études</w:t>
            </w:r>
            <w:r w:rsidR="004D502E" w:rsidRPr="002A1E40">
              <w:rPr>
                <w:lang w:val="fr-FR"/>
              </w:rPr>
              <w:t>.</w:t>
            </w:r>
          </w:p>
          <w:p w14:paraId="3ACFD42E" w14:textId="24F26042" w:rsidR="00AF37FD" w:rsidRPr="002A1E40" w:rsidRDefault="00AF37FD" w:rsidP="00224F0B">
            <w:pPr>
              <w:pStyle w:val="Tabletext"/>
              <w:rPr>
                <w:lang w:val="fr-FR"/>
              </w:rPr>
            </w:pPr>
            <w:r w:rsidRPr="002A1E40">
              <w:rPr>
                <w:lang w:val="fr-FR"/>
              </w:rPr>
              <w:lastRenderedPageBreak/>
              <w:t>Le GCR a pris acte de la note de liaison émanant du GCDT (Document 8) et s'est félicité de constater que les relations de travail entre les deux Secteurs se poursuivaient. Le GCR continuera de collaborer avec le GCDT sur les questions présentant de l'intérêt pour les deux groupes</w:t>
            </w:r>
            <w:r w:rsidR="004D502E" w:rsidRPr="002A1E40">
              <w:rPr>
                <w:lang w:val="fr-FR"/>
              </w:rPr>
              <w:t>.</w:t>
            </w:r>
          </w:p>
        </w:tc>
      </w:tr>
      <w:tr w:rsidR="00AF37FD" w:rsidRPr="00543B5D" w14:paraId="2BDE881A" w14:textId="77777777" w:rsidTr="00974E51">
        <w:trPr>
          <w:jc w:val="center"/>
        </w:trPr>
        <w:tc>
          <w:tcPr>
            <w:tcW w:w="339" w:type="pct"/>
          </w:tcPr>
          <w:p w14:paraId="27087A59" w14:textId="77777777" w:rsidR="00AF37FD" w:rsidRPr="002A1E40" w:rsidRDefault="00AF37FD" w:rsidP="00224F0B">
            <w:pPr>
              <w:pStyle w:val="Tabletext"/>
              <w:jc w:val="center"/>
              <w:rPr>
                <w:lang w:val="fr-FR"/>
              </w:rPr>
            </w:pPr>
            <w:r w:rsidRPr="002A1E40">
              <w:rPr>
                <w:lang w:val="fr-FR"/>
              </w:rPr>
              <w:lastRenderedPageBreak/>
              <w:t>8</w:t>
            </w:r>
          </w:p>
        </w:tc>
        <w:tc>
          <w:tcPr>
            <w:tcW w:w="865" w:type="pct"/>
          </w:tcPr>
          <w:p w14:paraId="0B4A61F5" w14:textId="35522BAD" w:rsidR="00AF37FD" w:rsidRPr="002A1E40" w:rsidRDefault="00AF37FD" w:rsidP="00224F0B">
            <w:pPr>
              <w:pStyle w:val="Tabletext"/>
              <w:rPr>
                <w:lang w:val="fr-FR"/>
              </w:rPr>
            </w:pPr>
            <w:r w:rsidRPr="002A1E40">
              <w:rPr>
                <w:lang w:val="fr-FR"/>
              </w:rPr>
              <w:t>Planification opérationnelle</w:t>
            </w:r>
            <w:r w:rsidRPr="002A1E40">
              <w:rPr>
                <w:lang w:val="fr-FR"/>
              </w:rPr>
              <w:br/>
            </w:r>
            <w:r w:rsidRPr="002A1E40">
              <w:rPr>
                <w:i/>
                <w:iCs/>
                <w:lang w:val="fr-FR"/>
              </w:rPr>
              <w:t>RAG20/1</w:t>
            </w:r>
            <w:r w:rsidR="004D502E" w:rsidRPr="002A1E40">
              <w:rPr>
                <w:i/>
                <w:iCs/>
                <w:lang w:val="fr-FR"/>
              </w:rPr>
              <w:t>(</w:t>
            </w:r>
            <w:r w:rsidRPr="002A1E40">
              <w:rPr>
                <w:i/>
                <w:iCs/>
                <w:lang w:val="fr-FR"/>
              </w:rPr>
              <w:t>R</w:t>
            </w:r>
            <w:r w:rsidR="004D502E" w:rsidRPr="002A1E40">
              <w:rPr>
                <w:i/>
                <w:iCs/>
                <w:lang w:val="fr-FR"/>
              </w:rPr>
              <w:t>é</w:t>
            </w:r>
            <w:r w:rsidRPr="002A1E40">
              <w:rPr>
                <w:i/>
                <w:iCs/>
                <w:lang w:val="fr-FR"/>
              </w:rPr>
              <w:t>v</w:t>
            </w:r>
            <w:r w:rsidR="004D502E" w:rsidRPr="002A1E40">
              <w:rPr>
                <w:i/>
                <w:iCs/>
                <w:lang w:val="fr-FR"/>
              </w:rPr>
              <w:t>.</w:t>
            </w:r>
            <w:r w:rsidRPr="002A1E40">
              <w:rPr>
                <w:i/>
                <w:iCs/>
                <w:lang w:val="fr-FR"/>
              </w:rPr>
              <w:t>1</w:t>
            </w:r>
            <w:r w:rsidR="004D502E" w:rsidRPr="002A1E40">
              <w:rPr>
                <w:i/>
                <w:iCs/>
                <w:lang w:val="fr-FR"/>
              </w:rPr>
              <w:t xml:space="preserve">) </w:t>
            </w:r>
            <w:r w:rsidRPr="002A1E40">
              <w:rPr>
                <w:i/>
                <w:iCs/>
                <w:lang w:val="fr-FR"/>
              </w:rPr>
              <w:t>(§</w:t>
            </w:r>
            <w:r w:rsidR="004D502E" w:rsidRPr="002A1E40">
              <w:rPr>
                <w:i/>
                <w:iCs/>
                <w:lang w:val="fr-FR"/>
              </w:rPr>
              <w:t xml:space="preserve"> </w:t>
            </w:r>
            <w:r w:rsidRPr="002A1E40">
              <w:rPr>
                <w:i/>
                <w:iCs/>
                <w:lang w:val="fr-FR"/>
              </w:rPr>
              <w:t>6), 10, 20</w:t>
            </w:r>
          </w:p>
        </w:tc>
        <w:tc>
          <w:tcPr>
            <w:tcW w:w="3796" w:type="pct"/>
          </w:tcPr>
          <w:p w14:paraId="75FD606F" w14:textId="2AC88068" w:rsidR="00AF37FD" w:rsidRPr="002A1E40" w:rsidRDefault="00AF37FD" w:rsidP="00224F0B">
            <w:pPr>
              <w:pStyle w:val="Tabletext"/>
              <w:rPr>
                <w:lang w:val="fr-FR"/>
              </w:rPr>
            </w:pPr>
            <w:r w:rsidRPr="002A1E40">
              <w:rPr>
                <w:lang w:val="fr-FR"/>
              </w:rPr>
              <w:t xml:space="preserve">Le GCR a pris note </w:t>
            </w:r>
            <w:r w:rsidR="00461BA1">
              <w:rPr>
                <w:color w:val="000000"/>
                <w:lang w:val="fr-FR"/>
              </w:rPr>
              <w:t>du projet de P</w:t>
            </w:r>
            <w:r w:rsidRPr="002A1E40">
              <w:rPr>
                <w:color w:val="000000"/>
                <w:lang w:val="fr-FR"/>
              </w:rPr>
              <w:t>lan opérationnel quadriennal glissant</w:t>
            </w:r>
            <w:r w:rsidR="00461BA1">
              <w:rPr>
                <w:lang w:val="fr-FR"/>
              </w:rPr>
              <w:t xml:space="preserve"> de l'</w:t>
            </w:r>
            <w:r w:rsidRPr="002A1E40">
              <w:rPr>
                <w:lang w:val="fr-FR"/>
              </w:rPr>
              <w:t xml:space="preserve">UIT-R pour la période 2021-2024. </w:t>
            </w:r>
          </w:p>
          <w:p w14:paraId="14696F46" w14:textId="75300B3A" w:rsidR="00AF37FD" w:rsidRPr="002A1E40" w:rsidRDefault="00AF37FD" w:rsidP="00224F0B">
            <w:pPr>
              <w:pStyle w:val="Tabletext"/>
              <w:rPr>
                <w:lang w:val="fr-FR"/>
              </w:rPr>
            </w:pPr>
            <w:r w:rsidRPr="002A1E40">
              <w:rPr>
                <w:lang w:val="fr-FR"/>
              </w:rPr>
              <w:t>En ce qui concerne le Document 20 (Chine), le GCR a invité le Directeur à tenir compte, dans son rapport au Conseil, de l'appui fourni par le GCR pour améliorer la plate-forme de participation à distance de l'UIT, compte tenu des différents points de vue exprimés par les délégués sur les avantages et les problèmes inhérents au recours aux réunions virtuelles par opposition aux réunions physiques pour faire avancer les travaux de l'UIT-R.</w:t>
            </w:r>
          </w:p>
        </w:tc>
      </w:tr>
      <w:tr w:rsidR="00AF37FD" w:rsidRPr="00543B5D" w14:paraId="45F5B352" w14:textId="77777777" w:rsidTr="00974E51">
        <w:trPr>
          <w:jc w:val="center"/>
        </w:trPr>
        <w:tc>
          <w:tcPr>
            <w:tcW w:w="339" w:type="pct"/>
          </w:tcPr>
          <w:p w14:paraId="131825B7" w14:textId="77777777" w:rsidR="00AF37FD" w:rsidRPr="002A1E40" w:rsidRDefault="00AF37FD" w:rsidP="00224F0B">
            <w:pPr>
              <w:pStyle w:val="Tabletext"/>
              <w:jc w:val="center"/>
              <w:rPr>
                <w:lang w:val="fr-FR"/>
              </w:rPr>
            </w:pPr>
            <w:r w:rsidRPr="002A1E40">
              <w:rPr>
                <w:lang w:val="fr-FR"/>
              </w:rPr>
              <w:br w:type="page"/>
              <w:t>9</w:t>
            </w:r>
          </w:p>
        </w:tc>
        <w:tc>
          <w:tcPr>
            <w:tcW w:w="865" w:type="pct"/>
          </w:tcPr>
          <w:p w14:paraId="206B8FE9" w14:textId="4DA1ED8C" w:rsidR="00AF37FD" w:rsidRPr="002A1E40" w:rsidRDefault="00461BA1" w:rsidP="00224F0B">
            <w:pPr>
              <w:pStyle w:val="Tabletext"/>
              <w:rPr>
                <w:lang w:val="fr-FR"/>
              </w:rPr>
            </w:pPr>
            <w:r>
              <w:rPr>
                <w:lang w:val="fr-FR"/>
              </w:rPr>
              <w:t>Système d'information du </w:t>
            </w:r>
            <w:r w:rsidR="00AF37FD" w:rsidRPr="002A1E40">
              <w:rPr>
                <w:lang w:val="fr-FR"/>
              </w:rPr>
              <w:t>BR</w:t>
            </w:r>
          </w:p>
          <w:p w14:paraId="597C9A7C" w14:textId="650BB9A3" w:rsidR="00AF37FD" w:rsidRPr="002A1E40" w:rsidRDefault="00AF37FD" w:rsidP="00224F0B">
            <w:pPr>
              <w:pStyle w:val="Tabletext"/>
              <w:rPr>
                <w:lang w:val="fr-FR"/>
              </w:rPr>
            </w:pPr>
            <w:r w:rsidRPr="002A1E40">
              <w:rPr>
                <w:i/>
                <w:iCs/>
                <w:lang w:val="fr-FR"/>
              </w:rPr>
              <w:t>RAG20/1</w:t>
            </w:r>
            <w:r w:rsidR="004D502E" w:rsidRPr="002A1E40">
              <w:rPr>
                <w:i/>
                <w:iCs/>
                <w:lang w:val="fr-FR"/>
              </w:rPr>
              <w:t>(</w:t>
            </w:r>
            <w:r w:rsidRPr="002A1E40">
              <w:rPr>
                <w:i/>
                <w:iCs/>
                <w:lang w:val="fr-FR"/>
              </w:rPr>
              <w:t>R</w:t>
            </w:r>
            <w:r w:rsidR="004D502E" w:rsidRPr="002A1E40">
              <w:rPr>
                <w:i/>
                <w:iCs/>
                <w:lang w:val="fr-FR"/>
              </w:rPr>
              <w:t>é</w:t>
            </w:r>
            <w:r w:rsidRPr="002A1E40">
              <w:rPr>
                <w:i/>
                <w:iCs/>
                <w:lang w:val="fr-FR"/>
              </w:rPr>
              <w:t>v</w:t>
            </w:r>
            <w:r w:rsidR="004D502E" w:rsidRPr="002A1E40">
              <w:rPr>
                <w:i/>
                <w:iCs/>
                <w:lang w:val="fr-FR"/>
              </w:rPr>
              <w:t>.</w:t>
            </w:r>
            <w:r w:rsidRPr="002A1E40">
              <w:rPr>
                <w:i/>
                <w:iCs/>
                <w:lang w:val="fr-FR"/>
              </w:rPr>
              <w:t>1</w:t>
            </w:r>
            <w:r w:rsidR="004D502E" w:rsidRPr="002A1E40">
              <w:rPr>
                <w:i/>
                <w:iCs/>
                <w:lang w:val="fr-FR"/>
              </w:rPr>
              <w:t xml:space="preserve">) </w:t>
            </w:r>
            <w:r w:rsidRPr="002A1E40">
              <w:rPr>
                <w:i/>
                <w:iCs/>
                <w:lang w:val="fr-FR"/>
              </w:rPr>
              <w:t>(§</w:t>
            </w:r>
            <w:r w:rsidR="004D502E" w:rsidRPr="002A1E40">
              <w:rPr>
                <w:i/>
                <w:iCs/>
                <w:lang w:val="fr-FR"/>
              </w:rPr>
              <w:t xml:space="preserve"> </w:t>
            </w:r>
            <w:r w:rsidRPr="002A1E40">
              <w:rPr>
                <w:i/>
                <w:iCs/>
                <w:lang w:val="fr-FR"/>
              </w:rPr>
              <w:t>7), 17, 22, 23</w:t>
            </w:r>
          </w:p>
        </w:tc>
        <w:tc>
          <w:tcPr>
            <w:tcW w:w="3796" w:type="pct"/>
          </w:tcPr>
          <w:p w14:paraId="4949158C" w14:textId="4BCDCF31" w:rsidR="00AF37FD" w:rsidRPr="002A1E40" w:rsidRDefault="00AF37FD" w:rsidP="00224F0B">
            <w:pPr>
              <w:pStyle w:val="Tabletext"/>
              <w:rPr>
                <w:lang w:val="fr-FR"/>
              </w:rPr>
            </w:pPr>
            <w:r w:rsidRPr="002A1E40">
              <w:rPr>
                <w:lang w:val="fr-FR"/>
              </w:rPr>
              <w:t xml:space="preserve">Le GCR a pris note avec satisfaction des travaux menés pour améliorer le système d'information du BR et invite le Directeur à continuer d'améliorer encore ce système pour faciliter les travaux dans ce domaine. </w:t>
            </w:r>
          </w:p>
          <w:p w14:paraId="25536B22" w14:textId="3CFBDA0E" w:rsidR="00AF37FD" w:rsidRPr="002A1E40" w:rsidRDefault="00461BA1" w:rsidP="00224F0B">
            <w:pPr>
              <w:pStyle w:val="Tabletext"/>
              <w:rPr>
                <w:lang w:val="fr-FR"/>
              </w:rPr>
            </w:pPr>
            <w:r>
              <w:rPr>
                <w:lang w:val="fr-FR"/>
              </w:rPr>
              <w:t>L</w:t>
            </w:r>
            <w:r w:rsidR="00AF37FD" w:rsidRPr="002A1E40">
              <w:rPr>
                <w:lang w:val="fr-FR"/>
              </w:rPr>
              <w:t>e GCR a pris note avec satisfaction du Document 17 (Japon) et a invité le Directeur à en tenir compte dans le cadre de l'amélioration des systèmes d'information du BR. En outre, le Directeur a saisi l'occasion qui lui était offerte pour remercier le Japon pour le soutien constant qu'il apporte au BR dans le cadre de la Résolution 908, aux fins de l'amélioration des systèmes d'information du Bureau. Le GCR a invité le Directeur à prendre les mesures nécessaires et à présenter un rapport à la prochaine réunion du GCR sur la manière dont le BR a amélioré ses systèmes d'information, eu égard à la proposition du Japon</w:t>
            </w:r>
            <w:r w:rsidR="004D502E" w:rsidRPr="002A1E40">
              <w:rPr>
                <w:lang w:val="fr-FR"/>
              </w:rPr>
              <w:t>.</w:t>
            </w:r>
          </w:p>
          <w:p w14:paraId="51233794" w14:textId="7AC1FB94" w:rsidR="00AF37FD" w:rsidRPr="002A1E40" w:rsidRDefault="00AF37FD" w:rsidP="00224F0B">
            <w:pPr>
              <w:pStyle w:val="Tabletext"/>
              <w:rPr>
                <w:lang w:val="fr-FR"/>
              </w:rPr>
            </w:pPr>
            <w:r w:rsidRPr="002A1E40">
              <w:rPr>
                <w:lang w:val="fr-FR"/>
              </w:rPr>
              <w:t>Pour ce qui est du Document 22 (Brésil) le GCR a pris note de la contribution et a invité le Directeur à mettre en œuvre certaines des propositions qui y figurent, dans les limites des ressources disponibles et dans la mesure du possible</w:t>
            </w:r>
            <w:r w:rsidR="00461BA1">
              <w:rPr>
                <w:lang w:val="fr-FR"/>
              </w:rPr>
              <w:t>, et de présenter un rapport au </w:t>
            </w:r>
            <w:r w:rsidRPr="002A1E40">
              <w:rPr>
                <w:lang w:val="fr-FR"/>
              </w:rPr>
              <w:t>GCR à sa prochaine réunion.</w:t>
            </w:r>
          </w:p>
          <w:p w14:paraId="4F181556" w14:textId="594ACB7C" w:rsidR="00AF37FD" w:rsidRPr="002A1E40" w:rsidRDefault="00AF37FD" w:rsidP="00224F0B">
            <w:pPr>
              <w:pStyle w:val="Tabletext"/>
              <w:rPr>
                <w:lang w:val="fr-FR"/>
              </w:rPr>
            </w:pPr>
            <w:r w:rsidRPr="002A1E40">
              <w:rPr>
                <w:lang w:val="fr-FR"/>
              </w:rPr>
              <w:t>Concernant le Document RAG20/23(Brésil), le GCR a été informé par le Bureau que le taux d'adoption de l'outil</w:t>
            </w:r>
            <w:proofErr w:type="gramStart"/>
            <w:r w:rsidRPr="002A1E40">
              <w:rPr>
                <w:lang w:val="fr-FR"/>
              </w:rPr>
              <w:t xml:space="preserve"> </w:t>
            </w:r>
            <w:r w:rsidRPr="002A1E40">
              <w:rPr>
                <w:color w:val="000000"/>
                <w:lang w:val="fr-FR"/>
              </w:rPr>
              <w:t>«Communications</w:t>
            </w:r>
            <w:proofErr w:type="gramEnd"/>
            <w:r w:rsidRPr="002A1E40">
              <w:rPr>
                <w:color w:val="000000"/>
                <w:lang w:val="fr-FR"/>
              </w:rPr>
              <w:t xml:space="preserve"> électroniques» était très satisfaisant et a noté que la pandémie survenue récemment avait entraîné une forte augmentation </w:t>
            </w:r>
            <w:r w:rsidRPr="002A1E40">
              <w:rPr>
                <w:lang w:val="fr-FR"/>
              </w:rPr>
              <w:t xml:space="preserve">de l'utilisation de cette application. En outre, le Bureau a indiqué qu'il était fermement résolu à continuer de perfectionner cet outil, afin qu'il soit aussi utile que possible aux utilisateurs, en le dotant de nouvelles fonctionnalités (Prise en compte des organisations intergouvernementales par exemple, et possibilité pour les administrations de gérer la correspondance avec </w:t>
            </w:r>
            <w:r w:rsidRPr="002A1E40">
              <w:rPr>
                <w:color w:val="000000"/>
                <w:lang w:val="fr-FR"/>
              </w:rPr>
              <w:t>leurs exploitants de satellites</w:t>
            </w:r>
            <w:r w:rsidRPr="002A1E40">
              <w:rPr>
                <w:lang w:val="fr-FR"/>
              </w:rPr>
              <w:t>)</w:t>
            </w:r>
            <w:r w:rsidR="004D502E" w:rsidRPr="002A1E40">
              <w:rPr>
                <w:lang w:val="fr-FR"/>
              </w:rPr>
              <w:t>.</w:t>
            </w:r>
          </w:p>
          <w:p w14:paraId="5303703D" w14:textId="1A35BEBC" w:rsidR="00AF37FD" w:rsidRPr="002A1E40" w:rsidRDefault="00AF37FD" w:rsidP="00224F0B">
            <w:pPr>
              <w:pStyle w:val="Tabletext"/>
              <w:rPr>
                <w:lang w:val="fr-FR"/>
              </w:rPr>
            </w:pPr>
            <w:r w:rsidRPr="002A1E40">
              <w:rPr>
                <w:lang w:val="fr-FR"/>
              </w:rPr>
              <w:t xml:space="preserve">Le GCR a pris note de cette contribution et a invité le Directeur </w:t>
            </w:r>
            <w:proofErr w:type="gramStart"/>
            <w:r w:rsidRPr="002A1E40">
              <w:rPr>
                <w:lang w:val="fr-FR"/>
              </w:rPr>
              <w:t>a</w:t>
            </w:r>
            <w:proofErr w:type="gramEnd"/>
            <w:r w:rsidRPr="002A1E40">
              <w:rPr>
                <w:lang w:val="fr-FR"/>
              </w:rPr>
              <w:t xml:space="preserve"> encourager les administrations à utiliser les communications électroniques dans toute la mesure possible</w:t>
            </w:r>
            <w:r w:rsidR="004D502E" w:rsidRPr="002A1E40">
              <w:rPr>
                <w:lang w:val="fr-FR"/>
              </w:rPr>
              <w:t>.</w:t>
            </w:r>
          </w:p>
        </w:tc>
      </w:tr>
      <w:tr w:rsidR="00AF37FD" w:rsidRPr="00543B5D" w14:paraId="26F810F5" w14:textId="77777777" w:rsidTr="00974E51">
        <w:trPr>
          <w:jc w:val="center"/>
        </w:trPr>
        <w:tc>
          <w:tcPr>
            <w:tcW w:w="339" w:type="pct"/>
          </w:tcPr>
          <w:p w14:paraId="7DED1E7C" w14:textId="77777777" w:rsidR="00AF37FD" w:rsidRPr="002A1E40" w:rsidRDefault="00AF37FD" w:rsidP="00224F0B">
            <w:pPr>
              <w:pStyle w:val="Tabletext"/>
              <w:keepNext/>
              <w:keepLines/>
              <w:jc w:val="center"/>
              <w:rPr>
                <w:lang w:val="fr-FR"/>
              </w:rPr>
            </w:pPr>
            <w:r w:rsidRPr="002A1E40">
              <w:rPr>
                <w:lang w:val="fr-FR"/>
              </w:rPr>
              <w:lastRenderedPageBreak/>
              <w:t>10</w:t>
            </w:r>
          </w:p>
        </w:tc>
        <w:tc>
          <w:tcPr>
            <w:tcW w:w="865" w:type="pct"/>
          </w:tcPr>
          <w:p w14:paraId="0CB7891D" w14:textId="5F265AD9" w:rsidR="00AF37FD" w:rsidRPr="002A1E40" w:rsidRDefault="00AF37FD" w:rsidP="00224F0B">
            <w:pPr>
              <w:pStyle w:val="Tabletext"/>
              <w:keepNext/>
              <w:keepLines/>
              <w:rPr>
                <w:lang w:val="fr-FR"/>
              </w:rPr>
            </w:pPr>
            <w:r w:rsidRPr="002A1E40">
              <w:rPr>
                <w:lang w:val="fr-FR"/>
              </w:rPr>
              <w:t>Sensibilisation des membres</w:t>
            </w:r>
            <w:r w:rsidRPr="002A1E40">
              <w:rPr>
                <w:i/>
                <w:iCs/>
                <w:lang w:val="fr-FR"/>
              </w:rPr>
              <w:t xml:space="preserve"> </w:t>
            </w:r>
            <w:r w:rsidRPr="002A1E40">
              <w:rPr>
                <w:lang w:val="fr-FR"/>
              </w:rPr>
              <w:br/>
            </w:r>
            <w:r w:rsidRPr="002A1E40">
              <w:rPr>
                <w:i/>
                <w:iCs/>
                <w:lang w:val="fr-FR"/>
              </w:rPr>
              <w:t>RAG20/1</w:t>
            </w:r>
            <w:r w:rsidR="004D502E" w:rsidRPr="002A1E40">
              <w:rPr>
                <w:i/>
                <w:iCs/>
                <w:lang w:val="fr-FR"/>
              </w:rPr>
              <w:t>(</w:t>
            </w:r>
            <w:r w:rsidRPr="002A1E40">
              <w:rPr>
                <w:i/>
                <w:iCs/>
                <w:lang w:val="fr-FR"/>
              </w:rPr>
              <w:t>R</w:t>
            </w:r>
            <w:r w:rsidR="004D502E" w:rsidRPr="002A1E40">
              <w:rPr>
                <w:i/>
                <w:iCs/>
                <w:lang w:val="fr-FR"/>
              </w:rPr>
              <w:t>é</w:t>
            </w:r>
            <w:r w:rsidRPr="002A1E40">
              <w:rPr>
                <w:i/>
                <w:iCs/>
                <w:lang w:val="fr-FR"/>
              </w:rPr>
              <w:t>v</w:t>
            </w:r>
            <w:r w:rsidR="004D502E" w:rsidRPr="002A1E40">
              <w:rPr>
                <w:i/>
                <w:iCs/>
                <w:lang w:val="fr-FR"/>
              </w:rPr>
              <w:t>.</w:t>
            </w:r>
            <w:r w:rsidRPr="002A1E40">
              <w:rPr>
                <w:i/>
                <w:iCs/>
                <w:lang w:val="fr-FR"/>
              </w:rPr>
              <w:t>1</w:t>
            </w:r>
            <w:r w:rsidR="004D502E" w:rsidRPr="002A1E40">
              <w:rPr>
                <w:i/>
                <w:iCs/>
                <w:lang w:val="fr-FR"/>
              </w:rPr>
              <w:t xml:space="preserve">) </w:t>
            </w:r>
            <w:r w:rsidRPr="002A1E40">
              <w:rPr>
                <w:i/>
                <w:iCs/>
                <w:lang w:val="fr-FR"/>
              </w:rPr>
              <w:t>(§</w:t>
            </w:r>
            <w:r w:rsidR="004D502E" w:rsidRPr="002A1E40">
              <w:rPr>
                <w:i/>
                <w:iCs/>
                <w:lang w:val="fr-FR"/>
              </w:rPr>
              <w:t xml:space="preserve"> </w:t>
            </w:r>
            <w:r w:rsidRPr="002A1E40">
              <w:rPr>
                <w:i/>
                <w:iCs/>
                <w:lang w:val="fr-FR"/>
              </w:rPr>
              <w:t>8)</w:t>
            </w:r>
          </w:p>
        </w:tc>
        <w:tc>
          <w:tcPr>
            <w:tcW w:w="3796" w:type="pct"/>
          </w:tcPr>
          <w:p w14:paraId="2D8517E6" w14:textId="1E7ADE4E" w:rsidR="00AF37FD" w:rsidRPr="002A1E40" w:rsidRDefault="00AF37FD" w:rsidP="00224F0B">
            <w:pPr>
              <w:pStyle w:val="Tabletext"/>
              <w:keepNext/>
              <w:keepLines/>
              <w:rPr>
                <w:lang w:val="fr-FR"/>
              </w:rPr>
            </w:pPr>
            <w:r w:rsidRPr="002A1E40">
              <w:rPr>
                <w:lang w:val="fr-FR"/>
              </w:rPr>
              <w:t>Le GCR a pris note du rapport et a invité le Directeur à poursuivre les efforts du BR pour fournir une assistance et renforcer les capacités compte tenu des moyens à sa disposition</w:t>
            </w:r>
            <w:r w:rsidR="004D502E" w:rsidRPr="002A1E40">
              <w:rPr>
                <w:lang w:val="fr-FR"/>
              </w:rPr>
              <w:t>.</w:t>
            </w:r>
          </w:p>
          <w:p w14:paraId="65F29983" w14:textId="2DAE0633" w:rsidR="00AF37FD" w:rsidRPr="002A1E40" w:rsidRDefault="00AF37FD" w:rsidP="00224F0B">
            <w:pPr>
              <w:pStyle w:val="Tabletext"/>
              <w:keepNext/>
              <w:keepLines/>
              <w:rPr>
                <w:lang w:val="fr-FR"/>
              </w:rPr>
            </w:pPr>
            <w:r w:rsidRPr="002A1E40">
              <w:rPr>
                <w:lang w:val="fr-FR"/>
              </w:rPr>
              <w:t xml:space="preserve">S'agissant du WRS-2020, le GCR a informé le Directeur qu'il était important que les ateliers (sur les services spatiaux et les services de Terre) soient entièrement disponibles en ligne et enregistrés en vue de futures consultations par les membres, non seulement en raison de la situation liée au COVID, mais aussi à titre permanent. </w:t>
            </w:r>
          </w:p>
        </w:tc>
      </w:tr>
      <w:tr w:rsidR="00AF37FD" w:rsidRPr="00543B5D" w14:paraId="029BDE2A" w14:textId="77777777" w:rsidTr="00974E51">
        <w:trPr>
          <w:jc w:val="center"/>
        </w:trPr>
        <w:tc>
          <w:tcPr>
            <w:tcW w:w="339" w:type="pct"/>
          </w:tcPr>
          <w:p w14:paraId="15AF3CBB" w14:textId="77777777" w:rsidR="00AF37FD" w:rsidRPr="002A1E40" w:rsidRDefault="00AF37FD" w:rsidP="00224F0B">
            <w:pPr>
              <w:pStyle w:val="Tabletext"/>
              <w:keepNext/>
              <w:keepLines/>
              <w:jc w:val="center"/>
              <w:rPr>
                <w:lang w:val="fr-FR"/>
              </w:rPr>
            </w:pPr>
            <w:r w:rsidRPr="002A1E40">
              <w:rPr>
                <w:lang w:val="fr-FR"/>
              </w:rPr>
              <w:t>11</w:t>
            </w:r>
          </w:p>
        </w:tc>
        <w:tc>
          <w:tcPr>
            <w:tcW w:w="865" w:type="pct"/>
          </w:tcPr>
          <w:p w14:paraId="7EB98E79" w14:textId="77777777" w:rsidR="00AF37FD" w:rsidRPr="002A1E40" w:rsidRDefault="00AF37FD" w:rsidP="00224F0B">
            <w:pPr>
              <w:pStyle w:val="Tabletext"/>
              <w:keepNext/>
              <w:keepLines/>
              <w:rPr>
                <w:lang w:val="fr-FR"/>
              </w:rPr>
            </w:pPr>
            <w:r w:rsidRPr="002A1E40">
              <w:rPr>
                <w:lang w:val="fr-FR"/>
              </w:rPr>
              <w:t>Date de la prochaine réunion</w:t>
            </w:r>
          </w:p>
        </w:tc>
        <w:tc>
          <w:tcPr>
            <w:tcW w:w="3796" w:type="pct"/>
          </w:tcPr>
          <w:p w14:paraId="2F9BAF2B" w14:textId="28A67731" w:rsidR="00AF37FD" w:rsidRPr="002A1E40" w:rsidRDefault="00AF37FD" w:rsidP="00224F0B">
            <w:pPr>
              <w:pStyle w:val="Tabletext"/>
              <w:keepNext/>
              <w:keepLines/>
              <w:rPr>
                <w:lang w:val="fr-FR"/>
              </w:rPr>
            </w:pPr>
            <w:r w:rsidRPr="002A1E40">
              <w:rPr>
                <w:lang w:val="fr-FR"/>
              </w:rPr>
              <w:t>Il est prévu que la 28</w:t>
            </w:r>
            <w:r w:rsidR="004D502E" w:rsidRPr="002A1E40">
              <w:rPr>
                <w:lang w:val="fr-FR"/>
              </w:rPr>
              <w:t>ème</w:t>
            </w:r>
            <w:r w:rsidRPr="002A1E40">
              <w:rPr>
                <w:lang w:val="fr-FR"/>
              </w:rPr>
              <w:t xml:space="preserve"> réunion du GCR ait lieu du 29 mars au 1er avril 2021. </w:t>
            </w:r>
          </w:p>
        </w:tc>
      </w:tr>
      <w:tr w:rsidR="00AF37FD" w:rsidRPr="002A1E40" w14:paraId="7AC581DA" w14:textId="77777777" w:rsidTr="00974E51">
        <w:trPr>
          <w:jc w:val="center"/>
        </w:trPr>
        <w:tc>
          <w:tcPr>
            <w:tcW w:w="339" w:type="pct"/>
          </w:tcPr>
          <w:p w14:paraId="30A6A70F" w14:textId="77777777" w:rsidR="00AF37FD" w:rsidRPr="002A1E40" w:rsidRDefault="00AF37FD" w:rsidP="00224F0B">
            <w:pPr>
              <w:pStyle w:val="Tabletext"/>
              <w:jc w:val="center"/>
              <w:rPr>
                <w:lang w:val="fr-FR"/>
              </w:rPr>
            </w:pPr>
            <w:r w:rsidRPr="002A1E40">
              <w:rPr>
                <w:lang w:val="fr-FR"/>
              </w:rPr>
              <w:t>12</w:t>
            </w:r>
          </w:p>
        </w:tc>
        <w:tc>
          <w:tcPr>
            <w:tcW w:w="865" w:type="pct"/>
          </w:tcPr>
          <w:p w14:paraId="0463ADF7" w14:textId="77777777" w:rsidR="00AF37FD" w:rsidRPr="002A1E40" w:rsidRDefault="00AF37FD" w:rsidP="00224F0B">
            <w:pPr>
              <w:pStyle w:val="Tabletext"/>
              <w:rPr>
                <w:lang w:val="fr-FR"/>
              </w:rPr>
            </w:pPr>
            <w:r w:rsidRPr="002A1E40">
              <w:rPr>
                <w:lang w:val="fr-FR"/>
              </w:rPr>
              <w:t>Divers</w:t>
            </w:r>
          </w:p>
        </w:tc>
        <w:tc>
          <w:tcPr>
            <w:tcW w:w="3796" w:type="pct"/>
          </w:tcPr>
          <w:p w14:paraId="7F159A18" w14:textId="77777777" w:rsidR="00AF37FD" w:rsidRPr="002A1E40" w:rsidRDefault="00AF37FD" w:rsidP="00224F0B">
            <w:pPr>
              <w:pStyle w:val="Tabletext"/>
              <w:rPr>
                <w:lang w:val="fr-FR"/>
              </w:rPr>
            </w:pPr>
          </w:p>
        </w:tc>
      </w:tr>
    </w:tbl>
    <w:p w14:paraId="06138135" w14:textId="77777777" w:rsidR="00AF37FD" w:rsidRPr="002A1E40" w:rsidRDefault="00AF37FD" w:rsidP="00156853">
      <w:pPr>
        <w:spacing w:before="1080" w:line="240" w:lineRule="auto"/>
        <w:rPr>
          <w:szCs w:val="24"/>
          <w:lang w:val="fr-FR"/>
        </w:rPr>
      </w:pPr>
      <w:proofErr w:type="gramStart"/>
      <w:r w:rsidRPr="002A1E40">
        <w:rPr>
          <w:szCs w:val="24"/>
          <w:u w:val="single"/>
          <w:lang w:val="fr-FR"/>
        </w:rPr>
        <w:t>ANNEXES</w:t>
      </w:r>
      <w:r w:rsidRPr="002A1E40">
        <w:rPr>
          <w:szCs w:val="24"/>
          <w:lang w:val="fr-FR"/>
        </w:rPr>
        <w:t>:</w:t>
      </w:r>
      <w:proofErr w:type="gramEnd"/>
    </w:p>
    <w:p w14:paraId="35508F38" w14:textId="4959A560" w:rsidR="00AF37FD" w:rsidRPr="002A1E40" w:rsidRDefault="00AF37FD" w:rsidP="00224F0B">
      <w:pPr>
        <w:spacing w:line="240" w:lineRule="auto"/>
        <w:ind w:left="1191" w:hanging="1191"/>
        <w:jc w:val="left"/>
        <w:rPr>
          <w:szCs w:val="24"/>
          <w:lang w:val="fr-FR"/>
        </w:rPr>
      </w:pPr>
      <w:r w:rsidRPr="002A1E40">
        <w:rPr>
          <w:szCs w:val="24"/>
          <w:lang w:val="fr-FR"/>
        </w:rPr>
        <w:t xml:space="preserve">ANNEXE </w:t>
      </w:r>
      <w:proofErr w:type="gramStart"/>
      <w:r w:rsidRPr="002A1E40">
        <w:rPr>
          <w:szCs w:val="24"/>
          <w:lang w:val="fr-FR"/>
        </w:rPr>
        <w:t>1:</w:t>
      </w:r>
      <w:proofErr w:type="gramEnd"/>
      <w:r w:rsidRPr="002A1E40">
        <w:rPr>
          <w:szCs w:val="24"/>
          <w:lang w:val="fr-FR"/>
        </w:rPr>
        <w:tab/>
        <w:t xml:space="preserve">Mandat du Groupe de travail par correspondance 1 du GCR sur la mise en œuvre de la </w:t>
      </w:r>
      <w:r w:rsidRPr="002A1E40">
        <w:rPr>
          <w:color w:val="000000"/>
          <w:lang w:val="fr-FR"/>
        </w:rPr>
        <w:t>D</w:t>
      </w:r>
      <w:r w:rsidR="00224F0B">
        <w:rPr>
          <w:color w:val="000000"/>
          <w:lang w:val="fr-FR"/>
        </w:rPr>
        <w:t>éclaration sur l'égalité hommes-</w:t>
      </w:r>
      <w:r w:rsidRPr="002A1E40">
        <w:rPr>
          <w:color w:val="000000"/>
          <w:lang w:val="fr-FR"/>
        </w:rPr>
        <w:t>femmes</w:t>
      </w:r>
      <w:r w:rsidRPr="002A1E40">
        <w:rPr>
          <w:szCs w:val="24"/>
          <w:lang w:val="fr-FR"/>
        </w:rPr>
        <w:t xml:space="preserve"> adoptée par la CMR-19 et rédaction d'une éventuelle Résolution de l'AR-23 </w:t>
      </w:r>
      <w:r w:rsidR="00224F0B">
        <w:rPr>
          <w:color w:val="000000"/>
          <w:lang w:val="fr-FR"/>
        </w:rPr>
        <w:t>sur l'égalité hommes-</w:t>
      </w:r>
      <w:r w:rsidRPr="002A1E40">
        <w:rPr>
          <w:color w:val="000000"/>
          <w:lang w:val="fr-FR"/>
        </w:rPr>
        <w:t>femmes</w:t>
      </w:r>
    </w:p>
    <w:p w14:paraId="6E931D53" w14:textId="3502F5F3" w:rsidR="00AF37FD" w:rsidRPr="002A1E40" w:rsidRDefault="00AF37FD" w:rsidP="00224F0B">
      <w:pPr>
        <w:spacing w:line="240" w:lineRule="auto"/>
        <w:jc w:val="left"/>
        <w:rPr>
          <w:rFonts w:asciiTheme="minorHAnsi" w:hAnsiTheme="minorHAnsi"/>
          <w:lang w:val="fr-FR"/>
        </w:rPr>
      </w:pPr>
      <w:r w:rsidRPr="002A1E40">
        <w:rPr>
          <w:szCs w:val="24"/>
          <w:lang w:val="fr-FR"/>
        </w:rPr>
        <w:t xml:space="preserve">ANNEXE </w:t>
      </w:r>
      <w:proofErr w:type="gramStart"/>
      <w:r w:rsidRPr="002A1E40">
        <w:rPr>
          <w:szCs w:val="24"/>
          <w:lang w:val="fr-FR"/>
        </w:rPr>
        <w:t>2:</w:t>
      </w:r>
      <w:proofErr w:type="gramEnd"/>
      <w:r w:rsidRPr="002A1E40">
        <w:rPr>
          <w:szCs w:val="24"/>
          <w:lang w:val="fr-FR"/>
        </w:rPr>
        <w:tab/>
        <w:t xml:space="preserve">Projet de mandat du Groupe de travail par correspondance 2 du GCR chargé de la révision éventuelle des </w:t>
      </w:r>
      <w:r w:rsidR="004D502E" w:rsidRPr="002A1E40">
        <w:rPr>
          <w:rFonts w:asciiTheme="minorHAnsi" w:hAnsiTheme="minorHAnsi"/>
          <w:lang w:val="fr-FR"/>
        </w:rPr>
        <w:t>Résolutions</w:t>
      </w:r>
      <w:r w:rsidRPr="002A1E40">
        <w:rPr>
          <w:rFonts w:asciiTheme="minorHAnsi" w:hAnsiTheme="minorHAnsi"/>
          <w:lang w:val="fr-FR"/>
        </w:rPr>
        <w:t xml:space="preserve"> UIT-R 1-8 et 15-6</w:t>
      </w:r>
    </w:p>
    <w:p w14:paraId="6485CCBD" w14:textId="77777777" w:rsidR="004D502E" w:rsidRPr="002A1E40" w:rsidRDefault="004D502E" w:rsidP="00224F0B">
      <w:pPr>
        <w:spacing w:line="240" w:lineRule="auto"/>
        <w:jc w:val="left"/>
        <w:rPr>
          <w:rFonts w:asciiTheme="minorHAnsi" w:hAnsiTheme="minorHAnsi"/>
          <w:lang w:val="fr-FR"/>
        </w:rPr>
      </w:pPr>
    </w:p>
    <w:p w14:paraId="42220F83" w14:textId="77777777" w:rsidR="00AF37FD" w:rsidRPr="002A1E40" w:rsidRDefault="00AF37FD" w:rsidP="00224F0B">
      <w:pPr>
        <w:spacing w:line="240" w:lineRule="auto"/>
        <w:jc w:val="left"/>
        <w:rPr>
          <w:szCs w:val="24"/>
          <w:lang w:val="fr-FR"/>
        </w:rPr>
        <w:sectPr w:rsidR="00AF37FD" w:rsidRPr="002A1E40" w:rsidSect="00AF37FD">
          <w:pgSz w:w="16834" w:h="11907" w:orient="landscape" w:code="9"/>
          <w:pgMar w:top="1134" w:right="1134" w:bottom="1134" w:left="993" w:header="567" w:footer="397" w:gutter="0"/>
          <w:cols w:space="720"/>
          <w:docGrid w:linePitch="326"/>
        </w:sectPr>
      </w:pPr>
    </w:p>
    <w:p w14:paraId="19EE0A2C" w14:textId="77777777" w:rsidR="00AF37FD" w:rsidRPr="002A1E40" w:rsidRDefault="00AF37FD" w:rsidP="00224F0B">
      <w:pPr>
        <w:pStyle w:val="AnnexNoTitle"/>
        <w:spacing w:before="120" w:line="240" w:lineRule="auto"/>
        <w:rPr>
          <w:lang w:val="fr-FR"/>
        </w:rPr>
      </w:pPr>
      <w:r w:rsidRPr="002A1E40">
        <w:rPr>
          <w:lang w:val="fr-FR"/>
        </w:rPr>
        <w:lastRenderedPageBreak/>
        <w:t>ANNEXE 1</w:t>
      </w:r>
    </w:p>
    <w:p w14:paraId="5C08EF1B" w14:textId="2065DA2F" w:rsidR="00AF37FD" w:rsidRPr="002A1E40" w:rsidRDefault="00AF37FD" w:rsidP="00224F0B">
      <w:pPr>
        <w:pStyle w:val="AnnexNoTitle"/>
        <w:spacing w:before="120" w:line="240" w:lineRule="auto"/>
        <w:rPr>
          <w:b w:val="0"/>
          <w:bCs/>
          <w:lang w:val="fr-FR"/>
        </w:rPr>
      </w:pPr>
      <w:r w:rsidRPr="002A1E40">
        <w:rPr>
          <w:b w:val="0"/>
          <w:bCs/>
          <w:lang w:val="fr-FR"/>
        </w:rPr>
        <w:t>(</w:t>
      </w:r>
      <w:proofErr w:type="gramStart"/>
      <w:r w:rsidRPr="002A1E40">
        <w:rPr>
          <w:b w:val="0"/>
          <w:bCs/>
          <w:lang w:val="fr-FR"/>
        </w:rPr>
        <w:t>Source:</w:t>
      </w:r>
      <w:proofErr w:type="gramEnd"/>
      <w:r w:rsidRPr="002A1E40">
        <w:rPr>
          <w:b w:val="0"/>
          <w:bCs/>
          <w:lang w:val="fr-FR"/>
        </w:rPr>
        <w:t xml:space="preserve"> Doc. RAG20/TEMP/3</w:t>
      </w:r>
      <w:r w:rsidR="002A1E40" w:rsidRPr="002A1E40">
        <w:rPr>
          <w:b w:val="0"/>
          <w:bCs/>
          <w:lang w:val="fr-FR"/>
        </w:rPr>
        <w:t xml:space="preserve"> − </w:t>
      </w:r>
      <w:r w:rsidRPr="002A1E40">
        <w:rPr>
          <w:b w:val="0"/>
          <w:bCs/>
          <w:lang w:val="fr-FR"/>
        </w:rPr>
        <w:t>Annex</w:t>
      </w:r>
      <w:r w:rsidR="002A1E40" w:rsidRPr="002A1E40">
        <w:rPr>
          <w:b w:val="0"/>
          <w:bCs/>
          <w:lang w:val="fr-FR"/>
        </w:rPr>
        <w:t>e</w:t>
      </w:r>
      <w:r w:rsidRPr="002A1E40">
        <w:rPr>
          <w:b w:val="0"/>
          <w:bCs/>
          <w:lang w:val="fr-FR"/>
        </w:rPr>
        <w:t xml:space="preserve"> 1)</w:t>
      </w:r>
    </w:p>
    <w:p w14:paraId="233E361E" w14:textId="61455B91" w:rsidR="00AF37FD" w:rsidRPr="002A1E40" w:rsidRDefault="00AF37FD" w:rsidP="00224F0B">
      <w:pPr>
        <w:pStyle w:val="AnnexNoTitle"/>
        <w:spacing w:before="240" w:line="240" w:lineRule="auto"/>
        <w:rPr>
          <w:lang w:val="fr-FR"/>
        </w:rPr>
      </w:pPr>
      <w:r w:rsidRPr="002A1E40">
        <w:rPr>
          <w:lang w:val="fr-FR"/>
        </w:rPr>
        <w:t xml:space="preserve">Mandat du Groupe de travail par correspondance 1 du GCR sur la mise en œuvre de la </w:t>
      </w:r>
      <w:r w:rsidRPr="002A1E40">
        <w:rPr>
          <w:color w:val="000000"/>
          <w:lang w:val="fr-FR"/>
        </w:rPr>
        <w:t>D</w:t>
      </w:r>
      <w:r w:rsidR="00224F0B">
        <w:rPr>
          <w:color w:val="000000"/>
          <w:lang w:val="fr-FR"/>
        </w:rPr>
        <w:t>éclaration sur l'égalité hommes-</w:t>
      </w:r>
      <w:r w:rsidRPr="002A1E40">
        <w:rPr>
          <w:color w:val="000000"/>
          <w:lang w:val="fr-FR"/>
        </w:rPr>
        <w:t>femmes</w:t>
      </w:r>
      <w:r w:rsidRPr="002A1E40">
        <w:rPr>
          <w:lang w:val="fr-FR"/>
        </w:rPr>
        <w:t xml:space="preserve"> adoptée par la CMR-19 et rédaction </w:t>
      </w:r>
      <w:r w:rsidR="004D502E" w:rsidRPr="002A1E40">
        <w:rPr>
          <w:lang w:val="fr-FR"/>
        </w:rPr>
        <w:br/>
      </w:r>
      <w:r w:rsidRPr="002A1E40">
        <w:rPr>
          <w:lang w:val="fr-FR"/>
        </w:rPr>
        <w:t xml:space="preserve">d'une éventuelle Résolution de l'AR-23 </w:t>
      </w:r>
      <w:r w:rsidR="00224F0B">
        <w:rPr>
          <w:color w:val="000000"/>
          <w:lang w:val="fr-FR"/>
        </w:rPr>
        <w:t>sur l'égalité hommes-</w:t>
      </w:r>
      <w:r w:rsidRPr="002A1E40">
        <w:rPr>
          <w:color w:val="000000"/>
          <w:lang w:val="fr-FR"/>
        </w:rPr>
        <w:t>femmes</w:t>
      </w:r>
    </w:p>
    <w:p w14:paraId="24AEF35E" w14:textId="3E2B5C16" w:rsidR="00AF37FD" w:rsidRPr="002A1E40" w:rsidRDefault="00461BA1" w:rsidP="00224F0B">
      <w:pPr>
        <w:pStyle w:val="Normalaftertitle"/>
        <w:spacing w:line="240" w:lineRule="auto"/>
        <w:jc w:val="left"/>
        <w:rPr>
          <w:lang w:val="fr-FR"/>
        </w:rPr>
      </w:pPr>
      <w:r>
        <w:rPr>
          <w:lang w:val="fr-FR"/>
        </w:rPr>
        <w:t>Aux termes des §</w:t>
      </w:r>
      <w:r w:rsidR="00AF37FD" w:rsidRPr="002A1E40">
        <w:rPr>
          <w:lang w:val="fr-FR"/>
        </w:rPr>
        <w:t xml:space="preserve"> A1.4.1 à A1.4.4 de la Résolution UIT-R 1-8 et de la Résolution UIT</w:t>
      </w:r>
      <w:r w:rsidR="007926FE">
        <w:rPr>
          <w:lang w:val="fr-FR"/>
        </w:rPr>
        <w:t>-</w:t>
      </w:r>
      <w:r w:rsidR="00AF37FD" w:rsidRPr="002A1E40">
        <w:rPr>
          <w:lang w:val="fr-FR"/>
        </w:rPr>
        <w:t>R 52-1, examiner les mesures à prendre avant l'AR-23 aux fins de la mise en œuvre des dispositions de la Déclaration</w:t>
      </w:r>
      <w:r w:rsidR="00224F0B">
        <w:rPr>
          <w:color w:val="000000"/>
          <w:lang w:val="fr-FR"/>
        </w:rPr>
        <w:t xml:space="preserve"> sur l'égalité hommes-</w:t>
      </w:r>
      <w:r w:rsidR="00AF37FD" w:rsidRPr="002A1E40">
        <w:rPr>
          <w:color w:val="000000"/>
          <w:lang w:val="fr-FR"/>
        </w:rPr>
        <w:t>femmes</w:t>
      </w:r>
      <w:r w:rsidR="00AF37FD" w:rsidRPr="002A1E40">
        <w:rPr>
          <w:lang w:val="fr-FR"/>
        </w:rPr>
        <w:t xml:space="preserve"> adoptée par la CMR-19. Le Groupe de travail par correspondance 1 du GCR (RAG CG-1) devrait en particulier réfléchir aux </w:t>
      </w:r>
      <w:proofErr w:type="gramStart"/>
      <w:r w:rsidR="00AF37FD" w:rsidRPr="002A1E40">
        <w:rPr>
          <w:lang w:val="fr-FR"/>
        </w:rPr>
        <w:t>moyens:</w:t>
      </w:r>
      <w:proofErr w:type="gramEnd"/>
    </w:p>
    <w:p w14:paraId="66BB2826" w14:textId="310B608F" w:rsidR="00AF37FD" w:rsidRPr="002A1E40" w:rsidRDefault="00AF37FD" w:rsidP="00224F0B">
      <w:pPr>
        <w:pStyle w:val="enumlev1"/>
        <w:spacing w:line="240" w:lineRule="auto"/>
        <w:jc w:val="left"/>
        <w:rPr>
          <w:lang w:val="fr-FR"/>
        </w:rPr>
      </w:pPr>
      <w:bookmarkStart w:id="1" w:name="lt_pId382"/>
      <w:r w:rsidRPr="002A1E40">
        <w:rPr>
          <w:lang w:val="fr-FR"/>
        </w:rPr>
        <w:t>•</w:t>
      </w:r>
      <w:r w:rsidRPr="002A1E40">
        <w:rPr>
          <w:lang w:val="fr-FR"/>
        </w:rPr>
        <w:tab/>
        <w:t xml:space="preserve">de fournir des orientations en vue de sélectionner des femmes de façon équitable aux postes de Présidents, Vice-Présidents et Rapporteurs des </w:t>
      </w:r>
      <w:r w:rsidR="002A1E40">
        <w:rPr>
          <w:lang w:val="fr-FR"/>
        </w:rPr>
        <w:t>C</w:t>
      </w:r>
      <w:r w:rsidRPr="002A1E40">
        <w:rPr>
          <w:lang w:val="fr-FR"/>
        </w:rPr>
        <w:t xml:space="preserve">ommissions d'études de l'UIT-R, de la RPC et dans le cadre des travaux du GCR, </w:t>
      </w:r>
      <w:bookmarkEnd w:id="1"/>
      <w:r w:rsidRPr="002A1E40">
        <w:rPr>
          <w:lang w:val="fr-FR"/>
        </w:rPr>
        <w:t xml:space="preserve">et encourager cette </w:t>
      </w:r>
      <w:proofErr w:type="gramStart"/>
      <w:r w:rsidRPr="002A1E40">
        <w:rPr>
          <w:lang w:val="fr-FR"/>
        </w:rPr>
        <w:t>démarche</w:t>
      </w:r>
      <w:r w:rsidR="004D502E" w:rsidRPr="002A1E40">
        <w:rPr>
          <w:lang w:val="fr-FR"/>
        </w:rPr>
        <w:t>;</w:t>
      </w:r>
      <w:proofErr w:type="gramEnd"/>
    </w:p>
    <w:p w14:paraId="35003331" w14:textId="11788EA3" w:rsidR="00AF37FD" w:rsidRPr="002A1E40" w:rsidRDefault="00AF37FD" w:rsidP="00224F0B">
      <w:pPr>
        <w:pStyle w:val="enumlev1"/>
        <w:spacing w:line="240" w:lineRule="auto"/>
        <w:jc w:val="left"/>
        <w:rPr>
          <w:lang w:val="fr-FR"/>
        </w:rPr>
      </w:pPr>
      <w:bookmarkStart w:id="2" w:name="lt_pId384"/>
      <w:r w:rsidRPr="002A1E40">
        <w:rPr>
          <w:lang w:val="fr-FR"/>
        </w:rPr>
        <w:t>•</w:t>
      </w:r>
      <w:r w:rsidRPr="002A1E40">
        <w:rPr>
          <w:lang w:val="fr-FR"/>
        </w:rPr>
        <w:tab/>
        <w:t>d'appuyer les travaux en cours du</w:t>
      </w:r>
      <w:proofErr w:type="gramStart"/>
      <w:r w:rsidRPr="002A1E40">
        <w:rPr>
          <w:lang w:val="fr-FR"/>
        </w:rPr>
        <w:t xml:space="preserve"> «Réseau</w:t>
      </w:r>
      <w:proofErr w:type="gramEnd"/>
      <w:r w:rsidRPr="002A1E40">
        <w:rPr>
          <w:lang w:val="fr-FR"/>
        </w:rPr>
        <w:t xml:space="preserve"> de femmes» et y contribuer, afin de renforcer et d'optimiser l'efficacité de cette initiative</w:t>
      </w:r>
      <w:bookmarkEnd w:id="2"/>
      <w:r w:rsidR="004D502E" w:rsidRPr="002A1E40">
        <w:rPr>
          <w:lang w:val="fr-FR"/>
        </w:rPr>
        <w:t>;</w:t>
      </w:r>
    </w:p>
    <w:p w14:paraId="63B89C2A" w14:textId="17CE8A67" w:rsidR="00AF37FD" w:rsidRPr="002A1E40" w:rsidRDefault="00AF37FD" w:rsidP="00224F0B">
      <w:pPr>
        <w:pStyle w:val="enumlev1"/>
        <w:spacing w:line="240" w:lineRule="auto"/>
        <w:jc w:val="left"/>
        <w:rPr>
          <w:lang w:val="fr-FR"/>
        </w:rPr>
      </w:pPr>
      <w:bookmarkStart w:id="3" w:name="lt_pId385"/>
      <w:r w:rsidRPr="002A1E40">
        <w:rPr>
          <w:lang w:val="fr-FR"/>
        </w:rPr>
        <w:t>•</w:t>
      </w:r>
      <w:r w:rsidRPr="002A1E40">
        <w:rPr>
          <w:lang w:val="fr-FR"/>
        </w:rPr>
        <w:tab/>
        <w:t>de fournir des avis, selon le cas, sur des questions intéressant l'UIT-R en vue de parvenir à l'égalité, à</w:t>
      </w:r>
      <w:r w:rsidR="007926FE">
        <w:rPr>
          <w:lang w:val="fr-FR"/>
        </w:rPr>
        <w:t xml:space="preserve"> l'équité et à la parité hommes-</w:t>
      </w:r>
      <w:r w:rsidRPr="002A1E40">
        <w:rPr>
          <w:lang w:val="fr-FR"/>
        </w:rPr>
        <w:t>femmes dans les travaux du Secteur.</w:t>
      </w:r>
      <w:bookmarkEnd w:id="3"/>
    </w:p>
    <w:p w14:paraId="3C4BEE65" w14:textId="6DF367BA" w:rsidR="00AF37FD" w:rsidRPr="002A1E40" w:rsidRDefault="00AF37FD" w:rsidP="00224F0B">
      <w:pPr>
        <w:spacing w:line="240" w:lineRule="auto"/>
        <w:jc w:val="left"/>
        <w:rPr>
          <w:rFonts w:asciiTheme="minorHAnsi" w:hAnsiTheme="minorHAnsi" w:cstheme="minorHAnsi"/>
          <w:szCs w:val="24"/>
          <w:lang w:val="fr-FR"/>
        </w:rPr>
      </w:pPr>
      <w:r w:rsidRPr="002A1E40">
        <w:rPr>
          <w:rFonts w:asciiTheme="minorHAnsi" w:hAnsiTheme="minorHAnsi" w:cstheme="minorHAnsi"/>
          <w:szCs w:val="24"/>
          <w:lang w:val="fr-FR"/>
        </w:rPr>
        <w:t>En outre, le (</w:t>
      </w:r>
      <w:r w:rsidRPr="002A1E40">
        <w:rPr>
          <w:szCs w:val="24"/>
          <w:lang w:val="fr-FR"/>
        </w:rPr>
        <w:t>RAG</w:t>
      </w:r>
      <w:r w:rsidRPr="002A1E40">
        <w:rPr>
          <w:rFonts w:asciiTheme="minorHAnsi" w:hAnsiTheme="minorHAnsi" w:cstheme="minorHAnsi"/>
          <w:szCs w:val="24"/>
          <w:lang w:val="fr-FR"/>
        </w:rPr>
        <w:t xml:space="preserve"> CG-1) devrait élaborer une nouvelle Résolution éventuelle de l'UIT-R intitulée </w:t>
      </w:r>
      <w:r w:rsidR="004D502E" w:rsidRPr="002A1E40">
        <w:rPr>
          <w:rFonts w:asciiTheme="minorHAnsi" w:hAnsiTheme="minorHAnsi" w:cstheme="minorHAnsi"/>
          <w:szCs w:val="24"/>
          <w:lang w:val="fr-FR"/>
        </w:rPr>
        <w:t>«</w:t>
      </w:r>
      <w:r w:rsidRPr="002A1E40">
        <w:rPr>
          <w:rFonts w:asciiTheme="minorHAnsi" w:hAnsiTheme="minorHAnsi" w:cstheme="minorHAnsi"/>
          <w:szCs w:val="24"/>
          <w:lang w:val="fr-FR"/>
        </w:rPr>
        <w:t>Déclaration sur la promotion de l'égalité, de l'équité et de la parité hommes-femmes dans le Secteur des radiocommunications de l'UIT</w:t>
      </w:r>
      <w:r w:rsidR="004D502E" w:rsidRPr="002A1E40">
        <w:rPr>
          <w:rFonts w:asciiTheme="minorHAnsi" w:hAnsiTheme="minorHAnsi" w:cstheme="minorHAnsi"/>
          <w:szCs w:val="24"/>
          <w:lang w:val="fr-FR"/>
        </w:rPr>
        <w:t>»</w:t>
      </w:r>
      <w:r w:rsidRPr="002A1E40">
        <w:rPr>
          <w:rFonts w:asciiTheme="minorHAnsi" w:hAnsiTheme="minorHAnsi" w:cstheme="minorHAnsi"/>
          <w:szCs w:val="24"/>
          <w:lang w:val="fr-FR"/>
        </w:rPr>
        <w:t xml:space="preserve">, afin qu'elle soit examinée par le Président du GCR et soumise ultérieurement à l'Assemblée des radiocommunications de 2023, compte tenu des dispositions de la Déclaration sur la promotion de l'égalité, de </w:t>
      </w:r>
      <w:r w:rsidR="007926FE">
        <w:rPr>
          <w:rFonts w:asciiTheme="minorHAnsi" w:hAnsiTheme="minorHAnsi" w:cstheme="minorHAnsi"/>
          <w:szCs w:val="24"/>
          <w:lang w:val="fr-FR"/>
        </w:rPr>
        <w:t>l'équité et de la parité hommes</w:t>
      </w:r>
      <w:r w:rsidR="007926FE">
        <w:rPr>
          <w:rFonts w:asciiTheme="minorHAnsi" w:hAnsiTheme="minorHAnsi" w:cstheme="minorHAnsi"/>
          <w:szCs w:val="24"/>
          <w:lang w:val="fr-FR"/>
        </w:rPr>
        <w:noBreakHyphen/>
      </w:r>
      <w:r w:rsidRPr="002A1E40">
        <w:rPr>
          <w:rFonts w:asciiTheme="minorHAnsi" w:hAnsiTheme="minorHAnsi" w:cstheme="minorHAnsi"/>
          <w:szCs w:val="24"/>
          <w:lang w:val="fr-FR"/>
        </w:rPr>
        <w:t>femmes dans le Secteur des radiocommunications de l'UIT</w:t>
      </w:r>
      <w:r w:rsidRPr="002A1E40">
        <w:rPr>
          <w:szCs w:val="24"/>
          <w:lang w:val="fr-FR"/>
        </w:rPr>
        <w:t xml:space="preserve"> adoptée par la CMR-19</w:t>
      </w:r>
      <w:r w:rsidRPr="002A1E40">
        <w:rPr>
          <w:rFonts w:asciiTheme="minorHAnsi" w:hAnsiTheme="minorHAnsi" w:cstheme="minorHAnsi"/>
          <w:szCs w:val="24"/>
          <w:lang w:val="fr-FR"/>
        </w:rPr>
        <w:t>, des renseignements figurant au § 3.2.5 du Document RAG20/1</w:t>
      </w:r>
      <w:r w:rsidR="004D502E" w:rsidRPr="002A1E40">
        <w:rPr>
          <w:rFonts w:asciiTheme="minorHAnsi" w:hAnsiTheme="minorHAnsi" w:cstheme="minorHAnsi"/>
          <w:szCs w:val="24"/>
          <w:lang w:val="fr-FR"/>
        </w:rPr>
        <w:t>(</w:t>
      </w:r>
      <w:r w:rsidRPr="002A1E40">
        <w:rPr>
          <w:rFonts w:asciiTheme="minorHAnsi" w:hAnsiTheme="minorHAnsi" w:cstheme="minorHAnsi"/>
          <w:szCs w:val="24"/>
          <w:lang w:val="fr-FR"/>
        </w:rPr>
        <w:t>R</w:t>
      </w:r>
      <w:r w:rsidR="004D502E" w:rsidRPr="002A1E40">
        <w:rPr>
          <w:rFonts w:asciiTheme="minorHAnsi" w:hAnsiTheme="minorHAnsi" w:cstheme="minorHAnsi"/>
          <w:szCs w:val="24"/>
          <w:lang w:val="fr-FR"/>
        </w:rPr>
        <w:t>é</w:t>
      </w:r>
      <w:r w:rsidRPr="002A1E40">
        <w:rPr>
          <w:rFonts w:asciiTheme="minorHAnsi" w:hAnsiTheme="minorHAnsi" w:cstheme="minorHAnsi"/>
          <w:szCs w:val="24"/>
          <w:lang w:val="fr-FR"/>
        </w:rPr>
        <w:t>v.1</w:t>
      </w:r>
      <w:r w:rsidR="004D502E" w:rsidRPr="002A1E40">
        <w:rPr>
          <w:rFonts w:asciiTheme="minorHAnsi" w:hAnsiTheme="minorHAnsi" w:cstheme="minorHAnsi"/>
          <w:szCs w:val="24"/>
          <w:lang w:val="fr-FR"/>
        </w:rPr>
        <w:t>)</w:t>
      </w:r>
      <w:r w:rsidRPr="002A1E40">
        <w:rPr>
          <w:rFonts w:asciiTheme="minorHAnsi" w:hAnsiTheme="minorHAnsi" w:cstheme="minorHAnsi"/>
          <w:szCs w:val="24"/>
          <w:lang w:val="fr-FR"/>
        </w:rPr>
        <w:t>, et de toute autre proposition soumise au (</w:t>
      </w:r>
      <w:r w:rsidRPr="002A1E40">
        <w:rPr>
          <w:szCs w:val="24"/>
          <w:lang w:val="fr-FR"/>
        </w:rPr>
        <w:t>RAG</w:t>
      </w:r>
      <w:r w:rsidRPr="002A1E40">
        <w:rPr>
          <w:rFonts w:asciiTheme="minorHAnsi" w:hAnsiTheme="minorHAnsi" w:cstheme="minorHAnsi"/>
          <w:szCs w:val="24"/>
          <w:lang w:val="fr-FR"/>
        </w:rPr>
        <w:t xml:space="preserve"> CG-1).</w:t>
      </w:r>
    </w:p>
    <w:p w14:paraId="48056B30" w14:textId="3E9AF20D" w:rsidR="00AF37FD" w:rsidRPr="002A1E40" w:rsidRDefault="00AF37FD" w:rsidP="00224F0B">
      <w:pPr>
        <w:spacing w:line="240" w:lineRule="auto"/>
        <w:jc w:val="left"/>
        <w:rPr>
          <w:rFonts w:asciiTheme="minorHAnsi" w:hAnsiTheme="minorHAnsi" w:cstheme="minorHAnsi"/>
          <w:szCs w:val="24"/>
          <w:lang w:val="fr-FR"/>
        </w:rPr>
      </w:pPr>
      <w:r w:rsidRPr="002A1E40">
        <w:rPr>
          <w:rFonts w:asciiTheme="minorHAnsi" w:hAnsiTheme="minorHAnsi" w:cstheme="minorHAnsi"/>
          <w:szCs w:val="24"/>
          <w:lang w:val="fr-FR"/>
        </w:rPr>
        <w:t>Le (</w:t>
      </w:r>
      <w:r w:rsidRPr="002A1E40">
        <w:rPr>
          <w:szCs w:val="24"/>
          <w:lang w:val="fr-FR"/>
        </w:rPr>
        <w:t>RAG</w:t>
      </w:r>
      <w:r w:rsidRPr="002A1E40">
        <w:rPr>
          <w:rFonts w:asciiTheme="minorHAnsi" w:hAnsiTheme="minorHAnsi" w:cstheme="minorHAnsi"/>
          <w:szCs w:val="24"/>
          <w:lang w:val="fr-FR"/>
        </w:rPr>
        <w:t xml:space="preserve"> CG-1) soumettra son rapport final au Président du GCR </w:t>
      </w:r>
      <w:r w:rsidRPr="002A1E40">
        <w:rPr>
          <w:color w:val="000000"/>
          <w:lang w:val="fr-FR"/>
        </w:rPr>
        <w:t xml:space="preserve">à temps pour qu'il puisse être examiné par le GCR à sa </w:t>
      </w:r>
      <w:r w:rsidRPr="002A1E40">
        <w:rPr>
          <w:rFonts w:asciiTheme="minorHAnsi" w:hAnsiTheme="minorHAnsi" w:cstheme="minorHAnsi"/>
          <w:szCs w:val="24"/>
          <w:lang w:val="fr-FR"/>
        </w:rPr>
        <w:t>30ème réunion.</w:t>
      </w:r>
    </w:p>
    <w:p w14:paraId="12EDE9C1" w14:textId="6FA165B6" w:rsidR="00AF37FD" w:rsidRPr="002A1E40" w:rsidRDefault="00AF37FD" w:rsidP="00224F0B">
      <w:pPr>
        <w:spacing w:line="240" w:lineRule="auto"/>
        <w:jc w:val="left"/>
        <w:rPr>
          <w:rFonts w:asciiTheme="minorHAnsi" w:hAnsiTheme="minorHAnsi" w:cstheme="minorHAnsi"/>
          <w:szCs w:val="24"/>
          <w:lang w:val="fr-FR"/>
        </w:rPr>
      </w:pPr>
      <w:r w:rsidRPr="002A1E40">
        <w:rPr>
          <w:rFonts w:asciiTheme="minorHAnsi" w:hAnsiTheme="minorHAnsi" w:cstheme="minorHAnsi"/>
          <w:szCs w:val="24"/>
          <w:lang w:val="fr-FR"/>
        </w:rPr>
        <w:t>Le (</w:t>
      </w:r>
      <w:r w:rsidRPr="002A1E40">
        <w:rPr>
          <w:szCs w:val="24"/>
          <w:lang w:val="fr-FR"/>
        </w:rPr>
        <w:t>RAG</w:t>
      </w:r>
      <w:r w:rsidRPr="002A1E40">
        <w:rPr>
          <w:rFonts w:asciiTheme="minorHAnsi" w:hAnsiTheme="minorHAnsi" w:cstheme="minorHAnsi"/>
          <w:szCs w:val="24"/>
          <w:lang w:val="fr-FR"/>
        </w:rPr>
        <w:t xml:space="preserve"> CG-1) est placé sous la présidence de Mme Lucia Luisa La Franceschina (Italie) (courriel:</w:t>
      </w:r>
      <w:r w:rsidR="004D502E" w:rsidRPr="002A1E40">
        <w:rPr>
          <w:rFonts w:asciiTheme="minorHAnsi" w:hAnsiTheme="minorHAnsi" w:cstheme="minorHAnsi"/>
          <w:szCs w:val="24"/>
          <w:lang w:val="fr-FR"/>
        </w:rPr>
        <w:t> </w:t>
      </w:r>
      <w:hyperlink r:id="rId20">
        <w:r w:rsidRPr="002A1E40">
          <w:rPr>
            <w:rStyle w:val="Hyperlink"/>
            <w:rFonts w:asciiTheme="minorHAnsi" w:hAnsiTheme="minorHAnsi" w:cstheme="minorHAnsi"/>
            <w:szCs w:val="24"/>
            <w:lang w:val="fr-FR"/>
          </w:rPr>
          <w:t>lucialuisa.lafranceschina@raiway.it</w:t>
        </w:r>
      </w:hyperlink>
      <w:r w:rsidRPr="002A1E40">
        <w:rPr>
          <w:rFonts w:asciiTheme="minorHAnsi" w:hAnsiTheme="minorHAnsi" w:cstheme="minorHAnsi"/>
          <w:szCs w:val="24"/>
          <w:lang w:val="fr-FR"/>
        </w:rPr>
        <w:t xml:space="preserve">) et la vice-présidence de Mme Olfa Jammeli (Tunisie) (courriel: </w:t>
      </w:r>
      <w:hyperlink r:id="rId21">
        <w:r w:rsidRPr="002A1E40">
          <w:rPr>
            <w:rStyle w:val="Hyperlink"/>
            <w:rFonts w:asciiTheme="minorHAnsi" w:hAnsiTheme="minorHAnsi" w:cstheme="minorHAnsi"/>
            <w:szCs w:val="24"/>
            <w:lang w:val="fr-FR"/>
          </w:rPr>
          <w:t>olfa.jammeli@anf.tn</w:t>
        </w:r>
      </w:hyperlink>
      <w:r w:rsidRPr="002A1E40">
        <w:rPr>
          <w:rFonts w:asciiTheme="minorHAnsi" w:hAnsiTheme="minorHAnsi" w:cstheme="minorHAnsi"/>
          <w:szCs w:val="24"/>
          <w:lang w:val="fr-FR"/>
        </w:rPr>
        <w:t>). D'autres renseignements utiles sur les travaux de ce Groupe de travail par correspondance (par exemple la liste de diffusion électronique) seront fournis sur la page web du GCR.</w:t>
      </w:r>
    </w:p>
    <w:p w14:paraId="4C2D585F" w14:textId="77777777" w:rsidR="00AF37FD" w:rsidRPr="002A1E40" w:rsidRDefault="00AF37FD" w:rsidP="00224F0B">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fr-FR"/>
        </w:rPr>
      </w:pPr>
      <w:r w:rsidRPr="002A1E40">
        <w:rPr>
          <w:rFonts w:asciiTheme="minorHAnsi" w:hAnsiTheme="minorHAnsi" w:cstheme="minorHAnsi"/>
          <w:szCs w:val="24"/>
          <w:lang w:val="fr-FR"/>
        </w:rPr>
        <w:br w:type="page"/>
      </w:r>
    </w:p>
    <w:p w14:paraId="02A40464" w14:textId="77777777" w:rsidR="00AF37FD" w:rsidRPr="002A1E40" w:rsidRDefault="00AF37FD" w:rsidP="00224F0B">
      <w:pPr>
        <w:pStyle w:val="AnnexNoTitle"/>
        <w:spacing w:line="240" w:lineRule="auto"/>
        <w:rPr>
          <w:lang w:val="fr-FR"/>
        </w:rPr>
      </w:pPr>
      <w:r w:rsidRPr="002A1E40">
        <w:rPr>
          <w:lang w:val="fr-FR"/>
        </w:rPr>
        <w:lastRenderedPageBreak/>
        <w:t>ANNEXE 2</w:t>
      </w:r>
    </w:p>
    <w:p w14:paraId="33A2DF34" w14:textId="77777777" w:rsidR="004D502E" w:rsidRPr="002A1E40" w:rsidRDefault="00AF37FD" w:rsidP="00224F0B">
      <w:pPr>
        <w:pStyle w:val="AnnexNoTitle"/>
        <w:spacing w:before="120" w:line="240" w:lineRule="auto"/>
        <w:rPr>
          <w:b w:val="0"/>
          <w:bCs/>
          <w:lang w:val="fr-FR"/>
        </w:rPr>
      </w:pPr>
      <w:r w:rsidRPr="002A1E40">
        <w:rPr>
          <w:b w:val="0"/>
          <w:bCs/>
          <w:lang w:val="fr-FR"/>
        </w:rPr>
        <w:t>(</w:t>
      </w:r>
      <w:proofErr w:type="gramStart"/>
      <w:r w:rsidRPr="002A1E40">
        <w:rPr>
          <w:b w:val="0"/>
          <w:bCs/>
          <w:lang w:val="fr-FR"/>
        </w:rPr>
        <w:t>Source:</w:t>
      </w:r>
      <w:proofErr w:type="gramEnd"/>
      <w:r w:rsidRPr="002A1E40">
        <w:rPr>
          <w:b w:val="0"/>
          <w:bCs/>
          <w:lang w:val="fr-FR"/>
        </w:rPr>
        <w:t xml:space="preserve"> Doc. RAG20/TEMP/3 </w:t>
      </w:r>
      <w:r w:rsidR="004D502E" w:rsidRPr="002A1E40">
        <w:rPr>
          <w:b w:val="0"/>
          <w:bCs/>
          <w:lang w:val="fr-FR"/>
        </w:rPr>
        <w:t>−</w:t>
      </w:r>
      <w:r w:rsidRPr="002A1E40">
        <w:rPr>
          <w:b w:val="0"/>
          <w:bCs/>
          <w:lang w:val="fr-FR"/>
        </w:rPr>
        <w:t xml:space="preserve"> Annexe 2)</w:t>
      </w:r>
    </w:p>
    <w:p w14:paraId="33CD4015" w14:textId="2656D9A5" w:rsidR="00AF37FD" w:rsidRPr="002A1E40" w:rsidRDefault="002A1E40" w:rsidP="00224F0B">
      <w:pPr>
        <w:pStyle w:val="AnnexNoTitle"/>
        <w:spacing w:before="120" w:line="240" w:lineRule="auto"/>
        <w:rPr>
          <w:lang w:val="fr-FR"/>
        </w:rPr>
      </w:pPr>
      <w:r w:rsidRPr="002A1E40">
        <w:rPr>
          <w:lang w:val="fr-FR"/>
        </w:rPr>
        <w:t xml:space="preserve">Projet de mandat du Groupe de travail par correspondance 2 du GCR </w:t>
      </w:r>
      <w:r w:rsidRPr="002A1E40">
        <w:rPr>
          <w:lang w:val="fr-FR"/>
        </w:rPr>
        <w:br/>
        <w:t>chargé de la révision éventuelle des résolutions UIT-R 1-8 et 15-6</w:t>
      </w:r>
    </w:p>
    <w:p w14:paraId="64203F64" w14:textId="49975378" w:rsidR="00AF37FD" w:rsidRPr="002A1E40" w:rsidRDefault="00AF37FD" w:rsidP="00224F0B">
      <w:pPr>
        <w:spacing w:line="240" w:lineRule="auto"/>
        <w:jc w:val="center"/>
        <w:rPr>
          <w:lang w:val="fr-FR"/>
        </w:rPr>
      </w:pPr>
      <w:r w:rsidRPr="002A1E40">
        <w:rPr>
          <w:lang w:val="fr-FR"/>
        </w:rPr>
        <w:t>(</w:t>
      </w:r>
      <w:proofErr w:type="gramStart"/>
      <w:r w:rsidRPr="002A1E40">
        <w:rPr>
          <w:lang w:val="fr-FR"/>
        </w:rPr>
        <w:t>compte</w:t>
      </w:r>
      <w:proofErr w:type="gramEnd"/>
      <w:r w:rsidRPr="002A1E40">
        <w:rPr>
          <w:lang w:val="fr-FR"/>
        </w:rPr>
        <w:t xml:space="preserve"> tenu des modifications proposées par la </w:t>
      </w:r>
      <w:r w:rsidRPr="002A1E40">
        <w:rPr>
          <w:highlight w:val="cyan"/>
          <w:lang w:val="fr-FR"/>
        </w:rPr>
        <w:t>Fédération de Russie</w:t>
      </w:r>
      <w:r w:rsidRPr="002A1E40">
        <w:rPr>
          <w:lang w:val="fr-FR"/>
        </w:rPr>
        <w:t xml:space="preserve"> </w:t>
      </w:r>
      <w:r w:rsidR="004D502E" w:rsidRPr="002A1E40">
        <w:rPr>
          <w:lang w:val="fr-FR"/>
        </w:rPr>
        <w:br/>
      </w:r>
      <w:r w:rsidRPr="002A1E40">
        <w:rPr>
          <w:lang w:val="fr-FR"/>
        </w:rPr>
        <w:t xml:space="preserve">et les </w:t>
      </w:r>
      <w:r w:rsidRPr="002A1E40">
        <w:rPr>
          <w:highlight w:val="green"/>
          <w:lang w:val="fr-FR"/>
        </w:rPr>
        <w:t>États-Unis d'Amérique</w:t>
      </w:r>
      <w:r w:rsidRPr="002A1E40">
        <w:rPr>
          <w:lang w:val="fr-FR"/>
        </w:rPr>
        <w:t>)</w:t>
      </w:r>
    </w:p>
    <w:p w14:paraId="442CD065" w14:textId="77777777" w:rsidR="00AF37FD" w:rsidRPr="002A1E40" w:rsidRDefault="00AF37FD" w:rsidP="00224F0B">
      <w:pPr>
        <w:pStyle w:val="Headingb"/>
        <w:spacing w:line="240" w:lineRule="auto"/>
        <w:jc w:val="left"/>
        <w:rPr>
          <w:lang w:val="fr-FR"/>
        </w:rPr>
      </w:pPr>
      <w:r w:rsidRPr="002A1E40">
        <w:rPr>
          <w:lang w:val="fr-FR"/>
        </w:rPr>
        <w:t>Introduction</w:t>
      </w:r>
    </w:p>
    <w:p w14:paraId="06439035" w14:textId="02D69619" w:rsidR="00AF37FD" w:rsidRPr="002A1E40" w:rsidRDefault="00AF37FD" w:rsidP="00224F0B">
      <w:pPr>
        <w:spacing w:line="240" w:lineRule="auto"/>
        <w:jc w:val="left"/>
        <w:rPr>
          <w:lang w:val="fr-FR"/>
        </w:rPr>
      </w:pPr>
      <w:r w:rsidRPr="002A1E40">
        <w:rPr>
          <w:lang w:val="fr-FR"/>
        </w:rPr>
        <w:t>Conformém</w:t>
      </w:r>
      <w:r w:rsidR="00224F0B">
        <w:rPr>
          <w:lang w:val="fr-FR"/>
        </w:rPr>
        <w:t>ent aux §</w:t>
      </w:r>
      <w:r w:rsidRPr="002A1E40">
        <w:rPr>
          <w:lang w:val="fr-FR"/>
        </w:rPr>
        <w:t xml:space="preserve"> A1.4.1 à A1.4.4 de la Résolution UIT-R 1-8, </w:t>
      </w:r>
      <w:r w:rsidRPr="002A1E40">
        <w:rPr>
          <w:highlight w:val="green"/>
          <w:lang w:val="fr-FR"/>
        </w:rPr>
        <w:t>l'Assemblée des radiocommunications de 2019</w:t>
      </w:r>
      <w:r w:rsidRPr="002A1E40">
        <w:rPr>
          <w:rFonts w:asciiTheme="minorHAnsi" w:hAnsiTheme="minorHAnsi" w:cstheme="minorHAnsi"/>
          <w:szCs w:val="24"/>
          <w:highlight w:val="green"/>
          <w:lang w:val="fr-FR"/>
        </w:rPr>
        <w:t xml:space="preserve"> (Document RA19/84) </w:t>
      </w:r>
      <w:r w:rsidRPr="002A1E40">
        <w:rPr>
          <w:highlight w:val="green"/>
          <w:lang w:val="fr-FR"/>
        </w:rPr>
        <w:t>a invité</w:t>
      </w:r>
      <w:r w:rsidRPr="002A1E40">
        <w:rPr>
          <w:lang w:val="fr-FR"/>
        </w:rPr>
        <w:t xml:space="preserve"> le GCR</w:t>
      </w:r>
      <w:proofErr w:type="gramStart"/>
      <w:r w:rsidRPr="002A1E40">
        <w:rPr>
          <w:lang w:val="fr-FR"/>
        </w:rPr>
        <w:t xml:space="preserve"> </w:t>
      </w:r>
      <w:r w:rsidRPr="002A1E40">
        <w:rPr>
          <w:highlight w:val="green"/>
          <w:lang w:val="fr-FR"/>
        </w:rPr>
        <w:t>«à</w:t>
      </w:r>
      <w:proofErr w:type="gramEnd"/>
      <w:r w:rsidRPr="002A1E40">
        <w:rPr>
          <w:highlight w:val="green"/>
          <w:lang w:val="fr-FR"/>
        </w:rPr>
        <w:t xml:space="preserve"> déterminer les modifications qui pourraient être apportées à la Résolution UIT-R 1 concernant les procédures d'approbation à suivre lorsqu'un texte se rapporte à des thèmes intéressant plusieurs CE» et «à examiner la durée maximal</w:t>
      </w:r>
      <w:r w:rsidR="00224F0B">
        <w:rPr>
          <w:highlight w:val="green"/>
          <w:lang w:val="fr-FR"/>
        </w:rPr>
        <w:t>e du mandat des Présidents des G</w:t>
      </w:r>
      <w:r w:rsidRPr="002A1E40">
        <w:rPr>
          <w:highlight w:val="green"/>
          <w:lang w:val="fr-FR"/>
        </w:rPr>
        <w:t>roupes de travail des radiocommunications»</w:t>
      </w:r>
      <w:r w:rsidRPr="002A1E40">
        <w:rPr>
          <w:lang w:val="fr-FR"/>
        </w:rPr>
        <w:t>. Compte tenu des propositions soumises par les États Membres et les Membres de Sect</w:t>
      </w:r>
      <w:r w:rsidR="00224F0B">
        <w:rPr>
          <w:lang w:val="fr-FR"/>
        </w:rPr>
        <w:t>eur, et après consultation des Présidents des C</w:t>
      </w:r>
      <w:r w:rsidRPr="002A1E40">
        <w:rPr>
          <w:lang w:val="fr-FR"/>
        </w:rPr>
        <w:t xml:space="preserve">ommissions d'études, </w:t>
      </w:r>
      <w:r w:rsidRPr="002A1E40">
        <w:rPr>
          <w:highlight w:val="green"/>
          <w:lang w:val="fr-FR"/>
        </w:rPr>
        <w:t xml:space="preserve">le </w:t>
      </w:r>
      <w:r w:rsidRPr="002A1E40">
        <w:rPr>
          <w:szCs w:val="24"/>
          <w:highlight w:val="green"/>
          <w:lang w:val="fr-FR"/>
        </w:rPr>
        <w:t xml:space="preserve">Groupe de travail par correspondance 2 du GCR </w:t>
      </w:r>
      <w:r w:rsidRPr="002A1E40">
        <w:rPr>
          <w:highlight w:val="green"/>
          <w:lang w:val="fr-FR"/>
        </w:rPr>
        <w:t>(RAG CG-2)</w:t>
      </w:r>
      <w:r w:rsidRPr="002A1E40">
        <w:rPr>
          <w:lang w:val="fr-FR"/>
        </w:rPr>
        <w:t xml:space="preserve"> est invité à procéder à une révision éventuelle de la Résolution UIT-R 1-8 et de la Résolution UIT-R 15-6, conformément au mandat </w:t>
      </w:r>
      <w:proofErr w:type="gramStart"/>
      <w:r w:rsidRPr="002A1E40">
        <w:rPr>
          <w:lang w:val="fr-FR"/>
        </w:rPr>
        <w:t>suivant:</w:t>
      </w:r>
      <w:proofErr w:type="gramEnd"/>
    </w:p>
    <w:p w14:paraId="68FFE8BD" w14:textId="239D0F0E" w:rsidR="00AF37FD" w:rsidRPr="002A1E40" w:rsidRDefault="00AF37FD" w:rsidP="00224F0B">
      <w:pPr>
        <w:pStyle w:val="Heading1"/>
        <w:spacing w:before="360" w:line="240" w:lineRule="auto"/>
        <w:jc w:val="left"/>
        <w:rPr>
          <w:lang w:val="fr-FR"/>
        </w:rPr>
      </w:pPr>
      <w:r w:rsidRPr="002A1E40">
        <w:rPr>
          <w:lang w:val="fr-FR"/>
        </w:rPr>
        <w:t>1</w:t>
      </w:r>
      <w:r w:rsidRPr="002A1E40">
        <w:rPr>
          <w:lang w:val="fr-FR"/>
        </w:rPr>
        <w:tab/>
        <w:t xml:space="preserve">Révision éventuelle de la Résolution UIT-R 1-8 pour ce qui est du </w:t>
      </w:r>
      <w:r w:rsidRPr="002A1E40">
        <w:rPr>
          <w:highlight w:val="green"/>
          <w:lang w:val="fr-FR"/>
        </w:rPr>
        <w:t>§ A2.6.2.1.3</w:t>
      </w:r>
      <w:r w:rsidRPr="002A1E40">
        <w:rPr>
          <w:lang w:val="fr-FR"/>
        </w:rPr>
        <w:t>:</w:t>
      </w:r>
    </w:p>
    <w:p w14:paraId="3C90904C" w14:textId="3602DA95" w:rsidR="00AF37FD" w:rsidRPr="002A1E40" w:rsidRDefault="00AF37FD" w:rsidP="00224F0B">
      <w:pPr>
        <w:pStyle w:val="enumlev1"/>
        <w:spacing w:line="240" w:lineRule="auto"/>
        <w:jc w:val="left"/>
        <w:rPr>
          <w:lang w:val="fr-FR"/>
        </w:rPr>
      </w:pPr>
      <w:r w:rsidRPr="002A1E40">
        <w:rPr>
          <w:lang w:val="fr-FR"/>
        </w:rPr>
        <w:t>1)</w:t>
      </w:r>
      <w:r w:rsidRPr="002A1E40">
        <w:rPr>
          <w:lang w:val="fr-FR"/>
        </w:rPr>
        <w:tab/>
      </w:r>
      <w:r w:rsidR="004D502E" w:rsidRPr="002A1E40">
        <w:rPr>
          <w:lang w:val="fr-FR"/>
        </w:rPr>
        <w:t>D</w:t>
      </w:r>
      <w:r w:rsidRPr="002A1E40">
        <w:rPr>
          <w:lang w:val="fr-FR"/>
        </w:rPr>
        <w:t xml:space="preserve">éfinir les procédures </w:t>
      </w:r>
      <w:r w:rsidRPr="002A1E40">
        <w:rPr>
          <w:highlight w:val="green"/>
          <w:lang w:val="fr-FR"/>
        </w:rPr>
        <w:t>d'adoption et</w:t>
      </w:r>
      <w:r w:rsidRPr="002A1E40">
        <w:rPr>
          <w:lang w:val="fr-FR"/>
        </w:rPr>
        <w:t xml:space="preserve"> d'approbation à suivre lorsqu'un texte se rapporte à de</w:t>
      </w:r>
      <w:r w:rsidR="00224F0B">
        <w:rPr>
          <w:lang w:val="fr-FR"/>
        </w:rPr>
        <w:t>s thèmes intéressant plusieurs C</w:t>
      </w:r>
      <w:r w:rsidRPr="002A1E40">
        <w:rPr>
          <w:lang w:val="fr-FR"/>
        </w:rPr>
        <w:t xml:space="preserve">ommissions d'études et diffusion des objections soulevées pendant la procédure </w:t>
      </w:r>
      <w:r w:rsidRPr="002A1E40">
        <w:rPr>
          <w:highlight w:val="green"/>
          <w:lang w:val="fr-FR"/>
        </w:rPr>
        <w:t>d'approbation</w:t>
      </w:r>
      <w:r w:rsidR="004D502E" w:rsidRPr="002A1E40">
        <w:rPr>
          <w:lang w:val="fr-FR"/>
        </w:rPr>
        <w:t>.</w:t>
      </w:r>
    </w:p>
    <w:p w14:paraId="10FC9432" w14:textId="10FACFF8" w:rsidR="00AF37FD" w:rsidRPr="002A1E40" w:rsidRDefault="00AF37FD" w:rsidP="00224F0B">
      <w:pPr>
        <w:pStyle w:val="enumlev1"/>
        <w:spacing w:line="240" w:lineRule="auto"/>
        <w:jc w:val="left"/>
        <w:rPr>
          <w:lang w:val="fr-FR"/>
        </w:rPr>
      </w:pPr>
      <w:r w:rsidRPr="002A1E40">
        <w:rPr>
          <w:lang w:val="fr-FR"/>
        </w:rPr>
        <w:t>2)</w:t>
      </w:r>
      <w:r w:rsidRPr="002A1E40">
        <w:rPr>
          <w:lang w:val="fr-FR"/>
        </w:rPr>
        <w:tab/>
      </w:r>
      <w:r w:rsidR="004D502E" w:rsidRPr="002A1E40">
        <w:rPr>
          <w:lang w:val="fr-FR"/>
        </w:rPr>
        <w:t>D</w:t>
      </w:r>
      <w:r w:rsidRPr="002A1E40">
        <w:rPr>
          <w:lang w:val="fr-FR"/>
        </w:rPr>
        <w:t xml:space="preserve">éterminer s'il est nécessaire, le cas échéant, de revoir les méthodes de travail de l'UIT-R en ce qui concerne l'adoption et l'approbation des recommandations intéressant plusieurs </w:t>
      </w:r>
      <w:r w:rsidR="002A1E40">
        <w:rPr>
          <w:lang w:val="fr-FR"/>
        </w:rPr>
        <w:t>C</w:t>
      </w:r>
      <w:r w:rsidRPr="002A1E40">
        <w:rPr>
          <w:lang w:val="fr-FR"/>
        </w:rPr>
        <w:t>ommissions d'études de l'UIT-R</w:t>
      </w:r>
      <w:r w:rsidR="004D502E" w:rsidRPr="002A1E40">
        <w:rPr>
          <w:lang w:val="fr-FR"/>
        </w:rPr>
        <w:t>.</w:t>
      </w:r>
    </w:p>
    <w:p w14:paraId="44CDFACF" w14:textId="29C10124" w:rsidR="00AF37FD" w:rsidRPr="002A1E40" w:rsidRDefault="00AF37FD" w:rsidP="00224F0B">
      <w:pPr>
        <w:pStyle w:val="enumlev1"/>
        <w:spacing w:line="240" w:lineRule="auto"/>
        <w:jc w:val="left"/>
        <w:rPr>
          <w:lang w:val="fr-FR"/>
        </w:rPr>
      </w:pPr>
      <w:r w:rsidRPr="002A1E40">
        <w:rPr>
          <w:highlight w:val="cyan"/>
          <w:lang w:val="fr-FR"/>
        </w:rPr>
        <w:t>3)</w:t>
      </w:r>
      <w:r w:rsidRPr="002A1E40">
        <w:rPr>
          <w:highlight w:val="cyan"/>
          <w:lang w:val="fr-FR"/>
        </w:rPr>
        <w:tab/>
      </w:r>
      <w:r w:rsidR="004D502E" w:rsidRPr="002A1E40">
        <w:rPr>
          <w:highlight w:val="cyan"/>
          <w:lang w:val="fr-FR"/>
        </w:rPr>
        <w:t>D</w:t>
      </w:r>
      <w:r w:rsidRPr="002A1E40">
        <w:rPr>
          <w:highlight w:val="cyan"/>
          <w:lang w:val="fr-FR"/>
        </w:rPr>
        <w:t xml:space="preserve">éterminer s'il est nécessaire de remédier à </w:t>
      </w:r>
      <w:r w:rsidRPr="002A1E40">
        <w:rPr>
          <w:color w:val="000000"/>
          <w:highlight w:val="cyan"/>
          <w:lang w:val="fr-FR"/>
        </w:rPr>
        <w:t>toute omission et/ou contradiction qui pourrait être relevée dans les textes existants</w:t>
      </w:r>
      <w:r w:rsidR="004D502E" w:rsidRPr="002A1E40">
        <w:rPr>
          <w:highlight w:val="cyan"/>
          <w:lang w:val="fr-FR"/>
        </w:rPr>
        <w:t>.</w:t>
      </w:r>
    </w:p>
    <w:p w14:paraId="2D1BBD54" w14:textId="1C37D312" w:rsidR="00AF37FD" w:rsidRPr="002A1E40" w:rsidRDefault="00AF37FD" w:rsidP="00224F0B">
      <w:pPr>
        <w:pStyle w:val="Heading1"/>
        <w:spacing w:before="360" w:line="240" w:lineRule="auto"/>
        <w:jc w:val="left"/>
        <w:rPr>
          <w:lang w:val="fr-FR"/>
        </w:rPr>
      </w:pPr>
      <w:r w:rsidRPr="002A1E40">
        <w:rPr>
          <w:lang w:val="fr-FR"/>
        </w:rPr>
        <w:t>2</w:t>
      </w:r>
      <w:r w:rsidRPr="002A1E40">
        <w:rPr>
          <w:lang w:val="fr-FR"/>
        </w:rPr>
        <w:tab/>
        <w:t xml:space="preserve">Révision éventuelle de la Résolution UIT-R 15-6 pour ce qui est </w:t>
      </w:r>
      <w:proofErr w:type="gramStart"/>
      <w:r w:rsidRPr="002A1E40">
        <w:rPr>
          <w:lang w:val="fr-FR"/>
        </w:rPr>
        <w:t>de:</w:t>
      </w:r>
      <w:proofErr w:type="gramEnd"/>
    </w:p>
    <w:p w14:paraId="1C3B0919" w14:textId="36191A16" w:rsidR="00AF37FD" w:rsidRPr="002A1E40" w:rsidRDefault="00AF37FD" w:rsidP="00224F0B">
      <w:pPr>
        <w:spacing w:line="240" w:lineRule="auto"/>
        <w:jc w:val="left"/>
        <w:rPr>
          <w:lang w:val="fr-FR"/>
        </w:rPr>
      </w:pPr>
      <w:r w:rsidRPr="002A1E40">
        <w:rPr>
          <w:lang w:val="fr-FR"/>
        </w:rPr>
        <w:t>2.1</w:t>
      </w:r>
      <w:r w:rsidRPr="002A1E40">
        <w:rPr>
          <w:lang w:val="fr-FR"/>
        </w:rPr>
        <w:tab/>
        <w:t xml:space="preserve">la possibilité de fixer </w:t>
      </w:r>
      <w:r w:rsidRPr="002A1E40">
        <w:rPr>
          <w:color w:val="000000"/>
          <w:lang w:val="fr-FR"/>
        </w:rPr>
        <w:t>l</w:t>
      </w:r>
      <w:r w:rsidR="00224F0B">
        <w:rPr>
          <w:color w:val="000000"/>
          <w:lang w:val="fr-FR"/>
        </w:rPr>
        <w:t>a durée maximale du mandat des Présidents des G</w:t>
      </w:r>
      <w:r w:rsidRPr="002A1E40">
        <w:rPr>
          <w:color w:val="000000"/>
          <w:lang w:val="fr-FR"/>
        </w:rPr>
        <w:t>roupes de travail de</w:t>
      </w:r>
      <w:r w:rsidRPr="002A1E40">
        <w:rPr>
          <w:lang w:val="fr-FR"/>
        </w:rPr>
        <w:t xml:space="preserve"> l'UIT-R.</w:t>
      </w:r>
    </w:p>
    <w:p w14:paraId="1FD8C5CC" w14:textId="4D4A3168" w:rsidR="00AF37FD" w:rsidRPr="002A1E40" w:rsidRDefault="00AF37FD" w:rsidP="00224F0B">
      <w:pPr>
        <w:spacing w:line="240" w:lineRule="auto"/>
        <w:jc w:val="left"/>
        <w:rPr>
          <w:lang w:val="fr-FR"/>
        </w:rPr>
      </w:pPr>
      <w:r w:rsidRPr="002A1E40">
        <w:rPr>
          <w:lang w:val="fr-FR"/>
        </w:rPr>
        <w:t xml:space="preserve">Le (RAG CG-2) </w:t>
      </w:r>
      <w:r w:rsidRPr="002A1E40">
        <w:rPr>
          <w:highlight w:val="green"/>
          <w:lang w:val="fr-FR"/>
        </w:rPr>
        <w:t>commencera ses travaux lors de la réunion de 2021 du GCR</w:t>
      </w:r>
      <w:r w:rsidRPr="002A1E40">
        <w:rPr>
          <w:lang w:val="fr-FR"/>
        </w:rPr>
        <w:t xml:space="preserve"> et soumettra le résultat de ses travaux au </w:t>
      </w:r>
      <w:r w:rsidRPr="002A1E40">
        <w:rPr>
          <w:highlight w:val="green"/>
          <w:lang w:val="fr-FR"/>
        </w:rPr>
        <w:t>GCR à sa réunion de 2022</w:t>
      </w:r>
      <w:r w:rsidRPr="002A1E40">
        <w:rPr>
          <w:lang w:val="fr-FR"/>
        </w:rPr>
        <w:t>, compte tenu des renseignements figurant au § 3.1.1 du Document RAG20/1</w:t>
      </w:r>
      <w:r w:rsidR="002A1E40" w:rsidRPr="002A1E40">
        <w:rPr>
          <w:lang w:val="fr-FR"/>
        </w:rPr>
        <w:t>(</w:t>
      </w:r>
      <w:r w:rsidRPr="002A1E40">
        <w:rPr>
          <w:lang w:val="fr-FR"/>
        </w:rPr>
        <w:t>R</w:t>
      </w:r>
      <w:r w:rsidR="002A1E40" w:rsidRPr="002A1E40">
        <w:rPr>
          <w:lang w:val="fr-FR"/>
        </w:rPr>
        <w:t>é</w:t>
      </w:r>
      <w:r w:rsidRPr="002A1E40">
        <w:rPr>
          <w:lang w:val="fr-FR"/>
        </w:rPr>
        <w:t>v.1</w:t>
      </w:r>
      <w:r w:rsidR="002A1E40" w:rsidRPr="002A1E40">
        <w:rPr>
          <w:lang w:val="fr-FR"/>
        </w:rPr>
        <w:t>)</w:t>
      </w:r>
      <w:r w:rsidRPr="002A1E40">
        <w:rPr>
          <w:lang w:val="fr-FR"/>
        </w:rPr>
        <w:t xml:space="preserve">, et de tout autre proposition soumise au </w:t>
      </w:r>
      <w:r w:rsidRPr="002A1E40">
        <w:rPr>
          <w:szCs w:val="24"/>
          <w:lang w:val="fr-FR"/>
        </w:rPr>
        <w:t xml:space="preserve">Groupe de travail par correspondance 2 du GCR </w:t>
      </w:r>
      <w:r w:rsidRPr="002A1E40">
        <w:rPr>
          <w:highlight w:val="green"/>
          <w:lang w:val="fr-FR"/>
        </w:rPr>
        <w:t>conformément au mandat décrit ci-dessus</w:t>
      </w:r>
      <w:r w:rsidR="002A1E40" w:rsidRPr="002A1E40">
        <w:rPr>
          <w:lang w:val="fr-FR"/>
        </w:rPr>
        <w:t>.</w:t>
      </w:r>
    </w:p>
    <w:p w14:paraId="5A28E20C" w14:textId="6E12BF88" w:rsidR="00AF37FD" w:rsidRPr="002A1E40" w:rsidRDefault="00AF37FD" w:rsidP="00224F0B">
      <w:pPr>
        <w:spacing w:line="240" w:lineRule="auto"/>
        <w:jc w:val="left"/>
        <w:rPr>
          <w:lang w:val="fr-FR"/>
        </w:rPr>
      </w:pPr>
      <w:r w:rsidRPr="002A1E40">
        <w:rPr>
          <w:color w:val="000000"/>
          <w:lang w:val="fr-FR"/>
        </w:rPr>
        <w:t xml:space="preserve">Les travaux du </w:t>
      </w:r>
      <w:r w:rsidRPr="002A1E40">
        <w:rPr>
          <w:lang w:val="fr-FR"/>
        </w:rPr>
        <w:t xml:space="preserve">(RAG CG-2) </w:t>
      </w:r>
      <w:r w:rsidRPr="002A1E40">
        <w:rPr>
          <w:color w:val="000000"/>
          <w:lang w:val="fr-FR"/>
        </w:rPr>
        <w:t xml:space="preserve">devraient être menés autant que possible par correspondance, conformément au </w:t>
      </w:r>
      <w:r w:rsidRPr="002A1E40">
        <w:rPr>
          <w:lang w:val="fr-FR"/>
        </w:rPr>
        <w:t>§ A1.3.2.7 de la Résolution UIT-R 1-8.</w:t>
      </w:r>
    </w:p>
    <w:p w14:paraId="6D74D660" w14:textId="44C6DDCD" w:rsidR="00AF37FD" w:rsidRPr="002A1E40" w:rsidRDefault="00AF37FD" w:rsidP="00224F0B">
      <w:pPr>
        <w:spacing w:line="240" w:lineRule="auto"/>
        <w:jc w:val="left"/>
        <w:rPr>
          <w:lang w:val="fr-FR"/>
        </w:rPr>
      </w:pPr>
      <w:r w:rsidRPr="002A1E40">
        <w:rPr>
          <w:lang w:val="fr-FR"/>
        </w:rPr>
        <w:t xml:space="preserve">Le Président du (RAG CG-2) est </w:t>
      </w:r>
      <w:r w:rsidRPr="002A1E40">
        <w:rPr>
          <w:highlight w:val="yellow"/>
          <w:lang w:val="fr-FR"/>
        </w:rPr>
        <w:t>&lt;nom&gt;</w:t>
      </w:r>
      <w:r w:rsidRPr="002A1E40">
        <w:rPr>
          <w:lang w:val="fr-FR"/>
        </w:rPr>
        <w:t xml:space="preserve"> (</w:t>
      </w:r>
      <w:proofErr w:type="gramStart"/>
      <w:r w:rsidRPr="002A1E40">
        <w:rPr>
          <w:lang w:val="fr-FR"/>
        </w:rPr>
        <w:t>Courriel:</w:t>
      </w:r>
      <w:proofErr w:type="gramEnd"/>
      <w:r w:rsidRPr="002A1E40">
        <w:rPr>
          <w:lang w:val="fr-FR"/>
        </w:rPr>
        <w:t xml:space="preserve"> </w:t>
      </w:r>
      <w:hyperlink r:id="rId22">
        <w:r w:rsidRPr="002A1E40">
          <w:rPr>
            <w:color w:val="0000FF"/>
            <w:highlight w:val="yellow"/>
            <w:u w:val="single"/>
            <w:lang w:val="fr-FR"/>
          </w:rPr>
          <w:t>&lt;email@address&gt;</w:t>
        </w:r>
      </w:hyperlink>
      <w:r w:rsidRPr="002A1E40">
        <w:rPr>
          <w:lang w:val="fr-FR"/>
        </w:rPr>
        <w:t xml:space="preserve">). </w:t>
      </w:r>
      <w:r w:rsidRPr="002A1E40">
        <w:rPr>
          <w:highlight w:val="green"/>
          <w:lang w:val="fr-FR"/>
        </w:rPr>
        <w:t xml:space="preserve">Dates de la réunion du Groupe de travail par </w:t>
      </w:r>
      <w:proofErr w:type="gramStart"/>
      <w:r w:rsidRPr="002A1E40">
        <w:rPr>
          <w:highlight w:val="green"/>
          <w:lang w:val="fr-FR"/>
        </w:rPr>
        <w:t>correspondance:</w:t>
      </w:r>
      <w:proofErr w:type="gramEnd"/>
      <w:r w:rsidRPr="002A1E40">
        <w:rPr>
          <w:highlight w:val="green"/>
          <w:lang w:val="fr-FR"/>
        </w:rPr>
        <w:t xml:space="preserve"> réunion de 2021 du GCR</w:t>
      </w:r>
      <w:r w:rsidRPr="002A1E40">
        <w:rPr>
          <w:color w:val="000000"/>
          <w:highlight w:val="green"/>
          <w:lang w:val="fr-FR"/>
        </w:rPr>
        <w:t xml:space="preserve"> –</w:t>
      </w:r>
      <w:r w:rsidR="002A1E40" w:rsidRPr="002A1E40">
        <w:rPr>
          <w:color w:val="000000"/>
          <w:highlight w:val="green"/>
          <w:lang w:val="fr-FR"/>
        </w:rPr>
        <w:t xml:space="preserve"> </w:t>
      </w:r>
      <w:r w:rsidRPr="002A1E40">
        <w:rPr>
          <w:color w:val="000000"/>
          <w:highlight w:val="green"/>
          <w:lang w:val="fr-FR"/>
        </w:rPr>
        <w:t>à déterminer (45 jours avant la réunion suivante du GCR en 2022).</w:t>
      </w:r>
    </w:p>
    <w:p w14:paraId="36510FEB" w14:textId="2AC0AA2A" w:rsidR="00AF37FD" w:rsidRDefault="00AF37FD" w:rsidP="00224F0B">
      <w:pPr>
        <w:spacing w:line="240" w:lineRule="auto"/>
        <w:jc w:val="left"/>
        <w:rPr>
          <w:lang w:val="fr-FR"/>
        </w:rPr>
      </w:pPr>
      <w:r w:rsidRPr="002A1E40">
        <w:rPr>
          <w:lang w:val="fr-FR"/>
        </w:rPr>
        <w:t>D'autres renseignements utiles sur les travaux de ce Groupe de travail par correspondance (par exemple la liste de diffusion électronique) seront fournis sur la page web du GCR.</w:t>
      </w:r>
    </w:p>
    <w:p w14:paraId="5FD3B921" w14:textId="77777777" w:rsidR="00224F0B" w:rsidRPr="00224F0B" w:rsidRDefault="00224F0B" w:rsidP="00224F0B">
      <w:pPr>
        <w:spacing w:before="120" w:line="240" w:lineRule="auto"/>
        <w:rPr>
          <w:sz w:val="12"/>
          <w:szCs w:val="12"/>
        </w:rPr>
      </w:pPr>
    </w:p>
    <w:p w14:paraId="3C4CDA36" w14:textId="04F618E6" w:rsidR="00224F0B" w:rsidRPr="002A1E40" w:rsidRDefault="00224F0B" w:rsidP="00224F0B">
      <w:pPr>
        <w:spacing w:line="240" w:lineRule="auto"/>
        <w:jc w:val="center"/>
        <w:rPr>
          <w:lang w:val="fr-FR"/>
        </w:rPr>
      </w:pPr>
      <w:r>
        <w:t>______________</w:t>
      </w:r>
    </w:p>
    <w:sectPr w:rsidR="00224F0B" w:rsidRPr="002A1E40" w:rsidSect="00AF37FD">
      <w:footerReference w:type="default" r:id="rId23"/>
      <w:pgSz w:w="11907" w:h="16834" w:code="9"/>
      <w:pgMar w:top="1134" w:right="1134" w:bottom="993" w:left="1134" w:header="56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35B7C" w14:textId="77777777" w:rsidR="00AF37FD" w:rsidRDefault="00AF37FD">
      <w:r>
        <w:separator/>
      </w:r>
    </w:p>
  </w:endnote>
  <w:endnote w:type="continuationSeparator" w:id="0">
    <w:p w14:paraId="39B1E2F2" w14:textId="77777777" w:rsidR="00AF37FD" w:rsidRDefault="00AF3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4AC08" w14:textId="77777777" w:rsidR="007C3FAF" w:rsidRDefault="007C3F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9767D" w14:textId="6608AD16" w:rsidR="00AF37FD" w:rsidRPr="007C3FAF" w:rsidRDefault="00AF37FD" w:rsidP="007C3F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6E3D0" w14:textId="0F7AB386" w:rsidR="00AF37FD" w:rsidRPr="00304636" w:rsidRDefault="00AF37FD" w:rsidP="00304636">
    <w:pPr>
      <w:pStyle w:val="FirstFooter"/>
      <w:spacing w:line="240" w:lineRule="auto"/>
      <w:ind w:left="-397" w:right="-397"/>
      <w:jc w:val="center"/>
      <w:rPr>
        <w:color w:val="4F81BD"/>
        <w:sz w:val="18"/>
        <w:szCs w:val="18"/>
        <w:lang w:val="fr-FR"/>
      </w:rPr>
    </w:pPr>
    <w:r w:rsidRPr="00085B3E">
      <w:rPr>
        <w:rFonts w:asciiTheme="minorHAnsi" w:hAnsiTheme="minorHAnsi"/>
        <w:color w:val="4F81BD"/>
        <w:sz w:val="18"/>
        <w:szCs w:val="18"/>
        <w:lang w:val="fr-CH"/>
      </w:rPr>
      <w:t>Union internationale des télécommunications • Place des Nations, CH</w:t>
    </w:r>
    <w:r w:rsidRPr="00085B3E">
      <w:rPr>
        <w:rFonts w:asciiTheme="minorHAnsi" w:hAnsiTheme="minorHAnsi"/>
        <w:color w:val="4F81BD"/>
        <w:sz w:val="18"/>
        <w:szCs w:val="18"/>
        <w:lang w:val="fr-CH"/>
      </w:rPr>
      <w:noBreakHyphen/>
      <w:t xml:space="preserve">1211 Genève 20, Suisse </w:t>
    </w:r>
    <w:r w:rsidRPr="00085B3E">
      <w:rPr>
        <w:rFonts w:asciiTheme="minorHAnsi" w:hAnsiTheme="minorHAnsi"/>
        <w:color w:val="4F81BD"/>
        <w:sz w:val="18"/>
        <w:szCs w:val="18"/>
        <w:lang w:val="fr-CH"/>
      </w:rPr>
      <w:br/>
    </w:r>
    <w:proofErr w:type="gramStart"/>
    <w:r w:rsidRPr="00085B3E">
      <w:rPr>
        <w:rFonts w:asciiTheme="minorHAnsi" w:hAnsiTheme="minorHAnsi"/>
        <w:color w:val="4F81BD"/>
        <w:sz w:val="18"/>
        <w:szCs w:val="18"/>
        <w:lang w:val="fr-CH"/>
      </w:rPr>
      <w:t>Tél</w:t>
    </w:r>
    <w:r>
      <w:rPr>
        <w:rFonts w:asciiTheme="minorHAnsi" w:hAnsiTheme="minorHAnsi"/>
        <w:color w:val="4F81BD"/>
        <w:sz w:val="18"/>
        <w:szCs w:val="18"/>
        <w:lang w:val="fr-CH"/>
      </w:rPr>
      <w:t>.</w:t>
    </w:r>
    <w:r w:rsidRPr="00085B3E">
      <w:rPr>
        <w:rFonts w:asciiTheme="minorHAnsi" w:hAnsiTheme="minorHAnsi"/>
        <w:color w:val="4F81BD"/>
        <w:sz w:val="18"/>
        <w:szCs w:val="18"/>
        <w:lang w:val="fr-CH"/>
      </w:rPr>
      <w:t>:</w:t>
    </w:r>
    <w:proofErr w:type="gramEnd"/>
    <w:r w:rsidRPr="00085B3E">
      <w:rPr>
        <w:rFonts w:asciiTheme="minorHAnsi" w:hAnsiTheme="minorHAnsi"/>
        <w:color w:val="4F81BD"/>
        <w:sz w:val="18"/>
        <w:szCs w:val="18"/>
        <w:lang w:val="fr-CH"/>
      </w:rPr>
      <w:t xml:space="preserve"> +41 22 730 5111 • courriel: </w:t>
    </w:r>
    <w:hyperlink r:id="rId1" w:history="1">
      <w:r w:rsidRPr="00304636">
        <w:rPr>
          <w:rStyle w:val="Hyperlink"/>
          <w:rFonts w:asciiTheme="minorHAnsi" w:hAnsiTheme="minorHAnsi"/>
          <w:sz w:val="18"/>
          <w:szCs w:val="18"/>
          <w:lang w:val="fr-FR"/>
        </w:rPr>
        <w:t>itumail@itu.int</w:t>
      </w:r>
    </w:hyperlink>
    <w:r w:rsidRPr="00F632E9">
      <w:rPr>
        <w:rFonts w:asciiTheme="minorHAnsi" w:hAnsiTheme="minorHAnsi"/>
        <w:sz w:val="18"/>
        <w:szCs w:val="18"/>
        <w:lang w:val="fr-CH"/>
      </w:rPr>
      <w:t xml:space="preserve"> </w:t>
    </w:r>
    <w:r w:rsidRPr="00085B3E">
      <w:rPr>
        <w:rFonts w:asciiTheme="minorHAnsi" w:hAnsiTheme="minorHAnsi"/>
        <w:color w:val="4F81BD"/>
        <w:sz w:val="18"/>
        <w:szCs w:val="18"/>
        <w:lang w:val="fr-CH"/>
      </w:rPr>
      <w:t>• Fax: +41 22 733 7256 •</w:t>
    </w:r>
    <w:r>
      <w:rPr>
        <w:rFonts w:asciiTheme="minorHAnsi" w:hAnsiTheme="minorHAnsi"/>
        <w:color w:val="4F81BD"/>
        <w:sz w:val="18"/>
        <w:szCs w:val="18"/>
        <w:lang w:val="fr-CH"/>
      </w:rPr>
      <w:t xml:space="preserve"> </w:t>
    </w:r>
    <w:hyperlink r:id="rId2" w:history="1">
      <w:r w:rsidRPr="00304636">
        <w:rPr>
          <w:rStyle w:val="Hyperlink"/>
          <w:rFonts w:asciiTheme="minorHAnsi" w:hAnsiTheme="minorHAnsi"/>
          <w:color w:val="4F81BD"/>
          <w:sz w:val="18"/>
          <w:szCs w:val="18"/>
          <w:u w:val="none"/>
          <w:lang w:val="fr-FR"/>
        </w:rPr>
        <w:t>www.itu.int</w:t>
      </w:r>
    </w:hyperlink>
    <w:r w:rsidRPr="00304636">
      <w:rPr>
        <w:color w:val="4F81BD"/>
        <w:sz w:val="18"/>
        <w:szCs w:val="18"/>
        <w:lang w:val="fr-FR"/>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4DC15" w14:textId="75E51169" w:rsidR="007926FE" w:rsidRPr="007C3FAF" w:rsidRDefault="007926FE" w:rsidP="007C3F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9B549" w14:textId="77777777" w:rsidR="00AF37FD" w:rsidRDefault="00AF37FD">
      <w:r>
        <w:t>____________________</w:t>
      </w:r>
    </w:p>
  </w:footnote>
  <w:footnote w:type="continuationSeparator" w:id="0">
    <w:p w14:paraId="0499078D" w14:textId="77777777" w:rsidR="00AF37FD" w:rsidRDefault="00AF3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B553E" w14:textId="77777777" w:rsidR="00AF37FD" w:rsidRPr="002569F7" w:rsidRDefault="00AF37FD" w:rsidP="003F2F34">
    <w:pPr>
      <w:pStyle w:val="Header"/>
      <w:rPr>
        <w:sz w:val="18"/>
        <w:szCs w:val="16"/>
      </w:rPr>
    </w:pPr>
    <w:r w:rsidRPr="002569F7">
      <w:rPr>
        <w:sz w:val="18"/>
        <w:szCs w:val="16"/>
      </w:rPr>
      <w:tab/>
    </w:r>
    <w:r w:rsidRPr="002569F7">
      <w:rPr>
        <w:sz w:val="18"/>
        <w:szCs w:val="16"/>
      </w:rPr>
      <w:tab/>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Pr>
        <w:rStyle w:val="PageNumber"/>
        <w:noProof/>
        <w:sz w:val="18"/>
        <w:szCs w:val="16"/>
      </w:rPr>
      <w:t>2</w:t>
    </w:r>
    <w:r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CED81" w14:textId="54C4E7DA" w:rsidR="00AF37FD" w:rsidRPr="003F2F34" w:rsidRDefault="00AF37FD" w:rsidP="003F2F3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sidR="00156853">
      <w:rPr>
        <w:noProof/>
        <w:sz w:val="18"/>
        <w:szCs w:val="16"/>
      </w:rPr>
      <w:t>7</w:t>
    </w:r>
    <w:r w:rsidRPr="003F2F34">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4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2"/>
    </w:tblGrid>
    <w:tr w:rsidR="00543B5D" w14:paraId="3CABF66A" w14:textId="77777777" w:rsidTr="00543B5D">
      <w:tc>
        <w:tcPr>
          <w:tcW w:w="10042" w:type="dxa"/>
          <w:tcMar>
            <w:left w:w="0" w:type="dxa"/>
          </w:tcMar>
        </w:tcPr>
        <w:p w14:paraId="2F9FEA53" w14:textId="77777777" w:rsidR="00543B5D" w:rsidRDefault="00543B5D" w:rsidP="00304636">
          <w:pPr>
            <w:pStyle w:val="Header"/>
            <w:tabs>
              <w:tab w:val="clear" w:pos="794"/>
              <w:tab w:val="clear" w:pos="4820"/>
              <w:tab w:val="clear" w:pos="9639"/>
              <w:tab w:val="left" w:pos="3960"/>
              <w:tab w:val="left" w:pos="9750"/>
            </w:tabs>
            <w:spacing w:before="120" w:line="360" w:lineRule="auto"/>
            <w:ind w:right="-342"/>
            <w:jc w:val="center"/>
          </w:pPr>
          <w:r>
            <w:rPr>
              <w:noProof/>
            </w:rPr>
            <w:drawing>
              <wp:inline distT="0" distB="0" distL="0" distR="0" wp14:anchorId="1CB0AA03" wp14:editId="4076F3BB">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2C191374" w14:textId="77777777" w:rsidR="00AF37FD" w:rsidRPr="004F47EA" w:rsidRDefault="00AF37FD" w:rsidP="004F4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fr-FR" w:vendorID="64" w:dllVersion="6" w:nlCheck="1" w:checkStyle="0"/>
  <w:activeWritingStyle w:appName="MSWord" w:lang="en-US" w:vendorID="64" w:dllVersion="6" w:nlCheck="1" w:checkStyle="1"/>
  <w:activeWritingStyle w:appName="MSWord" w:lang="fr-CH" w:vendorID="64" w:dllVersion="6" w:nlCheck="1" w:checkStyle="0"/>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04636"/>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E443D"/>
    <w:rsid w:val="00100B72"/>
    <w:rsid w:val="00101F7D"/>
    <w:rsid w:val="00103C76"/>
    <w:rsid w:val="0011265F"/>
    <w:rsid w:val="00117282"/>
    <w:rsid w:val="00117389"/>
    <w:rsid w:val="00121C2D"/>
    <w:rsid w:val="00134404"/>
    <w:rsid w:val="00144DFB"/>
    <w:rsid w:val="00152EE7"/>
    <w:rsid w:val="00156853"/>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24F0B"/>
    <w:rsid w:val="002302B3"/>
    <w:rsid w:val="00230C66"/>
    <w:rsid w:val="00235A29"/>
    <w:rsid w:val="00241526"/>
    <w:rsid w:val="002443A2"/>
    <w:rsid w:val="002569F7"/>
    <w:rsid w:val="00266E74"/>
    <w:rsid w:val="00283C3B"/>
    <w:rsid w:val="002861E6"/>
    <w:rsid w:val="00287D18"/>
    <w:rsid w:val="002A1E40"/>
    <w:rsid w:val="002A2618"/>
    <w:rsid w:val="002A5DD7"/>
    <w:rsid w:val="002B0CAC"/>
    <w:rsid w:val="002D5A15"/>
    <w:rsid w:val="002D5BDD"/>
    <w:rsid w:val="002E3D27"/>
    <w:rsid w:val="002F0890"/>
    <w:rsid w:val="002F2531"/>
    <w:rsid w:val="002F4967"/>
    <w:rsid w:val="002F5AA5"/>
    <w:rsid w:val="00304636"/>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3F2F34"/>
    <w:rsid w:val="00400573"/>
    <w:rsid w:val="004007A3"/>
    <w:rsid w:val="00406D71"/>
    <w:rsid w:val="00411CB3"/>
    <w:rsid w:val="004228FA"/>
    <w:rsid w:val="004308CB"/>
    <w:rsid w:val="004326DB"/>
    <w:rsid w:val="0043682E"/>
    <w:rsid w:val="00447ECB"/>
    <w:rsid w:val="00461BA1"/>
    <w:rsid w:val="004623F7"/>
    <w:rsid w:val="00480F51"/>
    <w:rsid w:val="00481124"/>
    <w:rsid w:val="004815EB"/>
    <w:rsid w:val="00487569"/>
    <w:rsid w:val="00496864"/>
    <w:rsid w:val="00496920"/>
    <w:rsid w:val="004A4496"/>
    <w:rsid w:val="004A6A04"/>
    <w:rsid w:val="004B11AB"/>
    <w:rsid w:val="004B7C9A"/>
    <w:rsid w:val="004C6779"/>
    <w:rsid w:val="004D502E"/>
    <w:rsid w:val="004D733B"/>
    <w:rsid w:val="004E0DC4"/>
    <w:rsid w:val="004E0FB5"/>
    <w:rsid w:val="004E4398"/>
    <w:rsid w:val="004E43BB"/>
    <w:rsid w:val="004E460D"/>
    <w:rsid w:val="004F178E"/>
    <w:rsid w:val="004F4543"/>
    <w:rsid w:val="004F47EA"/>
    <w:rsid w:val="004F57BB"/>
    <w:rsid w:val="00505309"/>
    <w:rsid w:val="0050789B"/>
    <w:rsid w:val="005224A1"/>
    <w:rsid w:val="00534372"/>
    <w:rsid w:val="00543B5D"/>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42F8"/>
    <w:rsid w:val="005E5EB3"/>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926FE"/>
    <w:rsid w:val="007B3DB1"/>
    <w:rsid w:val="007C2E1E"/>
    <w:rsid w:val="007C3FAF"/>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297D"/>
    <w:rsid w:val="00963D9D"/>
    <w:rsid w:val="00974E51"/>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5CC2"/>
    <w:rsid w:val="00A119E6"/>
    <w:rsid w:val="00A20FBC"/>
    <w:rsid w:val="00A231BC"/>
    <w:rsid w:val="00A31370"/>
    <w:rsid w:val="00A34D6F"/>
    <w:rsid w:val="00A41F91"/>
    <w:rsid w:val="00A63355"/>
    <w:rsid w:val="00A7596D"/>
    <w:rsid w:val="00A93BCC"/>
    <w:rsid w:val="00A963DF"/>
    <w:rsid w:val="00AA211B"/>
    <w:rsid w:val="00AA781A"/>
    <w:rsid w:val="00AC0C22"/>
    <w:rsid w:val="00AC3896"/>
    <w:rsid w:val="00AD2CF2"/>
    <w:rsid w:val="00AE2D88"/>
    <w:rsid w:val="00AE636E"/>
    <w:rsid w:val="00AE6F6F"/>
    <w:rsid w:val="00AF3325"/>
    <w:rsid w:val="00AF34D9"/>
    <w:rsid w:val="00AF37FD"/>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17387"/>
    <w:rsid w:val="00D21694"/>
    <w:rsid w:val="00D24EB5"/>
    <w:rsid w:val="00D35AB9"/>
    <w:rsid w:val="00D41571"/>
    <w:rsid w:val="00D416A0"/>
    <w:rsid w:val="00D47672"/>
    <w:rsid w:val="00D5123C"/>
    <w:rsid w:val="00D55560"/>
    <w:rsid w:val="00D61C5A"/>
    <w:rsid w:val="00D62111"/>
    <w:rsid w:val="00D6287C"/>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50ED56E"/>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styleId="FollowedHyperlink">
    <w:name w:val="FollowedHyperlink"/>
    <w:basedOn w:val="DefaultParagraphFont"/>
    <w:semiHidden/>
    <w:unhideWhenUsed/>
    <w:rsid w:val="00AF37FD"/>
    <w:rPr>
      <w:color w:val="800080" w:themeColor="followedHyperlink"/>
      <w:u w:val="single"/>
    </w:rPr>
  </w:style>
  <w:style w:type="character" w:customStyle="1" w:styleId="UnresolvedMention1">
    <w:name w:val="Unresolved Mention1"/>
    <w:basedOn w:val="DefaultParagraphFont"/>
    <w:uiPriority w:val="99"/>
    <w:semiHidden/>
    <w:unhideWhenUsed/>
    <w:rsid w:val="00AF37FD"/>
    <w:rPr>
      <w:color w:val="605E5C"/>
      <w:shd w:val="clear" w:color="auto" w:fill="E1DFDD"/>
    </w:rPr>
  </w:style>
  <w:style w:type="paragraph" w:customStyle="1" w:styleId="Reasons">
    <w:name w:val="Reasons"/>
    <w:basedOn w:val="Normal"/>
    <w:qFormat/>
    <w:rsid w:val="00224F0B"/>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fr/ITU-R/conferences/rag/Pages/default.aspx" TargetMode="External"/><Relationship Id="rId13" Type="http://schemas.openxmlformats.org/officeDocument/2006/relationships/header" Target="header3.xml"/><Relationship Id="rId18" Type="http://schemas.openxmlformats.org/officeDocument/2006/relationships/hyperlink" Target="https://www.itu.int/md/R20-RRB20.2-C-0001/en" TargetMode="External"/><Relationship Id="rId3" Type="http://schemas.openxmlformats.org/officeDocument/2006/relationships/styles" Target="styles.xml"/><Relationship Id="rId21" Type="http://schemas.openxmlformats.org/officeDocument/2006/relationships/hyperlink" Target="mailto:olfa.jammeli@anf.tn"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itu.int/md/R00-CR-CIR-0456/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fr/ITU-R/conferences/RRB/Pages/default.aspx" TargetMode="External"/><Relationship Id="rId20" Type="http://schemas.openxmlformats.org/officeDocument/2006/relationships/hyperlink" Target="mailto:lucialuisa.lafranceschina@raiway.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en/ITU-R/conferences/RRB/Documents/ai%204_1_compendium%20to%20be%20published%20as%20special%20topics_English.docx" TargetMode="External"/><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s://www.itu.int/en/general-secretariat/Pages/ISCG/default.asp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alexandre.vassiliev@mail.ru"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0DC22-2634-4578-AA22-CD7AA1A5F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9</Pages>
  <Words>3753</Words>
  <Characters>20533</Characters>
  <Application>Microsoft Office Word</Application>
  <DocSecurity>0</DocSecurity>
  <Lines>171</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24238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French</dc:creator>
  <cp:lastModifiedBy>Panoussopoulos, Sonia</cp:lastModifiedBy>
  <cp:revision>7</cp:revision>
  <cp:lastPrinted>2013-03-08T10:15:00Z</cp:lastPrinted>
  <dcterms:created xsi:type="dcterms:W3CDTF">2020-06-09T05:42:00Z</dcterms:created>
  <dcterms:modified xsi:type="dcterms:W3CDTF">2020-06-12T14:34:00Z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