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491098" w14:paraId="089A09AE" w14:textId="77777777" w:rsidTr="004228FA">
        <w:trPr>
          <w:jc w:val="center"/>
        </w:trPr>
        <w:tc>
          <w:tcPr>
            <w:tcW w:w="9889" w:type="dxa"/>
            <w:gridSpan w:val="3"/>
            <w:shd w:val="clear" w:color="auto" w:fill="auto"/>
          </w:tcPr>
          <w:p w14:paraId="1EEDCCB4" w14:textId="77777777" w:rsidR="00E53DCE" w:rsidRPr="00491098" w:rsidRDefault="00E53DCE" w:rsidP="00BA1B70">
            <w:pPr>
              <w:spacing w:before="0" w:line="240" w:lineRule="auto"/>
              <w:jc w:val="left"/>
              <w:rPr>
                <w:rFonts w:cstheme="minorHAnsi"/>
                <w:b/>
                <w:bCs/>
                <w:color w:val="808080"/>
                <w:sz w:val="28"/>
                <w:szCs w:val="28"/>
                <w:lang w:val="fr-FR"/>
              </w:rPr>
            </w:pPr>
            <w:r w:rsidRPr="00491098">
              <w:rPr>
                <w:rFonts w:cstheme="minorHAnsi"/>
                <w:b/>
                <w:bCs/>
                <w:color w:val="808080"/>
                <w:sz w:val="28"/>
                <w:szCs w:val="28"/>
                <w:lang w:val="fr-FR"/>
              </w:rPr>
              <w:t>Bureau des radiocommunications (BR)</w:t>
            </w:r>
          </w:p>
          <w:p w14:paraId="23D2E292" w14:textId="77777777" w:rsidR="00E53DCE" w:rsidRPr="00491098" w:rsidRDefault="00E53DCE" w:rsidP="00BA1B70">
            <w:pPr>
              <w:spacing w:before="0" w:line="240" w:lineRule="auto"/>
              <w:jc w:val="left"/>
              <w:rPr>
                <w:rFonts w:cstheme="minorHAnsi"/>
                <w:b/>
                <w:bCs/>
                <w:color w:val="808080"/>
                <w:sz w:val="28"/>
                <w:szCs w:val="28"/>
                <w:lang w:val="fr-FR"/>
              </w:rPr>
            </w:pPr>
          </w:p>
          <w:p w14:paraId="6C4AB1F6" w14:textId="77777777" w:rsidR="00E53DCE" w:rsidRPr="00491098" w:rsidRDefault="00E53DCE" w:rsidP="00BA1B70">
            <w:pPr>
              <w:spacing w:before="0" w:line="240" w:lineRule="auto"/>
              <w:jc w:val="left"/>
              <w:rPr>
                <w:rFonts w:cs="Times New Roman Bold"/>
                <w:b/>
                <w:bCs/>
                <w:color w:val="808080"/>
                <w:sz w:val="28"/>
                <w:szCs w:val="28"/>
                <w:lang w:val="fr-FR"/>
              </w:rPr>
            </w:pPr>
          </w:p>
        </w:tc>
      </w:tr>
      <w:tr w:rsidR="00E53DCE" w:rsidRPr="00491098" w14:paraId="1AC07AE8" w14:textId="77777777" w:rsidTr="004228FA">
        <w:trPr>
          <w:jc w:val="center"/>
        </w:trPr>
        <w:tc>
          <w:tcPr>
            <w:tcW w:w="7054" w:type="dxa"/>
            <w:gridSpan w:val="2"/>
            <w:shd w:val="clear" w:color="auto" w:fill="auto"/>
          </w:tcPr>
          <w:p w14:paraId="18720D7D" w14:textId="68A93376" w:rsidR="00E53DCE" w:rsidRPr="00491098" w:rsidRDefault="00E53DCE" w:rsidP="00BA1B70">
            <w:pPr>
              <w:spacing w:before="0" w:line="240" w:lineRule="auto"/>
              <w:jc w:val="left"/>
              <w:rPr>
                <w:sz w:val="28"/>
                <w:szCs w:val="28"/>
                <w:lang w:val="fr-FR"/>
              </w:rPr>
            </w:pPr>
            <w:r w:rsidRPr="00491098">
              <w:rPr>
                <w:szCs w:val="24"/>
                <w:lang w:val="fr-FR"/>
              </w:rPr>
              <w:t>Circulaire administrative</w:t>
            </w:r>
          </w:p>
          <w:p w14:paraId="6A7C2D81" w14:textId="4962BF7A" w:rsidR="00E53DCE" w:rsidRPr="00491098" w:rsidRDefault="00407B30" w:rsidP="00BA1B70">
            <w:pPr>
              <w:spacing w:before="0" w:line="240" w:lineRule="auto"/>
              <w:jc w:val="left"/>
              <w:rPr>
                <w:b/>
                <w:bCs/>
                <w:sz w:val="28"/>
                <w:szCs w:val="28"/>
                <w:lang w:val="fr-FR"/>
              </w:rPr>
            </w:pPr>
            <w:r w:rsidRPr="00491098">
              <w:rPr>
                <w:b/>
                <w:bCs/>
                <w:szCs w:val="24"/>
                <w:lang w:val="fr-FR"/>
              </w:rPr>
              <w:t>CA/256</w:t>
            </w:r>
          </w:p>
        </w:tc>
        <w:tc>
          <w:tcPr>
            <w:tcW w:w="2835" w:type="dxa"/>
            <w:shd w:val="clear" w:color="auto" w:fill="auto"/>
          </w:tcPr>
          <w:p w14:paraId="38EA9770" w14:textId="19111EA0" w:rsidR="00E53DCE" w:rsidRPr="00491098" w:rsidRDefault="00407B30" w:rsidP="00BA1B70">
            <w:pPr>
              <w:spacing w:before="0" w:line="240" w:lineRule="auto"/>
              <w:jc w:val="right"/>
              <w:rPr>
                <w:sz w:val="28"/>
                <w:szCs w:val="28"/>
                <w:lang w:val="fr-FR"/>
              </w:rPr>
            </w:pPr>
            <w:r w:rsidRPr="00491098">
              <w:rPr>
                <w:szCs w:val="24"/>
                <w:lang w:val="fr-FR"/>
              </w:rPr>
              <w:t>Le 1</w:t>
            </w:r>
            <w:r w:rsidR="00A22FB4" w:rsidRPr="00491098">
              <w:rPr>
                <w:szCs w:val="24"/>
                <w:lang w:val="fr-FR"/>
              </w:rPr>
              <w:t>9</w:t>
            </w:r>
            <w:r w:rsidRPr="00491098">
              <w:rPr>
                <w:szCs w:val="24"/>
                <w:lang w:val="fr-FR"/>
              </w:rPr>
              <w:t xml:space="preserve"> avril 2021</w:t>
            </w:r>
          </w:p>
        </w:tc>
      </w:tr>
      <w:tr w:rsidR="00E53DCE" w:rsidRPr="00491098" w14:paraId="2ABC4CB3" w14:textId="77777777" w:rsidTr="004228FA">
        <w:trPr>
          <w:jc w:val="center"/>
        </w:trPr>
        <w:tc>
          <w:tcPr>
            <w:tcW w:w="9889" w:type="dxa"/>
            <w:gridSpan w:val="3"/>
            <w:shd w:val="clear" w:color="auto" w:fill="auto"/>
          </w:tcPr>
          <w:p w14:paraId="6537DA3D" w14:textId="77777777" w:rsidR="00E53DCE" w:rsidRPr="00491098" w:rsidRDefault="00E53DCE" w:rsidP="00BA1B70">
            <w:pPr>
              <w:spacing w:before="0" w:line="240" w:lineRule="auto"/>
              <w:jc w:val="left"/>
              <w:rPr>
                <w:rFonts w:cs="Arial"/>
                <w:szCs w:val="24"/>
                <w:lang w:val="fr-FR"/>
              </w:rPr>
            </w:pPr>
          </w:p>
        </w:tc>
      </w:tr>
      <w:tr w:rsidR="00E53DCE" w:rsidRPr="00491098" w14:paraId="1E5EA900" w14:textId="77777777" w:rsidTr="004228FA">
        <w:trPr>
          <w:jc w:val="center"/>
        </w:trPr>
        <w:tc>
          <w:tcPr>
            <w:tcW w:w="9889" w:type="dxa"/>
            <w:gridSpan w:val="3"/>
            <w:shd w:val="clear" w:color="auto" w:fill="auto"/>
          </w:tcPr>
          <w:p w14:paraId="14D73025" w14:textId="77777777" w:rsidR="00E53DCE" w:rsidRPr="00491098" w:rsidRDefault="00E53DCE" w:rsidP="00BA1B70">
            <w:pPr>
              <w:spacing w:before="0" w:line="240" w:lineRule="auto"/>
              <w:jc w:val="left"/>
              <w:rPr>
                <w:szCs w:val="24"/>
                <w:lang w:val="fr-FR"/>
              </w:rPr>
            </w:pPr>
          </w:p>
        </w:tc>
      </w:tr>
      <w:tr w:rsidR="00E53DCE" w:rsidRPr="00F8073F" w14:paraId="11D27E2D" w14:textId="77777777" w:rsidTr="004228FA">
        <w:trPr>
          <w:jc w:val="center"/>
        </w:trPr>
        <w:tc>
          <w:tcPr>
            <w:tcW w:w="9889" w:type="dxa"/>
            <w:gridSpan w:val="3"/>
            <w:shd w:val="clear" w:color="auto" w:fill="auto"/>
          </w:tcPr>
          <w:p w14:paraId="30862943" w14:textId="681BAC10" w:rsidR="00E53DCE" w:rsidRPr="00491098" w:rsidRDefault="00407B30" w:rsidP="00BA1B70">
            <w:pPr>
              <w:spacing w:before="0" w:line="240" w:lineRule="auto"/>
              <w:jc w:val="left"/>
              <w:rPr>
                <w:b/>
                <w:bCs/>
                <w:szCs w:val="24"/>
                <w:lang w:val="fr-FR"/>
              </w:rPr>
            </w:pPr>
            <w:r w:rsidRPr="00491098">
              <w:rPr>
                <w:b/>
                <w:bCs/>
                <w:szCs w:val="24"/>
                <w:lang w:val="fr-FR"/>
              </w:rPr>
              <w:t>Aux Administrations des États Membres de l'UIT et aux Membres du Secteur des radiocommunications</w:t>
            </w:r>
          </w:p>
          <w:p w14:paraId="25E9B506" w14:textId="77777777" w:rsidR="00E53DCE" w:rsidRPr="00491098" w:rsidRDefault="00E53DCE" w:rsidP="00BA1B70">
            <w:pPr>
              <w:spacing w:before="0" w:line="240" w:lineRule="auto"/>
              <w:jc w:val="left"/>
              <w:rPr>
                <w:b/>
                <w:bCs/>
                <w:szCs w:val="24"/>
                <w:lang w:val="fr-FR"/>
              </w:rPr>
            </w:pPr>
          </w:p>
        </w:tc>
      </w:tr>
      <w:tr w:rsidR="00E53DCE" w:rsidRPr="00F8073F" w14:paraId="3AA3D2F4" w14:textId="77777777" w:rsidTr="004228FA">
        <w:trPr>
          <w:jc w:val="center"/>
        </w:trPr>
        <w:tc>
          <w:tcPr>
            <w:tcW w:w="9889" w:type="dxa"/>
            <w:gridSpan w:val="3"/>
            <w:shd w:val="clear" w:color="auto" w:fill="auto"/>
          </w:tcPr>
          <w:p w14:paraId="533F3367" w14:textId="77777777" w:rsidR="00E53DCE" w:rsidRPr="00491098" w:rsidRDefault="00E53DCE" w:rsidP="00BA1B70">
            <w:pPr>
              <w:spacing w:before="0" w:line="240" w:lineRule="auto"/>
              <w:jc w:val="left"/>
              <w:rPr>
                <w:szCs w:val="24"/>
                <w:lang w:val="fr-FR"/>
              </w:rPr>
            </w:pPr>
          </w:p>
        </w:tc>
      </w:tr>
      <w:tr w:rsidR="00E53DCE" w:rsidRPr="00F8073F" w14:paraId="7E58AEC1" w14:textId="77777777" w:rsidTr="004228FA">
        <w:trPr>
          <w:jc w:val="center"/>
        </w:trPr>
        <w:tc>
          <w:tcPr>
            <w:tcW w:w="9889" w:type="dxa"/>
            <w:gridSpan w:val="3"/>
            <w:shd w:val="clear" w:color="auto" w:fill="auto"/>
          </w:tcPr>
          <w:p w14:paraId="39E0C0FE" w14:textId="77777777" w:rsidR="00E53DCE" w:rsidRPr="00491098" w:rsidRDefault="00E53DCE" w:rsidP="00BA1B70">
            <w:pPr>
              <w:spacing w:before="0" w:line="240" w:lineRule="auto"/>
              <w:jc w:val="left"/>
              <w:rPr>
                <w:szCs w:val="24"/>
                <w:lang w:val="fr-FR"/>
              </w:rPr>
            </w:pPr>
          </w:p>
        </w:tc>
      </w:tr>
      <w:tr w:rsidR="00E53DCE" w:rsidRPr="00F8073F" w14:paraId="7131A2BC" w14:textId="77777777" w:rsidTr="004228FA">
        <w:trPr>
          <w:jc w:val="center"/>
        </w:trPr>
        <w:tc>
          <w:tcPr>
            <w:tcW w:w="1526" w:type="dxa"/>
            <w:shd w:val="clear" w:color="auto" w:fill="auto"/>
          </w:tcPr>
          <w:p w14:paraId="2B352431" w14:textId="77777777" w:rsidR="00E53DCE" w:rsidRPr="00491098" w:rsidRDefault="003471C9" w:rsidP="00BA1B70">
            <w:pPr>
              <w:tabs>
                <w:tab w:val="clear" w:pos="1588"/>
                <w:tab w:val="left" w:pos="1560"/>
              </w:tabs>
              <w:spacing w:before="0" w:line="240" w:lineRule="auto"/>
              <w:jc w:val="left"/>
              <w:rPr>
                <w:szCs w:val="24"/>
                <w:lang w:val="fr-FR"/>
              </w:rPr>
            </w:pPr>
            <w:proofErr w:type="gramStart"/>
            <w:r w:rsidRPr="00491098">
              <w:rPr>
                <w:lang w:val="fr-FR"/>
              </w:rPr>
              <w:t>Objet</w:t>
            </w:r>
            <w:r w:rsidR="00E53DCE" w:rsidRPr="00491098">
              <w:rPr>
                <w:szCs w:val="24"/>
                <w:lang w:val="fr-FR"/>
              </w:rPr>
              <w:t>:</w:t>
            </w:r>
            <w:proofErr w:type="gramEnd"/>
          </w:p>
        </w:tc>
        <w:tc>
          <w:tcPr>
            <w:tcW w:w="8363" w:type="dxa"/>
            <w:gridSpan w:val="2"/>
            <w:vMerge w:val="restart"/>
            <w:shd w:val="clear" w:color="auto" w:fill="auto"/>
          </w:tcPr>
          <w:p w14:paraId="30BA2BDE" w14:textId="2862E08B" w:rsidR="00E53DCE" w:rsidRPr="00491098" w:rsidRDefault="00407B30" w:rsidP="00BA1B70">
            <w:pPr>
              <w:tabs>
                <w:tab w:val="clear" w:pos="1588"/>
                <w:tab w:val="left" w:pos="1560"/>
              </w:tabs>
              <w:spacing w:before="0" w:line="240" w:lineRule="auto"/>
              <w:jc w:val="left"/>
              <w:rPr>
                <w:b/>
                <w:bCs/>
                <w:szCs w:val="24"/>
                <w:lang w:val="fr-FR"/>
              </w:rPr>
            </w:pPr>
            <w:r w:rsidRPr="00491098">
              <w:rPr>
                <w:b/>
                <w:bCs/>
                <w:szCs w:val="24"/>
                <w:lang w:val="fr-FR"/>
              </w:rPr>
              <w:t>Résumé des conclusions de la vingt-huitième réunion du Groupe consultatif des radiocommunications</w:t>
            </w:r>
          </w:p>
        </w:tc>
      </w:tr>
      <w:tr w:rsidR="00E53DCE" w:rsidRPr="00F8073F" w14:paraId="58CD9E86" w14:textId="77777777" w:rsidTr="004228FA">
        <w:trPr>
          <w:jc w:val="center"/>
        </w:trPr>
        <w:tc>
          <w:tcPr>
            <w:tcW w:w="1526" w:type="dxa"/>
            <w:shd w:val="clear" w:color="auto" w:fill="auto"/>
          </w:tcPr>
          <w:p w14:paraId="183D0441" w14:textId="77777777" w:rsidR="00E53DCE" w:rsidRPr="00491098" w:rsidRDefault="00E53DCE" w:rsidP="00BA1B7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7D8F220" w14:textId="77777777" w:rsidR="00E53DCE" w:rsidRPr="00491098" w:rsidRDefault="00E53DCE" w:rsidP="00BA1B70">
            <w:pPr>
              <w:tabs>
                <w:tab w:val="clear" w:pos="1588"/>
                <w:tab w:val="left" w:pos="1560"/>
              </w:tabs>
              <w:spacing w:before="0" w:line="240" w:lineRule="auto"/>
              <w:rPr>
                <w:b/>
                <w:bCs/>
                <w:szCs w:val="24"/>
                <w:lang w:val="fr-FR"/>
              </w:rPr>
            </w:pPr>
          </w:p>
        </w:tc>
      </w:tr>
      <w:tr w:rsidR="00E53DCE" w:rsidRPr="00F8073F" w14:paraId="1445F9AF" w14:textId="77777777" w:rsidTr="004228FA">
        <w:trPr>
          <w:jc w:val="center"/>
        </w:trPr>
        <w:tc>
          <w:tcPr>
            <w:tcW w:w="1526" w:type="dxa"/>
            <w:shd w:val="clear" w:color="auto" w:fill="auto"/>
          </w:tcPr>
          <w:p w14:paraId="63475FE8" w14:textId="77777777" w:rsidR="00E53DCE" w:rsidRPr="00491098" w:rsidRDefault="00E53DCE" w:rsidP="00BA1B7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4373055" w14:textId="77777777" w:rsidR="00E53DCE" w:rsidRPr="00491098" w:rsidRDefault="00E53DCE" w:rsidP="00BA1B70">
            <w:pPr>
              <w:tabs>
                <w:tab w:val="clear" w:pos="1588"/>
                <w:tab w:val="left" w:pos="1560"/>
              </w:tabs>
              <w:spacing w:before="0" w:line="240" w:lineRule="auto"/>
              <w:rPr>
                <w:b/>
                <w:bCs/>
                <w:szCs w:val="24"/>
                <w:lang w:val="fr-FR"/>
              </w:rPr>
            </w:pPr>
          </w:p>
        </w:tc>
      </w:tr>
      <w:tr w:rsidR="00E53DCE" w:rsidRPr="00F8073F" w14:paraId="1B31B25F" w14:textId="77777777" w:rsidTr="004228FA">
        <w:trPr>
          <w:jc w:val="center"/>
        </w:trPr>
        <w:tc>
          <w:tcPr>
            <w:tcW w:w="9889" w:type="dxa"/>
            <w:gridSpan w:val="3"/>
            <w:shd w:val="clear" w:color="auto" w:fill="auto"/>
          </w:tcPr>
          <w:p w14:paraId="5B886904" w14:textId="77777777" w:rsidR="00E53DCE" w:rsidRPr="00491098" w:rsidRDefault="00E53DCE" w:rsidP="00BA1B70">
            <w:pPr>
              <w:tabs>
                <w:tab w:val="clear" w:pos="1588"/>
                <w:tab w:val="left" w:pos="1560"/>
              </w:tabs>
              <w:spacing w:before="0" w:line="240" w:lineRule="auto"/>
              <w:jc w:val="left"/>
              <w:rPr>
                <w:szCs w:val="24"/>
                <w:lang w:val="fr-FR"/>
              </w:rPr>
            </w:pPr>
          </w:p>
        </w:tc>
      </w:tr>
      <w:tr w:rsidR="00E53DCE" w:rsidRPr="00F8073F" w14:paraId="4BE170B6" w14:textId="77777777" w:rsidTr="004228FA">
        <w:trPr>
          <w:jc w:val="center"/>
        </w:trPr>
        <w:tc>
          <w:tcPr>
            <w:tcW w:w="9889" w:type="dxa"/>
            <w:gridSpan w:val="3"/>
            <w:shd w:val="clear" w:color="auto" w:fill="auto"/>
          </w:tcPr>
          <w:p w14:paraId="5C9499E9" w14:textId="77777777" w:rsidR="00E53DCE" w:rsidRPr="00491098" w:rsidRDefault="00E53DCE" w:rsidP="00BA1B70">
            <w:pPr>
              <w:spacing w:before="0" w:line="240" w:lineRule="auto"/>
              <w:jc w:val="left"/>
              <w:rPr>
                <w:b/>
                <w:bCs/>
                <w:szCs w:val="24"/>
                <w:lang w:val="fr-FR"/>
              </w:rPr>
            </w:pPr>
          </w:p>
        </w:tc>
      </w:tr>
    </w:tbl>
    <w:p w14:paraId="22ADD3A1" w14:textId="7FDF168E" w:rsidR="00E53DCE" w:rsidRPr="00491098" w:rsidRDefault="00407B30" w:rsidP="00830E95">
      <w:pPr>
        <w:spacing w:line="240" w:lineRule="auto"/>
        <w:rPr>
          <w:lang w:val="fr-FR"/>
        </w:rPr>
      </w:pPr>
      <w:r w:rsidRPr="00491098">
        <w:rPr>
          <w:lang w:val="fr-FR"/>
        </w:rPr>
        <w:t>Le Groupe consultatif des radiocommunications (GCR) a te</w:t>
      </w:r>
      <w:r w:rsidR="00D95812">
        <w:rPr>
          <w:lang w:val="fr-FR"/>
        </w:rPr>
        <w:t>nu sa vingt-huitième réunion du </w:t>
      </w:r>
      <w:r w:rsidRPr="00491098">
        <w:rPr>
          <w:lang w:val="fr-FR"/>
        </w:rPr>
        <w:t>29 mars au 1er avril 2021.</w:t>
      </w:r>
    </w:p>
    <w:p w14:paraId="26EE6E36" w14:textId="1EA116C3" w:rsidR="008455F9" w:rsidRPr="00491098" w:rsidRDefault="008455F9" w:rsidP="00830E95">
      <w:pPr>
        <w:spacing w:line="240" w:lineRule="auto"/>
        <w:rPr>
          <w:color w:val="000000"/>
          <w:lang w:val="fr-FR"/>
        </w:rPr>
      </w:pPr>
      <w:bookmarkStart w:id="0" w:name="_Hlk68775876"/>
      <w:r w:rsidRPr="00491098">
        <w:rPr>
          <w:lang w:val="fr-FR"/>
        </w:rPr>
        <w:t>Compte tenu des discussions qui ont eu lieu lors de la réunion du GCR, il est important que les Administrations soient conscientes du fait que le GCR a reconnu que la promotion de l'égalité</w:t>
      </w:r>
      <w:r w:rsidRPr="00491098">
        <w:rPr>
          <w:color w:val="000000"/>
          <w:lang w:val="fr-FR"/>
        </w:rPr>
        <w:t xml:space="preserve"> hommes-femmes</w:t>
      </w:r>
      <w:r w:rsidR="00A22FB4" w:rsidRPr="00491098">
        <w:rPr>
          <w:lang w:val="fr-FR"/>
        </w:rPr>
        <w:t xml:space="preserve"> </w:t>
      </w:r>
      <w:r w:rsidRPr="00491098">
        <w:rPr>
          <w:lang w:val="fr-FR"/>
        </w:rPr>
        <w:t>vis</w:t>
      </w:r>
      <w:r w:rsidR="00FF2533" w:rsidRPr="00491098">
        <w:rPr>
          <w:lang w:val="fr-FR"/>
        </w:rPr>
        <w:t>ait</w:t>
      </w:r>
      <w:r w:rsidRPr="00491098">
        <w:rPr>
          <w:lang w:val="fr-FR"/>
        </w:rPr>
        <w:t xml:space="preserve"> non seulement à assurer une répartition plus équilibrée entre les hommes et les femmes, mais</w:t>
      </w:r>
      <w:r w:rsidRPr="00491098">
        <w:rPr>
          <w:color w:val="000000"/>
          <w:lang w:val="fr-FR"/>
        </w:rPr>
        <w:t xml:space="preserve"> comport</w:t>
      </w:r>
      <w:r w:rsidR="00FF2533" w:rsidRPr="00491098">
        <w:rPr>
          <w:color w:val="000000"/>
          <w:lang w:val="fr-FR"/>
        </w:rPr>
        <w:t>ait aussi</w:t>
      </w:r>
      <w:r w:rsidRPr="00491098">
        <w:rPr>
          <w:color w:val="000000"/>
          <w:lang w:val="fr-FR"/>
        </w:rPr>
        <w:t xml:space="preserve"> des aspects qualitatifs, et a</w:t>
      </w:r>
      <w:r w:rsidR="00FF2533" w:rsidRPr="00491098">
        <w:rPr>
          <w:color w:val="000000"/>
          <w:lang w:val="fr-FR"/>
        </w:rPr>
        <w:t>vait</w:t>
      </w:r>
      <w:r w:rsidRPr="00491098">
        <w:rPr>
          <w:color w:val="000000"/>
          <w:lang w:val="fr-FR"/>
        </w:rPr>
        <w:t xml:space="preserve"> pour but de garantir que</w:t>
      </w:r>
      <w:r w:rsidR="00A22FB4" w:rsidRPr="00491098">
        <w:rPr>
          <w:color w:val="000000"/>
          <w:lang w:val="fr-FR"/>
        </w:rPr>
        <w:t xml:space="preserve"> </w:t>
      </w:r>
      <w:r w:rsidRPr="00491098">
        <w:rPr>
          <w:color w:val="000000"/>
          <w:lang w:val="fr-FR"/>
        </w:rPr>
        <w:t>le</w:t>
      </w:r>
      <w:r w:rsidR="00D6147E" w:rsidRPr="00491098">
        <w:rPr>
          <w:color w:val="000000"/>
          <w:lang w:val="fr-FR"/>
        </w:rPr>
        <w:t>s</w:t>
      </w:r>
      <w:r w:rsidRPr="00491098">
        <w:rPr>
          <w:color w:val="000000"/>
          <w:lang w:val="fr-FR"/>
        </w:rPr>
        <w:t xml:space="preserve"> </w:t>
      </w:r>
      <w:r w:rsidR="00D6147E" w:rsidRPr="00491098">
        <w:rPr>
          <w:color w:val="000000"/>
          <w:lang w:val="fr-FR"/>
        </w:rPr>
        <w:t>connaissances</w:t>
      </w:r>
      <w:r w:rsidRPr="00491098">
        <w:rPr>
          <w:color w:val="000000"/>
          <w:lang w:val="fr-FR"/>
        </w:rPr>
        <w:t xml:space="preserve"> </w:t>
      </w:r>
      <w:r w:rsidRPr="00491098">
        <w:rPr>
          <w:lang w:val="fr-FR"/>
        </w:rPr>
        <w:t>précieu</w:t>
      </w:r>
      <w:r w:rsidR="00D6147E" w:rsidRPr="00491098">
        <w:rPr>
          <w:lang w:val="fr-FR"/>
        </w:rPr>
        <w:t>ses</w:t>
      </w:r>
      <w:r w:rsidRPr="00491098">
        <w:rPr>
          <w:color w:val="000000"/>
          <w:lang w:val="fr-FR"/>
        </w:rPr>
        <w:t xml:space="preserve"> et l'expérience </w:t>
      </w:r>
      <w:r w:rsidR="00D6147E" w:rsidRPr="00491098">
        <w:rPr>
          <w:color w:val="000000"/>
          <w:lang w:val="fr-FR"/>
        </w:rPr>
        <w:t>utile</w:t>
      </w:r>
      <w:r w:rsidRPr="00491098">
        <w:rPr>
          <w:color w:val="000000"/>
          <w:lang w:val="fr-FR"/>
        </w:rPr>
        <w:t xml:space="preserve"> </w:t>
      </w:r>
      <w:r w:rsidR="00D6147E" w:rsidRPr="00491098">
        <w:rPr>
          <w:color w:val="000000"/>
          <w:lang w:val="fr-FR"/>
        </w:rPr>
        <w:t>acquises par les</w:t>
      </w:r>
      <w:r w:rsidRPr="00491098">
        <w:rPr>
          <w:color w:val="000000"/>
          <w:lang w:val="fr-FR"/>
        </w:rPr>
        <w:t xml:space="preserve"> hommes et </w:t>
      </w:r>
      <w:r w:rsidR="00D6147E" w:rsidRPr="00491098">
        <w:rPr>
          <w:color w:val="000000"/>
          <w:lang w:val="fr-FR"/>
        </w:rPr>
        <w:t>l</w:t>
      </w:r>
      <w:r w:rsidRPr="00491098">
        <w:rPr>
          <w:color w:val="000000"/>
          <w:lang w:val="fr-FR"/>
        </w:rPr>
        <w:t xml:space="preserve">es femmes soient </w:t>
      </w:r>
      <w:r w:rsidR="00D6147E" w:rsidRPr="00491098">
        <w:rPr>
          <w:color w:val="000000"/>
          <w:lang w:val="fr-FR"/>
        </w:rPr>
        <w:t>mises au service du</w:t>
      </w:r>
      <w:r w:rsidRPr="00491098">
        <w:rPr>
          <w:color w:val="000000"/>
          <w:lang w:val="fr-FR"/>
        </w:rPr>
        <w:t xml:space="preserve"> progrès dans tous les domaines du Secteur des radiocommunications de l'UIT</w:t>
      </w:r>
      <w:r w:rsidR="00A22FB4" w:rsidRPr="00491098">
        <w:rPr>
          <w:color w:val="000000"/>
          <w:lang w:val="fr-FR"/>
        </w:rPr>
        <w:noBreakHyphen/>
      </w:r>
      <w:r w:rsidRPr="00491098">
        <w:rPr>
          <w:color w:val="000000"/>
          <w:lang w:val="fr-FR"/>
        </w:rPr>
        <w:t>R.</w:t>
      </w:r>
    </w:p>
    <w:p w14:paraId="4CE3BFED" w14:textId="1FD36C64" w:rsidR="00407B30" w:rsidRPr="00491098" w:rsidRDefault="00D6147E" w:rsidP="00830E95">
      <w:pPr>
        <w:spacing w:line="240" w:lineRule="auto"/>
        <w:rPr>
          <w:lang w:val="fr-FR"/>
        </w:rPr>
      </w:pPr>
      <w:r w:rsidRPr="00491098">
        <w:rPr>
          <w:color w:val="000000"/>
          <w:lang w:val="fr-FR"/>
        </w:rPr>
        <w:t>Dans cette optique, et afin de parvenir à l'égalité, à l'équité et à la parité hommes-femmes dans le cadre des travaux de l</w:t>
      </w:r>
      <w:r w:rsidR="00A22FB4" w:rsidRPr="00491098">
        <w:rPr>
          <w:color w:val="000000"/>
          <w:lang w:val="fr-FR"/>
        </w:rPr>
        <w:t>'</w:t>
      </w:r>
      <w:r w:rsidRPr="00491098">
        <w:rPr>
          <w:color w:val="000000"/>
          <w:lang w:val="fr-FR"/>
        </w:rPr>
        <w:t>UIT-R, le GCR encourage les Administrations, les Membres de Secteur et les six organisations régionales de télécommunication</w:t>
      </w:r>
      <w:r w:rsidR="00A22FB4" w:rsidRPr="00491098">
        <w:rPr>
          <w:color w:val="000000"/>
          <w:lang w:val="fr-FR"/>
        </w:rPr>
        <w:t xml:space="preserve"> </w:t>
      </w:r>
      <w:r w:rsidRPr="00491098">
        <w:rPr>
          <w:lang w:val="fr-FR"/>
        </w:rPr>
        <w:t>(APT, ASMG, UAT, CEPT, CITEL et</w:t>
      </w:r>
      <w:r w:rsidR="00A22FB4" w:rsidRPr="00491098">
        <w:rPr>
          <w:lang w:val="fr-FR"/>
        </w:rPr>
        <w:t xml:space="preserve"> </w:t>
      </w:r>
      <w:r w:rsidRPr="00491098">
        <w:rPr>
          <w:lang w:val="fr-FR"/>
        </w:rPr>
        <w:t xml:space="preserve">RCC) </w:t>
      </w:r>
      <w:r w:rsidRPr="00491098">
        <w:rPr>
          <w:color w:val="000000"/>
          <w:lang w:val="fr-FR"/>
        </w:rPr>
        <w:t>à s'employer activement à garantir la participation des femmes aux réunions de l'UIT-R à tous les niveaux</w:t>
      </w:r>
      <w:r w:rsidR="00FC459B" w:rsidRPr="00491098">
        <w:rPr>
          <w:color w:val="000000"/>
          <w:lang w:val="fr-FR"/>
        </w:rPr>
        <w:t>,</w:t>
      </w:r>
      <w:r w:rsidR="00A22FB4" w:rsidRPr="00491098">
        <w:rPr>
          <w:color w:val="000000"/>
          <w:lang w:val="fr-FR"/>
        </w:rPr>
        <w:t xml:space="preserve"> </w:t>
      </w:r>
      <w:r w:rsidR="00FC459B" w:rsidRPr="00491098">
        <w:rPr>
          <w:color w:val="000000"/>
          <w:lang w:val="fr-FR"/>
        </w:rPr>
        <w:t>à présenter des candidates à des postes à responsabilité et à encourager les femmes à exercer</w:t>
      </w:r>
      <w:r w:rsidR="00A22FB4" w:rsidRPr="00491098">
        <w:rPr>
          <w:color w:val="000000"/>
          <w:lang w:val="fr-FR"/>
        </w:rPr>
        <w:t xml:space="preserve"> </w:t>
      </w:r>
      <w:r w:rsidRPr="00491098">
        <w:rPr>
          <w:color w:val="000000"/>
          <w:lang w:val="fr-FR"/>
        </w:rPr>
        <w:t>des fonctions de direction.</w:t>
      </w:r>
      <w:bookmarkEnd w:id="0"/>
    </w:p>
    <w:p w14:paraId="5265504C" w14:textId="009202F5" w:rsidR="00407B30" w:rsidRPr="00491098" w:rsidRDefault="00FC459B" w:rsidP="00830E95">
      <w:pPr>
        <w:spacing w:line="240" w:lineRule="auto"/>
        <w:rPr>
          <w:color w:val="000000"/>
          <w:lang w:val="fr-FR"/>
        </w:rPr>
      </w:pPr>
      <w:r w:rsidRPr="00491098">
        <w:rPr>
          <w:color w:val="000000"/>
          <w:lang w:val="fr-FR"/>
        </w:rPr>
        <w:t>En outre, le GC-1 du GCR</w:t>
      </w:r>
      <w:r w:rsidR="00725647" w:rsidRPr="00491098">
        <w:rPr>
          <w:color w:val="000000"/>
          <w:lang w:val="fr-FR"/>
        </w:rPr>
        <w:t>, dans le cadre de</w:t>
      </w:r>
      <w:r w:rsidRPr="00491098">
        <w:rPr>
          <w:color w:val="000000"/>
          <w:lang w:val="fr-FR"/>
        </w:rPr>
        <w:t xml:space="preserve"> ses travaux</w:t>
      </w:r>
      <w:r w:rsidR="00725647" w:rsidRPr="00491098">
        <w:rPr>
          <w:color w:val="000000"/>
          <w:lang w:val="fr-FR"/>
        </w:rPr>
        <w:t>,</w:t>
      </w:r>
      <w:r w:rsidR="00A22FB4" w:rsidRPr="00491098">
        <w:rPr>
          <w:color w:val="000000"/>
          <w:lang w:val="fr-FR"/>
        </w:rPr>
        <w:t xml:space="preserve"> </w:t>
      </w:r>
      <w:r w:rsidR="00725647" w:rsidRPr="00491098">
        <w:rPr>
          <w:color w:val="000000"/>
          <w:lang w:val="fr-FR"/>
        </w:rPr>
        <w:t>continuer</w:t>
      </w:r>
      <w:r w:rsidR="00FF2533" w:rsidRPr="00491098">
        <w:rPr>
          <w:color w:val="000000"/>
          <w:lang w:val="fr-FR"/>
        </w:rPr>
        <w:t xml:space="preserve">a </w:t>
      </w:r>
      <w:r w:rsidR="00725647" w:rsidRPr="00491098">
        <w:rPr>
          <w:color w:val="000000"/>
          <w:lang w:val="fr-FR"/>
        </w:rPr>
        <w:t>d</w:t>
      </w:r>
      <w:r w:rsidR="00A22FB4" w:rsidRPr="00491098">
        <w:rPr>
          <w:color w:val="000000"/>
          <w:lang w:val="fr-FR"/>
        </w:rPr>
        <w:t>'</w:t>
      </w:r>
      <w:r w:rsidR="00725647" w:rsidRPr="00491098">
        <w:rPr>
          <w:color w:val="000000"/>
          <w:lang w:val="fr-FR"/>
        </w:rPr>
        <w:t>envisager d</w:t>
      </w:r>
      <w:r w:rsidR="00A22FB4" w:rsidRPr="00491098">
        <w:rPr>
          <w:color w:val="000000"/>
          <w:lang w:val="fr-FR"/>
        </w:rPr>
        <w:t>'</w:t>
      </w:r>
      <w:r w:rsidRPr="00491098">
        <w:rPr>
          <w:color w:val="000000"/>
          <w:lang w:val="fr-FR"/>
        </w:rPr>
        <w:t>élaborer une nouvelle Résolution éventuelle de l'UIT-R intitulée</w:t>
      </w:r>
      <w:proofErr w:type="gramStart"/>
      <w:r w:rsidRPr="00491098">
        <w:rPr>
          <w:color w:val="000000"/>
          <w:lang w:val="fr-FR"/>
        </w:rPr>
        <w:t xml:space="preserve"> «Promotion</w:t>
      </w:r>
      <w:proofErr w:type="gramEnd"/>
      <w:r w:rsidRPr="00491098">
        <w:rPr>
          <w:color w:val="000000"/>
          <w:lang w:val="fr-FR"/>
        </w:rPr>
        <w:t xml:space="preserve"> de l'égalité, de l'équité et de la parité hommes-femmes dans le Secteur des radiocommunications de l'UIT», </w:t>
      </w:r>
      <w:r w:rsidR="00725647" w:rsidRPr="00491098">
        <w:rPr>
          <w:color w:val="000000"/>
          <w:lang w:val="fr-FR"/>
        </w:rPr>
        <w:t xml:space="preserve">pour examen </w:t>
      </w:r>
      <w:r w:rsidRPr="00491098">
        <w:rPr>
          <w:color w:val="000000"/>
          <w:lang w:val="fr-FR"/>
        </w:rPr>
        <w:t>par le</w:t>
      </w:r>
      <w:r w:rsidR="00D95812">
        <w:rPr>
          <w:color w:val="000000"/>
          <w:lang w:val="fr-FR"/>
        </w:rPr>
        <w:t> </w:t>
      </w:r>
      <w:r w:rsidRPr="00491098">
        <w:rPr>
          <w:color w:val="000000"/>
          <w:lang w:val="fr-FR"/>
        </w:rPr>
        <w:t>GCR et soumis</w:t>
      </w:r>
      <w:r w:rsidR="00725647" w:rsidRPr="00491098">
        <w:rPr>
          <w:color w:val="000000"/>
          <w:lang w:val="fr-FR"/>
        </w:rPr>
        <w:t>sion</w:t>
      </w:r>
      <w:r w:rsidRPr="00491098">
        <w:rPr>
          <w:color w:val="000000"/>
          <w:lang w:val="fr-FR"/>
        </w:rPr>
        <w:t xml:space="preserve"> ultérieure</w:t>
      </w:r>
      <w:r w:rsidR="00A22FB4" w:rsidRPr="00491098">
        <w:rPr>
          <w:color w:val="000000"/>
          <w:lang w:val="fr-FR"/>
        </w:rPr>
        <w:t xml:space="preserve"> </w:t>
      </w:r>
      <w:r w:rsidRPr="00491098">
        <w:rPr>
          <w:color w:val="000000"/>
          <w:lang w:val="fr-FR"/>
        </w:rPr>
        <w:t xml:space="preserve">à </w:t>
      </w:r>
      <w:r w:rsidR="00725647" w:rsidRPr="00491098">
        <w:rPr>
          <w:color w:val="000000"/>
          <w:lang w:val="fr-FR"/>
        </w:rPr>
        <w:t>l</w:t>
      </w:r>
      <w:r w:rsidR="00A22FB4" w:rsidRPr="00491098">
        <w:rPr>
          <w:color w:val="000000"/>
          <w:lang w:val="fr-FR"/>
        </w:rPr>
        <w:t>'</w:t>
      </w:r>
      <w:r w:rsidR="00725647" w:rsidRPr="00491098">
        <w:rPr>
          <w:color w:val="000000"/>
          <w:lang w:val="fr-FR"/>
        </w:rPr>
        <w:t>AR-</w:t>
      </w:r>
      <w:r w:rsidRPr="00491098">
        <w:rPr>
          <w:color w:val="000000"/>
          <w:lang w:val="fr-FR"/>
        </w:rPr>
        <w:t>23</w:t>
      </w:r>
      <w:r w:rsidR="00FF2533" w:rsidRPr="00491098">
        <w:rPr>
          <w:color w:val="000000"/>
          <w:lang w:val="fr-FR"/>
        </w:rPr>
        <w:t>.</w:t>
      </w:r>
      <w:r w:rsidR="00A22FB4" w:rsidRPr="00491098">
        <w:rPr>
          <w:color w:val="000000"/>
          <w:lang w:val="fr-FR"/>
        </w:rPr>
        <w:t xml:space="preserve"> </w:t>
      </w:r>
      <w:r w:rsidR="00415B3F" w:rsidRPr="00491098">
        <w:rPr>
          <w:color w:val="000000"/>
          <w:lang w:val="fr-FR"/>
        </w:rPr>
        <w:t>À</w:t>
      </w:r>
      <w:r w:rsidR="00FF2533" w:rsidRPr="00491098">
        <w:rPr>
          <w:color w:val="000000"/>
          <w:lang w:val="fr-FR"/>
        </w:rPr>
        <w:t xml:space="preserve"> cette fin,</w:t>
      </w:r>
      <w:r w:rsidR="00A22FB4" w:rsidRPr="00491098">
        <w:rPr>
          <w:color w:val="000000"/>
          <w:lang w:val="fr-FR"/>
        </w:rPr>
        <w:t xml:space="preserve"> </w:t>
      </w:r>
      <w:r w:rsidR="00FF2533" w:rsidRPr="00491098">
        <w:rPr>
          <w:color w:val="000000"/>
          <w:lang w:val="fr-FR"/>
        </w:rPr>
        <w:t>les Administrations et les Membres du Secteur sont encouragés à participer à ces travaux tout au long de la période d'étude</w:t>
      </w:r>
      <w:r w:rsidR="00D95812">
        <w:rPr>
          <w:color w:val="000000"/>
          <w:lang w:val="fr-FR"/>
        </w:rPr>
        <w:t>s</w:t>
      </w:r>
      <w:r w:rsidR="00FF2533" w:rsidRPr="00491098">
        <w:rPr>
          <w:color w:val="000000"/>
          <w:lang w:val="fr-FR"/>
        </w:rPr>
        <w:t xml:space="preserve"> s'étendant jusqu'à</w:t>
      </w:r>
      <w:r w:rsidR="00A22FB4" w:rsidRPr="00491098">
        <w:rPr>
          <w:color w:val="000000"/>
          <w:lang w:val="fr-FR"/>
        </w:rPr>
        <w:t xml:space="preserve"> </w:t>
      </w:r>
      <w:r w:rsidR="00FF2533" w:rsidRPr="00491098">
        <w:rPr>
          <w:color w:val="000000"/>
          <w:lang w:val="fr-FR"/>
        </w:rPr>
        <w:t>l'AR-23.</w:t>
      </w:r>
      <w:r w:rsidRPr="00491098">
        <w:rPr>
          <w:color w:val="000000"/>
          <w:lang w:val="fr-FR"/>
        </w:rPr>
        <w:t xml:space="preserve"> </w:t>
      </w:r>
    </w:p>
    <w:p w14:paraId="09BB6E6B" w14:textId="77777777" w:rsidR="00A22FB4" w:rsidRPr="00491098" w:rsidRDefault="00A22FB4" w:rsidP="00BA1B70">
      <w:pPr>
        <w:spacing w:line="240" w:lineRule="auto"/>
        <w:jc w:val="left"/>
        <w:rPr>
          <w:rFonts w:asciiTheme="minorHAnsi" w:hAnsiTheme="minorHAnsi" w:cstheme="minorHAnsi"/>
          <w:b/>
          <w:bCs/>
          <w:lang w:val="fr-FR"/>
        </w:rPr>
      </w:pPr>
      <w:r w:rsidRPr="00491098">
        <w:rPr>
          <w:rFonts w:asciiTheme="minorHAnsi" w:hAnsiTheme="minorHAnsi" w:cstheme="minorHAnsi"/>
          <w:b/>
          <w:bCs/>
          <w:lang w:val="fr-FR"/>
        </w:rPr>
        <w:br w:type="page"/>
      </w:r>
    </w:p>
    <w:p w14:paraId="61E1AAD7" w14:textId="13CBBA6C" w:rsidR="00407B30" w:rsidRPr="00491098" w:rsidRDefault="00407B30" w:rsidP="00830E95">
      <w:pPr>
        <w:spacing w:line="240" w:lineRule="auto"/>
        <w:rPr>
          <w:rFonts w:asciiTheme="minorHAnsi" w:hAnsiTheme="minorHAnsi" w:cstheme="minorHAnsi"/>
          <w:b/>
          <w:bCs/>
          <w:lang w:val="fr-FR"/>
        </w:rPr>
      </w:pPr>
      <w:r w:rsidRPr="00491098">
        <w:rPr>
          <w:rFonts w:asciiTheme="minorHAnsi" w:hAnsiTheme="minorHAnsi" w:cstheme="minorHAnsi"/>
          <w:b/>
          <w:bCs/>
          <w:lang w:val="fr-FR"/>
        </w:rPr>
        <w:lastRenderedPageBreak/>
        <w:t>Le résumé des conclusions de la réunion figure dans la</w:t>
      </w:r>
      <w:r w:rsidR="00A22FB4" w:rsidRPr="00491098">
        <w:rPr>
          <w:rFonts w:asciiTheme="minorHAnsi" w:hAnsiTheme="minorHAnsi" w:cstheme="minorHAnsi"/>
          <w:b/>
          <w:bCs/>
          <w:lang w:val="fr-FR"/>
        </w:rPr>
        <w:t xml:space="preserve"> </w:t>
      </w:r>
      <w:r w:rsidR="00FF2533" w:rsidRPr="00491098">
        <w:rPr>
          <w:rFonts w:asciiTheme="minorHAnsi" w:hAnsiTheme="minorHAnsi" w:cstheme="minorHAnsi"/>
          <w:b/>
          <w:bCs/>
          <w:lang w:val="fr-FR"/>
        </w:rPr>
        <w:t>P</w:t>
      </w:r>
      <w:r w:rsidRPr="00491098">
        <w:rPr>
          <w:rFonts w:asciiTheme="minorHAnsi" w:hAnsiTheme="minorHAnsi" w:cstheme="minorHAnsi"/>
          <w:b/>
          <w:bCs/>
          <w:lang w:val="fr-FR"/>
        </w:rPr>
        <w:t xml:space="preserve">ièce jointe </w:t>
      </w:r>
      <w:r w:rsidR="00725647" w:rsidRPr="00491098">
        <w:rPr>
          <w:rFonts w:asciiTheme="minorHAnsi" w:hAnsiTheme="minorHAnsi" w:cstheme="minorHAnsi"/>
          <w:b/>
          <w:bCs/>
          <w:lang w:val="fr-FR"/>
        </w:rPr>
        <w:t>à</w:t>
      </w:r>
      <w:r w:rsidRPr="00491098">
        <w:rPr>
          <w:rFonts w:asciiTheme="minorHAnsi" w:hAnsiTheme="minorHAnsi" w:cstheme="minorHAnsi"/>
          <w:b/>
          <w:bCs/>
          <w:lang w:val="fr-FR"/>
        </w:rPr>
        <w:t xml:space="preserve"> la présente lettre.</w:t>
      </w:r>
    </w:p>
    <w:p w14:paraId="2963DCA3" w14:textId="77777777" w:rsidR="00407B30" w:rsidRPr="00491098" w:rsidRDefault="00407B30" w:rsidP="00830E95">
      <w:pPr>
        <w:spacing w:line="240" w:lineRule="auto"/>
        <w:rPr>
          <w:rFonts w:asciiTheme="minorHAnsi" w:hAnsiTheme="minorHAnsi" w:cstheme="minorHAnsi"/>
          <w:lang w:val="fr-FR"/>
        </w:rPr>
      </w:pPr>
      <w:r w:rsidRPr="00491098">
        <w:rPr>
          <w:rFonts w:asciiTheme="minorHAnsi" w:hAnsiTheme="minorHAnsi" w:cstheme="minorHAnsi"/>
          <w:lang w:val="fr-FR"/>
        </w:rPr>
        <w:t xml:space="preserve">On trouvera des renseignements complémentaires sur cette réunion sur le site web du GCR, à </w:t>
      </w:r>
      <w:proofErr w:type="gramStart"/>
      <w:r w:rsidRPr="00491098">
        <w:rPr>
          <w:rFonts w:asciiTheme="minorHAnsi" w:hAnsiTheme="minorHAnsi" w:cstheme="minorHAnsi"/>
          <w:lang w:val="fr-FR"/>
        </w:rPr>
        <w:t>l'adresse:</w:t>
      </w:r>
      <w:proofErr w:type="gramEnd"/>
      <w:r w:rsidRPr="00491098">
        <w:rPr>
          <w:rFonts w:asciiTheme="minorHAnsi" w:hAnsiTheme="minorHAnsi" w:cstheme="minorHAnsi"/>
          <w:lang w:val="fr-FR"/>
        </w:rPr>
        <w:t xml:space="preserve"> </w:t>
      </w:r>
      <w:hyperlink r:id="rId8" w:history="1">
        <w:r w:rsidRPr="00491098">
          <w:rPr>
            <w:rStyle w:val="Hyperlink"/>
            <w:rFonts w:asciiTheme="minorHAnsi" w:hAnsiTheme="minorHAnsi" w:cstheme="minorHAnsi"/>
            <w:szCs w:val="24"/>
            <w:lang w:val="fr-FR"/>
          </w:rPr>
          <w:t>www.itu.int/ITU</w:t>
        </w:r>
        <w:r w:rsidRPr="00491098">
          <w:rPr>
            <w:rStyle w:val="Hyperlink"/>
            <w:rFonts w:asciiTheme="minorHAnsi" w:hAnsiTheme="minorHAnsi" w:cstheme="minorHAnsi"/>
            <w:szCs w:val="24"/>
            <w:lang w:val="fr-FR"/>
          </w:rPr>
          <w:noBreakHyphen/>
          <w:t>R/go/RAG</w:t>
        </w:r>
      </w:hyperlink>
      <w:r w:rsidRPr="00491098">
        <w:rPr>
          <w:rFonts w:asciiTheme="minorHAnsi" w:hAnsiTheme="minorHAnsi" w:cstheme="minorHAnsi"/>
          <w:lang w:val="fr-FR"/>
        </w:rPr>
        <w:t>.</w:t>
      </w:r>
    </w:p>
    <w:p w14:paraId="2CCBFDBC" w14:textId="28D1ED57" w:rsidR="00A22FB4" w:rsidRPr="00491098" w:rsidRDefault="00407B30" w:rsidP="00F8073F">
      <w:pPr>
        <w:spacing w:before="1200" w:after="720" w:line="240" w:lineRule="auto"/>
        <w:jc w:val="left"/>
        <w:rPr>
          <w:rFonts w:asciiTheme="minorHAnsi" w:hAnsiTheme="minorHAnsi" w:cstheme="minorHAnsi"/>
          <w:szCs w:val="24"/>
          <w:lang w:val="fr-FR"/>
        </w:rPr>
      </w:pPr>
      <w:bookmarkStart w:id="1" w:name="_GoBack"/>
      <w:r w:rsidRPr="00491098">
        <w:rPr>
          <w:rFonts w:asciiTheme="minorHAnsi" w:hAnsiTheme="minorHAnsi" w:cstheme="minorHAnsi"/>
          <w:szCs w:val="24"/>
          <w:lang w:val="fr-FR"/>
        </w:rPr>
        <w:t>Mario Maniewicz</w:t>
      </w:r>
      <w:r w:rsidRPr="00491098">
        <w:rPr>
          <w:rFonts w:asciiTheme="minorHAnsi" w:hAnsiTheme="minorHAnsi" w:cstheme="minorHAnsi"/>
          <w:szCs w:val="24"/>
          <w:lang w:val="fr-FR"/>
        </w:rPr>
        <w:br/>
      </w:r>
      <w:bookmarkEnd w:id="1"/>
      <w:r w:rsidRPr="00491098">
        <w:rPr>
          <w:rFonts w:asciiTheme="minorHAnsi" w:hAnsiTheme="minorHAnsi" w:cstheme="minorHAnsi"/>
          <w:szCs w:val="24"/>
          <w:lang w:val="fr-FR"/>
        </w:rPr>
        <w:t>Directeur</w:t>
      </w:r>
    </w:p>
    <w:p w14:paraId="5C259B32" w14:textId="7D2444B3" w:rsidR="00407B30" w:rsidRPr="00491098" w:rsidRDefault="00407B30" w:rsidP="00D95812">
      <w:pPr>
        <w:spacing w:before="1680" w:after="2400" w:line="240" w:lineRule="auto"/>
        <w:jc w:val="left"/>
        <w:rPr>
          <w:rFonts w:asciiTheme="minorHAnsi" w:hAnsiTheme="minorHAnsi" w:cstheme="minorHAnsi"/>
          <w:szCs w:val="24"/>
          <w:lang w:val="fr-FR"/>
        </w:rPr>
      </w:pPr>
      <w:r w:rsidRPr="00491098">
        <w:rPr>
          <w:rFonts w:asciiTheme="minorHAnsi" w:hAnsiTheme="minorHAnsi" w:cstheme="minorHAnsi"/>
          <w:b/>
          <w:bCs/>
          <w:szCs w:val="24"/>
          <w:lang w:val="fr-FR"/>
        </w:rPr>
        <w:t xml:space="preserve">Pièce </w:t>
      </w:r>
      <w:proofErr w:type="gramStart"/>
      <w:r w:rsidRPr="00491098">
        <w:rPr>
          <w:rFonts w:asciiTheme="minorHAnsi" w:hAnsiTheme="minorHAnsi" w:cstheme="minorHAnsi"/>
          <w:b/>
          <w:bCs/>
          <w:szCs w:val="24"/>
          <w:lang w:val="fr-FR"/>
        </w:rPr>
        <w:t>jointe</w:t>
      </w:r>
      <w:r w:rsidRPr="00491098">
        <w:rPr>
          <w:rFonts w:asciiTheme="minorHAnsi" w:hAnsiTheme="minorHAnsi" w:cstheme="minorHAnsi"/>
          <w:szCs w:val="24"/>
          <w:lang w:val="fr-FR"/>
        </w:rPr>
        <w:t>:</w:t>
      </w:r>
      <w:proofErr w:type="gramEnd"/>
      <w:r w:rsidRPr="00491098">
        <w:rPr>
          <w:rFonts w:asciiTheme="minorHAnsi" w:hAnsiTheme="minorHAnsi" w:cstheme="minorHAnsi"/>
          <w:szCs w:val="24"/>
          <w:lang w:val="fr-FR"/>
        </w:rPr>
        <w:t xml:space="preserve"> 1</w:t>
      </w:r>
    </w:p>
    <w:p w14:paraId="721C8FEF" w14:textId="77777777" w:rsidR="00407B30" w:rsidRPr="00D95812" w:rsidRDefault="00407B30" w:rsidP="00D95812">
      <w:pPr>
        <w:spacing w:before="240"/>
        <w:rPr>
          <w:b/>
          <w:sz w:val="18"/>
          <w:szCs w:val="18"/>
          <w:lang w:val="fr-FR"/>
        </w:rPr>
      </w:pPr>
      <w:proofErr w:type="gramStart"/>
      <w:r w:rsidRPr="00D95812">
        <w:rPr>
          <w:b/>
          <w:sz w:val="18"/>
          <w:szCs w:val="18"/>
          <w:lang w:val="fr-FR"/>
        </w:rPr>
        <w:t>Distribution:</w:t>
      </w:r>
      <w:proofErr w:type="gramEnd"/>
    </w:p>
    <w:p w14:paraId="4CCAB4AA" w14:textId="77777777"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Administrations des États Membres de l'UIT</w:t>
      </w:r>
    </w:p>
    <w:p w14:paraId="1781CCE1" w14:textId="77777777"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Membres du Secteur des radiocommunications</w:t>
      </w:r>
    </w:p>
    <w:p w14:paraId="699D9586" w14:textId="77777777"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Établissements universitaires participant aux travaux de l'UIT</w:t>
      </w:r>
    </w:p>
    <w:p w14:paraId="5D7E21F3" w14:textId="7C435F54"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 xml:space="preserve">Présidents et Vice-Présidents des </w:t>
      </w:r>
      <w:r w:rsidR="00725647" w:rsidRPr="00D95812">
        <w:rPr>
          <w:sz w:val="18"/>
          <w:szCs w:val="18"/>
          <w:lang w:val="fr-FR"/>
        </w:rPr>
        <w:t>c</w:t>
      </w:r>
      <w:r w:rsidRPr="00D95812">
        <w:rPr>
          <w:sz w:val="18"/>
          <w:szCs w:val="18"/>
          <w:lang w:val="fr-FR"/>
        </w:rPr>
        <w:t xml:space="preserve">ommissions d'études des radiocommunications </w:t>
      </w:r>
    </w:p>
    <w:p w14:paraId="4AE9532C" w14:textId="77777777"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Président et Vice-Présidents du Groupe consultatif des radiocommunications</w:t>
      </w:r>
    </w:p>
    <w:p w14:paraId="7428AE66" w14:textId="77777777"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Présidente et Vice-Présidents de la Réunion de préparation à la Conférence</w:t>
      </w:r>
    </w:p>
    <w:p w14:paraId="57B78314" w14:textId="521F81CF" w:rsidR="00407B30" w:rsidRPr="00D95812" w:rsidRDefault="00407B30" w:rsidP="00D95812">
      <w:pPr>
        <w:pStyle w:val="enumlev1"/>
        <w:tabs>
          <w:tab w:val="left" w:pos="426"/>
        </w:tabs>
        <w:spacing w:before="0" w:line="240" w:lineRule="auto"/>
        <w:jc w:val="left"/>
        <w:rPr>
          <w:sz w:val="18"/>
          <w:szCs w:val="18"/>
          <w:lang w:val="fr-FR"/>
        </w:rPr>
      </w:pPr>
      <w:r w:rsidRPr="00D95812">
        <w:rPr>
          <w:sz w:val="18"/>
          <w:szCs w:val="18"/>
          <w:lang w:val="fr-FR"/>
        </w:rPr>
        <w:t>–</w:t>
      </w:r>
      <w:r w:rsidRPr="00D95812">
        <w:rPr>
          <w:sz w:val="18"/>
          <w:szCs w:val="18"/>
          <w:lang w:val="fr-FR"/>
        </w:rPr>
        <w:tab/>
        <w:t xml:space="preserve">Membres du Comité du Règlement des radiocommunications </w:t>
      </w:r>
    </w:p>
    <w:p w14:paraId="1D6B1851" w14:textId="3B8D9788" w:rsidR="00407B30" w:rsidRPr="00491098" w:rsidRDefault="00407B30" w:rsidP="00D95812">
      <w:pPr>
        <w:pStyle w:val="enumlev1"/>
        <w:tabs>
          <w:tab w:val="left" w:pos="426"/>
        </w:tabs>
        <w:spacing w:before="0" w:line="240" w:lineRule="auto"/>
        <w:ind w:left="426" w:hanging="426"/>
        <w:jc w:val="left"/>
        <w:rPr>
          <w:lang w:val="fr-FR"/>
        </w:rPr>
      </w:pPr>
      <w:r w:rsidRPr="00D95812">
        <w:rPr>
          <w:sz w:val="18"/>
          <w:szCs w:val="18"/>
          <w:lang w:val="fr-FR"/>
        </w:rPr>
        <w:t>–</w:t>
      </w:r>
      <w:r w:rsidRPr="00D95812">
        <w:rPr>
          <w:sz w:val="18"/>
          <w:szCs w:val="18"/>
          <w:lang w:val="fr-FR"/>
        </w:rPr>
        <w:tab/>
        <w:t>Secrétaire général de l'UIT, Directeur du Bureau de la normalisation des télécommunications, Directrice du Bureau de développement des télécommunications</w:t>
      </w:r>
    </w:p>
    <w:p w14:paraId="09A92AE4" w14:textId="77777777" w:rsidR="00407B30" w:rsidRPr="00491098" w:rsidRDefault="00407B30" w:rsidP="00BA1B70">
      <w:pPr>
        <w:tabs>
          <w:tab w:val="clear" w:pos="794"/>
          <w:tab w:val="left" w:pos="284"/>
        </w:tabs>
        <w:spacing w:before="0" w:line="240" w:lineRule="auto"/>
        <w:ind w:left="284" w:hanging="284"/>
        <w:jc w:val="left"/>
        <w:rPr>
          <w:rFonts w:asciiTheme="minorHAnsi" w:hAnsiTheme="minorHAnsi" w:cstheme="minorHAnsi"/>
          <w:szCs w:val="24"/>
          <w:lang w:val="fr-FR"/>
        </w:rPr>
        <w:sectPr w:rsidR="00407B30" w:rsidRPr="00491098" w:rsidSect="003F2F3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pPr>
    </w:p>
    <w:p w14:paraId="0C55AEAB" w14:textId="16CAE0DE" w:rsidR="00C3556B" w:rsidRPr="006C5385" w:rsidRDefault="00407B30" w:rsidP="00D95812">
      <w:pPr>
        <w:pStyle w:val="ArtNo"/>
        <w:rPr>
          <w:lang w:val="fr-CH"/>
        </w:rPr>
      </w:pPr>
      <w:r w:rsidRPr="006C5385">
        <w:rPr>
          <w:lang w:val="fr-CH"/>
        </w:rPr>
        <w:lastRenderedPageBreak/>
        <w:t>Pièce jointe</w:t>
      </w:r>
    </w:p>
    <w:p w14:paraId="64E35605" w14:textId="47D59024" w:rsidR="00407B30" w:rsidRPr="00D95812" w:rsidRDefault="00407B30" w:rsidP="00BA1B70">
      <w:pPr>
        <w:pStyle w:val="AnnexNoTitle"/>
        <w:spacing w:before="120" w:line="240" w:lineRule="auto"/>
        <w:rPr>
          <w:sz w:val="28"/>
          <w:szCs w:val="28"/>
          <w:lang w:val="fr-FR"/>
        </w:rPr>
      </w:pPr>
      <w:r w:rsidRPr="00D95812">
        <w:rPr>
          <w:sz w:val="28"/>
          <w:szCs w:val="28"/>
          <w:lang w:val="fr-FR"/>
        </w:rPr>
        <w:t xml:space="preserve">RÉSUMÉ DES CONCLUSIONS DE LA VINGT-HUITIÈME RÉUNION DU </w:t>
      </w:r>
      <w:r w:rsidRPr="00D95812">
        <w:rPr>
          <w:sz w:val="28"/>
          <w:szCs w:val="28"/>
          <w:lang w:val="fr-FR"/>
        </w:rPr>
        <w:br/>
        <w:t>GROUPE CONSULTATIF DES RADIOCOMMUNICATIONS</w:t>
      </w:r>
    </w:p>
    <w:p w14:paraId="0067EBD1" w14:textId="48F7E05C" w:rsidR="00407B30" w:rsidRPr="00491098" w:rsidRDefault="00407B30" w:rsidP="00BA1B70">
      <w:pPr>
        <w:pStyle w:val="AnnexNoTitle"/>
        <w:spacing w:before="120" w:after="240" w:line="240" w:lineRule="auto"/>
        <w:rPr>
          <w:b w:val="0"/>
          <w:lang w:val="fr-FR"/>
        </w:rPr>
      </w:pPr>
      <w:r w:rsidRPr="00491098">
        <w:rPr>
          <w:b w:val="0"/>
          <w:lang w:val="fr-FR"/>
        </w:rPr>
        <w:t>(</w:t>
      </w:r>
      <w:proofErr w:type="gramStart"/>
      <w:r w:rsidRPr="00491098">
        <w:rPr>
          <w:b w:val="0"/>
          <w:lang w:val="fr-FR"/>
        </w:rPr>
        <w:t>Source:</w:t>
      </w:r>
      <w:proofErr w:type="gramEnd"/>
      <w:r w:rsidRPr="00491098">
        <w:rPr>
          <w:b w:val="0"/>
          <w:lang w:val="fr-FR"/>
        </w:rPr>
        <w:t xml:space="preserve"> Doc. RAG20/TEMP/4Rév.3)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96"/>
        <w:gridCol w:w="2543"/>
        <w:gridCol w:w="11158"/>
      </w:tblGrid>
      <w:tr w:rsidR="00407B30" w:rsidRPr="00491098" w14:paraId="0451B461" w14:textId="77777777" w:rsidTr="00D95812">
        <w:trPr>
          <w:tblHeader/>
          <w:jc w:val="center"/>
        </w:trPr>
        <w:tc>
          <w:tcPr>
            <w:tcW w:w="339" w:type="pct"/>
          </w:tcPr>
          <w:p w14:paraId="5FE92C5E" w14:textId="77777777" w:rsidR="00407B30" w:rsidRPr="00491098" w:rsidRDefault="00407B30" w:rsidP="00BA1B70">
            <w:pPr>
              <w:pStyle w:val="Tablehead"/>
              <w:rPr>
                <w:lang w:val="fr-FR"/>
              </w:rPr>
            </w:pPr>
            <w:r w:rsidRPr="00491098">
              <w:rPr>
                <w:lang w:val="fr-FR"/>
              </w:rPr>
              <w:br w:type="page"/>
              <w:t>Point de l'ordre du jour</w:t>
            </w:r>
          </w:p>
        </w:tc>
        <w:tc>
          <w:tcPr>
            <w:tcW w:w="865" w:type="pct"/>
          </w:tcPr>
          <w:p w14:paraId="0F5806D1" w14:textId="7AB31568" w:rsidR="00407B30" w:rsidRPr="00491098" w:rsidRDefault="00407B30" w:rsidP="00BA1B70">
            <w:pPr>
              <w:pStyle w:val="Tablehead"/>
              <w:rPr>
                <w:lang w:val="fr-FR"/>
              </w:rPr>
            </w:pPr>
            <w:r w:rsidRPr="00491098">
              <w:rPr>
                <w:lang w:val="fr-FR"/>
              </w:rPr>
              <w:t>Sujet/</w:t>
            </w:r>
            <w:r w:rsidRPr="00491098">
              <w:rPr>
                <w:lang w:val="fr-FR"/>
              </w:rPr>
              <w:br/>
              <w:t>Document</w:t>
            </w:r>
            <w:r w:rsidR="00725647" w:rsidRPr="00491098">
              <w:rPr>
                <w:lang w:val="fr-FR"/>
              </w:rPr>
              <w:t>(s)</w:t>
            </w:r>
          </w:p>
        </w:tc>
        <w:tc>
          <w:tcPr>
            <w:tcW w:w="3796" w:type="pct"/>
          </w:tcPr>
          <w:p w14:paraId="3F0A2C49" w14:textId="77777777" w:rsidR="00407B30" w:rsidRPr="00491098" w:rsidRDefault="00407B30" w:rsidP="00BA1B70">
            <w:pPr>
              <w:pStyle w:val="Tablehead"/>
              <w:rPr>
                <w:lang w:val="fr-FR"/>
              </w:rPr>
            </w:pPr>
            <w:r w:rsidRPr="00491098">
              <w:rPr>
                <w:lang w:val="fr-FR"/>
              </w:rPr>
              <w:t>Conclusions</w:t>
            </w:r>
          </w:p>
        </w:tc>
      </w:tr>
      <w:tr w:rsidR="00407B30" w:rsidRPr="00103C66" w14:paraId="50C15B36" w14:textId="77777777" w:rsidTr="004269AD">
        <w:trPr>
          <w:jc w:val="center"/>
        </w:trPr>
        <w:tc>
          <w:tcPr>
            <w:tcW w:w="339" w:type="pct"/>
          </w:tcPr>
          <w:p w14:paraId="4D81A822" w14:textId="77777777" w:rsidR="00407B30" w:rsidRPr="00491098" w:rsidRDefault="00407B30" w:rsidP="00311D13">
            <w:pPr>
              <w:pStyle w:val="Tabletext"/>
              <w:jc w:val="both"/>
              <w:rPr>
                <w:lang w:val="fr-FR"/>
              </w:rPr>
            </w:pPr>
            <w:r w:rsidRPr="00491098">
              <w:rPr>
                <w:lang w:val="fr-FR"/>
              </w:rPr>
              <w:t>1</w:t>
            </w:r>
          </w:p>
        </w:tc>
        <w:tc>
          <w:tcPr>
            <w:tcW w:w="865" w:type="pct"/>
          </w:tcPr>
          <w:p w14:paraId="021BF15A" w14:textId="77777777" w:rsidR="00407B30" w:rsidRPr="00491098" w:rsidRDefault="00407B30" w:rsidP="00900C6D">
            <w:pPr>
              <w:pStyle w:val="Tabletext"/>
              <w:rPr>
                <w:lang w:val="fr-FR"/>
              </w:rPr>
            </w:pPr>
            <w:r w:rsidRPr="00491098">
              <w:rPr>
                <w:lang w:val="fr-FR"/>
              </w:rPr>
              <w:t>Remarques liminaires</w:t>
            </w:r>
          </w:p>
        </w:tc>
        <w:tc>
          <w:tcPr>
            <w:tcW w:w="3796" w:type="pct"/>
          </w:tcPr>
          <w:p w14:paraId="0506CABD" w14:textId="77777777" w:rsidR="00407B30" w:rsidRPr="00491098" w:rsidRDefault="00407B30" w:rsidP="00311D13">
            <w:pPr>
              <w:pStyle w:val="Tabletext"/>
              <w:jc w:val="both"/>
              <w:rPr>
                <w:lang w:val="fr-FR"/>
              </w:rPr>
            </w:pPr>
            <w:r w:rsidRPr="00491098">
              <w:rPr>
                <w:lang w:val="fr-FR"/>
              </w:rPr>
              <w:t>Le Président, M. Daniel Obam (Kenya), a officiellement déclaré la réunion ouverte.</w:t>
            </w:r>
          </w:p>
          <w:p w14:paraId="7A1D4840" w14:textId="3A53038C" w:rsidR="00AD3EAA" w:rsidRPr="00491098" w:rsidRDefault="00AD3EAA" w:rsidP="00311D13">
            <w:pPr>
              <w:pStyle w:val="Tabletext"/>
              <w:jc w:val="both"/>
              <w:rPr>
                <w:lang w:val="fr-FR"/>
              </w:rPr>
            </w:pPr>
            <w:r w:rsidRPr="00491098">
              <w:rPr>
                <w:color w:val="000000"/>
                <w:lang w:val="fr-FR"/>
              </w:rPr>
              <w:t xml:space="preserve">Dans ses remarques liminaires, </w:t>
            </w:r>
            <w:r w:rsidRPr="00491098">
              <w:rPr>
                <w:lang w:val="fr-FR"/>
              </w:rPr>
              <w:t>le Président du GCR</w:t>
            </w:r>
            <w:r w:rsidR="00A22FB4" w:rsidRPr="00491098">
              <w:rPr>
                <w:lang w:val="fr-FR"/>
              </w:rPr>
              <w:t xml:space="preserve"> </w:t>
            </w:r>
            <w:r w:rsidRPr="00491098">
              <w:rPr>
                <w:lang w:val="fr-FR"/>
              </w:rPr>
              <w:t>s</w:t>
            </w:r>
            <w:r w:rsidR="00A22FB4" w:rsidRPr="00491098">
              <w:rPr>
                <w:lang w:val="fr-FR"/>
              </w:rPr>
              <w:t>'</w:t>
            </w:r>
            <w:r w:rsidRPr="00491098">
              <w:rPr>
                <w:lang w:val="fr-FR"/>
              </w:rPr>
              <w:t xml:space="preserve">est félicité de la participation du Secrétaire </w:t>
            </w:r>
            <w:r w:rsidR="0036186F" w:rsidRPr="00491098">
              <w:rPr>
                <w:lang w:val="fr-FR"/>
              </w:rPr>
              <w:t>g</w:t>
            </w:r>
            <w:r w:rsidRPr="00491098">
              <w:rPr>
                <w:lang w:val="fr-FR"/>
              </w:rPr>
              <w:t>énéral et des trois Directeurs, et a fait observer que</w:t>
            </w:r>
            <w:r w:rsidR="00FF2533" w:rsidRPr="00491098">
              <w:rPr>
                <w:lang w:val="fr-FR"/>
              </w:rPr>
              <w:t xml:space="preserve"> leur participation </w:t>
            </w:r>
            <w:r w:rsidRPr="00491098">
              <w:rPr>
                <w:lang w:val="fr-FR"/>
              </w:rPr>
              <w:t>témoignait</w:t>
            </w:r>
            <w:r w:rsidR="00A22FB4" w:rsidRPr="00491098">
              <w:rPr>
                <w:lang w:val="fr-FR"/>
              </w:rPr>
              <w:t xml:space="preserve"> </w:t>
            </w:r>
            <w:r w:rsidRPr="00491098">
              <w:rPr>
                <w:lang w:val="fr-FR"/>
              </w:rPr>
              <w:t>d'un</w:t>
            </w:r>
            <w:r w:rsidR="00A22FB4" w:rsidRPr="00491098">
              <w:rPr>
                <w:lang w:val="fr-FR"/>
              </w:rPr>
              <w:t xml:space="preserve"> </w:t>
            </w:r>
            <w:r w:rsidRPr="00491098">
              <w:rPr>
                <w:lang w:val="fr-FR"/>
              </w:rPr>
              <w:t>renforcement de</w:t>
            </w:r>
            <w:r w:rsidR="00A22FB4" w:rsidRPr="00491098">
              <w:rPr>
                <w:lang w:val="fr-FR"/>
              </w:rPr>
              <w:t xml:space="preserve"> </w:t>
            </w:r>
            <w:r w:rsidRPr="00491098">
              <w:rPr>
                <w:lang w:val="fr-FR"/>
              </w:rPr>
              <w:t>la collaboration</w:t>
            </w:r>
            <w:r w:rsidR="00A22FB4" w:rsidRPr="00491098">
              <w:rPr>
                <w:lang w:val="fr-FR"/>
              </w:rPr>
              <w:t xml:space="preserve"> </w:t>
            </w:r>
            <w:r w:rsidRPr="00491098">
              <w:rPr>
                <w:lang w:val="fr-FR"/>
              </w:rPr>
              <w:t>entre les Secteurs. En outre, M. Obam</w:t>
            </w:r>
            <w:r w:rsidR="00E820CD" w:rsidRPr="00491098">
              <w:rPr>
                <w:color w:val="000000"/>
                <w:lang w:val="fr-FR"/>
              </w:rPr>
              <w:t xml:space="preserve"> s</w:t>
            </w:r>
            <w:r w:rsidR="00A22FB4" w:rsidRPr="00491098">
              <w:rPr>
                <w:color w:val="000000"/>
                <w:lang w:val="fr-FR"/>
              </w:rPr>
              <w:t>'</w:t>
            </w:r>
            <w:r w:rsidR="00E820CD" w:rsidRPr="00491098">
              <w:rPr>
                <w:color w:val="000000"/>
                <w:lang w:val="fr-FR"/>
              </w:rPr>
              <w:t>est dit heureux de voir</w:t>
            </w:r>
            <w:r w:rsidR="00A22FB4" w:rsidRPr="00491098">
              <w:rPr>
                <w:lang w:val="fr-FR"/>
              </w:rPr>
              <w:t xml:space="preserve"> </w:t>
            </w:r>
            <w:r w:rsidRPr="00491098">
              <w:rPr>
                <w:lang w:val="fr-FR"/>
              </w:rPr>
              <w:t>tous les participants après cette année difficile</w:t>
            </w:r>
            <w:r w:rsidR="004D75F3" w:rsidRPr="00491098">
              <w:rPr>
                <w:lang w:val="fr-FR"/>
              </w:rPr>
              <w:t xml:space="preserve">, tout en prenant </w:t>
            </w:r>
            <w:r w:rsidR="00E820CD" w:rsidRPr="00491098">
              <w:rPr>
                <w:lang w:val="fr-FR"/>
              </w:rPr>
              <w:t>note de</w:t>
            </w:r>
            <w:r w:rsidRPr="00491098">
              <w:rPr>
                <w:lang w:val="fr-FR"/>
              </w:rPr>
              <w:t xml:space="preserve"> l'amélioration des plate</w:t>
            </w:r>
            <w:r w:rsidR="00E820CD" w:rsidRPr="00491098">
              <w:rPr>
                <w:lang w:val="fr-FR"/>
              </w:rPr>
              <w:t>s-</w:t>
            </w:r>
            <w:r w:rsidRPr="00491098">
              <w:rPr>
                <w:lang w:val="fr-FR"/>
              </w:rPr>
              <w:t>formes virtuelles depuis la dernière réunion du GCR.</w:t>
            </w:r>
          </w:p>
          <w:p w14:paraId="79735DCB" w14:textId="7134DF1B" w:rsidR="00E820CD" w:rsidRPr="00491098" w:rsidRDefault="00E820CD" w:rsidP="00311D13">
            <w:pPr>
              <w:pStyle w:val="Tabletext"/>
              <w:jc w:val="both"/>
              <w:rPr>
                <w:lang w:val="fr-FR"/>
              </w:rPr>
            </w:pPr>
            <w:r w:rsidRPr="00491098">
              <w:rPr>
                <w:lang w:val="fr-FR"/>
              </w:rPr>
              <w:t>Le Secrétaire général de l'UIT a prononcé son allocution d'ouverture et a souligné que l'UIT s'était efforcée d</w:t>
            </w:r>
            <w:r w:rsidR="00A22FB4" w:rsidRPr="00491098">
              <w:rPr>
                <w:lang w:val="fr-FR"/>
              </w:rPr>
              <w:t>'</w:t>
            </w:r>
            <w:r w:rsidRPr="00491098">
              <w:rPr>
                <w:lang w:val="fr-FR"/>
              </w:rPr>
              <w:t xml:space="preserve">assurer la </w:t>
            </w:r>
            <w:r w:rsidRPr="00491098">
              <w:rPr>
                <w:color w:val="000000"/>
                <w:lang w:val="fr-FR"/>
              </w:rPr>
              <w:t>continuité des activités</w:t>
            </w:r>
            <w:r w:rsidRPr="00491098">
              <w:rPr>
                <w:lang w:val="fr-FR"/>
              </w:rPr>
              <w:t xml:space="preserve"> de manière virtuelle et avait apporté des améliorations considérables aux outils et aux plates-formes en ligne. Il s</w:t>
            </w:r>
            <w:r w:rsidR="00A22FB4" w:rsidRPr="00491098">
              <w:rPr>
                <w:lang w:val="fr-FR"/>
              </w:rPr>
              <w:t>'</w:t>
            </w:r>
            <w:r w:rsidRPr="00491098">
              <w:rPr>
                <w:lang w:val="fr-FR"/>
              </w:rPr>
              <w:t xml:space="preserve">est également félicité de la mise en œuvre de la Déclaration </w:t>
            </w:r>
            <w:r w:rsidRPr="00491098">
              <w:rPr>
                <w:color w:val="000000"/>
                <w:lang w:val="fr-FR"/>
              </w:rPr>
              <w:t>sur l'égalité hommes-femmes</w:t>
            </w:r>
            <w:r w:rsidRPr="00491098">
              <w:rPr>
                <w:lang w:val="fr-FR"/>
              </w:rPr>
              <w:t xml:space="preserve"> et des travaux menés par le</w:t>
            </w:r>
            <w:r w:rsidR="00A22FB4" w:rsidRPr="00491098">
              <w:rPr>
                <w:lang w:val="fr-FR"/>
              </w:rPr>
              <w:t xml:space="preserve"> </w:t>
            </w:r>
            <w:r w:rsidRPr="00491098">
              <w:rPr>
                <w:color w:val="000000"/>
                <w:lang w:val="fr-FR"/>
              </w:rPr>
              <w:t>Groupe de travail par correspondance du GCR sur l'égalité hommes-femmes</w:t>
            </w:r>
            <w:r w:rsidR="004D75F3" w:rsidRPr="00491098">
              <w:rPr>
                <w:color w:val="000000"/>
                <w:lang w:val="fr-FR"/>
              </w:rPr>
              <w:t>,</w:t>
            </w:r>
            <w:r w:rsidR="00A22FB4" w:rsidRPr="00491098">
              <w:rPr>
                <w:color w:val="000000"/>
                <w:lang w:val="fr-FR"/>
              </w:rPr>
              <w:t xml:space="preserve"> </w:t>
            </w:r>
            <w:r w:rsidRPr="00491098">
              <w:rPr>
                <w:lang w:val="fr-FR"/>
              </w:rPr>
              <w:t>pour améliorer la participation des femmes aux postes de direction de l'UIT-R.</w:t>
            </w:r>
          </w:p>
          <w:p w14:paraId="22792D34" w14:textId="40CE5EA2" w:rsidR="00407B30" w:rsidRPr="00491098" w:rsidRDefault="00E820CD" w:rsidP="00311D13">
            <w:pPr>
              <w:pStyle w:val="Tabletext"/>
              <w:jc w:val="both"/>
              <w:rPr>
                <w:lang w:val="fr-FR"/>
              </w:rPr>
            </w:pPr>
            <w:r w:rsidRPr="00491098">
              <w:rPr>
                <w:lang w:val="fr-FR"/>
              </w:rPr>
              <w:t>Le Directeur du BR a fait observer qu</w:t>
            </w:r>
            <w:r w:rsidR="00A22FB4" w:rsidRPr="00491098">
              <w:rPr>
                <w:lang w:val="fr-FR"/>
              </w:rPr>
              <w:t>'</w:t>
            </w:r>
            <w:r w:rsidR="00A25C65" w:rsidRPr="00491098">
              <w:rPr>
                <w:lang w:val="fr-FR"/>
              </w:rPr>
              <w:t>une année s</w:t>
            </w:r>
            <w:r w:rsidR="00A22FB4" w:rsidRPr="00491098">
              <w:rPr>
                <w:lang w:val="fr-FR"/>
              </w:rPr>
              <w:t>'</w:t>
            </w:r>
            <w:r w:rsidR="00A25C65" w:rsidRPr="00491098">
              <w:rPr>
                <w:lang w:val="fr-FR"/>
              </w:rPr>
              <w:t>était écoulée depuis que</w:t>
            </w:r>
            <w:r w:rsidR="00A22FB4" w:rsidRPr="00491098">
              <w:rPr>
                <w:lang w:val="fr-FR"/>
              </w:rPr>
              <w:t xml:space="preserve"> </w:t>
            </w:r>
            <w:r w:rsidRPr="00491098">
              <w:rPr>
                <w:lang w:val="fr-FR"/>
              </w:rPr>
              <w:t xml:space="preserve">l'UIT avait </w:t>
            </w:r>
            <w:r w:rsidR="00A25C65" w:rsidRPr="00491098">
              <w:rPr>
                <w:lang w:val="fr-FR"/>
              </w:rPr>
              <w:t>mis en place le</w:t>
            </w:r>
            <w:r w:rsidRPr="00491098">
              <w:rPr>
                <w:lang w:val="fr-FR"/>
              </w:rPr>
              <w:t xml:space="preserve"> télétravail et que</w:t>
            </w:r>
            <w:r w:rsidR="00A22FB4" w:rsidRPr="00491098">
              <w:rPr>
                <w:lang w:val="fr-FR"/>
              </w:rPr>
              <w:t xml:space="preserve"> </w:t>
            </w:r>
            <w:r w:rsidRPr="00491098">
              <w:rPr>
                <w:lang w:val="fr-FR"/>
              </w:rPr>
              <w:t xml:space="preserve">le Bureau des radiocommunications avait </w:t>
            </w:r>
            <w:r w:rsidR="00A25C65" w:rsidRPr="00491098">
              <w:rPr>
                <w:lang w:val="fr-FR"/>
              </w:rPr>
              <w:t xml:space="preserve">néanmoins </w:t>
            </w:r>
            <w:r w:rsidRPr="00491098">
              <w:rPr>
                <w:lang w:val="fr-FR"/>
              </w:rPr>
              <w:t xml:space="preserve">continué </w:t>
            </w:r>
            <w:r w:rsidR="00A25C65" w:rsidRPr="00491098">
              <w:rPr>
                <w:lang w:val="fr-FR"/>
              </w:rPr>
              <w:t>de</w:t>
            </w:r>
            <w:r w:rsidRPr="00491098">
              <w:rPr>
                <w:lang w:val="fr-FR"/>
              </w:rPr>
              <w:t xml:space="preserve"> respecter les délais de publication, </w:t>
            </w:r>
            <w:r w:rsidR="00A25C65" w:rsidRPr="00491098">
              <w:rPr>
                <w:lang w:val="fr-FR"/>
              </w:rPr>
              <w:t xml:space="preserve">de </w:t>
            </w:r>
            <w:r w:rsidRPr="00491098">
              <w:rPr>
                <w:lang w:val="fr-FR"/>
              </w:rPr>
              <w:t xml:space="preserve">mettre à jour ses systèmes et ses bases de données, </w:t>
            </w:r>
            <w:r w:rsidR="00A25C65" w:rsidRPr="00491098">
              <w:rPr>
                <w:lang w:val="fr-FR"/>
              </w:rPr>
              <w:t>de</w:t>
            </w:r>
            <w:r w:rsidRPr="00491098">
              <w:rPr>
                <w:lang w:val="fr-FR"/>
              </w:rPr>
              <w:t xml:space="preserve"> traiter les</w:t>
            </w:r>
            <w:r w:rsidR="00A25C65" w:rsidRPr="00491098">
              <w:rPr>
                <w:color w:val="000000"/>
                <w:lang w:val="fr-FR"/>
              </w:rPr>
              <w:t xml:space="preserve"> fiches de notification des réseaux à satellite et des réseaux de Terre</w:t>
            </w:r>
            <w:r w:rsidR="00A22FB4" w:rsidRPr="00491098">
              <w:rPr>
                <w:lang w:val="fr-FR"/>
              </w:rPr>
              <w:t xml:space="preserve"> </w:t>
            </w:r>
            <w:r w:rsidRPr="00491098">
              <w:rPr>
                <w:lang w:val="fr-FR"/>
              </w:rPr>
              <w:t>et</w:t>
            </w:r>
            <w:r w:rsidR="00A22FB4" w:rsidRPr="00491098">
              <w:rPr>
                <w:lang w:val="fr-FR"/>
              </w:rPr>
              <w:t xml:space="preserve"> </w:t>
            </w:r>
            <w:r w:rsidR="00A25C65" w:rsidRPr="00491098">
              <w:rPr>
                <w:lang w:val="fr-FR"/>
              </w:rPr>
              <w:t>d</w:t>
            </w:r>
            <w:r w:rsidR="00A22FB4" w:rsidRPr="00491098">
              <w:rPr>
                <w:lang w:val="fr-FR"/>
              </w:rPr>
              <w:t>'</w:t>
            </w:r>
            <w:r w:rsidR="00A25C65" w:rsidRPr="00491098">
              <w:rPr>
                <w:color w:val="000000"/>
                <w:lang w:val="fr-FR"/>
              </w:rPr>
              <w:t>appuyer la tenue</w:t>
            </w:r>
            <w:r w:rsidRPr="00491098">
              <w:rPr>
                <w:lang w:val="fr-FR"/>
              </w:rPr>
              <w:t xml:space="preserve"> de nombreuses manifestations virtuelles </w:t>
            </w:r>
            <w:r w:rsidR="00A25C65" w:rsidRPr="00491098">
              <w:rPr>
                <w:lang w:val="fr-FR"/>
              </w:rPr>
              <w:t xml:space="preserve">qui ont </w:t>
            </w:r>
            <w:r w:rsidR="00A25C65" w:rsidRPr="00491098">
              <w:rPr>
                <w:color w:val="000000"/>
                <w:lang w:val="fr-FR"/>
              </w:rPr>
              <w:t>enregistré un niveau de participation record.</w:t>
            </w:r>
            <w:r w:rsidR="00A22FB4" w:rsidRPr="00491098">
              <w:rPr>
                <w:lang w:val="fr-FR"/>
              </w:rPr>
              <w:t xml:space="preserve"> </w:t>
            </w:r>
            <w:r w:rsidRPr="00491098">
              <w:rPr>
                <w:lang w:val="fr-FR"/>
              </w:rPr>
              <w:t>Le Directeur</w:t>
            </w:r>
            <w:r w:rsidR="00A25C65" w:rsidRPr="00491098">
              <w:rPr>
                <w:lang w:val="fr-FR"/>
              </w:rPr>
              <w:t>, M.</w:t>
            </w:r>
            <w:r w:rsidRPr="00491098">
              <w:rPr>
                <w:lang w:val="fr-FR"/>
              </w:rPr>
              <w:t xml:space="preserve"> Maniewicz</w:t>
            </w:r>
            <w:r w:rsidR="00A25C65" w:rsidRPr="00491098">
              <w:rPr>
                <w:lang w:val="fr-FR"/>
              </w:rPr>
              <w:t xml:space="preserve">, </w:t>
            </w:r>
            <w:r w:rsidRPr="00491098">
              <w:rPr>
                <w:lang w:val="fr-FR"/>
              </w:rPr>
              <w:t xml:space="preserve">a remercié les responsables des </w:t>
            </w:r>
            <w:r w:rsidR="00A25C65" w:rsidRPr="00491098">
              <w:rPr>
                <w:lang w:val="fr-FR"/>
              </w:rPr>
              <w:t>c</w:t>
            </w:r>
            <w:r w:rsidRPr="00491098">
              <w:rPr>
                <w:lang w:val="fr-FR"/>
              </w:rPr>
              <w:t xml:space="preserve">ommissions d'études et des </w:t>
            </w:r>
            <w:r w:rsidR="00A25C65" w:rsidRPr="00491098">
              <w:rPr>
                <w:lang w:val="fr-FR"/>
              </w:rPr>
              <w:t>g</w:t>
            </w:r>
            <w:r w:rsidRPr="00491098">
              <w:rPr>
                <w:lang w:val="fr-FR"/>
              </w:rPr>
              <w:t>roupes de travail de l'UIT-R, ainsi que tous les Membres de l'UIT-R</w:t>
            </w:r>
            <w:r w:rsidR="004D75F3" w:rsidRPr="00491098">
              <w:rPr>
                <w:lang w:val="fr-FR"/>
              </w:rPr>
              <w:t>,</w:t>
            </w:r>
            <w:r w:rsidR="00A22FB4" w:rsidRPr="00491098">
              <w:rPr>
                <w:lang w:val="fr-FR"/>
              </w:rPr>
              <w:t xml:space="preserve"> </w:t>
            </w:r>
            <w:r w:rsidRPr="00491098">
              <w:rPr>
                <w:lang w:val="fr-FR"/>
              </w:rPr>
              <w:t>pour l</w:t>
            </w:r>
            <w:r w:rsidR="00A25C65" w:rsidRPr="00491098">
              <w:rPr>
                <w:lang w:val="fr-FR"/>
              </w:rPr>
              <w:t>a</w:t>
            </w:r>
            <w:r w:rsidRPr="00491098">
              <w:rPr>
                <w:lang w:val="fr-FR"/>
              </w:rPr>
              <w:t xml:space="preserve"> résilience et l</w:t>
            </w:r>
            <w:r w:rsidR="00A25C65" w:rsidRPr="00491098">
              <w:rPr>
                <w:lang w:val="fr-FR"/>
              </w:rPr>
              <w:t xml:space="preserve">a </w:t>
            </w:r>
            <w:r w:rsidRPr="00491098">
              <w:rPr>
                <w:lang w:val="fr-FR"/>
              </w:rPr>
              <w:t xml:space="preserve">souplesse </w:t>
            </w:r>
            <w:r w:rsidR="00A25C65" w:rsidRPr="00491098">
              <w:rPr>
                <w:lang w:val="fr-FR"/>
              </w:rPr>
              <w:t xml:space="preserve">dont ils ont fait preuve </w:t>
            </w:r>
            <w:r w:rsidR="00A25C65" w:rsidRPr="00491098">
              <w:rPr>
                <w:color w:val="000000"/>
                <w:lang w:val="fr-FR"/>
              </w:rPr>
              <w:t>malgré</w:t>
            </w:r>
            <w:r w:rsidR="00A22FB4" w:rsidRPr="00491098">
              <w:rPr>
                <w:color w:val="000000"/>
                <w:lang w:val="fr-FR"/>
              </w:rPr>
              <w:t xml:space="preserve"> </w:t>
            </w:r>
            <w:r w:rsidRPr="00491098">
              <w:rPr>
                <w:lang w:val="fr-FR"/>
              </w:rPr>
              <w:t>ces circonstances difficiles</w:t>
            </w:r>
            <w:r w:rsidR="009C7A71" w:rsidRPr="00491098">
              <w:rPr>
                <w:lang w:val="fr-FR"/>
              </w:rPr>
              <w:t>.</w:t>
            </w:r>
          </w:p>
          <w:p w14:paraId="542ACC19" w14:textId="5C194BB8" w:rsidR="005606D6" w:rsidRPr="00491098" w:rsidRDefault="00A25C65" w:rsidP="00311D13">
            <w:pPr>
              <w:pStyle w:val="Tabletext"/>
              <w:jc w:val="both"/>
              <w:rPr>
                <w:lang w:val="fr-FR"/>
              </w:rPr>
            </w:pPr>
            <w:r w:rsidRPr="00491098">
              <w:rPr>
                <w:lang w:val="fr-FR"/>
              </w:rPr>
              <w:t xml:space="preserve">Le Directeur du TSB a souhaité la bienvenue aux participants et </w:t>
            </w:r>
            <w:r w:rsidR="004A13DA" w:rsidRPr="00491098">
              <w:rPr>
                <w:lang w:val="fr-FR"/>
              </w:rPr>
              <w:t xml:space="preserve">les </w:t>
            </w:r>
            <w:r w:rsidRPr="00491098">
              <w:rPr>
                <w:lang w:val="fr-FR"/>
              </w:rPr>
              <w:t>a remercié</w:t>
            </w:r>
            <w:r w:rsidR="004A13DA" w:rsidRPr="00491098">
              <w:rPr>
                <w:lang w:val="fr-FR"/>
              </w:rPr>
              <w:t>s</w:t>
            </w:r>
            <w:r w:rsidR="00A22FB4" w:rsidRPr="00491098">
              <w:rPr>
                <w:lang w:val="fr-FR"/>
              </w:rPr>
              <w:t xml:space="preserve"> </w:t>
            </w:r>
            <w:r w:rsidRPr="00491098">
              <w:rPr>
                <w:lang w:val="fr-FR"/>
              </w:rPr>
              <w:t xml:space="preserve">de l'avoir invité à </w:t>
            </w:r>
            <w:r w:rsidR="004A13DA" w:rsidRPr="00491098">
              <w:rPr>
                <w:lang w:val="fr-FR"/>
              </w:rPr>
              <w:t>prendre la parole devant le</w:t>
            </w:r>
            <w:r w:rsidRPr="00491098">
              <w:rPr>
                <w:lang w:val="fr-FR"/>
              </w:rPr>
              <w:t xml:space="preserve"> GCR. Il a</w:t>
            </w:r>
            <w:r w:rsidR="00A22FB4" w:rsidRPr="00491098">
              <w:rPr>
                <w:lang w:val="fr-FR"/>
              </w:rPr>
              <w:t xml:space="preserve"> </w:t>
            </w:r>
            <w:r w:rsidR="004A13DA" w:rsidRPr="00491098">
              <w:rPr>
                <w:lang w:val="fr-FR"/>
              </w:rPr>
              <w:t xml:space="preserve">pris acte du renforcement de </w:t>
            </w:r>
            <w:r w:rsidRPr="00491098">
              <w:rPr>
                <w:lang w:val="fr-FR"/>
              </w:rPr>
              <w:t>la coopération</w:t>
            </w:r>
            <w:r w:rsidR="00A22FB4" w:rsidRPr="00491098">
              <w:rPr>
                <w:lang w:val="fr-FR"/>
              </w:rPr>
              <w:t xml:space="preserve"> </w:t>
            </w:r>
            <w:r w:rsidRPr="00491098">
              <w:rPr>
                <w:lang w:val="fr-FR"/>
              </w:rPr>
              <w:t xml:space="preserve">entre l'UIT-R et l'UIT-T </w:t>
            </w:r>
            <w:r w:rsidR="004D75F3" w:rsidRPr="00491098">
              <w:rPr>
                <w:lang w:val="fr-FR"/>
              </w:rPr>
              <w:t>ainsi que des</w:t>
            </w:r>
            <w:r w:rsidRPr="00491098">
              <w:rPr>
                <w:lang w:val="fr-FR"/>
              </w:rPr>
              <w:t xml:space="preserve"> travaux</w:t>
            </w:r>
            <w:r w:rsidR="004A13DA" w:rsidRPr="00491098">
              <w:rPr>
                <w:lang w:val="fr-FR"/>
              </w:rPr>
              <w:t xml:space="preserve"> menés par le</w:t>
            </w:r>
            <w:r w:rsidRPr="00491098">
              <w:rPr>
                <w:lang w:val="fr-FR"/>
              </w:rPr>
              <w:t xml:space="preserve"> TSB </w:t>
            </w:r>
            <w:r w:rsidRPr="00491098">
              <w:rPr>
                <w:color w:val="000000"/>
                <w:lang w:val="fr-FR"/>
              </w:rPr>
              <w:t xml:space="preserve">dans le cadre des préparatifs </w:t>
            </w:r>
            <w:r w:rsidRPr="00491098">
              <w:rPr>
                <w:lang w:val="fr-FR"/>
              </w:rPr>
              <w:t>de l'Assemblée mondiale de normalisation des télécommunications.</w:t>
            </w:r>
          </w:p>
          <w:p w14:paraId="2CD3B487" w14:textId="5ACA88B8" w:rsidR="00407B30" w:rsidRPr="00491098" w:rsidRDefault="004A13DA" w:rsidP="00311D13">
            <w:pPr>
              <w:pStyle w:val="Tabletext"/>
              <w:jc w:val="both"/>
              <w:rPr>
                <w:lang w:val="fr-FR"/>
              </w:rPr>
            </w:pPr>
            <w:r w:rsidRPr="00491098">
              <w:rPr>
                <w:lang w:val="fr-FR"/>
              </w:rPr>
              <w:t>La Directrice du BDT a mis l</w:t>
            </w:r>
            <w:r w:rsidR="00A22FB4" w:rsidRPr="00491098">
              <w:rPr>
                <w:lang w:val="fr-FR"/>
              </w:rPr>
              <w:t>'</w:t>
            </w:r>
            <w:r w:rsidRPr="00491098">
              <w:rPr>
                <w:lang w:val="fr-FR"/>
              </w:rPr>
              <w:t xml:space="preserve">accent sur la </w:t>
            </w:r>
            <w:r w:rsidRPr="00491098">
              <w:rPr>
                <w:color w:val="000000"/>
                <w:lang w:val="fr-FR"/>
              </w:rPr>
              <w:t>poursuite</w:t>
            </w:r>
            <w:r w:rsidR="00A22FB4" w:rsidRPr="00491098">
              <w:rPr>
                <w:color w:val="000000"/>
                <w:lang w:val="fr-FR"/>
              </w:rPr>
              <w:t xml:space="preserve"> </w:t>
            </w:r>
            <w:r w:rsidRPr="00491098">
              <w:rPr>
                <w:lang w:val="fr-FR"/>
              </w:rPr>
              <w:t xml:space="preserve">du partenariat et de la collaboration entre les Bureaux et a fait mention de plusieurs projets </w:t>
            </w:r>
            <w:r w:rsidR="005606D6" w:rsidRPr="00491098">
              <w:rPr>
                <w:lang w:val="fr-FR"/>
              </w:rPr>
              <w:t>au titre de</w:t>
            </w:r>
            <w:r w:rsidRPr="00491098">
              <w:rPr>
                <w:lang w:val="fr-FR"/>
              </w:rPr>
              <w:t xml:space="preserve">squels le BDT </w:t>
            </w:r>
            <w:r w:rsidR="009A4B97" w:rsidRPr="00491098">
              <w:rPr>
                <w:color w:val="000000"/>
                <w:lang w:val="fr-FR"/>
              </w:rPr>
              <w:t xml:space="preserve">s'appuie </w:t>
            </w:r>
            <w:r w:rsidRPr="00491098">
              <w:rPr>
                <w:lang w:val="fr-FR"/>
              </w:rPr>
              <w:t xml:space="preserve">sur le </w:t>
            </w:r>
            <w:r w:rsidR="009A4B97" w:rsidRPr="00491098">
              <w:rPr>
                <w:lang w:val="fr-FR"/>
              </w:rPr>
              <w:t>concours</w:t>
            </w:r>
            <w:r w:rsidRPr="00491098">
              <w:rPr>
                <w:lang w:val="fr-FR"/>
              </w:rPr>
              <w:t xml:space="preserve"> du BR, </w:t>
            </w:r>
            <w:r w:rsidR="009A4B97" w:rsidRPr="00491098">
              <w:rPr>
                <w:lang w:val="fr-FR"/>
              </w:rPr>
              <w:t>par exemple</w:t>
            </w:r>
            <w:r w:rsidRPr="00491098">
              <w:rPr>
                <w:lang w:val="fr-FR"/>
              </w:rPr>
              <w:t xml:space="preserve"> le projet GIGA (connectivité des écoles), </w:t>
            </w:r>
            <w:r w:rsidR="009A4B97" w:rsidRPr="00491098">
              <w:rPr>
                <w:color w:val="000000"/>
                <w:lang w:val="fr-FR"/>
              </w:rPr>
              <w:t>l</w:t>
            </w:r>
            <w:r w:rsidR="00A22FB4" w:rsidRPr="00491098">
              <w:rPr>
                <w:color w:val="000000"/>
                <w:lang w:val="fr-FR"/>
              </w:rPr>
              <w:t>'</w:t>
            </w:r>
            <w:r w:rsidR="009A4B97" w:rsidRPr="00491098">
              <w:rPr>
                <w:color w:val="000000"/>
                <w:lang w:val="fr-FR"/>
              </w:rPr>
              <w:t>Initiative</w:t>
            </w:r>
            <w:r w:rsidR="009A4B97" w:rsidRPr="00491098">
              <w:rPr>
                <w:lang w:val="fr-FR"/>
              </w:rPr>
              <w:t xml:space="preserve"> </w:t>
            </w:r>
            <w:r w:rsidRPr="00491098">
              <w:rPr>
                <w:lang w:val="fr-FR"/>
              </w:rPr>
              <w:t xml:space="preserve">PRIDA </w:t>
            </w:r>
            <w:r w:rsidR="009A4B97" w:rsidRPr="00491098">
              <w:rPr>
                <w:lang w:val="fr-FR"/>
              </w:rPr>
              <w:t>pour l</w:t>
            </w:r>
            <w:r w:rsidR="00A22FB4" w:rsidRPr="00491098">
              <w:rPr>
                <w:lang w:val="fr-FR"/>
              </w:rPr>
              <w:t>'</w:t>
            </w:r>
            <w:r w:rsidRPr="00491098">
              <w:rPr>
                <w:lang w:val="fr-FR"/>
              </w:rPr>
              <w:t>Afrique,</w:t>
            </w:r>
            <w:r w:rsidR="009A4B97" w:rsidRPr="00491098">
              <w:rPr>
                <w:color w:val="000000"/>
                <w:lang w:val="fr-FR"/>
              </w:rPr>
              <w:t xml:space="preserve"> les séminaires régionaux des radiocommunications (RRS)</w:t>
            </w:r>
            <w:r w:rsidRPr="00491098">
              <w:rPr>
                <w:lang w:val="fr-FR"/>
              </w:rPr>
              <w:t>,</w:t>
            </w:r>
            <w:r w:rsidR="00A22FB4" w:rsidRPr="00491098">
              <w:rPr>
                <w:lang w:val="fr-FR"/>
              </w:rPr>
              <w:t xml:space="preserve"> </w:t>
            </w:r>
            <w:r w:rsidR="009A4B97" w:rsidRPr="00491098">
              <w:rPr>
                <w:lang w:val="fr-FR"/>
              </w:rPr>
              <w:t xml:space="preserve">la </w:t>
            </w:r>
            <w:r w:rsidR="009C7A71" w:rsidRPr="00491098">
              <w:rPr>
                <w:lang w:val="fr-FR"/>
              </w:rPr>
              <w:t>Résolution</w:t>
            </w:r>
            <w:r w:rsidRPr="00491098">
              <w:rPr>
                <w:lang w:val="fr-FR"/>
              </w:rPr>
              <w:t xml:space="preserve"> 9</w:t>
            </w:r>
            <w:r w:rsidR="009A4B97" w:rsidRPr="00491098">
              <w:rPr>
                <w:lang w:val="fr-FR"/>
              </w:rPr>
              <w:t xml:space="preserve"> de la CMDT</w:t>
            </w:r>
            <w:r w:rsidRPr="00491098">
              <w:rPr>
                <w:lang w:val="fr-FR"/>
              </w:rPr>
              <w:t xml:space="preserve">, </w:t>
            </w:r>
            <w:r w:rsidR="009A4B97" w:rsidRPr="00491098">
              <w:rPr>
                <w:lang w:val="fr-FR"/>
              </w:rPr>
              <w:t xml:space="preserve">le </w:t>
            </w:r>
            <w:r w:rsidR="009A4B97" w:rsidRPr="00491098">
              <w:rPr>
                <w:color w:val="000000"/>
                <w:lang w:val="fr-FR"/>
              </w:rPr>
              <w:t>Centre international d'innovation numérique (I-CoDI) et</w:t>
            </w:r>
            <w:r w:rsidRPr="00491098">
              <w:rPr>
                <w:lang w:val="fr-FR"/>
              </w:rPr>
              <w:t xml:space="preserve"> </w:t>
            </w:r>
            <w:r w:rsidR="009A4B97" w:rsidRPr="00491098">
              <w:rPr>
                <w:lang w:val="fr-FR"/>
              </w:rPr>
              <w:t>l</w:t>
            </w:r>
            <w:r w:rsidR="00A22FB4" w:rsidRPr="00491098">
              <w:rPr>
                <w:lang w:val="fr-FR"/>
              </w:rPr>
              <w:t>'</w:t>
            </w:r>
            <w:r w:rsidR="009A4B97" w:rsidRPr="00491098">
              <w:rPr>
                <w:color w:val="000000"/>
                <w:lang w:val="fr-FR"/>
              </w:rPr>
              <w:t xml:space="preserve">équipe spéciale de l'UIT pour la jeunesse. </w:t>
            </w:r>
            <w:r w:rsidRPr="00491098">
              <w:rPr>
                <w:lang w:val="fr-FR"/>
              </w:rPr>
              <w:t xml:space="preserve">Elle a également remercié le BR pour </w:t>
            </w:r>
            <w:r w:rsidR="009A4B97" w:rsidRPr="00491098">
              <w:rPr>
                <w:lang w:val="fr-FR"/>
              </w:rPr>
              <w:t>l</w:t>
            </w:r>
            <w:r w:rsidR="009A4B97" w:rsidRPr="00491098">
              <w:rPr>
                <w:color w:val="000000"/>
                <w:lang w:val="fr-FR"/>
              </w:rPr>
              <w:t>'initiative</w:t>
            </w:r>
            <w:proofErr w:type="gramStart"/>
            <w:r w:rsidR="00A22FB4" w:rsidRPr="00491098">
              <w:rPr>
                <w:color w:val="000000"/>
                <w:lang w:val="fr-FR"/>
              </w:rPr>
              <w:t xml:space="preserve"> </w:t>
            </w:r>
            <w:r w:rsidR="009C7A71" w:rsidRPr="00491098">
              <w:rPr>
                <w:color w:val="000000"/>
                <w:lang w:val="fr-FR"/>
              </w:rPr>
              <w:t>«</w:t>
            </w:r>
            <w:r w:rsidR="009A4B97" w:rsidRPr="00491098">
              <w:rPr>
                <w:color w:val="000000"/>
                <w:lang w:val="fr-FR"/>
              </w:rPr>
              <w:t>Un</w:t>
            </w:r>
            <w:proofErr w:type="gramEnd"/>
            <w:r w:rsidR="009A4B97" w:rsidRPr="00491098">
              <w:rPr>
                <w:color w:val="000000"/>
                <w:lang w:val="fr-FR"/>
              </w:rPr>
              <w:t xml:space="preserve"> </w:t>
            </w:r>
            <w:r w:rsidRPr="00491098">
              <w:rPr>
                <w:lang w:val="fr-FR"/>
              </w:rPr>
              <w:t>Réseau des femmes</w:t>
            </w:r>
            <w:r w:rsidR="009C7A71" w:rsidRPr="00491098">
              <w:rPr>
                <w:lang w:val="fr-FR"/>
              </w:rPr>
              <w:t>»</w:t>
            </w:r>
            <w:r w:rsidRPr="00491098">
              <w:rPr>
                <w:lang w:val="fr-FR"/>
              </w:rPr>
              <w:t xml:space="preserve"> et a </w:t>
            </w:r>
            <w:r w:rsidR="009A4B97" w:rsidRPr="00491098">
              <w:rPr>
                <w:lang w:val="fr-FR"/>
              </w:rPr>
              <w:t>évoqué</w:t>
            </w:r>
            <w:r w:rsidRPr="00491098">
              <w:rPr>
                <w:lang w:val="fr-FR"/>
              </w:rPr>
              <w:t xml:space="preserve"> la création d'un programme </w:t>
            </w:r>
            <w:r w:rsidR="009A4B97" w:rsidRPr="00491098">
              <w:rPr>
                <w:lang w:val="fr-FR"/>
              </w:rPr>
              <w:t>analogue</w:t>
            </w:r>
            <w:r w:rsidRPr="00491098">
              <w:rPr>
                <w:lang w:val="fr-FR"/>
              </w:rPr>
              <w:t xml:space="preserve"> pour l'UIT-D.</w:t>
            </w:r>
          </w:p>
        </w:tc>
      </w:tr>
      <w:tr w:rsidR="00407B30" w:rsidRPr="00F8073F" w14:paraId="6B9092D4" w14:textId="77777777" w:rsidTr="004269AD">
        <w:trPr>
          <w:jc w:val="center"/>
        </w:trPr>
        <w:tc>
          <w:tcPr>
            <w:tcW w:w="339" w:type="pct"/>
          </w:tcPr>
          <w:p w14:paraId="3C4E15B2" w14:textId="72B0C210" w:rsidR="00407B30" w:rsidRPr="00491098" w:rsidRDefault="00407B30" w:rsidP="00311D13">
            <w:pPr>
              <w:pStyle w:val="Tabletext"/>
              <w:keepNext/>
              <w:keepLines/>
              <w:jc w:val="both"/>
              <w:rPr>
                <w:lang w:val="fr-FR"/>
              </w:rPr>
            </w:pPr>
            <w:r w:rsidRPr="00491098">
              <w:rPr>
                <w:lang w:val="fr-FR" w:eastAsia="en-GB"/>
              </w:rPr>
              <w:lastRenderedPageBreak/>
              <w:t>2</w:t>
            </w:r>
          </w:p>
        </w:tc>
        <w:tc>
          <w:tcPr>
            <w:tcW w:w="865" w:type="pct"/>
          </w:tcPr>
          <w:p w14:paraId="5929F579" w14:textId="77777777" w:rsidR="00407B30" w:rsidRPr="00491098" w:rsidRDefault="00407B30" w:rsidP="00900C6D">
            <w:pPr>
              <w:pStyle w:val="Tabletext"/>
              <w:keepNext/>
              <w:keepLines/>
              <w:rPr>
                <w:lang w:val="fr-FR"/>
              </w:rPr>
            </w:pPr>
            <w:r w:rsidRPr="00491098">
              <w:rPr>
                <w:lang w:val="fr-FR"/>
              </w:rPr>
              <w:t>Adoption de l'ordre du jour</w:t>
            </w:r>
          </w:p>
          <w:p w14:paraId="375D10CB" w14:textId="1A5C01EE" w:rsidR="00407B30" w:rsidRPr="00491098" w:rsidRDefault="00407B30" w:rsidP="00900C6D">
            <w:pPr>
              <w:pStyle w:val="Tabletext"/>
              <w:keepNext/>
              <w:keepLines/>
              <w:spacing w:before="120"/>
              <w:rPr>
                <w:iCs/>
                <w:lang w:val="fr-FR"/>
              </w:rPr>
            </w:pPr>
            <w:r w:rsidRPr="00491098">
              <w:rPr>
                <w:iCs/>
                <w:lang w:val="fr-FR"/>
              </w:rPr>
              <w:t>Document</w:t>
            </w:r>
            <w:r w:rsidR="00725647" w:rsidRPr="00491098">
              <w:rPr>
                <w:iCs/>
                <w:lang w:val="fr-FR"/>
              </w:rPr>
              <w:t xml:space="preserve"> du </w:t>
            </w:r>
            <w:proofErr w:type="gramStart"/>
            <w:r w:rsidR="00725647" w:rsidRPr="00491098">
              <w:rPr>
                <w:iCs/>
                <w:lang w:val="fr-FR"/>
              </w:rPr>
              <w:t>GCR</w:t>
            </w:r>
            <w:r w:rsidRPr="00491098">
              <w:rPr>
                <w:iCs/>
                <w:lang w:val="fr-FR"/>
              </w:rPr>
              <w:t>:</w:t>
            </w:r>
            <w:proofErr w:type="gramEnd"/>
          </w:p>
          <w:p w14:paraId="1AA322EF" w14:textId="085A015C" w:rsidR="00407B30" w:rsidRPr="00491098" w:rsidRDefault="00407B30" w:rsidP="00900C6D">
            <w:pPr>
              <w:pStyle w:val="Tabletext"/>
              <w:keepNext/>
              <w:keepLines/>
              <w:rPr>
                <w:lang w:val="fr-FR"/>
              </w:rPr>
            </w:pPr>
            <w:r w:rsidRPr="00491098">
              <w:rPr>
                <w:iCs/>
                <w:lang w:val="fr-FR"/>
              </w:rPr>
              <w:t>ADM/2</w:t>
            </w:r>
          </w:p>
        </w:tc>
        <w:tc>
          <w:tcPr>
            <w:tcW w:w="3796" w:type="pct"/>
          </w:tcPr>
          <w:p w14:paraId="7F7FF96C" w14:textId="030AD6EC" w:rsidR="00407B30" w:rsidRPr="00491098" w:rsidRDefault="00407B30" w:rsidP="00311D13">
            <w:pPr>
              <w:pStyle w:val="Tabletext"/>
              <w:keepNext/>
              <w:keepLines/>
              <w:jc w:val="both"/>
              <w:rPr>
                <w:lang w:val="fr-FR"/>
              </w:rPr>
            </w:pPr>
            <w:r w:rsidRPr="00491098">
              <w:rPr>
                <w:lang w:val="fr-FR"/>
              </w:rPr>
              <w:t>Le projet d'ordre du jour (Doc. RAG2</w:t>
            </w:r>
            <w:r w:rsidR="00DF5AB5" w:rsidRPr="00491098">
              <w:rPr>
                <w:lang w:val="fr-FR"/>
              </w:rPr>
              <w:t>1</w:t>
            </w:r>
            <w:r w:rsidRPr="00491098">
              <w:rPr>
                <w:lang w:val="fr-FR"/>
              </w:rPr>
              <w:t>/ADM/</w:t>
            </w:r>
            <w:r w:rsidR="00DF5AB5" w:rsidRPr="00491098">
              <w:rPr>
                <w:lang w:val="fr-FR"/>
              </w:rPr>
              <w:t>2</w:t>
            </w:r>
            <w:r w:rsidRPr="00491098">
              <w:rPr>
                <w:lang w:val="fr-FR"/>
              </w:rPr>
              <w:t>) a été adopté sans modification.</w:t>
            </w:r>
          </w:p>
        </w:tc>
      </w:tr>
      <w:tr w:rsidR="00407B30" w:rsidRPr="00F8073F" w14:paraId="666E6BA9" w14:textId="77777777" w:rsidTr="004269AD">
        <w:trPr>
          <w:jc w:val="center"/>
        </w:trPr>
        <w:tc>
          <w:tcPr>
            <w:tcW w:w="339" w:type="pct"/>
          </w:tcPr>
          <w:p w14:paraId="14CE86B5" w14:textId="352522A3" w:rsidR="00407B30" w:rsidRPr="00491098" w:rsidRDefault="00407B30" w:rsidP="00311D13">
            <w:pPr>
              <w:pStyle w:val="Tabletext"/>
              <w:jc w:val="both"/>
              <w:rPr>
                <w:lang w:val="fr-FR" w:eastAsia="en-GB"/>
              </w:rPr>
            </w:pPr>
            <w:r w:rsidRPr="00491098">
              <w:rPr>
                <w:lang w:val="fr-FR" w:eastAsia="en-GB"/>
              </w:rPr>
              <w:t>3</w:t>
            </w:r>
          </w:p>
        </w:tc>
        <w:tc>
          <w:tcPr>
            <w:tcW w:w="865" w:type="pct"/>
          </w:tcPr>
          <w:p w14:paraId="6CAEA4CC" w14:textId="17575FEB" w:rsidR="00407B30" w:rsidRPr="00491098" w:rsidRDefault="00DF5AB5" w:rsidP="00900C6D">
            <w:pPr>
              <w:pStyle w:val="Tabletext"/>
              <w:rPr>
                <w:rFonts w:ascii="Times New Roman" w:hAnsi="Times New Roman" w:cs="Times New Roman"/>
                <w:color w:val="000000"/>
                <w:lang w:val="fr-FR" w:eastAsia="en-GB"/>
              </w:rPr>
            </w:pPr>
            <w:r w:rsidRPr="00491098">
              <w:rPr>
                <w:rFonts w:cs="Arial"/>
                <w:color w:val="000000"/>
                <w:lang w:val="fr-FR" w:eastAsia="en-GB"/>
              </w:rPr>
              <w:t>Questions relatives au Conseil</w:t>
            </w:r>
          </w:p>
          <w:p w14:paraId="5A015971" w14:textId="777CB099" w:rsidR="00CE5389" w:rsidRPr="00491098" w:rsidRDefault="00CE5389" w:rsidP="00900C6D">
            <w:pPr>
              <w:pStyle w:val="Tabletext"/>
              <w:spacing w:before="120"/>
              <w:rPr>
                <w:iCs/>
                <w:lang w:val="fr-FR" w:eastAsia="en-GB"/>
              </w:rPr>
            </w:pPr>
            <w:r w:rsidRPr="00491098">
              <w:rPr>
                <w:iCs/>
                <w:lang w:val="fr-FR" w:eastAsia="en-GB"/>
              </w:rPr>
              <w:t>Document</w:t>
            </w:r>
            <w:r w:rsidR="00E05BB4">
              <w:rPr>
                <w:iCs/>
                <w:lang w:val="fr-FR" w:eastAsia="en-GB"/>
              </w:rPr>
              <w:t>s</w:t>
            </w:r>
            <w:r w:rsidRPr="00491098">
              <w:rPr>
                <w:iCs/>
                <w:lang w:val="fr-FR" w:eastAsia="en-GB"/>
              </w:rPr>
              <w:t xml:space="preserve"> du </w:t>
            </w:r>
            <w:proofErr w:type="gramStart"/>
            <w:r w:rsidRPr="00491098">
              <w:rPr>
                <w:iCs/>
                <w:lang w:val="fr-FR" w:eastAsia="en-GB"/>
              </w:rPr>
              <w:t>GCR</w:t>
            </w:r>
            <w:r w:rsidR="00511144">
              <w:rPr>
                <w:iCs/>
                <w:lang w:val="fr-FR" w:eastAsia="en-GB"/>
              </w:rPr>
              <w:t>:</w:t>
            </w:r>
            <w:proofErr w:type="gramEnd"/>
          </w:p>
          <w:p w14:paraId="521278B0" w14:textId="243D2D58" w:rsidR="00407B30" w:rsidRPr="00491098" w:rsidRDefault="00407B30" w:rsidP="00900C6D">
            <w:pPr>
              <w:pStyle w:val="Tabletext"/>
              <w:spacing w:before="0"/>
              <w:rPr>
                <w:color w:val="000000"/>
                <w:shd w:val="clear" w:color="auto" w:fill="FFFFFF"/>
                <w:lang w:val="fr-FR" w:eastAsia="en-GB"/>
              </w:rPr>
            </w:pPr>
            <w:r w:rsidRPr="00491098">
              <w:rPr>
                <w:iCs/>
                <w:lang w:val="fr-FR" w:eastAsia="en-GB"/>
              </w:rPr>
              <w:t>RAG21/26 (§</w:t>
            </w:r>
            <w:r w:rsidR="009C7A71" w:rsidRPr="00491098">
              <w:rPr>
                <w:iCs/>
                <w:lang w:val="fr-FR" w:eastAsia="en-GB"/>
              </w:rPr>
              <w:t xml:space="preserve"> </w:t>
            </w:r>
            <w:r w:rsidRPr="00491098">
              <w:rPr>
                <w:iCs/>
                <w:lang w:val="fr-FR" w:eastAsia="en-GB"/>
              </w:rPr>
              <w:t>2), 26</w:t>
            </w:r>
            <w:r w:rsidR="009C7A71" w:rsidRPr="00491098">
              <w:rPr>
                <w:iCs/>
                <w:lang w:val="fr-FR" w:eastAsia="en-GB"/>
              </w:rPr>
              <w:t> </w:t>
            </w:r>
            <w:r w:rsidRPr="00491098">
              <w:rPr>
                <w:iCs/>
                <w:lang w:val="fr-FR" w:eastAsia="en-GB"/>
              </w:rPr>
              <w:t>Corr.1(§</w:t>
            </w:r>
            <w:r w:rsidR="009C7A71" w:rsidRPr="00491098">
              <w:rPr>
                <w:iCs/>
                <w:lang w:val="fr-FR" w:eastAsia="en-GB"/>
              </w:rPr>
              <w:t> </w:t>
            </w:r>
            <w:r w:rsidRPr="00491098">
              <w:rPr>
                <w:iCs/>
                <w:lang w:val="fr-FR" w:eastAsia="en-GB"/>
              </w:rPr>
              <w:t>2.3), 26-Add.2</w:t>
            </w:r>
          </w:p>
        </w:tc>
        <w:tc>
          <w:tcPr>
            <w:tcW w:w="3796" w:type="pct"/>
          </w:tcPr>
          <w:p w14:paraId="6EDAFB03" w14:textId="69F63780" w:rsidR="00407B30" w:rsidRPr="00491098" w:rsidRDefault="00DF5AB5" w:rsidP="00311D13">
            <w:pPr>
              <w:pStyle w:val="Tabletext"/>
              <w:jc w:val="both"/>
              <w:rPr>
                <w:rFonts w:eastAsia="Calibri"/>
                <w:color w:val="000000"/>
                <w:lang w:val="fr-FR" w:eastAsia="en-GB"/>
              </w:rPr>
            </w:pPr>
            <w:r w:rsidRPr="00491098">
              <w:rPr>
                <w:rFonts w:eastAsia="Calibri"/>
                <w:color w:val="000000"/>
                <w:lang w:val="fr-FR" w:eastAsia="en-GB"/>
              </w:rPr>
              <w:t>Le GCR a pris note des renseignements fournis concernant le recouvrement des coûts pour le traitement des fiches de notification de réseaux à satellite.</w:t>
            </w:r>
          </w:p>
          <w:p w14:paraId="69FFFB8D" w14:textId="59B68896" w:rsidR="0019374A" w:rsidRPr="00491098" w:rsidRDefault="00415B3F" w:rsidP="00311D13">
            <w:pPr>
              <w:pStyle w:val="Tabletext"/>
              <w:jc w:val="both"/>
              <w:rPr>
                <w:rFonts w:eastAsia="Calibri"/>
                <w:color w:val="000000"/>
                <w:lang w:val="fr-FR" w:eastAsia="en-GB"/>
              </w:rPr>
            </w:pPr>
            <w:r w:rsidRPr="00491098">
              <w:rPr>
                <w:rFonts w:eastAsia="Calibri"/>
                <w:color w:val="000000"/>
                <w:lang w:val="fr-FR" w:eastAsia="en-GB"/>
              </w:rPr>
              <w:t>Étant</w:t>
            </w:r>
            <w:r w:rsidR="0019374A" w:rsidRPr="00491098">
              <w:rPr>
                <w:rFonts w:eastAsia="Calibri"/>
                <w:color w:val="000000"/>
                <w:lang w:val="fr-FR" w:eastAsia="en-GB"/>
              </w:rPr>
              <w:t xml:space="preserve"> donné que les questions budgétaires relèvent de la compétence du Conseil de l'UIT, le GCR a pris note des renseignements fournis concernant le budget pour </w:t>
            </w:r>
            <w:r w:rsidR="0019374A" w:rsidRPr="00491098">
              <w:rPr>
                <w:color w:val="000000"/>
                <w:lang w:val="fr-FR"/>
              </w:rPr>
              <w:t xml:space="preserve">l'exercice </w:t>
            </w:r>
            <w:r w:rsidR="0019374A" w:rsidRPr="00491098">
              <w:rPr>
                <w:rFonts w:eastAsia="Calibri"/>
                <w:color w:val="000000"/>
                <w:lang w:val="fr-FR" w:eastAsia="en-GB"/>
              </w:rPr>
              <w:t xml:space="preserve">2020-2021 et le projet de budget pour </w:t>
            </w:r>
            <w:r w:rsidR="0019374A" w:rsidRPr="00491098">
              <w:rPr>
                <w:color w:val="000000"/>
                <w:lang w:val="fr-FR"/>
              </w:rPr>
              <w:t xml:space="preserve">l'exercice </w:t>
            </w:r>
            <w:r w:rsidR="0019374A" w:rsidRPr="00491098">
              <w:rPr>
                <w:rFonts w:eastAsia="Calibri"/>
                <w:color w:val="000000"/>
                <w:lang w:val="fr-FR" w:eastAsia="en-GB"/>
              </w:rPr>
              <w:t>2022-2023.</w:t>
            </w:r>
            <w:r w:rsidR="00A22FB4" w:rsidRPr="00491098">
              <w:rPr>
                <w:rFonts w:eastAsia="Calibri"/>
                <w:color w:val="000000"/>
                <w:lang w:val="fr-FR" w:eastAsia="en-GB"/>
              </w:rPr>
              <w:t xml:space="preserve"> </w:t>
            </w:r>
            <w:r w:rsidR="0019374A" w:rsidRPr="00491098">
              <w:rPr>
                <w:rFonts w:eastAsia="Calibri"/>
                <w:color w:val="000000"/>
                <w:lang w:val="fr-FR" w:eastAsia="en-GB"/>
              </w:rPr>
              <w:t xml:space="preserve">Le Directeur a précisé aux participants </w:t>
            </w:r>
            <w:r w:rsidR="0019374A" w:rsidRPr="00491098">
              <w:rPr>
                <w:color w:val="000000"/>
                <w:lang w:val="fr-FR"/>
              </w:rPr>
              <w:t xml:space="preserve">à la réunion du GCR </w:t>
            </w:r>
            <w:r w:rsidR="0019374A" w:rsidRPr="00491098">
              <w:rPr>
                <w:rFonts w:eastAsia="Calibri"/>
                <w:color w:val="000000"/>
                <w:lang w:val="fr-FR" w:eastAsia="en-GB"/>
              </w:rPr>
              <w:t>que le BR a</w:t>
            </w:r>
            <w:r w:rsidR="007F746B" w:rsidRPr="00491098">
              <w:rPr>
                <w:rFonts w:eastAsia="Calibri"/>
                <w:color w:val="000000"/>
                <w:lang w:val="fr-FR" w:eastAsia="en-GB"/>
              </w:rPr>
              <w:t>vait</w:t>
            </w:r>
            <w:r w:rsidR="0019374A" w:rsidRPr="00491098">
              <w:rPr>
                <w:rFonts w:eastAsia="Calibri"/>
                <w:color w:val="000000"/>
                <w:lang w:val="fr-FR" w:eastAsia="en-GB"/>
              </w:rPr>
              <w:t xml:space="preserve"> </w:t>
            </w:r>
            <w:r w:rsidR="0019374A" w:rsidRPr="00491098">
              <w:rPr>
                <w:color w:val="000000"/>
                <w:lang w:val="fr-FR"/>
              </w:rPr>
              <w:t xml:space="preserve">fait preuve de la plus grande diligence </w:t>
            </w:r>
            <w:r w:rsidR="0019374A" w:rsidRPr="00491098">
              <w:rPr>
                <w:rFonts w:eastAsia="Calibri"/>
                <w:color w:val="000000"/>
                <w:lang w:val="fr-FR" w:eastAsia="en-GB"/>
              </w:rPr>
              <w:t>pour pourvoir les postes qui étaient précédemment vacants</w:t>
            </w:r>
            <w:r w:rsidR="005606D6" w:rsidRPr="00491098">
              <w:rPr>
                <w:rFonts w:eastAsia="Calibri"/>
                <w:color w:val="000000"/>
                <w:lang w:val="fr-FR" w:eastAsia="en-GB"/>
              </w:rPr>
              <w:t xml:space="preserve"> au sein du Bureau</w:t>
            </w:r>
            <w:r w:rsidR="0019374A" w:rsidRPr="00491098">
              <w:rPr>
                <w:rFonts w:eastAsia="Calibri"/>
                <w:color w:val="000000"/>
                <w:lang w:val="fr-FR" w:eastAsia="en-GB"/>
              </w:rPr>
              <w:t xml:space="preserve"> et qu'il ne prévo</w:t>
            </w:r>
            <w:r w:rsidR="007F746B" w:rsidRPr="00491098">
              <w:rPr>
                <w:rFonts w:eastAsia="Calibri"/>
                <w:color w:val="000000"/>
                <w:lang w:val="fr-FR" w:eastAsia="en-GB"/>
              </w:rPr>
              <w:t>yai</w:t>
            </w:r>
            <w:r w:rsidR="0019374A" w:rsidRPr="00491098">
              <w:rPr>
                <w:rFonts w:eastAsia="Calibri"/>
                <w:color w:val="000000"/>
                <w:lang w:val="fr-FR" w:eastAsia="en-GB"/>
              </w:rPr>
              <w:t>t pas de réaliser le même montant d'économies que les années précédentes.</w:t>
            </w:r>
            <w:r w:rsidR="00A22FB4" w:rsidRPr="00491098">
              <w:rPr>
                <w:rFonts w:eastAsia="Calibri"/>
                <w:color w:val="000000"/>
                <w:lang w:val="fr-FR" w:eastAsia="en-GB"/>
              </w:rPr>
              <w:t xml:space="preserve"> </w:t>
            </w:r>
            <w:r w:rsidR="0019374A" w:rsidRPr="00491098">
              <w:rPr>
                <w:rFonts w:eastAsia="Calibri"/>
                <w:color w:val="000000"/>
                <w:lang w:val="fr-FR" w:eastAsia="en-GB"/>
              </w:rPr>
              <w:t>En ce qui concerne les</w:t>
            </w:r>
            <w:r w:rsidR="007F746B" w:rsidRPr="00491098">
              <w:rPr>
                <w:color w:val="000000"/>
                <w:lang w:val="fr-FR"/>
              </w:rPr>
              <w:t xml:space="preserve"> produits </w:t>
            </w:r>
            <w:r w:rsidR="005606D6" w:rsidRPr="00491098">
              <w:rPr>
                <w:color w:val="000000"/>
                <w:lang w:val="fr-FR"/>
              </w:rPr>
              <w:t>qu</w:t>
            </w:r>
            <w:r w:rsidR="00A22FB4" w:rsidRPr="00491098">
              <w:rPr>
                <w:color w:val="000000"/>
                <w:lang w:val="fr-FR"/>
              </w:rPr>
              <w:t>'</w:t>
            </w:r>
            <w:r w:rsidR="005606D6" w:rsidRPr="00491098">
              <w:rPr>
                <w:color w:val="000000"/>
                <w:lang w:val="fr-FR"/>
              </w:rPr>
              <w:t xml:space="preserve">il est </w:t>
            </w:r>
            <w:r w:rsidR="007F746B" w:rsidRPr="00491098">
              <w:rPr>
                <w:color w:val="000000"/>
                <w:lang w:val="fr-FR"/>
              </w:rPr>
              <w:t>prévu</w:t>
            </w:r>
            <w:r w:rsidR="005606D6" w:rsidRPr="00491098">
              <w:rPr>
                <w:color w:val="000000"/>
                <w:lang w:val="fr-FR"/>
              </w:rPr>
              <w:t xml:space="preserve"> de tirer </w:t>
            </w:r>
            <w:r w:rsidR="007F746B" w:rsidRPr="00491098">
              <w:rPr>
                <w:color w:val="000000"/>
                <w:lang w:val="fr-FR"/>
              </w:rPr>
              <w:t>des</w:t>
            </w:r>
            <w:r w:rsidR="00A22FB4" w:rsidRPr="00491098">
              <w:rPr>
                <w:rFonts w:eastAsia="Calibri"/>
                <w:color w:val="000000"/>
                <w:lang w:val="fr-FR" w:eastAsia="en-GB"/>
              </w:rPr>
              <w:t xml:space="preserve"> </w:t>
            </w:r>
            <w:r w:rsidR="0019374A" w:rsidRPr="00491098">
              <w:rPr>
                <w:rFonts w:eastAsia="Calibri"/>
                <w:color w:val="000000"/>
                <w:lang w:val="fr-FR" w:eastAsia="en-GB"/>
              </w:rPr>
              <w:t xml:space="preserve">publications, le </w:t>
            </w:r>
            <w:r w:rsidR="007F746B" w:rsidRPr="00491098">
              <w:rPr>
                <w:rFonts w:eastAsia="Calibri"/>
                <w:color w:val="000000"/>
                <w:lang w:val="fr-FR" w:eastAsia="en-GB"/>
              </w:rPr>
              <w:t>D</w:t>
            </w:r>
            <w:r w:rsidR="0019374A" w:rsidRPr="00491098">
              <w:rPr>
                <w:rFonts w:eastAsia="Calibri"/>
                <w:color w:val="000000"/>
                <w:lang w:val="fr-FR" w:eastAsia="en-GB"/>
              </w:rPr>
              <w:t xml:space="preserve">irecteur a expliqué que le budget des publications suit le cycle normal, </w:t>
            </w:r>
            <w:r w:rsidR="007F746B" w:rsidRPr="00491098">
              <w:rPr>
                <w:rFonts w:eastAsia="Calibri"/>
                <w:color w:val="000000"/>
                <w:lang w:val="fr-FR" w:eastAsia="en-GB"/>
              </w:rPr>
              <w:t>les</w:t>
            </w:r>
            <w:r w:rsidR="0019374A" w:rsidRPr="00491098">
              <w:rPr>
                <w:rFonts w:eastAsia="Calibri"/>
                <w:color w:val="000000"/>
                <w:lang w:val="fr-FR" w:eastAsia="en-GB"/>
              </w:rPr>
              <w:t xml:space="preserve"> publications </w:t>
            </w:r>
            <w:r w:rsidR="007F746B" w:rsidRPr="00491098">
              <w:rPr>
                <w:rFonts w:eastAsia="Calibri"/>
                <w:color w:val="000000"/>
                <w:lang w:val="fr-FR" w:eastAsia="en-GB"/>
              </w:rPr>
              <w:t>étant plus nombreuses durant les</w:t>
            </w:r>
            <w:r w:rsidR="0019374A" w:rsidRPr="00491098">
              <w:rPr>
                <w:rFonts w:eastAsia="Calibri"/>
                <w:color w:val="000000"/>
                <w:lang w:val="fr-FR" w:eastAsia="en-GB"/>
              </w:rPr>
              <w:t xml:space="preserve"> deux premières années suivant une conférence qu'au cours des deux dernières années.</w:t>
            </w:r>
          </w:p>
          <w:p w14:paraId="6F8F4244" w14:textId="20AABA30" w:rsidR="007F746B" w:rsidRPr="00491098" w:rsidRDefault="007F746B" w:rsidP="00311D13">
            <w:pPr>
              <w:pStyle w:val="Tabletext"/>
              <w:jc w:val="both"/>
              <w:rPr>
                <w:rFonts w:eastAsia="Calibri"/>
                <w:color w:val="000000"/>
                <w:lang w:val="fr-FR" w:eastAsia="en-GB"/>
              </w:rPr>
            </w:pPr>
            <w:r w:rsidRPr="00491098">
              <w:rPr>
                <w:rFonts w:eastAsia="Calibri"/>
                <w:color w:val="000000"/>
                <w:lang w:val="fr-FR" w:eastAsia="en-GB"/>
              </w:rPr>
              <w:t>En ce qui concerne l</w:t>
            </w:r>
            <w:r w:rsidR="00A22FB4" w:rsidRPr="00491098">
              <w:rPr>
                <w:rFonts w:eastAsia="Calibri"/>
                <w:color w:val="000000"/>
                <w:lang w:val="fr-FR" w:eastAsia="en-GB"/>
              </w:rPr>
              <w:t>'</w:t>
            </w:r>
            <w:r w:rsidRPr="00491098">
              <w:rPr>
                <w:rFonts w:eastAsia="Calibri"/>
                <w:color w:val="000000"/>
                <w:lang w:val="fr-FR" w:eastAsia="en-GB"/>
              </w:rPr>
              <w:t xml:space="preserve">examen et la mise à jour demandés du Document C14/INF/4, qui doit être </w:t>
            </w:r>
            <w:r w:rsidR="005606D6" w:rsidRPr="00491098">
              <w:rPr>
                <w:rFonts w:eastAsia="Calibri"/>
                <w:color w:val="000000"/>
                <w:lang w:val="fr-FR" w:eastAsia="en-GB"/>
              </w:rPr>
              <w:t>sou</w:t>
            </w:r>
            <w:r w:rsidRPr="00491098">
              <w:rPr>
                <w:rFonts w:eastAsia="Calibri"/>
                <w:color w:val="000000"/>
                <w:lang w:val="fr-FR" w:eastAsia="en-GB"/>
              </w:rPr>
              <w:t>mis au Groupe de travail du Conseil</w:t>
            </w:r>
            <w:r w:rsidR="00A22FB4" w:rsidRPr="00491098">
              <w:rPr>
                <w:rFonts w:eastAsia="Calibri"/>
                <w:color w:val="000000"/>
                <w:lang w:val="fr-FR" w:eastAsia="en-GB"/>
              </w:rPr>
              <w:t xml:space="preserve"> </w:t>
            </w:r>
            <w:r w:rsidRPr="00491098">
              <w:rPr>
                <w:color w:val="000000"/>
                <w:lang w:val="fr-FR"/>
              </w:rPr>
              <w:t>sur l'utilisation des langues</w:t>
            </w:r>
            <w:r w:rsidR="00A22FB4" w:rsidRPr="00491098">
              <w:rPr>
                <w:rFonts w:eastAsia="Calibri"/>
                <w:color w:val="000000"/>
                <w:lang w:val="fr-FR" w:eastAsia="en-GB"/>
              </w:rPr>
              <w:t>,</w:t>
            </w:r>
            <w:r w:rsidRPr="00491098">
              <w:rPr>
                <w:rFonts w:eastAsia="Calibri"/>
                <w:color w:val="000000"/>
                <w:lang w:val="fr-FR" w:eastAsia="en-GB"/>
              </w:rPr>
              <w:t xml:space="preserve"> le GCR a </w:t>
            </w:r>
            <w:r w:rsidR="005606D6" w:rsidRPr="00491098">
              <w:rPr>
                <w:rFonts w:eastAsia="Calibri"/>
                <w:color w:val="000000"/>
                <w:lang w:val="fr-FR" w:eastAsia="en-GB"/>
              </w:rPr>
              <w:t xml:space="preserve">entériné </w:t>
            </w:r>
            <w:r w:rsidRPr="00491098">
              <w:rPr>
                <w:rFonts w:eastAsia="Calibri"/>
                <w:color w:val="000000"/>
                <w:lang w:val="fr-FR" w:eastAsia="en-GB"/>
              </w:rPr>
              <w:t>la mise à jour proposée dans l'Annexe du Document RAG21/26 et a également approuvé l'adjonction</w:t>
            </w:r>
            <w:r w:rsidR="005606D6" w:rsidRPr="00491098">
              <w:rPr>
                <w:rFonts w:eastAsia="Calibri"/>
                <w:color w:val="000000"/>
                <w:lang w:val="fr-FR" w:eastAsia="en-GB"/>
              </w:rPr>
              <w:t xml:space="preserve"> dans le tableau </w:t>
            </w:r>
            <w:r w:rsidRPr="00491098">
              <w:rPr>
                <w:rFonts w:eastAsia="Calibri"/>
                <w:color w:val="000000"/>
                <w:lang w:val="fr-FR" w:eastAsia="en-GB"/>
              </w:rPr>
              <w:t xml:space="preserve">d'une rubrique </w:t>
            </w:r>
            <w:r w:rsidR="005606D6" w:rsidRPr="00491098">
              <w:rPr>
                <w:rFonts w:eastAsia="Calibri"/>
                <w:color w:val="000000"/>
                <w:lang w:val="fr-FR" w:eastAsia="en-GB"/>
              </w:rPr>
              <w:t>sur</w:t>
            </w:r>
            <w:r w:rsidRPr="00491098">
              <w:rPr>
                <w:rFonts w:eastAsia="Calibri"/>
                <w:color w:val="000000"/>
                <w:lang w:val="fr-FR" w:eastAsia="en-GB"/>
              </w:rPr>
              <w:t xml:space="preserve"> les </w:t>
            </w:r>
            <w:r w:rsidR="00D370D5" w:rsidRPr="00491098">
              <w:rPr>
                <w:rFonts w:eastAsia="Calibri"/>
                <w:color w:val="000000"/>
                <w:lang w:val="fr-FR" w:eastAsia="en-GB"/>
              </w:rPr>
              <w:t>«</w:t>
            </w:r>
            <w:r w:rsidRPr="00491098">
              <w:rPr>
                <w:rFonts w:eastAsia="Calibri"/>
                <w:color w:val="000000"/>
                <w:lang w:val="fr-FR" w:eastAsia="en-GB"/>
              </w:rPr>
              <w:t xml:space="preserve">pages </w:t>
            </w:r>
            <w:proofErr w:type="gramStart"/>
            <w:r w:rsidRPr="00491098">
              <w:rPr>
                <w:rFonts w:eastAsia="Calibri"/>
                <w:color w:val="000000"/>
                <w:lang w:val="fr-FR" w:eastAsia="en-GB"/>
              </w:rPr>
              <w:t>web</w:t>
            </w:r>
            <w:r w:rsidR="00D370D5" w:rsidRPr="00491098">
              <w:rPr>
                <w:rFonts w:eastAsia="Calibri"/>
                <w:color w:val="000000"/>
                <w:lang w:val="fr-FR" w:eastAsia="en-GB"/>
              </w:rPr>
              <w:t>»</w:t>
            </w:r>
            <w:proofErr w:type="gramEnd"/>
            <w:r w:rsidRPr="00491098">
              <w:rPr>
                <w:rFonts w:eastAsia="Calibri"/>
                <w:color w:val="000000"/>
                <w:lang w:val="fr-FR" w:eastAsia="en-GB"/>
              </w:rPr>
              <w:t xml:space="preserve">, comme indiqué dans l'Annexe 1 </w:t>
            </w:r>
            <w:r w:rsidR="005606D6" w:rsidRPr="00491098">
              <w:rPr>
                <w:rFonts w:eastAsia="Calibri"/>
                <w:color w:val="000000"/>
                <w:lang w:val="fr-FR" w:eastAsia="en-GB"/>
              </w:rPr>
              <w:t>de ce</w:t>
            </w:r>
            <w:r w:rsidRPr="00491098">
              <w:rPr>
                <w:rFonts w:eastAsia="Calibri"/>
                <w:color w:val="000000"/>
                <w:lang w:val="fr-FR" w:eastAsia="en-GB"/>
              </w:rPr>
              <w:t xml:space="preserve"> document,</w:t>
            </w:r>
            <w:r w:rsidR="00A22FB4" w:rsidRPr="00491098">
              <w:rPr>
                <w:rFonts w:eastAsia="Calibri"/>
                <w:color w:val="000000"/>
                <w:lang w:val="fr-FR" w:eastAsia="en-GB"/>
              </w:rPr>
              <w:t xml:space="preserve"> </w:t>
            </w:r>
            <w:r w:rsidRPr="00491098">
              <w:rPr>
                <w:rFonts w:eastAsia="Calibri"/>
                <w:color w:val="000000"/>
                <w:lang w:val="fr-FR" w:eastAsia="en-GB"/>
              </w:rPr>
              <w:t xml:space="preserve">pour tenir compte de ce qui </w:t>
            </w:r>
            <w:r w:rsidR="005606D6" w:rsidRPr="00491098">
              <w:rPr>
                <w:rFonts w:eastAsia="Calibri"/>
                <w:color w:val="000000"/>
                <w:lang w:val="fr-FR" w:eastAsia="en-GB"/>
              </w:rPr>
              <w:t>constitue à présent</w:t>
            </w:r>
            <w:r w:rsidR="00A22FB4" w:rsidRPr="00491098">
              <w:rPr>
                <w:rFonts w:eastAsia="Calibri"/>
                <w:color w:val="000000"/>
                <w:lang w:val="fr-FR" w:eastAsia="en-GB"/>
              </w:rPr>
              <w:t xml:space="preserve"> </w:t>
            </w:r>
            <w:r w:rsidRPr="00491098">
              <w:rPr>
                <w:rFonts w:eastAsia="Calibri"/>
                <w:color w:val="000000"/>
                <w:lang w:val="fr-FR" w:eastAsia="en-GB"/>
              </w:rPr>
              <w:t xml:space="preserve">la pratique </w:t>
            </w:r>
            <w:r w:rsidRPr="00491098">
              <w:rPr>
                <w:color w:val="000000"/>
                <w:lang w:val="fr-FR"/>
              </w:rPr>
              <w:t>habituelle</w:t>
            </w:r>
            <w:r w:rsidR="00A22FB4" w:rsidRPr="00491098">
              <w:rPr>
                <w:color w:val="000000"/>
                <w:lang w:val="fr-FR"/>
              </w:rPr>
              <w:t xml:space="preserve"> </w:t>
            </w:r>
            <w:r w:rsidRPr="00491098">
              <w:rPr>
                <w:color w:val="000000"/>
                <w:lang w:val="fr-FR"/>
              </w:rPr>
              <w:t xml:space="preserve">suivie </w:t>
            </w:r>
            <w:r w:rsidRPr="00491098">
              <w:rPr>
                <w:rFonts w:eastAsia="Calibri"/>
                <w:color w:val="000000"/>
                <w:lang w:val="fr-FR" w:eastAsia="en-GB"/>
              </w:rPr>
              <w:t>dans les Secteurs.</w:t>
            </w:r>
            <w:r w:rsidR="005606D6" w:rsidRPr="00491098">
              <w:rPr>
                <w:rFonts w:eastAsia="Calibri"/>
                <w:color w:val="000000"/>
                <w:lang w:val="fr-FR" w:eastAsia="en-GB"/>
              </w:rPr>
              <w:t xml:space="preserve"> </w:t>
            </w:r>
          </w:p>
          <w:p w14:paraId="663CE095" w14:textId="69F61384" w:rsidR="00407B30" w:rsidRPr="00491098" w:rsidRDefault="007F746B" w:rsidP="00311D13">
            <w:pPr>
              <w:pStyle w:val="Tabletext"/>
              <w:jc w:val="both"/>
              <w:rPr>
                <w:rFonts w:eastAsia="Calibri"/>
                <w:color w:val="000000"/>
                <w:lang w:val="fr-FR" w:eastAsia="en-GB"/>
              </w:rPr>
            </w:pPr>
            <w:r w:rsidRPr="00491098">
              <w:rPr>
                <w:rFonts w:eastAsia="Calibri"/>
                <w:color w:val="000000"/>
                <w:lang w:val="fr-FR" w:eastAsia="en-GB"/>
              </w:rPr>
              <w:t>S</w:t>
            </w:r>
            <w:r w:rsidR="00A22FB4" w:rsidRPr="00491098">
              <w:rPr>
                <w:rFonts w:eastAsia="Calibri"/>
                <w:color w:val="000000"/>
                <w:lang w:val="fr-FR" w:eastAsia="en-GB"/>
              </w:rPr>
              <w:t>'</w:t>
            </w:r>
            <w:r w:rsidRPr="00491098">
              <w:rPr>
                <w:rFonts w:eastAsia="Calibri"/>
                <w:color w:val="000000"/>
                <w:lang w:val="fr-FR" w:eastAsia="en-GB"/>
              </w:rPr>
              <w:t xml:space="preserve">agissant de l'avis demandé par le GCR au Directeur quant à sa contribution aux travaux du </w:t>
            </w:r>
            <w:r w:rsidRPr="00491098">
              <w:rPr>
                <w:color w:val="000000"/>
                <w:lang w:val="fr-FR"/>
              </w:rPr>
              <w:t>Groupe d'experts sur le Règlement des télécommunications internationales (EG-RTI),</w:t>
            </w:r>
            <w:r w:rsidR="00A22FB4" w:rsidRPr="00491098">
              <w:rPr>
                <w:rFonts w:eastAsia="Calibri"/>
                <w:color w:val="000000"/>
                <w:lang w:val="fr-FR" w:eastAsia="en-GB"/>
              </w:rPr>
              <w:t xml:space="preserve"> </w:t>
            </w:r>
            <w:r w:rsidRPr="00491098">
              <w:rPr>
                <w:rFonts w:eastAsia="Calibri"/>
                <w:color w:val="000000"/>
                <w:lang w:val="fr-FR" w:eastAsia="en-GB"/>
              </w:rPr>
              <w:t>le GCR a informé le Directeur qu'il pourrait décider, le cas échéant, de la nature de sa contribution aux travaux de ce Groupe</w:t>
            </w:r>
            <w:r w:rsidR="009C7A71" w:rsidRPr="00491098">
              <w:rPr>
                <w:rFonts w:eastAsia="Calibri"/>
                <w:color w:val="000000"/>
                <w:lang w:val="fr-FR" w:eastAsia="en-GB"/>
              </w:rPr>
              <w:t>.</w:t>
            </w:r>
          </w:p>
          <w:p w14:paraId="4880A6C5" w14:textId="2057AC03" w:rsidR="00407B30" w:rsidRPr="00491098" w:rsidRDefault="007F746B" w:rsidP="00311D13">
            <w:pPr>
              <w:pStyle w:val="Tabletext"/>
              <w:jc w:val="both"/>
              <w:rPr>
                <w:rFonts w:eastAsia="Calibri"/>
                <w:color w:val="000000"/>
                <w:lang w:val="fr-FR" w:eastAsia="en-GB"/>
              </w:rPr>
            </w:pPr>
            <w:r w:rsidRPr="00491098">
              <w:rPr>
                <w:rFonts w:eastAsia="Calibri"/>
                <w:color w:val="000000"/>
                <w:lang w:val="fr-FR" w:eastAsia="en-GB"/>
              </w:rPr>
              <w:t xml:space="preserve">Le GCR a pris note, en les approuvant, des vues exprimées dans le </w:t>
            </w:r>
            <w:r w:rsidR="00FD34A2" w:rsidRPr="00491098">
              <w:rPr>
                <w:rFonts w:eastAsia="Calibri"/>
                <w:color w:val="000000"/>
                <w:lang w:val="fr-FR" w:eastAsia="en-GB"/>
              </w:rPr>
              <w:t>D</w:t>
            </w:r>
            <w:r w:rsidRPr="00491098">
              <w:rPr>
                <w:rFonts w:eastAsia="Calibri"/>
                <w:color w:val="000000"/>
                <w:lang w:val="fr-FR" w:eastAsia="en-GB"/>
              </w:rPr>
              <w:t>ocument RAG21/33, soumis par la délégation de la Chine.</w:t>
            </w:r>
            <w:r w:rsidR="00A22FB4" w:rsidRPr="00491098">
              <w:rPr>
                <w:rFonts w:eastAsia="Calibri"/>
                <w:color w:val="000000"/>
                <w:lang w:val="fr-FR" w:eastAsia="en-GB"/>
              </w:rPr>
              <w:t xml:space="preserve"> </w:t>
            </w:r>
            <w:r w:rsidRPr="00491098">
              <w:rPr>
                <w:rFonts w:eastAsia="Calibri"/>
                <w:color w:val="000000"/>
                <w:lang w:val="fr-FR" w:eastAsia="en-GB"/>
              </w:rPr>
              <w:t xml:space="preserve">Le GCR </w:t>
            </w:r>
            <w:r w:rsidR="00FD34A2" w:rsidRPr="00491098">
              <w:rPr>
                <w:rFonts w:eastAsia="Calibri"/>
                <w:color w:val="000000"/>
                <w:lang w:val="fr-FR" w:eastAsia="en-GB"/>
              </w:rPr>
              <w:t>s</w:t>
            </w:r>
            <w:r w:rsidR="00A22FB4" w:rsidRPr="00491098">
              <w:rPr>
                <w:rFonts w:eastAsia="Calibri"/>
                <w:color w:val="000000"/>
                <w:lang w:val="fr-FR" w:eastAsia="en-GB"/>
              </w:rPr>
              <w:t>'</w:t>
            </w:r>
            <w:r w:rsidR="00FD34A2" w:rsidRPr="00491098">
              <w:rPr>
                <w:rFonts w:eastAsia="Calibri"/>
                <w:color w:val="000000"/>
                <w:lang w:val="fr-FR" w:eastAsia="en-GB"/>
              </w:rPr>
              <w:t>est</w:t>
            </w:r>
            <w:r w:rsidRPr="00491098">
              <w:rPr>
                <w:rFonts w:eastAsia="Calibri"/>
                <w:color w:val="000000"/>
                <w:lang w:val="fr-FR" w:eastAsia="en-GB"/>
              </w:rPr>
              <w:t xml:space="preserve"> également </w:t>
            </w:r>
            <w:r w:rsidR="00FD34A2" w:rsidRPr="00491098">
              <w:rPr>
                <w:rFonts w:eastAsia="Calibri"/>
                <w:color w:val="000000"/>
                <w:lang w:val="fr-FR" w:eastAsia="en-GB"/>
              </w:rPr>
              <w:t>félicité d</w:t>
            </w:r>
            <w:r w:rsidRPr="00491098">
              <w:rPr>
                <w:rFonts w:eastAsia="Calibri"/>
                <w:color w:val="000000"/>
                <w:lang w:val="fr-FR" w:eastAsia="en-GB"/>
              </w:rPr>
              <w:t xml:space="preserve">es informations actualisées fournies par le Département des </w:t>
            </w:r>
            <w:r w:rsidR="00FD34A2" w:rsidRPr="00491098">
              <w:rPr>
                <w:color w:val="000000"/>
                <w:lang w:val="fr-FR"/>
              </w:rPr>
              <w:t>services informatiques</w:t>
            </w:r>
            <w:r w:rsidR="00FD34A2" w:rsidRPr="00491098">
              <w:rPr>
                <w:rFonts w:eastAsia="Calibri"/>
                <w:color w:val="000000"/>
                <w:lang w:val="fr-FR" w:eastAsia="en-GB"/>
              </w:rPr>
              <w:t xml:space="preserve"> </w:t>
            </w:r>
            <w:r w:rsidRPr="00491098">
              <w:rPr>
                <w:rFonts w:eastAsia="Calibri"/>
                <w:color w:val="000000"/>
                <w:lang w:val="fr-FR" w:eastAsia="en-GB"/>
              </w:rPr>
              <w:t>de l'UIT sur les différentes plates-formes virtuelles de l'UIT utilisées lors des réunions et</w:t>
            </w:r>
            <w:r w:rsidR="00A22FB4" w:rsidRPr="00491098">
              <w:rPr>
                <w:rFonts w:eastAsia="Calibri"/>
                <w:color w:val="000000"/>
                <w:lang w:val="fr-FR" w:eastAsia="en-GB"/>
              </w:rPr>
              <w:t xml:space="preserve"> </w:t>
            </w:r>
            <w:r w:rsidRPr="00491098">
              <w:rPr>
                <w:rFonts w:eastAsia="Calibri"/>
                <w:color w:val="000000"/>
                <w:lang w:val="fr-FR" w:eastAsia="en-GB"/>
              </w:rPr>
              <w:t>manifestations de l'U</w:t>
            </w:r>
            <w:r w:rsidR="005606D6" w:rsidRPr="00491098">
              <w:rPr>
                <w:rFonts w:eastAsia="Calibri"/>
                <w:color w:val="000000"/>
                <w:lang w:val="fr-FR" w:eastAsia="en-GB"/>
              </w:rPr>
              <w:t>nion</w:t>
            </w:r>
            <w:r w:rsidRPr="00491098">
              <w:rPr>
                <w:rFonts w:eastAsia="Calibri"/>
                <w:color w:val="000000"/>
                <w:lang w:val="fr-FR" w:eastAsia="en-GB"/>
              </w:rPr>
              <w:t xml:space="preserve">, notamment les capacités et les </w:t>
            </w:r>
            <w:r w:rsidR="00FD34A2" w:rsidRPr="00491098">
              <w:rPr>
                <w:rFonts w:eastAsia="Calibri"/>
                <w:color w:val="000000"/>
                <w:lang w:val="fr-FR" w:eastAsia="en-GB"/>
              </w:rPr>
              <w:t>fonctionnalités</w:t>
            </w:r>
            <w:r w:rsidRPr="00491098">
              <w:rPr>
                <w:rFonts w:eastAsia="Calibri"/>
                <w:color w:val="000000"/>
                <w:lang w:val="fr-FR" w:eastAsia="en-GB"/>
              </w:rPr>
              <w:t xml:space="preserve"> de chaque plate-forme et l'importance de disposer de plus</w:t>
            </w:r>
            <w:r w:rsidR="00FD34A2" w:rsidRPr="00491098">
              <w:rPr>
                <w:rFonts w:eastAsia="Calibri"/>
                <w:color w:val="000000"/>
                <w:lang w:val="fr-FR" w:eastAsia="en-GB"/>
              </w:rPr>
              <w:t>ieurs</w:t>
            </w:r>
            <w:r w:rsidRPr="00491098">
              <w:rPr>
                <w:rFonts w:eastAsia="Calibri"/>
                <w:color w:val="000000"/>
                <w:lang w:val="fr-FR" w:eastAsia="en-GB"/>
              </w:rPr>
              <w:t xml:space="preserve"> solution</w:t>
            </w:r>
            <w:r w:rsidR="00FD34A2" w:rsidRPr="00491098">
              <w:rPr>
                <w:rFonts w:eastAsia="Calibri"/>
                <w:color w:val="000000"/>
                <w:lang w:val="fr-FR" w:eastAsia="en-GB"/>
              </w:rPr>
              <w:t>s</w:t>
            </w:r>
            <w:r w:rsidRPr="00491098">
              <w:rPr>
                <w:rFonts w:eastAsia="Calibri"/>
                <w:color w:val="000000"/>
                <w:lang w:val="fr-FR" w:eastAsia="en-GB"/>
              </w:rPr>
              <w:t xml:space="preserve"> pour assurer la continuité des activités.</w:t>
            </w:r>
          </w:p>
          <w:p w14:paraId="084DBE71" w14:textId="5E6EA8A2" w:rsidR="00FD34A2" w:rsidRPr="00491098" w:rsidRDefault="00FD34A2" w:rsidP="00311D13">
            <w:pPr>
              <w:pStyle w:val="Tabletext"/>
              <w:jc w:val="both"/>
              <w:rPr>
                <w:lang w:val="fr-FR"/>
              </w:rPr>
            </w:pPr>
            <w:r w:rsidRPr="00491098">
              <w:rPr>
                <w:lang w:val="fr-FR"/>
              </w:rPr>
              <w:t xml:space="preserve">Certaines Administrations ont </w:t>
            </w:r>
            <w:r w:rsidR="00A566EA" w:rsidRPr="00491098">
              <w:rPr>
                <w:lang w:val="fr-FR"/>
              </w:rPr>
              <w:t>indiqué qu</w:t>
            </w:r>
            <w:r w:rsidR="00A22FB4" w:rsidRPr="00491098">
              <w:rPr>
                <w:lang w:val="fr-FR"/>
              </w:rPr>
              <w:t>'</w:t>
            </w:r>
            <w:r w:rsidR="00A566EA" w:rsidRPr="00491098">
              <w:rPr>
                <w:lang w:val="fr-FR"/>
              </w:rPr>
              <w:t>il serait utile de disposer</w:t>
            </w:r>
            <w:r w:rsidRPr="00491098">
              <w:rPr>
                <w:lang w:val="fr-FR"/>
              </w:rPr>
              <w:t xml:space="preserve"> d'une plate-forme commune à l'UIT</w:t>
            </w:r>
            <w:r w:rsidR="00A566EA" w:rsidRPr="00491098">
              <w:rPr>
                <w:lang w:val="fr-FR"/>
              </w:rPr>
              <w:t>,</w:t>
            </w:r>
            <w:r w:rsidRPr="00491098">
              <w:rPr>
                <w:lang w:val="fr-FR"/>
              </w:rPr>
              <w:t xml:space="preserve"> </w:t>
            </w:r>
            <w:r w:rsidR="00A566EA" w:rsidRPr="00491098">
              <w:rPr>
                <w:color w:val="000000"/>
                <w:lang w:val="fr-FR"/>
              </w:rPr>
              <w:t>dans un souci de cohérence,</w:t>
            </w:r>
            <w:r w:rsidR="00A566EA" w:rsidRPr="00491098">
              <w:rPr>
                <w:lang w:val="fr-FR"/>
              </w:rPr>
              <w:t xml:space="preserve"> </w:t>
            </w:r>
            <w:r w:rsidRPr="00491098">
              <w:rPr>
                <w:lang w:val="fr-FR"/>
              </w:rPr>
              <w:t xml:space="preserve">et </w:t>
            </w:r>
            <w:r w:rsidR="00A566EA" w:rsidRPr="00491098">
              <w:rPr>
                <w:lang w:val="fr-FR"/>
              </w:rPr>
              <w:t>qu</w:t>
            </w:r>
            <w:r w:rsidR="00A22FB4" w:rsidRPr="00491098">
              <w:rPr>
                <w:lang w:val="fr-FR"/>
              </w:rPr>
              <w:t>'</w:t>
            </w:r>
            <w:r w:rsidR="00A566EA" w:rsidRPr="00491098">
              <w:rPr>
                <w:lang w:val="fr-FR"/>
              </w:rPr>
              <w:t>il était nécessaire</w:t>
            </w:r>
            <w:r w:rsidRPr="00491098">
              <w:rPr>
                <w:lang w:val="fr-FR"/>
              </w:rPr>
              <w:t xml:space="preserve"> </w:t>
            </w:r>
            <w:r w:rsidR="00A566EA" w:rsidRPr="00491098">
              <w:rPr>
                <w:lang w:val="fr-FR"/>
              </w:rPr>
              <w:t>de réfléchir à la façon dont</w:t>
            </w:r>
            <w:r w:rsidRPr="00491098">
              <w:rPr>
                <w:lang w:val="fr-FR"/>
              </w:rPr>
              <w:t xml:space="preserve"> ces plates-formes continueront </w:t>
            </w:r>
            <w:r w:rsidR="00A566EA" w:rsidRPr="00491098">
              <w:rPr>
                <w:lang w:val="fr-FR"/>
              </w:rPr>
              <w:t>de</w:t>
            </w:r>
            <w:r w:rsidRPr="00491098">
              <w:rPr>
                <w:lang w:val="fr-FR"/>
              </w:rPr>
              <w:t xml:space="preserve"> faciliter </w:t>
            </w:r>
            <w:r w:rsidR="00A566EA" w:rsidRPr="00491098">
              <w:rPr>
                <w:lang w:val="fr-FR"/>
              </w:rPr>
              <w:t>les travaux</w:t>
            </w:r>
            <w:r w:rsidRPr="00491098">
              <w:rPr>
                <w:lang w:val="fr-FR"/>
              </w:rPr>
              <w:t xml:space="preserve"> après la pandémie.</w:t>
            </w:r>
          </w:p>
          <w:p w14:paraId="29ACD4DA" w14:textId="13DBB7BB" w:rsidR="00407B30" w:rsidRPr="00491098" w:rsidRDefault="00FD34A2" w:rsidP="00311D13">
            <w:pPr>
              <w:pStyle w:val="Tabletext"/>
              <w:jc w:val="both"/>
              <w:rPr>
                <w:rFonts w:eastAsia="Calibri"/>
                <w:color w:val="000000"/>
                <w:lang w:val="fr-FR" w:eastAsia="en-GB"/>
              </w:rPr>
            </w:pPr>
            <w:r w:rsidRPr="00491098">
              <w:rPr>
                <w:lang w:val="fr-FR"/>
              </w:rPr>
              <w:t xml:space="preserve">Le GCR a demandé au Directeur du BR de transmettre le </w:t>
            </w:r>
            <w:r w:rsidR="00A566EA" w:rsidRPr="00491098">
              <w:rPr>
                <w:lang w:val="fr-FR"/>
              </w:rPr>
              <w:t>D</w:t>
            </w:r>
            <w:r w:rsidRPr="00491098">
              <w:rPr>
                <w:lang w:val="fr-FR"/>
              </w:rPr>
              <w:t>ocument RAG21/</w:t>
            </w:r>
            <w:r w:rsidR="00A566EA" w:rsidRPr="00491098">
              <w:rPr>
                <w:lang w:val="fr-FR"/>
              </w:rPr>
              <w:t xml:space="preserve"> </w:t>
            </w:r>
            <w:r w:rsidRPr="00491098">
              <w:rPr>
                <w:lang w:val="fr-FR"/>
              </w:rPr>
              <w:t xml:space="preserve">33 au </w:t>
            </w:r>
            <w:r w:rsidR="00A566EA" w:rsidRPr="00491098">
              <w:rPr>
                <w:color w:val="000000"/>
                <w:lang w:val="fr-FR"/>
              </w:rPr>
              <w:t>Groupe spécialisé sur la plate-forme de participation à distance de l'UIT</w:t>
            </w:r>
            <w:r w:rsidR="00A22FB4" w:rsidRPr="00491098">
              <w:rPr>
                <w:lang w:val="fr-FR"/>
              </w:rPr>
              <w:t xml:space="preserve"> </w:t>
            </w:r>
            <w:r w:rsidR="007B1629" w:rsidRPr="00491098">
              <w:rPr>
                <w:lang w:val="fr-FR"/>
              </w:rPr>
              <w:t>et au</w:t>
            </w:r>
            <w:r w:rsidR="00A566EA" w:rsidRPr="00491098">
              <w:rPr>
                <w:lang w:val="fr-FR"/>
              </w:rPr>
              <w:t xml:space="preserve"> G</w:t>
            </w:r>
            <w:r w:rsidR="00A566EA" w:rsidRPr="00491098">
              <w:rPr>
                <w:color w:val="000000"/>
                <w:lang w:val="fr-FR"/>
              </w:rPr>
              <w:t>roupe</w:t>
            </w:r>
            <w:r w:rsidR="00A22FB4" w:rsidRPr="00491098">
              <w:rPr>
                <w:color w:val="000000"/>
                <w:lang w:val="fr-FR"/>
              </w:rPr>
              <w:t xml:space="preserve"> </w:t>
            </w:r>
            <w:r w:rsidR="00A566EA" w:rsidRPr="00491098">
              <w:rPr>
                <w:color w:val="000000"/>
                <w:lang w:val="fr-FR"/>
              </w:rPr>
              <w:t>spécial chargé</w:t>
            </w:r>
            <w:r w:rsidR="00A22FB4" w:rsidRPr="00491098">
              <w:rPr>
                <w:color w:val="000000"/>
                <w:lang w:val="fr-FR"/>
              </w:rPr>
              <w:t xml:space="preserve"> </w:t>
            </w:r>
            <w:r w:rsidR="00A566EA" w:rsidRPr="00491098">
              <w:rPr>
                <w:color w:val="000000"/>
                <w:lang w:val="fr-FR"/>
              </w:rPr>
              <w:t>de la coordination intersectorielle</w:t>
            </w:r>
            <w:r w:rsidR="00A22FB4" w:rsidRPr="00491098">
              <w:rPr>
                <w:lang w:val="fr-FR"/>
              </w:rPr>
              <w:t xml:space="preserve"> </w:t>
            </w:r>
            <w:r w:rsidRPr="00491098">
              <w:rPr>
                <w:lang w:val="fr-FR"/>
              </w:rPr>
              <w:t>de l'UIT, et de présenter de</w:t>
            </w:r>
            <w:r w:rsidR="00A566EA" w:rsidRPr="00491098">
              <w:rPr>
                <w:lang w:val="fr-FR"/>
              </w:rPr>
              <w:t>s</w:t>
            </w:r>
            <w:r w:rsidR="00A22FB4" w:rsidRPr="00491098">
              <w:rPr>
                <w:lang w:val="fr-FR"/>
              </w:rPr>
              <w:t xml:space="preserve"> </w:t>
            </w:r>
            <w:r w:rsidRPr="00491098">
              <w:rPr>
                <w:lang w:val="fr-FR"/>
              </w:rPr>
              <w:t>informations</w:t>
            </w:r>
            <w:r w:rsidR="00A566EA" w:rsidRPr="00491098">
              <w:rPr>
                <w:lang w:val="fr-FR"/>
              </w:rPr>
              <w:t xml:space="preserve"> plus détaillées</w:t>
            </w:r>
            <w:r w:rsidRPr="00491098">
              <w:rPr>
                <w:lang w:val="fr-FR"/>
              </w:rPr>
              <w:t xml:space="preserve"> sur les plates-formes à distance lors de la prochaine réunion du GCR.</w:t>
            </w:r>
            <w:r w:rsidR="007B1629" w:rsidRPr="00491098">
              <w:rPr>
                <w:rFonts w:eastAsia="Calibri"/>
                <w:color w:val="000000"/>
                <w:lang w:val="fr-FR" w:eastAsia="en-GB"/>
              </w:rPr>
              <w:t xml:space="preserve"> </w:t>
            </w:r>
          </w:p>
        </w:tc>
      </w:tr>
      <w:tr w:rsidR="00407B30" w:rsidRPr="00F8073F" w14:paraId="62C40296" w14:textId="77777777" w:rsidTr="004269AD">
        <w:trPr>
          <w:jc w:val="center"/>
        </w:trPr>
        <w:tc>
          <w:tcPr>
            <w:tcW w:w="339" w:type="pct"/>
          </w:tcPr>
          <w:p w14:paraId="398FF04C" w14:textId="14A42437" w:rsidR="00407B30" w:rsidRPr="00491098" w:rsidRDefault="00407B30" w:rsidP="00311D13">
            <w:pPr>
              <w:pStyle w:val="Tabletext"/>
              <w:jc w:val="both"/>
              <w:rPr>
                <w:lang w:val="fr-FR" w:eastAsia="en-GB"/>
              </w:rPr>
            </w:pPr>
            <w:r w:rsidRPr="00491098">
              <w:rPr>
                <w:lang w:val="fr-FR" w:eastAsia="en-GB"/>
              </w:rPr>
              <w:t>4</w:t>
            </w:r>
          </w:p>
        </w:tc>
        <w:tc>
          <w:tcPr>
            <w:tcW w:w="865" w:type="pct"/>
          </w:tcPr>
          <w:p w14:paraId="780DFEC9" w14:textId="29150DBC" w:rsidR="00407B30" w:rsidRPr="00491098" w:rsidRDefault="00820201" w:rsidP="00900C6D">
            <w:pPr>
              <w:pStyle w:val="Tabletext"/>
              <w:rPr>
                <w:color w:val="000000"/>
                <w:shd w:val="clear" w:color="auto" w:fill="FFFFFF"/>
                <w:lang w:val="fr-FR" w:eastAsia="en-GB"/>
              </w:rPr>
            </w:pPr>
            <w:r w:rsidRPr="00491098">
              <w:rPr>
                <w:color w:val="000000"/>
                <w:shd w:val="clear" w:color="auto" w:fill="FFFFFF"/>
                <w:lang w:val="fr-FR" w:eastAsia="en-GB"/>
              </w:rPr>
              <w:t>Mise en œuvre des décisions de la CMR-19</w:t>
            </w:r>
          </w:p>
          <w:p w14:paraId="0A164D6E" w14:textId="52C174F9" w:rsidR="00725647" w:rsidRPr="00491098" w:rsidRDefault="00725647" w:rsidP="00900C6D">
            <w:pPr>
              <w:pStyle w:val="Tabletext"/>
              <w:spacing w:before="120" w:after="0"/>
              <w:rPr>
                <w:iCs/>
                <w:lang w:val="fr-FR"/>
              </w:rPr>
            </w:pPr>
            <w:r w:rsidRPr="00491098">
              <w:rPr>
                <w:iCs/>
                <w:lang w:val="fr-FR"/>
              </w:rPr>
              <w:t xml:space="preserve">Document du </w:t>
            </w:r>
            <w:proofErr w:type="gramStart"/>
            <w:r w:rsidRPr="00491098">
              <w:rPr>
                <w:iCs/>
                <w:lang w:val="fr-FR"/>
              </w:rPr>
              <w:t>GCR:</w:t>
            </w:r>
            <w:proofErr w:type="gramEnd"/>
          </w:p>
          <w:p w14:paraId="62026C79" w14:textId="3CDAAF63" w:rsidR="00407B30" w:rsidRPr="00491098" w:rsidRDefault="00407B30" w:rsidP="00900C6D">
            <w:pPr>
              <w:pStyle w:val="Tabletext"/>
              <w:spacing w:before="0"/>
              <w:rPr>
                <w:rFonts w:cs="Arial"/>
                <w:color w:val="000000"/>
                <w:lang w:val="fr-FR" w:eastAsia="en-GB"/>
              </w:rPr>
            </w:pPr>
            <w:r w:rsidRPr="00491098">
              <w:rPr>
                <w:color w:val="000000"/>
                <w:shd w:val="clear" w:color="auto" w:fill="FFFFFF"/>
                <w:lang w:val="fr-FR" w:eastAsia="en-GB"/>
              </w:rPr>
              <w:t>26</w:t>
            </w:r>
            <w:r w:rsidR="00A22FB4" w:rsidRPr="00491098">
              <w:rPr>
                <w:lang w:val="fr-FR" w:eastAsia="en-GB"/>
              </w:rPr>
              <w:t xml:space="preserve"> </w:t>
            </w:r>
          </w:p>
        </w:tc>
        <w:tc>
          <w:tcPr>
            <w:tcW w:w="3796" w:type="pct"/>
          </w:tcPr>
          <w:p w14:paraId="49746044" w14:textId="68CE398F" w:rsidR="00407B30" w:rsidRPr="00491098" w:rsidRDefault="007B1629" w:rsidP="00311D13">
            <w:pPr>
              <w:pStyle w:val="Tabletext"/>
              <w:jc w:val="both"/>
              <w:rPr>
                <w:rFonts w:cs="Arial"/>
                <w:lang w:val="fr-FR" w:eastAsia="en-GB"/>
              </w:rPr>
            </w:pPr>
            <w:r w:rsidRPr="00491098">
              <w:rPr>
                <w:rFonts w:cs="Arial"/>
                <w:lang w:val="fr-FR" w:eastAsia="en-GB"/>
              </w:rPr>
              <w:t>Le GCR a pris note du rapport sur les incidences financières des décisions de la CMR-19 et du fait que le financement de tous les projets de conception de logiciels</w:t>
            </w:r>
            <w:r w:rsidR="00A22FB4" w:rsidRPr="00491098">
              <w:rPr>
                <w:rFonts w:cs="Arial"/>
                <w:lang w:val="fr-FR" w:eastAsia="en-GB"/>
              </w:rPr>
              <w:t xml:space="preserve"> </w:t>
            </w:r>
            <w:r w:rsidRPr="00491098">
              <w:rPr>
                <w:rFonts w:cs="Arial"/>
                <w:lang w:val="fr-FR" w:eastAsia="en-GB"/>
              </w:rPr>
              <w:t xml:space="preserve">était assuré au titre de </w:t>
            </w:r>
            <w:r w:rsidRPr="00491098">
              <w:rPr>
                <w:color w:val="000000"/>
                <w:lang w:val="fr-FR"/>
              </w:rPr>
              <w:t xml:space="preserve">l'excédent découlant de la mise en œuvre du budget </w:t>
            </w:r>
            <w:r w:rsidRPr="00491098">
              <w:rPr>
                <w:rFonts w:cs="Arial"/>
                <w:lang w:val="fr-FR" w:eastAsia="en-GB"/>
              </w:rPr>
              <w:t>pou</w:t>
            </w:r>
            <w:r w:rsidR="00D95812">
              <w:rPr>
                <w:rFonts w:cs="Arial"/>
                <w:lang w:val="fr-FR" w:eastAsia="en-GB"/>
              </w:rPr>
              <w:t>r 2020 prévu par le </w:t>
            </w:r>
            <w:r w:rsidRPr="00491098">
              <w:rPr>
                <w:rFonts w:cs="Arial"/>
                <w:lang w:val="fr-FR" w:eastAsia="en-GB"/>
              </w:rPr>
              <w:t>BR</w:t>
            </w:r>
            <w:r w:rsidR="00A22FB4" w:rsidRPr="00491098">
              <w:rPr>
                <w:rFonts w:cs="Arial"/>
                <w:lang w:val="fr-FR" w:eastAsia="en-GB"/>
              </w:rPr>
              <w:t>,</w:t>
            </w:r>
            <w:r w:rsidRPr="00491098">
              <w:rPr>
                <w:rFonts w:cs="Arial"/>
                <w:lang w:val="fr-FR" w:eastAsia="en-GB"/>
              </w:rPr>
              <w:t xml:space="preserve"> par suite de l'annulation de missions et des réunions physiques de l'UIT-R.</w:t>
            </w:r>
          </w:p>
          <w:p w14:paraId="4C49E946" w14:textId="4C317081" w:rsidR="007B1629" w:rsidRPr="00491098" w:rsidRDefault="007B1629" w:rsidP="00311D13">
            <w:pPr>
              <w:pStyle w:val="Tabletext"/>
              <w:jc w:val="both"/>
              <w:rPr>
                <w:rFonts w:cs="Arial"/>
                <w:lang w:val="fr-FR" w:eastAsia="en-GB"/>
              </w:rPr>
            </w:pPr>
            <w:r w:rsidRPr="00491098">
              <w:rPr>
                <w:rFonts w:cs="Arial"/>
                <w:lang w:val="fr-FR" w:eastAsia="en-GB"/>
              </w:rPr>
              <w:t>En outre, le GCR a</w:t>
            </w:r>
            <w:r w:rsidR="00A22FB4" w:rsidRPr="00491098">
              <w:rPr>
                <w:rFonts w:cs="Arial"/>
                <w:lang w:val="fr-FR" w:eastAsia="en-GB"/>
              </w:rPr>
              <w:t xml:space="preserve"> </w:t>
            </w:r>
            <w:r w:rsidRPr="00491098">
              <w:rPr>
                <w:rFonts w:cs="Arial"/>
                <w:lang w:val="fr-FR" w:eastAsia="en-GB"/>
              </w:rPr>
              <w:t xml:space="preserve">noté que </w:t>
            </w:r>
            <w:r w:rsidR="00F91D8C" w:rsidRPr="00491098">
              <w:rPr>
                <w:rFonts w:cs="Arial"/>
                <w:lang w:val="fr-FR" w:eastAsia="en-GB"/>
              </w:rPr>
              <w:t xml:space="preserve">les </w:t>
            </w:r>
            <w:r w:rsidR="005D3EFF" w:rsidRPr="00491098">
              <w:rPr>
                <w:rFonts w:cs="Arial"/>
                <w:lang w:val="fr-FR" w:eastAsia="en-GB"/>
              </w:rPr>
              <w:t>crédits</w:t>
            </w:r>
            <w:r w:rsidRPr="00491098">
              <w:rPr>
                <w:rFonts w:cs="Arial"/>
                <w:lang w:val="fr-FR" w:eastAsia="en-GB"/>
              </w:rPr>
              <w:t xml:space="preserve"> destiné</w:t>
            </w:r>
            <w:r w:rsidR="00F91D8C" w:rsidRPr="00491098">
              <w:rPr>
                <w:rFonts w:cs="Arial"/>
                <w:lang w:val="fr-FR" w:eastAsia="en-GB"/>
              </w:rPr>
              <w:t>s</w:t>
            </w:r>
            <w:r w:rsidRPr="00491098">
              <w:rPr>
                <w:rFonts w:cs="Arial"/>
                <w:lang w:val="fr-FR" w:eastAsia="en-GB"/>
              </w:rPr>
              <w:t xml:space="preserve"> à couvrir </w:t>
            </w:r>
            <w:r w:rsidR="00415B3F" w:rsidRPr="00491098">
              <w:rPr>
                <w:rFonts w:cs="Arial"/>
                <w:lang w:val="fr-FR" w:eastAsia="en-GB"/>
              </w:rPr>
              <w:t>les</w:t>
            </w:r>
            <w:r w:rsidR="005D3EFF" w:rsidRPr="00491098">
              <w:rPr>
                <w:rFonts w:cs="Arial"/>
                <w:lang w:val="fr-FR" w:eastAsia="en-GB"/>
              </w:rPr>
              <w:t xml:space="preserve"> coûts estimatifs, calculés</w:t>
            </w:r>
            <w:r w:rsidRPr="00491098">
              <w:rPr>
                <w:rFonts w:cs="Arial"/>
                <w:lang w:val="fr-FR" w:eastAsia="en-GB"/>
              </w:rPr>
              <w:t xml:space="preserve"> par la CMR-19</w:t>
            </w:r>
            <w:r w:rsidR="005D3EFF" w:rsidRPr="00491098">
              <w:rPr>
                <w:rFonts w:cs="Arial"/>
                <w:lang w:val="fr-FR" w:eastAsia="en-GB"/>
              </w:rPr>
              <w:t xml:space="preserve">, </w:t>
            </w:r>
            <w:r w:rsidR="00F91D8C" w:rsidRPr="00491098">
              <w:rPr>
                <w:rFonts w:cs="Arial"/>
                <w:lang w:val="fr-FR" w:eastAsia="en-GB"/>
              </w:rPr>
              <w:t>afférents à la</w:t>
            </w:r>
            <w:r w:rsidRPr="00491098">
              <w:rPr>
                <w:rFonts w:cs="Arial"/>
                <w:lang w:val="fr-FR" w:eastAsia="en-GB"/>
              </w:rPr>
              <w:t xml:space="preserve"> préparation de certains points de l'ordre du jour de la CMR</w:t>
            </w:r>
            <w:r w:rsidR="00F91D8C" w:rsidRPr="00491098">
              <w:rPr>
                <w:rFonts w:cs="Arial"/>
                <w:lang w:val="fr-FR" w:eastAsia="en-GB"/>
              </w:rPr>
              <w:t>-</w:t>
            </w:r>
            <w:r w:rsidRPr="00491098">
              <w:rPr>
                <w:rFonts w:cs="Arial"/>
                <w:lang w:val="fr-FR" w:eastAsia="en-GB"/>
              </w:rPr>
              <w:t>23 devrai</w:t>
            </w:r>
            <w:r w:rsidR="00F91D8C" w:rsidRPr="00491098">
              <w:rPr>
                <w:rFonts w:cs="Arial"/>
                <w:lang w:val="fr-FR" w:eastAsia="en-GB"/>
              </w:rPr>
              <w:t>en</w:t>
            </w:r>
            <w:r w:rsidRPr="00491098">
              <w:rPr>
                <w:rFonts w:cs="Arial"/>
                <w:lang w:val="fr-FR" w:eastAsia="en-GB"/>
              </w:rPr>
              <w:t xml:space="preserve">t être </w:t>
            </w:r>
            <w:r w:rsidR="00F91D8C" w:rsidRPr="00491098">
              <w:rPr>
                <w:rFonts w:cs="Arial"/>
                <w:lang w:val="fr-FR" w:eastAsia="en-GB"/>
              </w:rPr>
              <w:t>obtenus</w:t>
            </w:r>
            <w:r w:rsidRPr="00491098">
              <w:rPr>
                <w:rFonts w:cs="Arial"/>
                <w:lang w:val="fr-FR" w:eastAsia="en-GB"/>
              </w:rPr>
              <w:t xml:space="preserve"> sur la base des informations</w:t>
            </w:r>
            <w:r w:rsidR="00F91D8C" w:rsidRPr="00491098">
              <w:rPr>
                <w:rFonts w:cs="Arial"/>
                <w:lang w:val="fr-FR" w:eastAsia="en-GB"/>
              </w:rPr>
              <w:t xml:space="preserve"> a</w:t>
            </w:r>
            <w:r w:rsidR="005D3EFF" w:rsidRPr="00491098">
              <w:rPr>
                <w:rFonts w:cs="Arial"/>
                <w:lang w:val="fr-FR" w:eastAsia="en-GB"/>
              </w:rPr>
              <w:t>d</w:t>
            </w:r>
            <w:r w:rsidR="00F91D8C" w:rsidRPr="00491098">
              <w:rPr>
                <w:rFonts w:cs="Arial"/>
                <w:lang w:val="fr-FR" w:eastAsia="en-GB"/>
              </w:rPr>
              <w:t>ditionnelles</w:t>
            </w:r>
            <w:r w:rsidRPr="00491098">
              <w:rPr>
                <w:rFonts w:cs="Arial"/>
                <w:lang w:val="fr-FR" w:eastAsia="en-GB"/>
              </w:rPr>
              <w:t xml:space="preserve"> </w:t>
            </w:r>
            <w:r w:rsidR="005D3EFF" w:rsidRPr="00491098">
              <w:rPr>
                <w:rFonts w:cs="Arial"/>
                <w:lang w:val="fr-FR" w:eastAsia="en-GB"/>
              </w:rPr>
              <w:t xml:space="preserve">que fournira </w:t>
            </w:r>
            <w:r w:rsidRPr="00491098">
              <w:rPr>
                <w:rFonts w:cs="Arial"/>
                <w:lang w:val="fr-FR" w:eastAsia="en-GB"/>
              </w:rPr>
              <w:t xml:space="preserve">le BR, </w:t>
            </w:r>
            <w:r w:rsidRPr="00491098">
              <w:rPr>
                <w:rFonts w:cs="Arial"/>
                <w:lang w:val="fr-FR" w:eastAsia="en-GB"/>
              </w:rPr>
              <w:lastRenderedPageBreak/>
              <w:t>comme</w:t>
            </w:r>
            <w:r w:rsidR="00A22FB4" w:rsidRPr="00491098">
              <w:rPr>
                <w:rFonts w:cs="Arial"/>
                <w:lang w:val="fr-FR" w:eastAsia="en-GB"/>
              </w:rPr>
              <w:t xml:space="preserve"> </w:t>
            </w:r>
            <w:r w:rsidR="00F91D8C" w:rsidRPr="00491098">
              <w:rPr>
                <w:rFonts w:cs="Arial"/>
                <w:lang w:val="fr-FR" w:eastAsia="en-GB"/>
              </w:rPr>
              <w:t xml:space="preserve">indiqué </w:t>
            </w:r>
            <w:r w:rsidRPr="00491098">
              <w:rPr>
                <w:rFonts w:cs="Arial"/>
                <w:lang w:val="fr-FR" w:eastAsia="en-GB"/>
              </w:rPr>
              <w:t>ci-dessous.</w:t>
            </w:r>
            <w:r w:rsidR="00A22FB4" w:rsidRPr="00491098">
              <w:rPr>
                <w:rFonts w:cs="Arial"/>
                <w:lang w:val="fr-FR" w:eastAsia="en-GB"/>
              </w:rPr>
              <w:t xml:space="preserve"> </w:t>
            </w:r>
            <w:r w:rsidRPr="00491098">
              <w:rPr>
                <w:rFonts w:cs="Arial"/>
                <w:lang w:val="fr-FR" w:eastAsia="en-GB"/>
              </w:rPr>
              <w:t xml:space="preserve">Le GCR a noté que les besoins budgétaires </w:t>
            </w:r>
            <w:r w:rsidR="005D3EFF" w:rsidRPr="00491098">
              <w:rPr>
                <w:rFonts w:cs="Arial"/>
                <w:lang w:val="fr-FR" w:eastAsia="en-GB"/>
              </w:rPr>
              <w:t>liés à</w:t>
            </w:r>
            <w:r w:rsidRPr="00491098">
              <w:rPr>
                <w:rFonts w:cs="Arial"/>
                <w:lang w:val="fr-FR" w:eastAsia="en-GB"/>
              </w:rPr>
              <w:t xml:space="preserve"> la préparation de ces points</w:t>
            </w:r>
            <w:r w:rsidR="00A22FB4" w:rsidRPr="00491098">
              <w:rPr>
                <w:rFonts w:cs="Arial"/>
                <w:lang w:val="fr-FR" w:eastAsia="en-GB"/>
              </w:rPr>
              <w:t xml:space="preserve"> </w:t>
            </w:r>
            <w:r w:rsidR="005D3EFF" w:rsidRPr="00491098">
              <w:rPr>
                <w:rFonts w:cs="Arial"/>
                <w:lang w:val="fr-FR" w:eastAsia="en-GB"/>
              </w:rPr>
              <w:t>particuliers</w:t>
            </w:r>
            <w:r w:rsidRPr="00491098">
              <w:rPr>
                <w:rFonts w:cs="Arial"/>
                <w:lang w:val="fr-FR" w:eastAsia="en-GB"/>
              </w:rPr>
              <w:t xml:space="preserve"> de l'ordre du jour de la CMR</w:t>
            </w:r>
            <w:r w:rsidR="005D3EFF" w:rsidRPr="00491098">
              <w:rPr>
                <w:rFonts w:cs="Arial"/>
                <w:lang w:val="fr-FR" w:eastAsia="en-GB"/>
              </w:rPr>
              <w:t>-</w:t>
            </w:r>
            <w:r w:rsidRPr="00491098">
              <w:rPr>
                <w:rFonts w:cs="Arial"/>
                <w:lang w:val="fr-FR" w:eastAsia="en-GB"/>
              </w:rPr>
              <w:t>23 devr</w:t>
            </w:r>
            <w:r w:rsidR="005D3EFF" w:rsidRPr="00491098">
              <w:rPr>
                <w:rFonts w:cs="Arial"/>
                <w:lang w:val="fr-FR" w:eastAsia="en-GB"/>
              </w:rPr>
              <w:t>aie</w:t>
            </w:r>
            <w:r w:rsidRPr="00491098">
              <w:rPr>
                <w:rFonts w:cs="Arial"/>
                <w:lang w:val="fr-FR" w:eastAsia="en-GB"/>
              </w:rPr>
              <w:t xml:space="preserve">nt être </w:t>
            </w:r>
            <w:r w:rsidR="005D3EFF" w:rsidRPr="00491098">
              <w:rPr>
                <w:rFonts w:cs="Arial"/>
                <w:lang w:val="fr-FR" w:eastAsia="en-GB"/>
              </w:rPr>
              <w:t xml:space="preserve">modifiés </w:t>
            </w:r>
            <w:r w:rsidRPr="00491098">
              <w:rPr>
                <w:rFonts w:cs="Arial"/>
                <w:lang w:val="fr-FR" w:eastAsia="en-GB"/>
              </w:rPr>
              <w:t xml:space="preserve">à </w:t>
            </w:r>
            <w:r w:rsidR="005D3EFF" w:rsidRPr="00491098">
              <w:rPr>
                <w:rFonts w:cs="Arial"/>
                <w:lang w:val="fr-FR" w:eastAsia="en-GB"/>
              </w:rPr>
              <w:t>terme</w:t>
            </w:r>
            <w:r w:rsidRPr="00491098">
              <w:rPr>
                <w:rFonts w:cs="Arial"/>
                <w:lang w:val="fr-FR" w:eastAsia="en-GB"/>
              </w:rPr>
              <w:t>, lorsque la date de retour aux réunions physiques sera connue.</w:t>
            </w:r>
            <w:r w:rsidR="00A22FB4" w:rsidRPr="00491098">
              <w:rPr>
                <w:rFonts w:cs="Arial"/>
                <w:lang w:val="fr-FR" w:eastAsia="en-GB"/>
              </w:rPr>
              <w:t xml:space="preserve"> </w:t>
            </w:r>
            <w:r w:rsidRPr="00491098">
              <w:rPr>
                <w:rFonts w:cs="Arial"/>
                <w:lang w:val="fr-FR" w:eastAsia="en-GB"/>
              </w:rPr>
              <w:t xml:space="preserve">Il a également été </w:t>
            </w:r>
            <w:r w:rsidR="005D3EFF" w:rsidRPr="00491098">
              <w:rPr>
                <w:rFonts w:cs="Arial"/>
                <w:lang w:val="fr-FR" w:eastAsia="en-GB"/>
              </w:rPr>
              <w:t>admis</w:t>
            </w:r>
            <w:r w:rsidRPr="00491098">
              <w:rPr>
                <w:rFonts w:cs="Arial"/>
                <w:lang w:val="fr-FR" w:eastAsia="en-GB"/>
              </w:rPr>
              <w:t xml:space="preserve"> </w:t>
            </w:r>
            <w:r w:rsidR="005D3EFF" w:rsidRPr="00491098">
              <w:rPr>
                <w:rFonts w:cs="Arial"/>
                <w:lang w:val="fr-FR" w:eastAsia="en-GB"/>
              </w:rPr>
              <w:t>que ces</w:t>
            </w:r>
            <w:r w:rsidRPr="00491098">
              <w:rPr>
                <w:rFonts w:cs="Arial"/>
                <w:lang w:val="fr-FR" w:eastAsia="en-GB"/>
              </w:rPr>
              <w:t xml:space="preserve"> points de l'ordre du jour</w:t>
            </w:r>
            <w:r w:rsidR="005D3EFF" w:rsidRPr="00491098">
              <w:rPr>
                <w:rFonts w:cs="Arial"/>
                <w:lang w:val="fr-FR" w:eastAsia="en-GB"/>
              </w:rPr>
              <w:t xml:space="preserve"> étaient complexes</w:t>
            </w:r>
            <w:r w:rsidRPr="00491098">
              <w:rPr>
                <w:rFonts w:cs="Arial"/>
                <w:lang w:val="fr-FR" w:eastAsia="en-GB"/>
              </w:rPr>
              <w:t>, que certain</w:t>
            </w:r>
            <w:r w:rsidR="005D3EFF" w:rsidRPr="00491098">
              <w:rPr>
                <w:rFonts w:cs="Arial"/>
                <w:lang w:val="fr-FR" w:eastAsia="en-GB"/>
              </w:rPr>
              <w:t>e</w:t>
            </w:r>
            <w:r w:rsidRPr="00491098">
              <w:rPr>
                <w:rFonts w:cs="Arial"/>
                <w:lang w:val="fr-FR" w:eastAsia="en-GB"/>
              </w:rPr>
              <w:t xml:space="preserve">s </w:t>
            </w:r>
            <w:r w:rsidR="005D3EFF" w:rsidRPr="00491098">
              <w:rPr>
                <w:rFonts w:cs="Arial"/>
                <w:lang w:val="fr-FR" w:eastAsia="en-GB"/>
              </w:rPr>
              <w:t>CE</w:t>
            </w:r>
            <w:r w:rsidRPr="00491098">
              <w:rPr>
                <w:rFonts w:cs="Arial"/>
                <w:lang w:val="fr-FR" w:eastAsia="en-GB"/>
              </w:rPr>
              <w:t>/</w:t>
            </w:r>
            <w:r w:rsidR="005D3EFF" w:rsidRPr="00491098">
              <w:rPr>
                <w:rFonts w:cs="Arial"/>
                <w:lang w:val="fr-FR" w:eastAsia="en-GB"/>
              </w:rPr>
              <w:t>certains GT</w:t>
            </w:r>
            <w:r w:rsidRPr="00491098">
              <w:rPr>
                <w:rFonts w:cs="Arial"/>
                <w:lang w:val="fr-FR" w:eastAsia="en-GB"/>
              </w:rPr>
              <w:t xml:space="preserve"> </w:t>
            </w:r>
            <w:r w:rsidR="005D3EFF" w:rsidRPr="00491098">
              <w:rPr>
                <w:rFonts w:cs="Arial"/>
                <w:lang w:val="fr-FR" w:eastAsia="en-GB"/>
              </w:rPr>
              <w:t>avaie</w:t>
            </w:r>
            <w:r w:rsidRPr="00491098">
              <w:rPr>
                <w:rFonts w:cs="Arial"/>
                <w:lang w:val="fr-FR" w:eastAsia="en-GB"/>
              </w:rPr>
              <w:t>nt</w:t>
            </w:r>
            <w:r w:rsidR="00A22FB4" w:rsidRPr="00491098">
              <w:rPr>
                <w:rFonts w:cs="Arial"/>
                <w:lang w:val="fr-FR" w:eastAsia="en-GB"/>
              </w:rPr>
              <w:t xml:space="preserve"> </w:t>
            </w:r>
            <w:r w:rsidR="005D3EFF" w:rsidRPr="00491098">
              <w:rPr>
                <w:rFonts w:cs="Arial"/>
                <w:lang w:val="fr-FR" w:eastAsia="en-GB"/>
              </w:rPr>
              <w:t>créé</w:t>
            </w:r>
            <w:r w:rsidRPr="00491098">
              <w:rPr>
                <w:rFonts w:cs="Arial"/>
                <w:lang w:val="fr-FR" w:eastAsia="en-GB"/>
              </w:rPr>
              <w:t xml:space="preserve"> de nombreux groupes de </w:t>
            </w:r>
            <w:r w:rsidR="005D3EFF" w:rsidRPr="00491098">
              <w:rPr>
                <w:rFonts w:cs="Arial"/>
                <w:lang w:val="fr-FR" w:eastAsia="en-GB"/>
              </w:rPr>
              <w:t xml:space="preserve">travail par </w:t>
            </w:r>
            <w:r w:rsidRPr="00491098">
              <w:rPr>
                <w:rFonts w:cs="Arial"/>
                <w:lang w:val="fr-FR" w:eastAsia="en-GB"/>
              </w:rPr>
              <w:t>correspondance pour</w:t>
            </w:r>
            <w:r w:rsidR="005D3EFF" w:rsidRPr="00491098">
              <w:rPr>
                <w:rFonts w:cs="Arial"/>
                <w:lang w:val="fr-FR" w:eastAsia="en-GB"/>
              </w:rPr>
              <w:t xml:space="preserve"> examiner les</w:t>
            </w:r>
            <w:r w:rsidRPr="00491098">
              <w:rPr>
                <w:rFonts w:cs="Arial"/>
                <w:lang w:val="fr-FR" w:eastAsia="en-GB"/>
              </w:rPr>
              <w:t xml:space="preserve"> aspects de ces points</w:t>
            </w:r>
            <w:r w:rsidR="005D3EFF" w:rsidRPr="00491098">
              <w:rPr>
                <w:rFonts w:cs="Arial"/>
                <w:lang w:val="fr-FR" w:eastAsia="en-GB"/>
              </w:rPr>
              <w:t xml:space="preserve"> de l'ordre du jour</w:t>
            </w:r>
            <w:r w:rsidR="009B0D86" w:rsidRPr="00491098">
              <w:rPr>
                <w:rFonts w:cs="Arial"/>
                <w:lang w:val="fr-FR" w:eastAsia="en-GB"/>
              </w:rPr>
              <w:t xml:space="preserve"> qui les concernent</w:t>
            </w:r>
            <w:r w:rsidRPr="00491098">
              <w:rPr>
                <w:rFonts w:cs="Arial"/>
                <w:lang w:val="fr-FR" w:eastAsia="en-GB"/>
              </w:rPr>
              <w:t>, et que les caractéristiques d</w:t>
            </w:r>
            <w:r w:rsidR="009B0D86" w:rsidRPr="00491098">
              <w:rPr>
                <w:rFonts w:cs="Arial"/>
                <w:lang w:val="fr-FR" w:eastAsia="en-GB"/>
              </w:rPr>
              <w:t>e</w:t>
            </w:r>
            <w:r w:rsidRPr="00491098">
              <w:rPr>
                <w:rFonts w:cs="Arial"/>
                <w:lang w:val="fr-FR" w:eastAsia="en-GB"/>
              </w:rPr>
              <w:t xml:space="preserve"> système </w:t>
            </w:r>
            <w:r w:rsidR="009B0D86" w:rsidRPr="00491098">
              <w:rPr>
                <w:rFonts w:cs="Arial"/>
                <w:lang w:val="fr-FR" w:eastAsia="en-GB"/>
              </w:rPr>
              <w:t>aux fins des</w:t>
            </w:r>
            <w:r w:rsidRPr="00491098">
              <w:rPr>
                <w:rFonts w:cs="Arial"/>
                <w:lang w:val="fr-FR" w:eastAsia="en-GB"/>
              </w:rPr>
              <w:t xml:space="preserve"> études connexes </w:t>
            </w:r>
            <w:r w:rsidR="009B0D86" w:rsidRPr="00491098">
              <w:rPr>
                <w:rFonts w:cs="Arial"/>
                <w:lang w:val="fr-FR" w:eastAsia="en-GB"/>
              </w:rPr>
              <w:t>devaient être définies</w:t>
            </w:r>
            <w:r w:rsidRPr="00491098">
              <w:rPr>
                <w:rFonts w:cs="Arial"/>
                <w:lang w:val="fr-FR" w:eastAsia="en-GB"/>
              </w:rPr>
              <w:t xml:space="preserve"> à la mi-2021.</w:t>
            </w:r>
            <w:r w:rsidR="00A22FB4" w:rsidRPr="00491098">
              <w:rPr>
                <w:rFonts w:cs="Arial"/>
                <w:lang w:val="fr-FR" w:eastAsia="en-GB"/>
              </w:rPr>
              <w:t xml:space="preserve"> </w:t>
            </w:r>
            <w:r w:rsidR="009B0D86" w:rsidRPr="00491098">
              <w:rPr>
                <w:rFonts w:cs="Arial"/>
                <w:lang w:val="fr-FR" w:eastAsia="en-GB"/>
              </w:rPr>
              <w:t>En</w:t>
            </w:r>
            <w:r w:rsidRPr="00491098">
              <w:rPr>
                <w:rFonts w:cs="Arial"/>
                <w:lang w:val="fr-FR" w:eastAsia="en-GB"/>
              </w:rPr>
              <w:t xml:space="preserve"> conséquen</w:t>
            </w:r>
            <w:r w:rsidR="009B0D86" w:rsidRPr="00491098">
              <w:rPr>
                <w:rFonts w:cs="Arial"/>
                <w:lang w:val="fr-FR" w:eastAsia="en-GB"/>
              </w:rPr>
              <w:t>ce</w:t>
            </w:r>
            <w:r w:rsidRPr="00491098">
              <w:rPr>
                <w:rFonts w:cs="Arial"/>
                <w:lang w:val="fr-FR" w:eastAsia="en-GB"/>
              </w:rPr>
              <w:t xml:space="preserve">, </w:t>
            </w:r>
            <w:r w:rsidR="009B0D86" w:rsidRPr="00491098">
              <w:rPr>
                <w:rFonts w:cs="Arial"/>
                <w:lang w:val="fr-FR" w:eastAsia="en-GB"/>
              </w:rPr>
              <w:t xml:space="preserve">la possibilité </w:t>
            </w:r>
            <w:r w:rsidR="009B0D86" w:rsidRPr="00491098">
              <w:rPr>
                <w:lang w:val="fr-FR"/>
              </w:rPr>
              <w:t>d</w:t>
            </w:r>
            <w:r w:rsidR="00A22FB4" w:rsidRPr="00491098">
              <w:rPr>
                <w:lang w:val="fr-FR"/>
              </w:rPr>
              <w:t>'</w:t>
            </w:r>
            <w:r w:rsidR="009B0D86" w:rsidRPr="00491098">
              <w:rPr>
                <w:lang w:val="fr-FR"/>
              </w:rPr>
              <w:t>établir de meilleures estimations</w:t>
            </w:r>
            <w:r w:rsidR="00A22FB4" w:rsidRPr="00491098">
              <w:rPr>
                <w:rFonts w:cs="Arial"/>
                <w:lang w:val="fr-FR" w:eastAsia="en-GB"/>
              </w:rPr>
              <w:t xml:space="preserve"> </w:t>
            </w:r>
            <w:r w:rsidRPr="00491098">
              <w:rPr>
                <w:rFonts w:cs="Arial"/>
                <w:lang w:val="fr-FR" w:eastAsia="en-GB"/>
              </w:rPr>
              <w:t xml:space="preserve">à l'avenir </w:t>
            </w:r>
            <w:r w:rsidR="009B0D86" w:rsidRPr="00491098">
              <w:rPr>
                <w:rFonts w:cs="Arial"/>
                <w:lang w:val="fr-FR" w:eastAsia="en-GB"/>
              </w:rPr>
              <w:t>dépendra</w:t>
            </w:r>
            <w:r w:rsidRPr="00491098">
              <w:rPr>
                <w:rFonts w:cs="Arial"/>
                <w:lang w:val="fr-FR" w:eastAsia="en-GB"/>
              </w:rPr>
              <w:t xml:space="preserve"> de nombreux facteurs, </w:t>
            </w:r>
            <w:r w:rsidR="009B0D86" w:rsidRPr="00491098">
              <w:rPr>
                <w:rFonts w:cs="Arial"/>
                <w:lang w:val="fr-FR" w:eastAsia="en-GB"/>
              </w:rPr>
              <w:t>notamment</w:t>
            </w:r>
            <w:r w:rsidRPr="00491098">
              <w:rPr>
                <w:rFonts w:cs="Arial"/>
                <w:lang w:val="fr-FR" w:eastAsia="en-GB"/>
              </w:rPr>
              <w:t xml:space="preserve"> la date</w:t>
            </w:r>
            <w:r w:rsidR="002F71C2" w:rsidRPr="00491098">
              <w:rPr>
                <w:rFonts w:cs="Arial"/>
                <w:lang w:val="fr-FR" w:eastAsia="en-GB"/>
              </w:rPr>
              <w:t xml:space="preserve"> </w:t>
            </w:r>
            <w:r w:rsidR="009C7A71" w:rsidRPr="00491098">
              <w:rPr>
                <w:rFonts w:cs="Arial"/>
                <w:lang w:val="fr-FR" w:eastAsia="en-GB"/>
              </w:rPr>
              <w:t>–</w:t>
            </w:r>
            <w:r w:rsidR="002F71C2" w:rsidRPr="00491098">
              <w:rPr>
                <w:rFonts w:cs="Arial"/>
                <w:lang w:val="fr-FR" w:eastAsia="en-GB"/>
              </w:rPr>
              <w:t xml:space="preserve"> actuellement</w:t>
            </w:r>
            <w:r w:rsidR="002F71C2" w:rsidRPr="00491098">
              <w:rPr>
                <w:lang w:val="fr-FR"/>
              </w:rPr>
              <w:t xml:space="preserve"> </w:t>
            </w:r>
            <w:r w:rsidR="002F71C2" w:rsidRPr="00491098">
              <w:rPr>
                <w:rFonts w:cs="Arial"/>
                <w:lang w:val="fr-FR" w:eastAsia="en-GB"/>
              </w:rPr>
              <w:t>impossible à prévoir</w:t>
            </w:r>
            <w:r w:rsidR="009C7A71" w:rsidRPr="00491098">
              <w:rPr>
                <w:rFonts w:cs="Arial"/>
                <w:lang w:val="fr-FR" w:eastAsia="en-GB"/>
              </w:rPr>
              <w:t xml:space="preserve"> –</w:t>
            </w:r>
            <w:r w:rsidR="00A22FB4" w:rsidRPr="00491098">
              <w:rPr>
                <w:rFonts w:cs="Arial"/>
                <w:lang w:val="fr-FR" w:eastAsia="en-GB"/>
              </w:rPr>
              <w:t xml:space="preserve"> </w:t>
            </w:r>
            <w:r w:rsidRPr="00491098">
              <w:rPr>
                <w:rFonts w:cs="Arial"/>
                <w:lang w:val="fr-FR" w:eastAsia="en-GB"/>
              </w:rPr>
              <w:t>à laquelle l'UIT-R recommencera à</w:t>
            </w:r>
            <w:r w:rsidR="0036186F" w:rsidRPr="00491098">
              <w:rPr>
                <w:rFonts w:cs="Arial"/>
                <w:lang w:val="fr-FR" w:eastAsia="en-GB"/>
              </w:rPr>
              <w:t> </w:t>
            </w:r>
            <w:r w:rsidRPr="00491098">
              <w:rPr>
                <w:rFonts w:cs="Arial"/>
                <w:lang w:val="fr-FR" w:eastAsia="en-GB"/>
              </w:rPr>
              <w:t>tenir des réunions physiques</w:t>
            </w:r>
            <w:r w:rsidR="009C7A71" w:rsidRPr="00491098">
              <w:rPr>
                <w:rFonts w:cs="Arial"/>
                <w:lang w:val="fr-FR" w:eastAsia="en-GB"/>
              </w:rPr>
              <w:t>.</w:t>
            </w:r>
          </w:p>
          <w:p w14:paraId="250C5060" w14:textId="7A75D36A" w:rsidR="002F6F7A" w:rsidRPr="00491098" w:rsidRDefault="002F6F7A" w:rsidP="00311D13">
            <w:pPr>
              <w:pStyle w:val="Tabletext"/>
              <w:jc w:val="both"/>
              <w:rPr>
                <w:rFonts w:cs="Arial"/>
                <w:lang w:val="fr-FR" w:eastAsia="en-GB"/>
              </w:rPr>
            </w:pPr>
            <w:r w:rsidRPr="00491098">
              <w:rPr>
                <w:rFonts w:cs="Arial"/>
                <w:lang w:val="fr-FR" w:eastAsia="en-GB"/>
              </w:rPr>
              <w:t>Le GCR a demandé au Directeur du BR de lui présenter à sa prochaine réunion</w:t>
            </w:r>
            <w:r w:rsidR="00A22FB4" w:rsidRPr="00491098">
              <w:rPr>
                <w:rFonts w:cs="Arial"/>
                <w:lang w:val="fr-FR" w:eastAsia="en-GB"/>
              </w:rPr>
              <w:t xml:space="preserve"> </w:t>
            </w:r>
            <w:r w:rsidRPr="00491098">
              <w:rPr>
                <w:rFonts w:cs="Arial"/>
                <w:lang w:val="fr-FR" w:eastAsia="en-GB"/>
              </w:rPr>
              <w:t>des informations sur les coûts réels des activités déjà menées et sur les estimations des activités futures.</w:t>
            </w:r>
          </w:p>
          <w:p w14:paraId="12084822" w14:textId="59F42D7D" w:rsidR="00407B30" w:rsidRPr="00491098" w:rsidRDefault="002F6F7A" w:rsidP="00311D13">
            <w:pPr>
              <w:pStyle w:val="Tabletext"/>
              <w:jc w:val="both"/>
              <w:rPr>
                <w:rFonts w:cs="Arial"/>
                <w:lang w:val="fr-FR" w:eastAsia="en-GB"/>
              </w:rPr>
            </w:pPr>
            <w:r w:rsidRPr="00491098">
              <w:rPr>
                <w:rFonts w:cs="Arial"/>
                <w:lang w:val="fr-FR" w:eastAsia="en-GB"/>
              </w:rPr>
              <w:t>Le GCR a pris note avec satisfaction des informations fournies concernant la mise en œuvre des décisions de la CMR-19 relatives aux services de Terre, aux services spatiaux et aux autres mesures prises en application des décisions</w:t>
            </w:r>
            <w:r w:rsidR="00A22FB4" w:rsidRPr="00491098">
              <w:rPr>
                <w:rFonts w:cs="Arial"/>
                <w:lang w:val="fr-FR" w:eastAsia="en-GB"/>
              </w:rPr>
              <w:t xml:space="preserve"> </w:t>
            </w:r>
            <w:r w:rsidRPr="00491098">
              <w:rPr>
                <w:rFonts w:cs="Arial"/>
                <w:lang w:val="fr-FR" w:eastAsia="en-GB"/>
              </w:rPr>
              <w:t>de la CMR-19</w:t>
            </w:r>
            <w:r w:rsidR="009C7A71" w:rsidRPr="00491098">
              <w:rPr>
                <w:rFonts w:cs="Arial"/>
                <w:lang w:val="fr-FR" w:eastAsia="en-GB"/>
              </w:rPr>
              <w:t>.</w:t>
            </w:r>
          </w:p>
        </w:tc>
      </w:tr>
      <w:tr w:rsidR="00407B30" w:rsidRPr="00F8073F" w14:paraId="7CE6B0D7" w14:textId="77777777" w:rsidTr="004269AD">
        <w:trPr>
          <w:jc w:val="center"/>
        </w:trPr>
        <w:tc>
          <w:tcPr>
            <w:tcW w:w="339" w:type="pct"/>
          </w:tcPr>
          <w:p w14:paraId="42D503A7" w14:textId="391B23C6" w:rsidR="00407B30" w:rsidRPr="00491098" w:rsidRDefault="00407B30" w:rsidP="00311D13">
            <w:pPr>
              <w:pStyle w:val="Tabletext"/>
              <w:jc w:val="both"/>
              <w:rPr>
                <w:lang w:val="fr-FR" w:eastAsia="en-GB"/>
              </w:rPr>
            </w:pPr>
            <w:r w:rsidRPr="00491098">
              <w:rPr>
                <w:lang w:val="fr-FR" w:eastAsia="en-GB"/>
              </w:rPr>
              <w:lastRenderedPageBreak/>
              <w:t>5</w:t>
            </w:r>
          </w:p>
        </w:tc>
        <w:tc>
          <w:tcPr>
            <w:tcW w:w="865" w:type="pct"/>
          </w:tcPr>
          <w:p w14:paraId="6138484E" w14:textId="1E02A5E8" w:rsidR="00407B30" w:rsidRPr="00491098" w:rsidRDefault="00725647" w:rsidP="00900C6D">
            <w:pPr>
              <w:pStyle w:val="Tabletext"/>
              <w:rPr>
                <w:color w:val="000000"/>
                <w:lang w:val="fr-FR"/>
              </w:rPr>
            </w:pPr>
            <w:r w:rsidRPr="00491098">
              <w:rPr>
                <w:color w:val="000000"/>
                <w:lang w:val="fr-FR"/>
              </w:rPr>
              <w:t>Ordre du jour, dates et lieu de la CMR-23 et travaux préparatoires connexes</w:t>
            </w:r>
          </w:p>
          <w:p w14:paraId="363067B6" w14:textId="6D84B59F" w:rsidR="00407B30" w:rsidRPr="00491098" w:rsidRDefault="00725647" w:rsidP="00900C6D">
            <w:pPr>
              <w:pStyle w:val="Tabletext"/>
              <w:spacing w:before="120" w:after="0"/>
              <w:rPr>
                <w:iCs/>
                <w:lang w:val="fr-FR" w:eastAsia="en-GB"/>
              </w:rPr>
            </w:pPr>
            <w:r w:rsidRPr="00491098">
              <w:rPr>
                <w:iCs/>
                <w:lang w:val="fr-FR"/>
              </w:rPr>
              <w:t xml:space="preserve">Documents du </w:t>
            </w:r>
            <w:proofErr w:type="gramStart"/>
            <w:r w:rsidRPr="00491098">
              <w:rPr>
                <w:iCs/>
                <w:lang w:val="fr-FR"/>
              </w:rPr>
              <w:t>GCR:</w:t>
            </w:r>
            <w:proofErr w:type="gramEnd"/>
            <w:r w:rsidR="00A22FB4" w:rsidRPr="00491098">
              <w:rPr>
                <w:iCs/>
                <w:lang w:val="fr-FR"/>
              </w:rPr>
              <w:t xml:space="preserve"> </w:t>
            </w:r>
          </w:p>
          <w:p w14:paraId="00FA05F9" w14:textId="7A0792AC" w:rsidR="00407B30" w:rsidRPr="00491098" w:rsidRDefault="00407B30" w:rsidP="00900C6D">
            <w:pPr>
              <w:pStyle w:val="Tabletext"/>
              <w:spacing w:before="0"/>
              <w:rPr>
                <w:color w:val="000000"/>
                <w:shd w:val="clear" w:color="auto" w:fill="FFFFFF"/>
                <w:lang w:val="fr-FR" w:eastAsia="en-GB"/>
              </w:rPr>
            </w:pPr>
            <w:r w:rsidRPr="00491098">
              <w:rPr>
                <w:iCs/>
                <w:lang w:val="fr-FR" w:eastAsia="en-GB"/>
              </w:rPr>
              <w:t>26 + Corr.2</w:t>
            </w:r>
          </w:p>
        </w:tc>
        <w:tc>
          <w:tcPr>
            <w:tcW w:w="3796" w:type="pct"/>
          </w:tcPr>
          <w:p w14:paraId="7B2E8B0B" w14:textId="2AE979FB" w:rsidR="002F6F7A" w:rsidRPr="00491098" w:rsidRDefault="002F6F7A" w:rsidP="00311D13">
            <w:pPr>
              <w:pStyle w:val="Tabletext"/>
              <w:jc w:val="both"/>
              <w:rPr>
                <w:rFonts w:cs="Arial"/>
                <w:lang w:val="fr-FR" w:eastAsia="en-GB"/>
              </w:rPr>
            </w:pPr>
            <w:r w:rsidRPr="00491098">
              <w:rPr>
                <w:rFonts w:cs="Arial"/>
                <w:lang w:val="fr-FR" w:eastAsia="en-GB"/>
              </w:rPr>
              <w:t xml:space="preserve">Le GCR a pris note avec satisfaction du rapport sur les travaux préparatoires en vue de la CMR-23. </w:t>
            </w:r>
          </w:p>
          <w:p w14:paraId="439911CB" w14:textId="1FB5D03E" w:rsidR="002F6F7A" w:rsidRPr="00491098" w:rsidRDefault="002F6F7A" w:rsidP="00311D13">
            <w:pPr>
              <w:pStyle w:val="Tabletext"/>
              <w:jc w:val="both"/>
              <w:rPr>
                <w:rFonts w:cs="Arial"/>
                <w:lang w:val="fr-FR" w:eastAsia="en-GB"/>
              </w:rPr>
            </w:pPr>
            <w:r w:rsidRPr="00491098">
              <w:rPr>
                <w:rFonts w:cs="Arial"/>
                <w:lang w:val="fr-FR" w:eastAsia="en-GB"/>
              </w:rPr>
              <w:t>Le GCR a noté que le Conseil à sa session de 2021 mettrait à jour la Résolution 1399, afin de fixer la date précise de la CMR-23</w:t>
            </w:r>
            <w:r w:rsidR="002F71C2" w:rsidRPr="00491098">
              <w:rPr>
                <w:rFonts w:cs="Arial"/>
                <w:lang w:val="fr-FR" w:eastAsia="en-GB"/>
              </w:rPr>
              <w:t>,</w:t>
            </w:r>
            <w:r w:rsidRPr="00491098">
              <w:rPr>
                <w:rFonts w:cs="Arial"/>
                <w:lang w:val="fr-FR" w:eastAsia="en-GB"/>
              </w:rPr>
              <w:t xml:space="preserve"> et s</w:t>
            </w:r>
            <w:r w:rsidR="00A22FB4" w:rsidRPr="00491098">
              <w:rPr>
                <w:rFonts w:cs="Arial"/>
                <w:lang w:val="fr-FR" w:eastAsia="en-GB"/>
              </w:rPr>
              <w:t>'</w:t>
            </w:r>
            <w:r w:rsidRPr="00491098">
              <w:rPr>
                <w:rFonts w:cs="Arial"/>
                <w:lang w:val="fr-FR" w:eastAsia="en-GB"/>
              </w:rPr>
              <w:t>est félicité de</w:t>
            </w:r>
            <w:r w:rsidR="00A22FB4" w:rsidRPr="00491098">
              <w:rPr>
                <w:rFonts w:cs="Arial"/>
                <w:lang w:val="fr-FR" w:eastAsia="en-GB"/>
              </w:rPr>
              <w:t xml:space="preserve"> </w:t>
            </w:r>
            <w:r w:rsidRPr="00491098">
              <w:rPr>
                <w:rFonts w:cs="Arial"/>
                <w:lang w:val="fr-FR" w:eastAsia="en-GB"/>
              </w:rPr>
              <w:t xml:space="preserve">l'invitation du Gouvernement des </w:t>
            </w:r>
            <w:r w:rsidR="00415B3F" w:rsidRPr="00491098">
              <w:rPr>
                <w:rFonts w:cs="Arial"/>
                <w:lang w:val="fr-FR" w:eastAsia="en-GB"/>
              </w:rPr>
              <w:t>Émirats</w:t>
            </w:r>
            <w:r w:rsidRPr="00491098">
              <w:rPr>
                <w:rFonts w:cs="Arial"/>
                <w:lang w:val="fr-FR" w:eastAsia="en-GB"/>
              </w:rPr>
              <w:t xml:space="preserve"> arabes unis en vue d</w:t>
            </w:r>
            <w:r w:rsidR="00A22FB4" w:rsidRPr="00491098">
              <w:rPr>
                <w:rFonts w:cs="Arial"/>
                <w:lang w:val="fr-FR" w:eastAsia="en-GB"/>
              </w:rPr>
              <w:t>'</w:t>
            </w:r>
            <w:r w:rsidRPr="00491098">
              <w:rPr>
                <w:rFonts w:cs="Arial"/>
                <w:lang w:val="fr-FR" w:eastAsia="en-GB"/>
              </w:rPr>
              <w:t>accueillir cette conférence.</w:t>
            </w:r>
          </w:p>
          <w:p w14:paraId="2859473D" w14:textId="0A562307" w:rsidR="002F6F7A" w:rsidRPr="00491098" w:rsidRDefault="002F6F7A" w:rsidP="00311D13">
            <w:pPr>
              <w:pStyle w:val="Tabletext"/>
              <w:jc w:val="both"/>
              <w:rPr>
                <w:rFonts w:cs="Arial"/>
                <w:lang w:val="fr-FR" w:eastAsia="en-GB"/>
              </w:rPr>
            </w:pPr>
            <w:r w:rsidRPr="00491098">
              <w:rPr>
                <w:rFonts w:cs="Arial"/>
                <w:lang w:val="fr-FR" w:eastAsia="en-GB"/>
              </w:rPr>
              <w:t>Le GCR s</w:t>
            </w:r>
            <w:r w:rsidR="00A22FB4" w:rsidRPr="00491098">
              <w:rPr>
                <w:rFonts w:cs="Arial"/>
                <w:lang w:val="fr-FR" w:eastAsia="en-GB"/>
              </w:rPr>
              <w:t>'</w:t>
            </w:r>
            <w:r w:rsidRPr="00491098">
              <w:rPr>
                <w:rFonts w:cs="Arial"/>
                <w:lang w:val="fr-FR" w:eastAsia="en-GB"/>
              </w:rPr>
              <w:t xml:space="preserve">est </w:t>
            </w:r>
            <w:r w:rsidRPr="00491098">
              <w:rPr>
                <w:color w:val="000000"/>
                <w:lang w:val="fr-FR"/>
              </w:rPr>
              <w:t>félicité des efforts déployés par</w:t>
            </w:r>
            <w:r w:rsidRPr="00491098">
              <w:rPr>
                <w:rFonts w:cs="Arial"/>
                <w:lang w:val="fr-FR" w:eastAsia="en-GB"/>
              </w:rPr>
              <w:t xml:space="preserve"> le BR, le Directeur, </w:t>
            </w:r>
            <w:r w:rsidR="0074345E" w:rsidRPr="00491098">
              <w:rPr>
                <w:rFonts w:cs="Arial"/>
                <w:lang w:val="fr-FR" w:eastAsia="en-GB"/>
              </w:rPr>
              <w:t>la</w:t>
            </w:r>
            <w:r w:rsidRPr="00491098">
              <w:rPr>
                <w:rFonts w:cs="Arial"/>
                <w:lang w:val="fr-FR" w:eastAsia="en-GB"/>
              </w:rPr>
              <w:t xml:space="preserve"> </w:t>
            </w:r>
            <w:r w:rsidRPr="00491098">
              <w:rPr>
                <w:color w:val="000000"/>
                <w:lang w:val="fr-FR"/>
              </w:rPr>
              <w:t>Directrice adjointe</w:t>
            </w:r>
            <w:r w:rsidR="00A22FB4" w:rsidRPr="00491098">
              <w:rPr>
                <w:color w:val="000000"/>
                <w:lang w:val="fr-FR"/>
              </w:rPr>
              <w:t>,</w:t>
            </w:r>
            <w:r w:rsidRPr="00491098">
              <w:rPr>
                <w:rFonts w:cs="Arial"/>
                <w:lang w:val="fr-FR" w:eastAsia="en-GB"/>
              </w:rPr>
              <w:t xml:space="preserve"> </w:t>
            </w:r>
            <w:r w:rsidR="0074345E" w:rsidRPr="00491098">
              <w:rPr>
                <w:rFonts w:cs="Arial"/>
                <w:lang w:val="fr-FR" w:eastAsia="en-GB"/>
              </w:rPr>
              <w:t>l</w:t>
            </w:r>
            <w:r w:rsidRPr="00491098">
              <w:rPr>
                <w:rFonts w:cs="Arial"/>
                <w:lang w:val="fr-FR" w:eastAsia="en-GB"/>
              </w:rPr>
              <w:t xml:space="preserve">es chefs de </w:t>
            </w:r>
            <w:r w:rsidR="0074345E" w:rsidRPr="00491098">
              <w:rPr>
                <w:rFonts w:cs="Arial"/>
                <w:lang w:val="fr-FR" w:eastAsia="en-GB"/>
              </w:rPr>
              <w:t>D</w:t>
            </w:r>
            <w:r w:rsidRPr="00491098">
              <w:rPr>
                <w:rFonts w:cs="Arial"/>
                <w:lang w:val="fr-FR" w:eastAsia="en-GB"/>
              </w:rPr>
              <w:t>épartement et</w:t>
            </w:r>
            <w:r w:rsidR="00A22FB4" w:rsidRPr="00491098">
              <w:rPr>
                <w:rFonts w:cs="Arial"/>
                <w:lang w:val="fr-FR" w:eastAsia="en-GB"/>
              </w:rPr>
              <w:t xml:space="preserve"> </w:t>
            </w:r>
            <w:r w:rsidRPr="00491098">
              <w:rPr>
                <w:rFonts w:cs="Arial"/>
                <w:lang w:val="fr-FR" w:eastAsia="en-GB"/>
              </w:rPr>
              <w:t>l'ensemble du personnel du BR pour l</w:t>
            </w:r>
            <w:r w:rsidR="0074345E" w:rsidRPr="00491098">
              <w:rPr>
                <w:rFonts w:cs="Arial"/>
                <w:lang w:val="fr-FR" w:eastAsia="en-GB"/>
              </w:rPr>
              <w:t>e</w:t>
            </w:r>
            <w:r w:rsidRPr="00491098">
              <w:rPr>
                <w:rFonts w:cs="Arial"/>
                <w:lang w:val="fr-FR" w:eastAsia="en-GB"/>
              </w:rPr>
              <w:t xml:space="preserve"> travail inlassable </w:t>
            </w:r>
            <w:r w:rsidR="0074345E" w:rsidRPr="00491098">
              <w:rPr>
                <w:rFonts w:cs="Arial"/>
                <w:lang w:val="fr-FR" w:eastAsia="en-GB"/>
              </w:rPr>
              <w:t>qu</w:t>
            </w:r>
            <w:r w:rsidR="00A22FB4" w:rsidRPr="00491098">
              <w:rPr>
                <w:rFonts w:cs="Arial"/>
                <w:lang w:val="fr-FR" w:eastAsia="en-GB"/>
              </w:rPr>
              <w:t>'</w:t>
            </w:r>
            <w:r w:rsidR="0074345E" w:rsidRPr="00491098">
              <w:rPr>
                <w:rFonts w:cs="Arial"/>
                <w:lang w:val="fr-FR" w:eastAsia="en-GB"/>
              </w:rPr>
              <w:t>ils ont accompli</w:t>
            </w:r>
            <w:r w:rsidR="00A22FB4" w:rsidRPr="00491098">
              <w:rPr>
                <w:rFonts w:cs="Arial"/>
                <w:lang w:val="fr-FR" w:eastAsia="en-GB"/>
              </w:rPr>
              <w:t xml:space="preserve"> </w:t>
            </w:r>
            <w:r w:rsidR="0074345E" w:rsidRPr="00491098">
              <w:rPr>
                <w:color w:val="000000"/>
                <w:lang w:val="fr-FR"/>
              </w:rPr>
              <w:t>et la contribution précieuse qu'ils ont apportée,</w:t>
            </w:r>
            <w:r w:rsidR="0074345E" w:rsidRPr="00491098">
              <w:rPr>
                <w:rFonts w:cs="Arial"/>
                <w:lang w:val="fr-FR" w:eastAsia="en-GB"/>
              </w:rPr>
              <w:t xml:space="preserve"> </w:t>
            </w:r>
            <w:r w:rsidR="0074345E" w:rsidRPr="00491098">
              <w:rPr>
                <w:color w:val="000000"/>
                <w:lang w:val="fr-FR"/>
              </w:rPr>
              <w:t>au-delà de ce que l'on était en droit d'attendre</w:t>
            </w:r>
            <w:r w:rsidR="009C7A71" w:rsidRPr="00491098">
              <w:rPr>
                <w:color w:val="000000"/>
                <w:lang w:val="fr-FR"/>
              </w:rPr>
              <w:t>.</w:t>
            </w:r>
          </w:p>
          <w:p w14:paraId="12C3CEF1" w14:textId="1A688842" w:rsidR="00407B30" w:rsidRPr="00491098" w:rsidRDefault="0074345E" w:rsidP="00311D13">
            <w:pPr>
              <w:pStyle w:val="Tabletext"/>
              <w:jc w:val="both"/>
              <w:rPr>
                <w:rFonts w:cs="Arial"/>
                <w:lang w:val="fr-FR" w:eastAsia="en-GB"/>
              </w:rPr>
            </w:pPr>
            <w:r w:rsidRPr="00491098">
              <w:rPr>
                <w:rFonts w:cs="Arial"/>
                <w:lang w:val="fr-FR" w:eastAsia="en-GB"/>
              </w:rPr>
              <w:t xml:space="preserve">Le GCR a noté qu'il était difficile de </w:t>
            </w:r>
            <w:r w:rsidRPr="00491098">
              <w:rPr>
                <w:color w:val="000000"/>
                <w:lang w:val="fr-FR"/>
              </w:rPr>
              <w:t>mener à bien</w:t>
            </w:r>
            <w:r w:rsidRPr="00491098">
              <w:rPr>
                <w:rFonts w:cs="Arial"/>
                <w:lang w:val="fr-FR" w:eastAsia="en-GB"/>
              </w:rPr>
              <w:t xml:space="preserve"> les études techniques en vue de la CMR-23 pendant cette période où il n'est pas possible de tenir des réunions physiques. </w:t>
            </w:r>
            <w:r w:rsidR="009C7A71" w:rsidRPr="00491098">
              <w:rPr>
                <w:rFonts w:cs="Arial"/>
                <w:lang w:val="fr-FR" w:eastAsia="en-GB"/>
              </w:rPr>
              <w:t>Étant</w:t>
            </w:r>
            <w:r w:rsidR="00E77F1B" w:rsidRPr="00491098">
              <w:rPr>
                <w:rFonts w:cs="Arial"/>
                <w:lang w:val="fr-FR" w:eastAsia="en-GB"/>
              </w:rPr>
              <w:t xml:space="preserve"> donné qu</w:t>
            </w:r>
            <w:r w:rsidR="00A22FB4" w:rsidRPr="00491098">
              <w:rPr>
                <w:rFonts w:cs="Arial"/>
                <w:lang w:val="fr-FR" w:eastAsia="en-GB"/>
              </w:rPr>
              <w:t>'</w:t>
            </w:r>
            <w:r w:rsidR="00E77F1B" w:rsidRPr="00491098">
              <w:rPr>
                <w:rFonts w:cs="Arial"/>
                <w:lang w:val="fr-FR" w:eastAsia="en-GB"/>
              </w:rPr>
              <w:t xml:space="preserve">il a été </w:t>
            </w:r>
            <w:r w:rsidRPr="00491098">
              <w:rPr>
                <w:rFonts w:cs="Arial"/>
                <w:lang w:val="fr-FR" w:eastAsia="en-GB"/>
              </w:rPr>
              <w:t xml:space="preserve">convenu </w:t>
            </w:r>
            <w:r w:rsidR="00E77F1B" w:rsidRPr="00491098">
              <w:rPr>
                <w:rFonts w:cs="Arial"/>
                <w:lang w:val="fr-FR" w:eastAsia="en-GB"/>
              </w:rPr>
              <w:t>que</w:t>
            </w:r>
            <w:r w:rsidR="00A22FB4" w:rsidRPr="00491098">
              <w:rPr>
                <w:rFonts w:cs="Arial"/>
                <w:lang w:val="fr-FR" w:eastAsia="en-GB"/>
              </w:rPr>
              <w:t xml:space="preserve"> </w:t>
            </w:r>
            <w:r w:rsidRPr="00491098">
              <w:rPr>
                <w:rFonts w:cs="Arial"/>
                <w:lang w:val="fr-FR" w:eastAsia="en-GB"/>
              </w:rPr>
              <w:t>la CMR-23</w:t>
            </w:r>
            <w:r w:rsidR="00E77F1B" w:rsidRPr="00491098">
              <w:rPr>
                <w:rFonts w:cs="Arial"/>
                <w:lang w:val="fr-FR" w:eastAsia="en-GB"/>
              </w:rPr>
              <w:t xml:space="preserve"> se tiendrait</w:t>
            </w:r>
            <w:r w:rsidRPr="00491098">
              <w:rPr>
                <w:rFonts w:cs="Arial"/>
                <w:lang w:val="fr-FR" w:eastAsia="en-GB"/>
              </w:rPr>
              <w:t xml:space="preserve"> au quatrième trimestre de 2023, le Directeur du BR a été invité à </w:t>
            </w:r>
            <w:r w:rsidR="00E77F1B" w:rsidRPr="00491098">
              <w:rPr>
                <w:rFonts w:cs="Arial"/>
                <w:lang w:val="fr-FR" w:eastAsia="en-GB"/>
              </w:rPr>
              <w:t>rechercher des</w:t>
            </w:r>
            <w:r w:rsidRPr="00491098">
              <w:rPr>
                <w:rFonts w:cs="Arial"/>
                <w:lang w:val="fr-FR" w:eastAsia="en-GB"/>
              </w:rPr>
              <w:t xml:space="preserve"> options possibles pour améliorer les </w:t>
            </w:r>
            <w:r w:rsidR="00E77F1B" w:rsidRPr="00491098">
              <w:rPr>
                <w:rFonts w:cs="Arial"/>
                <w:lang w:val="fr-FR" w:eastAsia="en-GB"/>
              </w:rPr>
              <w:t>travaux</w:t>
            </w:r>
            <w:r w:rsidRPr="00491098">
              <w:rPr>
                <w:rFonts w:cs="Arial"/>
                <w:lang w:val="fr-FR" w:eastAsia="en-GB"/>
              </w:rPr>
              <w:t xml:space="preserve"> préparatoires de l'UIT-R</w:t>
            </w:r>
            <w:r w:rsidR="00E77F1B" w:rsidRPr="00491098">
              <w:rPr>
                <w:rFonts w:cs="Arial"/>
                <w:lang w:val="fr-FR" w:eastAsia="en-GB"/>
              </w:rPr>
              <w:t>,</w:t>
            </w:r>
            <w:r w:rsidRPr="00491098">
              <w:rPr>
                <w:rFonts w:cs="Arial"/>
                <w:lang w:val="fr-FR" w:eastAsia="en-GB"/>
              </w:rPr>
              <w:t xml:space="preserve"> au cas où</w:t>
            </w:r>
            <w:r w:rsidR="00E77F1B" w:rsidRPr="00491098">
              <w:rPr>
                <w:rFonts w:cs="Arial"/>
                <w:lang w:val="fr-FR" w:eastAsia="en-GB"/>
              </w:rPr>
              <w:t xml:space="preserve"> il faudrait continuer d</w:t>
            </w:r>
            <w:r w:rsidR="00A22FB4" w:rsidRPr="00491098">
              <w:rPr>
                <w:rFonts w:cs="Arial"/>
                <w:lang w:val="fr-FR" w:eastAsia="en-GB"/>
              </w:rPr>
              <w:t>'</w:t>
            </w:r>
            <w:r w:rsidR="00E77F1B" w:rsidRPr="00491098">
              <w:rPr>
                <w:rFonts w:cs="Arial"/>
                <w:lang w:val="fr-FR" w:eastAsia="en-GB"/>
              </w:rPr>
              <w:t>organiser des</w:t>
            </w:r>
            <w:r w:rsidRPr="00491098">
              <w:rPr>
                <w:rFonts w:cs="Arial"/>
                <w:lang w:val="fr-FR" w:eastAsia="en-GB"/>
              </w:rPr>
              <w:t xml:space="preserve"> réunions virtuelles</w:t>
            </w:r>
            <w:r w:rsidR="00A22FB4" w:rsidRPr="00491098">
              <w:rPr>
                <w:rFonts w:cs="Arial"/>
                <w:lang w:val="fr-FR" w:eastAsia="en-GB"/>
              </w:rPr>
              <w:t xml:space="preserve"> </w:t>
            </w:r>
            <w:r w:rsidRPr="00491098">
              <w:rPr>
                <w:rFonts w:cs="Arial"/>
                <w:lang w:val="fr-FR" w:eastAsia="en-GB"/>
              </w:rPr>
              <w:t>l'année prochaine.</w:t>
            </w:r>
          </w:p>
        </w:tc>
      </w:tr>
      <w:tr w:rsidR="00407B30" w:rsidRPr="00F8073F" w14:paraId="71A2CC11" w14:textId="77777777" w:rsidTr="004269AD">
        <w:trPr>
          <w:jc w:val="center"/>
        </w:trPr>
        <w:tc>
          <w:tcPr>
            <w:tcW w:w="339" w:type="pct"/>
          </w:tcPr>
          <w:p w14:paraId="4FF6660A" w14:textId="0D7B9EDE" w:rsidR="00407B30" w:rsidRPr="00491098" w:rsidRDefault="00407B30" w:rsidP="00311D13">
            <w:pPr>
              <w:pStyle w:val="Tabletext"/>
              <w:jc w:val="both"/>
              <w:rPr>
                <w:lang w:val="fr-FR" w:eastAsia="en-GB"/>
              </w:rPr>
            </w:pPr>
            <w:r w:rsidRPr="00491098">
              <w:rPr>
                <w:lang w:val="fr-FR" w:eastAsia="en-GB"/>
              </w:rPr>
              <w:t>6</w:t>
            </w:r>
          </w:p>
        </w:tc>
        <w:tc>
          <w:tcPr>
            <w:tcW w:w="865" w:type="pct"/>
          </w:tcPr>
          <w:p w14:paraId="5A8A5355" w14:textId="110176EB" w:rsidR="00407B30" w:rsidRPr="00491098" w:rsidRDefault="00820201" w:rsidP="00900C6D">
            <w:pPr>
              <w:pStyle w:val="Tabletext"/>
              <w:rPr>
                <w:iCs/>
                <w:color w:val="000000"/>
                <w:shd w:val="clear" w:color="auto" w:fill="FFFFFF"/>
                <w:lang w:val="fr-FR" w:eastAsia="en-GB"/>
              </w:rPr>
            </w:pPr>
            <w:r w:rsidRPr="00491098">
              <w:rPr>
                <w:iCs/>
                <w:color w:val="000000"/>
                <w:shd w:val="clear" w:color="auto" w:fill="FFFFFF"/>
                <w:lang w:val="fr-FR" w:eastAsia="en-GB"/>
              </w:rPr>
              <w:t xml:space="preserve">Activités des </w:t>
            </w:r>
            <w:r w:rsidR="00725647" w:rsidRPr="00491098">
              <w:rPr>
                <w:iCs/>
                <w:color w:val="000000"/>
                <w:shd w:val="clear" w:color="auto" w:fill="FFFFFF"/>
                <w:lang w:val="fr-FR" w:eastAsia="en-GB"/>
              </w:rPr>
              <w:t>c</w:t>
            </w:r>
            <w:r w:rsidRPr="00491098">
              <w:rPr>
                <w:iCs/>
                <w:color w:val="000000"/>
                <w:shd w:val="clear" w:color="auto" w:fill="FFFFFF"/>
                <w:lang w:val="fr-FR" w:eastAsia="en-GB"/>
              </w:rPr>
              <w:t>ommissions d'études</w:t>
            </w:r>
          </w:p>
          <w:p w14:paraId="663A83BE" w14:textId="5978C21C" w:rsidR="00407B30" w:rsidRPr="00491098" w:rsidRDefault="00725647" w:rsidP="00900C6D">
            <w:pPr>
              <w:pStyle w:val="Tabletext"/>
              <w:spacing w:before="120" w:after="0"/>
              <w:rPr>
                <w:iCs/>
                <w:lang w:val="fr-FR" w:eastAsia="en-GB"/>
              </w:rPr>
            </w:pPr>
            <w:r w:rsidRPr="00491098">
              <w:rPr>
                <w:iCs/>
                <w:lang w:val="fr-FR" w:eastAsia="en-GB"/>
              </w:rPr>
              <w:t xml:space="preserve">Documents du </w:t>
            </w:r>
            <w:proofErr w:type="gramStart"/>
            <w:r w:rsidRPr="00491098">
              <w:rPr>
                <w:iCs/>
                <w:lang w:val="fr-FR" w:eastAsia="en-GB"/>
              </w:rPr>
              <w:t>GCR:</w:t>
            </w:r>
            <w:proofErr w:type="gramEnd"/>
            <w:r w:rsidRPr="00491098">
              <w:rPr>
                <w:iCs/>
                <w:lang w:val="fr-FR" w:eastAsia="en-GB"/>
              </w:rPr>
              <w:t xml:space="preserve"> </w:t>
            </w:r>
          </w:p>
          <w:p w14:paraId="3AB56F91" w14:textId="4BEAA1B8" w:rsidR="00407B30" w:rsidRPr="00491098" w:rsidRDefault="00407B30" w:rsidP="00900C6D">
            <w:pPr>
              <w:pStyle w:val="Tabletext"/>
              <w:spacing w:before="0"/>
              <w:rPr>
                <w:iCs/>
                <w:color w:val="000000"/>
                <w:shd w:val="clear" w:color="auto" w:fill="FFFFFF"/>
                <w:lang w:val="fr-FR" w:eastAsia="en-GB"/>
              </w:rPr>
            </w:pPr>
            <w:r w:rsidRPr="00491098">
              <w:rPr>
                <w:iCs/>
                <w:lang w:val="fr-FR" w:eastAsia="en-GB"/>
              </w:rPr>
              <w:t>26, 26-Add.1, 28</w:t>
            </w:r>
            <w:r w:rsidRPr="00491098">
              <w:rPr>
                <w:iCs/>
                <w:color w:val="000000"/>
                <w:shd w:val="clear" w:color="auto" w:fill="FFFFFF"/>
                <w:lang w:val="fr-FR" w:eastAsia="en-GB"/>
              </w:rPr>
              <w:t> </w:t>
            </w:r>
          </w:p>
        </w:tc>
        <w:tc>
          <w:tcPr>
            <w:tcW w:w="3796" w:type="pct"/>
          </w:tcPr>
          <w:p w14:paraId="623237B8" w14:textId="69AB3AD6" w:rsidR="00E77F1B" w:rsidRPr="00491098" w:rsidRDefault="00E77F1B" w:rsidP="00311D13">
            <w:pPr>
              <w:pStyle w:val="Tabletext"/>
              <w:jc w:val="both"/>
              <w:rPr>
                <w:rFonts w:eastAsia="Calibri" w:cs="Arial"/>
                <w:lang w:val="fr-FR" w:eastAsia="en-GB"/>
              </w:rPr>
            </w:pPr>
            <w:r w:rsidRPr="00491098">
              <w:rPr>
                <w:rFonts w:eastAsia="Calibri" w:cs="Arial"/>
                <w:lang w:val="fr-FR" w:eastAsia="en-GB"/>
              </w:rPr>
              <w:t>Le GCR a pris note du rapport du Département des commissions d'études de l'UIT-R figurant dans le Document RAG21/26 Add.1</w:t>
            </w:r>
            <w:r w:rsidR="009C7A71" w:rsidRPr="00491098">
              <w:rPr>
                <w:rFonts w:eastAsia="Calibri" w:cs="Arial"/>
                <w:lang w:val="fr-FR" w:eastAsia="en-GB"/>
              </w:rPr>
              <w:t>.</w:t>
            </w:r>
          </w:p>
          <w:p w14:paraId="617B8C50" w14:textId="50170694" w:rsidR="00E77F1B" w:rsidRPr="00491098" w:rsidRDefault="00E77F1B" w:rsidP="00311D13">
            <w:pPr>
              <w:pStyle w:val="Tabletext"/>
              <w:jc w:val="both"/>
              <w:rPr>
                <w:rFonts w:eastAsia="Calibri" w:cs="Arial"/>
                <w:lang w:val="fr-FR" w:eastAsia="en-GB"/>
              </w:rPr>
            </w:pPr>
            <w:r w:rsidRPr="00491098">
              <w:rPr>
                <w:rFonts w:eastAsia="Calibri" w:cs="Arial"/>
                <w:lang w:val="fr-FR" w:eastAsia="en-GB"/>
              </w:rPr>
              <w:t xml:space="preserve">Le GCR a exprimé sa gratitude au Département des commissions d'études du BR, et tout particulièrement aux Conseillers des commissions d'études, pour leur </w:t>
            </w:r>
            <w:r w:rsidRPr="00491098">
              <w:rPr>
                <w:color w:val="000000"/>
                <w:lang w:val="fr-FR"/>
              </w:rPr>
              <w:t>précieux concours</w:t>
            </w:r>
            <w:r w:rsidRPr="00491098">
              <w:rPr>
                <w:rFonts w:eastAsia="Calibri" w:cs="Arial"/>
                <w:lang w:val="fr-FR" w:eastAsia="en-GB"/>
              </w:rPr>
              <w:t xml:space="preserve"> et leur professionnalisme, et a remercié les Départements des services spatiaux et des services de Terre du BR pour leurs contributions techniques, notamment leurs précieuses contributions en matière de statistiques, </w:t>
            </w:r>
            <w:r w:rsidR="002F71C2" w:rsidRPr="00491098">
              <w:rPr>
                <w:rFonts w:eastAsia="Calibri" w:cs="Arial"/>
                <w:lang w:val="fr-FR" w:eastAsia="en-GB"/>
              </w:rPr>
              <w:t xml:space="preserve">et </w:t>
            </w:r>
            <w:r w:rsidRPr="00491098">
              <w:rPr>
                <w:rFonts w:eastAsia="Calibri" w:cs="Arial"/>
                <w:lang w:val="fr-FR" w:eastAsia="en-GB"/>
              </w:rPr>
              <w:t>en particulier celles qui se rapportent aux points de l'ordre du jour de la CMR-23 ainsi qu</w:t>
            </w:r>
            <w:r w:rsidR="00A22FB4" w:rsidRPr="00491098">
              <w:rPr>
                <w:rFonts w:eastAsia="Calibri" w:cs="Arial"/>
                <w:lang w:val="fr-FR" w:eastAsia="en-GB"/>
              </w:rPr>
              <w:t>'</w:t>
            </w:r>
            <w:r w:rsidRPr="00491098">
              <w:rPr>
                <w:rFonts w:eastAsia="Calibri" w:cs="Arial"/>
                <w:lang w:val="fr-FR" w:eastAsia="en-GB"/>
              </w:rPr>
              <w:t>aux travaux connexes menés par les commissions d'études de l'UIT-R.</w:t>
            </w:r>
          </w:p>
          <w:p w14:paraId="71897D51" w14:textId="236BEC1A" w:rsidR="00E77F1B" w:rsidRPr="00491098" w:rsidRDefault="00E77F1B" w:rsidP="00311D13">
            <w:pPr>
              <w:pStyle w:val="Tabletext"/>
              <w:jc w:val="both"/>
              <w:rPr>
                <w:rFonts w:eastAsia="Calibri" w:cs="Arial"/>
                <w:lang w:val="fr-FR" w:eastAsia="en-GB"/>
              </w:rPr>
            </w:pPr>
            <w:r w:rsidRPr="00491098">
              <w:rPr>
                <w:rFonts w:eastAsia="Calibri" w:cs="Arial"/>
                <w:lang w:val="fr-FR" w:eastAsia="en-GB"/>
              </w:rPr>
              <w:t xml:space="preserve">Le GCR a examiné certaines mesures visant à encourager le bon déroulement des réunions de l'UIT-R, notamment en </w:t>
            </w:r>
            <w:r w:rsidR="001D323C" w:rsidRPr="00491098">
              <w:rPr>
                <w:rFonts w:eastAsia="Calibri" w:cs="Arial"/>
                <w:lang w:val="fr-FR" w:eastAsia="en-GB"/>
              </w:rPr>
              <w:t xml:space="preserve">mode </w:t>
            </w:r>
            <w:r w:rsidRPr="00491098">
              <w:rPr>
                <w:rFonts w:eastAsia="Calibri" w:cs="Arial"/>
                <w:lang w:val="fr-FR" w:eastAsia="en-GB"/>
              </w:rPr>
              <w:t xml:space="preserve">virtuel. L'une de ces mesures consiste à </w:t>
            </w:r>
            <w:r w:rsidR="001D323C" w:rsidRPr="00491098">
              <w:rPr>
                <w:rFonts w:eastAsia="Calibri" w:cs="Arial"/>
                <w:lang w:val="fr-FR" w:eastAsia="en-GB"/>
              </w:rPr>
              <w:t>poster</w:t>
            </w:r>
            <w:r w:rsidRPr="00491098">
              <w:rPr>
                <w:rFonts w:eastAsia="Calibri" w:cs="Arial"/>
                <w:lang w:val="fr-FR" w:eastAsia="en-GB"/>
              </w:rPr>
              <w:t xml:space="preserve"> les ordres du jour des groupes de travail</w:t>
            </w:r>
            <w:r w:rsidR="001D323C" w:rsidRPr="00491098">
              <w:rPr>
                <w:rFonts w:eastAsia="Calibri" w:cs="Arial"/>
                <w:lang w:val="fr-FR" w:eastAsia="en-GB"/>
              </w:rPr>
              <w:t>,</w:t>
            </w:r>
            <w:r w:rsidRPr="00491098">
              <w:rPr>
                <w:rFonts w:eastAsia="Calibri" w:cs="Arial"/>
                <w:lang w:val="fr-FR" w:eastAsia="en-GB"/>
              </w:rPr>
              <w:t xml:space="preserve"> dans la mesure du possibl</w:t>
            </w:r>
            <w:r w:rsidR="001D323C" w:rsidRPr="00491098">
              <w:rPr>
                <w:rFonts w:eastAsia="Calibri" w:cs="Arial"/>
                <w:lang w:val="fr-FR" w:eastAsia="en-GB"/>
              </w:rPr>
              <w:t>e, sous la forme de documents ADM</w:t>
            </w:r>
            <w:r w:rsidR="00DF153D" w:rsidRPr="00491098">
              <w:rPr>
                <w:rFonts w:eastAsia="Calibri" w:cs="Arial"/>
                <w:lang w:val="fr-FR" w:eastAsia="en-GB"/>
              </w:rPr>
              <w:t>.</w:t>
            </w:r>
          </w:p>
          <w:p w14:paraId="429979F9" w14:textId="43CA98F9" w:rsidR="00E77F1B" w:rsidRPr="00491098" w:rsidRDefault="00E77F1B" w:rsidP="00311D13">
            <w:pPr>
              <w:pStyle w:val="Tabletext"/>
              <w:jc w:val="both"/>
              <w:rPr>
                <w:rFonts w:eastAsia="Calibri" w:cs="Arial"/>
                <w:lang w:val="fr-FR" w:eastAsia="en-GB"/>
              </w:rPr>
            </w:pPr>
            <w:r w:rsidRPr="00491098">
              <w:rPr>
                <w:rFonts w:eastAsia="Calibri" w:cs="Arial"/>
                <w:lang w:val="fr-FR" w:eastAsia="en-GB"/>
              </w:rPr>
              <w:t xml:space="preserve">Le GCR a appuyé la demande visant à encourager les </w:t>
            </w:r>
            <w:r w:rsidR="001D323C" w:rsidRPr="00491098">
              <w:rPr>
                <w:rFonts w:eastAsia="Calibri" w:cs="Arial"/>
                <w:lang w:val="fr-FR" w:eastAsia="en-GB"/>
              </w:rPr>
              <w:t>P</w:t>
            </w:r>
            <w:r w:rsidRPr="00491098">
              <w:rPr>
                <w:rFonts w:eastAsia="Calibri" w:cs="Arial"/>
                <w:lang w:val="fr-FR" w:eastAsia="en-GB"/>
              </w:rPr>
              <w:t>résidents des commissions d'études et des groupes de travail de l'UIT-R</w:t>
            </w:r>
            <w:r w:rsidR="001D323C" w:rsidRPr="00491098">
              <w:rPr>
                <w:rFonts w:eastAsia="Calibri" w:cs="Arial"/>
                <w:lang w:val="fr-FR" w:eastAsia="en-GB"/>
              </w:rPr>
              <w:t xml:space="preserve"> à recourir aux</w:t>
            </w:r>
            <w:r w:rsidR="00A22FB4" w:rsidRPr="00491098">
              <w:rPr>
                <w:rFonts w:eastAsia="Calibri" w:cs="Arial"/>
                <w:lang w:val="fr-FR" w:eastAsia="en-GB"/>
              </w:rPr>
              <w:t xml:space="preserve"> </w:t>
            </w:r>
            <w:r w:rsidRPr="00491098">
              <w:rPr>
                <w:rFonts w:eastAsia="Calibri" w:cs="Arial"/>
                <w:lang w:val="fr-FR" w:eastAsia="en-GB"/>
              </w:rPr>
              <w:t>mécanismes existants</w:t>
            </w:r>
            <w:r w:rsidR="001D323C" w:rsidRPr="00491098">
              <w:rPr>
                <w:rFonts w:eastAsia="Calibri" w:cs="Arial"/>
                <w:lang w:val="fr-FR" w:eastAsia="en-GB"/>
              </w:rPr>
              <w:t xml:space="preserve"> pour transmettre</w:t>
            </w:r>
            <w:r w:rsidRPr="00491098">
              <w:rPr>
                <w:rFonts w:eastAsia="Calibri" w:cs="Arial"/>
                <w:lang w:val="fr-FR" w:eastAsia="en-GB"/>
              </w:rPr>
              <w:t xml:space="preserve"> aux commissions d'études </w:t>
            </w:r>
            <w:r w:rsidR="001D323C" w:rsidRPr="00491098">
              <w:rPr>
                <w:rFonts w:eastAsia="Calibri" w:cs="Arial"/>
                <w:lang w:val="fr-FR" w:eastAsia="en-GB"/>
              </w:rPr>
              <w:t>concernées</w:t>
            </w:r>
            <w:r w:rsidRPr="00491098">
              <w:rPr>
                <w:rFonts w:eastAsia="Calibri" w:cs="Arial"/>
                <w:lang w:val="fr-FR" w:eastAsia="en-GB"/>
              </w:rPr>
              <w:t xml:space="preserve"> de l'UIT-D des résumés des</w:t>
            </w:r>
            <w:r w:rsidR="001D323C" w:rsidRPr="00491098">
              <w:rPr>
                <w:color w:val="000000"/>
                <w:lang w:val="fr-FR"/>
              </w:rPr>
              <w:t xml:space="preserve"> résultats obtenus</w:t>
            </w:r>
            <w:r w:rsidR="00A22FB4" w:rsidRPr="00491098">
              <w:rPr>
                <w:rFonts w:eastAsia="Calibri" w:cs="Arial"/>
                <w:lang w:val="fr-FR" w:eastAsia="en-GB"/>
              </w:rPr>
              <w:t xml:space="preserve"> </w:t>
            </w:r>
            <w:r w:rsidRPr="00491098">
              <w:rPr>
                <w:rFonts w:eastAsia="Calibri" w:cs="Arial"/>
                <w:lang w:val="fr-FR" w:eastAsia="en-GB"/>
              </w:rPr>
              <w:t>réce</w:t>
            </w:r>
            <w:r w:rsidR="001D323C" w:rsidRPr="00491098">
              <w:rPr>
                <w:rFonts w:eastAsia="Calibri" w:cs="Arial"/>
                <w:lang w:val="fr-FR" w:eastAsia="en-GB"/>
              </w:rPr>
              <w:t>mment par</w:t>
            </w:r>
            <w:r w:rsidR="00A22FB4" w:rsidRPr="00491098">
              <w:rPr>
                <w:rFonts w:eastAsia="Calibri" w:cs="Arial"/>
                <w:lang w:val="fr-FR" w:eastAsia="en-GB"/>
              </w:rPr>
              <w:t xml:space="preserve"> </w:t>
            </w:r>
            <w:r w:rsidRPr="00491098">
              <w:rPr>
                <w:rFonts w:eastAsia="Calibri" w:cs="Arial"/>
                <w:lang w:val="fr-FR" w:eastAsia="en-GB"/>
              </w:rPr>
              <w:t>leur commission d'études ou</w:t>
            </w:r>
            <w:r w:rsidR="00A22FB4" w:rsidRPr="00491098">
              <w:rPr>
                <w:rFonts w:eastAsia="Calibri" w:cs="Arial"/>
                <w:lang w:val="fr-FR" w:eastAsia="en-GB"/>
              </w:rPr>
              <w:t xml:space="preserve"> </w:t>
            </w:r>
            <w:r w:rsidRPr="00491098">
              <w:rPr>
                <w:rFonts w:eastAsia="Calibri" w:cs="Arial"/>
                <w:lang w:val="fr-FR" w:eastAsia="en-GB"/>
              </w:rPr>
              <w:t>leur groupe de travail.</w:t>
            </w:r>
          </w:p>
          <w:p w14:paraId="2CCEF62E" w14:textId="37C42255" w:rsidR="00407B30" w:rsidRPr="00491098" w:rsidRDefault="00E77F1B" w:rsidP="00311D13">
            <w:pPr>
              <w:pStyle w:val="Tabletext"/>
              <w:jc w:val="both"/>
              <w:rPr>
                <w:rFonts w:eastAsia="Calibri" w:cs="Arial"/>
                <w:lang w:val="fr-FR" w:eastAsia="en-GB"/>
              </w:rPr>
            </w:pPr>
            <w:r w:rsidRPr="00491098">
              <w:rPr>
                <w:rFonts w:eastAsia="Calibri" w:cs="Arial"/>
                <w:lang w:val="fr-FR" w:eastAsia="en-GB"/>
              </w:rPr>
              <w:lastRenderedPageBreak/>
              <w:t xml:space="preserve">Le GCR a </w:t>
            </w:r>
            <w:r w:rsidR="001D323C" w:rsidRPr="00491098">
              <w:rPr>
                <w:rFonts w:eastAsia="Calibri" w:cs="Arial"/>
                <w:lang w:val="fr-FR" w:eastAsia="en-GB"/>
              </w:rPr>
              <w:t>recommandé</w:t>
            </w:r>
            <w:r w:rsidRPr="00491098">
              <w:rPr>
                <w:rFonts w:eastAsia="Calibri" w:cs="Arial"/>
                <w:lang w:val="fr-FR" w:eastAsia="en-GB"/>
              </w:rPr>
              <w:t xml:space="preserve"> au Directeur d'</w:t>
            </w:r>
            <w:r w:rsidR="001D323C" w:rsidRPr="00491098">
              <w:rPr>
                <w:rFonts w:eastAsia="Calibri" w:cs="Arial"/>
                <w:lang w:val="fr-FR" w:eastAsia="en-GB"/>
              </w:rPr>
              <w:t>étudier</w:t>
            </w:r>
            <w:r w:rsidRPr="00491098">
              <w:rPr>
                <w:rFonts w:eastAsia="Calibri" w:cs="Arial"/>
                <w:lang w:val="fr-FR" w:eastAsia="en-GB"/>
              </w:rPr>
              <w:t xml:space="preserve"> la possibilité </w:t>
            </w:r>
            <w:r w:rsidR="001D323C" w:rsidRPr="00491098">
              <w:rPr>
                <w:color w:val="000000"/>
                <w:lang w:val="fr-FR"/>
              </w:rPr>
              <w:t>d'affiner encore</w:t>
            </w:r>
            <w:r w:rsidR="001D323C" w:rsidRPr="00491098">
              <w:rPr>
                <w:rFonts w:eastAsia="Calibri" w:cs="Arial"/>
                <w:lang w:val="fr-FR" w:eastAsia="en-GB"/>
              </w:rPr>
              <w:t xml:space="preserve"> </w:t>
            </w:r>
            <w:r w:rsidRPr="00491098">
              <w:rPr>
                <w:rFonts w:eastAsia="Calibri" w:cs="Arial"/>
                <w:lang w:val="fr-FR" w:eastAsia="en-GB"/>
              </w:rPr>
              <w:t>les lignes directrices existantes</w:t>
            </w:r>
            <w:r w:rsidR="006E1112" w:rsidRPr="00491098">
              <w:rPr>
                <w:rFonts w:eastAsia="Calibri" w:cs="Arial"/>
                <w:lang w:val="fr-FR" w:eastAsia="en-GB"/>
              </w:rPr>
              <w:t>,</w:t>
            </w:r>
            <w:r w:rsidRPr="00491098">
              <w:rPr>
                <w:rFonts w:eastAsia="Calibri" w:cs="Arial"/>
                <w:lang w:val="fr-FR" w:eastAsia="en-GB"/>
              </w:rPr>
              <w:t xml:space="preserve"> afin d'améliorer </w:t>
            </w:r>
            <w:r w:rsidR="002F71C2" w:rsidRPr="00491098">
              <w:rPr>
                <w:rFonts w:eastAsia="Calibri" w:cs="Arial"/>
                <w:lang w:val="fr-FR" w:eastAsia="en-GB"/>
              </w:rPr>
              <w:t>le déroulement</w:t>
            </w:r>
            <w:r w:rsidR="006E1112" w:rsidRPr="00491098">
              <w:rPr>
                <w:rFonts w:eastAsia="Calibri" w:cs="Arial"/>
                <w:lang w:val="fr-FR" w:eastAsia="en-GB"/>
              </w:rPr>
              <w:t xml:space="preserve"> en ligne </w:t>
            </w:r>
            <w:r w:rsidRPr="00491098">
              <w:rPr>
                <w:rFonts w:eastAsia="Calibri" w:cs="Arial"/>
                <w:lang w:val="fr-FR" w:eastAsia="en-GB"/>
              </w:rPr>
              <w:t>des réunions</w:t>
            </w:r>
            <w:r w:rsidR="00DF153D" w:rsidRPr="00491098">
              <w:rPr>
                <w:rFonts w:eastAsia="Calibri" w:cs="Arial"/>
                <w:lang w:val="fr-FR" w:eastAsia="en-GB"/>
              </w:rPr>
              <w:t>.</w:t>
            </w:r>
          </w:p>
          <w:p w14:paraId="3A0EC929" w14:textId="323B46C0" w:rsidR="00FE21C1" w:rsidRPr="00491098" w:rsidRDefault="00FE21C1" w:rsidP="00311D13">
            <w:pPr>
              <w:pStyle w:val="Tabletext"/>
              <w:jc w:val="both"/>
              <w:rPr>
                <w:rFonts w:eastAsia="Calibri"/>
                <w:lang w:val="fr-FR" w:eastAsia="en-GB"/>
              </w:rPr>
            </w:pPr>
            <w:r w:rsidRPr="00491098">
              <w:rPr>
                <w:rFonts w:eastAsia="Calibri"/>
                <w:lang w:val="fr-FR" w:eastAsia="en-GB"/>
              </w:rPr>
              <w:t xml:space="preserve">Le GCR a noté que les </w:t>
            </w:r>
            <w:r w:rsidRPr="00491098">
              <w:rPr>
                <w:color w:val="000000"/>
                <w:lang w:val="fr-FR"/>
              </w:rPr>
              <w:t>Règles générales régissant les conférences, assemblées et réunions de l'Union</w:t>
            </w:r>
            <w:r w:rsidR="00A22FB4" w:rsidRPr="00491098">
              <w:rPr>
                <w:rFonts w:eastAsia="Calibri"/>
                <w:lang w:val="fr-FR" w:eastAsia="en-GB"/>
              </w:rPr>
              <w:t xml:space="preserve"> </w:t>
            </w:r>
            <w:r w:rsidRPr="00491098">
              <w:rPr>
                <w:rFonts w:eastAsia="Calibri"/>
                <w:lang w:val="fr-FR" w:eastAsia="en-GB"/>
              </w:rPr>
              <w:t xml:space="preserve">s'appliquaient aux réunions de l'UIT-R et que la stricte application de ces Règles était nécessaire pour </w:t>
            </w:r>
            <w:r w:rsidRPr="00491098">
              <w:rPr>
                <w:color w:val="000000"/>
                <w:lang w:val="fr-FR"/>
              </w:rPr>
              <w:t>faire progresser les travaux</w:t>
            </w:r>
            <w:r w:rsidR="00DF153D" w:rsidRPr="00491098">
              <w:rPr>
                <w:color w:val="000000"/>
                <w:lang w:val="fr-FR"/>
              </w:rPr>
              <w:t>.</w:t>
            </w:r>
          </w:p>
          <w:p w14:paraId="6447F01A" w14:textId="2F30EA6A" w:rsidR="00FE21C1" w:rsidRPr="00491098" w:rsidRDefault="00FE21C1" w:rsidP="00311D13">
            <w:pPr>
              <w:pStyle w:val="Tabletext"/>
              <w:jc w:val="both"/>
              <w:rPr>
                <w:rFonts w:eastAsia="Calibri"/>
                <w:lang w:val="fr-FR" w:eastAsia="en-GB"/>
              </w:rPr>
            </w:pPr>
            <w:r w:rsidRPr="00491098">
              <w:rPr>
                <w:rFonts w:eastAsia="Calibri"/>
                <w:lang w:val="fr-FR" w:eastAsia="en-GB"/>
              </w:rPr>
              <w:t xml:space="preserve">Le GCR a prié le BR de tenir à jour les pages web des commissions d'études. </w:t>
            </w:r>
          </w:p>
          <w:p w14:paraId="5D85D0A9" w14:textId="14DD627A" w:rsidR="00407B30" w:rsidRPr="00491098" w:rsidRDefault="00FE21C1" w:rsidP="00311D13">
            <w:pPr>
              <w:pStyle w:val="Tabletext"/>
              <w:jc w:val="both"/>
              <w:rPr>
                <w:rFonts w:eastAsia="Calibri"/>
                <w:lang w:val="fr-FR" w:eastAsia="en-GB"/>
              </w:rPr>
            </w:pPr>
            <w:r w:rsidRPr="00491098">
              <w:rPr>
                <w:rFonts w:eastAsia="Calibri"/>
                <w:lang w:val="fr-FR" w:eastAsia="en-GB"/>
              </w:rPr>
              <w:t>Le GCR a pris note du Document RAG21/28 relatif aux notes de</w:t>
            </w:r>
            <w:r w:rsidR="00A22FB4" w:rsidRPr="00491098">
              <w:rPr>
                <w:rFonts w:eastAsia="Calibri"/>
                <w:lang w:val="fr-FR" w:eastAsia="en-GB"/>
              </w:rPr>
              <w:t xml:space="preserve"> </w:t>
            </w:r>
            <w:r w:rsidRPr="00491098">
              <w:rPr>
                <w:rFonts w:eastAsia="Calibri"/>
                <w:lang w:val="fr-FR" w:eastAsia="en-GB"/>
              </w:rPr>
              <w:t>liaison et a décidé, à l</w:t>
            </w:r>
            <w:r w:rsidR="00A22FB4" w:rsidRPr="00491098">
              <w:rPr>
                <w:rFonts w:eastAsia="Calibri"/>
                <w:lang w:val="fr-FR" w:eastAsia="en-GB"/>
              </w:rPr>
              <w:t>'</w:t>
            </w:r>
            <w:r w:rsidRPr="00491098">
              <w:rPr>
                <w:rFonts w:eastAsia="Calibri"/>
                <w:lang w:val="fr-FR" w:eastAsia="en-GB"/>
              </w:rPr>
              <w:t>issue d</w:t>
            </w:r>
            <w:r w:rsidR="00A22FB4" w:rsidRPr="00491098">
              <w:rPr>
                <w:rFonts w:eastAsia="Calibri"/>
                <w:lang w:val="fr-FR" w:eastAsia="en-GB"/>
              </w:rPr>
              <w:t>'</w:t>
            </w:r>
            <w:r w:rsidRPr="00491098">
              <w:rPr>
                <w:rFonts w:eastAsia="Calibri"/>
                <w:lang w:val="fr-FR" w:eastAsia="en-GB"/>
              </w:rPr>
              <w:t>un débat sur les avantages et</w:t>
            </w:r>
            <w:r w:rsidR="00A22FB4" w:rsidRPr="00491098">
              <w:rPr>
                <w:rFonts w:eastAsia="Calibri"/>
                <w:lang w:val="fr-FR" w:eastAsia="en-GB"/>
              </w:rPr>
              <w:t xml:space="preserve"> </w:t>
            </w:r>
            <w:r w:rsidRPr="00491098">
              <w:rPr>
                <w:rFonts w:eastAsia="Calibri"/>
                <w:lang w:val="fr-FR" w:eastAsia="en-GB"/>
              </w:rPr>
              <w:t>inconvénients de la proposition,</w:t>
            </w:r>
            <w:r w:rsidR="00A22FB4" w:rsidRPr="00491098">
              <w:rPr>
                <w:rFonts w:eastAsia="Calibri"/>
                <w:lang w:val="fr-FR" w:eastAsia="en-GB"/>
              </w:rPr>
              <w:t xml:space="preserve"> </w:t>
            </w:r>
            <w:r w:rsidRPr="00491098">
              <w:rPr>
                <w:rFonts w:eastAsia="Calibri"/>
                <w:lang w:val="fr-FR" w:eastAsia="en-GB"/>
              </w:rPr>
              <w:t xml:space="preserve">de ne pas apporter de modifications aux lignes directrices </w:t>
            </w:r>
            <w:r w:rsidR="002266F7" w:rsidRPr="00491098">
              <w:rPr>
                <w:rFonts w:eastAsia="Calibri"/>
                <w:lang w:val="fr-FR" w:eastAsia="en-GB"/>
              </w:rPr>
              <w:t xml:space="preserve">pour ce qui est </w:t>
            </w:r>
            <w:r w:rsidRPr="00491098">
              <w:rPr>
                <w:rFonts w:eastAsia="Calibri"/>
                <w:lang w:val="fr-FR" w:eastAsia="en-GB"/>
              </w:rPr>
              <w:t>de l'approbation des notes de</w:t>
            </w:r>
            <w:r w:rsidR="00A22FB4" w:rsidRPr="00491098">
              <w:rPr>
                <w:rFonts w:eastAsia="Calibri"/>
                <w:lang w:val="fr-FR" w:eastAsia="en-GB"/>
              </w:rPr>
              <w:t xml:space="preserve"> </w:t>
            </w:r>
            <w:r w:rsidRPr="00491098">
              <w:rPr>
                <w:rFonts w:eastAsia="Calibri"/>
                <w:lang w:val="fr-FR" w:eastAsia="en-GB"/>
              </w:rPr>
              <w:t>liaison par les groupes de travail.</w:t>
            </w:r>
          </w:p>
        </w:tc>
      </w:tr>
      <w:tr w:rsidR="00407B30" w:rsidRPr="00F8073F" w14:paraId="0C9DE0AE" w14:textId="77777777" w:rsidTr="004269AD">
        <w:trPr>
          <w:jc w:val="center"/>
        </w:trPr>
        <w:tc>
          <w:tcPr>
            <w:tcW w:w="339" w:type="pct"/>
          </w:tcPr>
          <w:p w14:paraId="3F529F69" w14:textId="1FC13C1E" w:rsidR="00407B30" w:rsidRPr="00491098" w:rsidRDefault="00407B30" w:rsidP="00311D13">
            <w:pPr>
              <w:pStyle w:val="Tabletext"/>
              <w:jc w:val="both"/>
              <w:rPr>
                <w:lang w:val="fr-FR" w:eastAsia="en-GB"/>
              </w:rPr>
            </w:pPr>
            <w:r w:rsidRPr="00491098">
              <w:rPr>
                <w:lang w:val="fr-FR" w:eastAsia="en-GB"/>
              </w:rPr>
              <w:lastRenderedPageBreak/>
              <w:t>7</w:t>
            </w:r>
          </w:p>
        </w:tc>
        <w:tc>
          <w:tcPr>
            <w:tcW w:w="865" w:type="pct"/>
          </w:tcPr>
          <w:p w14:paraId="532C1A9F" w14:textId="75B65A89" w:rsidR="00407B30" w:rsidRPr="00491098" w:rsidRDefault="00820201" w:rsidP="00900C6D">
            <w:pPr>
              <w:pStyle w:val="Tabletext"/>
              <w:rPr>
                <w:lang w:val="fr-FR" w:eastAsia="en-GB"/>
              </w:rPr>
            </w:pPr>
            <w:r w:rsidRPr="00491098">
              <w:rPr>
                <w:lang w:val="fr-FR" w:eastAsia="en-GB"/>
              </w:rPr>
              <w:t>Activités intersectorielles</w:t>
            </w:r>
          </w:p>
          <w:p w14:paraId="2D7E1708" w14:textId="3D825DD8" w:rsidR="00407B30" w:rsidRPr="00491098" w:rsidRDefault="00725647" w:rsidP="00900C6D">
            <w:pPr>
              <w:pStyle w:val="Tabletext"/>
              <w:spacing w:before="120" w:after="0"/>
              <w:rPr>
                <w:iCs/>
                <w:lang w:val="fr-FR" w:eastAsia="en-GB"/>
              </w:rPr>
            </w:pPr>
            <w:r w:rsidRPr="00491098">
              <w:rPr>
                <w:iCs/>
                <w:lang w:val="fr-FR" w:eastAsia="en-GB"/>
              </w:rPr>
              <w:t xml:space="preserve">Documents du </w:t>
            </w:r>
            <w:proofErr w:type="gramStart"/>
            <w:r w:rsidRPr="00491098">
              <w:rPr>
                <w:iCs/>
                <w:lang w:val="fr-FR" w:eastAsia="en-GB"/>
              </w:rPr>
              <w:t>GCR:</w:t>
            </w:r>
            <w:proofErr w:type="gramEnd"/>
          </w:p>
          <w:p w14:paraId="5FBA4893" w14:textId="59464FEB" w:rsidR="00407B30" w:rsidRPr="00491098" w:rsidRDefault="00407B30" w:rsidP="00900C6D">
            <w:pPr>
              <w:pStyle w:val="Tabletext"/>
              <w:spacing w:before="0"/>
              <w:rPr>
                <w:iCs/>
                <w:color w:val="000000"/>
                <w:shd w:val="clear" w:color="auto" w:fill="FFFFFF"/>
                <w:lang w:val="fr-FR" w:eastAsia="en-GB"/>
              </w:rPr>
            </w:pPr>
            <w:r w:rsidRPr="00491098">
              <w:rPr>
                <w:iCs/>
                <w:lang w:val="fr-FR" w:eastAsia="en-GB"/>
              </w:rPr>
              <w:t>25, 34</w:t>
            </w:r>
          </w:p>
        </w:tc>
        <w:tc>
          <w:tcPr>
            <w:tcW w:w="3796" w:type="pct"/>
          </w:tcPr>
          <w:p w14:paraId="35714BDD" w14:textId="58642CC9" w:rsidR="002266F7" w:rsidRPr="00491098" w:rsidRDefault="002266F7" w:rsidP="00311D13">
            <w:pPr>
              <w:pStyle w:val="Tabletext"/>
              <w:jc w:val="both"/>
              <w:rPr>
                <w:rFonts w:eastAsia="Calibri"/>
                <w:lang w:val="fr-FR" w:eastAsia="en-GB"/>
              </w:rPr>
            </w:pPr>
            <w:r w:rsidRPr="00491098">
              <w:rPr>
                <w:rFonts w:eastAsia="Calibri"/>
                <w:lang w:val="fr-FR" w:eastAsia="en-GB"/>
              </w:rPr>
              <w:t>Le GCR a pris</w:t>
            </w:r>
            <w:r w:rsidRPr="00491098">
              <w:rPr>
                <w:color w:val="000000"/>
                <w:lang w:val="fr-FR"/>
              </w:rPr>
              <w:t xml:space="preserve"> note avec satisfaction</w:t>
            </w:r>
            <w:r w:rsidRPr="00491098">
              <w:rPr>
                <w:rFonts w:eastAsia="Calibri"/>
                <w:lang w:val="fr-FR" w:eastAsia="en-GB"/>
              </w:rPr>
              <w:t xml:space="preserve"> de la note</w:t>
            </w:r>
            <w:r w:rsidR="00A22FB4" w:rsidRPr="00491098">
              <w:rPr>
                <w:rFonts w:eastAsia="Calibri"/>
                <w:lang w:val="fr-FR" w:eastAsia="en-GB"/>
              </w:rPr>
              <w:t xml:space="preserve"> </w:t>
            </w:r>
            <w:r w:rsidRPr="00491098">
              <w:rPr>
                <w:rFonts w:eastAsia="Calibri"/>
                <w:lang w:val="fr-FR" w:eastAsia="en-GB"/>
              </w:rPr>
              <w:t xml:space="preserve">de liaison figurant dans le Document RAG21/25 et a estimé que la question soulevée dans ce document avait déjà été traitée par les groupes de travail concernés. </w:t>
            </w:r>
          </w:p>
          <w:p w14:paraId="56781BA0" w14:textId="08AE50C2" w:rsidR="002266F7" w:rsidRPr="00491098" w:rsidRDefault="002266F7" w:rsidP="00311D13">
            <w:pPr>
              <w:pStyle w:val="Tabletext"/>
              <w:jc w:val="both"/>
              <w:rPr>
                <w:rFonts w:eastAsia="Calibri"/>
                <w:lang w:val="fr-FR" w:eastAsia="en-GB"/>
              </w:rPr>
            </w:pPr>
            <w:r w:rsidRPr="00491098">
              <w:rPr>
                <w:rFonts w:eastAsia="Calibri"/>
                <w:lang w:val="fr-FR" w:eastAsia="en-GB"/>
              </w:rPr>
              <w:t>Le GCR a pris acte</w:t>
            </w:r>
            <w:r w:rsidR="00A22FB4" w:rsidRPr="00491098">
              <w:rPr>
                <w:rFonts w:eastAsia="Calibri"/>
                <w:lang w:val="fr-FR" w:eastAsia="en-GB"/>
              </w:rPr>
              <w:t xml:space="preserve"> </w:t>
            </w:r>
            <w:r w:rsidRPr="00491098">
              <w:rPr>
                <w:rFonts w:eastAsia="Calibri"/>
                <w:lang w:val="fr-FR" w:eastAsia="en-GB"/>
              </w:rPr>
              <w:t>de la note</w:t>
            </w:r>
            <w:r w:rsidR="00A22FB4" w:rsidRPr="00491098">
              <w:rPr>
                <w:rFonts w:eastAsia="Calibri"/>
                <w:lang w:val="fr-FR" w:eastAsia="en-GB"/>
              </w:rPr>
              <w:t xml:space="preserve"> </w:t>
            </w:r>
            <w:r w:rsidRPr="00491098">
              <w:rPr>
                <w:rFonts w:eastAsia="Calibri"/>
                <w:lang w:val="fr-FR" w:eastAsia="en-GB"/>
              </w:rPr>
              <w:t>de liaison figurant dans le document RAG21/34 et a remercié M. Fabio Bigi pour le rapport et les travaux effectués au sein</w:t>
            </w:r>
            <w:r w:rsidR="00A22FB4" w:rsidRPr="00491098">
              <w:rPr>
                <w:rFonts w:eastAsia="Calibri"/>
                <w:lang w:val="fr-FR" w:eastAsia="en-GB"/>
              </w:rPr>
              <w:t xml:space="preserve"> </w:t>
            </w:r>
            <w:r w:rsidRPr="00491098">
              <w:rPr>
                <w:rFonts w:eastAsia="Calibri"/>
                <w:lang w:val="fr-FR" w:eastAsia="en-GB"/>
              </w:rPr>
              <w:t xml:space="preserve">du </w:t>
            </w:r>
            <w:r w:rsidRPr="00491098">
              <w:rPr>
                <w:color w:val="000000"/>
                <w:lang w:val="fr-FR"/>
              </w:rPr>
              <w:t>Groupe ISCG.</w:t>
            </w:r>
            <w:r w:rsidR="00A22FB4" w:rsidRPr="00491098">
              <w:rPr>
                <w:color w:val="000000"/>
                <w:lang w:val="fr-FR"/>
              </w:rPr>
              <w:t xml:space="preserve"> </w:t>
            </w:r>
            <w:r w:rsidRPr="00491098">
              <w:rPr>
                <w:rFonts w:eastAsia="Calibri"/>
                <w:lang w:val="fr-FR" w:eastAsia="en-GB"/>
              </w:rPr>
              <w:t>En ce qui concerne la mise à jour des tableaux de correspondance figurant dans la Pièce jointe 2 du Document RAG21/34, le GCR propose que</w:t>
            </w:r>
            <w:r w:rsidRPr="00491098">
              <w:rPr>
                <w:color w:val="000000"/>
                <w:lang w:val="fr-FR"/>
              </w:rPr>
              <w:t xml:space="preserve"> le travail de mise en correspondance intersectorielle</w:t>
            </w:r>
            <w:r w:rsidRPr="00491098">
              <w:rPr>
                <w:rFonts w:eastAsia="Calibri"/>
                <w:lang w:val="fr-FR" w:eastAsia="en-GB"/>
              </w:rPr>
              <w:t xml:space="preserve"> </w:t>
            </w:r>
            <w:r w:rsidRPr="00491098">
              <w:rPr>
                <w:lang w:val="fr-FR"/>
              </w:rPr>
              <w:t>proprement dit</w:t>
            </w:r>
            <w:r w:rsidR="00A22FB4" w:rsidRPr="00491098">
              <w:rPr>
                <w:rFonts w:eastAsia="Calibri"/>
                <w:lang w:val="fr-FR" w:eastAsia="en-GB"/>
              </w:rPr>
              <w:t xml:space="preserve"> </w:t>
            </w:r>
            <w:r w:rsidRPr="00491098">
              <w:rPr>
                <w:rFonts w:eastAsia="Calibri"/>
                <w:lang w:val="fr-FR" w:eastAsia="en-GB"/>
              </w:rPr>
              <w:t>continue d'être effectué par le BDT, le BR et le TSB.</w:t>
            </w:r>
          </w:p>
          <w:p w14:paraId="269054D0" w14:textId="7C2A088C" w:rsidR="002266F7" w:rsidRPr="00491098" w:rsidRDefault="002266F7" w:rsidP="00311D13">
            <w:pPr>
              <w:pStyle w:val="Tabletext"/>
              <w:jc w:val="both"/>
              <w:rPr>
                <w:rFonts w:eastAsia="Calibri"/>
                <w:lang w:val="fr-FR" w:eastAsia="en-GB"/>
              </w:rPr>
            </w:pPr>
            <w:r w:rsidRPr="00491098">
              <w:rPr>
                <w:rFonts w:eastAsia="Calibri"/>
                <w:lang w:val="fr-FR" w:eastAsia="en-GB"/>
              </w:rPr>
              <w:t>Le GCR a également pris note de la confirmation par M. Buonomo selon laquelle le tableau de correspondance figurant dans le Document RAG21/34 est examiné</w:t>
            </w:r>
            <w:r w:rsidR="00A22FB4" w:rsidRPr="00491098">
              <w:rPr>
                <w:rFonts w:eastAsia="Calibri"/>
                <w:lang w:val="fr-FR" w:eastAsia="en-GB"/>
              </w:rPr>
              <w:t xml:space="preserve"> </w:t>
            </w:r>
            <w:r w:rsidR="002F71C2" w:rsidRPr="00491098">
              <w:rPr>
                <w:rFonts w:eastAsia="Calibri"/>
                <w:lang w:val="fr-FR" w:eastAsia="en-GB"/>
              </w:rPr>
              <w:t>périodiquement</w:t>
            </w:r>
            <w:r w:rsidRPr="00491098">
              <w:rPr>
                <w:rFonts w:eastAsia="Calibri"/>
                <w:lang w:val="fr-FR" w:eastAsia="en-GB"/>
              </w:rPr>
              <w:t xml:space="preserve"> par le Département des commissions d'études du BR et qu'il est actuellement à jour.</w:t>
            </w:r>
            <w:r w:rsidR="002F71C2" w:rsidRPr="00491098">
              <w:rPr>
                <w:rFonts w:eastAsia="Calibri"/>
                <w:lang w:val="fr-FR" w:eastAsia="en-GB"/>
              </w:rPr>
              <w:t xml:space="preserve"> </w:t>
            </w:r>
          </w:p>
          <w:p w14:paraId="51C4B8B9" w14:textId="4586E0B4" w:rsidR="00407B30" w:rsidRPr="00491098" w:rsidRDefault="002266F7" w:rsidP="00311D13">
            <w:pPr>
              <w:pStyle w:val="Tabletext"/>
              <w:jc w:val="both"/>
              <w:rPr>
                <w:rFonts w:eastAsia="Calibri"/>
                <w:lang w:val="fr-FR" w:eastAsia="en-GB"/>
              </w:rPr>
            </w:pPr>
            <w:r w:rsidRPr="00491098">
              <w:rPr>
                <w:rFonts w:eastAsia="Calibri"/>
                <w:lang w:val="fr-FR" w:eastAsia="en-GB"/>
              </w:rPr>
              <w:t xml:space="preserve">Le GCR invite le </w:t>
            </w:r>
            <w:r w:rsidRPr="00491098">
              <w:rPr>
                <w:color w:val="000000"/>
                <w:lang w:val="fr-FR"/>
              </w:rPr>
              <w:t>Groupe ISCG</w:t>
            </w:r>
            <w:r w:rsidRPr="00491098">
              <w:rPr>
                <w:rFonts w:eastAsia="Calibri"/>
                <w:lang w:val="fr-FR" w:eastAsia="en-GB"/>
              </w:rPr>
              <w:t xml:space="preserve"> à examiner les propositions formulées au cours de la réunion du GCR, y compris</w:t>
            </w:r>
            <w:r w:rsidR="005962BC" w:rsidRPr="00491098">
              <w:rPr>
                <w:rFonts w:eastAsia="Calibri"/>
                <w:lang w:val="fr-FR" w:eastAsia="en-GB"/>
              </w:rPr>
              <w:t xml:space="preserve"> celle visant à</w:t>
            </w:r>
            <w:r w:rsidR="00A22FB4" w:rsidRPr="00491098">
              <w:rPr>
                <w:rFonts w:eastAsia="Calibri"/>
                <w:lang w:val="fr-FR" w:eastAsia="en-GB"/>
              </w:rPr>
              <w:t xml:space="preserve"> </w:t>
            </w:r>
            <w:r w:rsidRPr="00491098">
              <w:rPr>
                <w:rFonts w:eastAsia="Calibri"/>
                <w:lang w:val="fr-FR" w:eastAsia="en-GB"/>
              </w:rPr>
              <w:t>harmonis</w:t>
            </w:r>
            <w:r w:rsidR="005962BC" w:rsidRPr="00491098">
              <w:rPr>
                <w:rFonts w:eastAsia="Calibri"/>
                <w:lang w:val="fr-FR" w:eastAsia="en-GB"/>
              </w:rPr>
              <w:t>er</w:t>
            </w:r>
            <w:r w:rsidRPr="00491098">
              <w:rPr>
                <w:rFonts w:eastAsia="Calibri"/>
                <w:lang w:val="fr-FR" w:eastAsia="en-GB"/>
              </w:rPr>
              <w:t xml:space="preserve"> </w:t>
            </w:r>
            <w:r w:rsidR="005962BC" w:rsidRPr="00491098">
              <w:rPr>
                <w:rFonts w:eastAsia="Calibri"/>
                <w:lang w:val="fr-FR" w:eastAsia="en-GB"/>
              </w:rPr>
              <w:t>l</w:t>
            </w:r>
            <w:r w:rsidRPr="00491098">
              <w:rPr>
                <w:rFonts w:eastAsia="Calibri"/>
                <w:lang w:val="fr-FR" w:eastAsia="en-GB"/>
              </w:rPr>
              <w:t>es lignes directrices sur la façon d'indiquer les principales réalisations/les principaux produits</w:t>
            </w:r>
            <w:r w:rsidR="00A22FB4" w:rsidRPr="00491098">
              <w:rPr>
                <w:rFonts w:eastAsia="Calibri"/>
                <w:lang w:val="fr-FR" w:eastAsia="en-GB"/>
              </w:rPr>
              <w:t xml:space="preserve"> </w:t>
            </w:r>
            <w:r w:rsidR="005962BC" w:rsidRPr="00491098">
              <w:rPr>
                <w:rFonts w:eastAsia="Calibri"/>
                <w:lang w:val="fr-FR" w:eastAsia="en-GB"/>
              </w:rPr>
              <w:t>des</w:t>
            </w:r>
            <w:r w:rsidRPr="00491098">
              <w:rPr>
                <w:rFonts w:eastAsia="Calibri"/>
                <w:lang w:val="fr-FR" w:eastAsia="en-GB"/>
              </w:rPr>
              <w:t xml:space="preserve"> Secteurs de l'UIT-R et de l'UIT-T</w:t>
            </w:r>
            <w:r w:rsidR="00A22FB4" w:rsidRPr="00491098">
              <w:rPr>
                <w:rFonts w:eastAsia="Calibri"/>
                <w:lang w:val="fr-FR" w:eastAsia="en-GB"/>
              </w:rPr>
              <w:t xml:space="preserve"> </w:t>
            </w:r>
            <w:r w:rsidR="005962BC" w:rsidRPr="00491098">
              <w:rPr>
                <w:rFonts w:eastAsia="Calibri"/>
                <w:lang w:val="fr-FR" w:eastAsia="en-GB"/>
              </w:rPr>
              <w:t xml:space="preserve">qui seront </w:t>
            </w:r>
            <w:r w:rsidR="002F71C2" w:rsidRPr="00491098">
              <w:rPr>
                <w:color w:val="000000"/>
                <w:lang w:val="fr-FR"/>
              </w:rPr>
              <w:t xml:space="preserve">transmis </w:t>
            </w:r>
            <w:r w:rsidR="005962BC" w:rsidRPr="00491098">
              <w:rPr>
                <w:rFonts w:eastAsia="Calibri"/>
                <w:lang w:val="fr-FR" w:eastAsia="en-GB"/>
              </w:rPr>
              <w:t xml:space="preserve">à </w:t>
            </w:r>
            <w:r w:rsidRPr="00491098">
              <w:rPr>
                <w:rFonts w:eastAsia="Calibri"/>
                <w:lang w:val="fr-FR" w:eastAsia="en-GB"/>
              </w:rPr>
              <w:t xml:space="preserve">l'UIT-D à l'appui de leurs activités, en particulier sur les </w:t>
            </w:r>
            <w:r w:rsidR="005962BC" w:rsidRPr="00491098">
              <w:rPr>
                <w:rFonts w:eastAsia="Calibri"/>
                <w:lang w:val="fr-FR" w:eastAsia="en-GB"/>
              </w:rPr>
              <w:t>thèmes</w:t>
            </w:r>
            <w:r w:rsidRPr="00491098">
              <w:rPr>
                <w:rFonts w:eastAsia="Calibri"/>
                <w:lang w:val="fr-FR" w:eastAsia="en-GB"/>
              </w:rPr>
              <w:t xml:space="preserve"> présent</w:t>
            </w:r>
            <w:r w:rsidR="005962BC" w:rsidRPr="00491098">
              <w:rPr>
                <w:rFonts w:eastAsia="Calibri"/>
                <w:lang w:val="fr-FR" w:eastAsia="en-GB"/>
              </w:rPr>
              <w:t>a</w:t>
            </w:r>
            <w:r w:rsidRPr="00491098">
              <w:rPr>
                <w:rFonts w:eastAsia="Calibri"/>
                <w:lang w:val="fr-FR" w:eastAsia="en-GB"/>
              </w:rPr>
              <w:t>nt un intérêt particulier pour les pays en développement.</w:t>
            </w:r>
          </w:p>
          <w:p w14:paraId="6E303CE2" w14:textId="6F70395F" w:rsidR="005962BC" w:rsidRPr="00491098" w:rsidRDefault="005962BC" w:rsidP="00311D13">
            <w:pPr>
              <w:pStyle w:val="Tabletext"/>
              <w:jc w:val="both"/>
              <w:rPr>
                <w:rFonts w:eastAsia="Calibri"/>
                <w:lang w:val="fr-FR" w:eastAsia="en-GB"/>
              </w:rPr>
            </w:pPr>
            <w:r w:rsidRPr="00491098">
              <w:rPr>
                <w:rFonts w:eastAsia="Calibri"/>
                <w:lang w:val="fr-FR" w:eastAsia="en-GB"/>
              </w:rPr>
              <w:t>Le GCR a relevé qu'il y avait eu des problèmes d'inscription à la réunion du Groupe ISCG</w:t>
            </w:r>
            <w:r w:rsidR="00A22FB4" w:rsidRPr="00491098">
              <w:rPr>
                <w:rFonts w:eastAsia="Calibri"/>
                <w:lang w:val="fr-FR" w:eastAsia="en-GB"/>
              </w:rPr>
              <w:t xml:space="preserve"> </w:t>
            </w:r>
            <w:r w:rsidRPr="00491098">
              <w:rPr>
                <w:rFonts w:eastAsia="Calibri"/>
                <w:lang w:val="fr-FR" w:eastAsia="en-GB"/>
              </w:rPr>
              <w:t>tenue le 12 mars 2021. Les participants ont</w:t>
            </w:r>
            <w:r w:rsidR="00A22FB4" w:rsidRPr="00491098">
              <w:rPr>
                <w:rFonts w:eastAsia="Calibri"/>
                <w:lang w:val="fr-FR" w:eastAsia="en-GB"/>
              </w:rPr>
              <w:t xml:space="preserve"> </w:t>
            </w:r>
            <w:r w:rsidRPr="00491098">
              <w:rPr>
                <w:rFonts w:eastAsia="Calibri"/>
                <w:lang w:val="fr-FR" w:eastAsia="en-GB"/>
              </w:rPr>
              <w:t>été informés que le Secrétariat général de l'UIT</w:t>
            </w:r>
            <w:r w:rsidR="00A22FB4" w:rsidRPr="00491098">
              <w:rPr>
                <w:rFonts w:eastAsia="Calibri"/>
                <w:lang w:val="fr-FR" w:eastAsia="en-GB"/>
              </w:rPr>
              <w:t xml:space="preserve"> </w:t>
            </w:r>
            <w:r w:rsidRPr="00491098">
              <w:rPr>
                <w:rFonts w:eastAsia="Calibri"/>
                <w:lang w:val="fr-FR" w:eastAsia="en-GB"/>
              </w:rPr>
              <w:t>créait actuellement une page web du Groupe ISCG et mettait en place un processus d'inscription destiné à</w:t>
            </w:r>
            <w:r w:rsidR="00A22FB4" w:rsidRPr="00491098">
              <w:rPr>
                <w:rFonts w:eastAsia="Calibri"/>
                <w:lang w:val="fr-FR" w:eastAsia="en-GB"/>
              </w:rPr>
              <w:t xml:space="preserve"> </w:t>
            </w:r>
            <w:r w:rsidRPr="00491098">
              <w:rPr>
                <w:rFonts w:eastAsia="Calibri"/>
                <w:lang w:val="fr-FR" w:eastAsia="en-GB"/>
              </w:rPr>
              <w:t>faciliter une plus large participation aux réunions de ce Groupe</w:t>
            </w:r>
            <w:r w:rsidR="00A22FB4" w:rsidRPr="00491098">
              <w:rPr>
                <w:rFonts w:eastAsia="Calibri"/>
                <w:lang w:val="fr-FR" w:eastAsia="en-GB"/>
              </w:rPr>
              <w:t>.</w:t>
            </w:r>
            <w:r w:rsidRPr="00491098">
              <w:rPr>
                <w:rFonts w:eastAsia="Calibri"/>
                <w:lang w:val="fr-FR" w:eastAsia="en-GB"/>
              </w:rPr>
              <w:t xml:space="preserve"> Le GCR s</w:t>
            </w:r>
            <w:r w:rsidR="00A22FB4" w:rsidRPr="00491098">
              <w:rPr>
                <w:rFonts w:eastAsia="Calibri"/>
                <w:lang w:val="fr-FR" w:eastAsia="en-GB"/>
              </w:rPr>
              <w:t>'</w:t>
            </w:r>
            <w:r w:rsidRPr="00491098">
              <w:rPr>
                <w:rFonts w:eastAsia="Calibri"/>
                <w:lang w:val="fr-FR" w:eastAsia="en-GB"/>
              </w:rPr>
              <w:t>est</w:t>
            </w:r>
            <w:r w:rsidR="00A22FB4" w:rsidRPr="00491098">
              <w:rPr>
                <w:rFonts w:eastAsia="Calibri"/>
                <w:lang w:val="fr-FR" w:eastAsia="en-GB"/>
              </w:rPr>
              <w:t xml:space="preserve"> </w:t>
            </w:r>
            <w:r w:rsidRPr="00491098">
              <w:rPr>
                <w:rFonts w:eastAsia="Calibri"/>
                <w:lang w:val="fr-FR" w:eastAsia="en-GB"/>
              </w:rPr>
              <w:t>également félicité de constater que le Groupe ISCG</w:t>
            </w:r>
            <w:r w:rsidR="004465E0" w:rsidRPr="00491098">
              <w:rPr>
                <w:rFonts w:eastAsia="Calibri"/>
                <w:lang w:val="fr-FR" w:eastAsia="en-GB"/>
              </w:rPr>
              <w:t xml:space="preserve"> avait invité</w:t>
            </w:r>
            <w:r w:rsidRPr="00491098">
              <w:rPr>
                <w:rFonts w:eastAsia="Calibri"/>
                <w:lang w:val="fr-FR" w:eastAsia="en-GB"/>
              </w:rPr>
              <w:t xml:space="preserve"> les membres du GCR à participer à sa prochaine réunion</w:t>
            </w:r>
            <w:r w:rsidR="00A22FB4" w:rsidRPr="00491098">
              <w:rPr>
                <w:rFonts w:eastAsia="Calibri"/>
                <w:lang w:val="fr-FR" w:eastAsia="en-GB"/>
              </w:rPr>
              <w:t>,</w:t>
            </w:r>
            <w:r w:rsidR="00DF153D" w:rsidRPr="00491098">
              <w:rPr>
                <w:rFonts w:eastAsia="Calibri"/>
                <w:lang w:val="fr-FR" w:eastAsia="en-GB"/>
              </w:rPr>
              <w:t xml:space="preserve"> </w:t>
            </w:r>
            <w:r w:rsidRPr="00491098">
              <w:rPr>
                <w:rFonts w:eastAsia="Calibri"/>
                <w:lang w:val="fr-FR" w:eastAsia="en-GB"/>
              </w:rPr>
              <w:t xml:space="preserve">qui </w:t>
            </w:r>
            <w:r w:rsidR="004465E0" w:rsidRPr="00491098">
              <w:rPr>
                <w:rFonts w:eastAsia="Calibri"/>
                <w:lang w:val="fr-FR" w:eastAsia="en-GB"/>
              </w:rPr>
              <w:t>aura lieu</w:t>
            </w:r>
            <w:r w:rsidRPr="00491098">
              <w:rPr>
                <w:rFonts w:eastAsia="Calibri"/>
                <w:lang w:val="fr-FR" w:eastAsia="en-GB"/>
              </w:rPr>
              <w:t xml:space="preserve"> le 1er septembre 2021, et à s'inscrire </w:t>
            </w:r>
            <w:r w:rsidR="004465E0" w:rsidRPr="00491098">
              <w:rPr>
                <w:rFonts w:eastAsia="Calibri"/>
                <w:lang w:val="fr-FR" w:eastAsia="en-GB"/>
              </w:rPr>
              <w:t>sur</w:t>
            </w:r>
            <w:r w:rsidRPr="00491098">
              <w:rPr>
                <w:rFonts w:eastAsia="Calibri"/>
                <w:lang w:val="fr-FR" w:eastAsia="en-GB"/>
              </w:rPr>
              <w:t xml:space="preserve"> la liste de diffusion d</w:t>
            </w:r>
            <w:r w:rsidR="004465E0" w:rsidRPr="00491098">
              <w:rPr>
                <w:rFonts w:eastAsia="Calibri"/>
                <w:lang w:val="fr-FR" w:eastAsia="en-GB"/>
              </w:rPr>
              <w:t>u</w:t>
            </w:r>
            <w:r w:rsidRPr="00491098">
              <w:rPr>
                <w:rFonts w:eastAsia="Calibri"/>
                <w:lang w:val="fr-FR" w:eastAsia="en-GB"/>
              </w:rPr>
              <w:t xml:space="preserve"> </w:t>
            </w:r>
            <w:r w:rsidR="004465E0" w:rsidRPr="00491098">
              <w:rPr>
                <w:rFonts w:eastAsia="Calibri"/>
                <w:lang w:val="fr-FR" w:eastAsia="en-GB"/>
              </w:rPr>
              <w:t xml:space="preserve">Groupe ISCG reproduite </w:t>
            </w:r>
            <w:r w:rsidR="00F8073F">
              <w:fldChar w:fldCharType="begin"/>
            </w:r>
            <w:r w:rsidR="00F8073F" w:rsidRPr="00F8073F">
              <w:rPr>
                <w:lang w:val="fr-CH"/>
              </w:rPr>
              <w:instrText xml:space="preserve"> HYPERLINK "https://www.itu.int/CookieAuth.dll?GetLogon?curl=Z2Fnet4Z2FiwmZ2FZ3Fp0Z3D0Z26p11Z3DITUZ26p12Z3DITU-SEP-Cross-sector-SEP-SG&amp;reason=0&amp;formdir=10" </w:instrText>
            </w:r>
            <w:r w:rsidR="00F8073F">
              <w:fldChar w:fldCharType="separate"/>
            </w:r>
            <w:r w:rsidRPr="00491098">
              <w:rPr>
                <w:color w:val="0000FF"/>
                <w:u w:val="single"/>
                <w:lang w:val="fr-FR" w:eastAsia="en-GB"/>
              </w:rPr>
              <w:t>ici</w:t>
            </w:r>
            <w:r w:rsidR="00F8073F">
              <w:rPr>
                <w:color w:val="0000FF"/>
                <w:u w:val="single"/>
                <w:lang w:val="fr-FR" w:eastAsia="en-GB"/>
              </w:rPr>
              <w:fldChar w:fldCharType="end"/>
            </w:r>
            <w:r w:rsidRPr="00491098">
              <w:rPr>
                <w:lang w:val="fr-FR" w:eastAsia="en-GB"/>
              </w:rPr>
              <w:t>.</w:t>
            </w:r>
          </w:p>
          <w:p w14:paraId="6372DAD2" w14:textId="62672A03" w:rsidR="004465E0" w:rsidRPr="00491098" w:rsidRDefault="004465E0" w:rsidP="00311D13">
            <w:pPr>
              <w:pStyle w:val="Tabletext"/>
              <w:jc w:val="both"/>
              <w:rPr>
                <w:rFonts w:eastAsia="Calibri"/>
                <w:lang w:val="fr-FR" w:eastAsia="en-GB"/>
              </w:rPr>
            </w:pPr>
            <w:r w:rsidRPr="00491098">
              <w:rPr>
                <w:rFonts w:eastAsia="Calibri"/>
                <w:lang w:val="fr-FR" w:eastAsia="en-GB"/>
              </w:rPr>
              <w:t>Le GCR a rappelé que ses représentants sont les Vice-Présidents originaires du Cameroun et du Mexique.</w:t>
            </w:r>
          </w:p>
          <w:p w14:paraId="087F098B" w14:textId="516D7C05" w:rsidR="00407B30" w:rsidRPr="00491098" w:rsidRDefault="004465E0" w:rsidP="00311D13">
            <w:pPr>
              <w:pStyle w:val="Tabletext"/>
              <w:jc w:val="both"/>
              <w:rPr>
                <w:rFonts w:eastAsia="Calibri" w:cs="Arial"/>
                <w:lang w:val="fr-FR" w:eastAsia="en-GB"/>
              </w:rPr>
            </w:pPr>
            <w:r w:rsidRPr="00491098">
              <w:rPr>
                <w:rFonts w:eastAsia="Calibri"/>
                <w:lang w:val="fr-FR" w:eastAsia="en-GB"/>
              </w:rPr>
              <w:t>Le GCR a souligné l'importance de la coordination intersectorielle et insisté sur la nécessité de continuer d</w:t>
            </w:r>
            <w:r w:rsidR="00A22FB4" w:rsidRPr="00491098">
              <w:rPr>
                <w:rFonts w:eastAsia="Calibri"/>
                <w:lang w:val="fr-FR" w:eastAsia="en-GB"/>
              </w:rPr>
              <w:t>'</w:t>
            </w:r>
            <w:r w:rsidRPr="00491098">
              <w:rPr>
                <w:rFonts w:eastAsia="Calibri"/>
                <w:lang w:val="fr-FR" w:eastAsia="en-GB"/>
              </w:rPr>
              <w:t>appuyer les activités du Groupe ISCG</w:t>
            </w:r>
            <w:r w:rsidR="00DF153D" w:rsidRPr="00491098">
              <w:rPr>
                <w:rFonts w:eastAsia="Calibri"/>
                <w:lang w:val="fr-FR" w:eastAsia="en-GB"/>
              </w:rPr>
              <w:t>.</w:t>
            </w:r>
          </w:p>
        </w:tc>
      </w:tr>
      <w:tr w:rsidR="00407B30" w:rsidRPr="00F8073F" w14:paraId="18EC0DC3" w14:textId="77777777" w:rsidTr="004269AD">
        <w:trPr>
          <w:jc w:val="center"/>
        </w:trPr>
        <w:tc>
          <w:tcPr>
            <w:tcW w:w="339" w:type="pct"/>
          </w:tcPr>
          <w:p w14:paraId="3089E987" w14:textId="32D8BD25" w:rsidR="00407B30" w:rsidRPr="00491098" w:rsidRDefault="00407B30" w:rsidP="00311D13">
            <w:pPr>
              <w:pStyle w:val="Tabletext"/>
              <w:jc w:val="both"/>
              <w:rPr>
                <w:lang w:val="fr-FR" w:eastAsia="en-GB"/>
              </w:rPr>
            </w:pPr>
            <w:r w:rsidRPr="00491098">
              <w:rPr>
                <w:lang w:val="fr-FR" w:eastAsia="en-GB"/>
              </w:rPr>
              <w:t>8</w:t>
            </w:r>
          </w:p>
        </w:tc>
        <w:tc>
          <w:tcPr>
            <w:tcW w:w="865" w:type="pct"/>
          </w:tcPr>
          <w:p w14:paraId="3FDCFCF9" w14:textId="5C8A4578" w:rsidR="00407B30" w:rsidRPr="00491098" w:rsidRDefault="00FF2533" w:rsidP="00900C6D">
            <w:pPr>
              <w:pStyle w:val="Tabletext"/>
              <w:rPr>
                <w:rFonts w:eastAsia="Arial Unicode MS"/>
                <w:lang w:val="fr-FR" w:eastAsia="en-GB"/>
              </w:rPr>
            </w:pPr>
            <w:r w:rsidRPr="00491098">
              <w:rPr>
                <w:rFonts w:eastAsia="Arial Unicode MS"/>
                <w:lang w:val="fr-FR" w:eastAsia="en-GB"/>
              </w:rPr>
              <w:t>Projet de p</w:t>
            </w:r>
            <w:r w:rsidR="00820201" w:rsidRPr="00491098">
              <w:rPr>
                <w:rFonts w:eastAsia="Arial Unicode MS"/>
                <w:lang w:val="fr-FR" w:eastAsia="en-GB"/>
              </w:rPr>
              <w:t>lan</w:t>
            </w:r>
            <w:r w:rsidR="00A22FB4" w:rsidRPr="00491098">
              <w:rPr>
                <w:rFonts w:eastAsia="Arial Unicode MS"/>
                <w:lang w:val="fr-FR" w:eastAsia="en-GB"/>
              </w:rPr>
              <w:t xml:space="preserve"> </w:t>
            </w:r>
            <w:r w:rsidR="00820201" w:rsidRPr="00491098">
              <w:rPr>
                <w:rFonts w:eastAsia="Arial Unicode MS"/>
                <w:lang w:val="fr-FR" w:eastAsia="en-GB"/>
              </w:rPr>
              <w:t>opérationnel</w:t>
            </w:r>
            <w:r w:rsidR="00407B30" w:rsidRPr="00491098">
              <w:rPr>
                <w:rFonts w:eastAsia="Arial Unicode MS"/>
                <w:lang w:val="fr-FR" w:eastAsia="en-GB"/>
              </w:rPr>
              <w:br/>
              <w:t>(</w:t>
            </w:r>
            <w:r w:rsidR="00725647" w:rsidRPr="00491098">
              <w:rPr>
                <w:rFonts w:eastAsia="Arial Unicode MS"/>
                <w:lang w:val="fr-FR" w:eastAsia="en-GB"/>
              </w:rPr>
              <w:t>section</w:t>
            </w:r>
            <w:r w:rsidRPr="00491098">
              <w:rPr>
                <w:rFonts w:eastAsia="Arial Unicode MS"/>
                <w:lang w:val="fr-FR" w:eastAsia="en-GB"/>
              </w:rPr>
              <w:t xml:space="preserve"> consacrée au</w:t>
            </w:r>
            <w:r w:rsidR="00725647" w:rsidRPr="00491098">
              <w:rPr>
                <w:rFonts w:eastAsia="Arial Unicode MS"/>
                <w:lang w:val="fr-FR" w:eastAsia="en-GB"/>
              </w:rPr>
              <w:t xml:space="preserve"> </w:t>
            </w:r>
            <w:r w:rsidR="00407B30" w:rsidRPr="00491098">
              <w:rPr>
                <w:rFonts w:eastAsia="Arial Unicode MS"/>
                <w:lang w:val="fr-FR" w:eastAsia="en-GB"/>
              </w:rPr>
              <w:t xml:space="preserve">BR) </w:t>
            </w:r>
          </w:p>
          <w:p w14:paraId="3C1E5EAA" w14:textId="71B01644" w:rsidR="00407B30" w:rsidRPr="00491098" w:rsidRDefault="00725647" w:rsidP="00900C6D">
            <w:pPr>
              <w:pStyle w:val="Tabletext"/>
              <w:spacing w:before="120" w:after="0"/>
              <w:rPr>
                <w:iCs/>
                <w:lang w:val="fr-FR" w:eastAsia="en-GB"/>
              </w:rPr>
            </w:pPr>
            <w:r w:rsidRPr="00491098">
              <w:rPr>
                <w:iCs/>
                <w:lang w:val="fr-FR" w:eastAsia="en-GB"/>
              </w:rPr>
              <w:t>Document</w:t>
            </w:r>
            <w:r w:rsidR="00CE5389" w:rsidRPr="00491098">
              <w:rPr>
                <w:iCs/>
                <w:lang w:val="fr-FR" w:eastAsia="en-GB"/>
              </w:rPr>
              <w:t>s</w:t>
            </w:r>
            <w:r w:rsidRPr="00491098">
              <w:rPr>
                <w:iCs/>
                <w:lang w:val="fr-FR" w:eastAsia="en-GB"/>
              </w:rPr>
              <w:t xml:space="preserve"> du </w:t>
            </w:r>
            <w:proofErr w:type="gramStart"/>
            <w:r w:rsidRPr="00491098">
              <w:rPr>
                <w:iCs/>
                <w:lang w:val="fr-FR" w:eastAsia="en-GB"/>
              </w:rPr>
              <w:t>GCR</w:t>
            </w:r>
            <w:r w:rsidR="00A22FB4" w:rsidRPr="00491098">
              <w:rPr>
                <w:iCs/>
                <w:lang w:val="fr-FR" w:eastAsia="en-GB"/>
              </w:rPr>
              <w:t>:</w:t>
            </w:r>
            <w:proofErr w:type="gramEnd"/>
          </w:p>
          <w:p w14:paraId="35D0A248" w14:textId="06A6E7B5" w:rsidR="00407B30" w:rsidRPr="00491098" w:rsidRDefault="00407B30" w:rsidP="00900C6D">
            <w:pPr>
              <w:pStyle w:val="Tabletext"/>
              <w:spacing w:before="0"/>
              <w:rPr>
                <w:lang w:val="fr-FR" w:eastAsia="en-GB"/>
              </w:rPr>
            </w:pPr>
            <w:r w:rsidRPr="00491098">
              <w:rPr>
                <w:iCs/>
                <w:lang w:val="fr-FR" w:eastAsia="en-GB"/>
              </w:rPr>
              <w:t>26, 27</w:t>
            </w:r>
          </w:p>
        </w:tc>
        <w:tc>
          <w:tcPr>
            <w:tcW w:w="3796" w:type="pct"/>
          </w:tcPr>
          <w:p w14:paraId="1785325F" w14:textId="3BF5A834" w:rsidR="004465E0" w:rsidRPr="00491098" w:rsidRDefault="00820201" w:rsidP="00311D13">
            <w:pPr>
              <w:pStyle w:val="Tabletext"/>
              <w:jc w:val="both"/>
              <w:rPr>
                <w:rFonts w:eastAsia="Calibri"/>
                <w:color w:val="000000"/>
                <w:lang w:val="fr-FR" w:eastAsia="en-GB"/>
              </w:rPr>
            </w:pPr>
            <w:r w:rsidRPr="00491098">
              <w:rPr>
                <w:rFonts w:eastAsia="Calibri"/>
                <w:color w:val="000000"/>
                <w:lang w:val="fr-FR" w:eastAsia="en-GB"/>
              </w:rPr>
              <w:t xml:space="preserve">Le GCR a pris note du projet de Plan opérationnel quadriennal glissant de l'UIT-R pour la période </w:t>
            </w:r>
            <w:r w:rsidR="00407B30" w:rsidRPr="00491098">
              <w:rPr>
                <w:rFonts w:eastAsia="Calibri"/>
                <w:color w:val="000000"/>
                <w:lang w:val="fr-FR" w:eastAsia="en-GB"/>
              </w:rPr>
              <w:t xml:space="preserve">2022-2025. </w:t>
            </w:r>
            <w:r w:rsidR="004465E0" w:rsidRPr="00491098">
              <w:rPr>
                <w:rFonts w:eastAsia="Calibri"/>
                <w:color w:val="000000"/>
                <w:lang w:val="fr-FR" w:eastAsia="en-GB"/>
              </w:rPr>
              <w:t>Le GCR a pris note des observations du Directeur selon lesquelles il s'agit d'un document de synthèse de l'Union</w:t>
            </w:r>
            <w:r w:rsidR="00A22FB4" w:rsidRPr="00491098">
              <w:rPr>
                <w:rFonts w:eastAsia="Calibri"/>
                <w:color w:val="000000"/>
                <w:lang w:val="fr-FR" w:eastAsia="en-GB"/>
              </w:rPr>
              <w:t xml:space="preserve"> </w:t>
            </w:r>
            <w:r w:rsidR="004465E0" w:rsidRPr="00491098">
              <w:rPr>
                <w:rFonts w:eastAsia="Calibri"/>
                <w:color w:val="000000"/>
                <w:lang w:val="fr-FR" w:eastAsia="en-GB"/>
              </w:rPr>
              <w:t>comportant une partie expressément consacrée à</w:t>
            </w:r>
            <w:r w:rsidR="00A22FB4" w:rsidRPr="00491098">
              <w:rPr>
                <w:rFonts w:eastAsia="Calibri"/>
                <w:color w:val="000000"/>
                <w:lang w:val="fr-FR" w:eastAsia="en-GB"/>
              </w:rPr>
              <w:t xml:space="preserve"> </w:t>
            </w:r>
            <w:r w:rsidR="004465E0" w:rsidRPr="00491098">
              <w:rPr>
                <w:rFonts w:eastAsia="Calibri"/>
                <w:color w:val="000000"/>
                <w:lang w:val="fr-FR" w:eastAsia="en-GB"/>
              </w:rPr>
              <w:t>l'UIT-R.</w:t>
            </w:r>
          </w:p>
          <w:p w14:paraId="1FEE6D83" w14:textId="2AC3A004" w:rsidR="00407B30" w:rsidRPr="00491098" w:rsidRDefault="004465E0" w:rsidP="00311D13">
            <w:pPr>
              <w:pStyle w:val="Tabletext"/>
              <w:jc w:val="both"/>
              <w:rPr>
                <w:rFonts w:eastAsia="Calibri"/>
                <w:color w:val="000000"/>
                <w:lang w:val="fr-FR" w:eastAsia="en-GB"/>
              </w:rPr>
            </w:pPr>
            <w:r w:rsidRPr="00491098">
              <w:rPr>
                <w:rFonts w:eastAsia="Calibri"/>
                <w:color w:val="000000"/>
                <w:lang w:val="fr-FR" w:eastAsia="en-GB"/>
              </w:rPr>
              <w:lastRenderedPageBreak/>
              <w:t>Le GCR a recommandé au Directeur d'envisager, dans la mesure du possible, d'utiliser des indicateurs déterminés à partir des données obtenues auprès de sources ouvertes (par exemple les bases de données et documents de l'UIT, d</w:t>
            </w:r>
            <w:r w:rsidR="00A22FB4" w:rsidRPr="00491098">
              <w:rPr>
                <w:rFonts w:eastAsia="Calibri"/>
                <w:color w:val="000000"/>
                <w:lang w:val="fr-FR" w:eastAsia="en-GB"/>
              </w:rPr>
              <w:t>'</w:t>
            </w:r>
            <w:r w:rsidR="00BE4EDC" w:rsidRPr="00491098">
              <w:rPr>
                <w:color w:val="000000"/>
                <w:lang w:val="fr-FR"/>
              </w:rPr>
              <w:t xml:space="preserve">organismes du système des </w:t>
            </w:r>
            <w:r w:rsidRPr="00491098">
              <w:rPr>
                <w:rFonts w:eastAsia="Calibri"/>
                <w:color w:val="000000"/>
                <w:lang w:val="fr-FR" w:eastAsia="en-GB"/>
              </w:rPr>
              <w:t>Nations</w:t>
            </w:r>
            <w:r w:rsidR="00DF153D" w:rsidRPr="00491098">
              <w:rPr>
                <w:rFonts w:eastAsia="Calibri"/>
                <w:color w:val="000000"/>
                <w:lang w:val="fr-FR" w:eastAsia="en-GB"/>
              </w:rPr>
              <w:t> </w:t>
            </w:r>
            <w:r w:rsidRPr="00491098">
              <w:rPr>
                <w:rFonts w:eastAsia="Calibri"/>
                <w:color w:val="000000"/>
                <w:lang w:val="fr-FR" w:eastAsia="en-GB"/>
              </w:rPr>
              <w:t>Unies et d</w:t>
            </w:r>
            <w:r w:rsidR="00A22FB4" w:rsidRPr="00491098">
              <w:rPr>
                <w:rFonts w:eastAsia="Calibri"/>
                <w:color w:val="000000"/>
                <w:lang w:val="fr-FR" w:eastAsia="en-GB"/>
              </w:rPr>
              <w:t>'</w:t>
            </w:r>
            <w:r w:rsidRPr="00491098">
              <w:rPr>
                <w:rFonts w:eastAsia="Calibri"/>
                <w:color w:val="000000"/>
                <w:lang w:val="fr-FR" w:eastAsia="en-GB"/>
              </w:rPr>
              <w:t>autres sources faisant autorité).</w:t>
            </w:r>
          </w:p>
        </w:tc>
      </w:tr>
      <w:tr w:rsidR="00407B30" w:rsidRPr="00F8073F" w14:paraId="59B7A24D" w14:textId="77777777" w:rsidTr="004269AD">
        <w:trPr>
          <w:jc w:val="center"/>
        </w:trPr>
        <w:tc>
          <w:tcPr>
            <w:tcW w:w="339" w:type="pct"/>
          </w:tcPr>
          <w:p w14:paraId="79D85FCA" w14:textId="74DA5603" w:rsidR="00407B30" w:rsidRPr="00491098" w:rsidRDefault="00407B30" w:rsidP="00311D13">
            <w:pPr>
              <w:pStyle w:val="Tabletext"/>
              <w:jc w:val="both"/>
              <w:rPr>
                <w:lang w:val="fr-FR" w:eastAsia="en-GB"/>
              </w:rPr>
            </w:pPr>
            <w:r w:rsidRPr="00491098">
              <w:rPr>
                <w:lang w:val="fr-FR" w:eastAsia="en-GB"/>
              </w:rPr>
              <w:lastRenderedPageBreak/>
              <w:t>9</w:t>
            </w:r>
          </w:p>
        </w:tc>
        <w:tc>
          <w:tcPr>
            <w:tcW w:w="865" w:type="pct"/>
          </w:tcPr>
          <w:p w14:paraId="77229C76" w14:textId="524DC89E" w:rsidR="00407B30" w:rsidRPr="00491098" w:rsidRDefault="00820201" w:rsidP="00900C6D">
            <w:pPr>
              <w:pStyle w:val="Tabletext"/>
              <w:rPr>
                <w:lang w:val="fr-FR" w:eastAsia="en-GB"/>
              </w:rPr>
            </w:pPr>
            <w:r w:rsidRPr="00491098">
              <w:rPr>
                <w:lang w:val="fr-FR" w:eastAsia="en-GB"/>
              </w:rPr>
              <w:t>Système d'information du BR</w:t>
            </w:r>
          </w:p>
          <w:p w14:paraId="7A770219" w14:textId="230AB281" w:rsidR="00407B30" w:rsidRPr="00491098" w:rsidRDefault="00725647" w:rsidP="00900C6D">
            <w:pPr>
              <w:pStyle w:val="Tabletext"/>
              <w:spacing w:before="120" w:after="0"/>
              <w:rPr>
                <w:lang w:val="fr-FR" w:eastAsia="en-GB"/>
              </w:rPr>
            </w:pPr>
            <w:r w:rsidRPr="00491098">
              <w:rPr>
                <w:lang w:val="fr-FR" w:eastAsia="en-GB"/>
              </w:rPr>
              <w:t xml:space="preserve">Documents du </w:t>
            </w:r>
            <w:proofErr w:type="gramStart"/>
            <w:r w:rsidRPr="00491098">
              <w:rPr>
                <w:lang w:val="fr-FR" w:eastAsia="en-GB"/>
              </w:rPr>
              <w:t>GCR:</w:t>
            </w:r>
            <w:proofErr w:type="gramEnd"/>
          </w:p>
          <w:p w14:paraId="7CDFCE5A" w14:textId="2F10911A" w:rsidR="00407B30" w:rsidRPr="00491098" w:rsidRDefault="00407B30" w:rsidP="00900C6D">
            <w:pPr>
              <w:pStyle w:val="Tabletext"/>
              <w:spacing w:before="0"/>
              <w:rPr>
                <w:lang w:val="fr-FR" w:eastAsia="en-GB"/>
              </w:rPr>
            </w:pPr>
            <w:r w:rsidRPr="00491098">
              <w:rPr>
                <w:iCs/>
                <w:lang w:val="fr-FR" w:eastAsia="en-GB"/>
              </w:rPr>
              <w:t>26, 29</w:t>
            </w:r>
          </w:p>
        </w:tc>
        <w:tc>
          <w:tcPr>
            <w:tcW w:w="3796" w:type="pct"/>
          </w:tcPr>
          <w:p w14:paraId="5BF8D7A6" w14:textId="745D0A81" w:rsidR="00BE4EDC" w:rsidRPr="00491098" w:rsidRDefault="00BE4EDC" w:rsidP="00311D13">
            <w:pPr>
              <w:pStyle w:val="Tabletext"/>
              <w:jc w:val="both"/>
              <w:rPr>
                <w:rFonts w:eastAsia="Calibri"/>
                <w:color w:val="000000"/>
                <w:lang w:val="fr-FR" w:eastAsia="en-GB"/>
              </w:rPr>
            </w:pPr>
            <w:r w:rsidRPr="00491098">
              <w:rPr>
                <w:rFonts w:eastAsia="Calibri"/>
                <w:color w:val="000000"/>
                <w:lang w:val="fr-FR" w:eastAsia="en-GB"/>
              </w:rPr>
              <w:t>Le GCR a pris note de l</w:t>
            </w:r>
            <w:r w:rsidR="00A22FB4" w:rsidRPr="00491098">
              <w:rPr>
                <w:rFonts w:eastAsia="Calibri"/>
                <w:color w:val="000000"/>
                <w:lang w:val="fr-FR" w:eastAsia="en-GB"/>
              </w:rPr>
              <w:t>'</w:t>
            </w:r>
            <w:r w:rsidRPr="00491098">
              <w:rPr>
                <w:rFonts w:eastAsia="Calibri"/>
                <w:color w:val="000000"/>
                <w:lang w:val="fr-FR" w:eastAsia="en-GB"/>
              </w:rPr>
              <w:t xml:space="preserve">exposé sur les logiciels et outils </w:t>
            </w:r>
            <w:r w:rsidRPr="00491098">
              <w:rPr>
                <w:color w:val="000000"/>
                <w:lang w:val="fr-FR"/>
              </w:rPr>
              <w:t>pour les services de Terre</w:t>
            </w:r>
            <w:r w:rsidR="00A22FB4" w:rsidRPr="00491098">
              <w:rPr>
                <w:rFonts w:eastAsia="Calibri"/>
                <w:color w:val="000000"/>
                <w:lang w:val="fr-FR" w:eastAsia="en-GB"/>
              </w:rPr>
              <w:t xml:space="preserve"> </w:t>
            </w:r>
            <w:r w:rsidRPr="00491098">
              <w:rPr>
                <w:rFonts w:eastAsia="Calibri"/>
                <w:color w:val="000000"/>
                <w:lang w:val="fr-FR" w:eastAsia="en-GB"/>
              </w:rPr>
              <w:t>ainsi que sur d</w:t>
            </w:r>
            <w:r w:rsidR="00A22FB4" w:rsidRPr="00491098">
              <w:rPr>
                <w:rFonts w:eastAsia="Calibri"/>
                <w:color w:val="000000"/>
                <w:lang w:val="fr-FR" w:eastAsia="en-GB"/>
              </w:rPr>
              <w:t>'</w:t>
            </w:r>
            <w:r w:rsidRPr="00491098">
              <w:rPr>
                <w:rFonts w:eastAsia="Calibri"/>
                <w:color w:val="000000"/>
                <w:lang w:val="fr-FR" w:eastAsia="en-GB"/>
              </w:rPr>
              <w:t>autres logiciels et outils. Il a remercié le Directeur, et tout particulièrement M. Bachar Abou-Chanab, ainsi que l</w:t>
            </w:r>
            <w:r w:rsidR="00A22FB4" w:rsidRPr="00491098">
              <w:rPr>
                <w:rFonts w:eastAsia="Calibri"/>
                <w:color w:val="000000"/>
                <w:lang w:val="fr-FR" w:eastAsia="en-GB"/>
              </w:rPr>
              <w:t>'</w:t>
            </w:r>
            <w:r w:rsidRPr="00491098">
              <w:rPr>
                <w:rFonts w:eastAsia="Calibri"/>
                <w:color w:val="000000"/>
                <w:lang w:val="fr-FR" w:eastAsia="en-GB"/>
              </w:rPr>
              <w:t>ensemble du personnel du BR ayant participé à l'élaboration de ces outils logiciels</w:t>
            </w:r>
            <w:r w:rsidR="00A22FB4" w:rsidRPr="00491098">
              <w:rPr>
                <w:rFonts w:eastAsia="Calibri"/>
                <w:color w:val="000000"/>
                <w:lang w:val="fr-FR" w:eastAsia="en-GB"/>
              </w:rPr>
              <w:t xml:space="preserve">. </w:t>
            </w:r>
            <w:r w:rsidRPr="00491098">
              <w:rPr>
                <w:rFonts w:eastAsia="Calibri"/>
                <w:color w:val="000000"/>
                <w:lang w:val="fr-FR" w:eastAsia="en-GB"/>
              </w:rPr>
              <w:t>Le GCR a encouragé le Directeur à poursuivre la mise à jour de tous ces outils, en tenant compte du RR et des Règles de procédure</w:t>
            </w:r>
            <w:r w:rsidR="00A22FB4" w:rsidRPr="00491098">
              <w:rPr>
                <w:rFonts w:eastAsia="Calibri"/>
                <w:color w:val="000000"/>
                <w:lang w:val="fr-FR" w:eastAsia="en-GB"/>
              </w:rPr>
              <w:t xml:space="preserve"> </w:t>
            </w:r>
            <w:r w:rsidRPr="00491098">
              <w:rPr>
                <w:rFonts w:eastAsia="Calibri"/>
                <w:color w:val="000000"/>
                <w:lang w:val="fr-FR" w:eastAsia="en-GB"/>
              </w:rPr>
              <w:t>en vigueur, ainsi que des besoins et des commentaires des utilisateurs. Pour ce qui est des outils</w:t>
            </w:r>
            <w:r w:rsidR="00A22FB4" w:rsidRPr="00491098">
              <w:rPr>
                <w:rFonts w:eastAsia="Calibri"/>
                <w:color w:val="000000"/>
                <w:lang w:val="fr-FR" w:eastAsia="en-GB"/>
              </w:rPr>
              <w:t xml:space="preserve"> </w:t>
            </w:r>
            <w:r w:rsidRPr="00491098">
              <w:rPr>
                <w:rFonts w:eastAsia="Calibri"/>
                <w:color w:val="000000"/>
                <w:lang w:val="fr-FR" w:eastAsia="en-GB"/>
              </w:rPr>
              <w:t>qu</w:t>
            </w:r>
            <w:r w:rsidR="00A22FB4" w:rsidRPr="00491098">
              <w:rPr>
                <w:rFonts w:eastAsia="Calibri"/>
                <w:color w:val="000000"/>
                <w:lang w:val="fr-FR" w:eastAsia="en-GB"/>
              </w:rPr>
              <w:t>'</w:t>
            </w:r>
            <w:r w:rsidRPr="00491098">
              <w:rPr>
                <w:rFonts w:eastAsia="Calibri"/>
                <w:color w:val="000000"/>
                <w:lang w:val="fr-FR" w:eastAsia="en-GB"/>
              </w:rPr>
              <w:t xml:space="preserve">offre le Règlement des radiocommunications, le GCR a noté que, lorsque cela est possible, les fonctionnaires du BR participant aux réunions régionales pouvaient présenter les outils et </w:t>
            </w:r>
            <w:r w:rsidRPr="00491098">
              <w:rPr>
                <w:color w:val="000000"/>
                <w:lang w:val="fr-FR"/>
              </w:rPr>
              <w:t xml:space="preserve">recueillir des informations en retour </w:t>
            </w:r>
            <w:r w:rsidRPr="00491098">
              <w:rPr>
                <w:rFonts w:eastAsia="Calibri"/>
                <w:color w:val="000000"/>
                <w:lang w:val="fr-FR" w:eastAsia="en-GB"/>
              </w:rPr>
              <w:t>en vue d'apporter</w:t>
            </w:r>
            <w:r w:rsidRPr="00491098">
              <w:rPr>
                <w:color w:val="000000"/>
                <w:lang w:val="fr-FR"/>
              </w:rPr>
              <w:t xml:space="preserve"> de nouvelles </w:t>
            </w:r>
            <w:r w:rsidRPr="00491098">
              <w:rPr>
                <w:rFonts w:eastAsia="Calibri"/>
                <w:color w:val="000000"/>
                <w:lang w:val="fr-FR" w:eastAsia="en-GB"/>
              </w:rPr>
              <w:t>améliorations</w:t>
            </w:r>
            <w:r w:rsidR="00A22FB4" w:rsidRPr="00491098">
              <w:rPr>
                <w:rFonts w:eastAsia="Calibri"/>
                <w:color w:val="000000"/>
                <w:lang w:val="fr-FR" w:eastAsia="en-GB"/>
              </w:rPr>
              <w:t>.</w:t>
            </w:r>
            <w:r w:rsidRPr="00491098">
              <w:rPr>
                <w:rFonts w:eastAsia="Calibri"/>
                <w:color w:val="000000"/>
                <w:lang w:val="fr-FR" w:eastAsia="en-GB"/>
              </w:rPr>
              <w:t xml:space="preserve"> Le GCR a noté que le Directeur avait expliqué que ces outils seraient élaborés pour faciliter l'accès de tous les membres, en particulier les pays en développement, aux ressources que constitue le spectre des fréquences radioélectriques, conformément au Règlement des radiocommunications.</w:t>
            </w:r>
            <w:r w:rsidR="00A22FB4" w:rsidRPr="00491098">
              <w:rPr>
                <w:rFonts w:eastAsia="Calibri"/>
                <w:color w:val="000000"/>
                <w:lang w:val="fr-FR" w:eastAsia="en-GB"/>
              </w:rPr>
              <w:t xml:space="preserve"> </w:t>
            </w:r>
            <w:r w:rsidRPr="00491098">
              <w:rPr>
                <w:rFonts w:eastAsia="Calibri"/>
                <w:color w:val="000000"/>
                <w:lang w:val="fr-FR" w:eastAsia="en-GB"/>
              </w:rPr>
              <w:t>Le GCR encourage les pays en développement, en particulier, à utiliser ces outils et à faire part de leurs observations au BR. Enfin, le GCR a noté qu</w:t>
            </w:r>
            <w:r w:rsidR="00A22FB4" w:rsidRPr="00491098">
              <w:rPr>
                <w:rFonts w:eastAsia="Calibri"/>
                <w:color w:val="000000"/>
                <w:lang w:val="fr-FR" w:eastAsia="en-GB"/>
              </w:rPr>
              <w:t>'</w:t>
            </w:r>
            <w:r w:rsidRPr="00491098">
              <w:rPr>
                <w:rFonts w:eastAsia="Calibri"/>
                <w:color w:val="000000"/>
                <w:lang w:val="fr-FR" w:eastAsia="en-GB"/>
              </w:rPr>
              <w:t>il était nécessaire de publier ces outils dans les autres langues de l'Union.</w:t>
            </w:r>
          </w:p>
          <w:p w14:paraId="055D78FE" w14:textId="59CA647A" w:rsidR="007E7367" w:rsidRPr="00491098" w:rsidRDefault="007E7367" w:rsidP="00311D13">
            <w:pPr>
              <w:pStyle w:val="Tabletext"/>
              <w:jc w:val="both"/>
              <w:rPr>
                <w:rFonts w:eastAsia="Calibri"/>
                <w:color w:val="000000"/>
                <w:lang w:val="fr-FR" w:eastAsia="en-GB"/>
              </w:rPr>
            </w:pPr>
            <w:r w:rsidRPr="00491098">
              <w:rPr>
                <w:rFonts w:eastAsia="Calibri"/>
                <w:color w:val="000000"/>
                <w:lang w:val="fr-FR" w:eastAsia="en-GB"/>
              </w:rPr>
              <w:t>Le GCR a pris note de l</w:t>
            </w:r>
            <w:r w:rsidR="00A22FB4" w:rsidRPr="00491098">
              <w:rPr>
                <w:rFonts w:eastAsia="Calibri"/>
                <w:color w:val="000000"/>
                <w:lang w:val="fr-FR" w:eastAsia="en-GB"/>
              </w:rPr>
              <w:t>'</w:t>
            </w:r>
            <w:r w:rsidRPr="00491098">
              <w:rPr>
                <w:rFonts w:eastAsia="Calibri"/>
                <w:color w:val="000000"/>
                <w:lang w:val="fr-FR" w:eastAsia="en-GB"/>
              </w:rPr>
              <w:t xml:space="preserve">exposé sur </w:t>
            </w:r>
            <w:r w:rsidR="008A5B93" w:rsidRPr="00491098">
              <w:rPr>
                <w:color w:val="000000"/>
                <w:lang w:val="fr-FR"/>
              </w:rPr>
              <w:t>la conception de</w:t>
            </w:r>
            <w:r w:rsidR="008A5B93" w:rsidRPr="00491098">
              <w:rPr>
                <w:rFonts w:eastAsia="Calibri"/>
                <w:color w:val="000000"/>
                <w:lang w:val="fr-FR" w:eastAsia="en-GB"/>
              </w:rPr>
              <w:t xml:space="preserve"> </w:t>
            </w:r>
            <w:r w:rsidRPr="00491098">
              <w:rPr>
                <w:rFonts w:eastAsia="Calibri"/>
                <w:color w:val="000000"/>
                <w:lang w:val="fr-FR" w:eastAsia="en-GB"/>
              </w:rPr>
              <w:t>logiciels</w:t>
            </w:r>
            <w:r w:rsidR="008A5B93" w:rsidRPr="00491098">
              <w:rPr>
                <w:rFonts w:eastAsia="Calibri"/>
                <w:color w:val="000000"/>
                <w:lang w:val="fr-FR" w:eastAsia="en-GB"/>
              </w:rPr>
              <w:t xml:space="preserve"> relatifs</w:t>
            </w:r>
            <w:r w:rsidRPr="00491098">
              <w:rPr>
                <w:rFonts w:eastAsia="Calibri"/>
                <w:color w:val="000000"/>
                <w:lang w:val="fr-FR" w:eastAsia="en-GB"/>
              </w:rPr>
              <w:t xml:space="preserve"> aux services spatiaux et a remercié le Directeur et</w:t>
            </w:r>
            <w:r w:rsidR="00A22FB4" w:rsidRPr="00491098">
              <w:rPr>
                <w:rFonts w:eastAsia="Calibri"/>
                <w:color w:val="000000"/>
                <w:lang w:val="fr-FR" w:eastAsia="en-GB"/>
              </w:rPr>
              <w:t xml:space="preserve"> </w:t>
            </w:r>
            <w:r w:rsidR="008A5B93" w:rsidRPr="00491098">
              <w:rPr>
                <w:color w:val="000000"/>
                <w:lang w:val="fr-FR"/>
              </w:rPr>
              <w:t>la Division des logiciels pour les applications de l'espace</w:t>
            </w:r>
            <w:r w:rsidR="008A5B93" w:rsidRPr="00491098">
              <w:rPr>
                <w:rFonts w:eastAsia="Calibri"/>
                <w:color w:val="000000"/>
                <w:lang w:val="fr-FR" w:eastAsia="en-GB"/>
              </w:rPr>
              <w:t xml:space="preserve"> </w:t>
            </w:r>
            <w:r w:rsidRPr="00491098">
              <w:rPr>
                <w:rFonts w:eastAsia="Calibri"/>
                <w:color w:val="000000"/>
                <w:lang w:val="fr-FR" w:eastAsia="en-GB"/>
              </w:rPr>
              <w:t xml:space="preserve">du BR pour les outils </w:t>
            </w:r>
            <w:r w:rsidR="008A5B93" w:rsidRPr="00491098">
              <w:rPr>
                <w:rFonts w:eastAsia="Calibri"/>
                <w:color w:val="000000"/>
                <w:lang w:val="fr-FR" w:eastAsia="en-GB"/>
              </w:rPr>
              <w:t>mis au point en application des</w:t>
            </w:r>
            <w:r w:rsidRPr="00491098">
              <w:rPr>
                <w:rFonts w:eastAsia="Calibri"/>
                <w:color w:val="000000"/>
                <w:lang w:val="fr-FR" w:eastAsia="en-GB"/>
              </w:rPr>
              <w:t xml:space="preserve"> Résolutions 907 et 908. Le GCR a remercié l'Administration du Japon pour sa généreuse contribution et pour </w:t>
            </w:r>
            <w:r w:rsidR="00F74E8A" w:rsidRPr="00491098">
              <w:rPr>
                <w:rFonts w:eastAsia="Calibri"/>
                <w:color w:val="000000"/>
                <w:lang w:val="fr-FR" w:eastAsia="en-GB"/>
              </w:rPr>
              <w:t>l</w:t>
            </w:r>
            <w:r w:rsidR="00A22FB4" w:rsidRPr="00491098">
              <w:rPr>
                <w:rFonts w:eastAsia="Calibri"/>
                <w:color w:val="000000"/>
                <w:lang w:val="fr-FR" w:eastAsia="en-GB"/>
              </w:rPr>
              <w:t>'</w:t>
            </w:r>
            <w:r w:rsidRPr="00491098">
              <w:rPr>
                <w:rFonts w:eastAsia="Calibri"/>
                <w:color w:val="000000"/>
                <w:lang w:val="fr-FR" w:eastAsia="en-GB"/>
              </w:rPr>
              <w:t>expert</w:t>
            </w:r>
            <w:r w:rsidR="008A5B93" w:rsidRPr="00491098">
              <w:rPr>
                <w:rFonts w:eastAsia="Calibri"/>
                <w:color w:val="000000"/>
                <w:lang w:val="fr-FR" w:eastAsia="en-GB"/>
              </w:rPr>
              <w:t xml:space="preserve"> qu</w:t>
            </w:r>
            <w:r w:rsidR="00A22FB4" w:rsidRPr="00491098">
              <w:rPr>
                <w:rFonts w:eastAsia="Calibri"/>
                <w:color w:val="000000"/>
                <w:lang w:val="fr-FR" w:eastAsia="en-GB"/>
              </w:rPr>
              <w:t>'</w:t>
            </w:r>
            <w:r w:rsidR="008A5B93" w:rsidRPr="00491098">
              <w:rPr>
                <w:rFonts w:eastAsia="Calibri"/>
                <w:color w:val="000000"/>
                <w:lang w:val="fr-FR" w:eastAsia="en-GB"/>
              </w:rPr>
              <w:t>elle a mis à disposition aux fins de</w:t>
            </w:r>
            <w:r w:rsidRPr="00491098">
              <w:rPr>
                <w:rFonts w:eastAsia="Calibri"/>
                <w:color w:val="000000"/>
                <w:lang w:val="fr-FR" w:eastAsia="en-GB"/>
              </w:rPr>
              <w:t xml:space="preserve"> la mise en œuvre de la Rés</w:t>
            </w:r>
            <w:r w:rsidR="008A5B93" w:rsidRPr="00491098">
              <w:rPr>
                <w:rFonts w:eastAsia="Calibri"/>
                <w:color w:val="000000"/>
                <w:lang w:val="fr-FR" w:eastAsia="en-GB"/>
              </w:rPr>
              <w:t>olution</w:t>
            </w:r>
            <w:r w:rsidR="008A41A6" w:rsidRPr="00491098">
              <w:rPr>
                <w:rFonts w:eastAsia="Calibri"/>
                <w:color w:val="000000"/>
                <w:lang w:val="fr-FR" w:eastAsia="en-GB"/>
              </w:rPr>
              <w:t xml:space="preserve"> </w:t>
            </w:r>
            <w:r w:rsidRPr="00491098">
              <w:rPr>
                <w:rFonts w:eastAsia="Calibri"/>
                <w:color w:val="000000"/>
                <w:lang w:val="fr-FR" w:eastAsia="en-GB"/>
              </w:rPr>
              <w:t xml:space="preserve">908. Le </w:t>
            </w:r>
            <w:r w:rsidR="008A5B93" w:rsidRPr="00491098">
              <w:rPr>
                <w:rFonts w:eastAsia="Calibri"/>
                <w:color w:val="000000"/>
                <w:lang w:val="fr-FR" w:eastAsia="en-GB"/>
              </w:rPr>
              <w:t>GCR prie le D</w:t>
            </w:r>
            <w:r w:rsidRPr="00491098">
              <w:rPr>
                <w:rFonts w:eastAsia="Calibri"/>
                <w:color w:val="000000"/>
                <w:lang w:val="fr-FR" w:eastAsia="en-GB"/>
              </w:rPr>
              <w:t>irecteur de poursuivre ce</w:t>
            </w:r>
            <w:r w:rsidR="008A5B93" w:rsidRPr="00491098">
              <w:rPr>
                <w:rFonts w:eastAsia="Calibri"/>
                <w:color w:val="000000"/>
                <w:lang w:val="fr-FR" w:eastAsia="en-GB"/>
              </w:rPr>
              <w:t>s</w:t>
            </w:r>
            <w:r w:rsidRPr="00491098">
              <w:rPr>
                <w:rFonts w:eastAsia="Calibri"/>
                <w:color w:val="000000"/>
                <w:lang w:val="fr-FR" w:eastAsia="en-GB"/>
              </w:rPr>
              <w:t xml:space="preserve"> trava</w:t>
            </w:r>
            <w:r w:rsidR="008A5B93" w:rsidRPr="00491098">
              <w:rPr>
                <w:rFonts w:eastAsia="Calibri"/>
                <w:color w:val="000000"/>
                <w:lang w:val="fr-FR" w:eastAsia="en-GB"/>
              </w:rPr>
              <w:t>ux</w:t>
            </w:r>
            <w:r w:rsidRPr="00491098">
              <w:rPr>
                <w:rFonts w:eastAsia="Calibri"/>
                <w:color w:val="000000"/>
                <w:lang w:val="fr-FR" w:eastAsia="en-GB"/>
              </w:rPr>
              <w:t xml:space="preserve"> et de </w:t>
            </w:r>
            <w:r w:rsidR="008A5B93" w:rsidRPr="00491098">
              <w:rPr>
                <w:rFonts w:eastAsia="Calibri"/>
                <w:color w:val="000000"/>
                <w:lang w:val="fr-FR" w:eastAsia="en-GB"/>
              </w:rPr>
              <w:t>maintenir</w:t>
            </w:r>
            <w:r w:rsidRPr="00491098">
              <w:rPr>
                <w:rFonts w:eastAsia="Calibri"/>
                <w:color w:val="000000"/>
                <w:lang w:val="fr-FR" w:eastAsia="en-GB"/>
              </w:rPr>
              <w:t xml:space="preserve"> toutes les fonctionnalités dans les nouveaux outils.</w:t>
            </w:r>
            <w:r w:rsidR="00A22FB4" w:rsidRPr="00491098">
              <w:rPr>
                <w:rFonts w:eastAsia="Calibri"/>
                <w:color w:val="000000"/>
                <w:lang w:val="fr-FR" w:eastAsia="en-GB"/>
              </w:rPr>
              <w:t xml:space="preserve"> </w:t>
            </w:r>
            <w:r w:rsidRPr="00491098">
              <w:rPr>
                <w:rFonts w:eastAsia="Calibri"/>
                <w:color w:val="000000"/>
                <w:lang w:val="fr-FR" w:eastAsia="en-GB"/>
              </w:rPr>
              <w:t>En outre, le GCR a</w:t>
            </w:r>
            <w:r w:rsidR="00A22FB4" w:rsidRPr="00491098">
              <w:rPr>
                <w:rFonts w:eastAsia="Calibri"/>
                <w:color w:val="000000"/>
                <w:lang w:val="fr-FR" w:eastAsia="en-GB"/>
              </w:rPr>
              <w:t xml:space="preserve"> </w:t>
            </w:r>
            <w:r w:rsidR="008A5B93" w:rsidRPr="00491098">
              <w:rPr>
                <w:rFonts w:eastAsia="Calibri"/>
                <w:color w:val="000000"/>
                <w:lang w:val="fr-FR" w:eastAsia="en-GB"/>
              </w:rPr>
              <w:t>recommandé</w:t>
            </w:r>
            <w:r w:rsidRPr="00491098">
              <w:rPr>
                <w:rFonts w:eastAsia="Calibri"/>
                <w:color w:val="000000"/>
                <w:lang w:val="fr-FR" w:eastAsia="en-GB"/>
              </w:rPr>
              <w:t xml:space="preserve"> au Directeur de </w:t>
            </w:r>
            <w:r w:rsidR="00AD6778" w:rsidRPr="00491098">
              <w:rPr>
                <w:color w:val="000000"/>
                <w:lang w:val="fr-FR"/>
              </w:rPr>
              <w:t>demander aux</w:t>
            </w:r>
            <w:r w:rsidR="00AD6778" w:rsidRPr="00491098">
              <w:rPr>
                <w:rFonts w:eastAsia="Calibri"/>
                <w:color w:val="000000"/>
                <w:lang w:val="fr-FR" w:eastAsia="en-GB"/>
              </w:rPr>
              <w:t xml:space="preserve"> Administrations et aux commissions d'études</w:t>
            </w:r>
            <w:r w:rsidR="00A22FB4" w:rsidRPr="00491098">
              <w:rPr>
                <w:color w:val="000000"/>
                <w:lang w:val="fr-FR"/>
              </w:rPr>
              <w:t xml:space="preserve"> </w:t>
            </w:r>
            <w:r w:rsidR="00AD6778" w:rsidRPr="00491098">
              <w:rPr>
                <w:color w:val="000000"/>
                <w:lang w:val="fr-FR"/>
              </w:rPr>
              <w:t>de faire part de</w:t>
            </w:r>
            <w:r w:rsidR="00A22FB4" w:rsidRPr="00491098">
              <w:rPr>
                <w:color w:val="000000"/>
                <w:lang w:val="fr-FR"/>
              </w:rPr>
              <w:t xml:space="preserve"> </w:t>
            </w:r>
            <w:r w:rsidR="00AD6778" w:rsidRPr="00491098">
              <w:rPr>
                <w:color w:val="000000"/>
                <w:lang w:val="fr-FR"/>
              </w:rPr>
              <w:t xml:space="preserve">leurs observations </w:t>
            </w:r>
            <w:r w:rsidRPr="00491098">
              <w:rPr>
                <w:rFonts w:eastAsia="Calibri"/>
                <w:color w:val="000000"/>
                <w:lang w:val="fr-FR" w:eastAsia="en-GB"/>
              </w:rPr>
              <w:t xml:space="preserve">et </w:t>
            </w:r>
            <w:r w:rsidR="00AD6778" w:rsidRPr="00491098">
              <w:rPr>
                <w:rFonts w:eastAsia="Calibri"/>
                <w:color w:val="000000"/>
                <w:lang w:val="fr-FR" w:eastAsia="en-GB"/>
              </w:rPr>
              <w:t>de réfléchir à la façon dont</w:t>
            </w:r>
            <w:r w:rsidRPr="00491098">
              <w:rPr>
                <w:rFonts w:eastAsia="Calibri"/>
                <w:color w:val="000000"/>
                <w:lang w:val="fr-FR" w:eastAsia="en-GB"/>
              </w:rPr>
              <w:t xml:space="preserve"> ces outils peuvent faciliter leur travail.</w:t>
            </w:r>
            <w:r w:rsidR="00A22FB4" w:rsidRPr="00491098">
              <w:rPr>
                <w:rFonts w:eastAsia="Calibri"/>
                <w:color w:val="000000"/>
                <w:lang w:val="fr-FR" w:eastAsia="en-GB"/>
              </w:rPr>
              <w:t xml:space="preserve"> </w:t>
            </w:r>
            <w:r w:rsidRPr="00491098">
              <w:rPr>
                <w:rFonts w:eastAsia="Calibri"/>
                <w:color w:val="000000"/>
                <w:lang w:val="fr-FR" w:eastAsia="en-GB"/>
              </w:rPr>
              <w:t>Enfin, le GCR a demandé au Directeur de</w:t>
            </w:r>
            <w:r w:rsidR="00A22FB4" w:rsidRPr="00491098">
              <w:rPr>
                <w:rFonts w:eastAsia="Calibri"/>
                <w:color w:val="000000"/>
                <w:lang w:val="fr-FR" w:eastAsia="en-GB"/>
              </w:rPr>
              <w:t xml:space="preserve"> </w:t>
            </w:r>
            <w:r w:rsidR="00F74E8A" w:rsidRPr="00491098">
              <w:rPr>
                <w:lang w:val="fr-FR"/>
              </w:rPr>
              <w:t xml:space="preserve">lui </w:t>
            </w:r>
            <w:r w:rsidR="00AD6778" w:rsidRPr="00491098">
              <w:rPr>
                <w:lang w:val="fr-FR"/>
              </w:rPr>
              <w:t xml:space="preserve">présenter </w:t>
            </w:r>
            <w:r w:rsidR="00AD6778" w:rsidRPr="00491098">
              <w:rPr>
                <w:rFonts w:eastAsia="Calibri"/>
                <w:color w:val="000000"/>
                <w:lang w:val="fr-FR" w:eastAsia="en-GB"/>
              </w:rPr>
              <w:t xml:space="preserve">à </w:t>
            </w:r>
            <w:r w:rsidR="00F74E8A" w:rsidRPr="00491098">
              <w:rPr>
                <w:rFonts w:eastAsia="Calibri"/>
                <w:color w:val="000000"/>
                <w:lang w:val="fr-FR" w:eastAsia="en-GB"/>
              </w:rPr>
              <w:t>s</w:t>
            </w:r>
            <w:r w:rsidR="00AD6778" w:rsidRPr="00491098">
              <w:rPr>
                <w:rFonts w:eastAsia="Calibri"/>
                <w:color w:val="000000"/>
                <w:lang w:val="fr-FR" w:eastAsia="en-GB"/>
              </w:rPr>
              <w:t xml:space="preserve">a </w:t>
            </w:r>
            <w:r w:rsidRPr="00491098">
              <w:rPr>
                <w:rFonts w:eastAsia="Calibri"/>
                <w:color w:val="000000"/>
                <w:lang w:val="fr-FR" w:eastAsia="en-GB"/>
              </w:rPr>
              <w:t>prochain</w:t>
            </w:r>
            <w:r w:rsidR="00AD6778" w:rsidRPr="00491098">
              <w:rPr>
                <w:rFonts w:eastAsia="Calibri"/>
                <w:color w:val="000000"/>
                <w:lang w:val="fr-FR" w:eastAsia="en-GB"/>
              </w:rPr>
              <w:t xml:space="preserve">e réunion </w:t>
            </w:r>
            <w:r w:rsidR="00F74E8A" w:rsidRPr="00491098">
              <w:rPr>
                <w:lang w:val="fr-FR"/>
              </w:rPr>
              <w:t>un exposé</w:t>
            </w:r>
            <w:r w:rsidR="00A22FB4" w:rsidRPr="00491098">
              <w:rPr>
                <w:lang w:val="fr-FR"/>
              </w:rPr>
              <w:t xml:space="preserve"> </w:t>
            </w:r>
            <w:r w:rsidRPr="00491098">
              <w:rPr>
                <w:rFonts w:eastAsia="Calibri"/>
                <w:color w:val="000000"/>
                <w:lang w:val="fr-FR" w:eastAsia="en-GB"/>
              </w:rPr>
              <w:t xml:space="preserve">sur l'utilisation des outils d'analyse de données </w:t>
            </w:r>
            <w:r w:rsidR="00AD6778" w:rsidRPr="00491098">
              <w:rPr>
                <w:rFonts w:eastAsia="Calibri"/>
                <w:color w:val="000000"/>
                <w:lang w:val="fr-FR" w:eastAsia="en-GB"/>
              </w:rPr>
              <w:t>au sein du BR</w:t>
            </w:r>
            <w:r w:rsidR="00DF153D" w:rsidRPr="00491098">
              <w:rPr>
                <w:rFonts w:eastAsia="Calibri"/>
                <w:color w:val="000000"/>
                <w:lang w:val="fr-FR" w:eastAsia="en-GB"/>
              </w:rPr>
              <w:t>.</w:t>
            </w:r>
          </w:p>
          <w:p w14:paraId="3D79D7BD" w14:textId="04A41DDB" w:rsidR="00407B30" w:rsidRPr="00491098" w:rsidRDefault="00AD6778" w:rsidP="00311D13">
            <w:pPr>
              <w:pStyle w:val="Tabletext"/>
              <w:jc w:val="both"/>
              <w:rPr>
                <w:rFonts w:eastAsia="Calibri" w:cs="Arial"/>
                <w:lang w:val="fr-FR" w:eastAsia="en-GB"/>
              </w:rPr>
            </w:pPr>
            <w:r w:rsidRPr="00491098">
              <w:rPr>
                <w:rFonts w:eastAsia="Calibri"/>
                <w:color w:val="000000"/>
                <w:lang w:val="fr-FR" w:eastAsia="en-GB"/>
              </w:rPr>
              <w:t>Le GCR a pris note avec satisfaction des informations et des propositions présentées par le Japon dans le Document RAG21/29.</w:t>
            </w:r>
            <w:r w:rsidR="00A22FB4" w:rsidRPr="00491098">
              <w:rPr>
                <w:rFonts w:eastAsia="Calibri"/>
                <w:color w:val="000000"/>
                <w:lang w:val="fr-FR" w:eastAsia="en-GB"/>
              </w:rPr>
              <w:t xml:space="preserve"> </w:t>
            </w:r>
            <w:r w:rsidRPr="00491098">
              <w:rPr>
                <w:rFonts w:eastAsia="Calibri"/>
                <w:color w:val="000000"/>
                <w:lang w:val="fr-FR" w:eastAsia="en-GB"/>
              </w:rPr>
              <w:t xml:space="preserve">Le GCR </w:t>
            </w:r>
            <w:r w:rsidRPr="00491098">
              <w:rPr>
                <w:color w:val="000000"/>
                <w:lang w:val="fr-FR"/>
              </w:rPr>
              <w:t xml:space="preserve">partage l'avis du </w:t>
            </w:r>
            <w:r w:rsidRPr="00491098">
              <w:rPr>
                <w:rFonts w:eastAsia="Calibri"/>
                <w:color w:val="000000"/>
                <w:lang w:val="fr-FR" w:eastAsia="en-GB"/>
              </w:rPr>
              <w:t>Directeur selon lequel il y a lieu de</w:t>
            </w:r>
            <w:r w:rsidR="00A22FB4" w:rsidRPr="00491098">
              <w:rPr>
                <w:rFonts w:eastAsia="Calibri"/>
                <w:color w:val="000000"/>
                <w:lang w:val="fr-FR" w:eastAsia="en-GB"/>
              </w:rPr>
              <w:t xml:space="preserve"> </w:t>
            </w:r>
            <w:r w:rsidRPr="00491098">
              <w:rPr>
                <w:rFonts w:eastAsia="Calibri"/>
                <w:color w:val="000000"/>
                <w:lang w:val="fr-FR" w:eastAsia="en-GB"/>
              </w:rPr>
              <w:t>remercier le Japon et de lui</w:t>
            </w:r>
            <w:r w:rsidR="009D2891" w:rsidRPr="00491098">
              <w:rPr>
                <w:lang w:val="fr-FR"/>
              </w:rPr>
              <w:t xml:space="preserve"> </w:t>
            </w:r>
            <w:r w:rsidR="009D2891" w:rsidRPr="00491098">
              <w:rPr>
                <w:rFonts w:eastAsia="Calibri"/>
                <w:color w:val="000000"/>
                <w:lang w:val="fr-FR" w:eastAsia="en-GB"/>
              </w:rPr>
              <w:t>rendre hommage</w:t>
            </w:r>
            <w:r w:rsidRPr="00491098">
              <w:rPr>
                <w:rFonts w:eastAsia="Calibri"/>
                <w:color w:val="000000"/>
                <w:lang w:val="fr-FR" w:eastAsia="en-GB"/>
              </w:rPr>
              <w:t xml:space="preserve"> </w:t>
            </w:r>
            <w:r w:rsidR="009D2891" w:rsidRPr="00491098">
              <w:rPr>
                <w:rFonts w:eastAsia="Calibri"/>
                <w:color w:val="000000"/>
                <w:lang w:val="fr-FR" w:eastAsia="en-GB"/>
              </w:rPr>
              <w:t>pour la</w:t>
            </w:r>
            <w:r w:rsidR="00A22FB4" w:rsidRPr="00491098">
              <w:rPr>
                <w:rFonts w:eastAsia="Calibri"/>
                <w:color w:val="000000"/>
                <w:lang w:val="fr-FR" w:eastAsia="en-GB"/>
              </w:rPr>
              <w:t xml:space="preserve"> </w:t>
            </w:r>
            <w:r w:rsidRPr="00491098">
              <w:rPr>
                <w:rFonts w:eastAsia="Calibri"/>
                <w:color w:val="000000"/>
                <w:lang w:val="fr-FR" w:eastAsia="en-GB"/>
              </w:rPr>
              <w:t>contribution</w:t>
            </w:r>
            <w:r w:rsidR="00A22FB4" w:rsidRPr="00491098">
              <w:rPr>
                <w:rFonts w:eastAsia="Calibri"/>
                <w:color w:val="000000"/>
                <w:lang w:val="fr-FR" w:eastAsia="en-GB"/>
              </w:rPr>
              <w:t xml:space="preserve"> </w:t>
            </w:r>
            <w:r w:rsidR="009D2891" w:rsidRPr="00491098">
              <w:rPr>
                <w:rFonts w:eastAsia="Calibri"/>
                <w:color w:val="000000"/>
                <w:lang w:val="fr-FR" w:eastAsia="en-GB"/>
              </w:rPr>
              <w:t>qu</w:t>
            </w:r>
            <w:r w:rsidR="00A22FB4" w:rsidRPr="00491098">
              <w:rPr>
                <w:rFonts w:eastAsia="Calibri"/>
                <w:color w:val="000000"/>
                <w:lang w:val="fr-FR" w:eastAsia="en-GB"/>
              </w:rPr>
              <w:t>'</w:t>
            </w:r>
            <w:r w:rsidR="009D2891" w:rsidRPr="00491098">
              <w:rPr>
                <w:rFonts w:eastAsia="Calibri"/>
                <w:color w:val="000000"/>
                <w:lang w:val="fr-FR" w:eastAsia="en-GB"/>
              </w:rPr>
              <w:t xml:space="preserve">il apporte </w:t>
            </w:r>
            <w:r w:rsidRPr="00491098">
              <w:rPr>
                <w:rFonts w:eastAsia="Calibri"/>
                <w:color w:val="000000"/>
                <w:lang w:val="fr-FR" w:eastAsia="en-GB"/>
              </w:rPr>
              <w:t>aux travaux du</w:t>
            </w:r>
            <w:r w:rsidR="00F74E8A" w:rsidRPr="00491098">
              <w:rPr>
                <w:rFonts w:eastAsia="Calibri"/>
                <w:color w:val="000000"/>
                <w:lang w:val="fr-FR" w:eastAsia="en-GB"/>
              </w:rPr>
              <w:t xml:space="preserve"> BR</w:t>
            </w:r>
            <w:r w:rsidR="00A22FB4" w:rsidRPr="00491098">
              <w:rPr>
                <w:rFonts w:eastAsia="Calibri"/>
                <w:color w:val="000000"/>
                <w:lang w:val="fr-FR" w:eastAsia="en-GB"/>
              </w:rPr>
              <w:t xml:space="preserve"> </w:t>
            </w:r>
            <w:r w:rsidRPr="00491098">
              <w:rPr>
                <w:rFonts w:eastAsia="Calibri"/>
                <w:color w:val="000000"/>
                <w:lang w:val="fr-FR" w:eastAsia="en-GB"/>
              </w:rPr>
              <w:t xml:space="preserve">depuis de nombreuses années, tant sur le plan financier que sur celui des experts </w:t>
            </w:r>
            <w:r w:rsidR="009D2891" w:rsidRPr="00491098">
              <w:rPr>
                <w:color w:val="000000"/>
                <w:lang w:val="fr-FR"/>
              </w:rPr>
              <w:t>concernés</w:t>
            </w:r>
            <w:r w:rsidRPr="00491098">
              <w:rPr>
                <w:rFonts w:eastAsia="Calibri"/>
                <w:color w:val="000000"/>
                <w:lang w:val="fr-FR" w:eastAsia="en-GB"/>
              </w:rPr>
              <w:t>.</w:t>
            </w:r>
            <w:r w:rsidR="00A22FB4" w:rsidRPr="00491098">
              <w:rPr>
                <w:rFonts w:eastAsia="Calibri"/>
                <w:color w:val="000000"/>
                <w:lang w:val="fr-FR" w:eastAsia="en-GB"/>
              </w:rPr>
              <w:t xml:space="preserve"> </w:t>
            </w:r>
            <w:r w:rsidRPr="00491098">
              <w:rPr>
                <w:rFonts w:eastAsia="Calibri"/>
                <w:color w:val="000000"/>
                <w:lang w:val="fr-FR" w:eastAsia="en-GB"/>
              </w:rPr>
              <w:t xml:space="preserve">Il estime que les améliorations </w:t>
            </w:r>
            <w:r w:rsidR="009D2891" w:rsidRPr="00491098">
              <w:rPr>
                <w:rFonts w:eastAsia="Calibri"/>
                <w:color w:val="000000"/>
                <w:lang w:val="fr-FR" w:eastAsia="en-GB"/>
              </w:rPr>
              <w:t xml:space="preserve">apportées en conséquence aux </w:t>
            </w:r>
            <w:r w:rsidRPr="00491098">
              <w:rPr>
                <w:rFonts w:eastAsia="Calibri"/>
                <w:color w:val="000000"/>
                <w:lang w:val="fr-FR" w:eastAsia="en-GB"/>
              </w:rPr>
              <w:t xml:space="preserve">outils du </w:t>
            </w:r>
            <w:r w:rsidR="009D2891" w:rsidRPr="00491098">
              <w:rPr>
                <w:rFonts w:eastAsia="Calibri"/>
                <w:color w:val="000000"/>
                <w:lang w:val="fr-FR" w:eastAsia="en-GB"/>
              </w:rPr>
              <w:t>BR</w:t>
            </w:r>
            <w:r w:rsidR="00A22FB4" w:rsidRPr="00491098">
              <w:rPr>
                <w:rFonts w:eastAsia="Calibri"/>
                <w:color w:val="000000"/>
                <w:lang w:val="fr-FR" w:eastAsia="en-GB"/>
              </w:rPr>
              <w:t xml:space="preserve"> </w:t>
            </w:r>
            <w:r w:rsidR="009D2891" w:rsidRPr="00491098">
              <w:rPr>
                <w:rFonts w:eastAsia="Calibri"/>
                <w:color w:val="000000"/>
                <w:lang w:val="fr-FR" w:eastAsia="en-GB"/>
              </w:rPr>
              <w:t>sont utiles</w:t>
            </w:r>
            <w:r w:rsidRPr="00491098">
              <w:rPr>
                <w:rFonts w:eastAsia="Calibri"/>
                <w:color w:val="000000"/>
                <w:lang w:val="fr-FR" w:eastAsia="en-GB"/>
              </w:rPr>
              <w:t xml:space="preserve"> à la fois </w:t>
            </w:r>
            <w:r w:rsidR="009D2891" w:rsidRPr="00491098">
              <w:rPr>
                <w:rFonts w:eastAsia="Calibri"/>
                <w:color w:val="000000"/>
                <w:lang w:val="fr-FR" w:eastAsia="en-GB"/>
              </w:rPr>
              <w:t>aux</w:t>
            </w:r>
            <w:r w:rsidR="00A22FB4" w:rsidRPr="00491098">
              <w:rPr>
                <w:rFonts w:eastAsia="Calibri"/>
                <w:color w:val="000000"/>
                <w:lang w:val="fr-FR" w:eastAsia="en-GB"/>
              </w:rPr>
              <w:t xml:space="preserve"> </w:t>
            </w:r>
            <w:r w:rsidRPr="00491098">
              <w:rPr>
                <w:rFonts w:eastAsia="Calibri"/>
                <w:color w:val="000000"/>
                <w:lang w:val="fr-FR" w:eastAsia="en-GB"/>
              </w:rPr>
              <w:t xml:space="preserve">pays développés et </w:t>
            </w:r>
            <w:r w:rsidR="009D2891" w:rsidRPr="00491098">
              <w:rPr>
                <w:rFonts w:eastAsia="Calibri"/>
                <w:color w:val="000000"/>
                <w:lang w:val="fr-FR" w:eastAsia="en-GB"/>
              </w:rPr>
              <w:t xml:space="preserve">aux </w:t>
            </w:r>
            <w:r w:rsidRPr="00491098">
              <w:rPr>
                <w:rFonts w:eastAsia="Calibri"/>
                <w:color w:val="000000"/>
                <w:lang w:val="fr-FR" w:eastAsia="en-GB"/>
              </w:rPr>
              <w:t xml:space="preserve">pays en développement, ce qui </w:t>
            </w:r>
            <w:r w:rsidR="009D2891" w:rsidRPr="00491098">
              <w:rPr>
                <w:rFonts w:eastAsia="Calibri"/>
                <w:color w:val="000000"/>
                <w:lang w:val="fr-FR" w:eastAsia="en-GB"/>
              </w:rPr>
              <w:t>est</w:t>
            </w:r>
            <w:r w:rsidRPr="00491098">
              <w:rPr>
                <w:rFonts w:eastAsia="Calibri"/>
                <w:color w:val="000000"/>
                <w:lang w:val="fr-FR" w:eastAsia="en-GB"/>
              </w:rPr>
              <w:t xml:space="preserve"> l'objectif </w:t>
            </w:r>
            <w:r w:rsidR="009D2891" w:rsidRPr="00491098">
              <w:rPr>
                <w:rFonts w:eastAsia="Calibri"/>
                <w:color w:val="000000"/>
                <w:lang w:val="fr-FR" w:eastAsia="en-GB"/>
              </w:rPr>
              <w:t xml:space="preserve">même </w:t>
            </w:r>
            <w:r w:rsidRPr="00491098">
              <w:rPr>
                <w:rFonts w:eastAsia="Calibri"/>
                <w:color w:val="000000"/>
                <w:lang w:val="fr-FR" w:eastAsia="en-GB"/>
              </w:rPr>
              <w:t>du</w:t>
            </w:r>
            <w:r w:rsidR="00A22FB4" w:rsidRPr="00491098">
              <w:rPr>
                <w:rFonts w:eastAsia="Calibri"/>
                <w:color w:val="000000"/>
                <w:lang w:val="fr-FR" w:eastAsia="en-GB"/>
              </w:rPr>
              <w:t xml:space="preserve"> </w:t>
            </w:r>
            <w:r w:rsidR="00407B30" w:rsidRPr="00491098">
              <w:rPr>
                <w:rFonts w:eastAsia="Calibri" w:cs="Arial"/>
                <w:lang w:val="fr-FR" w:eastAsia="en-GB"/>
              </w:rPr>
              <w:t>BR.</w:t>
            </w:r>
          </w:p>
          <w:p w14:paraId="30FC4A35" w14:textId="7A6E4A26" w:rsidR="00407B30" w:rsidRPr="00491098" w:rsidRDefault="009D2891" w:rsidP="00311D13">
            <w:pPr>
              <w:pStyle w:val="Tabletext"/>
              <w:jc w:val="both"/>
              <w:rPr>
                <w:rFonts w:eastAsia="Calibri" w:cs="Arial"/>
                <w:lang w:val="fr-FR" w:eastAsia="en-GB"/>
              </w:rPr>
            </w:pPr>
            <w:r w:rsidRPr="00491098">
              <w:rPr>
                <w:rFonts w:eastAsia="Calibri" w:cs="Arial"/>
                <w:lang w:val="fr-FR" w:eastAsia="en-GB"/>
              </w:rPr>
              <w:t>Le GCR a demandé au BR de tenir compte des propositions du Japon figurant dans le Document RAG21/29, tout en prenant en considération</w:t>
            </w:r>
            <w:r w:rsidR="00A22FB4" w:rsidRPr="00491098">
              <w:rPr>
                <w:rFonts w:eastAsia="Calibri" w:cs="Arial"/>
                <w:lang w:val="fr-FR" w:eastAsia="en-GB"/>
              </w:rPr>
              <w:t xml:space="preserve"> </w:t>
            </w:r>
            <w:r w:rsidRPr="00491098">
              <w:rPr>
                <w:rFonts w:eastAsia="Calibri" w:cs="Arial"/>
                <w:lang w:val="fr-FR" w:eastAsia="en-GB"/>
              </w:rPr>
              <w:t>la charge de travail, les priorités, les ressources,</w:t>
            </w:r>
            <w:r w:rsidR="00A22FB4" w:rsidRPr="00491098">
              <w:rPr>
                <w:rFonts w:eastAsia="Calibri" w:cs="Arial"/>
                <w:lang w:val="fr-FR" w:eastAsia="en-GB"/>
              </w:rPr>
              <w:t xml:space="preserve"> </w:t>
            </w:r>
            <w:r w:rsidRPr="00491098">
              <w:rPr>
                <w:rFonts w:eastAsia="Calibri" w:cs="Arial"/>
                <w:lang w:val="fr-FR" w:eastAsia="en-GB"/>
              </w:rPr>
              <w:t>la disponibilité de personnel et les besoins des pays en développement.</w:t>
            </w:r>
            <w:r w:rsidR="00A22FB4" w:rsidRPr="00491098">
              <w:rPr>
                <w:rFonts w:eastAsia="Calibri" w:cs="Arial"/>
                <w:lang w:val="fr-FR" w:eastAsia="en-GB"/>
              </w:rPr>
              <w:t xml:space="preserve"> </w:t>
            </w:r>
            <w:r w:rsidRPr="00491098">
              <w:rPr>
                <w:rFonts w:eastAsia="Calibri" w:cs="Arial"/>
                <w:lang w:val="fr-FR" w:eastAsia="en-GB"/>
              </w:rPr>
              <w:t>En outre, le GCR a</w:t>
            </w:r>
            <w:r w:rsidR="00A22FB4" w:rsidRPr="00491098">
              <w:rPr>
                <w:rFonts w:eastAsia="Calibri" w:cs="Arial"/>
                <w:lang w:val="fr-FR" w:eastAsia="en-GB"/>
              </w:rPr>
              <w:t xml:space="preserve"> </w:t>
            </w:r>
            <w:r w:rsidRPr="00491098">
              <w:rPr>
                <w:rFonts w:eastAsia="Calibri" w:cs="Arial"/>
                <w:lang w:val="fr-FR" w:eastAsia="en-GB"/>
              </w:rPr>
              <w:t>noté que les membres ont</w:t>
            </w:r>
            <w:r w:rsidRPr="00491098">
              <w:rPr>
                <w:color w:val="000000"/>
                <w:lang w:val="fr-FR"/>
              </w:rPr>
              <w:t xml:space="preserve"> indiqué qu</w:t>
            </w:r>
            <w:r w:rsidR="00A22FB4" w:rsidRPr="00491098">
              <w:rPr>
                <w:color w:val="000000"/>
                <w:lang w:val="fr-FR"/>
              </w:rPr>
              <w:t>'</w:t>
            </w:r>
            <w:r w:rsidRPr="00491098">
              <w:rPr>
                <w:color w:val="000000"/>
                <w:lang w:val="fr-FR"/>
              </w:rPr>
              <w:t>il était nécessaire de continuer</w:t>
            </w:r>
            <w:r w:rsidR="00A22FB4" w:rsidRPr="00491098">
              <w:rPr>
                <w:rFonts w:eastAsia="Calibri" w:cs="Arial"/>
                <w:lang w:val="fr-FR" w:eastAsia="en-GB"/>
              </w:rPr>
              <w:t xml:space="preserve"> </w:t>
            </w:r>
            <w:r w:rsidRPr="00491098">
              <w:rPr>
                <w:rFonts w:eastAsia="Calibri" w:cs="Arial"/>
                <w:lang w:val="fr-FR" w:eastAsia="en-GB"/>
              </w:rPr>
              <w:t>de fournir des outils logiciels pouvant être utilisés en mode non connecté, ainsi que des outils reposant entièrement</w:t>
            </w:r>
            <w:r w:rsidR="00A22FB4" w:rsidRPr="00491098">
              <w:rPr>
                <w:rFonts w:eastAsia="Calibri" w:cs="Arial"/>
                <w:lang w:val="fr-FR" w:eastAsia="en-GB"/>
              </w:rPr>
              <w:t xml:space="preserve"> </w:t>
            </w:r>
            <w:r w:rsidRPr="00491098">
              <w:rPr>
                <w:rFonts w:eastAsia="Calibri" w:cs="Arial"/>
                <w:lang w:val="fr-FR" w:eastAsia="en-GB"/>
              </w:rPr>
              <w:t>sur le web.</w:t>
            </w:r>
          </w:p>
        </w:tc>
      </w:tr>
      <w:tr w:rsidR="00407B30" w:rsidRPr="00F8073F" w14:paraId="604DDAE7" w14:textId="77777777" w:rsidTr="004269AD">
        <w:trPr>
          <w:jc w:val="center"/>
        </w:trPr>
        <w:tc>
          <w:tcPr>
            <w:tcW w:w="339" w:type="pct"/>
          </w:tcPr>
          <w:p w14:paraId="2E878F6B" w14:textId="25D3B7B2" w:rsidR="00407B30" w:rsidRPr="00491098" w:rsidRDefault="00407B30" w:rsidP="00311D13">
            <w:pPr>
              <w:pStyle w:val="Tabletext"/>
              <w:jc w:val="both"/>
              <w:rPr>
                <w:lang w:val="fr-FR" w:eastAsia="en-GB"/>
              </w:rPr>
            </w:pPr>
            <w:r w:rsidRPr="00491098">
              <w:rPr>
                <w:lang w:val="fr-FR" w:eastAsia="en-GB"/>
              </w:rPr>
              <w:t>10</w:t>
            </w:r>
          </w:p>
        </w:tc>
        <w:tc>
          <w:tcPr>
            <w:tcW w:w="865" w:type="pct"/>
          </w:tcPr>
          <w:p w14:paraId="463AF118" w14:textId="32F296AE" w:rsidR="00407B30" w:rsidRPr="00491098" w:rsidRDefault="00407B30" w:rsidP="00900C6D">
            <w:pPr>
              <w:pStyle w:val="Tabletext"/>
              <w:rPr>
                <w:lang w:val="fr-FR" w:eastAsia="en-GB"/>
              </w:rPr>
            </w:pPr>
            <w:r w:rsidRPr="00491098">
              <w:rPr>
                <w:lang w:val="fr-FR" w:eastAsia="en-GB"/>
              </w:rPr>
              <w:t>R</w:t>
            </w:r>
            <w:r w:rsidR="00725647" w:rsidRPr="00491098">
              <w:rPr>
                <w:lang w:val="fr-FR" w:eastAsia="en-GB"/>
              </w:rPr>
              <w:t>ap</w:t>
            </w:r>
            <w:r w:rsidRPr="00491098">
              <w:rPr>
                <w:lang w:val="fr-FR" w:eastAsia="en-GB"/>
              </w:rPr>
              <w:t>port</w:t>
            </w:r>
            <w:r w:rsidR="00725647" w:rsidRPr="00491098">
              <w:rPr>
                <w:color w:val="000000"/>
                <w:lang w:val="fr-FR"/>
              </w:rPr>
              <w:t xml:space="preserve"> du GC-1 du GCR</w:t>
            </w:r>
            <w:r w:rsidR="00725647" w:rsidRPr="00491098">
              <w:rPr>
                <w:lang w:val="fr-FR" w:eastAsia="en-GB"/>
              </w:rPr>
              <w:t xml:space="preserve"> </w:t>
            </w:r>
            <w:r w:rsidR="00725647" w:rsidRPr="00491098">
              <w:rPr>
                <w:color w:val="000000"/>
                <w:lang w:val="fr-FR"/>
              </w:rPr>
              <w:t>sur l'égalité hommes-femmes</w:t>
            </w:r>
          </w:p>
          <w:p w14:paraId="5847621A" w14:textId="35BFB84D" w:rsidR="00407B30" w:rsidRPr="00491098" w:rsidRDefault="00725647" w:rsidP="00900C6D">
            <w:pPr>
              <w:pStyle w:val="Tabletext"/>
              <w:spacing w:before="120"/>
              <w:rPr>
                <w:iCs/>
                <w:lang w:val="fr-FR" w:eastAsia="en-GB"/>
              </w:rPr>
            </w:pPr>
            <w:r w:rsidRPr="00491098">
              <w:rPr>
                <w:iCs/>
                <w:lang w:val="fr-FR" w:eastAsia="en-GB"/>
              </w:rPr>
              <w:t xml:space="preserve">Document du </w:t>
            </w:r>
            <w:proofErr w:type="gramStart"/>
            <w:r w:rsidRPr="00491098">
              <w:rPr>
                <w:iCs/>
                <w:lang w:val="fr-FR" w:eastAsia="en-GB"/>
              </w:rPr>
              <w:t>GCR:</w:t>
            </w:r>
            <w:proofErr w:type="gramEnd"/>
          </w:p>
          <w:p w14:paraId="2195C3CE" w14:textId="7A1A7B6F" w:rsidR="00407B30" w:rsidRPr="00491098" w:rsidRDefault="00407B30" w:rsidP="00900C6D">
            <w:pPr>
              <w:pStyle w:val="Tabletext"/>
              <w:rPr>
                <w:i/>
                <w:lang w:val="fr-FR" w:eastAsia="en-GB"/>
              </w:rPr>
            </w:pPr>
            <w:r w:rsidRPr="00491098">
              <w:rPr>
                <w:iCs/>
                <w:lang w:val="fr-FR" w:eastAsia="en-GB"/>
              </w:rPr>
              <w:t>30</w:t>
            </w:r>
          </w:p>
        </w:tc>
        <w:tc>
          <w:tcPr>
            <w:tcW w:w="3796" w:type="pct"/>
          </w:tcPr>
          <w:p w14:paraId="58E69A9A" w14:textId="7DF3FB07" w:rsidR="009D2891" w:rsidRPr="00491098" w:rsidRDefault="009D2891" w:rsidP="00311D13">
            <w:pPr>
              <w:pStyle w:val="Tabletext"/>
              <w:jc w:val="both"/>
              <w:rPr>
                <w:rFonts w:eastAsia="Calibri" w:cs="Arial"/>
                <w:lang w:val="fr-FR" w:eastAsia="en-GB"/>
              </w:rPr>
            </w:pPr>
            <w:r w:rsidRPr="00491098">
              <w:rPr>
                <w:rFonts w:eastAsia="Calibri" w:cs="Arial"/>
                <w:lang w:val="fr-FR" w:eastAsia="en-GB"/>
              </w:rPr>
              <w:t xml:space="preserve">Le GCR a pris note du rapport d'activité du </w:t>
            </w:r>
            <w:r w:rsidR="000575E9" w:rsidRPr="00491098">
              <w:rPr>
                <w:color w:val="000000"/>
                <w:lang w:val="fr-FR"/>
              </w:rPr>
              <w:t>Groupe de travail par correspondance (</w:t>
            </w:r>
            <w:r w:rsidRPr="00491098">
              <w:rPr>
                <w:rFonts w:eastAsia="Calibri" w:cs="Arial"/>
                <w:lang w:val="fr-FR" w:eastAsia="en-GB"/>
              </w:rPr>
              <w:t>CG</w:t>
            </w:r>
            <w:r w:rsidR="000575E9" w:rsidRPr="00491098">
              <w:rPr>
                <w:rFonts w:eastAsia="Calibri" w:cs="Arial"/>
                <w:lang w:val="fr-FR" w:eastAsia="en-GB"/>
              </w:rPr>
              <w:t>)</w:t>
            </w:r>
            <w:r w:rsidRPr="00491098">
              <w:rPr>
                <w:rFonts w:eastAsia="Calibri" w:cs="Arial"/>
                <w:lang w:val="fr-FR" w:eastAsia="en-GB"/>
              </w:rPr>
              <w:t xml:space="preserve"> sur la mise en œuvre de la</w:t>
            </w:r>
            <w:r w:rsidR="000575E9" w:rsidRPr="00491098">
              <w:rPr>
                <w:color w:val="000000"/>
                <w:lang w:val="fr-FR"/>
              </w:rPr>
              <w:t xml:space="preserve"> Déclaration sur l'égalité hommes-femmes adoptée par la CMR-19</w:t>
            </w:r>
            <w:r w:rsidR="00A22FB4" w:rsidRPr="00491098">
              <w:rPr>
                <w:rFonts w:eastAsia="Calibri" w:cs="Arial"/>
                <w:lang w:val="fr-FR" w:eastAsia="en-GB"/>
              </w:rPr>
              <w:t xml:space="preserve"> </w:t>
            </w:r>
            <w:r w:rsidR="000575E9" w:rsidRPr="00491098">
              <w:rPr>
                <w:rFonts w:eastAsia="Calibri" w:cs="Arial"/>
                <w:lang w:val="fr-FR" w:eastAsia="en-GB"/>
              </w:rPr>
              <w:t>(Document</w:t>
            </w:r>
            <w:r w:rsidRPr="00491098">
              <w:rPr>
                <w:rFonts w:eastAsia="Calibri" w:cs="Arial"/>
                <w:lang w:val="fr-FR" w:eastAsia="en-GB"/>
              </w:rPr>
              <w:t xml:space="preserve"> RAG21/30 et </w:t>
            </w:r>
            <w:r w:rsidR="000575E9" w:rsidRPr="00491098">
              <w:rPr>
                <w:rFonts w:eastAsia="Calibri" w:cs="Arial"/>
                <w:lang w:val="fr-FR" w:eastAsia="en-GB"/>
              </w:rPr>
              <w:t>notes de liaison proposées</w:t>
            </w:r>
            <w:r w:rsidRPr="00491098">
              <w:rPr>
                <w:rFonts w:eastAsia="Calibri" w:cs="Arial"/>
                <w:lang w:val="fr-FR" w:eastAsia="en-GB"/>
              </w:rPr>
              <w:t xml:space="preserve"> </w:t>
            </w:r>
            <w:r w:rsidR="000575E9" w:rsidRPr="00491098">
              <w:rPr>
                <w:rFonts w:eastAsia="Calibri" w:cs="Arial"/>
                <w:lang w:val="fr-FR" w:eastAsia="en-GB"/>
              </w:rPr>
              <w:t>jointes en annexe)</w:t>
            </w:r>
            <w:r w:rsidRPr="00491098">
              <w:rPr>
                <w:rFonts w:eastAsia="Calibri" w:cs="Arial"/>
                <w:lang w:val="fr-FR" w:eastAsia="en-GB"/>
              </w:rPr>
              <w:t xml:space="preserve">. Il a été </w:t>
            </w:r>
            <w:r w:rsidR="000575E9" w:rsidRPr="00491098">
              <w:rPr>
                <w:rFonts w:eastAsia="Calibri" w:cs="Arial"/>
                <w:lang w:val="fr-FR" w:eastAsia="en-GB"/>
              </w:rPr>
              <w:t>décidé de soumettre au Directeur du BR</w:t>
            </w:r>
            <w:r w:rsidRPr="00491098">
              <w:rPr>
                <w:rFonts w:eastAsia="Calibri" w:cs="Arial"/>
                <w:lang w:val="fr-FR" w:eastAsia="en-GB"/>
              </w:rPr>
              <w:t>, en plus du texte ci-dessous, un projet de texte à examiner</w:t>
            </w:r>
            <w:r w:rsidR="000575E9" w:rsidRPr="00491098">
              <w:rPr>
                <w:rFonts w:eastAsia="Calibri" w:cs="Arial"/>
                <w:lang w:val="fr-FR" w:eastAsia="en-GB"/>
              </w:rPr>
              <w:t>,</w:t>
            </w:r>
            <w:r w:rsidRPr="00491098">
              <w:rPr>
                <w:rFonts w:eastAsia="Calibri" w:cs="Arial"/>
                <w:lang w:val="fr-FR" w:eastAsia="en-GB"/>
              </w:rPr>
              <w:t xml:space="preserve"> en vue de </w:t>
            </w:r>
            <w:r w:rsidR="000575E9" w:rsidRPr="00491098">
              <w:rPr>
                <w:rFonts w:eastAsia="Calibri" w:cs="Arial"/>
                <w:lang w:val="fr-FR" w:eastAsia="en-GB"/>
              </w:rPr>
              <w:t>l</w:t>
            </w:r>
            <w:r w:rsidR="00A22FB4" w:rsidRPr="00491098">
              <w:rPr>
                <w:rFonts w:eastAsia="Calibri" w:cs="Arial"/>
                <w:lang w:val="fr-FR" w:eastAsia="en-GB"/>
              </w:rPr>
              <w:t>'</w:t>
            </w:r>
            <w:r w:rsidR="000575E9" w:rsidRPr="00491098">
              <w:rPr>
                <w:rFonts w:eastAsia="Calibri" w:cs="Arial"/>
                <w:lang w:val="fr-FR" w:eastAsia="en-GB"/>
              </w:rPr>
              <w:t>inclure</w:t>
            </w:r>
            <w:r w:rsidRPr="00491098">
              <w:rPr>
                <w:rFonts w:eastAsia="Calibri" w:cs="Arial"/>
                <w:lang w:val="fr-FR" w:eastAsia="en-GB"/>
              </w:rPr>
              <w:t xml:space="preserve"> dans la </w:t>
            </w:r>
            <w:r w:rsidR="000575E9" w:rsidRPr="00491098">
              <w:rPr>
                <w:rFonts w:eastAsia="Calibri" w:cs="Arial"/>
                <w:lang w:val="fr-FR" w:eastAsia="en-GB"/>
              </w:rPr>
              <w:t>L</w:t>
            </w:r>
            <w:r w:rsidRPr="00491098">
              <w:rPr>
                <w:rFonts w:eastAsia="Calibri" w:cs="Arial"/>
                <w:lang w:val="fr-FR" w:eastAsia="en-GB"/>
              </w:rPr>
              <w:t>ettre circulaire sur les résultats de la réunion</w:t>
            </w:r>
            <w:r w:rsidR="00A22FB4" w:rsidRPr="00491098">
              <w:rPr>
                <w:rFonts w:eastAsia="Calibri" w:cs="Arial"/>
                <w:lang w:val="fr-FR" w:eastAsia="en-GB"/>
              </w:rPr>
              <w:t xml:space="preserve"> </w:t>
            </w:r>
            <w:r w:rsidR="000575E9" w:rsidRPr="00491098">
              <w:rPr>
                <w:color w:val="000000"/>
                <w:lang w:val="fr-FR"/>
              </w:rPr>
              <w:t>de 2021</w:t>
            </w:r>
            <w:r w:rsidR="000575E9" w:rsidRPr="00491098">
              <w:rPr>
                <w:rFonts w:eastAsia="Calibri" w:cs="Arial"/>
                <w:lang w:val="fr-FR" w:eastAsia="en-GB"/>
              </w:rPr>
              <w:t xml:space="preserve"> </w:t>
            </w:r>
            <w:r w:rsidRPr="00491098">
              <w:rPr>
                <w:rFonts w:eastAsia="Calibri" w:cs="Arial"/>
                <w:lang w:val="fr-FR" w:eastAsia="en-GB"/>
              </w:rPr>
              <w:t>du GCR</w:t>
            </w:r>
            <w:r w:rsidR="00A22FB4" w:rsidRPr="00491098">
              <w:rPr>
                <w:rFonts w:eastAsia="Calibri" w:cs="Arial"/>
                <w:lang w:val="fr-FR" w:eastAsia="en-GB"/>
              </w:rPr>
              <w:t xml:space="preserve">, </w:t>
            </w:r>
            <w:r w:rsidRPr="00491098">
              <w:rPr>
                <w:rFonts w:eastAsia="Calibri" w:cs="Arial"/>
                <w:lang w:val="fr-FR" w:eastAsia="en-GB"/>
              </w:rPr>
              <w:t>compte</w:t>
            </w:r>
            <w:r w:rsidR="000575E9" w:rsidRPr="00491098">
              <w:rPr>
                <w:rFonts w:eastAsia="Calibri" w:cs="Arial"/>
                <w:lang w:val="fr-FR" w:eastAsia="en-GB"/>
              </w:rPr>
              <w:t xml:space="preserve"> tenu</w:t>
            </w:r>
            <w:r w:rsidRPr="00491098">
              <w:rPr>
                <w:rFonts w:eastAsia="Calibri" w:cs="Arial"/>
                <w:lang w:val="fr-FR" w:eastAsia="en-GB"/>
              </w:rPr>
              <w:t xml:space="preserve"> des discussions </w:t>
            </w:r>
            <w:r w:rsidR="00F74E8A" w:rsidRPr="00491098">
              <w:rPr>
                <w:rFonts w:eastAsia="Calibri" w:cs="Arial"/>
                <w:lang w:val="fr-FR" w:eastAsia="en-GB"/>
              </w:rPr>
              <w:t>en la matière</w:t>
            </w:r>
            <w:r w:rsidRPr="00491098">
              <w:rPr>
                <w:rFonts w:eastAsia="Calibri" w:cs="Arial"/>
                <w:lang w:val="fr-FR" w:eastAsia="en-GB"/>
              </w:rPr>
              <w:t xml:space="preserve"> lors de la 28</w:t>
            </w:r>
            <w:r w:rsidR="00DF153D" w:rsidRPr="00491098">
              <w:rPr>
                <w:rFonts w:eastAsia="Calibri" w:cs="Arial"/>
                <w:lang w:val="fr-FR" w:eastAsia="en-GB"/>
              </w:rPr>
              <w:t>ème</w:t>
            </w:r>
            <w:r w:rsidRPr="00491098">
              <w:rPr>
                <w:rFonts w:eastAsia="Calibri" w:cs="Arial"/>
                <w:lang w:val="fr-FR" w:eastAsia="en-GB"/>
              </w:rPr>
              <w:t xml:space="preserve"> réunion du GCR, ainsi que des autres informations </w:t>
            </w:r>
            <w:r w:rsidR="000575E9" w:rsidRPr="00491098">
              <w:rPr>
                <w:rFonts w:eastAsia="Calibri" w:cs="Arial"/>
                <w:lang w:val="fr-FR" w:eastAsia="en-GB"/>
              </w:rPr>
              <w:t xml:space="preserve">mises à disposition </w:t>
            </w:r>
            <w:r w:rsidRPr="00491098">
              <w:rPr>
                <w:rFonts w:eastAsia="Calibri" w:cs="Arial"/>
                <w:lang w:val="fr-FR" w:eastAsia="en-GB"/>
              </w:rPr>
              <w:t>sur le site web de l'UIT</w:t>
            </w:r>
            <w:r w:rsidR="00A22FB4" w:rsidRPr="00491098">
              <w:rPr>
                <w:rFonts w:eastAsia="Calibri" w:cs="Arial"/>
                <w:lang w:val="fr-FR" w:eastAsia="en-GB"/>
              </w:rPr>
              <w:t xml:space="preserve"> </w:t>
            </w:r>
            <w:r w:rsidR="00F74E8A" w:rsidRPr="00491098">
              <w:rPr>
                <w:rFonts w:eastAsia="Calibri" w:cs="Arial"/>
                <w:lang w:val="fr-FR" w:eastAsia="en-GB"/>
              </w:rPr>
              <w:t>sur ce sujet</w:t>
            </w:r>
            <w:r w:rsidR="00DF153D" w:rsidRPr="00491098">
              <w:rPr>
                <w:rFonts w:eastAsia="Calibri" w:cs="Arial"/>
                <w:lang w:val="fr-FR" w:eastAsia="en-GB"/>
              </w:rPr>
              <w:t>.</w:t>
            </w:r>
          </w:p>
          <w:p w14:paraId="098577B4" w14:textId="4F71FA21" w:rsidR="00407B30" w:rsidRPr="00491098" w:rsidRDefault="009D2891" w:rsidP="00311D13">
            <w:pPr>
              <w:pStyle w:val="Tabletext"/>
              <w:jc w:val="both"/>
              <w:rPr>
                <w:rFonts w:eastAsia="Calibri" w:cs="Arial"/>
                <w:lang w:val="fr-FR" w:eastAsia="en-GB"/>
              </w:rPr>
            </w:pPr>
            <w:r w:rsidRPr="00491098">
              <w:rPr>
                <w:rFonts w:eastAsia="Calibri" w:cs="Arial"/>
                <w:lang w:val="fr-FR" w:eastAsia="en-GB"/>
              </w:rPr>
              <w:lastRenderedPageBreak/>
              <w:t xml:space="preserve">Le GCR invite tous les </w:t>
            </w:r>
            <w:r w:rsidR="000575E9" w:rsidRPr="00491098">
              <w:rPr>
                <w:rFonts w:eastAsia="Calibri" w:cs="Arial"/>
                <w:lang w:val="fr-FR" w:eastAsia="en-GB"/>
              </w:rPr>
              <w:t>P</w:t>
            </w:r>
            <w:r w:rsidRPr="00491098">
              <w:rPr>
                <w:rFonts w:eastAsia="Calibri" w:cs="Arial"/>
                <w:lang w:val="fr-FR" w:eastAsia="en-GB"/>
              </w:rPr>
              <w:t xml:space="preserve">résidents des commissions d'études et des groupes de travail à continuer </w:t>
            </w:r>
            <w:r w:rsidR="000575E9" w:rsidRPr="00491098">
              <w:rPr>
                <w:rFonts w:eastAsia="Calibri" w:cs="Arial"/>
                <w:lang w:val="fr-FR" w:eastAsia="en-GB"/>
              </w:rPr>
              <w:t>d</w:t>
            </w:r>
            <w:r w:rsidR="00A22FB4" w:rsidRPr="00491098">
              <w:rPr>
                <w:rFonts w:eastAsia="Calibri" w:cs="Arial"/>
                <w:lang w:val="fr-FR" w:eastAsia="en-GB"/>
              </w:rPr>
              <w:t>'</w:t>
            </w:r>
            <w:r w:rsidR="000575E9" w:rsidRPr="00491098">
              <w:rPr>
                <w:rFonts w:eastAsia="Calibri" w:cs="Arial"/>
                <w:lang w:val="fr-FR" w:eastAsia="en-GB"/>
              </w:rPr>
              <w:t>appuyer</w:t>
            </w:r>
            <w:r w:rsidRPr="00491098">
              <w:rPr>
                <w:rFonts w:eastAsia="Calibri" w:cs="Arial"/>
                <w:lang w:val="fr-FR" w:eastAsia="en-GB"/>
              </w:rPr>
              <w:t xml:space="preserve">, dans la mesure du possible, </w:t>
            </w:r>
            <w:r w:rsidR="000575E9" w:rsidRPr="00491098">
              <w:rPr>
                <w:color w:val="000000"/>
                <w:lang w:val="fr-FR"/>
              </w:rPr>
              <w:t>l'égalité,</w:t>
            </w:r>
            <w:r w:rsidR="00A22FB4" w:rsidRPr="00491098">
              <w:rPr>
                <w:color w:val="000000"/>
                <w:lang w:val="fr-FR"/>
              </w:rPr>
              <w:t xml:space="preserve"> </w:t>
            </w:r>
            <w:r w:rsidR="000575E9" w:rsidRPr="00491098">
              <w:rPr>
                <w:color w:val="000000"/>
                <w:lang w:val="fr-FR"/>
              </w:rPr>
              <w:t>l'équité et</w:t>
            </w:r>
            <w:r w:rsidR="00A22FB4" w:rsidRPr="00491098">
              <w:rPr>
                <w:color w:val="000000"/>
                <w:lang w:val="fr-FR"/>
              </w:rPr>
              <w:t xml:space="preserve"> </w:t>
            </w:r>
            <w:r w:rsidR="000575E9" w:rsidRPr="00491098">
              <w:rPr>
                <w:color w:val="000000"/>
                <w:lang w:val="fr-FR"/>
              </w:rPr>
              <w:t>la parité hommes-femmes</w:t>
            </w:r>
            <w:r w:rsidR="00A22FB4" w:rsidRPr="00491098">
              <w:rPr>
                <w:color w:val="000000"/>
                <w:lang w:val="fr-FR"/>
              </w:rPr>
              <w:t>,</w:t>
            </w:r>
            <w:r w:rsidR="000575E9" w:rsidRPr="00491098">
              <w:rPr>
                <w:rFonts w:eastAsia="Calibri" w:cs="Arial"/>
                <w:lang w:val="fr-FR" w:eastAsia="en-GB"/>
              </w:rPr>
              <w:t xml:space="preserve"> </w:t>
            </w:r>
            <w:r w:rsidRPr="00491098">
              <w:rPr>
                <w:rFonts w:eastAsia="Calibri" w:cs="Arial"/>
                <w:lang w:val="fr-FR" w:eastAsia="en-GB"/>
              </w:rPr>
              <w:t>en encourageant</w:t>
            </w:r>
            <w:r w:rsidR="000575E9" w:rsidRPr="00491098">
              <w:rPr>
                <w:color w:val="000000"/>
                <w:lang w:val="fr-FR"/>
              </w:rPr>
              <w:t xml:space="preserve"> la désignation</w:t>
            </w:r>
            <w:r w:rsidR="00A22FB4" w:rsidRPr="00491098">
              <w:rPr>
                <w:color w:val="000000"/>
                <w:lang w:val="fr-FR"/>
              </w:rPr>
              <w:t xml:space="preserve"> </w:t>
            </w:r>
            <w:r w:rsidR="000575E9" w:rsidRPr="00491098">
              <w:rPr>
                <w:color w:val="000000"/>
                <w:lang w:val="fr-FR"/>
              </w:rPr>
              <w:t>de</w:t>
            </w:r>
            <w:r w:rsidR="00A22FB4" w:rsidRPr="00491098">
              <w:rPr>
                <w:color w:val="000000"/>
                <w:lang w:val="fr-FR"/>
              </w:rPr>
              <w:t xml:space="preserve"> </w:t>
            </w:r>
            <w:r w:rsidR="000575E9" w:rsidRPr="00491098">
              <w:rPr>
                <w:color w:val="000000"/>
                <w:lang w:val="fr-FR"/>
              </w:rPr>
              <w:t>femmes aux fonctions de direction</w:t>
            </w:r>
            <w:r w:rsidR="00A22FB4" w:rsidRPr="00491098">
              <w:rPr>
                <w:color w:val="000000"/>
                <w:lang w:val="fr-FR"/>
              </w:rPr>
              <w:t xml:space="preserve"> </w:t>
            </w:r>
            <w:r w:rsidRPr="00491098">
              <w:rPr>
                <w:rFonts w:eastAsia="Calibri" w:cs="Arial"/>
                <w:lang w:val="fr-FR" w:eastAsia="en-GB"/>
              </w:rPr>
              <w:t>au sein des groupes de travail et des groupes d</w:t>
            </w:r>
            <w:r w:rsidR="000575E9" w:rsidRPr="00491098">
              <w:rPr>
                <w:rFonts w:eastAsia="Calibri" w:cs="Arial"/>
                <w:lang w:val="fr-FR" w:eastAsia="en-GB"/>
              </w:rPr>
              <w:t>e</w:t>
            </w:r>
            <w:r w:rsidRPr="00491098">
              <w:rPr>
                <w:rFonts w:eastAsia="Calibri" w:cs="Arial"/>
                <w:lang w:val="fr-FR" w:eastAsia="en-GB"/>
              </w:rPr>
              <w:t xml:space="preserve"> </w:t>
            </w:r>
            <w:r w:rsidR="000575E9" w:rsidRPr="00491098">
              <w:rPr>
                <w:rFonts w:eastAsia="Calibri" w:cs="Arial"/>
                <w:lang w:val="fr-FR" w:eastAsia="en-GB"/>
              </w:rPr>
              <w:t>R</w:t>
            </w:r>
            <w:r w:rsidRPr="00491098">
              <w:rPr>
                <w:rFonts w:eastAsia="Calibri" w:cs="Arial"/>
                <w:lang w:val="fr-FR" w:eastAsia="en-GB"/>
              </w:rPr>
              <w:t>apporteur</w:t>
            </w:r>
            <w:r w:rsidR="00A22FB4" w:rsidRPr="00491098">
              <w:rPr>
                <w:rFonts w:eastAsia="Calibri" w:cs="Arial"/>
                <w:lang w:val="fr-FR" w:eastAsia="en-GB"/>
              </w:rPr>
              <w:t>,</w:t>
            </w:r>
            <w:r w:rsidRPr="00491098">
              <w:rPr>
                <w:rFonts w:eastAsia="Calibri" w:cs="Arial"/>
                <w:lang w:val="fr-FR" w:eastAsia="en-GB"/>
              </w:rPr>
              <w:t xml:space="preserve"> notamment en tant que </w:t>
            </w:r>
            <w:r w:rsidR="000575E9" w:rsidRPr="00491098">
              <w:rPr>
                <w:rFonts w:eastAsia="Calibri" w:cs="Arial"/>
                <w:lang w:val="fr-FR" w:eastAsia="en-GB"/>
              </w:rPr>
              <w:t>P</w:t>
            </w:r>
            <w:r w:rsidRPr="00491098">
              <w:rPr>
                <w:rFonts w:eastAsia="Calibri" w:cs="Arial"/>
                <w:lang w:val="fr-FR" w:eastAsia="en-GB"/>
              </w:rPr>
              <w:t xml:space="preserve">résidentes, </w:t>
            </w:r>
            <w:r w:rsidR="000575E9" w:rsidRPr="00491098">
              <w:rPr>
                <w:rFonts w:eastAsia="Calibri" w:cs="Arial"/>
                <w:lang w:val="fr-FR" w:eastAsia="en-GB"/>
              </w:rPr>
              <w:t>V</w:t>
            </w:r>
            <w:r w:rsidRPr="00491098">
              <w:rPr>
                <w:rFonts w:eastAsia="Calibri" w:cs="Arial"/>
                <w:lang w:val="fr-FR" w:eastAsia="en-GB"/>
              </w:rPr>
              <w:t>ice-</w:t>
            </w:r>
            <w:r w:rsidR="000575E9" w:rsidRPr="00491098">
              <w:rPr>
                <w:rFonts w:eastAsia="Calibri" w:cs="Arial"/>
                <w:lang w:val="fr-FR" w:eastAsia="en-GB"/>
              </w:rPr>
              <w:t>P</w:t>
            </w:r>
            <w:r w:rsidRPr="00491098">
              <w:rPr>
                <w:rFonts w:eastAsia="Calibri" w:cs="Arial"/>
                <w:lang w:val="fr-FR" w:eastAsia="en-GB"/>
              </w:rPr>
              <w:t xml:space="preserve">résidentes et </w:t>
            </w:r>
            <w:r w:rsidR="000575E9" w:rsidRPr="00491098">
              <w:rPr>
                <w:rFonts w:eastAsia="Calibri" w:cs="Arial"/>
                <w:lang w:val="fr-FR" w:eastAsia="en-GB"/>
              </w:rPr>
              <w:t>R</w:t>
            </w:r>
            <w:r w:rsidRPr="00491098">
              <w:rPr>
                <w:rFonts w:eastAsia="Calibri" w:cs="Arial"/>
                <w:lang w:val="fr-FR" w:eastAsia="en-GB"/>
              </w:rPr>
              <w:t>apporteu</w:t>
            </w:r>
            <w:r w:rsidR="000575E9" w:rsidRPr="00491098">
              <w:rPr>
                <w:rFonts w:eastAsia="Calibri" w:cs="Arial"/>
                <w:lang w:val="fr-FR" w:eastAsia="en-GB"/>
              </w:rPr>
              <w:t>rs</w:t>
            </w:r>
            <w:r w:rsidRPr="00491098">
              <w:rPr>
                <w:rFonts w:eastAsia="Calibri" w:cs="Arial"/>
                <w:lang w:val="fr-FR" w:eastAsia="en-GB"/>
              </w:rPr>
              <w:t xml:space="preserve">. </w:t>
            </w:r>
          </w:p>
        </w:tc>
      </w:tr>
      <w:tr w:rsidR="00407B30" w:rsidRPr="00F8073F" w14:paraId="2640A489" w14:textId="77777777" w:rsidTr="004269AD">
        <w:trPr>
          <w:jc w:val="center"/>
        </w:trPr>
        <w:tc>
          <w:tcPr>
            <w:tcW w:w="339" w:type="pct"/>
          </w:tcPr>
          <w:p w14:paraId="3FEF3767" w14:textId="18F4EEB8" w:rsidR="00407B30" w:rsidRPr="00491098" w:rsidRDefault="00407B30" w:rsidP="00311D13">
            <w:pPr>
              <w:pStyle w:val="Tabletext"/>
              <w:jc w:val="both"/>
              <w:rPr>
                <w:lang w:val="fr-FR" w:eastAsia="en-GB"/>
              </w:rPr>
            </w:pPr>
            <w:r w:rsidRPr="00491098">
              <w:rPr>
                <w:lang w:val="fr-FR" w:eastAsia="en-GB"/>
              </w:rPr>
              <w:lastRenderedPageBreak/>
              <w:br w:type="page"/>
              <w:t>11</w:t>
            </w:r>
          </w:p>
        </w:tc>
        <w:tc>
          <w:tcPr>
            <w:tcW w:w="865" w:type="pct"/>
          </w:tcPr>
          <w:p w14:paraId="0776BF3F" w14:textId="56DCDAF8" w:rsidR="00407B30" w:rsidRPr="00491098" w:rsidRDefault="00DF153D" w:rsidP="00900C6D">
            <w:pPr>
              <w:pStyle w:val="Tabletext"/>
              <w:rPr>
                <w:color w:val="000000"/>
                <w:lang w:val="fr-FR"/>
              </w:rPr>
            </w:pPr>
            <w:r w:rsidRPr="00491098">
              <w:rPr>
                <w:color w:val="000000"/>
                <w:lang w:val="fr-FR"/>
              </w:rPr>
              <w:t>M</w:t>
            </w:r>
            <w:r w:rsidR="00725647" w:rsidRPr="00491098">
              <w:rPr>
                <w:color w:val="000000"/>
                <w:lang w:val="fr-FR"/>
              </w:rPr>
              <w:t xml:space="preserve">andat du </w:t>
            </w:r>
            <w:r w:rsidR="00725647" w:rsidRPr="00491098">
              <w:rPr>
                <w:lang w:val="fr-FR" w:eastAsia="en-GB"/>
              </w:rPr>
              <w:t>CG-2</w:t>
            </w:r>
            <w:r w:rsidR="00A22FB4" w:rsidRPr="00491098">
              <w:rPr>
                <w:lang w:val="fr-FR" w:eastAsia="en-GB"/>
              </w:rPr>
              <w:t xml:space="preserve"> </w:t>
            </w:r>
            <w:r w:rsidR="00725647" w:rsidRPr="00491098">
              <w:rPr>
                <w:color w:val="000000"/>
                <w:lang w:val="fr-FR"/>
              </w:rPr>
              <w:t>du GCR chargé de la révision éventuelle des Résolutions UIT-R 1-8 et 15-6</w:t>
            </w:r>
          </w:p>
          <w:p w14:paraId="42FF14FE" w14:textId="71C944C4" w:rsidR="00407B30" w:rsidRPr="00491098" w:rsidRDefault="00725647" w:rsidP="00900C6D">
            <w:pPr>
              <w:pStyle w:val="Tabletext"/>
              <w:spacing w:before="120"/>
              <w:rPr>
                <w:lang w:val="fr-FR" w:eastAsia="en-GB"/>
              </w:rPr>
            </w:pPr>
            <w:r w:rsidRPr="00491098">
              <w:rPr>
                <w:lang w:val="fr-FR" w:eastAsia="en-GB"/>
              </w:rPr>
              <w:t xml:space="preserve">Document du </w:t>
            </w:r>
            <w:proofErr w:type="gramStart"/>
            <w:r w:rsidRPr="00491098">
              <w:rPr>
                <w:lang w:val="fr-FR" w:eastAsia="en-GB"/>
              </w:rPr>
              <w:t>GCR:</w:t>
            </w:r>
            <w:proofErr w:type="gramEnd"/>
          </w:p>
          <w:p w14:paraId="572D3D83" w14:textId="4ED5311C" w:rsidR="00407B30" w:rsidRPr="00491098" w:rsidRDefault="00407B30" w:rsidP="00900C6D">
            <w:pPr>
              <w:pStyle w:val="Tabletext"/>
              <w:rPr>
                <w:lang w:val="fr-FR" w:eastAsia="en-GB"/>
              </w:rPr>
            </w:pPr>
            <w:r w:rsidRPr="00491098">
              <w:rPr>
                <w:lang w:val="fr-FR" w:eastAsia="en-GB"/>
              </w:rPr>
              <w:t>31</w:t>
            </w:r>
          </w:p>
        </w:tc>
        <w:tc>
          <w:tcPr>
            <w:tcW w:w="3796" w:type="pct"/>
          </w:tcPr>
          <w:p w14:paraId="7D9DB549" w14:textId="4ECDE68F" w:rsidR="00407B30" w:rsidRPr="00491098" w:rsidRDefault="000575E9" w:rsidP="00311D13">
            <w:pPr>
              <w:pStyle w:val="Tabletext"/>
              <w:jc w:val="both"/>
              <w:rPr>
                <w:rFonts w:cs="Arial"/>
                <w:lang w:val="fr-FR" w:eastAsia="en-GB"/>
              </w:rPr>
            </w:pPr>
            <w:r w:rsidRPr="00491098">
              <w:rPr>
                <w:rFonts w:cs="Arial"/>
                <w:lang w:val="fr-FR" w:eastAsia="en-GB"/>
              </w:rPr>
              <w:t>Le GCR a approuvé le mandat</w:t>
            </w:r>
            <w:r w:rsidR="00A22FB4" w:rsidRPr="00491098">
              <w:rPr>
                <w:rFonts w:cs="Arial"/>
                <w:lang w:val="fr-FR" w:eastAsia="en-GB"/>
              </w:rPr>
              <w:t xml:space="preserve"> </w:t>
            </w:r>
            <w:r w:rsidRPr="00491098">
              <w:rPr>
                <w:color w:val="000000"/>
                <w:lang w:val="fr-FR"/>
              </w:rPr>
              <w:t>du Groupe de travail par correspondance 2 du GCR chargé de la révision éventuelle de</w:t>
            </w:r>
            <w:r w:rsidR="00F74E8A" w:rsidRPr="00491098">
              <w:rPr>
                <w:color w:val="000000"/>
                <w:lang w:val="fr-FR"/>
              </w:rPr>
              <w:t xml:space="preserve"> la</w:t>
            </w:r>
            <w:r w:rsidR="00A22FB4" w:rsidRPr="00491098">
              <w:rPr>
                <w:color w:val="000000"/>
                <w:lang w:val="fr-FR"/>
              </w:rPr>
              <w:t xml:space="preserve"> </w:t>
            </w:r>
            <w:r w:rsidRPr="00491098">
              <w:rPr>
                <w:color w:val="000000"/>
                <w:lang w:val="fr-FR"/>
              </w:rPr>
              <w:t>Résolution UIT</w:t>
            </w:r>
            <w:r w:rsidR="00DF153D" w:rsidRPr="00491098">
              <w:rPr>
                <w:color w:val="000000"/>
                <w:lang w:val="fr-FR"/>
              </w:rPr>
              <w:noBreakHyphen/>
            </w:r>
            <w:r w:rsidRPr="00491098">
              <w:rPr>
                <w:color w:val="000000"/>
                <w:lang w:val="fr-FR"/>
              </w:rPr>
              <w:t>R 1-8</w:t>
            </w:r>
            <w:r w:rsidR="00A22FB4" w:rsidRPr="00491098">
              <w:rPr>
                <w:color w:val="000000"/>
                <w:lang w:val="fr-FR"/>
              </w:rPr>
              <w:t xml:space="preserve"> </w:t>
            </w:r>
            <w:r w:rsidRPr="00491098">
              <w:rPr>
                <w:color w:val="000000"/>
                <w:lang w:val="fr-FR"/>
              </w:rPr>
              <w:t>(GC-2 du GCR)</w:t>
            </w:r>
            <w:r w:rsidR="00A22FB4" w:rsidRPr="00491098">
              <w:rPr>
                <w:rFonts w:cs="Arial"/>
                <w:lang w:val="fr-FR" w:eastAsia="en-GB"/>
              </w:rPr>
              <w:t>,</w:t>
            </w:r>
            <w:r w:rsidRPr="00491098">
              <w:rPr>
                <w:rFonts w:cs="Arial"/>
                <w:lang w:val="fr-FR" w:eastAsia="en-GB"/>
              </w:rPr>
              <w:t xml:space="preserve"> </w:t>
            </w:r>
            <w:r w:rsidR="0024053A" w:rsidRPr="00491098">
              <w:rPr>
                <w:rFonts w:cs="Arial"/>
                <w:lang w:val="fr-FR" w:eastAsia="en-GB"/>
              </w:rPr>
              <w:t>tel qu</w:t>
            </w:r>
            <w:r w:rsidR="00A22FB4" w:rsidRPr="00491098">
              <w:rPr>
                <w:rFonts w:cs="Arial"/>
                <w:lang w:val="fr-FR" w:eastAsia="en-GB"/>
              </w:rPr>
              <w:t>'</w:t>
            </w:r>
            <w:r w:rsidR="0024053A" w:rsidRPr="00491098">
              <w:rPr>
                <w:rFonts w:cs="Arial"/>
                <w:lang w:val="fr-FR" w:eastAsia="en-GB"/>
              </w:rPr>
              <w:t>il figure</w:t>
            </w:r>
            <w:r w:rsidRPr="00491098">
              <w:rPr>
                <w:rFonts w:cs="Arial"/>
                <w:lang w:val="fr-FR" w:eastAsia="en-GB"/>
              </w:rPr>
              <w:t xml:space="preserve"> dans l'Annexe 2 du présent document.</w:t>
            </w:r>
          </w:p>
        </w:tc>
      </w:tr>
      <w:tr w:rsidR="00407B30" w:rsidRPr="00F8073F" w14:paraId="3AA10472" w14:textId="77777777" w:rsidTr="004269AD">
        <w:trPr>
          <w:jc w:val="center"/>
        </w:trPr>
        <w:tc>
          <w:tcPr>
            <w:tcW w:w="339" w:type="pct"/>
          </w:tcPr>
          <w:p w14:paraId="6B45661C" w14:textId="4E346DBE" w:rsidR="00407B30" w:rsidRPr="00491098" w:rsidRDefault="00407B30" w:rsidP="00311D13">
            <w:pPr>
              <w:pStyle w:val="Tabletext"/>
              <w:jc w:val="both"/>
              <w:rPr>
                <w:lang w:val="fr-FR" w:eastAsia="en-GB"/>
              </w:rPr>
            </w:pPr>
            <w:r w:rsidRPr="00491098">
              <w:rPr>
                <w:lang w:val="fr-FR" w:eastAsia="en-GB"/>
              </w:rPr>
              <w:t>12</w:t>
            </w:r>
          </w:p>
        </w:tc>
        <w:tc>
          <w:tcPr>
            <w:tcW w:w="865" w:type="pct"/>
          </w:tcPr>
          <w:p w14:paraId="4C62F42E" w14:textId="782933F3" w:rsidR="00407B30" w:rsidRPr="00491098" w:rsidRDefault="00820201" w:rsidP="00900C6D">
            <w:pPr>
              <w:pStyle w:val="Tabletext"/>
              <w:rPr>
                <w:lang w:val="fr-FR" w:eastAsia="en-GB"/>
              </w:rPr>
            </w:pPr>
            <w:r w:rsidRPr="00491098">
              <w:rPr>
                <w:lang w:val="fr-FR" w:eastAsia="en-GB"/>
              </w:rPr>
              <w:t>Sensibilisation des membres</w:t>
            </w:r>
          </w:p>
          <w:p w14:paraId="0B3E609B" w14:textId="516009E4" w:rsidR="00407B30" w:rsidRPr="00491098" w:rsidRDefault="00725647" w:rsidP="00900C6D">
            <w:pPr>
              <w:pStyle w:val="Tabletext"/>
              <w:spacing w:before="120"/>
              <w:rPr>
                <w:lang w:val="fr-FR" w:eastAsia="en-GB"/>
              </w:rPr>
            </w:pPr>
            <w:r w:rsidRPr="00491098">
              <w:rPr>
                <w:lang w:val="fr-FR" w:eastAsia="en-GB"/>
              </w:rPr>
              <w:t xml:space="preserve">Document du </w:t>
            </w:r>
            <w:proofErr w:type="gramStart"/>
            <w:r w:rsidRPr="00491098">
              <w:rPr>
                <w:lang w:val="fr-FR" w:eastAsia="en-GB"/>
              </w:rPr>
              <w:t>GCR:</w:t>
            </w:r>
            <w:proofErr w:type="gramEnd"/>
          </w:p>
          <w:p w14:paraId="606B1F41" w14:textId="730CD041" w:rsidR="00407B30" w:rsidRPr="00491098" w:rsidRDefault="00407B30" w:rsidP="00900C6D">
            <w:pPr>
              <w:pStyle w:val="Tabletext"/>
              <w:rPr>
                <w:lang w:val="fr-FR" w:eastAsia="en-GB"/>
              </w:rPr>
            </w:pPr>
            <w:r w:rsidRPr="00491098">
              <w:rPr>
                <w:lang w:val="fr-FR" w:eastAsia="en-GB"/>
              </w:rPr>
              <w:t>26</w:t>
            </w:r>
          </w:p>
        </w:tc>
        <w:tc>
          <w:tcPr>
            <w:tcW w:w="3796" w:type="pct"/>
          </w:tcPr>
          <w:p w14:paraId="074BF71F" w14:textId="08952416" w:rsidR="0024053A" w:rsidRPr="00491098" w:rsidRDefault="0024053A" w:rsidP="00311D13">
            <w:pPr>
              <w:pStyle w:val="Tabletext"/>
              <w:jc w:val="both"/>
              <w:rPr>
                <w:rFonts w:cs="Arial"/>
                <w:lang w:val="fr-FR" w:eastAsia="en-GB"/>
              </w:rPr>
            </w:pPr>
            <w:r w:rsidRPr="00491098">
              <w:rPr>
                <w:rFonts w:cs="Arial"/>
                <w:lang w:val="fr-FR" w:eastAsia="en-GB"/>
              </w:rPr>
              <w:t>Le GCR a remercié le BR pour son travail de sensibilisation</w:t>
            </w:r>
            <w:r w:rsidR="008D2733" w:rsidRPr="00491098">
              <w:rPr>
                <w:lang w:val="fr-FR"/>
              </w:rPr>
              <w:t xml:space="preserve"> </w:t>
            </w:r>
            <w:r w:rsidR="008D2733" w:rsidRPr="00491098">
              <w:rPr>
                <w:rFonts w:cs="Arial"/>
                <w:lang w:val="fr-FR" w:eastAsia="en-GB"/>
              </w:rPr>
              <w:t>des membres</w:t>
            </w:r>
            <w:r w:rsidRPr="00491098">
              <w:rPr>
                <w:rFonts w:cs="Arial"/>
                <w:lang w:val="fr-FR" w:eastAsia="en-GB"/>
              </w:rPr>
              <w:t xml:space="preserve"> et pour les mesures qu</w:t>
            </w:r>
            <w:r w:rsidR="00A22FB4" w:rsidRPr="00491098">
              <w:rPr>
                <w:rFonts w:cs="Arial"/>
                <w:lang w:val="fr-FR" w:eastAsia="en-GB"/>
              </w:rPr>
              <w:t>'</w:t>
            </w:r>
            <w:r w:rsidRPr="00491098">
              <w:rPr>
                <w:rFonts w:cs="Arial"/>
                <w:lang w:val="fr-FR" w:eastAsia="en-GB"/>
              </w:rPr>
              <w:t>il a prises afin d</w:t>
            </w:r>
            <w:r w:rsidR="00A22FB4" w:rsidRPr="00491098">
              <w:rPr>
                <w:rFonts w:cs="Arial"/>
                <w:lang w:val="fr-FR" w:eastAsia="en-GB"/>
              </w:rPr>
              <w:t>'</w:t>
            </w:r>
            <w:r w:rsidRPr="00491098">
              <w:rPr>
                <w:rFonts w:cs="Arial"/>
                <w:lang w:val="fr-FR" w:eastAsia="en-GB"/>
              </w:rPr>
              <w:t>apporter un appui aux pays, en particulier concernant l</w:t>
            </w:r>
            <w:r w:rsidR="00A22FB4" w:rsidRPr="00491098">
              <w:rPr>
                <w:rFonts w:cs="Arial"/>
                <w:lang w:val="fr-FR" w:eastAsia="en-GB"/>
              </w:rPr>
              <w:t>'</w:t>
            </w:r>
            <w:r w:rsidRPr="00491098">
              <w:rPr>
                <w:rFonts w:cs="Arial"/>
                <w:lang w:val="fr-FR" w:eastAsia="en-GB"/>
              </w:rPr>
              <w:t>application de la Résolution 559, et l</w:t>
            </w:r>
            <w:r w:rsidR="00A22FB4" w:rsidRPr="00491098">
              <w:rPr>
                <w:rFonts w:cs="Arial"/>
                <w:lang w:val="fr-FR" w:eastAsia="en-GB"/>
              </w:rPr>
              <w:t>'</w:t>
            </w:r>
            <w:r w:rsidRPr="00491098">
              <w:rPr>
                <w:rFonts w:cs="Arial"/>
                <w:lang w:val="fr-FR" w:eastAsia="en-GB"/>
              </w:rPr>
              <w:t>a prié de poursuivre son action dans ce sens</w:t>
            </w:r>
            <w:r w:rsidR="00DF153D" w:rsidRPr="00491098">
              <w:rPr>
                <w:rFonts w:cs="Arial"/>
                <w:lang w:val="fr-FR" w:eastAsia="en-GB"/>
              </w:rPr>
              <w:t>.</w:t>
            </w:r>
          </w:p>
          <w:p w14:paraId="4D9E456C" w14:textId="616C4698" w:rsidR="00407B30" w:rsidRPr="00491098" w:rsidRDefault="0024053A" w:rsidP="00311D13">
            <w:pPr>
              <w:pStyle w:val="Tabletext"/>
              <w:jc w:val="both"/>
              <w:rPr>
                <w:rFonts w:cs="Arial"/>
                <w:lang w:val="fr-FR" w:eastAsia="en-GB"/>
              </w:rPr>
            </w:pPr>
            <w:r w:rsidRPr="00491098">
              <w:rPr>
                <w:rFonts w:cs="Arial"/>
                <w:lang w:val="fr-FR" w:eastAsia="en-GB"/>
              </w:rPr>
              <w:t>Le GCR a pris note de la demande invitant le</w:t>
            </w:r>
            <w:r w:rsidR="00A22FB4" w:rsidRPr="00491098">
              <w:rPr>
                <w:rFonts w:cs="Arial"/>
                <w:lang w:val="fr-FR" w:eastAsia="en-GB"/>
              </w:rPr>
              <w:t xml:space="preserve"> </w:t>
            </w:r>
            <w:r w:rsidRPr="00491098">
              <w:rPr>
                <w:rFonts w:cs="Arial"/>
                <w:lang w:val="fr-FR" w:eastAsia="en-GB"/>
              </w:rPr>
              <w:t>BR</w:t>
            </w:r>
            <w:r w:rsidR="00A22FB4" w:rsidRPr="00491098">
              <w:rPr>
                <w:rFonts w:cs="Arial"/>
                <w:lang w:val="fr-FR" w:eastAsia="en-GB"/>
              </w:rPr>
              <w:t xml:space="preserve"> </w:t>
            </w:r>
            <w:r w:rsidRPr="00491098">
              <w:rPr>
                <w:rFonts w:cs="Arial"/>
                <w:lang w:val="fr-FR" w:eastAsia="en-GB"/>
              </w:rPr>
              <w:t>à faciliter l'accès à la version MS Word de l'édition de 2020 du Règlement des radiocommunications, en plus des versions déjà mentionnées sur les pages web des CE/GT de l'UIT-R. Le Directeur a indiqué que cela devrait être possible après consultation du Secrétariat général. Au cours de la présentation précédente de la Section 5 du Document</w:t>
            </w:r>
            <w:r w:rsidR="00DF153D" w:rsidRPr="00491098">
              <w:rPr>
                <w:rFonts w:cs="Arial"/>
                <w:lang w:val="fr-FR" w:eastAsia="en-GB"/>
              </w:rPr>
              <w:t> </w:t>
            </w:r>
            <w:r w:rsidRPr="00491098">
              <w:rPr>
                <w:rFonts w:cs="Arial"/>
                <w:lang w:val="fr-FR" w:eastAsia="en-GB"/>
              </w:rPr>
              <w:t>RAG21/26, les participants ont été informés que la</w:t>
            </w:r>
            <w:r w:rsidR="00A22FB4" w:rsidRPr="00491098">
              <w:rPr>
                <w:rFonts w:cs="Arial"/>
                <w:lang w:val="fr-FR" w:eastAsia="en-GB"/>
              </w:rPr>
              <w:t xml:space="preserve"> </w:t>
            </w:r>
            <w:r w:rsidR="00F8073F">
              <w:fldChar w:fldCharType="begin"/>
            </w:r>
            <w:r w:rsidR="00F8073F" w:rsidRPr="00F8073F">
              <w:rPr>
                <w:lang w:val="fr-CH"/>
              </w:rPr>
              <w:instrText xml:space="preserve"> HYPERLINK "https://www.itu.int/net4/proposals/CPI/WRC23/Main" </w:instrText>
            </w:r>
            <w:r w:rsidR="00F8073F">
              <w:fldChar w:fldCharType="separate"/>
            </w:r>
            <w:r w:rsidRPr="00491098">
              <w:rPr>
                <w:color w:val="0563C1"/>
                <w:u w:val="single"/>
                <w:lang w:val="fr-FR" w:eastAsia="en-GB"/>
              </w:rPr>
              <w:t>version</w:t>
            </w:r>
            <w:r w:rsidR="00DF153D" w:rsidRPr="00491098">
              <w:rPr>
                <w:color w:val="0563C1"/>
                <w:u w:val="single"/>
                <w:lang w:val="fr-FR"/>
              </w:rPr>
              <w:t xml:space="preserve"> </w:t>
            </w:r>
            <w:r w:rsidRPr="00491098">
              <w:rPr>
                <w:color w:val="0563C1"/>
                <w:u w:val="single"/>
                <w:lang w:val="fr-FR" w:eastAsia="en-GB"/>
              </w:rPr>
              <w:t>préliminaire de l'outil CPI pour la CMR-23</w:t>
            </w:r>
            <w:r w:rsidR="00F8073F">
              <w:rPr>
                <w:color w:val="0563C1"/>
                <w:u w:val="single"/>
                <w:lang w:val="fr-FR" w:eastAsia="en-GB"/>
              </w:rPr>
              <w:fldChar w:fldCharType="end"/>
            </w:r>
            <w:r w:rsidR="00A22FB4" w:rsidRPr="00491098">
              <w:rPr>
                <w:lang w:val="fr-FR" w:eastAsia="en-GB"/>
              </w:rPr>
              <w:t xml:space="preserve"> </w:t>
            </w:r>
            <w:r w:rsidRPr="00491098">
              <w:rPr>
                <w:rFonts w:cs="Arial"/>
                <w:lang w:val="fr-FR" w:eastAsia="en-GB"/>
              </w:rPr>
              <w:t>(disponible sur la page web de la RPC), qui permet de sélectionner et</w:t>
            </w:r>
            <w:r w:rsidR="00A22FB4" w:rsidRPr="00491098">
              <w:rPr>
                <w:rFonts w:cs="Arial"/>
                <w:lang w:val="fr-FR" w:eastAsia="en-GB"/>
              </w:rPr>
              <w:t xml:space="preserve"> </w:t>
            </w:r>
            <w:r w:rsidRPr="00491098">
              <w:rPr>
                <w:rFonts w:cs="Arial"/>
                <w:lang w:val="fr-FR" w:eastAsia="en-GB"/>
              </w:rPr>
              <w:t>d</w:t>
            </w:r>
            <w:r w:rsidR="00A22FB4" w:rsidRPr="00491098">
              <w:rPr>
                <w:rFonts w:cs="Arial"/>
                <w:lang w:val="fr-FR" w:eastAsia="en-GB"/>
              </w:rPr>
              <w:t>'</w:t>
            </w:r>
            <w:r w:rsidRPr="00491098">
              <w:rPr>
                <w:rFonts w:cs="Arial"/>
                <w:lang w:val="fr-FR" w:eastAsia="en-GB"/>
              </w:rPr>
              <w:t>extraire des textes du RR</w:t>
            </w:r>
            <w:r w:rsidR="002763E2" w:rsidRPr="00491098">
              <w:rPr>
                <w:rFonts w:cs="Arial"/>
                <w:lang w:val="fr-FR" w:eastAsia="en-GB"/>
              </w:rPr>
              <w:t xml:space="preserve"> selon un</w:t>
            </w:r>
            <w:r w:rsidRPr="00491098">
              <w:rPr>
                <w:rFonts w:cs="Arial"/>
                <w:lang w:val="fr-FR" w:eastAsia="en-GB"/>
              </w:rPr>
              <w:t xml:space="preserve"> </w:t>
            </w:r>
            <w:r w:rsidR="002763E2" w:rsidRPr="00491098">
              <w:rPr>
                <w:color w:val="000000"/>
                <w:lang w:val="fr-FR"/>
              </w:rPr>
              <w:t>gabarit</w:t>
            </w:r>
            <w:r w:rsidR="00A22FB4" w:rsidRPr="00491098">
              <w:rPr>
                <w:color w:val="000000"/>
                <w:lang w:val="fr-FR"/>
              </w:rPr>
              <w:t xml:space="preserve"> </w:t>
            </w:r>
            <w:r w:rsidRPr="00491098">
              <w:rPr>
                <w:rFonts w:cs="Arial"/>
                <w:lang w:val="fr-FR" w:eastAsia="en-GB"/>
              </w:rPr>
              <w:t>et un format de document MS Word appropriés</w:t>
            </w:r>
            <w:r w:rsidR="002763E2" w:rsidRPr="00491098">
              <w:rPr>
                <w:rFonts w:cs="Arial"/>
                <w:lang w:val="fr-FR" w:eastAsia="en-GB"/>
              </w:rPr>
              <w:t xml:space="preserve">, en vue de leur utilisation </w:t>
            </w:r>
            <w:r w:rsidRPr="00491098">
              <w:rPr>
                <w:rFonts w:cs="Arial"/>
                <w:lang w:val="fr-FR" w:eastAsia="en-GB"/>
              </w:rPr>
              <w:t xml:space="preserve">pour la </w:t>
            </w:r>
            <w:r w:rsidR="002763E2" w:rsidRPr="00491098">
              <w:rPr>
                <w:rFonts w:cs="Arial"/>
                <w:lang w:val="fr-FR" w:eastAsia="en-GB"/>
              </w:rPr>
              <w:t>soumission</w:t>
            </w:r>
            <w:r w:rsidRPr="00491098">
              <w:rPr>
                <w:rFonts w:cs="Arial"/>
                <w:lang w:val="fr-FR" w:eastAsia="en-GB"/>
              </w:rPr>
              <w:t xml:space="preserve"> de</w:t>
            </w:r>
            <w:r w:rsidR="00A22FB4" w:rsidRPr="00491098">
              <w:rPr>
                <w:rFonts w:cs="Arial"/>
                <w:lang w:val="fr-FR" w:eastAsia="en-GB"/>
              </w:rPr>
              <w:t xml:space="preserve"> </w:t>
            </w:r>
            <w:r w:rsidRPr="00491098">
              <w:rPr>
                <w:rFonts w:cs="Arial"/>
                <w:lang w:val="fr-FR" w:eastAsia="en-GB"/>
              </w:rPr>
              <w:t>contributions aux commissions d'études et de</w:t>
            </w:r>
            <w:r w:rsidR="00A22FB4" w:rsidRPr="00491098">
              <w:rPr>
                <w:rFonts w:cs="Arial"/>
                <w:lang w:val="fr-FR" w:eastAsia="en-GB"/>
              </w:rPr>
              <w:t xml:space="preserve"> </w:t>
            </w:r>
            <w:r w:rsidRPr="00491098">
              <w:rPr>
                <w:rFonts w:cs="Arial"/>
                <w:lang w:val="fr-FR" w:eastAsia="en-GB"/>
              </w:rPr>
              <w:t>propositions à la CMR-23, était désormais accessible.</w:t>
            </w:r>
          </w:p>
          <w:p w14:paraId="089AEDCA" w14:textId="11C18C40" w:rsidR="00407B30" w:rsidRPr="00491098" w:rsidRDefault="002763E2" w:rsidP="00311D13">
            <w:pPr>
              <w:pStyle w:val="Tabletext"/>
              <w:jc w:val="both"/>
              <w:rPr>
                <w:lang w:val="fr-FR" w:eastAsia="en-GB"/>
              </w:rPr>
            </w:pPr>
            <w:r w:rsidRPr="00491098">
              <w:rPr>
                <w:lang w:val="fr-FR" w:eastAsia="en-GB"/>
              </w:rPr>
              <w:t>Le GCR a invité le Directeur à poursuivre ses efforts en ce qui concerne l'utilisation de toutes les langues officielles de l'UIT sur un pied d'égalité, en accordant une attention particulière aux pages web du BR. Il a également pris acte des difficultés évoquées par le Directeur pour harmoniser les pages web et s'est félicité de l'aide apportée par les Membres pour assurer cette harmonisation.</w:t>
            </w:r>
          </w:p>
        </w:tc>
      </w:tr>
      <w:tr w:rsidR="00820201" w:rsidRPr="00F8073F" w14:paraId="79DB4B07" w14:textId="77777777" w:rsidTr="004269AD">
        <w:trPr>
          <w:jc w:val="center"/>
        </w:trPr>
        <w:tc>
          <w:tcPr>
            <w:tcW w:w="339" w:type="pct"/>
          </w:tcPr>
          <w:p w14:paraId="4F56306E" w14:textId="6CDA3D6E" w:rsidR="00820201" w:rsidRPr="00491098" w:rsidRDefault="00820201" w:rsidP="00311D13">
            <w:pPr>
              <w:pStyle w:val="Tabletext"/>
              <w:jc w:val="both"/>
              <w:rPr>
                <w:lang w:val="fr-FR" w:eastAsia="en-GB"/>
              </w:rPr>
            </w:pPr>
            <w:r w:rsidRPr="00491098">
              <w:rPr>
                <w:lang w:val="fr-FR" w:eastAsia="en-GB"/>
              </w:rPr>
              <w:t>13</w:t>
            </w:r>
          </w:p>
        </w:tc>
        <w:tc>
          <w:tcPr>
            <w:tcW w:w="865" w:type="pct"/>
          </w:tcPr>
          <w:p w14:paraId="388CDC47" w14:textId="1B30F71F" w:rsidR="00820201" w:rsidRPr="00491098" w:rsidRDefault="00820201" w:rsidP="00900C6D">
            <w:pPr>
              <w:pStyle w:val="Tabletext"/>
              <w:rPr>
                <w:lang w:val="fr-FR" w:eastAsia="en-GB"/>
              </w:rPr>
            </w:pPr>
            <w:r w:rsidRPr="00491098">
              <w:rPr>
                <w:lang w:val="fr-FR"/>
              </w:rPr>
              <w:t>Date de la prochaine réunion</w:t>
            </w:r>
          </w:p>
        </w:tc>
        <w:tc>
          <w:tcPr>
            <w:tcW w:w="3796" w:type="pct"/>
          </w:tcPr>
          <w:p w14:paraId="0EEB745A" w14:textId="492E235B" w:rsidR="00820201" w:rsidRPr="00491098" w:rsidRDefault="002763E2" w:rsidP="00311D13">
            <w:pPr>
              <w:pStyle w:val="Tabletext"/>
              <w:jc w:val="both"/>
              <w:rPr>
                <w:rFonts w:cs="Arial"/>
                <w:lang w:val="fr-FR" w:eastAsia="en-GB"/>
              </w:rPr>
            </w:pPr>
            <w:r w:rsidRPr="00491098">
              <w:rPr>
                <w:rFonts w:cs="Arial"/>
                <w:lang w:val="fr-FR" w:eastAsia="en-GB"/>
              </w:rPr>
              <w:t>La réunion de 2022 du GCR</w:t>
            </w:r>
            <w:r w:rsidR="00A22FB4" w:rsidRPr="00491098">
              <w:rPr>
                <w:rFonts w:cs="Arial"/>
                <w:lang w:val="fr-FR" w:eastAsia="en-GB"/>
              </w:rPr>
              <w:t xml:space="preserve"> </w:t>
            </w:r>
            <w:r w:rsidRPr="00491098">
              <w:rPr>
                <w:rFonts w:cs="Arial"/>
                <w:lang w:val="fr-FR" w:eastAsia="en-GB"/>
              </w:rPr>
              <w:t>se tiendra durant le premier semestre de 2022.</w:t>
            </w:r>
          </w:p>
        </w:tc>
      </w:tr>
      <w:tr w:rsidR="00820201" w:rsidRPr="00F8073F" w14:paraId="07300806" w14:textId="77777777" w:rsidTr="004269AD">
        <w:trPr>
          <w:jc w:val="center"/>
        </w:trPr>
        <w:tc>
          <w:tcPr>
            <w:tcW w:w="339" w:type="pct"/>
          </w:tcPr>
          <w:p w14:paraId="479FCB6B" w14:textId="58B08A6C" w:rsidR="00820201" w:rsidRPr="00491098" w:rsidRDefault="00820201" w:rsidP="00311D13">
            <w:pPr>
              <w:pStyle w:val="Tabletext"/>
              <w:jc w:val="both"/>
              <w:rPr>
                <w:lang w:val="fr-FR" w:eastAsia="en-GB"/>
              </w:rPr>
            </w:pPr>
            <w:r w:rsidRPr="00491098">
              <w:rPr>
                <w:lang w:val="fr-FR" w:eastAsia="en-GB"/>
              </w:rPr>
              <w:t>14</w:t>
            </w:r>
          </w:p>
        </w:tc>
        <w:tc>
          <w:tcPr>
            <w:tcW w:w="865" w:type="pct"/>
          </w:tcPr>
          <w:p w14:paraId="584B9E1D" w14:textId="4DD719DF" w:rsidR="00820201" w:rsidRPr="00491098" w:rsidRDefault="00820201" w:rsidP="00900C6D">
            <w:pPr>
              <w:pStyle w:val="Tabletext"/>
              <w:rPr>
                <w:lang w:val="fr-FR" w:eastAsia="en-GB"/>
              </w:rPr>
            </w:pPr>
            <w:r w:rsidRPr="00491098">
              <w:rPr>
                <w:lang w:val="fr-FR"/>
              </w:rPr>
              <w:t>Divers</w:t>
            </w:r>
          </w:p>
        </w:tc>
        <w:tc>
          <w:tcPr>
            <w:tcW w:w="3796" w:type="pct"/>
          </w:tcPr>
          <w:p w14:paraId="67FD9AFF" w14:textId="677F13BA" w:rsidR="00820201" w:rsidRPr="00491098" w:rsidRDefault="002763E2" w:rsidP="00311D13">
            <w:pPr>
              <w:pStyle w:val="Tabletext"/>
              <w:jc w:val="both"/>
              <w:rPr>
                <w:rFonts w:cs="Arial"/>
                <w:lang w:val="fr-FR" w:eastAsia="en-GB"/>
              </w:rPr>
            </w:pPr>
            <w:r w:rsidRPr="00491098">
              <w:rPr>
                <w:lang w:val="fr-FR" w:eastAsia="en-GB"/>
              </w:rPr>
              <w:t>Les Présidents et Vice-Présidents des commissions d'études et des groupes de travail sont encourag</w:t>
            </w:r>
            <w:r w:rsidR="00E05BB4">
              <w:rPr>
                <w:lang w:val="fr-FR" w:eastAsia="en-GB"/>
              </w:rPr>
              <w:t>és à participer aux réunions du </w:t>
            </w:r>
            <w:r w:rsidRPr="00491098">
              <w:rPr>
                <w:lang w:val="fr-FR" w:eastAsia="en-GB"/>
              </w:rPr>
              <w:t>GCR.</w:t>
            </w:r>
          </w:p>
        </w:tc>
      </w:tr>
    </w:tbl>
    <w:p w14:paraId="08F1808C" w14:textId="77777777" w:rsidR="004269AD" w:rsidRPr="00491098" w:rsidRDefault="004269AD" w:rsidP="00BA1B70">
      <w:pPr>
        <w:pStyle w:val="Normalaftertitle"/>
        <w:spacing w:line="240" w:lineRule="auto"/>
        <w:rPr>
          <w:lang w:val="fr-FR"/>
        </w:rPr>
      </w:pPr>
      <w:proofErr w:type="gramStart"/>
      <w:r w:rsidRPr="00491098">
        <w:rPr>
          <w:u w:val="single"/>
          <w:lang w:val="fr-FR"/>
        </w:rPr>
        <w:t>ANNEXES</w:t>
      </w:r>
      <w:r w:rsidRPr="00491098">
        <w:rPr>
          <w:lang w:val="fr-FR"/>
        </w:rPr>
        <w:t>:</w:t>
      </w:r>
      <w:proofErr w:type="gramEnd"/>
    </w:p>
    <w:p w14:paraId="49B44EFB" w14:textId="05FA6582" w:rsidR="004269AD" w:rsidRPr="00491098" w:rsidRDefault="004269AD" w:rsidP="00BA1B70">
      <w:pPr>
        <w:tabs>
          <w:tab w:val="clear" w:pos="794"/>
          <w:tab w:val="clear" w:pos="1191"/>
          <w:tab w:val="left" w:pos="1418"/>
        </w:tabs>
        <w:spacing w:line="240" w:lineRule="auto"/>
        <w:rPr>
          <w:lang w:val="fr-FR"/>
        </w:rPr>
      </w:pPr>
      <w:r w:rsidRPr="00491098">
        <w:rPr>
          <w:lang w:val="fr-FR"/>
        </w:rPr>
        <w:t xml:space="preserve">ANNEXE </w:t>
      </w:r>
      <w:proofErr w:type="gramStart"/>
      <w:r w:rsidRPr="00491098">
        <w:rPr>
          <w:lang w:val="fr-FR"/>
        </w:rPr>
        <w:t>1:</w:t>
      </w:r>
      <w:proofErr w:type="gramEnd"/>
      <w:r w:rsidRPr="00491098">
        <w:rPr>
          <w:lang w:val="fr-FR"/>
        </w:rPr>
        <w:tab/>
      </w:r>
      <w:r w:rsidR="00AD3EAA" w:rsidRPr="00491098">
        <w:rPr>
          <w:lang w:val="fr-FR"/>
        </w:rPr>
        <w:t>Mise à jour du Document</w:t>
      </w:r>
      <w:r w:rsidRPr="00491098">
        <w:rPr>
          <w:lang w:val="fr-FR"/>
        </w:rPr>
        <w:t xml:space="preserve"> C14/INF/4</w:t>
      </w:r>
    </w:p>
    <w:p w14:paraId="48B41767" w14:textId="18A3E8B3" w:rsidR="00BA1B70" w:rsidRPr="00491098" w:rsidRDefault="004269AD" w:rsidP="00BA1B70">
      <w:pPr>
        <w:tabs>
          <w:tab w:val="clear" w:pos="794"/>
          <w:tab w:val="clear" w:pos="1191"/>
          <w:tab w:val="left" w:pos="1418"/>
        </w:tabs>
        <w:spacing w:line="240" w:lineRule="auto"/>
        <w:ind w:left="1588" w:hanging="1588"/>
        <w:rPr>
          <w:color w:val="000000"/>
          <w:lang w:val="fr-FR"/>
        </w:rPr>
      </w:pPr>
      <w:r w:rsidRPr="00491098">
        <w:rPr>
          <w:lang w:val="fr-FR"/>
        </w:rPr>
        <w:t xml:space="preserve">ANNEXE </w:t>
      </w:r>
      <w:proofErr w:type="gramStart"/>
      <w:r w:rsidRPr="00491098">
        <w:rPr>
          <w:lang w:val="fr-FR"/>
        </w:rPr>
        <w:t>2:</w:t>
      </w:r>
      <w:proofErr w:type="gramEnd"/>
      <w:r w:rsidRPr="00491098">
        <w:rPr>
          <w:lang w:val="fr-FR"/>
        </w:rPr>
        <w:tab/>
      </w:r>
      <w:r w:rsidR="00BA1B70" w:rsidRPr="00491098">
        <w:rPr>
          <w:color w:val="000000"/>
          <w:lang w:val="fr-FR"/>
        </w:rPr>
        <w:t>M</w:t>
      </w:r>
      <w:r w:rsidR="00725647" w:rsidRPr="00491098">
        <w:rPr>
          <w:color w:val="000000"/>
          <w:lang w:val="fr-FR"/>
        </w:rPr>
        <w:t>andat du Groupe de travail par correspondance 2 du GCR chargé de la révision éventuelle de la Résolution</w:t>
      </w:r>
      <w:r w:rsidR="00A22FB4" w:rsidRPr="00491098">
        <w:rPr>
          <w:color w:val="000000"/>
          <w:lang w:val="fr-FR"/>
        </w:rPr>
        <w:t xml:space="preserve"> </w:t>
      </w:r>
      <w:r w:rsidR="00725647" w:rsidRPr="00491098">
        <w:rPr>
          <w:color w:val="000000"/>
          <w:lang w:val="fr-FR"/>
        </w:rPr>
        <w:t>UIT-R 1-8</w:t>
      </w:r>
      <w:r w:rsidR="00A22FB4" w:rsidRPr="00491098">
        <w:rPr>
          <w:color w:val="000000"/>
          <w:lang w:val="fr-FR"/>
        </w:rPr>
        <w:t xml:space="preserve"> </w:t>
      </w:r>
      <w:r w:rsidR="00725647" w:rsidRPr="00491098">
        <w:rPr>
          <w:color w:val="000000"/>
          <w:lang w:val="fr-FR"/>
        </w:rPr>
        <w:t>(GC-2 du GCR)</w:t>
      </w:r>
    </w:p>
    <w:p w14:paraId="2546C4C8" w14:textId="3FF2A322" w:rsidR="004269AD" w:rsidRPr="00491098" w:rsidRDefault="004269AD" w:rsidP="00BA1B70">
      <w:pPr>
        <w:tabs>
          <w:tab w:val="clear" w:pos="794"/>
          <w:tab w:val="clear" w:pos="1191"/>
          <w:tab w:val="left" w:pos="1418"/>
        </w:tabs>
        <w:spacing w:line="240" w:lineRule="auto"/>
        <w:ind w:left="1588" w:hanging="1588"/>
        <w:rPr>
          <w:color w:val="000000"/>
          <w:lang w:val="fr-FR"/>
        </w:rPr>
      </w:pPr>
    </w:p>
    <w:p w14:paraId="16C01EA0" w14:textId="77777777" w:rsidR="004269AD" w:rsidRPr="00491098" w:rsidRDefault="004269AD" w:rsidP="00BA1B70">
      <w:pPr>
        <w:pStyle w:val="Normalaftertitle"/>
        <w:spacing w:line="240" w:lineRule="auto"/>
        <w:rPr>
          <w:lang w:val="fr-FR"/>
        </w:rPr>
        <w:sectPr w:rsidR="004269AD" w:rsidRPr="00491098" w:rsidSect="00407B30">
          <w:headerReference w:type="default" r:id="rId13"/>
          <w:footerReference w:type="default" r:id="rId14"/>
          <w:headerReference w:type="first" r:id="rId15"/>
          <w:footerReference w:type="first" r:id="rId16"/>
          <w:pgSz w:w="16834" w:h="11907" w:orient="landscape" w:code="9"/>
          <w:pgMar w:top="1134" w:right="1134" w:bottom="1134" w:left="993" w:header="567" w:footer="397" w:gutter="0"/>
          <w:cols w:space="720"/>
          <w:titlePg/>
          <w:docGrid w:linePitch="326"/>
        </w:sectPr>
      </w:pPr>
    </w:p>
    <w:p w14:paraId="7BFFB928" w14:textId="0582082C" w:rsidR="004269AD" w:rsidRPr="00491098" w:rsidRDefault="004269AD" w:rsidP="00E05BB4">
      <w:pPr>
        <w:pStyle w:val="ArtNo"/>
        <w:spacing w:after="240"/>
        <w:rPr>
          <w:rFonts w:eastAsia="SimSun"/>
          <w:lang w:val="fr-FR"/>
        </w:rPr>
      </w:pPr>
      <w:bookmarkStart w:id="2" w:name="lt_pId1529"/>
      <w:r w:rsidRPr="00491098">
        <w:rPr>
          <w:rFonts w:eastAsia="SimSun"/>
          <w:lang w:val="fr-FR"/>
        </w:rPr>
        <w:lastRenderedPageBreak/>
        <w:t>Annexe</w:t>
      </w:r>
      <w:bookmarkEnd w:id="2"/>
      <w:r w:rsidRPr="00491098">
        <w:rPr>
          <w:rFonts w:eastAsia="SimSun"/>
          <w:lang w:val="fr-FR"/>
        </w:rPr>
        <w:t xml:space="preserve"> 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577"/>
        <w:gridCol w:w="580"/>
        <w:gridCol w:w="580"/>
        <w:gridCol w:w="572"/>
        <w:gridCol w:w="574"/>
        <w:gridCol w:w="580"/>
        <w:gridCol w:w="2583"/>
      </w:tblGrid>
      <w:tr w:rsidR="004269AD" w:rsidRPr="00491098" w14:paraId="0C83F2EB" w14:textId="77777777" w:rsidTr="004269AD">
        <w:trPr>
          <w:cantSplit/>
          <w:tblHeader/>
          <w:jc w:val="center"/>
        </w:trPr>
        <w:tc>
          <w:tcPr>
            <w:tcW w:w="3741" w:type="dxa"/>
            <w:tcBorders>
              <w:bottom w:val="nil"/>
            </w:tcBorders>
            <w:shd w:val="clear" w:color="auto" w:fill="E6E6E6"/>
          </w:tcPr>
          <w:p w14:paraId="70E9E76C" w14:textId="77777777" w:rsidR="004269AD" w:rsidRPr="00491098" w:rsidRDefault="004269AD" w:rsidP="00BA1B70">
            <w:pPr>
              <w:spacing w:before="60" w:after="60" w:line="240" w:lineRule="auto"/>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UIT-R</w:t>
            </w:r>
          </w:p>
        </w:tc>
        <w:tc>
          <w:tcPr>
            <w:tcW w:w="3463" w:type="dxa"/>
            <w:gridSpan w:val="6"/>
            <w:shd w:val="clear" w:color="auto" w:fill="E6E6E6"/>
          </w:tcPr>
          <w:p w14:paraId="58601B8F" w14:textId="77777777" w:rsidR="004269AD" w:rsidRPr="00491098" w:rsidRDefault="004269AD" w:rsidP="00BA1B70">
            <w:pPr>
              <w:keepNext/>
              <w:keepLines/>
              <w:spacing w:before="60" w:after="60" w:line="240" w:lineRule="auto"/>
              <w:jc w:val="center"/>
              <w:outlineLvl w:val="2"/>
              <w:rPr>
                <w:rFonts w:ascii="Times New Roman" w:hAnsi="Times New Roman" w:cs="Times New Roman"/>
                <w:b/>
                <w:i/>
                <w:sz w:val="20"/>
                <w:szCs w:val="20"/>
                <w:lang w:val="fr-FR"/>
              </w:rPr>
            </w:pPr>
            <w:r w:rsidRPr="00491098">
              <w:rPr>
                <w:rFonts w:ascii="Times New Roman" w:hAnsi="Times New Roman" w:cs="Times New Roman"/>
                <w:b/>
                <w:i/>
                <w:sz w:val="20"/>
                <w:szCs w:val="20"/>
                <w:lang w:val="fr-FR"/>
              </w:rPr>
              <w:t>Langues</w:t>
            </w:r>
          </w:p>
        </w:tc>
        <w:tc>
          <w:tcPr>
            <w:tcW w:w="2583" w:type="dxa"/>
            <w:shd w:val="clear" w:color="auto" w:fill="E6E6E6"/>
          </w:tcPr>
          <w:p w14:paraId="7A0E2A91" w14:textId="77777777" w:rsidR="004269AD" w:rsidRPr="00491098" w:rsidRDefault="004269AD" w:rsidP="00BA1B70">
            <w:pPr>
              <w:keepNext/>
              <w:keepLines/>
              <w:spacing w:before="60" w:after="60" w:line="240" w:lineRule="auto"/>
              <w:jc w:val="left"/>
              <w:outlineLvl w:val="2"/>
              <w:rPr>
                <w:rFonts w:ascii="Times New Roman" w:hAnsi="Times New Roman" w:cs="Times New Roman"/>
                <w:b/>
                <w:i/>
                <w:sz w:val="20"/>
                <w:szCs w:val="20"/>
                <w:lang w:val="fr-FR"/>
              </w:rPr>
            </w:pPr>
            <w:r w:rsidRPr="00491098">
              <w:rPr>
                <w:rFonts w:ascii="Times New Roman" w:hAnsi="Times New Roman" w:cs="Times New Roman"/>
                <w:b/>
                <w:i/>
                <w:sz w:val="20"/>
                <w:szCs w:val="20"/>
                <w:lang w:val="fr-FR"/>
              </w:rPr>
              <w:t>Remarques</w:t>
            </w:r>
          </w:p>
        </w:tc>
      </w:tr>
      <w:tr w:rsidR="004269AD" w:rsidRPr="00491098" w14:paraId="57ACD6C6" w14:textId="77777777" w:rsidTr="004269AD">
        <w:trPr>
          <w:tblHeader/>
          <w:jc w:val="center"/>
        </w:trPr>
        <w:tc>
          <w:tcPr>
            <w:tcW w:w="3741" w:type="dxa"/>
            <w:tcBorders>
              <w:top w:val="nil"/>
              <w:bottom w:val="single" w:sz="4" w:space="0" w:color="auto"/>
            </w:tcBorders>
            <w:shd w:val="clear" w:color="auto" w:fill="E6E6E6"/>
          </w:tcPr>
          <w:p w14:paraId="3D0AC6C3" w14:textId="77777777" w:rsidR="004269AD" w:rsidRPr="00491098" w:rsidRDefault="004269AD" w:rsidP="00BA1B70">
            <w:pPr>
              <w:spacing w:before="60" w:after="60" w:line="240" w:lineRule="auto"/>
              <w:jc w:val="left"/>
              <w:rPr>
                <w:rFonts w:ascii="Times New Roman" w:hAnsi="Times New Roman" w:cs="Times New Roman"/>
                <w:sz w:val="20"/>
                <w:szCs w:val="20"/>
                <w:u w:val="single"/>
                <w:lang w:val="fr-FR"/>
              </w:rPr>
            </w:pPr>
          </w:p>
        </w:tc>
        <w:tc>
          <w:tcPr>
            <w:tcW w:w="577" w:type="dxa"/>
            <w:tcBorders>
              <w:bottom w:val="single" w:sz="4" w:space="0" w:color="auto"/>
            </w:tcBorders>
            <w:shd w:val="clear" w:color="auto" w:fill="E6E6E6"/>
          </w:tcPr>
          <w:p w14:paraId="6177F2D1"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E</w:t>
            </w:r>
          </w:p>
        </w:tc>
        <w:tc>
          <w:tcPr>
            <w:tcW w:w="580" w:type="dxa"/>
            <w:tcBorders>
              <w:bottom w:val="single" w:sz="4" w:space="0" w:color="auto"/>
            </w:tcBorders>
            <w:shd w:val="clear" w:color="auto" w:fill="E6E6E6"/>
          </w:tcPr>
          <w:p w14:paraId="51AB1CCF"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A</w:t>
            </w:r>
          </w:p>
        </w:tc>
        <w:tc>
          <w:tcPr>
            <w:tcW w:w="580" w:type="dxa"/>
            <w:tcBorders>
              <w:bottom w:val="single" w:sz="4" w:space="0" w:color="auto"/>
            </w:tcBorders>
            <w:shd w:val="clear" w:color="auto" w:fill="E6E6E6"/>
          </w:tcPr>
          <w:p w14:paraId="2C7D05B8"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C</w:t>
            </w:r>
          </w:p>
        </w:tc>
        <w:tc>
          <w:tcPr>
            <w:tcW w:w="572" w:type="dxa"/>
            <w:tcBorders>
              <w:bottom w:val="single" w:sz="4" w:space="0" w:color="auto"/>
            </w:tcBorders>
            <w:shd w:val="clear" w:color="auto" w:fill="E6E6E6"/>
          </w:tcPr>
          <w:p w14:paraId="5351397C"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S</w:t>
            </w:r>
          </w:p>
        </w:tc>
        <w:tc>
          <w:tcPr>
            <w:tcW w:w="574" w:type="dxa"/>
            <w:tcBorders>
              <w:bottom w:val="single" w:sz="4" w:space="0" w:color="auto"/>
            </w:tcBorders>
            <w:shd w:val="clear" w:color="auto" w:fill="E6E6E6"/>
          </w:tcPr>
          <w:p w14:paraId="6E173B7C"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F</w:t>
            </w:r>
          </w:p>
        </w:tc>
        <w:tc>
          <w:tcPr>
            <w:tcW w:w="580" w:type="dxa"/>
            <w:tcBorders>
              <w:bottom w:val="single" w:sz="4" w:space="0" w:color="auto"/>
            </w:tcBorders>
            <w:shd w:val="clear" w:color="auto" w:fill="E6E6E6"/>
          </w:tcPr>
          <w:p w14:paraId="0C520467" w14:textId="77777777" w:rsidR="004269AD" w:rsidRPr="00491098" w:rsidRDefault="004269AD" w:rsidP="00BA1B70">
            <w:pPr>
              <w:spacing w:before="60" w:after="60" w:line="240" w:lineRule="auto"/>
              <w:ind w:left="136" w:hanging="136"/>
              <w:jc w:val="center"/>
              <w:rPr>
                <w:rFonts w:ascii="Times New Roman" w:hAnsi="Times New Roman" w:cs="Times New Roman"/>
                <w:b/>
                <w:sz w:val="20"/>
                <w:szCs w:val="20"/>
                <w:lang w:val="fr-FR"/>
              </w:rPr>
            </w:pPr>
            <w:r w:rsidRPr="00491098">
              <w:rPr>
                <w:rFonts w:ascii="Times New Roman" w:hAnsi="Times New Roman" w:cs="Times New Roman"/>
                <w:b/>
                <w:sz w:val="20"/>
                <w:szCs w:val="20"/>
                <w:lang w:val="fr-FR"/>
              </w:rPr>
              <w:t>R</w:t>
            </w:r>
          </w:p>
        </w:tc>
        <w:tc>
          <w:tcPr>
            <w:tcW w:w="2583" w:type="dxa"/>
            <w:tcBorders>
              <w:bottom w:val="single" w:sz="4" w:space="0" w:color="auto"/>
            </w:tcBorders>
            <w:shd w:val="clear" w:color="auto" w:fill="E6E6E6"/>
          </w:tcPr>
          <w:p w14:paraId="417F9CBD"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161CFC72" w14:textId="77777777" w:rsidTr="004269AD">
        <w:trPr>
          <w:jc w:val="center"/>
        </w:trPr>
        <w:tc>
          <w:tcPr>
            <w:tcW w:w="3741" w:type="dxa"/>
            <w:tcBorders>
              <w:bottom w:val="single" w:sz="4" w:space="0" w:color="auto"/>
            </w:tcBorders>
            <w:shd w:val="clear" w:color="auto" w:fill="99CCFF"/>
          </w:tcPr>
          <w:p w14:paraId="1CB85B26" w14:textId="77777777" w:rsidR="004269AD" w:rsidRPr="00491098" w:rsidRDefault="004269AD"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1) Assemblée des radiocommunications</w:t>
            </w:r>
          </w:p>
        </w:tc>
        <w:tc>
          <w:tcPr>
            <w:tcW w:w="577" w:type="dxa"/>
            <w:tcBorders>
              <w:bottom w:val="single" w:sz="4" w:space="0" w:color="auto"/>
            </w:tcBorders>
            <w:shd w:val="clear" w:color="auto" w:fill="99CCFF"/>
          </w:tcPr>
          <w:p w14:paraId="678D85E3"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3B564170"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771935B5"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572" w:type="dxa"/>
            <w:tcBorders>
              <w:bottom w:val="single" w:sz="4" w:space="0" w:color="auto"/>
            </w:tcBorders>
            <w:shd w:val="clear" w:color="auto" w:fill="99CCFF"/>
          </w:tcPr>
          <w:p w14:paraId="1D2E60A9"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574" w:type="dxa"/>
            <w:tcBorders>
              <w:bottom w:val="single" w:sz="4" w:space="0" w:color="auto"/>
            </w:tcBorders>
            <w:shd w:val="clear" w:color="auto" w:fill="99CCFF"/>
          </w:tcPr>
          <w:p w14:paraId="173EE945"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6387C68B" w14:textId="77777777" w:rsidR="004269AD" w:rsidRPr="00491098" w:rsidRDefault="004269AD" w:rsidP="00BA1B70">
            <w:pPr>
              <w:spacing w:before="60" w:after="60" w:line="240" w:lineRule="auto"/>
              <w:jc w:val="center"/>
              <w:rPr>
                <w:rFonts w:ascii="Times New Roman" w:hAnsi="Times New Roman" w:cs="Times New Roman"/>
                <w:b/>
                <w:bCs/>
                <w:sz w:val="20"/>
                <w:szCs w:val="20"/>
                <w:lang w:val="fr-FR"/>
              </w:rPr>
            </w:pPr>
          </w:p>
        </w:tc>
        <w:tc>
          <w:tcPr>
            <w:tcW w:w="2583" w:type="dxa"/>
            <w:tcBorders>
              <w:bottom w:val="single" w:sz="4" w:space="0" w:color="auto"/>
            </w:tcBorders>
            <w:shd w:val="clear" w:color="auto" w:fill="99CCFF"/>
          </w:tcPr>
          <w:p w14:paraId="6AD8B176" w14:textId="77777777" w:rsidR="004269AD" w:rsidRPr="00491098" w:rsidRDefault="004269AD" w:rsidP="00BA1B70">
            <w:pPr>
              <w:spacing w:before="60" w:after="60" w:line="240" w:lineRule="auto"/>
              <w:jc w:val="left"/>
              <w:rPr>
                <w:rFonts w:ascii="Times New Roman" w:hAnsi="Times New Roman" w:cs="Times New Roman"/>
                <w:b/>
                <w:bCs/>
                <w:sz w:val="20"/>
                <w:szCs w:val="20"/>
                <w:lang w:val="fr-FR"/>
              </w:rPr>
            </w:pPr>
          </w:p>
        </w:tc>
      </w:tr>
      <w:tr w:rsidR="004269AD" w:rsidRPr="00491098" w14:paraId="3DAA9827" w14:textId="77777777" w:rsidTr="004269AD">
        <w:trPr>
          <w:jc w:val="center"/>
        </w:trPr>
        <w:tc>
          <w:tcPr>
            <w:tcW w:w="3741" w:type="dxa"/>
            <w:shd w:val="clear" w:color="auto" w:fill="FFFF00"/>
          </w:tcPr>
          <w:p w14:paraId="710D6F90"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2B7DD276"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14FFC91E"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33D34BF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4C16ABF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1CD0A72F"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0BAA783D"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25D37E8C"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6AD283BA" w14:textId="77777777" w:rsidTr="004269AD">
        <w:trPr>
          <w:cantSplit/>
          <w:jc w:val="center"/>
        </w:trPr>
        <w:tc>
          <w:tcPr>
            <w:tcW w:w="3741" w:type="dxa"/>
          </w:tcPr>
          <w:p w14:paraId="549BDB18"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Contributions</w:t>
            </w:r>
          </w:p>
        </w:tc>
        <w:tc>
          <w:tcPr>
            <w:tcW w:w="577" w:type="dxa"/>
            <w:shd w:val="clear" w:color="auto" w:fill="auto"/>
          </w:tcPr>
          <w:p w14:paraId="7A311A22"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8C47234"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35E0571"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39037DA5"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55F7E241"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1AFC41D"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6F03409C"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5D887D01" w14:textId="77777777" w:rsidTr="004269AD">
        <w:trPr>
          <w:cantSplit/>
          <w:jc w:val="center"/>
        </w:trPr>
        <w:tc>
          <w:tcPr>
            <w:tcW w:w="3741" w:type="dxa"/>
          </w:tcPr>
          <w:p w14:paraId="29145582"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Série 1 000</w:t>
            </w:r>
          </w:p>
        </w:tc>
        <w:tc>
          <w:tcPr>
            <w:tcW w:w="577" w:type="dxa"/>
            <w:shd w:val="clear" w:color="auto" w:fill="auto"/>
          </w:tcPr>
          <w:p w14:paraId="0C21151A"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C3334C0"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37B8D55"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35E9B8CA"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6262FF16"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AE0E9CE"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71762C25"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18152F7D" w14:textId="77777777" w:rsidTr="004269AD">
        <w:trPr>
          <w:cantSplit/>
          <w:jc w:val="center"/>
        </w:trPr>
        <w:tc>
          <w:tcPr>
            <w:tcW w:w="3741" w:type="dxa"/>
          </w:tcPr>
          <w:p w14:paraId="5830690D"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Ordres du jour</w:t>
            </w:r>
          </w:p>
        </w:tc>
        <w:tc>
          <w:tcPr>
            <w:tcW w:w="577" w:type="dxa"/>
            <w:shd w:val="clear" w:color="auto" w:fill="auto"/>
          </w:tcPr>
          <w:p w14:paraId="543B01D2"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6C1B6E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0934937"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2D6C6F90"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3400C413"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C6EED4D"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66925D61"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1150C521" w14:textId="77777777" w:rsidTr="004269AD">
        <w:trPr>
          <w:cantSplit/>
          <w:jc w:val="center"/>
        </w:trPr>
        <w:tc>
          <w:tcPr>
            <w:tcW w:w="3741" w:type="dxa"/>
          </w:tcPr>
          <w:p w14:paraId="7FCB9716"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Documents d'information</w:t>
            </w:r>
          </w:p>
        </w:tc>
        <w:tc>
          <w:tcPr>
            <w:tcW w:w="577" w:type="dxa"/>
            <w:shd w:val="clear" w:color="auto" w:fill="auto"/>
          </w:tcPr>
          <w:p w14:paraId="40702E8A"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AB62E3D" w14:textId="77777777" w:rsidR="004269AD" w:rsidRPr="00491098" w:rsidRDefault="004269AD" w:rsidP="00BA1B70">
            <w:pPr>
              <w:spacing w:before="60" w:after="60" w:line="240" w:lineRule="auto"/>
              <w:jc w:val="center"/>
              <w:rPr>
                <w:rFonts w:ascii="Times New Roman" w:hAnsi="Times New Roman" w:cs="Times New Roman"/>
                <w:color w:val="FF0000"/>
                <w:sz w:val="20"/>
                <w:szCs w:val="20"/>
                <w:highlight w:val="green"/>
                <w:u w:val="single"/>
                <w:lang w:val="fr-FR"/>
              </w:rPr>
            </w:pPr>
            <w:proofErr w:type="gramStart"/>
            <w:r w:rsidRPr="00491098">
              <w:rPr>
                <w:rFonts w:ascii="Times New Roman" w:hAnsi="Times New Roman" w:cs="Times New Roman"/>
                <w:color w:val="FF0000"/>
                <w:sz w:val="20"/>
                <w:szCs w:val="20"/>
                <w:highlight w:val="green"/>
                <w:u w:val="single"/>
                <w:lang w:val="fr-FR"/>
              </w:rPr>
              <w:t>x</w:t>
            </w:r>
            <w:proofErr w:type="gramEnd"/>
          </w:p>
        </w:tc>
        <w:tc>
          <w:tcPr>
            <w:tcW w:w="580" w:type="dxa"/>
            <w:shd w:val="clear" w:color="auto" w:fill="auto"/>
          </w:tcPr>
          <w:p w14:paraId="2A18A64A" w14:textId="77777777" w:rsidR="004269AD" w:rsidRPr="00491098" w:rsidRDefault="004269AD" w:rsidP="00BA1B70">
            <w:pPr>
              <w:spacing w:before="60" w:after="60" w:line="240" w:lineRule="auto"/>
              <w:jc w:val="center"/>
              <w:rPr>
                <w:rFonts w:ascii="Times New Roman" w:hAnsi="Times New Roman" w:cs="Times New Roman"/>
                <w:color w:val="FF0000"/>
                <w:sz w:val="20"/>
                <w:szCs w:val="20"/>
                <w:highlight w:val="green"/>
                <w:u w:val="single"/>
                <w:lang w:val="fr-FR"/>
              </w:rPr>
            </w:pPr>
            <w:proofErr w:type="gramStart"/>
            <w:r w:rsidRPr="00491098">
              <w:rPr>
                <w:rFonts w:ascii="Times New Roman" w:hAnsi="Times New Roman" w:cs="Times New Roman"/>
                <w:color w:val="FF0000"/>
                <w:sz w:val="20"/>
                <w:szCs w:val="20"/>
                <w:highlight w:val="green"/>
                <w:u w:val="single"/>
                <w:lang w:val="fr-FR"/>
              </w:rPr>
              <w:t>x</w:t>
            </w:r>
            <w:proofErr w:type="gramEnd"/>
          </w:p>
        </w:tc>
        <w:tc>
          <w:tcPr>
            <w:tcW w:w="572" w:type="dxa"/>
            <w:shd w:val="clear" w:color="auto" w:fill="auto"/>
          </w:tcPr>
          <w:p w14:paraId="0EB02D58" w14:textId="77777777" w:rsidR="004269AD" w:rsidRPr="00491098" w:rsidRDefault="004269AD" w:rsidP="00BA1B70">
            <w:pPr>
              <w:spacing w:before="60" w:after="60" w:line="240" w:lineRule="auto"/>
              <w:jc w:val="center"/>
              <w:rPr>
                <w:rFonts w:ascii="Times New Roman" w:hAnsi="Times New Roman" w:cs="Times New Roman"/>
                <w:color w:val="FF0000"/>
                <w:sz w:val="20"/>
                <w:szCs w:val="20"/>
                <w:highlight w:val="green"/>
                <w:u w:val="single"/>
                <w:lang w:val="fr-FR"/>
              </w:rPr>
            </w:pPr>
            <w:proofErr w:type="gramStart"/>
            <w:r w:rsidRPr="00491098">
              <w:rPr>
                <w:rFonts w:ascii="Times New Roman" w:hAnsi="Times New Roman" w:cs="Times New Roman"/>
                <w:color w:val="FF0000"/>
                <w:sz w:val="20"/>
                <w:szCs w:val="20"/>
                <w:highlight w:val="green"/>
                <w:u w:val="single"/>
                <w:lang w:val="fr-FR"/>
              </w:rPr>
              <w:t>x</w:t>
            </w:r>
            <w:proofErr w:type="gramEnd"/>
          </w:p>
        </w:tc>
        <w:tc>
          <w:tcPr>
            <w:tcW w:w="574" w:type="dxa"/>
            <w:shd w:val="clear" w:color="auto" w:fill="auto"/>
          </w:tcPr>
          <w:p w14:paraId="17C82EE3" w14:textId="77777777" w:rsidR="004269AD" w:rsidRPr="00491098" w:rsidRDefault="004269AD" w:rsidP="00BA1B70">
            <w:pPr>
              <w:spacing w:before="60" w:after="60" w:line="240" w:lineRule="auto"/>
              <w:jc w:val="center"/>
              <w:rPr>
                <w:rFonts w:ascii="Times New Roman" w:hAnsi="Times New Roman" w:cs="Times New Roman"/>
                <w:color w:val="FF0000"/>
                <w:sz w:val="20"/>
                <w:szCs w:val="20"/>
                <w:highlight w:val="green"/>
                <w:u w:val="single"/>
                <w:lang w:val="fr-FR"/>
              </w:rPr>
            </w:pPr>
            <w:proofErr w:type="gramStart"/>
            <w:r w:rsidRPr="00491098">
              <w:rPr>
                <w:rFonts w:ascii="Times New Roman" w:hAnsi="Times New Roman" w:cs="Times New Roman"/>
                <w:color w:val="FF0000"/>
                <w:sz w:val="20"/>
                <w:szCs w:val="20"/>
                <w:highlight w:val="green"/>
                <w:u w:val="single"/>
                <w:lang w:val="fr-FR"/>
              </w:rPr>
              <w:t>x</w:t>
            </w:r>
            <w:proofErr w:type="gramEnd"/>
          </w:p>
        </w:tc>
        <w:tc>
          <w:tcPr>
            <w:tcW w:w="580" w:type="dxa"/>
            <w:shd w:val="clear" w:color="auto" w:fill="auto"/>
          </w:tcPr>
          <w:p w14:paraId="75BB6A7E" w14:textId="77777777" w:rsidR="004269AD" w:rsidRPr="00491098" w:rsidRDefault="004269AD" w:rsidP="00BA1B70">
            <w:pPr>
              <w:spacing w:before="60" w:after="60" w:line="240" w:lineRule="auto"/>
              <w:jc w:val="center"/>
              <w:rPr>
                <w:rFonts w:ascii="Times New Roman" w:hAnsi="Times New Roman" w:cs="Times New Roman"/>
                <w:color w:val="FF0000"/>
                <w:sz w:val="20"/>
                <w:szCs w:val="20"/>
                <w:highlight w:val="green"/>
                <w:u w:val="single"/>
                <w:lang w:val="fr-FR"/>
              </w:rPr>
            </w:pPr>
            <w:proofErr w:type="gramStart"/>
            <w:r w:rsidRPr="00491098">
              <w:rPr>
                <w:rFonts w:ascii="Times New Roman" w:hAnsi="Times New Roman" w:cs="Times New Roman"/>
                <w:color w:val="FF0000"/>
                <w:sz w:val="20"/>
                <w:szCs w:val="20"/>
                <w:highlight w:val="green"/>
                <w:u w:val="single"/>
                <w:lang w:val="fr-FR"/>
              </w:rPr>
              <w:t>x</w:t>
            </w:r>
            <w:proofErr w:type="gramEnd"/>
          </w:p>
        </w:tc>
        <w:tc>
          <w:tcPr>
            <w:tcW w:w="2583" w:type="dxa"/>
            <w:shd w:val="clear" w:color="auto" w:fill="auto"/>
          </w:tcPr>
          <w:p w14:paraId="31F14E2C" w14:textId="77777777" w:rsidR="004269AD" w:rsidRPr="00491098" w:rsidRDefault="004269AD" w:rsidP="00BA1B70">
            <w:pPr>
              <w:spacing w:before="60" w:after="60" w:line="240" w:lineRule="auto"/>
              <w:jc w:val="left"/>
              <w:rPr>
                <w:rFonts w:ascii="Times New Roman" w:hAnsi="Times New Roman" w:cs="Times New Roman"/>
                <w:sz w:val="20"/>
                <w:szCs w:val="20"/>
                <w:highlight w:val="green"/>
                <w:u w:val="single"/>
                <w:lang w:val="fr-FR"/>
              </w:rPr>
            </w:pPr>
            <w:r w:rsidRPr="00491098">
              <w:rPr>
                <w:rFonts w:ascii="Times New Roman" w:hAnsi="Times New Roman" w:cs="Times New Roman"/>
                <w:color w:val="FF0000"/>
                <w:sz w:val="20"/>
                <w:szCs w:val="20"/>
                <w:highlight w:val="green"/>
                <w:u w:val="single"/>
                <w:lang w:val="fr-FR"/>
              </w:rPr>
              <w:t>Dépend du contenu</w:t>
            </w:r>
          </w:p>
        </w:tc>
      </w:tr>
      <w:tr w:rsidR="004269AD" w:rsidRPr="00491098" w14:paraId="423F8AA4" w14:textId="77777777" w:rsidTr="004269AD">
        <w:trPr>
          <w:cantSplit/>
          <w:jc w:val="center"/>
        </w:trPr>
        <w:tc>
          <w:tcPr>
            <w:tcW w:w="3741" w:type="dxa"/>
          </w:tcPr>
          <w:p w14:paraId="62A73FFA"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Liste des participants</w:t>
            </w:r>
          </w:p>
        </w:tc>
        <w:tc>
          <w:tcPr>
            <w:tcW w:w="577" w:type="dxa"/>
            <w:shd w:val="clear" w:color="auto" w:fill="auto"/>
          </w:tcPr>
          <w:p w14:paraId="454E547A"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90BB36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00EF0DAE"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auto"/>
          </w:tcPr>
          <w:p w14:paraId="6DEC7EB6"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
        </w:tc>
        <w:tc>
          <w:tcPr>
            <w:tcW w:w="574" w:type="dxa"/>
            <w:shd w:val="clear" w:color="auto" w:fill="auto"/>
          </w:tcPr>
          <w:p w14:paraId="24C5F64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59866918"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
        </w:tc>
        <w:tc>
          <w:tcPr>
            <w:tcW w:w="2583" w:type="dxa"/>
            <w:shd w:val="clear" w:color="auto" w:fill="auto"/>
          </w:tcPr>
          <w:p w14:paraId="147AB35C"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4269AD" w:rsidRPr="00491098" w14:paraId="261A2EC5" w14:textId="77777777" w:rsidTr="004269AD">
        <w:trPr>
          <w:cantSplit/>
          <w:jc w:val="center"/>
        </w:trPr>
        <w:tc>
          <w:tcPr>
            <w:tcW w:w="3741" w:type="dxa"/>
            <w:tcBorders>
              <w:bottom w:val="single" w:sz="4" w:space="0" w:color="auto"/>
            </w:tcBorders>
          </w:tcPr>
          <w:p w14:paraId="1AB69497"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Résolutions</w:t>
            </w:r>
          </w:p>
        </w:tc>
        <w:tc>
          <w:tcPr>
            <w:tcW w:w="577" w:type="dxa"/>
            <w:tcBorders>
              <w:bottom w:val="single" w:sz="4" w:space="0" w:color="auto"/>
            </w:tcBorders>
            <w:shd w:val="clear" w:color="auto" w:fill="auto"/>
          </w:tcPr>
          <w:p w14:paraId="696F249E"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67DCB157"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188C3EAF"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tcBorders>
              <w:bottom w:val="single" w:sz="4" w:space="0" w:color="auto"/>
            </w:tcBorders>
            <w:shd w:val="clear" w:color="auto" w:fill="auto"/>
          </w:tcPr>
          <w:p w14:paraId="574D7E83"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tcBorders>
              <w:bottom w:val="single" w:sz="4" w:space="0" w:color="auto"/>
            </w:tcBorders>
            <w:shd w:val="clear" w:color="auto" w:fill="auto"/>
          </w:tcPr>
          <w:p w14:paraId="52FB579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0F5CC45B" w14:textId="77777777" w:rsidR="004269AD" w:rsidRPr="00491098" w:rsidRDefault="004269AD"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Borders>
              <w:bottom w:val="single" w:sz="4" w:space="0" w:color="auto"/>
            </w:tcBorders>
            <w:shd w:val="clear" w:color="auto" w:fill="auto"/>
          </w:tcPr>
          <w:p w14:paraId="74E591E0" w14:textId="77777777" w:rsidR="004269AD" w:rsidRPr="00491098" w:rsidRDefault="004269AD" w:rsidP="00BA1B70">
            <w:pPr>
              <w:spacing w:before="60" w:after="60" w:line="240" w:lineRule="auto"/>
              <w:jc w:val="left"/>
              <w:rPr>
                <w:rFonts w:ascii="Times New Roman" w:hAnsi="Times New Roman" w:cs="Times New Roman"/>
                <w:sz w:val="20"/>
                <w:szCs w:val="20"/>
                <w:lang w:val="fr-FR"/>
              </w:rPr>
            </w:pPr>
          </w:p>
        </w:tc>
      </w:tr>
      <w:tr w:rsidR="0030679E" w:rsidRPr="00491098" w14:paraId="7BF1226F" w14:textId="77777777" w:rsidTr="004269AD">
        <w:trPr>
          <w:cantSplit/>
          <w:jc w:val="center"/>
        </w:trPr>
        <w:tc>
          <w:tcPr>
            <w:tcW w:w="3741" w:type="dxa"/>
            <w:tcBorders>
              <w:bottom w:val="single" w:sz="4" w:space="0" w:color="auto"/>
            </w:tcBorders>
          </w:tcPr>
          <w:p w14:paraId="312FA0CA" w14:textId="5A03B973" w:rsidR="0030679E" w:rsidRPr="00491098" w:rsidRDefault="00BE0640"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tcBorders>
              <w:bottom w:val="single" w:sz="4" w:space="0" w:color="auto"/>
            </w:tcBorders>
            <w:shd w:val="clear" w:color="auto" w:fill="auto"/>
          </w:tcPr>
          <w:p w14:paraId="0B383E1A" w14:textId="400AF18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07B32153" w14:textId="7EE0D2F5"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7E121144" w14:textId="1209F811"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tcBorders>
              <w:bottom w:val="single" w:sz="4" w:space="0" w:color="auto"/>
            </w:tcBorders>
            <w:shd w:val="clear" w:color="auto" w:fill="auto"/>
          </w:tcPr>
          <w:p w14:paraId="162D4CAD" w14:textId="237E6FC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tcBorders>
              <w:bottom w:val="single" w:sz="4" w:space="0" w:color="auto"/>
            </w:tcBorders>
            <w:shd w:val="clear" w:color="auto" w:fill="auto"/>
          </w:tcPr>
          <w:p w14:paraId="62E33CC5" w14:textId="449309B2"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429F4D0C" w14:textId="57E7DACA"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Borders>
              <w:bottom w:val="single" w:sz="4" w:space="0" w:color="auto"/>
            </w:tcBorders>
            <w:shd w:val="clear" w:color="auto" w:fill="auto"/>
          </w:tcPr>
          <w:p w14:paraId="745BAC62"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63493AA1" w14:textId="77777777" w:rsidTr="004269AD">
        <w:trPr>
          <w:cantSplit/>
          <w:jc w:val="center"/>
        </w:trPr>
        <w:tc>
          <w:tcPr>
            <w:tcW w:w="3741" w:type="dxa"/>
            <w:tcBorders>
              <w:bottom w:val="single" w:sz="4" w:space="0" w:color="auto"/>
            </w:tcBorders>
            <w:shd w:val="clear" w:color="auto" w:fill="99CCFF"/>
          </w:tcPr>
          <w:p w14:paraId="558100B9" w14:textId="77777777" w:rsidR="0030679E" w:rsidRPr="00491098" w:rsidRDefault="0030679E"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2) CMR</w:t>
            </w:r>
          </w:p>
        </w:tc>
        <w:tc>
          <w:tcPr>
            <w:tcW w:w="577" w:type="dxa"/>
            <w:tcBorders>
              <w:bottom w:val="single" w:sz="4" w:space="0" w:color="auto"/>
            </w:tcBorders>
            <w:shd w:val="clear" w:color="auto" w:fill="99CCFF"/>
          </w:tcPr>
          <w:p w14:paraId="5105AC25"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61A9F9B5"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50DD6EAB"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572" w:type="dxa"/>
            <w:tcBorders>
              <w:bottom w:val="single" w:sz="4" w:space="0" w:color="auto"/>
            </w:tcBorders>
            <w:shd w:val="clear" w:color="auto" w:fill="99CCFF"/>
          </w:tcPr>
          <w:p w14:paraId="59EB6EC3"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574" w:type="dxa"/>
            <w:tcBorders>
              <w:bottom w:val="single" w:sz="4" w:space="0" w:color="auto"/>
            </w:tcBorders>
            <w:shd w:val="clear" w:color="auto" w:fill="99CCFF"/>
          </w:tcPr>
          <w:p w14:paraId="3805041C"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337B74C6" w14:textId="77777777" w:rsidR="0030679E" w:rsidRPr="00491098" w:rsidRDefault="0030679E" w:rsidP="00BA1B70">
            <w:pPr>
              <w:keepLines/>
              <w:tabs>
                <w:tab w:val="left" w:pos="255"/>
                <w:tab w:val="left" w:pos="567"/>
              </w:tabs>
              <w:spacing w:before="60" w:after="60" w:line="240" w:lineRule="auto"/>
              <w:ind w:left="255" w:hanging="255"/>
              <w:jc w:val="center"/>
              <w:rPr>
                <w:rFonts w:ascii="Times New Roman" w:hAnsi="Times New Roman" w:cs="Times New Roman"/>
                <w:sz w:val="20"/>
                <w:szCs w:val="20"/>
                <w:lang w:val="fr-FR"/>
              </w:rPr>
            </w:pPr>
          </w:p>
        </w:tc>
        <w:tc>
          <w:tcPr>
            <w:tcW w:w="2583" w:type="dxa"/>
            <w:tcBorders>
              <w:bottom w:val="single" w:sz="4" w:space="0" w:color="auto"/>
            </w:tcBorders>
            <w:shd w:val="clear" w:color="auto" w:fill="99CCFF"/>
          </w:tcPr>
          <w:p w14:paraId="223B982A" w14:textId="77777777" w:rsidR="0030679E" w:rsidRPr="00491098" w:rsidRDefault="0030679E" w:rsidP="00BA1B70">
            <w:pPr>
              <w:keepLines/>
              <w:tabs>
                <w:tab w:val="left" w:pos="255"/>
                <w:tab w:val="left" w:pos="567"/>
              </w:tabs>
              <w:spacing w:before="60" w:after="60" w:line="240" w:lineRule="auto"/>
              <w:ind w:left="255" w:hanging="255"/>
              <w:jc w:val="left"/>
              <w:rPr>
                <w:rFonts w:ascii="Times New Roman" w:hAnsi="Times New Roman" w:cs="Times New Roman"/>
                <w:b/>
                <w:color w:val="0000FF"/>
                <w:sz w:val="20"/>
                <w:szCs w:val="20"/>
                <w:lang w:val="fr-FR"/>
              </w:rPr>
            </w:pPr>
          </w:p>
        </w:tc>
      </w:tr>
      <w:tr w:rsidR="0030679E" w:rsidRPr="00491098" w14:paraId="2D173732" w14:textId="77777777" w:rsidTr="004269AD">
        <w:trPr>
          <w:cantSplit/>
          <w:trHeight w:val="315"/>
          <w:jc w:val="center"/>
        </w:trPr>
        <w:tc>
          <w:tcPr>
            <w:tcW w:w="3741" w:type="dxa"/>
            <w:shd w:val="clear" w:color="auto" w:fill="FFFF00"/>
          </w:tcPr>
          <w:p w14:paraId="0B5B153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404AD4C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11D277D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524B615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30E3483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1A5528A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5004CED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637F7E25"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13BD3693" w14:textId="77777777" w:rsidTr="004269AD">
        <w:trPr>
          <w:cantSplit/>
          <w:jc w:val="center"/>
        </w:trPr>
        <w:tc>
          <w:tcPr>
            <w:tcW w:w="3741" w:type="dxa"/>
          </w:tcPr>
          <w:p w14:paraId="6EAD4643"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Ordre du jour de la Conférence</w:t>
            </w:r>
          </w:p>
        </w:tc>
        <w:tc>
          <w:tcPr>
            <w:tcW w:w="577" w:type="dxa"/>
            <w:shd w:val="clear" w:color="auto" w:fill="auto"/>
          </w:tcPr>
          <w:p w14:paraId="086D750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A2F243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D8E602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4A0B74C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348C1AD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DEE591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3BDC7690"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780B7A2B" w14:textId="77777777" w:rsidTr="004269AD">
        <w:trPr>
          <w:cantSplit/>
          <w:jc w:val="center"/>
        </w:trPr>
        <w:tc>
          <w:tcPr>
            <w:tcW w:w="3741" w:type="dxa"/>
          </w:tcPr>
          <w:p w14:paraId="5CE36B16"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Rapports/contributions/propositions</w:t>
            </w:r>
          </w:p>
        </w:tc>
        <w:tc>
          <w:tcPr>
            <w:tcW w:w="577" w:type="dxa"/>
            <w:shd w:val="clear" w:color="auto" w:fill="auto"/>
          </w:tcPr>
          <w:p w14:paraId="1B9001F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EA8F5F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2F0E14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5DFED42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41CDB7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21B55A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5DB15B61"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407CF486" w14:textId="77777777" w:rsidTr="004269AD">
        <w:trPr>
          <w:cantSplit/>
          <w:jc w:val="center"/>
        </w:trPr>
        <w:tc>
          <w:tcPr>
            <w:tcW w:w="3741" w:type="dxa"/>
          </w:tcPr>
          <w:p w14:paraId="6B5AACF8"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Documents de travail/temporaires</w:t>
            </w:r>
          </w:p>
        </w:tc>
        <w:tc>
          <w:tcPr>
            <w:tcW w:w="577" w:type="dxa"/>
            <w:shd w:val="clear" w:color="auto" w:fill="auto"/>
          </w:tcPr>
          <w:p w14:paraId="10AA8EE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A39ABB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17D0C8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55685D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635A3B8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7ABD9B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36CBB8CA"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14CFC2CD" w14:textId="77777777" w:rsidTr="004269AD">
        <w:trPr>
          <w:cantSplit/>
          <w:jc w:val="center"/>
        </w:trPr>
        <w:tc>
          <w:tcPr>
            <w:tcW w:w="3741" w:type="dxa"/>
          </w:tcPr>
          <w:p w14:paraId="14BD9C0A"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Programmes quotidiens</w:t>
            </w:r>
          </w:p>
        </w:tc>
        <w:tc>
          <w:tcPr>
            <w:tcW w:w="577" w:type="dxa"/>
            <w:shd w:val="clear" w:color="auto" w:fill="auto"/>
          </w:tcPr>
          <w:p w14:paraId="4917D99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302506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AD3C9F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29F7482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0E97776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3CC7A9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3687DA55"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0CF279A7" w14:textId="77777777" w:rsidTr="004269AD">
        <w:trPr>
          <w:cantSplit/>
          <w:jc w:val="center"/>
        </w:trPr>
        <w:tc>
          <w:tcPr>
            <w:tcW w:w="3741" w:type="dxa"/>
          </w:tcPr>
          <w:p w14:paraId="0170F6BD"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Documents administratifs</w:t>
            </w:r>
          </w:p>
        </w:tc>
        <w:tc>
          <w:tcPr>
            <w:tcW w:w="577" w:type="dxa"/>
            <w:shd w:val="clear" w:color="auto" w:fill="auto"/>
          </w:tcPr>
          <w:p w14:paraId="65B64FF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E27272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F16CA3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8590DF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5B791F4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0B1FE9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57810D92"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3AD8E204" w14:textId="77777777" w:rsidTr="004269AD">
        <w:trPr>
          <w:cantSplit/>
          <w:jc w:val="center"/>
        </w:trPr>
        <w:tc>
          <w:tcPr>
            <w:tcW w:w="3741" w:type="dxa"/>
          </w:tcPr>
          <w:p w14:paraId="4D31A674"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Documents d'information</w:t>
            </w:r>
          </w:p>
        </w:tc>
        <w:tc>
          <w:tcPr>
            <w:tcW w:w="577" w:type="dxa"/>
            <w:shd w:val="clear" w:color="auto" w:fill="auto"/>
          </w:tcPr>
          <w:p w14:paraId="04CB7F1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DD8669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1E537C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119A981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72C9F51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8CD20F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00759B71"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r w:rsidR="0030679E" w:rsidRPr="00491098" w14:paraId="2C256E6C" w14:textId="77777777" w:rsidTr="004269AD">
        <w:trPr>
          <w:cantSplit/>
          <w:jc w:val="center"/>
        </w:trPr>
        <w:tc>
          <w:tcPr>
            <w:tcW w:w="3741" w:type="dxa"/>
          </w:tcPr>
          <w:p w14:paraId="2D63947D"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Liste des participants</w:t>
            </w:r>
          </w:p>
        </w:tc>
        <w:tc>
          <w:tcPr>
            <w:tcW w:w="577" w:type="dxa"/>
            <w:shd w:val="clear" w:color="auto" w:fill="auto"/>
          </w:tcPr>
          <w:p w14:paraId="604446F7"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6635D7A"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1D05F2CE"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
        </w:tc>
        <w:tc>
          <w:tcPr>
            <w:tcW w:w="572" w:type="dxa"/>
            <w:shd w:val="clear" w:color="auto" w:fill="auto"/>
          </w:tcPr>
          <w:p w14:paraId="08408861"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
        </w:tc>
        <w:tc>
          <w:tcPr>
            <w:tcW w:w="574" w:type="dxa"/>
            <w:shd w:val="clear" w:color="auto" w:fill="auto"/>
          </w:tcPr>
          <w:p w14:paraId="2EBCA5EA"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1635D016" w14:textId="77777777" w:rsidR="0030679E" w:rsidRPr="00491098" w:rsidRDefault="0030679E" w:rsidP="00BA1B70">
            <w:pPr>
              <w:tabs>
                <w:tab w:val="left" w:pos="567"/>
              </w:tabs>
              <w:spacing w:before="60" w:after="60" w:line="240" w:lineRule="auto"/>
              <w:jc w:val="center"/>
              <w:rPr>
                <w:rFonts w:ascii="Times New Roman" w:hAnsi="Times New Roman" w:cs="Times New Roman"/>
                <w:sz w:val="20"/>
                <w:szCs w:val="20"/>
                <w:lang w:val="fr-FR"/>
              </w:rPr>
            </w:pPr>
          </w:p>
        </w:tc>
        <w:tc>
          <w:tcPr>
            <w:tcW w:w="2583" w:type="dxa"/>
            <w:shd w:val="clear" w:color="auto" w:fill="auto"/>
          </w:tcPr>
          <w:p w14:paraId="297C99CF"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1263D9B0" w14:textId="77777777" w:rsidTr="004269AD">
        <w:trPr>
          <w:cantSplit/>
          <w:jc w:val="center"/>
        </w:trPr>
        <w:tc>
          <w:tcPr>
            <w:tcW w:w="3741" w:type="dxa"/>
          </w:tcPr>
          <w:p w14:paraId="3309DF01"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Procès-verbaux</w:t>
            </w:r>
          </w:p>
        </w:tc>
        <w:tc>
          <w:tcPr>
            <w:tcW w:w="577" w:type="dxa"/>
            <w:shd w:val="clear" w:color="auto" w:fill="auto"/>
          </w:tcPr>
          <w:p w14:paraId="1CBD04E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A72D09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1B8F83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7016204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BE131A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93A1F2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35C99B9E"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58EFE654" w14:textId="77777777" w:rsidTr="004269AD">
        <w:trPr>
          <w:cantSplit/>
          <w:jc w:val="center"/>
        </w:trPr>
        <w:tc>
          <w:tcPr>
            <w:tcW w:w="3741" w:type="dxa"/>
            <w:tcBorders>
              <w:bottom w:val="single" w:sz="4" w:space="0" w:color="auto"/>
            </w:tcBorders>
          </w:tcPr>
          <w:p w14:paraId="1BA2EDE3"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Actes finals provisoires</w:t>
            </w:r>
          </w:p>
        </w:tc>
        <w:tc>
          <w:tcPr>
            <w:tcW w:w="577" w:type="dxa"/>
            <w:tcBorders>
              <w:bottom w:val="single" w:sz="4" w:space="0" w:color="auto"/>
            </w:tcBorders>
            <w:shd w:val="clear" w:color="auto" w:fill="auto"/>
          </w:tcPr>
          <w:p w14:paraId="548CD2B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397D7C1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1E0F747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tcBorders>
              <w:bottom w:val="single" w:sz="4" w:space="0" w:color="auto"/>
            </w:tcBorders>
            <w:shd w:val="clear" w:color="auto" w:fill="auto"/>
          </w:tcPr>
          <w:p w14:paraId="51F41D2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tcBorders>
              <w:bottom w:val="single" w:sz="4" w:space="0" w:color="auto"/>
            </w:tcBorders>
            <w:shd w:val="clear" w:color="auto" w:fill="auto"/>
          </w:tcPr>
          <w:p w14:paraId="1D100B4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0B8EA5E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Borders>
              <w:bottom w:val="single" w:sz="4" w:space="0" w:color="auto"/>
            </w:tcBorders>
            <w:shd w:val="clear" w:color="auto" w:fill="auto"/>
          </w:tcPr>
          <w:p w14:paraId="7A7E437C"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491098" w14:paraId="25B6936B" w14:textId="77777777" w:rsidTr="004269AD">
        <w:trPr>
          <w:cantSplit/>
          <w:jc w:val="center"/>
        </w:trPr>
        <w:tc>
          <w:tcPr>
            <w:tcW w:w="3741" w:type="dxa"/>
            <w:tcBorders>
              <w:bottom w:val="single" w:sz="4" w:space="0" w:color="auto"/>
            </w:tcBorders>
          </w:tcPr>
          <w:p w14:paraId="3ADDA6A4" w14:textId="67B37B73" w:rsidR="0030679E" w:rsidRPr="00491098" w:rsidRDefault="00BE0640" w:rsidP="00BA1B70">
            <w:pPr>
              <w:tabs>
                <w:tab w:val="left" w:pos="567"/>
              </w:tab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tcBorders>
              <w:bottom w:val="single" w:sz="4" w:space="0" w:color="auto"/>
            </w:tcBorders>
            <w:shd w:val="clear" w:color="auto" w:fill="auto"/>
          </w:tcPr>
          <w:p w14:paraId="644EC3F5" w14:textId="1B930A0A"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3CC07ACD" w14:textId="72F4D063"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3F33DA6C" w14:textId="34EB4CFE"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tcBorders>
              <w:bottom w:val="single" w:sz="4" w:space="0" w:color="auto"/>
            </w:tcBorders>
            <w:shd w:val="clear" w:color="auto" w:fill="auto"/>
          </w:tcPr>
          <w:p w14:paraId="434F33CE" w14:textId="41F57CD2"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tcBorders>
              <w:bottom w:val="single" w:sz="4" w:space="0" w:color="auto"/>
            </w:tcBorders>
            <w:shd w:val="clear" w:color="auto" w:fill="auto"/>
          </w:tcPr>
          <w:p w14:paraId="5083461E" w14:textId="01C2683F"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5725D665" w14:textId="1A25F834"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Borders>
              <w:bottom w:val="single" w:sz="4" w:space="0" w:color="auto"/>
            </w:tcBorders>
            <w:shd w:val="clear" w:color="auto" w:fill="auto"/>
          </w:tcPr>
          <w:p w14:paraId="619ED74D" w14:textId="77777777" w:rsidR="0030679E" w:rsidRPr="00491098" w:rsidRDefault="0030679E" w:rsidP="00BA1B70">
            <w:pPr>
              <w:tabs>
                <w:tab w:val="left" w:pos="567"/>
              </w:tabs>
              <w:spacing w:before="60" w:after="60" w:line="240" w:lineRule="auto"/>
              <w:jc w:val="left"/>
              <w:rPr>
                <w:rFonts w:ascii="Times New Roman" w:hAnsi="Times New Roman" w:cs="Times New Roman"/>
                <w:sz w:val="20"/>
                <w:szCs w:val="20"/>
                <w:lang w:val="fr-FR"/>
              </w:rPr>
            </w:pPr>
          </w:p>
        </w:tc>
      </w:tr>
      <w:tr w:rsidR="0030679E" w:rsidRPr="00F8073F" w14:paraId="1576965F" w14:textId="77777777" w:rsidTr="004269AD">
        <w:trPr>
          <w:cantSplit/>
          <w:jc w:val="center"/>
        </w:trPr>
        <w:tc>
          <w:tcPr>
            <w:tcW w:w="3741" w:type="dxa"/>
            <w:tcBorders>
              <w:bottom w:val="single" w:sz="4" w:space="0" w:color="auto"/>
            </w:tcBorders>
            <w:shd w:val="clear" w:color="auto" w:fill="99CCFF"/>
          </w:tcPr>
          <w:p w14:paraId="06640F24" w14:textId="77777777" w:rsidR="0030679E" w:rsidRPr="00491098" w:rsidRDefault="0030679E"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3) Séances d'information pour les CMR</w:t>
            </w:r>
            <w:r w:rsidRPr="00491098">
              <w:rPr>
                <w:rStyle w:val="FootnoteReference"/>
                <w:lang w:val="fr-FR"/>
              </w:rPr>
              <w:footnoteReference w:id="1"/>
            </w:r>
          </w:p>
        </w:tc>
        <w:tc>
          <w:tcPr>
            <w:tcW w:w="577" w:type="dxa"/>
            <w:tcBorders>
              <w:bottom w:val="single" w:sz="4" w:space="0" w:color="auto"/>
            </w:tcBorders>
            <w:shd w:val="clear" w:color="auto" w:fill="99CCFF"/>
          </w:tcPr>
          <w:p w14:paraId="47A59DC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37A218D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609F78C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tcBorders>
              <w:bottom w:val="single" w:sz="4" w:space="0" w:color="auto"/>
            </w:tcBorders>
            <w:shd w:val="clear" w:color="auto" w:fill="99CCFF"/>
          </w:tcPr>
          <w:p w14:paraId="60EA06A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tcBorders>
              <w:bottom w:val="single" w:sz="4" w:space="0" w:color="auto"/>
            </w:tcBorders>
            <w:shd w:val="clear" w:color="auto" w:fill="99CCFF"/>
          </w:tcPr>
          <w:p w14:paraId="0D0DCE4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65AFF1B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Borders>
              <w:bottom w:val="single" w:sz="4" w:space="0" w:color="auto"/>
            </w:tcBorders>
            <w:shd w:val="clear" w:color="auto" w:fill="99CCFF"/>
          </w:tcPr>
          <w:p w14:paraId="29D96EA6"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1C287E3" w14:textId="77777777" w:rsidTr="004269AD">
        <w:trPr>
          <w:jc w:val="center"/>
        </w:trPr>
        <w:tc>
          <w:tcPr>
            <w:tcW w:w="3741" w:type="dxa"/>
            <w:tcBorders>
              <w:bottom w:val="single" w:sz="4" w:space="0" w:color="auto"/>
            </w:tcBorders>
            <w:shd w:val="clear" w:color="auto" w:fill="FFFF00"/>
          </w:tcPr>
          <w:p w14:paraId="0173799B"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tcBorders>
              <w:bottom w:val="single" w:sz="4" w:space="0" w:color="auto"/>
            </w:tcBorders>
            <w:shd w:val="clear" w:color="auto" w:fill="FFFF00"/>
          </w:tcPr>
          <w:p w14:paraId="460CE08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FFFF00"/>
          </w:tcPr>
          <w:p w14:paraId="770ECE9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FFFF00"/>
          </w:tcPr>
          <w:p w14:paraId="0E17A47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tcBorders>
              <w:bottom w:val="single" w:sz="4" w:space="0" w:color="auto"/>
            </w:tcBorders>
            <w:shd w:val="clear" w:color="auto" w:fill="FFFF00"/>
          </w:tcPr>
          <w:p w14:paraId="3C0C17A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tcBorders>
              <w:bottom w:val="single" w:sz="4" w:space="0" w:color="auto"/>
            </w:tcBorders>
            <w:shd w:val="clear" w:color="auto" w:fill="FFFF00"/>
          </w:tcPr>
          <w:p w14:paraId="36F45FF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FFFF00"/>
          </w:tcPr>
          <w:p w14:paraId="58139CE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Borders>
              <w:bottom w:val="single" w:sz="4" w:space="0" w:color="auto"/>
            </w:tcBorders>
            <w:shd w:val="clear" w:color="auto" w:fill="FFFF00"/>
          </w:tcPr>
          <w:p w14:paraId="0377B0B3"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50EB17F5" w14:textId="77777777" w:rsidTr="004269AD">
        <w:trPr>
          <w:cantSplit/>
          <w:jc w:val="center"/>
        </w:trPr>
        <w:tc>
          <w:tcPr>
            <w:tcW w:w="3741" w:type="dxa"/>
            <w:tcBorders>
              <w:bottom w:val="single" w:sz="4" w:space="0" w:color="auto"/>
            </w:tcBorders>
            <w:shd w:val="clear" w:color="auto" w:fill="99CCFF"/>
          </w:tcPr>
          <w:p w14:paraId="3EE3E688" w14:textId="77777777" w:rsidR="0030679E" w:rsidRPr="00491098" w:rsidRDefault="0030679E"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4a) GCR</w:t>
            </w:r>
          </w:p>
        </w:tc>
        <w:tc>
          <w:tcPr>
            <w:tcW w:w="577" w:type="dxa"/>
            <w:tcBorders>
              <w:bottom w:val="single" w:sz="4" w:space="0" w:color="auto"/>
            </w:tcBorders>
            <w:shd w:val="clear" w:color="auto" w:fill="99CCFF"/>
          </w:tcPr>
          <w:p w14:paraId="480FCBCB"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210A032A"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182822A0"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572" w:type="dxa"/>
            <w:tcBorders>
              <w:bottom w:val="single" w:sz="4" w:space="0" w:color="auto"/>
            </w:tcBorders>
            <w:shd w:val="clear" w:color="auto" w:fill="99CCFF"/>
          </w:tcPr>
          <w:p w14:paraId="56C508B9"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574" w:type="dxa"/>
            <w:tcBorders>
              <w:bottom w:val="single" w:sz="4" w:space="0" w:color="auto"/>
            </w:tcBorders>
            <w:shd w:val="clear" w:color="auto" w:fill="99CCFF"/>
          </w:tcPr>
          <w:p w14:paraId="5FEC8EAD"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112A6B27" w14:textId="77777777" w:rsidR="0030679E" w:rsidRPr="00491098" w:rsidRDefault="0030679E" w:rsidP="00BA1B70">
            <w:pPr>
              <w:spacing w:before="60" w:after="60" w:line="240" w:lineRule="auto"/>
              <w:jc w:val="center"/>
              <w:rPr>
                <w:rFonts w:ascii="Times New Roman" w:hAnsi="Times New Roman" w:cs="Times New Roman"/>
                <w:b/>
                <w:bCs/>
                <w:sz w:val="20"/>
                <w:szCs w:val="20"/>
                <w:lang w:val="fr-FR"/>
              </w:rPr>
            </w:pPr>
          </w:p>
        </w:tc>
        <w:tc>
          <w:tcPr>
            <w:tcW w:w="2583" w:type="dxa"/>
            <w:tcBorders>
              <w:bottom w:val="single" w:sz="4" w:space="0" w:color="auto"/>
            </w:tcBorders>
            <w:shd w:val="clear" w:color="auto" w:fill="99CCFF"/>
          </w:tcPr>
          <w:p w14:paraId="235D64A7" w14:textId="77777777" w:rsidR="0030679E" w:rsidRPr="00491098" w:rsidRDefault="0030679E" w:rsidP="00BA1B70">
            <w:pPr>
              <w:spacing w:before="60" w:after="60" w:line="240" w:lineRule="auto"/>
              <w:jc w:val="left"/>
              <w:rPr>
                <w:rFonts w:ascii="Times New Roman" w:hAnsi="Times New Roman" w:cs="Times New Roman"/>
                <w:b/>
                <w:bCs/>
                <w:sz w:val="20"/>
                <w:szCs w:val="20"/>
                <w:lang w:val="fr-FR"/>
              </w:rPr>
            </w:pPr>
          </w:p>
        </w:tc>
      </w:tr>
      <w:tr w:rsidR="0030679E" w:rsidRPr="00491098" w14:paraId="00AD911E" w14:textId="77777777" w:rsidTr="004269AD">
        <w:trPr>
          <w:cantSplit/>
          <w:jc w:val="center"/>
        </w:trPr>
        <w:tc>
          <w:tcPr>
            <w:tcW w:w="3741" w:type="dxa"/>
            <w:shd w:val="clear" w:color="auto" w:fill="FFFF00"/>
          </w:tcPr>
          <w:p w14:paraId="6603022B"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1C77289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225D74E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7659F33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73D5760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5F1CCE2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6F1E1E5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717DC2F8"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7E6D7309" w14:textId="77777777" w:rsidTr="004269AD">
        <w:trPr>
          <w:jc w:val="center"/>
        </w:trPr>
        <w:tc>
          <w:tcPr>
            <w:tcW w:w="3741" w:type="dxa"/>
          </w:tcPr>
          <w:p w14:paraId="1DA4EA77"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 xml:space="preserve">Contributions </w:t>
            </w:r>
          </w:p>
        </w:tc>
        <w:tc>
          <w:tcPr>
            <w:tcW w:w="577" w:type="dxa"/>
            <w:shd w:val="clear" w:color="auto" w:fill="auto"/>
          </w:tcPr>
          <w:p w14:paraId="5AC3A46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E87129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EE032A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3A04BCD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62CD3B1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6613AB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0B16A2BA"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626B794D" w14:textId="77777777" w:rsidTr="004269AD">
        <w:trPr>
          <w:jc w:val="center"/>
        </w:trPr>
        <w:tc>
          <w:tcPr>
            <w:tcW w:w="3741" w:type="dxa"/>
          </w:tcPr>
          <w:p w14:paraId="47E32CA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 xml:space="preserve">Documents temporaires </w:t>
            </w:r>
          </w:p>
        </w:tc>
        <w:tc>
          <w:tcPr>
            <w:tcW w:w="577" w:type="dxa"/>
            <w:shd w:val="clear" w:color="auto" w:fill="auto"/>
          </w:tcPr>
          <w:p w14:paraId="71361EB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4448CC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14DA4AF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auto"/>
          </w:tcPr>
          <w:p w14:paraId="157A01C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shd w:val="clear" w:color="auto" w:fill="auto"/>
          </w:tcPr>
          <w:p w14:paraId="04A2FD4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7BDC037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Pr>
          <w:p w14:paraId="427D77D8"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78F1B6F" w14:textId="77777777" w:rsidTr="004269AD">
        <w:trPr>
          <w:jc w:val="center"/>
        </w:trPr>
        <w:tc>
          <w:tcPr>
            <w:tcW w:w="3741" w:type="dxa"/>
          </w:tcPr>
          <w:p w14:paraId="50196506"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Résumé des conclusions du GCR</w:t>
            </w:r>
          </w:p>
        </w:tc>
        <w:tc>
          <w:tcPr>
            <w:tcW w:w="577" w:type="dxa"/>
            <w:shd w:val="clear" w:color="auto" w:fill="auto"/>
          </w:tcPr>
          <w:p w14:paraId="7945802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A52445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11588B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722AA1B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688B672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70277C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44B9D0E1"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6E42D542" w14:textId="77777777" w:rsidTr="004269AD">
        <w:trPr>
          <w:jc w:val="center"/>
        </w:trPr>
        <w:tc>
          <w:tcPr>
            <w:tcW w:w="3741" w:type="dxa"/>
          </w:tcPr>
          <w:p w14:paraId="5E3A6F1D" w14:textId="21E190EE" w:rsidR="0030679E" w:rsidRPr="00491098" w:rsidRDefault="00BE0640"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shd w:val="clear" w:color="auto" w:fill="auto"/>
          </w:tcPr>
          <w:p w14:paraId="02C584B4" w14:textId="49763A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6E80A6B5" w14:textId="57ADD12E"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58886C3C" w14:textId="423EA56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shd w:val="clear" w:color="auto" w:fill="auto"/>
          </w:tcPr>
          <w:p w14:paraId="04AD1BBB" w14:textId="785C5C7F"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shd w:val="clear" w:color="auto" w:fill="auto"/>
          </w:tcPr>
          <w:p w14:paraId="000D97EC" w14:textId="0A556C8D"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2489FB0C" w14:textId="0A320CCE"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Pr>
          <w:p w14:paraId="5C70CBA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1986F254" w14:textId="77777777" w:rsidTr="004269AD">
        <w:trPr>
          <w:cantSplit/>
          <w:jc w:val="center"/>
        </w:trPr>
        <w:tc>
          <w:tcPr>
            <w:tcW w:w="3741" w:type="dxa"/>
            <w:tcBorders>
              <w:bottom w:val="single" w:sz="4" w:space="0" w:color="auto"/>
            </w:tcBorders>
            <w:shd w:val="clear" w:color="auto" w:fill="99CCFF"/>
          </w:tcPr>
          <w:p w14:paraId="381C470B" w14:textId="77777777" w:rsidR="0030679E" w:rsidRPr="00491098" w:rsidRDefault="0030679E" w:rsidP="00BA1B70">
            <w:pPr>
              <w:keepNext/>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4b) Commissions d'études</w:t>
            </w:r>
          </w:p>
        </w:tc>
        <w:tc>
          <w:tcPr>
            <w:tcW w:w="577" w:type="dxa"/>
            <w:tcBorders>
              <w:bottom w:val="single" w:sz="4" w:space="0" w:color="auto"/>
            </w:tcBorders>
            <w:shd w:val="clear" w:color="auto" w:fill="99CCFF"/>
          </w:tcPr>
          <w:p w14:paraId="2FDE430B"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7CBED2DC"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3FAC4845"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572" w:type="dxa"/>
            <w:tcBorders>
              <w:bottom w:val="single" w:sz="4" w:space="0" w:color="auto"/>
            </w:tcBorders>
            <w:shd w:val="clear" w:color="auto" w:fill="99CCFF"/>
          </w:tcPr>
          <w:p w14:paraId="4F5D4CC4"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574" w:type="dxa"/>
            <w:tcBorders>
              <w:bottom w:val="single" w:sz="4" w:space="0" w:color="auto"/>
            </w:tcBorders>
            <w:shd w:val="clear" w:color="auto" w:fill="99CCFF"/>
          </w:tcPr>
          <w:p w14:paraId="4956E2E7"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580" w:type="dxa"/>
            <w:tcBorders>
              <w:bottom w:val="single" w:sz="4" w:space="0" w:color="auto"/>
            </w:tcBorders>
            <w:shd w:val="clear" w:color="auto" w:fill="99CCFF"/>
          </w:tcPr>
          <w:p w14:paraId="254BA0BF" w14:textId="77777777" w:rsidR="0030679E" w:rsidRPr="00491098" w:rsidRDefault="0030679E" w:rsidP="00BA1B70">
            <w:pPr>
              <w:keepNext/>
              <w:spacing w:before="60" w:after="60" w:line="240" w:lineRule="auto"/>
              <w:jc w:val="center"/>
              <w:rPr>
                <w:rFonts w:ascii="Times New Roman" w:hAnsi="Times New Roman" w:cs="Times New Roman"/>
                <w:b/>
                <w:bCs/>
                <w:sz w:val="20"/>
                <w:szCs w:val="20"/>
                <w:lang w:val="fr-FR"/>
              </w:rPr>
            </w:pPr>
          </w:p>
        </w:tc>
        <w:tc>
          <w:tcPr>
            <w:tcW w:w="2583" w:type="dxa"/>
            <w:tcBorders>
              <w:bottom w:val="single" w:sz="4" w:space="0" w:color="auto"/>
            </w:tcBorders>
            <w:shd w:val="clear" w:color="auto" w:fill="99CCFF"/>
          </w:tcPr>
          <w:p w14:paraId="61627748" w14:textId="77777777" w:rsidR="0030679E" w:rsidRPr="00491098" w:rsidRDefault="0030679E" w:rsidP="00BA1B70">
            <w:pPr>
              <w:keepNext/>
              <w:spacing w:before="60" w:after="60" w:line="240" w:lineRule="auto"/>
              <w:jc w:val="left"/>
              <w:rPr>
                <w:rFonts w:ascii="Times New Roman" w:hAnsi="Times New Roman" w:cs="Times New Roman"/>
                <w:b/>
                <w:bCs/>
                <w:sz w:val="20"/>
                <w:szCs w:val="20"/>
                <w:lang w:val="fr-FR"/>
              </w:rPr>
            </w:pPr>
          </w:p>
        </w:tc>
      </w:tr>
      <w:tr w:rsidR="0030679E" w:rsidRPr="00491098" w14:paraId="08E637A9" w14:textId="77777777" w:rsidTr="004269AD">
        <w:trPr>
          <w:cantSplit/>
          <w:jc w:val="center"/>
        </w:trPr>
        <w:tc>
          <w:tcPr>
            <w:tcW w:w="3741" w:type="dxa"/>
            <w:shd w:val="clear" w:color="auto" w:fill="FFFF00"/>
          </w:tcPr>
          <w:p w14:paraId="690B4CF1"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71939DE1"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471CA2E5"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30A2033C"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5262D8AE"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351F7AC8"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13B60FE5" w14:textId="77777777" w:rsidR="0030679E" w:rsidRPr="00491098" w:rsidRDefault="0030679E" w:rsidP="00BA1B70">
            <w:pPr>
              <w:keepNext/>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4A8C715F"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p>
        </w:tc>
      </w:tr>
      <w:tr w:rsidR="0030679E" w:rsidRPr="00491098" w14:paraId="0628B8BD" w14:textId="77777777" w:rsidTr="004269AD">
        <w:trPr>
          <w:jc w:val="center"/>
        </w:trPr>
        <w:tc>
          <w:tcPr>
            <w:tcW w:w="3741" w:type="dxa"/>
          </w:tcPr>
          <w:p w14:paraId="02F20253"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 xml:space="preserve">Tous types de documents </w:t>
            </w:r>
          </w:p>
        </w:tc>
        <w:tc>
          <w:tcPr>
            <w:tcW w:w="577" w:type="dxa"/>
            <w:shd w:val="clear" w:color="auto" w:fill="auto"/>
          </w:tcPr>
          <w:p w14:paraId="194FD8E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741235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08F4752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auto"/>
          </w:tcPr>
          <w:p w14:paraId="2540134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shd w:val="clear" w:color="auto" w:fill="auto"/>
          </w:tcPr>
          <w:p w14:paraId="2630025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1AD6163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Pr>
          <w:p w14:paraId="221E7985"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006BEC5B" w14:textId="77777777" w:rsidTr="004269AD">
        <w:trPr>
          <w:jc w:val="center"/>
        </w:trPr>
        <w:tc>
          <w:tcPr>
            <w:tcW w:w="3741" w:type="dxa"/>
          </w:tcPr>
          <w:p w14:paraId="7AF2903A" w14:textId="3E9DF7F5" w:rsidR="0030679E" w:rsidRPr="00491098" w:rsidRDefault="00BE0640"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shd w:val="clear" w:color="auto" w:fill="auto"/>
          </w:tcPr>
          <w:p w14:paraId="4693F5BC" w14:textId="3865D67D"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35470018" w14:textId="35E23A4D"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7FDB678A" w14:textId="42E35AFD"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shd w:val="clear" w:color="auto" w:fill="auto"/>
          </w:tcPr>
          <w:p w14:paraId="1F201CA2" w14:textId="27266C89"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shd w:val="clear" w:color="auto" w:fill="auto"/>
          </w:tcPr>
          <w:p w14:paraId="2DF7444D" w14:textId="081E8855"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02040276" w14:textId="1660E013"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Pr>
          <w:p w14:paraId="6EDF1D17"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06AEA15D" w14:textId="77777777" w:rsidTr="004269AD">
        <w:trPr>
          <w:jc w:val="center"/>
        </w:trPr>
        <w:tc>
          <w:tcPr>
            <w:tcW w:w="3741" w:type="dxa"/>
            <w:tcBorders>
              <w:bottom w:val="single" w:sz="4" w:space="0" w:color="auto"/>
            </w:tcBorders>
            <w:shd w:val="clear" w:color="auto" w:fill="99CCFF"/>
          </w:tcPr>
          <w:p w14:paraId="6343E0D5" w14:textId="77777777" w:rsidR="0030679E" w:rsidRPr="00491098" w:rsidRDefault="0030679E"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lastRenderedPageBreak/>
              <w:t>5) RRB</w:t>
            </w:r>
          </w:p>
        </w:tc>
        <w:tc>
          <w:tcPr>
            <w:tcW w:w="577" w:type="dxa"/>
            <w:tcBorders>
              <w:bottom w:val="single" w:sz="4" w:space="0" w:color="auto"/>
            </w:tcBorders>
            <w:shd w:val="clear" w:color="auto" w:fill="99CCFF"/>
          </w:tcPr>
          <w:p w14:paraId="3E1531B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4E21B16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7DA0319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tcBorders>
              <w:bottom w:val="single" w:sz="4" w:space="0" w:color="auto"/>
            </w:tcBorders>
            <w:shd w:val="clear" w:color="auto" w:fill="99CCFF"/>
          </w:tcPr>
          <w:p w14:paraId="059B078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tcBorders>
              <w:bottom w:val="single" w:sz="4" w:space="0" w:color="auto"/>
            </w:tcBorders>
            <w:shd w:val="clear" w:color="auto" w:fill="99CCFF"/>
          </w:tcPr>
          <w:p w14:paraId="277DB81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1D0D0F1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Borders>
              <w:bottom w:val="single" w:sz="4" w:space="0" w:color="auto"/>
            </w:tcBorders>
            <w:shd w:val="clear" w:color="auto" w:fill="99CCFF"/>
          </w:tcPr>
          <w:p w14:paraId="1908EE67"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F8073F" w14:paraId="20EF9665" w14:textId="77777777" w:rsidTr="004269AD">
        <w:trPr>
          <w:jc w:val="center"/>
        </w:trPr>
        <w:tc>
          <w:tcPr>
            <w:tcW w:w="3741" w:type="dxa"/>
            <w:shd w:val="clear" w:color="auto" w:fill="FFFF00"/>
          </w:tcPr>
          <w:p w14:paraId="74712C3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34BB675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1477872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4888151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279E093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74D4787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161E663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2745197D"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de la composition du Comité</w:t>
            </w:r>
          </w:p>
        </w:tc>
      </w:tr>
      <w:tr w:rsidR="0030679E" w:rsidRPr="00491098" w14:paraId="35C01C25" w14:textId="77777777" w:rsidTr="004269AD">
        <w:trPr>
          <w:jc w:val="center"/>
        </w:trPr>
        <w:tc>
          <w:tcPr>
            <w:tcW w:w="3741" w:type="dxa"/>
          </w:tcPr>
          <w:p w14:paraId="22696D32"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Tous types de documents</w:t>
            </w:r>
          </w:p>
        </w:tc>
        <w:tc>
          <w:tcPr>
            <w:tcW w:w="577" w:type="dxa"/>
            <w:shd w:val="clear" w:color="auto" w:fill="auto"/>
          </w:tcPr>
          <w:p w14:paraId="418EDC1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09E891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CFF1C2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61E8500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2853BFA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FEBC3E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02C76025"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0B4D610B" w14:textId="77777777" w:rsidTr="004269AD">
        <w:trPr>
          <w:jc w:val="center"/>
        </w:trPr>
        <w:tc>
          <w:tcPr>
            <w:tcW w:w="3741" w:type="dxa"/>
          </w:tcPr>
          <w:p w14:paraId="53FF7BD2" w14:textId="6AFEA2FB" w:rsidR="0030679E" w:rsidRPr="00491098" w:rsidRDefault="00BE0640"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shd w:val="clear" w:color="auto" w:fill="auto"/>
          </w:tcPr>
          <w:p w14:paraId="0B3E0900" w14:textId="332B8EDC"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65EBF314" w14:textId="2914623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27D93B4E" w14:textId="0E08BF16"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shd w:val="clear" w:color="auto" w:fill="auto"/>
          </w:tcPr>
          <w:p w14:paraId="53C4EE89" w14:textId="00976013"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shd w:val="clear" w:color="auto" w:fill="auto"/>
          </w:tcPr>
          <w:p w14:paraId="44FFD762" w14:textId="4A4D6B6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shd w:val="clear" w:color="auto" w:fill="auto"/>
          </w:tcPr>
          <w:p w14:paraId="25F6ADBC" w14:textId="171E389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Pr>
          <w:p w14:paraId="0373C4B1"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BA9DE3B" w14:textId="77777777" w:rsidTr="004269AD">
        <w:trPr>
          <w:jc w:val="center"/>
        </w:trPr>
        <w:tc>
          <w:tcPr>
            <w:tcW w:w="3741" w:type="dxa"/>
            <w:tcBorders>
              <w:bottom w:val="single" w:sz="4" w:space="0" w:color="auto"/>
            </w:tcBorders>
            <w:shd w:val="clear" w:color="auto" w:fill="99CCFF"/>
          </w:tcPr>
          <w:p w14:paraId="260493D5" w14:textId="03D66445" w:rsidR="0030679E" w:rsidRPr="00491098" w:rsidRDefault="0030679E" w:rsidP="00BA1B70">
            <w:pPr>
              <w:keepNext/>
              <w:keepLines/>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6) Séminaire</w:t>
            </w:r>
            <w:r w:rsidR="00BE0640" w:rsidRPr="00491098">
              <w:rPr>
                <w:rFonts w:ascii="Times New Roman" w:hAnsi="Times New Roman" w:cs="Times New Roman"/>
                <w:b/>
                <w:bCs/>
                <w:sz w:val="20"/>
                <w:szCs w:val="20"/>
                <w:u w:val="single"/>
                <w:lang w:val="fr-FR"/>
              </w:rPr>
              <w:t>s</w:t>
            </w:r>
            <w:r w:rsidRPr="00491098">
              <w:rPr>
                <w:rFonts w:ascii="Times New Roman" w:hAnsi="Times New Roman" w:cs="Times New Roman"/>
                <w:b/>
                <w:bCs/>
                <w:sz w:val="20"/>
                <w:szCs w:val="20"/>
                <w:u w:val="single"/>
                <w:lang w:val="fr-FR"/>
              </w:rPr>
              <w:t xml:space="preserve"> mondia</w:t>
            </w:r>
            <w:r w:rsidR="00BE0640" w:rsidRPr="00491098">
              <w:rPr>
                <w:rFonts w:ascii="Times New Roman" w:hAnsi="Times New Roman" w:cs="Times New Roman"/>
                <w:b/>
                <w:bCs/>
                <w:sz w:val="20"/>
                <w:szCs w:val="20"/>
                <w:u w:val="single"/>
                <w:lang w:val="fr-FR"/>
              </w:rPr>
              <w:t>ux</w:t>
            </w:r>
            <w:r w:rsidRPr="00491098">
              <w:rPr>
                <w:rFonts w:ascii="Times New Roman" w:hAnsi="Times New Roman" w:cs="Times New Roman"/>
                <w:b/>
                <w:bCs/>
                <w:sz w:val="20"/>
                <w:szCs w:val="20"/>
                <w:u w:val="single"/>
                <w:lang w:val="fr-FR"/>
              </w:rPr>
              <w:t xml:space="preserve"> des radiocommunications</w:t>
            </w:r>
          </w:p>
        </w:tc>
        <w:tc>
          <w:tcPr>
            <w:tcW w:w="577" w:type="dxa"/>
            <w:tcBorders>
              <w:bottom w:val="single" w:sz="4" w:space="0" w:color="auto"/>
            </w:tcBorders>
            <w:shd w:val="clear" w:color="auto" w:fill="99CCFF"/>
          </w:tcPr>
          <w:p w14:paraId="18A81B70"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04314EFD"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72AFF555"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572" w:type="dxa"/>
            <w:tcBorders>
              <w:bottom w:val="single" w:sz="4" w:space="0" w:color="auto"/>
            </w:tcBorders>
            <w:shd w:val="clear" w:color="auto" w:fill="99CCFF"/>
          </w:tcPr>
          <w:p w14:paraId="6363AB46"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574" w:type="dxa"/>
            <w:tcBorders>
              <w:bottom w:val="single" w:sz="4" w:space="0" w:color="auto"/>
            </w:tcBorders>
            <w:shd w:val="clear" w:color="auto" w:fill="99CCFF"/>
          </w:tcPr>
          <w:p w14:paraId="01AE7DC4"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99CCFF"/>
          </w:tcPr>
          <w:p w14:paraId="1E1B79CF"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
        </w:tc>
        <w:tc>
          <w:tcPr>
            <w:tcW w:w="2583" w:type="dxa"/>
            <w:tcBorders>
              <w:bottom w:val="single" w:sz="4" w:space="0" w:color="auto"/>
            </w:tcBorders>
            <w:shd w:val="clear" w:color="auto" w:fill="99CCFF"/>
          </w:tcPr>
          <w:p w14:paraId="1F1CB71F" w14:textId="77777777" w:rsidR="0030679E" w:rsidRPr="00491098" w:rsidRDefault="0030679E" w:rsidP="00BA1B70">
            <w:pPr>
              <w:keepNext/>
              <w:keepLines/>
              <w:spacing w:before="60" w:after="60" w:line="240" w:lineRule="auto"/>
              <w:jc w:val="left"/>
              <w:rPr>
                <w:rFonts w:ascii="Times New Roman" w:hAnsi="Times New Roman" w:cs="Times New Roman"/>
                <w:sz w:val="20"/>
                <w:szCs w:val="20"/>
                <w:lang w:val="fr-FR"/>
              </w:rPr>
            </w:pPr>
          </w:p>
        </w:tc>
      </w:tr>
      <w:tr w:rsidR="0030679E" w:rsidRPr="00491098" w14:paraId="6F8D8EBB" w14:textId="77777777" w:rsidTr="004269AD">
        <w:trPr>
          <w:jc w:val="center"/>
        </w:trPr>
        <w:tc>
          <w:tcPr>
            <w:tcW w:w="3741" w:type="dxa"/>
            <w:shd w:val="clear" w:color="auto" w:fill="FFFF00"/>
          </w:tcPr>
          <w:p w14:paraId="2EBF393A" w14:textId="77777777" w:rsidR="0030679E" w:rsidRPr="00491098" w:rsidRDefault="0030679E" w:rsidP="00BA1B70">
            <w:pPr>
              <w:keepNext/>
              <w:keepLine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Interprétation</w:t>
            </w:r>
          </w:p>
        </w:tc>
        <w:tc>
          <w:tcPr>
            <w:tcW w:w="577" w:type="dxa"/>
            <w:shd w:val="clear" w:color="auto" w:fill="FFFF00"/>
          </w:tcPr>
          <w:p w14:paraId="79033DF5"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0C6CE2AF"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4840FEA8"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FFFF00"/>
          </w:tcPr>
          <w:p w14:paraId="00765DE2"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FFFF00"/>
          </w:tcPr>
          <w:p w14:paraId="57FC5B53"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FFFF00"/>
          </w:tcPr>
          <w:p w14:paraId="07487026" w14:textId="77777777" w:rsidR="0030679E" w:rsidRPr="00491098" w:rsidRDefault="0030679E" w:rsidP="00BA1B70">
            <w:pPr>
              <w:keepNext/>
              <w:keepLines/>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FFFF00"/>
          </w:tcPr>
          <w:p w14:paraId="01031D74" w14:textId="77777777" w:rsidR="0030679E" w:rsidRPr="00491098" w:rsidRDefault="0030679E" w:rsidP="00BA1B70">
            <w:pPr>
              <w:keepNext/>
              <w:keepLines/>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Séances plénières uniquement</w:t>
            </w:r>
          </w:p>
        </w:tc>
      </w:tr>
      <w:tr w:rsidR="0030679E" w:rsidRPr="00491098" w14:paraId="272554A9" w14:textId="77777777" w:rsidTr="004269AD">
        <w:trPr>
          <w:jc w:val="center"/>
        </w:trPr>
        <w:tc>
          <w:tcPr>
            <w:tcW w:w="3741" w:type="dxa"/>
          </w:tcPr>
          <w:p w14:paraId="24A9807E"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Documents</w:t>
            </w:r>
          </w:p>
        </w:tc>
        <w:tc>
          <w:tcPr>
            <w:tcW w:w="577" w:type="dxa"/>
            <w:shd w:val="clear" w:color="auto" w:fill="auto"/>
          </w:tcPr>
          <w:p w14:paraId="15B317A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29F05C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9ADB89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1890AC5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013053C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609FE4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386C2071"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7451B04" w14:textId="77777777" w:rsidTr="004269AD">
        <w:trPr>
          <w:jc w:val="center"/>
        </w:trPr>
        <w:tc>
          <w:tcPr>
            <w:tcW w:w="3741" w:type="dxa"/>
            <w:tcBorders>
              <w:bottom w:val="single" w:sz="4" w:space="0" w:color="auto"/>
            </w:tcBorders>
          </w:tcPr>
          <w:p w14:paraId="5E2DA76B"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Présentations</w:t>
            </w:r>
          </w:p>
        </w:tc>
        <w:tc>
          <w:tcPr>
            <w:tcW w:w="577" w:type="dxa"/>
            <w:tcBorders>
              <w:bottom w:val="single" w:sz="4" w:space="0" w:color="auto"/>
            </w:tcBorders>
            <w:shd w:val="clear" w:color="auto" w:fill="auto"/>
          </w:tcPr>
          <w:p w14:paraId="187C8D6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7D49D14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auto"/>
          </w:tcPr>
          <w:p w14:paraId="13EF873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tcBorders>
              <w:bottom w:val="single" w:sz="4" w:space="0" w:color="auto"/>
            </w:tcBorders>
            <w:shd w:val="clear" w:color="auto" w:fill="auto"/>
          </w:tcPr>
          <w:p w14:paraId="6722EF6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tcBorders>
              <w:bottom w:val="single" w:sz="4" w:space="0" w:color="auto"/>
            </w:tcBorders>
            <w:shd w:val="clear" w:color="auto" w:fill="auto"/>
          </w:tcPr>
          <w:p w14:paraId="4247BCA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tcBorders>
              <w:bottom w:val="single" w:sz="4" w:space="0" w:color="auto"/>
            </w:tcBorders>
            <w:shd w:val="clear" w:color="auto" w:fill="auto"/>
          </w:tcPr>
          <w:p w14:paraId="551E2CC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Borders>
              <w:bottom w:val="single" w:sz="4" w:space="0" w:color="auto"/>
            </w:tcBorders>
          </w:tcPr>
          <w:p w14:paraId="01A80E9C"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550D3E1A" w14:textId="77777777" w:rsidTr="004269AD">
        <w:trPr>
          <w:jc w:val="center"/>
        </w:trPr>
        <w:tc>
          <w:tcPr>
            <w:tcW w:w="3741" w:type="dxa"/>
            <w:tcBorders>
              <w:bottom w:val="single" w:sz="4" w:space="0" w:color="auto"/>
            </w:tcBorders>
          </w:tcPr>
          <w:p w14:paraId="7F26DCA8" w14:textId="5CB2E9F4" w:rsidR="0030679E" w:rsidRPr="00491098" w:rsidRDefault="00BE0640"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color w:val="0000FF"/>
                <w:sz w:val="20"/>
                <w:szCs w:val="20"/>
                <w:highlight w:val="green"/>
                <w:u w:val="single"/>
                <w:lang w:val="fr-FR" w:eastAsia="en-GB"/>
              </w:rPr>
              <w:t>Page web</w:t>
            </w:r>
          </w:p>
        </w:tc>
        <w:tc>
          <w:tcPr>
            <w:tcW w:w="577" w:type="dxa"/>
            <w:tcBorders>
              <w:bottom w:val="single" w:sz="4" w:space="0" w:color="auto"/>
            </w:tcBorders>
            <w:shd w:val="clear" w:color="auto" w:fill="auto"/>
          </w:tcPr>
          <w:p w14:paraId="10EC218E" w14:textId="33F0253E"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4DCFF643" w14:textId="1ED19D88"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3E275297" w14:textId="6A95345C"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2" w:type="dxa"/>
            <w:tcBorders>
              <w:bottom w:val="single" w:sz="4" w:space="0" w:color="auto"/>
            </w:tcBorders>
            <w:shd w:val="clear" w:color="auto" w:fill="auto"/>
          </w:tcPr>
          <w:p w14:paraId="05983410" w14:textId="790691F9"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74" w:type="dxa"/>
            <w:tcBorders>
              <w:bottom w:val="single" w:sz="4" w:space="0" w:color="auto"/>
            </w:tcBorders>
            <w:shd w:val="clear" w:color="auto" w:fill="auto"/>
          </w:tcPr>
          <w:p w14:paraId="3B120F0C" w14:textId="0C1AF486"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580" w:type="dxa"/>
            <w:tcBorders>
              <w:bottom w:val="single" w:sz="4" w:space="0" w:color="auto"/>
            </w:tcBorders>
            <w:shd w:val="clear" w:color="auto" w:fill="auto"/>
          </w:tcPr>
          <w:p w14:paraId="3ED812E8" w14:textId="01235DEC"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color w:val="0000FF"/>
                <w:sz w:val="20"/>
                <w:szCs w:val="20"/>
                <w:highlight w:val="green"/>
                <w:u w:val="single"/>
                <w:lang w:val="fr-FR" w:eastAsia="en-GB"/>
              </w:rPr>
              <w:t>x</w:t>
            </w:r>
            <w:proofErr w:type="gramEnd"/>
          </w:p>
        </w:tc>
        <w:tc>
          <w:tcPr>
            <w:tcW w:w="2583" w:type="dxa"/>
            <w:tcBorders>
              <w:bottom w:val="single" w:sz="4" w:space="0" w:color="auto"/>
            </w:tcBorders>
          </w:tcPr>
          <w:p w14:paraId="025A1611"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0502F72" w14:textId="77777777" w:rsidTr="004269AD">
        <w:trPr>
          <w:jc w:val="center"/>
        </w:trPr>
        <w:tc>
          <w:tcPr>
            <w:tcW w:w="3741" w:type="dxa"/>
            <w:shd w:val="clear" w:color="auto" w:fill="99CCFF"/>
          </w:tcPr>
          <w:p w14:paraId="212A1F9B" w14:textId="77777777" w:rsidR="0030679E" w:rsidRPr="00491098" w:rsidRDefault="0030679E" w:rsidP="00BA1B70">
            <w:pPr>
              <w:keepNext/>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7) Publications</w:t>
            </w:r>
          </w:p>
        </w:tc>
        <w:tc>
          <w:tcPr>
            <w:tcW w:w="577" w:type="dxa"/>
            <w:shd w:val="clear" w:color="auto" w:fill="99CCFF"/>
          </w:tcPr>
          <w:p w14:paraId="680B304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1048B18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4FCF8F5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99CCFF"/>
          </w:tcPr>
          <w:p w14:paraId="68BBBE4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shd w:val="clear" w:color="auto" w:fill="99CCFF"/>
          </w:tcPr>
          <w:p w14:paraId="057F54F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00EAE01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shd w:val="clear" w:color="auto" w:fill="99CCFF"/>
          </w:tcPr>
          <w:p w14:paraId="4DA3CF2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1F191648" w14:textId="77777777" w:rsidTr="004269AD">
        <w:trPr>
          <w:cantSplit/>
          <w:jc w:val="center"/>
        </w:trPr>
        <w:tc>
          <w:tcPr>
            <w:tcW w:w="3741" w:type="dxa"/>
          </w:tcPr>
          <w:p w14:paraId="3F38E089"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Recommandations approuvées</w:t>
            </w:r>
          </w:p>
        </w:tc>
        <w:tc>
          <w:tcPr>
            <w:tcW w:w="577" w:type="dxa"/>
            <w:shd w:val="clear" w:color="auto" w:fill="auto"/>
          </w:tcPr>
          <w:p w14:paraId="040AC37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BFA2C1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77B13A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7ACB8B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08372B4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7844B1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39417458" w14:textId="77777777" w:rsidR="0030679E" w:rsidRPr="00491098" w:rsidRDefault="0030679E" w:rsidP="00BA1B70">
            <w:pPr>
              <w:spacing w:before="60" w:after="60" w:line="240" w:lineRule="auto"/>
              <w:jc w:val="left"/>
              <w:rPr>
                <w:rFonts w:ascii="Times New Roman" w:hAnsi="Times New Roman" w:cs="Times New Roman"/>
                <w:strike/>
                <w:color w:val="3366FF"/>
                <w:sz w:val="20"/>
                <w:szCs w:val="20"/>
                <w:lang w:val="fr-FR"/>
              </w:rPr>
            </w:pPr>
          </w:p>
        </w:tc>
      </w:tr>
      <w:tr w:rsidR="0030679E" w:rsidRPr="00491098" w14:paraId="3F2E8D36" w14:textId="77777777" w:rsidTr="004269AD">
        <w:trPr>
          <w:cantSplit/>
          <w:jc w:val="center"/>
        </w:trPr>
        <w:tc>
          <w:tcPr>
            <w:tcW w:w="3741" w:type="dxa"/>
          </w:tcPr>
          <w:p w14:paraId="2078987B"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Rapports UIT-R</w:t>
            </w:r>
          </w:p>
        </w:tc>
        <w:tc>
          <w:tcPr>
            <w:tcW w:w="577" w:type="dxa"/>
            <w:shd w:val="clear" w:color="auto" w:fill="auto"/>
          </w:tcPr>
          <w:p w14:paraId="4D7E75B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77778F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D68D3D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993510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739800F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969B68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578C5F3D"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r w:rsidR="0030679E" w:rsidRPr="00491098" w14:paraId="445E832B" w14:textId="77777777" w:rsidTr="004269AD">
        <w:trPr>
          <w:cantSplit/>
          <w:jc w:val="center"/>
        </w:trPr>
        <w:tc>
          <w:tcPr>
            <w:tcW w:w="3741" w:type="dxa"/>
          </w:tcPr>
          <w:p w14:paraId="77EC3997"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Manuels</w:t>
            </w:r>
          </w:p>
        </w:tc>
        <w:tc>
          <w:tcPr>
            <w:tcW w:w="577" w:type="dxa"/>
            <w:shd w:val="clear" w:color="auto" w:fill="auto"/>
          </w:tcPr>
          <w:p w14:paraId="3C6A420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374D1A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39BC0D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4941FBC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0363FA6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D8ADCE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shd w:val="clear" w:color="auto" w:fill="auto"/>
          </w:tcPr>
          <w:p w14:paraId="43483678"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r w:rsidR="0030679E" w:rsidRPr="00491098" w14:paraId="78AE20FB" w14:textId="77777777" w:rsidTr="004269AD">
        <w:trPr>
          <w:cantSplit/>
          <w:jc w:val="center"/>
        </w:trPr>
        <w:tc>
          <w:tcPr>
            <w:tcW w:w="3741" w:type="dxa"/>
            <w:tcBorders>
              <w:bottom w:val="single" w:sz="4" w:space="0" w:color="auto"/>
            </w:tcBorders>
          </w:tcPr>
          <w:p w14:paraId="78DADFD6" w14:textId="77777777" w:rsidR="0030679E" w:rsidRPr="00491098" w:rsidRDefault="0030679E" w:rsidP="00BA1B70">
            <w:pPr>
              <w:keepNext/>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 xml:space="preserve">Vœux </w:t>
            </w:r>
          </w:p>
        </w:tc>
        <w:tc>
          <w:tcPr>
            <w:tcW w:w="577" w:type="dxa"/>
            <w:tcBorders>
              <w:bottom w:val="single" w:sz="4" w:space="0" w:color="auto"/>
            </w:tcBorders>
            <w:shd w:val="clear" w:color="auto" w:fill="auto"/>
          </w:tcPr>
          <w:p w14:paraId="7FC9FF1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034AFF6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6F35C0C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tcBorders>
              <w:bottom w:val="single" w:sz="4" w:space="0" w:color="auto"/>
            </w:tcBorders>
            <w:shd w:val="clear" w:color="auto" w:fill="auto"/>
          </w:tcPr>
          <w:p w14:paraId="7C3082E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tcBorders>
              <w:bottom w:val="single" w:sz="4" w:space="0" w:color="auto"/>
            </w:tcBorders>
            <w:shd w:val="clear" w:color="auto" w:fill="auto"/>
          </w:tcPr>
          <w:p w14:paraId="6C19EFB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3A0D402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Borders>
              <w:bottom w:val="single" w:sz="4" w:space="0" w:color="auto"/>
            </w:tcBorders>
            <w:shd w:val="clear" w:color="auto" w:fill="auto"/>
          </w:tcPr>
          <w:p w14:paraId="2963E753"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0981460F" w14:textId="77777777" w:rsidTr="004269AD">
        <w:trPr>
          <w:jc w:val="center"/>
        </w:trPr>
        <w:tc>
          <w:tcPr>
            <w:tcW w:w="3741" w:type="dxa"/>
          </w:tcPr>
          <w:p w14:paraId="4B34487A"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Règlement des radiocommunications</w:t>
            </w:r>
          </w:p>
        </w:tc>
        <w:tc>
          <w:tcPr>
            <w:tcW w:w="577" w:type="dxa"/>
            <w:shd w:val="clear" w:color="auto" w:fill="auto"/>
          </w:tcPr>
          <w:p w14:paraId="2FCD3D9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FBFEE4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1258E6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8D6146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7D9E30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CE83A9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141BCC82"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381B2917" w14:textId="77777777" w:rsidTr="004269AD">
        <w:trPr>
          <w:jc w:val="center"/>
        </w:trPr>
        <w:tc>
          <w:tcPr>
            <w:tcW w:w="3741" w:type="dxa"/>
          </w:tcPr>
          <w:p w14:paraId="3F697515"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BR-IFIC</w:t>
            </w:r>
          </w:p>
        </w:tc>
        <w:tc>
          <w:tcPr>
            <w:tcW w:w="577" w:type="dxa"/>
            <w:shd w:val="clear" w:color="auto" w:fill="auto"/>
          </w:tcPr>
          <w:p w14:paraId="4BBD72F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DF0E48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D7C8EC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0E7E197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6A30A4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7CCF8F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5D76F829"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1BB7BB62" w14:textId="77777777" w:rsidTr="004269AD">
        <w:trPr>
          <w:jc w:val="center"/>
        </w:trPr>
        <w:tc>
          <w:tcPr>
            <w:tcW w:w="3741" w:type="dxa"/>
          </w:tcPr>
          <w:p w14:paraId="05043C4A"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Préface à la LIF</w:t>
            </w:r>
          </w:p>
        </w:tc>
        <w:tc>
          <w:tcPr>
            <w:tcW w:w="577" w:type="dxa"/>
            <w:shd w:val="clear" w:color="auto" w:fill="auto"/>
          </w:tcPr>
          <w:p w14:paraId="0E8989B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D744EF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2059F9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2CC8192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378E67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02DA3FE"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11F9156D"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7F946CAD" w14:textId="77777777" w:rsidTr="004269AD">
        <w:trPr>
          <w:jc w:val="center"/>
        </w:trPr>
        <w:tc>
          <w:tcPr>
            <w:tcW w:w="3741" w:type="dxa"/>
          </w:tcPr>
          <w:p w14:paraId="729C6EB2" w14:textId="52D15B2B"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Règles de procédure</w:t>
            </w:r>
          </w:p>
        </w:tc>
        <w:tc>
          <w:tcPr>
            <w:tcW w:w="577" w:type="dxa"/>
            <w:shd w:val="clear" w:color="auto" w:fill="auto"/>
          </w:tcPr>
          <w:p w14:paraId="764FA98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927C4C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5B6238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277D9BD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8D0E1A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06E576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441BF50A"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0E03BE3C" w14:textId="77777777" w:rsidTr="004269AD">
        <w:trPr>
          <w:jc w:val="center"/>
        </w:trPr>
        <w:tc>
          <w:tcPr>
            <w:tcW w:w="3741" w:type="dxa"/>
          </w:tcPr>
          <w:p w14:paraId="7C1A2633"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Actes finals (version définitive)</w:t>
            </w:r>
          </w:p>
        </w:tc>
        <w:tc>
          <w:tcPr>
            <w:tcW w:w="577" w:type="dxa"/>
            <w:shd w:val="clear" w:color="auto" w:fill="auto"/>
          </w:tcPr>
          <w:p w14:paraId="12386E6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9EF892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156E92E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4E06CF6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764EBB2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56F2EE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5567E687"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4D7FE6C1" w14:textId="77777777" w:rsidTr="004269AD">
        <w:trPr>
          <w:jc w:val="center"/>
        </w:trPr>
        <w:tc>
          <w:tcPr>
            <w:tcW w:w="3741" w:type="dxa"/>
          </w:tcPr>
          <w:p w14:paraId="40A5BA92"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Horaires saisonniers de radiodiffusion en ondes décamétriques</w:t>
            </w:r>
          </w:p>
        </w:tc>
        <w:tc>
          <w:tcPr>
            <w:tcW w:w="577" w:type="dxa"/>
            <w:shd w:val="clear" w:color="auto" w:fill="auto"/>
          </w:tcPr>
          <w:p w14:paraId="30F3446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F94540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auto"/>
          </w:tcPr>
          <w:p w14:paraId="786848E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auto"/>
          </w:tcPr>
          <w:p w14:paraId="53C11D1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328588C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7DCB4C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tcPr>
          <w:p w14:paraId="790EF2A7"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3B878562" w14:textId="77777777" w:rsidTr="004269AD">
        <w:trPr>
          <w:jc w:val="center"/>
        </w:trPr>
        <w:tc>
          <w:tcPr>
            <w:tcW w:w="3741" w:type="dxa"/>
          </w:tcPr>
          <w:p w14:paraId="3EC45E25"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Manuel sur le service maritime</w:t>
            </w:r>
          </w:p>
        </w:tc>
        <w:tc>
          <w:tcPr>
            <w:tcW w:w="577" w:type="dxa"/>
            <w:shd w:val="clear" w:color="auto" w:fill="auto"/>
          </w:tcPr>
          <w:p w14:paraId="0E5C77B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C69DC9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4401AF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3A566F1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20F0692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1FF901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044739F8"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117215BB" w14:textId="77777777" w:rsidTr="004269AD">
        <w:trPr>
          <w:jc w:val="center"/>
        </w:trPr>
        <w:tc>
          <w:tcPr>
            <w:tcW w:w="3741" w:type="dxa"/>
          </w:tcPr>
          <w:p w14:paraId="5914D379"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Publications de service de l'UIT (service maritime)</w:t>
            </w:r>
          </w:p>
        </w:tc>
        <w:tc>
          <w:tcPr>
            <w:tcW w:w="577" w:type="dxa"/>
            <w:shd w:val="clear" w:color="auto" w:fill="auto"/>
          </w:tcPr>
          <w:p w14:paraId="0F019EC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C3404C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2A7A4F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746FDEA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02BCDD5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228375E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284F9E21"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309A02EA" w14:textId="77777777" w:rsidTr="004269AD">
        <w:trPr>
          <w:jc w:val="center"/>
        </w:trPr>
        <w:tc>
          <w:tcPr>
            <w:tcW w:w="3741" w:type="dxa"/>
            <w:tcBorders>
              <w:bottom w:val="single" w:sz="4" w:space="0" w:color="auto"/>
            </w:tcBorders>
          </w:tcPr>
          <w:p w14:paraId="60B8742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 xml:space="preserve">Listes </w:t>
            </w:r>
          </w:p>
        </w:tc>
        <w:tc>
          <w:tcPr>
            <w:tcW w:w="577" w:type="dxa"/>
            <w:tcBorders>
              <w:bottom w:val="single" w:sz="4" w:space="0" w:color="auto"/>
            </w:tcBorders>
            <w:shd w:val="clear" w:color="auto" w:fill="auto"/>
          </w:tcPr>
          <w:p w14:paraId="1F4E135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114858B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1F7FCD68"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tcBorders>
              <w:bottom w:val="single" w:sz="4" w:space="0" w:color="auto"/>
            </w:tcBorders>
            <w:shd w:val="clear" w:color="auto" w:fill="auto"/>
          </w:tcPr>
          <w:p w14:paraId="04F7C45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tcBorders>
              <w:bottom w:val="single" w:sz="4" w:space="0" w:color="auto"/>
            </w:tcBorders>
            <w:shd w:val="clear" w:color="auto" w:fill="auto"/>
          </w:tcPr>
          <w:p w14:paraId="3034AC0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tcBorders>
              <w:bottom w:val="single" w:sz="4" w:space="0" w:color="auto"/>
            </w:tcBorders>
            <w:shd w:val="clear" w:color="auto" w:fill="auto"/>
          </w:tcPr>
          <w:p w14:paraId="6FB861A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Borders>
              <w:bottom w:val="single" w:sz="4" w:space="0" w:color="auto"/>
            </w:tcBorders>
          </w:tcPr>
          <w:p w14:paraId="0F865C92"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491098" w14:paraId="21C48458" w14:textId="77777777" w:rsidTr="004269AD">
        <w:trPr>
          <w:jc w:val="center"/>
        </w:trPr>
        <w:tc>
          <w:tcPr>
            <w:tcW w:w="3741" w:type="dxa"/>
            <w:shd w:val="clear" w:color="auto" w:fill="99CCFF"/>
          </w:tcPr>
          <w:p w14:paraId="1F6E957D" w14:textId="77777777" w:rsidR="0030679E" w:rsidRPr="00491098" w:rsidRDefault="0030679E" w:rsidP="00BA1B70">
            <w:pPr>
              <w:spacing w:before="60" w:after="60" w:line="240" w:lineRule="auto"/>
              <w:jc w:val="left"/>
              <w:rPr>
                <w:rFonts w:ascii="Times New Roman" w:hAnsi="Times New Roman" w:cs="Times New Roman"/>
                <w:b/>
                <w:bCs/>
                <w:sz w:val="20"/>
                <w:szCs w:val="20"/>
                <w:u w:val="single"/>
                <w:lang w:val="fr-FR"/>
              </w:rPr>
            </w:pPr>
            <w:r w:rsidRPr="00491098">
              <w:rPr>
                <w:rFonts w:ascii="Times New Roman" w:hAnsi="Times New Roman" w:cs="Times New Roman"/>
                <w:b/>
                <w:bCs/>
                <w:sz w:val="20"/>
                <w:szCs w:val="20"/>
                <w:u w:val="single"/>
                <w:lang w:val="fr-FR"/>
              </w:rPr>
              <w:t>8) Documents administratifs</w:t>
            </w:r>
          </w:p>
        </w:tc>
        <w:tc>
          <w:tcPr>
            <w:tcW w:w="577" w:type="dxa"/>
            <w:shd w:val="clear" w:color="auto" w:fill="99CCFF"/>
          </w:tcPr>
          <w:p w14:paraId="7069A50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1FEC64AB"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4ADEC245"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2" w:type="dxa"/>
            <w:shd w:val="clear" w:color="auto" w:fill="99CCFF"/>
          </w:tcPr>
          <w:p w14:paraId="5ECFBC3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74" w:type="dxa"/>
            <w:shd w:val="clear" w:color="auto" w:fill="99CCFF"/>
          </w:tcPr>
          <w:p w14:paraId="62745A1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580" w:type="dxa"/>
            <w:shd w:val="clear" w:color="auto" w:fill="99CCFF"/>
          </w:tcPr>
          <w:p w14:paraId="24B091C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
        </w:tc>
        <w:tc>
          <w:tcPr>
            <w:tcW w:w="2583" w:type="dxa"/>
            <w:shd w:val="clear" w:color="auto" w:fill="99CCFF"/>
          </w:tcPr>
          <w:p w14:paraId="24D530F9"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p>
        </w:tc>
      </w:tr>
      <w:tr w:rsidR="0030679E" w:rsidRPr="00F8073F" w14:paraId="226DC47E" w14:textId="77777777" w:rsidTr="004269AD">
        <w:trPr>
          <w:jc w:val="center"/>
        </w:trPr>
        <w:tc>
          <w:tcPr>
            <w:tcW w:w="3741" w:type="dxa"/>
          </w:tcPr>
          <w:p w14:paraId="0B15ED2D"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Circulaires</w:t>
            </w:r>
          </w:p>
        </w:tc>
        <w:tc>
          <w:tcPr>
            <w:tcW w:w="577" w:type="dxa"/>
            <w:shd w:val="clear" w:color="auto" w:fill="auto"/>
          </w:tcPr>
          <w:p w14:paraId="63389C94"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DDBD3A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5545BA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504C09C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101FEC6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33BD5F2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02F8EB76" w14:textId="77777777" w:rsidR="0030679E" w:rsidRPr="00491098" w:rsidRDefault="0030679E" w:rsidP="00BA1B70">
            <w:pPr>
              <w:spacing w:before="60" w:after="60" w:line="240" w:lineRule="auto"/>
              <w:jc w:val="left"/>
              <w:rPr>
                <w:rFonts w:ascii="Times New Roman" w:hAnsi="Times New Roman" w:cs="Times New Roman"/>
                <w:strike/>
                <w:sz w:val="16"/>
                <w:szCs w:val="16"/>
                <w:lang w:val="fr-FR"/>
              </w:rPr>
            </w:pPr>
            <w:r w:rsidRPr="00491098">
              <w:rPr>
                <w:rFonts w:ascii="Times New Roman" w:hAnsi="Times New Roman" w:cs="Times New Roman"/>
                <w:sz w:val="20"/>
                <w:szCs w:val="20"/>
                <w:lang w:val="fr-FR"/>
              </w:rPr>
              <w:t>Hormis les circulaires concernant les groupes de travail/groupes d'action (en anglais uniquement)</w:t>
            </w:r>
          </w:p>
        </w:tc>
      </w:tr>
      <w:tr w:rsidR="0030679E" w:rsidRPr="00491098" w14:paraId="2DD294F4" w14:textId="77777777" w:rsidTr="004269AD">
        <w:trPr>
          <w:jc w:val="center"/>
        </w:trPr>
        <w:tc>
          <w:tcPr>
            <w:tcW w:w="3741" w:type="dxa"/>
          </w:tcPr>
          <w:p w14:paraId="6817D936" w14:textId="5BC2D20D"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Annexes</w:t>
            </w:r>
          </w:p>
        </w:tc>
        <w:tc>
          <w:tcPr>
            <w:tcW w:w="577" w:type="dxa"/>
            <w:shd w:val="clear" w:color="auto" w:fill="auto"/>
          </w:tcPr>
          <w:p w14:paraId="75F4C960"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ADE632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08DE18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6E129BA9"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5AEAA07F"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761C1CF2"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2F8F76F0"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r w:rsidR="0030679E" w:rsidRPr="00491098" w14:paraId="2090E8AB" w14:textId="77777777" w:rsidTr="004269AD">
        <w:trPr>
          <w:jc w:val="center"/>
        </w:trPr>
        <w:tc>
          <w:tcPr>
            <w:tcW w:w="3741" w:type="dxa"/>
          </w:tcPr>
          <w:p w14:paraId="02A91E39"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Matériel promotionnel et site web</w:t>
            </w:r>
          </w:p>
        </w:tc>
        <w:tc>
          <w:tcPr>
            <w:tcW w:w="577" w:type="dxa"/>
            <w:shd w:val="clear" w:color="auto" w:fill="auto"/>
          </w:tcPr>
          <w:p w14:paraId="2CF9326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F10182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577C5701"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5822A77D"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4480565A"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0A7DA2C6"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tcPr>
          <w:p w14:paraId="10DA44DF"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r w:rsidR="0030679E" w:rsidRPr="00491098" w14:paraId="4473D0CA" w14:textId="77777777" w:rsidTr="004269AD">
        <w:trPr>
          <w:jc w:val="center"/>
        </w:trPr>
        <w:tc>
          <w:tcPr>
            <w:tcW w:w="3741" w:type="dxa"/>
          </w:tcPr>
          <w:p w14:paraId="723AB0CC"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Informations générales à l'intention des délégués</w:t>
            </w:r>
          </w:p>
        </w:tc>
        <w:tc>
          <w:tcPr>
            <w:tcW w:w="577" w:type="dxa"/>
            <w:shd w:val="clear" w:color="auto" w:fill="auto"/>
          </w:tcPr>
          <w:p w14:paraId="509D89A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6B6BC2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6B5C56D7"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2" w:type="dxa"/>
            <w:shd w:val="clear" w:color="auto" w:fill="auto"/>
          </w:tcPr>
          <w:p w14:paraId="507C64EC"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74" w:type="dxa"/>
            <w:shd w:val="clear" w:color="auto" w:fill="auto"/>
          </w:tcPr>
          <w:p w14:paraId="4F38A47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580" w:type="dxa"/>
            <w:shd w:val="clear" w:color="auto" w:fill="auto"/>
          </w:tcPr>
          <w:p w14:paraId="4B09AD23" w14:textId="77777777" w:rsidR="0030679E" w:rsidRPr="00491098" w:rsidRDefault="0030679E" w:rsidP="00BA1B70">
            <w:pPr>
              <w:spacing w:before="60" w:after="60" w:line="240" w:lineRule="auto"/>
              <w:jc w:val="center"/>
              <w:rPr>
                <w:rFonts w:ascii="Times New Roman" w:hAnsi="Times New Roman" w:cs="Times New Roman"/>
                <w:sz w:val="20"/>
                <w:szCs w:val="20"/>
                <w:lang w:val="fr-FR"/>
              </w:rPr>
            </w:pPr>
            <w:proofErr w:type="gramStart"/>
            <w:r w:rsidRPr="00491098">
              <w:rPr>
                <w:rFonts w:ascii="Times New Roman" w:hAnsi="Times New Roman" w:cs="Times New Roman"/>
                <w:sz w:val="20"/>
                <w:szCs w:val="20"/>
                <w:lang w:val="fr-FR"/>
              </w:rPr>
              <w:t>x</w:t>
            </w:r>
            <w:proofErr w:type="gramEnd"/>
          </w:p>
        </w:tc>
        <w:tc>
          <w:tcPr>
            <w:tcW w:w="2583" w:type="dxa"/>
            <w:vAlign w:val="center"/>
          </w:tcPr>
          <w:p w14:paraId="4D43FDFE" w14:textId="77777777" w:rsidR="0030679E" w:rsidRPr="00491098" w:rsidRDefault="0030679E" w:rsidP="00BA1B70">
            <w:pPr>
              <w:spacing w:before="60" w:after="60" w:line="240" w:lineRule="auto"/>
              <w:jc w:val="left"/>
              <w:rPr>
                <w:rFonts w:ascii="Times New Roman" w:hAnsi="Times New Roman" w:cs="Times New Roman"/>
                <w:sz w:val="20"/>
                <w:szCs w:val="20"/>
                <w:lang w:val="fr-FR"/>
              </w:rPr>
            </w:pPr>
            <w:r w:rsidRPr="00491098">
              <w:rPr>
                <w:rFonts w:ascii="Times New Roman" w:hAnsi="Times New Roman" w:cs="Times New Roman"/>
                <w:sz w:val="20"/>
                <w:szCs w:val="20"/>
                <w:lang w:val="fr-FR"/>
              </w:rPr>
              <w:t>Dépend du contenu</w:t>
            </w:r>
          </w:p>
        </w:tc>
      </w:tr>
    </w:tbl>
    <w:p w14:paraId="31539A8A" w14:textId="77777777" w:rsidR="00E05BB4" w:rsidRDefault="00E50505" w:rsidP="00E05BB4">
      <w:pPr>
        <w:pStyle w:val="ArtNo"/>
        <w:rPr>
          <w:lang w:val="fr-FR"/>
        </w:rPr>
      </w:pPr>
      <w:r w:rsidRPr="00491098">
        <w:rPr>
          <w:lang w:val="fr-FR"/>
        </w:rPr>
        <w:lastRenderedPageBreak/>
        <w:t>Annexe 2</w:t>
      </w:r>
    </w:p>
    <w:p w14:paraId="6DA288DA" w14:textId="79684CB4" w:rsidR="00E50505" w:rsidRPr="00E05BB4" w:rsidRDefault="00BA1B70" w:rsidP="00E05BB4">
      <w:pPr>
        <w:pStyle w:val="AnnexNoTitle"/>
        <w:spacing w:before="240" w:line="240" w:lineRule="auto"/>
        <w:rPr>
          <w:rFonts w:asciiTheme="minorHAnsi" w:hAnsiTheme="minorHAnsi" w:cstheme="minorHAnsi"/>
          <w:bCs/>
          <w:sz w:val="28"/>
          <w:szCs w:val="28"/>
          <w:lang w:val="fr-FR"/>
        </w:rPr>
      </w:pPr>
      <w:r w:rsidRPr="00E05BB4">
        <w:rPr>
          <w:rFonts w:asciiTheme="minorHAnsi" w:hAnsiTheme="minorHAnsi" w:cstheme="minorHAnsi"/>
          <w:bCs/>
          <w:sz w:val="28"/>
          <w:szCs w:val="28"/>
          <w:lang w:val="fr-FR"/>
        </w:rPr>
        <w:t>M</w:t>
      </w:r>
      <w:r w:rsidR="00E50505" w:rsidRPr="00E05BB4">
        <w:rPr>
          <w:rFonts w:asciiTheme="minorHAnsi" w:hAnsiTheme="minorHAnsi" w:cstheme="minorHAnsi"/>
          <w:bCs/>
          <w:sz w:val="28"/>
          <w:szCs w:val="28"/>
          <w:lang w:val="fr-FR"/>
        </w:rPr>
        <w:t xml:space="preserve">andat du Groupe de travail par correspondance 2 du GCR chargé de </w:t>
      </w:r>
      <w:r w:rsidR="00E50505" w:rsidRPr="00E05BB4">
        <w:rPr>
          <w:rFonts w:asciiTheme="minorHAnsi" w:hAnsiTheme="minorHAnsi" w:cstheme="minorHAnsi"/>
          <w:bCs/>
          <w:sz w:val="28"/>
          <w:szCs w:val="28"/>
          <w:lang w:val="fr-FR"/>
        </w:rPr>
        <w:br/>
        <w:t>la révision éventuelle de</w:t>
      </w:r>
      <w:r w:rsidR="00CE2E06" w:rsidRPr="00E05BB4">
        <w:rPr>
          <w:rFonts w:asciiTheme="minorHAnsi" w:hAnsiTheme="minorHAnsi" w:cstheme="minorHAnsi"/>
          <w:bCs/>
          <w:sz w:val="28"/>
          <w:szCs w:val="28"/>
          <w:lang w:val="fr-FR"/>
        </w:rPr>
        <w:t xml:space="preserve"> la</w:t>
      </w:r>
      <w:r w:rsidR="00E50505" w:rsidRPr="00E05BB4">
        <w:rPr>
          <w:rFonts w:asciiTheme="minorHAnsi" w:hAnsiTheme="minorHAnsi" w:cstheme="minorHAnsi"/>
          <w:bCs/>
          <w:sz w:val="28"/>
          <w:szCs w:val="28"/>
          <w:lang w:val="fr-FR"/>
        </w:rPr>
        <w:t xml:space="preserve"> Résolution UIT-R 1-8 (GC-2 du GCR)</w:t>
      </w:r>
    </w:p>
    <w:p w14:paraId="0F68FF52" w14:textId="77777777" w:rsidR="00E50505" w:rsidRPr="00491098" w:rsidRDefault="00E50505" w:rsidP="00311D13">
      <w:pPr>
        <w:pStyle w:val="Headingb"/>
        <w:spacing w:before="480" w:line="240" w:lineRule="auto"/>
        <w:rPr>
          <w:lang w:val="fr-FR"/>
        </w:rPr>
      </w:pPr>
      <w:r w:rsidRPr="00491098">
        <w:rPr>
          <w:lang w:val="fr-FR"/>
        </w:rPr>
        <w:t>Introduction</w:t>
      </w:r>
    </w:p>
    <w:p w14:paraId="4A17A476" w14:textId="6EE68F92" w:rsidR="00E50505" w:rsidRPr="00491098" w:rsidRDefault="00E50505" w:rsidP="00311D13">
      <w:pPr>
        <w:spacing w:before="120" w:line="240" w:lineRule="auto"/>
        <w:rPr>
          <w:lang w:val="fr-FR"/>
        </w:rPr>
      </w:pPr>
      <w:r w:rsidRPr="00491098">
        <w:rPr>
          <w:lang w:val="fr-FR"/>
        </w:rPr>
        <w:t>Conformément aux § A1.4.1 à A1.4.4 de la Résolution UIT-R 1-8, l'Assemblée des radiocommunications de 2019</w:t>
      </w:r>
      <w:r w:rsidRPr="00491098">
        <w:rPr>
          <w:szCs w:val="24"/>
          <w:lang w:val="fr-FR"/>
        </w:rPr>
        <w:t xml:space="preserve"> (Document </w:t>
      </w:r>
      <w:hyperlink r:id="rId17" w:history="1">
        <w:r w:rsidRPr="00491098">
          <w:rPr>
            <w:rStyle w:val="Hyperlink"/>
            <w:szCs w:val="24"/>
            <w:lang w:val="fr-FR"/>
          </w:rPr>
          <w:t>RA19/84</w:t>
        </w:r>
      </w:hyperlink>
      <w:r w:rsidRPr="00491098">
        <w:rPr>
          <w:szCs w:val="24"/>
          <w:lang w:val="fr-FR"/>
        </w:rPr>
        <w:t xml:space="preserve">) </w:t>
      </w:r>
      <w:r w:rsidRPr="00491098">
        <w:rPr>
          <w:lang w:val="fr-FR"/>
        </w:rPr>
        <w:t xml:space="preserve">a invité le GCR «à déterminer les modifications qui pourraient être apportées à la Résolution UIT-R 1 concernant les procédures d'approbation à suivre lorsqu'un texte se rapporte à des thèmes intéressant plusieurs CE» et «à examiner la durée maximale du mandat des Présidents des Groupes de travail des radiocommunications». Compte tenu des propositions soumises par les États Membres et les Membres de Secteur, et après consultation des Présidents des </w:t>
      </w:r>
      <w:r w:rsidR="00BE0640" w:rsidRPr="00491098">
        <w:rPr>
          <w:lang w:val="fr-FR"/>
        </w:rPr>
        <w:t>c</w:t>
      </w:r>
      <w:r w:rsidRPr="00491098">
        <w:rPr>
          <w:lang w:val="fr-FR"/>
        </w:rPr>
        <w:t xml:space="preserve">ommissions d'études, le </w:t>
      </w:r>
      <w:r w:rsidRPr="00491098">
        <w:rPr>
          <w:szCs w:val="24"/>
          <w:lang w:val="fr-FR"/>
        </w:rPr>
        <w:t xml:space="preserve">Groupe de travail par correspondance 2 du GCR </w:t>
      </w:r>
      <w:r w:rsidRPr="00491098">
        <w:rPr>
          <w:lang w:val="fr-FR"/>
        </w:rPr>
        <w:t xml:space="preserve">(GC-2 du GCR) est invité à procéder à une révision éventuelle de la Résolution UIT-R 1-8 et de la Résolution UIT-R 15-6, conformément au mandat </w:t>
      </w:r>
      <w:proofErr w:type="gramStart"/>
      <w:r w:rsidRPr="00491098">
        <w:rPr>
          <w:lang w:val="fr-FR"/>
        </w:rPr>
        <w:t>suivant:</w:t>
      </w:r>
      <w:proofErr w:type="gramEnd"/>
    </w:p>
    <w:p w14:paraId="080D1B23" w14:textId="77777777" w:rsidR="00E50505" w:rsidRPr="00491098" w:rsidRDefault="00E50505" w:rsidP="00311D13">
      <w:pPr>
        <w:pStyle w:val="enumlev1"/>
        <w:spacing w:line="240" w:lineRule="auto"/>
        <w:rPr>
          <w:lang w:val="fr-FR"/>
        </w:rPr>
      </w:pPr>
      <w:r w:rsidRPr="00491098">
        <w:rPr>
          <w:lang w:val="fr-FR"/>
        </w:rPr>
        <w:t>1</w:t>
      </w:r>
      <w:r w:rsidRPr="00491098">
        <w:rPr>
          <w:lang w:val="fr-FR"/>
        </w:rPr>
        <w:tab/>
        <w:t>Révision éventuelle de la Résolution UIT-R 1-8 pour ce qui est du § A2.6.2.1.3:</w:t>
      </w:r>
    </w:p>
    <w:p w14:paraId="79D6C023" w14:textId="3CFC11A5" w:rsidR="00E50505" w:rsidRPr="00491098" w:rsidRDefault="00E50505" w:rsidP="00311D13">
      <w:pPr>
        <w:pStyle w:val="enumlev2"/>
        <w:spacing w:line="240" w:lineRule="auto"/>
        <w:rPr>
          <w:lang w:val="fr-FR"/>
        </w:rPr>
      </w:pPr>
      <w:r w:rsidRPr="00491098">
        <w:rPr>
          <w:lang w:val="fr-FR"/>
        </w:rPr>
        <w:t>1)</w:t>
      </w:r>
      <w:r w:rsidRPr="00491098">
        <w:rPr>
          <w:lang w:val="fr-FR"/>
        </w:rPr>
        <w:tab/>
      </w:r>
      <w:r w:rsidR="00494517" w:rsidRPr="00491098">
        <w:rPr>
          <w:lang w:val="fr-FR"/>
        </w:rPr>
        <w:t xml:space="preserve">concernant </w:t>
      </w:r>
      <w:r w:rsidRPr="00491098">
        <w:rPr>
          <w:lang w:val="fr-FR"/>
        </w:rPr>
        <w:t xml:space="preserve">les procédures d'adoption et d'approbation à suivre lorsqu'un texte se rapporte à des thèmes intéressant plusieurs </w:t>
      </w:r>
      <w:r w:rsidR="000B04C1" w:rsidRPr="00491098">
        <w:rPr>
          <w:lang w:val="fr-FR"/>
        </w:rPr>
        <w:t>c</w:t>
      </w:r>
      <w:r w:rsidRPr="00491098">
        <w:rPr>
          <w:lang w:val="fr-FR"/>
        </w:rPr>
        <w:t>ommissions d'études et</w:t>
      </w:r>
      <w:r w:rsidR="00494517" w:rsidRPr="00491098">
        <w:rPr>
          <w:lang w:val="fr-FR"/>
        </w:rPr>
        <w:t xml:space="preserve"> la</w:t>
      </w:r>
      <w:r w:rsidR="00A22FB4" w:rsidRPr="00491098">
        <w:rPr>
          <w:lang w:val="fr-FR"/>
        </w:rPr>
        <w:t xml:space="preserve"> </w:t>
      </w:r>
      <w:r w:rsidRPr="00491098">
        <w:rPr>
          <w:lang w:val="fr-FR"/>
        </w:rPr>
        <w:t xml:space="preserve">diffusion des objections soulevées pendant la procédure </w:t>
      </w:r>
      <w:proofErr w:type="gramStart"/>
      <w:r w:rsidRPr="00491098">
        <w:rPr>
          <w:lang w:val="fr-FR"/>
        </w:rPr>
        <w:t>d'approbation</w:t>
      </w:r>
      <w:r w:rsidR="00491098" w:rsidRPr="00491098">
        <w:rPr>
          <w:lang w:val="fr-FR"/>
        </w:rPr>
        <w:t>;</w:t>
      </w:r>
      <w:proofErr w:type="gramEnd"/>
    </w:p>
    <w:p w14:paraId="3E960849" w14:textId="3408769D" w:rsidR="00E50505" w:rsidRPr="00491098" w:rsidRDefault="00E50505" w:rsidP="00311D13">
      <w:pPr>
        <w:pStyle w:val="enumlev2"/>
        <w:spacing w:line="240" w:lineRule="auto"/>
        <w:rPr>
          <w:lang w:val="fr-FR"/>
        </w:rPr>
      </w:pPr>
      <w:r w:rsidRPr="00491098">
        <w:rPr>
          <w:lang w:val="fr-FR"/>
        </w:rPr>
        <w:t>2)</w:t>
      </w:r>
      <w:r w:rsidRPr="00491098">
        <w:rPr>
          <w:lang w:val="fr-FR"/>
        </w:rPr>
        <w:tab/>
      </w:r>
      <w:r w:rsidR="00494517" w:rsidRPr="00491098">
        <w:rPr>
          <w:lang w:val="fr-FR"/>
        </w:rPr>
        <w:t>concernant la nécessité,</w:t>
      </w:r>
      <w:r w:rsidR="00A22FB4" w:rsidRPr="00491098">
        <w:rPr>
          <w:lang w:val="fr-FR"/>
        </w:rPr>
        <w:t xml:space="preserve"> </w:t>
      </w:r>
      <w:r w:rsidRPr="00491098">
        <w:rPr>
          <w:lang w:val="fr-FR"/>
        </w:rPr>
        <w:t xml:space="preserve">le cas échéant, de revoir les méthodes de travail de l'UIT-R en ce qui concerne l'adoption et l'approbation des recommandations intéressant plusieurs </w:t>
      </w:r>
      <w:r w:rsidR="008F7513" w:rsidRPr="00491098">
        <w:rPr>
          <w:lang w:val="fr-FR"/>
        </w:rPr>
        <w:t>c</w:t>
      </w:r>
      <w:r w:rsidRPr="00491098">
        <w:rPr>
          <w:lang w:val="fr-FR"/>
        </w:rPr>
        <w:t>ommissions d'études de l'UIT-</w:t>
      </w:r>
      <w:proofErr w:type="gramStart"/>
      <w:r w:rsidRPr="00491098">
        <w:rPr>
          <w:lang w:val="fr-FR"/>
        </w:rPr>
        <w:t>R</w:t>
      </w:r>
      <w:r w:rsidR="00491098" w:rsidRPr="00491098">
        <w:rPr>
          <w:lang w:val="fr-FR"/>
        </w:rPr>
        <w:t>;</w:t>
      </w:r>
      <w:proofErr w:type="gramEnd"/>
    </w:p>
    <w:p w14:paraId="1CC89EE1" w14:textId="43BB464B" w:rsidR="00E50505" w:rsidRPr="00491098" w:rsidRDefault="00E50505" w:rsidP="00311D13">
      <w:pPr>
        <w:pStyle w:val="enumlev2"/>
        <w:spacing w:line="240" w:lineRule="auto"/>
        <w:rPr>
          <w:lang w:val="fr-FR"/>
        </w:rPr>
      </w:pPr>
      <w:r w:rsidRPr="00491098">
        <w:rPr>
          <w:lang w:val="fr-FR"/>
        </w:rPr>
        <w:t>3)</w:t>
      </w:r>
      <w:r w:rsidRPr="00491098">
        <w:rPr>
          <w:lang w:val="fr-FR"/>
        </w:rPr>
        <w:tab/>
      </w:r>
      <w:r w:rsidR="00494517" w:rsidRPr="00491098">
        <w:rPr>
          <w:lang w:val="fr-FR"/>
        </w:rPr>
        <w:t xml:space="preserve">concernant la nécessité </w:t>
      </w:r>
      <w:r w:rsidRPr="00491098">
        <w:rPr>
          <w:lang w:val="fr-FR"/>
        </w:rPr>
        <w:t xml:space="preserve">de remédier à </w:t>
      </w:r>
      <w:r w:rsidRPr="00491098">
        <w:rPr>
          <w:color w:val="000000"/>
          <w:lang w:val="fr-FR"/>
        </w:rPr>
        <w:t>toute omission et/ou contradiction qui pourrait être relevée dans les textes existants</w:t>
      </w:r>
      <w:r w:rsidRPr="00491098">
        <w:rPr>
          <w:lang w:val="fr-FR"/>
        </w:rPr>
        <w:t>.</w:t>
      </w:r>
    </w:p>
    <w:p w14:paraId="3627CFB7" w14:textId="6FCFBB0B" w:rsidR="00E50505" w:rsidRPr="00491098" w:rsidRDefault="00E50505" w:rsidP="00311D13">
      <w:pPr>
        <w:pStyle w:val="enumlev1"/>
        <w:spacing w:line="240" w:lineRule="auto"/>
        <w:rPr>
          <w:lang w:val="fr-FR"/>
        </w:rPr>
      </w:pPr>
      <w:r w:rsidRPr="00491098">
        <w:rPr>
          <w:lang w:val="fr-FR"/>
        </w:rPr>
        <w:t>2</w:t>
      </w:r>
      <w:r w:rsidRPr="00491098">
        <w:rPr>
          <w:lang w:val="fr-FR"/>
        </w:rPr>
        <w:tab/>
      </w:r>
      <w:r w:rsidR="008F7513" w:rsidRPr="00491098">
        <w:rPr>
          <w:lang w:val="fr-FR"/>
        </w:rPr>
        <w:t>Le Groupe de travail par correspondance est également invité à étudier la possibilité de transférer la partie pertinente de la Résolution UIT-R 15-6 dans la Résolution UIT-R 1-8</w:t>
      </w:r>
      <w:r w:rsidR="00A22FB4" w:rsidRPr="00491098">
        <w:rPr>
          <w:lang w:val="fr-FR"/>
        </w:rPr>
        <w:t>,</w:t>
      </w:r>
      <w:r w:rsidR="00494517" w:rsidRPr="00491098">
        <w:rPr>
          <w:lang w:val="fr-FR"/>
        </w:rPr>
        <w:t xml:space="preserve"> </w:t>
      </w:r>
      <w:r w:rsidR="008F7513" w:rsidRPr="00491098">
        <w:rPr>
          <w:lang w:val="fr-FR"/>
        </w:rPr>
        <w:t xml:space="preserve">à </w:t>
      </w:r>
      <w:r w:rsidR="008F7513" w:rsidRPr="00491098">
        <w:rPr>
          <w:color w:val="000000"/>
          <w:lang w:val="fr-FR"/>
        </w:rPr>
        <w:t>déterminer s'il y a lieu de fixer</w:t>
      </w:r>
      <w:r w:rsidR="008F7513" w:rsidRPr="00491098">
        <w:rPr>
          <w:lang w:val="fr-FR"/>
        </w:rPr>
        <w:t xml:space="preserve"> une durée maximale d</w:t>
      </w:r>
      <w:r w:rsidR="00494517" w:rsidRPr="00491098">
        <w:rPr>
          <w:lang w:val="fr-FR"/>
        </w:rPr>
        <w:t>u</w:t>
      </w:r>
      <w:r w:rsidR="008F7513" w:rsidRPr="00491098">
        <w:rPr>
          <w:lang w:val="fr-FR"/>
        </w:rPr>
        <w:t xml:space="preserve"> mandat des présidents des groupes de travail de l'UIT-R</w:t>
      </w:r>
      <w:r w:rsidR="00A22FB4" w:rsidRPr="00491098">
        <w:rPr>
          <w:lang w:val="fr-FR"/>
        </w:rPr>
        <w:t xml:space="preserve"> </w:t>
      </w:r>
      <w:r w:rsidR="00494517" w:rsidRPr="00491098">
        <w:rPr>
          <w:lang w:val="fr-FR"/>
        </w:rPr>
        <w:t xml:space="preserve">et à </w:t>
      </w:r>
      <w:r w:rsidR="008F7513" w:rsidRPr="00491098">
        <w:rPr>
          <w:lang w:val="fr-FR"/>
        </w:rPr>
        <w:t>sugg</w:t>
      </w:r>
      <w:r w:rsidR="00494517" w:rsidRPr="00491098">
        <w:rPr>
          <w:lang w:val="fr-FR"/>
        </w:rPr>
        <w:t>é</w:t>
      </w:r>
      <w:r w:rsidR="008F7513" w:rsidRPr="00491098">
        <w:rPr>
          <w:lang w:val="fr-FR"/>
        </w:rPr>
        <w:t>r</w:t>
      </w:r>
      <w:r w:rsidR="00494517" w:rsidRPr="00491098">
        <w:rPr>
          <w:lang w:val="fr-FR"/>
        </w:rPr>
        <w:t>er</w:t>
      </w:r>
      <w:r w:rsidR="008F7513" w:rsidRPr="00491098">
        <w:rPr>
          <w:lang w:val="fr-FR"/>
        </w:rPr>
        <w:t xml:space="preserve"> de supprimer la Résolution UIT-R 15-6</w:t>
      </w:r>
      <w:r w:rsidR="00494517" w:rsidRPr="00491098">
        <w:rPr>
          <w:lang w:val="fr-FR"/>
        </w:rPr>
        <w:t>. Le Groupe est invité à</w:t>
      </w:r>
      <w:r w:rsidR="00A22FB4" w:rsidRPr="00491098">
        <w:rPr>
          <w:lang w:val="fr-FR"/>
        </w:rPr>
        <w:t xml:space="preserve"> </w:t>
      </w:r>
      <w:r w:rsidR="008F7513" w:rsidRPr="00491098">
        <w:rPr>
          <w:lang w:val="fr-FR"/>
        </w:rPr>
        <w:t>faire rapport à la prochaine réunion du GCR pour qu'il se prononce en la matière, en tenant compte des discussions de la 28</w:t>
      </w:r>
      <w:r w:rsidR="00BA1B70" w:rsidRPr="00491098">
        <w:rPr>
          <w:lang w:val="fr-FR"/>
        </w:rPr>
        <w:t>ème</w:t>
      </w:r>
      <w:r w:rsidR="008F7513" w:rsidRPr="00491098">
        <w:rPr>
          <w:lang w:val="fr-FR"/>
        </w:rPr>
        <w:t xml:space="preserve"> réunion du GCR</w:t>
      </w:r>
      <w:r w:rsidR="00BA1B70" w:rsidRPr="00491098">
        <w:rPr>
          <w:lang w:val="fr-FR"/>
        </w:rPr>
        <w:t>.</w:t>
      </w:r>
    </w:p>
    <w:p w14:paraId="29C322AE" w14:textId="02847C3F" w:rsidR="00E50505" w:rsidRPr="00491098" w:rsidRDefault="00E50505" w:rsidP="00311D13">
      <w:pPr>
        <w:spacing w:line="240" w:lineRule="auto"/>
        <w:rPr>
          <w:lang w:val="fr-FR"/>
        </w:rPr>
      </w:pPr>
      <w:r w:rsidRPr="00491098">
        <w:rPr>
          <w:lang w:val="fr-FR"/>
        </w:rPr>
        <w:t xml:space="preserve">Le GC-2 du GCR commencera ses travaux lors de la réunion de 2021 du GCR et soumettra le résultat de ses travaux au GCR à sa réunion de 2022, compte tenu des renseignements figurant au § 3.1.1 du Document </w:t>
      </w:r>
      <w:r w:rsidR="00F8073F">
        <w:fldChar w:fldCharType="begin"/>
      </w:r>
      <w:r w:rsidR="00F8073F" w:rsidRPr="00F8073F">
        <w:rPr>
          <w:lang w:val="fr-CH"/>
        </w:rPr>
        <w:instrText xml:space="preserve"> HYPERLINK "https://www.itu.int/md/R20-RAG-C-0001/en" </w:instrText>
      </w:r>
      <w:r w:rsidR="00F8073F">
        <w:fldChar w:fldCharType="separate"/>
      </w:r>
      <w:r w:rsidRPr="00491098">
        <w:rPr>
          <w:rStyle w:val="Hyperlink"/>
          <w:lang w:val="fr-FR"/>
        </w:rPr>
        <w:t>RAG20/1(Rév.1) (Rapport à la vingt-septième réunion du Groupe consultatif des radiocommunications – Révision 1 – Directeur du Bureau des radiocommunications)</w:t>
      </w:r>
      <w:r w:rsidR="00F8073F">
        <w:rPr>
          <w:rStyle w:val="Hyperlink"/>
          <w:lang w:val="fr-FR"/>
        </w:rPr>
        <w:fldChar w:fldCharType="end"/>
      </w:r>
      <w:r w:rsidRPr="00491098">
        <w:rPr>
          <w:lang w:val="fr-FR"/>
        </w:rPr>
        <w:t xml:space="preserve"> et de toute autre proposition soumise au </w:t>
      </w:r>
      <w:r w:rsidRPr="00491098">
        <w:rPr>
          <w:szCs w:val="24"/>
          <w:lang w:val="fr-FR"/>
        </w:rPr>
        <w:t xml:space="preserve">Groupe de travail par correspondance 2 du GCR </w:t>
      </w:r>
      <w:r w:rsidRPr="00491098">
        <w:rPr>
          <w:lang w:val="fr-FR"/>
        </w:rPr>
        <w:t>conformément au mandat décrit ci-dessus.</w:t>
      </w:r>
    </w:p>
    <w:p w14:paraId="3E1633DE" w14:textId="77777777" w:rsidR="00E50505" w:rsidRPr="00491098" w:rsidRDefault="00E50505" w:rsidP="00311D13">
      <w:pPr>
        <w:spacing w:line="240" w:lineRule="auto"/>
        <w:rPr>
          <w:lang w:val="fr-FR"/>
        </w:rPr>
      </w:pPr>
      <w:r w:rsidRPr="00491098">
        <w:rPr>
          <w:color w:val="000000"/>
          <w:lang w:val="fr-FR"/>
        </w:rPr>
        <w:t xml:space="preserve">Les travaux du </w:t>
      </w:r>
      <w:r w:rsidRPr="00491098">
        <w:rPr>
          <w:lang w:val="fr-FR"/>
        </w:rPr>
        <w:t xml:space="preserve">GC-2 du GCR </w:t>
      </w:r>
      <w:r w:rsidRPr="00491098">
        <w:rPr>
          <w:color w:val="000000"/>
          <w:lang w:val="fr-FR"/>
        </w:rPr>
        <w:t xml:space="preserve">devraient être menés autant que possible par correspondance, conformément au </w:t>
      </w:r>
      <w:r w:rsidRPr="00491098">
        <w:rPr>
          <w:lang w:val="fr-FR"/>
        </w:rPr>
        <w:t>§ A1.3.2.7 de la Résolution UIT-R 1-8.</w:t>
      </w:r>
    </w:p>
    <w:p w14:paraId="74D0B080" w14:textId="4D076D71" w:rsidR="00E50505" w:rsidRPr="00491098" w:rsidRDefault="00E50505" w:rsidP="00311D13">
      <w:pPr>
        <w:spacing w:line="240" w:lineRule="auto"/>
        <w:rPr>
          <w:lang w:val="fr-FR"/>
        </w:rPr>
      </w:pPr>
      <w:r w:rsidRPr="00491098">
        <w:rPr>
          <w:lang w:val="fr-FR"/>
        </w:rPr>
        <w:t xml:space="preserve">Le </w:t>
      </w:r>
      <w:r w:rsidR="00CE2E06" w:rsidRPr="00491098">
        <w:rPr>
          <w:lang w:val="fr-FR"/>
        </w:rPr>
        <w:t xml:space="preserve">Président </w:t>
      </w:r>
      <w:r w:rsidRPr="00491098">
        <w:rPr>
          <w:lang w:val="fr-FR"/>
        </w:rPr>
        <w:t xml:space="preserve">du </w:t>
      </w:r>
      <w:r w:rsidRPr="00491098">
        <w:rPr>
          <w:bCs/>
          <w:lang w:val="fr-FR"/>
        </w:rPr>
        <w:t>Groupe de travail par correspondance 2 du GCR chargé de la révision éventuelle de</w:t>
      </w:r>
      <w:r w:rsidR="00CE2E06" w:rsidRPr="00491098">
        <w:rPr>
          <w:bCs/>
          <w:lang w:val="fr-FR"/>
        </w:rPr>
        <w:t xml:space="preserve"> la </w:t>
      </w:r>
      <w:r w:rsidRPr="00491098">
        <w:rPr>
          <w:bCs/>
          <w:lang w:val="fr-FR"/>
        </w:rPr>
        <w:t>Résolution UIT-R 1-8 (</w:t>
      </w:r>
      <w:r w:rsidRPr="00491098">
        <w:rPr>
          <w:lang w:val="fr-FR"/>
        </w:rPr>
        <w:t>GC-2 du GCR</w:t>
      </w:r>
      <w:r w:rsidRPr="00491098">
        <w:rPr>
          <w:bCs/>
          <w:lang w:val="fr-FR"/>
        </w:rPr>
        <w:t>)</w:t>
      </w:r>
      <w:r w:rsidRPr="00491098">
        <w:rPr>
          <w:lang w:val="fr-FR"/>
        </w:rPr>
        <w:t xml:space="preserve"> est Amy Sanders (</w:t>
      </w:r>
      <w:proofErr w:type="gramStart"/>
      <w:r w:rsidRPr="00491098">
        <w:rPr>
          <w:lang w:val="fr-FR"/>
        </w:rPr>
        <w:t>Courriel:</w:t>
      </w:r>
      <w:proofErr w:type="gramEnd"/>
      <w:r w:rsidRPr="00491098">
        <w:rPr>
          <w:lang w:val="fr-FR"/>
        </w:rPr>
        <w:t xml:space="preserve"> </w:t>
      </w:r>
      <w:hyperlink r:id="rId18" w:history="1">
        <w:r w:rsidRPr="00491098">
          <w:rPr>
            <w:rStyle w:val="Hyperlink"/>
            <w:lang w:val="fr-FR"/>
          </w:rPr>
          <w:t>asanders@ntia.gov</w:t>
        </w:r>
      </w:hyperlink>
      <w:r w:rsidRPr="00491098">
        <w:rPr>
          <w:lang w:val="fr-FR"/>
        </w:rPr>
        <w:t>).</w:t>
      </w:r>
    </w:p>
    <w:p w14:paraId="55B527C3" w14:textId="77777777" w:rsidR="00BA1B70" w:rsidRPr="00491098" w:rsidRDefault="00BA1B70" w:rsidP="00311D13">
      <w:pPr>
        <w:spacing w:line="240" w:lineRule="auto"/>
        <w:rPr>
          <w:lang w:val="fr-FR"/>
        </w:rPr>
      </w:pPr>
      <w:r w:rsidRPr="00491098">
        <w:rPr>
          <w:lang w:val="fr-FR"/>
        </w:rPr>
        <w:br w:type="page"/>
      </w:r>
    </w:p>
    <w:p w14:paraId="26708576" w14:textId="04D0B4CF" w:rsidR="00E50505" w:rsidRPr="00491098" w:rsidRDefault="00CE2E06" w:rsidP="00311D13">
      <w:pPr>
        <w:spacing w:line="240" w:lineRule="auto"/>
        <w:rPr>
          <w:lang w:val="fr-FR"/>
        </w:rPr>
      </w:pPr>
      <w:r w:rsidRPr="00491098">
        <w:rPr>
          <w:lang w:val="fr-FR"/>
        </w:rPr>
        <w:lastRenderedPageBreak/>
        <w:t xml:space="preserve">Le Vice-Président du </w:t>
      </w:r>
      <w:r w:rsidRPr="00491098">
        <w:rPr>
          <w:bCs/>
          <w:lang w:val="fr-FR"/>
        </w:rPr>
        <w:t>Groupe de travail par correspondance 2 du GCR chargé de la révision éventuelle de la Résolution UIT-R 1-8 (</w:t>
      </w:r>
      <w:r w:rsidRPr="00491098">
        <w:rPr>
          <w:lang w:val="fr-FR"/>
        </w:rPr>
        <w:t>GC-2 du GCR</w:t>
      </w:r>
      <w:r w:rsidRPr="00491098">
        <w:rPr>
          <w:bCs/>
          <w:lang w:val="fr-FR"/>
        </w:rPr>
        <w:t>)</w:t>
      </w:r>
      <w:r w:rsidRPr="00491098">
        <w:rPr>
          <w:lang w:val="fr-FR"/>
        </w:rPr>
        <w:t xml:space="preserve"> est </w:t>
      </w:r>
      <w:r w:rsidRPr="00491098">
        <w:rPr>
          <w:rFonts w:asciiTheme="minorHAnsi" w:hAnsiTheme="minorHAnsi" w:cstheme="minorHAnsi"/>
          <w:szCs w:val="24"/>
          <w:lang w:val="fr-FR" w:eastAsia="en-GB"/>
        </w:rPr>
        <w:t>Alexandre Vassiliev (</w:t>
      </w:r>
      <w:proofErr w:type="gramStart"/>
      <w:r w:rsidRPr="00491098">
        <w:rPr>
          <w:lang w:val="fr-FR"/>
        </w:rPr>
        <w:t>Courriel:</w:t>
      </w:r>
      <w:proofErr w:type="gramEnd"/>
      <w:r w:rsidRPr="00491098">
        <w:rPr>
          <w:lang w:val="fr-FR"/>
        </w:rPr>
        <w:t xml:space="preserve"> </w:t>
      </w:r>
      <w:hyperlink r:id="rId19" w:history="1">
        <w:r w:rsidRPr="00491098">
          <w:rPr>
            <w:rStyle w:val="Hyperlink"/>
            <w:lang w:val="fr-FR"/>
          </w:rPr>
          <w:t>alexandre.vassiliev@mail.ru</w:t>
        </w:r>
      </w:hyperlink>
      <w:r w:rsidRPr="00491098">
        <w:rPr>
          <w:rFonts w:asciiTheme="minorHAnsi" w:hAnsiTheme="minorHAnsi" w:cstheme="minorHAnsi"/>
          <w:szCs w:val="24"/>
          <w:lang w:val="fr-FR" w:eastAsia="en-GB"/>
        </w:rPr>
        <w:t>).</w:t>
      </w:r>
    </w:p>
    <w:p w14:paraId="05100B13" w14:textId="6B864A18" w:rsidR="00E50505" w:rsidRPr="00491098" w:rsidRDefault="00E50505" w:rsidP="00311D13">
      <w:pPr>
        <w:spacing w:line="240" w:lineRule="auto"/>
        <w:rPr>
          <w:lang w:val="fr-FR"/>
        </w:rPr>
      </w:pPr>
      <w:r w:rsidRPr="00491098">
        <w:rPr>
          <w:lang w:val="fr-FR"/>
        </w:rPr>
        <w:t xml:space="preserve">Le Groupe doit présenter son rapport </w:t>
      </w:r>
      <w:r w:rsidRPr="00491098">
        <w:rPr>
          <w:color w:val="000000"/>
          <w:lang w:val="fr-FR"/>
        </w:rPr>
        <w:t>45 jours avant la réunion suivante du GCR en 2022.</w:t>
      </w:r>
    </w:p>
    <w:p w14:paraId="589BC791" w14:textId="3024552C" w:rsidR="00E50505" w:rsidRPr="00491098" w:rsidRDefault="00E50505" w:rsidP="00311D13">
      <w:pPr>
        <w:rPr>
          <w:lang w:val="fr-FR"/>
        </w:rPr>
      </w:pPr>
      <w:r w:rsidRPr="00491098">
        <w:rPr>
          <w:lang w:val="fr-FR"/>
        </w:rPr>
        <w:t>D'autres renseignements utiles sur les travaux de ce Groupe de travail par correspondance seront fournis sur la page web du GCR.</w:t>
      </w:r>
    </w:p>
    <w:p w14:paraId="6147ED26" w14:textId="77777777" w:rsidR="00E50505" w:rsidRPr="00491098" w:rsidRDefault="00E50505" w:rsidP="00BA1B70">
      <w:pPr>
        <w:spacing w:before="360" w:line="240" w:lineRule="auto"/>
        <w:jc w:val="center"/>
        <w:rPr>
          <w:lang w:val="fr-FR"/>
        </w:rPr>
      </w:pPr>
      <w:r w:rsidRPr="00491098">
        <w:rPr>
          <w:lang w:val="fr-FR"/>
        </w:rPr>
        <w:t>______________</w:t>
      </w:r>
    </w:p>
    <w:sectPr w:rsidR="00E50505" w:rsidRPr="00491098" w:rsidSect="004269AD">
      <w:headerReference w:type="default" r:id="rId20"/>
      <w:footerReference w:type="default" r:id="rId21"/>
      <w:headerReference w:type="first" r:id="rId22"/>
      <w:footerReference w:type="first" r:id="rId2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5820" w14:textId="77777777" w:rsidR="00D95812" w:rsidRDefault="00D95812">
      <w:r>
        <w:separator/>
      </w:r>
    </w:p>
  </w:endnote>
  <w:endnote w:type="continuationSeparator" w:id="0">
    <w:p w14:paraId="4E24C3BF" w14:textId="77777777" w:rsidR="00D95812" w:rsidRDefault="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AE18" w14:textId="593906F5" w:rsidR="00D95812" w:rsidRPr="00A52F04" w:rsidRDefault="00D95812"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r>
    <w:proofErr w:type="gramStart"/>
    <w:r w:rsidRPr="00A52F04">
      <w:rPr>
        <w:rFonts w:asciiTheme="minorHAnsi" w:hAnsiTheme="minorHAnsi"/>
        <w:color w:val="4F81BD" w:themeColor="accent1"/>
        <w:sz w:val="18"/>
        <w:szCs w:val="18"/>
        <w:lang w:val="fr-CH"/>
      </w:rPr>
      <w:t>Tél</w:t>
    </w:r>
    <w:r>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w:t>
    </w:r>
    <w:proofErr w:type="gramEnd"/>
    <w:r w:rsidRPr="00A52F04">
      <w:rPr>
        <w:rFonts w:asciiTheme="minorHAnsi" w:hAnsiTheme="minorHAnsi"/>
        <w:color w:val="4F81BD" w:themeColor="accent1"/>
        <w:sz w:val="18"/>
        <w:szCs w:val="18"/>
        <w:lang w:val="fr-CH"/>
      </w:rPr>
      <w:t xml:space="preserve"> +41 22 730 5111 • courriel: </w:t>
    </w:r>
    <w:hyperlink r:id="rId1" w:history="1">
      <w:r w:rsidRPr="00A52F04">
        <w:rPr>
          <w:rStyle w:val="Hyperlink"/>
          <w:rFonts w:asciiTheme="minorHAnsi" w:hAnsiTheme="minorHAnsi"/>
          <w:color w:val="4F81BD" w:themeColor="accent1"/>
          <w:sz w:val="18"/>
          <w:szCs w:val="18"/>
          <w:lang w:val="fr-FR"/>
        </w:rPr>
        <w:t>itumail@itu.int</w:t>
      </w:r>
    </w:hyperlink>
    <w:r w:rsidRPr="00A52F04">
      <w:rPr>
        <w:rFonts w:asciiTheme="minorHAnsi" w:hAnsiTheme="minorHAnsi"/>
        <w:color w:val="4F81BD" w:themeColor="accent1"/>
        <w:sz w:val="18"/>
        <w:szCs w:val="18"/>
        <w:lang w:val="fr-CH"/>
      </w:rPr>
      <w:t xml:space="preserve"> • Fax: +41 22 733 7256 • </w:t>
    </w:r>
    <w:r w:rsidR="00F8073F">
      <w:fldChar w:fldCharType="begin"/>
    </w:r>
    <w:r w:rsidR="00F8073F" w:rsidRPr="00103C66">
      <w:rPr>
        <w:lang w:val="fr-CH"/>
      </w:rPr>
      <w:instrText xml:space="preserve"> HYPERLINK "http://www.itu.int" </w:instrText>
    </w:r>
    <w:r w:rsidR="00F8073F">
      <w:fldChar w:fldCharType="separate"/>
    </w:r>
    <w:r w:rsidRPr="00BE16A4">
      <w:rPr>
        <w:rStyle w:val="Hyperlink"/>
        <w:rFonts w:asciiTheme="minorHAnsi" w:hAnsiTheme="minorHAnsi"/>
        <w:sz w:val="18"/>
        <w:szCs w:val="18"/>
        <w:lang w:val="fr-FR"/>
      </w:rPr>
      <w:t>www.itu.int</w:t>
    </w:r>
    <w:r w:rsidR="00F8073F">
      <w:rPr>
        <w:rStyle w:val="Hyperlink"/>
        <w:rFonts w:asciiTheme="minorHAnsi" w:hAnsiTheme="minorHAnsi"/>
        <w:sz w:val="18"/>
        <w:szCs w:val="18"/>
        <w:lang w:val="fr-FR"/>
      </w:rPr>
      <w:fldChar w:fldCharType="end"/>
    </w:r>
    <w:r w:rsidRPr="00A52F04">
      <w:rPr>
        <w:color w:val="4F81BD" w:themeColor="accent1"/>
        <w:sz w:val="18"/>
        <w:szCs w:val="18"/>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2C86" w14:textId="2A4F8C18" w:rsidR="00D95812" w:rsidRPr="00E50505" w:rsidRDefault="00D95812" w:rsidP="00E5050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D960" w14:textId="49DC7A60" w:rsidR="00D95812" w:rsidRPr="00E50505" w:rsidRDefault="00D95812" w:rsidP="00E50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9AF8" w14:textId="44913B62" w:rsidR="00D95812" w:rsidRPr="00E50505" w:rsidRDefault="00D95812" w:rsidP="00E50505">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8EFE" w14:textId="48BE38AE" w:rsidR="00D95812" w:rsidRPr="00E50505" w:rsidRDefault="00D95812" w:rsidP="00E5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C59A" w14:textId="77777777" w:rsidR="00D95812" w:rsidRDefault="00D95812">
      <w:r>
        <w:t>____________________</w:t>
      </w:r>
    </w:p>
  </w:footnote>
  <w:footnote w:type="continuationSeparator" w:id="0">
    <w:p w14:paraId="3AF2B3CB" w14:textId="77777777" w:rsidR="00D95812" w:rsidRDefault="00D95812">
      <w:r>
        <w:continuationSeparator/>
      </w:r>
    </w:p>
  </w:footnote>
  <w:footnote w:id="1">
    <w:p w14:paraId="2A1DB538" w14:textId="77777777" w:rsidR="00D95812" w:rsidRPr="007643E8" w:rsidRDefault="00D95812" w:rsidP="004269AD">
      <w:pPr>
        <w:pStyle w:val="FootnoteText"/>
        <w:spacing w:line="480" w:lineRule="auto"/>
      </w:pPr>
      <w:r>
        <w:rPr>
          <w:rStyle w:val="FootnoteReference"/>
        </w:rPr>
        <w:footnoteRef/>
      </w:r>
      <w:r>
        <w:tab/>
      </w:r>
      <w:r w:rsidRPr="00415B3F">
        <w:t>Résolution 72 (Rév.CMR-07).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D62A" w14:textId="77777777" w:rsidR="00D95812" w:rsidRPr="002569F7" w:rsidRDefault="00D95812"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396A" w14:textId="26F84C7F" w:rsidR="00D95812" w:rsidRPr="003F2F34" w:rsidRDefault="00D95812"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44F84">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D95812" w14:paraId="45FB5953" w14:textId="77777777" w:rsidTr="00304636">
      <w:tc>
        <w:tcPr>
          <w:tcW w:w="10042" w:type="dxa"/>
          <w:tcMar>
            <w:left w:w="0" w:type="dxa"/>
          </w:tcMar>
        </w:tcPr>
        <w:p w14:paraId="165322FD" w14:textId="77777777" w:rsidR="00D95812" w:rsidRDefault="00D95812"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E71FCC9" w14:textId="77777777" w:rsidR="00D95812" w:rsidRDefault="00D95812" w:rsidP="00304636">
          <w:pPr>
            <w:pStyle w:val="Header"/>
            <w:spacing w:before="240" w:line="360" w:lineRule="auto"/>
            <w:ind w:left="4065" w:hanging="4065"/>
            <w:jc w:val="right"/>
          </w:pPr>
        </w:p>
      </w:tc>
    </w:tr>
  </w:tbl>
  <w:p w14:paraId="569EA8BB" w14:textId="77777777" w:rsidR="00D95812" w:rsidRPr="004F47EA" w:rsidRDefault="00D95812"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67C8" w14:textId="382D3FEB" w:rsidR="00D95812" w:rsidRPr="003F2F34" w:rsidRDefault="00D95812"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44F84">
      <w:rPr>
        <w:noProof/>
        <w:sz w:val="18"/>
        <w:szCs w:val="16"/>
      </w:rPr>
      <w:t>9</w:t>
    </w:r>
    <w:r w:rsidRPr="003F2F34">
      <w:rPr>
        <w:sz w:val="18"/>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1F95" w14:textId="4AC75953" w:rsidR="00D95812" w:rsidRPr="00E50505" w:rsidRDefault="00D95812" w:rsidP="00E50505">
    <w:pPr>
      <w:pStyle w:val="Header"/>
      <w:jc w:val="cente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44F84">
      <w:rPr>
        <w:noProof/>
        <w:sz w:val="18"/>
        <w:szCs w:val="16"/>
      </w:rPr>
      <w:t>3</w:t>
    </w:r>
    <w:r w:rsidRPr="003F2F34">
      <w:rPr>
        <w:sz w:val="18"/>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E9D0" w14:textId="21099F64" w:rsidR="00D95812" w:rsidRPr="003F2F34" w:rsidRDefault="00D95812"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44F84">
      <w:rPr>
        <w:noProof/>
        <w:sz w:val="18"/>
        <w:szCs w:val="16"/>
      </w:rPr>
      <w:t>13</w:t>
    </w:r>
    <w:r w:rsidRPr="003F2F34">
      <w:rPr>
        <w:sz w:val="18"/>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871D" w14:textId="1EADD4BC" w:rsidR="00D95812" w:rsidRPr="00E50505" w:rsidRDefault="00D95812" w:rsidP="00E50505">
    <w:pPr>
      <w:pStyle w:val="Header"/>
      <w:jc w:val="cente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44F84">
      <w:rPr>
        <w:noProof/>
        <w:sz w:val="18"/>
        <w:szCs w:val="16"/>
      </w:rPr>
      <w:t>10</w:t>
    </w:r>
    <w:r w:rsidRPr="003F2F34">
      <w:rPr>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D8B0BEA0-E1A9-4F5B-9909-6BC2BA66BAB0}"/>
    <w:docVar w:name="dgnword-eventsink" w:val="2379632954768"/>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575E9"/>
    <w:rsid w:val="00070258"/>
    <w:rsid w:val="0007323C"/>
    <w:rsid w:val="00086D03"/>
    <w:rsid w:val="000A096A"/>
    <w:rsid w:val="000A375E"/>
    <w:rsid w:val="000A7051"/>
    <w:rsid w:val="000B04C1"/>
    <w:rsid w:val="000B0AF6"/>
    <w:rsid w:val="000B0E9B"/>
    <w:rsid w:val="000B2CAE"/>
    <w:rsid w:val="000C03C7"/>
    <w:rsid w:val="000C2AD0"/>
    <w:rsid w:val="000E3DEE"/>
    <w:rsid w:val="000E443D"/>
    <w:rsid w:val="00100B72"/>
    <w:rsid w:val="00101F7D"/>
    <w:rsid w:val="00103C66"/>
    <w:rsid w:val="00103C76"/>
    <w:rsid w:val="0011265F"/>
    <w:rsid w:val="00117282"/>
    <w:rsid w:val="00117389"/>
    <w:rsid w:val="00121C2D"/>
    <w:rsid w:val="00134404"/>
    <w:rsid w:val="00144DFB"/>
    <w:rsid w:val="00187CA3"/>
    <w:rsid w:val="0019374A"/>
    <w:rsid w:val="00196710"/>
    <w:rsid w:val="00196770"/>
    <w:rsid w:val="00197324"/>
    <w:rsid w:val="001A31F2"/>
    <w:rsid w:val="001B351B"/>
    <w:rsid w:val="001B42C9"/>
    <w:rsid w:val="001C06DB"/>
    <w:rsid w:val="001C6971"/>
    <w:rsid w:val="001D2785"/>
    <w:rsid w:val="001D323C"/>
    <w:rsid w:val="001D7070"/>
    <w:rsid w:val="001F2170"/>
    <w:rsid w:val="001F3948"/>
    <w:rsid w:val="001F5A49"/>
    <w:rsid w:val="00201097"/>
    <w:rsid w:val="00201B6E"/>
    <w:rsid w:val="002266F7"/>
    <w:rsid w:val="002302B3"/>
    <w:rsid w:val="00230C66"/>
    <w:rsid w:val="00235A29"/>
    <w:rsid w:val="0024053A"/>
    <w:rsid w:val="00241526"/>
    <w:rsid w:val="002443A2"/>
    <w:rsid w:val="002569F7"/>
    <w:rsid w:val="00266E74"/>
    <w:rsid w:val="002763E2"/>
    <w:rsid w:val="00283C3B"/>
    <w:rsid w:val="002861E6"/>
    <w:rsid w:val="00287D18"/>
    <w:rsid w:val="002A2618"/>
    <w:rsid w:val="002A5DD7"/>
    <w:rsid w:val="002B0CAC"/>
    <w:rsid w:val="002D5A15"/>
    <w:rsid w:val="002D5BDD"/>
    <w:rsid w:val="002E3D27"/>
    <w:rsid w:val="002F0890"/>
    <w:rsid w:val="002F2531"/>
    <w:rsid w:val="002F4967"/>
    <w:rsid w:val="002F5AA5"/>
    <w:rsid w:val="002F6F7A"/>
    <w:rsid w:val="002F71C2"/>
    <w:rsid w:val="00304636"/>
    <w:rsid w:val="0030679E"/>
    <w:rsid w:val="00311D13"/>
    <w:rsid w:val="00316935"/>
    <w:rsid w:val="003266ED"/>
    <w:rsid w:val="00326C68"/>
    <w:rsid w:val="003370B8"/>
    <w:rsid w:val="00344F84"/>
    <w:rsid w:val="00345D38"/>
    <w:rsid w:val="003471C9"/>
    <w:rsid w:val="00352097"/>
    <w:rsid w:val="0036186F"/>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3F3132"/>
    <w:rsid w:val="00400573"/>
    <w:rsid w:val="004007A3"/>
    <w:rsid w:val="00406D71"/>
    <w:rsid w:val="00407B30"/>
    <w:rsid w:val="00411CB3"/>
    <w:rsid w:val="00415B3F"/>
    <w:rsid w:val="004228FA"/>
    <w:rsid w:val="004269AD"/>
    <w:rsid w:val="004308CB"/>
    <w:rsid w:val="004326DB"/>
    <w:rsid w:val="0043682E"/>
    <w:rsid w:val="004465E0"/>
    <w:rsid w:val="00447ECB"/>
    <w:rsid w:val="004623F7"/>
    <w:rsid w:val="00480F51"/>
    <w:rsid w:val="00481124"/>
    <w:rsid w:val="004815EB"/>
    <w:rsid w:val="00487569"/>
    <w:rsid w:val="00491098"/>
    <w:rsid w:val="00494517"/>
    <w:rsid w:val="00496864"/>
    <w:rsid w:val="00496920"/>
    <w:rsid w:val="004A13DA"/>
    <w:rsid w:val="004A4496"/>
    <w:rsid w:val="004B11AB"/>
    <w:rsid w:val="004B7C9A"/>
    <w:rsid w:val="004C6779"/>
    <w:rsid w:val="004D733B"/>
    <w:rsid w:val="004D75F3"/>
    <w:rsid w:val="004E0DC4"/>
    <w:rsid w:val="004E0FB5"/>
    <w:rsid w:val="004E4398"/>
    <w:rsid w:val="004E43BB"/>
    <w:rsid w:val="004E460D"/>
    <w:rsid w:val="004F178E"/>
    <w:rsid w:val="004F4543"/>
    <w:rsid w:val="004F47EA"/>
    <w:rsid w:val="004F57BB"/>
    <w:rsid w:val="00505309"/>
    <w:rsid w:val="0050789B"/>
    <w:rsid w:val="00511144"/>
    <w:rsid w:val="005224A1"/>
    <w:rsid w:val="00534372"/>
    <w:rsid w:val="00543DF8"/>
    <w:rsid w:val="00546101"/>
    <w:rsid w:val="00553DD7"/>
    <w:rsid w:val="005606D6"/>
    <w:rsid w:val="005638CF"/>
    <w:rsid w:val="0056741E"/>
    <w:rsid w:val="0057325A"/>
    <w:rsid w:val="0057469A"/>
    <w:rsid w:val="00580814"/>
    <w:rsid w:val="00583A0B"/>
    <w:rsid w:val="005962BC"/>
    <w:rsid w:val="005A03A3"/>
    <w:rsid w:val="005A2B92"/>
    <w:rsid w:val="005A3F66"/>
    <w:rsid w:val="005A79E9"/>
    <w:rsid w:val="005B214C"/>
    <w:rsid w:val="005B3AD3"/>
    <w:rsid w:val="005B4CDA"/>
    <w:rsid w:val="005B62F0"/>
    <w:rsid w:val="005D3669"/>
    <w:rsid w:val="005D3EFF"/>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85"/>
    <w:rsid w:val="006C53F8"/>
    <w:rsid w:val="006C7CDE"/>
    <w:rsid w:val="006E1112"/>
    <w:rsid w:val="007234B1"/>
    <w:rsid w:val="00723D08"/>
    <w:rsid w:val="00725647"/>
    <w:rsid w:val="00725FDA"/>
    <w:rsid w:val="00727816"/>
    <w:rsid w:val="00730B9A"/>
    <w:rsid w:val="0074345E"/>
    <w:rsid w:val="00745768"/>
    <w:rsid w:val="00750CFA"/>
    <w:rsid w:val="007553DA"/>
    <w:rsid w:val="00773F7E"/>
    <w:rsid w:val="00775DB8"/>
    <w:rsid w:val="00782354"/>
    <w:rsid w:val="007921A7"/>
    <w:rsid w:val="007B1629"/>
    <w:rsid w:val="007B3DB1"/>
    <w:rsid w:val="007C2E1E"/>
    <w:rsid w:val="007D183E"/>
    <w:rsid w:val="007D43D0"/>
    <w:rsid w:val="007E1833"/>
    <w:rsid w:val="007E3F13"/>
    <w:rsid w:val="007E7367"/>
    <w:rsid w:val="007F746B"/>
    <w:rsid w:val="007F751A"/>
    <w:rsid w:val="00800012"/>
    <w:rsid w:val="0080261F"/>
    <w:rsid w:val="00806160"/>
    <w:rsid w:val="008143A4"/>
    <w:rsid w:val="0081513E"/>
    <w:rsid w:val="00820201"/>
    <w:rsid w:val="00830E95"/>
    <w:rsid w:val="008455F9"/>
    <w:rsid w:val="00854131"/>
    <w:rsid w:val="0085652D"/>
    <w:rsid w:val="0087694B"/>
    <w:rsid w:val="00880F4D"/>
    <w:rsid w:val="0088443B"/>
    <w:rsid w:val="00887BFF"/>
    <w:rsid w:val="008A41A6"/>
    <w:rsid w:val="008A5B93"/>
    <w:rsid w:val="008B35A3"/>
    <w:rsid w:val="008B37E1"/>
    <w:rsid w:val="008B45F8"/>
    <w:rsid w:val="008C2E74"/>
    <w:rsid w:val="008D2733"/>
    <w:rsid w:val="008D5409"/>
    <w:rsid w:val="008E006D"/>
    <w:rsid w:val="008E38B4"/>
    <w:rsid w:val="008F4F21"/>
    <w:rsid w:val="008F7513"/>
    <w:rsid w:val="00900C6D"/>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4B97"/>
    <w:rsid w:val="009A6BB6"/>
    <w:rsid w:val="009B0D86"/>
    <w:rsid w:val="009B3F43"/>
    <w:rsid w:val="009B5CFA"/>
    <w:rsid w:val="009C161F"/>
    <w:rsid w:val="009C56B4"/>
    <w:rsid w:val="009C7A71"/>
    <w:rsid w:val="009D2891"/>
    <w:rsid w:val="009D51A2"/>
    <w:rsid w:val="009E04A8"/>
    <w:rsid w:val="009E4AEC"/>
    <w:rsid w:val="009E5BD8"/>
    <w:rsid w:val="009E681E"/>
    <w:rsid w:val="009F5CC2"/>
    <w:rsid w:val="00A119E6"/>
    <w:rsid w:val="00A20FBC"/>
    <w:rsid w:val="00A22FB4"/>
    <w:rsid w:val="00A231BC"/>
    <w:rsid w:val="00A25C65"/>
    <w:rsid w:val="00A31370"/>
    <w:rsid w:val="00A34D6F"/>
    <w:rsid w:val="00A41F91"/>
    <w:rsid w:val="00A52F04"/>
    <w:rsid w:val="00A566EA"/>
    <w:rsid w:val="00A63355"/>
    <w:rsid w:val="00A7596D"/>
    <w:rsid w:val="00A963DF"/>
    <w:rsid w:val="00AA211B"/>
    <w:rsid w:val="00AA781A"/>
    <w:rsid w:val="00AB2F97"/>
    <w:rsid w:val="00AC0C22"/>
    <w:rsid w:val="00AC3896"/>
    <w:rsid w:val="00AD2CF2"/>
    <w:rsid w:val="00AD3EAA"/>
    <w:rsid w:val="00AD6778"/>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1B70"/>
    <w:rsid w:val="00BD6738"/>
    <w:rsid w:val="00BD7E5E"/>
    <w:rsid w:val="00BE0640"/>
    <w:rsid w:val="00BE4EDC"/>
    <w:rsid w:val="00BE63DB"/>
    <w:rsid w:val="00BE6574"/>
    <w:rsid w:val="00C02ACC"/>
    <w:rsid w:val="00C07319"/>
    <w:rsid w:val="00C07B6E"/>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E06"/>
    <w:rsid w:val="00CE463D"/>
    <w:rsid w:val="00CE5389"/>
    <w:rsid w:val="00D10BA0"/>
    <w:rsid w:val="00D21694"/>
    <w:rsid w:val="00D24EB5"/>
    <w:rsid w:val="00D35AB9"/>
    <w:rsid w:val="00D370D5"/>
    <w:rsid w:val="00D41571"/>
    <w:rsid w:val="00D416A0"/>
    <w:rsid w:val="00D47672"/>
    <w:rsid w:val="00D5123C"/>
    <w:rsid w:val="00D55560"/>
    <w:rsid w:val="00D6147E"/>
    <w:rsid w:val="00D61C5A"/>
    <w:rsid w:val="00D62111"/>
    <w:rsid w:val="00D6287C"/>
    <w:rsid w:val="00D6790C"/>
    <w:rsid w:val="00D73277"/>
    <w:rsid w:val="00D76586"/>
    <w:rsid w:val="00D82657"/>
    <w:rsid w:val="00D87E20"/>
    <w:rsid w:val="00D95812"/>
    <w:rsid w:val="00DA4037"/>
    <w:rsid w:val="00DE66A5"/>
    <w:rsid w:val="00DF153D"/>
    <w:rsid w:val="00DF2B50"/>
    <w:rsid w:val="00DF5AB5"/>
    <w:rsid w:val="00E01059"/>
    <w:rsid w:val="00E04C86"/>
    <w:rsid w:val="00E05BB4"/>
    <w:rsid w:val="00E17344"/>
    <w:rsid w:val="00E20F30"/>
    <w:rsid w:val="00E2189C"/>
    <w:rsid w:val="00E25BB1"/>
    <w:rsid w:val="00E27BBA"/>
    <w:rsid w:val="00E30E3F"/>
    <w:rsid w:val="00E35E8F"/>
    <w:rsid w:val="00E428AB"/>
    <w:rsid w:val="00E438E8"/>
    <w:rsid w:val="00E453A3"/>
    <w:rsid w:val="00E50505"/>
    <w:rsid w:val="00E520E2"/>
    <w:rsid w:val="00E530C4"/>
    <w:rsid w:val="00E53DCE"/>
    <w:rsid w:val="00E55996"/>
    <w:rsid w:val="00E64254"/>
    <w:rsid w:val="00E67928"/>
    <w:rsid w:val="00E70FB5"/>
    <w:rsid w:val="00E77F1B"/>
    <w:rsid w:val="00E820CD"/>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0E9F"/>
    <w:rsid w:val="00F6184F"/>
    <w:rsid w:val="00F73DBD"/>
    <w:rsid w:val="00F74E8A"/>
    <w:rsid w:val="00F770E2"/>
    <w:rsid w:val="00F8073F"/>
    <w:rsid w:val="00F8310E"/>
    <w:rsid w:val="00F914DD"/>
    <w:rsid w:val="00F91D8C"/>
    <w:rsid w:val="00FA2358"/>
    <w:rsid w:val="00FB2592"/>
    <w:rsid w:val="00FB2810"/>
    <w:rsid w:val="00FB7A2C"/>
    <w:rsid w:val="00FC2947"/>
    <w:rsid w:val="00FC459B"/>
    <w:rsid w:val="00FD34A2"/>
    <w:rsid w:val="00FE0818"/>
    <w:rsid w:val="00FE21C1"/>
    <w:rsid w:val="00FE6FB1"/>
    <w:rsid w:val="00FF2533"/>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407B30"/>
    <w:rPr>
      <w:color w:val="605E5C"/>
      <w:shd w:val="clear" w:color="auto" w:fill="E1DFDD"/>
    </w:rPr>
  </w:style>
  <w:style w:type="paragraph" w:customStyle="1" w:styleId="Reasons">
    <w:name w:val="Reasons"/>
    <w:basedOn w:val="Normal"/>
    <w:qFormat/>
    <w:rsid w:val="00E5050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A22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conferences/rag/Pages/default.aspx" TargetMode="External"/><Relationship Id="rId13" Type="http://schemas.openxmlformats.org/officeDocument/2006/relationships/header" Target="header4.xml"/><Relationship Id="rId18" Type="http://schemas.openxmlformats.org/officeDocument/2006/relationships/hyperlink" Target="mailto:masanders@nti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md/R19-RA19-C-0084/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malexandre.vassiliev@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9885-91C9-47CA-84D5-A7AF5DF8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4850</Words>
  <Characters>25206</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29997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3</cp:revision>
  <cp:lastPrinted>2021-04-19T12:27:00Z</cp:lastPrinted>
  <dcterms:created xsi:type="dcterms:W3CDTF">2021-04-19T12:28:00Z</dcterms:created>
  <dcterms:modified xsi:type="dcterms:W3CDTF">2021-04-19T12:28:00Z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