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1286EC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1C45C108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3772106A" w14:textId="35972807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CA/</w:t>
            </w:r>
            <w:r w:rsidR="001B6535">
              <w:rPr>
                <w:b/>
                <w:bCs/>
                <w:szCs w:val="24"/>
                <w:lang w:val="es-ES"/>
              </w:rPr>
              <w:t>259</w:t>
            </w:r>
          </w:p>
        </w:tc>
        <w:tc>
          <w:tcPr>
            <w:tcW w:w="2835" w:type="dxa"/>
            <w:shd w:val="clear" w:color="auto" w:fill="auto"/>
          </w:tcPr>
          <w:p w14:paraId="2DEC7E30" w14:textId="399102BD" w:rsidR="00E53DCE" w:rsidRPr="008A3B81" w:rsidRDefault="001B6535" w:rsidP="006160CB">
            <w:pPr>
              <w:spacing w:before="0"/>
              <w:jc w:val="right"/>
              <w:rPr>
                <w:szCs w:val="24"/>
                <w:lang w:val="es-ES"/>
              </w:rPr>
            </w:pPr>
            <w:r w:rsidRPr="008A3B81">
              <w:rPr>
                <w:bCs/>
                <w:szCs w:val="24"/>
                <w:lang w:val="es-ES"/>
              </w:rPr>
              <w:t xml:space="preserve">17 </w:t>
            </w:r>
            <w:r w:rsidR="00A96D3A" w:rsidRPr="008A3B81">
              <w:rPr>
                <w:bCs/>
                <w:szCs w:val="24"/>
                <w:lang w:val="es-ES"/>
              </w:rPr>
              <w:t xml:space="preserve">de </w:t>
            </w:r>
            <w:r w:rsidRPr="008A3B81">
              <w:rPr>
                <w:bCs/>
                <w:szCs w:val="24"/>
                <w:lang w:val="es-ES"/>
              </w:rPr>
              <w:t xml:space="preserve">diciembre </w:t>
            </w:r>
            <w:r w:rsidR="00A96D3A" w:rsidRPr="008A3B81">
              <w:rPr>
                <w:bCs/>
                <w:szCs w:val="24"/>
                <w:lang w:val="es-ES"/>
              </w:rPr>
              <w:t>de 20</w:t>
            </w:r>
            <w:r w:rsidR="002B7EE0" w:rsidRPr="008A3B81">
              <w:rPr>
                <w:bCs/>
                <w:szCs w:val="24"/>
                <w:lang w:val="es-ES"/>
              </w:rPr>
              <w:t>2</w:t>
            </w:r>
            <w:r w:rsidR="00215F1B" w:rsidRPr="008A3B81">
              <w:rPr>
                <w:bCs/>
                <w:szCs w:val="24"/>
                <w:lang w:val="es-ES"/>
              </w:rPr>
              <w:t>1</w:t>
            </w:r>
          </w:p>
        </w:tc>
      </w:tr>
      <w:tr w:rsidR="00E53DCE" w:rsidRPr="0033029C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F436D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68DB9C77" w:rsidR="00E53DCE" w:rsidRPr="0033029C" w:rsidRDefault="00215F1B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15F1B">
              <w:rPr>
                <w:b/>
                <w:szCs w:val="24"/>
                <w:lang w:val="es-ES"/>
              </w:rPr>
              <w:t>A las Administraciones de los Estados Miembros de la UIT, a los Miembros del Sector de Radiocomunicaciones y a las Instituciones Académicas de la UIT</w:t>
            </w:r>
          </w:p>
        </w:tc>
      </w:tr>
      <w:tr w:rsidR="00E53DCE" w:rsidRPr="003F436D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F436D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F436D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9428D5B" w14:textId="0B22D770" w:rsidR="001B6535" w:rsidRDefault="00215F1B" w:rsidP="00215F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15F1B">
              <w:rPr>
                <w:b/>
                <w:bCs/>
                <w:szCs w:val="24"/>
                <w:lang w:val="es-ES"/>
              </w:rPr>
              <w:t xml:space="preserve">Vigésima </w:t>
            </w:r>
            <w:r w:rsidR="001B6535">
              <w:rPr>
                <w:b/>
                <w:bCs/>
                <w:szCs w:val="24"/>
                <w:lang w:val="es-ES"/>
              </w:rPr>
              <w:t>novena</w:t>
            </w:r>
            <w:r w:rsidR="001B6535" w:rsidRPr="00215F1B">
              <w:rPr>
                <w:b/>
                <w:bCs/>
                <w:szCs w:val="24"/>
                <w:lang w:val="es-ES"/>
              </w:rPr>
              <w:t xml:space="preserve"> </w:t>
            </w:r>
            <w:r w:rsidRPr="00215F1B">
              <w:rPr>
                <w:b/>
                <w:bCs/>
                <w:szCs w:val="24"/>
                <w:lang w:val="es-ES"/>
              </w:rPr>
              <w:t>reunión del Grupo Asesor de Radiocomunicaciones</w:t>
            </w:r>
            <w:r w:rsidR="001B6535">
              <w:rPr>
                <w:b/>
                <w:bCs/>
                <w:szCs w:val="24"/>
                <w:lang w:val="es-ES"/>
              </w:rPr>
              <w:t xml:space="preserve"> (GAR):</w:t>
            </w:r>
          </w:p>
          <w:p w14:paraId="63A84485" w14:textId="09AFF5B8" w:rsidR="001B6535" w:rsidRPr="008A3B81" w:rsidRDefault="001B6535" w:rsidP="001B6535">
            <w:pPr>
              <w:pStyle w:val="ListParagraph"/>
              <w:numPr>
                <w:ilvl w:val="0"/>
                <w:numId w:val="5"/>
              </w:numPr>
              <w:tabs>
                <w:tab w:val="left" w:pos="15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8A3B81">
              <w:rPr>
                <w:b/>
                <w:bCs/>
                <w:sz w:val="24"/>
                <w:szCs w:val="24"/>
                <w:lang w:val="es-ES"/>
              </w:rPr>
              <w:t>Examen de los proyectos de Plan Estratégico y Plan Financiero</w:t>
            </w:r>
            <w:r w:rsidR="004E7CA4" w:rsidRPr="008A3B81">
              <w:rPr>
                <w:b/>
                <w:bCs/>
                <w:sz w:val="24"/>
                <w:szCs w:val="24"/>
                <w:lang w:val="es-ES"/>
              </w:rPr>
              <w:t xml:space="preserve"> del UIT</w:t>
            </w:r>
            <w:r w:rsidR="008A3B81">
              <w:rPr>
                <w:b/>
                <w:bCs/>
                <w:sz w:val="24"/>
                <w:szCs w:val="24"/>
                <w:lang w:val="es-ES"/>
              </w:rPr>
              <w:noBreakHyphen/>
            </w:r>
            <w:r w:rsidR="004E7CA4" w:rsidRPr="008A3B81">
              <w:rPr>
                <w:b/>
                <w:bCs/>
                <w:sz w:val="24"/>
                <w:szCs w:val="24"/>
                <w:lang w:val="es-ES"/>
              </w:rPr>
              <w:t>R</w:t>
            </w:r>
            <w:r w:rsidRPr="008A3B81">
              <w:rPr>
                <w:b/>
                <w:bCs/>
                <w:sz w:val="24"/>
                <w:szCs w:val="24"/>
                <w:lang w:val="es-ES"/>
              </w:rPr>
              <w:t>: 24</w:t>
            </w:r>
            <w:r w:rsidR="008A3B81" w:rsidRPr="008A3B81">
              <w:rPr>
                <w:b/>
                <w:bCs/>
                <w:sz w:val="24"/>
                <w:szCs w:val="24"/>
                <w:lang w:val="es-ES"/>
              </w:rPr>
              <w:t> </w:t>
            </w:r>
            <w:r w:rsidRPr="008A3B81">
              <w:rPr>
                <w:b/>
                <w:bCs/>
                <w:sz w:val="24"/>
                <w:szCs w:val="24"/>
                <w:lang w:val="es-ES"/>
              </w:rPr>
              <w:t>de febrero de 2022</w:t>
            </w:r>
          </w:p>
          <w:p w14:paraId="4F421491" w14:textId="3402268B" w:rsidR="00E53DCE" w:rsidRPr="008A3B81" w:rsidRDefault="001B6535" w:rsidP="008A3B81">
            <w:pPr>
              <w:pStyle w:val="ListParagraph"/>
              <w:numPr>
                <w:ilvl w:val="0"/>
                <w:numId w:val="5"/>
              </w:numPr>
              <w:tabs>
                <w:tab w:val="left" w:pos="1560"/>
              </w:tabs>
              <w:rPr>
                <w:b/>
                <w:bCs/>
                <w:szCs w:val="24"/>
                <w:lang w:val="es-ES"/>
              </w:rPr>
            </w:pPr>
            <w:r w:rsidRPr="008A3B81">
              <w:rPr>
                <w:b/>
                <w:bCs/>
                <w:sz w:val="24"/>
                <w:szCs w:val="24"/>
                <w:lang w:val="es-ES"/>
              </w:rPr>
              <w:t>Reunión del GAR: del 11 al 14 de abril de 2022</w:t>
            </w:r>
            <w:r>
              <w:rPr>
                <w:b/>
                <w:bCs/>
                <w:szCs w:val="24"/>
                <w:lang w:val="es-ES"/>
              </w:rPr>
              <w:t xml:space="preserve"> </w:t>
            </w:r>
          </w:p>
        </w:tc>
      </w:tr>
      <w:tr w:rsidR="00E53DCE" w:rsidRPr="003F436D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8A3B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8A3B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F436D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8A3B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8A3B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F436D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8A3B81" w:rsidRDefault="00E53DCE" w:rsidP="003E7BC0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val="es-ES"/>
              </w:rPr>
            </w:pPr>
          </w:p>
        </w:tc>
      </w:tr>
    </w:tbl>
    <w:p w14:paraId="3F3C7B37" w14:textId="6DAD6443" w:rsidR="004F248C" w:rsidRDefault="001B6535" w:rsidP="003E7BC0">
      <w:pPr>
        <w:pStyle w:val="Normalaftertitle"/>
        <w:spacing w:before="360" w:after="240"/>
        <w:rPr>
          <w:lang w:val="es-ES"/>
        </w:rPr>
      </w:pPr>
      <w:bookmarkStart w:id="0" w:name="_Hlk39586839"/>
      <w:r>
        <w:rPr>
          <w:lang w:val="es-ES"/>
        </w:rPr>
        <w:t xml:space="preserve">Con arreglo al anuncio del regreso a las reuniones presenciales de los grupos de trabajo y las Comisión de Estudio del UIT-R recogido en la </w:t>
      </w:r>
      <w:r w:rsidR="00215F1B" w:rsidRPr="00215F1B">
        <w:rPr>
          <w:lang w:val="es-ES"/>
        </w:rPr>
        <w:t xml:space="preserve">Circular Administrativa </w:t>
      </w:r>
      <w:r w:rsidR="003F436D">
        <w:fldChar w:fldCharType="begin"/>
      </w:r>
      <w:r w:rsidR="003F436D" w:rsidRPr="003F436D">
        <w:rPr>
          <w:lang w:val="fr-CH"/>
        </w:rPr>
        <w:instrText xml:space="preserve"> HYPERLINK "https://www.itu.int/md/R00-CACE-CIR-1002/en" </w:instrText>
      </w:r>
      <w:r w:rsidR="003F436D">
        <w:fldChar w:fldCharType="separate"/>
      </w:r>
      <w:r w:rsidRPr="00C74884">
        <w:rPr>
          <w:rStyle w:val="Hyperlink"/>
          <w:lang w:val="es-ES"/>
        </w:rPr>
        <w:t>CACE</w:t>
      </w:r>
      <w:r w:rsidR="004F248C" w:rsidRPr="00C74884">
        <w:rPr>
          <w:rStyle w:val="Hyperlink"/>
          <w:lang w:val="es-ES"/>
        </w:rPr>
        <w:t>/10</w:t>
      </w:r>
      <w:r w:rsidR="00C74884" w:rsidRPr="00C74884">
        <w:rPr>
          <w:rStyle w:val="Hyperlink"/>
          <w:lang w:val="es-ES"/>
        </w:rPr>
        <w:t>0</w:t>
      </w:r>
      <w:r w:rsidR="004F248C" w:rsidRPr="00C74884">
        <w:rPr>
          <w:rStyle w:val="Hyperlink"/>
          <w:lang w:val="es-ES"/>
        </w:rPr>
        <w:t>2</w:t>
      </w:r>
      <w:r w:rsidR="003F436D">
        <w:rPr>
          <w:rStyle w:val="Hyperlink"/>
          <w:lang w:val="es-ES"/>
        </w:rPr>
        <w:fldChar w:fldCharType="end"/>
      </w:r>
      <w:r w:rsidR="004F248C">
        <w:rPr>
          <w:lang w:val="es-ES"/>
        </w:rPr>
        <w:t xml:space="preserve"> de fecha 24 de noviembre de 2021, </w:t>
      </w:r>
      <w:r w:rsidR="00215F1B" w:rsidRPr="00215F1B">
        <w:rPr>
          <w:lang w:val="es-ES"/>
        </w:rPr>
        <w:t xml:space="preserve">deseo anunciar que la vigésima </w:t>
      </w:r>
      <w:r w:rsidR="004F248C">
        <w:rPr>
          <w:lang w:val="es-ES"/>
        </w:rPr>
        <w:t>novena</w:t>
      </w:r>
      <w:r w:rsidR="004F248C" w:rsidRPr="00215F1B">
        <w:rPr>
          <w:lang w:val="es-ES"/>
        </w:rPr>
        <w:t xml:space="preserve"> </w:t>
      </w:r>
      <w:r w:rsidR="00215F1B" w:rsidRPr="00215F1B">
        <w:rPr>
          <w:lang w:val="es-ES"/>
        </w:rPr>
        <w:t xml:space="preserve">reunión del Grupo Asesor de Radiocomunicaciones (GAR) se celebrará </w:t>
      </w:r>
      <w:r w:rsidR="004F248C">
        <w:rPr>
          <w:lang w:val="es-ES"/>
        </w:rPr>
        <w:t>en dos partes, a saber: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2"/>
        <w:gridCol w:w="2235"/>
        <w:gridCol w:w="1816"/>
        <w:gridCol w:w="1675"/>
        <w:gridCol w:w="2096"/>
      </w:tblGrid>
      <w:tr w:rsidR="004F248C" w:rsidRPr="004F248C" w14:paraId="617754D0" w14:textId="77777777" w:rsidTr="0081061C">
        <w:trPr>
          <w:jc w:val="center"/>
        </w:trPr>
        <w:tc>
          <w:tcPr>
            <w:tcW w:w="1055" w:type="pct"/>
            <w:vAlign w:val="center"/>
          </w:tcPr>
          <w:p w14:paraId="776C95F0" w14:textId="2A45880D" w:rsidR="004F248C" w:rsidRPr="008A3B81" w:rsidRDefault="004F248C" w:rsidP="008A3B81">
            <w:pPr>
              <w:pStyle w:val="Tablehead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Sesión de la reunión del GAR</w:t>
            </w:r>
          </w:p>
        </w:tc>
        <w:tc>
          <w:tcPr>
            <w:tcW w:w="1127" w:type="pct"/>
            <w:vAlign w:val="center"/>
          </w:tcPr>
          <w:p w14:paraId="1BC10656" w14:textId="4EEA5052" w:rsidR="004F248C" w:rsidRPr="008A3B81" w:rsidRDefault="004F248C" w:rsidP="008A3B81">
            <w:pPr>
              <w:pStyle w:val="Tablehead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Fecha</w:t>
            </w:r>
          </w:p>
        </w:tc>
        <w:tc>
          <w:tcPr>
            <w:tcW w:w="916" w:type="pct"/>
            <w:vAlign w:val="center"/>
          </w:tcPr>
          <w:p w14:paraId="571CC551" w14:textId="744FE527" w:rsidR="004F248C" w:rsidRPr="008A3B81" w:rsidRDefault="004F248C" w:rsidP="008A3B81">
            <w:pPr>
              <w:pStyle w:val="Tablehead"/>
              <w:rPr>
                <w:rFonts w:eastAsiaTheme="minorEastAsia"/>
                <w:lang w:val="es-ES"/>
              </w:rPr>
            </w:pPr>
            <w:r>
              <w:rPr>
                <w:rFonts w:asciiTheme="minorHAnsi" w:eastAsiaTheme="minorEastAsia" w:hAnsiTheme="minorHAnsi"/>
                <w:lang w:val="es-ES"/>
              </w:rPr>
              <w:t>Fecha límite para las contribuciones</w:t>
            </w:r>
          </w:p>
        </w:tc>
        <w:tc>
          <w:tcPr>
            <w:tcW w:w="845" w:type="pct"/>
            <w:vAlign w:val="center"/>
          </w:tcPr>
          <w:p w14:paraId="05CA977C" w14:textId="295D0470" w:rsidR="004F248C" w:rsidRPr="008A3B81" w:rsidRDefault="004F248C" w:rsidP="008A3B81">
            <w:pPr>
              <w:pStyle w:val="Tablehead"/>
              <w:rPr>
                <w:rFonts w:asciiTheme="minorHAnsi" w:eastAsiaTheme="minorEastAsia" w:hAnsiTheme="minorHAnsi"/>
                <w:lang w:val="es-ES"/>
              </w:rPr>
            </w:pPr>
            <w:r>
              <w:rPr>
                <w:rFonts w:asciiTheme="minorHAnsi" w:eastAsiaTheme="minorEastAsia" w:hAnsiTheme="minorHAnsi"/>
                <w:lang w:val="es-ES"/>
              </w:rPr>
              <w:t>Programa diario</w:t>
            </w:r>
            <w:r w:rsidRPr="008A3B81">
              <w:rPr>
                <w:rFonts w:asciiTheme="minorHAnsi" w:eastAsiaTheme="minorEastAsia" w:hAnsiTheme="minorHAnsi"/>
                <w:lang w:val="es-ES"/>
              </w:rPr>
              <w:br/>
              <w:t>(CEST)</w:t>
            </w:r>
          </w:p>
        </w:tc>
        <w:tc>
          <w:tcPr>
            <w:tcW w:w="1057" w:type="pct"/>
            <w:vAlign w:val="center"/>
          </w:tcPr>
          <w:p w14:paraId="48222878" w14:textId="212FCBFC" w:rsidR="004F248C" w:rsidRPr="008A3B81" w:rsidRDefault="004F248C" w:rsidP="008A3B81">
            <w:pPr>
              <w:pStyle w:val="Tablehead"/>
              <w:rPr>
                <w:rFonts w:asciiTheme="minorHAnsi" w:eastAsiaTheme="minorEastAsia" w:hAnsiTheme="minorHAnsi"/>
                <w:lang w:val="es-ES"/>
              </w:rPr>
            </w:pPr>
            <w:r w:rsidRPr="004F248C">
              <w:rPr>
                <w:rFonts w:asciiTheme="minorHAnsi" w:eastAsiaTheme="minorEastAsia" w:hAnsiTheme="minorHAnsi"/>
                <w:lang w:val="es-ES"/>
              </w:rPr>
              <w:t>Formato</w:t>
            </w:r>
          </w:p>
        </w:tc>
      </w:tr>
      <w:tr w:rsidR="004F248C" w:rsidRPr="004F248C" w14:paraId="60BE0652" w14:textId="77777777" w:rsidTr="0081061C">
        <w:trPr>
          <w:jc w:val="center"/>
        </w:trPr>
        <w:tc>
          <w:tcPr>
            <w:tcW w:w="1055" w:type="pct"/>
            <w:vAlign w:val="center"/>
          </w:tcPr>
          <w:p w14:paraId="39FDABDF" w14:textId="13F9E292" w:rsidR="004F248C" w:rsidRPr="008A3B81" w:rsidRDefault="004F248C" w:rsidP="008A3B81">
            <w:pPr>
              <w:pStyle w:val="Tabletext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E</w:t>
            </w:r>
            <w:r w:rsidRPr="004F248C">
              <w:rPr>
                <w:rFonts w:eastAsiaTheme="minorEastAsia"/>
                <w:lang w:val="es-ES"/>
              </w:rPr>
              <w:t>xamen de los proyectos de Plan Estratégico y Plan Financiero</w:t>
            </w:r>
            <w:r w:rsidR="004E7CA4">
              <w:rPr>
                <w:rFonts w:eastAsiaTheme="minorEastAsia"/>
                <w:lang w:val="es-ES"/>
              </w:rPr>
              <w:t xml:space="preserve"> del UIT-R</w:t>
            </w:r>
          </w:p>
        </w:tc>
        <w:tc>
          <w:tcPr>
            <w:tcW w:w="1127" w:type="pct"/>
            <w:vAlign w:val="center"/>
          </w:tcPr>
          <w:p w14:paraId="53B74A99" w14:textId="61C01E9B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Jueves</w:t>
            </w:r>
            <w:r w:rsidRPr="008A3B81">
              <w:rPr>
                <w:rFonts w:eastAsiaTheme="minorEastAsia"/>
                <w:lang w:val="es-ES"/>
              </w:rPr>
              <w:br/>
              <w:t xml:space="preserve">24 </w:t>
            </w:r>
            <w:r>
              <w:rPr>
                <w:rFonts w:eastAsiaTheme="minorEastAsia"/>
                <w:lang w:val="es-ES"/>
              </w:rPr>
              <w:t>de febrero de</w:t>
            </w:r>
            <w:r w:rsidRPr="008A3B81">
              <w:rPr>
                <w:rFonts w:eastAsiaTheme="minorEastAsia"/>
                <w:lang w:val="es-ES"/>
              </w:rPr>
              <w:t xml:space="preserve"> 2022</w:t>
            </w:r>
          </w:p>
        </w:tc>
        <w:tc>
          <w:tcPr>
            <w:tcW w:w="916" w:type="pct"/>
            <w:vAlign w:val="center"/>
          </w:tcPr>
          <w:p w14:paraId="39B5BF73" w14:textId="21FBFFE5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Jueves</w:t>
            </w:r>
            <w:r w:rsidRPr="008A3B81">
              <w:rPr>
                <w:rFonts w:eastAsiaTheme="minorEastAsia"/>
                <w:lang w:val="es-ES"/>
              </w:rPr>
              <w:t xml:space="preserve"> </w:t>
            </w:r>
            <w:r w:rsidRPr="008A3B81">
              <w:rPr>
                <w:rFonts w:eastAsiaTheme="minorEastAsia"/>
                <w:lang w:val="es-ES"/>
              </w:rPr>
              <w:br/>
              <w:t xml:space="preserve">10 </w:t>
            </w:r>
            <w:r>
              <w:rPr>
                <w:rFonts w:eastAsiaTheme="minorEastAsia"/>
                <w:lang w:val="es-ES"/>
              </w:rPr>
              <w:t>de febrero de</w:t>
            </w:r>
            <w:r w:rsidRPr="008A3B81">
              <w:rPr>
                <w:rFonts w:eastAsiaTheme="minorEastAsia"/>
                <w:lang w:val="es-ES"/>
              </w:rPr>
              <w:t xml:space="preserve"> 2022</w:t>
            </w:r>
          </w:p>
        </w:tc>
        <w:tc>
          <w:tcPr>
            <w:tcW w:w="845" w:type="pct"/>
            <w:vAlign w:val="center"/>
          </w:tcPr>
          <w:p w14:paraId="0C7E7FE3" w14:textId="097E4229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8A3B81">
              <w:rPr>
                <w:rFonts w:eastAsiaTheme="minorEastAsia"/>
                <w:lang w:val="es-ES"/>
              </w:rPr>
              <w:t xml:space="preserve">1200 </w:t>
            </w:r>
            <w:r>
              <w:rPr>
                <w:rFonts w:eastAsiaTheme="minorEastAsia"/>
                <w:lang w:val="es-ES"/>
              </w:rPr>
              <w:t>a</w:t>
            </w:r>
            <w:r w:rsidRPr="008A3B81">
              <w:rPr>
                <w:rFonts w:eastAsiaTheme="minorEastAsia"/>
                <w:lang w:val="es-ES"/>
              </w:rPr>
              <w:t xml:space="preserve"> 1600</w:t>
            </w:r>
          </w:p>
        </w:tc>
        <w:tc>
          <w:tcPr>
            <w:tcW w:w="1057" w:type="pct"/>
            <w:vAlign w:val="center"/>
          </w:tcPr>
          <w:p w14:paraId="6BFCEA86" w14:textId="77777777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8A3B81">
              <w:rPr>
                <w:rFonts w:eastAsiaTheme="minorEastAsia"/>
                <w:b/>
                <w:lang w:val="es-ES"/>
              </w:rPr>
              <w:t xml:space="preserve">Virtual </w:t>
            </w:r>
            <w:r w:rsidRPr="008A3B81">
              <w:rPr>
                <w:rFonts w:eastAsiaTheme="minorEastAsia"/>
                <w:b/>
                <w:position w:val="6"/>
                <w:sz w:val="18"/>
                <w:lang w:val="es-ES"/>
              </w:rPr>
              <w:footnoteReference w:id="1"/>
            </w:r>
          </w:p>
        </w:tc>
      </w:tr>
      <w:tr w:rsidR="004F248C" w:rsidRPr="00C74884" w14:paraId="4FC70330" w14:textId="77777777" w:rsidTr="0081061C">
        <w:trPr>
          <w:jc w:val="center"/>
        </w:trPr>
        <w:tc>
          <w:tcPr>
            <w:tcW w:w="1055" w:type="pct"/>
            <w:vAlign w:val="center"/>
          </w:tcPr>
          <w:p w14:paraId="75056A80" w14:textId="5D64A904" w:rsidR="004F248C" w:rsidRPr="008A3B81" w:rsidRDefault="004F248C" w:rsidP="008A3B81">
            <w:pPr>
              <w:pStyle w:val="Tabletext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Reunión del GAR</w:t>
            </w:r>
          </w:p>
        </w:tc>
        <w:tc>
          <w:tcPr>
            <w:tcW w:w="1127" w:type="pct"/>
            <w:vAlign w:val="center"/>
          </w:tcPr>
          <w:p w14:paraId="6BD3B439" w14:textId="5120B941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Del lunes</w:t>
            </w:r>
            <w:r w:rsidRPr="008A3B81">
              <w:rPr>
                <w:rFonts w:eastAsiaTheme="minorEastAsia"/>
                <w:lang w:val="es-ES"/>
              </w:rPr>
              <w:t xml:space="preserve"> 11 </w:t>
            </w:r>
            <w:r>
              <w:rPr>
                <w:rFonts w:eastAsiaTheme="minorEastAsia"/>
                <w:lang w:val="es-ES"/>
              </w:rPr>
              <w:t>al jueves</w:t>
            </w:r>
            <w:r w:rsidRPr="008A3B81">
              <w:rPr>
                <w:rFonts w:eastAsiaTheme="minorEastAsia"/>
                <w:lang w:val="es-ES"/>
              </w:rPr>
              <w:t xml:space="preserve"> </w:t>
            </w:r>
            <w:r w:rsidRPr="008A3B81">
              <w:rPr>
                <w:rFonts w:eastAsiaTheme="minorEastAsia"/>
                <w:lang w:val="es-ES"/>
              </w:rPr>
              <w:br/>
              <w:t xml:space="preserve">14 </w:t>
            </w:r>
            <w:r>
              <w:rPr>
                <w:rFonts w:eastAsiaTheme="minorEastAsia"/>
                <w:lang w:val="es-ES"/>
              </w:rPr>
              <w:t>de abril de</w:t>
            </w:r>
            <w:r w:rsidRPr="008A3B81">
              <w:rPr>
                <w:rFonts w:eastAsiaTheme="minorEastAsia"/>
                <w:lang w:val="es-ES"/>
              </w:rPr>
              <w:t xml:space="preserve"> 2022</w:t>
            </w:r>
          </w:p>
        </w:tc>
        <w:tc>
          <w:tcPr>
            <w:tcW w:w="916" w:type="pct"/>
            <w:vAlign w:val="center"/>
          </w:tcPr>
          <w:p w14:paraId="33B5D523" w14:textId="0683DECC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Lunes</w:t>
            </w:r>
            <w:r w:rsidRPr="008A3B81">
              <w:rPr>
                <w:rFonts w:eastAsiaTheme="minorEastAsia"/>
                <w:lang w:val="es-ES"/>
              </w:rPr>
              <w:t xml:space="preserve"> </w:t>
            </w:r>
            <w:r w:rsidRPr="008A3B81">
              <w:rPr>
                <w:rFonts w:eastAsiaTheme="minorEastAsia"/>
                <w:lang w:val="es-ES"/>
              </w:rPr>
              <w:br/>
              <w:t xml:space="preserve">28 </w:t>
            </w:r>
            <w:r>
              <w:rPr>
                <w:rFonts w:eastAsiaTheme="minorEastAsia"/>
                <w:lang w:val="es-ES"/>
              </w:rPr>
              <w:t>de marzo de</w:t>
            </w:r>
            <w:r w:rsidRPr="008A3B81">
              <w:rPr>
                <w:rFonts w:eastAsiaTheme="minorEastAsia"/>
                <w:lang w:val="es-ES"/>
              </w:rPr>
              <w:t xml:space="preserve"> 2022</w:t>
            </w:r>
          </w:p>
        </w:tc>
        <w:tc>
          <w:tcPr>
            <w:tcW w:w="845" w:type="pct"/>
            <w:vAlign w:val="center"/>
          </w:tcPr>
          <w:p w14:paraId="61BE5EE1" w14:textId="2BAED1BC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8A3B81">
              <w:rPr>
                <w:rFonts w:eastAsiaTheme="minorEastAsia"/>
                <w:lang w:val="es-ES"/>
              </w:rPr>
              <w:t xml:space="preserve">0930 </w:t>
            </w:r>
            <w:r>
              <w:rPr>
                <w:rFonts w:eastAsiaTheme="minorEastAsia"/>
                <w:lang w:val="es-ES"/>
              </w:rPr>
              <w:t>a</w:t>
            </w:r>
            <w:r w:rsidRPr="008A3B81">
              <w:rPr>
                <w:rFonts w:eastAsiaTheme="minorEastAsia"/>
                <w:lang w:val="es-ES"/>
              </w:rPr>
              <w:t xml:space="preserve"> 1230</w:t>
            </w:r>
          </w:p>
          <w:p w14:paraId="5F4ABC4C" w14:textId="614CE02C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y</w:t>
            </w:r>
            <w:r w:rsidRPr="008A3B81">
              <w:rPr>
                <w:rFonts w:eastAsiaTheme="minorEastAsia"/>
                <w:lang w:val="es-ES"/>
              </w:rPr>
              <w:br/>
              <w:t xml:space="preserve">1400 </w:t>
            </w:r>
            <w:r>
              <w:rPr>
                <w:rFonts w:eastAsiaTheme="minorEastAsia"/>
                <w:lang w:val="es-ES"/>
              </w:rPr>
              <w:t>a</w:t>
            </w:r>
            <w:r w:rsidRPr="008A3B81">
              <w:rPr>
                <w:rFonts w:eastAsiaTheme="minorEastAsia"/>
                <w:lang w:val="es-ES"/>
              </w:rPr>
              <w:t xml:space="preserve"> 1700</w:t>
            </w:r>
          </w:p>
        </w:tc>
        <w:tc>
          <w:tcPr>
            <w:tcW w:w="1057" w:type="pct"/>
            <w:vAlign w:val="center"/>
          </w:tcPr>
          <w:p w14:paraId="5126924A" w14:textId="366D3C7D" w:rsidR="004F248C" w:rsidRPr="008A3B81" w:rsidRDefault="004F248C" w:rsidP="008A3B81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lang w:val="es-ES"/>
              </w:rPr>
              <w:t>Reunión presencial</w:t>
            </w:r>
            <w:r w:rsidRPr="008A3B81">
              <w:rPr>
                <w:rFonts w:eastAsiaTheme="minorEastAsia"/>
                <w:lang w:val="es-ES"/>
              </w:rPr>
              <w:t xml:space="preserve">, </w:t>
            </w:r>
            <w:r>
              <w:rPr>
                <w:rFonts w:eastAsiaTheme="minorEastAsia"/>
                <w:lang w:val="es-ES"/>
              </w:rPr>
              <w:t>con participación a distancia</w:t>
            </w:r>
          </w:p>
        </w:tc>
      </w:tr>
    </w:tbl>
    <w:p w14:paraId="3D6192C1" w14:textId="2F97A188" w:rsidR="00215F1B" w:rsidRPr="00215F1B" w:rsidRDefault="004F248C" w:rsidP="003E7BC0">
      <w:pPr>
        <w:pStyle w:val="Normalaftertitle"/>
        <w:spacing w:before="360"/>
        <w:rPr>
          <w:lang w:val="es-ES"/>
        </w:rPr>
      </w:pPr>
      <w:r>
        <w:rPr>
          <w:lang w:val="es-ES"/>
        </w:rPr>
        <w:t xml:space="preserve">Los locales de la Sede de la UIT en Ginebra estarán accesibles de conformidad con la totalidad de las medidas sanitarias necesarias que se indican en la página </w:t>
      </w:r>
      <w:r w:rsidR="003F436D">
        <w:fldChar w:fldCharType="begin"/>
      </w:r>
      <w:r w:rsidR="003F436D" w:rsidRPr="003F436D">
        <w:rPr>
          <w:lang w:val="fr-CH"/>
        </w:rPr>
        <w:instrText xml:space="preserve"> HYPERLINK "https://www.itu.int</w:instrText>
      </w:r>
      <w:r w:rsidR="003F436D" w:rsidRPr="003F436D">
        <w:rPr>
          <w:lang w:val="fr-CH"/>
        </w:rPr>
        <w:instrText xml:space="preserve">/security/covid19" </w:instrText>
      </w:r>
      <w:r w:rsidR="003F436D">
        <w:fldChar w:fldCharType="separate"/>
      </w:r>
      <w:r w:rsidRPr="00C74884">
        <w:rPr>
          <w:rStyle w:val="Hyperlink"/>
          <w:lang w:val="es-ES"/>
        </w:rPr>
        <w:t>https://www.itu.int/security/covid19</w:t>
      </w:r>
      <w:r w:rsidR="003F436D">
        <w:rPr>
          <w:rStyle w:val="Hyperlink"/>
          <w:lang w:val="es-ES"/>
        </w:rPr>
        <w:fldChar w:fldCharType="end"/>
      </w:r>
      <w:r w:rsidR="00215F1B" w:rsidRPr="00215F1B">
        <w:rPr>
          <w:lang w:val="es-ES"/>
        </w:rPr>
        <w:t>.</w:t>
      </w:r>
    </w:p>
    <w:p w14:paraId="6347C90F" w14:textId="4BA185F4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Según se estipula en el Artículo 11A del Convenio de la UIT, la participación en el </w:t>
      </w:r>
      <w:r w:rsidR="00EE4FA9">
        <w:rPr>
          <w:szCs w:val="24"/>
          <w:lang w:val="es-ES"/>
        </w:rPr>
        <w:t>GAR</w:t>
      </w:r>
      <w:r w:rsidRPr="00215F1B">
        <w:rPr>
          <w:szCs w:val="24"/>
          <w:lang w:val="es-ES"/>
        </w:rPr>
        <w:t xml:space="preserve"> está abierta a representantes de las Administraciones de los Estados Miembros y a representantes de los Miembros de Sector, así como a los Presidentes de las Comisiones de Estudio y otros grupos.</w:t>
      </w:r>
    </w:p>
    <w:p w14:paraId="53F92136" w14:textId="77777777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Los principales cometidos del GAR son, entre otros, analizar las prioridades, los programas, las operaciones, los aspectos financieros y las estrategias en relación con la Asamblea de Radiocomunicaciones, las Comisiones de Estudio y la preparación de Conferencias de Radiocomunicaciones, así como cualquier otro asunto específico que le encargue una conferencia de la Unión, una Asamblea de Radiocomunicaciones o el Consejo. El GAR recomienda medidas encaminadas a fomentar la cooperación y la coordinación con otros órganos normativos, con </w:t>
      </w:r>
      <w:r w:rsidRPr="00215F1B">
        <w:rPr>
          <w:szCs w:val="24"/>
          <w:lang w:val="es-ES"/>
        </w:rPr>
        <w:lastRenderedPageBreak/>
        <w:t>el Sector de Normalización de las Telecomunicaciones, con el Sector de Desarrollo de las Telecomunicaciones y con la Secretaría General.</w:t>
      </w:r>
    </w:p>
    <w:p w14:paraId="177BE984" w14:textId="2EF2D6E2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En </w:t>
      </w:r>
      <w:r w:rsidR="008B2CC7">
        <w:rPr>
          <w:szCs w:val="24"/>
          <w:lang w:val="es-ES"/>
        </w:rPr>
        <w:t>los</w:t>
      </w:r>
      <w:r w:rsidR="008B2CC7" w:rsidRPr="00215F1B">
        <w:rPr>
          <w:szCs w:val="24"/>
          <w:lang w:val="es-ES"/>
        </w:rPr>
        <w:t xml:space="preserve"> </w:t>
      </w:r>
      <w:r w:rsidRPr="00215F1B">
        <w:rPr>
          <w:b/>
          <w:bCs/>
          <w:szCs w:val="24"/>
          <w:lang w:val="es-ES"/>
        </w:rPr>
        <w:t>Anexo</w:t>
      </w:r>
      <w:r w:rsidR="008B2CC7">
        <w:rPr>
          <w:b/>
          <w:bCs/>
          <w:szCs w:val="24"/>
          <w:lang w:val="es-ES"/>
        </w:rPr>
        <w:t xml:space="preserve">s 1 </w:t>
      </w:r>
      <w:r w:rsidR="008B2CC7" w:rsidRPr="008A3B81">
        <w:rPr>
          <w:szCs w:val="24"/>
          <w:lang w:val="es-ES"/>
        </w:rPr>
        <w:t>y</w:t>
      </w:r>
      <w:r w:rsidR="008B2CC7">
        <w:rPr>
          <w:b/>
          <w:bCs/>
          <w:szCs w:val="24"/>
          <w:lang w:val="es-ES"/>
        </w:rPr>
        <w:t xml:space="preserve"> 2</w:t>
      </w:r>
      <w:r w:rsidRPr="00215F1B">
        <w:rPr>
          <w:szCs w:val="24"/>
          <w:lang w:val="es-ES"/>
        </w:rPr>
        <w:t xml:space="preserve"> </w:t>
      </w:r>
      <w:r w:rsidR="00DC026E">
        <w:rPr>
          <w:szCs w:val="24"/>
          <w:lang w:val="es-ES"/>
        </w:rPr>
        <w:t>figuran</w:t>
      </w:r>
      <w:r w:rsidRPr="00215F1B">
        <w:rPr>
          <w:szCs w:val="24"/>
          <w:lang w:val="es-ES"/>
        </w:rPr>
        <w:t xml:space="preserve"> </w:t>
      </w:r>
      <w:r w:rsidR="008B2CC7">
        <w:rPr>
          <w:szCs w:val="24"/>
          <w:lang w:val="es-ES"/>
        </w:rPr>
        <w:t>los</w:t>
      </w:r>
      <w:r w:rsidR="008B2CC7" w:rsidRPr="00215F1B">
        <w:rPr>
          <w:szCs w:val="24"/>
          <w:lang w:val="es-ES"/>
        </w:rPr>
        <w:t xml:space="preserve"> </w:t>
      </w:r>
      <w:r w:rsidRPr="00215F1B">
        <w:rPr>
          <w:szCs w:val="24"/>
          <w:lang w:val="es-ES"/>
        </w:rPr>
        <w:t>proyecto</w:t>
      </w:r>
      <w:r w:rsidR="008B2CC7">
        <w:rPr>
          <w:szCs w:val="24"/>
          <w:lang w:val="es-ES"/>
        </w:rPr>
        <w:t>s</w:t>
      </w:r>
      <w:r w:rsidRPr="00215F1B">
        <w:rPr>
          <w:szCs w:val="24"/>
          <w:lang w:val="es-ES"/>
        </w:rPr>
        <w:t xml:space="preserve"> de orden del día de la</w:t>
      </w:r>
      <w:r w:rsidR="008B2CC7">
        <w:rPr>
          <w:szCs w:val="24"/>
          <w:lang w:val="es-ES"/>
        </w:rPr>
        <w:t>s</w:t>
      </w:r>
      <w:r w:rsidRPr="00215F1B">
        <w:rPr>
          <w:szCs w:val="24"/>
          <w:lang w:val="es-ES"/>
        </w:rPr>
        <w:t xml:space="preserve"> </w:t>
      </w:r>
      <w:r w:rsidR="008B2CC7">
        <w:rPr>
          <w:szCs w:val="24"/>
          <w:lang w:val="es-ES"/>
        </w:rPr>
        <w:t>reuniones de febrero y de abril</w:t>
      </w:r>
      <w:r w:rsidR="00DC026E">
        <w:rPr>
          <w:szCs w:val="24"/>
          <w:lang w:val="es-ES"/>
        </w:rPr>
        <w:t>, respectivamente,</w:t>
      </w:r>
      <w:r w:rsidR="008B2CC7">
        <w:rPr>
          <w:szCs w:val="24"/>
          <w:lang w:val="es-ES"/>
        </w:rPr>
        <w:t xml:space="preserve"> que se han</w:t>
      </w:r>
      <w:r w:rsidRPr="00215F1B">
        <w:rPr>
          <w:szCs w:val="24"/>
          <w:lang w:val="es-ES"/>
        </w:rPr>
        <w:t xml:space="preserve"> preparado en consulta con el Presidente del GAR.</w:t>
      </w:r>
    </w:p>
    <w:p w14:paraId="07BA18B7" w14:textId="6E5C4CD9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Todos los documentos e información administrativa relativos a la próxima reunión del GAR se publicarán en la página web de la UIT en </w:t>
      </w:r>
      <w:r w:rsidR="003F436D">
        <w:fldChar w:fldCharType="begin"/>
      </w:r>
      <w:r w:rsidR="003F436D" w:rsidRPr="003F436D">
        <w:rPr>
          <w:lang w:val="fr-CH"/>
        </w:rPr>
        <w:instrText xml:space="preserve"> HYPERLINK "https://www.itu.int/es/ITU-R/conferences/rag/Pages/default.aspx" </w:instrText>
      </w:r>
      <w:r w:rsidR="003F436D">
        <w:fldChar w:fldCharType="separate"/>
      </w:r>
      <w:r w:rsidR="007E1505" w:rsidRPr="00F83177">
        <w:rPr>
          <w:rStyle w:val="Hyperlink"/>
          <w:szCs w:val="24"/>
          <w:lang w:val="es-ES"/>
        </w:rPr>
        <w:t>www.itu.int/ITU-R/go/RAG</w:t>
      </w:r>
      <w:r w:rsidR="003F436D">
        <w:rPr>
          <w:rStyle w:val="Hyperlink"/>
          <w:szCs w:val="24"/>
          <w:lang w:val="es-ES"/>
        </w:rPr>
        <w:fldChar w:fldCharType="end"/>
      </w:r>
      <w:r w:rsidRPr="00215F1B">
        <w:rPr>
          <w:szCs w:val="24"/>
          <w:lang w:val="es-ES"/>
        </w:rPr>
        <w:t xml:space="preserve"> en cuanto estén disponibles.</w:t>
      </w:r>
    </w:p>
    <w:p w14:paraId="0952DAF5" w14:textId="77777777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Contribuciones</w:t>
      </w:r>
    </w:p>
    <w:p w14:paraId="5FB00876" w14:textId="07C69510" w:rsidR="008B2CC7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Las contribuciones deben dirigirse </w:t>
      </w:r>
      <w:r w:rsidR="008B2CC7">
        <w:rPr>
          <w:szCs w:val="24"/>
          <w:lang w:val="es-ES"/>
        </w:rPr>
        <w:t>a</w:t>
      </w:r>
      <w:r w:rsidRPr="00215F1B">
        <w:rPr>
          <w:szCs w:val="24"/>
          <w:lang w:val="es-ES"/>
        </w:rPr>
        <w:t xml:space="preserve"> la Oficina de Radiocomunicaciones (BR) a la dirección </w:t>
      </w:r>
      <w:r w:rsidR="003F436D">
        <w:fldChar w:fldCharType="begin"/>
      </w:r>
      <w:r w:rsidR="003F436D" w:rsidRPr="003F436D">
        <w:rPr>
          <w:lang w:val="fr-CH"/>
        </w:rPr>
        <w:instrText xml:space="preserve"> HYPERLINK "mailto:brrag@itu.int" </w:instrText>
      </w:r>
      <w:r w:rsidR="003F436D">
        <w:fldChar w:fldCharType="separate"/>
      </w:r>
      <w:r w:rsidRPr="00215F1B">
        <w:rPr>
          <w:rStyle w:val="Hyperlink"/>
          <w:szCs w:val="24"/>
          <w:lang w:val="es-ES"/>
        </w:rPr>
        <w:t>brrag@itu.int</w:t>
      </w:r>
      <w:r w:rsidR="003F436D">
        <w:rPr>
          <w:rStyle w:val="Hyperlink"/>
          <w:szCs w:val="24"/>
          <w:lang w:val="es-ES"/>
        </w:rPr>
        <w:fldChar w:fldCharType="end"/>
      </w:r>
      <w:r w:rsidRPr="00215F1B">
        <w:rPr>
          <w:szCs w:val="24"/>
          <w:lang w:val="es-ES"/>
        </w:rPr>
        <w:t xml:space="preserve">, con copia al Presidente y los Vicepresidentes del GAR </w:t>
      </w:r>
      <w:r w:rsidR="008B2CC7">
        <w:rPr>
          <w:szCs w:val="24"/>
          <w:lang w:val="es-ES"/>
        </w:rPr>
        <w:t xml:space="preserve">(véanse </w:t>
      </w:r>
      <w:r w:rsidRPr="00215F1B">
        <w:rPr>
          <w:szCs w:val="24"/>
          <w:lang w:val="es-ES"/>
        </w:rPr>
        <w:t xml:space="preserve">las direcciones de correo electrónico indicadas en la página web </w:t>
      </w:r>
      <w:r w:rsidR="003F436D">
        <w:fldChar w:fldCharType="begin"/>
      </w:r>
      <w:r w:rsidR="003F436D" w:rsidRPr="003F436D">
        <w:rPr>
          <w:lang w:val="fr-CH"/>
        </w:rPr>
        <w:instrText xml:space="preserve"> HYPERLINK "http://www.itu.int/go/RAGchairs" </w:instrText>
      </w:r>
      <w:r w:rsidR="003F436D">
        <w:fldChar w:fldCharType="separate"/>
      </w:r>
      <w:r w:rsidRPr="00215F1B">
        <w:rPr>
          <w:rStyle w:val="Hyperlink"/>
          <w:szCs w:val="24"/>
          <w:lang w:val="es-ES"/>
        </w:rPr>
        <w:t>www.itu.int/go/RAGchairs</w:t>
      </w:r>
      <w:r w:rsidR="003F436D">
        <w:rPr>
          <w:rStyle w:val="Hyperlink"/>
          <w:szCs w:val="24"/>
          <w:lang w:val="es-ES"/>
        </w:rPr>
        <w:fldChar w:fldCharType="end"/>
      </w:r>
      <w:r w:rsidR="008B2CC7">
        <w:rPr>
          <w:rStyle w:val="Hyperlink"/>
          <w:szCs w:val="24"/>
          <w:lang w:val="es-ES"/>
        </w:rPr>
        <w:t>)</w:t>
      </w:r>
      <w:r w:rsidRPr="00215F1B">
        <w:rPr>
          <w:szCs w:val="24"/>
          <w:lang w:val="es-ES"/>
        </w:rPr>
        <w:t xml:space="preserve">. </w:t>
      </w:r>
    </w:p>
    <w:p w14:paraId="4AA69E81" w14:textId="4495377F" w:rsidR="00215F1B" w:rsidRPr="00215F1B" w:rsidRDefault="008B2CC7" w:rsidP="003E7BC0">
      <w:pPr>
        <w:rPr>
          <w:szCs w:val="24"/>
          <w:lang w:val="es-ES"/>
        </w:rPr>
      </w:pPr>
      <w:r>
        <w:rPr>
          <w:szCs w:val="24"/>
          <w:lang w:val="es-ES"/>
        </w:rPr>
        <w:t>Para garantizar la traducción de los documentos del GAR en los seis idiomas de la Unión, las contribuciones deben presentarse dentro de los plazos indicados en el cuadro</w:t>
      </w:r>
      <w:r w:rsidR="00D665E7">
        <w:rPr>
          <w:szCs w:val="24"/>
          <w:lang w:val="es-ES"/>
        </w:rPr>
        <w:t xml:space="preserve"> que figura más arriba. Las contribuciones recibidas después de esas fechas se publicarán únicamente en el idioma original</w:t>
      </w:r>
      <w:r w:rsidR="00215F1B" w:rsidRPr="00215F1B">
        <w:rPr>
          <w:szCs w:val="24"/>
          <w:lang w:val="es-ES"/>
        </w:rPr>
        <w:t>.</w:t>
      </w:r>
    </w:p>
    <w:p w14:paraId="751B88DC" w14:textId="77777777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Calendario de la reunión</w:t>
      </w:r>
    </w:p>
    <w:p w14:paraId="3C5E637F" w14:textId="122158EF" w:rsidR="00215F1B" w:rsidRPr="00215F1B" w:rsidRDefault="00D665E7" w:rsidP="003E7BC0">
      <w:pPr>
        <w:rPr>
          <w:szCs w:val="24"/>
          <w:lang w:val="es-ES"/>
        </w:rPr>
      </w:pPr>
      <w:r>
        <w:rPr>
          <w:szCs w:val="24"/>
          <w:lang w:val="es-ES"/>
        </w:rPr>
        <w:t>Para el programa diario de las sesiones de la reunión, véase el cuadro arriba indicado.</w:t>
      </w:r>
    </w:p>
    <w:p w14:paraId="0C1BD77B" w14:textId="79ABAC92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>Cuando haya transcurrido el plazo para la presentación de contribuciones, se publicará en la página web del GAR un plan de gestión del tiempo detallado.</w:t>
      </w:r>
    </w:p>
    <w:p w14:paraId="23264315" w14:textId="245D7E8D" w:rsidR="00215F1B" w:rsidRPr="00215F1B" w:rsidRDefault="00D665E7" w:rsidP="00215F1B">
      <w:pPr>
        <w:pStyle w:val="Headingb"/>
        <w:rPr>
          <w:lang w:val="es-ES"/>
        </w:rPr>
      </w:pPr>
      <w:r w:rsidRPr="00215F1B">
        <w:rPr>
          <w:lang w:val="es-ES"/>
        </w:rPr>
        <w:t xml:space="preserve">Participación </w:t>
      </w:r>
      <w:r w:rsidR="00215F1B" w:rsidRPr="00215F1B">
        <w:rPr>
          <w:lang w:val="es-ES"/>
        </w:rPr>
        <w:t>a distancia, interpretación y transmisión por la web</w:t>
      </w:r>
    </w:p>
    <w:p w14:paraId="3AFA385B" w14:textId="31CCA3C4" w:rsidR="00D665E7" w:rsidRDefault="00D665E7" w:rsidP="003E7BC0">
      <w:pPr>
        <w:rPr>
          <w:szCs w:val="24"/>
          <w:lang w:val="es-ES"/>
        </w:rPr>
      </w:pPr>
      <w:r>
        <w:rPr>
          <w:szCs w:val="24"/>
          <w:lang w:val="es-ES"/>
        </w:rPr>
        <w:t xml:space="preserve">Durante las dos sesiones del GAR de febrero y de abril se podrá participar a distancia utilizando la plataforma </w:t>
      </w:r>
      <w:hyperlink r:id="rId8" w:history="1">
        <w:proofErr w:type="gramStart"/>
        <w:r w:rsidRPr="00DC026E">
          <w:rPr>
            <w:rStyle w:val="Hyperlink"/>
            <w:szCs w:val="24"/>
            <w:lang w:val="es-ES"/>
          </w:rPr>
          <w:t>Zoom</w:t>
        </w:r>
        <w:proofErr w:type="gramEnd"/>
      </w:hyperlink>
      <w:r>
        <w:rPr>
          <w:szCs w:val="24"/>
          <w:lang w:val="es-ES"/>
        </w:rPr>
        <w:t>.</w:t>
      </w:r>
    </w:p>
    <w:p w14:paraId="6A0FD6BB" w14:textId="07853731" w:rsidR="00D665E7" w:rsidRDefault="00D665E7" w:rsidP="003E7BC0">
      <w:pPr>
        <w:rPr>
          <w:szCs w:val="24"/>
          <w:lang w:val="es-ES"/>
        </w:rPr>
      </w:pPr>
      <w:r>
        <w:rPr>
          <w:szCs w:val="24"/>
          <w:lang w:val="es-ES"/>
        </w:rPr>
        <w:t>También se dispondrán servicios de</w:t>
      </w:r>
      <w:r w:rsidR="00215F1B" w:rsidRPr="00215F1B">
        <w:rPr>
          <w:szCs w:val="24"/>
          <w:lang w:val="es-ES"/>
        </w:rPr>
        <w:t xml:space="preserve"> interpretación simultánea en los seis idiomas oficiales de la Unión. </w:t>
      </w:r>
    </w:p>
    <w:p w14:paraId="0DE8355A" w14:textId="04F6DF15" w:rsidR="00215F1B" w:rsidRPr="00215F1B" w:rsidRDefault="00D665E7" w:rsidP="003E7BC0">
      <w:pPr>
        <w:rPr>
          <w:szCs w:val="24"/>
          <w:lang w:val="es-ES"/>
        </w:rPr>
      </w:pPr>
      <w:r>
        <w:rPr>
          <w:szCs w:val="24"/>
          <w:lang w:val="es-ES"/>
        </w:rPr>
        <w:t>Además, las sesiones</w:t>
      </w:r>
      <w:r w:rsidRPr="00215F1B">
        <w:rPr>
          <w:szCs w:val="24"/>
          <w:lang w:val="es-ES"/>
        </w:rPr>
        <w:t xml:space="preserve"> </w:t>
      </w:r>
      <w:r w:rsidR="00215F1B" w:rsidRPr="00215F1B">
        <w:rPr>
          <w:szCs w:val="24"/>
          <w:lang w:val="es-ES"/>
        </w:rPr>
        <w:t xml:space="preserve">se transmitirán por Internet y se grabarán </w:t>
      </w:r>
      <w:r>
        <w:rPr>
          <w:szCs w:val="24"/>
          <w:lang w:val="es-ES"/>
        </w:rPr>
        <w:t xml:space="preserve">en los seis idiomas </w:t>
      </w:r>
      <w:r w:rsidR="00215F1B" w:rsidRPr="00215F1B">
        <w:rPr>
          <w:szCs w:val="24"/>
          <w:lang w:val="es-ES"/>
        </w:rPr>
        <w:t>para su visualización durante y después de la reunión, respectivamente.</w:t>
      </w:r>
    </w:p>
    <w:p w14:paraId="2053846E" w14:textId="6B92CC12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Inscripción</w:t>
      </w:r>
    </w:p>
    <w:p w14:paraId="3F0C356B" w14:textId="0A624067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 inscripción anticipada es obligatoria y se llevará a cabo exclusivamente en línea. </w:t>
      </w:r>
      <w:r w:rsidR="00420350" w:rsidRPr="00215F1B">
        <w:rPr>
          <w:szCs w:val="24"/>
          <w:lang w:val="es-ES"/>
        </w:rPr>
        <w:t xml:space="preserve">Los </w:t>
      </w:r>
      <w:r w:rsidRPr="00215F1B">
        <w:rPr>
          <w:szCs w:val="24"/>
          <w:lang w:val="es-ES"/>
        </w:rPr>
        <w:t>participantes deben cumplimentar primero un formulario de inscripción en línea y luego solicitar la aprobación de su inscripción a su coordinador designado (DFP) para la inscripción en eventos del UIT-R.</w:t>
      </w:r>
    </w:p>
    <w:p w14:paraId="526A3252" w14:textId="77777777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>Los participantes encontrarán la información necesaria sobre la inscripción de delegados en la dirección:</w:t>
      </w:r>
    </w:p>
    <w:p w14:paraId="4F195592" w14:textId="77777777" w:rsidR="00215F1B" w:rsidRPr="00215F1B" w:rsidRDefault="003F436D" w:rsidP="00215F1B">
      <w:pPr>
        <w:jc w:val="center"/>
        <w:rPr>
          <w:szCs w:val="24"/>
          <w:lang w:val="es-ES"/>
        </w:rPr>
      </w:pPr>
      <w:r>
        <w:fldChar w:fldCharType="begin"/>
      </w:r>
      <w:r w:rsidRPr="003F436D">
        <w:rPr>
          <w:lang w:val="es-ES"/>
        </w:rPr>
        <w:instrText xml:space="preserve"> HYPERLINK "http://www.itu.int/es/ITU-R/information/events/Pages/eventregistration.aspx" </w:instrText>
      </w:r>
      <w:r>
        <w:fldChar w:fldCharType="separate"/>
      </w:r>
      <w:r w:rsidR="00215F1B" w:rsidRPr="00215F1B">
        <w:rPr>
          <w:rStyle w:val="Hyperlink"/>
          <w:szCs w:val="24"/>
          <w:lang w:val="es-ES"/>
        </w:rPr>
        <w:t>www.itu.int/es/ITU-R/information/events</w:t>
      </w:r>
      <w:r>
        <w:rPr>
          <w:rStyle w:val="Hyperlink"/>
          <w:szCs w:val="24"/>
          <w:lang w:val="es-ES"/>
        </w:rPr>
        <w:fldChar w:fldCharType="end"/>
      </w:r>
      <w:r w:rsidR="00215F1B" w:rsidRPr="00215F1B">
        <w:rPr>
          <w:szCs w:val="24"/>
          <w:lang w:val="es-ES"/>
        </w:rPr>
        <w:t>.</w:t>
      </w:r>
    </w:p>
    <w:p w14:paraId="5E91E0B9" w14:textId="5DECF3F0" w:rsidR="00420350" w:rsidRDefault="00420350" w:rsidP="00512DE7">
      <w:pPr>
        <w:pStyle w:val="Headingb"/>
        <w:ind w:left="0" w:firstLine="0"/>
        <w:jc w:val="left"/>
        <w:rPr>
          <w:lang w:val="es-ES"/>
        </w:rPr>
      </w:pPr>
      <w:r w:rsidRPr="00420350">
        <w:rPr>
          <w:lang w:val="es-ES"/>
        </w:rPr>
        <w:t>Conversión en reunión virtual en caso de que las condiciones de la pandemia empeoren de manera sustancia</w:t>
      </w:r>
      <w:r w:rsidR="008A3B81">
        <w:rPr>
          <w:lang w:val="es-ES"/>
        </w:rPr>
        <w:t>l</w:t>
      </w:r>
    </w:p>
    <w:p w14:paraId="7C735B6A" w14:textId="259AA520" w:rsidR="00420350" w:rsidRPr="00215F1B" w:rsidRDefault="00420350" w:rsidP="003E7BC0">
      <w:pPr>
        <w:rPr>
          <w:szCs w:val="24"/>
          <w:lang w:val="es-ES"/>
        </w:rPr>
      </w:pPr>
      <w:r w:rsidRPr="00420350">
        <w:rPr>
          <w:szCs w:val="24"/>
          <w:lang w:val="es-ES"/>
        </w:rPr>
        <w:t>En caso de que las condiciones de la pandemia empeor</w:t>
      </w:r>
      <w:r>
        <w:rPr>
          <w:szCs w:val="24"/>
          <w:lang w:val="es-ES"/>
        </w:rPr>
        <w:t>ara</w:t>
      </w:r>
      <w:r w:rsidRPr="00420350">
        <w:rPr>
          <w:szCs w:val="24"/>
          <w:lang w:val="es-ES"/>
        </w:rPr>
        <w:t xml:space="preserve">n, los organizadores de la reunión informarán a todos los participantes de una posible conversión de la reunión </w:t>
      </w:r>
      <w:r>
        <w:rPr>
          <w:szCs w:val="24"/>
          <w:lang w:val="es-ES"/>
        </w:rPr>
        <w:t>del GAR del 11 al 14</w:t>
      </w:r>
      <w:r w:rsidR="00512DE7">
        <w:rPr>
          <w:szCs w:val="24"/>
          <w:lang w:val="es-ES"/>
        </w:rPr>
        <w:t> </w:t>
      </w:r>
      <w:r>
        <w:rPr>
          <w:szCs w:val="24"/>
          <w:lang w:val="es-ES"/>
        </w:rPr>
        <w:t>de abril de 2022</w:t>
      </w:r>
      <w:r w:rsidRPr="00420350">
        <w:rPr>
          <w:szCs w:val="24"/>
          <w:lang w:val="es-ES"/>
        </w:rPr>
        <w:t xml:space="preserve"> en virtual a su debido tiempo a través de un </w:t>
      </w:r>
      <w:proofErr w:type="spellStart"/>
      <w:r w:rsidRPr="00420350">
        <w:rPr>
          <w:szCs w:val="24"/>
          <w:lang w:val="es-ES"/>
        </w:rPr>
        <w:t>addéndum</w:t>
      </w:r>
      <w:proofErr w:type="spellEnd"/>
      <w:r w:rsidRPr="00420350">
        <w:rPr>
          <w:szCs w:val="24"/>
          <w:lang w:val="es-ES"/>
        </w:rPr>
        <w:t xml:space="preserve"> a la presente Circular Administrativa</w:t>
      </w:r>
      <w:r w:rsidRPr="00215F1B">
        <w:rPr>
          <w:szCs w:val="24"/>
          <w:lang w:val="es-ES"/>
        </w:rPr>
        <w:t>.</w:t>
      </w:r>
    </w:p>
    <w:p w14:paraId="19F49D74" w14:textId="23721445" w:rsidR="00215F1B" w:rsidRPr="00215F1B" w:rsidRDefault="00215F1B" w:rsidP="00512DE7">
      <w:pPr>
        <w:pStyle w:val="Headingb"/>
        <w:jc w:val="left"/>
        <w:rPr>
          <w:lang w:val="es-ES"/>
        </w:rPr>
      </w:pPr>
      <w:r w:rsidRPr="00215F1B">
        <w:rPr>
          <w:lang w:val="es-ES"/>
        </w:rPr>
        <w:lastRenderedPageBreak/>
        <w:t>Información general</w:t>
      </w:r>
    </w:p>
    <w:p w14:paraId="584935B1" w14:textId="6249B34C" w:rsidR="00215F1B" w:rsidRPr="00215F1B" w:rsidRDefault="00215F1B" w:rsidP="003F436D">
      <w:pPr>
        <w:spacing w:line="240" w:lineRule="auto"/>
        <w:rPr>
          <w:szCs w:val="24"/>
          <w:lang w:val="es-ES"/>
        </w:rPr>
      </w:pPr>
      <w:bookmarkStart w:id="1" w:name="_GoBack"/>
      <w:r w:rsidRPr="00215F1B">
        <w:rPr>
          <w:szCs w:val="24"/>
          <w:lang w:val="es-ES"/>
        </w:rPr>
        <w:t xml:space="preserve">Para más información, sírvase visitar el sitio web del GAR en la dirección </w:t>
      </w:r>
      <w:r w:rsidR="00512DE7">
        <w:rPr>
          <w:szCs w:val="24"/>
          <w:lang w:val="es-ES"/>
        </w:rPr>
        <w:br/>
      </w:r>
      <w:hyperlink r:id="rId9" w:history="1">
        <w:r w:rsidR="00512DE7" w:rsidRPr="00D26438">
          <w:rPr>
            <w:rStyle w:val="Hyperlink"/>
            <w:szCs w:val="24"/>
            <w:lang w:val="es-ES"/>
          </w:rPr>
          <w:t>www.itu.int/ITU-R/go/RAG</w:t>
        </w:r>
      </w:hyperlink>
      <w:r w:rsidRPr="00215F1B">
        <w:rPr>
          <w:szCs w:val="24"/>
          <w:lang w:val="es-ES"/>
        </w:rPr>
        <w:t>.</w:t>
      </w:r>
    </w:p>
    <w:bookmarkEnd w:id="1"/>
    <w:p w14:paraId="0B9DBD3E" w14:textId="77777777" w:rsidR="00215F1B" w:rsidRPr="00215F1B" w:rsidRDefault="00215F1B" w:rsidP="003E7BC0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 Oficina queda a su disposición para responder a cualquier cuestión relacionada con la presente Circular Administrativa (la persona de contacto en la Oficina de Radiocomunicaciones es la Sra. Joanne Wilson, correo-e: </w:t>
      </w:r>
      <w:hyperlink r:id="rId10" w:history="1">
        <w:r w:rsidRPr="00215F1B">
          <w:rPr>
            <w:rStyle w:val="Hyperlink"/>
            <w:szCs w:val="24"/>
            <w:lang w:val="es-ES"/>
          </w:rPr>
          <w:t>joanne.wilson@itu.int</w:t>
        </w:r>
      </w:hyperlink>
      <w:r w:rsidRPr="00215F1B">
        <w:rPr>
          <w:szCs w:val="24"/>
          <w:lang w:val="es-ES"/>
        </w:rPr>
        <w:t>).</w:t>
      </w:r>
      <w:bookmarkEnd w:id="0"/>
    </w:p>
    <w:p w14:paraId="6B52ADAE" w14:textId="77777777" w:rsidR="00031E64" w:rsidRDefault="001B3D4D" w:rsidP="00512DE7">
      <w:pPr>
        <w:spacing w:before="1080"/>
        <w:jc w:val="left"/>
        <w:rPr>
          <w:szCs w:val="24"/>
          <w:lang w:val="es-ES"/>
        </w:rPr>
      </w:pPr>
      <w:r w:rsidRPr="008A3B81">
        <w:rPr>
          <w:lang w:val="es-ES"/>
        </w:rPr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14:paraId="6CADCE70" w14:textId="223BD993" w:rsidR="00215F1B" w:rsidRPr="00215F1B" w:rsidRDefault="00215F1B" w:rsidP="003E7BC0">
      <w:pPr>
        <w:spacing w:before="1560"/>
        <w:rPr>
          <w:lang w:val="es-ES"/>
        </w:rPr>
      </w:pPr>
      <w:r w:rsidRPr="00215F1B">
        <w:rPr>
          <w:b/>
          <w:bCs/>
          <w:lang w:val="es-ES"/>
        </w:rPr>
        <w:t>Anexo</w:t>
      </w:r>
      <w:r w:rsidR="00420350">
        <w:rPr>
          <w:b/>
          <w:bCs/>
          <w:lang w:val="es-ES"/>
        </w:rPr>
        <w:t>s</w:t>
      </w:r>
      <w:r w:rsidRPr="00215F1B">
        <w:rPr>
          <w:lang w:val="es-ES"/>
        </w:rPr>
        <w:t xml:space="preserve">: </w:t>
      </w:r>
      <w:r w:rsidR="00420350">
        <w:rPr>
          <w:lang w:val="es-ES"/>
        </w:rPr>
        <w:t>2</w:t>
      </w:r>
    </w:p>
    <w:p w14:paraId="5DDDDD5A" w14:textId="6E9DF557" w:rsidR="00215F1B" w:rsidRDefault="00215F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314121AC" w14:textId="77777777" w:rsidR="00512DE7" w:rsidRDefault="00215F1B" w:rsidP="00512DE7">
      <w:pPr>
        <w:pStyle w:val="AnnexNoTitle"/>
        <w:rPr>
          <w:lang w:val="es-ES"/>
        </w:rPr>
      </w:pPr>
      <w:r w:rsidRPr="00215F1B">
        <w:rPr>
          <w:lang w:val="es-ES"/>
        </w:rPr>
        <w:lastRenderedPageBreak/>
        <w:t>ANEXO</w:t>
      </w:r>
      <w:r w:rsidR="00420350">
        <w:rPr>
          <w:lang w:val="es-ES"/>
        </w:rPr>
        <w:t xml:space="preserve"> 1</w:t>
      </w:r>
      <w:r w:rsidRPr="00215F1B">
        <w:rPr>
          <w:lang w:val="es-ES"/>
        </w:rPr>
        <w:br/>
      </w:r>
      <w:r w:rsidRPr="00215F1B">
        <w:rPr>
          <w:lang w:val="es-ES"/>
        </w:rPr>
        <w:br/>
        <w:t xml:space="preserve">Proyecto del orden del día de la vigésima </w:t>
      </w:r>
      <w:r w:rsidR="00420350">
        <w:rPr>
          <w:lang w:val="es-ES"/>
        </w:rPr>
        <w:t>novena</w:t>
      </w:r>
      <w:r w:rsidR="00420350" w:rsidRPr="00215F1B">
        <w:rPr>
          <w:lang w:val="es-ES"/>
        </w:rPr>
        <w:t xml:space="preserve"> </w:t>
      </w:r>
      <w:r w:rsidRPr="00215F1B">
        <w:rPr>
          <w:lang w:val="es-ES"/>
        </w:rPr>
        <w:t>reunión</w:t>
      </w:r>
      <w:r w:rsidRPr="00215F1B">
        <w:rPr>
          <w:lang w:val="es-ES"/>
        </w:rPr>
        <w:br/>
        <w:t>del Grupo Asesor de Radiocomunicaciones</w:t>
      </w:r>
    </w:p>
    <w:p w14:paraId="54FFB42E" w14:textId="2AB58D71" w:rsidR="00420350" w:rsidRPr="004E7CA4" w:rsidRDefault="00420350" w:rsidP="00512DE7">
      <w:pPr>
        <w:pStyle w:val="AnnexNoTitle"/>
        <w:rPr>
          <w:lang w:val="es-ES"/>
        </w:rPr>
      </w:pPr>
      <w:r w:rsidRPr="004E7CA4">
        <w:rPr>
          <w:lang w:val="es-ES"/>
        </w:rPr>
        <w:t>Examen de los proyectos de Plan Estratégico y de Plan Financiero del UIT-R</w:t>
      </w:r>
    </w:p>
    <w:p w14:paraId="67A9ADFC" w14:textId="3DE5EC48" w:rsidR="00215F1B" w:rsidRDefault="00215F1B" w:rsidP="00215F1B">
      <w:pPr>
        <w:spacing w:after="360"/>
        <w:jc w:val="center"/>
        <w:rPr>
          <w:lang w:val="es-ES"/>
        </w:rPr>
      </w:pPr>
      <w:r w:rsidRPr="00215F1B">
        <w:rPr>
          <w:lang w:val="es-ES"/>
        </w:rPr>
        <w:t>(</w:t>
      </w:r>
      <w:r w:rsidR="004E7CA4">
        <w:rPr>
          <w:lang w:val="es-ES"/>
        </w:rPr>
        <w:t>24 de febrero de 2022</w:t>
      </w:r>
      <w:r w:rsidRPr="00215F1B">
        <w:rPr>
          <w:lang w:val="es-ES"/>
        </w:rPr>
        <w:t>)</w:t>
      </w:r>
    </w:p>
    <w:p w14:paraId="7D016EF4" w14:textId="4AC8FFE8" w:rsidR="00A209DE" w:rsidRPr="008A3B81" w:rsidRDefault="00512DE7" w:rsidP="00512DE7">
      <w:pPr>
        <w:rPr>
          <w:rFonts w:eastAsia="SimSun"/>
          <w:lang w:val="es-ES"/>
        </w:rPr>
      </w:pPr>
      <w:r>
        <w:rPr>
          <w:rFonts w:eastAsia="SimSun"/>
          <w:lang w:val="es-ES"/>
        </w:rPr>
        <w:t>1</w:t>
      </w:r>
      <w:r>
        <w:rPr>
          <w:rFonts w:eastAsia="SimSun"/>
          <w:lang w:val="es-ES"/>
        </w:rPr>
        <w:tab/>
      </w:r>
      <w:r w:rsidR="00A209DE" w:rsidRPr="008A3B81">
        <w:rPr>
          <w:rFonts w:eastAsia="SimSun"/>
          <w:lang w:val="es-ES"/>
        </w:rPr>
        <w:t>Observaciones preliminares</w:t>
      </w:r>
    </w:p>
    <w:p w14:paraId="764EE5BB" w14:textId="6BE4BCE9" w:rsidR="00A209DE" w:rsidRPr="008A3B81" w:rsidRDefault="00512DE7" w:rsidP="00512DE7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A209DE" w:rsidRPr="008A3B81">
        <w:rPr>
          <w:lang w:val="es-ES"/>
        </w:rPr>
        <w:t>Aprobación del orden del día</w:t>
      </w:r>
    </w:p>
    <w:p w14:paraId="175B0316" w14:textId="70F17D5F" w:rsidR="00A209DE" w:rsidRPr="008A3B81" w:rsidRDefault="00512DE7" w:rsidP="00512DE7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A209DE" w:rsidRPr="008A3B81">
        <w:rPr>
          <w:lang w:val="es-ES"/>
        </w:rPr>
        <w:t>Presentación de los documentos del GTC-PEF</w:t>
      </w:r>
    </w:p>
    <w:p w14:paraId="71220099" w14:textId="35D3F217" w:rsidR="00A209DE" w:rsidRDefault="00512DE7" w:rsidP="00512DE7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A209DE" w:rsidRPr="00A209DE">
        <w:rPr>
          <w:lang w:val="es-ES"/>
        </w:rPr>
        <w:t>Examen de las contribuciones recibidas en relación con los documentos del GTC-PEF</w:t>
      </w:r>
    </w:p>
    <w:p w14:paraId="3C8F3A58" w14:textId="27CADD49" w:rsidR="00A209DE" w:rsidRDefault="00512DE7" w:rsidP="00512DE7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ab/>
      </w:r>
      <w:r w:rsidR="00A209DE" w:rsidRPr="00A209DE">
        <w:rPr>
          <w:lang w:val="es-ES"/>
        </w:rPr>
        <w:t xml:space="preserve">Elaboración de los comentarios del GAR al Consejo de la UIT de 2022 sobre los </w:t>
      </w:r>
      <w:r w:rsidR="00DC026E">
        <w:rPr>
          <w:lang w:val="es-ES"/>
        </w:rPr>
        <w:t xml:space="preserve">proyectos de </w:t>
      </w:r>
      <w:r w:rsidR="00A209DE" w:rsidRPr="00A209DE">
        <w:rPr>
          <w:lang w:val="es-ES"/>
        </w:rPr>
        <w:t xml:space="preserve">Plan Estratégico y </w:t>
      </w:r>
      <w:r w:rsidR="00DC026E">
        <w:rPr>
          <w:lang w:val="es-ES"/>
        </w:rPr>
        <w:t xml:space="preserve">Plan </w:t>
      </w:r>
      <w:r w:rsidR="00A209DE" w:rsidRPr="00A209DE">
        <w:rPr>
          <w:lang w:val="es-ES"/>
        </w:rPr>
        <w:t>Financiero</w:t>
      </w:r>
      <w:r w:rsidR="00DC026E">
        <w:rPr>
          <w:lang w:val="es-ES"/>
        </w:rPr>
        <w:t xml:space="preserve"> de la UIT</w:t>
      </w:r>
    </w:p>
    <w:p w14:paraId="3A729CFD" w14:textId="5CCA7488" w:rsidR="00A209DE" w:rsidRPr="008A3B81" w:rsidRDefault="00512DE7" w:rsidP="00512DE7">
      <w:pPr>
        <w:rPr>
          <w:rFonts w:eastAsia="SimSun"/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</w:r>
      <w:r w:rsidR="00A209DE" w:rsidRPr="00A209DE">
        <w:rPr>
          <w:lang w:val="es-ES"/>
        </w:rPr>
        <w:t>Otros asuntos</w:t>
      </w:r>
    </w:p>
    <w:p w14:paraId="53D2E63A" w14:textId="595CD461" w:rsidR="008D002E" w:rsidRPr="00512DE7" w:rsidRDefault="008D002E" w:rsidP="00512D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 w:line="240" w:lineRule="auto"/>
        <w:ind w:left="4678" w:firstLine="142"/>
        <w:jc w:val="center"/>
        <w:rPr>
          <w:szCs w:val="24"/>
          <w:lang w:val="es-ES"/>
        </w:rPr>
      </w:pPr>
      <w:r w:rsidRPr="00512DE7">
        <w:rPr>
          <w:rFonts w:asciiTheme="minorHAnsi" w:eastAsiaTheme="minorEastAsia" w:hAnsiTheme="minorHAnsi" w:cstheme="minorHAnsi"/>
          <w:szCs w:val="24"/>
          <w:lang w:val="es-ES"/>
        </w:rPr>
        <w:t xml:space="preserve">Sr. Daniel OBAM </w:t>
      </w:r>
      <w:r w:rsidRPr="00512DE7">
        <w:rPr>
          <w:rFonts w:asciiTheme="minorHAnsi" w:eastAsiaTheme="minorEastAsia" w:hAnsiTheme="minorHAnsi" w:cstheme="minorHAnsi"/>
          <w:szCs w:val="24"/>
          <w:lang w:val="es-ES"/>
        </w:rPr>
        <w:br/>
        <w:t>Presidente, Grupo Asesor de Radiocomunicaciones</w:t>
      </w:r>
      <w:r w:rsidR="00512DE7">
        <w:rPr>
          <w:rFonts w:asciiTheme="minorHAnsi" w:eastAsiaTheme="minorEastAsia" w:hAnsiTheme="minorHAnsi" w:cstheme="minorHAnsi"/>
          <w:szCs w:val="24"/>
          <w:lang w:val="es-ES"/>
        </w:rPr>
        <w:br/>
      </w:r>
      <w:hyperlink r:id="rId11" w:history="1">
        <w:r w:rsidRPr="00512DE7">
          <w:rPr>
            <w:rStyle w:val="Hyperlink"/>
            <w:rFonts w:asciiTheme="minorHAnsi" w:eastAsiaTheme="minorEastAsia" w:hAnsiTheme="minorHAnsi" w:cstheme="minorHAnsi"/>
            <w:szCs w:val="24"/>
            <w:lang w:val="es-ES"/>
          </w:rPr>
          <w:t>dobam@ncs.go.ke</w:t>
        </w:r>
      </w:hyperlink>
    </w:p>
    <w:p w14:paraId="1C5A0444" w14:textId="2CE6B261" w:rsidR="004E7CA4" w:rsidRPr="00A209DE" w:rsidRDefault="004E7CA4" w:rsidP="008A3B81">
      <w:pPr>
        <w:pStyle w:val="ListParagraph"/>
        <w:numPr>
          <w:ilvl w:val="0"/>
          <w:numId w:val="6"/>
        </w:numPr>
        <w:rPr>
          <w:lang w:val="es-ES"/>
        </w:rPr>
      </w:pPr>
      <w:r w:rsidRPr="00A209DE">
        <w:rPr>
          <w:lang w:val="es-ES"/>
        </w:rPr>
        <w:br w:type="page"/>
      </w:r>
    </w:p>
    <w:p w14:paraId="2D0D3438" w14:textId="72674071" w:rsidR="004E7CA4" w:rsidRPr="008A3B81" w:rsidRDefault="004E7CA4" w:rsidP="00512DE7">
      <w:pPr>
        <w:pStyle w:val="AnnexNoTitle"/>
        <w:rPr>
          <w:lang w:val="es-ES"/>
        </w:rPr>
      </w:pPr>
      <w:r w:rsidRPr="008A3B81">
        <w:rPr>
          <w:lang w:val="es-ES"/>
        </w:rPr>
        <w:lastRenderedPageBreak/>
        <w:t>Anexo 2</w:t>
      </w:r>
      <w:r w:rsidR="00512DE7">
        <w:rPr>
          <w:lang w:val="es-ES"/>
        </w:rPr>
        <w:br/>
      </w:r>
      <w:r w:rsidR="00512DE7">
        <w:rPr>
          <w:lang w:val="es-ES"/>
        </w:rPr>
        <w:br/>
      </w:r>
      <w:r w:rsidRPr="008A3B81">
        <w:rPr>
          <w:lang w:val="es-ES"/>
        </w:rPr>
        <w:t>Proyecto del orden del día de la vigésima novena reunión</w:t>
      </w:r>
      <w:r w:rsidRPr="008A3B81">
        <w:rPr>
          <w:lang w:val="es-ES"/>
        </w:rPr>
        <w:br/>
        <w:t>del Grupo Asesor de Radiocomunicaciones</w:t>
      </w:r>
    </w:p>
    <w:p w14:paraId="7F09A33D" w14:textId="176A9B68" w:rsidR="004E7CA4" w:rsidRPr="00215F1B" w:rsidRDefault="004E7CA4" w:rsidP="00215F1B">
      <w:pPr>
        <w:spacing w:after="360"/>
        <w:jc w:val="center"/>
        <w:rPr>
          <w:lang w:val="es-ES"/>
        </w:rPr>
      </w:pPr>
      <w:r>
        <w:rPr>
          <w:lang w:val="es-ES"/>
        </w:rPr>
        <w:t>(del 11 al 14 de abril de 2022)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4"/>
        <w:gridCol w:w="8995"/>
      </w:tblGrid>
      <w:tr w:rsidR="00215F1B" w:rsidRPr="00215F1B" w14:paraId="74D2A0F5" w14:textId="77777777" w:rsidTr="00215F1B">
        <w:trPr>
          <w:jc w:val="center"/>
        </w:trPr>
        <w:tc>
          <w:tcPr>
            <w:tcW w:w="642" w:type="dxa"/>
            <w:hideMark/>
          </w:tcPr>
          <w:p w14:paraId="7384967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</w:p>
        </w:tc>
        <w:tc>
          <w:tcPr>
            <w:tcW w:w="8964" w:type="dxa"/>
            <w:hideMark/>
          </w:tcPr>
          <w:p w14:paraId="408CCE49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Observaciones preliminares</w:t>
            </w:r>
          </w:p>
        </w:tc>
      </w:tr>
      <w:tr w:rsidR="00215F1B" w:rsidRPr="00C74884" w14:paraId="41CE7EC3" w14:textId="77777777" w:rsidTr="00215F1B">
        <w:trPr>
          <w:jc w:val="center"/>
        </w:trPr>
        <w:tc>
          <w:tcPr>
            <w:tcW w:w="642" w:type="dxa"/>
            <w:hideMark/>
          </w:tcPr>
          <w:p w14:paraId="4F75BA0F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2</w:t>
            </w:r>
          </w:p>
        </w:tc>
        <w:tc>
          <w:tcPr>
            <w:tcW w:w="8964" w:type="dxa"/>
            <w:hideMark/>
          </w:tcPr>
          <w:p w14:paraId="726FB061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Aprobación del orden del día</w:t>
            </w:r>
          </w:p>
        </w:tc>
      </w:tr>
      <w:tr w:rsidR="00215F1B" w:rsidRPr="003F436D" w14:paraId="18EFF4FD" w14:textId="77777777" w:rsidTr="00215F1B">
        <w:trPr>
          <w:jc w:val="center"/>
        </w:trPr>
        <w:tc>
          <w:tcPr>
            <w:tcW w:w="642" w:type="dxa"/>
            <w:hideMark/>
          </w:tcPr>
          <w:p w14:paraId="29E1CCB1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3</w:t>
            </w:r>
          </w:p>
        </w:tc>
        <w:tc>
          <w:tcPr>
            <w:tcW w:w="8964" w:type="dxa"/>
            <w:hideMark/>
          </w:tcPr>
          <w:p w14:paraId="56767193" w14:textId="38A668B0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 xml:space="preserve">Informe a la </w:t>
            </w:r>
            <w:r w:rsidR="00EE4FA9" w:rsidRPr="00215F1B">
              <w:rPr>
                <w:lang w:val="es-ES"/>
              </w:rPr>
              <w:t>2</w:t>
            </w:r>
            <w:r w:rsidR="00EE4FA9">
              <w:rPr>
                <w:lang w:val="es-ES"/>
              </w:rPr>
              <w:t>9</w:t>
            </w:r>
            <w:r w:rsidR="00EE4FA9" w:rsidRPr="00215F1B">
              <w:rPr>
                <w:lang w:val="es-ES"/>
              </w:rPr>
              <w:t xml:space="preserve">ª </w:t>
            </w:r>
            <w:r w:rsidRPr="00215F1B">
              <w:rPr>
                <w:lang w:val="es-ES"/>
              </w:rPr>
              <w:t>reunión del Grupo Asesor de Radiocomunicaciones</w:t>
            </w:r>
          </w:p>
        </w:tc>
      </w:tr>
      <w:tr w:rsidR="00215F1B" w:rsidRPr="00215F1B" w14:paraId="32EB8510" w14:textId="77777777" w:rsidTr="00215F1B">
        <w:trPr>
          <w:jc w:val="center"/>
        </w:trPr>
        <w:tc>
          <w:tcPr>
            <w:tcW w:w="642" w:type="dxa"/>
            <w:hideMark/>
          </w:tcPr>
          <w:p w14:paraId="4896468E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4</w:t>
            </w:r>
          </w:p>
        </w:tc>
        <w:tc>
          <w:tcPr>
            <w:tcW w:w="8964" w:type="dxa"/>
            <w:hideMark/>
          </w:tcPr>
          <w:p w14:paraId="481D9BB7" w14:textId="630AFC4E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Asuntos relativos al Consejo-</w:t>
            </w:r>
            <w:r w:rsidR="00EE4FA9" w:rsidRPr="00215F1B">
              <w:rPr>
                <w:lang w:val="es-ES"/>
              </w:rPr>
              <w:t>2</w:t>
            </w:r>
            <w:r w:rsidR="00EE4FA9">
              <w:rPr>
                <w:lang w:val="es-ES"/>
              </w:rPr>
              <w:t>2</w:t>
            </w:r>
          </w:p>
        </w:tc>
      </w:tr>
      <w:tr w:rsidR="00215F1B" w:rsidRPr="003F436D" w14:paraId="60A6A592" w14:textId="77777777" w:rsidTr="00215F1B">
        <w:trPr>
          <w:jc w:val="center"/>
        </w:trPr>
        <w:tc>
          <w:tcPr>
            <w:tcW w:w="642" w:type="dxa"/>
            <w:hideMark/>
          </w:tcPr>
          <w:p w14:paraId="105C7887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5</w:t>
            </w:r>
          </w:p>
        </w:tc>
        <w:tc>
          <w:tcPr>
            <w:tcW w:w="8964" w:type="dxa"/>
            <w:hideMark/>
          </w:tcPr>
          <w:p w14:paraId="468891FC" w14:textId="5567833F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Implementación de las decisiones de la AR-19</w:t>
            </w:r>
          </w:p>
          <w:p w14:paraId="00553A35" w14:textId="7C9186DB" w:rsidR="00215F1B" w:rsidRPr="00215F1B" w:rsidRDefault="00215F1B" w:rsidP="00512DE7">
            <w:pPr>
              <w:pStyle w:val="enumlev1"/>
              <w:jc w:val="left"/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</w:r>
            <w:r w:rsidRPr="00215F1B">
              <w:rPr>
                <w:lang w:val="es-ES"/>
              </w:rPr>
              <w:t xml:space="preserve">Examen del proyecto de mandato del Grupo por correspondencia 2 del GAR sobre posibles revisiones de las Resoluciones UIT-R </w:t>
            </w:r>
            <w:r w:rsidR="00143460">
              <w:rPr>
                <w:lang w:val="es-ES"/>
              </w:rPr>
              <w:t>1</w:t>
            </w:r>
            <w:r w:rsidRPr="00215F1B">
              <w:rPr>
                <w:lang w:val="es-ES"/>
              </w:rPr>
              <w:t>-</w:t>
            </w:r>
            <w:r w:rsidR="00143460">
              <w:rPr>
                <w:lang w:val="es-ES"/>
              </w:rPr>
              <w:t>8</w:t>
            </w:r>
            <w:r w:rsidRPr="00215F1B">
              <w:rPr>
                <w:lang w:val="es-ES"/>
              </w:rPr>
              <w:t xml:space="preserve"> y UIT-R 15-6</w:t>
            </w:r>
          </w:p>
        </w:tc>
      </w:tr>
      <w:tr w:rsidR="00215F1B" w:rsidRPr="003F436D" w14:paraId="1FC37DE0" w14:textId="77777777" w:rsidTr="00215F1B">
        <w:trPr>
          <w:jc w:val="center"/>
        </w:trPr>
        <w:tc>
          <w:tcPr>
            <w:tcW w:w="642" w:type="dxa"/>
            <w:hideMark/>
          </w:tcPr>
          <w:p w14:paraId="742AB338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6</w:t>
            </w:r>
          </w:p>
        </w:tc>
        <w:tc>
          <w:tcPr>
            <w:tcW w:w="8964" w:type="dxa"/>
            <w:hideMark/>
          </w:tcPr>
          <w:p w14:paraId="252A6A20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Implementación de las decisiones de la CMR-19</w:t>
            </w:r>
          </w:p>
          <w:p w14:paraId="67360DFD" w14:textId="3F99A3A6" w:rsidR="00215F1B" w:rsidRPr="00215F1B" w:rsidRDefault="00215F1B" w:rsidP="00512DE7">
            <w:pPr>
              <w:pStyle w:val="enumlev1"/>
              <w:jc w:val="left"/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</w:r>
            <w:r w:rsidRPr="00215F1B">
              <w:rPr>
                <w:lang w:val="es-ES"/>
              </w:rPr>
              <w:t>Informe del Grupo por Correspondencia 1 sobre la implementación de la Declaración de Género de la CMR-19 y la redacción de una posible Resolución sobre el género para la AR-23</w:t>
            </w:r>
          </w:p>
        </w:tc>
      </w:tr>
      <w:tr w:rsidR="00215F1B" w:rsidRPr="003F436D" w14:paraId="322D5E65" w14:textId="77777777" w:rsidTr="00215F1B">
        <w:trPr>
          <w:jc w:val="center"/>
        </w:trPr>
        <w:tc>
          <w:tcPr>
            <w:tcW w:w="642" w:type="dxa"/>
            <w:hideMark/>
          </w:tcPr>
          <w:p w14:paraId="29C0C17C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7</w:t>
            </w:r>
          </w:p>
        </w:tc>
        <w:tc>
          <w:tcPr>
            <w:tcW w:w="8964" w:type="dxa"/>
            <w:hideMark/>
          </w:tcPr>
          <w:p w14:paraId="62CB73FB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Preparación de la AR/CMR-23</w:t>
            </w:r>
          </w:p>
        </w:tc>
      </w:tr>
      <w:tr w:rsidR="00215F1B" w:rsidRPr="003F436D" w14:paraId="213D7951" w14:textId="77777777" w:rsidTr="00215F1B">
        <w:trPr>
          <w:jc w:val="center"/>
        </w:trPr>
        <w:tc>
          <w:tcPr>
            <w:tcW w:w="642" w:type="dxa"/>
            <w:hideMark/>
          </w:tcPr>
          <w:p w14:paraId="118B05FC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8</w:t>
            </w:r>
          </w:p>
        </w:tc>
        <w:tc>
          <w:tcPr>
            <w:tcW w:w="8964" w:type="dxa"/>
            <w:hideMark/>
          </w:tcPr>
          <w:p w14:paraId="1D715E5B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Actividades de las Comisiones de Estudio</w:t>
            </w:r>
          </w:p>
        </w:tc>
      </w:tr>
      <w:tr w:rsidR="00215F1B" w:rsidRPr="00215F1B" w14:paraId="08C53990" w14:textId="77777777" w:rsidTr="00215F1B">
        <w:trPr>
          <w:jc w:val="center"/>
        </w:trPr>
        <w:tc>
          <w:tcPr>
            <w:tcW w:w="642" w:type="dxa"/>
            <w:hideMark/>
          </w:tcPr>
          <w:p w14:paraId="4E63CB00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9</w:t>
            </w:r>
          </w:p>
        </w:tc>
        <w:tc>
          <w:tcPr>
            <w:tcW w:w="8964" w:type="dxa"/>
            <w:hideMark/>
          </w:tcPr>
          <w:p w14:paraId="656FB024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Actividades intersectoriales</w:t>
            </w:r>
          </w:p>
        </w:tc>
      </w:tr>
      <w:tr w:rsidR="00215F1B" w:rsidRPr="00215F1B" w14:paraId="12B43AFC" w14:textId="77777777" w:rsidTr="00215F1B">
        <w:trPr>
          <w:jc w:val="center"/>
        </w:trPr>
        <w:tc>
          <w:tcPr>
            <w:tcW w:w="642" w:type="dxa"/>
            <w:hideMark/>
          </w:tcPr>
          <w:p w14:paraId="113DECAF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10</w:t>
            </w:r>
          </w:p>
        </w:tc>
        <w:tc>
          <w:tcPr>
            <w:tcW w:w="8964" w:type="dxa"/>
            <w:hideMark/>
          </w:tcPr>
          <w:p w14:paraId="0FAD9EDD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Planificación operativa</w:t>
            </w:r>
          </w:p>
        </w:tc>
      </w:tr>
      <w:tr w:rsidR="00215F1B" w:rsidRPr="003F436D" w14:paraId="26CD2321" w14:textId="77777777" w:rsidTr="00215F1B">
        <w:trPr>
          <w:jc w:val="center"/>
        </w:trPr>
        <w:tc>
          <w:tcPr>
            <w:tcW w:w="642" w:type="dxa"/>
            <w:hideMark/>
          </w:tcPr>
          <w:p w14:paraId="27479FF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11</w:t>
            </w:r>
          </w:p>
        </w:tc>
        <w:tc>
          <w:tcPr>
            <w:tcW w:w="8964" w:type="dxa"/>
            <w:hideMark/>
          </w:tcPr>
          <w:p w14:paraId="01D01548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Sistema de información de la BR</w:t>
            </w:r>
          </w:p>
        </w:tc>
      </w:tr>
      <w:tr w:rsidR="00215F1B" w:rsidRPr="00215F1B" w14:paraId="78F8A939" w14:textId="77777777" w:rsidTr="00215F1B">
        <w:trPr>
          <w:jc w:val="center"/>
        </w:trPr>
        <w:tc>
          <w:tcPr>
            <w:tcW w:w="642" w:type="dxa"/>
            <w:hideMark/>
          </w:tcPr>
          <w:p w14:paraId="26C976C5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12</w:t>
            </w:r>
          </w:p>
        </w:tc>
        <w:tc>
          <w:tcPr>
            <w:tcW w:w="8964" w:type="dxa"/>
            <w:hideMark/>
          </w:tcPr>
          <w:p w14:paraId="19DE1C84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Actividades de comunicación</w:t>
            </w:r>
          </w:p>
        </w:tc>
      </w:tr>
      <w:tr w:rsidR="00215F1B" w:rsidRPr="003F436D" w14:paraId="6CADB56E" w14:textId="77777777" w:rsidTr="00215F1B">
        <w:trPr>
          <w:jc w:val="center"/>
        </w:trPr>
        <w:tc>
          <w:tcPr>
            <w:tcW w:w="642" w:type="dxa"/>
            <w:hideMark/>
          </w:tcPr>
          <w:p w14:paraId="7680F587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13</w:t>
            </w:r>
          </w:p>
        </w:tc>
        <w:tc>
          <w:tcPr>
            <w:tcW w:w="8964" w:type="dxa"/>
            <w:hideMark/>
          </w:tcPr>
          <w:p w14:paraId="4C5825C4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Fecha de la próxima reunión</w:t>
            </w:r>
          </w:p>
        </w:tc>
      </w:tr>
      <w:tr w:rsidR="00215F1B" w:rsidRPr="00215F1B" w14:paraId="42D08461" w14:textId="77777777" w:rsidTr="00215F1B">
        <w:trPr>
          <w:jc w:val="center"/>
        </w:trPr>
        <w:tc>
          <w:tcPr>
            <w:tcW w:w="642" w:type="dxa"/>
            <w:hideMark/>
          </w:tcPr>
          <w:p w14:paraId="5F162602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14</w:t>
            </w:r>
          </w:p>
        </w:tc>
        <w:tc>
          <w:tcPr>
            <w:tcW w:w="8964" w:type="dxa"/>
            <w:hideMark/>
          </w:tcPr>
          <w:p w14:paraId="6FBD0E0A" w14:textId="77777777" w:rsidR="00215F1B" w:rsidRPr="00215F1B" w:rsidRDefault="00215F1B" w:rsidP="00512DE7">
            <w:pPr>
              <w:jc w:val="left"/>
              <w:rPr>
                <w:lang w:val="es-ES"/>
              </w:rPr>
            </w:pPr>
            <w:r w:rsidRPr="00215F1B">
              <w:rPr>
                <w:lang w:val="es-ES"/>
              </w:rPr>
              <w:t>Otros asuntos</w:t>
            </w:r>
          </w:p>
        </w:tc>
      </w:tr>
    </w:tbl>
    <w:p w14:paraId="04F97F8B" w14:textId="77777777" w:rsidR="00215F1B" w:rsidRPr="00215F1B" w:rsidRDefault="00215F1B" w:rsidP="00215F1B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560"/>
        <w:jc w:val="left"/>
        <w:rPr>
          <w:lang w:val="es-ES"/>
        </w:rPr>
      </w:pPr>
      <w:r w:rsidRPr="00215F1B">
        <w:rPr>
          <w:lang w:val="es-ES"/>
        </w:rPr>
        <w:tab/>
        <w:t>Sr. Daniel OBAM</w:t>
      </w:r>
      <w:r w:rsidRPr="00215F1B">
        <w:rPr>
          <w:lang w:val="es-ES"/>
        </w:rPr>
        <w:br/>
      </w:r>
      <w:r w:rsidRPr="00215F1B">
        <w:rPr>
          <w:lang w:val="es-ES"/>
        </w:rPr>
        <w:tab/>
        <w:t>Presidente del Grupo Asesor de Radiocomunicaciones</w:t>
      </w:r>
      <w:r w:rsidRPr="00215F1B">
        <w:rPr>
          <w:lang w:val="es-ES"/>
        </w:rPr>
        <w:br/>
      </w:r>
      <w:r w:rsidRPr="00215F1B">
        <w:rPr>
          <w:lang w:val="es-ES"/>
        </w:rPr>
        <w:tab/>
      </w:r>
      <w:hyperlink r:id="rId12" w:history="1">
        <w:r w:rsidRPr="00215F1B">
          <w:rPr>
            <w:color w:val="0000FF"/>
            <w:u w:val="single"/>
            <w:lang w:val="es-ES"/>
          </w:rPr>
          <w:t>dobam@ncs.go.ke</w:t>
        </w:r>
      </w:hyperlink>
    </w:p>
    <w:sectPr w:rsidR="00215F1B" w:rsidRPr="00215F1B" w:rsidSect="00031E6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A730" w14:textId="6202FEFC" w:rsidR="00AF052B" w:rsidRPr="00AA2F76" w:rsidRDefault="00EE4FA9" w:rsidP="00215F1B">
    <w:pPr>
      <w:pStyle w:val="Footer"/>
      <w:rPr>
        <w:sz w:val="16"/>
        <w:szCs w:val="16"/>
        <w:lang w:val="es-ES"/>
      </w:rPr>
    </w:pPr>
    <w:r>
      <w:rPr>
        <w:sz w:val="16"/>
        <w:szCs w:val="16"/>
      </w:rPr>
      <w:fldChar w:fldCharType="begin"/>
    </w:r>
    <w:r w:rsidRPr="00AA2F76">
      <w:rPr>
        <w:sz w:val="16"/>
        <w:szCs w:val="16"/>
        <w:lang w:val="es-ES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863B61">
      <w:rPr>
        <w:noProof/>
        <w:sz w:val="16"/>
        <w:szCs w:val="16"/>
        <w:lang w:val="es-ES"/>
      </w:rPr>
      <w:t>P:\ESP\ITU-R\BR\DIR\CA\200\259V2S.docx</w:t>
    </w:r>
    <w:r>
      <w:rPr>
        <w:sz w:val="16"/>
        <w:szCs w:val="16"/>
      </w:rPr>
      <w:fldChar w:fldCharType="end"/>
    </w:r>
    <w:r w:rsidR="00AA2F76" w:rsidRPr="00AA2F76">
      <w:rPr>
        <w:sz w:val="16"/>
        <w:szCs w:val="16"/>
        <w:lang w:val="es-ES"/>
      </w:rPr>
      <w:t xml:space="preserve"> </w:t>
    </w:r>
    <w:r w:rsidR="00AA2F76">
      <w:rPr>
        <w:sz w:val="16"/>
        <w:szCs w:val="16"/>
        <w:lang w:val="es-ES"/>
      </w:rPr>
      <w:t>(499844)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C4F4" w14:textId="65979B73" w:rsidR="00512DE7" w:rsidRPr="00512DE7" w:rsidRDefault="00512DE7" w:rsidP="00512DE7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  <w:footnote w:id="1">
    <w:p w14:paraId="20D22E44" w14:textId="29D08915" w:rsidR="004F248C" w:rsidRPr="008A3B81" w:rsidRDefault="004F248C" w:rsidP="00512DE7">
      <w:pPr>
        <w:pStyle w:val="FootnoteText"/>
        <w:jc w:val="left"/>
        <w:rPr>
          <w:lang w:val="es-ES"/>
        </w:rPr>
      </w:pPr>
      <w:r w:rsidRPr="008A3B81">
        <w:rPr>
          <w:rStyle w:val="FootnoteReference"/>
          <w:lang w:val="es-ES"/>
        </w:rPr>
        <w:footnoteRef/>
      </w:r>
      <w:r w:rsidR="00512DE7">
        <w:rPr>
          <w:lang w:val="es-ES"/>
        </w:rPr>
        <w:tab/>
      </w:r>
      <w:r w:rsidR="008B2CC7">
        <w:rPr>
          <w:lang w:val="es-ES"/>
        </w:rPr>
        <w:t>Esta sesión de 1 día de duración de la reunión de 2022 del GAR se celebra en formato virtual debido a su corta duración.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F478" w14:textId="716E777E" w:rsidR="00E915AF" w:rsidRPr="00D239B4" w:rsidRDefault="00D97EF5" w:rsidP="00215F1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D5EA" w14:textId="753BEED9" w:rsidR="00E915AF" w:rsidRPr="00215F1B" w:rsidRDefault="00215F1B" w:rsidP="00215F1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A3A08C2"/>
    <w:multiLevelType w:val="hybridMultilevel"/>
    <w:tmpl w:val="51B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A7715"/>
    <w:multiLevelType w:val="hybridMultilevel"/>
    <w:tmpl w:val="2B549EB4"/>
    <w:lvl w:ilvl="0" w:tplc="0096EB1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14CB"/>
    <w:multiLevelType w:val="hybridMultilevel"/>
    <w:tmpl w:val="DB32A0D0"/>
    <w:lvl w:ilvl="0" w:tplc="A926A0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E0F53"/>
    <w:multiLevelType w:val="hybridMultilevel"/>
    <w:tmpl w:val="EA7E8880"/>
    <w:lvl w:ilvl="0" w:tplc="9E2801B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3460"/>
    <w:rsid w:val="00144DFB"/>
    <w:rsid w:val="00155845"/>
    <w:rsid w:val="00187CA3"/>
    <w:rsid w:val="00195EB7"/>
    <w:rsid w:val="00196710"/>
    <w:rsid w:val="00196770"/>
    <w:rsid w:val="00197324"/>
    <w:rsid w:val="001B351B"/>
    <w:rsid w:val="001B3D4D"/>
    <w:rsid w:val="001B42C9"/>
    <w:rsid w:val="001B6535"/>
    <w:rsid w:val="001C06DB"/>
    <w:rsid w:val="001C6971"/>
    <w:rsid w:val="001D2785"/>
    <w:rsid w:val="001D7070"/>
    <w:rsid w:val="001D7EC9"/>
    <w:rsid w:val="001F2170"/>
    <w:rsid w:val="001F3948"/>
    <w:rsid w:val="001F5A49"/>
    <w:rsid w:val="00201097"/>
    <w:rsid w:val="00201B6E"/>
    <w:rsid w:val="00215F1B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BC0"/>
    <w:rsid w:val="003F0E9F"/>
    <w:rsid w:val="003F436D"/>
    <w:rsid w:val="00400573"/>
    <w:rsid w:val="004007A3"/>
    <w:rsid w:val="00406D71"/>
    <w:rsid w:val="00420350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CA4"/>
    <w:rsid w:val="004F178E"/>
    <w:rsid w:val="004F248C"/>
    <w:rsid w:val="004F4543"/>
    <w:rsid w:val="004F57BB"/>
    <w:rsid w:val="00505309"/>
    <w:rsid w:val="0050789B"/>
    <w:rsid w:val="00512DE7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78C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3FB9"/>
    <w:rsid w:val="00750CFA"/>
    <w:rsid w:val="007553DA"/>
    <w:rsid w:val="00775DB8"/>
    <w:rsid w:val="00782354"/>
    <w:rsid w:val="007921A7"/>
    <w:rsid w:val="007A319B"/>
    <w:rsid w:val="007B3DB1"/>
    <w:rsid w:val="007D183E"/>
    <w:rsid w:val="007D43D0"/>
    <w:rsid w:val="007E1505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63B61"/>
    <w:rsid w:val="0087694B"/>
    <w:rsid w:val="00880F4D"/>
    <w:rsid w:val="008A3B81"/>
    <w:rsid w:val="008B0B2C"/>
    <w:rsid w:val="008B2CC7"/>
    <w:rsid w:val="008B35A3"/>
    <w:rsid w:val="008B37E1"/>
    <w:rsid w:val="008B45F8"/>
    <w:rsid w:val="008C2E74"/>
    <w:rsid w:val="008D002E"/>
    <w:rsid w:val="008D5409"/>
    <w:rsid w:val="008D6955"/>
    <w:rsid w:val="008E006D"/>
    <w:rsid w:val="008E38B4"/>
    <w:rsid w:val="008F4F21"/>
    <w:rsid w:val="00904D4A"/>
    <w:rsid w:val="009055E8"/>
    <w:rsid w:val="009076D7"/>
    <w:rsid w:val="00912DAB"/>
    <w:rsid w:val="009151BA"/>
    <w:rsid w:val="00925023"/>
    <w:rsid w:val="009277BC"/>
    <w:rsid w:val="00927D57"/>
    <w:rsid w:val="00931A51"/>
    <w:rsid w:val="009371F1"/>
    <w:rsid w:val="00947185"/>
    <w:rsid w:val="009518B3"/>
    <w:rsid w:val="00963D9D"/>
    <w:rsid w:val="0098013E"/>
    <w:rsid w:val="00981B54"/>
    <w:rsid w:val="009842C3"/>
    <w:rsid w:val="009A009A"/>
    <w:rsid w:val="009A6BB6"/>
    <w:rsid w:val="009B3BE7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9DE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2F76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A11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488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65E7"/>
    <w:rsid w:val="00D6790C"/>
    <w:rsid w:val="00D73277"/>
    <w:rsid w:val="00D76586"/>
    <w:rsid w:val="00D82657"/>
    <w:rsid w:val="00D87E20"/>
    <w:rsid w:val="00D97EF5"/>
    <w:rsid w:val="00DA4037"/>
    <w:rsid w:val="00DC026E"/>
    <w:rsid w:val="00DC44B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D07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4FA9"/>
    <w:rsid w:val="00F424BF"/>
    <w:rsid w:val="00F44FC3"/>
    <w:rsid w:val="00F46107"/>
    <w:rsid w:val="00F468C5"/>
    <w:rsid w:val="00F52F39"/>
    <w:rsid w:val="00F6184F"/>
    <w:rsid w:val="00F7224D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5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43F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653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bam@ncs.go.k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bam@ncs.go.k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e.wilson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A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ED34-84C0-4E13-A60B-A4BB28E1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5</Pages>
  <Words>1091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2021-01-21T14:02:00Z</cp:lastPrinted>
  <dcterms:created xsi:type="dcterms:W3CDTF">2021-12-15T10:27:00Z</dcterms:created>
  <dcterms:modified xsi:type="dcterms:W3CDTF">2021-12-16T16:27:00Z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