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B16BF" w14:paraId="3BBA537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3359CA" w14:textId="77777777" w:rsidR="00E53DCE" w:rsidRPr="006B16BF" w:rsidRDefault="00E53DCE" w:rsidP="0057141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B16BF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170877BF" w14:textId="77777777" w:rsidR="00E53DCE" w:rsidRPr="006B16BF" w:rsidRDefault="00E53DCE" w:rsidP="0057141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3AE69A4D" w14:textId="77777777" w:rsidR="00E53DCE" w:rsidRPr="006B16BF" w:rsidRDefault="00E53DCE" w:rsidP="00571411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CD2E0B" w:rsidRPr="006B16BF" w14:paraId="3E8B9078" w14:textId="77777777" w:rsidTr="00CA0053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14:paraId="062F1BAB" w14:textId="77777777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szCs w:val="24"/>
                <w:lang w:val="fr-FR"/>
              </w:rPr>
              <w:t>Circulaire administrative</w:t>
            </w:r>
          </w:p>
          <w:p w14:paraId="58451782" w14:textId="275300E1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CA/2</w:t>
            </w:r>
            <w:r w:rsidR="0089426D"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14:paraId="6DA3C363" w14:textId="72795BC0" w:rsidR="00CD2E0B" w:rsidRPr="006B16BF" w:rsidRDefault="00CD2E0B" w:rsidP="00571411">
            <w:pPr>
              <w:spacing w:before="0" w:line="240" w:lineRule="auto"/>
              <w:jc w:val="right"/>
              <w:rPr>
                <w:rFonts w:asciiTheme="minorHAnsi" w:hAnsiTheme="minorHAnsi"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szCs w:val="24"/>
                <w:lang w:val="fr-FR"/>
              </w:rPr>
              <w:t xml:space="preserve">Le </w:t>
            </w:r>
            <w:sdt>
              <w:sdtPr>
                <w:rPr>
                  <w:rFonts w:asciiTheme="minorHAnsi" w:hAnsiTheme="minorHAnsi" w:cs="Arial"/>
                  <w:szCs w:val="24"/>
                  <w:lang w:val="fr-FR"/>
                </w:rPr>
                <w:alias w:val="Date"/>
                <w:tag w:val="Date"/>
                <w:id w:val="1914812612"/>
                <w:placeholder>
                  <w:docPart w:val="DE43FEB23660401B865E30D71D7AC59A"/>
                </w:placeholder>
                <w:date w:fullDate="2022-09-2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2F7707" w:rsidRPr="006B16BF">
                  <w:rPr>
                    <w:rFonts w:asciiTheme="minorHAnsi" w:hAnsiTheme="minorHAnsi" w:cs="Arial"/>
                    <w:szCs w:val="24"/>
                    <w:lang w:val="fr-FR"/>
                  </w:rPr>
                  <w:t>27 septembre 2022</w:t>
                </w:r>
              </w:sdtContent>
            </w:sdt>
          </w:p>
        </w:tc>
      </w:tr>
      <w:tr w:rsidR="00CD2E0B" w:rsidRPr="006B16BF" w14:paraId="1F14D684" w14:textId="77777777" w:rsidTr="00CA0053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0B322DD4" w14:textId="77777777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 w:cs="Arial"/>
                <w:szCs w:val="24"/>
                <w:lang w:val="fr-FR"/>
              </w:rPr>
            </w:pPr>
          </w:p>
        </w:tc>
      </w:tr>
      <w:tr w:rsidR="00CD2E0B" w:rsidRPr="006B16BF" w14:paraId="3B46C57B" w14:textId="77777777" w:rsidTr="00CA0053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D7637C7" w14:textId="77777777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CD2E0B" w:rsidRPr="00F4115F" w14:paraId="5B756649" w14:textId="77777777" w:rsidTr="00CA0053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2512C0A6" w14:textId="19210BE2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Aux Administrations des États Membres de l'UIT </w:t>
            </w:r>
            <w:r w:rsidRPr="006B16BF">
              <w:rPr>
                <w:rFonts w:asciiTheme="minorHAnsi" w:hAnsiTheme="minorHAnsi"/>
                <w:b/>
                <w:szCs w:val="24"/>
                <w:lang w:val="fr-FR"/>
              </w:rPr>
              <w:t xml:space="preserve">et </w:t>
            </w: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aux Membres du Secteur des radiocommunications</w:t>
            </w:r>
          </w:p>
        </w:tc>
      </w:tr>
      <w:tr w:rsidR="00CD2E0B" w:rsidRPr="00F4115F" w14:paraId="13F627E7" w14:textId="77777777" w:rsidTr="00CA0053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41E1F163" w14:textId="77777777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CD2E0B" w:rsidRPr="00F4115F" w14:paraId="0202F920" w14:textId="77777777" w:rsidTr="00CA0053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65658096" w14:textId="77777777" w:rsidR="00CD2E0B" w:rsidRPr="006B16BF" w:rsidRDefault="00CD2E0B" w:rsidP="00571411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CD2E0B" w:rsidRPr="00F4115F" w14:paraId="678AB3D2" w14:textId="77777777" w:rsidTr="00CA0053">
        <w:tblPrEx>
          <w:jc w:val="left"/>
        </w:tblPrEx>
        <w:tc>
          <w:tcPr>
            <w:tcW w:w="1526" w:type="dxa"/>
            <w:shd w:val="clear" w:color="auto" w:fill="auto"/>
          </w:tcPr>
          <w:p w14:paraId="471BF30D" w14:textId="77777777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szCs w:val="24"/>
                <w:lang w:val="fr-FR"/>
              </w:rPr>
              <w:t>Objet: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481CEF" w14:textId="0D9BC852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Seconde session de la Réunion de préparation à la Conférence de </w:t>
            </w:r>
            <w:r w:rsidR="002F7707"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2023</w:t>
            </w: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(Genève, </w:t>
            </w:r>
            <w:r w:rsidR="0089426D" w:rsidRPr="006B16BF">
              <w:rPr>
                <w:b/>
                <w:bCs/>
                <w:lang w:val="fr-FR"/>
              </w:rPr>
              <w:t>27 mars – 6 avril 2023</w:t>
            </w: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) en vue de l'établissement du Rapport de la RPC à la Conférence mondiale des radiocommunications de </w:t>
            </w:r>
            <w:r w:rsidR="002F7707"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2023</w:t>
            </w: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(CMR-</w:t>
            </w:r>
            <w:r w:rsidR="0089426D"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23</w:t>
            </w:r>
            <w:r w:rsidRPr="006B16BF">
              <w:rPr>
                <w:rFonts w:asciiTheme="minorHAnsi" w:hAnsiTheme="minorHAnsi"/>
                <w:b/>
                <w:bCs/>
                <w:szCs w:val="24"/>
                <w:lang w:val="fr-FR"/>
              </w:rPr>
              <w:t>) et des études préparatoires pour la conférence suivante</w:t>
            </w:r>
          </w:p>
        </w:tc>
      </w:tr>
      <w:tr w:rsidR="00CD2E0B" w:rsidRPr="00F4115F" w14:paraId="3C188EA2" w14:textId="77777777" w:rsidTr="00CA0053">
        <w:tblPrEx>
          <w:jc w:val="left"/>
        </w:tblPrEx>
        <w:tc>
          <w:tcPr>
            <w:tcW w:w="1526" w:type="dxa"/>
            <w:shd w:val="clear" w:color="auto" w:fill="auto"/>
          </w:tcPr>
          <w:p w14:paraId="4F216591" w14:textId="77777777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424331" w14:textId="77777777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</w:p>
        </w:tc>
      </w:tr>
      <w:tr w:rsidR="00CD2E0B" w:rsidRPr="00F4115F" w14:paraId="046D1707" w14:textId="77777777" w:rsidTr="00CA0053">
        <w:tblPrEx>
          <w:jc w:val="left"/>
        </w:tblPrEx>
        <w:tc>
          <w:tcPr>
            <w:tcW w:w="1526" w:type="dxa"/>
            <w:shd w:val="clear" w:color="auto" w:fill="auto"/>
          </w:tcPr>
          <w:p w14:paraId="1524C2E8" w14:textId="77777777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5600E5" w14:textId="77777777" w:rsidR="00CD2E0B" w:rsidRPr="006B16BF" w:rsidRDefault="00CD2E0B" w:rsidP="0057141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</w:p>
        </w:tc>
      </w:tr>
    </w:tbl>
    <w:p w14:paraId="1CEDAC9F" w14:textId="77777777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1</w:t>
      </w:r>
      <w:r w:rsidRPr="006B16BF">
        <w:rPr>
          <w:lang w:val="fr-FR"/>
        </w:rPr>
        <w:tab/>
        <w:t>Introduction</w:t>
      </w:r>
    </w:p>
    <w:p w14:paraId="650408B5" w14:textId="3AD1D7CB" w:rsidR="00CD2E0B" w:rsidRPr="006B16BF" w:rsidRDefault="00CD2E0B" w:rsidP="002F2F28">
      <w:pPr>
        <w:spacing w:line="240" w:lineRule="auto"/>
        <w:rPr>
          <w:lang w:val="fr-FR"/>
        </w:rPr>
      </w:pPr>
      <w:r w:rsidRPr="00642E2C">
        <w:rPr>
          <w:lang w:val="fr-FR"/>
        </w:rPr>
        <w:t>1.1</w:t>
      </w:r>
      <w:r w:rsidRPr="00642E2C">
        <w:rPr>
          <w:lang w:val="fr-FR"/>
        </w:rPr>
        <w:tab/>
        <w:t xml:space="preserve">Conformément à sa </w:t>
      </w:r>
      <w:hyperlink r:id="rId8" w:history="1">
        <w:r w:rsidRPr="00642E2C">
          <w:rPr>
            <w:rStyle w:val="Hyperlink"/>
            <w:lang w:val="fr-FR"/>
          </w:rPr>
          <w:t>Résolution 8</w:t>
        </w:r>
        <w:r w:rsidR="0089426D" w:rsidRPr="00642E2C">
          <w:rPr>
            <w:rStyle w:val="Hyperlink"/>
            <w:lang w:val="fr-FR"/>
          </w:rPr>
          <w:t>11</w:t>
        </w:r>
      </w:hyperlink>
      <w:r w:rsidRPr="00642E2C">
        <w:rPr>
          <w:lang w:val="fr-FR"/>
        </w:rPr>
        <w:t>, la Conférence mondiale des radiocommunications</w:t>
      </w:r>
      <w:r w:rsidRPr="006B16BF">
        <w:rPr>
          <w:lang w:val="fr-FR"/>
        </w:rPr>
        <w:t xml:space="preserve"> de 201</w:t>
      </w:r>
      <w:r w:rsidR="0089426D" w:rsidRPr="006B16BF">
        <w:rPr>
          <w:lang w:val="fr-FR"/>
        </w:rPr>
        <w:t>9</w:t>
      </w:r>
      <w:r w:rsidRPr="006B16BF">
        <w:rPr>
          <w:lang w:val="fr-FR"/>
        </w:rPr>
        <w:t xml:space="preserve"> (CMR-1</w:t>
      </w:r>
      <w:r w:rsidR="0089426D" w:rsidRPr="006B16BF">
        <w:rPr>
          <w:lang w:val="fr-FR"/>
        </w:rPr>
        <w:t>9</w:t>
      </w:r>
      <w:r w:rsidRPr="006B16BF">
        <w:rPr>
          <w:lang w:val="fr-FR"/>
        </w:rPr>
        <w:t>) a décidé de réactiver la Réunion de préparation à la Conférence (RPC).</w:t>
      </w:r>
    </w:p>
    <w:p w14:paraId="66CEE364" w14:textId="2FF2546D" w:rsidR="00CD2E0B" w:rsidRPr="006B16BF" w:rsidRDefault="00CD2E0B" w:rsidP="002F2F28">
      <w:pPr>
        <w:spacing w:line="240" w:lineRule="auto"/>
        <w:rPr>
          <w:lang w:val="fr-FR"/>
        </w:rPr>
      </w:pPr>
      <w:r w:rsidRPr="006B16BF">
        <w:rPr>
          <w:lang w:val="fr-FR"/>
        </w:rPr>
        <w:t>1.2</w:t>
      </w:r>
      <w:r w:rsidRPr="006B16BF">
        <w:rPr>
          <w:lang w:val="fr-FR"/>
        </w:rPr>
        <w:tab/>
        <w:t>Les principes régissant la tenue de la RPC, son mandat et ses méthodes de travail ont été approuvés par l'Assemblée des radiocommunications de 201</w:t>
      </w:r>
      <w:r w:rsidR="0089426D" w:rsidRPr="006B16BF">
        <w:rPr>
          <w:lang w:val="fr-FR"/>
        </w:rPr>
        <w:t>9</w:t>
      </w:r>
      <w:r w:rsidRPr="006B16BF">
        <w:rPr>
          <w:lang w:val="fr-FR"/>
        </w:rPr>
        <w:t xml:space="preserve"> (AR-1</w:t>
      </w:r>
      <w:r w:rsidR="0089426D" w:rsidRPr="006B16BF">
        <w:rPr>
          <w:lang w:val="fr-FR"/>
        </w:rPr>
        <w:t>9</w:t>
      </w:r>
      <w:r w:rsidRPr="006B16BF">
        <w:rPr>
          <w:lang w:val="fr-FR"/>
        </w:rPr>
        <w:t>) dans la Résolution </w:t>
      </w:r>
      <w:hyperlink r:id="rId9" w:history="1">
        <w:r w:rsidRPr="006B16BF">
          <w:rPr>
            <w:rStyle w:val="Hyperlink"/>
            <w:lang w:val="fr-FR"/>
          </w:rPr>
          <w:t>UIT</w:t>
        </w:r>
        <w:r w:rsidRPr="006B16BF">
          <w:rPr>
            <w:rStyle w:val="Hyperlink"/>
            <w:lang w:val="fr-FR"/>
          </w:rPr>
          <w:noBreakHyphen/>
          <w:t>R 2</w:t>
        </w:r>
        <w:r w:rsidRPr="006B16BF">
          <w:rPr>
            <w:rStyle w:val="Hyperlink"/>
            <w:lang w:val="fr-FR"/>
          </w:rPr>
          <w:noBreakHyphen/>
        </w:r>
        <w:r w:rsidR="0089426D" w:rsidRPr="006B16BF">
          <w:rPr>
            <w:rStyle w:val="Hyperlink"/>
            <w:lang w:val="fr-FR"/>
          </w:rPr>
          <w:t>8</w:t>
        </w:r>
      </w:hyperlink>
      <w:r w:rsidRPr="006B16BF">
        <w:rPr>
          <w:lang w:val="fr-FR"/>
        </w:rPr>
        <w:t>.</w:t>
      </w:r>
    </w:p>
    <w:p w14:paraId="29F652CA" w14:textId="55E0DF48" w:rsidR="00CD2E0B" w:rsidRPr="006B16BF" w:rsidRDefault="00CD2E0B" w:rsidP="002F2F28">
      <w:pPr>
        <w:spacing w:line="240" w:lineRule="auto"/>
        <w:rPr>
          <w:lang w:val="fr-FR"/>
        </w:rPr>
      </w:pPr>
      <w:r w:rsidRPr="006B16BF">
        <w:rPr>
          <w:lang w:val="fr-FR"/>
        </w:rPr>
        <w:t>1.3</w:t>
      </w:r>
      <w:r w:rsidRPr="006B16BF">
        <w:rPr>
          <w:lang w:val="fr-FR"/>
        </w:rPr>
        <w:tab/>
        <w:t>La Circulaire administrative </w:t>
      </w:r>
      <w:hyperlink r:id="rId10" w:history="1">
        <w:r w:rsidRPr="006B16BF">
          <w:rPr>
            <w:rStyle w:val="Hyperlink"/>
            <w:lang w:val="fr-FR"/>
          </w:rPr>
          <w:t>CA/2</w:t>
        </w:r>
        <w:r w:rsidR="0089426D" w:rsidRPr="006B16BF">
          <w:rPr>
            <w:rStyle w:val="Hyperlink"/>
            <w:lang w:val="fr-FR"/>
          </w:rPr>
          <w:t>51</w:t>
        </w:r>
      </w:hyperlink>
      <w:r w:rsidRPr="006B16BF">
        <w:rPr>
          <w:lang w:val="fr-FR"/>
        </w:rPr>
        <w:t xml:space="preserve"> du </w:t>
      </w:r>
      <w:r w:rsidR="0089426D" w:rsidRPr="006B16BF">
        <w:rPr>
          <w:lang w:val="fr-FR"/>
        </w:rPr>
        <w:t>19</w:t>
      </w:r>
      <w:r w:rsidRPr="006B16BF">
        <w:rPr>
          <w:lang w:val="fr-FR"/>
        </w:rPr>
        <w:t xml:space="preserve"> décembre 201</w:t>
      </w:r>
      <w:r w:rsidR="0089426D" w:rsidRPr="006B16BF">
        <w:rPr>
          <w:lang w:val="fr-FR"/>
        </w:rPr>
        <w:t>9</w:t>
      </w:r>
      <w:r w:rsidRPr="006B16BF">
        <w:rPr>
          <w:lang w:val="fr-FR"/>
        </w:rPr>
        <w:t xml:space="preserve"> contient les résultats de la première session de la Réunion de préparation à la Conférence de 20</w:t>
      </w:r>
      <w:r w:rsidR="0089426D" w:rsidRPr="006B16BF">
        <w:rPr>
          <w:lang w:val="fr-FR"/>
        </w:rPr>
        <w:t>23</w:t>
      </w:r>
      <w:r w:rsidRPr="006B16BF">
        <w:rPr>
          <w:lang w:val="fr-FR"/>
        </w:rPr>
        <w:t xml:space="preserve"> (RPC</w:t>
      </w:r>
      <w:r w:rsidR="0089426D" w:rsidRPr="006B16BF">
        <w:rPr>
          <w:lang w:val="fr-FR"/>
        </w:rPr>
        <w:t>23</w:t>
      </w:r>
      <w:r w:rsidRPr="006B16BF">
        <w:rPr>
          <w:lang w:val="fr-FR"/>
        </w:rPr>
        <w:t xml:space="preserve">-1, </w:t>
      </w:r>
      <w:r w:rsidR="0089426D" w:rsidRPr="006B16BF">
        <w:rPr>
          <w:lang w:val="fr-FR"/>
        </w:rPr>
        <w:t>Charm el</w:t>
      </w:r>
      <w:r w:rsidR="0089426D" w:rsidRPr="006B16BF">
        <w:rPr>
          <w:lang w:val="fr-FR"/>
        </w:rPr>
        <w:noBreakHyphen/>
        <w:t>Cheikh</w:t>
      </w:r>
      <w:r w:rsidRPr="006B16BF">
        <w:rPr>
          <w:lang w:val="fr-FR"/>
        </w:rPr>
        <w:t xml:space="preserve">, </w:t>
      </w:r>
      <w:r w:rsidR="0089426D" w:rsidRPr="006B16BF">
        <w:rPr>
          <w:lang w:val="fr-FR"/>
        </w:rPr>
        <w:t>25</w:t>
      </w:r>
      <w:r w:rsidR="00434F91" w:rsidRPr="006B16BF">
        <w:rPr>
          <w:lang w:val="fr-FR"/>
        </w:rPr>
        <w:t xml:space="preserve"> et </w:t>
      </w:r>
      <w:r w:rsidR="0089426D" w:rsidRPr="006B16BF">
        <w:rPr>
          <w:lang w:val="fr-FR"/>
        </w:rPr>
        <w:t>26</w:t>
      </w:r>
      <w:r w:rsidRPr="006B16BF">
        <w:rPr>
          <w:lang w:val="fr-FR"/>
        </w:rPr>
        <w:t> novembre </w:t>
      </w:r>
      <w:r w:rsidR="0089426D" w:rsidRPr="006B16BF">
        <w:rPr>
          <w:lang w:val="fr-FR"/>
        </w:rPr>
        <w:t>2019</w:t>
      </w:r>
      <w:r w:rsidRPr="006B16BF">
        <w:rPr>
          <w:lang w:val="fr-FR"/>
        </w:rPr>
        <w:t>). L</w:t>
      </w:r>
      <w:r w:rsidR="00E2576A" w:rsidRPr="006B16BF">
        <w:rPr>
          <w:lang w:val="fr-FR"/>
        </w:rPr>
        <w:t>es Addenda</w:t>
      </w:r>
      <w:r w:rsidRPr="006B16BF">
        <w:rPr>
          <w:lang w:val="fr-FR"/>
        </w:rPr>
        <w:t> 1</w:t>
      </w:r>
      <w:r w:rsidR="00E2576A" w:rsidRPr="006B16BF">
        <w:rPr>
          <w:lang w:val="fr-FR"/>
        </w:rPr>
        <w:t xml:space="preserve"> (du </w:t>
      </w:r>
      <w:r w:rsidRPr="006B16BF">
        <w:rPr>
          <w:lang w:val="fr-FR"/>
        </w:rPr>
        <w:t>1</w:t>
      </w:r>
      <w:r w:rsidR="0089426D" w:rsidRPr="006B16BF">
        <w:rPr>
          <w:lang w:val="fr-FR"/>
        </w:rPr>
        <w:t>7</w:t>
      </w:r>
      <w:r w:rsidRPr="006B16BF">
        <w:rPr>
          <w:lang w:val="fr-FR"/>
        </w:rPr>
        <w:t> septembre 20</w:t>
      </w:r>
      <w:r w:rsidR="0089426D" w:rsidRPr="006B16BF">
        <w:rPr>
          <w:lang w:val="fr-FR"/>
        </w:rPr>
        <w:t>20</w:t>
      </w:r>
      <w:r w:rsidR="00E2576A" w:rsidRPr="006B16BF">
        <w:rPr>
          <w:lang w:val="fr-FR"/>
        </w:rPr>
        <w:t>)</w:t>
      </w:r>
      <w:r w:rsidRPr="006B16BF">
        <w:rPr>
          <w:lang w:val="fr-FR"/>
        </w:rPr>
        <w:t xml:space="preserve"> </w:t>
      </w:r>
      <w:r w:rsidR="00E8768C" w:rsidRPr="006B16BF">
        <w:rPr>
          <w:lang w:val="fr-FR"/>
        </w:rPr>
        <w:t xml:space="preserve">et </w:t>
      </w:r>
      <w:r w:rsidR="00E2576A" w:rsidRPr="006B16BF">
        <w:rPr>
          <w:lang w:val="fr-FR"/>
        </w:rPr>
        <w:t>2</w:t>
      </w:r>
      <w:r w:rsidR="00E8768C" w:rsidRPr="006B16BF">
        <w:rPr>
          <w:lang w:val="fr-FR"/>
        </w:rPr>
        <w:t xml:space="preserve"> </w:t>
      </w:r>
      <w:r w:rsidR="00E2576A" w:rsidRPr="006B16BF">
        <w:rPr>
          <w:lang w:val="fr-FR"/>
        </w:rPr>
        <w:t>(</w:t>
      </w:r>
      <w:r w:rsidR="00E8768C" w:rsidRPr="006B16BF">
        <w:rPr>
          <w:lang w:val="fr-FR"/>
        </w:rPr>
        <w:t>du</w:t>
      </w:r>
      <w:r w:rsidR="00571411" w:rsidRPr="006B16BF">
        <w:rPr>
          <w:lang w:val="fr-FR"/>
        </w:rPr>
        <w:t> </w:t>
      </w:r>
      <w:r w:rsidR="00E8768C" w:rsidRPr="006B16BF">
        <w:rPr>
          <w:lang w:val="fr-FR"/>
        </w:rPr>
        <w:t>16</w:t>
      </w:r>
      <w:r w:rsidR="00571411" w:rsidRPr="006B16BF">
        <w:rPr>
          <w:lang w:val="fr-FR"/>
        </w:rPr>
        <w:t> </w:t>
      </w:r>
      <w:r w:rsidR="00E8768C" w:rsidRPr="006B16BF">
        <w:rPr>
          <w:lang w:val="fr-FR"/>
        </w:rPr>
        <w:t>mai 2022</w:t>
      </w:r>
      <w:r w:rsidR="00E2576A" w:rsidRPr="006B16BF">
        <w:rPr>
          <w:lang w:val="fr-FR"/>
        </w:rPr>
        <w:t xml:space="preserve">) à </w:t>
      </w:r>
      <w:r w:rsidR="00717B89" w:rsidRPr="006B16BF">
        <w:rPr>
          <w:lang w:val="fr-FR"/>
        </w:rPr>
        <w:t>cette</w:t>
      </w:r>
      <w:r w:rsidR="00E2576A" w:rsidRPr="006B16BF">
        <w:rPr>
          <w:lang w:val="fr-FR"/>
        </w:rPr>
        <w:t xml:space="preserve"> Circulaire</w:t>
      </w:r>
      <w:r w:rsidR="00717B89" w:rsidRPr="006B16BF">
        <w:rPr>
          <w:lang w:val="fr-FR"/>
        </w:rPr>
        <w:t xml:space="preserve"> </w:t>
      </w:r>
      <w:r w:rsidRPr="006B16BF">
        <w:rPr>
          <w:lang w:val="fr-FR"/>
        </w:rPr>
        <w:t>donne</w:t>
      </w:r>
      <w:r w:rsidR="00E8768C" w:rsidRPr="006B16BF">
        <w:rPr>
          <w:lang w:val="fr-FR"/>
        </w:rPr>
        <w:t>nt</w:t>
      </w:r>
      <w:r w:rsidRPr="006B16BF">
        <w:rPr>
          <w:lang w:val="fr-FR"/>
        </w:rPr>
        <w:t xml:space="preserve"> d'autres informations, en particulier concernant les dates auxquelles les groupes responsables des </w:t>
      </w:r>
      <w:r w:rsidR="00717B89" w:rsidRPr="006B16BF">
        <w:rPr>
          <w:lang w:val="fr-FR"/>
        </w:rPr>
        <w:t>c</w:t>
      </w:r>
      <w:r w:rsidRPr="006B16BF">
        <w:rPr>
          <w:lang w:val="fr-FR"/>
        </w:rPr>
        <w:t>ommissions d'études devront avoir fini leurs travaux ainsi que la structure et la préparation des contributions pour le projet de Rapport de la</w:t>
      </w:r>
      <w:r w:rsidR="00571411" w:rsidRPr="006B16BF">
        <w:rPr>
          <w:lang w:val="fr-FR"/>
        </w:rPr>
        <w:t> </w:t>
      </w:r>
      <w:r w:rsidRPr="006B16BF">
        <w:rPr>
          <w:lang w:val="fr-FR"/>
        </w:rPr>
        <w:t>RPC à la CMR-</w:t>
      </w:r>
      <w:r w:rsidR="0089426D" w:rsidRPr="006B16BF">
        <w:rPr>
          <w:lang w:val="fr-FR"/>
        </w:rPr>
        <w:t>23</w:t>
      </w:r>
      <w:r w:rsidRPr="006B16BF">
        <w:rPr>
          <w:lang w:val="fr-FR"/>
        </w:rPr>
        <w:t>.</w:t>
      </w:r>
    </w:p>
    <w:p w14:paraId="69D2D297" w14:textId="77777777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2</w:t>
      </w:r>
      <w:r w:rsidRPr="006B16BF">
        <w:rPr>
          <w:lang w:val="fr-FR"/>
        </w:rPr>
        <w:tab/>
        <w:t>Date et lieu de la réunion</w:t>
      </w:r>
    </w:p>
    <w:p w14:paraId="57E5E86F" w14:textId="7A67EF73" w:rsidR="00CD2E0B" w:rsidRPr="006B16BF" w:rsidRDefault="00CD2E0B" w:rsidP="002F2F28">
      <w:pPr>
        <w:spacing w:line="240" w:lineRule="auto"/>
        <w:rPr>
          <w:lang w:val="fr-FR"/>
        </w:rPr>
      </w:pPr>
      <w:r w:rsidRPr="006B16BF">
        <w:rPr>
          <w:lang w:val="fr-FR"/>
        </w:rPr>
        <w:t>La seconde session de la Réunion de préparation à la Conférence de 20</w:t>
      </w:r>
      <w:r w:rsidR="0089426D" w:rsidRPr="006B16BF">
        <w:rPr>
          <w:lang w:val="fr-FR"/>
        </w:rPr>
        <w:t>23</w:t>
      </w:r>
      <w:r w:rsidRPr="006B16BF">
        <w:rPr>
          <w:lang w:val="fr-FR"/>
        </w:rPr>
        <w:t xml:space="preserve"> (RPC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-2) se tiendra au Centre international de conférences de Genève (CICG) et au siège de l'Union, du</w:t>
      </w:r>
      <w:r w:rsidR="00571411" w:rsidRPr="006B16BF">
        <w:rPr>
          <w:lang w:val="fr-FR"/>
        </w:rPr>
        <w:t> </w:t>
      </w:r>
      <w:r w:rsidR="009F196D" w:rsidRPr="006B16BF">
        <w:rPr>
          <w:lang w:val="fr-FR"/>
        </w:rPr>
        <w:t>27 mars</w:t>
      </w:r>
      <w:r w:rsidR="00571411" w:rsidRPr="006B16BF">
        <w:rPr>
          <w:lang w:val="fr-FR"/>
        </w:rPr>
        <w:t xml:space="preserve"> </w:t>
      </w:r>
      <w:r w:rsidRPr="006B16BF">
        <w:rPr>
          <w:lang w:val="fr-FR"/>
        </w:rPr>
        <w:t>au </w:t>
      </w:r>
      <w:r w:rsidR="009F196D" w:rsidRPr="006B16BF">
        <w:rPr>
          <w:lang w:val="fr-FR"/>
        </w:rPr>
        <w:t>6 avril</w:t>
      </w:r>
      <w:r w:rsidRPr="006B16BF">
        <w:rPr>
          <w:lang w:val="fr-FR"/>
        </w:rPr>
        <w:t xml:space="preserve"> 20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. La séance plénière d'ouverture de la RPC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-2 débutera à 9 h 30 le lundi </w:t>
      </w:r>
      <w:r w:rsidR="009F196D" w:rsidRPr="006B16BF">
        <w:rPr>
          <w:lang w:val="fr-FR"/>
        </w:rPr>
        <w:t>27</w:t>
      </w:r>
      <w:r w:rsidRPr="006B16BF">
        <w:rPr>
          <w:lang w:val="fr-FR"/>
        </w:rPr>
        <w:t> </w:t>
      </w:r>
      <w:r w:rsidR="009F196D" w:rsidRPr="006B16BF">
        <w:rPr>
          <w:lang w:val="fr-FR"/>
        </w:rPr>
        <w:t>mars</w:t>
      </w:r>
      <w:r w:rsidRPr="006B16BF">
        <w:rPr>
          <w:lang w:val="fr-FR"/>
        </w:rPr>
        <w:t xml:space="preserve"> au</w:t>
      </w:r>
      <w:r w:rsidR="00571411" w:rsidRPr="006B16BF">
        <w:rPr>
          <w:lang w:val="fr-FR"/>
        </w:rPr>
        <w:t> </w:t>
      </w:r>
      <w:r w:rsidRPr="006B16BF">
        <w:rPr>
          <w:lang w:val="fr-FR"/>
        </w:rPr>
        <w:t>CICG.</w:t>
      </w:r>
    </w:p>
    <w:p w14:paraId="2A12D4A6" w14:textId="77777777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3</w:t>
      </w:r>
      <w:r w:rsidRPr="006B16BF">
        <w:rPr>
          <w:lang w:val="fr-FR"/>
        </w:rPr>
        <w:tab/>
        <w:t>Programme de la réunion</w:t>
      </w:r>
    </w:p>
    <w:p w14:paraId="2085475A" w14:textId="77777777" w:rsidR="005E3D45" w:rsidRPr="006B16BF" w:rsidRDefault="00CD2E0B" w:rsidP="002F2F28">
      <w:pPr>
        <w:spacing w:line="240" w:lineRule="auto"/>
        <w:rPr>
          <w:lang w:val="fr-FR"/>
        </w:rPr>
      </w:pPr>
      <w:r w:rsidRPr="006B16BF">
        <w:rPr>
          <w:lang w:val="fr-FR"/>
        </w:rPr>
        <w:t>Le projet d'ordre du jour contenant le programme de la réunion est reproduit dans l'Annexe de la présente Circulaire.</w:t>
      </w:r>
    </w:p>
    <w:p w14:paraId="72F46C62" w14:textId="3A122C16" w:rsidR="00B85931" w:rsidRPr="006B16BF" w:rsidRDefault="00CD2E0B" w:rsidP="002F2F28">
      <w:pPr>
        <w:spacing w:line="240" w:lineRule="auto"/>
        <w:rPr>
          <w:lang w:val="fr-FR"/>
        </w:rPr>
      </w:pPr>
      <w:r w:rsidRPr="006B16BF">
        <w:rPr>
          <w:lang w:val="fr-FR"/>
        </w:rPr>
        <w:t>Le Rapport de la RPC à la CMR-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 sera établi conformément au plan adopté par la RPC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-1 (voir</w:t>
      </w:r>
      <w:r w:rsidR="005A1FFA" w:rsidRPr="006B16BF">
        <w:rPr>
          <w:lang w:val="fr-FR"/>
        </w:rPr>
        <w:t> </w:t>
      </w:r>
      <w:r w:rsidRPr="006B16BF">
        <w:rPr>
          <w:lang w:val="fr-FR"/>
        </w:rPr>
        <w:t xml:space="preserve">l'Annexe 10 de la Circulaire administrative </w:t>
      </w:r>
      <w:r w:rsidR="009F196D" w:rsidRPr="006B16BF">
        <w:rPr>
          <w:lang w:val="fr-FR"/>
        </w:rPr>
        <w:t>CA/251</w:t>
      </w:r>
      <w:r w:rsidRPr="006B16BF">
        <w:rPr>
          <w:lang w:val="fr-FR"/>
        </w:rPr>
        <w:t>), en se reportant dûment à l'ordre du jour de la</w:t>
      </w:r>
      <w:r w:rsidR="005A1FFA" w:rsidRPr="006B16BF">
        <w:rPr>
          <w:lang w:val="fr-FR"/>
        </w:rPr>
        <w:t> </w:t>
      </w:r>
      <w:r w:rsidRPr="006B16BF">
        <w:rPr>
          <w:lang w:val="fr-FR"/>
        </w:rPr>
        <w:t>CMR-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 figurant dans la Résolution 13</w:t>
      </w:r>
      <w:r w:rsidR="009F196D" w:rsidRPr="006B16BF">
        <w:rPr>
          <w:lang w:val="fr-FR"/>
        </w:rPr>
        <w:t>99</w:t>
      </w:r>
      <w:r w:rsidRPr="006B16BF">
        <w:rPr>
          <w:lang w:val="fr-FR"/>
        </w:rPr>
        <w:t xml:space="preserve"> du Conseil (C</w:t>
      </w:r>
      <w:r w:rsidR="009F196D" w:rsidRPr="006B16BF">
        <w:rPr>
          <w:lang w:val="fr-FR"/>
        </w:rPr>
        <w:t>20</w:t>
      </w:r>
      <w:r w:rsidRPr="006B16BF">
        <w:rPr>
          <w:lang w:val="fr-FR"/>
        </w:rPr>
        <w:t>).</w:t>
      </w:r>
    </w:p>
    <w:p w14:paraId="2B3C93CC" w14:textId="01A2541C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lastRenderedPageBreak/>
        <w:t>4</w:t>
      </w:r>
      <w:r w:rsidRPr="006B16BF">
        <w:rPr>
          <w:lang w:val="fr-FR"/>
        </w:rPr>
        <w:tab/>
        <w:t>Préparation du projet de Rapport de synthèse de la RPC à la CMR-</w:t>
      </w:r>
      <w:r w:rsidR="009F196D" w:rsidRPr="006B16BF">
        <w:rPr>
          <w:lang w:val="fr-FR"/>
        </w:rPr>
        <w:t>23</w:t>
      </w:r>
    </w:p>
    <w:p w14:paraId="4DFECD07" w14:textId="66322008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4.1</w:t>
      </w:r>
      <w:r w:rsidRPr="006B16BF">
        <w:rPr>
          <w:lang w:val="fr-FR"/>
        </w:rPr>
        <w:tab/>
        <w:t>Conformément à la Résolution UIT-R 2-</w:t>
      </w:r>
      <w:r w:rsidR="009F196D" w:rsidRPr="006B16BF">
        <w:rPr>
          <w:lang w:val="fr-FR"/>
        </w:rPr>
        <w:t>8</w:t>
      </w:r>
      <w:r w:rsidRPr="006B16BF">
        <w:rPr>
          <w:lang w:val="fr-FR"/>
        </w:rPr>
        <w:t xml:space="preserve"> et aux décisions prises à la RPC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-1, le projet de Rapport de synthèse de la RPC à la CMR-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, élaboré sur la base des contributions des groupes responsables des </w:t>
      </w:r>
      <w:r w:rsidR="002D5C73" w:rsidRPr="006B16BF">
        <w:rPr>
          <w:lang w:val="fr-FR"/>
        </w:rPr>
        <w:t>c</w:t>
      </w:r>
      <w:r w:rsidRPr="006B16BF">
        <w:rPr>
          <w:lang w:val="fr-FR"/>
        </w:rPr>
        <w:t xml:space="preserve">ommissions d'études, sera établi par l'équipe de direction de la RPC pendant la réunion qui se tiendra les </w:t>
      </w:r>
      <w:r w:rsidR="009F196D" w:rsidRPr="006B16BF">
        <w:rPr>
          <w:lang w:val="fr-FR"/>
        </w:rPr>
        <w:t xml:space="preserve">9 et 10 </w:t>
      </w:r>
      <w:r w:rsidR="00A23A6D" w:rsidRPr="006B16BF">
        <w:rPr>
          <w:lang w:val="fr-FR"/>
        </w:rPr>
        <w:t xml:space="preserve">novembre </w:t>
      </w:r>
      <w:r w:rsidR="009F196D" w:rsidRPr="006B16BF">
        <w:rPr>
          <w:lang w:val="fr-FR"/>
        </w:rPr>
        <w:t>2022</w:t>
      </w:r>
      <w:r w:rsidRPr="006B16BF">
        <w:rPr>
          <w:lang w:val="fr-FR"/>
        </w:rPr>
        <w:t>.</w:t>
      </w:r>
    </w:p>
    <w:p w14:paraId="430C702B" w14:textId="77036B31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4.2</w:t>
      </w:r>
      <w:r w:rsidRPr="006B16BF">
        <w:rPr>
          <w:lang w:val="fr-FR"/>
        </w:rPr>
        <w:tab/>
        <w:t>Le projet de Rapport de la RPC à la CMR-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 constituera la base des travaux de la seconde session de la RPC-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. Il sera mis en ligne</w:t>
      </w:r>
      <w:r w:rsidR="00E76AF4" w:rsidRPr="006B16BF">
        <w:rPr>
          <w:lang w:val="fr-FR"/>
        </w:rPr>
        <w:t xml:space="preserve"> sous forme électronique</w:t>
      </w:r>
      <w:r w:rsidRPr="006B16BF">
        <w:rPr>
          <w:lang w:val="fr-FR"/>
        </w:rPr>
        <w:t xml:space="preserve"> sur la page web de la RPC, </w:t>
      </w:r>
      <w:r w:rsidR="002D5C73" w:rsidRPr="006B16BF">
        <w:rPr>
          <w:lang w:val="fr-FR"/>
        </w:rPr>
        <w:t xml:space="preserve">d'abord </w:t>
      </w:r>
      <w:r w:rsidRPr="006B16BF">
        <w:rPr>
          <w:lang w:val="fr-FR"/>
        </w:rPr>
        <w:t>dans sa version anglaise, sous la cote CPM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-2/1, après la réunion de l'équipe de direction de la RPC, les autres versions linguistiques étant publiées le plus vite possible et, au moins, </w:t>
      </w:r>
      <w:r w:rsidR="00056C82" w:rsidRPr="006B16BF">
        <w:rPr>
          <w:lang w:val="fr-FR"/>
        </w:rPr>
        <w:t>deux</w:t>
      </w:r>
      <w:r w:rsidRPr="006B16BF">
        <w:rPr>
          <w:lang w:val="fr-FR"/>
        </w:rPr>
        <w:t xml:space="preserve"> mois avant la RPC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>-2.</w:t>
      </w:r>
    </w:p>
    <w:p w14:paraId="4F37E74E" w14:textId="77777777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5</w:t>
      </w:r>
      <w:r w:rsidRPr="006B16BF">
        <w:rPr>
          <w:lang w:val="fr-FR"/>
        </w:rPr>
        <w:tab/>
        <w:t>Contributions</w:t>
      </w:r>
    </w:p>
    <w:p w14:paraId="2EB17254" w14:textId="17537707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5.1</w:t>
      </w:r>
      <w:r w:rsidRPr="006B16BF">
        <w:rPr>
          <w:lang w:val="fr-FR"/>
        </w:rPr>
        <w:tab/>
        <w:t>Les participants sont priés de soumettre leurs contributions aux travaux de la seconde session de la RPC-</w:t>
      </w:r>
      <w:r w:rsidR="009F196D" w:rsidRPr="006B16BF">
        <w:rPr>
          <w:lang w:val="fr-FR"/>
        </w:rPr>
        <w:t>23</w:t>
      </w:r>
      <w:r w:rsidRPr="006B16BF">
        <w:rPr>
          <w:lang w:val="fr-FR"/>
        </w:rPr>
        <w:t xml:space="preserve"> par courrier électronique à l'adresse:</w:t>
      </w:r>
    </w:p>
    <w:p w14:paraId="687BD5EF" w14:textId="0B4AC990" w:rsidR="00CD2E0B" w:rsidRPr="006B16BF" w:rsidRDefault="00E231EC" w:rsidP="00571411">
      <w:pPr>
        <w:spacing w:line="240" w:lineRule="auto"/>
        <w:jc w:val="center"/>
        <w:rPr>
          <w:lang w:val="fr-FR"/>
        </w:rPr>
      </w:pPr>
      <w:hyperlink r:id="rId11" w:history="1">
        <w:r w:rsidR="009F196D" w:rsidRPr="006B16BF">
          <w:rPr>
            <w:rStyle w:val="Hyperlink"/>
            <w:lang w:val="fr-FR"/>
          </w:rPr>
          <w:t>cpm23-2@itu.int</w:t>
        </w:r>
      </w:hyperlink>
    </w:p>
    <w:p w14:paraId="71CB0E5C" w14:textId="6E3E1FE4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 xml:space="preserve">Une copie doit aussi être envoyée </w:t>
      </w:r>
      <w:r w:rsidR="00067262" w:rsidRPr="006B16BF">
        <w:rPr>
          <w:lang w:val="fr-FR"/>
        </w:rPr>
        <w:t>à la Présidente</w:t>
      </w:r>
      <w:r w:rsidRPr="006B16BF">
        <w:rPr>
          <w:lang w:val="fr-FR"/>
        </w:rPr>
        <w:t xml:space="preserve"> et aux Vice-Présidents de la RPC-</w:t>
      </w:r>
      <w:r w:rsidR="00056C82" w:rsidRPr="006B16BF">
        <w:rPr>
          <w:lang w:val="fr-FR"/>
        </w:rPr>
        <w:t>23</w:t>
      </w:r>
      <w:r w:rsidRPr="006B16BF">
        <w:rPr>
          <w:lang w:val="fr-FR"/>
        </w:rPr>
        <w:t xml:space="preserve"> ainsi qu'aux Rapporteurs chargés des différents chapitres du rapport, dont vous trouverez les adresses sous l'onglet Contacts de la page web de la RPC à l'adresse:</w:t>
      </w:r>
    </w:p>
    <w:p w14:paraId="15F2C5C7" w14:textId="77777777" w:rsidR="00CD2E0B" w:rsidRPr="006B16BF" w:rsidRDefault="00E231EC" w:rsidP="00571411">
      <w:pPr>
        <w:spacing w:line="240" w:lineRule="auto"/>
        <w:jc w:val="center"/>
        <w:rPr>
          <w:lang w:val="fr-FR"/>
        </w:rPr>
      </w:pPr>
      <w:hyperlink r:id="rId12" w:history="1">
        <w:r w:rsidR="00CD2E0B" w:rsidRPr="006B16BF">
          <w:rPr>
            <w:rStyle w:val="Hyperlink"/>
            <w:rFonts w:asciiTheme="minorHAnsi" w:hAnsiTheme="minorHAnsi"/>
            <w:szCs w:val="24"/>
            <w:lang w:val="fr-FR"/>
          </w:rPr>
          <w:t>http://www.itu.int/go/ITU-R/CPM</w:t>
        </w:r>
      </w:hyperlink>
    </w:p>
    <w:p w14:paraId="1D9A1B91" w14:textId="69D977FB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5.2</w:t>
      </w:r>
      <w:r w:rsidRPr="006B16BF">
        <w:rPr>
          <w:lang w:val="fr-FR"/>
        </w:rPr>
        <w:tab/>
        <w:t>Les contributions seront traitées conformément aux dispositions des Résolutions UIT-R 1-</w:t>
      </w:r>
      <w:r w:rsidR="009F196D" w:rsidRPr="006B16BF">
        <w:rPr>
          <w:lang w:val="fr-FR"/>
        </w:rPr>
        <w:t>8</w:t>
      </w:r>
      <w:r w:rsidRPr="006B16BF">
        <w:rPr>
          <w:lang w:val="fr-FR"/>
        </w:rPr>
        <w:t xml:space="preserve"> et UIT-R 2-</w:t>
      </w:r>
      <w:r w:rsidR="009F196D" w:rsidRPr="006B16BF">
        <w:rPr>
          <w:lang w:val="fr-FR"/>
        </w:rPr>
        <w:t>8</w:t>
      </w:r>
      <w:r w:rsidRPr="006B16BF">
        <w:rPr>
          <w:lang w:val="fr-FR"/>
        </w:rPr>
        <w:t xml:space="preserve"> (voir également le paragraphe 6 ci-après).</w:t>
      </w:r>
    </w:p>
    <w:p w14:paraId="3C204CF6" w14:textId="19D8EFA6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5.3</w:t>
      </w:r>
      <w:r w:rsidRPr="006B16BF">
        <w:rPr>
          <w:lang w:val="fr-FR"/>
        </w:rPr>
        <w:tab/>
        <w:t>Conformément à la Résolution UIT-R 1-</w:t>
      </w:r>
      <w:r w:rsidR="00326912" w:rsidRPr="006B16BF">
        <w:rPr>
          <w:lang w:val="fr-FR"/>
        </w:rPr>
        <w:t>8</w:t>
      </w:r>
      <w:r w:rsidRPr="006B16BF">
        <w:rPr>
          <w:lang w:val="fr-FR"/>
        </w:rPr>
        <w:t>, les délais suivants s'appliqueront:</w:t>
      </w:r>
    </w:p>
    <w:p w14:paraId="3E35578D" w14:textId="492F8185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5.3.1</w:t>
      </w:r>
      <w:r w:rsidRPr="006B16BF">
        <w:rPr>
          <w:lang w:val="fr-FR"/>
        </w:rPr>
        <w:tab/>
        <w:t xml:space="preserve">Les contributions devront parvenir au Bureau au moins </w:t>
      </w:r>
      <w:r w:rsidR="00922A3E" w:rsidRPr="006B16BF">
        <w:rPr>
          <w:b/>
          <w:bCs/>
          <w:lang w:val="fr-FR"/>
        </w:rPr>
        <w:t>un</w:t>
      </w:r>
      <w:r w:rsidRPr="006B16BF">
        <w:rPr>
          <w:b/>
          <w:bCs/>
          <w:lang w:val="fr-FR"/>
        </w:rPr>
        <w:t xml:space="preserve"> (</w:t>
      </w:r>
      <w:r w:rsidR="00922A3E" w:rsidRPr="006B16BF">
        <w:rPr>
          <w:b/>
          <w:bCs/>
          <w:lang w:val="fr-FR"/>
        </w:rPr>
        <w:t>1</w:t>
      </w:r>
      <w:r w:rsidRPr="006B16BF">
        <w:rPr>
          <w:b/>
          <w:bCs/>
          <w:lang w:val="fr-FR"/>
        </w:rPr>
        <w:t>) mois avant le début de la</w:t>
      </w:r>
      <w:r w:rsidR="005A1FFA" w:rsidRPr="006B16BF">
        <w:rPr>
          <w:b/>
          <w:bCs/>
          <w:lang w:val="fr-FR"/>
        </w:rPr>
        <w:t> </w:t>
      </w:r>
      <w:r w:rsidRPr="006B16BF">
        <w:rPr>
          <w:b/>
          <w:bCs/>
          <w:lang w:val="fr-FR"/>
        </w:rPr>
        <w:t>RPC</w:t>
      </w:r>
      <w:r w:rsidR="00326912" w:rsidRPr="006B16BF">
        <w:rPr>
          <w:b/>
          <w:bCs/>
          <w:lang w:val="fr-FR"/>
        </w:rPr>
        <w:t>23</w:t>
      </w:r>
      <w:r w:rsidRPr="006B16BF">
        <w:rPr>
          <w:b/>
          <w:bCs/>
          <w:lang w:val="fr-FR"/>
        </w:rPr>
        <w:t xml:space="preserve">-2, c'est-à-dire avant le </w:t>
      </w:r>
      <w:r w:rsidR="00326912" w:rsidRPr="006B16BF">
        <w:rPr>
          <w:b/>
          <w:bCs/>
          <w:lang w:val="fr-FR"/>
        </w:rPr>
        <w:t>27 février 2023</w:t>
      </w:r>
      <w:r w:rsidRPr="006B16BF">
        <w:rPr>
          <w:lang w:val="fr-FR"/>
        </w:rPr>
        <w:t xml:space="preserve">. Pour les contributions reçues après cette date, aucun engagement ne peut être pris concernant leur disponibilité dans les six langues de l'Union au début de la réunion. </w:t>
      </w:r>
    </w:p>
    <w:p w14:paraId="1F6CA26D" w14:textId="55A9DDC0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5.3.2</w:t>
      </w:r>
      <w:r w:rsidRPr="006B16BF">
        <w:rPr>
          <w:lang w:val="fr-FR"/>
        </w:rPr>
        <w:tab/>
      </w:r>
      <w:r w:rsidRPr="006B16BF">
        <w:rPr>
          <w:b/>
          <w:bCs/>
          <w:lang w:val="fr-FR"/>
        </w:rPr>
        <w:t xml:space="preserve">Le délai définitif pour la réception des contributions par le Bureau est de 14 jours calendaires (16 </w:t>
      </w:r>
      <w:r w:rsidR="00922A3E" w:rsidRPr="006B16BF">
        <w:rPr>
          <w:b/>
          <w:bCs/>
          <w:lang w:val="fr-FR"/>
        </w:rPr>
        <w:t>heures</w:t>
      </w:r>
      <w:r w:rsidRPr="006B16BF">
        <w:rPr>
          <w:b/>
          <w:bCs/>
          <w:lang w:val="fr-FR"/>
        </w:rPr>
        <w:t xml:space="preserve"> UTC) avant la réunion, c'est</w:t>
      </w:r>
      <w:r w:rsidRPr="006B16BF">
        <w:rPr>
          <w:b/>
          <w:bCs/>
          <w:lang w:val="fr-FR"/>
        </w:rPr>
        <w:noBreakHyphen/>
        <w:t>à</w:t>
      </w:r>
      <w:r w:rsidRPr="006B16BF">
        <w:rPr>
          <w:b/>
          <w:bCs/>
          <w:lang w:val="fr-FR"/>
        </w:rPr>
        <w:noBreakHyphen/>
        <w:t xml:space="preserve">dire </w:t>
      </w:r>
      <w:r w:rsidRPr="006B16BF">
        <w:rPr>
          <w:b/>
          <w:bCs/>
          <w:u w:val="single"/>
          <w:lang w:val="fr-FR"/>
        </w:rPr>
        <w:t xml:space="preserve">le </w:t>
      </w:r>
      <w:r w:rsidR="00326912" w:rsidRPr="006B16BF">
        <w:rPr>
          <w:b/>
          <w:bCs/>
          <w:u w:val="single"/>
          <w:lang w:val="fr-FR"/>
        </w:rPr>
        <w:t>13 mars 2023</w:t>
      </w:r>
      <w:r w:rsidRPr="006B16BF">
        <w:rPr>
          <w:b/>
          <w:bCs/>
          <w:u w:val="single"/>
          <w:lang w:val="fr-FR"/>
        </w:rPr>
        <w:t xml:space="preserve"> à 16 h</w:t>
      </w:r>
      <w:r w:rsidR="00A0742E">
        <w:rPr>
          <w:b/>
          <w:bCs/>
          <w:u w:val="single"/>
          <w:lang w:val="fr-FR"/>
        </w:rPr>
        <w:t> </w:t>
      </w:r>
      <w:r w:rsidR="008E3BF6">
        <w:rPr>
          <w:b/>
          <w:bCs/>
          <w:u w:val="single"/>
          <w:lang w:val="fr-FR"/>
        </w:rPr>
        <w:t>00</w:t>
      </w:r>
      <w:r w:rsidRPr="006B16BF">
        <w:rPr>
          <w:b/>
          <w:bCs/>
          <w:u w:val="single"/>
          <w:lang w:val="fr-FR"/>
        </w:rPr>
        <w:t> </w:t>
      </w:r>
      <w:proofErr w:type="spellStart"/>
      <w:r w:rsidRPr="006B16BF">
        <w:rPr>
          <w:b/>
          <w:bCs/>
          <w:u w:val="single"/>
          <w:lang w:val="fr-FR"/>
        </w:rPr>
        <w:t>UTC</w:t>
      </w:r>
      <w:proofErr w:type="spellEnd"/>
      <w:r w:rsidRPr="006B16BF">
        <w:rPr>
          <w:lang w:val="fr-FR"/>
        </w:rPr>
        <w:t>. Les</w:t>
      </w:r>
      <w:r w:rsidR="005A1FFA" w:rsidRPr="006B16BF">
        <w:rPr>
          <w:lang w:val="fr-FR"/>
        </w:rPr>
        <w:t> </w:t>
      </w:r>
      <w:r w:rsidRPr="006B16BF">
        <w:rPr>
          <w:lang w:val="fr-FR"/>
        </w:rPr>
        <w:t xml:space="preserve">contributions qui parviendront au Bureau au-delà de cette date limite ne pourront pas être acceptées. Les contributions qui ne seront pas disponibles pour les participants au début de la réunion ne seront pas examinées. </w:t>
      </w:r>
    </w:p>
    <w:p w14:paraId="25A00026" w14:textId="6596A369" w:rsidR="00CD2E0B" w:rsidRPr="006B16BF" w:rsidRDefault="00CD2E0B" w:rsidP="00F41109">
      <w:pPr>
        <w:spacing w:line="240" w:lineRule="auto"/>
        <w:rPr>
          <w:lang w:val="fr-FR"/>
        </w:rPr>
      </w:pPr>
      <w:r w:rsidRPr="006B16BF">
        <w:rPr>
          <w:lang w:val="fr-FR"/>
        </w:rPr>
        <w:t>5.4</w:t>
      </w:r>
      <w:r w:rsidRPr="006B16BF">
        <w:rPr>
          <w:lang w:val="fr-FR"/>
        </w:rPr>
        <w:tab/>
      </w:r>
      <w:r w:rsidR="00326912" w:rsidRPr="006B16BF">
        <w:rPr>
          <w:lang w:val="fr-FR"/>
        </w:rPr>
        <w:t>I</w:t>
      </w:r>
      <w:r w:rsidRPr="006B16BF">
        <w:rPr>
          <w:lang w:val="fr-FR"/>
        </w:rPr>
        <w:t>l est précisé dans la Résolution UIT</w:t>
      </w:r>
      <w:r w:rsidRPr="006B16BF">
        <w:rPr>
          <w:lang w:val="fr-FR"/>
        </w:rPr>
        <w:noBreakHyphen/>
        <w:t>R 1-</w:t>
      </w:r>
      <w:r w:rsidR="00326912" w:rsidRPr="006B16BF">
        <w:rPr>
          <w:lang w:val="fr-FR"/>
        </w:rPr>
        <w:t>8</w:t>
      </w:r>
      <w:r w:rsidRPr="006B16BF">
        <w:rPr>
          <w:lang w:val="fr-FR"/>
        </w:rPr>
        <w:t xml:space="preserve"> que les contributions ne devraient pas être trop longues (si possible, pas plus de dix pages) et être élaborées à l'aide d'un logiciel de traitement de texte standard sans que soit utilisée une fonction de formatage automatique; les modifications de textes existants devraient être indiquées par des marques de révision (au moyen de la fonction «Suivi des modifications»). </w:t>
      </w:r>
    </w:p>
    <w:p w14:paraId="06326F66" w14:textId="440924CC" w:rsidR="00CD2E0B" w:rsidRPr="006B16BF" w:rsidRDefault="00CD2E0B" w:rsidP="00F41109">
      <w:pPr>
        <w:spacing w:line="240" w:lineRule="auto"/>
        <w:rPr>
          <w:b/>
          <w:bCs/>
          <w:lang w:val="fr-FR"/>
        </w:rPr>
      </w:pPr>
      <w:r w:rsidRPr="006B16BF">
        <w:rPr>
          <w:lang w:val="fr-FR"/>
        </w:rPr>
        <w:t>5.5</w:t>
      </w:r>
      <w:r w:rsidRPr="006B16BF">
        <w:rPr>
          <w:lang w:val="fr-FR"/>
        </w:rPr>
        <w:tab/>
      </w:r>
      <w:r w:rsidR="00227A59" w:rsidRPr="006B16BF">
        <w:rPr>
          <w:lang w:val="fr-FR"/>
        </w:rPr>
        <w:t>En outre, il convient d'utiliser l</w:t>
      </w:r>
      <w:r w:rsidRPr="006B16BF">
        <w:rPr>
          <w:lang w:val="fr-FR"/>
        </w:rPr>
        <w:t>e gabarit</w:t>
      </w:r>
      <w:r w:rsidR="00227A59" w:rsidRPr="006B16BF">
        <w:rPr>
          <w:lang w:val="fr-FR"/>
        </w:rPr>
        <w:t xml:space="preserve"> de document</w:t>
      </w:r>
      <w:r w:rsidRPr="006B16BF">
        <w:rPr>
          <w:lang w:val="fr-FR"/>
        </w:rPr>
        <w:t xml:space="preserve"> et les lignes directrices établis par l'UIT</w:t>
      </w:r>
      <w:r w:rsidRPr="006B16BF">
        <w:rPr>
          <w:lang w:val="fr-FR"/>
        </w:rPr>
        <w:noBreakHyphen/>
        <w:t>R pour l'élaboration des contributions à la RPC</w:t>
      </w:r>
      <w:r w:rsidR="00326912" w:rsidRPr="006B16BF">
        <w:rPr>
          <w:lang w:val="fr-FR"/>
        </w:rPr>
        <w:t>23</w:t>
      </w:r>
      <w:r w:rsidRPr="006B16BF">
        <w:rPr>
          <w:lang w:val="fr-FR"/>
        </w:rPr>
        <w:t>-2</w:t>
      </w:r>
      <w:r w:rsidR="00227A59" w:rsidRPr="006B16BF">
        <w:rPr>
          <w:lang w:val="fr-FR"/>
        </w:rPr>
        <w:t>. Ces documents seront mis à disposition</w:t>
      </w:r>
      <w:r w:rsidRPr="006B16BF">
        <w:rPr>
          <w:lang w:val="fr-FR"/>
        </w:rPr>
        <w:t xml:space="preserve"> sur l</w:t>
      </w:r>
      <w:r w:rsidR="00CE1745" w:rsidRPr="006B16BF">
        <w:rPr>
          <w:lang w:val="fr-FR"/>
        </w:rPr>
        <w:t>e</w:t>
      </w:r>
      <w:r w:rsidRPr="006B16BF">
        <w:rPr>
          <w:lang w:val="fr-FR"/>
        </w:rPr>
        <w:t xml:space="preserve"> </w:t>
      </w:r>
      <w:hyperlink r:id="rId13" w:history="1">
        <w:r w:rsidR="00CE1745" w:rsidRPr="006B16BF">
          <w:rPr>
            <w:color w:val="0000FF"/>
            <w:u w:val="single"/>
            <w:lang w:val="fr-FR"/>
          </w:rPr>
          <w:t>site</w:t>
        </w:r>
        <w:r w:rsidRPr="006B16BF">
          <w:rPr>
            <w:color w:val="0000FF"/>
            <w:u w:val="single"/>
            <w:lang w:val="fr-FR"/>
          </w:rPr>
          <w:t xml:space="preserve"> web de la RPC</w:t>
        </w:r>
      </w:hyperlink>
      <w:r w:rsidR="00227A59" w:rsidRPr="006B16BF">
        <w:rPr>
          <w:lang w:val="fr-FR"/>
        </w:rPr>
        <w:t xml:space="preserve"> en temps voulu.</w:t>
      </w:r>
    </w:p>
    <w:p w14:paraId="57E85B5E" w14:textId="33977351" w:rsidR="00CD2E0B" w:rsidRPr="006B16BF" w:rsidRDefault="00CD2E0B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lastRenderedPageBreak/>
        <w:t>6</w:t>
      </w:r>
      <w:r w:rsidRPr="006B16BF">
        <w:rPr>
          <w:lang w:val="fr-FR"/>
        </w:rPr>
        <w:tab/>
        <w:t>Disponibilité des documents pendant la RPC</w:t>
      </w:r>
      <w:r w:rsidR="00326912" w:rsidRPr="006B16BF">
        <w:rPr>
          <w:lang w:val="fr-FR"/>
        </w:rPr>
        <w:t>23</w:t>
      </w:r>
      <w:r w:rsidRPr="006B16BF">
        <w:rPr>
          <w:lang w:val="fr-FR"/>
        </w:rPr>
        <w:t>-2</w:t>
      </w:r>
    </w:p>
    <w:p w14:paraId="080611A6" w14:textId="2DD57815" w:rsidR="00CD2E0B" w:rsidRPr="006B16BF" w:rsidRDefault="00CD2E0B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 xml:space="preserve">Les contributions seront publiées telles qu'elles ont été reçues dans la langue d'origine sur </w:t>
      </w:r>
      <w:r w:rsidR="00BF4CD1" w:rsidRPr="006B16BF">
        <w:rPr>
          <w:lang w:val="fr-FR"/>
        </w:rPr>
        <w:t>le site web</w:t>
      </w:r>
      <w:r w:rsidRPr="006B16BF">
        <w:rPr>
          <w:lang w:val="fr-FR"/>
        </w:rPr>
        <w:t xml:space="preserve"> de la manifestation, dans un délai d'un jour ouvrable.</w:t>
      </w:r>
    </w:p>
    <w:p w14:paraId="6BDFC161" w14:textId="7207EA76" w:rsidR="00CD2E0B" w:rsidRPr="006B16BF" w:rsidRDefault="00CD2E0B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 xml:space="preserve">Les versions officielles des contributions et des autres documents de travail seront mises en ligne à l'adresse: </w:t>
      </w:r>
    </w:p>
    <w:p w14:paraId="020A894C" w14:textId="43D26276" w:rsidR="00CD2E0B" w:rsidRPr="006B16BF" w:rsidRDefault="00E231EC" w:rsidP="00571411">
      <w:pPr>
        <w:spacing w:line="240" w:lineRule="auto"/>
        <w:jc w:val="center"/>
        <w:rPr>
          <w:u w:val="single"/>
          <w:lang w:val="fr-FR"/>
        </w:rPr>
      </w:pPr>
      <w:hyperlink r:id="rId14" w:history="1">
        <w:r w:rsidR="005A1FFA" w:rsidRPr="006B16BF">
          <w:rPr>
            <w:rStyle w:val="Hyperlink"/>
            <w:lang w:val="fr-FR"/>
          </w:rPr>
          <w:t>https://www.itu.int/md/R19-CPM23.2-C/en</w:t>
        </w:r>
      </w:hyperlink>
    </w:p>
    <w:p w14:paraId="6941E12E" w14:textId="2F49AC84" w:rsidR="00CD2E0B" w:rsidRPr="006B16BF" w:rsidRDefault="00CD2E0B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 xml:space="preserve">Conformément à la Résolution 167 (Rév. </w:t>
      </w:r>
      <w:r w:rsidR="00326912" w:rsidRPr="006B16BF">
        <w:rPr>
          <w:lang w:val="fr-FR"/>
        </w:rPr>
        <w:t>Dubaï</w:t>
      </w:r>
      <w:r w:rsidRPr="006B16BF">
        <w:rPr>
          <w:lang w:val="fr-FR"/>
        </w:rPr>
        <w:t>, 201</w:t>
      </w:r>
      <w:r w:rsidR="00326912" w:rsidRPr="006B16BF">
        <w:rPr>
          <w:lang w:val="fr-FR"/>
        </w:rPr>
        <w:t>8</w:t>
      </w:r>
      <w:r w:rsidRPr="006B16BF">
        <w:rPr>
          <w:lang w:val="fr-FR"/>
        </w:rPr>
        <w:t xml:space="preserve">) de la Conférence de plénipotentiaires, </w:t>
      </w:r>
      <w:r w:rsidRPr="006B16BF">
        <w:rPr>
          <w:b/>
          <w:bCs/>
          <w:lang w:val="fr-FR"/>
        </w:rPr>
        <w:t>la</w:t>
      </w:r>
      <w:r w:rsidR="005A1FFA" w:rsidRPr="006B16BF">
        <w:rPr>
          <w:b/>
          <w:bCs/>
          <w:lang w:val="fr-FR"/>
        </w:rPr>
        <w:t> </w:t>
      </w:r>
      <w:r w:rsidRPr="006B16BF">
        <w:rPr>
          <w:b/>
          <w:bCs/>
          <w:lang w:val="fr-FR"/>
        </w:rPr>
        <w:t>RPC</w:t>
      </w:r>
      <w:r w:rsidR="00326912" w:rsidRPr="006B16BF">
        <w:rPr>
          <w:b/>
          <w:bCs/>
          <w:lang w:val="fr-FR"/>
        </w:rPr>
        <w:t>23</w:t>
      </w:r>
      <w:r w:rsidRPr="006B16BF">
        <w:rPr>
          <w:b/>
          <w:bCs/>
          <w:lang w:val="fr-FR"/>
        </w:rPr>
        <w:t>-2 se déroulera sans document papier</w:t>
      </w:r>
      <w:r w:rsidRPr="006B16BF">
        <w:rPr>
          <w:lang w:val="fr-FR"/>
        </w:rPr>
        <w:t>.</w:t>
      </w:r>
      <w:r w:rsidR="00640ECB" w:rsidRPr="006B16BF">
        <w:rPr>
          <w:lang w:val="fr-FR"/>
        </w:rPr>
        <w:t xml:space="preserve"> Un </w:t>
      </w:r>
      <w:hyperlink r:id="rId15" w:history="1">
        <w:r w:rsidR="00640ECB" w:rsidRPr="00A0742E">
          <w:rPr>
            <w:rStyle w:val="Hyperlink"/>
            <w:lang w:val="fr-FR"/>
          </w:rPr>
          <w:t>compte TIES</w:t>
        </w:r>
      </w:hyperlink>
      <w:r w:rsidR="00640ECB" w:rsidRPr="006B16BF">
        <w:rPr>
          <w:lang w:val="fr-FR"/>
        </w:rPr>
        <w:t xml:space="preserve"> est nécessaire pour </w:t>
      </w:r>
      <w:r w:rsidR="00EF7E14" w:rsidRPr="006B16BF">
        <w:rPr>
          <w:lang w:val="fr-FR"/>
        </w:rPr>
        <w:t xml:space="preserve">pouvoir </w:t>
      </w:r>
      <w:r w:rsidR="00BE581F" w:rsidRPr="006B16BF">
        <w:rPr>
          <w:lang w:val="fr-FR"/>
        </w:rPr>
        <w:t>ouvrir</w:t>
      </w:r>
      <w:r w:rsidR="00640ECB" w:rsidRPr="006B16BF">
        <w:rPr>
          <w:lang w:val="fr-FR"/>
        </w:rPr>
        <w:t xml:space="preserve"> les documents de la RPC23-2.</w:t>
      </w:r>
    </w:p>
    <w:p w14:paraId="6CED7974" w14:textId="2C346351" w:rsidR="00B3192E" w:rsidRPr="006B16BF" w:rsidRDefault="00F400BC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7</w:t>
      </w:r>
      <w:r w:rsidRPr="006B16BF">
        <w:rPr>
          <w:lang w:val="fr-FR"/>
        </w:rPr>
        <w:tab/>
      </w:r>
      <w:r w:rsidR="006059AE" w:rsidRPr="006B16BF">
        <w:rPr>
          <w:lang w:val="fr-FR"/>
        </w:rPr>
        <w:t>Inscription à la manifestation</w:t>
      </w:r>
      <w:r w:rsidRPr="006B16BF">
        <w:rPr>
          <w:lang w:val="fr-FR"/>
        </w:rPr>
        <w:t>/Demande de visa/</w:t>
      </w:r>
      <w:r w:rsidR="006059AE" w:rsidRPr="006B16BF">
        <w:rPr>
          <w:lang w:val="fr-FR"/>
        </w:rPr>
        <w:t>Hébergement</w:t>
      </w:r>
    </w:p>
    <w:p w14:paraId="6D593FD0" w14:textId="4F0C6973" w:rsidR="00B3192E" w:rsidRPr="006B16BF" w:rsidRDefault="00B3192E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 xml:space="preserve">L'inscription à cette manifestation est obligatoire et se fera exclusivement en ligne par l'intermédiaire des coordonnateurs désignés (DFP) pour l'inscription aux manifestations de l'UIT-R. </w:t>
      </w:r>
      <w:r w:rsidRPr="006B16BF">
        <w:rPr>
          <w:b/>
          <w:bCs/>
          <w:lang w:val="fr-FR"/>
        </w:rPr>
        <w:t>Les participants doivent dans un premier temps remplir un formulaire d'inscription en ligne puis soumettre leur demande d'inscription pour approbation aux coordonnateurs désignés.</w:t>
      </w:r>
      <w:r w:rsidRPr="006B16BF">
        <w:rPr>
          <w:lang w:val="fr-FR"/>
        </w:rPr>
        <w:t xml:space="preserve"> Pour ce faire, ils ont besoin d'un compte d'utilisateur de l'UIT.</w:t>
      </w:r>
    </w:p>
    <w:p w14:paraId="13F20554" w14:textId="77777777" w:rsidR="00B3192E" w:rsidRPr="006B16BF" w:rsidRDefault="00B3192E" w:rsidP="00A0742E">
      <w:pPr>
        <w:spacing w:line="240" w:lineRule="auto"/>
        <w:rPr>
          <w:lang w:val="fr-FR"/>
        </w:rPr>
      </w:pPr>
      <w:bookmarkStart w:id="0" w:name="_Hlk89763385"/>
      <w:r w:rsidRPr="006B16BF">
        <w:rPr>
          <w:lang w:val="fr-FR"/>
        </w:rPr>
        <w:t xml:space="preserve">Lors de votre inscription à la manifestation, veuillez tenir dûment compte des informations relatives aux mesures sanitaires actuelles, qui sont indiquées sur le </w:t>
      </w:r>
      <w:hyperlink r:id="rId16" w:history="1">
        <w:r w:rsidRPr="006B16BF">
          <w:rPr>
            <w:rStyle w:val="Hyperlink"/>
            <w:lang w:val="fr-FR"/>
          </w:rPr>
          <w:t>site web de l'UIT consacré aux mesures de protection contre le COVID-19</w:t>
        </w:r>
      </w:hyperlink>
      <w:r w:rsidRPr="006B16BF">
        <w:rPr>
          <w:lang w:val="fr-FR"/>
        </w:rPr>
        <w:t>.</w:t>
      </w:r>
    </w:p>
    <w:bookmarkEnd w:id="0"/>
    <w:p w14:paraId="46C3173F" w14:textId="54362594" w:rsidR="00B3192E" w:rsidRPr="006B16BF" w:rsidRDefault="00B3192E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Il est vivement recommandé</w:t>
      </w:r>
      <w:r w:rsidRPr="006B16BF" w:rsidDel="00830386">
        <w:rPr>
          <w:lang w:val="fr-FR"/>
        </w:rPr>
        <w:t xml:space="preserve"> </w:t>
      </w:r>
      <w:r w:rsidRPr="006B16BF">
        <w:rPr>
          <w:lang w:val="fr-FR"/>
        </w:rPr>
        <w:t xml:space="preserve">aux participants de </w:t>
      </w:r>
      <w:r w:rsidRPr="006B16BF">
        <w:rPr>
          <w:b/>
          <w:lang w:val="fr-FR"/>
        </w:rPr>
        <w:t>s'inscrire à l'avance</w:t>
      </w:r>
      <w:r w:rsidRPr="006B16BF">
        <w:rPr>
          <w:lang w:val="fr-FR"/>
        </w:rPr>
        <w:t xml:space="preserve"> et d'indiquer </w:t>
      </w:r>
      <w:r w:rsidRPr="006B16BF">
        <w:rPr>
          <w:b/>
          <w:bCs/>
          <w:lang w:val="fr-FR"/>
        </w:rPr>
        <w:t>s'ils envisagent de participer à la réunion en présentiel ou à distance</w:t>
      </w:r>
      <w:r w:rsidRPr="006B16BF">
        <w:rPr>
          <w:lang w:val="fr-FR"/>
        </w:rPr>
        <w:t>. Les participants sont également invités à consulter les informations concernant la sûreté et la sécurité, qui sont mises à jour périodiquement, avant d'organiser leur voyage, s'ils choisissent de participer à la réunion en présentiel.</w:t>
      </w:r>
    </w:p>
    <w:p w14:paraId="455F9A69" w14:textId="6A40A208" w:rsidR="00B3192E" w:rsidRPr="006B16BF" w:rsidRDefault="00B3192E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On trouvera la liste des coordonnateurs désignés pour l'UIT-R (accès réservé aux utilisateurs de TIES) ainsi que des précisions au sujet d</w:t>
      </w:r>
      <w:r w:rsidR="000370A9" w:rsidRPr="006B16BF">
        <w:rPr>
          <w:lang w:val="fr-FR"/>
        </w:rPr>
        <w:t>e ce nouveau</w:t>
      </w:r>
      <w:r w:rsidRPr="006B16BF">
        <w:rPr>
          <w:lang w:val="fr-FR"/>
        </w:rPr>
        <w:t xml:space="preserve"> système d'inscription aux manifestations, des demandes d'assistance pour l'obtention d'un visa, des réservations d'hôtel, etc., à l'adresse suivante:</w:t>
      </w:r>
    </w:p>
    <w:p w14:paraId="7FB395C4" w14:textId="6F75D9EE" w:rsidR="00B3192E" w:rsidRPr="006B16BF" w:rsidRDefault="00E231EC" w:rsidP="00571411">
      <w:pPr>
        <w:spacing w:line="240" w:lineRule="auto"/>
        <w:jc w:val="center"/>
        <w:rPr>
          <w:u w:val="single"/>
          <w:lang w:val="fr-FR"/>
        </w:rPr>
      </w:pPr>
      <w:hyperlink r:id="rId17" w:history="1">
        <w:r w:rsidR="000370A9" w:rsidRPr="006B16BF">
          <w:rPr>
            <w:rStyle w:val="Hyperlink"/>
            <w:lang w:val="fr-FR"/>
          </w:rPr>
          <w:t>www.itu.int/fr/ITU-R/information/events</w:t>
        </w:r>
      </w:hyperlink>
    </w:p>
    <w:p w14:paraId="491AC064" w14:textId="21FBF890" w:rsidR="00F400BC" w:rsidRPr="006B16BF" w:rsidRDefault="00F400BC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8</w:t>
      </w:r>
      <w:r w:rsidRPr="006B16BF">
        <w:rPr>
          <w:lang w:val="fr-FR"/>
        </w:rPr>
        <w:tab/>
        <w:t>Modalités de connexion aux séances de la réunion pour la participation à distance</w:t>
      </w:r>
    </w:p>
    <w:p w14:paraId="555A3D65" w14:textId="7BF82223" w:rsidR="00D65E1C" w:rsidRPr="006B16BF" w:rsidRDefault="000370A9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À moins qu'il n'en soit décidé autrement à la Conférence de plénipotentiaires de l'UIT de 2022, la</w:t>
      </w:r>
      <w:r w:rsidR="009E05E5" w:rsidRPr="006B16BF">
        <w:rPr>
          <w:lang w:val="fr-FR"/>
        </w:rPr>
        <w:t> </w:t>
      </w:r>
      <w:r w:rsidRPr="006B16BF">
        <w:rPr>
          <w:lang w:val="fr-FR"/>
        </w:rPr>
        <w:t>RPC23-2 se tiendra en présentiel, avec la possibilité de participer à distance</w:t>
      </w:r>
      <w:r w:rsidR="00C045A8" w:rsidRPr="006B16BF">
        <w:rPr>
          <w:lang w:val="fr-FR"/>
        </w:rPr>
        <w:t xml:space="preserve"> à la manifestation</w:t>
      </w:r>
      <w:r w:rsidRPr="006B16BF">
        <w:rPr>
          <w:lang w:val="fr-FR"/>
        </w:rPr>
        <w:t>.</w:t>
      </w:r>
    </w:p>
    <w:p w14:paraId="79D72952" w14:textId="70EABE2D" w:rsidR="00F400BC" w:rsidRPr="006B16BF" w:rsidRDefault="006601CA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La participation à distance est limitée aux seuls participants inscrits à la manifestation.</w:t>
      </w:r>
    </w:p>
    <w:p w14:paraId="1F6880E0" w14:textId="4F1B803F" w:rsidR="00CD2E0B" w:rsidRPr="006B16BF" w:rsidRDefault="00F400BC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t>9</w:t>
      </w:r>
      <w:r w:rsidRPr="006B16BF">
        <w:rPr>
          <w:lang w:val="fr-FR"/>
        </w:rPr>
        <w:tab/>
      </w:r>
      <w:r w:rsidR="00CD2E0B" w:rsidRPr="006B16BF">
        <w:rPr>
          <w:lang w:val="fr-FR"/>
        </w:rPr>
        <w:t>Diffusion sur le web</w:t>
      </w:r>
    </w:p>
    <w:p w14:paraId="0724CFB8" w14:textId="1CB09DC1" w:rsidR="00CD2E0B" w:rsidRPr="006B16BF" w:rsidRDefault="00CD2E0B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Les séances plénières de la RPC</w:t>
      </w:r>
      <w:r w:rsidR="006E2221" w:rsidRPr="006B16BF">
        <w:rPr>
          <w:lang w:val="fr-FR"/>
        </w:rPr>
        <w:t>23</w:t>
      </w:r>
      <w:r w:rsidRPr="006B16BF">
        <w:rPr>
          <w:lang w:val="fr-FR"/>
        </w:rPr>
        <w:t xml:space="preserve">-2 et les séances des groupes de travail seront diffusées en mode audio sur le web dans les six langues officielles de l'Union, diffusion qui sera accessible depuis la </w:t>
      </w:r>
      <w:hyperlink r:id="rId18" w:history="1">
        <w:r w:rsidRPr="006B16BF">
          <w:rPr>
            <w:rStyle w:val="Hyperlink"/>
            <w:rFonts w:asciiTheme="minorHAnsi" w:hAnsiTheme="minorHAnsi"/>
            <w:szCs w:val="24"/>
            <w:lang w:val="fr-FR"/>
          </w:rPr>
          <w:t>page web de la RPC</w:t>
        </w:r>
      </w:hyperlink>
      <w:r w:rsidRPr="006B16BF">
        <w:rPr>
          <w:lang w:val="fr-FR"/>
        </w:rPr>
        <w:t xml:space="preserve">. Les participants n'ont pas besoin de s'inscrire à la réunion pour pouvoir utiliser le service de diffusion, mais un </w:t>
      </w:r>
      <w:hyperlink r:id="rId19" w:history="1">
        <w:r w:rsidRPr="006B16BF">
          <w:rPr>
            <w:rStyle w:val="Hyperlink"/>
            <w:rFonts w:asciiTheme="minorHAnsi" w:hAnsiTheme="minorHAnsi"/>
            <w:szCs w:val="24"/>
            <w:lang w:val="fr-FR"/>
          </w:rPr>
          <w:t>compte TIES</w:t>
        </w:r>
      </w:hyperlink>
      <w:r w:rsidRPr="006B16BF">
        <w:rPr>
          <w:lang w:val="fr-FR"/>
        </w:rPr>
        <w:t xml:space="preserve"> de l'UIT est nécessaire pour avoir accès à la diffusion sur le web.</w:t>
      </w:r>
    </w:p>
    <w:p w14:paraId="256A2571" w14:textId="51A54A3E" w:rsidR="00790B0A" w:rsidRPr="006B16BF" w:rsidRDefault="00790B0A" w:rsidP="00571411">
      <w:pPr>
        <w:pStyle w:val="Heading1"/>
        <w:jc w:val="left"/>
        <w:rPr>
          <w:lang w:val="fr-FR"/>
        </w:rPr>
      </w:pPr>
      <w:r w:rsidRPr="006B16BF">
        <w:rPr>
          <w:lang w:val="fr-FR"/>
        </w:rPr>
        <w:lastRenderedPageBreak/>
        <w:t>10</w:t>
      </w:r>
      <w:r w:rsidRPr="006B16BF">
        <w:rPr>
          <w:lang w:val="fr-FR"/>
        </w:rPr>
        <w:tab/>
        <w:t>Organisation d'une réunion virtuelle en cas d'aggravation des conditions sanitaires liées au COVID-19</w:t>
      </w:r>
    </w:p>
    <w:p w14:paraId="742B34DE" w14:textId="77777777" w:rsidR="00790B0A" w:rsidRPr="006B16BF" w:rsidRDefault="00790B0A" w:rsidP="00A0742E">
      <w:pPr>
        <w:keepLines/>
        <w:spacing w:line="240" w:lineRule="auto"/>
        <w:rPr>
          <w:lang w:val="fr-FR"/>
        </w:rPr>
      </w:pPr>
      <w:r w:rsidRPr="006B16BF">
        <w:rPr>
          <w:lang w:val="fr-FR"/>
        </w:rPr>
        <w:t>En cas d'aggravation des conditions sanitaires liées au COVID-19, les organisateurs de la réunion informeront tous les participants de la tenue éventuelle d'une réunion virtuelle en temps opportun, au moyen d'un Addendum à la présente Circulaire administrative.</w:t>
      </w:r>
    </w:p>
    <w:p w14:paraId="725E3801" w14:textId="73E136B2" w:rsidR="00CD2E0B" w:rsidRPr="006B16BF" w:rsidRDefault="00CD2E0B" w:rsidP="00A0742E">
      <w:pPr>
        <w:spacing w:line="240" w:lineRule="auto"/>
        <w:rPr>
          <w:lang w:val="fr-FR"/>
        </w:rPr>
      </w:pPr>
      <w:r w:rsidRPr="006B16BF">
        <w:rPr>
          <w:lang w:val="fr-FR"/>
        </w:rPr>
        <w:t>La personne à contacter au Bureau des radiocommunications pour les questions d'ordre général concernant la RPC</w:t>
      </w:r>
      <w:r w:rsidR="006E2221" w:rsidRPr="006B16BF">
        <w:rPr>
          <w:lang w:val="fr-FR"/>
        </w:rPr>
        <w:t>23</w:t>
      </w:r>
      <w:r w:rsidRPr="006B16BF">
        <w:rPr>
          <w:lang w:val="fr-FR"/>
        </w:rPr>
        <w:t xml:space="preserve">-2 est M. Philippe Aubineau (Tél.: +41 22 730 5992 ou par </w:t>
      </w:r>
      <w:r w:rsidR="001E051E" w:rsidRPr="006B16BF">
        <w:rPr>
          <w:lang w:val="fr-FR"/>
        </w:rPr>
        <w:t>courrier électronique à l'adresse</w:t>
      </w:r>
      <w:r w:rsidRPr="006B16BF">
        <w:rPr>
          <w:lang w:val="fr-FR"/>
        </w:rPr>
        <w:t>: </w:t>
      </w:r>
      <w:hyperlink r:id="rId20" w:history="1">
        <w:r w:rsidRPr="006B16BF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6B16BF">
        <w:rPr>
          <w:lang w:val="fr-FR"/>
        </w:rPr>
        <w:t>).</w:t>
      </w:r>
    </w:p>
    <w:p w14:paraId="23976B03" w14:textId="2A4BE018" w:rsidR="00CD2E0B" w:rsidRPr="006B16BF" w:rsidRDefault="00790B0A" w:rsidP="00E231EC">
      <w:pPr>
        <w:spacing w:before="1440" w:line="240" w:lineRule="auto"/>
        <w:jc w:val="left"/>
        <w:rPr>
          <w:rFonts w:asciiTheme="minorHAnsi" w:hAnsiTheme="minorHAnsi"/>
          <w:szCs w:val="24"/>
          <w:lang w:val="fr-FR"/>
        </w:rPr>
      </w:pPr>
      <w:r w:rsidRPr="006B16BF">
        <w:rPr>
          <w:rFonts w:asciiTheme="minorHAnsi" w:hAnsiTheme="minorHAnsi"/>
          <w:szCs w:val="24"/>
          <w:lang w:val="fr-FR"/>
        </w:rPr>
        <w:t>Mario Maniewicz</w:t>
      </w:r>
      <w:r w:rsidRPr="006B16BF">
        <w:rPr>
          <w:rFonts w:asciiTheme="minorHAnsi" w:hAnsiTheme="minorHAnsi"/>
          <w:szCs w:val="24"/>
          <w:lang w:val="fr-FR"/>
        </w:rPr>
        <w:br/>
      </w:r>
      <w:r w:rsidR="00CD2E0B" w:rsidRPr="006B16BF">
        <w:rPr>
          <w:rFonts w:asciiTheme="minorHAnsi" w:hAnsiTheme="minorHAnsi"/>
          <w:szCs w:val="24"/>
          <w:lang w:val="fr-FR"/>
        </w:rPr>
        <w:t xml:space="preserve">Directeur </w:t>
      </w:r>
    </w:p>
    <w:p w14:paraId="520E8635" w14:textId="750A23D4" w:rsidR="00CD2E0B" w:rsidRPr="006B16BF" w:rsidRDefault="00CD2E0B" w:rsidP="00470E86">
      <w:pPr>
        <w:spacing w:before="3600" w:line="240" w:lineRule="auto"/>
        <w:ind w:left="1191" w:hanging="1191"/>
        <w:jc w:val="left"/>
        <w:rPr>
          <w:rFonts w:asciiTheme="minorHAnsi" w:hAnsiTheme="minorHAnsi"/>
          <w:szCs w:val="24"/>
          <w:lang w:val="fr-FR"/>
        </w:rPr>
      </w:pPr>
      <w:r w:rsidRPr="006B16BF">
        <w:rPr>
          <w:rFonts w:asciiTheme="minorHAnsi" w:hAnsiTheme="minorHAnsi"/>
          <w:b/>
          <w:bCs/>
          <w:szCs w:val="24"/>
          <w:lang w:val="fr-FR"/>
        </w:rPr>
        <w:t>Annexe</w:t>
      </w:r>
      <w:r w:rsidRPr="006B16BF">
        <w:rPr>
          <w:rFonts w:asciiTheme="minorHAnsi" w:hAnsiTheme="minorHAnsi"/>
          <w:szCs w:val="24"/>
          <w:lang w:val="fr-FR"/>
        </w:rPr>
        <w:t>:</w:t>
      </w:r>
      <w:r w:rsidRPr="006B16BF">
        <w:rPr>
          <w:rFonts w:asciiTheme="minorHAnsi" w:hAnsiTheme="minorHAnsi"/>
          <w:szCs w:val="24"/>
          <w:lang w:val="fr-FR"/>
        </w:rPr>
        <w:tab/>
      </w:r>
      <w:r w:rsidRPr="006B16BF">
        <w:rPr>
          <w:lang w:val="fr-FR"/>
        </w:rPr>
        <w:t xml:space="preserve">Projet d'ordre du jour </w:t>
      </w:r>
      <w:bookmarkStart w:id="1" w:name="_GoBack"/>
      <w:bookmarkEnd w:id="1"/>
      <w:r w:rsidRPr="006B16BF">
        <w:rPr>
          <w:lang w:val="fr-FR"/>
        </w:rPr>
        <w:t>de la seconde session de la Réunion de préparation à la Conférence de 20</w:t>
      </w:r>
      <w:bookmarkStart w:id="2" w:name="ddistribution"/>
      <w:bookmarkEnd w:id="2"/>
      <w:r w:rsidR="001C5F4A" w:rsidRPr="006B16BF">
        <w:rPr>
          <w:lang w:val="fr-FR"/>
        </w:rPr>
        <w:t>23</w:t>
      </w:r>
      <w:r w:rsidRPr="006B16BF">
        <w:rPr>
          <w:lang w:val="fr-FR"/>
        </w:rPr>
        <w:br w:type="page"/>
      </w:r>
    </w:p>
    <w:p w14:paraId="123F6DEF" w14:textId="2703BD89" w:rsidR="00CD2E0B" w:rsidRPr="006B16BF" w:rsidRDefault="00CD2E0B" w:rsidP="00571411">
      <w:pPr>
        <w:pStyle w:val="AnnexNotitle0"/>
        <w:rPr>
          <w:rFonts w:asciiTheme="minorHAnsi" w:hAnsiTheme="minorHAnsi"/>
          <w:lang w:val="fr-FR"/>
        </w:rPr>
      </w:pPr>
      <w:r w:rsidRPr="006B16BF">
        <w:rPr>
          <w:rFonts w:asciiTheme="minorHAnsi" w:hAnsiTheme="minorHAnsi"/>
          <w:lang w:val="fr-FR"/>
        </w:rPr>
        <w:lastRenderedPageBreak/>
        <w:t xml:space="preserve">Annexe </w:t>
      </w:r>
      <w:r w:rsidRPr="006B16BF">
        <w:rPr>
          <w:rFonts w:asciiTheme="minorHAnsi" w:hAnsiTheme="minorHAnsi"/>
          <w:lang w:val="fr-FR"/>
        </w:rPr>
        <w:br/>
      </w:r>
      <w:r w:rsidRPr="006B16BF">
        <w:rPr>
          <w:rFonts w:asciiTheme="minorHAnsi" w:hAnsiTheme="minorHAnsi"/>
          <w:lang w:val="fr-FR"/>
        </w:rPr>
        <w:br/>
        <w:t xml:space="preserve">Projet d'ordre du jour de la seconde session de la Réunion de </w:t>
      </w:r>
      <w:r w:rsidRPr="006B16BF">
        <w:rPr>
          <w:rFonts w:asciiTheme="minorHAnsi" w:hAnsiTheme="minorHAnsi"/>
          <w:lang w:val="fr-FR"/>
        </w:rPr>
        <w:br/>
        <w:t>préparation à la Conférence de </w:t>
      </w:r>
      <w:r w:rsidR="00790B0A" w:rsidRPr="006B16BF">
        <w:rPr>
          <w:rFonts w:asciiTheme="minorHAnsi" w:hAnsiTheme="minorHAnsi"/>
          <w:lang w:val="fr-FR"/>
        </w:rPr>
        <w:t>2023</w:t>
      </w:r>
      <w:r w:rsidRPr="006B16BF">
        <w:rPr>
          <w:rFonts w:asciiTheme="minorHAnsi" w:hAnsiTheme="minorHAnsi"/>
          <w:lang w:val="fr-FR"/>
        </w:rPr>
        <w:t xml:space="preserve"> (RPC</w:t>
      </w:r>
      <w:r w:rsidR="001C5F4A" w:rsidRPr="006B16BF">
        <w:rPr>
          <w:rFonts w:asciiTheme="minorHAnsi" w:hAnsiTheme="minorHAnsi"/>
          <w:lang w:val="fr-FR"/>
        </w:rPr>
        <w:t>23</w:t>
      </w:r>
      <w:r w:rsidRPr="006B16BF">
        <w:rPr>
          <w:rFonts w:asciiTheme="minorHAnsi" w:hAnsiTheme="minorHAnsi"/>
          <w:lang w:val="fr-FR"/>
        </w:rPr>
        <w:t>-2)</w:t>
      </w:r>
    </w:p>
    <w:p w14:paraId="266912A9" w14:textId="1DC3E001" w:rsidR="00CD2E0B" w:rsidRPr="006B16BF" w:rsidRDefault="00790B0A" w:rsidP="00571411">
      <w:pPr>
        <w:pStyle w:val="AnnexNotitle0"/>
        <w:spacing w:before="360"/>
        <w:rPr>
          <w:rFonts w:asciiTheme="minorHAnsi" w:hAnsiTheme="minorHAnsi"/>
          <w:i/>
          <w:iCs/>
          <w:lang w:val="fr-FR"/>
        </w:rPr>
      </w:pPr>
      <w:r w:rsidRPr="006B16BF">
        <w:rPr>
          <w:rFonts w:asciiTheme="minorHAnsi" w:hAnsiTheme="minorHAnsi"/>
          <w:i/>
          <w:iCs/>
          <w:lang w:val="fr-FR"/>
        </w:rPr>
        <w:t>É</w:t>
      </w:r>
      <w:r w:rsidR="00CD2E0B" w:rsidRPr="006B16BF">
        <w:rPr>
          <w:rFonts w:asciiTheme="minorHAnsi" w:hAnsiTheme="minorHAnsi"/>
          <w:i/>
          <w:iCs/>
          <w:lang w:val="fr-FR"/>
        </w:rPr>
        <w:t>laboration du Rapport de la RPC à la Conférence mondiale des radiocommunications de </w:t>
      </w:r>
      <w:r w:rsidRPr="006B16BF">
        <w:rPr>
          <w:rFonts w:asciiTheme="minorHAnsi" w:hAnsiTheme="minorHAnsi"/>
          <w:i/>
          <w:iCs/>
          <w:lang w:val="fr-FR"/>
        </w:rPr>
        <w:t>2023</w:t>
      </w:r>
      <w:r w:rsidR="00CD2E0B" w:rsidRPr="006B16BF">
        <w:rPr>
          <w:rFonts w:asciiTheme="minorHAnsi" w:hAnsiTheme="minorHAnsi"/>
          <w:i/>
          <w:iCs/>
          <w:lang w:val="fr-FR"/>
        </w:rPr>
        <w:t xml:space="preserve"> (CMR-</w:t>
      </w:r>
      <w:r w:rsidR="001C5F4A" w:rsidRPr="006B16BF">
        <w:rPr>
          <w:rFonts w:asciiTheme="minorHAnsi" w:hAnsiTheme="minorHAnsi"/>
          <w:i/>
          <w:iCs/>
          <w:lang w:val="fr-FR"/>
        </w:rPr>
        <w:t>23</w:t>
      </w:r>
      <w:r w:rsidR="00CD2E0B" w:rsidRPr="006B16BF">
        <w:rPr>
          <w:rFonts w:asciiTheme="minorHAnsi" w:hAnsiTheme="minorHAnsi"/>
          <w:i/>
          <w:iCs/>
          <w:lang w:val="fr-FR"/>
        </w:rPr>
        <w:t>)</w:t>
      </w:r>
    </w:p>
    <w:p w14:paraId="27FDB703" w14:textId="690DD42F" w:rsidR="00CD2E0B" w:rsidRPr="006B16BF" w:rsidRDefault="00CD2E0B" w:rsidP="00571411">
      <w:pPr>
        <w:spacing w:before="240" w:line="240" w:lineRule="auto"/>
        <w:jc w:val="center"/>
        <w:rPr>
          <w:lang w:val="fr-FR"/>
        </w:rPr>
      </w:pPr>
      <w:r w:rsidRPr="006B16BF">
        <w:rPr>
          <w:lang w:val="fr-FR"/>
        </w:rPr>
        <w:t xml:space="preserve">(Genève, du </w:t>
      </w:r>
      <w:r w:rsidR="001C5F4A" w:rsidRPr="006B16BF">
        <w:rPr>
          <w:lang w:val="fr-FR"/>
        </w:rPr>
        <w:t>27 mars au 6 avril 2023</w:t>
      </w:r>
      <w:r w:rsidRPr="006B16BF">
        <w:rPr>
          <w:lang w:val="fr-FR"/>
        </w:rPr>
        <w:t>)</w:t>
      </w:r>
    </w:p>
    <w:p w14:paraId="4B62AADB" w14:textId="77777777" w:rsidR="00CD2E0B" w:rsidRPr="006B16BF" w:rsidRDefault="00CD2E0B" w:rsidP="00571411">
      <w:pPr>
        <w:spacing w:before="600"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1</w:t>
      </w:r>
      <w:r w:rsidRPr="006B16BF">
        <w:rPr>
          <w:b/>
          <w:bCs/>
          <w:lang w:val="fr-FR"/>
        </w:rPr>
        <w:tab/>
      </w:r>
      <w:r w:rsidRPr="006B16BF">
        <w:rPr>
          <w:lang w:val="fr-FR"/>
        </w:rPr>
        <w:t>Remarques liminaires</w:t>
      </w:r>
    </w:p>
    <w:p w14:paraId="23417950" w14:textId="77777777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2</w:t>
      </w:r>
      <w:r w:rsidRPr="006B16BF">
        <w:rPr>
          <w:lang w:val="fr-FR"/>
        </w:rPr>
        <w:tab/>
        <w:t>Adoption de l'ordre du jour</w:t>
      </w:r>
    </w:p>
    <w:p w14:paraId="21D7BF2A" w14:textId="3003E89E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3</w:t>
      </w:r>
      <w:r w:rsidRPr="006B16BF">
        <w:rPr>
          <w:lang w:val="fr-FR"/>
        </w:rPr>
        <w:tab/>
        <w:t>Structure, calendrier et méthodes de travail de la seconde session de la RPC-</w:t>
      </w:r>
      <w:r w:rsidR="00067262" w:rsidRPr="006B16BF">
        <w:rPr>
          <w:lang w:val="fr-FR"/>
        </w:rPr>
        <w:t>23</w:t>
      </w:r>
    </w:p>
    <w:p w14:paraId="6CCD8493" w14:textId="6F0CA016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4</w:t>
      </w:r>
      <w:r w:rsidRPr="006B16BF">
        <w:rPr>
          <w:lang w:val="fr-FR"/>
        </w:rPr>
        <w:tab/>
      </w:r>
      <w:r w:rsidR="00470E86" w:rsidRPr="006B16BF">
        <w:rPr>
          <w:lang w:val="fr-FR"/>
        </w:rPr>
        <w:t>É</w:t>
      </w:r>
      <w:r w:rsidRPr="006B16BF">
        <w:rPr>
          <w:lang w:val="fr-FR"/>
        </w:rPr>
        <w:t>tablissement des groupes de travail</w:t>
      </w:r>
    </w:p>
    <w:p w14:paraId="2363DED6" w14:textId="77777777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5</w:t>
      </w:r>
      <w:r w:rsidRPr="006B16BF">
        <w:rPr>
          <w:lang w:val="fr-FR"/>
        </w:rPr>
        <w:tab/>
        <w:t>Attribution des documents</w:t>
      </w:r>
    </w:p>
    <w:p w14:paraId="49686CB7" w14:textId="60CDF58E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6</w:t>
      </w:r>
      <w:r w:rsidRPr="006B16BF">
        <w:rPr>
          <w:lang w:val="fr-FR"/>
        </w:rPr>
        <w:tab/>
        <w:t>Préparation du Rapport de la RPC à la CMR-</w:t>
      </w:r>
      <w:r w:rsidR="00067262" w:rsidRPr="006B16BF">
        <w:rPr>
          <w:lang w:val="fr-FR"/>
        </w:rPr>
        <w:t>23</w:t>
      </w:r>
    </w:p>
    <w:p w14:paraId="461F926E" w14:textId="77777777" w:rsidR="00CD2E0B" w:rsidRPr="006B16BF" w:rsidRDefault="00CD2E0B" w:rsidP="00571411">
      <w:pPr>
        <w:spacing w:line="240" w:lineRule="auto"/>
        <w:jc w:val="left"/>
        <w:rPr>
          <w:lang w:val="fr-FR"/>
        </w:rPr>
      </w:pPr>
      <w:r w:rsidRPr="006B16BF">
        <w:rPr>
          <w:b/>
          <w:bCs/>
          <w:lang w:val="fr-FR"/>
        </w:rPr>
        <w:t>7</w:t>
      </w:r>
      <w:r w:rsidRPr="006B16BF">
        <w:rPr>
          <w:lang w:val="fr-FR"/>
        </w:rPr>
        <w:tab/>
        <w:t>Divers</w:t>
      </w:r>
    </w:p>
    <w:p w14:paraId="444159A8" w14:textId="58522E1D" w:rsidR="00CD2E0B" w:rsidRPr="006B16BF" w:rsidRDefault="00CD2E0B" w:rsidP="0057141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jc w:val="left"/>
        <w:rPr>
          <w:lang w:val="fr-FR"/>
        </w:rPr>
      </w:pPr>
      <w:r w:rsidRPr="006B16BF">
        <w:rPr>
          <w:lang w:val="fr-FR"/>
        </w:rPr>
        <w:tab/>
      </w:r>
      <w:r w:rsidR="001C5F4A" w:rsidRPr="006B16BF">
        <w:rPr>
          <w:lang w:val="fr-FR"/>
        </w:rPr>
        <w:t>Mme Cindy-Lee COOK</w:t>
      </w:r>
      <w:r w:rsidRPr="006B16BF">
        <w:rPr>
          <w:lang w:val="fr-FR"/>
        </w:rPr>
        <w:br/>
      </w:r>
      <w:r w:rsidRPr="006B16BF">
        <w:rPr>
          <w:lang w:val="fr-FR"/>
        </w:rPr>
        <w:tab/>
        <w:t>Président</w:t>
      </w:r>
      <w:r w:rsidR="00067262" w:rsidRPr="006B16BF">
        <w:rPr>
          <w:lang w:val="fr-FR"/>
        </w:rPr>
        <w:t>e</w:t>
      </w:r>
      <w:r w:rsidRPr="006B16BF">
        <w:rPr>
          <w:lang w:val="fr-FR"/>
        </w:rPr>
        <w:t xml:space="preserve"> de la RPC-</w:t>
      </w:r>
      <w:r w:rsidR="001C5F4A" w:rsidRPr="006B16BF">
        <w:rPr>
          <w:lang w:val="fr-FR"/>
        </w:rPr>
        <w:t>23</w:t>
      </w:r>
    </w:p>
    <w:sectPr w:rsidR="00CD2E0B" w:rsidRPr="006B16BF" w:rsidSect="00F41109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418" w:right="1134" w:bottom="1418" w:left="1134" w:header="567" w:footer="39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80FE" w14:textId="77777777" w:rsidR="00CD2E0B" w:rsidRDefault="00CD2E0B">
      <w:r>
        <w:separator/>
      </w:r>
    </w:p>
  </w:endnote>
  <w:endnote w:type="continuationSeparator" w:id="0">
    <w:p w14:paraId="50CB5543" w14:textId="77777777" w:rsidR="00CD2E0B" w:rsidRDefault="00C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4B1D" w14:textId="07A6119B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</w:r>
    <w:proofErr w:type="gramStart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Tél</w:t>
    </w:r>
    <w:r w:rsidR="008E3BF6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:</w:t>
    </w:r>
    <w:proofErr w:type="gramEnd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</w:t>
    </w:r>
    <w:r w:rsidR="00F41109"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Courriel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: </w:t>
    </w:r>
    <w:hyperlink r:id="rId1" w:history="1">
      <w:proofErr w:type="spellStart"/>
      <w:r w:rsidR="00F41109" w:rsidRPr="00046B44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  <w:proofErr w:type="spellEnd"/>
    </w:hyperlink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 </w:t>
    </w:r>
    <w:hyperlink r:id="rId2" w:history="1">
      <w:proofErr w:type="spellStart"/>
      <w:r w:rsidR="00F41109" w:rsidRPr="00046B44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356A" w14:textId="77777777" w:rsidR="00CD2E0B" w:rsidRDefault="00CD2E0B">
      <w:r>
        <w:t>____________________</w:t>
      </w:r>
    </w:p>
  </w:footnote>
  <w:footnote w:type="continuationSeparator" w:id="0">
    <w:p w14:paraId="17080CFB" w14:textId="77777777" w:rsidR="00CD2E0B" w:rsidRDefault="00CD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242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DA92" w14:textId="1EE1C09E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E9213A">
      <w:rPr>
        <w:noProof/>
        <w:sz w:val="18"/>
        <w:szCs w:val="16"/>
      </w:rPr>
      <w:t>5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4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571411" w14:paraId="62774D45" w14:textId="77777777" w:rsidTr="00571411">
      <w:tc>
        <w:tcPr>
          <w:tcW w:w="10042" w:type="dxa"/>
          <w:tcMar>
            <w:left w:w="0" w:type="dxa"/>
          </w:tcMar>
        </w:tcPr>
        <w:p w14:paraId="4F194B3A" w14:textId="77777777" w:rsidR="00571411" w:rsidRDefault="00571411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19C0579A" wp14:editId="02ED7AB4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DC36DF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E04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6B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AA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21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5AB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E6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926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6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8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FE7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370A9"/>
    <w:rsid w:val="00045A8D"/>
    <w:rsid w:val="0005167A"/>
    <w:rsid w:val="00054E5D"/>
    <w:rsid w:val="00056C82"/>
    <w:rsid w:val="00067262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5F4A"/>
    <w:rsid w:val="001C6971"/>
    <w:rsid w:val="001D2785"/>
    <w:rsid w:val="001D7070"/>
    <w:rsid w:val="001E051E"/>
    <w:rsid w:val="001F2170"/>
    <w:rsid w:val="001F3948"/>
    <w:rsid w:val="001F5A49"/>
    <w:rsid w:val="00201097"/>
    <w:rsid w:val="00201B6E"/>
    <w:rsid w:val="00227A59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5C73"/>
    <w:rsid w:val="002E3D27"/>
    <w:rsid w:val="002F0890"/>
    <w:rsid w:val="002F2531"/>
    <w:rsid w:val="002F2F28"/>
    <w:rsid w:val="002F4967"/>
    <w:rsid w:val="002F5AA5"/>
    <w:rsid w:val="002F7707"/>
    <w:rsid w:val="00304636"/>
    <w:rsid w:val="00316935"/>
    <w:rsid w:val="003266ED"/>
    <w:rsid w:val="00326912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4F91"/>
    <w:rsid w:val="0043682E"/>
    <w:rsid w:val="00447ECB"/>
    <w:rsid w:val="004623F7"/>
    <w:rsid w:val="00470E86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0B77"/>
    <w:rsid w:val="00534372"/>
    <w:rsid w:val="00543DF8"/>
    <w:rsid w:val="00546101"/>
    <w:rsid w:val="00553DD7"/>
    <w:rsid w:val="005638CF"/>
    <w:rsid w:val="00566843"/>
    <w:rsid w:val="0056741E"/>
    <w:rsid w:val="00571411"/>
    <w:rsid w:val="0057325A"/>
    <w:rsid w:val="0057469A"/>
    <w:rsid w:val="00580814"/>
    <w:rsid w:val="00583A0B"/>
    <w:rsid w:val="005A03A3"/>
    <w:rsid w:val="005A1FFA"/>
    <w:rsid w:val="005A2B92"/>
    <w:rsid w:val="005A3F66"/>
    <w:rsid w:val="005A79E9"/>
    <w:rsid w:val="005B214C"/>
    <w:rsid w:val="005B3AD3"/>
    <w:rsid w:val="005B4CDA"/>
    <w:rsid w:val="005B62F0"/>
    <w:rsid w:val="005D3669"/>
    <w:rsid w:val="005E3D45"/>
    <w:rsid w:val="005E42F8"/>
    <w:rsid w:val="005E5EB3"/>
    <w:rsid w:val="005F0900"/>
    <w:rsid w:val="005F3CB6"/>
    <w:rsid w:val="005F657C"/>
    <w:rsid w:val="00602D53"/>
    <w:rsid w:val="006047E5"/>
    <w:rsid w:val="006059AE"/>
    <w:rsid w:val="00640ECB"/>
    <w:rsid w:val="00642050"/>
    <w:rsid w:val="00642E2C"/>
    <w:rsid w:val="0064371D"/>
    <w:rsid w:val="00650543"/>
    <w:rsid w:val="00650B2A"/>
    <w:rsid w:val="00651777"/>
    <w:rsid w:val="006550F8"/>
    <w:rsid w:val="006601CA"/>
    <w:rsid w:val="006829F3"/>
    <w:rsid w:val="006A518B"/>
    <w:rsid w:val="006B0590"/>
    <w:rsid w:val="006B16BF"/>
    <w:rsid w:val="006B49DA"/>
    <w:rsid w:val="006C53F8"/>
    <w:rsid w:val="006C7CDE"/>
    <w:rsid w:val="006E2221"/>
    <w:rsid w:val="00717B89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0B0A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7EA"/>
    <w:rsid w:val="00822533"/>
    <w:rsid w:val="00854131"/>
    <w:rsid w:val="0085652D"/>
    <w:rsid w:val="0087694B"/>
    <w:rsid w:val="00880F4D"/>
    <w:rsid w:val="0088443B"/>
    <w:rsid w:val="0089426D"/>
    <w:rsid w:val="008B35A3"/>
    <w:rsid w:val="008B37E1"/>
    <w:rsid w:val="008B45F8"/>
    <w:rsid w:val="008C2E74"/>
    <w:rsid w:val="008D5409"/>
    <w:rsid w:val="008E006D"/>
    <w:rsid w:val="008E38B4"/>
    <w:rsid w:val="008E3BF6"/>
    <w:rsid w:val="008F4F21"/>
    <w:rsid w:val="00904D4A"/>
    <w:rsid w:val="009076D7"/>
    <w:rsid w:val="009151BA"/>
    <w:rsid w:val="00922A3E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05E5"/>
    <w:rsid w:val="009E4AEC"/>
    <w:rsid w:val="009E5BD8"/>
    <w:rsid w:val="009E681E"/>
    <w:rsid w:val="009F196D"/>
    <w:rsid w:val="009F5CC2"/>
    <w:rsid w:val="00A0742E"/>
    <w:rsid w:val="00A119E6"/>
    <w:rsid w:val="00A20FBC"/>
    <w:rsid w:val="00A231BC"/>
    <w:rsid w:val="00A23A6D"/>
    <w:rsid w:val="00A31370"/>
    <w:rsid w:val="00A34D6F"/>
    <w:rsid w:val="00A41F91"/>
    <w:rsid w:val="00A52F04"/>
    <w:rsid w:val="00A63355"/>
    <w:rsid w:val="00A635BF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3DE"/>
    <w:rsid w:val="00B019D3"/>
    <w:rsid w:val="00B265B7"/>
    <w:rsid w:val="00B3192E"/>
    <w:rsid w:val="00B34CF9"/>
    <w:rsid w:val="00B37559"/>
    <w:rsid w:val="00B4054B"/>
    <w:rsid w:val="00B579B0"/>
    <w:rsid w:val="00B57D11"/>
    <w:rsid w:val="00B649D7"/>
    <w:rsid w:val="00B81C2F"/>
    <w:rsid w:val="00B85931"/>
    <w:rsid w:val="00B90743"/>
    <w:rsid w:val="00B90C45"/>
    <w:rsid w:val="00B933BE"/>
    <w:rsid w:val="00BD6738"/>
    <w:rsid w:val="00BD714C"/>
    <w:rsid w:val="00BD7E5E"/>
    <w:rsid w:val="00BE14F4"/>
    <w:rsid w:val="00BE581F"/>
    <w:rsid w:val="00BE63DB"/>
    <w:rsid w:val="00BE6574"/>
    <w:rsid w:val="00BF4CD1"/>
    <w:rsid w:val="00C045A8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2E0B"/>
    <w:rsid w:val="00CE076A"/>
    <w:rsid w:val="00CE1745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5E1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808"/>
    <w:rsid w:val="00E04C86"/>
    <w:rsid w:val="00E17344"/>
    <w:rsid w:val="00E20F30"/>
    <w:rsid w:val="00E2189C"/>
    <w:rsid w:val="00E231EC"/>
    <w:rsid w:val="00E2576A"/>
    <w:rsid w:val="00E25BB1"/>
    <w:rsid w:val="00E27BBA"/>
    <w:rsid w:val="00E30E3F"/>
    <w:rsid w:val="00E35E8F"/>
    <w:rsid w:val="00E428AB"/>
    <w:rsid w:val="00E438E8"/>
    <w:rsid w:val="00E453A3"/>
    <w:rsid w:val="00E46AD0"/>
    <w:rsid w:val="00E520E2"/>
    <w:rsid w:val="00E530C4"/>
    <w:rsid w:val="00E53DCE"/>
    <w:rsid w:val="00E55996"/>
    <w:rsid w:val="00E64254"/>
    <w:rsid w:val="00E67928"/>
    <w:rsid w:val="00E70FB5"/>
    <w:rsid w:val="00E76AF4"/>
    <w:rsid w:val="00E8768C"/>
    <w:rsid w:val="00E915AF"/>
    <w:rsid w:val="00E9213A"/>
    <w:rsid w:val="00E95CE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F7E14"/>
    <w:rsid w:val="00F33C9E"/>
    <w:rsid w:val="00F400BC"/>
    <w:rsid w:val="00F41109"/>
    <w:rsid w:val="00F4115F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7F92943F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CD2E0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F400BC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2F7707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0BC"/>
    <w:rPr>
      <w:color w:val="605E5C"/>
      <w:shd w:val="clear" w:color="auto" w:fill="E1DFDD"/>
    </w:rPr>
  </w:style>
  <w:style w:type="paragraph" w:customStyle="1" w:styleId="Heading10">
    <w:name w:val="Heading_1"/>
    <w:basedOn w:val="Normal"/>
    <w:rsid w:val="00790B0A"/>
    <w:rPr>
      <w:b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3DE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013DE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66843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terrestrial/fmd/Documents/WRC-19_Resolutions/F/RES_811(WRC-19)-F.pdf" TargetMode="External"/><Relationship Id="rId13" Type="http://schemas.openxmlformats.org/officeDocument/2006/relationships/hyperlink" Target="https://www.itu.int/en/ITU-R/study-groups/rcpm/Pages/cpm-23.aspx" TargetMode="External"/><Relationship Id="rId18" Type="http://schemas.openxmlformats.org/officeDocument/2006/relationships/hyperlink" Target="https://www.itu.int/en/ITU-R/study-groups/rcpm/Pages/cpm-19.aspx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CPM" TargetMode="External"/><Relationship Id="rId17" Type="http://schemas.openxmlformats.org/officeDocument/2006/relationships/hyperlink" Target="http://www.itu.int/fr/ITU-R/information/ev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security/covid19" TargetMode="External"/><Relationship Id="rId20" Type="http://schemas.openxmlformats.org/officeDocument/2006/relationships/hyperlink" Target="mailto:philippe.aubineau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m23-2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R00-CA-CIR-0251/en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2-8-2019/fr" TargetMode="External"/><Relationship Id="rId14" Type="http://schemas.openxmlformats.org/officeDocument/2006/relationships/hyperlink" Target="https://www.itu.int/md/R19-CPM23.2-C/fr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43FEB23660401B865E30D71D7A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3155-5867-42A1-BEB2-37DAC367DDD9}"/>
      </w:docPartPr>
      <w:docPartBody>
        <w:p w:rsidR="009F04FE" w:rsidRDefault="00ED03CB" w:rsidP="00ED03CB">
          <w:pPr>
            <w:pStyle w:val="DE43FEB23660401B865E30D71D7AC59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9F04FE"/>
    <w:rsid w:val="00E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3CB"/>
    <w:rPr>
      <w:color w:val="808080"/>
    </w:rPr>
  </w:style>
  <w:style w:type="paragraph" w:customStyle="1" w:styleId="DE43FEB23660401B865E30D71D7AC59A">
    <w:name w:val="DE43FEB23660401B865E30D71D7AC59A"/>
    <w:rsid w:val="00ED03C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69D1-8023-4D1A-9884-BA17855C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1444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9939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French</dc:creator>
  <cp:lastModifiedBy>I.T.U.</cp:lastModifiedBy>
  <cp:revision>12</cp:revision>
  <cp:lastPrinted>2013-03-08T10:15:00Z</cp:lastPrinted>
  <dcterms:created xsi:type="dcterms:W3CDTF">2022-09-26T05:27:00Z</dcterms:created>
  <dcterms:modified xsi:type="dcterms:W3CDTF">2022-09-26T12:09:00Z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