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39A9A569"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923" w:type="dxa"/>
        <w:tblCellMar>
          <w:left w:w="0" w:type="dxa"/>
          <w:right w:w="0" w:type="dxa"/>
        </w:tblCellMar>
        <w:tblLook w:val="04A0" w:firstRow="1" w:lastRow="0" w:firstColumn="1" w:lastColumn="0" w:noHBand="0" w:noVBand="1"/>
      </w:tblPr>
      <w:tblGrid>
        <w:gridCol w:w="1395"/>
        <w:gridCol w:w="5042"/>
        <w:gridCol w:w="3486"/>
      </w:tblGrid>
      <w:tr w:rsidR="00833BCA" w:rsidRPr="00EF4DCF" w14:paraId="4CF178A0" w14:textId="77777777" w:rsidTr="006A0006">
        <w:tc>
          <w:tcPr>
            <w:tcW w:w="6437" w:type="dxa"/>
            <w:gridSpan w:val="2"/>
            <w:shd w:val="clear" w:color="auto" w:fill="auto"/>
            <w:hideMark/>
          </w:tcPr>
          <w:p w14:paraId="73C8F0BA" w14:textId="25CFFBD8" w:rsidR="00833BCA" w:rsidRPr="00EF4DCF" w:rsidRDefault="00833BCA" w:rsidP="008978FF">
            <w:pPr>
              <w:spacing w:before="0" w:line="240" w:lineRule="auto"/>
              <w:rPr>
                <w:rFonts w:asciiTheme="minorHAnsi" w:hAnsiTheme="minorHAnsi" w:cstheme="minorHAnsi"/>
                <w:sz w:val="24"/>
                <w:szCs w:val="24"/>
              </w:rPr>
            </w:pPr>
            <w:r w:rsidRPr="00EF4DCF">
              <w:rPr>
                <w:rFonts w:asciiTheme="minorHAnsi" w:hAnsiTheme="minorHAnsi" w:cstheme="minorHAnsi"/>
                <w:sz w:val="24"/>
                <w:szCs w:val="24"/>
              </w:rPr>
              <w:t>Administrative Circular</w:t>
            </w:r>
          </w:p>
          <w:p w14:paraId="7EC81038" w14:textId="112B23CA" w:rsidR="00833BCA" w:rsidRPr="00EF4DCF" w:rsidRDefault="00833BCA" w:rsidP="00FB0A61">
            <w:pPr>
              <w:spacing w:before="0" w:line="240" w:lineRule="auto"/>
              <w:jc w:val="left"/>
              <w:rPr>
                <w:rFonts w:asciiTheme="minorHAnsi" w:hAnsiTheme="minorHAnsi" w:cstheme="minorHAnsi"/>
                <w:sz w:val="24"/>
                <w:szCs w:val="24"/>
              </w:rPr>
            </w:pPr>
            <w:r w:rsidRPr="00EF4DCF">
              <w:rPr>
                <w:rFonts w:asciiTheme="minorHAnsi" w:hAnsiTheme="minorHAnsi" w:cstheme="minorHAnsi"/>
                <w:b/>
                <w:sz w:val="24"/>
                <w:szCs w:val="24"/>
              </w:rPr>
              <w:t>CA/</w:t>
            </w:r>
            <w:r w:rsidR="00102B6A" w:rsidRPr="00EF4DCF">
              <w:rPr>
                <w:rFonts w:asciiTheme="minorHAnsi" w:hAnsiTheme="minorHAnsi" w:cstheme="minorHAnsi"/>
                <w:b/>
                <w:sz w:val="24"/>
                <w:szCs w:val="24"/>
              </w:rPr>
              <w:t>26</w:t>
            </w:r>
            <w:r w:rsidR="004E2075">
              <w:rPr>
                <w:rFonts w:asciiTheme="minorHAnsi" w:hAnsiTheme="minorHAnsi" w:cstheme="minorHAnsi"/>
                <w:b/>
                <w:sz w:val="24"/>
                <w:szCs w:val="24"/>
              </w:rPr>
              <w:t>7</w:t>
            </w:r>
          </w:p>
        </w:tc>
        <w:tc>
          <w:tcPr>
            <w:tcW w:w="3486" w:type="dxa"/>
            <w:shd w:val="clear" w:color="auto" w:fill="auto"/>
            <w:hideMark/>
          </w:tcPr>
          <w:p w14:paraId="5C232FE6" w14:textId="7352A5E1" w:rsidR="00833BCA" w:rsidRPr="00EF4DCF" w:rsidRDefault="004E2075" w:rsidP="008978FF">
            <w:pPr>
              <w:spacing w:line="240" w:lineRule="auto"/>
              <w:jc w:val="right"/>
              <w:rPr>
                <w:rFonts w:asciiTheme="minorHAnsi" w:eastAsia="Times New Roman" w:hAnsiTheme="minorHAnsi" w:cstheme="minorHAnsi"/>
                <w:sz w:val="24"/>
                <w:szCs w:val="24"/>
              </w:rPr>
            </w:pPr>
            <w:r>
              <w:rPr>
                <w:rFonts w:asciiTheme="minorHAnsi" w:hAnsiTheme="minorHAnsi" w:cstheme="minorHAnsi"/>
                <w:sz w:val="24"/>
                <w:szCs w:val="24"/>
              </w:rPr>
              <w:t>10 May</w:t>
            </w:r>
            <w:r w:rsidR="00E46F2F" w:rsidRPr="00EF4DCF">
              <w:rPr>
                <w:rFonts w:asciiTheme="minorHAnsi" w:hAnsiTheme="minorHAnsi" w:cstheme="minorHAnsi"/>
                <w:sz w:val="24"/>
                <w:szCs w:val="24"/>
              </w:rPr>
              <w:t xml:space="preserve"> 2023</w:t>
            </w:r>
            <w:r w:rsidR="00833BCA" w:rsidRPr="00EF4DCF">
              <w:rPr>
                <w:rFonts w:asciiTheme="minorHAnsi" w:hAnsiTheme="minorHAnsi" w:cstheme="minorHAnsi"/>
                <w:sz w:val="24"/>
                <w:szCs w:val="24"/>
              </w:rPr>
              <w:t xml:space="preserve"> </w:t>
            </w:r>
          </w:p>
        </w:tc>
      </w:tr>
      <w:tr w:rsidR="00833BCA" w:rsidRPr="00EF4DCF" w14:paraId="25199FA8" w14:textId="77777777" w:rsidTr="006A0006">
        <w:tc>
          <w:tcPr>
            <w:tcW w:w="9923" w:type="dxa"/>
            <w:gridSpan w:val="3"/>
            <w:shd w:val="clear" w:color="auto" w:fill="auto"/>
            <w:hideMark/>
          </w:tcPr>
          <w:p w14:paraId="66AD6571" w14:textId="36FD6416" w:rsidR="00833BCA" w:rsidRPr="00EF4DCF" w:rsidRDefault="00833BCA" w:rsidP="008978FF">
            <w:pPr>
              <w:spacing w:line="240" w:lineRule="auto"/>
              <w:rPr>
                <w:rFonts w:asciiTheme="minorHAnsi" w:hAnsiTheme="minorHAnsi" w:cstheme="minorHAnsi"/>
                <w:sz w:val="24"/>
                <w:szCs w:val="24"/>
              </w:rPr>
            </w:pPr>
          </w:p>
        </w:tc>
      </w:tr>
      <w:tr w:rsidR="00833BCA" w:rsidRPr="00EF4DCF" w14:paraId="31C0F5EE" w14:textId="77777777" w:rsidTr="006A0006">
        <w:tc>
          <w:tcPr>
            <w:tcW w:w="9923" w:type="dxa"/>
            <w:gridSpan w:val="3"/>
            <w:shd w:val="clear" w:color="auto" w:fill="auto"/>
            <w:hideMark/>
          </w:tcPr>
          <w:p w14:paraId="1C10A340" w14:textId="5F8F8953" w:rsidR="00833BCA" w:rsidRPr="00EF4DCF" w:rsidRDefault="00906163" w:rsidP="001E4A7D">
            <w:pPr>
              <w:spacing w:before="720" w:line="240" w:lineRule="auto"/>
              <w:jc w:val="left"/>
              <w:rPr>
                <w:rFonts w:asciiTheme="minorHAnsi" w:hAnsiTheme="minorHAnsi" w:cstheme="minorHAnsi"/>
                <w:sz w:val="24"/>
                <w:szCs w:val="24"/>
                <w:highlight w:val="yellow"/>
              </w:rPr>
            </w:pPr>
            <w:r w:rsidRPr="00906163">
              <w:rPr>
                <w:rFonts w:asciiTheme="minorHAnsi" w:hAnsiTheme="minorHAnsi" w:cstheme="minorHAnsi"/>
                <w:b/>
                <w:bCs/>
                <w:sz w:val="24"/>
                <w:szCs w:val="24"/>
              </w:rPr>
              <w:t>To Administrations of Member States of the ITU</w:t>
            </w:r>
            <w:r w:rsidRPr="00906163">
              <w:rPr>
                <w:rFonts w:asciiTheme="minorHAnsi" w:hAnsiTheme="minorHAnsi" w:cstheme="minorHAnsi"/>
                <w:b/>
                <w:bCs/>
                <w:sz w:val="24"/>
                <w:szCs w:val="24"/>
                <w:lang w:val="en-GB"/>
              </w:rPr>
              <w:t xml:space="preserve"> and Radiocommunication Sector Members</w:t>
            </w:r>
          </w:p>
          <w:p w14:paraId="45538FD0" w14:textId="3216E61E" w:rsidR="00833BCA" w:rsidRPr="00EF4DCF" w:rsidRDefault="00833BCA" w:rsidP="001F31CF">
            <w:pPr>
              <w:spacing w:before="0" w:line="240" w:lineRule="auto"/>
              <w:rPr>
                <w:rFonts w:asciiTheme="minorHAnsi" w:hAnsiTheme="minorHAnsi" w:cstheme="minorHAnsi"/>
                <w:sz w:val="24"/>
                <w:szCs w:val="24"/>
                <w:highlight w:val="yellow"/>
              </w:rPr>
            </w:pPr>
          </w:p>
        </w:tc>
      </w:tr>
      <w:tr w:rsidR="00833BCA" w:rsidRPr="00EF4DCF" w14:paraId="7E80FA59" w14:textId="77777777" w:rsidTr="00371B81">
        <w:trPr>
          <w:trHeight w:val="615"/>
        </w:trPr>
        <w:tc>
          <w:tcPr>
            <w:tcW w:w="9923" w:type="dxa"/>
            <w:gridSpan w:val="3"/>
            <w:shd w:val="clear" w:color="auto" w:fill="auto"/>
            <w:hideMark/>
          </w:tcPr>
          <w:p w14:paraId="52A77D5B" w14:textId="77777777" w:rsidR="00833BCA" w:rsidRPr="00EF4DCF" w:rsidRDefault="00833BCA" w:rsidP="001F31CF">
            <w:pPr>
              <w:spacing w:before="0" w:line="240" w:lineRule="auto"/>
              <w:rPr>
                <w:rFonts w:asciiTheme="minorHAnsi" w:hAnsiTheme="minorHAnsi" w:cstheme="minorHAnsi"/>
                <w:sz w:val="24"/>
                <w:szCs w:val="24"/>
              </w:rPr>
            </w:pPr>
            <w:r w:rsidRPr="00EF4DCF">
              <w:rPr>
                <w:rFonts w:asciiTheme="minorHAnsi" w:hAnsiTheme="minorHAnsi" w:cstheme="minorHAnsi"/>
                <w:sz w:val="24"/>
                <w:szCs w:val="24"/>
              </w:rPr>
              <w:t xml:space="preserve"> </w:t>
            </w:r>
          </w:p>
        </w:tc>
      </w:tr>
      <w:tr w:rsidR="00DD4C26" w:rsidRPr="00EF4DCF" w14:paraId="4B43D051" w14:textId="77777777" w:rsidTr="00E42248">
        <w:tc>
          <w:tcPr>
            <w:tcW w:w="1395" w:type="dxa"/>
            <w:shd w:val="clear" w:color="auto" w:fill="auto"/>
            <w:hideMark/>
          </w:tcPr>
          <w:p w14:paraId="351136EC" w14:textId="77777777" w:rsidR="00DD4C26" w:rsidRPr="00EF4DCF" w:rsidRDefault="00DD4C26" w:rsidP="00DD4C26">
            <w:pPr>
              <w:spacing w:before="0" w:line="240" w:lineRule="auto"/>
              <w:rPr>
                <w:rFonts w:asciiTheme="minorHAnsi" w:hAnsiTheme="minorHAnsi" w:cstheme="minorHAnsi"/>
                <w:sz w:val="24"/>
                <w:szCs w:val="24"/>
              </w:rPr>
            </w:pPr>
            <w:r w:rsidRPr="00EF4DCF">
              <w:rPr>
                <w:rFonts w:asciiTheme="minorHAnsi" w:hAnsiTheme="minorHAnsi" w:cstheme="minorHAnsi"/>
                <w:sz w:val="24"/>
                <w:szCs w:val="24"/>
              </w:rPr>
              <w:t xml:space="preserve">Subject: </w:t>
            </w:r>
          </w:p>
        </w:tc>
        <w:tc>
          <w:tcPr>
            <w:tcW w:w="8528" w:type="dxa"/>
            <w:gridSpan w:val="2"/>
            <w:vMerge w:val="restart"/>
            <w:shd w:val="clear" w:color="auto" w:fill="auto"/>
            <w:hideMark/>
          </w:tcPr>
          <w:p w14:paraId="7074C8AF" w14:textId="6F940C7D" w:rsidR="00DD4C26" w:rsidRPr="00EF4DCF" w:rsidRDefault="00974E40" w:rsidP="00DD4C26">
            <w:pPr>
              <w:spacing w:before="0" w:line="240" w:lineRule="auto"/>
              <w:jc w:val="left"/>
              <w:rPr>
                <w:rFonts w:asciiTheme="minorHAnsi" w:eastAsia="Times New Roman" w:hAnsiTheme="minorHAnsi" w:cstheme="minorHAnsi"/>
                <w:sz w:val="24"/>
                <w:szCs w:val="24"/>
              </w:rPr>
            </w:pPr>
            <w:r w:rsidRPr="00974E40">
              <w:rPr>
                <w:rFonts w:asciiTheme="minorHAnsi" w:hAnsiTheme="minorHAnsi" w:cstheme="minorHAnsi"/>
                <w:b/>
                <w:bCs/>
                <w:sz w:val="24"/>
                <w:szCs w:val="24"/>
                <w:lang w:val="en-GB"/>
              </w:rPr>
              <w:t xml:space="preserve">Summary of conclusions of the </w:t>
            </w:r>
            <w:r w:rsidR="00F3543A" w:rsidRPr="00F3543A">
              <w:rPr>
                <w:rFonts w:asciiTheme="minorHAnsi" w:hAnsiTheme="minorHAnsi" w:cstheme="minorHAnsi"/>
                <w:b/>
                <w:bCs/>
                <w:sz w:val="24"/>
                <w:szCs w:val="24"/>
                <w:lang w:val="en-GB"/>
              </w:rPr>
              <w:t>thirtieth</w:t>
            </w:r>
            <w:r w:rsidRPr="00974E40">
              <w:rPr>
                <w:rFonts w:asciiTheme="minorHAnsi" w:hAnsiTheme="minorHAnsi" w:cstheme="minorHAnsi"/>
                <w:b/>
                <w:bCs/>
                <w:sz w:val="24"/>
                <w:szCs w:val="24"/>
                <w:lang w:val="en-GB"/>
              </w:rPr>
              <w:t xml:space="preserve"> Radiocommunication Advisory Group meeting</w:t>
            </w:r>
          </w:p>
        </w:tc>
      </w:tr>
      <w:tr w:rsidR="00DD4C26" w:rsidRPr="00EF4DCF" w14:paraId="1E00F107" w14:textId="77777777" w:rsidTr="00371B81">
        <w:trPr>
          <w:trHeight w:val="698"/>
        </w:trPr>
        <w:tc>
          <w:tcPr>
            <w:tcW w:w="1395" w:type="dxa"/>
            <w:shd w:val="clear" w:color="auto" w:fill="auto"/>
            <w:hideMark/>
          </w:tcPr>
          <w:p w14:paraId="039B9F40" w14:textId="77777777" w:rsidR="00DD4C26" w:rsidRPr="00EF4DCF" w:rsidRDefault="00DD4C26" w:rsidP="00DD4C26">
            <w:pPr>
              <w:spacing w:line="240" w:lineRule="auto"/>
              <w:rPr>
                <w:rFonts w:asciiTheme="minorHAnsi" w:hAnsiTheme="minorHAnsi" w:cstheme="minorHAnsi"/>
                <w:sz w:val="24"/>
                <w:szCs w:val="24"/>
              </w:rPr>
            </w:pPr>
            <w:r w:rsidRPr="00EF4DCF">
              <w:rPr>
                <w:rFonts w:asciiTheme="minorHAnsi" w:hAnsiTheme="minorHAnsi" w:cstheme="minorHAnsi"/>
                <w:sz w:val="24"/>
                <w:szCs w:val="24"/>
              </w:rPr>
              <w:t xml:space="preserve"> </w:t>
            </w:r>
          </w:p>
        </w:tc>
        <w:tc>
          <w:tcPr>
            <w:tcW w:w="8528" w:type="dxa"/>
            <w:gridSpan w:val="2"/>
            <w:vMerge/>
            <w:vAlign w:val="center"/>
            <w:hideMark/>
          </w:tcPr>
          <w:p w14:paraId="04391C57" w14:textId="77777777" w:rsidR="00DD4C26" w:rsidRPr="00EF4DCF" w:rsidRDefault="00DD4C26" w:rsidP="00DD4C26">
            <w:pPr>
              <w:spacing w:line="240" w:lineRule="auto"/>
              <w:rPr>
                <w:rFonts w:asciiTheme="minorHAnsi" w:hAnsiTheme="minorHAnsi" w:cstheme="minorHAnsi"/>
                <w:sz w:val="24"/>
                <w:szCs w:val="24"/>
              </w:rPr>
            </w:pPr>
          </w:p>
        </w:tc>
      </w:tr>
    </w:tbl>
    <w:p w14:paraId="28FF4259" w14:textId="411B513F" w:rsidR="001A1E7E" w:rsidRDefault="001A1E7E" w:rsidP="007F45B5">
      <w:pPr>
        <w:pStyle w:val="Heading1"/>
        <w:keepNext w:val="0"/>
        <w:keepLines w:val="0"/>
        <w:widowControl w:val="0"/>
        <w:spacing w:before="120" w:line="240" w:lineRule="auto"/>
      </w:pPr>
    </w:p>
    <w:p w14:paraId="7AD33CD9" w14:textId="6F44DE32" w:rsidR="007F45B5" w:rsidRDefault="007F45B5" w:rsidP="007F45B5">
      <w:pPr>
        <w:spacing w:before="0"/>
        <w:rPr>
          <w:rFonts w:asciiTheme="minorHAnsi" w:hAnsiTheme="minorHAnsi"/>
        </w:rPr>
      </w:pPr>
      <w:r w:rsidRPr="779A53FC">
        <w:rPr>
          <w:rFonts w:asciiTheme="minorHAnsi" w:hAnsiTheme="minorHAnsi"/>
        </w:rPr>
        <w:t xml:space="preserve">The Radiocommunication Advisory Group (RAG) met for the </w:t>
      </w:r>
      <w:r w:rsidR="00F3543A" w:rsidRPr="00F3543A">
        <w:rPr>
          <w:rFonts w:asciiTheme="minorHAnsi" w:hAnsiTheme="minorHAnsi"/>
        </w:rPr>
        <w:t xml:space="preserve">thirtieth </w:t>
      </w:r>
      <w:r w:rsidRPr="779A53FC">
        <w:rPr>
          <w:rFonts w:asciiTheme="minorHAnsi" w:hAnsiTheme="minorHAnsi"/>
        </w:rPr>
        <w:t xml:space="preserve">time from </w:t>
      </w:r>
      <w:r w:rsidR="00EB385C">
        <w:rPr>
          <w:rFonts w:asciiTheme="minorHAnsi" w:hAnsiTheme="minorHAnsi"/>
        </w:rPr>
        <w:t>1 to 3 May 2023</w:t>
      </w:r>
      <w:r w:rsidRPr="779A53FC">
        <w:rPr>
          <w:rFonts w:asciiTheme="minorHAnsi" w:hAnsiTheme="minorHAnsi"/>
        </w:rPr>
        <w:t>.</w:t>
      </w:r>
    </w:p>
    <w:p w14:paraId="14D258E8" w14:textId="77777777" w:rsidR="007F45B5" w:rsidRPr="007F0C9F" w:rsidRDefault="007F45B5" w:rsidP="007F45B5">
      <w:pPr>
        <w:rPr>
          <w:rFonts w:asciiTheme="minorHAnsi" w:hAnsiTheme="minorHAnsi" w:cstheme="minorBidi"/>
        </w:rPr>
      </w:pPr>
      <w:r w:rsidRPr="779A53FC">
        <w:rPr>
          <w:rFonts w:asciiTheme="minorHAnsi" w:hAnsiTheme="minorHAnsi"/>
        </w:rPr>
        <w:t>The summary of conclusions of the meeting is contained in the attachment to this letter</w:t>
      </w:r>
      <w:r w:rsidRPr="779A53FC">
        <w:rPr>
          <w:rFonts w:asciiTheme="minorHAnsi" w:hAnsiTheme="minorHAnsi"/>
          <w:lang w:eastAsia="zh-CN"/>
        </w:rPr>
        <w:t>.</w:t>
      </w:r>
    </w:p>
    <w:p w14:paraId="64A96A5C" w14:textId="77777777" w:rsidR="007F45B5" w:rsidRPr="00340ADE" w:rsidRDefault="007F45B5" w:rsidP="007F45B5">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11" w:history="1">
        <w:r>
          <w:rPr>
            <w:rStyle w:val="Hyperlink"/>
            <w:rFonts w:asciiTheme="minorHAnsi" w:hAnsiTheme="minorHAnsi"/>
            <w:szCs w:val="24"/>
          </w:rPr>
          <w:t>www.itu.int/ITU-R/go/RAG</w:t>
        </w:r>
      </w:hyperlink>
      <w:r w:rsidRPr="00340ADE">
        <w:rPr>
          <w:rFonts w:asciiTheme="minorHAnsi" w:hAnsiTheme="minorHAnsi"/>
          <w:szCs w:val="24"/>
        </w:rPr>
        <w:t>.</w:t>
      </w:r>
    </w:p>
    <w:p w14:paraId="52624076" w14:textId="77777777" w:rsidR="007F45B5" w:rsidRPr="00FA444D" w:rsidRDefault="007F45B5" w:rsidP="007F45B5">
      <w:pPr>
        <w:rPr>
          <w:rFonts w:asciiTheme="minorHAnsi" w:hAnsiTheme="minorHAnsi" w:cstheme="minorHAnsi"/>
          <w:szCs w:val="24"/>
        </w:rPr>
      </w:pPr>
    </w:p>
    <w:p w14:paraId="1E4FBE12" w14:textId="77777777" w:rsidR="007F45B5" w:rsidRDefault="007F45B5" w:rsidP="007F45B5">
      <w:pPr>
        <w:rPr>
          <w:rFonts w:asciiTheme="minorHAnsi" w:hAnsiTheme="minorHAnsi" w:cstheme="minorHAnsi"/>
          <w:szCs w:val="24"/>
          <w:lang w:val="en-GB"/>
        </w:rPr>
      </w:pPr>
    </w:p>
    <w:p w14:paraId="743B6BCA" w14:textId="77777777" w:rsidR="007F45B5" w:rsidRPr="00FA444D" w:rsidRDefault="007F45B5" w:rsidP="007F45B5">
      <w:pPr>
        <w:rPr>
          <w:rFonts w:asciiTheme="minorHAnsi" w:hAnsiTheme="minorHAnsi" w:cstheme="minorHAnsi"/>
          <w:szCs w:val="24"/>
          <w:lang w:val="en-GB"/>
        </w:rPr>
      </w:pPr>
    </w:p>
    <w:p w14:paraId="26A30784" w14:textId="77777777" w:rsidR="007F45B5" w:rsidRPr="00393D9C" w:rsidRDefault="007F45B5" w:rsidP="007F45B5">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5764126B" w14:textId="77777777" w:rsidR="007F45B5" w:rsidRPr="00393D9C" w:rsidRDefault="007F45B5" w:rsidP="007F45B5">
      <w:pPr>
        <w:spacing w:before="0" w:line="240" w:lineRule="auto"/>
        <w:jc w:val="left"/>
        <w:rPr>
          <w:rFonts w:asciiTheme="minorHAnsi" w:hAnsiTheme="minorHAnsi" w:cstheme="minorHAnsi"/>
          <w:szCs w:val="24"/>
          <w:lang w:val="en-GB"/>
        </w:rPr>
      </w:pPr>
      <w:r w:rsidRPr="00393D9C">
        <w:rPr>
          <w:rFonts w:asciiTheme="minorHAnsi" w:hAnsiTheme="minorHAnsi" w:cstheme="minorHAnsi"/>
          <w:szCs w:val="24"/>
          <w:lang w:val="en-GB"/>
        </w:rPr>
        <w:t>Director</w:t>
      </w:r>
    </w:p>
    <w:p w14:paraId="352366F1" w14:textId="77777777" w:rsidR="007F45B5" w:rsidRDefault="007F45B5" w:rsidP="007F45B5">
      <w:pPr>
        <w:widowControl w:val="0"/>
        <w:spacing w:before="0" w:line="240" w:lineRule="auto"/>
        <w:jc w:val="left"/>
        <w:rPr>
          <w:rFonts w:asciiTheme="minorHAnsi" w:hAnsiTheme="minorHAnsi" w:cstheme="minorHAnsi"/>
          <w:szCs w:val="24"/>
        </w:rPr>
      </w:pPr>
    </w:p>
    <w:p w14:paraId="2A30FDC0" w14:textId="77777777" w:rsidR="007F45B5" w:rsidRDefault="007F45B5" w:rsidP="007F45B5">
      <w:pPr>
        <w:widowControl w:val="0"/>
        <w:spacing w:before="0" w:line="240" w:lineRule="auto"/>
        <w:jc w:val="left"/>
        <w:rPr>
          <w:rFonts w:asciiTheme="minorHAnsi" w:hAnsiTheme="minorHAnsi" w:cstheme="minorHAnsi"/>
          <w:szCs w:val="24"/>
        </w:rPr>
      </w:pPr>
    </w:p>
    <w:p w14:paraId="34836C31" w14:textId="77777777" w:rsidR="007F45B5" w:rsidRDefault="007F45B5" w:rsidP="007F45B5">
      <w:pPr>
        <w:widowControl w:val="0"/>
        <w:spacing w:before="0" w:line="240" w:lineRule="auto"/>
        <w:jc w:val="left"/>
        <w:rPr>
          <w:rFonts w:asciiTheme="minorHAnsi" w:hAnsiTheme="minorHAnsi" w:cstheme="minorHAnsi"/>
          <w:szCs w:val="24"/>
        </w:rPr>
      </w:pPr>
    </w:p>
    <w:p w14:paraId="30DA6B8B" w14:textId="400D1DFF" w:rsidR="007F45B5" w:rsidRDefault="007F45B5" w:rsidP="00F00CD7">
      <w:pPr>
        <w:spacing w:before="1200"/>
        <w:rPr>
          <w:lang w:val="en-GB"/>
        </w:rPr>
      </w:pPr>
      <w:r>
        <w:rPr>
          <w:lang w:val="en-GB"/>
        </w:rPr>
        <w:t>Attachment</w:t>
      </w:r>
      <w:r w:rsidRPr="00A6707C">
        <w:rPr>
          <w:lang w:val="en-GB"/>
        </w:rPr>
        <w:t xml:space="preserve">: </w:t>
      </w:r>
      <w:r w:rsidRPr="00A6707C">
        <w:rPr>
          <w:lang w:val="en-GB"/>
        </w:rPr>
        <w:tab/>
      </w:r>
      <w:r>
        <w:rPr>
          <w:lang w:val="en-GB"/>
        </w:rPr>
        <w:t>1</w:t>
      </w:r>
    </w:p>
    <w:p w14:paraId="2089EAB6" w14:textId="77777777" w:rsidR="005A6A56" w:rsidRDefault="005A6A56">
      <w:pPr>
        <w:tabs>
          <w:tab w:val="clear" w:pos="794"/>
          <w:tab w:val="clear" w:pos="1191"/>
          <w:tab w:val="clear" w:pos="1588"/>
          <w:tab w:val="clear" w:pos="1985"/>
        </w:tabs>
        <w:overflowPunct/>
        <w:autoSpaceDE/>
        <w:autoSpaceDN/>
        <w:adjustRightInd/>
        <w:spacing w:before="0" w:line="240" w:lineRule="auto"/>
        <w:jc w:val="left"/>
        <w:textAlignment w:val="auto"/>
        <w:rPr>
          <w:lang w:val="en-GB"/>
        </w:rPr>
        <w:sectPr w:rsidR="005A6A56" w:rsidSect="00C4515A">
          <w:headerReference w:type="even" r:id="rId12"/>
          <w:headerReference w:type="default" r:id="rId13"/>
          <w:headerReference w:type="first" r:id="rId14"/>
          <w:footerReference w:type="first" r:id="rId15"/>
          <w:pgSz w:w="11907" w:h="16834" w:code="9"/>
          <w:pgMar w:top="1134" w:right="992" w:bottom="900" w:left="1134" w:header="567" w:footer="214" w:gutter="0"/>
          <w:cols w:space="720"/>
          <w:titlePg/>
        </w:sectPr>
      </w:pPr>
    </w:p>
    <w:p w14:paraId="6B23BDD6" w14:textId="77777777" w:rsidR="00327644" w:rsidRPr="00DD79F1" w:rsidRDefault="00327644" w:rsidP="00327644">
      <w:pPr>
        <w:pStyle w:val="AnnexNo"/>
        <w:rPr>
          <w:rFonts w:asciiTheme="minorHAnsi" w:hAnsiTheme="minorHAnsi" w:cstheme="minorHAnsi"/>
          <w:lang w:val="en-US"/>
        </w:rPr>
      </w:pPr>
      <w:r w:rsidRPr="00DD79F1">
        <w:rPr>
          <w:rFonts w:asciiTheme="minorHAnsi" w:hAnsiTheme="minorHAnsi" w:cstheme="minorHAnsi"/>
          <w:lang w:val="en-US"/>
        </w:rPr>
        <w:lastRenderedPageBreak/>
        <w:t>ATTACHMENT</w:t>
      </w:r>
    </w:p>
    <w:p w14:paraId="5536A48A" w14:textId="029A4DA9" w:rsidR="00327644" w:rsidRPr="00DD79F1" w:rsidRDefault="00327644" w:rsidP="00327644">
      <w:pPr>
        <w:pStyle w:val="Annextitle"/>
        <w:rPr>
          <w:rFonts w:asciiTheme="minorHAnsi" w:hAnsiTheme="minorHAnsi" w:cstheme="minorHAnsi"/>
        </w:rPr>
      </w:pPr>
      <w:r w:rsidRPr="00DD79F1">
        <w:rPr>
          <w:rFonts w:asciiTheme="minorHAnsi" w:hAnsiTheme="minorHAnsi" w:cstheme="minorHAnsi"/>
        </w:rPr>
        <w:t>SUMMARY OF CONCLUSIONS OF THE</w:t>
      </w:r>
      <w:r w:rsidRPr="00DD79F1">
        <w:rPr>
          <w:rFonts w:asciiTheme="minorHAnsi" w:hAnsiTheme="minorHAnsi" w:cstheme="minorHAnsi"/>
        </w:rPr>
        <w:br/>
      </w:r>
      <w:r w:rsidR="00B8472A" w:rsidRPr="00B8472A">
        <w:rPr>
          <w:rFonts w:asciiTheme="minorHAnsi" w:hAnsiTheme="minorHAnsi" w:cstheme="minorHAnsi"/>
        </w:rPr>
        <w:t xml:space="preserve">THIRTIETH </w:t>
      </w:r>
      <w:r w:rsidRPr="00DD79F1">
        <w:rPr>
          <w:rFonts w:asciiTheme="minorHAnsi" w:hAnsiTheme="minorHAnsi" w:cstheme="minorHAnsi"/>
        </w:rPr>
        <w:t>RADIOCOMMUNICATION ADVISORY GROUP MEETING</w:t>
      </w:r>
    </w:p>
    <w:p w14:paraId="2C532E42" w14:textId="64F2010F" w:rsidR="00327644" w:rsidRDefault="00327644" w:rsidP="00327644">
      <w:pPr>
        <w:jc w:val="center"/>
        <w:rPr>
          <w:rFonts w:asciiTheme="minorHAnsi" w:hAnsiTheme="minorHAnsi" w:cstheme="minorHAnsi"/>
          <w:szCs w:val="24"/>
        </w:rPr>
      </w:pPr>
      <w:r w:rsidRPr="00A977C4">
        <w:rPr>
          <w:rFonts w:asciiTheme="minorHAnsi" w:hAnsiTheme="minorHAnsi" w:cstheme="minorHAnsi"/>
          <w:szCs w:val="24"/>
        </w:rPr>
        <w:t>(Source: Doc.</w:t>
      </w:r>
      <w:r>
        <w:rPr>
          <w:rFonts w:asciiTheme="minorHAnsi" w:hAnsiTheme="minorHAnsi" w:cstheme="minorHAnsi"/>
          <w:szCs w:val="24"/>
        </w:rPr>
        <w:t xml:space="preserve"> </w:t>
      </w:r>
      <w:hyperlink r:id="rId16" w:history="1">
        <w:r w:rsidRPr="00327644">
          <w:rPr>
            <w:rStyle w:val="Hyperlink"/>
            <w:rFonts w:asciiTheme="minorHAnsi" w:hAnsiTheme="minorHAnsi" w:cstheme="minorHAnsi"/>
            <w:szCs w:val="24"/>
          </w:rPr>
          <w:t>RAG/TEMP/</w:t>
        </w:r>
        <w:r w:rsidR="00917E60">
          <w:rPr>
            <w:rStyle w:val="Hyperlink"/>
            <w:rFonts w:asciiTheme="minorHAnsi" w:hAnsiTheme="minorHAnsi" w:cstheme="minorHAnsi"/>
            <w:szCs w:val="24"/>
          </w:rPr>
          <w:t>9</w:t>
        </w:r>
        <w:r w:rsidR="0033784F">
          <w:rPr>
            <w:rStyle w:val="Hyperlink"/>
            <w:rFonts w:asciiTheme="minorHAnsi" w:hAnsiTheme="minorHAnsi" w:cstheme="minorHAnsi"/>
            <w:szCs w:val="24"/>
          </w:rPr>
          <w:t>(</w:t>
        </w:r>
        <w:r w:rsidRPr="00327644">
          <w:rPr>
            <w:rStyle w:val="Hyperlink"/>
            <w:rFonts w:asciiTheme="minorHAnsi" w:hAnsiTheme="minorHAnsi" w:cstheme="minorHAnsi"/>
            <w:szCs w:val="24"/>
          </w:rPr>
          <w:t>Rev.3</w:t>
        </w:r>
      </w:hyperlink>
      <w:r w:rsidR="0033784F">
        <w:rPr>
          <w:rStyle w:val="Hyperlink"/>
          <w:rFonts w:asciiTheme="minorHAnsi" w:hAnsiTheme="minorHAnsi" w:cstheme="minorHAnsi"/>
          <w:szCs w:val="24"/>
        </w:rPr>
        <w:t>)</w:t>
      </w:r>
      <w:r>
        <w:rPr>
          <w:rFonts w:asciiTheme="minorHAnsi" w:hAnsiTheme="minorHAnsi" w:cstheme="minorHAnsi"/>
          <w:szCs w:val="24"/>
        </w:rPr>
        <w:t>)</w:t>
      </w: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24"/>
        <w:gridCol w:w="11340"/>
      </w:tblGrid>
      <w:tr w:rsidR="00B20367" w:rsidRPr="004B1770" w14:paraId="42A3BAC9" w14:textId="77777777" w:rsidTr="00B179B7">
        <w:trPr>
          <w:cantSplit/>
          <w:tblHeader/>
          <w:jc w:val="center"/>
        </w:trPr>
        <w:tc>
          <w:tcPr>
            <w:tcW w:w="1037" w:type="dxa"/>
          </w:tcPr>
          <w:p w14:paraId="166B6289" w14:textId="77777777" w:rsidR="00B20367" w:rsidRPr="003147B6"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rPr>
            </w:pPr>
            <w:r w:rsidRPr="003147B6">
              <w:rPr>
                <w:rFonts w:asciiTheme="minorHAnsi" w:hAnsiTheme="minorHAnsi" w:cstheme="minorHAnsi"/>
                <w:b/>
              </w:rPr>
              <w:lastRenderedPageBreak/>
              <w:br w:type="page"/>
              <w:t>Agenda Item</w:t>
            </w:r>
          </w:p>
        </w:tc>
        <w:tc>
          <w:tcPr>
            <w:tcW w:w="2924" w:type="dxa"/>
          </w:tcPr>
          <w:p w14:paraId="30AFE821" w14:textId="77777777" w:rsidR="00B20367" w:rsidRPr="003147B6" w:rsidRDefault="00B20367" w:rsidP="0032764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b/>
              </w:rPr>
            </w:pPr>
            <w:r w:rsidRPr="003147B6">
              <w:rPr>
                <w:rFonts w:asciiTheme="minorHAnsi" w:hAnsiTheme="minorHAnsi" w:cstheme="minorHAnsi"/>
                <w:b/>
              </w:rPr>
              <w:t xml:space="preserve">Subject / </w:t>
            </w:r>
            <w:r w:rsidRPr="003147B6">
              <w:rPr>
                <w:rFonts w:asciiTheme="minorHAnsi" w:hAnsiTheme="minorHAnsi" w:cstheme="minorHAnsi"/>
                <w:b/>
              </w:rPr>
              <w:br/>
              <w:t>Document(s)</w:t>
            </w:r>
          </w:p>
        </w:tc>
        <w:tc>
          <w:tcPr>
            <w:tcW w:w="11340" w:type="dxa"/>
          </w:tcPr>
          <w:p w14:paraId="676902F7" w14:textId="77777777" w:rsidR="00B20367" w:rsidRPr="003147B6"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rPr>
            </w:pPr>
            <w:r w:rsidRPr="003147B6">
              <w:rPr>
                <w:rFonts w:asciiTheme="minorHAnsi" w:hAnsiTheme="minorHAnsi" w:cstheme="minorHAnsi"/>
                <w:b/>
              </w:rPr>
              <w:t>Conclusions</w:t>
            </w:r>
          </w:p>
        </w:tc>
      </w:tr>
      <w:tr w:rsidR="00B20367" w:rsidRPr="004B1770" w14:paraId="624D6E68" w14:textId="77777777" w:rsidTr="00B179B7">
        <w:trPr>
          <w:cantSplit/>
          <w:jc w:val="center"/>
        </w:trPr>
        <w:tc>
          <w:tcPr>
            <w:tcW w:w="1037" w:type="dxa"/>
          </w:tcPr>
          <w:p w14:paraId="1E4190EE"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1</w:t>
            </w:r>
          </w:p>
        </w:tc>
        <w:tc>
          <w:tcPr>
            <w:tcW w:w="2924" w:type="dxa"/>
          </w:tcPr>
          <w:p w14:paraId="5461C11E"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Bidi"/>
              </w:rPr>
            </w:pPr>
            <w:r w:rsidRPr="003147B6">
              <w:rPr>
                <w:rFonts w:asciiTheme="minorHAnsi" w:hAnsiTheme="minorHAnsi" w:cstheme="minorBidi"/>
              </w:rPr>
              <w:t>Opening remarks</w:t>
            </w:r>
          </w:p>
        </w:tc>
        <w:tc>
          <w:tcPr>
            <w:tcW w:w="11340" w:type="dxa"/>
          </w:tcPr>
          <w:p w14:paraId="453A80C0" w14:textId="77777777" w:rsidR="00B20367" w:rsidRPr="00381E53"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eastAsia="Calibri"/>
                <w:color w:val="000000" w:themeColor="text1"/>
              </w:rPr>
            </w:pPr>
            <w:r w:rsidRPr="00381E53">
              <w:rPr>
                <w:rFonts w:eastAsia="Calibri"/>
                <w:color w:val="000000" w:themeColor="text1"/>
              </w:rPr>
              <w:t xml:space="preserve">The meeting was opened by the Chairman of the RAG, Mr. Daniel </w:t>
            </w:r>
            <w:proofErr w:type="spellStart"/>
            <w:r w:rsidRPr="00381E53">
              <w:rPr>
                <w:rFonts w:eastAsia="Calibri"/>
                <w:color w:val="000000" w:themeColor="text1"/>
              </w:rPr>
              <w:t>Obam</w:t>
            </w:r>
            <w:proofErr w:type="spellEnd"/>
            <w:r w:rsidRPr="00381E53">
              <w:rPr>
                <w:rFonts w:eastAsia="Calibri"/>
                <w:color w:val="000000" w:themeColor="text1"/>
              </w:rPr>
              <w:t xml:space="preserve"> (Kenya). </w:t>
            </w:r>
          </w:p>
          <w:p w14:paraId="706A3252" w14:textId="77777777" w:rsidR="00B20367" w:rsidRPr="00381E53" w:rsidRDefault="00B20367" w:rsidP="00B179B7">
            <w:pPr>
              <w:spacing w:before="80"/>
              <w:rPr>
                <w:rFonts w:eastAsia="Calibri"/>
                <w:color w:val="000000" w:themeColor="text1"/>
              </w:rPr>
            </w:pPr>
            <w:r w:rsidRPr="00381E53">
              <w:rPr>
                <w:rFonts w:asciiTheme="minorHAnsi" w:hAnsiTheme="minorHAnsi" w:cstheme="minorBidi"/>
              </w:rPr>
              <w:t>In his opening remarks,</w:t>
            </w:r>
            <w:r w:rsidRPr="00381E53">
              <w:rPr>
                <w:rFonts w:eastAsia="Calibri"/>
                <w:color w:val="000000" w:themeColor="text1"/>
              </w:rPr>
              <w:t xml:space="preserve"> the Chairman of the RAG appreciated the participation </w:t>
            </w:r>
            <w:r w:rsidRPr="006F4449">
              <w:rPr>
                <w:rFonts w:eastAsia="Calibri"/>
                <w:color w:val="000000" w:themeColor="text1"/>
              </w:rPr>
              <w:t>of the Director of the Telecommunications Standardization Sector</w:t>
            </w:r>
            <w:r w:rsidRPr="59997C9F">
              <w:rPr>
                <w:rFonts w:eastAsia="Calibri"/>
                <w:color w:val="000000" w:themeColor="text1"/>
              </w:rPr>
              <w:t xml:space="preserve">, he </w:t>
            </w:r>
            <w:r w:rsidRPr="671199F4">
              <w:rPr>
                <w:rFonts w:eastAsia="Calibri"/>
                <w:color w:val="000000" w:themeColor="text1"/>
              </w:rPr>
              <w:t xml:space="preserve">mentioned it was his last RAG meeting after 10 years </w:t>
            </w:r>
            <w:r w:rsidRPr="4A2D9681">
              <w:rPr>
                <w:rFonts w:eastAsia="Calibri"/>
                <w:color w:val="000000" w:themeColor="text1"/>
              </w:rPr>
              <w:t xml:space="preserve">chairing the </w:t>
            </w:r>
            <w:r w:rsidRPr="12387613">
              <w:rPr>
                <w:rFonts w:eastAsia="Calibri"/>
                <w:color w:val="000000" w:themeColor="text1"/>
              </w:rPr>
              <w:t>group</w:t>
            </w:r>
            <w:r w:rsidRPr="671199F4">
              <w:rPr>
                <w:rFonts w:eastAsia="Calibri"/>
                <w:color w:val="000000" w:themeColor="text1"/>
              </w:rPr>
              <w:t>.</w:t>
            </w:r>
          </w:p>
          <w:p w14:paraId="35195532" w14:textId="77777777" w:rsidR="00B20367" w:rsidRPr="00381E53" w:rsidRDefault="00B20367" w:rsidP="00B179B7">
            <w:pPr>
              <w:spacing w:before="80"/>
              <w:rPr>
                <w:rFonts w:eastAsia="Calibri"/>
                <w:color w:val="000000" w:themeColor="text1"/>
              </w:rPr>
            </w:pPr>
            <w:r w:rsidRPr="00381E53">
              <w:rPr>
                <w:rFonts w:eastAsia="Calibri"/>
                <w:color w:val="000000" w:themeColor="text1"/>
              </w:rPr>
              <w:t>The TSB Director welcomed the participants and thanked the meeting for the invitation to address the RAG. He thanked the RAG for the collaboration with the ITU-T Sector</w:t>
            </w:r>
            <w:r w:rsidRPr="75E550E9">
              <w:rPr>
                <w:rFonts w:eastAsia="Calibri"/>
                <w:color w:val="000000" w:themeColor="text1"/>
              </w:rPr>
              <w:t xml:space="preserve"> and invited the ITU-R to participate in the </w:t>
            </w:r>
            <w:r w:rsidRPr="611B0A7C">
              <w:rPr>
                <w:rFonts w:eastAsia="Calibri"/>
                <w:color w:val="000000" w:themeColor="text1"/>
              </w:rPr>
              <w:t>activities of the ITU-</w:t>
            </w:r>
            <w:r w:rsidRPr="6002CF05">
              <w:rPr>
                <w:rFonts w:eastAsia="Calibri"/>
                <w:color w:val="000000" w:themeColor="text1"/>
              </w:rPr>
              <w:t>T.</w:t>
            </w:r>
          </w:p>
          <w:p w14:paraId="27E63E1A" w14:textId="77777777" w:rsidR="00B20367" w:rsidRPr="00381E53" w:rsidRDefault="00B20367" w:rsidP="00B179B7">
            <w:pPr>
              <w:spacing w:before="80"/>
              <w:rPr>
                <w:rFonts w:eastAsia="Calibri"/>
                <w:color w:val="000000" w:themeColor="text1"/>
              </w:rPr>
            </w:pPr>
            <w:r w:rsidRPr="55CF77C1">
              <w:rPr>
                <w:rFonts w:eastAsia="Calibri"/>
                <w:color w:val="000000" w:themeColor="text1"/>
              </w:rPr>
              <w:t xml:space="preserve">The BR Director </w:t>
            </w:r>
            <w:r w:rsidRPr="55CF77C1">
              <w:rPr>
                <w:rFonts w:eastAsia="Calibri"/>
                <w:color w:val="000000" w:themeColor="text1"/>
                <w:lang w:val="en-GB"/>
              </w:rPr>
              <w:t xml:space="preserve">extended a warm welcome to all participants, including to those who </w:t>
            </w:r>
            <w:r>
              <w:rPr>
                <w:rFonts w:eastAsia="Calibri"/>
                <w:color w:val="000000" w:themeColor="text1"/>
                <w:lang w:val="en-GB"/>
              </w:rPr>
              <w:t xml:space="preserve">were </w:t>
            </w:r>
            <w:r w:rsidRPr="55CF77C1">
              <w:rPr>
                <w:rFonts w:eastAsia="Calibri"/>
                <w:color w:val="000000" w:themeColor="text1"/>
                <w:lang w:val="en-GB"/>
              </w:rPr>
              <w:t xml:space="preserve">joining remotely.  He also thanked and expressed his appreciation to Mr Daniel </w:t>
            </w:r>
            <w:proofErr w:type="spellStart"/>
            <w:r w:rsidRPr="55CF77C1">
              <w:rPr>
                <w:rFonts w:eastAsia="Calibri"/>
                <w:color w:val="000000" w:themeColor="text1"/>
                <w:lang w:val="en-GB"/>
              </w:rPr>
              <w:t>Obam</w:t>
            </w:r>
            <w:proofErr w:type="spellEnd"/>
            <w:r w:rsidRPr="55CF77C1">
              <w:rPr>
                <w:rFonts w:eastAsia="Calibri"/>
                <w:color w:val="000000" w:themeColor="text1"/>
                <w:lang w:val="en-GB"/>
              </w:rPr>
              <w:t xml:space="preserve">, who chaired the RAG for two and a half terms, as his tenure will end and the end of the current study period. The Director recalled that this RAG meeting is the last before the upcoming World Radiocommunication Conference and recognized with appreciation the work of the ITU-R Study Groups, Working Parties, Task Group and the CPM.  Finally, he also appreciated the work of the two RAG Correspondence Groups, noting that their reports will be considered during this RAG meeting. </w:t>
            </w:r>
          </w:p>
          <w:p w14:paraId="46E9243E" w14:textId="20941D15" w:rsidR="00B20367" w:rsidRDefault="00B20367" w:rsidP="00B179B7">
            <w:pPr>
              <w:tabs>
                <w:tab w:val="left" w:pos="4429"/>
              </w:tabs>
              <w:spacing w:before="80"/>
              <w:rPr>
                <w:rFonts w:eastAsia="Calibri"/>
                <w:color w:val="000000" w:themeColor="text1"/>
                <w:lang w:val="en-GB"/>
              </w:rPr>
            </w:pPr>
            <w:r w:rsidRPr="55CF77C1">
              <w:rPr>
                <w:rFonts w:eastAsia="Calibri"/>
                <w:color w:val="000000" w:themeColor="text1"/>
                <w:lang w:val="en-GB"/>
              </w:rPr>
              <w:t>The Deputy Secretary-General</w:t>
            </w:r>
            <w:r w:rsidRPr="006011E6">
              <w:rPr>
                <w:rFonts w:eastAsia="Calibri"/>
                <w:color w:val="000000" w:themeColor="text1"/>
                <w:lang w:val="en-GB"/>
              </w:rPr>
              <w:t xml:space="preserve"> in his first time addressing the RAG, extended the greetings and well wishes of the Secretary-General who was unable to attend the meeting.  He informed the RAG that the new ITU leadership is keen to raise the ITU’s performance – to make ITU more transparent, more accountable to its members, as well as to increase our expertise and tackle problems with an evidence-based approach.  The </w:t>
            </w:r>
            <w:r>
              <w:rPr>
                <w:rFonts w:eastAsia="Calibri"/>
                <w:color w:val="000000" w:themeColor="text1"/>
                <w:lang w:val="en-GB"/>
              </w:rPr>
              <w:t>DSG</w:t>
            </w:r>
            <w:r w:rsidRPr="006011E6">
              <w:rPr>
                <w:rFonts w:eastAsia="Calibri"/>
                <w:color w:val="000000" w:themeColor="text1"/>
                <w:lang w:val="en-GB"/>
              </w:rPr>
              <w:t xml:space="preserve"> shared his view that while Gender mainstreaming in ITU is yielding positive results, more work needs to be done to increase women’s participation in our activities and events.   In particular, he noted that while women’s participation at PP 22 was at 33 per cent, at the just concluded 2nd Conference Preparatory Meeting (CPM-23), women’s participation was only 23 per cent.  We count on the support of all our members to increase women’s participation in the work of the ITU.   </w:t>
            </w:r>
            <w:r>
              <w:rPr>
                <w:rFonts w:eastAsia="Calibri"/>
                <w:color w:val="000000" w:themeColor="text1"/>
                <w:lang w:val="en-GB"/>
              </w:rPr>
              <w:t>The DSG</w:t>
            </w:r>
            <w:r w:rsidRPr="006011E6">
              <w:rPr>
                <w:rFonts w:eastAsia="Calibri"/>
                <w:color w:val="000000" w:themeColor="text1"/>
                <w:lang w:val="en-GB"/>
              </w:rPr>
              <w:t xml:space="preserve"> also noted that, since the adoption of PP Resolution 70 in 1998, subsequent WTDCs and WTSAs have adopted and updated their sectoral Gender Resolutions that were tailored to meet their specific needs.   Since then, ITU has seen that the both the ITU-D and ITU-T have outpaced the ITU-R in increasing the participation of women in the work of their sector.  The ITU leadership is therefore highly appreciative of the work being carried out in the RAG toward the development of a Draft Resolution on Gender that will be considered for adoption by </w:t>
            </w:r>
            <w:r w:rsidR="006542D7">
              <w:rPr>
                <w:rFonts w:eastAsia="Calibri"/>
                <w:color w:val="000000" w:themeColor="text1"/>
                <w:lang w:val="en-GB"/>
              </w:rPr>
              <w:br/>
            </w:r>
            <w:r w:rsidRPr="006011E6">
              <w:rPr>
                <w:rFonts w:eastAsia="Calibri"/>
                <w:color w:val="000000" w:themeColor="text1"/>
                <w:lang w:val="en-GB"/>
              </w:rPr>
              <w:t>RA-23.   He concluded by extending his best wishes to the RAG for a successful meeting.</w:t>
            </w:r>
          </w:p>
          <w:p w14:paraId="79202C39" w14:textId="77777777" w:rsidR="00B20367" w:rsidRPr="00381E53" w:rsidRDefault="00B20367" w:rsidP="00B179B7">
            <w:pPr>
              <w:spacing w:before="80"/>
              <w:rPr>
                <w:rFonts w:eastAsia="Calibri"/>
                <w:color w:val="000000" w:themeColor="text1"/>
              </w:rPr>
            </w:pPr>
          </w:p>
        </w:tc>
      </w:tr>
      <w:tr w:rsidR="00B20367" w:rsidRPr="004B1770" w14:paraId="2EF3804F" w14:textId="77777777" w:rsidTr="00B179B7">
        <w:trPr>
          <w:cantSplit/>
          <w:trHeight w:val="948"/>
          <w:jc w:val="center"/>
        </w:trPr>
        <w:tc>
          <w:tcPr>
            <w:tcW w:w="1037" w:type="dxa"/>
          </w:tcPr>
          <w:p w14:paraId="4F91749B" w14:textId="77777777" w:rsidR="00B20367" w:rsidRPr="003147B6" w:rsidDel="002A034D"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2</w:t>
            </w:r>
          </w:p>
        </w:tc>
        <w:tc>
          <w:tcPr>
            <w:tcW w:w="2924" w:type="dxa"/>
          </w:tcPr>
          <w:p w14:paraId="1A333C92"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3147B6">
              <w:rPr>
                <w:rStyle w:val="normaltextrun"/>
                <w:rFonts w:asciiTheme="minorHAnsi" w:hAnsiTheme="minorHAnsi" w:cstheme="minorHAnsi"/>
                <w:color w:val="000000"/>
                <w:shd w:val="clear" w:color="auto" w:fill="FFFFFF"/>
              </w:rPr>
              <w:t>Approval of the agenda</w:t>
            </w:r>
          </w:p>
          <w:p w14:paraId="3AA773D9" w14:textId="77777777" w:rsidR="00B20367" w:rsidRPr="004C5E9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17" w:history="1">
              <w:r w:rsidR="00B20367" w:rsidRPr="00B915E0">
                <w:rPr>
                  <w:rStyle w:val="Hyperlink"/>
                  <w:rFonts w:asciiTheme="minorHAnsi" w:hAnsiTheme="minorHAnsi" w:cstheme="minorHAnsi"/>
                </w:rPr>
                <w:t>ADM/5R2</w:t>
              </w:r>
            </w:hyperlink>
          </w:p>
        </w:tc>
        <w:tc>
          <w:tcPr>
            <w:tcW w:w="11340" w:type="dxa"/>
          </w:tcPr>
          <w:p w14:paraId="45141842" w14:textId="3A58AD62" w:rsidR="00B20367" w:rsidRPr="00381E53"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r w:rsidRPr="00381E53">
              <w:rPr>
                <w:rFonts w:asciiTheme="minorHAnsi" w:hAnsiTheme="minorHAnsi" w:cstheme="minorBidi"/>
              </w:rPr>
              <w:t>The draft agenda in Doc. RAG/ADM/5</w:t>
            </w:r>
            <w:r w:rsidR="004C2C01">
              <w:rPr>
                <w:rFonts w:asciiTheme="minorHAnsi" w:hAnsiTheme="minorHAnsi" w:cstheme="minorBidi"/>
              </w:rPr>
              <w:t>(</w:t>
            </w:r>
            <w:r w:rsidRPr="00381E53">
              <w:rPr>
                <w:rFonts w:asciiTheme="minorHAnsi" w:hAnsiTheme="minorHAnsi" w:cstheme="minorBidi"/>
              </w:rPr>
              <w:t>R</w:t>
            </w:r>
            <w:r w:rsidR="004C2C01">
              <w:rPr>
                <w:rFonts w:asciiTheme="minorHAnsi" w:hAnsiTheme="minorHAnsi" w:cstheme="minorBidi"/>
              </w:rPr>
              <w:t>ev.</w:t>
            </w:r>
            <w:r w:rsidRPr="00381E53">
              <w:rPr>
                <w:rFonts w:asciiTheme="minorHAnsi" w:hAnsiTheme="minorHAnsi" w:cstheme="minorBidi"/>
              </w:rPr>
              <w:t>2</w:t>
            </w:r>
            <w:r w:rsidR="004C2C01">
              <w:rPr>
                <w:rFonts w:asciiTheme="minorHAnsi" w:hAnsiTheme="minorHAnsi" w:cstheme="minorBidi"/>
              </w:rPr>
              <w:t>)</w:t>
            </w:r>
            <w:r w:rsidRPr="00381E53">
              <w:rPr>
                <w:rFonts w:asciiTheme="minorHAnsi" w:hAnsiTheme="minorHAnsi" w:cstheme="minorBidi"/>
              </w:rPr>
              <w:t xml:space="preserve"> </w:t>
            </w:r>
            <w:r w:rsidRPr="006F4449">
              <w:rPr>
                <w:rFonts w:asciiTheme="minorHAnsi" w:hAnsiTheme="minorHAnsi" w:cstheme="minorBidi"/>
              </w:rPr>
              <w:t>was adopted without changes</w:t>
            </w:r>
            <w:r w:rsidRPr="00381E53">
              <w:rPr>
                <w:rFonts w:asciiTheme="minorHAnsi" w:hAnsiTheme="minorHAnsi" w:cstheme="minorBidi"/>
              </w:rPr>
              <w:t xml:space="preserve"> </w:t>
            </w:r>
            <w:r w:rsidRPr="006F4449">
              <w:rPr>
                <w:rFonts w:asciiTheme="minorHAnsi" w:hAnsiTheme="minorHAnsi" w:cstheme="minorBidi"/>
              </w:rPr>
              <w:t xml:space="preserve">under the conditions that </w:t>
            </w:r>
            <w:r>
              <w:rPr>
                <w:rFonts w:asciiTheme="minorHAnsi" w:hAnsiTheme="minorHAnsi" w:cstheme="minorBidi"/>
              </w:rPr>
              <w:t>the RAG</w:t>
            </w:r>
            <w:r w:rsidRPr="00BF04BA">
              <w:rPr>
                <w:rFonts w:asciiTheme="minorHAnsi" w:hAnsiTheme="minorHAnsi" w:cstheme="minorBidi"/>
              </w:rPr>
              <w:t xml:space="preserve"> </w:t>
            </w:r>
            <w:r w:rsidRPr="006F4449">
              <w:rPr>
                <w:rFonts w:asciiTheme="minorHAnsi" w:hAnsiTheme="minorHAnsi" w:cstheme="minorBidi"/>
              </w:rPr>
              <w:t>functions under the strict application of Article 11 A of the Convention.</w:t>
            </w:r>
            <w:r w:rsidRPr="00381E53">
              <w:rPr>
                <w:rFonts w:asciiTheme="minorHAnsi" w:hAnsiTheme="minorHAnsi" w:cstheme="minorBidi"/>
              </w:rPr>
              <w:t xml:space="preserve"> </w:t>
            </w:r>
          </w:p>
        </w:tc>
      </w:tr>
      <w:tr w:rsidR="00B20367" w:rsidRPr="004B1770" w14:paraId="5C401A65" w14:textId="77777777" w:rsidTr="00B179B7">
        <w:trPr>
          <w:cantSplit/>
          <w:trHeight w:val="948"/>
          <w:jc w:val="center"/>
        </w:trPr>
        <w:tc>
          <w:tcPr>
            <w:tcW w:w="1037" w:type="dxa"/>
          </w:tcPr>
          <w:p w14:paraId="4E8E127E"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lastRenderedPageBreak/>
              <w:t>3</w:t>
            </w:r>
          </w:p>
        </w:tc>
        <w:tc>
          <w:tcPr>
            <w:tcW w:w="2924" w:type="dxa"/>
          </w:tcPr>
          <w:p w14:paraId="3B6843AA"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color w:val="000000"/>
                <w:shd w:val="clear" w:color="auto" w:fill="FFFFFF"/>
              </w:rPr>
            </w:pPr>
            <w:r w:rsidRPr="003147B6">
              <w:rPr>
                <w:rFonts w:asciiTheme="minorHAnsi" w:hAnsiTheme="minorHAnsi" w:cstheme="minorHAnsi"/>
                <w:color w:val="000000"/>
                <w:shd w:val="clear" w:color="auto" w:fill="FFFFFF"/>
              </w:rPr>
              <w:t>Report to the 30</w:t>
            </w:r>
            <w:r w:rsidRPr="003147B6">
              <w:rPr>
                <w:rFonts w:asciiTheme="minorHAnsi" w:hAnsiTheme="minorHAnsi" w:cstheme="minorHAnsi"/>
                <w:color w:val="000000"/>
                <w:shd w:val="clear" w:color="auto" w:fill="FFFFFF"/>
                <w:vertAlign w:val="superscript"/>
              </w:rPr>
              <w:t>th</w:t>
            </w:r>
            <w:r w:rsidRPr="003147B6">
              <w:rPr>
                <w:rFonts w:asciiTheme="minorHAnsi" w:hAnsiTheme="minorHAnsi" w:cstheme="minorHAnsi"/>
                <w:color w:val="000000"/>
                <w:shd w:val="clear" w:color="auto" w:fill="FFFFFF"/>
              </w:rPr>
              <w:t xml:space="preserve"> meeting of the Radiocommunication Advisory Group </w:t>
            </w:r>
          </w:p>
          <w:p w14:paraId="29F8AD12"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18" w:history="1">
              <w:r w:rsidR="00B20367" w:rsidRPr="006F4449">
                <w:rPr>
                  <w:rStyle w:val="Hyperlink"/>
                  <w:rFonts w:asciiTheme="minorHAnsi" w:hAnsiTheme="minorHAnsi" w:cstheme="minorHAnsi"/>
                </w:rPr>
                <w:t>58R1</w:t>
              </w:r>
            </w:hyperlink>
          </w:p>
        </w:tc>
        <w:tc>
          <w:tcPr>
            <w:tcW w:w="11340" w:type="dxa"/>
          </w:tcPr>
          <w:p w14:paraId="44145CFC" w14:textId="131C2203"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r w:rsidRPr="003147B6">
              <w:rPr>
                <w:rFonts w:asciiTheme="minorHAnsi" w:hAnsiTheme="minorHAnsi" w:cstheme="minorBidi"/>
              </w:rPr>
              <w:t>RAG noted the introduction of the Director’s Report to the meeting as contained in RAG/58(Rev</w:t>
            </w:r>
            <w:r w:rsidR="00FB5B24">
              <w:rPr>
                <w:rFonts w:asciiTheme="minorHAnsi" w:hAnsiTheme="minorHAnsi" w:cstheme="minorBidi"/>
              </w:rPr>
              <w:t>.</w:t>
            </w:r>
            <w:r w:rsidRPr="003147B6">
              <w:rPr>
                <w:rFonts w:asciiTheme="minorHAnsi" w:hAnsiTheme="minorHAnsi" w:cstheme="minorBidi"/>
              </w:rPr>
              <w:t>1).</w:t>
            </w:r>
          </w:p>
        </w:tc>
      </w:tr>
      <w:tr w:rsidR="00B20367" w:rsidRPr="004B1770" w14:paraId="1D8F85B8" w14:textId="77777777" w:rsidTr="00B179B7">
        <w:trPr>
          <w:cantSplit/>
          <w:trHeight w:val="948"/>
          <w:jc w:val="center"/>
        </w:trPr>
        <w:tc>
          <w:tcPr>
            <w:tcW w:w="1037" w:type="dxa"/>
          </w:tcPr>
          <w:p w14:paraId="22416F48"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4</w:t>
            </w:r>
          </w:p>
        </w:tc>
        <w:tc>
          <w:tcPr>
            <w:tcW w:w="2924" w:type="dxa"/>
          </w:tcPr>
          <w:p w14:paraId="4356E7C9"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color w:val="000000"/>
                <w:shd w:val="clear" w:color="auto" w:fill="FFFFFF"/>
              </w:rPr>
            </w:pPr>
            <w:r w:rsidRPr="003147B6">
              <w:rPr>
                <w:rFonts w:asciiTheme="minorHAnsi" w:hAnsiTheme="minorHAnsi" w:cstheme="minorHAnsi"/>
                <w:color w:val="000000"/>
                <w:shd w:val="clear" w:color="auto" w:fill="FFFFFF"/>
              </w:rPr>
              <w:t>PP-22 related results</w:t>
            </w:r>
          </w:p>
          <w:p w14:paraId="7806E08F"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color w:val="000000"/>
                <w:shd w:val="clear" w:color="auto" w:fill="FFFFFF"/>
              </w:rPr>
            </w:pPr>
            <w:hyperlink r:id="rId19" w:history="1">
              <w:r w:rsidR="00B20367" w:rsidRPr="006F4449">
                <w:rPr>
                  <w:rStyle w:val="Hyperlink"/>
                  <w:rFonts w:asciiTheme="minorHAnsi" w:hAnsiTheme="minorHAnsi" w:cstheme="minorHAnsi"/>
                </w:rPr>
                <w:t>58R1</w:t>
              </w:r>
            </w:hyperlink>
            <w:r w:rsidR="00B20367" w:rsidRPr="006F4449">
              <w:rPr>
                <w:rFonts w:asciiTheme="minorHAnsi" w:hAnsiTheme="minorHAnsi" w:cstheme="minorHAnsi"/>
              </w:rPr>
              <w:t>(§2.1)</w:t>
            </w:r>
          </w:p>
        </w:tc>
        <w:tc>
          <w:tcPr>
            <w:tcW w:w="11340" w:type="dxa"/>
          </w:tcPr>
          <w:p w14:paraId="3AE1C649" w14:textId="77777777" w:rsidR="00B20367" w:rsidRPr="006F444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6F4449">
              <w:rPr>
                <w:rFonts w:asciiTheme="minorHAnsi" w:hAnsiTheme="minorHAnsi" w:cstheme="minorHAnsi"/>
                <w:color w:val="000000"/>
              </w:rPr>
              <w:t xml:space="preserve">The RAG took note of the report and of the invitation from Brazil for interested administrations to submit contributions to the 2023 Radiocommunication Assembly for addressing </w:t>
            </w:r>
            <w:r w:rsidRPr="006F4449">
              <w:rPr>
                <w:rFonts w:asciiTheme="minorHAnsi" w:hAnsiTheme="minorHAnsi" w:cstheme="minorHAnsi"/>
                <w:i/>
                <w:iCs/>
                <w:color w:val="000000"/>
              </w:rPr>
              <w:t>resolves 1</w:t>
            </w:r>
            <w:r w:rsidRPr="006F4449">
              <w:rPr>
                <w:rFonts w:asciiTheme="minorHAnsi" w:hAnsiTheme="minorHAnsi" w:cstheme="minorHAnsi"/>
                <w:i/>
                <w:color w:val="000000"/>
              </w:rPr>
              <w:t xml:space="preserve"> </w:t>
            </w:r>
            <w:r w:rsidRPr="006F4449">
              <w:rPr>
                <w:rFonts w:asciiTheme="minorHAnsi" w:hAnsiTheme="minorHAnsi" w:cstheme="minorHAnsi"/>
                <w:color w:val="000000"/>
              </w:rPr>
              <w:t>of Resolution 219 (Bucharest, 2022).</w:t>
            </w:r>
          </w:p>
          <w:p w14:paraId="0280AD93"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p>
        </w:tc>
      </w:tr>
      <w:tr w:rsidR="00B20367" w:rsidRPr="004B1770" w14:paraId="6FA264B4" w14:textId="77777777" w:rsidTr="00B179B7">
        <w:trPr>
          <w:cantSplit/>
          <w:jc w:val="center"/>
        </w:trPr>
        <w:tc>
          <w:tcPr>
            <w:tcW w:w="1037" w:type="dxa"/>
          </w:tcPr>
          <w:p w14:paraId="2609A8DB"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5</w:t>
            </w:r>
          </w:p>
        </w:tc>
        <w:tc>
          <w:tcPr>
            <w:tcW w:w="2924" w:type="dxa"/>
          </w:tcPr>
          <w:p w14:paraId="5B9FAF33" w14:textId="77777777" w:rsidR="00B20367" w:rsidRPr="006F4449"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themeColor="text1"/>
              </w:rPr>
            </w:pPr>
            <w:r w:rsidRPr="003147B6">
              <w:rPr>
                <w:rStyle w:val="normaltextrun"/>
                <w:rFonts w:asciiTheme="minorHAnsi" w:hAnsiTheme="minorHAnsi" w:cstheme="minorBidi"/>
                <w:color w:val="000000" w:themeColor="text1"/>
              </w:rPr>
              <w:t>Council-23 related Issues</w:t>
            </w:r>
          </w:p>
          <w:p w14:paraId="181128F9"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eop"/>
                <w:rFonts w:asciiTheme="minorHAnsi" w:hAnsiTheme="minorHAnsi" w:cstheme="minorHAnsi"/>
                <w:color w:val="000000"/>
                <w:shd w:val="clear" w:color="auto" w:fill="FFFFFF"/>
              </w:rPr>
            </w:pPr>
            <w:hyperlink r:id="rId20" w:history="1">
              <w:r w:rsidR="00B20367" w:rsidRPr="006F4449">
                <w:rPr>
                  <w:rStyle w:val="Hyperlink"/>
                  <w:rFonts w:asciiTheme="minorHAnsi" w:hAnsiTheme="minorHAnsi" w:cstheme="minorHAnsi"/>
                </w:rPr>
                <w:t>58R1</w:t>
              </w:r>
            </w:hyperlink>
            <w:r w:rsidR="00B20367" w:rsidRPr="006F4449">
              <w:rPr>
                <w:rFonts w:asciiTheme="minorHAnsi" w:hAnsiTheme="minorHAnsi" w:cstheme="minorHAnsi"/>
              </w:rPr>
              <w:t>(§2.2)</w:t>
            </w:r>
          </w:p>
          <w:p w14:paraId="655D8C15"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p>
        </w:tc>
        <w:tc>
          <w:tcPr>
            <w:tcW w:w="11340" w:type="dxa"/>
          </w:tcPr>
          <w:p w14:paraId="50D3E13D" w14:textId="1F5D7475"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6F4449">
              <w:rPr>
                <w:rFonts w:asciiTheme="minorHAnsi" w:hAnsiTheme="minorHAnsi" w:cstheme="minorHAnsi"/>
                <w:color w:val="000000"/>
              </w:rPr>
              <w:t>The RAG took note of the information from the Director of the BR about the issues related to the processing of satellite fillings, including the difficulty to treat filings with thousands of satellites without</w:t>
            </w:r>
            <w:r>
              <w:rPr>
                <w:rFonts w:asciiTheme="minorHAnsi" w:hAnsiTheme="minorHAnsi" w:cstheme="minorHAnsi"/>
                <w:color w:val="000000"/>
              </w:rPr>
              <w:t xml:space="preserve"> necessary time required to</w:t>
            </w:r>
            <w:r w:rsidRPr="006F4449">
              <w:rPr>
                <w:rFonts w:asciiTheme="minorHAnsi" w:hAnsiTheme="minorHAnsi" w:cstheme="minorHAnsi"/>
                <w:color w:val="000000"/>
              </w:rPr>
              <w:t xml:space="preserve"> further developing BR software tools.  RAG agreed that the BR lacks sufficient dedicated resources needed to continually update and modernize BR software applications used for satellite and terrestrial filings. </w:t>
            </w:r>
            <w:r w:rsidRPr="00A70919">
              <w:rPr>
                <w:rFonts w:asciiTheme="minorHAnsi" w:hAnsiTheme="minorHAnsi" w:cstheme="minorHAnsi"/>
                <w:color w:val="000000"/>
              </w:rPr>
              <w:t>The RAG also discussed the outcome from Council 2022 with regard to the review of Cost Recover</w:t>
            </w:r>
            <w:r>
              <w:rPr>
                <w:rFonts w:asciiTheme="minorHAnsi" w:hAnsiTheme="minorHAnsi" w:cstheme="minorHAnsi"/>
                <w:color w:val="000000"/>
              </w:rPr>
              <w:t>y</w:t>
            </w:r>
            <w:r w:rsidRPr="00A70919">
              <w:rPr>
                <w:rFonts w:asciiTheme="minorHAnsi" w:hAnsiTheme="minorHAnsi" w:cstheme="minorHAnsi"/>
                <w:color w:val="000000"/>
              </w:rPr>
              <w:t xml:space="preserve"> Methodology</w:t>
            </w:r>
            <w:r>
              <w:rPr>
                <w:rFonts w:asciiTheme="minorHAnsi" w:hAnsiTheme="minorHAnsi" w:cstheme="minorHAnsi"/>
                <w:color w:val="000000"/>
              </w:rPr>
              <w:t xml:space="preserve"> and the potential creation of a fund for software development by the Bureau. </w:t>
            </w:r>
          </w:p>
          <w:p w14:paraId="6B74B24E"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6F4449">
              <w:rPr>
                <w:rFonts w:asciiTheme="minorHAnsi" w:hAnsiTheme="minorHAnsi" w:cstheme="minorHAnsi"/>
                <w:color w:val="000000"/>
              </w:rPr>
              <w:t>The RAG advised the Director to request Council 2023 to reactivate the Expert Group addressing Council Decision 482</w:t>
            </w:r>
            <w:r>
              <w:rPr>
                <w:rFonts w:asciiTheme="minorHAnsi" w:hAnsiTheme="minorHAnsi" w:cstheme="minorHAnsi"/>
                <w:color w:val="000000"/>
              </w:rPr>
              <w:t xml:space="preserve"> (modified 2021) </w:t>
            </w:r>
            <w:r w:rsidRPr="006F4449">
              <w:rPr>
                <w:rFonts w:asciiTheme="minorHAnsi" w:hAnsiTheme="minorHAnsi" w:cstheme="minorHAnsi"/>
                <w:color w:val="000000"/>
              </w:rPr>
              <w:t>so that it can commence its work toward</w:t>
            </w:r>
            <w:r>
              <w:rPr>
                <w:rFonts w:asciiTheme="minorHAnsi" w:hAnsiTheme="minorHAnsi" w:cstheme="minorHAnsi"/>
                <w:color w:val="000000"/>
              </w:rPr>
              <w:t>s</w:t>
            </w:r>
            <w:r w:rsidRPr="006F4449">
              <w:rPr>
                <w:rFonts w:asciiTheme="minorHAnsi" w:hAnsiTheme="minorHAnsi" w:cstheme="minorHAnsi"/>
                <w:color w:val="000000"/>
              </w:rPr>
              <w:t xml:space="preserve"> making a recommendation to Council 2024</w:t>
            </w:r>
            <w:r>
              <w:rPr>
                <w:rFonts w:asciiTheme="minorHAnsi" w:hAnsiTheme="minorHAnsi" w:cstheme="minorHAnsi"/>
                <w:color w:val="000000"/>
              </w:rPr>
              <w:t xml:space="preserve"> on the increased costs incurred by the BR from those filings whose size and/or complexity, as well as resubmission of the same system, are such that the current methodology does not accurately capture their costs.</w:t>
            </w:r>
          </w:p>
          <w:p w14:paraId="76E94FAC" w14:textId="77777777" w:rsidR="00B20367" w:rsidRPr="006F444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highlight w:val="yellow"/>
              </w:rPr>
            </w:pPr>
          </w:p>
        </w:tc>
      </w:tr>
      <w:tr w:rsidR="00B20367" w:rsidRPr="004B1770" w14:paraId="02492D39" w14:textId="77777777" w:rsidTr="00B179B7">
        <w:trPr>
          <w:cantSplit/>
          <w:jc w:val="center"/>
        </w:trPr>
        <w:tc>
          <w:tcPr>
            <w:tcW w:w="1037" w:type="dxa"/>
            <w:vMerge w:val="restart"/>
          </w:tcPr>
          <w:p w14:paraId="43FE4AE5"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lastRenderedPageBreak/>
              <w:t>6</w:t>
            </w:r>
          </w:p>
          <w:p w14:paraId="0D8C16A0"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p w14:paraId="524CAD06"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p w14:paraId="6296A228"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p w14:paraId="47D7D6B6"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p w14:paraId="3E54D976"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p w14:paraId="5827596F" w14:textId="77777777" w:rsidR="00B20367" w:rsidRPr="003147B6"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tc>
        <w:tc>
          <w:tcPr>
            <w:tcW w:w="14264" w:type="dxa"/>
            <w:gridSpan w:val="2"/>
          </w:tcPr>
          <w:p w14:paraId="789EE1CB" w14:textId="77777777" w:rsidR="00B20367" w:rsidRPr="003147B6" w:rsidRDefault="00B20367" w:rsidP="0032764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eastAsia="Calibri"/>
                <w:color w:val="000000" w:themeColor="text1"/>
              </w:rPr>
            </w:pPr>
            <w:r w:rsidRPr="003147B6">
              <w:rPr>
                <w:rStyle w:val="normaltextrun"/>
                <w:rFonts w:asciiTheme="minorHAnsi" w:hAnsiTheme="minorHAnsi" w:cstheme="minorHAnsi"/>
                <w:color w:val="000000"/>
                <w:shd w:val="clear" w:color="auto" w:fill="FFFFFF"/>
              </w:rPr>
              <w:t xml:space="preserve">Implementation of RA-19 Decisions </w:t>
            </w:r>
          </w:p>
        </w:tc>
      </w:tr>
      <w:tr w:rsidR="00B20367" w:rsidRPr="0048692E" w14:paraId="0166F402" w14:textId="77777777" w:rsidTr="00B179B7">
        <w:trPr>
          <w:cantSplit/>
          <w:jc w:val="center"/>
        </w:trPr>
        <w:tc>
          <w:tcPr>
            <w:tcW w:w="1037" w:type="dxa"/>
            <w:vMerge/>
          </w:tcPr>
          <w:p w14:paraId="4C589C94" w14:textId="77777777" w:rsidR="00B20367" w:rsidRPr="003147B6"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tc>
        <w:tc>
          <w:tcPr>
            <w:tcW w:w="2924" w:type="dxa"/>
          </w:tcPr>
          <w:p w14:paraId="7E7BAE6F" w14:textId="77777777" w:rsidR="00B20367" w:rsidRPr="004B1770" w:rsidRDefault="00B20367" w:rsidP="0032764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jc w:val="left"/>
              <w:rPr>
                <w:rFonts w:asciiTheme="minorHAnsi" w:hAnsiTheme="minorHAnsi" w:cstheme="minorHAnsi"/>
                <w:color w:val="000000"/>
                <w:shd w:val="clear" w:color="auto" w:fill="FFFFFF"/>
              </w:rPr>
            </w:pPr>
            <w:r w:rsidRPr="004B1770">
              <w:rPr>
                <w:rFonts w:asciiTheme="minorHAnsi" w:hAnsiTheme="minorHAnsi" w:cstheme="minorHAnsi"/>
                <w:color w:val="000000"/>
                <w:shd w:val="clear" w:color="auto" w:fill="FFFFFF"/>
              </w:rPr>
              <w:t>Consideration of the Report of the RAG C</w:t>
            </w:r>
            <w:r>
              <w:rPr>
                <w:rFonts w:asciiTheme="minorHAnsi" w:hAnsiTheme="minorHAnsi" w:cstheme="minorHAnsi"/>
                <w:color w:val="000000"/>
                <w:shd w:val="clear" w:color="auto" w:fill="FFFFFF"/>
              </w:rPr>
              <w:t>G</w:t>
            </w:r>
            <w:r w:rsidRPr="004B1770">
              <w:rPr>
                <w:rFonts w:asciiTheme="minorHAnsi" w:hAnsiTheme="minorHAnsi" w:cstheme="minorHAnsi"/>
                <w:color w:val="000000"/>
                <w:shd w:val="clear" w:color="auto" w:fill="FFFFFF"/>
              </w:rPr>
              <w:t xml:space="preserve"> 2 on Possible Revisions of Resolutions ITU-R 1-8 and 15-6</w:t>
            </w:r>
          </w:p>
          <w:p w14:paraId="69DFD2E8" w14:textId="77777777" w:rsidR="00B20367" w:rsidRPr="0049711F" w:rsidRDefault="00371B81" w:rsidP="0032764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jc w:val="left"/>
              <w:rPr>
                <w:rStyle w:val="normaltextrun"/>
                <w:rFonts w:asciiTheme="minorHAnsi" w:hAnsiTheme="minorHAnsi" w:cstheme="minorHAnsi"/>
                <w:color w:val="0000FF" w:themeColor="hyperlink"/>
                <w:u w:val="single"/>
                <w:vertAlign w:val="superscript"/>
              </w:rPr>
            </w:pPr>
            <w:hyperlink r:id="rId21" w:history="1">
              <w:r w:rsidR="00B20367" w:rsidRPr="00D051E0">
                <w:rPr>
                  <w:rStyle w:val="Hyperlink"/>
                  <w:rFonts w:asciiTheme="minorHAnsi" w:hAnsiTheme="minorHAnsi" w:cstheme="minorHAnsi"/>
                </w:rPr>
                <w:t>59</w:t>
              </w:r>
            </w:hyperlink>
            <w:r w:rsidR="00B20367" w:rsidRPr="00D051E0">
              <w:rPr>
                <w:rStyle w:val="Hyperlink"/>
                <w:rFonts w:asciiTheme="minorHAnsi" w:hAnsiTheme="minorHAnsi" w:cstheme="minorHAnsi"/>
              </w:rPr>
              <w:t xml:space="preserve">, </w:t>
            </w:r>
            <w:r w:rsidR="00B20367">
              <w:rPr>
                <w:rStyle w:val="Hyperlink"/>
                <w:rFonts w:asciiTheme="minorHAnsi" w:hAnsiTheme="minorHAnsi" w:cstheme="minorHAnsi"/>
              </w:rPr>
              <w:t>63</w:t>
            </w:r>
            <w:r w:rsidR="00B20367">
              <w:rPr>
                <w:rStyle w:val="FootnoteReference"/>
                <w:rFonts w:asciiTheme="minorHAnsi" w:hAnsiTheme="minorHAnsi" w:cstheme="minorHAnsi"/>
                <w:color w:val="0000FF" w:themeColor="hyperlink"/>
                <w:u w:val="single"/>
              </w:rPr>
              <w:footnoteReference w:id="2"/>
            </w:r>
          </w:p>
          <w:p w14:paraId="4AAAEE6A" w14:textId="77777777" w:rsidR="00B20367" w:rsidRPr="003147B6" w:rsidRDefault="00B20367" w:rsidP="0032764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p>
        </w:tc>
        <w:tc>
          <w:tcPr>
            <w:tcW w:w="11340" w:type="dxa"/>
            <w:shd w:val="clear" w:color="auto" w:fill="auto"/>
          </w:tcPr>
          <w:p w14:paraId="1A893413"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48692E">
              <w:rPr>
                <w:rFonts w:asciiTheme="minorHAnsi" w:hAnsiTheme="minorHAnsi" w:cstheme="minorHAnsi"/>
                <w:color w:val="000000"/>
              </w:rPr>
              <w:t xml:space="preserve">RAG noted the Report of the Chairman of RAG Correspondence Group 2 (CG-2) and considered the output of the CG on the revision of Resolution 1-8 and the related portions of Doc. 63. Based on those considerations, RAG reconciled most differences proposed by the members of the group. </w:t>
            </w:r>
          </w:p>
          <w:p w14:paraId="1C9F6F08" w14:textId="77777777" w:rsidR="00B20367" w:rsidRPr="0048692E"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48692E">
              <w:rPr>
                <w:rFonts w:eastAsia="Calibri"/>
                <w:color w:val="000000" w:themeColor="text1"/>
              </w:rPr>
              <w:t>RAG agreed that the Report of the RAG to the RA-23 will include the report of the work of CG-</w:t>
            </w:r>
            <w:r w:rsidRPr="003A7C91">
              <w:rPr>
                <w:rFonts w:eastAsia="Calibri"/>
                <w:color w:val="000000" w:themeColor="text1"/>
              </w:rPr>
              <w:t>2</w:t>
            </w:r>
            <w:r>
              <w:rPr>
                <w:rFonts w:eastAsia="Calibri"/>
                <w:color w:val="000000" w:themeColor="text1"/>
              </w:rPr>
              <w:t xml:space="preserve"> and </w:t>
            </w:r>
            <w:r>
              <w:rPr>
                <w:rFonts w:asciiTheme="minorHAnsi" w:hAnsiTheme="minorHAnsi" w:cstheme="minorHAnsi"/>
                <w:color w:val="000000"/>
              </w:rPr>
              <w:t>the</w:t>
            </w:r>
            <w:r w:rsidRPr="00557FF1">
              <w:rPr>
                <w:rFonts w:asciiTheme="minorHAnsi" w:hAnsiTheme="minorHAnsi" w:cstheme="minorHAnsi"/>
                <w:color w:val="000000"/>
              </w:rPr>
              <w:t xml:space="preserve"> proposed revision of Resolution ITU-R 1-8</w:t>
            </w:r>
            <w:r>
              <w:rPr>
                <w:rFonts w:asciiTheme="minorHAnsi" w:hAnsiTheme="minorHAnsi" w:cstheme="minorHAnsi"/>
                <w:color w:val="000000"/>
              </w:rPr>
              <w:t xml:space="preserve"> </w:t>
            </w:r>
            <w:r w:rsidRPr="0048692E">
              <w:rPr>
                <w:rFonts w:asciiTheme="minorHAnsi" w:hAnsiTheme="minorHAnsi" w:cstheme="minorHAnsi"/>
                <w:color w:val="000000"/>
              </w:rPr>
              <w:t>for further consideration by the Member States when preparing contributions for the Radiocommunications Assembly.</w:t>
            </w:r>
          </w:p>
          <w:p w14:paraId="5A5D9BBF" w14:textId="77777777" w:rsidR="00B20367" w:rsidRDefault="00B20367"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48692E">
              <w:rPr>
                <w:rFonts w:asciiTheme="minorHAnsi" w:hAnsiTheme="minorHAnsi" w:cstheme="minorHAnsi"/>
                <w:color w:val="000000"/>
              </w:rPr>
              <w:t>RAG expressed its appreciation to the Chair</w:t>
            </w:r>
            <w:r>
              <w:rPr>
                <w:rFonts w:asciiTheme="minorHAnsi" w:hAnsiTheme="minorHAnsi" w:cstheme="minorHAnsi"/>
                <w:color w:val="000000"/>
              </w:rPr>
              <w:t>man</w:t>
            </w:r>
            <w:r w:rsidRPr="0048692E">
              <w:rPr>
                <w:rFonts w:asciiTheme="minorHAnsi" w:hAnsiTheme="minorHAnsi" w:cstheme="minorHAnsi"/>
                <w:color w:val="000000"/>
              </w:rPr>
              <w:t xml:space="preserve"> of CG-2 and the members of the correspondence group for their work.</w:t>
            </w:r>
          </w:p>
          <w:p w14:paraId="2B734D3D" w14:textId="6D2C5FA1" w:rsidR="00985DAD" w:rsidRPr="0048692E" w:rsidRDefault="00985DAD" w:rsidP="00B179B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p>
        </w:tc>
      </w:tr>
      <w:tr w:rsidR="00B20367" w:rsidRPr="004B1770" w14:paraId="5F3B91F4" w14:textId="77777777" w:rsidTr="00B179B7">
        <w:trPr>
          <w:cantSplit/>
          <w:jc w:val="center"/>
        </w:trPr>
        <w:tc>
          <w:tcPr>
            <w:tcW w:w="1037" w:type="dxa"/>
            <w:vMerge w:val="restart"/>
          </w:tcPr>
          <w:p w14:paraId="65AB91D8"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Pr>
                <w:rFonts w:asciiTheme="minorHAnsi" w:hAnsiTheme="minorHAnsi" w:cstheme="minorHAnsi"/>
              </w:rPr>
              <w:t>7</w:t>
            </w:r>
          </w:p>
        </w:tc>
        <w:tc>
          <w:tcPr>
            <w:tcW w:w="14264" w:type="dxa"/>
            <w:gridSpan w:val="2"/>
          </w:tcPr>
          <w:p w14:paraId="0206F041" w14:textId="77777777" w:rsidR="00B20367" w:rsidRPr="0049711F"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eastAsia="Calibri"/>
                <w:color w:val="000000" w:themeColor="text1"/>
                <w:lang w:val="en-GB"/>
              </w:rPr>
            </w:pPr>
            <w:r w:rsidRPr="0049711F">
              <w:rPr>
                <w:rFonts w:eastAsia="Calibri"/>
                <w:color w:val="000000" w:themeColor="text1"/>
                <w:lang w:val="en-GB"/>
              </w:rPr>
              <w:t xml:space="preserve">Implementation of WRC-19 Decisions  </w:t>
            </w:r>
          </w:p>
        </w:tc>
      </w:tr>
      <w:tr w:rsidR="00B20367" w:rsidRPr="004B1770" w14:paraId="4D1057E3" w14:textId="77777777" w:rsidTr="00B179B7">
        <w:trPr>
          <w:cantSplit/>
          <w:jc w:val="center"/>
        </w:trPr>
        <w:tc>
          <w:tcPr>
            <w:tcW w:w="1037" w:type="dxa"/>
            <w:vMerge/>
          </w:tcPr>
          <w:p w14:paraId="0B5B1B28"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p>
        </w:tc>
        <w:tc>
          <w:tcPr>
            <w:tcW w:w="2924" w:type="dxa"/>
          </w:tcPr>
          <w:p w14:paraId="412D8C06" w14:textId="77777777" w:rsidR="00B20367" w:rsidRPr="004B1770"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jc w:val="left"/>
              <w:rPr>
                <w:rFonts w:asciiTheme="minorHAnsi" w:hAnsiTheme="minorHAnsi" w:cstheme="minorHAnsi"/>
                <w:color w:val="000000"/>
                <w:shd w:val="clear" w:color="auto" w:fill="FFFFFF"/>
              </w:rPr>
            </w:pPr>
            <w:r w:rsidRPr="004B1770">
              <w:rPr>
                <w:rFonts w:asciiTheme="minorHAnsi" w:hAnsiTheme="minorHAnsi" w:cstheme="minorHAnsi"/>
                <w:color w:val="000000"/>
                <w:shd w:val="clear" w:color="auto" w:fill="FFFFFF"/>
              </w:rPr>
              <w:t>Consideration of the Report of C</w:t>
            </w:r>
            <w:r>
              <w:rPr>
                <w:rFonts w:asciiTheme="minorHAnsi" w:hAnsiTheme="minorHAnsi" w:cstheme="minorHAnsi"/>
                <w:color w:val="000000"/>
                <w:shd w:val="clear" w:color="auto" w:fill="FFFFFF"/>
              </w:rPr>
              <w:t>G</w:t>
            </w:r>
            <w:r w:rsidRPr="004B1770">
              <w:rPr>
                <w:rFonts w:asciiTheme="minorHAnsi" w:hAnsiTheme="minorHAnsi" w:cstheme="minorHAnsi"/>
                <w:color w:val="000000"/>
                <w:shd w:val="clear" w:color="auto" w:fill="FFFFFF"/>
              </w:rPr>
              <w:t xml:space="preserve"> 1 on the Implementation of WRC-19 Gender Declaration and Drafting of a Possible RA</w:t>
            </w:r>
            <w:r w:rsidRPr="004B1770">
              <w:rPr>
                <w:rFonts w:asciiTheme="minorHAnsi" w:hAnsiTheme="minorHAnsi" w:cstheme="minorHAnsi"/>
                <w:color w:val="000000"/>
                <w:shd w:val="clear" w:color="auto" w:fill="FFFFFF"/>
              </w:rPr>
              <w:noBreakHyphen/>
              <w:t xml:space="preserve">23 Gender Resolution  </w:t>
            </w:r>
          </w:p>
          <w:p w14:paraId="0B618864" w14:textId="77777777" w:rsidR="00B20367" w:rsidRPr="006F4449"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jc w:val="left"/>
              <w:rPr>
                <w:rStyle w:val="Hyperlink"/>
                <w:rFonts w:asciiTheme="minorHAnsi" w:hAnsiTheme="minorHAnsi" w:cstheme="minorHAnsi"/>
              </w:rPr>
            </w:pPr>
            <w:hyperlink r:id="rId22" w:history="1">
              <w:r w:rsidR="00B20367" w:rsidRPr="006F4449">
                <w:rPr>
                  <w:rStyle w:val="Hyperlink"/>
                  <w:rFonts w:asciiTheme="minorHAnsi" w:hAnsiTheme="minorHAnsi" w:cstheme="minorHAnsi"/>
                </w:rPr>
                <w:t>60</w:t>
              </w:r>
            </w:hyperlink>
          </w:p>
          <w:p w14:paraId="37BA1F5F"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p>
        </w:tc>
        <w:tc>
          <w:tcPr>
            <w:tcW w:w="11340" w:type="dxa"/>
          </w:tcPr>
          <w:p w14:paraId="7A525E71" w14:textId="4F1E0630"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eastAsia="Calibri"/>
                <w:color w:val="000000" w:themeColor="text1"/>
              </w:rPr>
            </w:pPr>
            <w:r w:rsidRPr="55B7A15C">
              <w:rPr>
                <w:rFonts w:eastAsia="Calibri"/>
                <w:color w:val="000000" w:themeColor="text1"/>
              </w:rPr>
              <w:t xml:space="preserve">RAG considered and noted the report of the </w:t>
            </w:r>
            <w:r w:rsidR="00FA25D9">
              <w:rPr>
                <w:rFonts w:eastAsia="Calibri"/>
                <w:color w:val="000000" w:themeColor="text1"/>
              </w:rPr>
              <w:t>Correspon</w:t>
            </w:r>
            <w:r w:rsidR="00BC759D">
              <w:rPr>
                <w:rFonts w:eastAsia="Calibri"/>
                <w:color w:val="000000" w:themeColor="text1"/>
              </w:rPr>
              <w:t>d</w:t>
            </w:r>
            <w:r w:rsidR="00FA25D9">
              <w:rPr>
                <w:rFonts w:eastAsia="Calibri"/>
                <w:color w:val="000000" w:themeColor="text1"/>
              </w:rPr>
              <w:t>ence</w:t>
            </w:r>
            <w:r w:rsidRPr="55B7A15C">
              <w:rPr>
                <w:rFonts w:eastAsia="Calibri"/>
                <w:color w:val="000000" w:themeColor="text1"/>
              </w:rPr>
              <w:t xml:space="preserve"> Group 1 (CG-1) on the implementation of the WRC-19 Gender Declaration.   The Chair of RAG CG-1 reported that, in carrying out its work, CG-1 took into account the update to PP-22 Resolution 70 and developed a draft Resolution that is </w:t>
            </w:r>
            <w:r w:rsidRPr="00A70919">
              <w:rPr>
                <w:rFonts w:eastAsia="Calibri"/>
                <w:color w:val="000000" w:themeColor="text1"/>
              </w:rPr>
              <w:t xml:space="preserve">considered by the correspondence group to be </w:t>
            </w:r>
            <w:r w:rsidRPr="55B7A15C">
              <w:rPr>
                <w:rFonts w:eastAsia="Calibri"/>
                <w:color w:val="000000" w:themeColor="text1"/>
              </w:rPr>
              <w:t xml:space="preserve">unique from that resolution and specific to the work of the ITU-R.   The RAG noted that enhancing the participation of women in the work of the ITU-R is a matter of great importance.    At the same time, some delegations participating in the RAG meeting believe that the RA-23 does not need to adopt a separate </w:t>
            </w:r>
            <w:r>
              <w:rPr>
                <w:rFonts w:eastAsia="Calibri"/>
                <w:color w:val="000000" w:themeColor="text1"/>
              </w:rPr>
              <w:t>R</w:t>
            </w:r>
            <w:r w:rsidRPr="55B7A15C">
              <w:rPr>
                <w:rFonts w:eastAsia="Calibri"/>
                <w:color w:val="000000" w:themeColor="text1"/>
              </w:rPr>
              <w:t xml:space="preserve">esolution on Gender </w:t>
            </w:r>
            <w:r>
              <w:rPr>
                <w:rFonts w:eastAsia="Calibri"/>
                <w:color w:val="000000" w:themeColor="text1"/>
              </w:rPr>
              <w:t xml:space="preserve">mainstreaming </w:t>
            </w:r>
            <w:r w:rsidRPr="55B7A15C">
              <w:rPr>
                <w:rFonts w:eastAsia="Calibri"/>
                <w:color w:val="000000" w:themeColor="text1"/>
              </w:rPr>
              <w:t>due to the adoption of Resolution 70 (Rev. Bucharest, 2022).  Other delegations believed that it is important for the ITU-R to have its own Gender Resolution to accelerate progress in this area</w:t>
            </w:r>
            <w:r>
              <w:rPr>
                <w:rFonts w:eastAsia="Calibri"/>
                <w:color w:val="000000" w:themeColor="text1"/>
              </w:rPr>
              <w:t>.</w:t>
            </w:r>
            <w:r w:rsidRPr="55B7A15C" w:rsidDel="007535E9">
              <w:rPr>
                <w:rFonts w:eastAsia="Calibri"/>
                <w:color w:val="000000" w:themeColor="text1"/>
              </w:rPr>
              <w:t xml:space="preserve"> </w:t>
            </w:r>
          </w:p>
          <w:p w14:paraId="44FE1A93" w14:textId="77777777" w:rsidR="00B20367" w:rsidRPr="00211E8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eastAsia="Calibri"/>
                <w:color w:val="000000" w:themeColor="text1"/>
              </w:rPr>
            </w:pPr>
            <w:r w:rsidRPr="3E622F41">
              <w:rPr>
                <w:rFonts w:eastAsia="Calibri"/>
                <w:color w:val="000000" w:themeColor="text1"/>
              </w:rPr>
              <w:t xml:space="preserve">It was noted that ITU-T and ITU-D have their own Resolutions approved before the amendment of Resolution 70 by PP-22. RAG agreed that the Report of the RAG to the RA-23 will include the report of the work of CG-1 along with the various views expressed by the delegations participating in the RAG meeting and indicating, among other things, that there was no consensus at RAG on the need for a specific ITU-R Resolution on the matter. </w:t>
            </w:r>
          </w:p>
          <w:p w14:paraId="3EF64C4B"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eastAsia="Calibri"/>
                <w:color w:val="000000" w:themeColor="text1"/>
              </w:rPr>
            </w:pPr>
            <w:r w:rsidRPr="55B7A15C">
              <w:rPr>
                <w:rFonts w:eastAsia="Calibri"/>
                <w:color w:val="000000" w:themeColor="text1"/>
              </w:rPr>
              <w:t xml:space="preserve">RAG expressed its appreciation to the Chair of CG-1 and the members of the correspondence group for their work. </w:t>
            </w:r>
          </w:p>
          <w:p w14:paraId="634E4740" w14:textId="0973EA75" w:rsidR="00985DAD" w:rsidRPr="003147B6" w:rsidRDefault="00985DAD"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eastAsia="Calibri"/>
                <w:color w:val="000000" w:themeColor="text1"/>
              </w:rPr>
            </w:pPr>
          </w:p>
        </w:tc>
      </w:tr>
      <w:tr w:rsidR="00B20367" w:rsidRPr="004B1770" w14:paraId="1A34D541" w14:textId="77777777" w:rsidTr="00B179B7">
        <w:trPr>
          <w:cantSplit/>
          <w:jc w:val="center"/>
        </w:trPr>
        <w:tc>
          <w:tcPr>
            <w:tcW w:w="1037" w:type="dxa"/>
          </w:tcPr>
          <w:p w14:paraId="0708800D"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lastRenderedPageBreak/>
              <w:t>8</w:t>
            </w:r>
          </w:p>
        </w:tc>
        <w:tc>
          <w:tcPr>
            <w:tcW w:w="2924" w:type="dxa"/>
          </w:tcPr>
          <w:p w14:paraId="6C252B5E"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iCs/>
              </w:rPr>
            </w:pPr>
            <w:r w:rsidRPr="003147B6">
              <w:rPr>
                <w:rFonts w:asciiTheme="minorHAnsi" w:hAnsiTheme="minorHAnsi" w:cstheme="minorHAnsi"/>
                <w:iCs/>
              </w:rPr>
              <w:t>RA/WRC-23 preparation</w:t>
            </w:r>
          </w:p>
          <w:p w14:paraId="68FD9B46"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iCs/>
              </w:rPr>
            </w:pPr>
            <w:hyperlink r:id="rId23" w:history="1">
              <w:r w:rsidR="00B20367" w:rsidRPr="006F4449">
                <w:rPr>
                  <w:rStyle w:val="Hyperlink"/>
                  <w:rFonts w:asciiTheme="minorHAnsi" w:hAnsiTheme="minorHAnsi" w:cstheme="minorHAnsi"/>
                </w:rPr>
                <w:t>58R1</w:t>
              </w:r>
            </w:hyperlink>
            <w:r w:rsidR="00B20367" w:rsidRPr="006F4449">
              <w:rPr>
                <w:rFonts w:asciiTheme="minorHAnsi" w:hAnsiTheme="minorHAnsi" w:cstheme="minorHAnsi"/>
              </w:rPr>
              <w:t xml:space="preserve">(§5), </w:t>
            </w:r>
            <w:hyperlink r:id="rId24" w:history="1">
              <w:r w:rsidR="00B20367" w:rsidRPr="006F4449">
                <w:rPr>
                  <w:rStyle w:val="Hyperlink"/>
                  <w:rFonts w:asciiTheme="minorHAnsi" w:hAnsiTheme="minorHAnsi" w:cstheme="minorHAnsi"/>
                </w:rPr>
                <w:t>68</w:t>
              </w:r>
            </w:hyperlink>
          </w:p>
          <w:p w14:paraId="643ABC72"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p>
        </w:tc>
        <w:tc>
          <w:tcPr>
            <w:tcW w:w="11340" w:type="dxa"/>
          </w:tcPr>
          <w:p w14:paraId="3C5C5075"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Verdana" w:hAnsi="Verdana"/>
                <w:color w:val="000000"/>
                <w:sz w:val="27"/>
                <w:szCs w:val="27"/>
              </w:rPr>
            </w:pPr>
            <w:r w:rsidRPr="003147B6">
              <w:rPr>
                <w:rFonts w:asciiTheme="minorHAnsi" w:hAnsiTheme="minorHAnsi" w:cstheme="minorBidi"/>
              </w:rPr>
              <w:t xml:space="preserve">RAG noted with appreciation the report on the preparations for WRC-23. </w:t>
            </w:r>
          </w:p>
          <w:p w14:paraId="3C8779B0" w14:textId="77777777" w:rsidR="00B20367" w:rsidRPr="00637FB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HAnsi"/>
              </w:rPr>
            </w:pPr>
            <w:r w:rsidRPr="00637FB9">
              <w:rPr>
                <w:rFonts w:asciiTheme="minorHAnsi" w:hAnsiTheme="minorHAnsi" w:cstheme="minorHAnsi"/>
                <w:color w:val="000000"/>
              </w:rPr>
              <w:t>The RAG took note of the comments based on the report by the Bureau on the preparations for the WRC-23.</w:t>
            </w:r>
            <w:r w:rsidRPr="00637FB9">
              <w:rPr>
                <w:rFonts w:asciiTheme="minorHAnsi" w:eastAsia="Calibri" w:hAnsiTheme="minorHAnsi" w:cstheme="minorHAnsi"/>
              </w:rPr>
              <w:t xml:space="preserve"> </w:t>
            </w:r>
            <w:r w:rsidRPr="00637FB9">
              <w:rPr>
                <w:rFonts w:asciiTheme="minorHAnsi" w:hAnsiTheme="minorHAnsi" w:cstheme="minorHAnsi"/>
                <w:color w:val="000000"/>
              </w:rPr>
              <w:t>The UAE and the Bureau were invited to take note of the concerns expressed regarding the link between the registration and the hotel reservation.</w:t>
            </w:r>
          </w:p>
          <w:p w14:paraId="7CBB8710"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themeColor="text1"/>
              </w:rPr>
            </w:pPr>
            <w:r w:rsidRPr="3E622F41">
              <w:rPr>
                <w:rFonts w:asciiTheme="minorHAnsi" w:hAnsiTheme="minorHAnsi" w:cstheme="minorBidi"/>
                <w:color w:val="000000" w:themeColor="text1"/>
              </w:rPr>
              <w:t xml:space="preserve">Regarding the proposal contained in </w:t>
            </w:r>
            <w:r w:rsidR="00447B3A">
              <w:rPr>
                <w:rFonts w:asciiTheme="minorHAnsi" w:hAnsiTheme="minorHAnsi" w:cstheme="minorBidi"/>
                <w:color w:val="000000" w:themeColor="text1"/>
              </w:rPr>
              <w:t>D</w:t>
            </w:r>
            <w:r w:rsidRPr="3E622F41">
              <w:rPr>
                <w:rFonts w:asciiTheme="minorHAnsi" w:hAnsiTheme="minorHAnsi" w:cstheme="minorBidi"/>
                <w:color w:val="000000" w:themeColor="text1"/>
              </w:rPr>
              <w:t>ocument 68, the RAG noted the proposal and reconfirmed that WRC-23 and RA-23 will be an in-person conference and that, due to the risks it would pose to the successful conduct of the conference, remote participation should not be supported in the WRC-23 or RA-23. Those who wish may follow the streaming of the meetings with interpretation online (including the working groups of the plenary).</w:t>
            </w:r>
          </w:p>
          <w:p w14:paraId="34541EF8" w14:textId="09D99F28" w:rsidR="00985DAD" w:rsidRPr="003147B6" w:rsidRDefault="00985DAD"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p>
        </w:tc>
      </w:tr>
      <w:tr w:rsidR="00B20367" w:rsidRPr="004B1770" w14:paraId="6E7BC350" w14:textId="77777777" w:rsidTr="00B179B7">
        <w:trPr>
          <w:cantSplit/>
          <w:jc w:val="center"/>
        </w:trPr>
        <w:tc>
          <w:tcPr>
            <w:tcW w:w="1037" w:type="dxa"/>
          </w:tcPr>
          <w:p w14:paraId="77E5EB30"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9</w:t>
            </w:r>
          </w:p>
        </w:tc>
        <w:tc>
          <w:tcPr>
            <w:tcW w:w="2924" w:type="dxa"/>
          </w:tcPr>
          <w:p w14:paraId="4A7C82B4"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r w:rsidRPr="003147B6">
              <w:rPr>
                <w:rStyle w:val="normaltextrun"/>
                <w:rFonts w:asciiTheme="minorHAnsi" w:hAnsiTheme="minorHAnsi" w:cstheme="minorHAnsi"/>
                <w:color w:val="000000"/>
                <w:shd w:val="clear" w:color="auto" w:fill="FFFFFF"/>
              </w:rPr>
              <w:t>Study Group Activities</w:t>
            </w:r>
          </w:p>
          <w:p w14:paraId="25AF0D62"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25" w:history="1">
              <w:r w:rsidR="00B20367" w:rsidRPr="006F4449">
                <w:rPr>
                  <w:rStyle w:val="Hyperlink"/>
                  <w:rFonts w:asciiTheme="minorHAnsi" w:hAnsiTheme="minorHAnsi" w:cstheme="minorHAnsi"/>
                </w:rPr>
                <w:t>58R1Add1</w:t>
              </w:r>
            </w:hyperlink>
            <w:r w:rsidR="00B20367" w:rsidRPr="003147B6">
              <w:rPr>
                <w:rStyle w:val="normaltextrun"/>
                <w:rFonts w:asciiTheme="minorHAnsi" w:hAnsiTheme="minorHAnsi" w:cstheme="minorHAnsi"/>
                <w:color w:val="000000"/>
                <w:shd w:val="clear" w:color="auto" w:fill="FFFFFF"/>
              </w:rPr>
              <w:t xml:space="preserve"> </w:t>
            </w:r>
          </w:p>
        </w:tc>
        <w:tc>
          <w:tcPr>
            <w:tcW w:w="11340" w:type="dxa"/>
          </w:tcPr>
          <w:p w14:paraId="47A121D9" w14:textId="5493B725"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003147B6">
              <w:rPr>
                <w:rFonts w:asciiTheme="minorHAnsi" w:eastAsia="Calibri" w:hAnsiTheme="minorHAnsi" w:cstheme="minorBidi"/>
              </w:rPr>
              <w:t xml:space="preserve">RAG noted the report of the ITU-R Study Groups Department found in </w:t>
            </w:r>
            <w:r w:rsidR="00447B3A">
              <w:rPr>
                <w:rFonts w:asciiTheme="minorHAnsi" w:eastAsia="Calibri" w:hAnsiTheme="minorHAnsi" w:cstheme="minorBidi"/>
              </w:rPr>
              <w:t>D</w:t>
            </w:r>
            <w:r w:rsidRPr="003147B6">
              <w:rPr>
                <w:rFonts w:asciiTheme="minorHAnsi" w:eastAsia="Calibri" w:hAnsiTheme="minorHAnsi" w:cstheme="minorBidi"/>
              </w:rPr>
              <w:t>ocument RAG/58</w:t>
            </w:r>
            <w:r w:rsidR="00AA4FB0">
              <w:rPr>
                <w:rFonts w:asciiTheme="minorHAnsi" w:eastAsia="Calibri" w:hAnsiTheme="minorHAnsi" w:cstheme="minorBidi"/>
              </w:rPr>
              <w:t>(</w:t>
            </w:r>
            <w:r w:rsidRPr="003147B6">
              <w:rPr>
                <w:rFonts w:asciiTheme="minorHAnsi" w:eastAsia="Calibri" w:hAnsiTheme="minorHAnsi" w:cstheme="minorBidi"/>
              </w:rPr>
              <w:t>Rev</w:t>
            </w:r>
            <w:r w:rsidR="005D349E">
              <w:rPr>
                <w:rFonts w:asciiTheme="minorHAnsi" w:eastAsia="Calibri" w:hAnsiTheme="minorHAnsi" w:cstheme="minorBidi"/>
              </w:rPr>
              <w:t>.</w:t>
            </w:r>
            <w:r w:rsidRPr="003147B6">
              <w:rPr>
                <w:rFonts w:asciiTheme="minorHAnsi" w:eastAsia="Calibri" w:hAnsiTheme="minorHAnsi" w:cstheme="minorBidi"/>
              </w:rPr>
              <w:t>1</w:t>
            </w:r>
            <w:r w:rsidR="008200D8">
              <w:rPr>
                <w:rFonts w:asciiTheme="minorHAnsi" w:eastAsia="Calibri" w:hAnsiTheme="minorHAnsi" w:cstheme="minorBidi"/>
              </w:rPr>
              <w:t>)(</w:t>
            </w:r>
            <w:r w:rsidRPr="003147B6">
              <w:rPr>
                <w:rFonts w:asciiTheme="minorHAnsi" w:eastAsia="Calibri" w:hAnsiTheme="minorHAnsi" w:cstheme="minorBidi"/>
              </w:rPr>
              <w:t>Add.1</w:t>
            </w:r>
            <w:r w:rsidR="00AA4FB0">
              <w:rPr>
                <w:rFonts w:asciiTheme="minorHAnsi" w:eastAsia="Calibri" w:hAnsiTheme="minorHAnsi" w:cstheme="minorBidi"/>
              </w:rPr>
              <w:t>)</w:t>
            </w:r>
          </w:p>
          <w:p w14:paraId="0B9C52FC" w14:textId="77777777" w:rsidR="00B20367" w:rsidRPr="00FC7A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FC7AB6">
              <w:rPr>
                <w:rFonts w:asciiTheme="minorHAnsi" w:hAnsiTheme="minorHAnsi" w:cstheme="minorHAnsi"/>
                <w:color w:val="000000"/>
                <w:shd w:val="clear" w:color="auto" w:fill="FFFFFF"/>
              </w:rPr>
              <w:t xml:space="preserve">The RAG requested the BR to prepare material to support the work of the Budget Committee of WRC-23 for </w:t>
            </w:r>
            <w:r>
              <w:rPr>
                <w:rFonts w:asciiTheme="minorHAnsi" w:hAnsiTheme="minorHAnsi" w:cstheme="minorHAnsi"/>
                <w:color w:val="000000"/>
                <w:shd w:val="clear" w:color="auto" w:fill="FFFFFF"/>
              </w:rPr>
              <w:t>estimating</w:t>
            </w:r>
            <w:r w:rsidRPr="00FC7AB6">
              <w:rPr>
                <w:rFonts w:asciiTheme="minorHAnsi" w:hAnsiTheme="minorHAnsi" w:cstheme="minorHAnsi"/>
                <w:color w:val="000000"/>
                <w:shd w:val="clear" w:color="auto" w:fill="FFFFFF"/>
              </w:rPr>
              <w:t xml:space="preserve"> the budget required for the implementation of WRC-23 decisions and for the preparatory work for future agenda items.</w:t>
            </w:r>
          </w:p>
          <w:p w14:paraId="07283629"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RAG discussed the </w:t>
            </w:r>
            <w:r w:rsidRPr="006F4449">
              <w:rPr>
                <w:rFonts w:asciiTheme="minorHAnsi" w:hAnsiTheme="minorHAnsi" w:cstheme="minorHAnsi"/>
                <w:color w:val="000000"/>
                <w:shd w:val="clear" w:color="auto" w:fill="FFFFFF"/>
              </w:rPr>
              <w:t xml:space="preserve">potential risk of the international framework lagging behind </w:t>
            </w:r>
            <w:r>
              <w:rPr>
                <w:rFonts w:asciiTheme="minorHAnsi" w:hAnsiTheme="minorHAnsi" w:cstheme="minorHAnsi"/>
                <w:color w:val="000000"/>
                <w:shd w:val="clear" w:color="auto" w:fill="FFFFFF"/>
              </w:rPr>
              <w:t xml:space="preserve">the fast developments in the industry </w:t>
            </w:r>
            <w:r w:rsidRPr="006F4449">
              <w:rPr>
                <w:rFonts w:asciiTheme="minorHAnsi" w:hAnsiTheme="minorHAnsi" w:cstheme="minorHAnsi"/>
                <w:color w:val="000000"/>
                <w:shd w:val="clear" w:color="auto" w:fill="FFFFFF"/>
              </w:rPr>
              <w:t xml:space="preserve">and no longer being able to </w:t>
            </w:r>
            <w:r>
              <w:rPr>
                <w:rFonts w:asciiTheme="minorHAnsi" w:hAnsiTheme="minorHAnsi" w:cstheme="minorHAnsi"/>
                <w:color w:val="000000"/>
                <w:shd w:val="clear" w:color="auto" w:fill="FFFFFF"/>
              </w:rPr>
              <w:t>meet</w:t>
            </w:r>
            <w:r w:rsidRPr="006F4449">
              <w:rPr>
                <w:rFonts w:asciiTheme="minorHAnsi" w:hAnsiTheme="minorHAnsi" w:cstheme="minorHAnsi"/>
                <w:color w:val="000000"/>
                <w:shd w:val="clear" w:color="auto" w:fill="FFFFFF"/>
              </w:rPr>
              <w:t xml:space="preserve"> the </w:t>
            </w:r>
            <w:r>
              <w:rPr>
                <w:rFonts w:asciiTheme="minorHAnsi" w:hAnsiTheme="minorHAnsi" w:cstheme="minorHAnsi"/>
                <w:color w:val="000000"/>
                <w:shd w:val="clear" w:color="auto" w:fill="FFFFFF"/>
              </w:rPr>
              <w:t xml:space="preserve">expectations of </w:t>
            </w:r>
            <w:r w:rsidRPr="00021086">
              <w:rPr>
                <w:rFonts w:asciiTheme="minorHAnsi" w:hAnsiTheme="minorHAnsi" w:cstheme="minorHAnsi"/>
                <w:color w:val="000000"/>
                <w:shd w:val="clear" w:color="auto" w:fill="FFFFFF"/>
              </w:rPr>
              <w:t>membership</w:t>
            </w:r>
            <w:r w:rsidRPr="006F4449">
              <w:rPr>
                <w:rFonts w:asciiTheme="minorHAnsi" w:hAnsiTheme="minorHAnsi" w:cstheme="minorHAnsi"/>
                <w:color w:val="000000"/>
                <w:shd w:val="clear" w:color="auto" w:fill="FFFFFF"/>
              </w:rPr>
              <w:t xml:space="preserve">. </w:t>
            </w:r>
          </w:p>
          <w:p w14:paraId="2CB2879B"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RAG advised the Director to consider how discussions on this matter can be pursued further. </w:t>
            </w:r>
          </w:p>
          <w:p w14:paraId="58090E70" w14:textId="77777777" w:rsidR="00B20367" w:rsidRPr="00373141"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lang w:val="en-GB"/>
              </w:rPr>
            </w:pPr>
          </w:p>
        </w:tc>
      </w:tr>
      <w:tr w:rsidR="00B20367" w:rsidRPr="004B1770" w14:paraId="01D50A87" w14:textId="77777777" w:rsidTr="00B179B7">
        <w:trPr>
          <w:cantSplit/>
          <w:jc w:val="center"/>
        </w:trPr>
        <w:tc>
          <w:tcPr>
            <w:tcW w:w="1037" w:type="dxa"/>
          </w:tcPr>
          <w:p w14:paraId="1D00D218"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sidDel="00D26B89">
              <w:rPr>
                <w:rFonts w:asciiTheme="minorHAnsi" w:hAnsiTheme="minorHAnsi" w:cstheme="minorHAnsi"/>
              </w:rPr>
              <w:lastRenderedPageBreak/>
              <w:t>10</w:t>
            </w:r>
          </w:p>
        </w:tc>
        <w:tc>
          <w:tcPr>
            <w:tcW w:w="2924" w:type="dxa"/>
          </w:tcPr>
          <w:p w14:paraId="4388AA46"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lang w:val="fr-CH"/>
              </w:rPr>
            </w:pPr>
            <w:r w:rsidRPr="003147B6">
              <w:rPr>
                <w:rFonts w:asciiTheme="minorHAnsi" w:hAnsiTheme="minorHAnsi" w:cstheme="minorHAnsi"/>
                <w:lang w:val="fr-CH"/>
              </w:rPr>
              <w:t>Inter-</w:t>
            </w:r>
            <w:proofErr w:type="spellStart"/>
            <w:r>
              <w:rPr>
                <w:rFonts w:asciiTheme="minorHAnsi" w:hAnsiTheme="minorHAnsi" w:cstheme="minorHAnsi"/>
                <w:lang w:val="fr-CH"/>
              </w:rPr>
              <w:t>S</w:t>
            </w:r>
            <w:r w:rsidRPr="003147B6">
              <w:rPr>
                <w:rFonts w:asciiTheme="minorHAnsi" w:hAnsiTheme="minorHAnsi" w:cstheme="minorHAnsi"/>
                <w:lang w:val="fr-CH"/>
              </w:rPr>
              <w:t>ector</w:t>
            </w:r>
            <w:r>
              <w:rPr>
                <w:rFonts w:asciiTheme="minorHAnsi" w:hAnsiTheme="minorHAnsi" w:cstheme="minorHAnsi"/>
                <w:lang w:val="fr-CH"/>
              </w:rPr>
              <w:t>al</w:t>
            </w:r>
            <w:proofErr w:type="spellEnd"/>
            <w:r w:rsidRPr="003147B6">
              <w:rPr>
                <w:rFonts w:asciiTheme="minorHAnsi" w:hAnsiTheme="minorHAnsi" w:cstheme="minorHAnsi"/>
                <w:lang w:val="fr-CH"/>
              </w:rPr>
              <w:t xml:space="preserve"> </w:t>
            </w:r>
            <w:proofErr w:type="spellStart"/>
            <w:r w:rsidRPr="003147B6">
              <w:rPr>
                <w:rFonts w:asciiTheme="minorHAnsi" w:hAnsiTheme="minorHAnsi" w:cstheme="minorHAnsi"/>
                <w:lang w:val="fr-CH"/>
              </w:rPr>
              <w:t>Activities</w:t>
            </w:r>
            <w:proofErr w:type="spellEnd"/>
          </w:p>
          <w:p w14:paraId="6CF92B2D"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color w:val="000000"/>
                <w:shd w:val="clear" w:color="auto" w:fill="FFFFFF"/>
              </w:rPr>
            </w:pPr>
            <w:hyperlink r:id="rId26" w:history="1">
              <w:r w:rsidR="00B20367" w:rsidRPr="006F4449">
                <w:rPr>
                  <w:rStyle w:val="Hyperlink"/>
                  <w:rFonts w:asciiTheme="minorHAnsi" w:hAnsiTheme="minorHAnsi" w:cstheme="minorHAnsi"/>
                </w:rPr>
                <w:t>56</w:t>
              </w:r>
            </w:hyperlink>
            <w:r w:rsidR="00B20367" w:rsidRPr="006F4449">
              <w:rPr>
                <w:rFonts w:asciiTheme="minorHAnsi" w:hAnsiTheme="minorHAnsi" w:cstheme="minorHAnsi"/>
              </w:rPr>
              <w:t xml:space="preserve">, </w:t>
            </w:r>
            <w:hyperlink r:id="rId27" w:history="1">
              <w:r w:rsidR="00B20367" w:rsidRPr="006F4449">
                <w:rPr>
                  <w:rStyle w:val="Hyperlink"/>
                  <w:rFonts w:asciiTheme="minorHAnsi" w:hAnsiTheme="minorHAnsi" w:cstheme="minorHAnsi"/>
                </w:rPr>
                <w:t>57</w:t>
              </w:r>
            </w:hyperlink>
          </w:p>
        </w:tc>
        <w:tc>
          <w:tcPr>
            <w:tcW w:w="11340" w:type="dxa"/>
          </w:tcPr>
          <w:p w14:paraId="2DFA3ED5" w14:textId="391E53F5" w:rsidR="00B20367" w:rsidRPr="00211E8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55B7A15C">
              <w:rPr>
                <w:rFonts w:asciiTheme="minorHAnsi" w:eastAsia="Calibri" w:hAnsiTheme="minorHAnsi" w:cstheme="minorBidi"/>
              </w:rPr>
              <w:t>RAG took note of the presentation of LS from TSAG (</w:t>
            </w:r>
            <w:r w:rsidR="00C81636">
              <w:rPr>
                <w:rFonts w:asciiTheme="minorHAnsi" w:eastAsia="Calibri" w:hAnsiTheme="minorHAnsi" w:cstheme="minorBidi"/>
              </w:rPr>
              <w:t>D</w:t>
            </w:r>
            <w:r w:rsidRPr="55B7A15C">
              <w:rPr>
                <w:rFonts w:asciiTheme="minorHAnsi" w:eastAsia="Calibri" w:hAnsiTheme="minorHAnsi" w:cstheme="minorBidi"/>
              </w:rPr>
              <w:t>oc</w:t>
            </w:r>
            <w:r w:rsidR="00C81636">
              <w:rPr>
                <w:rFonts w:asciiTheme="minorHAnsi" w:eastAsia="Calibri" w:hAnsiTheme="minorHAnsi" w:cstheme="minorBidi"/>
              </w:rPr>
              <w:t>.</w:t>
            </w:r>
            <w:r w:rsidRPr="55B7A15C">
              <w:rPr>
                <w:rFonts w:asciiTheme="minorHAnsi" w:eastAsia="Calibri" w:hAnsiTheme="minorHAnsi" w:cstheme="minorBidi"/>
              </w:rPr>
              <w:t xml:space="preserve"> 56) on the work underway in the ITU-T on the new edition of Supplement 4 to ITU-T A-series Recommendations "Guidelines for remote participation".</w:t>
            </w:r>
          </w:p>
          <w:p w14:paraId="744930FD" w14:textId="04507B5F" w:rsidR="00B20367" w:rsidRPr="0080032F"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3E622F41">
              <w:rPr>
                <w:rFonts w:asciiTheme="minorHAnsi" w:eastAsia="Calibri" w:hAnsiTheme="minorHAnsi" w:cstheme="minorBidi"/>
              </w:rPr>
              <w:t>RAG considered the presentation of LS from TSAG (</w:t>
            </w:r>
            <w:r w:rsidR="00C81636">
              <w:rPr>
                <w:rFonts w:asciiTheme="minorHAnsi" w:eastAsia="Calibri" w:hAnsiTheme="minorHAnsi" w:cstheme="minorBidi"/>
              </w:rPr>
              <w:t>D</w:t>
            </w:r>
            <w:r w:rsidRPr="3E622F41">
              <w:rPr>
                <w:rFonts w:asciiTheme="minorHAnsi" w:eastAsia="Calibri" w:hAnsiTheme="minorHAnsi" w:cstheme="minorBidi"/>
              </w:rPr>
              <w:t>oc</w:t>
            </w:r>
            <w:r w:rsidR="00C81636">
              <w:rPr>
                <w:rFonts w:asciiTheme="minorHAnsi" w:eastAsia="Calibri" w:hAnsiTheme="minorHAnsi" w:cstheme="minorBidi"/>
              </w:rPr>
              <w:t>.</w:t>
            </w:r>
            <w:r w:rsidRPr="3E622F41">
              <w:rPr>
                <w:rFonts w:asciiTheme="minorHAnsi" w:eastAsia="Calibri" w:hAnsiTheme="minorHAnsi" w:cstheme="minorBidi"/>
              </w:rPr>
              <w:t xml:space="preserve"> 57) on the work underway in the ITU-T on TSAG on work related to unmanned aircraft systems (UAS).   The RAG has significant concern about the work being undertaken within the ITU-T on UAS because the matters related to the use of frequencies for UAS, which are being addressed under Agenda </w:t>
            </w:r>
            <w:r w:rsidR="00E95560">
              <w:rPr>
                <w:rFonts w:asciiTheme="minorHAnsi" w:eastAsia="Calibri" w:hAnsiTheme="minorHAnsi" w:cstheme="minorBidi"/>
              </w:rPr>
              <w:t>i</w:t>
            </w:r>
            <w:r w:rsidRPr="3E622F41">
              <w:rPr>
                <w:rFonts w:asciiTheme="minorHAnsi" w:eastAsia="Calibri" w:hAnsiTheme="minorHAnsi" w:cstheme="minorBidi"/>
              </w:rPr>
              <w:t>tem 1.8 of the WRC-23, the implementation of RR No. 4.10 and the overall requirements for safety of life/flight are not yet resolved in the ITU-R.   The RAG also notes that, in addition to the related item in WRC-23, other work on UAS is also being considered by ITU-R Working Parties consistent with their mandates and in coordination with the International Civil Aviation Organization (ICAO), as appropriate.  Therefore, RAG requests through TSAG that ITU-T refrain from doing any work on UAS at least until these issues are resolved within ITU-R.</w:t>
            </w:r>
          </w:p>
          <w:p w14:paraId="36E96248" w14:textId="77777777" w:rsidR="00B20367" w:rsidRPr="006C2A48"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55B7A15C">
              <w:rPr>
                <w:rFonts w:asciiTheme="minorHAnsi" w:eastAsia="Calibri" w:hAnsiTheme="minorHAnsi" w:cstheme="minorBidi"/>
              </w:rPr>
              <w:t>As a general matter, RAG is very concerned about the growing trend in ITU-T, particularly its Study Groups 5, 13 and 20, of addressing matters that are uniquely within the mandates of ITU-R Study Groups, such as work on High Altitude Platform Stations and satellite technologies, has been increasing.  RAG appreciates and encourages the use of Liaison Statements between the relevant groups of the ITU-T and ITU-R to improve coordination of their activities.   However, the RAG stresses that both the ITU-T and ITU-R should avoid initiating any work that is clearly within the mandate of the other sector.  In that context, recognizing that contributions may be received that are outside of the mandate of a sector, RAG encourages the leadership of the group receiving such contributions to inform the submitting party that this topic is not within their terms of reference and, as appropriate, submit the contribution to the appropriate group.</w:t>
            </w:r>
          </w:p>
          <w:p w14:paraId="326C2E1D"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55B7A15C">
              <w:rPr>
                <w:rFonts w:asciiTheme="minorHAnsi" w:eastAsia="Calibri" w:hAnsiTheme="minorHAnsi" w:cstheme="minorBidi"/>
              </w:rPr>
              <w:t>The RAG called upon the Administrations and the Intersectoral coordination group to assist in avoiding overlap between the work of the different sectors, in adherence to Decision 5 of the Plenipotentiary Conference.</w:t>
            </w:r>
          </w:p>
          <w:p w14:paraId="7B31CCB9"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r w:rsidRPr="55B7A15C">
              <w:rPr>
                <w:rFonts w:asciiTheme="minorHAnsi" w:eastAsia="Calibri" w:hAnsiTheme="minorHAnsi" w:cstheme="minorBidi"/>
              </w:rPr>
              <w:t>In light of the above, RAG approved the Liaison Statement that is presented in Annex 1.</w:t>
            </w:r>
          </w:p>
          <w:p w14:paraId="4087CC45" w14:textId="77777777" w:rsidR="00B20367" w:rsidRPr="0048692E"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rPr>
            </w:pPr>
            <w:r w:rsidRPr="0048692E">
              <w:rPr>
                <w:rFonts w:asciiTheme="minorHAnsi" w:hAnsiTheme="minorHAnsi" w:cstheme="minorHAnsi"/>
                <w:color w:val="000000"/>
              </w:rPr>
              <w:t xml:space="preserve">RAG </w:t>
            </w:r>
            <w:r>
              <w:rPr>
                <w:rFonts w:asciiTheme="minorHAnsi" w:hAnsiTheme="minorHAnsi" w:cstheme="minorHAnsi"/>
                <w:color w:val="000000"/>
              </w:rPr>
              <w:t xml:space="preserve">noted with thanks the report of the </w:t>
            </w:r>
            <w:r w:rsidRPr="0048692E">
              <w:rPr>
                <w:rFonts w:asciiTheme="minorHAnsi" w:hAnsiTheme="minorHAnsi" w:cstheme="minorHAnsi"/>
                <w:color w:val="000000"/>
              </w:rPr>
              <w:t>Chair</w:t>
            </w:r>
            <w:r>
              <w:rPr>
                <w:rFonts w:asciiTheme="minorHAnsi" w:hAnsiTheme="minorHAnsi" w:cstheme="minorHAnsi"/>
                <w:color w:val="000000"/>
              </w:rPr>
              <w:t>man</w:t>
            </w:r>
            <w:r w:rsidRPr="0048692E">
              <w:rPr>
                <w:rFonts w:asciiTheme="minorHAnsi" w:hAnsiTheme="minorHAnsi" w:cstheme="minorHAnsi"/>
                <w:color w:val="000000"/>
              </w:rPr>
              <w:t xml:space="preserve"> of </w:t>
            </w:r>
            <w:r>
              <w:rPr>
                <w:rFonts w:asciiTheme="minorHAnsi" w:hAnsiTheme="minorHAnsi" w:cstheme="minorHAnsi"/>
                <w:color w:val="000000"/>
              </w:rPr>
              <w:t>the Inter-Sector Coordination Group</w:t>
            </w:r>
            <w:r w:rsidRPr="0048692E">
              <w:rPr>
                <w:rFonts w:asciiTheme="minorHAnsi" w:hAnsiTheme="minorHAnsi" w:cstheme="minorHAnsi"/>
                <w:color w:val="000000"/>
              </w:rPr>
              <w:t xml:space="preserve"> </w:t>
            </w:r>
            <w:r>
              <w:rPr>
                <w:rFonts w:asciiTheme="minorHAnsi" w:hAnsiTheme="minorHAnsi" w:cstheme="minorHAnsi"/>
                <w:color w:val="000000"/>
              </w:rPr>
              <w:t xml:space="preserve">on the </w:t>
            </w:r>
            <w:r w:rsidRPr="0048692E">
              <w:rPr>
                <w:rFonts w:asciiTheme="minorHAnsi" w:hAnsiTheme="minorHAnsi" w:cstheme="minorHAnsi"/>
                <w:color w:val="000000"/>
              </w:rPr>
              <w:t>work</w:t>
            </w:r>
            <w:r>
              <w:rPr>
                <w:rFonts w:asciiTheme="minorHAnsi" w:hAnsiTheme="minorHAnsi" w:cstheme="minorHAnsi"/>
                <w:color w:val="000000"/>
              </w:rPr>
              <w:t xml:space="preserve"> of that group</w:t>
            </w:r>
            <w:r w:rsidRPr="0048692E">
              <w:rPr>
                <w:rFonts w:asciiTheme="minorHAnsi" w:hAnsiTheme="minorHAnsi" w:cstheme="minorHAnsi"/>
                <w:color w:val="000000"/>
              </w:rPr>
              <w:t>.</w:t>
            </w:r>
          </w:p>
          <w:p w14:paraId="34B43EAC"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eastAsia="Calibri" w:hAnsiTheme="minorHAnsi" w:cstheme="minorBidi"/>
              </w:rPr>
            </w:pPr>
          </w:p>
        </w:tc>
      </w:tr>
      <w:tr w:rsidR="00B20367" w:rsidRPr="004B1770" w14:paraId="1CC05193" w14:textId="77777777" w:rsidTr="00B179B7">
        <w:trPr>
          <w:cantSplit/>
          <w:jc w:val="center"/>
        </w:trPr>
        <w:tc>
          <w:tcPr>
            <w:tcW w:w="1037" w:type="dxa"/>
          </w:tcPr>
          <w:p w14:paraId="65019FCD"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lastRenderedPageBreak/>
              <w:t>11</w:t>
            </w:r>
          </w:p>
        </w:tc>
        <w:tc>
          <w:tcPr>
            <w:tcW w:w="2924" w:type="dxa"/>
          </w:tcPr>
          <w:p w14:paraId="0A5C759D"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3147B6">
              <w:rPr>
                <w:rFonts w:asciiTheme="minorHAnsi" w:hAnsiTheme="minorHAnsi" w:cstheme="minorHAnsi"/>
              </w:rPr>
              <w:t>Draft Rolling Operational Plans for 2024-2027</w:t>
            </w:r>
          </w:p>
          <w:p w14:paraId="1818AF00"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lang w:val="en-GB"/>
              </w:rPr>
            </w:pPr>
            <w:hyperlink r:id="rId28" w:history="1">
              <w:r w:rsidR="00B20367" w:rsidRPr="006F4449">
                <w:rPr>
                  <w:rStyle w:val="Hyperlink"/>
                  <w:rFonts w:asciiTheme="minorHAnsi" w:hAnsiTheme="minorHAnsi" w:cstheme="minorHAnsi"/>
                </w:rPr>
                <w:t>61</w:t>
              </w:r>
            </w:hyperlink>
          </w:p>
        </w:tc>
        <w:tc>
          <w:tcPr>
            <w:tcW w:w="11340" w:type="dxa"/>
          </w:tcPr>
          <w:p w14:paraId="05FE57DD" w14:textId="77777777" w:rsidR="00B20367" w:rsidRDefault="00B20367" w:rsidP="00B179B7">
            <w:pPr>
              <w:spacing w:before="80"/>
              <w:rPr>
                <w:rFonts w:asciiTheme="minorHAnsi" w:hAnsiTheme="minorHAnsi" w:cstheme="minorBidi"/>
                <w:color w:val="000000"/>
              </w:rPr>
            </w:pPr>
            <w:r w:rsidRPr="3E622F41">
              <w:rPr>
                <w:rFonts w:asciiTheme="minorHAnsi" w:hAnsiTheme="minorHAnsi" w:cstheme="minorBidi"/>
                <w:color w:val="000000" w:themeColor="text1"/>
              </w:rPr>
              <w:t xml:space="preserve">RAG noted the explanation from the General Secretariat that due to the change of structure of the Strategic Plan adopted by PP-22, which was based on the </w:t>
            </w:r>
            <w:proofErr w:type="spellStart"/>
            <w:r w:rsidRPr="3E622F41">
              <w:rPr>
                <w:rFonts w:asciiTheme="minorHAnsi" w:hAnsiTheme="minorHAnsi" w:cstheme="minorBidi"/>
                <w:color w:val="000000" w:themeColor="text1"/>
              </w:rPr>
              <w:t>OneITU</w:t>
            </w:r>
            <w:proofErr w:type="spellEnd"/>
            <w:r w:rsidRPr="3E622F41">
              <w:rPr>
                <w:rFonts w:asciiTheme="minorHAnsi" w:hAnsiTheme="minorHAnsi" w:cstheme="minorBidi"/>
                <w:color w:val="000000" w:themeColor="text1"/>
              </w:rPr>
              <w:t xml:space="preserve"> approach, and subsequent presentation of the operational plan without dedicated sections for each ITU Sector/Bureau and the General Secretariat.</w:t>
            </w:r>
          </w:p>
          <w:p w14:paraId="097D69FE" w14:textId="77777777" w:rsidR="00B20367" w:rsidRDefault="00B20367" w:rsidP="00B179B7">
            <w:pPr>
              <w:spacing w:before="80"/>
              <w:rPr>
                <w:rFonts w:asciiTheme="minorHAnsi" w:hAnsiTheme="minorHAnsi" w:cstheme="minorHAnsi"/>
                <w:color w:val="000000"/>
              </w:rPr>
            </w:pPr>
            <w:r>
              <w:rPr>
                <w:rFonts w:asciiTheme="minorHAnsi" w:hAnsiTheme="minorHAnsi" w:cstheme="minorHAnsi"/>
                <w:color w:val="000000"/>
              </w:rPr>
              <w:t xml:space="preserve">RAG noted that </w:t>
            </w:r>
            <w:proofErr w:type="spellStart"/>
            <w:r>
              <w:rPr>
                <w:rFonts w:asciiTheme="minorHAnsi" w:hAnsiTheme="minorHAnsi" w:cstheme="minorHAnsi"/>
                <w:color w:val="000000"/>
              </w:rPr>
              <w:t>OneITU</w:t>
            </w:r>
            <w:proofErr w:type="spellEnd"/>
            <w:r>
              <w:rPr>
                <w:rFonts w:asciiTheme="minorHAnsi" w:hAnsiTheme="minorHAnsi" w:cstheme="minorHAnsi"/>
                <w:color w:val="000000"/>
              </w:rPr>
              <w:t xml:space="preserve"> does not override the basic text of the Union requesting the development of operational plans for every ITU Sector.</w:t>
            </w:r>
          </w:p>
          <w:p w14:paraId="2B57EB4C" w14:textId="1BA99B8F" w:rsidR="00B20367" w:rsidRDefault="00B20367" w:rsidP="00B179B7">
            <w:pPr>
              <w:spacing w:before="80"/>
              <w:rPr>
                <w:rFonts w:asciiTheme="minorHAnsi" w:hAnsiTheme="minorHAnsi" w:cstheme="minorHAnsi"/>
                <w:color w:val="000000"/>
              </w:rPr>
            </w:pPr>
            <w:r>
              <w:rPr>
                <w:rFonts w:asciiTheme="minorHAnsi" w:hAnsiTheme="minorHAnsi" w:cstheme="minorHAnsi"/>
                <w:color w:val="000000"/>
              </w:rPr>
              <w:t xml:space="preserve">RAG also noted that Table 2 in </w:t>
            </w:r>
            <w:r w:rsidR="0014361E">
              <w:rPr>
                <w:rFonts w:asciiTheme="minorHAnsi" w:hAnsiTheme="minorHAnsi" w:cstheme="minorHAnsi"/>
                <w:color w:val="000000"/>
              </w:rPr>
              <w:t>D</w:t>
            </w:r>
            <w:r>
              <w:rPr>
                <w:rFonts w:asciiTheme="minorHAnsi" w:hAnsiTheme="minorHAnsi" w:cstheme="minorHAnsi"/>
                <w:color w:val="000000"/>
              </w:rPr>
              <w:t xml:space="preserve">ocument 61 where the budget distribution between the GS and the ITU-R for Thematic </w:t>
            </w:r>
            <w:r w:rsidR="0072411B">
              <w:rPr>
                <w:rFonts w:asciiTheme="minorHAnsi" w:hAnsiTheme="minorHAnsi" w:cstheme="minorHAnsi"/>
                <w:color w:val="000000"/>
              </w:rPr>
              <w:br/>
            </w:r>
            <w:r>
              <w:rPr>
                <w:rFonts w:asciiTheme="minorHAnsi" w:hAnsiTheme="minorHAnsi" w:cstheme="minorHAnsi"/>
                <w:color w:val="000000"/>
              </w:rPr>
              <w:t>Priority 1 “Spectrum &amp; Orbit” does not have a clear explanation.</w:t>
            </w:r>
          </w:p>
          <w:p w14:paraId="66EA9B06" w14:textId="77777777" w:rsidR="00B20367" w:rsidRPr="006F4449" w:rsidRDefault="00B20367" w:rsidP="00B179B7">
            <w:pPr>
              <w:spacing w:before="80"/>
              <w:rPr>
                <w:rFonts w:asciiTheme="minorHAnsi" w:hAnsiTheme="minorHAnsi" w:cstheme="minorHAnsi"/>
                <w:color w:val="000000"/>
              </w:rPr>
            </w:pPr>
            <w:r w:rsidRPr="006F4449">
              <w:rPr>
                <w:rFonts w:asciiTheme="minorHAnsi" w:hAnsiTheme="minorHAnsi" w:cstheme="minorHAnsi"/>
                <w:color w:val="000000"/>
              </w:rPr>
              <w:t xml:space="preserve">RAG </w:t>
            </w:r>
            <w:r>
              <w:rPr>
                <w:rFonts w:asciiTheme="minorHAnsi" w:hAnsiTheme="minorHAnsi" w:cstheme="minorHAnsi"/>
                <w:color w:val="000000"/>
              </w:rPr>
              <w:t xml:space="preserve">therefore was </w:t>
            </w:r>
            <w:r w:rsidRPr="006F4449">
              <w:rPr>
                <w:rFonts w:asciiTheme="minorHAnsi" w:hAnsiTheme="minorHAnsi" w:cstheme="minorHAnsi"/>
                <w:color w:val="000000"/>
              </w:rPr>
              <w:t xml:space="preserve">not </w:t>
            </w:r>
            <w:r>
              <w:rPr>
                <w:rFonts w:asciiTheme="minorHAnsi" w:hAnsiTheme="minorHAnsi" w:cstheme="minorHAnsi"/>
                <w:color w:val="000000"/>
              </w:rPr>
              <w:t xml:space="preserve">able to review the operational plan for the ITU-R Sector/Bureau and </w:t>
            </w:r>
            <w:r w:rsidRPr="006F4449">
              <w:rPr>
                <w:rFonts w:asciiTheme="minorHAnsi" w:hAnsiTheme="minorHAnsi" w:cstheme="minorHAnsi"/>
                <w:color w:val="000000"/>
              </w:rPr>
              <w:t>carry out its mandate under CV 160CA to review the implementation of the operational plan and advise the BR Director on any necessary corrective measures.</w:t>
            </w:r>
          </w:p>
          <w:p w14:paraId="514A1BE8" w14:textId="77777777" w:rsidR="00B20367" w:rsidRPr="006F4449" w:rsidRDefault="00B20367" w:rsidP="00B179B7">
            <w:pPr>
              <w:spacing w:before="80"/>
              <w:rPr>
                <w:rFonts w:asciiTheme="minorHAnsi" w:hAnsiTheme="minorHAnsi" w:cstheme="minorBidi"/>
                <w:color w:val="000000"/>
              </w:rPr>
            </w:pPr>
            <w:r w:rsidRPr="3E622F41">
              <w:rPr>
                <w:rFonts w:asciiTheme="minorHAnsi" w:hAnsiTheme="minorHAnsi" w:cstheme="minorBidi"/>
                <w:color w:val="000000" w:themeColor="text1"/>
              </w:rPr>
              <w:t xml:space="preserve">RAG took note of the document, and advised that at the next RAG meeting, a separate document be presented to the RAG that explains the aspects of the ITU-R Sector/Bureau in the combined operational plan. </w:t>
            </w:r>
          </w:p>
          <w:p w14:paraId="231D6E3F" w14:textId="77777777" w:rsidR="00B20367" w:rsidRPr="006F4449" w:rsidRDefault="00B20367" w:rsidP="00B179B7">
            <w:pPr>
              <w:spacing w:before="80"/>
              <w:rPr>
                <w:rFonts w:asciiTheme="minorHAnsi" w:hAnsiTheme="minorHAnsi" w:cstheme="minorBidi"/>
                <w:color w:val="000000"/>
              </w:rPr>
            </w:pPr>
            <w:r w:rsidRPr="3E622F41">
              <w:rPr>
                <w:rFonts w:asciiTheme="minorHAnsi" w:hAnsiTheme="minorHAnsi" w:cstheme="minorBidi"/>
                <w:color w:val="000000" w:themeColor="text1"/>
              </w:rPr>
              <w:t>RAG also noted that if there are difficulties with the presentation or implementation of the operational plan, Member States might want to review the structure of Resolution 71 at the next PP.</w:t>
            </w:r>
          </w:p>
          <w:p w14:paraId="3B1B2DFF" w14:textId="77777777" w:rsidR="00B20367" w:rsidRPr="006F4449" w:rsidRDefault="00B20367" w:rsidP="00B179B7">
            <w:pPr>
              <w:spacing w:before="80"/>
              <w:rPr>
                <w:rFonts w:asciiTheme="minorHAnsi" w:eastAsia="Calibri" w:hAnsiTheme="minorHAnsi" w:cstheme="minorHAnsi"/>
                <w:color w:val="000000" w:themeColor="text1"/>
              </w:rPr>
            </w:pPr>
          </w:p>
        </w:tc>
      </w:tr>
      <w:tr w:rsidR="00B20367" w:rsidRPr="004B1770" w14:paraId="71B3B0B7" w14:textId="77777777" w:rsidTr="00B179B7">
        <w:trPr>
          <w:cantSplit/>
          <w:jc w:val="center"/>
        </w:trPr>
        <w:tc>
          <w:tcPr>
            <w:tcW w:w="1037" w:type="dxa"/>
          </w:tcPr>
          <w:p w14:paraId="19064840"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12</w:t>
            </w:r>
          </w:p>
        </w:tc>
        <w:tc>
          <w:tcPr>
            <w:tcW w:w="2924" w:type="dxa"/>
          </w:tcPr>
          <w:p w14:paraId="210E7C8B"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Bidi"/>
                <w:color w:val="000000"/>
                <w:shd w:val="clear" w:color="auto" w:fill="FFFFFF"/>
                <w:lang w:val="de-CH"/>
              </w:rPr>
            </w:pPr>
            <w:r w:rsidRPr="003147B6">
              <w:rPr>
                <w:rStyle w:val="normaltextrun"/>
                <w:rFonts w:asciiTheme="minorHAnsi" w:hAnsiTheme="minorHAnsi" w:cstheme="minorBidi"/>
                <w:color w:val="000000"/>
                <w:shd w:val="clear" w:color="auto" w:fill="FFFFFF"/>
                <w:lang w:val="de-CH"/>
              </w:rPr>
              <w:t xml:space="preserve">BR information System </w:t>
            </w:r>
          </w:p>
          <w:p w14:paraId="43CCAA4D" w14:textId="77777777" w:rsidR="00B20367" w:rsidRPr="003147B6"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Style w:val="normaltextrun"/>
                <w:rFonts w:asciiTheme="minorHAnsi" w:hAnsiTheme="minorHAnsi" w:cstheme="minorHAnsi"/>
                <w:iCs/>
                <w:color w:val="000000"/>
                <w:shd w:val="clear" w:color="auto" w:fill="FFFFFF"/>
                <w:lang w:val="de-CH"/>
              </w:rPr>
            </w:pPr>
            <w:hyperlink r:id="rId29" w:history="1">
              <w:r w:rsidR="00B20367" w:rsidRPr="006F4449">
                <w:rPr>
                  <w:rStyle w:val="Hyperlink"/>
                  <w:rFonts w:asciiTheme="minorHAnsi" w:hAnsiTheme="minorHAnsi" w:cstheme="minorHAnsi"/>
                </w:rPr>
                <w:t>58R1</w:t>
              </w:r>
            </w:hyperlink>
            <w:r w:rsidR="00B20367" w:rsidRPr="006F4449">
              <w:rPr>
                <w:rFonts w:asciiTheme="minorHAnsi" w:hAnsiTheme="minorHAnsi" w:cstheme="minorHAnsi"/>
              </w:rPr>
              <w:t xml:space="preserve">(§7), </w:t>
            </w:r>
            <w:hyperlink r:id="rId30" w:history="1">
              <w:r w:rsidR="00B20367" w:rsidRPr="006F4449">
                <w:rPr>
                  <w:rStyle w:val="Hyperlink"/>
                  <w:rFonts w:asciiTheme="minorHAnsi" w:hAnsiTheme="minorHAnsi" w:cstheme="minorHAnsi"/>
                </w:rPr>
                <w:t>66</w:t>
              </w:r>
            </w:hyperlink>
            <w:r w:rsidR="00B20367" w:rsidRPr="006F4449">
              <w:rPr>
                <w:rStyle w:val="Hyperlink"/>
                <w:rFonts w:asciiTheme="minorHAnsi" w:hAnsiTheme="minorHAnsi" w:cstheme="minorHAnsi"/>
                <w:u w:val="none"/>
              </w:rPr>
              <w:t xml:space="preserve">, </w:t>
            </w:r>
            <w:hyperlink r:id="rId31" w:history="1">
              <w:r w:rsidR="00B20367" w:rsidRPr="006F4449">
                <w:rPr>
                  <w:rStyle w:val="Hyperlink"/>
                  <w:rFonts w:asciiTheme="minorHAnsi" w:hAnsiTheme="minorHAnsi" w:cstheme="minorHAnsi"/>
                </w:rPr>
                <w:t>67</w:t>
              </w:r>
            </w:hyperlink>
          </w:p>
        </w:tc>
        <w:tc>
          <w:tcPr>
            <w:tcW w:w="11340" w:type="dxa"/>
          </w:tcPr>
          <w:p w14:paraId="1DAE2298" w14:textId="77777777" w:rsidR="00B20367" w:rsidRPr="006F444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6F4449">
              <w:rPr>
                <w:rFonts w:asciiTheme="minorHAnsi" w:hAnsiTheme="minorHAnsi" w:cstheme="minorHAnsi"/>
                <w:color w:val="000000"/>
                <w:shd w:val="clear" w:color="auto" w:fill="FFFFFF"/>
              </w:rPr>
              <w:t xml:space="preserve">RAG expressed its appreciation for the work that has been done by the BR in the development of information systems for both terrestrial and space services. </w:t>
            </w:r>
          </w:p>
          <w:p w14:paraId="3C71D3CC" w14:textId="77777777" w:rsidR="00B20367" w:rsidRPr="006F444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shd w:val="clear" w:color="auto" w:fill="FFFFFF"/>
              </w:rPr>
            </w:pPr>
            <w:r w:rsidRPr="3E622F41">
              <w:rPr>
                <w:rFonts w:asciiTheme="minorHAnsi" w:hAnsiTheme="minorHAnsi" w:cstheme="minorBidi"/>
                <w:color w:val="000000"/>
                <w:shd w:val="clear" w:color="auto" w:fill="FFFFFF"/>
              </w:rPr>
              <w:t xml:space="preserve">RAG further acknowledged and expressed its gratitude to the administration of Japan for the significant and sustained contributions it has made since 2017 towards the implementation of Resolution 908.   RAG also expressed its appreciation for their continued financial and staff support and their indication to continue the voluntary contribution. </w:t>
            </w:r>
          </w:p>
          <w:p w14:paraId="75D703E3" w14:textId="77777777" w:rsidR="00B20367" w:rsidRPr="006F4449"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hd w:val="clear" w:color="auto" w:fill="FFFFFF"/>
              </w:rPr>
            </w:pPr>
            <w:r w:rsidRPr="006F4449">
              <w:rPr>
                <w:rFonts w:asciiTheme="minorHAnsi" w:hAnsiTheme="minorHAnsi" w:cstheme="minorHAnsi"/>
                <w:color w:val="000000"/>
                <w:shd w:val="clear" w:color="auto" w:fill="FFFFFF"/>
              </w:rPr>
              <w:t>Regarding the input from China, RAG took note of it and also acknowledged China's offer to assist the bureau, at an appropriate time, in the development of the software for NGSO systems</w:t>
            </w:r>
            <w:r>
              <w:rPr>
                <w:rFonts w:asciiTheme="minorHAnsi" w:hAnsiTheme="minorHAnsi" w:cstheme="minorHAnsi"/>
                <w:color w:val="000000"/>
                <w:shd w:val="clear" w:color="auto" w:fill="FFFFFF"/>
              </w:rPr>
              <w:t xml:space="preserve"> </w:t>
            </w:r>
            <w:r w:rsidRPr="00695FC3">
              <w:rPr>
                <w:rFonts w:asciiTheme="minorHAnsi" w:hAnsiTheme="minorHAnsi" w:cstheme="minorHAnsi"/>
                <w:color w:val="000000"/>
                <w:shd w:val="clear" w:color="auto" w:fill="FFFFFF"/>
              </w:rPr>
              <w:t xml:space="preserve">based on the assessment of the Bureau on the scope of assistance </w:t>
            </w:r>
            <w:r>
              <w:rPr>
                <w:rFonts w:asciiTheme="minorHAnsi" w:hAnsiTheme="minorHAnsi" w:cstheme="minorHAnsi"/>
                <w:color w:val="000000"/>
                <w:shd w:val="clear" w:color="auto" w:fill="FFFFFF"/>
              </w:rPr>
              <w:t xml:space="preserve">to be </w:t>
            </w:r>
            <w:r w:rsidRPr="00695FC3">
              <w:rPr>
                <w:rFonts w:asciiTheme="minorHAnsi" w:hAnsiTheme="minorHAnsi" w:cstheme="minorHAnsi"/>
                <w:color w:val="000000"/>
                <w:shd w:val="clear" w:color="auto" w:fill="FFFFFF"/>
              </w:rPr>
              <w:t>provided</w:t>
            </w:r>
            <w:r w:rsidRPr="006F4449">
              <w:rPr>
                <w:rFonts w:asciiTheme="minorHAnsi" w:hAnsiTheme="minorHAnsi" w:cstheme="minorHAnsi"/>
                <w:color w:val="000000"/>
                <w:shd w:val="clear" w:color="auto" w:fill="FFFFFF"/>
              </w:rPr>
              <w:t xml:space="preserve">. </w:t>
            </w:r>
          </w:p>
          <w:p w14:paraId="512D952B"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shd w:val="clear" w:color="auto" w:fill="FFFFFF"/>
              </w:rPr>
            </w:pPr>
            <w:r w:rsidRPr="3E622F41">
              <w:rPr>
                <w:rFonts w:asciiTheme="minorHAnsi" w:hAnsiTheme="minorHAnsi" w:cstheme="minorBidi"/>
                <w:color w:val="000000"/>
                <w:shd w:val="clear" w:color="auto" w:fill="FFFFFF"/>
              </w:rPr>
              <w:t>Other Administrations are invited to join and support the development of the BR information systems for both terrestrial and space services.</w:t>
            </w:r>
          </w:p>
          <w:p w14:paraId="54BCFFF1" w14:textId="4139603B" w:rsidR="00985DAD" w:rsidRPr="006F4449" w:rsidRDefault="00985DAD"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color w:val="000000"/>
                <w:shd w:val="clear" w:color="auto" w:fill="FFFFFF"/>
              </w:rPr>
            </w:pPr>
          </w:p>
        </w:tc>
      </w:tr>
      <w:tr w:rsidR="00B20367" w:rsidRPr="004B1770" w14:paraId="210535B4" w14:textId="77777777" w:rsidTr="00B179B7">
        <w:trPr>
          <w:cantSplit/>
          <w:jc w:val="center"/>
        </w:trPr>
        <w:tc>
          <w:tcPr>
            <w:tcW w:w="1037" w:type="dxa"/>
          </w:tcPr>
          <w:p w14:paraId="158F5977"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lastRenderedPageBreak/>
              <w:t>13</w:t>
            </w:r>
          </w:p>
        </w:tc>
        <w:tc>
          <w:tcPr>
            <w:tcW w:w="2924" w:type="dxa"/>
          </w:tcPr>
          <w:p w14:paraId="3767DCCF"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3147B6">
              <w:rPr>
                <w:rFonts w:asciiTheme="minorHAnsi" w:hAnsiTheme="minorHAnsi" w:cstheme="minorHAnsi"/>
              </w:rPr>
              <w:t>Outreach</w:t>
            </w:r>
            <w:r>
              <w:rPr>
                <w:rFonts w:asciiTheme="minorHAnsi" w:hAnsiTheme="minorHAnsi" w:cstheme="minorHAnsi"/>
              </w:rPr>
              <w:br/>
            </w:r>
            <w:hyperlink r:id="rId32" w:history="1">
              <w:r w:rsidRPr="006F4449">
                <w:rPr>
                  <w:rStyle w:val="Hyperlink"/>
                  <w:rFonts w:asciiTheme="minorHAnsi" w:hAnsiTheme="minorHAnsi" w:cstheme="minorHAnsi"/>
                </w:rPr>
                <w:t>58R1</w:t>
              </w:r>
            </w:hyperlink>
            <w:r w:rsidRPr="006F4449">
              <w:rPr>
                <w:rFonts w:asciiTheme="minorHAnsi" w:hAnsiTheme="minorHAnsi" w:cstheme="minorHAnsi"/>
              </w:rPr>
              <w:t>(§8)</w:t>
            </w:r>
          </w:p>
        </w:tc>
        <w:tc>
          <w:tcPr>
            <w:tcW w:w="11340" w:type="dxa"/>
          </w:tcPr>
          <w:p w14:paraId="268EBBFB" w14:textId="77777777" w:rsidR="00B20367" w:rsidRPr="00337932" w:rsidRDefault="00B20367" w:rsidP="00B179B7">
            <w:pPr>
              <w:spacing w:before="80"/>
              <w:rPr>
                <w:rFonts w:asciiTheme="minorHAnsi" w:eastAsia="Calibri" w:hAnsiTheme="minorHAnsi" w:cstheme="minorBidi"/>
                <w:lang w:val="en-GB"/>
              </w:rPr>
            </w:pPr>
            <w:r w:rsidRPr="55B7A15C">
              <w:rPr>
                <w:rFonts w:asciiTheme="minorHAnsi" w:eastAsia="Calibri" w:hAnsiTheme="minorHAnsi" w:cstheme="minorBidi"/>
                <w:lang w:val="en-GB"/>
              </w:rPr>
              <w:t>RAG noted the report of the Director on the BR outreach activities and noted the interest it garnered.</w:t>
            </w:r>
          </w:p>
          <w:p w14:paraId="339471F2" w14:textId="77777777" w:rsidR="00B20367" w:rsidRDefault="00B20367" w:rsidP="00B179B7">
            <w:pPr>
              <w:spacing w:before="80"/>
              <w:rPr>
                <w:rFonts w:asciiTheme="minorHAnsi" w:eastAsia="Calibri" w:hAnsiTheme="minorHAnsi" w:cstheme="minorBidi"/>
                <w:lang w:val="en-GB"/>
              </w:rPr>
            </w:pPr>
            <w:r w:rsidRPr="3E622F41">
              <w:rPr>
                <w:rFonts w:asciiTheme="minorHAnsi" w:eastAsia="Calibri" w:hAnsiTheme="minorHAnsi" w:cstheme="minorBidi"/>
                <w:lang w:val="en-GB"/>
              </w:rPr>
              <w:t>RAG acknowledges and appreciates the support received from Member States and Sector Members and encourages additional administrations and the private sector to contribute to future events.   RAG also noted the encouragement from one administration that future World Radiocommunication Seminars be held at the traditional time – end of November beginning of December.   Additionally, RAG noted the encouragement that the seminars organized by the BR address more topics in spectrum management.</w:t>
            </w:r>
          </w:p>
          <w:p w14:paraId="4CCE4A4C" w14:textId="7066D208" w:rsidR="00985DAD" w:rsidRPr="003147B6" w:rsidRDefault="00985DAD" w:rsidP="00B179B7">
            <w:pPr>
              <w:spacing w:before="80"/>
              <w:rPr>
                <w:rFonts w:asciiTheme="minorHAnsi" w:eastAsia="Calibri" w:hAnsiTheme="minorHAnsi" w:cstheme="minorBidi"/>
                <w:lang w:val="en-GB"/>
              </w:rPr>
            </w:pPr>
          </w:p>
        </w:tc>
      </w:tr>
      <w:tr w:rsidR="00B20367" w:rsidRPr="004B1770" w14:paraId="45A41D2D" w14:textId="77777777" w:rsidTr="00B179B7">
        <w:trPr>
          <w:cantSplit/>
          <w:jc w:val="center"/>
        </w:trPr>
        <w:tc>
          <w:tcPr>
            <w:tcW w:w="1037" w:type="dxa"/>
          </w:tcPr>
          <w:p w14:paraId="5FEA0A0A" w14:textId="77777777" w:rsidR="00B20367" w:rsidRPr="003147B6" w:rsidRDefault="00B20367" w:rsidP="00B179B7">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14</w:t>
            </w:r>
          </w:p>
        </w:tc>
        <w:tc>
          <w:tcPr>
            <w:tcW w:w="2924" w:type="dxa"/>
          </w:tcPr>
          <w:p w14:paraId="308FFEB2" w14:textId="77777777" w:rsidR="00B20367" w:rsidRPr="003147B6" w:rsidRDefault="00B20367" w:rsidP="00327644">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3147B6">
              <w:rPr>
                <w:rFonts w:asciiTheme="minorHAnsi" w:hAnsiTheme="minorHAnsi" w:cstheme="minorHAnsi"/>
              </w:rPr>
              <w:t>Date of next meeting</w:t>
            </w:r>
          </w:p>
        </w:tc>
        <w:tc>
          <w:tcPr>
            <w:tcW w:w="11340" w:type="dxa"/>
            <w:tcBorders>
              <w:bottom w:val="single" w:sz="6" w:space="0" w:color="auto"/>
            </w:tcBorders>
          </w:tcPr>
          <w:p w14:paraId="2AB691E4" w14:textId="77777777" w:rsidR="00B20367" w:rsidRDefault="00B20367" w:rsidP="00B179B7">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r w:rsidRPr="00843DD1">
              <w:rPr>
                <w:rFonts w:asciiTheme="minorHAnsi" w:hAnsiTheme="minorHAnsi" w:cstheme="minorBidi"/>
              </w:rPr>
              <w:t xml:space="preserve">March-April </w:t>
            </w:r>
            <w:r w:rsidRPr="003147B6">
              <w:rPr>
                <w:rFonts w:asciiTheme="minorHAnsi" w:hAnsiTheme="minorHAnsi" w:cstheme="minorBidi"/>
              </w:rPr>
              <w:t>2024.</w:t>
            </w:r>
          </w:p>
          <w:p w14:paraId="1F2ABD12" w14:textId="60E42043" w:rsidR="00985DAD" w:rsidRPr="003147B6" w:rsidRDefault="00985DAD" w:rsidP="00B179B7">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p>
        </w:tc>
      </w:tr>
      <w:tr w:rsidR="00B20367" w:rsidRPr="004B1770" w14:paraId="419A4F5A" w14:textId="77777777" w:rsidTr="00B179B7">
        <w:trPr>
          <w:cantSplit/>
          <w:jc w:val="center"/>
        </w:trPr>
        <w:tc>
          <w:tcPr>
            <w:tcW w:w="1037" w:type="dxa"/>
          </w:tcPr>
          <w:p w14:paraId="440025AF" w14:textId="77777777" w:rsidR="00B20367" w:rsidRPr="003147B6"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sidRPr="003147B6">
              <w:rPr>
                <w:rFonts w:asciiTheme="minorHAnsi" w:hAnsiTheme="minorHAnsi" w:cstheme="minorHAnsi"/>
              </w:rPr>
              <w:t>15</w:t>
            </w:r>
          </w:p>
        </w:tc>
        <w:tc>
          <w:tcPr>
            <w:tcW w:w="2924" w:type="dxa"/>
          </w:tcPr>
          <w:p w14:paraId="54B27859" w14:textId="77777777" w:rsidR="00B20367" w:rsidRPr="003147B6" w:rsidRDefault="00B20367"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rPr>
            </w:pPr>
            <w:r w:rsidRPr="003147B6">
              <w:rPr>
                <w:rFonts w:asciiTheme="minorHAnsi" w:hAnsiTheme="minorHAnsi" w:cstheme="minorHAnsi"/>
              </w:rPr>
              <w:t>Any other business</w:t>
            </w:r>
          </w:p>
          <w:p w14:paraId="248E2DB5" w14:textId="5CC07560" w:rsidR="00B20367" w:rsidRPr="00985DAD" w:rsidRDefault="00371B81" w:rsidP="0032764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left"/>
              <w:rPr>
                <w:rFonts w:asciiTheme="minorHAnsi" w:hAnsiTheme="minorHAnsi" w:cstheme="minorHAnsi"/>
                <w:color w:val="0000FF"/>
                <w:u w:val="single"/>
              </w:rPr>
            </w:pPr>
            <w:hyperlink r:id="rId33" w:history="1">
              <w:r w:rsidR="00B20367" w:rsidRPr="006F4449">
                <w:rPr>
                  <w:rStyle w:val="Hyperlink"/>
                  <w:rFonts w:asciiTheme="minorHAnsi" w:hAnsiTheme="minorHAnsi" w:cstheme="minorHAnsi"/>
                </w:rPr>
                <w:t>62</w:t>
              </w:r>
            </w:hyperlink>
            <w:r w:rsidR="00B20367" w:rsidRPr="006F4449">
              <w:rPr>
                <w:rFonts w:asciiTheme="minorHAnsi" w:hAnsiTheme="minorHAnsi" w:cstheme="minorHAnsi"/>
              </w:rPr>
              <w:t xml:space="preserve">, </w:t>
            </w:r>
            <w:hyperlink r:id="rId34" w:history="1">
              <w:r w:rsidR="00B20367" w:rsidRPr="006F4449">
                <w:rPr>
                  <w:rStyle w:val="Hyperlink"/>
                  <w:rFonts w:asciiTheme="minorHAnsi" w:hAnsiTheme="minorHAnsi" w:cstheme="minorHAnsi"/>
                </w:rPr>
                <w:t>63</w:t>
              </w:r>
            </w:hyperlink>
            <w:r w:rsidR="00B20367" w:rsidRPr="006F4449">
              <w:rPr>
                <w:rFonts w:asciiTheme="minorHAnsi" w:hAnsiTheme="minorHAnsi" w:cstheme="minorHAnsi"/>
              </w:rPr>
              <w:t xml:space="preserve">, </w:t>
            </w:r>
            <w:hyperlink r:id="rId35" w:history="1">
              <w:r w:rsidR="00B20367" w:rsidRPr="006F4449">
                <w:rPr>
                  <w:rStyle w:val="Hyperlink"/>
                  <w:rFonts w:asciiTheme="minorHAnsi" w:hAnsiTheme="minorHAnsi" w:cstheme="minorHAnsi"/>
                </w:rPr>
                <w:t>64</w:t>
              </w:r>
            </w:hyperlink>
            <w:r w:rsidR="00B20367" w:rsidRPr="006F4449">
              <w:rPr>
                <w:rFonts w:asciiTheme="minorHAnsi" w:hAnsiTheme="minorHAnsi" w:cstheme="minorHAnsi"/>
              </w:rPr>
              <w:t xml:space="preserve">, </w:t>
            </w:r>
            <w:hyperlink r:id="rId36" w:history="1">
              <w:r w:rsidR="00B20367" w:rsidRPr="006F4449">
                <w:rPr>
                  <w:rStyle w:val="Hyperlink"/>
                  <w:rFonts w:asciiTheme="minorHAnsi" w:hAnsiTheme="minorHAnsi" w:cstheme="minorHAnsi"/>
                </w:rPr>
                <w:t>65</w:t>
              </w:r>
            </w:hyperlink>
          </w:p>
        </w:tc>
        <w:tc>
          <w:tcPr>
            <w:tcW w:w="11340" w:type="dxa"/>
            <w:tcBorders>
              <w:bottom w:val="single" w:sz="6" w:space="0" w:color="auto"/>
            </w:tcBorders>
          </w:tcPr>
          <w:p w14:paraId="7D7C3106"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rPr>
            </w:pPr>
            <w:r>
              <w:rPr>
                <w:rFonts w:asciiTheme="minorHAnsi" w:hAnsiTheme="minorHAnsi" w:cstheme="minorHAnsi"/>
              </w:rPr>
              <w:t>RAG noted the documents, and the Russian delegation may wish to submit them to the Radio Assembly.</w:t>
            </w:r>
          </w:p>
          <w:p w14:paraId="35C20C83" w14:textId="77777777" w:rsidR="00B20367" w:rsidRDefault="00B20367"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r w:rsidRPr="3E622F41">
              <w:rPr>
                <w:rFonts w:asciiTheme="minorHAnsi" w:hAnsiTheme="minorHAnsi" w:cstheme="minorBidi"/>
              </w:rPr>
              <w:t xml:space="preserve">RAG expressed its appreciation to the Chairman, Daniel </w:t>
            </w:r>
            <w:proofErr w:type="spellStart"/>
            <w:r w:rsidRPr="3E622F41">
              <w:rPr>
                <w:rFonts w:asciiTheme="minorHAnsi" w:hAnsiTheme="minorHAnsi" w:cstheme="minorBidi"/>
              </w:rPr>
              <w:t>Obam</w:t>
            </w:r>
            <w:proofErr w:type="spellEnd"/>
            <w:r w:rsidRPr="3E622F41">
              <w:rPr>
                <w:rFonts w:asciiTheme="minorHAnsi" w:hAnsiTheme="minorHAnsi" w:cstheme="minorBidi"/>
              </w:rPr>
              <w:t>, on the anniversary of his 10</w:t>
            </w:r>
            <w:r w:rsidRPr="3E622F41">
              <w:rPr>
                <w:rFonts w:asciiTheme="minorHAnsi" w:hAnsiTheme="minorHAnsi" w:cstheme="minorBidi"/>
                <w:vertAlign w:val="superscript"/>
              </w:rPr>
              <w:t>th</w:t>
            </w:r>
            <w:r w:rsidRPr="3E622F41">
              <w:rPr>
                <w:rFonts w:asciiTheme="minorHAnsi" w:hAnsiTheme="minorHAnsi" w:cstheme="minorBidi"/>
              </w:rPr>
              <w:t xml:space="preserve"> year as the Chairman of the RAG.</w:t>
            </w:r>
          </w:p>
          <w:p w14:paraId="20719CD5" w14:textId="5E63CD26" w:rsidR="00985DAD" w:rsidRPr="003147B6" w:rsidRDefault="00985DAD" w:rsidP="00B179B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Bidi"/>
              </w:rPr>
            </w:pPr>
          </w:p>
        </w:tc>
      </w:tr>
    </w:tbl>
    <w:p w14:paraId="4A2F5F64" w14:textId="77777777" w:rsidR="00B20367" w:rsidRDefault="00B20367" w:rsidP="00D01DCF">
      <w:pPr>
        <w:pStyle w:val="Reasons"/>
      </w:pPr>
    </w:p>
    <w:p w14:paraId="1C89B074" w14:textId="77777777" w:rsidR="00D01DCF" w:rsidRPr="007D58B8" w:rsidRDefault="00D01DCF" w:rsidP="00D01DCF">
      <w:pPr>
        <w:pStyle w:val="Reasons"/>
        <w:rPr>
          <w:rFonts w:asciiTheme="minorHAnsi" w:hAnsiTheme="minorHAnsi" w:cstheme="minorHAnsi"/>
          <w:sz w:val="22"/>
          <w:szCs w:val="22"/>
          <w:lang w:eastAsia="en-GB"/>
        </w:rPr>
      </w:pPr>
      <w:r w:rsidRPr="00B915E0">
        <w:rPr>
          <w:rFonts w:asciiTheme="minorHAnsi" w:hAnsiTheme="minorHAnsi" w:cstheme="minorHAnsi"/>
          <w:sz w:val="22"/>
          <w:szCs w:val="22"/>
          <w:lang w:eastAsia="en-GB"/>
        </w:rPr>
        <w:t xml:space="preserve">Annex 1: </w:t>
      </w:r>
      <w:r w:rsidRPr="00B915E0">
        <w:rPr>
          <w:rFonts w:asciiTheme="minorHAnsi" w:hAnsiTheme="minorHAnsi" w:cstheme="minorHAnsi"/>
          <w:sz w:val="22"/>
          <w:szCs w:val="22"/>
          <w:lang w:eastAsia="zh-CN"/>
        </w:rPr>
        <w:t>Reply Liaison Statement to TSAG.</w:t>
      </w:r>
    </w:p>
    <w:p w14:paraId="69430158" w14:textId="77777777" w:rsidR="00D01DCF" w:rsidRDefault="00D01DCF" w:rsidP="00D01DCF">
      <w:pPr>
        <w:jc w:val="center"/>
      </w:pPr>
    </w:p>
    <w:p w14:paraId="4A977771" w14:textId="77777777" w:rsidR="00D01DCF" w:rsidRDefault="00D01DCF" w:rsidP="00D01DCF">
      <w:pPr>
        <w:jc w:val="center"/>
        <w:sectPr w:rsidR="00D01DCF" w:rsidSect="002C455B">
          <w:headerReference w:type="even" r:id="rId37"/>
          <w:headerReference w:type="default" r:id="rId38"/>
          <w:headerReference w:type="first" r:id="rId39"/>
          <w:footerReference w:type="first" r:id="rId40"/>
          <w:pgSz w:w="16834" w:h="11907" w:orient="landscape"/>
          <w:pgMar w:top="1134" w:right="1418" w:bottom="1134" w:left="1418" w:header="720" w:footer="720" w:gutter="0"/>
          <w:paperSrc w:first="15" w:other="15"/>
          <w:cols w:space="720"/>
          <w:titlePg/>
          <w:docGrid w:linePitch="326"/>
        </w:sectPr>
      </w:pPr>
    </w:p>
    <w:p w14:paraId="49BF2474" w14:textId="5BDCF74C" w:rsidR="00A43D7C" w:rsidRPr="00A43D7C" w:rsidRDefault="00A43D7C" w:rsidP="00A43D7C">
      <w:pPr>
        <w:spacing w:before="120"/>
        <w:jc w:val="center"/>
        <w:rPr>
          <w:rFonts w:ascii="Times New Roman" w:eastAsia="SimSun" w:hAnsi="Times New Roman" w:cs="Times New Roman"/>
          <w:sz w:val="28"/>
          <w:szCs w:val="28"/>
        </w:rPr>
      </w:pPr>
      <w:r w:rsidRPr="00A43D7C">
        <w:rPr>
          <w:rFonts w:asciiTheme="minorHAnsi" w:hAnsiTheme="minorHAnsi" w:cstheme="minorHAnsi"/>
          <w:sz w:val="28"/>
          <w:szCs w:val="28"/>
          <w:lang w:eastAsia="en-GB"/>
        </w:rPr>
        <w:lastRenderedPageBreak/>
        <w:t>ANNEX 1</w:t>
      </w:r>
      <w:r>
        <w:rPr>
          <w:rFonts w:asciiTheme="minorHAnsi" w:hAnsiTheme="minorHAnsi" w:cstheme="minorHAnsi"/>
          <w:sz w:val="28"/>
          <w:szCs w:val="28"/>
          <w:lang w:eastAsia="en-GB"/>
        </w:rPr>
        <w:br/>
      </w:r>
      <w:r w:rsidRPr="00A43D7C">
        <w:rPr>
          <w:rFonts w:asciiTheme="minorHAnsi" w:hAnsiTheme="minorHAnsi" w:cstheme="minorHAnsi"/>
          <w:sz w:val="28"/>
          <w:szCs w:val="28"/>
          <w:lang w:eastAsia="en-GB"/>
        </w:rPr>
        <w:br/>
      </w:r>
      <w:r w:rsidRPr="00A43D7C">
        <w:rPr>
          <w:rFonts w:asciiTheme="minorHAnsi" w:hAnsiTheme="minorHAnsi" w:cstheme="minorHAnsi"/>
          <w:sz w:val="28"/>
          <w:szCs w:val="28"/>
          <w:lang w:eastAsia="zh-CN"/>
        </w:rPr>
        <w:t>REPLY LIAISON STATEMENT TO TSAG</w:t>
      </w:r>
    </w:p>
    <w:p w14:paraId="54464E75" w14:textId="77777777" w:rsidR="00A43D7C" w:rsidRDefault="00A43D7C" w:rsidP="00D01DCF">
      <w:pPr>
        <w:spacing w:before="120"/>
        <w:rPr>
          <w:rFonts w:ascii="Times New Roman" w:eastAsia="SimSun" w:hAnsi="Times New Roman" w:cs="Times New Roman"/>
          <w:sz w:val="24"/>
          <w:szCs w:val="24"/>
        </w:rPr>
      </w:pPr>
    </w:p>
    <w:tbl>
      <w:tblPr>
        <w:tblW w:w="9889" w:type="dxa"/>
        <w:jc w:val="right"/>
        <w:tblLayout w:type="fixed"/>
        <w:tblLook w:val="0000" w:firstRow="0" w:lastRow="0" w:firstColumn="0" w:lastColumn="0" w:noHBand="0" w:noVBand="0"/>
      </w:tblPr>
      <w:tblGrid>
        <w:gridCol w:w="6487"/>
        <w:gridCol w:w="3402"/>
      </w:tblGrid>
      <w:tr w:rsidR="00A43D7C" w:rsidRPr="00452C4A" w14:paraId="71A7C8F6" w14:textId="77777777" w:rsidTr="00B179B7">
        <w:trPr>
          <w:cantSplit/>
          <w:jc w:val="right"/>
        </w:trPr>
        <w:tc>
          <w:tcPr>
            <w:tcW w:w="6487" w:type="dxa"/>
            <w:vAlign w:val="center"/>
          </w:tcPr>
          <w:p w14:paraId="283CB38D" w14:textId="77777777" w:rsidR="00A43D7C" w:rsidRPr="00452C4A" w:rsidRDefault="00A43D7C" w:rsidP="00B179B7">
            <w:pPr>
              <w:shd w:val="solid" w:color="FFFFFF" w:fill="FFFFFF"/>
              <w:rPr>
                <w:rFonts w:ascii="Verdana" w:hAnsi="Verdana" w:cs="Times New Roman Bold"/>
                <w:b/>
                <w:bCs/>
                <w:sz w:val="26"/>
                <w:szCs w:val="26"/>
              </w:rPr>
            </w:pPr>
            <w:r w:rsidRPr="00452C4A">
              <w:rPr>
                <w:rFonts w:ascii="Verdana" w:hAnsi="Verdana" w:cs="Times New Roman Bold"/>
                <w:b/>
                <w:bCs/>
                <w:sz w:val="26"/>
                <w:szCs w:val="26"/>
              </w:rPr>
              <w:t>Radiocommunication Study Groups</w:t>
            </w:r>
          </w:p>
        </w:tc>
        <w:tc>
          <w:tcPr>
            <w:tcW w:w="3402" w:type="dxa"/>
          </w:tcPr>
          <w:p w14:paraId="3BC0E1EB" w14:textId="77777777" w:rsidR="00A43D7C" w:rsidRPr="00452C4A" w:rsidRDefault="00A43D7C" w:rsidP="00B179B7">
            <w:pPr>
              <w:shd w:val="solid" w:color="FFFFFF" w:fill="FFFFFF"/>
              <w:spacing w:line="240" w:lineRule="atLeast"/>
            </w:pPr>
            <w:bookmarkStart w:id="0" w:name="ditulogo"/>
            <w:bookmarkEnd w:id="0"/>
            <w:r w:rsidRPr="00452C4A">
              <w:rPr>
                <w:noProof/>
              </w:rPr>
              <w:drawing>
                <wp:inline distT="0" distB="0" distL="0" distR="0" wp14:anchorId="2C5C6F37" wp14:editId="71234E45">
                  <wp:extent cx="988540" cy="9512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35788" cy="996695"/>
                          </a:xfrm>
                          <a:prstGeom prst="rect">
                            <a:avLst/>
                          </a:prstGeom>
                        </pic:spPr>
                      </pic:pic>
                    </a:graphicData>
                  </a:graphic>
                </wp:inline>
              </w:drawing>
            </w:r>
          </w:p>
        </w:tc>
      </w:tr>
      <w:tr w:rsidR="00A43D7C" w:rsidRPr="00452C4A" w14:paraId="3F328476" w14:textId="77777777" w:rsidTr="00B179B7">
        <w:trPr>
          <w:cantSplit/>
          <w:jc w:val="right"/>
        </w:trPr>
        <w:tc>
          <w:tcPr>
            <w:tcW w:w="6487" w:type="dxa"/>
            <w:tcBorders>
              <w:bottom w:val="single" w:sz="12" w:space="0" w:color="auto"/>
            </w:tcBorders>
          </w:tcPr>
          <w:p w14:paraId="4CD58857" w14:textId="77777777" w:rsidR="00A43D7C" w:rsidRPr="00452C4A" w:rsidRDefault="00A43D7C" w:rsidP="00B179B7">
            <w:pPr>
              <w:shd w:val="solid" w:color="FFFFFF" w:fill="FFFFFF"/>
              <w:spacing w:after="48"/>
              <w:rPr>
                <w:rFonts w:ascii="Verdana" w:hAnsi="Verdana" w:cs="Times New Roman Bold"/>
                <w:b/>
              </w:rPr>
            </w:pPr>
          </w:p>
        </w:tc>
        <w:tc>
          <w:tcPr>
            <w:tcW w:w="3402" w:type="dxa"/>
            <w:tcBorders>
              <w:bottom w:val="single" w:sz="12" w:space="0" w:color="auto"/>
            </w:tcBorders>
          </w:tcPr>
          <w:p w14:paraId="36DC5EED" w14:textId="77777777" w:rsidR="00A43D7C" w:rsidRPr="00452C4A" w:rsidRDefault="00A43D7C" w:rsidP="00B179B7">
            <w:pPr>
              <w:shd w:val="solid" w:color="FFFFFF" w:fill="FFFFFF"/>
              <w:spacing w:after="48" w:line="240" w:lineRule="atLeast"/>
            </w:pPr>
          </w:p>
        </w:tc>
      </w:tr>
      <w:tr w:rsidR="00A43D7C" w:rsidRPr="001521A5" w14:paraId="0C362BC5" w14:textId="77777777" w:rsidTr="00B179B7">
        <w:trPr>
          <w:cantSplit/>
          <w:jc w:val="right"/>
        </w:trPr>
        <w:tc>
          <w:tcPr>
            <w:tcW w:w="6487" w:type="dxa"/>
            <w:vMerge w:val="restart"/>
          </w:tcPr>
          <w:p w14:paraId="300D7938" w14:textId="77777777" w:rsidR="00A43D7C" w:rsidRPr="00452C4A" w:rsidRDefault="00A43D7C" w:rsidP="00B179B7">
            <w:pPr>
              <w:shd w:val="solid" w:color="FFFFFF" w:fill="FFFFFF"/>
              <w:spacing w:before="0" w:line="240" w:lineRule="auto"/>
              <w:ind w:left="1134" w:hanging="1134"/>
              <w:rPr>
                <w:rFonts w:ascii="Verdana" w:hAnsi="Verdana"/>
                <w:sz w:val="20"/>
              </w:rPr>
            </w:pPr>
            <w:bookmarkStart w:id="1" w:name="recibido"/>
            <w:bookmarkEnd w:id="1"/>
          </w:p>
        </w:tc>
        <w:tc>
          <w:tcPr>
            <w:tcW w:w="3402" w:type="dxa"/>
          </w:tcPr>
          <w:p w14:paraId="0FF02E8A" w14:textId="77777777" w:rsidR="00A43D7C" w:rsidRPr="00941BB6" w:rsidRDefault="00A43D7C" w:rsidP="00B179B7">
            <w:pPr>
              <w:shd w:val="solid" w:color="FFFFFF" w:fill="FFFFFF"/>
              <w:spacing w:before="0" w:line="240" w:lineRule="auto"/>
              <w:rPr>
                <w:rFonts w:ascii="Verdana" w:hAnsi="Verdana"/>
                <w:sz w:val="20"/>
                <w:highlight w:val="yellow"/>
                <w:lang w:eastAsia="zh-CN"/>
              </w:rPr>
            </w:pPr>
            <w:r w:rsidRPr="005B18BA">
              <w:rPr>
                <w:rFonts w:ascii="Verdana" w:hAnsi="Verdana"/>
                <w:b/>
                <w:sz w:val="20"/>
                <w:lang w:eastAsia="zh-CN"/>
              </w:rPr>
              <w:t>Document RAG/TEMP/11</w:t>
            </w:r>
          </w:p>
        </w:tc>
      </w:tr>
      <w:tr w:rsidR="00A43D7C" w:rsidRPr="00452C4A" w14:paraId="1271D832" w14:textId="77777777" w:rsidTr="00B179B7">
        <w:trPr>
          <w:cantSplit/>
          <w:jc w:val="right"/>
        </w:trPr>
        <w:tc>
          <w:tcPr>
            <w:tcW w:w="6487" w:type="dxa"/>
            <w:vMerge/>
          </w:tcPr>
          <w:p w14:paraId="1539CA8F" w14:textId="77777777" w:rsidR="00A43D7C" w:rsidRPr="001521A5" w:rsidRDefault="00A43D7C" w:rsidP="00B179B7">
            <w:pPr>
              <w:spacing w:before="0" w:line="240" w:lineRule="auto"/>
              <w:jc w:val="center"/>
              <w:rPr>
                <w:b/>
                <w:smallCaps/>
                <w:sz w:val="32"/>
                <w:lang w:eastAsia="zh-CN"/>
              </w:rPr>
            </w:pPr>
            <w:bookmarkStart w:id="2" w:name="ddate" w:colFirst="1" w:colLast="1"/>
          </w:p>
        </w:tc>
        <w:tc>
          <w:tcPr>
            <w:tcW w:w="3402" w:type="dxa"/>
          </w:tcPr>
          <w:p w14:paraId="651C86F2" w14:textId="77777777" w:rsidR="00A43D7C" w:rsidRPr="00452C4A" w:rsidRDefault="00A43D7C" w:rsidP="00B179B7">
            <w:pPr>
              <w:shd w:val="solid" w:color="FFFFFF" w:fill="FFFFFF"/>
              <w:spacing w:before="0" w:line="240" w:lineRule="auto"/>
              <w:rPr>
                <w:rFonts w:ascii="Verdana" w:hAnsi="Verdana"/>
                <w:sz w:val="20"/>
                <w:lang w:eastAsia="zh-CN"/>
              </w:rPr>
            </w:pPr>
            <w:r>
              <w:rPr>
                <w:rFonts w:ascii="Verdana" w:hAnsi="Verdana"/>
                <w:b/>
                <w:sz w:val="20"/>
                <w:lang w:eastAsia="zh-CN"/>
              </w:rPr>
              <w:t xml:space="preserve">3 May </w:t>
            </w:r>
            <w:r w:rsidRPr="00452C4A">
              <w:rPr>
                <w:rFonts w:ascii="Verdana" w:hAnsi="Verdana"/>
                <w:b/>
                <w:sz w:val="20"/>
                <w:lang w:eastAsia="zh-CN"/>
              </w:rPr>
              <w:t>202</w:t>
            </w:r>
            <w:r>
              <w:rPr>
                <w:rFonts w:ascii="Verdana" w:hAnsi="Verdana"/>
                <w:b/>
                <w:sz w:val="20"/>
                <w:lang w:eastAsia="zh-CN"/>
              </w:rPr>
              <w:t>3</w:t>
            </w:r>
          </w:p>
        </w:tc>
      </w:tr>
      <w:bookmarkEnd w:id="2"/>
      <w:tr w:rsidR="00A43D7C" w:rsidRPr="00452C4A" w14:paraId="39240008" w14:textId="77777777" w:rsidTr="00B179B7">
        <w:trPr>
          <w:cantSplit/>
          <w:jc w:val="right"/>
        </w:trPr>
        <w:tc>
          <w:tcPr>
            <w:tcW w:w="6487" w:type="dxa"/>
            <w:vMerge/>
          </w:tcPr>
          <w:p w14:paraId="347FA751" w14:textId="77777777" w:rsidR="00A43D7C" w:rsidRPr="00452C4A" w:rsidRDefault="00A43D7C" w:rsidP="00B179B7">
            <w:pPr>
              <w:spacing w:before="0" w:line="240" w:lineRule="auto"/>
              <w:jc w:val="center"/>
              <w:rPr>
                <w:b/>
                <w:smallCaps/>
                <w:sz w:val="32"/>
                <w:lang w:eastAsia="zh-CN"/>
              </w:rPr>
            </w:pPr>
          </w:p>
        </w:tc>
        <w:tc>
          <w:tcPr>
            <w:tcW w:w="3402" w:type="dxa"/>
          </w:tcPr>
          <w:p w14:paraId="2042AE43" w14:textId="77777777" w:rsidR="00A43D7C" w:rsidRPr="0060342A" w:rsidRDefault="00A43D7C" w:rsidP="00B179B7">
            <w:pPr>
              <w:shd w:val="solid" w:color="FFFFFF" w:fill="FFFFFF"/>
              <w:spacing w:before="0" w:line="240" w:lineRule="auto"/>
              <w:rPr>
                <w:rFonts w:ascii="Verdana" w:eastAsia="SimSun" w:hAnsi="Verdana"/>
                <w:b/>
                <w:sz w:val="20"/>
                <w:lang w:eastAsia="zh-CN"/>
              </w:rPr>
            </w:pPr>
            <w:r w:rsidRPr="006A236B">
              <w:rPr>
                <w:rFonts w:ascii="Verdana" w:eastAsia="SimSun" w:hAnsi="Verdana"/>
                <w:b/>
                <w:sz w:val="20"/>
                <w:lang w:eastAsia="zh-CN"/>
              </w:rPr>
              <w:t>English only</w:t>
            </w:r>
          </w:p>
        </w:tc>
      </w:tr>
      <w:tr w:rsidR="00A43D7C" w:rsidRPr="00A71DD7" w14:paraId="72D4B526" w14:textId="77777777" w:rsidTr="00B179B7">
        <w:trPr>
          <w:cantSplit/>
          <w:jc w:val="right"/>
        </w:trPr>
        <w:tc>
          <w:tcPr>
            <w:tcW w:w="9889" w:type="dxa"/>
            <w:gridSpan w:val="2"/>
          </w:tcPr>
          <w:p w14:paraId="3521F585" w14:textId="77777777" w:rsidR="00A43D7C" w:rsidRPr="00D61567" w:rsidRDefault="00A43D7C" w:rsidP="00B179B7">
            <w:pPr>
              <w:pStyle w:val="Source"/>
              <w:spacing w:line="240" w:lineRule="auto"/>
              <w:rPr>
                <w:rFonts w:ascii="Times New Roman" w:eastAsia="Times New Roman" w:hAnsi="Times New Roman" w:cs="Times New Roman"/>
                <w:szCs w:val="20"/>
                <w:lang w:val="en-GB"/>
              </w:rPr>
            </w:pPr>
            <w:r w:rsidRPr="00D61567">
              <w:rPr>
                <w:rFonts w:ascii="Times New Roman" w:eastAsia="Times New Roman" w:hAnsi="Times New Roman" w:cs="Times New Roman"/>
                <w:szCs w:val="20"/>
                <w:lang w:val="en-GB"/>
              </w:rPr>
              <w:t xml:space="preserve">Radiocommunication </w:t>
            </w:r>
            <w:r w:rsidRPr="00566D7C">
              <w:rPr>
                <w:rFonts w:ascii="Times New Roman" w:eastAsia="Times New Roman" w:hAnsi="Times New Roman" w:cs="Times New Roman"/>
                <w:szCs w:val="20"/>
                <w:lang w:val="en-GB"/>
              </w:rPr>
              <w:t>Advisory</w:t>
            </w:r>
            <w:r w:rsidRPr="00D61567">
              <w:rPr>
                <w:rFonts w:ascii="Times New Roman" w:eastAsia="Times New Roman" w:hAnsi="Times New Roman" w:cs="Times New Roman"/>
                <w:szCs w:val="20"/>
                <w:lang w:val="en-GB"/>
              </w:rPr>
              <w:t xml:space="preserve"> Group (RAG)</w:t>
            </w:r>
          </w:p>
        </w:tc>
      </w:tr>
      <w:tr w:rsidR="00A43D7C" w:rsidRPr="00A71DD7" w14:paraId="70D0948C" w14:textId="77777777" w:rsidTr="00B179B7">
        <w:trPr>
          <w:cantSplit/>
          <w:jc w:val="right"/>
        </w:trPr>
        <w:tc>
          <w:tcPr>
            <w:tcW w:w="9889" w:type="dxa"/>
            <w:gridSpan w:val="2"/>
          </w:tcPr>
          <w:p w14:paraId="653657BB" w14:textId="77777777" w:rsidR="00A43D7C" w:rsidRPr="00362A2C" w:rsidRDefault="00A43D7C" w:rsidP="00B179B7">
            <w:pPr>
              <w:pStyle w:val="Title1"/>
              <w:spacing w:line="240" w:lineRule="auto"/>
              <w:rPr>
                <w:rFonts w:ascii="Times New Roman" w:hAnsi="Times New Roman" w:cs="Times New Roman"/>
                <w:szCs w:val="28"/>
                <w:lang w:eastAsia="zh-CN"/>
              </w:rPr>
            </w:pPr>
            <w:bookmarkStart w:id="3" w:name="drec" w:colFirst="0" w:colLast="0"/>
            <w:r w:rsidRPr="00362A2C">
              <w:rPr>
                <w:rFonts w:ascii="Times New Roman" w:hAnsi="Times New Roman" w:cs="Times New Roman"/>
                <w:caps w:val="0"/>
                <w:szCs w:val="28"/>
                <w:lang w:eastAsia="zh-CN"/>
              </w:rPr>
              <w:t>REPLY LIAISON STATEMENT TO TSAG</w:t>
            </w:r>
          </w:p>
        </w:tc>
      </w:tr>
      <w:tr w:rsidR="00A43D7C" w:rsidRPr="00A71DD7" w14:paraId="51EDD6F6" w14:textId="77777777" w:rsidTr="00B179B7">
        <w:trPr>
          <w:cantSplit/>
          <w:jc w:val="right"/>
        </w:trPr>
        <w:tc>
          <w:tcPr>
            <w:tcW w:w="9889" w:type="dxa"/>
            <w:gridSpan w:val="2"/>
          </w:tcPr>
          <w:p w14:paraId="0CDFA31E" w14:textId="77777777" w:rsidR="00A43D7C" w:rsidRPr="00A71DD7" w:rsidRDefault="00A43D7C" w:rsidP="00B179B7">
            <w:pPr>
              <w:pStyle w:val="Title4"/>
              <w:spacing w:line="240" w:lineRule="auto"/>
              <w:rPr>
                <w:rFonts w:ascii="Times New Roman" w:hAnsi="Times New Roman" w:cs="Times New Roman"/>
                <w:sz w:val="22"/>
              </w:rPr>
            </w:pPr>
            <w:r w:rsidRPr="00076349">
              <w:rPr>
                <w:rFonts w:ascii="Times New Roman" w:eastAsia="Times New Roman" w:hAnsi="Times New Roman" w:cs="Times New Roman"/>
                <w:szCs w:val="20"/>
                <w:lang w:val="en-GB"/>
              </w:rPr>
              <w:t>WORK RELATED TO UNMANNED AIRCRAFT SYSTEMS (UAS) AND OTHER RADIOCOMMUNICATION SYSTEMS</w:t>
            </w:r>
            <w:r w:rsidRPr="00A71DD7">
              <w:rPr>
                <w:rFonts w:ascii="Times New Roman" w:hAnsi="Times New Roman" w:cs="Times New Roman"/>
                <w:sz w:val="22"/>
              </w:rPr>
              <w:t xml:space="preserve"> </w:t>
            </w:r>
          </w:p>
          <w:p w14:paraId="7A816ADF" w14:textId="77777777" w:rsidR="00A43D7C" w:rsidRPr="00A71DD7" w:rsidRDefault="00A43D7C" w:rsidP="00B179B7">
            <w:pPr>
              <w:pStyle w:val="Title4"/>
              <w:rPr>
                <w:rFonts w:ascii="Times New Roman" w:hAnsi="Times New Roman" w:cs="Times New Roman"/>
                <w:sz w:val="22"/>
              </w:rPr>
            </w:pPr>
          </w:p>
        </w:tc>
      </w:tr>
    </w:tbl>
    <w:bookmarkEnd w:id="3"/>
    <w:p w14:paraId="5FD34200" w14:textId="44E65B38" w:rsidR="00D01DCF" w:rsidRPr="00A43D7C" w:rsidRDefault="00D01DCF" w:rsidP="00985DAD">
      <w:pPr>
        <w:spacing w:before="120"/>
        <w:jc w:val="left"/>
        <w:rPr>
          <w:rFonts w:ascii="Times New Roman" w:hAnsi="Times New Roman" w:cs="Times New Roman"/>
          <w:sz w:val="24"/>
          <w:szCs w:val="24"/>
          <w:shd w:val="clear" w:color="auto" w:fill="FFFFFF"/>
        </w:rPr>
      </w:pPr>
      <w:r w:rsidRPr="00A43D7C">
        <w:rPr>
          <w:rFonts w:ascii="Times New Roman" w:eastAsia="SimSun" w:hAnsi="Times New Roman" w:cs="Times New Roman"/>
          <w:sz w:val="24"/>
          <w:szCs w:val="24"/>
        </w:rPr>
        <w:t>The Radiocommunication Advisory Group (RAG)</w:t>
      </w:r>
      <w:r w:rsidRPr="00A43D7C">
        <w:rPr>
          <w:rFonts w:ascii="Times New Roman" w:eastAsia="SimSun" w:hAnsi="Times New Roman" w:cs="Times New Roman"/>
          <w:sz w:val="24"/>
          <w:szCs w:val="24"/>
          <w:lang w:eastAsia="zh-CN"/>
        </w:rPr>
        <w:t xml:space="preserve"> would like to thank the Telecommunication Standardization Advisory Group (TSAG) for its Liaison Statement </w:t>
      </w:r>
      <w:r w:rsidRPr="00A43D7C">
        <w:rPr>
          <w:rFonts w:ascii="Times New Roman" w:hAnsi="Times New Roman" w:cs="Times New Roman"/>
          <w:sz w:val="24"/>
          <w:szCs w:val="24"/>
          <w:shd w:val="clear" w:color="auto" w:fill="FFFFFF"/>
        </w:rPr>
        <w:t xml:space="preserve">on Unmanned Aircraft Systems (UAS), received as </w:t>
      </w:r>
      <w:hyperlink r:id="rId42" w:history="1">
        <w:r w:rsidRPr="00A43D7C">
          <w:rPr>
            <w:rStyle w:val="Hyperlink"/>
            <w:rFonts w:ascii="Times New Roman" w:eastAsia="SimSun" w:hAnsi="Times New Roman" w:cs="Times New Roman"/>
            <w:color w:val="0070C0"/>
            <w:sz w:val="24"/>
            <w:szCs w:val="24"/>
            <w:lang w:eastAsia="zh-CN"/>
          </w:rPr>
          <w:t>RAG/57</w:t>
        </w:r>
      </w:hyperlink>
      <w:r w:rsidRPr="00A43D7C">
        <w:rPr>
          <w:rStyle w:val="FootnoteReference"/>
          <w:rFonts w:ascii="Times New Roman" w:eastAsia="SimSun" w:hAnsi="Times New Roman" w:cs="Times New Roman"/>
          <w:sz w:val="24"/>
          <w:szCs w:val="24"/>
          <w:lang w:eastAsia="zh-CN"/>
        </w:rPr>
        <w:footnoteReference w:id="3"/>
      </w:r>
      <w:r w:rsidRPr="00A43D7C">
        <w:rPr>
          <w:rFonts w:ascii="Times New Roman" w:hAnsi="Times New Roman" w:cs="Times New Roman"/>
          <w:sz w:val="24"/>
          <w:szCs w:val="24"/>
          <w:shd w:val="clear" w:color="auto" w:fill="FFFFFF"/>
        </w:rPr>
        <w:t>.</w:t>
      </w:r>
    </w:p>
    <w:p w14:paraId="4697DB08" w14:textId="77777777" w:rsidR="00D01DCF" w:rsidRPr="00A43D7C" w:rsidRDefault="00D01DCF" w:rsidP="00985DAD">
      <w:pPr>
        <w:spacing w:before="120"/>
        <w:jc w:val="left"/>
        <w:rPr>
          <w:rFonts w:ascii="Times New Roman" w:hAnsi="Times New Roman" w:cs="Times New Roman"/>
          <w:sz w:val="24"/>
          <w:szCs w:val="24"/>
        </w:rPr>
      </w:pPr>
      <w:r w:rsidRPr="00A43D7C">
        <w:rPr>
          <w:rFonts w:ascii="Times New Roman" w:hAnsi="Times New Roman" w:cs="Times New Roman"/>
          <w:sz w:val="24"/>
          <w:szCs w:val="24"/>
          <w:shd w:val="clear" w:color="auto" w:fill="FFFFFF"/>
        </w:rPr>
        <w:t>RAG discussed the LS at its 30</w:t>
      </w:r>
      <w:r w:rsidRPr="00A43D7C">
        <w:rPr>
          <w:rFonts w:ascii="Times New Roman" w:hAnsi="Times New Roman" w:cs="Times New Roman"/>
          <w:sz w:val="24"/>
          <w:szCs w:val="24"/>
          <w:shd w:val="clear" w:color="auto" w:fill="FFFFFF"/>
          <w:vertAlign w:val="superscript"/>
        </w:rPr>
        <w:t>th</w:t>
      </w:r>
      <w:r w:rsidRPr="00A43D7C">
        <w:rPr>
          <w:rFonts w:ascii="Times New Roman" w:hAnsi="Times New Roman" w:cs="Times New Roman"/>
          <w:sz w:val="24"/>
          <w:szCs w:val="24"/>
          <w:shd w:val="clear" w:color="auto" w:fill="FFFFFF"/>
        </w:rPr>
        <w:t xml:space="preserve"> meeting (1-3 May 2023) and notes </w:t>
      </w:r>
      <w:r w:rsidRPr="00A43D7C">
        <w:rPr>
          <w:rFonts w:ascii="Times New Roman" w:eastAsia="SimSun" w:hAnsi="Times New Roman" w:cs="Times New Roman"/>
          <w:sz w:val="24"/>
          <w:szCs w:val="24"/>
          <w:lang w:eastAsia="zh-CN"/>
        </w:rPr>
        <w:t>that TSAG is apparently performing several activities addressing the UAS and in particular drones, as a subset. In the view of RAG, UAS (including drones) is a radiocommunication related issue and hence is in the main purview of ITU-R. The operation of such systems is utmost safety related and needs a prior assessment of potential interference situations in the relevant ITU-R Study Groups.</w:t>
      </w:r>
    </w:p>
    <w:p w14:paraId="4ABAA45D" w14:textId="49FCCFA5" w:rsidR="00D01DCF" w:rsidRPr="00A43D7C" w:rsidRDefault="00D01DCF" w:rsidP="00985DAD">
      <w:pPr>
        <w:spacing w:before="120"/>
        <w:jc w:val="left"/>
        <w:rPr>
          <w:rFonts w:ascii="Times New Roman" w:eastAsia="SimSun" w:hAnsi="Times New Roman" w:cs="Times New Roman"/>
          <w:sz w:val="24"/>
          <w:szCs w:val="24"/>
          <w:lang w:eastAsia="zh-CN"/>
        </w:rPr>
      </w:pPr>
      <w:r w:rsidRPr="00A43D7C">
        <w:rPr>
          <w:rFonts w:ascii="Times New Roman" w:hAnsi="Times New Roman" w:cs="Times New Roman"/>
          <w:sz w:val="24"/>
          <w:szCs w:val="24"/>
        </w:rPr>
        <w:t xml:space="preserve">The RAG wishes to inform TSAG that the use of frequencies for UAS, are being addressed within ITU-R, for example under Agenda </w:t>
      </w:r>
      <w:r w:rsidR="00BF2489">
        <w:rPr>
          <w:rFonts w:ascii="Times New Roman" w:hAnsi="Times New Roman" w:cs="Times New Roman"/>
          <w:sz w:val="24"/>
          <w:szCs w:val="24"/>
        </w:rPr>
        <w:t>i</w:t>
      </w:r>
      <w:r w:rsidRPr="00A43D7C">
        <w:rPr>
          <w:rFonts w:ascii="Times New Roman" w:hAnsi="Times New Roman" w:cs="Times New Roman"/>
          <w:sz w:val="24"/>
          <w:szCs w:val="24"/>
        </w:rPr>
        <w:t xml:space="preserve">tem 1.8 of the WRC-23. The implementation of RR No. </w:t>
      </w:r>
      <w:r w:rsidRPr="00A43D7C">
        <w:rPr>
          <w:rFonts w:ascii="Times New Roman" w:hAnsi="Times New Roman" w:cs="Times New Roman"/>
          <w:b/>
          <w:bCs/>
          <w:sz w:val="24"/>
          <w:szCs w:val="24"/>
        </w:rPr>
        <w:t>4.10</w:t>
      </w:r>
      <w:r w:rsidRPr="00A43D7C">
        <w:rPr>
          <w:rFonts w:ascii="Times New Roman" w:hAnsi="Times New Roman" w:cs="Times New Roman"/>
          <w:sz w:val="24"/>
          <w:szCs w:val="24"/>
        </w:rPr>
        <w:t xml:space="preserve"> and the overall requirements for safety of life/flight have to be resolved in the ITU-R.   The RAG also notes that, in addition to the related item in WRC-23, other work on UAS is also being considered by </w:t>
      </w:r>
      <w:r w:rsidR="000B1BB9">
        <w:rPr>
          <w:rFonts w:ascii="Times New Roman" w:hAnsi="Times New Roman" w:cs="Times New Roman"/>
          <w:sz w:val="24"/>
          <w:szCs w:val="24"/>
        </w:rPr>
        <w:br/>
      </w:r>
      <w:r w:rsidRPr="00A43D7C">
        <w:rPr>
          <w:rFonts w:ascii="Times New Roman" w:hAnsi="Times New Roman" w:cs="Times New Roman"/>
          <w:sz w:val="24"/>
          <w:szCs w:val="24"/>
        </w:rPr>
        <w:t>ITU-R Working Parties consistent with their mandates and in coordination with the International Civil Aviation Organization (ICAO), as appropriate.  Therefore, RAG requests through TSAG that ITU-T refrain from doing any work on UAS at least until these issues are resolved within ITU-R.</w:t>
      </w:r>
    </w:p>
    <w:p w14:paraId="7540512F" w14:textId="77777777" w:rsidR="00D01DCF" w:rsidRPr="00A43D7C" w:rsidRDefault="00D01DCF" w:rsidP="00985DAD">
      <w:pPr>
        <w:spacing w:before="120"/>
        <w:jc w:val="left"/>
        <w:rPr>
          <w:rFonts w:ascii="Times New Roman" w:eastAsia="SimSun" w:hAnsi="Times New Roman" w:cs="Times New Roman"/>
          <w:sz w:val="24"/>
          <w:szCs w:val="24"/>
          <w:lang w:eastAsia="zh-CN"/>
        </w:rPr>
      </w:pPr>
      <w:r w:rsidRPr="00A43D7C">
        <w:rPr>
          <w:rFonts w:ascii="Times New Roman" w:eastAsia="SimSun" w:hAnsi="Times New Roman" w:cs="Times New Roman"/>
          <w:sz w:val="24"/>
          <w:szCs w:val="24"/>
          <w:lang w:eastAsia="zh-CN"/>
        </w:rPr>
        <w:t xml:space="preserve">RAG would like to emphasize, that any topic relating to the use of radio frequencies, and which could bring possible inconsistencies to the use of the radio spectrum should be dealt with in ITU-R, or in any case with appropriate liaison with ITU-R and not independently by ITU-T. This understanding is also clearly stated in Article 14(2) of the </w:t>
      </w:r>
      <w:hyperlink r:id="rId43">
        <w:r w:rsidRPr="00A43D7C">
          <w:rPr>
            <w:rStyle w:val="Hyperlink"/>
            <w:rFonts w:ascii="Times New Roman" w:eastAsia="SimSun" w:hAnsi="Times New Roman" w:cs="Times New Roman"/>
            <w:sz w:val="24"/>
            <w:szCs w:val="24"/>
            <w:lang w:eastAsia="zh-CN"/>
          </w:rPr>
          <w:t>ITU Convention</w:t>
        </w:r>
      </w:hyperlink>
      <w:r w:rsidRPr="00A43D7C">
        <w:rPr>
          <w:rFonts w:ascii="Times New Roman" w:eastAsia="SimSun" w:hAnsi="Times New Roman" w:cs="Times New Roman"/>
          <w:sz w:val="24"/>
          <w:szCs w:val="24"/>
          <w:lang w:eastAsia="zh-CN"/>
        </w:rPr>
        <w:t xml:space="preserve"> (CV 193), which states: </w:t>
      </w:r>
      <w:r w:rsidRPr="00A43D7C">
        <w:rPr>
          <w:rFonts w:ascii="Times New Roman" w:eastAsia="SimSun" w:hAnsi="Times New Roman" w:cs="Times New Roman"/>
          <w:sz w:val="24"/>
          <w:szCs w:val="24"/>
          <w:lang w:eastAsia="zh-CN"/>
        </w:rPr>
        <w:lastRenderedPageBreak/>
        <w:t>“</w:t>
      </w:r>
      <w:r w:rsidRPr="00A43D7C">
        <w:rPr>
          <w:rFonts w:ascii="Times New Roman" w:eastAsia="SimSun" w:hAnsi="Times New Roman" w:cs="Times New Roman"/>
          <w:i/>
          <w:iCs/>
          <w:sz w:val="24"/>
          <w:szCs w:val="24"/>
          <w:lang w:eastAsia="zh-CN"/>
        </w:rPr>
        <w:t>Technical or operating questions specifically related to radiocommunication as enumerated in Nos. 151 to 154 of this Convention shall be within the purview of the Radiocommunication Sector.</w:t>
      </w:r>
      <w:r w:rsidRPr="00A43D7C">
        <w:rPr>
          <w:rFonts w:ascii="Times New Roman" w:eastAsia="SimSun" w:hAnsi="Times New Roman" w:cs="Times New Roman"/>
          <w:sz w:val="24"/>
          <w:szCs w:val="24"/>
          <w:lang w:eastAsia="zh-CN"/>
        </w:rPr>
        <w:t xml:space="preserve">” </w:t>
      </w:r>
    </w:p>
    <w:p w14:paraId="3F776A44" w14:textId="205B4792" w:rsidR="00D01DCF" w:rsidRPr="00A43D7C" w:rsidRDefault="00D01DCF" w:rsidP="00985DAD">
      <w:pPr>
        <w:spacing w:before="120"/>
        <w:jc w:val="left"/>
        <w:rPr>
          <w:rFonts w:ascii="Times New Roman" w:hAnsi="Times New Roman" w:cs="Times New Roman"/>
          <w:sz w:val="24"/>
          <w:szCs w:val="24"/>
          <w:lang w:eastAsia="zh-CN"/>
        </w:rPr>
      </w:pPr>
      <w:r w:rsidRPr="00A43D7C">
        <w:rPr>
          <w:rFonts w:ascii="Times New Roman" w:hAnsi="Times New Roman" w:cs="Times New Roman"/>
          <w:sz w:val="24"/>
          <w:szCs w:val="24"/>
          <w:lang w:eastAsia="zh-CN"/>
        </w:rPr>
        <w:t xml:space="preserve">Furthermore, and as a general matter, RAG would like to note that a similar consideration – that the main responsibility for the addressed Services lies within ITU-R </w:t>
      </w:r>
      <w:r w:rsidR="00306725">
        <w:rPr>
          <w:rFonts w:ascii="Times New Roman" w:hAnsi="Times New Roman" w:cs="Times New Roman"/>
          <w:sz w:val="24"/>
          <w:szCs w:val="24"/>
          <w:lang w:eastAsia="zh-CN"/>
        </w:rPr>
        <w:t>–</w:t>
      </w:r>
      <w:r w:rsidR="00306725" w:rsidRPr="00A43D7C">
        <w:rPr>
          <w:rFonts w:ascii="Times New Roman" w:hAnsi="Times New Roman" w:cs="Times New Roman"/>
          <w:sz w:val="24"/>
          <w:szCs w:val="24"/>
          <w:lang w:eastAsia="zh-CN"/>
        </w:rPr>
        <w:t xml:space="preserve"> </w:t>
      </w:r>
      <w:r w:rsidRPr="00A43D7C">
        <w:rPr>
          <w:rFonts w:ascii="Times New Roman" w:hAnsi="Times New Roman" w:cs="Times New Roman"/>
          <w:sz w:val="24"/>
          <w:szCs w:val="24"/>
          <w:lang w:eastAsia="zh-CN"/>
        </w:rPr>
        <w:t>is to be applied for several other LS received from ITU-T Study Groups, e.g.:</w:t>
      </w:r>
    </w:p>
    <w:p w14:paraId="633485A6" w14:textId="1031D6C5" w:rsidR="00D01DCF" w:rsidRPr="00A43D7C" w:rsidRDefault="00371B81" w:rsidP="00985DAD">
      <w:pPr>
        <w:pStyle w:val="ListParagraph"/>
        <w:numPr>
          <w:ilvl w:val="0"/>
          <w:numId w:val="36"/>
        </w:numPr>
        <w:tabs>
          <w:tab w:val="clear" w:pos="794"/>
          <w:tab w:val="clear" w:pos="1191"/>
          <w:tab w:val="clear" w:pos="1588"/>
          <w:tab w:val="clear" w:pos="1985"/>
          <w:tab w:val="left" w:pos="1134"/>
          <w:tab w:val="left" w:pos="1871"/>
          <w:tab w:val="left" w:pos="2268"/>
        </w:tabs>
        <w:spacing w:before="120" w:line="240" w:lineRule="auto"/>
        <w:contextualSpacing w:val="0"/>
        <w:jc w:val="left"/>
        <w:rPr>
          <w:rFonts w:ascii="Times New Roman" w:hAnsi="Times New Roman" w:cs="Times New Roman"/>
          <w:sz w:val="24"/>
          <w:szCs w:val="24"/>
          <w:lang w:eastAsia="zh-CN"/>
        </w:rPr>
      </w:pPr>
      <w:hyperlink r:id="rId44" w:history="1">
        <w:r w:rsidR="00D01DCF" w:rsidRPr="00A43D7C">
          <w:rPr>
            <w:rStyle w:val="Hyperlink"/>
            <w:rFonts w:ascii="Times New Roman" w:hAnsi="Times New Roman" w:cs="Times New Roman"/>
            <w:color w:val="0070C0"/>
            <w:sz w:val="24"/>
            <w:szCs w:val="24"/>
            <w:lang w:eastAsia="zh-CN"/>
          </w:rPr>
          <w:t>5D/1553</w:t>
        </w:r>
      </w:hyperlink>
      <w:r w:rsidR="00D01DCF" w:rsidRPr="00A43D7C">
        <w:rPr>
          <w:rFonts w:ascii="Times New Roman" w:hAnsi="Times New Roman" w:cs="Times New Roman"/>
          <w:color w:val="0070C0"/>
          <w:sz w:val="24"/>
          <w:szCs w:val="24"/>
          <w:lang w:eastAsia="zh-CN"/>
        </w:rPr>
        <w:t xml:space="preserve"> </w:t>
      </w:r>
      <w:r w:rsidR="00D01DCF" w:rsidRPr="00A43D7C">
        <w:rPr>
          <w:rFonts w:ascii="Times New Roman" w:hAnsi="Times New Roman" w:cs="Times New Roman"/>
          <w:sz w:val="24"/>
          <w:szCs w:val="24"/>
          <w:lang w:eastAsia="zh-CN"/>
        </w:rPr>
        <w:t>(LS from ITU-T SG 13 on "Fixed, mobile and satellite convergence - Requirements of supporting airborne broadband communication in IMT-2020 networks and beyond")</w:t>
      </w:r>
      <w:r w:rsidR="007D093E">
        <w:rPr>
          <w:rFonts w:ascii="Times New Roman" w:hAnsi="Times New Roman" w:cs="Times New Roman"/>
          <w:sz w:val="24"/>
          <w:szCs w:val="24"/>
          <w:lang w:eastAsia="zh-CN"/>
        </w:rPr>
        <w:t>;</w:t>
      </w:r>
    </w:p>
    <w:p w14:paraId="70F80E10" w14:textId="0BB3195C" w:rsidR="00D01DCF" w:rsidRPr="00A43D7C" w:rsidRDefault="00371B81" w:rsidP="00985DAD">
      <w:pPr>
        <w:pStyle w:val="ListParagraph"/>
        <w:numPr>
          <w:ilvl w:val="0"/>
          <w:numId w:val="36"/>
        </w:numPr>
        <w:tabs>
          <w:tab w:val="clear" w:pos="794"/>
          <w:tab w:val="clear" w:pos="1191"/>
          <w:tab w:val="clear" w:pos="1588"/>
          <w:tab w:val="clear" w:pos="1985"/>
          <w:tab w:val="left" w:pos="1134"/>
          <w:tab w:val="left" w:pos="1871"/>
          <w:tab w:val="left" w:pos="2268"/>
        </w:tabs>
        <w:spacing w:before="120" w:line="240" w:lineRule="auto"/>
        <w:contextualSpacing w:val="0"/>
        <w:jc w:val="left"/>
        <w:rPr>
          <w:rFonts w:ascii="Times New Roman" w:hAnsi="Times New Roman" w:cs="Times New Roman"/>
          <w:sz w:val="24"/>
          <w:szCs w:val="24"/>
          <w:lang w:eastAsia="zh-CN"/>
        </w:rPr>
      </w:pPr>
      <w:hyperlink r:id="rId45" w:history="1">
        <w:r w:rsidR="00D01DCF" w:rsidRPr="00A43D7C">
          <w:rPr>
            <w:rStyle w:val="Hyperlink"/>
            <w:rFonts w:ascii="Times New Roman" w:hAnsi="Times New Roman" w:cs="Times New Roman"/>
            <w:color w:val="0070C0"/>
            <w:sz w:val="24"/>
            <w:szCs w:val="24"/>
            <w:lang w:eastAsia="zh-CN"/>
          </w:rPr>
          <w:t>4/73</w:t>
        </w:r>
      </w:hyperlink>
      <w:r w:rsidR="00D01DCF" w:rsidRPr="00A43D7C">
        <w:rPr>
          <w:rFonts w:ascii="Times New Roman" w:hAnsi="Times New Roman" w:cs="Times New Roman"/>
          <w:sz w:val="24"/>
          <w:szCs w:val="24"/>
          <w:lang w:eastAsia="zh-CN"/>
        </w:rPr>
        <w:t xml:space="preserve">, </w:t>
      </w:r>
      <w:hyperlink r:id="rId46" w:history="1">
        <w:r w:rsidR="00D01DCF" w:rsidRPr="00A43D7C">
          <w:rPr>
            <w:rStyle w:val="Hyperlink"/>
            <w:rFonts w:ascii="Times New Roman" w:hAnsi="Times New Roman" w:cs="Times New Roman"/>
            <w:sz w:val="24"/>
            <w:szCs w:val="24"/>
            <w:lang w:eastAsia="zh-CN"/>
          </w:rPr>
          <w:t>5/117</w:t>
        </w:r>
      </w:hyperlink>
      <w:r w:rsidR="00D01DCF" w:rsidRPr="00A43D7C">
        <w:rPr>
          <w:rFonts w:ascii="Times New Roman" w:hAnsi="Times New Roman" w:cs="Times New Roman"/>
          <w:sz w:val="24"/>
          <w:szCs w:val="24"/>
          <w:lang w:eastAsia="zh-CN"/>
        </w:rPr>
        <w:t xml:space="preserve"> (LS from ITU-T SG 13 regarding the “use cases of satellite communications in developing countries”)</w:t>
      </w:r>
      <w:r w:rsidR="002F2F84">
        <w:rPr>
          <w:rFonts w:ascii="Times New Roman" w:hAnsi="Times New Roman" w:cs="Times New Roman"/>
          <w:sz w:val="24"/>
          <w:szCs w:val="24"/>
          <w:lang w:eastAsia="zh-CN"/>
        </w:rPr>
        <w:t>.</w:t>
      </w:r>
    </w:p>
    <w:p w14:paraId="77407711" w14:textId="77777777" w:rsidR="00D01DCF" w:rsidRPr="00A43D7C" w:rsidRDefault="00D01DCF" w:rsidP="00985DAD">
      <w:pPr>
        <w:spacing w:before="120"/>
        <w:jc w:val="left"/>
        <w:rPr>
          <w:rFonts w:ascii="Times New Roman" w:eastAsia="SimSun" w:hAnsi="Times New Roman" w:cs="Times New Roman"/>
          <w:sz w:val="24"/>
          <w:szCs w:val="24"/>
          <w:lang w:eastAsia="zh-CN"/>
        </w:rPr>
      </w:pPr>
      <w:r w:rsidRPr="00A43D7C">
        <w:rPr>
          <w:rFonts w:ascii="Times New Roman" w:eastAsia="SimSun" w:hAnsi="Times New Roman" w:cs="Times New Roman"/>
          <w:sz w:val="24"/>
          <w:szCs w:val="24"/>
          <w:lang w:eastAsia="zh-CN"/>
        </w:rPr>
        <w:t>RAG appreciates and encourages the use of Liaison Statements between the ITU-T and ITU-R to improve coordination of their activities, and to avoid initiating any work or considering any contributions that are within the mandate of the other sector. In case of overlapping responsibility, prior consultation would be needed. Recognizing that contributions may be received that are outside its mandate, RAG invites TSAG to encourage the leadership of the group receiving such contributions to inform the submitting party that this topic is not within their terms of reference and, as appropriate, submit the contribution to the appropriate group.</w:t>
      </w:r>
    </w:p>
    <w:p w14:paraId="7F24BFBB" w14:textId="678FC012" w:rsidR="00D01DCF" w:rsidRPr="00A43D7C" w:rsidRDefault="00D01DCF" w:rsidP="00985DAD">
      <w:pPr>
        <w:spacing w:before="120"/>
        <w:jc w:val="left"/>
        <w:rPr>
          <w:rFonts w:ascii="Times New Roman" w:hAnsi="Times New Roman" w:cs="Times New Roman"/>
          <w:sz w:val="24"/>
          <w:szCs w:val="24"/>
        </w:rPr>
      </w:pPr>
      <w:r w:rsidRPr="00A43D7C">
        <w:rPr>
          <w:rFonts w:ascii="Times New Roman" w:hAnsi="Times New Roman" w:cs="Times New Roman"/>
          <w:sz w:val="24"/>
          <w:szCs w:val="24"/>
        </w:rPr>
        <w:t>RAG is looking forward to continuing collaboration with TSAG on a proper implementation of the appropriate liaison between ITU-R and ITU-T on issues dealing with Radiocommunication Services.</w:t>
      </w:r>
    </w:p>
    <w:p w14:paraId="10C87358" w14:textId="74FDB3A8" w:rsidR="00A71DD7" w:rsidRPr="00A43D7C" w:rsidRDefault="00A71DD7" w:rsidP="00985DAD">
      <w:pPr>
        <w:spacing w:before="120"/>
        <w:jc w:val="left"/>
        <w:rPr>
          <w:rFonts w:ascii="Times New Roman" w:hAnsi="Times New Roman" w:cs="Times New Roman"/>
          <w:sz w:val="24"/>
          <w:szCs w:val="24"/>
        </w:rPr>
      </w:pPr>
    </w:p>
    <w:p w14:paraId="43E2392E" w14:textId="77777777" w:rsidR="00A71DD7" w:rsidRPr="00A43D7C" w:rsidRDefault="00A71DD7" w:rsidP="00D01DCF">
      <w:pPr>
        <w:spacing w:before="12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01DCF" w:rsidRPr="00A43D7C" w14:paraId="3BB00658" w14:textId="77777777" w:rsidTr="00B179B7">
        <w:tc>
          <w:tcPr>
            <w:tcW w:w="4814" w:type="dxa"/>
            <w:hideMark/>
          </w:tcPr>
          <w:p w14:paraId="002077BA" w14:textId="22DB6341" w:rsidR="00D01DCF" w:rsidRPr="00A43D7C" w:rsidRDefault="00D01DCF" w:rsidP="00A71DD7">
            <w:pPr>
              <w:spacing w:before="0" w:line="240" w:lineRule="auto"/>
              <w:rPr>
                <w:rFonts w:ascii="Times New Roman" w:hAnsi="Times New Roman" w:cs="Times New Roman"/>
                <w:sz w:val="24"/>
                <w:szCs w:val="24"/>
              </w:rPr>
            </w:pPr>
            <w:r w:rsidRPr="00A43D7C">
              <w:rPr>
                <w:rFonts w:ascii="Times New Roman" w:hAnsi="Times New Roman" w:cs="Times New Roman"/>
                <w:b/>
                <w:bCs/>
                <w:sz w:val="24"/>
                <w:szCs w:val="24"/>
                <w:lang w:eastAsia="ja-JP"/>
              </w:rPr>
              <w:t xml:space="preserve">Status: </w:t>
            </w:r>
            <w:r w:rsidRPr="00A43D7C">
              <w:rPr>
                <w:rFonts w:ascii="Times New Roman" w:hAnsi="Times New Roman" w:cs="Times New Roman"/>
                <w:b/>
                <w:bCs/>
                <w:sz w:val="24"/>
                <w:szCs w:val="24"/>
                <w:lang w:eastAsia="ja-JP"/>
              </w:rPr>
              <w:tab/>
            </w:r>
            <w:r w:rsidR="00610464">
              <w:rPr>
                <w:rFonts w:ascii="Times New Roman" w:hAnsi="Times New Roman" w:cs="Times New Roman"/>
                <w:b/>
                <w:bCs/>
                <w:sz w:val="24"/>
                <w:szCs w:val="24"/>
                <w:lang w:eastAsia="ja-JP"/>
              </w:rPr>
              <w:tab/>
            </w:r>
            <w:r w:rsidRPr="00A43D7C">
              <w:rPr>
                <w:rFonts w:ascii="Times New Roman" w:hAnsi="Times New Roman" w:cs="Times New Roman"/>
                <w:sz w:val="24"/>
                <w:szCs w:val="24"/>
              </w:rPr>
              <w:t>For action</w:t>
            </w:r>
          </w:p>
          <w:p w14:paraId="073B6423" w14:textId="7D8F5E45" w:rsidR="00322487" w:rsidRPr="00A43D7C" w:rsidRDefault="00322487" w:rsidP="00A71DD7">
            <w:pPr>
              <w:spacing w:before="0" w:line="240" w:lineRule="auto"/>
              <w:rPr>
                <w:rFonts w:ascii="Times New Roman" w:hAnsi="Times New Roman" w:cs="Times New Roman"/>
                <w:sz w:val="24"/>
                <w:szCs w:val="24"/>
              </w:rPr>
            </w:pPr>
          </w:p>
        </w:tc>
        <w:tc>
          <w:tcPr>
            <w:tcW w:w="4815" w:type="dxa"/>
            <w:hideMark/>
          </w:tcPr>
          <w:p w14:paraId="0C7D3D94" w14:textId="77777777" w:rsidR="00D01DCF" w:rsidRPr="00A43D7C" w:rsidRDefault="00D01DCF" w:rsidP="00A71DD7">
            <w:pPr>
              <w:spacing w:before="0" w:line="240" w:lineRule="auto"/>
              <w:rPr>
                <w:rFonts w:ascii="Times New Roman" w:hAnsi="Times New Roman" w:cs="Times New Roman"/>
                <w:sz w:val="24"/>
                <w:szCs w:val="24"/>
                <w:lang w:eastAsia="ja-JP"/>
              </w:rPr>
            </w:pPr>
          </w:p>
        </w:tc>
      </w:tr>
      <w:tr w:rsidR="00D01DCF" w:rsidRPr="00A43D7C" w14:paraId="36379458" w14:textId="77777777" w:rsidTr="00B179B7">
        <w:tc>
          <w:tcPr>
            <w:tcW w:w="4814" w:type="dxa"/>
          </w:tcPr>
          <w:p w14:paraId="5AF61D03" w14:textId="5E884639" w:rsidR="00D01DCF" w:rsidRPr="00A43D7C" w:rsidRDefault="00D01DCF" w:rsidP="00A71DD7">
            <w:pPr>
              <w:spacing w:before="0" w:line="240" w:lineRule="auto"/>
              <w:rPr>
                <w:rFonts w:ascii="Times New Roman" w:hAnsi="Times New Roman" w:cs="Times New Roman"/>
                <w:sz w:val="24"/>
                <w:szCs w:val="24"/>
                <w:lang w:eastAsia="ja-JP"/>
              </w:rPr>
            </w:pPr>
            <w:r w:rsidRPr="00A43D7C">
              <w:rPr>
                <w:rFonts w:ascii="Times New Roman" w:hAnsi="Times New Roman" w:cs="Times New Roman"/>
                <w:b/>
                <w:bCs/>
                <w:sz w:val="24"/>
                <w:szCs w:val="24"/>
                <w:lang w:eastAsia="ja-JP"/>
              </w:rPr>
              <w:t>Contact:</w:t>
            </w:r>
            <w:r w:rsidRPr="00A43D7C">
              <w:rPr>
                <w:rFonts w:ascii="Times New Roman" w:hAnsi="Times New Roman" w:cs="Times New Roman"/>
                <w:sz w:val="24"/>
                <w:szCs w:val="24"/>
                <w:lang w:eastAsia="ja-JP"/>
              </w:rPr>
              <w:tab/>
              <w:t>Paul Najarian (USA)</w:t>
            </w:r>
          </w:p>
          <w:p w14:paraId="6AF044EB" w14:textId="789DDB61" w:rsidR="00322487" w:rsidRPr="00A43D7C" w:rsidRDefault="00322487" w:rsidP="00A71DD7">
            <w:pPr>
              <w:spacing w:before="0" w:line="240" w:lineRule="auto"/>
              <w:rPr>
                <w:rFonts w:ascii="Times New Roman" w:hAnsi="Times New Roman" w:cs="Times New Roman"/>
                <w:b/>
                <w:bCs/>
                <w:sz w:val="24"/>
                <w:szCs w:val="24"/>
                <w:lang w:eastAsia="ja-JP"/>
              </w:rPr>
            </w:pPr>
          </w:p>
        </w:tc>
        <w:tc>
          <w:tcPr>
            <w:tcW w:w="4815" w:type="dxa"/>
          </w:tcPr>
          <w:p w14:paraId="1E90DB3E" w14:textId="2CFACF07" w:rsidR="00D01DCF" w:rsidRPr="00A43D7C" w:rsidRDefault="00D01DCF" w:rsidP="00A71DD7">
            <w:pPr>
              <w:spacing w:before="0" w:line="240" w:lineRule="auto"/>
              <w:rPr>
                <w:rFonts w:ascii="Times New Roman" w:hAnsi="Times New Roman" w:cs="Times New Roman"/>
                <w:b/>
                <w:bCs/>
                <w:sz w:val="24"/>
                <w:szCs w:val="24"/>
                <w:lang w:eastAsia="ja-JP"/>
              </w:rPr>
            </w:pPr>
            <w:r w:rsidRPr="00A43D7C">
              <w:rPr>
                <w:rFonts w:ascii="Times New Roman" w:hAnsi="Times New Roman" w:cs="Times New Roman"/>
                <w:b/>
                <w:bCs/>
                <w:sz w:val="24"/>
                <w:szCs w:val="24"/>
                <w:lang w:eastAsia="ja-JP"/>
              </w:rPr>
              <w:t>E-mail</w:t>
            </w:r>
            <w:r w:rsidRPr="00A43D7C">
              <w:rPr>
                <w:rFonts w:ascii="Times New Roman" w:hAnsi="Times New Roman" w:cs="Times New Roman"/>
                <w:sz w:val="24"/>
                <w:szCs w:val="24"/>
                <w:lang w:eastAsia="ja-JP"/>
              </w:rPr>
              <w:t>:</w:t>
            </w:r>
            <w:r w:rsidRPr="00A43D7C">
              <w:rPr>
                <w:rFonts w:ascii="Times New Roman" w:hAnsi="Times New Roman" w:cs="Times New Roman"/>
                <w:sz w:val="24"/>
                <w:szCs w:val="24"/>
                <w:lang w:eastAsia="ja-JP"/>
              </w:rPr>
              <w:tab/>
              <w:t>najarianpb@state.gov</w:t>
            </w:r>
            <w:r w:rsidRPr="00A43D7C">
              <w:rPr>
                <w:rStyle w:val="Hyperlink"/>
                <w:rFonts w:ascii="Times New Roman" w:eastAsia="SimSun" w:hAnsi="Times New Roman" w:cs="Times New Roman"/>
                <w:sz w:val="24"/>
                <w:szCs w:val="24"/>
              </w:rPr>
              <w:t xml:space="preserve"> </w:t>
            </w:r>
          </w:p>
        </w:tc>
      </w:tr>
    </w:tbl>
    <w:p w14:paraId="036AE052" w14:textId="77777777" w:rsidR="00C259CE" w:rsidRDefault="00C259CE" w:rsidP="00411C49">
      <w:pPr>
        <w:pStyle w:val="Reasons"/>
      </w:pPr>
    </w:p>
    <w:p w14:paraId="3E8269C3" w14:textId="6842CACF" w:rsidR="00D01DCF" w:rsidRPr="00C259CE" w:rsidRDefault="00C259CE" w:rsidP="00C259CE">
      <w:pPr>
        <w:jc w:val="center"/>
      </w:pPr>
      <w:r>
        <w:t>______________</w:t>
      </w:r>
    </w:p>
    <w:p w14:paraId="5244A6F6" w14:textId="65FE0A47" w:rsidR="00EB385C" w:rsidRPr="00A43D7C" w:rsidRDefault="00EB385C">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p>
    <w:p w14:paraId="008893FD" w14:textId="77777777" w:rsidR="00EB385C" w:rsidRDefault="00EB385C" w:rsidP="007F45B5">
      <w:pPr>
        <w:spacing w:before="360"/>
        <w:rPr>
          <w:lang w:val="en-GB"/>
        </w:rPr>
      </w:pPr>
    </w:p>
    <w:p w14:paraId="5008C0A4" w14:textId="77777777" w:rsidR="007F45B5" w:rsidRPr="00C259CE" w:rsidRDefault="007F45B5" w:rsidP="007F45B5">
      <w:pPr>
        <w:rPr>
          <w:lang w:val="en-GB"/>
        </w:rPr>
      </w:pPr>
    </w:p>
    <w:sectPr w:rsidR="007F45B5" w:rsidRPr="00C259CE" w:rsidSect="00D01DCF">
      <w:headerReference w:type="even" r:id="rId47"/>
      <w:headerReference w:type="default" r:id="rId48"/>
      <w:pgSz w:w="11907" w:h="16834" w:code="9"/>
      <w:pgMar w:top="1134" w:right="992" w:bottom="900" w:left="1134" w:header="567" w:footer="2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6254" w14:textId="77777777" w:rsidR="00AD6B96" w:rsidRDefault="00AD6B96">
      <w:r>
        <w:separator/>
      </w:r>
    </w:p>
  </w:endnote>
  <w:endnote w:type="continuationSeparator" w:id="0">
    <w:p w14:paraId="43A37819" w14:textId="77777777" w:rsidR="00AD6B96" w:rsidRDefault="00AD6B96">
      <w:r>
        <w:continuationSeparator/>
      </w:r>
    </w:p>
  </w:endnote>
  <w:endnote w:type="continuationNotice" w:id="1">
    <w:p w14:paraId="3803B311" w14:textId="77777777" w:rsidR="00AD6B96" w:rsidRDefault="00AD6B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Tel: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9CF7" w14:textId="77777777" w:rsidR="00C71BFB" w:rsidRPr="005224A1" w:rsidRDefault="00C71BFB" w:rsidP="00406D71">
    <w:pPr>
      <w:pStyle w:val="FirstFooter"/>
      <w:spacing w:before="0" w:line="240" w:lineRule="auto"/>
      <w:ind w:left="-397" w:right="-397"/>
      <w:rPr>
        <w:sz w:val="20"/>
        <w:szCs w:val="18"/>
      </w:rPr>
    </w:pPr>
  </w:p>
  <w:p w14:paraId="40208106" w14:textId="77777777" w:rsidR="00C71BFB" w:rsidRPr="00C4515A" w:rsidRDefault="00C71BFB"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B02D" w14:textId="77777777" w:rsidR="00AD6B96" w:rsidRDefault="00AD6B96">
      <w:r>
        <w:t>____________________</w:t>
      </w:r>
    </w:p>
  </w:footnote>
  <w:footnote w:type="continuationSeparator" w:id="0">
    <w:p w14:paraId="37DDB9BE" w14:textId="77777777" w:rsidR="00AD6B96" w:rsidRDefault="00AD6B96">
      <w:r>
        <w:continuationSeparator/>
      </w:r>
    </w:p>
  </w:footnote>
  <w:footnote w:type="continuationNotice" w:id="1">
    <w:p w14:paraId="2D02E942" w14:textId="77777777" w:rsidR="00AD6B96" w:rsidRDefault="00AD6B96">
      <w:pPr>
        <w:spacing w:before="0" w:line="240" w:lineRule="auto"/>
      </w:pPr>
    </w:p>
  </w:footnote>
  <w:footnote w:id="2">
    <w:p w14:paraId="57E2FD78" w14:textId="77777777" w:rsidR="00B20367" w:rsidRPr="006F4449" w:rsidRDefault="00B20367" w:rsidP="00B20367">
      <w:pPr>
        <w:pStyle w:val="FootnoteText"/>
      </w:pPr>
      <w:r>
        <w:rPr>
          <w:rStyle w:val="FootnoteReference"/>
        </w:rPr>
        <w:footnoteRef/>
      </w:r>
      <w:r>
        <w:t xml:space="preserve"> </w:t>
      </w:r>
      <w:r w:rsidRPr="00B915E0">
        <w:rPr>
          <w:rFonts w:asciiTheme="minorHAnsi" w:hAnsiTheme="minorHAnsi" w:cstheme="minorHAnsi"/>
          <w:sz w:val="22"/>
        </w:rPr>
        <w:t>Only those aspects related to the work of the RAG CG-2</w:t>
      </w:r>
    </w:p>
  </w:footnote>
  <w:footnote w:id="3">
    <w:p w14:paraId="199375DA" w14:textId="77777777" w:rsidR="00D01DCF" w:rsidRDefault="00D01DCF" w:rsidP="00D01DCF">
      <w:pPr>
        <w:rPr>
          <w:lang w:eastAsia="zh-CN"/>
        </w:rPr>
      </w:pPr>
      <w:r>
        <w:rPr>
          <w:rStyle w:val="FootnoteReference"/>
        </w:rPr>
        <w:footnoteRef/>
      </w:r>
      <w:r>
        <w:t xml:space="preserve"> </w:t>
      </w:r>
      <w:r w:rsidRPr="002032CF">
        <w:rPr>
          <w:rFonts w:ascii="Times New Roman" w:hAnsi="Times New Roman" w:cs="Times New Roman"/>
        </w:rPr>
        <w:t xml:space="preserve">Also as </w:t>
      </w:r>
      <w:hyperlink r:id="rId1" w:history="1">
        <w:r w:rsidRPr="002032CF">
          <w:rPr>
            <w:rStyle w:val="Hyperlink"/>
            <w:rFonts w:ascii="Times New Roman" w:hAnsi="Times New Roman" w:cs="Times New Roman"/>
            <w:lang w:eastAsia="zh-CN"/>
          </w:rPr>
          <w:t>4A/868</w:t>
        </w:r>
      </w:hyperlink>
      <w:r w:rsidRPr="002032CF">
        <w:rPr>
          <w:rFonts w:ascii="Times New Roman" w:hAnsi="Times New Roman" w:cs="Times New Roman"/>
          <w:lang w:eastAsia="zh-CN"/>
        </w:rPr>
        <w:t xml:space="preserve">, </w:t>
      </w:r>
      <w:hyperlink r:id="rId2" w:history="1">
        <w:r w:rsidRPr="002032CF">
          <w:rPr>
            <w:rStyle w:val="Hyperlink"/>
            <w:rFonts w:ascii="Times New Roman" w:hAnsi="Times New Roman" w:cs="Times New Roman"/>
            <w:lang w:eastAsia="zh-CN"/>
          </w:rPr>
          <w:t>4C/402</w:t>
        </w:r>
      </w:hyperlink>
      <w:r w:rsidRPr="002032CF">
        <w:rPr>
          <w:rFonts w:ascii="Times New Roman" w:hAnsi="Times New Roman" w:cs="Times New Roman"/>
          <w:lang w:eastAsia="zh-CN"/>
        </w:rPr>
        <w:t>, 5B/735</w:t>
      </w:r>
    </w:p>
    <w:p w14:paraId="491CE810" w14:textId="77777777" w:rsidR="00D01DCF" w:rsidRPr="00A85027" w:rsidRDefault="00D01DCF" w:rsidP="00D01D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5850850D" w:rsidR="002A6CEE" w:rsidRPr="000D79FA" w:rsidRDefault="00E20048" w:rsidP="002A6CEE">
    <w:pPr>
      <w:pStyle w:val="Header"/>
      <w:jc w:val="center"/>
      <w:rPr>
        <w:sz w:val="18"/>
        <w:szCs w:val="18"/>
      </w:rPr>
    </w:pPr>
    <w:r>
      <w:rPr>
        <w:sz w:val="18"/>
        <w:szCs w:val="18"/>
      </w:rPr>
      <w:t xml:space="preserve">- </w:t>
    </w:r>
    <w:r w:rsidR="002A6CEE" w:rsidRPr="000D79FA">
      <w:rPr>
        <w:sz w:val="18"/>
        <w:szCs w:val="18"/>
      </w:rPr>
      <w:fldChar w:fldCharType="begin"/>
    </w:r>
    <w:r w:rsidR="002A6CEE" w:rsidRPr="000D79FA">
      <w:rPr>
        <w:sz w:val="18"/>
        <w:szCs w:val="18"/>
      </w:rPr>
      <w:instrText xml:space="preserve"> PAGE  \* MERGEFORMAT </w:instrText>
    </w:r>
    <w:r w:rsidR="002A6CEE" w:rsidRPr="000D79FA">
      <w:rPr>
        <w:sz w:val="18"/>
        <w:szCs w:val="18"/>
      </w:rPr>
      <w:fldChar w:fldCharType="separate"/>
    </w:r>
    <w:r w:rsidR="001B29EE">
      <w:rPr>
        <w:noProof/>
        <w:sz w:val="18"/>
        <w:szCs w:val="18"/>
      </w:rPr>
      <w:t>6</w:t>
    </w:r>
    <w:r w:rsidR="002A6CEE" w:rsidRPr="000D79FA">
      <w:rPr>
        <w:sz w:val="18"/>
        <w:szCs w:val="18"/>
      </w:rPr>
      <w:fldChar w:fldCharType="end"/>
    </w:r>
    <w:r>
      <w:rPr>
        <w:sz w:val="18"/>
        <w:szCs w:val="18"/>
      </w:rPr>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459BF57A" w:rsidR="00066E5D" w:rsidRPr="00C4515A" w:rsidRDefault="00E20048" w:rsidP="00C4515A">
    <w:pPr>
      <w:pStyle w:val="Header"/>
      <w:jc w:val="center"/>
      <w:rPr>
        <w:sz w:val="18"/>
      </w:rPr>
    </w:pPr>
    <w:r>
      <w:rPr>
        <w:sz w:val="18"/>
        <w:szCs w:val="18"/>
      </w:rPr>
      <w:t xml:space="preserve">- </w:t>
    </w:r>
    <w:r w:rsidR="00066E5D" w:rsidRPr="000D79FA">
      <w:rPr>
        <w:sz w:val="18"/>
        <w:szCs w:val="18"/>
      </w:rPr>
      <w:fldChar w:fldCharType="begin"/>
    </w:r>
    <w:r w:rsidR="00066E5D" w:rsidRPr="000D79FA">
      <w:rPr>
        <w:sz w:val="18"/>
        <w:szCs w:val="18"/>
      </w:rPr>
      <w:instrText xml:space="preserve"> PAGE  \* MERGEFORMAT </w:instrText>
    </w:r>
    <w:r w:rsidR="00066E5D" w:rsidRPr="000D79FA">
      <w:rPr>
        <w:sz w:val="18"/>
        <w:szCs w:val="18"/>
      </w:rPr>
      <w:fldChar w:fldCharType="separate"/>
    </w:r>
    <w:r w:rsidR="001B29EE">
      <w:rPr>
        <w:noProof/>
        <w:sz w:val="18"/>
        <w:szCs w:val="18"/>
      </w:rPr>
      <w:t>5</w:t>
    </w:r>
    <w:r w:rsidR="00066E5D" w:rsidRPr="000D79FA">
      <w:rPr>
        <w:sz w:val="18"/>
        <w:szCs w:val="18"/>
      </w:rPr>
      <w:fldChar w:fldCharType="end"/>
    </w:r>
    <w:r>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17DAA" w14:paraId="4AAE47CF" w14:textId="77777777" w:rsidTr="00570EB3">
      <w:tc>
        <w:tcPr>
          <w:tcW w:w="4814" w:type="dxa"/>
        </w:tcPr>
        <w:p w14:paraId="59C9BF00" w14:textId="77777777" w:rsidR="00417DAA" w:rsidRDefault="00417DAA" w:rsidP="00417DAA">
          <w:pPr>
            <w:pStyle w:val="Header"/>
            <w:spacing w:line="360" w:lineRule="auto"/>
          </w:pPr>
          <w:r>
            <w:rPr>
              <w:noProof/>
              <w:lang w:val="en-GB" w:eastAsia="en-GB"/>
            </w:rPr>
            <w:drawing>
              <wp:inline distT="0" distB="0" distL="0" distR="0" wp14:anchorId="1B05B8E0" wp14:editId="459239B3">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04" w:type="dxa"/>
        </w:tcPr>
        <w:p w14:paraId="2BB144EF" w14:textId="77777777" w:rsidR="00417DAA" w:rsidRDefault="00417DAA" w:rsidP="00417DAA">
          <w:pPr>
            <w:pStyle w:val="Header"/>
            <w:spacing w:line="360" w:lineRule="auto"/>
            <w:jc w:val="right"/>
          </w:pPr>
          <w:r>
            <w:rPr>
              <w:noProof/>
            </w:rPr>
            <w:drawing>
              <wp:inline distT="0" distB="0" distL="0" distR="0" wp14:anchorId="15BC5714" wp14:editId="756565F1">
                <wp:extent cx="2588820" cy="72892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stretch>
                          <a:fillRect/>
                        </a:stretch>
                      </pic:blipFill>
                      <pic:spPr>
                        <a:xfrm>
                          <a:off x="0" y="0"/>
                          <a:ext cx="2652650" cy="746892"/>
                        </a:xfrm>
                        <a:prstGeom prst="rect">
                          <a:avLst/>
                        </a:prstGeom>
                      </pic:spPr>
                    </pic:pic>
                  </a:graphicData>
                </a:graphic>
              </wp:inline>
            </w:drawing>
          </w:r>
        </w:p>
      </w:tc>
    </w:tr>
  </w:tbl>
  <w:p w14:paraId="3E242F17" w14:textId="77777777" w:rsidR="00066E5D" w:rsidRPr="00EA15B3" w:rsidRDefault="00066E5D" w:rsidP="00C4515A">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AA51" w14:textId="77777777" w:rsidR="00A71DD7" w:rsidRPr="000D79FA" w:rsidRDefault="00A71DD7" w:rsidP="002A6CEE">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Pr>
        <w:sz w:val="18"/>
        <w:szCs w:val="18"/>
      </w:rPr>
      <w:t xml:space="preserve"> -</w:t>
    </w:r>
  </w:p>
  <w:p w14:paraId="6790A111" w14:textId="77777777" w:rsidR="00A71DD7" w:rsidRPr="00C4515A" w:rsidRDefault="00A71DD7" w:rsidP="002A6C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7AAE" w14:textId="65C1C795" w:rsidR="00D01DCF" w:rsidRPr="001A433B" w:rsidRDefault="00D01DCF" w:rsidP="00A71DD7">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018B" w14:textId="56A6D268" w:rsidR="00D01DCF" w:rsidRDefault="00A71DD7" w:rsidP="00A71DD7">
    <w:pPr>
      <w:pStyle w:val="Header"/>
      <w:jc w:val="center"/>
      <w:rPr>
        <w:noProof/>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3</w:t>
    </w:r>
    <w:r w:rsidRPr="00F13EA8">
      <w:rPr>
        <w:noProof/>
        <w:lang w:val="fr-CA"/>
      </w:rPr>
      <w:fldChar w:fldCharType="end"/>
    </w:r>
    <w:r>
      <w:rPr>
        <w:noProof/>
        <w:lang w:val="fr-CA"/>
      </w:rPr>
      <w:t xml:space="preserve"> -</w:t>
    </w:r>
  </w:p>
  <w:p w14:paraId="58E2D245" w14:textId="77777777" w:rsidR="00A71DD7" w:rsidRPr="00A71DD7" w:rsidRDefault="00A71DD7" w:rsidP="00A71DD7">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8509" w14:textId="77777777" w:rsidR="00A71DD7" w:rsidRPr="000D79FA" w:rsidRDefault="00A71DD7" w:rsidP="002A6CEE">
    <w:pPr>
      <w:pStyle w:val="Header"/>
      <w:jc w:val="center"/>
      <w:rPr>
        <w:sz w:val="18"/>
        <w:szCs w:val="18"/>
      </w:rPr>
    </w:pPr>
    <w:r>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Pr>
        <w:sz w:val="18"/>
        <w:szCs w:val="18"/>
      </w:rPr>
      <w:t xml:space="preserve"> -</w:t>
    </w:r>
  </w:p>
  <w:p w14:paraId="55AB7832" w14:textId="77777777" w:rsidR="00A71DD7" w:rsidRPr="00C4515A" w:rsidRDefault="00A71DD7" w:rsidP="002A6C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3C91" w14:textId="5AEB980A" w:rsidR="00A71DD7" w:rsidRPr="001A433B" w:rsidRDefault="00A71DD7" w:rsidP="00A71DD7">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121CB"/>
    <w:multiLevelType w:val="hybridMultilevel"/>
    <w:tmpl w:val="5B04085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6"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942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115530">
    <w:abstractNumId w:val="16"/>
  </w:num>
  <w:num w:numId="3" w16cid:durableId="1611661760">
    <w:abstractNumId w:val="11"/>
  </w:num>
  <w:num w:numId="4" w16cid:durableId="1084884672">
    <w:abstractNumId w:val="27"/>
  </w:num>
  <w:num w:numId="5" w16cid:durableId="1473713354">
    <w:abstractNumId w:val="14"/>
  </w:num>
  <w:num w:numId="6" w16cid:durableId="1656107926">
    <w:abstractNumId w:val="4"/>
  </w:num>
  <w:num w:numId="7" w16cid:durableId="1974824805">
    <w:abstractNumId w:val="38"/>
  </w:num>
  <w:num w:numId="8" w16cid:durableId="848063373">
    <w:abstractNumId w:val="33"/>
  </w:num>
  <w:num w:numId="9" w16cid:durableId="724371698">
    <w:abstractNumId w:val="20"/>
  </w:num>
  <w:num w:numId="10" w16cid:durableId="1379085001">
    <w:abstractNumId w:val="7"/>
  </w:num>
  <w:num w:numId="11" w16cid:durableId="737557804">
    <w:abstractNumId w:val="32"/>
  </w:num>
  <w:num w:numId="12" w16cid:durableId="1888957250">
    <w:abstractNumId w:val="30"/>
  </w:num>
  <w:num w:numId="13" w16cid:durableId="1972780183">
    <w:abstractNumId w:val="39"/>
  </w:num>
  <w:num w:numId="14" w16cid:durableId="257643419">
    <w:abstractNumId w:val="17"/>
  </w:num>
  <w:num w:numId="15" w16cid:durableId="2050646938">
    <w:abstractNumId w:val="23"/>
  </w:num>
  <w:num w:numId="16" w16cid:durableId="342979707">
    <w:abstractNumId w:val="25"/>
  </w:num>
  <w:num w:numId="17" w16cid:durableId="1035930848">
    <w:abstractNumId w:val="12"/>
  </w:num>
  <w:num w:numId="18" w16cid:durableId="1030835791">
    <w:abstractNumId w:val="35"/>
  </w:num>
  <w:num w:numId="19" w16cid:durableId="1127091542">
    <w:abstractNumId w:val="5"/>
  </w:num>
  <w:num w:numId="20" w16cid:durableId="1637101240">
    <w:abstractNumId w:val="26"/>
  </w:num>
  <w:num w:numId="21" w16cid:durableId="2044548888">
    <w:abstractNumId w:val="29"/>
  </w:num>
  <w:num w:numId="22" w16cid:durableId="23754030">
    <w:abstractNumId w:val="37"/>
  </w:num>
  <w:num w:numId="23" w16cid:durableId="1349721670">
    <w:abstractNumId w:val="15"/>
  </w:num>
  <w:num w:numId="24" w16cid:durableId="1158495791">
    <w:abstractNumId w:val="22"/>
  </w:num>
  <w:num w:numId="25" w16cid:durableId="1001856452">
    <w:abstractNumId w:val="19"/>
  </w:num>
  <w:num w:numId="26" w16cid:durableId="1392464797">
    <w:abstractNumId w:val="13"/>
  </w:num>
  <w:num w:numId="27" w16cid:durableId="880098140">
    <w:abstractNumId w:val="31"/>
  </w:num>
  <w:num w:numId="28" w16cid:durableId="1388845751">
    <w:abstractNumId w:val="34"/>
  </w:num>
  <w:num w:numId="29" w16cid:durableId="1350329455">
    <w:abstractNumId w:val="9"/>
  </w:num>
  <w:num w:numId="30" w16cid:durableId="1285386852">
    <w:abstractNumId w:val="18"/>
  </w:num>
  <w:num w:numId="31" w16cid:durableId="101346920">
    <w:abstractNumId w:val="36"/>
  </w:num>
  <w:num w:numId="32" w16cid:durableId="123737403">
    <w:abstractNumId w:val="8"/>
  </w:num>
  <w:num w:numId="33" w16cid:durableId="2028750555">
    <w:abstractNumId w:val="6"/>
  </w:num>
  <w:num w:numId="34" w16cid:durableId="1074739961">
    <w:abstractNumId w:val="10"/>
  </w:num>
  <w:num w:numId="35" w16cid:durableId="403913024">
    <w:abstractNumId w:val="28"/>
  </w:num>
  <w:num w:numId="36" w16cid:durableId="371852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tDC2NLCwMDczNzRW0lEKTi0uzszPAykwNKkFAJfUk3wtAAAA"/>
    <w:docVar w:name="BuildingBlockITU" w:val="Building Blocks ITU.dotx"/>
  </w:docVars>
  <w:rsids>
    <w:rsidRoot w:val="00B37559"/>
    <w:rsid w:val="00001341"/>
    <w:rsid w:val="00002553"/>
    <w:rsid w:val="00002CD0"/>
    <w:rsid w:val="00006A31"/>
    <w:rsid w:val="00006C82"/>
    <w:rsid w:val="00007A69"/>
    <w:rsid w:val="00007AE3"/>
    <w:rsid w:val="00007E7D"/>
    <w:rsid w:val="00010D21"/>
    <w:rsid w:val="00010E30"/>
    <w:rsid w:val="0001452F"/>
    <w:rsid w:val="00015C76"/>
    <w:rsid w:val="00016B71"/>
    <w:rsid w:val="0001764B"/>
    <w:rsid w:val="00017697"/>
    <w:rsid w:val="0001796D"/>
    <w:rsid w:val="00022AAC"/>
    <w:rsid w:val="000235F4"/>
    <w:rsid w:val="00023A87"/>
    <w:rsid w:val="00025A3E"/>
    <w:rsid w:val="00025C95"/>
    <w:rsid w:val="00026CF8"/>
    <w:rsid w:val="000304E3"/>
    <w:rsid w:val="00030BD7"/>
    <w:rsid w:val="00031E64"/>
    <w:rsid w:val="000333D2"/>
    <w:rsid w:val="000338A5"/>
    <w:rsid w:val="00034340"/>
    <w:rsid w:val="00034BB5"/>
    <w:rsid w:val="00037B95"/>
    <w:rsid w:val="00043C9A"/>
    <w:rsid w:val="000449B0"/>
    <w:rsid w:val="00045A8D"/>
    <w:rsid w:val="000468B6"/>
    <w:rsid w:val="00046F37"/>
    <w:rsid w:val="00047C98"/>
    <w:rsid w:val="0005167A"/>
    <w:rsid w:val="00051709"/>
    <w:rsid w:val="00053245"/>
    <w:rsid w:val="00054E5D"/>
    <w:rsid w:val="00057045"/>
    <w:rsid w:val="00060B5F"/>
    <w:rsid w:val="00063203"/>
    <w:rsid w:val="0006389E"/>
    <w:rsid w:val="00066E5D"/>
    <w:rsid w:val="000701B4"/>
    <w:rsid w:val="00070258"/>
    <w:rsid w:val="00070438"/>
    <w:rsid w:val="0007323C"/>
    <w:rsid w:val="00076349"/>
    <w:rsid w:val="00085769"/>
    <w:rsid w:val="00086D03"/>
    <w:rsid w:val="000914EA"/>
    <w:rsid w:val="000926CF"/>
    <w:rsid w:val="00092E14"/>
    <w:rsid w:val="00093A2A"/>
    <w:rsid w:val="00095010"/>
    <w:rsid w:val="000950D4"/>
    <w:rsid w:val="000953A0"/>
    <w:rsid w:val="000A096A"/>
    <w:rsid w:val="000A0BE4"/>
    <w:rsid w:val="000A1D1B"/>
    <w:rsid w:val="000A2BD9"/>
    <w:rsid w:val="000A375E"/>
    <w:rsid w:val="000A43DF"/>
    <w:rsid w:val="000A445E"/>
    <w:rsid w:val="000A5713"/>
    <w:rsid w:val="000A7051"/>
    <w:rsid w:val="000B0032"/>
    <w:rsid w:val="000B0AF6"/>
    <w:rsid w:val="000B0E9B"/>
    <w:rsid w:val="000B1BB9"/>
    <w:rsid w:val="000B203F"/>
    <w:rsid w:val="000B2CAE"/>
    <w:rsid w:val="000B3968"/>
    <w:rsid w:val="000B55DD"/>
    <w:rsid w:val="000B6635"/>
    <w:rsid w:val="000C03C7"/>
    <w:rsid w:val="000C0E2D"/>
    <w:rsid w:val="000C10EF"/>
    <w:rsid w:val="000C15F9"/>
    <w:rsid w:val="000C2AD0"/>
    <w:rsid w:val="000D095B"/>
    <w:rsid w:val="000D2138"/>
    <w:rsid w:val="000D288A"/>
    <w:rsid w:val="000D40A1"/>
    <w:rsid w:val="000D50EE"/>
    <w:rsid w:val="000D6ED0"/>
    <w:rsid w:val="000D7754"/>
    <w:rsid w:val="000D79FA"/>
    <w:rsid w:val="000E3DEE"/>
    <w:rsid w:val="000F38B2"/>
    <w:rsid w:val="000F4742"/>
    <w:rsid w:val="000F6541"/>
    <w:rsid w:val="000F78FA"/>
    <w:rsid w:val="00100B72"/>
    <w:rsid w:val="00100BB4"/>
    <w:rsid w:val="00101F7D"/>
    <w:rsid w:val="0010277C"/>
    <w:rsid w:val="00102B6A"/>
    <w:rsid w:val="00103C76"/>
    <w:rsid w:val="001048E9"/>
    <w:rsid w:val="00104C35"/>
    <w:rsid w:val="0010647C"/>
    <w:rsid w:val="00110563"/>
    <w:rsid w:val="00111BFA"/>
    <w:rsid w:val="0011265F"/>
    <w:rsid w:val="0011321A"/>
    <w:rsid w:val="0011453E"/>
    <w:rsid w:val="0011553E"/>
    <w:rsid w:val="00115DB4"/>
    <w:rsid w:val="00117282"/>
    <w:rsid w:val="00117389"/>
    <w:rsid w:val="00121597"/>
    <w:rsid w:val="00121C2D"/>
    <w:rsid w:val="00122884"/>
    <w:rsid w:val="00122D9F"/>
    <w:rsid w:val="00126AC8"/>
    <w:rsid w:val="00126AE4"/>
    <w:rsid w:val="00130136"/>
    <w:rsid w:val="00130869"/>
    <w:rsid w:val="00134404"/>
    <w:rsid w:val="00135053"/>
    <w:rsid w:val="00137ECC"/>
    <w:rsid w:val="00142E6E"/>
    <w:rsid w:val="0014361E"/>
    <w:rsid w:val="00143BB6"/>
    <w:rsid w:val="0014465D"/>
    <w:rsid w:val="00144DFB"/>
    <w:rsid w:val="0014624F"/>
    <w:rsid w:val="00146518"/>
    <w:rsid w:val="00146C76"/>
    <w:rsid w:val="00146F88"/>
    <w:rsid w:val="00147132"/>
    <w:rsid w:val="00151DDC"/>
    <w:rsid w:val="00152AD4"/>
    <w:rsid w:val="00152E29"/>
    <w:rsid w:val="00154BF4"/>
    <w:rsid w:val="0016136A"/>
    <w:rsid w:val="0016193A"/>
    <w:rsid w:val="00164A74"/>
    <w:rsid w:val="00165B3D"/>
    <w:rsid w:val="0017007E"/>
    <w:rsid w:val="001700C9"/>
    <w:rsid w:val="0017053D"/>
    <w:rsid w:val="00173C1D"/>
    <w:rsid w:val="00180B2F"/>
    <w:rsid w:val="0018222F"/>
    <w:rsid w:val="00183EEE"/>
    <w:rsid w:val="00184402"/>
    <w:rsid w:val="001846EF"/>
    <w:rsid w:val="00184F53"/>
    <w:rsid w:val="00187CA3"/>
    <w:rsid w:val="001904EE"/>
    <w:rsid w:val="0019129E"/>
    <w:rsid w:val="001956AA"/>
    <w:rsid w:val="00196710"/>
    <w:rsid w:val="00197324"/>
    <w:rsid w:val="001975DD"/>
    <w:rsid w:val="001A1E7E"/>
    <w:rsid w:val="001A2B9D"/>
    <w:rsid w:val="001A5549"/>
    <w:rsid w:val="001A57F1"/>
    <w:rsid w:val="001A6820"/>
    <w:rsid w:val="001B2304"/>
    <w:rsid w:val="001B29EE"/>
    <w:rsid w:val="001B351B"/>
    <w:rsid w:val="001B5352"/>
    <w:rsid w:val="001B6254"/>
    <w:rsid w:val="001B6776"/>
    <w:rsid w:val="001B734E"/>
    <w:rsid w:val="001B773D"/>
    <w:rsid w:val="001B7C76"/>
    <w:rsid w:val="001C06DB"/>
    <w:rsid w:val="001C2E84"/>
    <w:rsid w:val="001C2EA0"/>
    <w:rsid w:val="001C39B7"/>
    <w:rsid w:val="001C6971"/>
    <w:rsid w:val="001C71F3"/>
    <w:rsid w:val="001D2785"/>
    <w:rsid w:val="001D4914"/>
    <w:rsid w:val="001D4E1D"/>
    <w:rsid w:val="001D7070"/>
    <w:rsid w:val="001E07B8"/>
    <w:rsid w:val="001E2A93"/>
    <w:rsid w:val="001E491C"/>
    <w:rsid w:val="001E4A7D"/>
    <w:rsid w:val="001E5E7A"/>
    <w:rsid w:val="001E60FB"/>
    <w:rsid w:val="001F135C"/>
    <w:rsid w:val="001F2170"/>
    <w:rsid w:val="001F2339"/>
    <w:rsid w:val="001F31CF"/>
    <w:rsid w:val="001F3948"/>
    <w:rsid w:val="001F3F48"/>
    <w:rsid w:val="001F4D00"/>
    <w:rsid w:val="001F5966"/>
    <w:rsid w:val="001F5A49"/>
    <w:rsid w:val="002004E7"/>
    <w:rsid w:val="00201097"/>
    <w:rsid w:val="00201B6E"/>
    <w:rsid w:val="00202D26"/>
    <w:rsid w:val="002032CF"/>
    <w:rsid w:val="00204928"/>
    <w:rsid w:val="00204F26"/>
    <w:rsid w:val="00210C41"/>
    <w:rsid w:val="002129A9"/>
    <w:rsid w:val="00214EA6"/>
    <w:rsid w:val="00216B9C"/>
    <w:rsid w:val="00217875"/>
    <w:rsid w:val="00220BD4"/>
    <w:rsid w:val="00224265"/>
    <w:rsid w:val="00224DFD"/>
    <w:rsid w:val="00227B35"/>
    <w:rsid w:val="002302B3"/>
    <w:rsid w:val="00230C66"/>
    <w:rsid w:val="002331AE"/>
    <w:rsid w:val="00235A29"/>
    <w:rsid w:val="00236029"/>
    <w:rsid w:val="00240F91"/>
    <w:rsid w:val="00241526"/>
    <w:rsid w:val="00243B0C"/>
    <w:rsid w:val="002443A2"/>
    <w:rsid w:val="0025037B"/>
    <w:rsid w:val="00250D4F"/>
    <w:rsid w:val="00250D95"/>
    <w:rsid w:val="002527DF"/>
    <w:rsid w:val="002541CA"/>
    <w:rsid w:val="00257A19"/>
    <w:rsid w:val="00261D5F"/>
    <w:rsid w:val="00261E10"/>
    <w:rsid w:val="00263235"/>
    <w:rsid w:val="00266961"/>
    <w:rsid w:val="00266E2B"/>
    <w:rsid w:val="00266E74"/>
    <w:rsid w:val="00270CF2"/>
    <w:rsid w:val="00271E13"/>
    <w:rsid w:val="002748A4"/>
    <w:rsid w:val="00274AEA"/>
    <w:rsid w:val="00281075"/>
    <w:rsid w:val="002835C3"/>
    <w:rsid w:val="00283C3B"/>
    <w:rsid w:val="002861E6"/>
    <w:rsid w:val="00287D18"/>
    <w:rsid w:val="00292598"/>
    <w:rsid w:val="002946A4"/>
    <w:rsid w:val="00295CF8"/>
    <w:rsid w:val="00296A1D"/>
    <w:rsid w:val="002A17C1"/>
    <w:rsid w:val="002A2618"/>
    <w:rsid w:val="002A5DD7"/>
    <w:rsid w:val="002A6CEE"/>
    <w:rsid w:val="002B0CAC"/>
    <w:rsid w:val="002B1C12"/>
    <w:rsid w:val="002B4B18"/>
    <w:rsid w:val="002B5C39"/>
    <w:rsid w:val="002C0BE3"/>
    <w:rsid w:val="002C0C8D"/>
    <w:rsid w:val="002C1B13"/>
    <w:rsid w:val="002C73C0"/>
    <w:rsid w:val="002D01C2"/>
    <w:rsid w:val="002D30A9"/>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2F84"/>
    <w:rsid w:val="002F4967"/>
    <w:rsid w:val="002F499F"/>
    <w:rsid w:val="002F513E"/>
    <w:rsid w:val="002F5713"/>
    <w:rsid w:val="00300DB9"/>
    <w:rsid w:val="00306725"/>
    <w:rsid w:val="00307BFF"/>
    <w:rsid w:val="00314C9B"/>
    <w:rsid w:val="00316935"/>
    <w:rsid w:val="00322487"/>
    <w:rsid w:val="00322B52"/>
    <w:rsid w:val="003243C3"/>
    <w:rsid w:val="00326595"/>
    <w:rsid w:val="003266ED"/>
    <w:rsid w:val="00327644"/>
    <w:rsid w:val="00327A42"/>
    <w:rsid w:val="00330DAF"/>
    <w:rsid w:val="00335CB4"/>
    <w:rsid w:val="003370B8"/>
    <w:rsid w:val="0033784F"/>
    <w:rsid w:val="00337C74"/>
    <w:rsid w:val="003426F5"/>
    <w:rsid w:val="00345D38"/>
    <w:rsid w:val="00347561"/>
    <w:rsid w:val="00347DFA"/>
    <w:rsid w:val="00350B86"/>
    <w:rsid w:val="00351251"/>
    <w:rsid w:val="00352097"/>
    <w:rsid w:val="00352877"/>
    <w:rsid w:val="00355EA4"/>
    <w:rsid w:val="003568F2"/>
    <w:rsid w:val="00362140"/>
    <w:rsid w:val="003626B9"/>
    <w:rsid w:val="00362A2C"/>
    <w:rsid w:val="003647C8"/>
    <w:rsid w:val="003653ED"/>
    <w:rsid w:val="003666FF"/>
    <w:rsid w:val="00367724"/>
    <w:rsid w:val="003677DA"/>
    <w:rsid w:val="00370639"/>
    <w:rsid w:val="00370ABB"/>
    <w:rsid w:val="00371B81"/>
    <w:rsid w:val="003720E3"/>
    <w:rsid w:val="0037309C"/>
    <w:rsid w:val="003768A0"/>
    <w:rsid w:val="00376BCA"/>
    <w:rsid w:val="00380A6E"/>
    <w:rsid w:val="003836D4"/>
    <w:rsid w:val="00384E7E"/>
    <w:rsid w:val="00385A05"/>
    <w:rsid w:val="00394EEE"/>
    <w:rsid w:val="003A1269"/>
    <w:rsid w:val="003A1F49"/>
    <w:rsid w:val="003A226A"/>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0D8"/>
    <w:rsid w:val="003D7873"/>
    <w:rsid w:val="003E41DB"/>
    <w:rsid w:val="003E504F"/>
    <w:rsid w:val="003E5700"/>
    <w:rsid w:val="003E6F09"/>
    <w:rsid w:val="003E78D6"/>
    <w:rsid w:val="003F33B4"/>
    <w:rsid w:val="003F38A5"/>
    <w:rsid w:val="003F3A0C"/>
    <w:rsid w:val="003F6A1B"/>
    <w:rsid w:val="00400573"/>
    <w:rsid w:val="004007A3"/>
    <w:rsid w:val="00400FB1"/>
    <w:rsid w:val="00402667"/>
    <w:rsid w:val="00403D58"/>
    <w:rsid w:val="00404788"/>
    <w:rsid w:val="00405552"/>
    <w:rsid w:val="0040657C"/>
    <w:rsid w:val="00406D71"/>
    <w:rsid w:val="00407292"/>
    <w:rsid w:val="0041247F"/>
    <w:rsid w:val="00415160"/>
    <w:rsid w:val="00417DAA"/>
    <w:rsid w:val="00420791"/>
    <w:rsid w:val="00421C4B"/>
    <w:rsid w:val="0042368A"/>
    <w:rsid w:val="004245D8"/>
    <w:rsid w:val="004324F8"/>
    <w:rsid w:val="004326DB"/>
    <w:rsid w:val="0043682E"/>
    <w:rsid w:val="004369F2"/>
    <w:rsid w:val="00436CD1"/>
    <w:rsid w:val="00447B3A"/>
    <w:rsid w:val="00447ECB"/>
    <w:rsid w:val="004508DD"/>
    <w:rsid w:val="0045277D"/>
    <w:rsid w:val="004530A4"/>
    <w:rsid w:val="00457403"/>
    <w:rsid w:val="004575EB"/>
    <w:rsid w:val="004600A8"/>
    <w:rsid w:val="0046155E"/>
    <w:rsid w:val="004623F7"/>
    <w:rsid w:val="00463512"/>
    <w:rsid w:val="00463CE7"/>
    <w:rsid w:val="00463EF0"/>
    <w:rsid w:val="00465512"/>
    <w:rsid w:val="00465AFA"/>
    <w:rsid w:val="00466E98"/>
    <w:rsid w:val="0047245B"/>
    <w:rsid w:val="00480F51"/>
    <w:rsid w:val="00480FE5"/>
    <w:rsid w:val="0048110C"/>
    <w:rsid w:val="00481124"/>
    <w:rsid w:val="004815EB"/>
    <w:rsid w:val="00483E4F"/>
    <w:rsid w:val="00484E72"/>
    <w:rsid w:val="004853AD"/>
    <w:rsid w:val="00486571"/>
    <w:rsid w:val="004874DC"/>
    <w:rsid w:val="00487569"/>
    <w:rsid w:val="00492583"/>
    <w:rsid w:val="00494933"/>
    <w:rsid w:val="00496864"/>
    <w:rsid w:val="00496920"/>
    <w:rsid w:val="004A1F27"/>
    <w:rsid w:val="004A406F"/>
    <w:rsid w:val="004A4496"/>
    <w:rsid w:val="004A451F"/>
    <w:rsid w:val="004B11AB"/>
    <w:rsid w:val="004B7C9A"/>
    <w:rsid w:val="004C13E7"/>
    <w:rsid w:val="004C2C01"/>
    <w:rsid w:val="004C38A1"/>
    <w:rsid w:val="004C6779"/>
    <w:rsid w:val="004D020F"/>
    <w:rsid w:val="004D0E51"/>
    <w:rsid w:val="004D3373"/>
    <w:rsid w:val="004D4ED0"/>
    <w:rsid w:val="004D513A"/>
    <w:rsid w:val="004D733B"/>
    <w:rsid w:val="004E0712"/>
    <w:rsid w:val="004E0DC4"/>
    <w:rsid w:val="004E0FB5"/>
    <w:rsid w:val="004E1DDE"/>
    <w:rsid w:val="004E2075"/>
    <w:rsid w:val="004E43BB"/>
    <w:rsid w:val="004E460D"/>
    <w:rsid w:val="004E486B"/>
    <w:rsid w:val="004E4A6E"/>
    <w:rsid w:val="004E677B"/>
    <w:rsid w:val="004E7D5D"/>
    <w:rsid w:val="004F1016"/>
    <w:rsid w:val="004F178E"/>
    <w:rsid w:val="004F1F97"/>
    <w:rsid w:val="004F4543"/>
    <w:rsid w:val="004F57BB"/>
    <w:rsid w:val="004F6306"/>
    <w:rsid w:val="0050494F"/>
    <w:rsid w:val="00505309"/>
    <w:rsid w:val="0050789B"/>
    <w:rsid w:val="00512C49"/>
    <w:rsid w:val="00513B88"/>
    <w:rsid w:val="0051612A"/>
    <w:rsid w:val="00516901"/>
    <w:rsid w:val="00520189"/>
    <w:rsid w:val="00520E4A"/>
    <w:rsid w:val="005224A1"/>
    <w:rsid w:val="005225CC"/>
    <w:rsid w:val="005240CA"/>
    <w:rsid w:val="0053232B"/>
    <w:rsid w:val="005332A6"/>
    <w:rsid w:val="00534372"/>
    <w:rsid w:val="005358B0"/>
    <w:rsid w:val="0053796C"/>
    <w:rsid w:val="00541C5B"/>
    <w:rsid w:val="00543DF8"/>
    <w:rsid w:val="0054475A"/>
    <w:rsid w:val="00546101"/>
    <w:rsid w:val="005530B1"/>
    <w:rsid w:val="00553DD7"/>
    <w:rsid w:val="00560E15"/>
    <w:rsid w:val="005628BA"/>
    <w:rsid w:val="005638CF"/>
    <w:rsid w:val="00563FF1"/>
    <w:rsid w:val="00565B55"/>
    <w:rsid w:val="0056641D"/>
    <w:rsid w:val="00566D7C"/>
    <w:rsid w:val="0056741E"/>
    <w:rsid w:val="00570EB3"/>
    <w:rsid w:val="0057325A"/>
    <w:rsid w:val="0057469A"/>
    <w:rsid w:val="00577D61"/>
    <w:rsid w:val="00580814"/>
    <w:rsid w:val="00583A0B"/>
    <w:rsid w:val="00583D40"/>
    <w:rsid w:val="00586DD6"/>
    <w:rsid w:val="005871DF"/>
    <w:rsid w:val="00587ED1"/>
    <w:rsid w:val="00590E26"/>
    <w:rsid w:val="00591277"/>
    <w:rsid w:val="005912FC"/>
    <w:rsid w:val="005916D3"/>
    <w:rsid w:val="0059211A"/>
    <w:rsid w:val="005956DE"/>
    <w:rsid w:val="005A0173"/>
    <w:rsid w:val="005A03A3"/>
    <w:rsid w:val="005A2AAA"/>
    <w:rsid w:val="005A2B92"/>
    <w:rsid w:val="005A42EC"/>
    <w:rsid w:val="005A6A56"/>
    <w:rsid w:val="005A6F41"/>
    <w:rsid w:val="005A79E9"/>
    <w:rsid w:val="005B10AF"/>
    <w:rsid w:val="005B214C"/>
    <w:rsid w:val="005C3112"/>
    <w:rsid w:val="005C3590"/>
    <w:rsid w:val="005C5D43"/>
    <w:rsid w:val="005C732A"/>
    <w:rsid w:val="005D152E"/>
    <w:rsid w:val="005D2058"/>
    <w:rsid w:val="005D349E"/>
    <w:rsid w:val="005D3669"/>
    <w:rsid w:val="005D4416"/>
    <w:rsid w:val="005E5EB3"/>
    <w:rsid w:val="005F3CB6"/>
    <w:rsid w:val="005F590B"/>
    <w:rsid w:val="005F5BA6"/>
    <w:rsid w:val="005F657C"/>
    <w:rsid w:val="005F74B8"/>
    <w:rsid w:val="00601AAC"/>
    <w:rsid w:val="00602D53"/>
    <w:rsid w:val="0060417B"/>
    <w:rsid w:val="006047E5"/>
    <w:rsid w:val="00606D6A"/>
    <w:rsid w:val="00606EAF"/>
    <w:rsid w:val="00610464"/>
    <w:rsid w:val="00615055"/>
    <w:rsid w:val="00615429"/>
    <w:rsid w:val="00617DC5"/>
    <w:rsid w:val="00621E17"/>
    <w:rsid w:val="006231F4"/>
    <w:rsid w:val="0062573E"/>
    <w:rsid w:val="00627CE1"/>
    <w:rsid w:val="00633EB7"/>
    <w:rsid w:val="00637CAB"/>
    <w:rsid w:val="006402E9"/>
    <w:rsid w:val="00641DBF"/>
    <w:rsid w:val="0064371D"/>
    <w:rsid w:val="00650B2A"/>
    <w:rsid w:val="00651777"/>
    <w:rsid w:val="00651D33"/>
    <w:rsid w:val="006542D7"/>
    <w:rsid w:val="006550F8"/>
    <w:rsid w:val="006554AB"/>
    <w:rsid w:val="00655A02"/>
    <w:rsid w:val="00655C3A"/>
    <w:rsid w:val="00656226"/>
    <w:rsid w:val="00656F8A"/>
    <w:rsid w:val="006572DD"/>
    <w:rsid w:val="00657F12"/>
    <w:rsid w:val="006722C6"/>
    <w:rsid w:val="00673A8F"/>
    <w:rsid w:val="00673B53"/>
    <w:rsid w:val="00673FE9"/>
    <w:rsid w:val="0067576D"/>
    <w:rsid w:val="006800E8"/>
    <w:rsid w:val="00681D57"/>
    <w:rsid w:val="006829F3"/>
    <w:rsid w:val="00683247"/>
    <w:rsid w:val="00684EE0"/>
    <w:rsid w:val="00685601"/>
    <w:rsid w:val="00690A1B"/>
    <w:rsid w:val="00690A2C"/>
    <w:rsid w:val="006928A6"/>
    <w:rsid w:val="00693173"/>
    <w:rsid w:val="006961E4"/>
    <w:rsid w:val="00697F7C"/>
    <w:rsid w:val="006A0006"/>
    <w:rsid w:val="006A115B"/>
    <w:rsid w:val="006A1921"/>
    <w:rsid w:val="006A1958"/>
    <w:rsid w:val="006A288F"/>
    <w:rsid w:val="006A2F29"/>
    <w:rsid w:val="006A474B"/>
    <w:rsid w:val="006A49DC"/>
    <w:rsid w:val="006A518B"/>
    <w:rsid w:val="006A5B9A"/>
    <w:rsid w:val="006A5C9C"/>
    <w:rsid w:val="006A6A97"/>
    <w:rsid w:val="006B010C"/>
    <w:rsid w:val="006B04B7"/>
    <w:rsid w:val="006B0590"/>
    <w:rsid w:val="006B0FA7"/>
    <w:rsid w:val="006B2E62"/>
    <w:rsid w:val="006B49DA"/>
    <w:rsid w:val="006B4C75"/>
    <w:rsid w:val="006B7FBF"/>
    <w:rsid w:val="006C02D5"/>
    <w:rsid w:val="006C25BC"/>
    <w:rsid w:val="006C381A"/>
    <w:rsid w:val="006C3ACE"/>
    <w:rsid w:val="006C53F8"/>
    <w:rsid w:val="006C6C28"/>
    <w:rsid w:val="006C7C4D"/>
    <w:rsid w:val="006C7CDE"/>
    <w:rsid w:val="006D214D"/>
    <w:rsid w:val="006D70FC"/>
    <w:rsid w:val="006E4D61"/>
    <w:rsid w:val="006E6F9F"/>
    <w:rsid w:val="006F1A35"/>
    <w:rsid w:val="006F640B"/>
    <w:rsid w:val="006F72B3"/>
    <w:rsid w:val="00703468"/>
    <w:rsid w:val="007038CC"/>
    <w:rsid w:val="0070656B"/>
    <w:rsid w:val="00712A04"/>
    <w:rsid w:val="00713F43"/>
    <w:rsid w:val="00714AE6"/>
    <w:rsid w:val="00714B22"/>
    <w:rsid w:val="0071658E"/>
    <w:rsid w:val="007234B1"/>
    <w:rsid w:val="00723D08"/>
    <w:rsid w:val="0072411B"/>
    <w:rsid w:val="00725FDA"/>
    <w:rsid w:val="00726735"/>
    <w:rsid w:val="00726A6E"/>
    <w:rsid w:val="00727816"/>
    <w:rsid w:val="00727B93"/>
    <w:rsid w:val="00730B9A"/>
    <w:rsid w:val="007352CD"/>
    <w:rsid w:val="0073640B"/>
    <w:rsid w:val="00737279"/>
    <w:rsid w:val="00741591"/>
    <w:rsid w:val="0074244F"/>
    <w:rsid w:val="00742E77"/>
    <w:rsid w:val="00747F6B"/>
    <w:rsid w:val="00750CFA"/>
    <w:rsid w:val="00753F55"/>
    <w:rsid w:val="00754007"/>
    <w:rsid w:val="007553DA"/>
    <w:rsid w:val="00764884"/>
    <w:rsid w:val="0076489D"/>
    <w:rsid w:val="007659B1"/>
    <w:rsid w:val="007673A4"/>
    <w:rsid w:val="007679B2"/>
    <w:rsid w:val="007703CC"/>
    <w:rsid w:val="0077544F"/>
    <w:rsid w:val="00777C8B"/>
    <w:rsid w:val="00780E4C"/>
    <w:rsid w:val="00782354"/>
    <w:rsid w:val="00783B95"/>
    <w:rsid w:val="00783DB1"/>
    <w:rsid w:val="00790CDA"/>
    <w:rsid w:val="007921A7"/>
    <w:rsid w:val="00793687"/>
    <w:rsid w:val="00796EC4"/>
    <w:rsid w:val="007A43C6"/>
    <w:rsid w:val="007A7AB6"/>
    <w:rsid w:val="007B26FA"/>
    <w:rsid w:val="007B2B91"/>
    <w:rsid w:val="007B3BF8"/>
    <w:rsid w:val="007B3DB1"/>
    <w:rsid w:val="007B6652"/>
    <w:rsid w:val="007B7498"/>
    <w:rsid w:val="007B7DB0"/>
    <w:rsid w:val="007C1309"/>
    <w:rsid w:val="007C18C7"/>
    <w:rsid w:val="007C1998"/>
    <w:rsid w:val="007C382F"/>
    <w:rsid w:val="007C4AB2"/>
    <w:rsid w:val="007D093E"/>
    <w:rsid w:val="007D0A21"/>
    <w:rsid w:val="007D183E"/>
    <w:rsid w:val="007D3D7D"/>
    <w:rsid w:val="007D43D0"/>
    <w:rsid w:val="007D55ED"/>
    <w:rsid w:val="007D6846"/>
    <w:rsid w:val="007D7AB4"/>
    <w:rsid w:val="007E0B73"/>
    <w:rsid w:val="007E0E94"/>
    <w:rsid w:val="007E1833"/>
    <w:rsid w:val="007E3F13"/>
    <w:rsid w:val="007F3001"/>
    <w:rsid w:val="007F45B5"/>
    <w:rsid w:val="007F4C50"/>
    <w:rsid w:val="007F671B"/>
    <w:rsid w:val="007F7046"/>
    <w:rsid w:val="007F751A"/>
    <w:rsid w:val="00800012"/>
    <w:rsid w:val="0080261F"/>
    <w:rsid w:val="00803594"/>
    <w:rsid w:val="00803AED"/>
    <w:rsid w:val="00804DDC"/>
    <w:rsid w:val="00806160"/>
    <w:rsid w:val="00806A14"/>
    <w:rsid w:val="00811D53"/>
    <w:rsid w:val="008122B6"/>
    <w:rsid w:val="0081338A"/>
    <w:rsid w:val="008143A4"/>
    <w:rsid w:val="0081513E"/>
    <w:rsid w:val="008200D8"/>
    <w:rsid w:val="00821311"/>
    <w:rsid w:val="0082164F"/>
    <w:rsid w:val="008246A8"/>
    <w:rsid w:val="008268B7"/>
    <w:rsid w:val="00827FDD"/>
    <w:rsid w:val="00830BA1"/>
    <w:rsid w:val="00831F0A"/>
    <w:rsid w:val="00833BCA"/>
    <w:rsid w:val="00833FC6"/>
    <w:rsid w:val="008362EC"/>
    <w:rsid w:val="008366B5"/>
    <w:rsid w:val="00837CAF"/>
    <w:rsid w:val="0084056F"/>
    <w:rsid w:val="0084200D"/>
    <w:rsid w:val="00842ECC"/>
    <w:rsid w:val="008439AC"/>
    <w:rsid w:val="00846946"/>
    <w:rsid w:val="00852EC3"/>
    <w:rsid w:val="00854131"/>
    <w:rsid w:val="00854976"/>
    <w:rsid w:val="0085652D"/>
    <w:rsid w:val="00861588"/>
    <w:rsid w:val="00861A14"/>
    <w:rsid w:val="00870578"/>
    <w:rsid w:val="00872B3B"/>
    <w:rsid w:val="00874ED2"/>
    <w:rsid w:val="0087694B"/>
    <w:rsid w:val="00880F4D"/>
    <w:rsid w:val="008821C1"/>
    <w:rsid w:val="008864F8"/>
    <w:rsid w:val="00886AA4"/>
    <w:rsid w:val="008871A4"/>
    <w:rsid w:val="00887EE8"/>
    <w:rsid w:val="00891E2D"/>
    <w:rsid w:val="00894C14"/>
    <w:rsid w:val="0089578B"/>
    <w:rsid w:val="00895BDA"/>
    <w:rsid w:val="008978FF"/>
    <w:rsid w:val="008A0019"/>
    <w:rsid w:val="008A1A8C"/>
    <w:rsid w:val="008A1AC2"/>
    <w:rsid w:val="008A75CD"/>
    <w:rsid w:val="008B06CB"/>
    <w:rsid w:val="008B35A3"/>
    <w:rsid w:val="008B37E1"/>
    <w:rsid w:val="008B45F8"/>
    <w:rsid w:val="008B6F97"/>
    <w:rsid w:val="008B7BE5"/>
    <w:rsid w:val="008C0966"/>
    <w:rsid w:val="008C1870"/>
    <w:rsid w:val="008C2E74"/>
    <w:rsid w:val="008C5BD0"/>
    <w:rsid w:val="008C6425"/>
    <w:rsid w:val="008C78B8"/>
    <w:rsid w:val="008C7F6D"/>
    <w:rsid w:val="008D1E23"/>
    <w:rsid w:val="008D2DF9"/>
    <w:rsid w:val="008D497D"/>
    <w:rsid w:val="008D5409"/>
    <w:rsid w:val="008D7618"/>
    <w:rsid w:val="008E006D"/>
    <w:rsid w:val="008E38B4"/>
    <w:rsid w:val="008E398C"/>
    <w:rsid w:val="008E485B"/>
    <w:rsid w:val="008E59D1"/>
    <w:rsid w:val="008F092A"/>
    <w:rsid w:val="008F3A1F"/>
    <w:rsid w:val="008F4F21"/>
    <w:rsid w:val="008F6552"/>
    <w:rsid w:val="00902097"/>
    <w:rsid w:val="00904AD9"/>
    <w:rsid w:val="00904D4A"/>
    <w:rsid w:val="00906163"/>
    <w:rsid w:val="0090752E"/>
    <w:rsid w:val="00911330"/>
    <w:rsid w:val="00912ECB"/>
    <w:rsid w:val="00913693"/>
    <w:rsid w:val="009141DE"/>
    <w:rsid w:val="009151BA"/>
    <w:rsid w:val="00917E60"/>
    <w:rsid w:val="009234ED"/>
    <w:rsid w:val="00925023"/>
    <w:rsid w:val="009277BC"/>
    <w:rsid w:val="00927D57"/>
    <w:rsid w:val="00931A51"/>
    <w:rsid w:val="009323DA"/>
    <w:rsid w:val="00934C7E"/>
    <w:rsid w:val="00935527"/>
    <w:rsid w:val="00936D0F"/>
    <w:rsid w:val="00941932"/>
    <w:rsid w:val="0094472D"/>
    <w:rsid w:val="00944912"/>
    <w:rsid w:val="00947185"/>
    <w:rsid w:val="0095023C"/>
    <w:rsid w:val="00950FDD"/>
    <w:rsid w:val="009518B3"/>
    <w:rsid w:val="00953168"/>
    <w:rsid w:val="0095486B"/>
    <w:rsid w:val="00955D07"/>
    <w:rsid w:val="009578C8"/>
    <w:rsid w:val="00957A98"/>
    <w:rsid w:val="00962E21"/>
    <w:rsid w:val="00963D0B"/>
    <w:rsid w:val="00963D9D"/>
    <w:rsid w:val="0096467D"/>
    <w:rsid w:val="0096500F"/>
    <w:rsid w:val="00965D0C"/>
    <w:rsid w:val="009661F4"/>
    <w:rsid w:val="009725D2"/>
    <w:rsid w:val="00972A54"/>
    <w:rsid w:val="009742E1"/>
    <w:rsid w:val="00974E40"/>
    <w:rsid w:val="00975175"/>
    <w:rsid w:val="009758B9"/>
    <w:rsid w:val="00975D6F"/>
    <w:rsid w:val="0098013E"/>
    <w:rsid w:val="00981B54"/>
    <w:rsid w:val="00982041"/>
    <w:rsid w:val="009842C3"/>
    <w:rsid w:val="00985DAD"/>
    <w:rsid w:val="00986E5D"/>
    <w:rsid w:val="0099042B"/>
    <w:rsid w:val="00991D03"/>
    <w:rsid w:val="009A0008"/>
    <w:rsid w:val="009A009A"/>
    <w:rsid w:val="009A2B0B"/>
    <w:rsid w:val="009A50C0"/>
    <w:rsid w:val="009A6BB6"/>
    <w:rsid w:val="009B1BF4"/>
    <w:rsid w:val="009B1DE7"/>
    <w:rsid w:val="009B2242"/>
    <w:rsid w:val="009B3F43"/>
    <w:rsid w:val="009B5CFA"/>
    <w:rsid w:val="009B7103"/>
    <w:rsid w:val="009B7509"/>
    <w:rsid w:val="009B7D62"/>
    <w:rsid w:val="009C161F"/>
    <w:rsid w:val="009C3038"/>
    <w:rsid w:val="009C36DA"/>
    <w:rsid w:val="009C56B4"/>
    <w:rsid w:val="009C5C89"/>
    <w:rsid w:val="009C6769"/>
    <w:rsid w:val="009D00DC"/>
    <w:rsid w:val="009D15A0"/>
    <w:rsid w:val="009D1DC0"/>
    <w:rsid w:val="009D38E9"/>
    <w:rsid w:val="009D51A2"/>
    <w:rsid w:val="009E04A8"/>
    <w:rsid w:val="009E4AEC"/>
    <w:rsid w:val="009E5BD8"/>
    <w:rsid w:val="009E681E"/>
    <w:rsid w:val="009E6EBB"/>
    <w:rsid w:val="009F1E33"/>
    <w:rsid w:val="009F6067"/>
    <w:rsid w:val="009F70E5"/>
    <w:rsid w:val="00A02280"/>
    <w:rsid w:val="00A03CF9"/>
    <w:rsid w:val="00A067CC"/>
    <w:rsid w:val="00A10269"/>
    <w:rsid w:val="00A119E6"/>
    <w:rsid w:val="00A12572"/>
    <w:rsid w:val="00A15F66"/>
    <w:rsid w:val="00A17727"/>
    <w:rsid w:val="00A17DF7"/>
    <w:rsid w:val="00A20392"/>
    <w:rsid w:val="00A20FBC"/>
    <w:rsid w:val="00A24A6F"/>
    <w:rsid w:val="00A253FF"/>
    <w:rsid w:val="00A2541D"/>
    <w:rsid w:val="00A25744"/>
    <w:rsid w:val="00A2671E"/>
    <w:rsid w:val="00A30388"/>
    <w:rsid w:val="00A312B3"/>
    <w:rsid w:val="00A31370"/>
    <w:rsid w:val="00A3147D"/>
    <w:rsid w:val="00A340D6"/>
    <w:rsid w:val="00A34963"/>
    <w:rsid w:val="00A34D6F"/>
    <w:rsid w:val="00A35635"/>
    <w:rsid w:val="00A41F91"/>
    <w:rsid w:val="00A43D7C"/>
    <w:rsid w:val="00A442A8"/>
    <w:rsid w:val="00A44DAA"/>
    <w:rsid w:val="00A529E6"/>
    <w:rsid w:val="00A54DCA"/>
    <w:rsid w:val="00A56F09"/>
    <w:rsid w:val="00A600CA"/>
    <w:rsid w:val="00A62213"/>
    <w:rsid w:val="00A62F7D"/>
    <w:rsid w:val="00A63355"/>
    <w:rsid w:val="00A63FA5"/>
    <w:rsid w:val="00A6513B"/>
    <w:rsid w:val="00A66EB8"/>
    <w:rsid w:val="00A675A6"/>
    <w:rsid w:val="00A700B7"/>
    <w:rsid w:val="00A71DD7"/>
    <w:rsid w:val="00A7255A"/>
    <w:rsid w:val="00A7596D"/>
    <w:rsid w:val="00A75CA2"/>
    <w:rsid w:val="00A778A4"/>
    <w:rsid w:val="00A819D0"/>
    <w:rsid w:val="00A82972"/>
    <w:rsid w:val="00A963DF"/>
    <w:rsid w:val="00A967A1"/>
    <w:rsid w:val="00AA4FB0"/>
    <w:rsid w:val="00AA655E"/>
    <w:rsid w:val="00AB01A7"/>
    <w:rsid w:val="00AB10BE"/>
    <w:rsid w:val="00AB4B7B"/>
    <w:rsid w:val="00AB4ED2"/>
    <w:rsid w:val="00AB681F"/>
    <w:rsid w:val="00AC05B1"/>
    <w:rsid w:val="00AC0C22"/>
    <w:rsid w:val="00AC3896"/>
    <w:rsid w:val="00AC3CE7"/>
    <w:rsid w:val="00AC6491"/>
    <w:rsid w:val="00AD0123"/>
    <w:rsid w:val="00AD2CF2"/>
    <w:rsid w:val="00AD4554"/>
    <w:rsid w:val="00AD6A57"/>
    <w:rsid w:val="00AD6B96"/>
    <w:rsid w:val="00AD6FE2"/>
    <w:rsid w:val="00AD7647"/>
    <w:rsid w:val="00AD7D10"/>
    <w:rsid w:val="00AE112D"/>
    <w:rsid w:val="00AE2D88"/>
    <w:rsid w:val="00AE6F6F"/>
    <w:rsid w:val="00AE710E"/>
    <w:rsid w:val="00AE7722"/>
    <w:rsid w:val="00AE79EE"/>
    <w:rsid w:val="00AF104A"/>
    <w:rsid w:val="00AF3325"/>
    <w:rsid w:val="00AF34D9"/>
    <w:rsid w:val="00AF70DA"/>
    <w:rsid w:val="00B019D3"/>
    <w:rsid w:val="00B120F3"/>
    <w:rsid w:val="00B1235F"/>
    <w:rsid w:val="00B20367"/>
    <w:rsid w:val="00B21D20"/>
    <w:rsid w:val="00B27B79"/>
    <w:rsid w:val="00B30F9B"/>
    <w:rsid w:val="00B3132C"/>
    <w:rsid w:val="00B34CF9"/>
    <w:rsid w:val="00B37559"/>
    <w:rsid w:val="00B4054B"/>
    <w:rsid w:val="00B4508C"/>
    <w:rsid w:val="00B45E5B"/>
    <w:rsid w:val="00B50A49"/>
    <w:rsid w:val="00B5209B"/>
    <w:rsid w:val="00B52453"/>
    <w:rsid w:val="00B532D2"/>
    <w:rsid w:val="00B53D5B"/>
    <w:rsid w:val="00B55276"/>
    <w:rsid w:val="00B556F9"/>
    <w:rsid w:val="00B56AC1"/>
    <w:rsid w:val="00B579B0"/>
    <w:rsid w:val="00B57AD9"/>
    <w:rsid w:val="00B57D11"/>
    <w:rsid w:val="00B649D7"/>
    <w:rsid w:val="00B672ED"/>
    <w:rsid w:val="00B72197"/>
    <w:rsid w:val="00B747D1"/>
    <w:rsid w:val="00B753C9"/>
    <w:rsid w:val="00B756A9"/>
    <w:rsid w:val="00B75EA5"/>
    <w:rsid w:val="00B76A12"/>
    <w:rsid w:val="00B76EC3"/>
    <w:rsid w:val="00B7724A"/>
    <w:rsid w:val="00B81C2F"/>
    <w:rsid w:val="00B82BAA"/>
    <w:rsid w:val="00B83D96"/>
    <w:rsid w:val="00B8472A"/>
    <w:rsid w:val="00B8496B"/>
    <w:rsid w:val="00B84B68"/>
    <w:rsid w:val="00B90743"/>
    <w:rsid w:val="00B90C45"/>
    <w:rsid w:val="00B91535"/>
    <w:rsid w:val="00B933BE"/>
    <w:rsid w:val="00BA072F"/>
    <w:rsid w:val="00BA20A3"/>
    <w:rsid w:val="00BA5BB2"/>
    <w:rsid w:val="00BA701E"/>
    <w:rsid w:val="00BB0D72"/>
    <w:rsid w:val="00BB1751"/>
    <w:rsid w:val="00BB528C"/>
    <w:rsid w:val="00BB6557"/>
    <w:rsid w:val="00BC08C7"/>
    <w:rsid w:val="00BC2756"/>
    <w:rsid w:val="00BC3FD4"/>
    <w:rsid w:val="00BC759D"/>
    <w:rsid w:val="00BD0F48"/>
    <w:rsid w:val="00BD41F6"/>
    <w:rsid w:val="00BD64F8"/>
    <w:rsid w:val="00BD6738"/>
    <w:rsid w:val="00BD68F8"/>
    <w:rsid w:val="00BD7E5E"/>
    <w:rsid w:val="00BE14EE"/>
    <w:rsid w:val="00BE197D"/>
    <w:rsid w:val="00BE22B9"/>
    <w:rsid w:val="00BE44AA"/>
    <w:rsid w:val="00BE5B09"/>
    <w:rsid w:val="00BE63DB"/>
    <w:rsid w:val="00BE6574"/>
    <w:rsid w:val="00BF2489"/>
    <w:rsid w:val="00BF72E9"/>
    <w:rsid w:val="00C00541"/>
    <w:rsid w:val="00C00E25"/>
    <w:rsid w:val="00C0122F"/>
    <w:rsid w:val="00C06566"/>
    <w:rsid w:val="00C07065"/>
    <w:rsid w:val="00C07319"/>
    <w:rsid w:val="00C07806"/>
    <w:rsid w:val="00C10CFC"/>
    <w:rsid w:val="00C13597"/>
    <w:rsid w:val="00C13C21"/>
    <w:rsid w:val="00C1516A"/>
    <w:rsid w:val="00C16FD2"/>
    <w:rsid w:val="00C1789C"/>
    <w:rsid w:val="00C22F0D"/>
    <w:rsid w:val="00C22F1A"/>
    <w:rsid w:val="00C24730"/>
    <w:rsid w:val="00C259CE"/>
    <w:rsid w:val="00C300E4"/>
    <w:rsid w:val="00C408AD"/>
    <w:rsid w:val="00C42167"/>
    <w:rsid w:val="00C42D6F"/>
    <w:rsid w:val="00C4395E"/>
    <w:rsid w:val="00C4515A"/>
    <w:rsid w:val="00C45B3F"/>
    <w:rsid w:val="00C4701C"/>
    <w:rsid w:val="00C4712C"/>
    <w:rsid w:val="00C47AA4"/>
    <w:rsid w:val="00C47CF9"/>
    <w:rsid w:val="00C47FFD"/>
    <w:rsid w:val="00C51E92"/>
    <w:rsid w:val="00C57E2C"/>
    <w:rsid w:val="00C608B7"/>
    <w:rsid w:val="00C617B3"/>
    <w:rsid w:val="00C6232E"/>
    <w:rsid w:val="00C63D4F"/>
    <w:rsid w:val="00C66410"/>
    <w:rsid w:val="00C66F24"/>
    <w:rsid w:val="00C71BFB"/>
    <w:rsid w:val="00C7356C"/>
    <w:rsid w:val="00C76660"/>
    <w:rsid w:val="00C76D7F"/>
    <w:rsid w:val="00C80B37"/>
    <w:rsid w:val="00C813AA"/>
    <w:rsid w:val="00C81636"/>
    <w:rsid w:val="00C818D7"/>
    <w:rsid w:val="00C81A02"/>
    <w:rsid w:val="00C826DF"/>
    <w:rsid w:val="00C8626C"/>
    <w:rsid w:val="00C9291E"/>
    <w:rsid w:val="00C961A9"/>
    <w:rsid w:val="00C97702"/>
    <w:rsid w:val="00C97C98"/>
    <w:rsid w:val="00CA1647"/>
    <w:rsid w:val="00CA3F44"/>
    <w:rsid w:val="00CA4E58"/>
    <w:rsid w:val="00CA5319"/>
    <w:rsid w:val="00CB3771"/>
    <w:rsid w:val="00CB44BF"/>
    <w:rsid w:val="00CB5153"/>
    <w:rsid w:val="00CB55EA"/>
    <w:rsid w:val="00CB5F02"/>
    <w:rsid w:val="00CB6521"/>
    <w:rsid w:val="00CB6925"/>
    <w:rsid w:val="00CB6AEA"/>
    <w:rsid w:val="00CC096C"/>
    <w:rsid w:val="00CC116E"/>
    <w:rsid w:val="00CC2128"/>
    <w:rsid w:val="00CC5081"/>
    <w:rsid w:val="00CD1155"/>
    <w:rsid w:val="00CD1A4C"/>
    <w:rsid w:val="00CD1AF4"/>
    <w:rsid w:val="00CD4E44"/>
    <w:rsid w:val="00CE076A"/>
    <w:rsid w:val="00CE10AB"/>
    <w:rsid w:val="00CE1F33"/>
    <w:rsid w:val="00CE463D"/>
    <w:rsid w:val="00CF0E3A"/>
    <w:rsid w:val="00CF2A15"/>
    <w:rsid w:val="00D01DCF"/>
    <w:rsid w:val="00D033AE"/>
    <w:rsid w:val="00D05B3E"/>
    <w:rsid w:val="00D06CD0"/>
    <w:rsid w:val="00D10BA0"/>
    <w:rsid w:val="00D11401"/>
    <w:rsid w:val="00D1456A"/>
    <w:rsid w:val="00D165F0"/>
    <w:rsid w:val="00D21132"/>
    <w:rsid w:val="00D21694"/>
    <w:rsid w:val="00D21952"/>
    <w:rsid w:val="00D24782"/>
    <w:rsid w:val="00D24EB5"/>
    <w:rsid w:val="00D30D33"/>
    <w:rsid w:val="00D35AB9"/>
    <w:rsid w:val="00D41571"/>
    <w:rsid w:val="00D416A0"/>
    <w:rsid w:val="00D4193D"/>
    <w:rsid w:val="00D43F2A"/>
    <w:rsid w:val="00D4609B"/>
    <w:rsid w:val="00D47672"/>
    <w:rsid w:val="00D50705"/>
    <w:rsid w:val="00D50736"/>
    <w:rsid w:val="00D5123C"/>
    <w:rsid w:val="00D55560"/>
    <w:rsid w:val="00D57B14"/>
    <w:rsid w:val="00D61567"/>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0D43"/>
    <w:rsid w:val="00DA195D"/>
    <w:rsid w:val="00DA1B88"/>
    <w:rsid w:val="00DA31C1"/>
    <w:rsid w:val="00DA3CEC"/>
    <w:rsid w:val="00DA4037"/>
    <w:rsid w:val="00DB1074"/>
    <w:rsid w:val="00DB37E7"/>
    <w:rsid w:val="00DC0340"/>
    <w:rsid w:val="00DC284D"/>
    <w:rsid w:val="00DD0EF9"/>
    <w:rsid w:val="00DD4C26"/>
    <w:rsid w:val="00DD5171"/>
    <w:rsid w:val="00DE16C2"/>
    <w:rsid w:val="00DE16E7"/>
    <w:rsid w:val="00DE30C4"/>
    <w:rsid w:val="00DE31F9"/>
    <w:rsid w:val="00DE66A5"/>
    <w:rsid w:val="00DF2B50"/>
    <w:rsid w:val="00DF4325"/>
    <w:rsid w:val="00DF4B44"/>
    <w:rsid w:val="00E01280"/>
    <w:rsid w:val="00E02813"/>
    <w:rsid w:val="00E03D73"/>
    <w:rsid w:val="00E04C86"/>
    <w:rsid w:val="00E063CF"/>
    <w:rsid w:val="00E06B13"/>
    <w:rsid w:val="00E105E9"/>
    <w:rsid w:val="00E127F8"/>
    <w:rsid w:val="00E17344"/>
    <w:rsid w:val="00E20048"/>
    <w:rsid w:val="00E20F30"/>
    <w:rsid w:val="00E2189C"/>
    <w:rsid w:val="00E2337D"/>
    <w:rsid w:val="00E25BB1"/>
    <w:rsid w:val="00E27BBA"/>
    <w:rsid w:val="00E30E3F"/>
    <w:rsid w:val="00E31EB8"/>
    <w:rsid w:val="00E343BE"/>
    <w:rsid w:val="00E35279"/>
    <w:rsid w:val="00E35E8F"/>
    <w:rsid w:val="00E41CDA"/>
    <w:rsid w:val="00E42248"/>
    <w:rsid w:val="00E428AB"/>
    <w:rsid w:val="00E4296A"/>
    <w:rsid w:val="00E438E8"/>
    <w:rsid w:val="00E448F0"/>
    <w:rsid w:val="00E453A3"/>
    <w:rsid w:val="00E46203"/>
    <w:rsid w:val="00E46E06"/>
    <w:rsid w:val="00E46F2F"/>
    <w:rsid w:val="00E520E2"/>
    <w:rsid w:val="00E530C4"/>
    <w:rsid w:val="00E55996"/>
    <w:rsid w:val="00E62738"/>
    <w:rsid w:val="00E64254"/>
    <w:rsid w:val="00E67928"/>
    <w:rsid w:val="00E70FB5"/>
    <w:rsid w:val="00E71242"/>
    <w:rsid w:val="00E7193E"/>
    <w:rsid w:val="00E7209D"/>
    <w:rsid w:val="00E72D0C"/>
    <w:rsid w:val="00E73D28"/>
    <w:rsid w:val="00E76A26"/>
    <w:rsid w:val="00E77BED"/>
    <w:rsid w:val="00E8113E"/>
    <w:rsid w:val="00E816E3"/>
    <w:rsid w:val="00E817BF"/>
    <w:rsid w:val="00E915AF"/>
    <w:rsid w:val="00E95560"/>
    <w:rsid w:val="00E9622B"/>
    <w:rsid w:val="00E96415"/>
    <w:rsid w:val="00EA15B3"/>
    <w:rsid w:val="00EA2DF7"/>
    <w:rsid w:val="00EB2358"/>
    <w:rsid w:val="00EB385C"/>
    <w:rsid w:val="00EB3EB8"/>
    <w:rsid w:val="00EB5EC0"/>
    <w:rsid w:val="00EC02FE"/>
    <w:rsid w:val="00EC0880"/>
    <w:rsid w:val="00EC4A96"/>
    <w:rsid w:val="00EC6A98"/>
    <w:rsid w:val="00EC7C3C"/>
    <w:rsid w:val="00ED1745"/>
    <w:rsid w:val="00ED2F62"/>
    <w:rsid w:val="00ED7075"/>
    <w:rsid w:val="00ED7594"/>
    <w:rsid w:val="00EE1264"/>
    <w:rsid w:val="00EE1592"/>
    <w:rsid w:val="00EE3CDE"/>
    <w:rsid w:val="00EF32AD"/>
    <w:rsid w:val="00EF418F"/>
    <w:rsid w:val="00EF4DCF"/>
    <w:rsid w:val="00EF5D0B"/>
    <w:rsid w:val="00F00CD7"/>
    <w:rsid w:val="00F03650"/>
    <w:rsid w:val="00F07E51"/>
    <w:rsid w:val="00F10E33"/>
    <w:rsid w:val="00F11084"/>
    <w:rsid w:val="00F117BE"/>
    <w:rsid w:val="00F20E5A"/>
    <w:rsid w:val="00F24AF9"/>
    <w:rsid w:val="00F24FA0"/>
    <w:rsid w:val="00F313D7"/>
    <w:rsid w:val="00F314AD"/>
    <w:rsid w:val="00F3543A"/>
    <w:rsid w:val="00F37853"/>
    <w:rsid w:val="00F424BF"/>
    <w:rsid w:val="00F44FC3"/>
    <w:rsid w:val="00F45A19"/>
    <w:rsid w:val="00F46107"/>
    <w:rsid w:val="00F468C5"/>
    <w:rsid w:val="00F4782B"/>
    <w:rsid w:val="00F526ED"/>
    <w:rsid w:val="00F52C35"/>
    <w:rsid w:val="00F52F39"/>
    <w:rsid w:val="00F53F25"/>
    <w:rsid w:val="00F542CF"/>
    <w:rsid w:val="00F54B4E"/>
    <w:rsid w:val="00F6184F"/>
    <w:rsid w:val="00F6202E"/>
    <w:rsid w:val="00F65661"/>
    <w:rsid w:val="00F65E11"/>
    <w:rsid w:val="00F677D3"/>
    <w:rsid w:val="00F72525"/>
    <w:rsid w:val="00F75673"/>
    <w:rsid w:val="00F77075"/>
    <w:rsid w:val="00F77139"/>
    <w:rsid w:val="00F77620"/>
    <w:rsid w:val="00F810C9"/>
    <w:rsid w:val="00F8310E"/>
    <w:rsid w:val="00F839E5"/>
    <w:rsid w:val="00F846DE"/>
    <w:rsid w:val="00F867F0"/>
    <w:rsid w:val="00F875C2"/>
    <w:rsid w:val="00F90A77"/>
    <w:rsid w:val="00F914DD"/>
    <w:rsid w:val="00F93E4F"/>
    <w:rsid w:val="00F9757F"/>
    <w:rsid w:val="00FA1C51"/>
    <w:rsid w:val="00FA2358"/>
    <w:rsid w:val="00FA25D9"/>
    <w:rsid w:val="00FA64C3"/>
    <w:rsid w:val="00FA6969"/>
    <w:rsid w:val="00FA6AD8"/>
    <w:rsid w:val="00FA7867"/>
    <w:rsid w:val="00FA78AF"/>
    <w:rsid w:val="00FB0A61"/>
    <w:rsid w:val="00FB2592"/>
    <w:rsid w:val="00FB2810"/>
    <w:rsid w:val="00FB5B24"/>
    <w:rsid w:val="00FB7A2C"/>
    <w:rsid w:val="00FC2947"/>
    <w:rsid w:val="00FC2CAB"/>
    <w:rsid w:val="00FC3BFE"/>
    <w:rsid w:val="00FC6F6B"/>
    <w:rsid w:val="00FC7764"/>
    <w:rsid w:val="00FC7CA5"/>
    <w:rsid w:val="00FD2A1B"/>
    <w:rsid w:val="00FD7E83"/>
    <w:rsid w:val="00FE0818"/>
    <w:rsid w:val="00FE4668"/>
    <w:rsid w:val="00FE593A"/>
    <w:rsid w:val="00FE6FB1"/>
    <w:rsid w:val="00FE78EF"/>
    <w:rsid w:val="00FF0CA7"/>
    <w:rsid w:val="00FF33EF"/>
    <w:rsid w:val="00FF4498"/>
    <w:rsid w:val="00FF56B4"/>
    <w:rsid w:val="00FF6475"/>
    <w:rsid w:val="02531AC8"/>
    <w:rsid w:val="0352E659"/>
    <w:rsid w:val="078ACDDC"/>
    <w:rsid w:val="0D06E85E"/>
    <w:rsid w:val="0E9A4C93"/>
    <w:rsid w:val="11C67B38"/>
    <w:rsid w:val="12265463"/>
    <w:rsid w:val="148BA3CA"/>
    <w:rsid w:val="1A0E52A4"/>
    <w:rsid w:val="20882182"/>
    <w:rsid w:val="2249EC0B"/>
    <w:rsid w:val="24AF176F"/>
    <w:rsid w:val="29BA853F"/>
    <w:rsid w:val="29EA5459"/>
    <w:rsid w:val="2B8624BA"/>
    <w:rsid w:val="2BB2F395"/>
    <w:rsid w:val="303EA83F"/>
    <w:rsid w:val="3257E76C"/>
    <w:rsid w:val="32C31091"/>
    <w:rsid w:val="35E3F377"/>
    <w:rsid w:val="3A0A77D0"/>
    <w:rsid w:val="3A12045A"/>
    <w:rsid w:val="3C2C0B65"/>
    <w:rsid w:val="3C2C65B4"/>
    <w:rsid w:val="40F6371E"/>
    <w:rsid w:val="414A543D"/>
    <w:rsid w:val="4512EF42"/>
    <w:rsid w:val="451A0509"/>
    <w:rsid w:val="47511142"/>
    <w:rsid w:val="4AD80E26"/>
    <w:rsid w:val="51963FE4"/>
    <w:rsid w:val="573C7D61"/>
    <w:rsid w:val="5746C1ED"/>
    <w:rsid w:val="58A311B2"/>
    <w:rsid w:val="5D608289"/>
    <w:rsid w:val="5E72650C"/>
    <w:rsid w:val="6111F145"/>
    <w:rsid w:val="61A3C485"/>
    <w:rsid w:val="635AD627"/>
    <w:rsid w:val="65163DEE"/>
    <w:rsid w:val="6677B0BA"/>
    <w:rsid w:val="67FCAE69"/>
    <w:rsid w:val="6AA9FAF8"/>
    <w:rsid w:val="6CFCEA44"/>
    <w:rsid w:val="70402F99"/>
    <w:rsid w:val="704BB0BF"/>
    <w:rsid w:val="712726EA"/>
    <w:rsid w:val="73E3AEC3"/>
    <w:rsid w:val="7BFAD6D1"/>
    <w:rsid w:val="7D756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07090"/>
  <w15:docId w15:val="{9E4E3568-C3C8-4D39-AF9C-209D83B6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59"/>
    <w:qFormat/>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character" w:customStyle="1" w:styleId="TabletextChar">
    <w:name w:val="Table_text Char"/>
    <w:link w:val="Tabletext"/>
    <w:uiPriority w:val="99"/>
    <w:locked/>
    <w:rsid w:val="00B30F9B"/>
    <w:rPr>
      <w:szCs w:val="22"/>
      <w:lang w:val="en-US" w:eastAsia="en-US"/>
    </w:rPr>
  </w:style>
  <w:style w:type="character" w:customStyle="1" w:styleId="TableheadChar">
    <w:name w:val="Table_head Char"/>
    <w:basedOn w:val="DefaultParagraphFont"/>
    <w:link w:val="Tablehead"/>
    <w:uiPriority w:val="99"/>
    <w:locked/>
    <w:rsid w:val="00B30F9B"/>
    <w:rPr>
      <w:b/>
      <w:szCs w:val="22"/>
      <w:lang w:val="en-US" w:eastAsia="en-US"/>
    </w:rPr>
  </w:style>
  <w:style w:type="paragraph" w:styleId="CommentSubject">
    <w:name w:val="annotation subject"/>
    <w:basedOn w:val="CommentText"/>
    <w:next w:val="CommentText"/>
    <w:link w:val="CommentSubjectChar"/>
    <w:semiHidden/>
    <w:unhideWhenUsed/>
    <w:rsid w:val="000D2138"/>
    <w:pPr>
      <w:spacing w:line="240" w:lineRule="auto"/>
    </w:pPr>
    <w:rPr>
      <w:b/>
      <w:bCs/>
      <w:szCs w:val="20"/>
    </w:rPr>
  </w:style>
  <w:style w:type="character" w:customStyle="1" w:styleId="CommentTextChar">
    <w:name w:val="Comment Text Char"/>
    <w:basedOn w:val="DefaultParagraphFont"/>
    <w:link w:val="CommentText"/>
    <w:semiHidden/>
    <w:rsid w:val="000D2138"/>
    <w:rPr>
      <w:szCs w:val="22"/>
      <w:lang w:val="en-US" w:eastAsia="en-US"/>
    </w:rPr>
  </w:style>
  <w:style w:type="character" w:customStyle="1" w:styleId="CommentSubjectChar">
    <w:name w:val="Comment Subject Char"/>
    <w:basedOn w:val="CommentTextChar"/>
    <w:link w:val="CommentSubject"/>
    <w:semiHidden/>
    <w:rsid w:val="000D2138"/>
    <w:rPr>
      <w:b/>
      <w:bCs/>
      <w:szCs w:val="22"/>
      <w:lang w:val="en-US" w:eastAsia="en-US"/>
    </w:rPr>
  </w:style>
  <w:style w:type="character" w:customStyle="1" w:styleId="NormalaftertitleChar">
    <w:name w:val="Normal_after_title Char"/>
    <w:basedOn w:val="DefaultParagraphFont"/>
    <w:link w:val="Normalaftertitle"/>
    <w:rsid w:val="00C81A02"/>
    <w:rPr>
      <w:sz w:val="22"/>
      <w:szCs w:val="22"/>
      <w:lang w:val="en-US" w:eastAsia="en-US"/>
    </w:rPr>
  </w:style>
  <w:style w:type="paragraph" w:customStyle="1" w:styleId="Normalaftertitle0">
    <w:name w:val="Normal after title"/>
    <w:basedOn w:val="Normal"/>
    <w:next w:val="Normal"/>
    <w:rsid w:val="00DD4C26"/>
    <w:pPr>
      <w:spacing w:before="320"/>
    </w:pPr>
    <w:rPr>
      <w:rFonts w:eastAsia="Times New Roman"/>
    </w:rPr>
  </w:style>
  <w:style w:type="character" w:customStyle="1" w:styleId="enumlev1Char">
    <w:name w:val="enumlev1 Char"/>
    <w:basedOn w:val="DefaultParagraphFont"/>
    <w:link w:val="enumlev1"/>
    <w:rsid w:val="005225CC"/>
    <w:rPr>
      <w:sz w:val="22"/>
      <w:szCs w:val="22"/>
      <w:lang w:val="en-US" w:eastAsia="en-US"/>
    </w:rPr>
  </w:style>
  <w:style w:type="paragraph" w:customStyle="1" w:styleId="Reasons">
    <w:name w:val="Reasons"/>
    <w:basedOn w:val="Normal"/>
    <w:qFormat/>
    <w:rsid w:val="001A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paragraph" w:customStyle="1" w:styleId="AnnexNo">
    <w:name w:val="Annex_No"/>
    <w:basedOn w:val="Normal"/>
    <w:next w:val="Normal"/>
    <w:link w:val="AnnexNoChar"/>
    <w:rsid w:val="0032764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6"/>
      <w:szCs w:val="20"/>
      <w:lang w:val="ru-RU"/>
    </w:rPr>
  </w:style>
  <w:style w:type="character" w:customStyle="1" w:styleId="AnnexNoChar">
    <w:name w:val="Annex_No Char"/>
    <w:link w:val="AnnexNo"/>
    <w:locked/>
    <w:rsid w:val="00327644"/>
    <w:rPr>
      <w:rFonts w:ascii="Times New Roman" w:eastAsia="Times New Roman" w:hAnsi="Times New Roman" w:cs="Times New Roman"/>
      <w:caps/>
      <w:sz w:val="26"/>
      <w:lang w:val="ru-RU" w:eastAsia="en-US"/>
    </w:rPr>
  </w:style>
  <w:style w:type="paragraph" w:customStyle="1" w:styleId="Annextitle">
    <w:name w:val="Annex_title"/>
    <w:basedOn w:val="Normal"/>
    <w:next w:val="Normal"/>
    <w:link w:val="AnnextitleChar1"/>
    <w:rsid w:val="0032764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6"/>
      <w:szCs w:val="20"/>
      <w:lang w:val="ru-RU"/>
    </w:rPr>
  </w:style>
  <w:style w:type="character" w:customStyle="1" w:styleId="AnnextitleChar1">
    <w:name w:val="Annex_title Char1"/>
    <w:link w:val="Annextitle"/>
    <w:locked/>
    <w:rsid w:val="00327644"/>
    <w:rPr>
      <w:rFonts w:ascii="Times New Roman Bold" w:eastAsia="Times New Roman" w:hAnsi="Times New Roman Bold" w:cs="Times New Roman"/>
      <w:b/>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R20-RAG-C-0058/en" TargetMode="External"/><Relationship Id="rId26" Type="http://schemas.openxmlformats.org/officeDocument/2006/relationships/hyperlink" Target="https://www.itu.int/md/R20-RAG-C-0056/en" TargetMode="External"/><Relationship Id="rId39" Type="http://schemas.openxmlformats.org/officeDocument/2006/relationships/header" Target="header6.xml"/><Relationship Id="rId21" Type="http://schemas.openxmlformats.org/officeDocument/2006/relationships/hyperlink" Target="https://www.itu.int/md/R20-RAG-C-0059/en" TargetMode="External"/><Relationship Id="rId34" Type="http://schemas.openxmlformats.org/officeDocument/2006/relationships/hyperlink" Target="https://www.itu.int/md/R20-RAG-C-0063/en" TargetMode="External"/><Relationship Id="rId42" Type="http://schemas.openxmlformats.org/officeDocument/2006/relationships/hyperlink" Target="https://www.itu.int/md/meetingdoc.asp?lang=en&amp;parent=R20-RAG-C-0057"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0-RAG-230501-TD-0009/en" TargetMode="External"/><Relationship Id="rId29" Type="http://schemas.openxmlformats.org/officeDocument/2006/relationships/hyperlink" Target="https://www.itu.int/md/R20-RAG-C-0058/en" TargetMode="External"/><Relationship Id="rId11" Type="http://schemas.openxmlformats.org/officeDocument/2006/relationships/hyperlink" Target="https://www.itu.int/en/ITU-R/conferences/rag/Pages/default.aspx" TargetMode="External"/><Relationship Id="rId24" Type="http://schemas.openxmlformats.org/officeDocument/2006/relationships/hyperlink" Target="https://www.itu.int/md/R20-RAG-C-0068/en" TargetMode="External"/><Relationship Id="rId32" Type="http://schemas.openxmlformats.org/officeDocument/2006/relationships/hyperlink" Target="https://www.itu.int/md/R20-RAG-C-0058/en" TargetMode="External"/><Relationship Id="rId37" Type="http://schemas.openxmlformats.org/officeDocument/2006/relationships/header" Target="header4.xml"/><Relationship Id="rId40" Type="http://schemas.openxmlformats.org/officeDocument/2006/relationships/footer" Target="footer2.xml"/><Relationship Id="rId45" Type="http://schemas.openxmlformats.org/officeDocument/2006/relationships/hyperlink" Target="https://www.itu.int/md/R19-SG04-C-0073/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md/R20-RAG-C-0058/en" TargetMode="External"/><Relationship Id="rId28" Type="http://schemas.openxmlformats.org/officeDocument/2006/relationships/hyperlink" Target="https://www.itu.int/md/R20-RAG-C-0061/en" TargetMode="External"/><Relationship Id="rId36" Type="http://schemas.openxmlformats.org/officeDocument/2006/relationships/hyperlink" Target="https://www.itu.int/md/R20-RAG-C-0065/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R20-RAG-C-0058/en" TargetMode="External"/><Relationship Id="rId31" Type="http://schemas.openxmlformats.org/officeDocument/2006/relationships/hyperlink" Target="https://www.itu.int/md/R20-RAG-C-0067/en" TargetMode="External"/><Relationship Id="rId44" Type="http://schemas.openxmlformats.org/officeDocument/2006/relationships/hyperlink" Target="https://www.itu.int/md/meetingdoc.asp?lang=en&amp;parent=R19-WP5D-C-15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itu.int/md/R20-RAG-C-0060/en" TargetMode="External"/><Relationship Id="rId27" Type="http://schemas.openxmlformats.org/officeDocument/2006/relationships/hyperlink" Target="https://www.itu.int/md/R20-RAG-C-0057/en" TargetMode="External"/><Relationship Id="rId30" Type="http://schemas.openxmlformats.org/officeDocument/2006/relationships/hyperlink" Target="https://www.itu.int/md/R20-RAG-C-0066/en" TargetMode="External"/><Relationship Id="rId35" Type="http://schemas.openxmlformats.org/officeDocument/2006/relationships/hyperlink" Target="https://www.itu.int/md/R20-RAG-C-0064/en" TargetMode="External"/><Relationship Id="rId43" Type="http://schemas.openxmlformats.org/officeDocument/2006/relationships/hyperlink" Target="http://chrome-extension://efaidnbmnnnibpcajpcglclefindmkaj/https:/www.itu.int/en/council/Documents/basic-texts/Convention-E.pdf" TargetMode="External"/><Relationship Id="rId48"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tu.int/md/R20-RAG-ADM-0005/en" TargetMode="External"/><Relationship Id="rId25" Type="http://schemas.openxmlformats.org/officeDocument/2006/relationships/hyperlink" Target="https://www.itu.int/md/R20-RAG-C-0058/en" TargetMode="External"/><Relationship Id="rId33" Type="http://schemas.openxmlformats.org/officeDocument/2006/relationships/hyperlink" Target="https://www.itu.int/md/R20-RAG-C-0062/en" TargetMode="External"/><Relationship Id="rId38" Type="http://schemas.openxmlformats.org/officeDocument/2006/relationships/header" Target="header5.xml"/><Relationship Id="rId46" Type="http://schemas.openxmlformats.org/officeDocument/2006/relationships/hyperlink" Target="https://www.itu.int/md/meetingdoc.asp?lang=en&amp;parent=R19-SG05-C-0117" TargetMode="External"/><Relationship Id="rId20" Type="http://schemas.openxmlformats.org/officeDocument/2006/relationships/hyperlink" Target="https://www.itu.int/md/R20-RAG-C-0058/en"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9-WP4C-C-0402/en" TargetMode="External"/><Relationship Id="rId1" Type="http://schemas.openxmlformats.org/officeDocument/2006/relationships/hyperlink" Target="https://www.itu.int/md/R19-WP4A-C-0868/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UserInfo>
        <DisplayName>Deraspe, Marie Jo</DisplayName>
        <AccountId>11</AccountId>
        <AccountType/>
      </UserInfo>
      <UserInfo>
        <DisplayName>Maniewicz, Mario</DisplayName>
        <AccountId>24</AccountId>
        <AccountType/>
      </UserInfo>
    </SharedWithUsers>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3" ma:contentTypeDescription="Create a new document." ma:contentTypeScope="" ma:versionID="437565179393d95f792b8653d99d9994">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490fb18fa57c9cfc956fbf8ff281ed2"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2.xml><?xml version="1.0" encoding="utf-8"?>
<ds:datastoreItem xmlns:ds="http://schemas.openxmlformats.org/officeDocument/2006/customXml" ds:itemID="{336FA245-FEFB-47C6-B3F7-9E7FC36899D9}">
  <ds:schemaRefs>
    <ds:schemaRef ds:uri="http://schemas.openxmlformats.org/officeDocument/2006/bibliography"/>
  </ds:schemaRefs>
</ds:datastoreItem>
</file>

<file path=customXml/itemProps3.xml><?xml version="1.0" encoding="utf-8"?>
<ds:datastoreItem xmlns:ds="http://schemas.openxmlformats.org/officeDocument/2006/customXml" ds:itemID="{67CA5EF3-73CB-40D7-90EC-49D35E502C2B}">
  <ds:schemaRefs>
    <ds:schemaRef ds:uri="http://schemas.microsoft.com/office/2006/metadata/properties"/>
    <ds:schemaRef ds:uri="http://schemas.microsoft.com/office/infopath/2007/PartnerControls"/>
    <ds:schemaRef ds:uri="ad0d4407-0c86-4168-aef5-7e5ed32f9eb2"/>
    <ds:schemaRef ds:uri="b793da9a-8d8a-4824-945d-2346bcf27de4"/>
  </ds:schemaRefs>
</ds:datastoreItem>
</file>

<file path=customXml/itemProps4.xml><?xml version="1.0" encoding="utf-8"?>
<ds:datastoreItem xmlns:ds="http://schemas.openxmlformats.org/officeDocument/2006/customXml" ds:itemID="{E19206AA-52E9-4A78-8216-46D7D130D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11</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Panoussopoulos, Sonia</cp:lastModifiedBy>
  <cp:revision>6</cp:revision>
  <cp:lastPrinted>2020-10-08T15:21:00Z</cp:lastPrinted>
  <dcterms:created xsi:type="dcterms:W3CDTF">2023-05-24T07:46:00Z</dcterms:created>
  <dcterms:modified xsi:type="dcterms:W3CDTF">2023-05-24T14:03:00Z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y fmtid="{D5CDD505-2E9C-101B-9397-08002B2CF9AE}" pid="12" name="MediaServiceImageTags">
    <vt:lpwstr/>
  </property>
</Properties>
</file>