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665E46" w14:paraId="10A0018E" w14:textId="77777777">
        <w:trPr>
          <w:jc w:val="center"/>
        </w:trPr>
        <w:tc>
          <w:tcPr>
            <w:tcW w:w="9889" w:type="dxa"/>
            <w:gridSpan w:val="3"/>
            <w:shd w:val="clear" w:color="auto" w:fill="auto"/>
          </w:tcPr>
          <w:p w14:paraId="4E9C9345" w14:textId="77777777" w:rsidR="00665E46" w:rsidRDefault="00EA10E9">
            <w:pPr>
              <w:spacing w:before="40"/>
              <w:jc w:val="left"/>
              <w:rPr>
                <w:rFonts w:asciiTheme="majorEastAsia" w:eastAsiaTheme="majorEastAsia" w:hAnsiTheme="majorEastAsia" w:cstheme="minorHAnsi"/>
                <w:b/>
                <w:bCs/>
                <w:color w:val="808080"/>
                <w:sz w:val="28"/>
                <w:szCs w:val="28"/>
                <w:lang w:val="en-GB" w:eastAsia="zh-CN"/>
              </w:rPr>
            </w:pPr>
            <w:r>
              <w:rPr>
                <w:rFonts w:asciiTheme="majorEastAsia" w:eastAsiaTheme="majorEastAsia" w:hAnsiTheme="majorEastAsia" w:cstheme="minorHAnsi"/>
                <w:b/>
                <w:bCs/>
                <w:color w:val="808080"/>
                <w:sz w:val="28"/>
                <w:lang w:val="en-GB" w:eastAsia="zh-CN"/>
              </w:rPr>
              <w:t>无线电通信局</w:t>
            </w:r>
            <w:r>
              <w:rPr>
                <w:rFonts w:asciiTheme="minorHAnsi" w:eastAsiaTheme="majorEastAsia" w:hAnsiTheme="minorHAnsi" w:cstheme="minorHAnsi"/>
                <w:b/>
                <w:bCs/>
                <w:color w:val="808080"/>
                <w:sz w:val="28"/>
                <w:lang w:val="en-GB" w:eastAsia="zh-CN"/>
              </w:rPr>
              <w:t>（</w:t>
            </w:r>
            <w:r>
              <w:rPr>
                <w:rFonts w:asciiTheme="minorHAnsi" w:eastAsiaTheme="majorEastAsia" w:hAnsiTheme="minorHAnsi" w:cstheme="minorHAnsi"/>
                <w:b/>
                <w:bCs/>
                <w:color w:val="808080"/>
                <w:sz w:val="28"/>
                <w:lang w:val="en-GB" w:eastAsia="zh-CN"/>
              </w:rPr>
              <w:t>BR</w:t>
            </w:r>
            <w:r>
              <w:rPr>
                <w:rFonts w:asciiTheme="minorHAnsi" w:eastAsiaTheme="majorEastAsia" w:hAnsiTheme="minorHAnsi" w:cstheme="minorHAnsi"/>
                <w:b/>
                <w:bCs/>
                <w:color w:val="808080"/>
                <w:sz w:val="28"/>
                <w:lang w:val="en-GB" w:eastAsia="zh-CN"/>
              </w:rPr>
              <w:t>）</w:t>
            </w:r>
          </w:p>
          <w:p w14:paraId="67CAA491" w14:textId="77777777" w:rsidR="00665E46" w:rsidRDefault="00665E46">
            <w:pPr>
              <w:spacing w:before="0"/>
              <w:jc w:val="left"/>
              <w:rPr>
                <w:rFonts w:cstheme="minorHAnsi"/>
                <w:b/>
                <w:bCs/>
                <w:color w:val="808080"/>
                <w:sz w:val="28"/>
                <w:szCs w:val="28"/>
                <w:lang w:val="en-GB" w:eastAsia="zh-CN"/>
              </w:rPr>
            </w:pPr>
          </w:p>
          <w:p w14:paraId="64183B18" w14:textId="77777777" w:rsidR="00665E46" w:rsidRDefault="00665E46">
            <w:pPr>
              <w:spacing w:before="0"/>
              <w:jc w:val="left"/>
              <w:rPr>
                <w:rFonts w:cs="Times New Roman Bold"/>
                <w:b/>
                <w:bCs/>
                <w:color w:val="808080"/>
                <w:sz w:val="28"/>
                <w:szCs w:val="28"/>
                <w:lang w:val="en-GB" w:eastAsia="zh-CN"/>
              </w:rPr>
            </w:pPr>
          </w:p>
        </w:tc>
      </w:tr>
      <w:tr w:rsidR="00665E46" w14:paraId="76433814" w14:textId="77777777">
        <w:trPr>
          <w:jc w:val="center"/>
        </w:trPr>
        <w:tc>
          <w:tcPr>
            <w:tcW w:w="7054" w:type="dxa"/>
            <w:gridSpan w:val="2"/>
            <w:shd w:val="clear" w:color="auto" w:fill="auto"/>
          </w:tcPr>
          <w:p w14:paraId="65686566" w14:textId="77777777" w:rsidR="00665E46" w:rsidRDefault="00EA10E9">
            <w:pPr>
              <w:spacing w:before="0"/>
              <w:jc w:val="left"/>
              <w:rPr>
                <w:szCs w:val="24"/>
                <w:lang w:val="fr-CH"/>
              </w:rPr>
            </w:pPr>
            <w:r>
              <w:rPr>
                <w:rFonts w:ascii="SimSun" w:hAnsi="SimSun" w:hint="eastAsia"/>
                <w:szCs w:val="24"/>
                <w:lang w:eastAsia="zh-CN"/>
              </w:rPr>
              <w:t>行政通函</w:t>
            </w:r>
          </w:p>
          <w:p w14:paraId="7106D876" w14:textId="77777777" w:rsidR="00665E46" w:rsidRDefault="00EA10E9">
            <w:pPr>
              <w:spacing w:before="0"/>
              <w:jc w:val="left"/>
              <w:rPr>
                <w:b/>
                <w:bCs/>
                <w:szCs w:val="24"/>
                <w:lang w:val="fr-CH"/>
              </w:rPr>
            </w:pPr>
            <w:r>
              <w:rPr>
                <w:b/>
                <w:bCs/>
                <w:szCs w:val="24"/>
                <w:lang w:val="fr-CH"/>
              </w:rPr>
              <w:t>CA/274</w:t>
            </w:r>
          </w:p>
        </w:tc>
        <w:tc>
          <w:tcPr>
            <w:tcW w:w="2835" w:type="dxa"/>
            <w:shd w:val="clear" w:color="auto" w:fill="auto"/>
          </w:tcPr>
          <w:p w14:paraId="2EAB21FA" w14:textId="0E92C424" w:rsidR="00665E46" w:rsidRDefault="00EA10E9">
            <w:pPr>
              <w:spacing w:before="0"/>
              <w:jc w:val="right"/>
              <w:rPr>
                <w:rFonts w:eastAsia="SimSun"/>
                <w:szCs w:val="24"/>
                <w:lang w:val="en-GB"/>
              </w:rPr>
            </w:pPr>
            <w:r>
              <w:rPr>
                <w:rFonts w:eastAsia="SimSun"/>
                <w:szCs w:val="24"/>
                <w:lang w:eastAsia="zh-CN"/>
              </w:rPr>
              <w:t>2024</w:t>
            </w:r>
            <w:r>
              <w:rPr>
                <w:rFonts w:eastAsia="SimSun" w:hint="eastAsia"/>
                <w:szCs w:val="24"/>
                <w:lang w:eastAsia="zh-CN"/>
              </w:rPr>
              <w:t>年</w:t>
            </w:r>
            <w:r>
              <w:rPr>
                <w:rFonts w:eastAsia="SimSun"/>
                <w:szCs w:val="24"/>
                <w:lang w:eastAsia="zh-CN"/>
              </w:rPr>
              <w:t>6</w:t>
            </w:r>
            <w:r>
              <w:rPr>
                <w:rFonts w:eastAsia="SimSun" w:hint="eastAsia"/>
                <w:szCs w:val="24"/>
                <w:lang w:eastAsia="zh-CN"/>
              </w:rPr>
              <w:t>月</w:t>
            </w:r>
            <w:r>
              <w:rPr>
                <w:rFonts w:eastAsia="SimSun"/>
                <w:szCs w:val="24"/>
                <w:lang w:eastAsia="zh-CN"/>
              </w:rPr>
              <w:t>1</w:t>
            </w:r>
            <w:r w:rsidR="00670B6A">
              <w:rPr>
                <w:rFonts w:eastAsia="SimSun"/>
                <w:szCs w:val="24"/>
                <w:lang w:eastAsia="zh-CN"/>
              </w:rPr>
              <w:t>7</w:t>
            </w:r>
            <w:r>
              <w:rPr>
                <w:rFonts w:eastAsia="SimSun" w:hint="eastAsia"/>
                <w:szCs w:val="24"/>
                <w:lang w:eastAsia="zh-CN"/>
              </w:rPr>
              <w:t>日</w:t>
            </w:r>
          </w:p>
        </w:tc>
      </w:tr>
      <w:tr w:rsidR="00665E46" w14:paraId="0FE22B35" w14:textId="77777777">
        <w:trPr>
          <w:jc w:val="center"/>
        </w:trPr>
        <w:tc>
          <w:tcPr>
            <w:tcW w:w="9889" w:type="dxa"/>
            <w:gridSpan w:val="3"/>
            <w:shd w:val="clear" w:color="auto" w:fill="auto"/>
          </w:tcPr>
          <w:p w14:paraId="0BCB4351" w14:textId="77777777" w:rsidR="00665E46" w:rsidRDefault="00665E46">
            <w:pPr>
              <w:spacing w:before="0"/>
              <w:jc w:val="left"/>
              <w:rPr>
                <w:rFonts w:cs="Arial"/>
                <w:szCs w:val="24"/>
                <w:lang w:val="en-GB"/>
              </w:rPr>
            </w:pPr>
          </w:p>
        </w:tc>
      </w:tr>
      <w:tr w:rsidR="00665E46" w14:paraId="0AC03E2F" w14:textId="77777777">
        <w:trPr>
          <w:jc w:val="center"/>
        </w:trPr>
        <w:tc>
          <w:tcPr>
            <w:tcW w:w="9889" w:type="dxa"/>
            <w:gridSpan w:val="3"/>
            <w:shd w:val="clear" w:color="auto" w:fill="auto"/>
          </w:tcPr>
          <w:p w14:paraId="72A04D3E" w14:textId="77777777" w:rsidR="00665E46" w:rsidRDefault="00665E46">
            <w:pPr>
              <w:spacing w:before="0"/>
              <w:jc w:val="left"/>
              <w:rPr>
                <w:szCs w:val="24"/>
              </w:rPr>
            </w:pPr>
          </w:p>
        </w:tc>
      </w:tr>
      <w:tr w:rsidR="00665E46" w14:paraId="455D191E" w14:textId="77777777">
        <w:trPr>
          <w:jc w:val="center"/>
        </w:trPr>
        <w:tc>
          <w:tcPr>
            <w:tcW w:w="9889" w:type="dxa"/>
            <w:gridSpan w:val="3"/>
            <w:shd w:val="clear" w:color="auto" w:fill="auto"/>
          </w:tcPr>
          <w:p w14:paraId="5C00CCF3" w14:textId="77777777" w:rsidR="00665E46" w:rsidRDefault="00EA10E9" w:rsidP="006B02A9">
            <w:pPr>
              <w:spacing w:before="0"/>
              <w:jc w:val="left"/>
              <w:rPr>
                <w:rFonts w:ascii="SimSun" w:eastAsia="SimSun" w:hAnsi="SimSun"/>
                <w:szCs w:val="24"/>
                <w:lang w:eastAsia="zh-CN"/>
              </w:rPr>
            </w:pPr>
            <w:r>
              <w:rPr>
                <w:rFonts w:ascii="SimSun" w:eastAsia="SimSun" w:hAnsi="SimSun" w:hint="eastAsia"/>
                <w:b/>
                <w:bCs/>
                <w:szCs w:val="24"/>
                <w:lang w:eastAsia="zh-CN"/>
              </w:rPr>
              <w:t>致国际电联成员国主管部门和无线电通信部门成员</w:t>
            </w:r>
            <w:r>
              <w:rPr>
                <w:rFonts w:ascii="SimSun" w:eastAsia="SimSun" w:hAnsi="SimSun"/>
                <w:b/>
                <w:bCs/>
                <w:szCs w:val="24"/>
                <w:lang w:eastAsia="zh-CN"/>
              </w:rPr>
              <w:br/>
            </w:r>
            <w:r>
              <w:rPr>
                <w:rFonts w:ascii="SimSun" w:eastAsia="SimSun" w:hAnsi="SimSun" w:hint="eastAsia"/>
                <w:szCs w:val="24"/>
                <w:lang w:eastAsia="zh-CN"/>
              </w:rPr>
              <w:t>（受邀参加活动的还有：国际电联无线电通信部门准成员和学术成员）</w:t>
            </w:r>
          </w:p>
          <w:p w14:paraId="02384FE1" w14:textId="5BCCD47E" w:rsidR="00EA10E9" w:rsidRDefault="00EA10E9" w:rsidP="006B02A9">
            <w:pPr>
              <w:spacing w:before="0"/>
              <w:jc w:val="left"/>
              <w:rPr>
                <w:b/>
                <w:bCs/>
                <w:szCs w:val="24"/>
                <w:lang w:eastAsia="zh-CN"/>
              </w:rPr>
            </w:pPr>
          </w:p>
        </w:tc>
      </w:tr>
      <w:tr w:rsidR="00665E46" w14:paraId="5E94D77E" w14:textId="77777777">
        <w:trPr>
          <w:jc w:val="center"/>
        </w:trPr>
        <w:tc>
          <w:tcPr>
            <w:tcW w:w="9889" w:type="dxa"/>
            <w:gridSpan w:val="3"/>
            <w:shd w:val="clear" w:color="auto" w:fill="auto"/>
          </w:tcPr>
          <w:p w14:paraId="1F997E73" w14:textId="77777777" w:rsidR="00665E46" w:rsidRDefault="00665E46">
            <w:pPr>
              <w:spacing w:before="0"/>
              <w:rPr>
                <w:szCs w:val="24"/>
                <w:lang w:eastAsia="zh-CN"/>
              </w:rPr>
            </w:pPr>
          </w:p>
        </w:tc>
      </w:tr>
      <w:tr w:rsidR="00665E46" w14:paraId="3E99E1F1" w14:textId="77777777">
        <w:trPr>
          <w:jc w:val="center"/>
        </w:trPr>
        <w:tc>
          <w:tcPr>
            <w:tcW w:w="9889" w:type="dxa"/>
            <w:gridSpan w:val="3"/>
            <w:shd w:val="clear" w:color="auto" w:fill="auto"/>
          </w:tcPr>
          <w:p w14:paraId="0F1BF530" w14:textId="77777777" w:rsidR="00665E46" w:rsidRDefault="00665E46">
            <w:pPr>
              <w:spacing w:before="0"/>
              <w:rPr>
                <w:szCs w:val="24"/>
                <w:lang w:eastAsia="zh-CN"/>
              </w:rPr>
            </w:pPr>
          </w:p>
        </w:tc>
      </w:tr>
      <w:tr w:rsidR="00665E46" w14:paraId="13DEEE6D" w14:textId="77777777">
        <w:trPr>
          <w:trHeight w:val="560"/>
          <w:jc w:val="center"/>
        </w:trPr>
        <w:tc>
          <w:tcPr>
            <w:tcW w:w="1526" w:type="dxa"/>
            <w:shd w:val="clear" w:color="auto" w:fill="auto"/>
          </w:tcPr>
          <w:p w14:paraId="307DBA89" w14:textId="77777777" w:rsidR="00665E46" w:rsidRDefault="00EA10E9">
            <w:pPr>
              <w:tabs>
                <w:tab w:val="clear" w:pos="1588"/>
                <w:tab w:val="left" w:pos="1560"/>
              </w:tabs>
              <w:spacing w:before="0"/>
              <w:rPr>
                <w:rFonts w:asciiTheme="majorEastAsia" w:eastAsiaTheme="majorEastAsia" w:hAnsiTheme="majorEastAsia"/>
                <w:szCs w:val="24"/>
              </w:rPr>
            </w:pPr>
            <w:r>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6269E765" w14:textId="77777777" w:rsidR="00665E46" w:rsidRDefault="00EA10E9">
            <w:pPr>
              <w:tabs>
                <w:tab w:val="clear" w:pos="794"/>
                <w:tab w:val="clear" w:pos="1588"/>
                <w:tab w:val="left" w:pos="494"/>
                <w:tab w:val="left" w:pos="1560"/>
              </w:tabs>
              <w:spacing w:before="0"/>
              <w:jc w:val="left"/>
              <w:rPr>
                <w:rFonts w:eastAsia="SimSun"/>
                <w:b/>
                <w:bCs/>
                <w:szCs w:val="24"/>
                <w:lang w:eastAsia="zh-CN"/>
              </w:rPr>
            </w:pPr>
            <w:bookmarkStart w:id="0" w:name="_Hlk52538127"/>
            <w:r>
              <w:rPr>
                <w:rFonts w:asciiTheme="minorHAnsi" w:hAnsiTheme="minorHAnsi" w:cstheme="minorHAnsi"/>
                <w:b/>
                <w:bCs/>
                <w:szCs w:val="24"/>
                <w:lang w:eastAsia="zh-CN"/>
              </w:rPr>
              <w:t>2024</w:t>
            </w:r>
            <w:r>
              <w:rPr>
                <w:rFonts w:asciiTheme="minorHAnsi" w:hAnsiTheme="minorHAnsi" w:cstheme="minorHAnsi"/>
                <w:b/>
                <w:bCs/>
                <w:szCs w:val="24"/>
                <w:lang w:eastAsia="zh-CN"/>
              </w:rPr>
              <w:t>年世界无线电通信研讨会（</w:t>
            </w:r>
            <w:r>
              <w:rPr>
                <w:rFonts w:asciiTheme="minorHAnsi" w:hAnsiTheme="minorHAnsi" w:cstheme="minorHAnsi"/>
                <w:b/>
                <w:bCs/>
                <w:szCs w:val="24"/>
                <w:lang w:eastAsia="zh-CN"/>
              </w:rPr>
              <w:t>WRS-24</w:t>
            </w:r>
            <w:r>
              <w:rPr>
                <w:rFonts w:asciiTheme="minorHAnsi" w:hAnsiTheme="minorHAnsi" w:cstheme="minorHAnsi"/>
                <w:b/>
                <w:bCs/>
                <w:szCs w:val="24"/>
                <w:lang w:eastAsia="zh-CN"/>
              </w:rPr>
              <w:t>）</w:t>
            </w:r>
            <w:r>
              <w:rPr>
                <w:rFonts w:asciiTheme="minorHAnsi" w:hAnsiTheme="minorHAnsi" w:cstheme="minorHAnsi"/>
                <w:b/>
                <w:bCs/>
                <w:szCs w:val="24"/>
                <w:lang w:eastAsia="zh-CN"/>
              </w:rPr>
              <w:br/>
              <w:t>2024</w:t>
            </w:r>
            <w:r>
              <w:rPr>
                <w:rFonts w:asciiTheme="minorHAnsi" w:hAnsiTheme="minorHAnsi" w:cstheme="minorHAnsi"/>
                <w:b/>
                <w:bCs/>
                <w:szCs w:val="24"/>
                <w:lang w:eastAsia="zh-CN"/>
              </w:rPr>
              <w:t>年</w:t>
            </w:r>
            <w:r>
              <w:rPr>
                <w:rFonts w:asciiTheme="minorHAnsi" w:hAnsiTheme="minorHAnsi" w:cstheme="minorHAnsi"/>
                <w:b/>
                <w:bCs/>
                <w:szCs w:val="24"/>
                <w:lang w:eastAsia="zh-CN"/>
              </w:rPr>
              <w:t>12</w:t>
            </w:r>
            <w:r>
              <w:rPr>
                <w:rFonts w:asciiTheme="minorHAnsi" w:hAnsiTheme="minorHAnsi" w:cstheme="minorHAnsi"/>
                <w:b/>
                <w:bCs/>
                <w:szCs w:val="24"/>
                <w:lang w:eastAsia="zh-CN"/>
              </w:rPr>
              <w:t>月</w:t>
            </w:r>
            <w:r>
              <w:rPr>
                <w:rFonts w:asciiTheme="minorHAnsi" w:hAnsiTheme="minorHAnsi" w:cstheme="minorHAnsi"/>
                <w:b/>
                <w:bCs/>
                <w:szCs w:val="24"/>
                <w:lang w:eastAsia="zh-CN"/>
              </w:rPr>
              <w:t>2</w:t>
            </w:r>
            <w:r>
              <w:rPr>
                <w:rFonts w:asciiTheme="minorHAnsi" w:hAnsiTheme="minorHAnsi" w:cstheme="minorHAnsi" w:hint="eastAsia"/>
                <w:b/>
                <w:bCs/>
                <w:szCs w:val="24"/>
                <w:lang w:eastAsia="zh-CN"/>
              </w:rPr>
              <w:t>-</w:t>
            </w:r>
            <w:r>
              <w:rPr>
                <w:rFonts w:asciiTheme="minorHAnsi" w:hAnsiTheme="minorHAnsi" w:cstheme="minorHAnsi"/>
                <w:b/>
                <w:bCs/>
                <w:szCs w:val="24"/>
                <w:lang w:eastAsia="zh-CN"/>
              </w:rPr>
              <w:t>6</w:t>
            </w:r>
            <w:r>
              <w:rPr>
                <w:rFonts w:asciiTheme="minorHAnsi" w:hAnsiTheme="minorHAnsi" w:cstheme="minorHAnsi"/>
                <w:b/>
                <w:bCs/>
                <w:szCs w:val="24"/>
                <w:lang w:eastAsia="zh-CN"/>
              </w:rPr>
              <w:t>日，瑞士日内瓦</w:t>
            </w:r>
            <w:bookmarkEnd w:id="0"/>
          </w:p>
        </w:tc>
      </w:tr>
      <w:tr w:rsidR="00665E46" w14:paraId="42EED3E9" w14:textId="77777777">
        <w:trPr>
          <w:jc w:val="center"/>
        </w:trPr>
        <w:tc>
          <w:tcPr>
            <w:tcW w:w="1526" w:type="dxa"/>
            <w:shd w:val="clear" w:color="auto" w:fill="auto"/>
          </w:tcPr>
          <w:p w14:paraId="6A6D922E" w14:textId="77777777" w:rsidR="00665E46" w:rsidRDefault="00665E46">
            <w:pPr>
              <w:tabs>
                <w:tab w:val="clear" w:pos="1588"/>
                <w:tab w:val="left" w:pos="1560"/>
              </w:tabs>
              <w:spacing w:before="0"/>
              <w:rPr>
                <w:b/>
                <w:bCs/>
                <w:szCs w:val="24"/>
                <w:lang w:val="en-GB" w:eastAsia="zh-CN"/>
              </w:rPr>
            </w:pPr>
          </w:p>
        </w:tc>
        <w:tc>
          <w:tcPr>
            <w:tcW w:w="8363" w:type="dxa"/>
            <w:gridSpan w:val="2"/>
            <w:vMerge/>
            <w:shd w:val="clear" w:color="auto" w:fill="auto"/>
          </w:tcPr>
          <w:p w14:paraId="088DCC9A" w14:textId="77777777" w:rsidR="00665E46" w:rsidRDefault="00665E46">
            <w:pPr>
              <w:tabs>
                <w:tab w:val="clear" w:pos="1588"/>
                <w:tab w:val="left" w:pos="1560"/>
              </w:tabs>
              <w:spacing w:before="0"/>
              <w:rPr>
                <w:b/>
                <w:bCs/>
                <w:szCs w:val="24"/>
                <w:lang w:val="en-GB" w:eastAsia="zh-CN"/>
              </w:rPr>
            </w:pPr>
          </w:p>
        </w:tc>
      </w:tr>
    </w:tbl>
    <w:p w14:paraId="5F4472AD" w14:textId="77777777" w:rsidR="00665E46" w:rsidRDefault="00EA10E9">
      <w:pPr>
        <w:pStyle w:val="Normalaftertitle"/>
        <w:ind w:firstLineChars="200" w:firstLine="480"/>
        <w:rPr>
          <w:lang w:eastAsia="zh-CN"/>
        </w:rPr>
      </w:pPr>
      <w:r>
        <w:rPr>
          <w:lang w:eastAsia="zh-CN"/>
        </w:rPr>
        <w:t>国际电联无线电通信局发出此行政通函，荣幸地邀请贵主管部门或组织参加</w:t>
      </w:r>
      <w:r>
        <w:rPr>
          <w:b/>
          <w:bCs/>
          <w:lang w:eastAsia="zh-CN"/>
        </w:rPr>
        <w:t>国际电联</w:t>
      </w:r>
      <w:r>
        <w:rPr>
          <w:b/>
          <w:bCs/>
          <w:lang w:eastAsia="zh-CN"/>
        </w:rPr>
        <w:t>2024</w:t>
      </w:r>
      <w:r>
        <w:rPr>
          <w:b/>
          <w:bCs/>
          <w:lang w:eastAsia="zh-CN"/>
        </w:rPr>
        <w:t>年世界无线电通信研讨会（</w:t>
      </w:r>
      <w:r>
        <w:rPr>
          <w:b/>
          <w:bCs/>
          <w:lang w:eastAsia="zh-CN"/>
        </w:rPr>
        <w:t>WRS-24</w:t>
      </w:r>
      <w:r>
        <w:rPr>
          <w:b/>
          <w:bCs/>
          <w:lang w:eastAsia="zh-CN"/>
        </w:rPr>
        <w:t>）</w:t>
      </w:r>
      <w:r>
        <w:rPr>
          <w:lang w:eastAsia="zh-CN"/>
        </w:rPr>
        <w:t>。</w:t>
      </w:r>
    </w:p>
    <w:p w14:paraId="5FF0394D"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国际电联每两年举办一</w:t>
      </w:r>
      <w:r>
        <w:rPr>
          <w:rFonts w:asciiTheme="minorHAnsi" w:hAnsiTheme="minorHAnsi" w:cstheme="minorHAnsi" w:hint="eastAsia"/>
          <w:szCs w:val="24"/>
          <w:lang w:eastAsia="zh-CN"/>
        </w:rPr>
        <w:t>次</w:t>
      </w:r>
      <w:r>
        <w:rPr>
          <w:rFonts w:asciiTheme="minorHAnsi" w:hAnsiTheme="minorHAnsi" w:cstheme="minorHAnsi"/>
          <w:szCs w:val="24"/>
          <w:lang w:eastAsia="zh-CN"/>
        </w:rPr>
        <w:t>世界无线电通信研讨会（</w:t>
      </w:r>
      <w:r>
        <w:rPr>
          <w:rFonts w:asciiTheme="minorHAnsi" w:hAnsiTheme="minorHAnsi" w:cstheme="minorHAnsi"/>
          <w:szCs w:val="24"/>
          <w:lang w:eastAsia="zh-CN"/>
        </w:rPr>
        <w:t>WRS</w:t>
      </w:r>
      <w:r>
        <w:rPr>
          <w:rFonts w:asciiTheme="minorHAnsi" w:hAnsiTheme="minorHAnsi" w:cstheme="minorHAnsi"/>
          <w:szCs w:val="24"/>
          <w:lang w:eastAsia="zh-CN"/>
        </w:rPr>
        <w:t>），</w:t>
      </w:r>
      <w:r>
        <w:rPr>
          <w:rFonts w:asciiTheme="minorHAnsi" w:hAnsiTheme="minorHAnsi" w:cstheme="minorHAnsi" w:hint="eastAsia"/>
          <w:szCs w:val="24"/>
          <w:lang w:eastAsia="zh-CN"/>
        </w:rPr>
        <w:t>此研讨会为区域性无线电通信研讨会（</w:t>
      </w:r>
      <w:r>
        <w:rPr>
          <w:rFonts w:asciiTheme="minorHAnsi" w:hAnsiTheme="minorHAnsi" w:cstheme="minorHAnsi" w:hint="eastAsia"/>
          <w:szCs w:val="24"/>
          <w:lang w:eastAsia="zh-CN"/>
        </w:rPr>
        <w:t>RRS</w:t>
      </w:r>
      <w:r>
        <w:rPr>
          <w:rFonts w:asciiTheme="minorHAnsi" w:hAnsiTheme="minorHAnsi" w:cstheme="minorHAnsi" w:hint="eastAsia"/>
          <w:szCs w:val="24"/>
          <w:lang w:eastAsia="zh-CN"/>
        </w:rPr>
        <w:t>）周期内的补充活动。</w:t>
      </w:r>
      <w:r>
        <w:rPr>
          <w:rFonts w:asciiTheme="minorHAnsi" w:hAnsiTheme="minorHAnsi" w:cstheme="minorHAnsi"/>
          <w:szCs w:val="24"/>
          <w:lang w:eastAsia="zh-CN"/>
        </w:rPr>
        <w:t>每</w:t>
      </w:r>
      <w:r>
        <w:rPr>
          <w:rFonts w:asciiTheme="minorHAnsi" w:hAnsiTheme="minorHAnsi" w:cstheme="minorHAnsi" w:hint="eastAsia"/>
          <w:szCs w:val="24"/>
          <w:lang w:eastAsia="zh-CN"/>
        </w:rPr>
        <w:t>次</w:t>
      </w:r>
      <w:r>
        <w:rPr>
          <w:rFonts w:asciiTheme="minorHAnsi" w:hAnsiTheme="minorHAnsi" w:cstheme="minorHAnsi"/>
          <w:szCs w:val="24"/>
          <w:lang w:eastAsia="zh-CN"/>
        </w:rPr>
        <w:t>WRS</w:t>
      </w:r>
      <w:r>
        <w:rPr>
          <w:rFonts w:asciiTheme="minorHAnsi" w:hAnsiTheme="minorHAnsi" w:cstheme="minorHAnsi"/>
          <w:szCs w:val="24"/>
          <w:lang w:eastAsia="zh-CN"/>
        </w:rPr>
        <w:t>均处理无线电频谱和</w:t>
      </w:r>
      <w:r>
        <w:rPr>
          <w:rFonts w:asciiTheme="minorHAnsi" w:hAnsiTheme="minorHAnsi" w:cstheme="minorHAnsi" w:hint="eastAsia"/>
          <w:szCs w:val="24"/>
          <w:lang w:eastAsia="zh-CN"/>
        </w:rPr>
        <w:t>空间业务相关</w:t>
      </w:r>
      <w:r>
        <w:rPr>
          <w:rFonts w:asciiTheme="minorHAnsi" w:hAnsiTheme="minorHAnsi" w:cstheme="minorHAnsi"/>
          <w:szCs w:val="24"/>
          <w:lang w:eastAsia="zh-CN"/>
        </w:rPr>
        <w:t>卫星轨道的使用以及国际电联《无线电规则》条款的适用问题。</w:t>
      </w:r>
    </w:p>
    <w:p w14:paraId="1DD332BD" w14:textId="2D84127B"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有关</w:t>
      </w:r>
      <w:r>
        <w:rPr>
          <w:rFonts w:asciiTheme="minorHAnsi" w:hAnsiTheme="minorHAnsi" w:cstheme="minorHAnsi"/>
          <w:szCs w:val="24"/>
          <w:lang w:eastAsia="zh-CN"/>
        </w:rPr>
        <w:t>WRS-24</w:t>
      </w:r>
      <w:r>
        <w:rPr>
          <w:rFonts w:asciiTheme="minorHAnsi" w:hAnsiTheme="minorHAnsi" w:cstheme="minorHAnsi"/>
          <w:szCs w:val="24"/>
          <w:lang w:eastAsia="zh-CN"/>
        </w:rPr>
        <w:t>的详细信息</w:t>
      </w:r>
      <w:r>
        <w:rPr>
          <w:rFonts w:asciiTheme="minorHAnsi" w:hAnsiTheme="minorHAnsi" w:cstheme="minorHAnsi" w:hint="eastAsia"/>
          <w:szCs w:val="24"/>
          <w:lang w:eastAsia="zh-CN"/>
        </w:rPr>
        <w:t>一经发布，即会</w:t>
      </w:r>
      <w:r>
        <w:rPr>
          <w:rFonts w:asciiTheme="minorHAnsi" w:hAnsiTheme="minorHAnsi" w:cstheme="minorHAnsi"/>
          <w:szCs w:val="24"/>
          <w:lang w:eastAsia="zh-CN"/>
        </w:rPr>
        <w:t>在活动网站上</w:t>
      </w:r>
      <w:r>
        <w:rPr>
          <w:rFonts w:asciiTheme="minorHAnsi" w:hAnsiTheme="minorHAnsi" w:cstheme="minorHAnsi" w:hint="eastAsia"/>
          <w:szCs w:val="24"/>
          <w:lang w:eastAsia="zh-CN"/>
        </w:rPr>
        <w:t>公布：</w:t>
      </w:r>
      <w:hyperlink r:id="rId7" w:history="1">
        <w:r w:rsidR="00BD0D89" w:rsidRPr="00562778">
          <w:rPr>
            <w:rStyle w:val="Hyperlink"/>
            <w:lang w:eastAsia="zh-CN"/>
          </w:rPr>
          <w:t>http://www.itu.int/go/wrs-24</w:t>
        </w:r>
      </w:hyperlink>
      <w:r>
        <w:rPr>
          <w:rFonts w:asciiTheme="minorHAnsi" w:hAnsiTheme="minorHAnsi" w:cstheme="minorHAnsi"/>
          <w:szCs w:val="24"/>
          <w:lang w:eastAsia="zh-CN"/>
        </w:rPr>
        <w:t>。</w:t>
      </w:r>
    </w:p>
    <w:p w14:paraId="4A4E487D" w14:textId="77777777" w:rsidR="00665E46" w:rsidRDefault="00EA10E9">
      <w:pPr>
        <w:pStyle w:val="Headingb"/>
        <w:rPr>
          <w:rFonts w:cstheme="minorHAnsi"/>
          <w:lang w:eastAsia="zh-CN"/>
        </w:rPr>
      </w:pPr>
      <w:r>
        <w:rPr>
          <w:rFonts w:hint="eastAsia"/>
          <w:lang w:eastAsia="zh-CN"/>
        </w:rPr>
        <w:t>日程</w:t>
      </w:r>
    </w:p>
    <w:p w14:paraId="383FB65B"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WRS-24</w:t>
      </w:r>
      <w:r>
        <w:rPr>
          <w:rFonts w:asciiTheme="minorHAnsi" w:hAnsiTheme="minorHAnsi" w:cstheme="minorHAnsi"/>
          <w:szCs w:val="24"/>
          <w:lang w:eastAsia="zh-CN"/>
        </w:rPr>
        <w:t>将分为两部分：</w:t>
      </w:r>
    </w:p>
    <w:p w14:paraId="7F439DD1" w14:textId="77777777" w:rsidR="00665E46" w:rsidRDefault="00EA10E9">
      <w:pPr>
        <w:pStyle w:val="enumlev2"/>
        <w:rPr>
          <w:b/>
          <w:bCs/>
          <w:lang w:eastAsia="zh-CN"/>
        </w:rPr>
      </w:pPr>
      <w:r>
        <w:rPr>
          <w:b/>
          <w:bCs/>
          <w:lang w:eastAsia="zh-CN"/>
        </w:rPr>
        <w:tab/>
      </w:r>
      <w:r>
        <w:rPr>
          <w:b/>
          <w:bCs/>
          <w:lang w:eastAsia="zh-CN"/>
        </w:rPr>
        <w:t>第</w:t>
      </w:r>
      <w:r>
        <w:rPr>
          <w:rFonts w:hint="eastAsia"/>
          <w:b/>
          <w:bCs/>
          <w:lang w:eastAsia="zh-CN"/>
        </w:rPr>
        <w:t>1</w:t>
      </w:r>
      <w:r>
        <w:rPr>
          <w:b/>
          <w:bCs/>
          <w:lang w:eastAsia="zh-CN"/>
        </w:rPr>
        <w:t>部分：</w:t>
      </w:r>
      <w:r>
        <w:rPr>
          <w:b/>
          <w:bCs/>
          <w:lang w:eastAsia="zh-CN"/>
        </w:rPr>
        <w:t>WRS-24</w:t>
      </w:r>
      <w:r>
        <w:rPr>
          <w:b/>
          <w:bCs/>
          <w:lang w:eastAsia="zh-CN"/>
        </w:rPr>
        <w:t>：全体会议，</w:t>
      </w:r>
      <w:r>
        <w:rPr>
          <w:b/>
          <w:bCs/>
          <w:lang w:eastAsia="zh-CN"/>
        </w:rPr>
        <w:t>12</w:t>
      </w:r>
      <w:r>
        <w:rPr>
          <w:b/>
          <w:bCs/>
          <w:lang w:eastAsia="zh-CN"/>
        </w:rPr>
        <w:t>月</w:t>
      </w:r>
      <w:r>
        <w:rPr>
          <w:b/>
          <w:bCs/>
          <w:lang w:eastAsia="zh-CN"/>
        </w:rPr>
        <w:t>2-3</w:t>
      </w:r>
      <w:r>
        <w:rPr>
          <w:b/>
          <w:bCs/>
          <w:lang w:eastAsia="zh-CN"/>
        </w:rPr>
        <w:t>日</w:t>
      </w:r>
      <w:r>
        <w:rPr>
          <w:lang w:eastAsia="zh-CN"/>
        </w:rPr>
        <w:t>（</w:t>
      </w:r>
      <w:r>
        <w:rPr>
          <w:lang w:eastAsia="zh-CN"/>
        </w:rPr>
        <w:t>09</w:t>
      </w:r>
      <w:r>
        <w:rPr>
          <w:rFonts w:hint="eastAsia"/>
          <w:lang w:eastAsia="zh-CN"/>
        </w:rPr>
        <w:t>:</w:t>
      </w:r>
      <w:r>
        <w:rPr>
          <w:lang w:eastAsia="zh-CN"/>
        </w:rPr>
        <w:t>30-12</w:t>
      </w:r>
      <w:r>
        <w:rPr>
          <w:rFonts w:hint="eastAsia"/>
          <w:lang w:eastAsia="zh-CN"/>
        </w:rPr>
        <w:t>:</w:t>
      </w:r>
      <w:r>
        <w:rPr>
          <w:lang w:eastAsia="zh-CN"/>
        </w:rPr>
        <w:t>30 / 14</w:t>
      </w:r>
      <w:r>
        <w:rPr>
          <w:rFonts w:hint="eastAsia"/>
          <w:lang w:eastAsia="zh-CN"/>
        </w:rPr>
        <w:t>:</w:t>
      </w:r>
      <w:r>
        <w:rPr>
          <w:lang w:eastAsia="zh-CN"/>
        </w:rPr>
        <w:t>00-17</w:t>
      </w:r>
      <w:r>
        <w:rPr>
          <w:rFonts w:hint="eastAsia"/>
          <w:lang w:eastAsia="zh-CN"/>
        </w:rPr>
        <w:t>:</w:t>
      </w:r>
      <w:r>
        <w:rPr>
          <w:lang w:eastAsia="zh-CN"/>
        </w:rPr>
        <w:t>00</w:t>
      </w:r>
      <w:r>
        <w:rPr>
          <w:lang w:eastAsia="zh-CN"/>
        </w:rPr>
        <w:t>）</w:t>
      </w:r>
    </w:p>
    <w:p w14:paraId="600A562E" w14:textId="77777777" w:rsidR="00665E46" w:rsidRDefault="00EA10E9">
      <w:pPr>
        <w:pStyle w:val="enumlev2"/>
        <w:rPr>
          <w:lang w:eastAsia="zh-CN"/>
        </w:rPr>
      </w:pPr>
      <w:r>
        <w:rPr>
          <w:lang w:eastAsia="zh-CN"/>
        </w:rPr>
        <w:tab/>
      </w:r>
      <w:r>
        <w:rPr>
          <w:lang w:eastAsia="zh-CN"/>
        </w:rPr>
        <w:t>全体会议将讨论与无线电通信相关的一般性问题、国际电联《无线电规则》的</w:t>
      </w:r>
      <w:r>
        <w:rPr>
          <w:rFonts w:hint="eastAsia"/>
          <w:lang w:eastAsia="zh-CN"/>
        </w:rPr>
        <w:t>适用</w:t>
      </w:r>
      <w:r>
        <w:rPr>
          <w:lang w:eastAsia="zh-CN"/>
        </w:rPr>
        <w:t>以及各种无线电通信业务的趋势</w:t>
      </w:r>
      <w:r>
        <w:rPr>
          <w:rFonts w:hint="eastAsia"/>
          <w:lang w:eastAsia="zh-CN"/>
        </w:rPr>
        <w:t>，并将</w:t>
      </w:r>
      <w:r>
        <w:rPr>
          <w:lang w:eastAsia="zh-CN"/>
        </w:rPr>
        <w:t>介绍</w:t>
      </w:r>
      <w:r>
        <w:rPr>
          <w:lang w:eastAsia="zh-CN"/>
        </w:rPr>
        <w:t>ITU-R</w:t>
      </w:r>
      <w:r>
        <w:rPr>
          <w:lang w:eastAsia="zh-CN"/>
        </w:rPr>
        <w:t>研究组、无线电规则委员会、无线电通信全会（</w:t>
      </w:r>
      <w:r>
        <w:rPr>
          <w:lang w:eastAsia="zh-CN"/>
        </w:rPr>
        <w:t>RA</w:t>
      </w:r>
      <w:r>
        <w:rPr>
          <w:lang w:eastAsia="zh-CN"/>
        </w:rPr>
        <w:t>）和世界无线电通信大会（</w:t>
      </w:r>
      <w:r>
        <w:rPr>
          <w:lang w:eastAsia="zh-CN"/>
        </w:rPr>
        <w:t>WRC</w:t>
      </w:r>
      <w:r>
        <w:rPr>
          <w:lang w:eastAsia="zh-CN"/>
        </w:rPr>
        <w:t>）的活动和工作，重点是</w:t>
      </w:r>
      <w:r>
        <w:rPr>
          <w:lang w:eastAsia="zh-CN"/>
        </w:rPr>
        <w:t>WRC-23</w:t>
      </w:r>
      <w:r>
        <w:rPr>
          <w:lang w:eastAsia="zh-CN"/>
        </w:rPr>
        <w:t>大会的成果。</w:t>
      </w:r>
    </w:p>
    <w:p w14:paraId="07991B46" w14:textId="77777777" w:rsidR="00665E46" w:rsidRDefault="00EA10E9">
      <w:pPr>
        <w:pStyle w:val="enumlev2"/>
        <w:rPr>
          <w:b/>
          <w:bCs/>
          <w:lang w:eastAsia="zh-CN"/>
        </w:rPr>
      </w:pPr>
      <w:r>
        <w:rPr>
          <w:b/>
          <w:bCs/>
          <w:lang w:eastAsia="zh-CN"/>
        </w:rPr>
        <w:tab/>
      </w:r>
      <w:r>
        <w:rPr>
          <w:b/>
          <w:bCs/>
          <w:lang w:eastAsia="zh-CN"/>
        </w:rPr>
        <w:t>全体会议向所有人开放。</w:t>
      </w:r>
    </w:p>
    <w:p w14:paraId="17B809E0" w14:textId="77777777" w:rsidR="00665E46" w:rsidRDefault="00EA10E9">
      <w:pPr>
        <w:pStyle w:val="enumlev2"/>
        <w:rPr>
          <w:b/>
          <w:bCs/>
          <w:lang w:eastAsia="zh-CN"/>
        </w:rPr>
      </w:pPr>
      <w:bookmarkStart w:id="1" w:name="_Hlk52981897"/>
      <w:r>
        <w:rPr>
          <w:b/>
          <w:bCs/>
          <w:lang w:eastAsia="zh-CN"/>
        </w:rPr>
        <w:tab/>
      </w:r>
      <w:r>
        <w:rPr>
          <w:b/>
          <w:bCs/>
          <w:lang w:eastAsia="zh-CN"/>
        </w:rPr>
        <w:t>第</w:t>
      </w:r>
      <w:r>
        <w:rPr>
          <w:b/>
          <w:bCs/>
          <w:lang w:eastAsia="zh-CN"/>
        </w:rPr>
        <w:t>2</w:t>
      </w:r>
      <w:r>
        <w:rPr>
          <w:b/>
          <w:bCs/>
          <w:lang w:eastAsia="zh-CN"/>
        </w:rPr>
        <w:t>部分：</w:t>
      </w:r>
      <w:r>
        <w:rPr>
          <w:b/>
          <w:bCs/>
          <w:lang w:eastAsia="zh-CN"/>
        </w:rPr>
        <w:t>WRS-24</w:t>
      </w:r>
      <w:r>
        <w:rPr>
          <w:b/>
          <w:bCs/>
          <w:lang w:eastAsia="zh-CN"/>
        </w:rPr>
        <w:t>：地面和空间讲习班，</w:t>
      </w:r>
      <w:r>
        <w:rPr>
          <w:b/>
          <w:bCs/>
          <w:lang w:eastAsia="zh-CN"/>
        </w:rPr>
        <w:t>12</w:t>
      </w:r>
      <w:r>
        <w:rPr>
          <w:b/>
          <w:bCs/>
          <w:lang w:eastAsia="zh-CN"/>
        </w:rPr>
        <w:t>月</w:t>
      </w:r>
      <w:r>
        <w:rPr>
          <w:b/>
          <w:bCs/>
          <w:lang w:eastAsia="zh-CN"/>
        </w:rPr>
        <w:t>4-6</w:t>
      </w:r>
      <w:r>
        <w:rPr>
          <w:b/>
          <w:bCs/>
          <w:lang w:eastAsia="zh-CN"/>
        </w:rPr>
        <w:t>日</w:t>
      </w:r>
      <w:r>
        <w:rPr>
          <w:lang w:eastAsia="zh-CN"/>
        </w:rPr>
        <w:t>（会议时间安排见讲习班日程）</w:t>
      </w:r>
    </w:p>
    <w:p w14:paraId="0A5F87C2" w14:textId="77777777" w:rsidR="00665E46" w:rsidRDefault="00EA10E9">
      <w:pPr>
        <w:pStyle w:val="enumlev2"/>
        <w:rPr>
          <w:lang w:eastAsia="zh-CN"/>
        </w:rPr>
      </w:pPr>
      <w:r>
        <w:rPr>
          <w:lang w:eastAsia="zh-CN"/>
        </w:rPr>
        <w:tab/>
      </w:r>
      <w:r>
        <w:rPr>
          <w:lang w:eastAsia="zh-CN"/>
        </w:rPr>
        <w:t>讲习班（空间和地面业务并行会议）将使与会者能够按</w:t>
      </w:r>
      <w:r>
        <w:rPr>
          <w:rFonts w:hint="eastAsia"/>
          <w:lang w:eastAsia="zh-CN"/>
        </w:rPr>
        <w:t>自身</w:t>
      </w:r>
      <w:r>
        <w:rPr>
          <w:lang w:eastAsia="zh-CN"/>
        </w:rPr>
        <w:t>兴趣</w:t>
      </w:r>
      <w:r>
        <w:rPr>
          <w:rFonts w:hint="eastAsia"/>
          <w:lang w:eastAsia="zh-CN"/>
        </w:rPr>
        <w:t>自行</w:t>
      </w:r>
      <w:r>
        <w:rPr>
          <w:lang w:eastAsia="zh-CN"/>
        </w:rPr>
        <w:t>制定时间表，其中包括</w:t>
      </w:r>
      <w:r>
        <w:rPr>
          <w:rFonts w:hint="eastAsia"/>
          <w:lang w:eastAsia="zh-CN"/>
        </w:rPr>
        <w:t>交替参与空间和地面业务讲习班以及讲座和实际动手会议</w:t>
      </w:r>
      <w:r>
        <w:rPr>
          <w:lang w:eastAsia="zh-CN"/>
        </w:rPr>
        <w:t>的可能性。讲习班将使与会者获得有关国际电联的通知程序以及无线电通信局向国际电联成员提供的软件、数据库和电子出版物的亲身体验。</w:t>
      </w:r>
      <w:r>
        <w:rPr>
          <w:rFonts w:hint="eastAsia"/>
          <w:lang w:eastAsia="zh-CN"/>
        </w:rPr>
        <w:t>此外，亦将</w:t>
      </w:r>
      <w:r>
        <w:rPr>
          <w:lang w:eastAsia="zh-CN"/>
        </w:rPr>
        <w:t>为无线电通信局软件工具的初学者和高级用户提供量身定制的课程。</w:t>
      </w:r>
    </w:p>
    <w:p w14:paraId="0DE7C57E" w14:textId="77777777" w:rsidR="00665E46" w:rsidRDefault="00EA10E9">
      <w:pPr>
        <w:pStyle w:val="enumlev2"/>
        <w:rPr>
          <w:b/>
          <w:bCs/>
          <w:lang w:eastAsia="zh-CN"/>
        </w:rPr>
      </w:pPr>
      <w:r>
        <w:rPr>
          <w:b/>
          <w:bCs/>
          <w:lang w:eastAsia="zh-CN"/>
        </w:rPr>
        <w:tab/>
      </w:r>
      <w:r>
        <w:rPr>
          <w:b/>
          <w:bCs/>
          <w:lang w:eastAsia="zh-CN"/>
        </w:rPr>
        <w:t>讲习班仅限于国际电联成员国和学术成员以及</w:t>
      </w:r>
      <w:r>
        <w:rPr>
          <w:b/>
          <w:bCs/>
          <w:lang w:eastAsia="zh-CN"/>
        </w:rPr>
        <w:t>ITU-R</w:t>
      </w:r>
      <w:r>
        <w:rPr>
          <w:b/>
          <w:bCs/>
          <w:lang w:eastAsia="zh-CN"/>
        </w:rPr>
        <w:t>部门成员和部门准成员参加。</w:t>
      </w:r>
    </w:p>
    <w:p w14:paraId="0F90261A"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临时日程安排将在</w:t>
      </w:r>
      <w:hyperlink r:id="rId8" w:history="1">
        <w:r>
          <w:rPr>
            <w:rStyle w:val="Hyperlink"/>
            <w:lang w:eastAsia="zh-CN"/>
          </w:rPr>
          <w:t>活动网站</w:t>
        </w:r>
      </w:hyperlink>
      <w:r>
        <w:rPr>
          <w:rFonts w:asciiTheme="minorHAnsi" w:hAnsiTheme="minorHAnsi" w:cstheme="minorHAnsi"/>
          <w:szCs w:val="24"/>
          <w:lang w:eastAsia="zh-CN"/>
        </w:rPr>
        <w:t>上提供，并在临近活动日期时进行更新。</w:t>
      </w:r>
    </w:p>
    <w:p w14:paraId="2812772F" w14:textId="77777777" w:rsidR="00665E46" w:rsidRDefault="00EA10E9">
      <w:pPr>
        <w:pStyle w:val="Headingb"/>
        <w:rPr>
          <w:lang w:eastAsia="zh-CN"/>
        </w:rPr>
      </w:pPr>
      <w:r>
        <w:rPr>
          <w:lang w:eastAsia="zh-CN"/>
        </w:rPr>
        <w:lastRenderedPageBreak/>
        <w:t>文件和支持材料</w:t>
      </w:r>
    </w:p>
    <w:p w14:paraId="67730157"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研讨会文件和支持材料（包括相关的无线电通信局软件工具）将在活动网站上提供。</w:t>
      </w:r>
    </w:p>
    <w:p w14:paraId="42075A72" w14:textId="77777777" w:rsidR="00665E46" w:rsidRDefault="00EA10E9">
      <w:pPr>
        <w:pStyle w:val="Headingb"/>
        <w:rPr>
          <w:lang w:eastAsia="zh-CN"/>
        </w:rPr>
      </w:pPr>
      <w:r>
        <w:rPr>
          <w:lang w:eastAsia="zh-CN"/>
        </w:rPr>
        <w:t>口译、远程与会和网播</w:t>
      </w:r>
    </w:p>
    <w:p w14:paraId="2F259A36"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WRS-24</w:t>
      </w:r>
      <w:r>
        <w:rPr>
          <w:rFonts w:asciiTheme="minorHAnsi" w:hAnsiTheme="minorHAnsi" w:cstheme="minorHAnsi"/>
          <w:szCs w:val="24"/>
          <w:lang w:eastAsia="zh-CN"/>
        </w:rPr>
        <w:t>全体会议将提供国际电联六种正式语文的同声传译。</w:t>
      </w:r>
    </w:p>
    <w:p w14:paraId="5099D871"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以往，讲习班仅使用一种语言（英文或法文，无口译），以便加强讲演人员和与会者之间的互动。</w:t>
      </w:r>
    </w:p>
    <w:p w14:paraId="39114430"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仅可在全体会议上使用远程</w:t>
      </w:r>
      <w:r>
        <w:rPr>
          <w:rFonts w:asciiTheme="minorHAnsi" w:hAnsiTheme="minorHAnsi" w:cstheme="minorHAnsi" w:hint="eastAsia"/>
          <w:szCs w:val="24"/>
          <w:lang w:eastAsia="zh-CN"/>
        </w:rPr>
        <w:t>与会</w:t>
      </w:r>
      <w:r>
        <w:rPr>
          <w:rFonts w:asciiTheme="minorHAnsi" w:hAnsiTheme="minorHAnsi" w:cstheme="minorHAnsi"/>
          <w:szCs w:val="24"/>
          <w:lang w:eastAsia="zh-CN"/>
        </w:rPr>
        <w:t>服务。同时参加讲习班的代表亦可亲自出席全体会议。讲习班将不提供远程</w:t>
      </w:r>
      <w:r>
        <w:rPr>
          <w:rFonts w:asciiTheme="minorHAnsi" w:hAnsiTheme="minorHAnsi" w:cstheme="minorHAnsi" w:hint="eastAsia"/>
          <w:szCs w:val="24"/>
          <w:lang w:eastAsia="zh-CN"/>
        </w:rPr>
        <w:t>与会</w:t>
      </w:r>
      <w:r>
        <w:rPr>
          <w:rFonts w:asciiTheme="minorHAnsi" w:hAnsiTheme="minorHAnsi" w:cstheme="minorHAnsi"/>
          <w:szCs w:val="24"/>
          <w:lang w:eastAsia="zh-CN"/>
        </w:rPr>
        <w:t>服务。</w:t>
      </w:r>
    </w:p>
    <w:p w14:paraId="6671B6CF"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全体会议将进行网播和录制，以便分别在活动期间和会后观看。无需注册参加研讨会即可</w:t>
      </w:r>
      <w:r>
        <w:rPr>
          <w:rFonts w:asciiTheme="minorHAnsi" w:hAnsiTheme="minorHAnsi" w:cstheme="minorHAnsi" w:hint="eastAsia"/>
          <w:szCs w:val="24"/>
          <w:lang w:eastAsia="zh-CN"/>
        </w:rPr>
        <w:t>接入</w:t>
      </w:r>
      <w:r>
        <w:rPr>
          <w:rFonts w:asciiTheme="minorHAnsi" w:hAnsiTheme="minorHAnsi" w:cstheme="minorHAnsi"/>
          <w:szCs w:val="24"/>
          <w:lang w:eastAsia="zh-CN"/>
        </w:rPr>
        <w:t>全体会议的网播。讲习班将不提供网播。</w:t>
      </w:r>
    </w:p>
    <w:p w14:paraId="337F0714"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有关本次活动会务安排的更多信息见</w:t>
      </w:r>
      <w:r>
        <w:rPr>
          <w:rFonts w:asciiTheme="minorHAnsi" w:hAnsiTheme="minorHAnsi" w:cstheme="minorHAnsi"/>
          <w:b/>
          <w:bCs/>
          <w:szCs w:val="24"/>
          <w:lang w:eastAsia="zh-CN"/>
        </w:rPr>
        <w:t>附件</w:t>
      </w:r>
      <w:r>
        <w:rPr>
          <w:rFonts w:asciiTheme="minorHAnsi" w:hAnsiTheme="minorHAnsi" w:cstheme="minorHAnsi"/>
          <w:szCs w:val="24"/>
          <w:lang w:eastAsia="zh-CN"/>
        </w:rPr>
        <w:t>。</w:t>
      </w:r>
    </w:p>
    <w:p w14:paraId="2B3F68FA" w14:textId="77777777" w:rsidR="00665E46" w:rsidRDefault="00EA10E9">
      <w:pPr>
        <w:pStyle w:val="Headingb"/>
        <w:rPr>
          <w:lang w:eastAsia="zh-CN"/>
        </w:rPr>
      </w:pPr>
      <w:r>
        <w:rPr>
          <w:lang w:eastAsia="zh-CN"/>
        </w:rPr>
        <w:t>注册和参与</w:t>
      </w:r>
    </w:p>
    <w:p w14:paraId="3AAB0913"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无论其国际电联成员身份如何，所有与会者均可免费参加研讨会。</w:t>
      </w:r>
    </w:p>
    <w:p w14:paraId="4E87F7F7"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hint="eastAsia"/>
          <w:szCs w:val="24"/>
          <w:lang w:eastAsia="zh-CN"/>
        </w:rPr>
        <w:t>请务必提前注册，远程与会者亦然。</w:t>
      </w:r>
    </w:p>
    <w:p w14:paraId="5140A54E"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本次活动的注册将仅通过两（</w:t>
      </w:r>
      <w:r>
        <w:rPr>
          <w:rFonts w:asciiTheme="minorHAnsi" w:hAnsiTheme="minorHAnsi" w:cstheme="minorHAnsi"/>
          <w:szCs w:val="24"/>
          <w:lang w:eastAsia="zh-CN"/>
        </w:rPr>
        <w:t>2</w:t>
      </w:r>
      <w:r>
        <w:rPr>
          <w:rFonts w:asciiTheme="minorHAnsi" w:hAnsiTheme="minorHAnsi" w:cstheme="minorHAnsi"/>
          <w:szCs w:val="24"/>
          <w:lang w:eastAsia="zh-CN"/>
        </w:rPr>
        <w:t>）份单独的在线注册表在网上进行：一份</w:t>
      </w:r>
      <w:r>
        <w:rPr>
          <w:rFonts w:asciiTheme="minorHAnsi" w:hAnsiTheme="minorHAnsi" w:cstheme="minorHAnsi" w:hint="eastAsia"/>
          <w:szCs w:val="24"/>
          <w:lang w:eastAsia="zh-CN"/>
        </w:rPr>
        <w:t>注册表</w:t>
      </w:r>
      <w:r>
        <w:rPr>
          <w:rFonts w:asciiTheme="minorHAnsi" w:hAnsiTheme="minorHAnsi" w:cstheme="minorHAnsi"/>
          <w:szCs w:val="24"/>
          <w:lang w:eastAsia="zh-CN"/>
        </w:rPr>
        <w:t>针对</w:t>
      </w:r>
      <w:r>
        <w:rPr>
          <w:rFonts w:asciiTheme="minorHAnsi" w:hAnsiTheme="minorHAnsi" w:cstheme="minorHAnsi" w:hint="eastAsia"/>
          <w:szCs w:val="24"/>
          <w:lang w:eastAsia="zh-CN"/>
        </w:rPr>
        <w:t>参加</w:t>
      </w:r>
      <w:r>
        <w:rPr>
          <w:rFonts w:asciiTheme="minorHAnsi" w:hAnsiTheme="minorHAnsi" w:cstheme="minorHAnsi"/>
          <w:szCs w:val="24"/>
          <w:lang w:eastAsia="zh-CN"/>
        </w:rPr>
        <w:t>所有会议（全体会议和</w:t>
      </w:r>
      <w:r>
        <w:rPr>
          <w:rFonts w:asciiTheme="minorHAnsi" w:hAnsiTheme="minorHAnsi" w:cstheme="minorHAnsi"/>
          <w:szCs w:val="24"/>
          <w:lang w:eastAsia="zh-CN"/>
        </w:rPr>
        <w:t>/</w:t>
      </w:r>
      <w:r>
        <w:rPr>
          <w:rFonts w:asciiTheme="minorHAnsi" w:hAnsiTheme="minorHAnsi" w:cstheme="minorHAnsi"/>
          <w:szCs w:val="24"/>
          <w:lang w:eastAsia="zh-CN"/>
        </w:rPr>
        <w:t>或讲习班）的国际电联成员，</w:t>
      </w:r>
      <w:r>
        <w:rPr>
          <w:rFonts w:asciiTheme="minorHAnsi" w:hAnsiTheme="minorHAnsi" w:cstheme="minorHAnsi" w:hint="eastAsia"/>
          <w:szCs w:val="24"/>
          <w:lang w:eastAsia="zh-CN"/>
        </w:rPr>
        <w:t>另一份注册表供公众（非国际电联成员）使用，只可参加全体会议。</w:t>
      </w:r>
    </w:p>
    <w:p w14:paraId="381294BA"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有关本次活动注册的更多信息见</w:t>
      </w:r>
      <w:r>
        <w:rPr>
          <w:rFonts w:asciiTheme="minorHAnsi" w:hAnsiTheme="minorHAnsi" w:cstheme="minorHAnsi"/>
          <w:b/>
          <w:bCs/>
          <w:szCs w:val="24"/>
          <w:lang w:eastAsia="zh-CN"/>
        </w:rPr>
        <w:t>附件</w:t>
      </w:r>
      <w:r>
        <w:rPr>
          <w:rFonts w:asciiTheme="minorHAnsi" w:hAnsiTheme="minorHAnsi" w:cstheme="minorHAnsi"/>
          <w:szCs w:val="24"/>
          <w:lang w:eastAsia="zh-CN"/>
        </w:rPr>
        <w:t>。</w:t>
      </w:r>
      <w:bookmarkEnd w:id="1"/>
    </w:p>
    <w:p w14:paraId="3BE072EC" w14:textId="6EF1EEB4"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有关</w:t>
      </w:r>
      <w:r>
        <w:rPr>
          <w:rFonts w:asciiTheme="minorHAnsi" w:hAnsiTheme="minorHAnsi" w:cstheme="minorHAnsi" w:hint="eastAsia"/>
          <w:szCs w:val="24"/>
          <w:lang w:eastAsia="zh-CN"/>
        </w:rPr>
        <w:t>本</w:t>
      </w:r>
      <w:r>
        <w:rPr>
          <w:rFonts w:asciiTheme="minorHAnsi" w:hAnsiTheme="minorHAnsi" w:cstheme="minorHAnsi"/>
          <w:szCs w:val="24"/>
          <w:lang w:eastAsia="zh-CN"/>
        </w:rPr>
        <w:t>次活动注册的更多信息，请访问以下网址：</w:t>
      </w:r>
      <w:hyperlink r:id="rId9" w:history="1">
        <w:r w:rsidR="0034493D" w:rsidRPr="00562778">
          <w:rPr>
            <w:rStyle w:val="Hyperlink"/>
            <w:rFonts w:asciiTheme="minorHAnsi" w:hAnsiTheme="minorHAnsi"/>
            <w:szCs w:val="24"/>
          </w:rPr>
          <w:t>www.itu.int/en/ITU-R/information/events</w:t>
        </w:r>
      </w:hyperlink>
      <w:r>
        <w:rPr>
          <w:rFonts w:asciiTheme="minorHAnsi" w:hAnsiTheme="minorHAnsi" w:cstheme="minorHAnsi"/>
          <w:szCs w:val="24"/>
          <w:lang w:eastAsia="zh-CN"/>
        </w:rPr>
        <w:t>。</w:t>
      </w:r>
    </w:p>
    <w:p w14:paraId="2CA588EC"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有关本次活动的注册问题，请联系</w:t>
      </w:r>
      <w:hyperlink r:id="rId10" w:history="1">
        <w:r>
          <w:rPr>
            <w:rStyle w:val="Hyperlink"/>
            <w:rFonts w:asciiTheme="minorHAnsi" w:hAnsiTheme="minorHAnsi"/>
            <w:szCs w:val="24"/>
            <w:lang w:eastAsia="zh-CN"/>
          </w:rPr>
          <w:t>ITU-R.Registrations@itu.int</w:t>
        </w:r>
      </w:hyperlink>
      <w:r>
        <w:rPr>
          <w:rFonts w:asciiTheme="minorHAnsi" w:hAnsiTheme="minorHAnsi" w:cstheme="minorHAnsi"/>
          <w:szCs w:val="24"/>
          <w:lang w:eastAsia="zh-CN"/>
        </w:rPr>
        <w:t>。</w:t>
      </w:r>
    </w:p>
    <w:p w14:paraId="6582A09F" w14:textId="77777777" w:rsidR="00665E46" w:rsidRDefault="00EA10E9">
      <w:pPr>
        <w:pStyle w:val="Headingb"/>
        <w:rPr>
          <w:lang w:eastAsia="zh-CN"/>
        </w:rPr>
      </w:pPr>
      <w:r>
        <w:rPr>
          <w:lang w:eastAsia="zh-CN"/>
        </w:rPr>
        <w:t>与会补贴</w:t>
      </w:r>
    </w:p>
    <w:p w14:paraId="5F58DA43"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我们高兴地通知您，为鼓励</w:t>
      </w:r>
      <w:hyperlink r:id="rId11" w:history="1">
        <w:r>
          <w:rPr>
            <w:rStyle w:val="Hyperlink"/>
            <w:lang w:eastAsia="zh-CN"/>
          </w:rPr>
          <w:t>发展中国家</w:t>
        </w:r>
      </w:hyperlink>
      <w:r>
        <w:rPr>
          <w:rFonts w:asciiTheme="minorHAnsi" w:hAnsiTheme="minorHAnsi" w:cstheme="minorHAnsi"/>
          <w:szCs w:val="24"/>
          <w:lang w:eastAsia="zh-CN"/>
        </w:rPr>
        <w:t>的代表与会，且在资金允许的情况下，可能会向每个符合条件的成员国提供一份全额或两份非全额与会补贴。全额与会补贴将涵盖机票（从原籍国到会场最直接</w:t>
      </w:r>
      <w:r>
        <w:rPr>
          <w:rFonts w:asciiTheme="minorHAnsi" w:hAnsiTheme="minorHAnsi" w:cstheme="minorHAnsi"/>
          <w:szCs w:val="24"/>
          <w:lang w:eastAsia="zh-CN"/>
        </w:rPr>
        <w:t>/</w:t>
      </w:r>
      <w:r>
        <w:rPr>
          <w:rFonts w:asciiTheme="minorHAnsi" w:hAnsiTheme="minorHAnsi" w:cstheme="minorHAnsi"/>
          <w:szCs w:val="24"/>
          <w:lang w:eastAsia="zh-CN"/>
        </w:rPr>
        <w:t>最经济路线的一张往返经济舱机票）和用于支付食宿和杂费的适当每日生活补贴。成员国须负担与会费用的剩余部分。</w:t>
      </w:r>
    </w:p>
    <w:p w14:paraId="6EBA28C2"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鼓励成员国在选择候选人时考虑到残疾人和有具体需求人士，同时铭记性别平衡。</w:t>
      </w:r>
      <w:hyperlink r:id="rId12" w:history="1">
        <w:r>
          <w:rPr>
            <w:rStyle w:val="Hyperlink"/>
            <w:rFonts w:cstheme="minorBidi"/>
            <w:lang w:eastAsia="zh-CN"/>
          </w:rPr>
          <w:t>阅读更多有关国际电联与会补贴发放政策的信息</w:t>
        </w:r>
      </w:hyperlink>
      <w:r>
        <w:rPr>
          <w:rFonts w:asciiTheme="minorHAnsi" w:hAnsiTheme="minorHAnsi" w:cstheme="minorHAnsi"/>
          <w:szCs w:val="24"/>
          <w:lang w:eastAsia="zh-CN"/>
        </w:rPr>
        <w:t>。</w:t>
      </w:r>
    </w:p>
    <w:p w14:paraId="76BA944F" w14:textId="77777777" w:rsidR="00665E46" w:rsidRDefault="00EA10E9">
      <w:pPr>
        <w:ind w:firstLineChars="200" w:firstLine="480"/>
        <w:jc w:val="left"/>
        <w:rPr>
          <w:rFonts w:asciiTheme="minorHAnsi" w:hAnsiTheme="minorHAnsi" w:cstheme="minorHAnsi"/>
          <w:szCs w:val="24"/>
          <w:lang w:eastAsia="zh-CN"/>
        </w:rPr>
      </w:pPr>
      <w:r>
        <w:rPr>
          <w:rFonts w:asciiTheme="minorHAnsi" w:hAnsiTheme="minorHAnsi" w:cstheme="minorHAnsi"/>
          <w:szCs w:val="24"/>
          <w:lang w:eastAsia="zh-CN"/>
        </w:rPr>
        <w:t>经正式核实的与会补贴申请表及其附件（如有）必须通过电子邮件（</w:t>
      </w:r>
      <w:hyperlink r:id="rId13" w:history="1">
        <w:r>
          <w:rPr>
            <w:rStyle w:val="Hyperlink"/>
            <w:szCs w:val="24"/>
            <w:lang w:eastAsia="zh-CN"/>
          </w:rPr>
          <w:t>fellowships@itu.int</w:t>
        </w:r>
      </w:hyperlink>
      <w:r>
        <w:rPr>
          <w:rFonts w:asciiTheme="minorHAnsi" w:hAnsiTheme="minorHAnsi" w:cstheme="minorHAnsi"/>
          <w:szCs w:val="24"/>
          <w:lang w:eastAsia="zh-CN"/>
        </w:rPr>
        <w:t>）或传真（</w:t>
      </w:r>
      <w:r>
        <w:rPr>
          <w:rFonts w:asciiTheme="minorHAnsi" w:hAnsiTheme="minorHAnsi" w:cstheme="minorHAnsi"/>
          <w:szCs w:val="24"/>
          <w:lang w:eastAsia="zh-CN"/>
        </w:rPr>
        <w:t>+41 22 730 57 78</w:t>
      </w:r>
      <w:r>
        <w:rPr>
          <w:rFonts w:asciiTheme="minorHAnsi" w:hAnsiTheme="minorHAnsi" w:cstheme="minorHAnsi"/>
          <w:szCs w:val="24"/>
          <w:lang w:eastAsia="zh-CN"/>
        </w:rPr>
        <w:t>）</w:t>
      </w:r>
      <w:r>
        <w:rPr>
          <w:rFonts w:asciiTheme="minorHAnsi" w:hAnsiTheme="minorHAnsi" w:cstheme="minorHAnsi" w:hint="eastAsia"/>
          <w:szCs w:val="24"/>
          <w:lang w:eastAsia="zh-CN"/>
        </w:rPr>
        <w:t>最迟在</w:t>
      </w:r>
      <w:r>
        <w:rPr>
          <w:rFonts w:asciiTheme="minorHAnsi" w:hAnsiTheme="minorHAnsi" w:cstheme="minorHAnsi"/>
          <w:b/>
          <w:bCs/>
          <w:szCs w:val="24"/>
          <w:lang w:eastAsia="zh-CN"/>
        </w:rPr>
        <w:t>2024</w:t>
      </w:r>
      <w:r>
        <w:rPr>
          <w:rFonts w:asciiTheme="minorHAnsi" w:hAnsiTheme="minorHAnsi" w:cstheme="minorHAnsi"/>
          <w:b/>
          <w:bCs/>
          <w:szCs w:val="24"/>
          <w:lang w:eastAsia="zh-CN"/>
        </w:rPr>
        <w:t>年</w:t>
      </w:r>
      <w:r>
        <w:rPr>
          <w:rFonts w:asciiTheme="minorHAnsi" w:hAnsiTheme="minorHAnsi" w:cstheme="minorHAnsi"/>
          <w:b/>
          <w:bCs/>
          <w:szCs w:val="24"/>
          <w:lang w:eastAsia="zh-CN"/>
        </w:rPr>
        <w:t>10</w:t>
      </w:r>
      <w:r>
        <w:rPr>
          <w:rFonts w:asciiTheme="minorHAnsi" w:hAnsiTheme="minorHAnsi" w:cstheme="minorHAnsi"/>
          <w:b/>
          <w:bCs/>
          <w:szCs w:val="24"/>
          <w:lang w:eastAsia="zh-CN"/>
        </w:rPr>
        <w:t>月</w:t>
      </w:r>
      <w:r>
        <w:rPr>
          <w:rFonts w:asciiTheme="minorHAnsi" w:hAnsiTheme="minorHAnsi" w:cstheme="minorHAnsi"/>
          <w:b/>
          <w:bCs/>
          <w:szCs w:val="24"/>
          <w:lang w:eastAsia="zh-CN"/>
        </w:rPr>
        <w:t>18</w:t>
      </w:r>
      <w:r>
        <w:rPr>
          <w:rFonts w:asciiTheme="minorHAnsi" w:hAnsiTheme="minorHAnsi" w:cstheme="minorHAnsi"/>
          <w:b/>
          <w:bCs/>
          <w:szCs w:val="24"/>
          <w:lang w:eastAsia="zh-CN"/>
        </w:rPr>
        <w:t>日</w:t>
      </w:r>
      <w:r>
        <w:rPr>
          <w:rFonts w:asciiTheme="minorHAnsi" w:hAnsiTheme="minorHAnsi" w:cstheme="minorHAnsi"/>
          <w:szCs w:val="24"/>
          <w:lang w:eastAsia="zh-CN"/>
        </w:rPr>
        <w:t>之前交回与会补贴处。在提交与会补贴申请之前必须注册。</w:t>
      </w:r>
    </w:p>
    <w:p w14:paraId="6ED88206" w14:textId="6FABEBC4" w:rsidR="00665E46" w:rsidRDefault="00EA10E9">
      <w:pPr>
        <w:spacing w:before="960" w:line="240" w:lineRule="auto"/>
        <w:jc w:val="left"/>
        <w:rPr>
          <w:rFonts w:asciiTheme="majorEastAsia" w:eastAsiaTheme="majorEastAsia" w:hAnsiTheme="majorEastAsia"/>
          <w:szCs w:val="24"/>
          <w:lang w:eastAsia="zh-CN"/>
        </w:rPr>
      </w:pPr>
      <w:r>
        <w:rPr>
          <w:rFonts w:asciiTheme="majorEastAsia" w:eastAsiaTheme="majorEastAsia" w:hAnsiTheme="majorEastAsia" w:hint="eastAsia"/>
          <w:szCs w:val="24"/>
          <w:lang w:eastAsia="zh-CN"/>
        </w:rPr>
        <w:t>主任</w:t>
      </w:r>
      <w:r>
        <w:rPr>
          <w:rFonts w:asciiTheme="majorEastAsia" w:eastAsiaTheme="majorEastAsia" w:hAnsiTheme="majorEastAsia"/>
          <w:szCs w:val="24"/>
          <w:lang w:val="fr-FR" w:eastAsia="zh-CN"/>
        </w:rPr>
        <w:br/>
      </w:r>
      <w:r>
        <w:rPr>
          <w:rFonts w:hint="eastAsia"/>
          <w:lang w:eastAsia="zh-CN"/>
        </w:rPr>
        <w:t>马里奥</w:t>
      </w:r>
      <w:r w:rsidR="00BD0D89" w:rsidRPr="00BD0D89">
        <w:rPr>
          <w:rFonts w:asciiTheme="minorHAnsi" w:hAnsiTheme="minorHAnsi" w:cstheme="minorHAnsi"/>
          <w:lang w:eastAsia="zh-CN"/>
        </w:rPr>
        <w:t>·</w:t>
      </w:r>
      <w:r>
        <w:rPr>
          <w:rFonts w:hint="eastAsia"/>
          <w:lang w:eastAsia="zh-CN"/>
        </w:rPr>
        <w:t>马尼维奇</w:t>
      </w:r>
    </w:p>
    <w:p w14:paraId="03010C9B" w14:textId="77777777" w:rsidR="00665E46" w:rsidRDefault="00EA10E9">
      <w:pPr>
        <w:spacing w:before="600"/>
        <w:rPr>
          <w:rFonts w:asciiTheme="minorHAnsi" w:hAnsiTheme="minorHAnsi" w:cstheme="minorHAnsi"/>
          <w:szCs w:val="24"/>
          <w:lang w:eastAsia="zh-CN"/>
        </w:rPr>
      </w:pPr>
      <w:r>
        <w:rPr>
          <w:rFonts w:asciiTheme="minorHAnsi" w:hAnsiTheme="minorHAnsi" w:cstheme="minorHAnsi"/>
          <w:b/>
          <w:bCs/>
          <w:szCs w:val="24"/>
          <w:lang w:eastAsia="zh-CN"/>
        </w:rPr>
        <w:t>附件：</w:t>
      </w:r>
      <w:r>
        <w:rPr>
          <w:rFonts w:asciiTheme="minorHAnsi" w:hAnsiTheme="minorHAnsi" w:cstheme="minorHAnsi"/>
          <w:szCs w:val="24"/>
          <w:lang w:eastAsia="zh-CN"/>
        </w:rPr>
        <w:t>1</w:t>
      </w:r>
      <w:r>
        <w:rPr>
          <w:rFonts w:asciiTheme="minorHAnsi" w:hAnsiTheme="minorHAnsi" w:cstheme="minorHAnsi" w:hint="eastAsia"/>
          <w:szCs w:val="24"/>
          <w:lang w:eastAsia="zh-CN"/>
        </w:rPr>
        <w:t>件</w:t>
      </w:r>
    </w:p>
    <w:p w14:paraId="5A4D437D" w14:textId="77777777" w:rsidR="00665E46" w:rsidRDefault="00EA10E9">
      <w:pPr>
        <w:rPr>
          <w:rFonts w:asciiTheme="minorHAnsi" w:hAnsiTheme="minorHAnsi" w:cstheme="minorHAnsi"/>
          <w:szCs w:val="24"/>
          <w:lang w:eastAsia="zh-CN"/>
        </w:rPr>
      </w:pPr>
      <w:r>
        <w:rPr>
          <w:rFonts w:asciiTheme="minorHAnsi" w:hAnsiTheme="minorHAnsi" w:cstheme="minorHAnsi"/>
          <w:szCs w:val="24"/>
          <w:lang w:eastAsia="zh-CN"/>
        </w:rPr>
        <w:br w:type="page"/>
      </w:r>
    </w:p>
    <w:p w14:paraId="6123008E" w14:textId="77777777" w:rsidR="00665E46" w:rsidRDefault="00EA10E9">
      <w:pPr>
        <w:pStyle w:val="AnnexNoTitle"/>
        <w:rPr>
          <w:b w:val="0"/>
          <w:bCs/>
          <w:lang w:eastAsia="zh-CN"/>
        </w:rPr>
      </w:pPr>
      <w:r>
        <w:rPr>
          <w:b w:val="0"/>
          <w:bCs/>
          <w:lang w:eastAsia="zh-CN"/>
        </w:rPr>
        <w:lastRenderedPageBreak/>
        <w:t>附件</w:t>
      </w:r>
      <w:r>
        <w:rPr>
          <w:b w:val="0"/>
          <w:bCs/>
          <w:lang w:eastAsia="zh-CN"/>
        </w:rPr>
        <w:br/>
      </w:r>
      <w:r>
        <w:rPr>
          <w:b w:val="0"/>
          <w:bCs/>
          <w:lang w:eastAsia="zh-CN"/>
        </w:rPr>
        <w:br/>
        <w:t>WRS-24</w:t>
      </w:r>
      <w:r>
        <w:rPr>
          <w:b w:val="0"/>
          <w:bCs/>
          <w:lang w:eastAsia="zh-CN"/>
        </w:rPr>
        <w:br/>
      </w:r>
      <w:r>
        <w:rPr>
          <w:b w:val="0"/>
          <w:bCs/>
          <w:lang w:eastAsia="zh-CN"/>
        </w:rPr>
        <w:t>会务和</w:t>
      </w:r>
      <w:r>
        <w:rPr>
          <w:rFonts w:hint="eastAsia"/>
          <w:b w:val="0"/>
          <w:bCs/>
          <w:lang w:eastAsia="zh-CN"/>
        </w:rPr>
        <w:t>注册</w:t>
      </w:r>
    </w:p>
    <w:p w14:paraId="16D938E1" w14:textId="77777777" w:rsidR="00665E46" w:rsidRDefault="00EA10E9">
      <w:pPr>
        <w:pStyle w:val="TableNoTitle"/>
        <w:rPr>
          <w:sz w:val="24"/>
          <w:szCs w:val="28"/>
          <w:lang w:eastAsia="zh-CN"/>
        </w:rPr>
      </w:pPr>
      <w:r>
        <w:rPr>
          <w:sz w:val="24"/>
          <w:szCs w:val="28"/>
          <w:lang w:eastAsia="zh-CN"/>
        </w:rPr>
        <w:t>WRS-24</w:t>
      </w:r>
      <w:r>
        <w:rPr>
          <w:sz w:val="24"/>
          <w:szCs w:val="28"/>
          <w:lang w:eastAsia="zh-CN"/>
        </w:rPr>
        <w:t>会务</w:t>
      </w:r>
    </w:p>
    <w:tbl>
      <w:tblPr>
        <w:tblStyle w:val="TableGrid"/>
        <w:tblW w:w="10060" w:type="dxa"/>
        <w:tblLayout w:type="fixed"/>
        <w:tblLook w:val="04A0" w:firstRow="1" w:lastRow="0" w:firstColumn="1" w:lastColumn="0" w:noHBand="0" w:noVBand="1"/>
      </w:tblPr>
      <w:tblGrid>
        <w:gridCol w:w="1843"/>
        <w:gridCol w:w="3849"/>
        <w:gridCol w:w="4368"/>
      </w:tblGrid>
      <w:tr w:rsidR="00665E46" w14:paraId="5AD2C641" w14:textId="77777777">
        <w:tc>
          <w:tcPr>
            <w:tcW w:w="1843" w:type="dxa"/>
            <w:shd w:val="clear" w:color="auto" w:fill="D9D9D9" w:themeFill="background1" w:themeFillShade="D9"/>
          </w:tcPr>
          <w:p w14:paraId="2667DBCB" w14:textId="77777777" w:rsidR="00665E46" w:rsidRDefault="00665E46">
            <w:pPr>
              <w:spacing w:before="80" w:after="80" w:line="240" w:lineRule="auto"/>
              <w:rPr>
                <w:rFonts w:asciiTheme="minorHAnsi" w:hAnsiTheme="minorHAnsi" w:cstheme="minorHAnsi"/>
                <w:b/>
                <w:bCs/>
                <w:sz w:val="22"/>
                <w:lang w:eastAsia="zh-CN"/>
              </w:rPr>
            </w:pPr>
          </w:p>
        </w:tc>
        <w:tc>
          <w:tcPr>
            <w:tcW w:w="3849" w:type="dxa"/>
            <w:shd w:val="clear" w:color="auto" w:fill="D9D9D9" w:themeFill="background1" w:themeFillShade="D9"/>
          </w:tcPr>
          <w:p w14:paraId="7967BC3B" w14:textId="77777777" w:rsidR="00665E46" w:rsidRDefault="00EA10E9">
            <w:pPr>
              <w:pStyle w:val="Tablehead"/>
              <w:rPr>
                <w:sz w:val="22"/>
                <w:szCs w:val="24"/>
              </w:rPr>
            </w:pPr>
            <w:r>
              <w:rPr>
                <w:sz w:val="22"/>
                <w:szCs w:val="24"/>
                <w:lang w:val="zh-CN"/>
              </w:rPr>
              <w:t>全体会议</w:t>
            </w:r>
          </w:p>
        </w:tc>
        <w:tc>
          <w:tcPr>
            <w:tcW w:w="4368" w:type="dxa"/>
            <w:shd w:val="clear" w:color="auto" w:fill="D9D9D9" w:themeFill="background1" w:themeFillShade="D9"/>
          </w:tcPr>
          <w:p w14:paraId="1BAD1A33" w14:textId="77777777" w:rsidR="00665E46" w:rsidRDefault="00EA10E9">
            <w:pPr>
              <w:pStyle w:val="Tablehead"/>
              <w:rPr>
                <w:sz w:val="22"/>
                <w:szCs w:val="24"/>
              </w:rPr>
            </w:pPr>
            <w:r>
              <w:rPr>
                <w:sz w:val="22"/>
                <w:szCs w:val="24"/>
                <w:lang w:val="zh-CN"/>
              </w:rPr>
              <w:t>空间和地面讲习班</w:t>
            </w:r>
          </w:p>
        </w:tc>
      </w:tr>
      <w:tr w:rsidR="00665E46" w14:paraId="22E79037" w14:textId="77777777">
        <w:tc>
          <w:tcPr>
            <w:tcW w:w="1843" w:type="dxa"/>
          </w:tcPr>
          <w:p w14:paraId="630CA080" w14:textId="77777777" w:rsidR="00665E46" w:rsidRDefault="00EA10E9">
            <w:pPr>
              <w:pStyle w:val="TableText0"/>
              <w:rPr>
                <w:rFonts w:ascii="Calibri" w:eastAsia="SimSun" w:hAnsi="Calibri" w:cs="Calibri"/>
                <w:b/>
                <w:bCs/>
              </w:rPr>
            </w:pPr>
            <w:r>
              <w:rPr>
                <w:rFonts w:ascii="Calibri" w:eastAsia="SimSun" w:hAnsi="Calibri" w:cs="Calibri"/>
                <w:b/>
                <w:bCs/>
              </w:rPr>
              <w:t>日期</w:t>
            </w:r>
            <w:r>
              <w:rPr>
                <w:rFonts w:ascii="Calibri" w:eastAsia="SimSun" w:hAnsi="Calibri" w:cs="Calibri"/>
                <w:b/>
                <w:bCs/>
              </w:rPr>
              <w:t>/</w:t>
            </w:r>
            <w:r>
              <w:rPr>
                <w:rFonts w:ascii="Calibri" w:eastAsia="SimSun" w:hAnsi="Calibri" w:cs="Calibri"/>
                <w:b/>
                <w:bCs/>
              </w:rPr>
              <w:t>时间</w:t>
            </w:r>
          </w:p>
        </w:tc>
        <w:tc>
          <w:tcPr>
            <w:tcW w:w="3849" w:type="dxa"/>
          </w:tcPr>
          <w:p w14:paraId="7676361F" w14:textId="77777777" w:rsidR="00665E46" w:rsidRDefault="00EA10E9">
            <w:pPr>
              <w:pStyle w:val="TableText0"/>
              <w:jc w:val="center"/>
              <w:rPr>
                <w:rFonts w:ascii="Calibri" w:eastAsia="SimSun" w:hAnsi="Calibri" w:cs="Calibri"/>
              </w:rPr>
            </w:pPr>
            <w:r>
              <w:rPr>
                <w:rFonts w:ascii="Calibri" w:eastAsia="SimSun" w:hAnsi="Calibri" w:cs="Calibri"/>
                <w:b/>
                <w:bCs/>
              </w:rPr>
              <w:t>2024</w:t>
            </w:r>
            <w:r>
              <w:rPr>
                <w:rFonts w:ascii="Calibri" w:eastAsia="SimSun" w:hAnsi="Calibri" w:cs="Calibri"/>
                <w:b/>
                <w:bCs/>
              </w:rPr>
              <w:t>年</w:t>
            </w:r>
            <w:r>
              <w:rPr>
                <w:rFonts w:ascii="Calibri" w:eastAsia="SimSun" w:hAnsi="Calibri" w:cs="Calibri"/>
                <w:b/>
                <w:bCs/>
              </w:rPr>
              <w:t>12</w:t>
            </w:r>
            <w:r>
              <w:rPr>
                <w:rFonts w:ascii="Calibri" w:eastAsia="SimSun" w:hAnsi="Calibri" w:cs="Calibri"/>
                <w:b/>
                <w:bCs/>
              </w:rPr>
              <w:t>月</w:t>
            </w:r>
            <w:r>
              <w:rPr>
                <w:rFonts w:ascii="Calibri" w:eastAsia="SimSun" w:hAnsi="Calibri" w:cs="Calibri"/>
                <w:b/>
                <w:bCs/>
              </w:rPr>
              <w:t>2-3</w:t>
            </w:r>
            <w:r>
              <w:rPr>
                <w:rFonts w:ascii="Calibri" w:eastAsia="SimSun" w:hAnsi="Calibri" w:cs="Calibri"/>
                <w:b/>
                <w:bCs/>
              </w:rPr>
              <w:t>日</w:t>
            </w:r>
            <w:r>
              <w:rPr>
                <w:rFonts w:ascii="Calibri" w:eastAsia="SimSun" w:hAnsi="Calibri" w:cs="Calibri"/>
                <w:b/>
                <w:bCs/>
              </w:rPr>
              <w:br/>
            </w:r>
            <w:r>
              <w:rPr>
                <w:rFonts w:ascii="Calibri" w:eastAsia="SimSun" w:hAnsi="Calibri" w:cs="Calibri"/>
              </w:rPr>
              <w:t>09:30-12:30 / 14:00-17:00</w:t>
            </w:r>
          </w:p>
        </w:tc>
        <w:tc>
          <w:tcPr>
            <w:tcW w:w="4368" w:type="dxa"/>
          </w:tcPr>
          <w:p w14:paraId="30074B7C" w14:textId="77777777" w:rsidR="00665E46" w:rsidRDefault="00EA10E9">
            <w:pPr>
              <w:pStyle w:val="TableText0"/>
              <w:jc w:val="center"/>
              <w:rPr>
                <w:rFonts w:ascii="Calibri" w:eastAsia="SimSun" w:hAnsi="Calibri" w:cs="Calibri"/>
                <w:lang w:eastAsia="zh-CN"/>
              </w:rPr>
            </w:pPr>
            <w:r>
              <w:rPr>
                <w:rFonts w:ascii="Calibri" w:eastAsia="SimSun" w:hAnsi="Calibri" w:cs="Calibri"/>
                <w:b/>
                <w:bCs/>
                <w:lang w:eastAsia="zh-CN"/>
              </w:rPr>
              <w:t>2024</w:t>
            </w:r>
            <w:r>
              <w:rPr>
                <w:rFonts w:ascii="Calibri" w:eastAsia="SimSun" w:hAnsi="Calibri" w:cs="Calibri"/>
                <w:b/>
                <w:bCs/>
                <w:lang w:eastAsia="zh-CN"/>
              </w:rPr>
              <w:t>年</w:t>
            </w:r>
            <w:r>
              <w:rPr>
                <w:rFonts w:ascii="Calibri" w:eastAsia="SimSun" w:hAnsi="Calibri" w:cs="Calibri"/>
                <w:b/>
                <w:bCs/>
                <w:lang w:eastAsia="zh-CN"/>
              </w:rPr>
              <w:t>12</w:t>
            </w:r>
            <w:r>
              <w:rPr>
                <w:rFonts w:ascii="Calibri" w:eastAsia="SimSun" w:hAnsi="Calibri" w:cs="Calibri"/>
                <w:b/>
                <w:bCs/>
                <w:lang w:eastAsia="zh-CN"/>
              </w:rPr>
              <w:t>月</w:t>
            </w:r>
            <w:r>
              <w:rPr>
                <w:rFonts w:ascii="Calibri" w:eastAsia="SimSun" w:hAnsi="Calibri" w:cs="Calibri"/>
                <w:b/>
                <w:bCs/>
                <w:lang w:eastAsia="zh-CN"/>
              </w:rPr>
              <w:t>4-6</w:t>
            </w:r>
            <w:r>
              <w:rPr>
                <w:rFonts w:ascii="Calibri" w:eastAsia="SimSun" w:hAnsi="Calibri" w:cs="Calibri"/>
                <w:b/>
                <w:bCs/>
                <w:lang w:eastAsia="zh-CN"/>
              </w:rPr>
              <w:t>日</w:t>
            </w:r>
            <w:r>
              <w:rPr>
                <w:rFonts w:ascii="Calibri" w:eastAsia="SimSun" w:hAnsi="Calibri" w:cs="Calibri"/>
                <w:b/>
                <w:bCs/>
                <w:lang w:eastAsia="zh-CN"/>
              </w:rPr>
              <w:br/>
            </w:r>
            <w:r>
              <w:rPr>
                <w:rFonts w:ascii="Calibri" w:eastAsia="SimSun" w:hAnsi="Calibri" w:cs="Calibri"/>
                <w:lang w:eastAsia="zh-CN"/>
              </w:rPr>
              <w:t>（会议时间表见讲习班日程）</w:t>
            </w:r>
          </w:p>
        </w:tc>
      </w:tr>
      <w:tr w:rsidR="00665E46" w14:paraId="0B8273E7" w14:textId="77777777">
        <w:tc>
          <w:tcPr>
            <w:tcW w:w="1843" w:type="dxa"/>
          </w:tcPr>
          <w:p w14:paraId="2894625A" w14:textId="77777777" w:rsidR="00665E46" w:rsidRDefault="00EA10E9">
            <w:pPr>
              <w:pStyle w:val="TableText0"/>
              <w:rPr>
                <w:rFonts w:ascii="Calibri" w:eastAsia="SimSun" w:hAnsi="Calibri" w:cs="Calibri"/>
                <w:b/>
                <w:bCs/>
              </w:rPr>
            </w:pPr>
            <w:r>
              <w:rPr>
                <w:rFonts w:ascii="Calibri" w:eastAsia="SimSun" w:hAnsi="Calibri" w:cs="Calibri" w:hint="eastAsia"/>
                <w:b/>
                <w:bCs/>
                <w:lang w:eastAsia="zh-CN"/>
              </w:rPr>
              <w:t>与会</w:t>
            </w:r>
          </w:p>
        </w:tc>
        <w:tc>
          <w:tcPr>
            <w:tcW w:w="3849" w:type="dxa"/>
          </w:tcPr>
          <w:p w14:paraId="5F8DDE66" w14:textId="77777777" w:rsidR="00665E46" w:rsidRDefault="00EA10E9">
            <w:pPr>
              <w:pStyle w:val="TableText0"/>
              <w:jc w:val="center"/>
              <w:rPr>
                <w:rFonts w:ascii="Calibri" w:eastAsia="SimSun" w:hAnsi="Calibri" w:cs="Calibri"/>
                <w:b/>
                <w:bCs/>
              </w:rPr>
            </w:pPr>
            <w:r>
              <w:rPr>
                <w:rFonts w:ascii="Calibri" w:eastAsia="SimSun" w:hAnsi="Calibri" w:cs="Calibri"/>
                <w:b/>
                <w:bCs/>
              </w:rPr>
              <w:t>向公众开放</w:t>
            </w:r>
          </w:p>
        </w:tc>
        <w:tc>
          <w:tcPr>
            <w:tcW w:w="4368" w:type="dxa"/>
          </w:tcPr>
          <w:p w14:paraId="6099E8BD" w14:textId="77777777" w:rsidR="00665E46" w:rsidRDefault="00EA10E9">
            <w:pPr>
              <w:pStyle w:val="TableText0"/>
              <w:jc w:val="center"/>
              <w:rPr>
                <w:rFonts w:ascii="Calibri" w:eastAsia="SimSun" w:hAnsi="Calibri" w:cs="Calibri"/>
                <w:b/>
                <w:bCs/>
                <w:lang w:eastAsia="zh-CN"/>
              </w:rPr>
            </w:pPr>
            <w:r>
              <w:rPr>
                <w:rFonts w:ascii="Calibri" w:eastAsia="SimSun" w:hAnsi="Calibri" w:cs="Calibri"/>
                <w:b/>
                <w:bCs/>
                <w:lang w:eastAsia="zh-CN"/>
              </w:rPr>
              <w:t>仅针对国际电联成员国、学术成员、</w:t>
            </w:r>
            <w:r>
              <w:rPr>
                <w:rFonts w:ascii="Calibri" w:eastAsia="SimSun" w:hAnsi="Calibri" w:cs="Calibri"/>
                <w:b/>
                <w:bCs/>
                <w:lang w:eastAsia="zh-CN"/>
              </w:rPr>
              <w:br/>
              <w:t>ITU-R</w:t>
            </w:r>
            <w:r>
              <w:rPr>
                <w:rFonts w:ascii="Calibri" w:eastAsia="SimSun" w:hAnsi="Calibri" w:cs="Calibri"/>
                <w:b/>
                <w:bCs/>
                <w:lang w:eastAsia="zh-CN"/>
              </w:rPr>
              <w:t>部门成员和部门准成员的代表</w:t>
            </w:r>
          </w:p>
        </w:tc>
      </w:tr>
      <w:tr w:rsidR="00665E46" w14:paraId="1DAE3040" w14:textId="77777777">
        <w:tc>
          <w:tcPr>
            <w:tcW w:w="1843" w:type="dxa"/>
          </w:tcPr>
          <w:p w14:paraId="26A52535" w14:textId="77777777" w:rsidR="00665E46" w:rsidRDefault="00EA10E9">
            <w:pPr>
              <w:pStyle w:val="TableText0"/>
              <w:rPr>
                <w:rFonts w:ascii="Calibri" w:eastAsia="SimSun" w:hAnsi="Calibri" w:cs="Calibri"/>
                <w:b/>
                <w:bCs/>
              </w:rPr>
            </w:pPr>
            <w:r>
              <w:rPr>
                <w:rFonts w:ascii="Calibri" w:eastAsia="SimSun" w:hAnsi="Calibri" w:cs="Calibri" w:hint="eastAsia"/>
                <w:b/>
                <w:bCs/>
                <w:lang w:eastAsia="zh-CN"/>
              </w:rPr>
              <w:t>形式</w:t>
            </w:r>
          </w:p>
        </w:tc>
        <w:tc>
          <w:tcPr>
            <w:tcW w:w="3849" w:type="dxa"/>
          </w:tcPr>
          <w:p w14:paraId="28913640" w14:textId="77777777" w:rsidR="00665E46" w:rsidRDefault="00EA10E9">
            <w:pPr>
              <w:pStyle w:val="TableText0"/>
              <w:jc w:val="center"/>
              <w:rPr>
                <w:rFonts w:ascii="Calibri" w:eastAsia="SimSun" w:hAnsi="Calibri" w:cs="Calibri"/>
              </w:rPr>
            </w:pPr>
            <w:r>
              <w:rPr>
                <w:rFonts w:ascii="Calibri" w:eastAsia="SimSun" w:hAnsi="Calibri" w:cs="Calibri"/>
              </w:rPr>
              <w:t>可现场和远程</w:t>
            </w:r>
            <w:r>
              <w:rPr>
                <w:rFonts w:ascii="Calibri" w:eastAsia="SimSun" w:hAnsi="Calibri" w:cs="Calibri" w:hint="eastAsia"/>
                <w:lang w:eastAsia="zh-CN"/>
              </w:rPr>
              <w:t>与会</w:t>
            </w:r>
          </w:p>
        </w:tc>
        <w:tc>
          <w:tcPr>
            <w:tcW w:w="4368" w:type="dxa"/>
          </w:tcPr>
          <w:p w14:paraId="65DB007A" w14:textId="77777777" w:rsidR="00665E46" w:rsidRDefault="00EA10E9">
            <w:pPr>
              <w:pStyle w:val="TableText0"/>
              <w:jc w:val="center"/>
              <w:rPr>
                <w:rFonts w:ascii="Calibri" w:eastAsia="SimSun" w:hAnsi="Calibri" w:cs="Calibri"/>
              </w:rPr>
            </w:pPr>
            <w:r>
              <w:rPr>
                <w:rFonts w:ascii="Calibri" w:eastAsia="SimSun" w:hAnsi="Calibri" w:cs="Calibri"/>
              </w:rPr>
              <w:t>仅限现场</w:t>
            </w:r>
            <w:r>
              <w:rPr>
                <w:rFonts w:ascii="Calibri" w:eastAsia="SimSun" w:hAnsi="Calibri" w:cs="Calibri" w:hint="eastAsia"/>
                <w:lang w:eastAsia="zh-CN"/>
              </w:rPr>
              <w:t>与会</w:t>
            </w:r>
          </w:p>
        </w:tc>
      </w:tr>
      <w:tr w:rsidR="00665E46" w14:paraId="7519D485" w14:textId="77777777">
        <w:tc>
          <w:tcPr>
            <w:tcW w:w="1843" w:type="dxa"/>
          </w:tcPr>
          <w:p w14:paraId="3E7DB841" w14:textId="77777777" w:rsidR="00665E46" w:rsidRDefault="00EA10E9">
            <w:pPr>
              <w:pStyle w:val="TableText0"/>
              <w:rPr>
                <w:rFonts w:ascii="Calibri" w:eastAsia="SimSun" w:hAnsi="Calibri" w:cs="Calibri"/>
                <w:b/>
                <w:bCs/>
              </w:rPr>
            </w:pPr>
            <w:r>
              <w:rPr>
                <w:rFonts w:ascii="Calibri" w:eastAsia="SimSun" w:hAnsi="Calibri" w:cs="Calibri"/>
                <w:b/>
                <w:bCs/>
              </w:rPr>
              <w:t>与会补贴</w:t>
            </w:r>
          </w:p>
        </w:tc>
        <w:tc>
          <w:tcPr>
            <w:tcW w:w="8217" w:type="dxa"/>
            <w:gridSpan w:val="2"/>
          </w:tcPr>
          <w:p w14:paraId="78126782" w14:textId="77777777" w:rsidR="00665E46" w:rsidRDefault="00EA10E9">
            <w:pPr>
              <w:pStyle w:val="TableText0"/>
              <w:jc w:val="center"/>
              <w:rPr>
                <w:rFonts w:ascii="Calibri" w:eastAsia="SimSun" w:hAnsi="Calibri" w:cs="Calibri"/>
                <w:lang w:eastAsia="zh-CN"/>
              </w:rPr>
            </w:pPr>
            <w:r>
              <w:rPr>
                <w:rFonts w:ascii="Calibri" w:eastAsia="SimSun" w:hAnsi="Calibri" w:cs="Calibri"/>
                <w:lang w:val="zh-CN" w:eastAsia="zh-CN"/>
              </w:rPr>
              <w:t>提供给符合条件的成员国的代表</w:t>
            </w:r>
            <w:r>
              <w:rPr>
                <w:rFonts w:ascii="Calibri" w:eastAsia="SimSun" w:hAnsi="Calibri" w:cs="Calibri"/>
                <w:lang w:eastAsia="zh-CN"/>
              </w:rPr>
              <w:br/>
            </w:r>
            <w:r>
              <w:rPr>
                <w:rFonts w:ascii="Calibri" w:eastAsia="SimSun" w:hAnsi="Calibri" w:cs="Calibri"/>
                <w:lang w:eastAsia="zh-CN"/>
              </w:rPr>
              <w:t>（</w:t>
            </w:r>
            <w:r>
              <w:rPr>
                <w:rFonts w:ascii="Calibri" w:eastAsia="SimSun" w:hAnsi="Calibri" w:cs="Calibri"/>
                <w:lang w:val="zh-CN" w:eastAsia="zh-CN"/>
              </w:rPr>
              <w:t>见</w:t>
            </w:r>
            <w:hyperlink r:id="rId14" w:history="1">
              <w:r>
                <w:rPr>
                  <w:rStyle w:val="Hyperlink"/>
                  <w:rFonts w:ascii="Calibri" w:eastAsia="SimSun" w:hAnsi="Calibri" w:cs="Calibri"/>
                </w:rPr>
                <w:t>https://www.itu.int/en/ITU-R/information/events/Pages/Fellowships.aspx</w:t>
              </w:r>
            </w:hyperlink>
            <w:r>
              <w:rPr>
                <w:rFonts w:ascii="Calibri" w:eastAsia="SimSun" w:hAnsi="Calibri" w:cs="Calibri"/>
                <w:lang w:eastAsia="zh-CN"/>
              </w:rPr>
              <w:t>）</w:t>
            </w:r>
          </w:p>
        </w:tc>
      </w:tr>
      <w:tr w:rsidR="00665E46" w14:paraId="390FE913" w14:textId="77777777">
        <w:tc>
          <w:tcPr>
            <w:tcW w:w="1843" w:type="dxa"/>
          </w:tcPr>
          <w:p w14:paraId="7AFADA8A" w14:textId="77777777" w:rsidR="00665E46" w:rsidRDefault="00EA10E9">
            <w:pPr>
              <w:pStyle w:val="TableText0"/>
              <w:rPr>
                <w:rFonts w:ascii="Calibri" w:eastAsia="SimSun" w:hAnsi="Calibri" w:cs="Calibri"/>
                <w:b/>
                <w:bCs/>
              </w:rPr>
            </w:pPr>
            <w:r>
              <w:rPr>
                <w:rFonts w:ascii="Calibri" w:eastAsia="SimSun" w:hAnsi="Calibri" w:cs="Calibri"/>
                <w:b/>
                <w:bCs/>
              </w:rPr>
              <w:t>语言</w:t>
            </w:r>
          </w:p>
        </w:tc>
        <w:tc>
          <w:tcPr>
            <w:tcW w:w="3849" w:type="dxa"/>
          </w:tcPr>
          <w:p w14:paraId="049ED374" w14:textId="77777777" w:rsidR="00665E46" w:rsidRDefault="00EA10E9">
            <w:pPr>
              <w:pStyle w:val="TableText0"/>
              <w:jc w:val="center"/>
              <w:rPr>
                <w:rFonts w:ascii="Calibri" w:eastAsia="SimSun" w:hAnsi="Calibri" w:cs="Calibri"/>
              </w:rPr>
            </w:pPr>
            <w:r>
              <w:rPr>
                <w:rFonts w:ascii="Calibri" w:eastAsia="SimSun" w:hAnsi="Calibri" w:cs="Calibri"/>
              </w:rPr>
              <w:t>提供</w:t>
            </w:r>
            <w:r>
              <w:rPr>
                <w:rFonts w:ascii="Calibri" w:eastAsia="SimSun" w:hAnsi="Calibri" w:cs="Calibri"/>
              </w:rPr>
              <w:t>6</w:t>
            </w:r>
            <w:r>
              <w:rPr>
                <w:rFonts w:ascii="Calibri" w:eastAsia="SimSun" w:hAnsi="Calibri" w:cs="Calibri"/>
              </w:rPr>
              <w:t>种语言的口译</w:t>
            </w:r>
          </w:p>
        </w:tc>
        <w:tc>
          <w:tcPr>
            <w:tcW w:w="4368" w:type="dxa"/>
          </w:tcPr>
          <w:p w14:paraId="5C22AB3B" w14:textId="77777777" w:rsidR="00665E46" w:rsidRDefault="00EA10E9">
            <w:pPr>
              <w:pStyle w:val="TableText0"/>
              <w:jc w:val="center"/>
              <w:rPr>
                <w:rFonts w:ascii="Calibri" w:eastAsia="SimSun" w:hAnsi="Calibri" w:cs="Calibri"/>
                <w:lang w:eastAsia="zh-CN"/>
              </w:rPr>
            </w:pPr>
            <w:r>
              <w:rPr>
                <w:rFonts w:ascii="Calibri" w:eastAsia="SimSun" w:hAnsi="Calibri" w:cs="Calibri"/>
                <w:lang w:eastAsia="zh-CN"/>
              </w:rPr>
              <w:t>英文或法文（不提供口译）</w:t>
            </w:r>
          </w:p>
        </w:tc>
      </w:tr>
      <w:tr w:rsidR="00665E46" w14:paraId="60BFF8FB" w14:textId="77777777">
        <w:tc>
          <w:tcPr>
            <w:tcW w:w="1843" w:type="dxa"/>
          </w:tcPr>
          <w:p w14:paraId="326D544C" w14:textId="77777777" w:rsidR="00665E46" w:rsidRDefault="00EA10E9">
            <w:pPr>
              <w:pStyle w:val="TableText0"/>
              <w:rPr>
                <w:rFonts w:ascii="Calibri" w:eastAsia="SimSun" w:hAnsi="Calibri" w:cs="Calibri"/>
                <w:b/>
                <w:bCs/>
              </w:rPr>
            </w:pPr>
            <w:r>
              <w:rPr>
                <w:rFonts w:ascii="Calibri" w:eastAsia="SimSun" w:hAnsi="Calibri" w:cs="Calibri"/>
                <w:b/>
                <w:bCs/>
              </w:rPr>
              <w:t>网播</w:t>
            </w:r>
          </w:p>
        </w:tc>
        <w:tc>
          <w:tcPr>
            <w:tcW w:w="3849" w:type="dxa"/>
          </w:tcPr>
          <w:p w14:paraId="2747ABA5" w14:textId="77777777" w:rsidR="00665E46" w:rsidRDefault="00EA10E9">
            <w:pPr>
              <w:pStyle w:val="TableText0"/>
              <w:jc w:val="center"/>
              <w:rPr>
                <w:rFonts w:ascii="Calibri" w:eastAsia="SimSun" w:hAnsi="Calibri" w:cs="Calibri"/>
                <w:lang w:eastAsia="zh-CN"/>
              </w:rPr>
            </w:pPr>
            <w:r>
              <w:rPr>
                <w:rFonts w:ascii="Calibri" w:eastAsia="SimSun" w:hAnsi="Calibri" w:cs="Calibri"/>
                <w:lang w:eastAsia="zh-CN"/>
              </w:rPr>
              <w:t>以</w:t>
            </w:r>
            <w:r>
              <w:rPr>
                <w:rFonts w:ascii="Calibri" w:eastAsia="SimSun" w:hAnsi="Calibri" w:cs="Calibri"/>
                <w:lang w:eastAsia="zh-CN"/>
              </w:rPr>
              <w:t>6</w:t>
            </w:r>
            <w:r>
              <w:rPr>
                <w:rFonts w:ascii="Calibri" w:eastAsia="SimSun" w:hAnsi="Calibri" w:cs="Calibri"/>
                <w:lang w:eastAsia="zh-CN"/>
              </w:rPr>
              <w:t>种语言提供（无需注册）</w:t>
            </w:r>
          </w:p>
        </w:tc>
        <w:tc>
          <w:tcPr>
            <w:tcW w:w="4368" w:type="dxa"/>
          </w:tcPr>
          <w:p w14:paraId="0390B016" w14:textId="77777777" w:rsidR="00665E46" w:rsidRDefault="00EA10E9">
            <w:pPr>
              <w:pStyle w:val="TableText0"/>
              <w:jc w:val="center"/>
              <w:rPr>
                <w:rFonts w:ascii="Calibri" w:eastAsia="SimSun" w:hAnsi="Calibri" w:cs="Calibri"/>
              </w:rPr>
            </w:pPr>
            <w:r>
              <w:rPr>
                <w:rFonts w:ascii="Calibri" w:eastAsia="SimSun" w:hAnsi="Calibri" w:cs="Calibri" w:hint="eastAsia"/>
                <w:lang w:eastAsia="zh-CN"/>
              </w:rPr>
              <w:t>不</w:t>
            </w:r>
            <w:r>
              <w:rPr>
                <w:rFonts w:ascii="Calibri" w:eastAsia="SimSun" w:hAnsi="Calibri" w:cs="Calibri"/>
              </w:rPr>
              <w:t>提供</w:t>
            </w:r>
          </w:p>
        </w:tc>
      </w:tr>
    </w:tbl>
    <w:p w14:paraId="3FBFAFD7" w14:textId="77777777" w:rsidR="00665E46" w:rsidRDefault="00EA10E9">
      <w:pPr>
        <w:pStyle w:val="TableNoTitle"/>
        <w:rPr>
          <w:sz w:val="24"/>
          <w:szCs w:val="28"/>
        </w:rPr>
      </w:pPr>
      <w:r>
        <w:rPr>
          <w:sz w:val="24"/>
          <w:szCs w:val="28"/>
          <w:lang w:val="zh-CN"/>
        </w:rPr>
        <w:t>WRS-24</w:t>
      </w:r>
      <w:r>
        <w:rPr>
          <w:rFonts w:hint="eastAsia"/>
          <w:sz w:val="24"/>
          <w:szCs w:val="28"/>
          <w:lang w:val="zh-CN" w:eastAsia="zh-CN"/>
        </w:rPr>
        <w:t>注册</w:t>
      </w:r>
    </w:p>
    <w:tbl>
      <w:tblPr>
        <w:tblStyle w:val="TableGrid"/>
        <w:tblW w:w="10060" w:type="dxa"/>
        <w:tblLayout w:type="fixed"/>
        <w:tblLook w:val="04A0" w:firstRow="1" w:lastRow="0" w:firstColumn="1" w:lastColumn="0" w:noHBand="0" w:noVBand="1"/>
      </w:tblPr>
      <w:tblGrid>
        <w:gridCol w:w="1838"/>
        <w:gridCol w:w="3840"/>
        <w:gridCol w:w="4382"/>
      </w:tblGrid>
      <w:tr w:rsidR="00665E46" w14:paraId="0933F838" w14:textId="77777777">
        <w:tc>
          <w:tcPr>
            <w:tcW w:w="1838" w:type="dxa"/>
            <w:shd w:val="clear" w:color="auto" w:fill="D9D9D9" w:themeFill="background1" w:themeFillShade="D9"/>
          </w:tcPr>
          <w:p w14:paraId="37C9B235" w14:textId="77777777" w:rsidR="00665E46" w:rsidRDefault="00665E46">
            <w:pPr>
              <w:spacing w:before="60" w:after="60" w:line="240" w:lineRule="auto"/>
              <w:jc w:val="left"/>
              <w:rPr>
                <w:rFonts w:asciiTheme="minorHAnsi" w:hAnsiTheme="minorHAnsi" w:cstheme="minorHAnsi"/>
                <w:sz w:val="22"/>
              </w:rPr>
            </w:pPr>
          </w:p>
        </w:tc>
        <w:tc>
          <w:tcPr>
            <w:tcW w:w="3840" w:type="dxa"/>
            <w:shd w:val="clear" w:color="auto" w:fill="D9D9D9" w:themeFill="background1" w:themeFillShade="D9"/>
          </w:tcPr>
          <w:p w14:paraId="4FC672B2" w14:textId="77777777" w:rsidR="00665E46" w:rsidRDefault="00EA10E9">
            <w:pPr>
              <w:pStyle w:val="Tablehead"/>
              <w:rPr>
                <w:rFonts w:asciiTheme="minorHAnsi" w:hAnsiTheme="minorHAnsi" w:cstheme="minorHAnsi"/>
                <w:b w:val="0"/>
                <w:bCs/>
                <w:sz w:val="22"/>
              </w:rPr>
            </w:pPr>
            <w:r>
              <w:rPr>
                <w:rFonts w:asciiTheme="minorHAnsi" w:hAnsiTheme="minorHAnsi" w:cstheme="minorHAnsi"/>
                <w:bCs/>
                <w:sz w:val="22"/>
                <w:lang w:val="zh-CN"/>
              </w:rPr>
              <w:t>注册对象：公众</w:t>
            </w:r>
          </w:p>
        </w:tc>
        <w:tc>
          <w:tcPr>
            <w:tcW w:w="4382" w:type="dxa"/>
            <w:shd w:val="clear" w:color="auto" w:fill="D9D9D9" w:themeFill="background1" w:themeFillShade="D9"/>
          </w:tcPr>
          <w:p w14:paraId="0B2AEF88" w14:textId="77777777" w:rsidR="00665E46" w:rsidRDefault="00EA10E9">
            <w:pPr>
              <w:pStyle w:val="Tablehead"/>
              <w:rPr>
                <w:sz w:val="22"/>
                <w:lang w:eastAsia="zh-CN"/>
              </w:rPr>
            </w:pPr>
            <w:r>
              <w:rPr>
                <w:sz w:val="22"/>
                <w:lang w:val="zh-CN" w:eastAsia="zh-CN"/>
              </w:rPr>
              <w:t>注册对象：国际电联成员国、学术成员、</w:t>
            </w:r>
            <w:r>
              <w:rPr>
                <w:sz w:val="22"/>
                <w:lang w:val="zh-CN" w:eastAsia="zh-CN"/>
              </w:rPr>
              <w:t>ITU-R</w:t>
            </w:r>
            <w:r>
              <w:rPr>
                <w:sz w:val="22"/>
                <w:lang w:val="zh-CN" w:eastAsia="zh-CN"/>
              </w:rPr>
              <w:t>部门成员和部门准成员代表</w:t>
            </w:r>
          </w:p>
        </w:tc>
      </w:tr>
      <w:tr w:rsidR="00665E46" w14:paraId="4837F2A6" w14:textId="77777777">
        <w:tc>
          <w:tcPr>
            <w:tcW w:w="1838" w:type="dxa"/>
          </w:tcPr>
          <w:p w14:paraId="29C63E95" w14:textId="77777777" w:rsidR="00665E46" w:rsidRDefault="00EA10E9">
            <w:pPr>
              <w:pStyle w:val="TableText0"/>
              <w:rPr>
                <w:rFonts w:ascii="Calibri" w:eastAsia="SimSun" w:hAnsi="Calibri" w:cs="Calibri"/>
                <w:b/>
                <w:bCs/>
              </w:rPr>
            </w:pPr>
            <w:r>
              <w:rPr>
                <w:rFonts w:ascii="Calibri" w:eastAsia="SimSun" w:hAnsi="Calibri" w:cs="Calibri" w:hint="eastAsia"/>
                <w:b/>
                <w:bCs/>
              </w:rPr>
              <w:t>可供注册的会议</w:t>
            </w:r>
          </w:p>
        </w:tc>
        <w:tc>
          <w:tcPr>
            <w:tcW w:w="3840" w:type="dxa"/>
          </w:tcPr>
          <w:p w14:paraId="355BA37C" w14:textId="77777777" w:rsidR="00665E46" w:rsidRDefault="00EA10E9">
            <w:pPr>
              <w:pStyle w:val="TableText0"/>
              <w:jc w:val="center"/>
              <w:rPr>
                <w:rFonts w:ascii="Calibri" w:eastAsia="SimSun" w:hAnsi="Calibri" w:cs="Calibri"/>
              </w:rPr>
            </w:pPr>
            <w:r>
              <w:rPr>
                <w:rFonts w:ascii="Calibri" w:eastAsia="SimSun" w:hAnsi="Calibri" w:cs="Calibri"/>
              </w:rPr>
              <w:t>仅限全体会议</w:t>
            </w:r>
          </w:p>
        </w:tc>
        <w:tc>
          <w:tcPr>
            <w:tcW w:w="4382" w:type="dxa"/>
          </w:tcPr>
          <w:p w14:paraId="179B9F38" w14:textId="77777777" w:rsidR="00665E46" w:rsidRDefault="00EA10E9">
            <w:pPr>
              <w:pStyle w:val="TableText0"/>
              <w:jc w:val="center"/>
              <w:rPr>
                <w:rFonts w:ascii="Calibri" w:eastAsia="SimSun" w:hAnsi="Calibri" w:cs="Calibri"/>
                <w:lang w:eastAsia="zh-CN"/>
              </w:rPr>
            </w:pPr>
            <w:r>
              <w:rPr>
                <w:rFonts w:ascii="Calibri" w:eastAsia="SimSun" w:hAnsi="Calibri" w:cs="Calibri"/>
                <w:lang w:eastAsia="zh-CN"/>
              </w:rPr>
              <w:t>所有会议：全体会议、</w:t>
            </w:r>
            <w:r>
              <w:rPr>
                <w:rFonts w:ascii="Calibri" w:eastAsia="SimSun" w:hAnsi="Calibri" w:cs="Calibri"/>
                <w:lang w:eastAsia="zh-CN"/>
              </w:rPr>
              <w:br/>
            </w:r>
            <w:r>
              <w:rPr>
                <w:rFonts w:ascii="Calibri" w:eastAsia="SimSun" w:hAnsi="Calibri" w:cs="Calibri"/>
                <w:lang w:eastAsia="zh-CN"/>
              </w:rPr>
              <w:t>地面讲习班和空间讲习班</w:t>
            </w:r>
          </w:p>
        </w:tc>
      </w:tr>
      <w:tr w:rsidR="00665E46" w14:paraId="3E03F97C" w14:textId="77777777">
        <w:tc>
          <w:tcPr>
            <w:tcW w:w="1838" w:type="dxa"/>
          </w:tcPr>
          <w:p w14:paraId="256492D6" w14:textId="77777777" w:rsidR="00665E46" w:rsidRDefault="00EA10E9">
            <w:pPr>
              <w:pStyle w:val="TableText0"/>
              <w:rPr>
                <w:rFonts w:ascii="Calibri" w:eastAsia="SimSun" w:hAnsi="Calibri" w:cs="Calibri"/>
                <w:b/>
                <w:bCs/>
              </w:rPr>
            </w:pPr>
            <w:r>
              <w:rPr>
                <w:rFonts w:ascii="Calibri" w:eastAsia="SimSun" w:hAnsi="Calibri" w:cs="Calibri"/>
                <w:b/>
                <w:bCs/>
              </w:rPr>
              <w:t>批准</w:t>
            </w:r>
          </w:p>
        </w:tc>
        <w:tc>
          <w:tcPr>
            <w:tcW w:w="3840" w:type="dxa"/>
          </w:tcPr>
          <w:p w14:paraId="1E61EEFD" w14:textId="77777777" w:rsidR="00665E46" w:rsidRDefault="00EA10E9">
            <w:pPr>
              <w:pStyle w:val="TableText0"/>
              <w:jc w:val="center"/>
              <w:rPr>
                <w:rFonts w:ascii="Calibri" w:eastAsia="SimSun" w:hAnsi="Calibri" w:cs="Calibri"/>
              </w:rPr>
            </w:pPr>
            <w:r>
              <w:rPr>
                <w:rFonts w:ascii="Calibri" w:eastAsia="SimSun" w:hAnsi="Calibri" w:cs="Calibri"/>
              </w:rPr>
              <w:t>无需批准</w:t>
            </w:r>
          </w:p>
        </w:tc>
        <w:tc>
          <w:tcPr>
            <w:tcW w:w="4382" w:type="dxa"/>
          </w:tcPr>
          <w:p w14:paraId="2E1A322F" w14:textId="77777777" w:rsidR="00665E46" w:rsidRDefault="00EA10E9">
            <w:pPr>
              <w:pStyle w:val="TableText0"/>
              <w:jc w:val="center"/>
              <w:rPr>
                <w:rFonts w:ascii="Calibri" w:eastAsia="SimSun" w:hAnsi="Calibri" w:cs="Calibri"/>
                <w:lang w:eastAsia="zh-CN"/>
              </w:rPr>
            </w:pPr>
            <w:r>
              <w:rPr>
                <w:rFonts w:ascii="Calibri" w:eastAsia="SimSun" w:hAnsi="Calibri" w:cs="Calibri"/>
                <w:lang w:eastAsia="zh-CN"/>
              </w:rPr>
              <w:t>需要</w:t>
            </w:r>
            <w:r>
              <w:rPr>
                <w:rFonts w:ascii="Calibri" w:eastAsia="SimSun" w:hAnsi="Calibri" w:cs="Calibri" w:hint="eastAsia"/>
                <w:lang w:eastAsia="zh-CN"/>
              </w:rPr>
              <w:t>获得</w:t>
            </w:r>
            <w:r>
              <w:rPr>
                <w:rFonts w:ascii="Calibri" w:eastAsia="SimSun" w:hAnsi="Calibri" w:cs="Calibri"/>
                <w:lang w:eastAsia="zh-CN"/>
              </w:rPr>
              <w:t>联系人</w:t>
            </w:r>
            <w:r>
              <w:rPr>
                <w:rFonts w:ascii="Calibri" w:eastAsia="SimSun" w:hAnsi="Calibri" w:cs="Calibri" w:hint="eastAsia"/>
                <w:lang w:eastAsia="zh-CN"/>
              </w:rPr>
              <w:t>的</w:t>
            </w:r>
            <w:r>
              <w:rPr>
                <w:rFonts w:ascii="Calibri" w:eastAsia="SimSun" w:hAnsi="Calibri" w:cs="Calibri"/>
                <w:lang w:eastAsia="zh-CN"/>
              </w:rPr>
              <w:t>批准</w:t>
            </w:r>
          </w:p>
        </w:tc>
      </w:tr>
      <w:tr w:rsidR="00665E46" w14:paraId="3E340634" w14:textId="77777777">
        <w:tc>
          <w:tcPr>
            <w:tcW w:w="1838" w:type="dxa"/>
          </w:tcPr>
          <w:p w14:paraId="3986DDAB" w14:textId="77777777" w:rsidR="00665E46" w:rsidRDefault="00EA10E9">
            <w:pPr>
              <w:pStyle w:val="TableText0"/>
              <w:rPr>
                <w:rFonts w:ascii="Calibri" w:eastAsia="SimSun" w:hAnsi="Calibri" w:cs="Calibri"/>
                <w:b/>
                <w:bCs/>
              </w:rPr>
            </w:pPr>
            <w:r>
              <w:rPr>
                <w:rFonts w:ascii="Calibri" w:eastAsia="SimSun" w:hAnsi="Calibri" w:cs="Calibri"/>
                <w:b/>
                <w:bCs/>
              </w:rPr>
              <w:t>出席会议的形式</w:t>
            </w:r>
          </w:p>
        </w:tc>
        <w:tc>
          <w:tcPr>
            <w:tcW w:w="3840" w:type="dxa"/>
          </w:tcPr>
          <w:p w14:paraId="05F2B7E0" w14:textId="77777777" w:rsidR="00665E46" w:rsidRDefault="00EA10E9">
            <w:pPr>
              <w:pStyle w:val="TableText0"/>
              <w:jc w:val="center"/>
              <w:rPr>
                <w:rFonts w:ascii="Calibri" w:eastAsia="SimSun" w:hAnsi="Calibri" w:cs="Calibri"/>
              </w:rPr>
            </w:pPr>
            <w:r>
              <w:rPr>
                <w:rFonts w:ascii="Calibri" w:eastAsia="SimSun" w:hAnsi="Calibri" w:cs="Calibri" w:hint="eastAsia"/>
              </w:rPr>
              <w:t>可现场和远程与会</w:t>
            </w:r>
          </w:p>
        </w:tc>
        <w:tc>
          <w:tcPr>
            <w:tcW w:w="4382" w:type="dxa"/>
          </w:tcPr>
          <w:p w14:paraId="4B84BC2E" w14:textId="77777777" w:rsidR="00665E46" w:rsidRDefault="00EA10E9">
            <w:pPr>
              <w:pStyle w:val="TableText0"/>
              <w:jc w:val="center"/>
              <w:rPr>
                <w:rFonts w:ascii="Calibri" w:eastAsia="SimSun" w:hAnsi="Calibri" w:cs="Calibri"/>
                <w:lang w:eastAsia="zh-CN"/>
              </w:rPr>
            </w:pPr>
            <w:r>
              <w:rPr>
                <w:rFonts w:ascii="Calibri" w:eastAsia="SimSun" w:hAnsi="Calibri" w:cs="Calibri"/>
                <w:b/>
                <w:bCs/>
                <w:lang w:eastAsia="zh-CN"/>
              </w:rPr>
              <w:t>全体会议：</w:t>
            </w:r>
            <w:r>
              <w:rPr>
                <w:rFonts w:ascii="Calibri" w:eastAsia="SimSun" w:hAnsi="Calibri" w:cs="Calibri"/>
                <w:lang w:eastAsia="zh-CN"/>
              </w:rPr>
              <w:t>远程</w:t>
            </w:r>
            <w:r>
              <w:rPr>
                <w:rFonts w:ascii="Calibri" w:eastAsia="SimSun" w:hAnsi="Calibri" w:cs="Calibri" w:hint="eastAsia"/>
                <w:lang w:eastAsia="zh-CN"/>
              </w:rPr>
              <w:t>与会</w:t>
            </w:r>
            <w:r>
              <w:rPr>
                <w:rFonts w:ascii="Calibri" w:eastAsia="SimSun" w:hAnsi="Calibri" w:cs="Calibri"/>
                <w:lang w:eastAsia="zh-CN"/>
              </w:rPr>
              <w:t>和</w:t>
            </w:r>
            <w:r>
              <w:rPr>
                <w:rFonts w:ascii="Calibri" w:eastAsia="SimSun" w:hAnsi="Calibri" w:cs="Calibri"/>
                <w:lang w:eastAsia="zh-CN"/>
              </w:rPr>
              <w:t>/</w:t>
            </w:r>
            <w:r>
              <w:rPr>
                <w:rFonts w:ascii="Calibri" w:eastAsia="SimSun" w:hAnsi="Calibri" w:cs="Calibri"/>
                <w:lang w:eastAsia="zh-CN"/>
              </w:rPr>
              <w:t>或现场</w:t>
            </w:r>
            <w:r>
              <w:rPr>
                <w:rFonts w:ascii="Calibri" w:eastAsia="SimSun" w:hAnsi="Calibri" w:cs="Calibri" w:hint="eastAsia"/>
                <w:lang w:eastAsia="zh-CN"/>
              </w:rPr>
              <w:t>与会</w:t>
            </w:r>
            <w:r>
              <w:rPr>
                <w:rFonts w:ascii="Calibri" w:eastAsia="SimSun" w:hAnsi="Calibri" w:cs="Calibri"/>
                <w:lang w:eastAsia="zh-CN"/>
              </w:rPr>
              <w:br/>
            </w:r>
            <w:r>
              <w:rPr>
                <w:rFonts w:ascii="Calibri" w:eastAsia="SimSun" w:hAnsi="Calibri" w:cs="Calibri"/>
                <w:b/>
                <w:bCs/>
                <w:lang w:eastAsia="zh-CN"/>
              </w:rPr>
              <w:t>讲习班：</w:t>
            </w:r>
            <w:r>
              <w:rPr>
                <w:rFonts w:ascii="Calibri" w:eastAsia="SimSun" w:hAnsi="Calibri" w:cs="Calibri"/>
                <w:lang w:eastAsia="zh-CN"/>
              </w:rPr>
              <w:t>仅限现场</w:t>
            </w:r>
            <w:r>
              <w:rPr>
                <w:rFonts w:ascii="Calibri" w:eastAsia="SimSun" w:hAnsi="Calibri" w:cs="Calibri" w:hint="eastAsia"/>
                <w:lang w:eastAsia="zh-CN"/>
              </w:rPr>
              <w:t>与会</w:t>
            </w:r>
          </w:p>
        </w:tc>
      </w:tr>
      <w:tr w:rsidR="00665E46" w14:paraId="445C6CAB" w14:textId="77777777">
        <w:tc>
          <w:tcPr>
            <w:tcW w:w="1838" w:type="dxa"/>
          </w:tcPr>
          <w:p w14:paraId="6CDEDC65" w14:textId="77777777" w:rsidR="00665E46" w:rsidRDefault="00EA10E9">
            <w:pPr>
              <w:pStyle w:val="TableText0"/>
              <w:rPr>
                <w:rFonts w:ascii="Calibri" w:eastAsia="SimSun" w:hAnsi="Calibri" w:cs="Calibri"/>
                <w:b/>
                <w:bCs/>
              </w:rPr>
            </w:pPr>
            <w:r>
              <w:rPr>
                <w:rFonts w:ascii="Calibri" w:eastAsia="SimSun" w:hAnsi="Calibri" w:cs="Calibri"/>
                <w:b/>
                <w:bCs/>
              </w:rPr>
              <w:t>注册链接</w:t>
            </w:r>
          </w:p>
        </w:tc>
        <w:tc>
          <w:tcPr>
            <w:tcW w:w="8222" w:type="dxa"/>
            <w:gridSpan w:val="2"/>
          </w:tcPr>
          <w:p w14:paraId="3CB9F0EC" w14:textId="77777777" w:rsidR="00665E46" w:rsidRDefault="00EA10E9">
            <w:pPr>
              <w:pStyle w:val="TableText0"/>
              <w:jc w:val="center"/>
              <w:rPr>
                <w:rFonts w:ascii="Calibri" w:eastAsia="SimSun" w:hAnsi="Calibri" w:cs="Calibri"/>
                <w:lang w:eastAsia="zh-CN"/>
              </w:rPr>
            </w:pPr>
            <w:r>
              <w:rPr>
                <w:rFonts w:ascii="Calibri" w:eastAsia="SimSun" w:hAnsi="Calibri" w:cs="Calibri"/>
                <w:lang w:val="zh-CN" w:eastAsia="zh-CN"/>
              </w:rPr>
              <w:t>见活动网站</w:t>
            </w:r>
            <w:hyperlink r:id="rId15" w:history="1">
              <w:r>
                <w:rPr>
                  <w:rStyle w:val="Hyperlink"/>
                  <w:rFonts w:asciiTheme="minorHAnsi" w:hAnsiTheme="minorHAnsi"/>
                </w:rPr>
                <w:t>http://www.itu.int/go/wrs-24</w:t>
              </w:r>
            </w:hyperlink>
            <w:r>
              <w:rPr>
                <w:rFonts w:asciiTheme="minorHAnsi" w:hAnsiTheme="minorHAnsi"/>
              </w:rPr>
              <w:t xml:space="preserve"> </w:t>
            </w:r>
          </w:p>
        </w:tc>
      </w:tr>
    </w:tbl>
    <w:p w14:paraId="28C1BB48" w14:textId="77777777" w:rsidR="00665E46" w:rsidRDefault="00665E46">
      <w:pPr>
        <w:pStyle w:val="Reasons"/>
      </w:pPr>
    </w:p>
    <w:p w14:paraId="2B3A86DC" w14:textId="77777777" w:rsidR="00665E46" w:rsidRDefault="00EA10E9">
      <w:pPr>
        <w:jc w:val="center"/>
      </w:pPr>
      <w:r>
        <w:t>______________</w:t>
      </w:r>
    </w:p>
    <w:sectPr w:rsidR="00665E46">
      <w:headerReference w:type="even" r:id="rId16"/>
      <w:headerReference w:type="default" r:id="rId17"/>
      <w:footerReference w:type="even" r:id="rId18"/>
      <w:headerReference w:type="first" r:id="rId19"/>
      <w:footerReference w:type="first" r:id="rId20"/>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6247" w14:textId="77777777" w:rsidR="00665E46" w:rsidRDefault="00EA10E9">
      <w:pPr>
        <w:spacing w:line="240" w:lineRule="auto"/>
      </w:pPr>
      <w:r>
        <w:separator/>
      </w:r>
    </w:p>
  </w:endnote>
  <w:endnote w:type="continuationSeparator" w:id="0">
    <w:p w14:paraId="32DD2AEF" w14:textId="77777777" w:rsidR="00665E46" w:rsidRDefault="00EA1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egoe Print"/>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D89E" w14:textId="77777777" w:rsidR="00665E46" w:rsidRDefault="00EA10E9">
    <w:pPr>
      <w:pStyle w:val="Footer"/>
      <w:rPr>
        <w:sz w:val="16"/>
        <w:szCs w:val="16"/>
        <w:lang w:val="pt-BR"/>
      </w:rPr>
    </w:pPr>
    <w:r>
      <w:rPr>
        <w:sz w:val="16"/>
        <w:szCs w:val="16"/>
      </w:rPr>
      <w:fldChar w:fldCharType="begin"/>
    </w:r>
    <w:r>
      <w:rPr>
        <w:sz w:val="16"/>
        <w:szCs w:val="16"/>
        <w:lang w:val="pt-BR"/>
      </w:rPr>
      <w:instrText xml:space="preserve"> FILENAME \p  \* MERGEFORMAT </w:instrText>
    </w:r>
    <w:r>
      <w:rPr>
        <w:sz w:val="16"/>
        <w:szCs w:val="16"/>
      </w:rPr>
      <w:fldChar w:fldCharType="separate"/>
    </w:r>
    <w:r>
      <w:rPr>
        <w:sz w:val="16"/>
        <w:szCs w:val="16"/>
        <w:lang w:val="pt-BR"/>
      </w:rPr>
      <w:t>P:\CHI\ITU-R\BR\DIR\CA\200\274C.docx</w:t>
    </w:r>
    <w:r>
      <w:rPr>
        <w:sz w:val="16"/>
        <w:szCs w:val="16"/>
      </w:rPr>
      <w:fldChar w:fldCharType="end"/>
    </w:r>
    <w:r>
      <w:rPr>
        <w:sz w:val="16"/>
        <w:szCs w:val="16"/>
        <w:lang w:val="pt-BR"/>
      </w:rPr>
      <w:t xml:space="preserve"> (536913)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814" w14:textId="77777777" w:rsidR="00665E46" w:rsidRDefault="00EA10E9">
    <w:pPr>
      <w:pStyle w:val="FirstFooter"/>
      <w:spacing w:line="240" w:lineRule="auto"/>
      <w:ind w:left="-397" w:right="-397"/>
      <w:jc w:val="center"/>
      <w:rPr>
        <w:color w:val="4F81BD" w:themeColor="accent1"/>
        <w:sz w:val="19"/>
        <w:szCs w:val="19"/>
      </w:rPr>
    </w:pPr>
    <w:r>
      <w:rPr>
        <w:color w:val="4F81BD" w:themeColor="accent1"/>
        <w:sz w:val="19"/>
        <w:szCs w:val="19"/>
      </w:rPr>
      <w:t>International Telecommunication Union • Place des Nations, CH</w:t>
    </w:r>
    <w:r>
      <w:rPr>
        <w:color w:val="4F81BD" w:themeColor="accent1"/>
        <w:sz w:val="19"/>
        <w:szCs w:val="19"/>
      </w:rPr>
      <w:noBreakHyphen/>
      <w:t>1211 Geneva 20, Switzerland</w:t>
    </w:r>
    <w:r>
      <w:rPr>
        <w:color w:val="4F81BD" w:themeColor="accent1"/>
        <w:sz w:val="19"/>
        <w:szCs w:val="19"/>
      </w:rPr>
      <w:br/>
      <w:t xml:space="preserve">Tel.: +41 22 730 5111 • E-mail: </w:t>
    </w:r>
    <w:hyperlink r:id="rId1" w:history="1">
      <w:r>
        <w:rPr>
          <w:rStyle w:val="Hyperlink"/>
          <w:sz w:val="19"/>
          <w:szCs w:val="19"/>
        </w:rPr>
        <w:t>itumail@itu.int</w:t>
      </w:r>
    </w:hyperlink>
    <w:r>
      <w:rPr>
        <w:color w:val="4F81BD" w:themeColor="accent1"/>
        <w:sz w:val="19"/>
        <w:szCs w:val="19"/>
      </w:rPr>
      <w:t xml:space="preserve"> </w:t>
    </w:r>
    <w:r>
      <w:rPr>
        <w:color w:val="4F81BD"/>
        <w:sz w:val="19"/>
        <w:szCs w:val="19"/>
      </w:rPr>
      <w:t xml:space="preserve">• Fax: +41 22 733 7256 • </w:t>
    </w:r>
    <w:hyperlink r:id="rId2" w:history="1">
      <w:r>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6741" w14:textId="77777777" w:rsidR="00665E46" w:rsidRDefault="00EA10E9">
      <w:pPr>
        <w:spacing w:before="0" w:line="240" w:lineRule="auto"/>
      </w:pPr>
      <w:r>
        <w:separator/>
      </w:r>
    </w:p>
  </w:footnote>
  <w:footnote w:type="continuationSeparator" w:id="0">
    <w:p w14:paraId="770B91CE" w14:textId="77777777" w:rsidR="00665E46" w:rsidRDefault="00EA10E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8D10" w14:textId="77777777" w:rsidR="00665E46" w:rsidRDefault="00EA10E9">
    <w:pPr>
      <w:pStyle w:val="Header"/>
      <w:jc w:val="center"/>
      <w:rPr>
        <w:sz w:val="18"/>
        <w:szCs w:val="18"/>
      </w:rPr>
    </w:pPr>
    <w:r>
      <w:rPr>
        <w:sz w:val="18"/>
        <w:szCs w:val="18"/>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4</w:t>
    </w:r>
    <w:r>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7FEB" w14:textId="77777777" w:rsidR="00665E46" w:rsidRDefault="00EA10E9">
    <w:pPr>
      <w:pStyle w:val="Header"/>
      <w:jc w:val="center"/>
      <w:rPr>
        <w:sz w:val="18"/>
        <w:szCs w:val="16"/>
      </w:rP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Pr>
        <w:rStyle w:val="PageNumber"/>
        <w:sz w:val="18"/>
        <w:szCs w:val="16"/>
      </w:rPr>
      <w:t>5</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665E46" w14:paraId="269F8DC7" w14:textId="77777777">
      <w:tc>
        <w:tcPr>
          <w:tcW w:w="9889" w:type="dxa"/>
          <w:tcMar>
            <w:left w:w="0" w:type="dxa"/>
          </w:tcMar>
          <w:vAlign w:val="center"/>
        </w:tcPr>
        <w:p w14:paraId="01BF6558" w14:textId="77777777" w:rsidR="00665E46" w:rsidRDefault="00EA10E9">
          <w:pPr>
            <w:pStyle w:val="Header"/>
            <w:spacing w:line="360" w:lineRule="auto"/>
            <w:jc w:val="center"/>
          </w:pPr>
          <w:r>
            <w:rPr>
              <w:noProof/>
              <w:lang w:val="en-GB" w:eastAsia="en-GB"/>
            </w:rPr>
            <w:drawing>
              <wp:inline distT="0" distB="0" distL="0" distR="0" wp14:anchorId="39EA9FEA" wp14:editId="7905A6F3">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20ED699" w14:textId="77777777" w:rsidR="00665E46" w:rsidRDefault="00665E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commondata" w:val="eyJoZGlkIjoiYTc2ZGZiNzZiNDVlOGViOWVmM2JhOTY0NGJkNjUyYzgifQ=="/>
  </w:docVars>
  <w:rsids>
    <w:rsidRoot w:val="00F420BF"/>
    <w:rsid w:val="00006A31"/>
    <w:rsid w:val="00006C82"/>
    <w:rsid w:val="00010E30"/>
    <w:rsid w:val="00015C76"/>
    <w:rsid w:val="00026CF8"/>
    <w:rsid w:val="00030BD7"/>
    <w:rsid w:val="00031E64"/>
    <w:rsid w:val="00034340"/>
    <w:rsid w:val="00035CB3"/>
    <w:rsid w:val="00042FE8"/>
    <w:rsid w:val="00045A8D"/>
    <w:rsid w:val="0004683F"/>
    <w:rsid w:val="0005167A"/>
    <w:rsid w:val="00054E5D"/>
    <w:rsid w:val="00070258"/>
    <w:rsid w:val="0007323C"/>
    <w:rsid w:val="00073D96"/>
    <w:rsid w:val="00084C99"/>
    <w:rsid w:val="00086D03"/>
    <w:rsid w:val="00091DF4"/>
    <w:rsid w:val="000A096A"/>
    <w:rsid w:val="000A375E"/>
    <w:rsid w:val="000A7051"/>
    <w:rsid w:val="000B0AF6"/>
    <w:rsid w:val="000B0E9B"/>
    <w:rsid w:val="000B2045"/>
    <w:rsid w:val="000B2CAE"/>
    <w:rsid w:val="000C03C7"/>
    <w:rsid w:val="000C2AD0"/>
    <w:rsid w:val="000E3DEE"/>
    <w:rsid w:val="000F00B0"/>
    <w:rsid w:val="00100B72"/>
    <w:rsid w:val="00101F7D"/>
    <w:rsid w:val="00103C76"/>
    <w:rsid w:val="0011265F"/>
    <w:rsid w:val="001146AE"/>
    <w:rsid w:val="00114C2E"/>
    <w:rsid w:val="00117282"/>
    <w:rsid w:val="00117389"/>
    <w:rsid w:val="00121C2D"/>
    <w:rsid w:val="00121F00"/>
    <w:rsid w:val="00134404"/>
    <w:rsid w:val="00144DFB"/>
    <w:rsid w:val="00164B62"/>
    <w:rsid w:val="00187979"/>
    <w:rsid w:val="00187CA3"/>
    <w:rsid w:val="00195256"/>
    <w:rsid w:val="00196710"/>
    <w:rsid w:val="00196770"/>
    <w:rsid w:val="00197324"/>
    <w:rsid w:val="001A1053"/>
    <w:rsid w:val="001A216A"/>
    <w:rsid w:val="001B351B"/>
    <w:rsid w:val="001B42C9"/>
    <w:rsid w:val="001C06DB"/>
    <w:rsid w:val="001C6971"/>
    <w:rsid w:val="001D2785"/>
    <w:rsid w:val="001D7070"/>
    <w:rsid w:val="001F2170"/>
    <w:rsid w:val="001F3948"/>
    <w:rsid w:val="001F5A49"/>
    <w:rsid w:val="001F767C"/>
    <w:rsid w:val="00201097"/>
    <w:rsid w:val="00201B6E"/>
    <w:rsid w:val="002302B3"/>
    <w:rsid w:val="00230C66"/>
    <w:rsid w:val="00235A29"/>
    <w:rsid w:val="00241526"/>
    <w:rsid w:val="002431F4"/>
    <w:rsid w:val="002443A2"/>
    <w:rsid w:val="00266E74"/>
    <w:rsid w:val="00283C3B"/>
    <w:rsid w:val="00285C7A"/>
    <w:rsid w:val="002861E6"/>
    <w:rsid w:val="00287D18"/>
    <w:rsid w:val="00295CFA"/>
    <w:rsid w:val="002A2618"/>
    <w:rsid w:val="002A5DD7"/>
    <w:rsid w:val="002B0CAC"/>
    <w:rsid w:val="002B60C1"/>
    <w:rsid w:val="002C1FE9"/>
    <w:rsid w:val="002C515F"/>
    <w:rsid w:val="002D5A15"/>
    <w:rsid w:val="002D5BDD"/>
    <w:rsid w:val="002E0DC8"/>
    <w:rsid w:val="002E2E39"/>
    <w:rsid w:val="002E3D27"/>
    <w:rsid w:val="002E3F3A"/>
    <w:rsid w:val="002F0890"/>
    <w:rsid w:val="002F2531"/>
    <w:rsid w:val="002F2580"/>
    <w:rsid w:val="002F4967"/>
    <w:rsid w:val="00307AAE"/>
    <w:rsid w:val="00310BEF"/>
    <w:rsid w:val="00316935"/>
    <w:rsid w:val="003266ED"/>
    <w:rsid w:val="00326C68"/>
    <w:rsid w:val="003276E1"/>
    <w:rsid w:val="00334544"/>
    <w:rsid w:val="003370B8"/>
    <w:rsid w:val="0034493D"/>
    <w:rsid w:val="00345D38"/>
    <w:rsid w:val="00352097"/>
    <w:rsid w:val="003666FF"/>
    <w:rsid w:val="00372740"/>
    <w:rsid w:val="0037309C"/>
    <w:rsid w:val="00377C23"/>
    <w:rsid w:val="00380A6E"/>
    <w:rsid w:val="003836D4"/>
    <w:rsid w:val="003A1F49"/>
    <w:rsid w:val="003A55ED"/>
    <w:rsid w:val="003A5D52"/>
    <w:rsid w:val="003B2BDA"/>
    <w:rsid w:val="003B55EC"/>
    <w:rsid w:val="003C2EA7"/>
    <w:rsid w:val="003C4471"/>
    <w:rsid w:val="003C7D41"/>
    <w:rsid w:val="003D3418"/>
    <w:rsid w:val="003D4A69"/>
    <w:rsid w:val="003E504F"/>
    <w:rsid w:val="003E78D6"/>
    <w:rsid w:val="003F63D9"/>
    <w:rsid w:val="00400573"/>
    <w:rsid w:val="004007A3"/>
    <w:rsid w:val="00406D71"/>
    <w:rsid w:val="00414620"/>
    <w:rsid w:val="00420579"/>
    <w:rsid w:val="004326DB"/>
    <w:rsid w:val="0043682E"/>
    <w:rsid w:val="0044664A"/>
    <w:rsid w:val="00447ECB"/>
    <w:rsid w:val="00451042"/>
    <w:rsid w:val="00461E6A"/>
    <w:rsid w:val="004623F7"/>
    <w:rsid w:val="00480F51"/>
    <w:rsid w:val="00481124"/>
    <w:rsid w:val="004815EB"/>
    <w:rsid w:val="00487569"/>
    <w:rsid w:val="00496864"/>
    <w:rsid w:val="00496920"/>
    <w:rsid w:val="004A4496"/>
    <w:rsid w:val="004B11AB"/>
    <w:rsid w:val="004B7C9A"/>
    <w:rsid w:val="004C6779"/>
    <w:rsid w:val="004C68C5"/>
    <w:rsid w:val="004C7F6A"/>
    <w:rsid w:val="004D06AD"/>
    <w:rsid w:val="004D733B"/>
    <w:rsid w:val="004E0DC4"/>
    <w:rsid w:val="004E0FB5"/>
    <w:rsid w:val="004E43BB"/>
    <w:rsid w:val="004E460D"/>
    <w:rsid w:val="004F0210"/>
    <w:rsid w:val="004F178E"/>
    <w:rsid w:val="004F4543"/>
    <w:rsid w:val="004F57BB"/>
    <w:rsid w:val="004F7552"/>
    <w:rsid w:val="00505309"/>
    <w:rsid w:val="0050789B"/>
    <w:rsid w:val="00511131"/>
    <w:rsid w:val="005224A1"/>
    <w:rsid w:val="00522C90"/>
    <w:rsid w:val="00534372"/>
    <w:rsid w:val="00540A53"/>
    <w:rsid w:val="00541D1A"/>
    <w:rsid w:val="00543DF8"/>
    <w:rsid w:val="00546101"/>
    <w:rsid w:val="00552564"/>
    <w:rsid w:val="00552CB1"/>
    <w:rsid w:val="00553DD7"/>
    <w:rsid w:val="005638CF"/>
    <w:rsid w:val="0056741E"/>
    <w:rsid w:val="0057325A"/>
    <w:rsid w:val="0057469A"/>
    <w:rsid w:val="00580814"/>
    <w:rsid w:val="00583A0B"/>
    <w:rsid w:val="005A03A3"/>
    <w:rsid w:val="005A2B92"/>
    <w:rsid w:val="005A3F66"/>
    <w:rsid w:val="005A79E9"/>
    <w:rsid w:val="005B214C"/>
    <w:rsid w:val="005B4CDA"/>
    <w:rsid w:val="005B4FB4"/>
    <w:rsid w:val="005D04E6"/>
    <w:rsid w:val="005D3669"/>
    <w:rsid w:val="005D3ED9"/>
    <w:rsid w:val="005D4863"/>
    <w:rsid w:val="005E40E5"/>
    <w:rsid w:val="005E5C29"/>
    <w:rsid w:val="005E5EB3"/>
    <w:rsid w:val="005F3CB6"/>
    <w:rsid w:val="005F657C"/>
    <w:rsid w:val="00601F3C"/>
    <w:rsid w:val="00602D53"/>
    <w:rsid w:val="006047E5"/>
    <w:rsid w:val="00606E27"/>
    <w:rsid w:val="0061421D"/>
    <w:rsid w:val="00623324"/>
    <w:rsid w:val="00636B78"/>
    <w:rsid w:val="0064371D"/>
    <w:rsid w:val="00650543"/>
    <w:rsid w:val="00650B2A"/>
    <w:rsid w:val="00651777"/>
    <w:rsid w:val="006550F8"/>
    <w:rsid w:val="00657B65"/>
    <w:rsid w:val="00665E46"/>
    <w:rsid w:val="00670B6A"/>
    <w:rsid w:val="00674176"/>
    <w:rsid w:val="006829F3"/>
    <w:rsid w:val="006840F6"/>
    <w:rsid w:val="006972A3"/>
    <w:rsid w:val="006A518B"/>
    <w:rsid w:val="006B02A9"/>
    <w:rsid w:val="006B0590"/>
    <w:rsid w:val="006B49DA"/>
    <w:rsid w:val="006C53F8"/>
    <w:rsid w:val="006C7CDE"/>
    <w:rsid w:val="006F7067"/>
    <w:rsid w:val="00713FAF"/>
    <w:rsid w:val="007234B1"/>
    <w:rsid w:val="00723D08"/>
    <w:rsid w:val="007253AF"/>
    <w:rsid w:val="00725FDA"/>
    <w:rsid w:val="00727816"/>
    <w:rsid w:val="00730B9A"/>
    <w:rsid w:val="00737E92"/>
    <w:rsid w:val="00741EDC"/>
    <w:rsid w:val="00742A3F"/>
    <w:rsid w:val="00750CFA"/>
    <w:rsid w:val="00754ADC"/>
    <w:rsid w:val="007553DA"/>
    <w:rsid w:val="00755667"/>
    <w:rsid w:val="00757343"/>
    <w:rsid w:val="007616E7"/>
    <w:rsid w:val="0077158A"/>
    <w:rsid w:val="00775DB8"/>
    <w:rsid w:val="00782354"/>
    <w:rsid w:val="007830F9"/>
    <w:rsid w:val="007921A7"/>
    <w:rsid w:val="00796CD6"/>
    <w:rsid w:val="007A256C"/>
    <w:rsid w:val="007B1962"/>
    <w:rsid w:val="007B3DB1"/>
    <w:rsid w:val="007B539F"/>
    <w:rsid w:val="007D183E"/>
    <w:rsid w:val="007D43D0"/>
    <w:rsid w:val="007E1833"/>
    <w:rsid w:val="007E3F13"/>
    <w:rsid w:val="007F23F3"/>
    <w:rsid w:val="007F604B"/>
    <w:rsid w:val="007F751A"/>
    <w:rsid w:val="00800012"/>
    <w:rsid w:val="0080261F"/>
    <w:rsid w:val="00806160"/>
    <w:rsid w:val="008143A4"/>
    <w:rsid w:val="0081513E"/>
    <w:rsid w:val="00820FCE"/>
    <w:rsid w:val="00823522"/>
    <w:rsid w:val="0082608D"/>
    <w:rsid w:val="00854131"/>
    <w:rsid w:val="00855A1E"/>
    <w:rsid w:val="0085652D"/>
    <w:rsid w:val="0087694B"/>
    <w:rsid w:val="00880F4D"/>
    <w:rsid w:val="00881E48"/>
    <w:rsid w:val="008A5C50"/>
    <w:rsid w:val="008B35A3"/>
    <w:rsid w:val="008B37E1"/>
    <w:rsid w:val="008B3EC4"/>
    <w:rsid w:val="008B45F8"/>
    <w:rsid w:val="008C2E74"/>
    <w:rsid w:val="008D5409"/>
    <w:rsid w:val="008E006D"/>
    <w:rsid w:val="008E38B4"/>
    <w:rsid w:val="008F3888"/>
    <w:rsid w:val="008F4F21"/>
    <w:rsid w:val="00904D4A"/>
    <w:rsid w:val="009076D7"/>
    <w:rsid w:val="009151BA"/>
    <w:rsid w:val="0091560C"/>
    <w:rsid w:val="00925023"/>
    <w:rsid w:val="009270E2"/>
    <w:rsid w:val="009277BC"/>
    <w:rsid w:val="00927D57"/>
    <w:rsid w:val="00931A51"/>
    <w:rsid w:val="00936E1F"/>
    <w:rsid w:val="009428CF"/>
    <w:rsid w:val="0094303D"/>
    <w:rsid w:val="00947185"/>
    <w:rsid w:val="009518B3"/>
    <w:rsid w:val="0095672E"/>
    <w:rsid w:val="00963D9D"/>
    <w:rsid w:val="00975F60"/>
    <w:rsid w:val="0098013E"/>
    <w:rsid w:val="00981B54"/>
    <w:rsid w:val="009842C3"/>
    <w:rsid w:val="009843DE"/>
    <w:rsid w:val="00994441"/>
    <w:rsid w:val="00996E84"/>
    <w:rsid w:val="009A009A"/>
    <w:rsid w:val="009A6BB6"/>
    <w:rsid w:val="009B104F"/>
    <w:rsid w:val="009B3F43"/>
    <w:rsid w:val="009B5CFA"/>
    <w:rsid w:val="009C161F"/>
    <w:rsid w:val="009C3E99"/>
    <w:rsid w:val="009C56B4"/>
    <w:rsid w:val="009C6A12"/>
    <w:rsid w:val="009D084C"/>
    <w:rsid w:val="009D51A2"/>
    <w:rsid w:val="009E04A8"/>
    <w:rsid w:val="009E4AEC"/>
    <w:rsid w:val="009E5BD8"/>
    <w:rsid w:val="009E681E"/>
    <w:rsid w:val="009E6D43"/>
    <w:rsid w:val="00A119E6"/>
    <w:rsid w:val="00A20FBC"/>
    <w:rsid w:val="00A31370"/>
    <w:rsid w:val="00A34D6F"/>
    <w:rsid w:val="00A40126"/>
    <w:rsid w:val="00A41F91"/>
    <w:rsid w:val="00A63355"/>
    <w:rsid w:val="00A72D21"/>
    <w:rsid w:val="00A7596D"/>
    <w:rsid w:val="00A77CD5"/>
    <w:rsid w:val="00A8681B"/>
    <w:rsid w:val="00A963DF"/>
    <w:rsid w:val="00AA59B0"/>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5D59"/>
    <w:rsid w:val="00B579B0"/>
    <w:rsid w:val="00B57D11"/>
    <w:rsid w:val="00B649D7"/>
    <w:rsid w:val="00B7118C"/>
    <w:rsid w:val="00B81C2F"/>
    <w:rsid w:val="00B90743"/>
    <w:rsid w:val="00B90C45"/>
    <w:rsid w:val="00B933BE"/>
    <w:rsid w:val="00BA7E0A"/>
    <w:rsid w:val="00BC0EA8"/>
    <w:rsid w:val="00BC4C89"/>
    <w:rsid w:val="00BD0D89"/>
    <w:rsid w:val="00BD120D"/>
    <w:rsid w:val="00BD6738"/>
    <w:rsid w:val="00BD7E5E"/>
    <w:rsid w:val="00BE63DB"/>
    <w:rsid w:val="00BE6574"/>
    <w:rsid w:val="00BF50D9"/>
    <w:rsid w:val="00C07319"/>
    <w:rsid w:val="00C10862"/>
    <w:rsid w:val="00C16FD2"/>
    <w:rsid w:val="00C4395E"/>
    <w:rsid w:val="00C47FFD"/>
    <w:rsid w:val="00C51E92"/>
    <w:rsid w:val="00C533FE"/>
    <w:rsid w:val="00C57E2C"/>
    <w:rsid w:val="00C608B7"/>
    <w:rsid w:val="00C66F24"/>
    <w:rsid w:val="00C76D7F"/>
    <w:rsid w:val="00C813AA"/>
    <w:rsid w:val="00C9291E"/>
    <w:rsid w:val="00CA3F44"/>
    <w:rsid w:val="00CA4E58"/>
    <w:rsid w:val="00CB3771"/>
    <w:rsid w:val="00CB44BF"/>
    <w:rsid w:val="00CB5153"/>
    <w:rsid w:val="00CC29F6"/>
    <w:rsid w:val="00CE076A"/>
    <w:rsid w:val="00CE463D"/>
    <w:rsid w:val="00D00D9B"/>
    <w:rsid w:val="00D00E55"/>
    <w:rsid w:val="00D10BA0"/>
    <w:rsid w:val="00D21694"/>
    <w:rsid w:val="00D2485C"/>
    <w:rsid w:val="00D24EB5"/>
    <w:rsid w:val="00D347EC"/>
    <w:rsid w:val="00D34BDC"/>
    <w:rsid w:val="00D35AB9"/>
    <w:rsid w:val="00D41571"/>
    <w:rsid w:val="00D416A0"/>
    <w:rsid w:val="00D47672"/>
    <w:rsid w:val="00D5123C"/>
    <w:rsid w:val="00D55560"/>
    <w:rsid w:val="00D61C5A"/>
    <w:rsid w:val="00D631CE"/>
    <w:rsid w:val="00D6790C"/>
    <w:rsid w:val="00D73277"/>
    <w:rsid w:val="00D76586"/>
    <w:rsid w:val="00D82657"/>
    <w:rsid w:val="00D841EE"/>
    <w:rsid w:val="00D87E20"/>
    <w:rsid w:val="00DA16E6"/>
    <w:rsid w:val="00DA4037"/>
    <w:rsid w:val="00DA4711"/>
    <w:rsid w:val="00DD7822"/>
    <w:rsid w:val="00DE66A5"/>
    <w:rsid w:val="00DF2B50"/>
    <w:rsid w:val="00DF328D"/>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8F7"/>
    <w:rsid w:val="00E53DCE"/>
    <w:rsid w:val="00E55996"/>
    <w:rsid w:val="00E64254"/>
    <w:rsid w:val="00E67928"/>
    <w:rsid w:val="00E70FB5"/>
    <w:rsid w:val="00E76326"/>
    <w:rsid w:val="00E915AF"/>
    <w:rsid w:val="00E96415"/>
    <w:rsid w:val="00EA10E9"/>
    <w:rsid w:val="00EA15B3"/>
    <w:rsid w:val="00EA1DCA"/>
    <w:rsid w:val="00EB2358"/>
    <w:rsid w:val="00EB3EB8"/>
    <w:rsid w:val="00EC00EF"/>
    <w:rsid w:val="00EC02FE"/>
    <w:rsid w:val="00EC4A96"/>
    <w:rsid w:val="00EC606A"/>
    <w:rsid w:val="00ED20E1"/>
    <w:rsid w:val="00EE03A0"/>
    <w:rsid w:val="00F07774"/>
    <w:rsid w:val="00F33BBC"/>
    <w:rsid w:val="00F420BF"/>
    <w:rsid w:val="00F424BF"/>
    <w:rsid w:val="00F44FC3"/>
    <w:rsid w:val="00F46107"/>
    <w:rsid w:val="00F468C5"/>
    <w:rsid w:val="00F46F1F"/>
    <w:rsid w:val="00F52F39"/>
    <w:rsid w:val="00F55884"/>
    <w:rsid w:val="00F572D3"/>
    <w:rsid w:val="00F6184F"/>
    <w:rsid w:val="00F651B7"/>
    <w:rsid w:val="00F807A7"/>
    <w:rsid w:val="00F8310E"/>
    <w:rsid w:val="00F84F2C"/>
    <w:rsid w:val="00F914DD"/>
    <w:rsid w:val="00FA2358"/>
    <w:rsid w:val="00FA611E"/>
    <w:rsid w:val="00FB2592"/>
    <w:rsid w:val="00FB2810"/>
    <w:rsid w:val="00FB7A2C"/>
    <w:rsid w:val="00FC11D4"/>
    <w:rsid w:val="00FC2947"/>
    <w:rsid w:val="00FD57E1"/>
    <w:rsid w:val="00FE0818"/>
    <w:rsid w:val="00FE25D1"/>
    <w:rsid w:val="00FE6FB1"/>
    <w:rsid w:val="00FF33EF"/>
    <w:rsid w:val="00FF5FDB"/>
    <w:rsid w:val="14886708"/>
    <w:rsid w:val="34946578"/>
    <w:rsid w:val="38C759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C3376"/>
  <w15:docId w15:val="{6252D611-ABED-4CB0-A47B-267D82A2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autoRedefine/>
    <w:qFormat/>
    <w:pPr>
      <w:keepNext/>
      <w:keepLines/>
      <w:spacing w:before="600" w:line="320" w:lineRule="exact"/>
      <w:ind w:left="794" w:hanging="794"/>
      <w:outlineLvl w:val="0"/>
    </w:pPr>
    <w:rPr>
      <w:b/>
    </w:rPr>
  </w:style>
  <w:style w:type="paragraph" w:styleId="Heading2">
    <w:name w:val="heading 2"/>
    <w:basedOn w:val="Heading1"/>
    <w:next w:val="Normal"/>
    <w:autoRedefine/>
    <w:qFormat/>
    <w:pPr>
      <w:spacing w:before="360"/>
      <w:outlineLvl w:val="1"/>
    </w:pPr>
  </w:style>
  <w:style w:type="paragraph" w:styleId="Heading3">
    <w:name w:val="heading 3"/>
    <w:basedOn w:val="Heading1"/>
    <w:next w:val="Normal"/>
    <w:autoRedefine/>
    <w:qFormat/>
    <w:pPr>
      <w:spacing w:before="240"/>
      <w:outlineLvl w:val="2"/>
    </w:pPr>
  </w:style>
  <w:style w:type="paragraph" w:styleId="Heading4">
    <w:name w:val="heading 4"/>
    <w:basedOn w:val="Heading3"/>
    <w:next w:val="Normal"/>
    <w:autoRedefine/>
    <w:qFormat/>
    <w:pPr>
      <w:tabs>
        <w:tab w:val="clear" w:pos="794"/>
        <w:tab w:val="left" w:pos="1021"/>
      </w:tabs>
      <w:ind w:left="1021" w:hanging="1021"/>
      <w:outlineLvl w:val="3"/>
    </w:pPr>
  </w:style>
  <w:style w:type="paragraph" w:styleId="Heading5">
    <w:name w:val="heading 5"/>
    <w:basedOn w:val="Heading4"/>
    <w:next w:val="Normal"/>
    <w:autoRedefine/>
    <w:qFormat/>
    <w:pPr>
      <w:outlineLvl w:val="4"/>
    </w:pPr>
  </w:style>
  <w:style w:type="paragraph" w:styleId="Heading6">
    <w:name w:val="heading 6"/>
    <w:basedOn w:val="Heading4"/>
    <w:next w:val="Normal"/>
    <w:autoRedefine/>
    <w:qFormat/>
    <w:pPr>
      <w:tabs>
        <w:tab w:val="clear" w:pos="1021"/>
        <w:tab w:val="clear" w:pos="1191"/>
      </w:tabs>
      <w:ind w:left="1588" w:hanging="1588"/>
      <w:outlineLvl w:val="5"/>
    </w:pPr>
  </w:style>
  <w:style w:type="paragraph" w:styleId="Heading7">
    <w:name w:val="heading 7"/>
    <w:basedOn w:val="Heading6"/>
    <w:next w:val="Normal"/>
    <w:autoRedefine/>
    <w:qFormat/>
    <w:pPr>
      <w:outlineLvl w:val="6"/>
    </w:pPr>
  </w:style>
  <w:style w:type="paragraph" w:styleId="Heading8">
    <w:name w:val="heading 8"/>
    <w:basedOn w:val="Heading6"/>
    <w:next w:val="Normal"/>
    <w:autoRedefine/>
    <w:qFormat/>
    <w:pPr>
      <w:outlineLvl w:val="7"/>
    </w:pPr>
  </w:style>
  <w:style w:type="paragraph" w:styleId="Heading9">
    <w:name w:val="heading 9"/>
    <w:basedOn w:val="Heading6"/>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semiHidden/>
    <w:rPr>
      <w:sz w:val="20"/>
    </w:rPr>
  </w:style>
  <w:style w:type="paragraph" w:styleId="TOC5">
    <w:name w:val="toc 5"/>
    <w:basedOn w:val="TOC4"/>
    <w:semiHidden/>
  </w:style>
  <w:style w:type="paragraph" w:styleId="PlainText">
    <w:name w:val="Plain Text"/>
    <w:basedOn w:val="Normal"/>
    <w:link w:val="PlainTextChar"/>
    <w:autoRedefine/>
    <w:uiPriority w:val="99"/>
    <w:unhideWhenUsed/>
    <w:qFormat/>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paragraph" w:styleId="TOC8">
    <w:name w:val="toc 8"/>
    <w:basedOn w:val="TOC4"/>
    <w:semiHidden/>
  </w:style>
  <w:style w:type="paragraph" w:styleId="Index3">
    <w:name w:val="index 3"/>
    <w:basedOn w:val="Normal"/>
    <w:next w:val="Normal"/>
    <w:semiHidden/>
    <w:pPr>
      <w:ind w:left="567"/>
      <w:jc w:val="left"/>
    </w:pPr>
  </w:style>
  <w:style w:type="paragraph" w:styleId="BalloonText">
    <w:name w:val="Balloon Text"/>
    <w:basedOn w:val="Normal"/>
    <w:link w:val="BalloonTextChar"/>
    <w:autoRedefine/>
    <w:qFormat/>
    <w:pPr>
      <w:spacing w:before="0" w:line="240" w:lineRule="auto"/>
    </w:pPr>
    <w:rPr>
      <w:rFonts w:ascii="Tahoma" w:hAnsi="Tahoma" w:cs="Tahoma"/>
      <w:sz w:val="16"/>
      <w:szCs w:val="16"/>
    </w:rPr>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line="240" w:lineRule="exact"/>
    </w:pPr>
    <w:rPr>
      <w:sz w:val="20"/>
    </w:rPr>
  </w:style>
  <w:style w:type="paragraph" w:styleId="TOC6">
    <w:name w:val="toc 6"/>
    <w:basedOn w:val="TOC4"/>
    <w:semiHidden/>
  </w:style>
  <w:style w:type="paragraph" w:styleId="TOC9">
    <w:name w:val="toc 9"/>
    <w:basedOn w:val="TOC3"/>
    <w:semiHidden/>
  </w:style>
  <w:style w:type="paragraph" w:styleId="Index1">
    <w:name w:val="index 1"/>
    <w:basedOn w:val="Normal"/>
    <w:next w:val="Normal"/>
    <w:semiHidden/>
    <w:pPr>
      <w:jc w:val="left"/>
    </w:pPr>
  </w:style>
  <w:style w:type="paragraph" w:styleId="Index2">
    <w:name w:val="index 2"/>
    <w:basedOn w:val="Normal"/>
    <w:next w:val="Normal"/>
    <w:semiHidden/>
    <w:pPr>
      <w:ind w:left="284"/>
      <w:jc w:val="left"/>
    </w:p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qFormat/>
    <w:rPr>
      <w:b/>
      <w:bCs/>
    </w:rPr>
  </w:style>
  <w:style w:type="character" w:styleId="PageNumber">
    <w:name w:val="page number"/>
    <w:basedOn w:val="DefaultParagraphFont"/>
  </w:style>
  <w:style w:type="character" w:styleId="FollowedHyperlink">
    <w:name w:val="FollowedHyperlink"/>
    <w:basedOn w:val="DefaultParagraphFont"/>
    <w:autoRedefine/>
    <w:semiHidden/>
    <w:unhideWhenUsed/>
    <w:qFormat/>
    <w:rPr>
      <w:color w:val="800080" w:themeColor="followedHyperlink"/>
      <w:u w:val="single"/>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semiHidden/>
    <w:rPr>
      <w:position w:val="6"/>
      <w:sz w:val="1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val="fr-FR" w:eastAsia="en-US"/>
    </w:rPr>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pPr>
      <w:spacing w:before="400"/>
    </w:pPr>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customStyle="1" w:styleId="href">
    <w:name w:val="href"/>
    <w:basedOn w:val="DefaultParagraphFont"/>
    <w:autoRedefine/>
  </w:style>
  <w:style w:type="paragraph" w:customStyle="1" w:styleId="NormalIndent">
    <w:name w:val="Normal_Indent"/>
    <w:basedOn w:val="Normal"/>
    <w:autoRedefine/>
    <w:qFormat/>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autoRedefine/>
    <w:qFormat/>
    <w:pPr>
      <w:spacing w:before="600" w:line="312" w:lineRule="auto"/>
      <w:jc w:val="left"/>
    </w:pPr>
    <w:rPr>
      <w:rFonts w:ascii="Arial" w:eastAsia="SimSun" w:hAnsi="Arial" w:cs="Simplified Arabic"/>
      <w:b/>
      <w:color w:val="808080"/>
      <w:sz w:val="26"/>
      <w:lang w:val="en-GB"/>
    </w:rPr>
  </w:style>
  <w:style w:type="character" w:customStyle="1" w:styleId="BalloonTextChar">
    <w:name w:val="Balloon Text Char"/>
    <w:basedOn w:val="DefaultParagraphFont"/>
    <w:link w:val="BalloonText"/>
    <w:autoRedefine/>
    <w:qFormat/>
    <w:rPr>
      <w:rFonts w:ascii="Tahoma" w:hAnsi="Tahoma" w:cs="Tahoma"/>
      <w:sz w:val="16"/>
      <w:szCs w:val="16"/>
      <w:lang w:val="en-US" w:eastAsia="en-US"/>
    </w:rPr>
  </w:style>
  <w:style w:type="character" w:customStyle="1" w:styleId="PlainTextChar">
    <w:name w:val="Plain Text Char"/>
    <w:basedOn w:val="DefaultParagraphFont"/>
    <w:link w:val="PlainText"/>
    <w:autoRedefine/>
    <w:uiPriority w:val="99"/>
    <w:qFormat/>
    <w:rPr>
      <w:rFonts w:eastAsia="SimSun"/>
      <w:sz w:val="22"/>
      <w:szCs w:val="22"/>
      <w:lang w:val="en-US"/>
    </w:rPr>
  </w:style>
  <w:style w:type="paragraph" w:customStyle="1" w:styleId="FromRef">
    <w:name w:val="FromRef"/>
    <w:basedOn w:val="Normal"/>
    <w:autoRedefine/>
    <w:uiPriority w:val="99"/>
    <w:qFormat/>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autoRedefine/>
    <w:uiPriority w:val="99"/>
    <w:qFormat/>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styleId="ListParagraph">
    <w:name w:val="List Paragraph"/>
    <w:basedOn w:val="Normal"/>
    <w:autoRedefine/>
    <w:uiPriority w:val="34"/>
    <w:qFormat/>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autoRedefine/>
    <w:qFormat/>
    <w:rPr>
      <w:sz w:val="24"/>
      <w:szCs w:val="22"/>
      <w:lang w:val="en-US" w:eastAsia="en-US"/>
    </w:rPr>
  </w:style>
  <w:style w:type="paragraph" w:customStyle="1" w:styleId="TableText0">
    <w:name w:val="Table_Text"/>
    <w:basedOn w:val="Normal"/>
    <w:autoRedefine/>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 w:type="paragraph" w:customStyle="1" w:styleId="Reasons">
    <w:name w:val="Reasons"/>
    <w:basedOn w:val="Normal"/>
    <w:autoRedefine/>
    <w:qFormat/>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baec5a81-e4d6-4674-97f3-e9220f0136c1">
    <w:name w:val="baec5a81-e4d6-4674-97f3-e9220f0136c1"/>
    <w:basedOn w:val="DefaultParagraphFont"/>
    <w:autoRedefine/>
    <w:qFormat/>
  </w:style>
  <w:style w:type="character" w:customStyle="1" w:styleId="1">
    <w:name w:val="未处理的提及1"/>
    <w:basedOn w:val="DefaultParagraphFont"/>
    <w:autoRedefine/>
    <w:uiPriority w:val="99"/>
    <w:semiHidden/>
    <w:unhideWhenUsed/>
    <w:qFormat/>
    <w:rPr>
      <w:color w:val="605E5C"/>
      <w:shd w:val="clear" w:color="auto" w:fill="E1DFDD"/>
    </w:rPr>
  </w:style>
  <w:style w:type="character" w:customStyle="1" w:styleId="FootnoteTextChar">
    <w:name w:val="Footnote Text Char"/>
    <w:basedOn w:val="DefaultParagraphFont"/>
    <w:link w:val="FootnoteText"/>
    <w:autoRedefine/>
    <w:semiHidden/>
    <w:qFormat/>
    <w:rPr>
      <w:szCs w:val="22"/>
      <w:lang w:val="en-US" w:eastAsia="en-US"/>
    </w:rPr>
  </w:style>
  <w:style w:type="character" w:customStyle="1" w:styleId="TabletextChar">
    <w:name w:val="Table_text Char"/>
    <w:link w:val="Tabletext"/>
    <w:autoRedefine/>
    <w:uiPriority w:val="99"/>
    <w:qFormat/>
    <w:locked/>
    <w:rPr>
      <w:szCs w:val="22"/>
      <w:lang w:val="en-US" w:eastAsia="en-US"/>
    </w:rPr>
  </w:style>
  <w:style w:type="character" w:customStyle="1" w:styleId="TableheadChar">
    <w:name w:val="Table_head Char"/>
    <w:basedOn w:val="DefaultParagraphFont"/>
    <w:link w:val="Tablehead"/>
    <w:autoRedefine/>
    <w:qFormat/>
    <w:locked/>
    <w:rPr>
      <w:b/>
      <w:szCs w:val="22"/>
      <w:lang w:val="en-US" w:eastAsia="en-US"/>
    </w:rPr>
  </w:style>
  <w:style w:type="character" w:customStyle="1" w:styleId="NormalaftertitleChar">
    <w:name w:val="Normal_after_title Char"/>
    <w:basedOn w:val="DefaultParagraphFont"/>
    <w:link w:val="Normalaftertitle"/>
    <w:autoRedefine/>
    <w:qFormat/>
    <w:rPr>
      <w:sz w:val="24"/>
      <w:szCs w:val="22"/>
      <w:lang w:val="en-US" w:eastAsia="en-US"/>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F7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tu.int/go/wrs-24" TargetMode="External"/><Relationship Id="rId13" Type="http://schemas.openxmlformats.org/officeDocument/2006/relationships/hyperlink" Target="mailto:fellowships@itu.i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tu.int/go/wrs-24" TargetMode="External"/><Relationship Id="rId12" Type="http://schemas.openxmlformats.org/officeDocument/2006/relationships/hyperlink" Target="https://www.itu.int/en/fellowships/Documents/2021/SO_21-02_E.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fellowships/Documents/2024/ListEligibleCountries2024.pdf" TargetMode="External"/><Relationship Id="rId5" Type="http://schemas.openxmlformats.org/officeDocument/2006/relationships/footnotes" Target="footnotes.xml"/><Relationship Id="rId15" Type="http://schemas.openxmlformats.org/officeDocument/2006/relationships/hyperlink" Target="http://www.itu.int/go/wrs-24" TargetMode="External"/><Relationship Id="rId10" Type="http://schemas.openxmlformats.org/officeDocument/2006/relationships/hyperlink" Target="mailto:ITU-R.Registrations@itu.i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en/ITU-R/information/events" TargetMode="External"/><Relationship Id="rId14" Type="http://schemas.openxmlformats.org/officeDocument/2006/relationships/hyperlink" Target="https://www.itu.int/en/ITU-R/information/events/Pages/Fellowships.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E279-0B5A-45AE-BBDD-29AC4C6D7E3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1753</Words>
  <Characters>1075</Characters>
  <Application>Microsoft Office Word</Application>
  <DocSecurity>0</DocSecurity>
  <Lines>8</Lines>
  <Paragraphs>5</Paragraphs>
  <ScaleCrop>false</ScaleCrop>
  <Company>ITU</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 Ziqian</dc:creator>
  <cp:lastModifiedBy>Bonnici, Adrienne</cp:lastModifiedBy>
  <cp:revision>4</cp:revision>
  <cp:lastPrinted>2013-03-08T10:15:00Z</cp:lastPrinted>
  <dcterms:created xsi:type="dcterms:W3CDTF">2024-06-04T12:57:00Z</dcterms:created>
  <dcterms:modified xsi:type="dcterms:W3CDTF">2024-06-17T07:43:00Z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KSOProductBuildVer">
    <vt:lpwstr>2052-12.1.0.16729</vt:lpwstr>
  </property>
  <property fmtid="{D5CDD505-2E9C-101B-9397-08002B2CF9AE}" pid="11" name="ICV">
    <vt:lpwstr>7026FFDC10F44D64BF14E4E7B1DE8322_12</vt:lpwstr>
  </property>
</Properties>
</file>