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A24532" w:rsidRPr="00D35752" w:rsidTr="005708B6">
        <w:tc>
          <w:tcPr>
            <w:tcW w:w="8755" w:type="dxa"/>
            <w:vAlign w:val="center"/>
          </w:tcPr>
          <w:p w:rsidR="00A24532" w:rsidRPr="00D35752" w:rsidRDefault="00A24532" w:rsidP="005708B6">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A24532" w:rsidRPr="00D35752" w:rsidRDefault="00A24532" w:rsidP="005708B6">
            <w:pPr>
              <w:spacing w:before="0"/>
              <w:jc w:val="right"/>
            </w:pPr>
            <w:r>
              <w:rPr>
                <w:noProof/>
                <w:lang w:val="en-US" w:eastAsia="zh-CN"/>
              </w:rPr>
              <w:drawing>
                <wp:inline distT="0" distB="0" distL="0" distR="0" wp14:anchorId="7E41E725" wp14:editId="414D743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A24532" w:rsidTr="005708B6">
        <w:trPr>
          <w:cantSplit/>
        </w:trPr>
        <w:tc>
          <w:tcPr>
            <w:tcW w:w="5075" w:type="dxa"/>
          </w:tcPr>
          <w:p w:rsidR="00A24532" w:rsidRDefault="00A24532" w:rsidP="005708B6">
            <w:pPr>
              <w:rPr>
                <w:b/>
                <w:smallCaps/>
                <w:sz w:val="20"/>
              </w:rPr>
            </w:pPr>
            <w:r>
              <w:rPr>
                <w:i/>
                <w:sz w:val="28"/>
              </w:rPr>
              <w:t>Bureau des radiocommunications</w:t>
            </w:r>
          </w:p>
          <w:p w:rsidR="00A24532" w:rsidRDefault="00A24532" w:rsidP="005708B6">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A24532" w:rsidRDefault="00A24532" w:rsidP="00A24532">
      <w:pPr>
        <w:tabs>
          <w:tab w:val="left" w:pos="7513"/>
        </w:tabs>
      </w:pPr>
    </w:p>
    <w:p w:rsidR="00340A5F" w:rsidRDefault="00340A5F" w:rsidP="00A24532">
      <w:pPr>
        <w:tabs>
          <w:tab w:val="left" w:pos="7513"/>
        </w:tabs>
      </w:pPr>
    </w:p>
    <w:tbl>
      <w:tblPr>
        <w:tblW w:w="10020" w:type="dxa"/>
        <w:tblLayout w:type="fixed"/>
        <w:tblLook w:val="0000" w:firstRow="0" w:lastRow="0" w:firstColumn="0" w:lastColumn="0" w:noHBand="0" w:noVBand="0"/>
      </w:tblPr>
      <w:tblGrid>
        <w:gridCol w:w="3652"/>
        <w:gridCol w:w="6368"/>
      </w:tblGrid>
      <w:tr w:rsidR="00B87E04" w:rsidRPr="004A2432" w:rsidTr="00187416">
        <w:trPr>
          <w:cantSplit/>
        </w:trPr>
        <w:tc>
          <w:tcPr>
            <w:tcW w:w="3652" w:type="dxa"/>
          </w:tcPr>
          <w:p w:rsidR="00B87E04" w:rsidRPr="004A2432" w:rsidRDefault="00ED2214" w:rsidP="00BA10B3">
            <w:pPr>
              <w:tabs>
                <w:tab w:val="left" w:pos="7513"/>
              </w:tabs>
              <w:jc w:val="center"/>
              <w:rPr>
                <w:b/>
              </w:rPr>
            </w:pPr>
            <w:bookmarkStart w:id="0" w:name="dletter"/>
            <w:bookmarkEnd w:id="0"/>
            <w:r w:rsidRPr="004A2432">
              <w:rPr>
                <w:b/>
              </w:rPr>
              <w:t>Circulaire administrative</w:t>
            </w:r>
          </w:p>
          <w:p w:rsidR="0071106C" w:rsidRPr="004A2432" w:rsidRDefault="00187416" w:rsidP="005708B6">
            <w:pPr>
              <w:tabs>
                <w:tab w:val="clear" w:pos="794"/>
                <w:tab w:val="clear" w:pos="1191"/>
                <w:tab w:val="clear" w:pos="1588"/>
              </w:tabs>
              <w:spacing w:before="0"/>
              <w:jc w:val="center"/>
              <w:rPr>
                <w:b/>
                <w:bCs/>
              </w:rPr>
            </w:pPr>
            <w:bookmarkStart w:id="1" w:name="dnum"/>
            <w:bookmarkEnd w:id="1"/>
            <w:r w:rsidRPr="004A2432">
              <w:rPr>
                <w:b/>
                <w:bCs/>
              </w:rPr>
              <w:t>CACE/</w:t>
            </w:r>
            <w:r w:rsidR="005708B6">
              <w:rPr>
                <w:b/>
                <w:bCs/>
              </w:rPr>
              <w:t>582</w:t>
            </w:r>
          </w:p>
        </w:tc>
        <w:tc>
          <w:tcPr>
            <w:tcW w:w="6368" w:type="dxa"/>
          </w:tcPr>
          <w:p w:rsidR="00B87E04" w:rsidRPr="004A2432" w:rsidRDefault="00AA1FE1" w:rsidP="005708B6">
            <w:pPr>
              <w:tabs>
                <w:tab w:val="left" w:pos="7513"/>
              </w:tabs>
              <w:jc w:val="right"/>
              <w:rPr>
                <w:bCs/>
              </w:rPr>
            </w:pPr>
            <w:bookmarkStart w:id="2" w:name="ddate"/>
            <w:bookmarkEnd w:id="2"/>
            <w:r>
              <w:rPr>
                <w:bCs/>
              </w:rPr>
              <w:t xml:space="preserve">Le </w:t>
            </w:r>
            <w:r w:rsidR="005708B6">
              <w:rPr>
                <w:bCs/>
              </w:rPr>
              <w:t>17</w:t>
            </w:r>
            <w:r w:rsidR="004A2432">
              <w:rPr>
                <w:bCs/>
              </w:rPr>
              <w:t xml:space="preserve"> </w:t>
            </w:r>
            <w:r w:rsidR="00340A5F">
              <w:rPr>
                <w:bCs/>
              </w:rPr>
              <w:t>aoû</w:t>
            </w:r>
            <w:r w:rsidR="005708B6">
              <w:rPr>
                <w:bCs/>
              </w:rPr>
              <w:t>t</w:t>
            </w:r>
            <w:r w:rsidR="00187416" w:rsidRPr="004A2432">
              <w:rPr>
                <w:bCs/>
              </w:rPr>
              <w:t xml:space="preserve"> 2012</w:t>
            </w:r>
          </w:p>
        </w:tc>
      </w:tr>
    </w:tbl>
    <w:p w:rsidR="000D290C" w:rsidRPr="004A2432" w:rsidRDefault="000D290C" w:rsidP="00340A5F">
      <w:pPr>
        <w:tabs>
          <w:tab w:val="left" w:pos="7513"/>
        </w:tabs>
        <w:spacing w:before="480"/>
        <w:jc w:val="center"/>
        <w:rPr>
          <w:b/>
          <w:szCs w:val="24"/>
        </w:rPr>
      </w:pPr>
      <w:r w:rsidRPr="004A2432">
        <w:rPr>
          <w:b/>
        </w:rPr>
        <w:t xml:space="preserve">Aux Administrations des Etats Membres de l'UIT, aux Membres du Secteur des radiocommunications, </w:t>
      </w:r>
      <w:r w:rsidRPr="004A2432">
        <w:rPr>
          <w:b/>
          <w:bCs/>
        </w:rPr>
        <w:t>aux</w:t>
      </w:r>
      <w:r w:rsidRPr="004A2432">
        <w:rPr>
          <w:b/>
        </w:rPr>
        <w:t xml:space="preserve"> </w:t>
      </w:r>
      <w:r w:rsidRPr="004A2432">
        <w:rPr>
          <w:b/>
          <w:bCs/>
        </w:rPr>
        <w:t>Associés de l'UIT</w:t>
      </w:r>
      <w:r w:rsidRPr="004A2432">
        <w:rPr>
          <w:b/>
          <w:bCs/>
        </w:rPr>
        <w:noBreakHyphen/>
        <w:t>R</w:t>
      </w:r>
      <w:r w:rsidRPr="004A2432">
        <w:rPr>
          <w:b/>
        </w:rPr>
        <w:t xml:space="preserve"> participant aux tra</w:t>
      </w:r>
      <w:r w:rsidR="006F5ED2" w:rsidRPr="004A2432">
        <w:rPr>
          <w:b/>
        </w:rPr>
        <w:t>vaux</w:t>
      </w:r>
      <w:r w:rsidR="006F5ED2" w:rsidRPr="004A2432">
        <w:rPr>
          <w:b/>
        </w:rPr>
        <w:br/>
        <w:t>de la Commission d'études </w:t>
      </w:r>
      <w:r w:rsidR="00340A5F">
        <w:rPr>
          <w:b/>
        </w:rPr>
        <w:t>7</w:t>
      </w:r>
      <w:r w:rsidRPr="004A2432">
        <w:rPr>
          <w:b/>
        </w:rPr>
        <w:t xml:space="preserve"> des radiocommunications</w:t>
      </w:r>
      <w:r w:rsidRPr="004A2432">
        <w:rPr>
          <w:b/>
        </w:rPr>
        <w:br/>
        <w:t xml:space="preserve">et </w:t>
      </w:r>
      <w:r w:rsidRPr="004A2432">
        <w:rPr>
          <w:b/>
          <w:szCs w:val="24"/>
        </w:rPr>
        <w:t xml:space="preserve">aux </w:t>
      </w:r>
      <w:r w:rsidR="00A5513E">
        <w:rPr>
          <w:b/>
          <w:szCs w:val="24"/>
        </w:rPr>
        <w:t>E</w:t>
      </w:r>
      <w:r w:rsidRPr="004A2432">
        <w:rPr>
          <w:b/>
          <w:szCs w:val="24"/>
        </w:rPr>
        <w:t>tablissements universitaires de l</w:t>
      </w:r>
      <w:r w:rsidR="00A5513E">
        <w:rPr>
          <w:b/>
          <w:szCs w:val="24"/>
        </w:rPr>
        <w:t>'</w:t>
      </w:r>
      <w:r w:rsidRPr="004A2432">
        <w:rPr>
          <w:b/>
          <w:szCs w:val="24"/>
        </w:rPr>
        <w:t>UIT-R</w:t>
      </w:r>
    </w:p>
    <w:p w:rsidR="00187416" w:rsidRDefault="000D290C" w:rsidP="00340A5F">
      <w:pPr>
        <w:tabs>
          <w:tab w:val="clear" w:pos="794"/>
          <w:tab w:val="clear" w:pos="1191"/>
          <w:tab w:val="clear" w:pos="1588"/>
          <w:tab w:val="clear" w:pos="1985"/>
          <w:tab w:val="left" w:pos="709"/>
        </w:tabs>
        <w:spacing w:before="600"/>
        <w:ind w:left="1418" w:hanging="1418"/>
        <w:rPr>
          <w:b/>
          <w:bCs/>
        </w:rPr>
      </w:pPr>
      <w:r w:rsidRPr="004A2432">
        <w:rPr>
          <w:b/>
        </w:rPr>
        <w:t>Objet</w:t>
      </w:r>
      <w:r w:rsidR="00187416" w:rsidRPr="004A2432">
        <w:t>:</w:t>
      </w:r>
      <w:r w:rsidR="00187416" w:rsidRPr="004A2432">
        <w:tab/>
      </w:r>
      <w:r w:rsidR="00340A5F">
        <w:tab/>
      </w:r>
      <w:r w:rsidR="006F560E" w:rsidRPr="004A2432">
        <w:rPr>
          <w:b/>
          <w:bCs/>
        </w:rPr>
        <w:t xml:space="preserve">Commission </w:t>
      </w:r>
      <w:r w:rsidR="0008071D" w:rsidRPr="004A2432">
        <w:rPr>
          <w:b/>
          <w:bCs/>
        </w:rPr>
        <w:t xml:space="preserve">d'études </w:t>
      </w:r>
      <w:r w:rsidR="00340A5F">
        <w:rPr>
          <w:b/>
          <w:bCs/>
        </w:rPr>
        <w:t>7</w:t>
      </w:r>
      <w:r w:rsidR="0008071D" w:rsidRPr="004A2432">
        <w:rPr>
          <w:b/>
          <w:bCs/>
        </w:rPr>
        <w:t xml:space="preserve"> </w:t>
      </w:r>
      <w:r w:rsidR="006F560E" w:rsidRPr="004A2432">
        <w:rPr>
          <w:b/>
          <w:bCs/>
        </w:rPr>
        <w:t>des radiocommunicat</w:t>
      </w:r>
      <w:r w:rsidR="0008071D" w:rsidRPr="004A2432">
        <w:rPr>
          <w:b/>
          <w:bCs/>
        </w:rPr>
        <w:t>ions</w:t>
      </w:r>
      <w:r w:rsidR="00340A5F">
        <w:rPr>
          <w:b/>
          <w:bCs/>
        </w:rPr>
        <w:t xml:space="preserve"> (Services scientifiques)</w:t>
      </w:r>
    </w:p>
    <w:p w:rsidR="00A5513E" w:rsidRDefault="00A5513E" w:rsidP="00547FCB">
      <w:pPr>
        <w:tabs>
          <w:tab w:val="clear" w:pos="794"/>
          <w:tab w:val="clear" w:pos="1191"/>
          <w:tab w:val="clear" w:pos="1588"/>
          <w:tab w:val="clear" w:pos="1985"/>
          <w:tab w:val="left" w:pos="1418"/>
        </w:tabs>
        <w:ind w:left="2160" w:hanging="2160"/>
        <w:rPr>
          <w:b/>
          <w:bCs/>
        </w:rPr>
      </w:pPr>
      <w:r>
        <w:rPr>
          <w:b/>
          <w:bCs/>
        </w:rPr>
        <w:tab/>
      </w:r>
      <w:r w:rsidRPr="004A2432">
        <w:rPr>
          <w:b/>
          <w:bCs/>
        </w:rPr>
        <w:t>–</w:t>
      </w:r>
      <w:r w:rsidRPr="004A2432">
        <w:rPr>
          <w:b/>
          <w:bCs/>
        </w:rPr>
        <w:tab/>
        <w:t>Proposition d'appro</w:t>
      </w:r>
      <w:r w:rsidR="00DD76CE">
        <w:rPr>
          <w:b/>
          <w:bCs/>
        </w:rPr>
        <w:t>bation d’un</w:t>
      </w:r>
      <w:r w:rsidRPr="004A2432">
        <w:rPr>
          <w:b/>
          <w:bCs/>
        </w:rPr>
        <w:t xml:space="preserve"> projet de nouvelle Question UIT-R </w:t>
      </w:r>
    </w:p>
    <w:p w:rsidR="00A5513E" w:rsidRPr="004A2432" w:rsidRDefault="00A5513E" w:rsidP="00DD76CE">
      <w:pPr>
        <w:tabs>
          <w:tab w:val="clear" w:pos="794"/>
          <w:tab w:val="clear" w:pos="1191"/>
          <w:tab w:val="clear" w:pos="1588"/>
          <w:tab w:val="clear" w:pos="1985"/>
          <w:tab w:val="left" w:pos="709"/>
        </w:tabs>
        <w:ind w:left="1418" w:hanging="1418"/>
        <w:rPr>
          <w:b/>
          <w:bCs/>
        </w:rPr>
      </w:pPr>
      <w:r>
        <w:rPr>
          <w:b/>
        </w:rPr>
        <w:tab/>
      </w:r>
      <w:r w:rsidR="00340A5F">
        <w:rPr>
          <w:b/>
        </w:rPr>
        <w:tab/>
      </w:r>
      <w:r w:rsidRPr="004A2432">
        <w:rPr>
          <w:b/>
        </w:rPr>
        <w:t>–</w:t>
      </w:r>
      <w:r w:rsidRPr="004A2432">
        <w:rPr>
          <w:b/>
        </w:rPr>
        <w:tab/>
        <w:t xml:space="preserve">Proposition de suppression de </w:t>
      </w:r>
      <w:r w:rsidR="00DD76CE">
        <w:rPr>
          <w:b/>
        </w:rPr>
        <w:t>trois</w:t>
      </w:r>
      <w:r w:rsidRPr="004A2432">
        <w:rPr>
          <w:b/>
        </w:rPr>
        <w:t xml:space="preserve"> Questions UIT-R</w:t>
      </w:r>
    </w:p>
    <w:p w:rsidR="005708B6" w:rsidRDefault="005708B6" w:rsidP="005708B6"/>
    <w:p w:rsidR="00B51075" w:rsidRPr="004A2432" w:rsidRDefault="00B51075" w:rsidP="009E13CF">
      <w:pPr>
        <w:spacing w:before="240"/>
      </w:pPr>
      <w:r w:rsidRPr="004A2432">
        <w:t xml:space="preserve">A sa réunion tenue </w:t>
      </w:r>
      <w:r w:rsidR="009B2FC8" w:rsidRPr="004A2432">
        <w:t xml:space="preserve">du </w:t>
      </w:r>
      <w:r w:rsidR="00DD76CE">
        <w:t>8</w:t>
      </w:r>
      <w:r w:rsidR="009B2FC8" w:rsidRPr="004A2432">
        <w:t xml:space="preserve"> au </w:t>
      </w:r>
      <w:r w:rsidR="00DD76CE">
        <w:t>9</w:t>
      </w:r>
      <w:r w:rsidR="009B2FC8" w:rsidRPr="004A2432">
        <w:t xml:space="preserve"> </w:t>
      </w:r>
      <w:r w:rsidR="00DD76CE">
        <w:t>mai</w:t>
      </w:r>
      <w:r w:rsidR="009B2FC8" w:rsidRPr="004A2432">
        <w:t xml:space="preserve"> 2012, la Commission d'études </w:t>
      </w:r>
      <w:r w:rsidR="00DD76CE">
        <w:t>7</w:t>
      </w:r>
      <w:r w:rsidRPr="004A2432">
        <w:t xml:space="preserve"> des radiocommunications a décidé de deman</w:t>
      </w:r>
      <w:r w:rsidR="00DD76CE">
        <w:t xml:space="preserve">der l'adoption d’un </w:t>
      </w:r>
      <w:r w:rsidRPr="004A2432">
        <w:t xml:space="preserve">projet de nouvelle </w:t>
      </w:r>
      <w:r w:rsidR="009B2FC8" w:rsidRPr="004A2432">
        <w:t xml:space="preserve">Question </w:t>
      </w:r>
      <w:r w:rsidR="00F0042F">
        <w:rPr>
          <w:lang w:val="fr-CH"/>
        </w:rPr>
        <w:t>par correspondance</w:t>
      </w:r>
      <w:r w:rsidR="00902843" w:rsidRPr="004A2432">
        <w:t>, conformément au §</w:t>
      </w:r>
      <w:r w:rsidR="00E96A3B" w:rsidRPr="004A2432">
        <w:t xml:space="preserve"> 3.1.2 de la Résolution UIT-R 1-6</w:t>
      </w:r>
      <w:r w:rsidRPr="004A2432">
        <w:t xml:space="preserve">. Par ailleurs, la </w:t>
      </w:r>
      <w:r w:rsidRPr="004A2432">
        <w:rPr>
          <w:lang w:eastAsia="ko-KR"/>
        </w:rPr>
        <w:t>Commission d'études</w:t>
      </w:r>
      <w:r w:rsidRPr="004A2432">
        <w:t xml:space="preserve"> a proposé la suppression de </w:t>
      </w:r>
      <w:r w:rsidR="00DD76CE">
        <w:t>trois</w:t>
      </w:r>
      <w:r w:rsidR="004F4CBB" w:rsidRPr="004A2432">
        <w:t xml:space="preserve"> Questions UIT-R </w:t>
      </w:r>
      <w:r w:rsidR="005620D4" w:rsidRPr="004A2432">
        <w:t>conformément à la Résolution UIT-</w:t>
      </w:r>
      <w:r w:rsidR="009E13CF">
        <w:t>R</w:t>
      </w:r>
      <w:r w:rsidR="005620D4" w:rsidRPr="004A2432">
        <w:t xml:space="preserve"> 1-6 (§ 3.6)</w:t>
      </w:r>
      <w:r w:rsidRPr="004A2432">
        <w:t>.</w:t>
      </w:r>
    </w:p>
    <w:p w:rsidR="00187416" w:rsidRPr="004A2432" w:rsidRDefault="00BA10B3" w:rsidP="007C4525">
      <w:r w:rsidRPr="004A2432">
        <w:t>Comme indiqué dans la Circulaire administrative CAC</w:t>
      </w:r>
      <w:r w:rsidR="00B049C5">
        <w:t>E</w:t>
      </w:r>
      <w:r w:rsidRPr="004A2432">
        <w:t>/</w:t>
      </w:r>
      <w:r w:rsidR="00DD76CE">
        <w:t>572</w:t>
      </w:r>
      <w:r w:rsidRPr="004A2432">
        <w:t xml:space="preserve"> en date du </w:t>
      </w:r>
      <w:r w:rsidR="00DD76CE">
        <w:t>1</w:t>
      </w:r>
      <w:r w:rsidRPr="004A2432">
        <w:t xml:space="preserve"> </w:t>
      </w:r>
      <w:r w:rsidR="00DD76CE">
        <w:t>juin</w:t>
      </w:r>
      <w:r w:rsidRPr="004A2432">
        <w:t xml:space="preserve"> 2012, la période de consultation pour </w:t>
      </w:r>
      <w:r w:rsidR="007C4525">
        <w:t>la</w:t>
      </w:r>
      <w:r w:rsidRPr="004A2432">
        <w:t xml:space="preserve"> Question a pris fin le </w:t>
      </w:r>
      <w:r w:rsidR="00DD76CE">
        <w:t>1 août</w:t>
      </w:r>
      <w:r w:rsidRPr="004A2432">
        <w:t xml:space="preserve"> 2012.</w:t>
      </w:r>
    </w:p>
    <w:p w:rsidR="00BA10B3" w:rsidRPr="004A2432" w:rsidRDefault="00DD76CE" w:rsidP="001B363D">
      <w:r>
        <w:t>L</w:t>
      </w:r>
      <w:r w:rsidR="001B363D">
        <w:t>a</w:t>
      </w:r>
      <w:r>
        <w:t xml:space="preserve"> Question </w:t>
      </w:r>
      <w:r w:rsidR="001B363D">
        <w:t>a</w:t>
      </w:r>
      <w:r w:rsidR="00BA10B3" w:rsidRPr="004A2432">
        <w:t xml:space="preserve"> maintenant été </w:t>
      </w:r>
      <w:r w:rsidR="004A2432" w:rsidRPr="004A2432">
        <w:t>adoptée</w:t>
      </w:r>
      <w:r w:rsidR="00BA10B3" w:rsidRPr="004A2432">
        <w:t xml:space="preserve"> par la Commission d'études </w:t>
      </w:r>
      <w:r>
        <w:t>7</w:t>
      </w:r>
      <w:r w:rsidR="00BA10B3" w:rsidRPr="004A2432">
        <w:t xml:space="preserve"> et la procédure d'approbation prévue au § 3.1.2 de la Résolution UIT-R 1-6 sera appliquée. </w:t>
      </w:r>
    </w:p>
    <w:p w:rsidR="00BA10B3" w:rsidRPr="004A2432" w:rsidRDefault="00313FA1" w:rsidP="007C4525">
      <w:r w:rsidRPr="004A2432">
        <w:t>Compte tenu des dispositions du</w:t>
      </w:r>
      <w:r w:rsidR="00BA10B3" w:rsidRPr="004A2432">
        <w:t xml:space="preserve"> § 3.1.2 </w:t>
      </w:r>
      <w:r w:rsidRPr="004A2432">
        <w:t>de la Résolution UIT-R</w:t>
      </w:r>
      <w:r w:rsidR="00BA10B3" w:rsidRPr="004A2432">
        <w:t xml:space="preserve"> 1-6,</w:t>
      </w:r>
      <w:r w:rsidRPr="004A2432">
        <w:t xml:space="preserve"> les Etats Membres sont priés de faire savoir au </w:t>
      </w:r>
      <w:r w:rsidR="00A5513E" w:rsidRPr="004A2432">
        <w:t>S</w:t>
      </w:r>
      <w:r w:rsidRPr="004A2432">
        <w:t>ecrétariat</w:t>
      </w:r>
      <w:r w:rsidR="00BA10B3" w:rsidRPr="004A2432">
        <w:t xml:space="preserve"> (</w:t>
      </w:r>
      <w:hyperlink r:id="rId9" w:history="1">
        <w:r w:rsidR="00BA10B3" w:rsidRPr="004A2432">
          <w:rPr>
            <w:rStyle w:val="Hyperlink"/>
          </w:rPr>
          <w:t>brsgd@itu.int</w:t>
        </w:r>
      </w:hyperlink>
      <w:r w:rsidR="00BA10B3" w:rsidRPr="004A2432">
        <w:t>)</w:t>
      </w:r>
      <w:r w:rsidR="00A5513E">
        <w:t>,</w:t>
      </w:r>
      <w:r w:rsidR="00BA10B3" w:rsidRPr="004A2432">
        <w:t xml:space="preserve"> </w:t>
      </w:r>
      <w:r w:rsidRPr="004A2432">
        <w:t xml:space="preserve">au plus tard le </w:t>
      </w:r>
      <w:r w:rsidR="00DD76CE">
        <w:rPr>
          <w:u w:val="single"/>
        </w:rPr>
        <w:t>17 octobre</w:t>
      </w:r>
      <w:r w:rsidRPr="004A2432">
        <w:rPr>
          <w:u w:val="single"/>
        </w:rPr>
        <w:t xml:space="preserve"> </w:t>
      </w:r>
      <w:r w:rsidR="00BA10B3" w:rsidRPr="004A2432">
        <w:rPr>
          <w:u w:val="single"/>
        </w:rPr>
        <w:t>2012</w:t>
      </w:r>
      <w:r w:rsidR="00BA10B3" w:rsidRPr="004A2432">
        <w:t xml:space="preserve">, </w:t>
      </w:r>
      <w:r w:rsidR="00DA3FF5" w:rsidRPr="004A2432">
        <w:t>s'ils acceptent ou non l</w:t>
      </w:r>
      <w:r w:rsidR="007C4525">
        <w:t>a</w:t>
      </w:r>
      <w:r w:rsidR="00DA3FF5" w:rsidRPr="004A2432">
        <w:t xml:space="preserve"> </w:t>
      </w:r>
      <w:r w:rsidR="00DA3FF5" w:rsidRPr="004A2432">
        <w:rPr>
          <w:rFonts w:asciiTheme="majorBidi" w:hAnsiTheme="majorBidi" w:cstheme="majorBidi"/>
          <w:szCs w:val="24"/>
        </w:rPr>
        <w:t>proposition</w:t>
      </w:r>
      <w:bookmarkStart w:id="3" w:name="_GoBack"/>
      <w:bookmarkEnd w:id="3"/>
      <w:r w:rsidR="00DA3FF5" w:rsidRPr="004A2432">
        <w:t xml:space="preserve"> ci</w:t>
      </w:r>
      <w:r w:rsidR="00DA3FF5" w:rsidRPr="004A2432">
        <w:noBreakHyphen/>
        <w:t>dessus</w:t>
      </w:r>
      <w:r w:rsidR="00BA10B3" w:rsidRPr="004A2432">
        <w:t>.</w:t>
      </w:r>
    </w:p>
    <w:p w:rsidR="005E7B0B" w:rsidRPr="004A2432" w:rsidRDefault="00733F58" w:rsidP="00B049C5">
      <w:r w:rsidRPr="004A2432">
        <w:t>Un</w:t>
      </w:r>
      <w:r w:rsidR="00291B57" w:rsidRPr="004A2432">
        <w:t xml:space="preserve"> Etat Membre qui </w:t>
      </w:r>
      <w:r w:rsidRPr="004A2432">
        <w:t>soulève</w:t>
      </w:r>
      <w:r w:rsidR="003F66D9" w:rsidRPr="004A2432">
        <w:t xml:space="preserve"> une objection </w:t>
      </w:r>
      <w:r w:rsidR="004C78D3" w:rsidRPr="004A2432">
        <w:t>au sujet de l</w:t>
      </w:r>
      <w:r w:rsidR="00291B57" w:rsidRPr="004A2432">
        <w:t xml:space="preserve">a poursuite de la procédure d'approbation </w:t>
      </w:r>
      <w:r w:rsidR="002014A0" w:rsidRPr="004A2432">
        <w:t>du/d</w:t>
      </w:r>
      <w:r w:rsidR="0095256D" w:rsidRPr="004A2432">
        <w:t>es</w:t>
      </w:r>
      <w:r w:rsidR="007F1507" w:rsidRPr="004A2432">
        <w:t xml:space="preserve"> </w:t>
      </w:r>
      <w:r w:rsidR="00291B57" w:rsidRPr="004A2432">
        <w:t>projet</w:t>
      </w:r>
      <w:r w:rsidR="0095256D" w:rsidRPr="004A2432">
        <w:t>(s)</w:t>
      </w:r>
      <w:r w:rsidR="00291B57" w:rsidRPr="004A2432">
        <w:t xml:space="preserve"> de </w:t>
      </w:r>
      <w:r w:rsidR="007F1507" w:rsidRPr="004A2432">
        <w:t>Question</w:t>
      </w:r>
      <w:r w:rsidR="0095256D" w:rsidRPr="004A2432">
        <w:t xml:space="preserve"> est prié </w:t>
      </w:r>
      <w:r w:rsidR="004C78D3" w:rsidRPr="004A2432">
        <w:t>d'informer le</w:t>
      </w:r>
      <w:r w:rsidR="00291B57" w:rsidRPr="004A2432">
        <w:t xml:space="preserve"> Directeur et </w:t>
      </w:r>
      <w:r w:rsidR="004C78D3" w:rsidRPr="004A2432">
        <w:t>le</w:t>
      </w:r>
      <w:r w:rsidR="002014A0" w:rsidRPr="004A2432">
        <w:t xml:space="preserve"> </w:t>
      </w:r>
      <w:r w:rsidR="009C671A" w:rsidRPr="004A2432">
        <w:t>Président de la Commiss</w:t>
      </w:r>
      <w:r w:rsidR="0095256D" w:rsidRPr="004A2432">
        <w:t>ion d'études</w:t>
      </w:r>
      <w:r w:rsidR="009C671A" w:rsidRPr="004A2432">
        <w:t xml:space="preserve"> </w:t>
      </w:r>
      <w:r w:rsidR="004C78D3" w:rsidRPr="004A2432">
        <w:t>des raisons</w:t>
      </w:r>
      <w:r w:rsidR="00D762D3" w:rsidRPr="004A2432">
        <w:t xml:space="preserve"> </w:t>
      </w:r>
      <w:r w:rsidR="002014A0" w:rsidRPr="004A2432">
        <w:t xml:space="preserve">de cette </w:t>
      </w:r>
      <w:r w:rsidR="00BD0081" w:rsidRPr="004A2432">
        <w:t>objection</w:t>
      </w:r>
      <w:r w:rsidR="002014A0" w:rsidRPr="004A2432">
        <w:t>.</w:t>
      </w:r>
    </w:p>
    <w:p w:rsidR="005708B6" w:rsidRDefault="005708B6">
      <w:pPr>
        <w:tabs>
          <w:tab w:val="clear" w:pos="794"/>
          <w:tab w:val="clear" w:pos="1191"/>
          <w:tab w:val="clear" w:pos="1588"/>
          <w:tab w:val="clear" w:pos="1985"/>
        </w:tabs>
        <w:overflowPunct/>
        <w:autoSpaceDE/>
        <w:autoSpaceDN/>
        <w:adjustRightInd/>
        <w:spacing w:before="0"/>
        <w:textAlignment w:val="auto"/>
      </w:pPr>
      <w:r>
        <w:br w:type="page"/>
      </w:r>
    </w:p>
    <w:p w:rsidR="00DA3FF5" w:rsidRPr="004A2432" w:rsidRDefault="00DA3FF5" w:rsidP="00547FCB">
      <w:r w:rsidRPr="004A2432">
        <w:lastRenderedPageBreak/>
        <w:t>Après la date limite mentionnée ci</w:t>
      </w:r>
      <w:r w:rsidRPr="004A2432">
        <w:noBreakHyphen/>
        <w:t xml:space="preserve">dessus, les résultats de la présente consultation seront communiqués dans une circulaire administrative </w:t>
      </w:r>
      <w:r w:rsidR="00B049C5">
        <w:t>et la</w:t>
      </w:r>
      <w:r w:rsidRPr="004A2432">
        <w:t xml:space="preserve"> Question</w:t>
      </w:r>
      <w:r w:rsidR="00547FCB">
        <w:t xml:space="preserve"> approuvée</w:t>
      </w:r>
      <w:r w:rsidRPr="004A2432">
        <w:t xml:space="preserve"> sera publiée dans les meilleurs délais (voir: </w:t>
      </w:r>
      <w:hyperlink r:id="rId10" w:history="1">
        <w:r w:rsidR="00DD76CE" w:rsidRPr="00A85D98">
          <w:rPr>
            <w:rStyle w:val="Hyperlink"/>
          </w:rPr>
          <w:t>http://www.itu.int/ITU-R/go/que-rsg7/fr</w:t>
        </w:r>
      </w:hyperlink>
      <w:r w:rsidRPr="004A2432">
        <w:t>).</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rPr>
      </w:pPr>
      <w:r w:rsidRPr="004A2432">
        <w:rPr>
          <w:sz w:val="24"/>
          <w:szCs w:val="24"/>
        </w:rPr>
        <w:tab/>
        <w:t>François Rancy</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ind w:left="0" w:firstLine="0"/>
        <w:rPr>
          <w:sz w:val="24"/>
          <w:szCs w:val="24"/>
        </w:rPr>
      </w:pPr>
      <w:r w:rsidRPr="004A2432">
        <w:rPr>
          <w:sz w:val="24"/>
          <w:szCs w:val="24"/>
        </w:rPr>
        <w:tab/>
        <w:t>Direct</w:t>
      </w:r>
      <w:r w:rsidR="005C1D2C" w:rsidRPr="004A2432">
        <w:rPr>
          <w:sz w:val="24"/>
          <w:szCs w:val="24"/>
        </w:rPr>
        <w:t>eur du Bureau des radiocommunications</w:t>
      </w:r>
    </w:p>
    <w:p w:rsidR="00DD76CE" w:rsidRDefault="00DD76CE" w:rsidP="00DA3FF5">
      <w:pPr>
        <w:rPr>
          <w:b/>
          <w:bCs/>
        </w:rPr>
      </w:pPr>
    </w:p>
    <w:p w:rsidR="00DD76CE" w:rsidRDefault="00DD76CE" w:rsidP="00DA3FF5">
      <w:pPr>
        <w:rPr>
          <w:b/>
          <w:bCs/>
        </w:rPr>
      </w:pPr>
    </w:p>
    <w:p w:rsidR="00187416" w:rsidRPr="004A2432" w:rsidRDefault="00187416" w:rsidP="00DD76CE">
      <w:pPr>
        <w:rPr>
          <w:i/>
          <w:iCs/>
        </w:rPr>
      </w:pPr>
      <w:r w:rsidRPr="004A2432">
        <w:rPr>
          <w:b/>
          <w:bCs/>
        </w:rPr>
        <w:t>Annex</w:t>
      </w:r>
      <w:r w:rsidR="005C1D2C" w:rsidRPr="004A2432">
        <w:rPr>
          <w:b/>
          <w:bCs/>
        </w:rPr>
        <w:t>es</w:t>
      </w:r>
      <w:r w:rsidRPr="004A2432">
        <w:rPr>
          <w:b/>
          <w:bCs/>
        </w:rPr>
        <w:t>:</w:t>
      </w:r>
      <w:r w:rsidRPr="004A2432">
        <w:t xml:space="preserve"> </w:t>
      </w:r>
      <w:r w:rsidR="00DD76CE">
        <w:t>2</w:t>
      </w:r>
    </w:p>
    <w:p w:rsidR="009B4C60" w:rsidRPr="004A2432" w:rsidRDefault="009B4C60" w:rsidP="00DD76CE">
      <w:r w:rsidRPr="004A2432">
        <w:t>–</w:t>
      </w:r>
      <w:r w:rsidRPr="004A2432">
        <w:tab/>
      </w:r>
      <w:r w:rsidR="00DD76CE">
        <w:t>Un</w:t>
      </w:r>
      <w:r w:rsidRPr="004A2432">
        <w:t xml:space="preserve"> </w:t>
      </w:r>
      <w:r w:rsidR="005C1D2C" w:rsidRPr="004A2432">
        <w:t xml:space="preserve">projet de nouvelle Question UIT-R </w:t>
      </w:r>
    </w:p>
    <w:p w:rsidR="005E7B0B" w:rsidRPr="004A2432" w:rsidRDefault="005E7B0B" w:rsidP="00DD76CE">
      <w:r w:rsidRPr="004A2432">
        <w:t>–</w:t>
      </w:r>
      <w:r w:rsidRPr="004A2432">
        <w:tab/>
        <w:t>Propos</w:t>
      </w:r>
      <w:r w:rsidR="00E34ECB" w:rsidRPr="004A2432">
        <w:t xml:space="preserve">ition de suppression de </w:t>
      </w:r>
      <w:r w:rsidR="00DD76CE">
        <w:t>trois</w:t>
      </w:r>
      <w:r w:rsidR="00E34ECB" w:rsidRPr="004A2432">
        <w:t xml:space="preserve"> Questions UIT-R </w:t>
      </w:r>
    </w:p>
    <w:p w:rsidR="00E26BCD" w:rsidRPr="004A2432" w:rsidRDefault="00E26BCD" w:rsidP="00BA10B3"/>
    <w:p w:rsidR="00E26BCD" w:rsidRPr="004A2432" w:rsidRDefault="00E26BCD" w:rsidP="00BA10B3"/>
    <w:p w:rsidR="00E26BCD" w:rsidRPr="004A2432" w:rsidRDefault="00E26BCD" w:rsidP="00BA10B3">
      <w:pPr>
        <w:rPr>
          <w:u w:val="single"/>
        </w:rPr>
      </w:pPr>
    </w:p>
    <w:p w:rsidR="00187416" w:rsidRPr="004A2432" w:rsidRDefault="00187416" w:rsidP="00E26BCD">
      <w:pPr>
        <w:tabs>
          <w:tab w:val="left" w:pos="6237"/>
        </w:tabs>
        <w:spacing w:after="120"/>
        <w:rPr>
          <w:b/>
          <w:bCs/>
          <w:sz w:val="18"/>
          <w:szCs w:val="18"/>
        </w:rPr>
      </w:pPr>
      <w:r w:rsidRPr="004A2432">
        <w:rPr>
          <w:b/>
          <w:bCs/>
          <w:sz w:val="18"/>
          <w:szCs w:val="18"/>
        </w:rPr>
        <w:t>Distribution:</w:t>
      </w:r>
    </w:p>
    <w:p w:rsidR="00317319" w:rsidRPr="004A2432" w:rsidRDefault="00DA3FF5" w:rsidP="00DD76CE">
      <w:pPr>
        <w:spacing w:before="0"/>
        <w:ind w:left="288" w:hanging="288"/>
        <w:rPr>
          <w:sz w:val="18"/>
          <w:szCs w:val="18"/>
        </w:rPr>
      </w:pPr>
      <w:r w:rsidRPr="004A2432">
        <w:rPr>
          <w:sz w:val="18"/>
          <w:szCs w:val="18"/>
        </w:rPr>
        <w:t>–</w:t>
      </w:r>
      <w:r w:rsidRPr="004A2432">
        <w:rPr>
          <w:sz w:val="18"/>
          <w:szCs w:val="18"/>
        </w:rPr>
        <w:tab/>
      </w:r>
      <w:r w:rsidR="00317319" w:rsidRPr="004A2432">
        <w:rPr>
          <w:sz w:val="18"/>
          <w:szCs w:val="18"/>
        </w:rPr>
        <w:t>Administrations des Etats Membres de l'UIT et Membres du Secteur des radiocommunications participant aux tra</w:t>
      </w:r>
      <w:r w:rsidR="00AB4F84" w:rsidRPr="004A2432">
        <w:rPr>
          <w:sz w:val="18"/>
          <w:szCs w:val="18"/>
        </w:rPr>
        <w:t xml:space="preserve">vaux de la Commission d'études </w:t>
      </w:r>
      <w:r w:rsidR="00DD76CE">
        <w:rPr>
          <w:sz w:val="18"/>
          <w:szCs w:val="18"/>
        </w:rPr>
        <w:t>7</w:t>
      </w:r>
      <w:r w:rsidR="00317319" w:rsidRPr="004A2432">
        <w:rPr>
          <w:sz w:val="18"/>
          <w:szCs w:val="18"/>
        </w:rPr>
        <w:t xml:space="preserve"> des radiocommunications</w:t>
      </w:r>
    </w:p>
    <w:p w:rsidR="00317319" w:rsidRPr="004A2432" w:rsidRDefault="00317319" w:rsidP="00DD76CE">
      <w:pPr>
        <w:spacing w:before="0"/>
        <w:ind w:left="288" w:hanging="288"/>
        <w:rPr>
          <w:sz w:val="18"/>
          <w:szCs w:val="18"/>
        </w:rPr>
      </w:pPr>
      <w:r w:rsidRPr="004A2432">
        <w:rPr>
          <w:sz w:val="18"/>
          <w:szCs w:val="18"/>
        </w:rPr>
        <w:t>–</w:t>
      </w:r>
      <w:r w:rsidRPr="004A2432">
        <w:rPr>
          <w:sz w:val="18"/>
          <w:szCs w:val="18"/>
        </w:rPr>
        <w:tab/>
        <w:t xml:space="preserve">Associés de l'UIT-R participant aux travaux de la Commission d'études </w:t>
      </w:r>
      <w:r w:rsidR="00DD76CE">
        <w:rPr>
          <w:sz w:val="18"/>
          <w:szCs w:val="18"/>
        </w:rPr>
        <w:t>7</w:t>
      </w:r>
      <w:r w:rsidRPr="004A2432">
        <w:rPr>
          <w:sz w:val="18"/>
          <w:szCs w:val="18"/>
        </w:rPr>
        <w:t xml:space="preserve"> des radiocommunications</w:t>
      </w:r>
    </w:p>
    <w:p w:rsidR="00317319" w:rsidRPr="004A2432" w:rsidRDefault="00317319" w:rsidP="00BA10B3">
      <w:pPr>
        <w:spacing w:before="0"/>
        <w:ind w:left="288" w:hanging="288"/>
        <w:rPr>
          <w:sz w:val="18"/>
          <w:szCs w:val="18"/>
        </w:rPr>
      </w:pPr>
      <w:r w:rsidRPr="004A2432">
        <w:rPr>
          <w:sz w:val="18"/>
          <w:szCs w:val="18"/>
        </w:rPr>
        <w:t>–</w:t>
      </w:r>
      <w:r w:rsidRPr="004A2432">
        <w:rPr>
          <w:sz w:val="18"/>
          <w:szCs w:val="18"/>
        </w:rPr>
        <w:tab/>
        <w:t>Etablissements universitaires de l’UIT-R</w:t>
      </w:r>
    </w:p>
    <w:p w:rsidR="00317319" w:rsidRPr="004A2432" w:rsidRDefault="00317319" w:rsidP="00A5513E">
      <w:pPr>
        <w:tabs>
          <w:tab w:val="clear" w:pos="794"/>
          <w:tab w:val="left" w:pos="284"/>
        </w:tabs>
        <w:spacing w:before="0"/>
        <w:ind w:left="284" w:hanging="284"/>
        <w:rPr>
          <w:sz w:val="18"/>
          <w:szCs w:val="18"/>
        </w:rPr>
      </w:pPr>
      <w:r w:rsidRPr="004A2432">
        <w:rPr>
          <w:sz w:val="18"/>
          <w:szCs w:val="18"/>
        </w:rPr>
        <w:t>–</w:t>
      </w:r>
      <w:r w:rsidRPr="004A2432">
        <w:rPr>
          <w:sz w:val="18"/>
          <w:szCs w:val="18"/>
        </w:rPr>
        <w:tab/>
        <w:t>Président</w:t>
      </w:r>
      <w:r w:rsidR="00EE4D40" w:rsidRPr="004A2432">
        <w:rPr>
          <w:sz w:val="18"/>
          <w:szCs w:val="18"/>
        </w:rPr>
        <w:t>s</w:t>
      </w:r>
      <w:r w:rsidRPr="004A2432">
        <w:rPr>
          <w:sz w:val="18"/>
          <w:szCs w:val="18"/>
        </w:rPr>
        <w:t xml:space="preserve"> et Vice-Présidents de</w:t>
      </w:r>
      <w:r w:rsidR="00EE4D40" w:rsidRPr="004A2432">
        <w:rPr>
          <w:sz w:val="18"/>
          <w:szCs w:val="18"/>
        </w:rPr>
        <w:t>s</w:t>
      </w:r>
      <w:r w:rsidRPr="004A2432">
        <w:rPr>
          <w:sz w:val="18"/>
          <w:szCs w:val="18"/>
        </w:rPr>
        <w:t xml:space="preserve"> Commission</w:t>
      </w:r>
      <w:r w:rsidR="00EE4D40" w:rsidRPr="004A2432">
        <w:rPr>
          <w:sz w:val="18"/>
          <w:szCs w:val="18"/>
        </w:rPr>
        <w:t>s d'études</w:t>
      </w:r>
      <w:r w:rsidRPr="004A2432">
        <w:rPr>
          <w:sz w:val="18"/>
          <w:szCs w:val="18"/>
        </w:rPr>
        <w:t xml:space="preserve"> des radiocommunications</w:t>
      </w:r>
      <w:r w:rsidR="00AB4F84" w:rsidRPr="004A2432">
        <w:rPr>
          <w:sz w:val="18"/>
          <w:szCs w:val="18"/>
        </w:rPr>
        <w:t xml:space="preserve"> et de la Commission spéciale chargée </w:t>
      </w:r>
      <w:r w:rsidR="005A2150" w:rsidRPr="004A2432">
        <w:rPr>
          <w:sz w:val="18"/>
          <w:szCs w:val="18"/>
        </w:rPr>
        <w:t>d'examiner les</w:t>
      </w:r>
      <w:r w:rsidR="00AB4F84" w:rsidRPr="004A2432">
        <w:rPr>
          <w:sz w:val="18"/>
          <w:szCs w:val="18"/>
        </w:rPr>
        <w:t xml:space="preserve"> questions r</w:t>
      </w:r>
      <w:r w:rsidR="00A5513E">
        <w:rPr>
          <w:sz w:val="18"/>
          <w:szCs w:val="18"/>
        </w:rPr>
        <w:t>é</w:t>
      </w:r>
      <w:r w:rsidR="00AB4F84" w:rsidRPr="004A2432">
        <w:rPr>
          <w:sz w:val="18"/>
          <w:szCs w:val="18"/>
        </w:rPr>
        <w:t>glementaires et de procédure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Président et Vice-Présidents de la Réunion de préparation à la Conférence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Membres du Comité du Règlement des radiocommunications</w:t>
      </w:r>
    </w:p>
    <w:p w:rsidR="00317319" w:rsidRPr="004A2432" w:rsidRDefault="00317319" w:rsidP="00BA10B3">
      <w:pPr>
        <w:tabs>
          <w:tab w:val="clear" w:pos="794"/>
        </w:tabs>
        <w:spacing w:before="0"/>
        <w:ind w:left="284" w:hanging="284"/>
        <w:rPr>
          <w:sz w:val="18"/>
          <w:szCs w:val="18"/>
        </w:rPr>
      </w:pPr>
      <w:r w:rsidRPr="004A2432">
        <w:rPr>
          <w:sz w:val="18"/>
          <w:szCs w:val="18"/>
        </w:rPr>
        <w:t>–</w:t>
      </w:r>
      <w:r w:rsidRPr="004A2432">
        <w:rPr>
          <w:sz w:val="18"/>
          <w:szCs w:val="18"/>
        </w:rPr>
        <w:tab/>
        <w:t>Secrétaire général de l'UIT, Directeur du Bureau de</w:t>
      </w:r>
      <w:r w:rsidR="00A5513E">
        <w:rPr>
          <w:sz w:val="18"/>
          <w:szCs w:val="18"/>
        </w:rPr>
        <w:t xml:space="preserve"> la</w:t>
      </w:r>
      <w:r w:rsidRPr="004A2432">
        <w:rPr>
          <w:sz w:val="18"/>
          <w:szCs w:val="18"/>
        </w:rPr>
        <w:t xml:space="preserve"> normalisation des télécommunications, Directeur du Bureau de développement des télécommunications</w:t>
      </w:r>
    </w:p>
    <w:p w:rsidR="00187416" w:rsidRPr="004A2432" w:rsidRDefault="00187416" w:rsidP="00BA10B3">
      <w:pPr>
        <w:pStyle w:val="BodyTextIndent"/>
        <w:rPr>
          <w:sz w:val="18"/>
          <w:szCs w:val="18"/>
        </w:rPr>
      </w:pPr>
    </w:p>
    <w:p w:rsidR="005E7B0B" w:rsidRPr="004A2432" w:rsidRDefault="005E7B0B" w:rsidP="004A2432">
      <w:r w:rsidRPr="004A2432">
        <w:br w:type="page"/>
      </w:r>
    </w:p>
    <w:p w:rsidR="00DD76CE" w:rsidRDefault="00DD76CE" w:rsidP="00DD76CE">
      <w:pPr>
        <w:pStyle w:val="AnnexNotitle"/>
      </w:pPr>
      <w:r w:rsidRPr="001E15EC">
        <w:lastRenderedPageBreak/>
        <w:t>Annexe 1</w:t>
      </w:r>
    </w:p>
    <w:p w:rsidR="00DD76CE" w:rsidRDefault="00DD76CE" w:rsidP="00DD76CE">
      <w:pPr>
        <w:pStyle w:val="Normalaftertitle"/>
        <w:spacing w:before="240"/>
        <w:jc w:val="center"/>
      </w:pPr>
      <w:r>
        <w:t>(Doc. 7/149)</w:t>
      </w:r>
    </w:p>
    <w:p w:rsidR="00DD76CE" w:rsidRDefault="00DD76CE" w:rsidP="00DD76CE">
      <w:pPr>
        <w:pStyle w:val="Reasons"/>
        <w:spacing w:before="480"/>
        <w:rPr>
          <w:lang w:val="fr-FR"/>
        </w:rPr>
      </w:pPr>
      <w:r>
        <w:rPr>
          <w:lang w:val="fr-FR"/>
        </w:rPr>
        <w:t>Les caractéristiques des nanosatellites et des picosatellites sont très différentes de celles des satellites de plus grande taille bien connus. Actuellement, plus de 500 satellites de ce type sont en cours de construction. La plupart de ces satellites fonctionnent dans le service d'amateur par satellite ou le service de météorologie par satellite même si leurs missions ne sont pas toujours en rapport avec ces services. En raison du nombre croissant de nanosatellites et de picosatellites, les bandes de fréquences actuellement utilisées sont très sollicitées</w:t>
      </w:r>
      <w:r>
        <w:rPr>
          <w:rFonts w:ascii="Segoe UI" w:hAnsi="Segoe UI" w:cs="Segoe UI"/>
          <w:color w:val="000000"/>
          <w:sz w:val="20"/>
          <w:lang w:val="fr-FR"/>
        </w:rPr>
        <w:t xml:space="preserve">. </w:t>
      </w:r>
      <w:r>
        <w:rPr>
          <w:lang w:val="fr-FR"/>
        </w:rPr>
        <w:t>L'objet de cette nouvelle Question est d'examiner les mesures techniques et règlementaires qui doivent être prises pour le développement de cette nouvelle technologie, dans le cadre des points de l'ordre du jour pertinents de la CMR</w:t>
      </w:r>
      <w:r>
        <w:rPr>
          <w:rFonts w:ascii="Segoe UI" w:hAnsi="Segoe UI" w:cs="Segoe UI"/>
          <w:color w:val="000000"/>
          <w:sz w:val="20"/>
          <w:lang w:val="fr-FR"/>
        </w:rPr>
        <w:t>.</w:t>
      </w:r>
    </w:p>
    <w:p w:rsidR="00DD76CE" w:rsidRDefault="00DD76CE" w:rsidP="00DD76CE">
      <w:pPr>
        <w:pStyle w:val="QuestionNoBR"/>
        <w:spacing w:before="840"/>
        <w:rPr>
          <w:lang w:eastAsia="ja-JP"/>
        </w:rPr>
      </w:pPr>
      <w:r>
        <w:t>PROJET DE NOUVELLE QUESTION UIT-R [XXX]/7</w:t>
      </w:r>
    </w:p>
    <w:p w:rsidR="00DD76CE" w:rsidRDefault="00DD76CE" w:rsidP="00DD76CE">
      <w:pPr>
        <w:pStyle w:val="Questiontitle"/>
      </w:pPr>
      <w:r>
        <w:t xml:space="preserve">Caractéristiques et besoins de spectre des systèmes à satellites utilisant des nanosatellites et des picosatellites </w:t>
      </w:r>
    </w:p>
    <w:p w:rsidR="00DD76CE" w:rsidRPr="00DD76CE" w:rsidRDefault="00DD76CE" w:rsidP="00DD76CE"/>
    <w:p w:rsidR="00DD76CE" w:rsidRDefault="00DD76CE" w:rsidP="00DD76CE">
      <w:pPr>
        <w:pStyle w:val="Normalaftertitle0"/>
      </w:pPr>
      <w:bookmarkStart w:id="4" w:name="dbreak"/>
      <w:bookmarkEnd w:id="4"/>
      <w:r>
        <w:t>L'Assemblée des radiocommunications de l'UIT,</w:t>
      </w:r>
    </w:p>
    <w:p w:rsidR="00DD76CE" w:rsidRDefault="00DD76CE" w:rsidP="00DD76CE">
      <w:pPr>
        <w:pStyle w:val="Call"/>
      </w:pPr>
      <w:proofErr w:type="gramStart"/>
      <w:r>
        <w:t>considérant</w:t>
      </w:r>
      <w:proofErr w:type="gramEnd"/>
    </w:p>
    <w:p w:rsidR="00DD76CE" w:rsidRDefault="00DD76CE" w:rsidP="00DD76CE">
      <w:r>
        <w:rPr>
          <w:i/>
          <w:iCs/>
        </w:rPr>
        <w:t>a)</w:t>
      </w:r>
      <w:r>
        <w:tab/>
        <w:t>que les nanosatellites et les picosatellites, généralement décrits comme ayant une masse comprise entre 0,1 et 10 kg et mesurant moins de 0,5 m dans toute dimension linéaire, hors antennes et mâts déployables, ont des caractéristiques physiques différentes de celles des satellites de plus grande taille;</w:t>
      </w:r>
    </w:p>
    <w:p w:rsidR="00DD76CE" w:rsidRDefault="00DD76CE" w:rsidP="00DD76CE">
      <w:r>
        <w:rPr>
          <w:i/>
          <w:iCs/>
        </w:rPr>
        <w:t>b)</w:t>
      </w:r>
      <w:r>
        <w:tab/>
        <w:t>que, comme pour l'exploitation de n'importe quelle station spatiale, il est important  de faire en sorte que l'exploitation soit parfaitement maîtrisée afin d'éviter les brouillages, de procéder aux manoeuvres anticollision qui pourraient être nécessaires et d'assurer le bon déroulement des missions;</w:t>
      </w:r>
    </w:p>
    <w:p w:rsidR="00DD76CE" w:rsidRDefault="00DD76CE" w:rsidP="00DD76CE">
      <w:r>
        <w:rPr>
          <w:i/>
          <w:iCs/>
        </w:rPr>
        <w:t>c)</w:t>
      </w:r>
      <w:r>
        <w:tab/>
        <w:t>que ces satellites sont de plus en plus utilisés, en particulier sur orbite terrestre basse, pour les études de la Terre, de l'atmosphère terrestre, de l'environnement spatial à proximité de la Terre, dans d'autres domaines scientifiques, pour des applications éducatives et de nombreuses autres applications;</w:t>
      </w:r>
    </w:p>
    <w:p w:rsidR="00DD76CE" w:rsidRDefault="00DD76CE" w:rsidP="00DD76CE">
      <w:r>
        <w:rPr>
          <w:i/>
          <w:iCs/>
        </w:rPr>
        <w:t>d)</w:t>
      </w:r>
      <w:r>
        <w:tab/>
        <w:t>que, pour certaines activités, il peut être souhaitable d'utiliser simultanément plusieurs nanosatellites et picosatellites formant un système à satellites;</w:t>
      </w:r>
    </w:p>
    <w:p w:rsidR="00DD76CE" w:rsidRDefault="00DD76CE" w:rsidP="00DD76CE">
      <w:r>
        <w:rPr>
          <w:i/>
          <w:iCs/>
        </w:rPr>
        <w:t>e)</w:t>
      </w:r>
      <w:r>
        <w:tab/>
        <w:t>que, à ce jour, un grand nombre de ces nanosatellites et picosatellites ont utilisé des fréquences attribuées au service de météorologie par satellite et au service d'amateur par satellite;</w:t>
      </w:r>
    </w:p>
    <w:p w:rsidR="00DD76CE" w:rsidRDefault="00DD76CE" w:rsidP="00DD76CE">
      <w:r>
        <w:rPr>
          <w:i/>
          <w:iCs/>
        </w:rPr>
        <w:t>f)</w:t>
      </w:r>
      <w:r>
        <w:tab/>
        <w:t>que les nanosatellites et picosatellites exploités pour des applications scientifiques peuvent utiliser des bandes qui sont attribuées aux services scientifiques, conformément à ces attributions,</w:t>
      </w:r>
    </w:p>
    <w:p w:rsidR="00DD76CE" w:rsidRDefault="00DD76CE">
      <w:pPr>
        <w:tabs>
          <w:tab w:val="clear" w:pos="794"/>
          <w:tab w:val="clear" w:pos="1191"/>
          <w:tab w:val="clear" w:pos="1588"/>
          <w:tab w:val="clear" w:pos="1985"/>
        </w:tabs>
        <w:overflowPunct/>
        <w:autoSpaceDE/>
        <w:autoSpaceDN/>
        <w:adjustRightInd/>
        <w:spacing w:before="0"/>
        <w:textAlignment w:val="auto"/>
        <w:rPr>
          <w:i/>
        </w:rPr>
      </w:pPr>
      <w:r>
        <w:br w:type="page"/>
      </w:r>
    </w:p>
    <w:p w:rsidR="00DD76CE" w:rsidRDefault="00DD76CE" w:rsidP="00DD76CE">
      <w:pPr>
        <w:pStyle w:val="Call"/>
        <w:rPr>
          <w:b/>
        </w:rPr>
      </w:pPr>
      <w:proofErr w:type="gramStart"/>
      <w:r>
        <w:lastRenderedPageBreak/>
        <w:t>décide</w:t>
      </w:r>
      <w:proofErr w:type="gramEnd"/>
      <w:r>
        <w:t xml:space="preserve"> </w:t>
      </w:r>
      <w:r w:rsidRPr="005C28DB">
        <w:rPr>
          <w:i w:val="0"/>
          <w:iCs/>
        </w:rPr>
        <w:t>de mettre à l'étude les Questions suivantes</w:t>
      </w:r>
    </w:p>
    <w:p w:rsidR="00DD76CE" w:rsidRDefault="00DD76CE" w:rsidP="00DD76CE">
      <w:r>
        <w:t>1</w:t>
      </w:r>
      <w:r>
        <w:rPr>
          <w:b/>
          <w:bCs/>
        </w:rPr>
        <w:tab/>
      </w:r>
      <w:r>
        <w:rPr>
          <w:bCs/>
        </w:rPr>
        <w:t>Quelles sont les caractéristiques spécifiques des nanosatellites et des picosatellites et des systèmes à satellites en ce qui concerne leur utilisation des fréquences radioélectriques qui est fonction des débits de données, des temps de transmission et des largeurs de bande</w:t>
      </w:r>
      <w:r>
        <w:t xml:space="preserve">? </w:t>
      </w:r>
    </w:p>
    <w:p w:rsidR="00DD76CE" w:rsidRDefault="00DD76CE" w:rsidP="00DD76CE">
      <w:r>
        <w:t>2</w:t>
      </w:r>
      <w:r>
        <w:tab/>
        <w:t xml:space="preserve">Compte tenu de ces caractéristiques spécifiques, quels sont les besoins de spectre des nanosatellites et des picosatellites? </w:t>
      </w:r>
    </w:p>
    <w:p w:rsidR="00DD76CE" w:rsidRDefault="00DD76CE" w:rsidP="00DD76CE">
      <w:pPr>
        <w:rPr>
          <w:b/>
        </w:rPr>
      </w:pPr>
      <w:r>
        <w:t>3</w:t>
      </w:r>
      <w:r>
        <w:tab/>
        <w:t xml:space="preserve">Dans quels services de radiocommunication les systèmes à satellites utilisant </w:t>
      </w:r>
      <w:r>
        <w:rPr>
          <w:bCs/>
        </w:rPr>
        <w:t>des nanosatellites et des picosatellites fonctionnent-ils</w:t>
      </w:r>
      <w:r>
        <w:t xml:space="preserve">? </w:t>
      </w:r>
    </w:p>
    <w:p w:rsidR="00DD76CE" w:rsidRDefault="00DD76CE" w:rsidP="00DD76CE">
      <w:pPr>
        <w:pStyle w:val="Call"/>
      </w:pPr>
      <w:proofErr w:type="gramStart"/>
      <w:r>
        <w:t>décide</w:t>
      </w:r>
      <w:proofErr w:type="gramEnd"/>
      <w:r>
        <w:t xml:space="preserve"> en outre</w:t>
      </w:r>
    </w:p>
    <w:p w:rsidR="00DD76CE" w:rsidRDefault="00DD76CE" w:rsidP="00DD76CE">
      <w:r>
        <w:rPr>
          <w:bCs/>
        </w:rPr>
        <w:t>1</w:t>
      </w:r>
      <w:r>
        <w:tab/>
        <w:t>que les résultats des études susmentionnées devraient figurer dans une ou plusieurs Recommandation(s) et/ou Rapport(s);</w:t>
      </w:r>
    </w:p>
    <w:p w:rsidR="00DD76CE" w:rsidRDefault="00DD76CE" w:rsidP="00DD76CE">
      <w:r>
        <w:rPr>
          <w:bCs/>
        </w:rPr>
        <w:t>2</w:t>
      </w:r>
      <w:r>
        <w:tab/>
        <w:t>que les études susmentionnées devraient être achevées d'ici à 2015.</w:t>
      </w:r>
    </w:p>
    <w:p w:rsidR="00DD76CE" w:rsidRDefault="00DD76CE" w:rsidP="00DD76CE"/>
    <w:p w:rsidR="00DD76CE" w:rsidRDefault="00DD76CE" w:rsidP="00DD76CE">
      <w:r>
        <w:t xml:space="preserve">Catégorie: C2 </w:t>
      </w:r>
    </w:p>
    <w:p w:rsidR="00DD76CE" w:rsidRDefault="00DD76CE" w:rsidP="00DD76CE">
      <w:pPr>
        <w:tabs>
          <w:tab w:val="left" w:pos="720"/>
        </w:tabs>
        <w:overflowPunct/>
        <w:autoSpaceDE/>
        <w:adjustRightInd/>
        <w:spacing w:before="0"/>
        <w:rPr>
          <w:b/>
          <w:sz w:val="28"/>
        </w:rPr>
      </w:pPr>
      <w:r>
        <w:br w:type="page"/>
      </w:r>
    </w:p>
    <w:p w:rsidR="00DD76CE" w:rsidRDefault="00DD76CE" w:rsidP="00DD76CE">
      <w:pPr>
        <w:pStyle w:val="AnnexNotitle"/>
      </w:pPr>
      <w:r>
        <w:lastRenderedPageBreak/>
        <w:t>Annexe 2</w:t>
      </w:r>
      <w:r>
        <w:br/>
      </w:r>
      <w:r>
        <w:br/>
        <w:t xml:space="preserve">Questions UIT-R dont la suppression est </w:t>
      </w:r>
      <w:proofErr w:type="gramStart"/>
      <w:r>
        <w:t>proposée</w:t>
      </w:r>
      <w:proofErr w:type="gramEnd"/>
    </w:p>
    <w:p w:rsidR="00DD76CE" w:rsidRDefault="00DD76CE" w:rsidP="00DD76CE"/>
    <w:p w:rsidR="00DD76CE" w:rsidRDefault="00DD76CE" w:rsidP="00DD76CE"/>
    <w:tbl>
      <w:tblPr>
        <w:tblW w:w="9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4"/>
      </w:tblGrid>
      <w:tr w:rsidR="00DD76CE" w:rsidRPr="00DD76CE" w:rsidTr="00B11D99">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DD76CE" w:rsidRPr="00DD76CE" w:rsidRDefault="00DD76CE" w:rsidP="00B11D99">
            <w:pPr>
              <w:pStyle w:val="Tablehead"/>
              <w:rPr>
                <w:sz w:val="20"/>
                <w:szCs w:val="18"/>
              </w:rPr>
            </w:pPr>
            <w:r w:rsidRPr="00DD76CE">
              <w:rPr>
                <w:sz w:val="20"/>
                <w:szCs w:val="18"/>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DD76CE" w:rsidRPr="00DD76CE" w:rsidRDefault="00DD76CE" w:rsidP="00B11D99">
            <w:pPr>
              <w:pStyle w:val="Tablehead"/>
              <w:rPr>
                <w:sz w:val="20"/>
                <w:szCs w:val="18"/>
              </w:rPr>
            </w:pPr>
            <w:r w:rsidRPr="00DD76CE">
              <w:rPr>
                <w:sz w:val="20"/>
                <w:szCs w:val="18"/>
              </w:rPr>
              <w:t>Titre</w:t>
            </w:r>
          </w:p>
        </w:tc>
      </w:tr>
      <w:tr w:rsidR="00DD76CE" w:rsidRPr="00DD76CE" w:rsidTr="00B11D99">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76CE" w:rsidRPr="00DD76CE" w:rsidRDefault="00DD76CE" w:rsidP="00B11D99">
            <w:pPr>
              <w:pStyle w:val="Tabletext"/>
              <w:jc w:val="center"/>
              <w:rPr>
                <w:sz w:val="20"/>
                <w:szCs w:val="18"/>
              </w:rPr>
            </w:pPr>
            <w:r w:rsidRPr="00DD76CE">
              <w:rPr>
                <w:sz w:val="20"/>
                <w:szCs w:val="18"/>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76CE" w:rsidRPr="00DD76CE" w:rsidRDefault="00DD76CE" w:rsidP="00B11D99">
            <w:pPr>
              <w:pStyle w:val="Tabletext"/>
              <w:rPr>
                <w:sz w:val="20"/>
                <w:szCs w:val="18"/>
              </w:rPr>
            </w:pPr>
            <w:r w:rsidRPr="00DD76CE">
              <w:rPr>
                <w:sz w:val="20"/>
                <w:szCs w:val="18"/>
              </w:rPr>
              <w:t>Partage de fréquences entre les détecteurs passifs spatioportés et d'autres services dans les bandes 10,60</w:t>
            </w:r>
            <w:r w:rsidRPr="00DD76CE">
              <w:rPr>
                <w:sz w:val="20"/>
                <w:szCs w:val="18"/>
              </w:rPr>
              <w:noBreakHyphen/>
              <w:t>10,68 GHz, 31,5</w:t>
            </w:r>
            <w:r w:rsidRPr="00DD76CE">
              <w:rPr>
                <w:sz w:val="20"/>
                <w:szCs w:val="18"/>
              </w:rPr>
              <w:noBreakHyphen/>
              <w:t>31,8 GHz et 36-37 GHz</w:t>
            </w:r>
          </w:p>
        </w:tc>
      </w:tr>
      <w:tr w:rsidR="00DD76CE" w:rsidRPr="00DD76CE" w:rsidTr="00B11D99">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76CE" w:rsidRPr="00DD76CE" w:rsidRDefault="00DD76CE" w:rsidP="00B11D99">
            <w:pPr>
              <w:pStyle w:val="Tabletext"/>
              <w:jc w:val="center"/>
              <w:rPr>
                <w:sz w:val="20"/>
                <w:szCs w:val="18"/>
              </w:rPr>
            </w:pPr>
            <w:r w:rsidRPr="00DD76CE">
              <w:rPr>
                <w:sz w:val="20"/>
                <w:szCs w:val="18"/>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76CE" w:rsidRPr="00DD76CE" w:rsidRDefault="00DD76CE" w:rsidP="00B11D99">
            <w:pPr>
              <w:pStyle w:val="Tabletext"/>
              <w:rPr>
                <w:sz w:val="20"/>
                <w:szCs w:val="18"/>
              </w:rPr>
            </w:pPr>
            <w:r w:rsidRPr="00DD76CE">
              <w:rPr>
                <w:sz w:val="20"/>
                <w:szCs w:val="18"/>
              </w:rPr>
              <w:t>Caractéristiques techniques et opérationnelles des applications des services scientifiques fonctionnant au-dessus de 275 GHz</w:t>
            </w:r>
          </w:p>
        </w:tc>
      </w:tr>
      <w:tr w:rsidR="00DD76CE" w:rsidRPr="00DD76CE" w:rsidTr="00B11D99">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76CE" w:rsidRPr="00DD76CE" w:rsidRDefault="00DD76CE" w:rsidP="00B11D99">
            <w:pPr>
              <w:pStyle w:val="Tabletext"/>
              <w:jc w:val="center"/>
              <w:rPr>
                <w:sz w:val="20"/>
                <w:szCs w:val="18"/>
              </w:rPr>
            </w:pPr>
            <w:r w:rsidRPr="00DD76CE">
              <w:rPr>
                <w:sz w:val="20"/>
                <w:szCs w:val="18"/>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76CE" w:rsidRPr="00DD76CE" w:rsidRDefault="00DD76CE" w:rsidP="00B11D99">
            <w:pPr>
              <w:pStyle w:val="Tabletext"/>
              <w:rPr>
                <w:sz w:val="20"/>
                <w:szCs w:val="18"/>
              </w:rPr>
            </w:pPr>
            <w:r w:rsidRPr="00DD76CE">
              <w:rPr>
                <w:sz w:val="20"/>
                <w:szCs w:val="18"/>
              </w:rPr>
              <w:t>Caractérisation des paramètres techniques et des effets des brouillages et techniques possibles de limitation des brouillages pour les détecteurs passifs fonctionnant dans le service d'exploration de la Terre par satellite (passive)</w:t>
            </w:r>
          </w:p>
        </w:tc>
      </w:tr>
    </w:tbl>
    <w:p w:rsidR="00DD76CE" w:rsidRDefault="00DD76CE" w:rsidP="00DD76CE"/>
    <w:p w:rsidR="00DD76CE" w:rsidRPr="004A2432" w:rsidRDefault="00DD76CE" w:rsidP="00DD76CE"/>
    <w:p w:rsidR="00844DEE" w:rsidRPr="004A2432" w:rsidRDefault="00844DEE" w:rsidP="00DD76CE"/>
    <w:p w:rsidR="00844DEE" w:rsidRPr="004A2432" w:rsidRDefault="00844DEE">
      <w:pPr>
        <w:jc w:val="center"/>
      </w:pPr>
      <w:r w:rsidRPr="004A2432">
        <w:t>______________</w:t>
      </w:r>
    </w:p>
    <w:sectPr w:rsidR="00844DEE" w:rsidRPr="004A243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5F" w:rsidRDefault="00340A5F">
      <w:r>
        <w:separator/>
      </w:r>
    </w:p>
  </w:endnote>
  <w:endnote w:type="continuationSeparator" w:id="0">
    <w:p w:rsidR="00340A5F" w:rsidRDefault="0034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5F" w:rsidRPr="00DD76CE" w:rsidRDefault="009E13CF" w:rsidP="00DD76CE">
    <w:pPr>
      <w:pStyle w:val="Footer"/>
    </w:pPr>
    <w:fldSimple w:instr=" FILENAME  \p  \* MERGEFORMAT ">
      <w:r w:rsidR="007C4525">
        <w:t>Y:\APP\BR\CIRCS_DMS\CACE\500\582\582f.docx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340A5F">
      <w:trPr>
        <w:cantSplit/>
      </w:trPr>
      <w:tc>
        <w:tcPr>
          <w:tcW w:w="1062" w:type="pct"/>
          <w:tcBorders>
            <w:top w:val="single" w:sz="6" w:space="0" w:color="auto"/>
          </w:tcBorders>
          <w:tcMar>
            <w:top w:w="57" w:type="dxa"/>
          </w:tcMar>
        </w:tcPr>
        <w:p w:rsidR="00340A5F" w:rsidRDefault="00340A5F">
          <w:pPr>
            <w:pStyle w:val="itu"/>
          </w:pPr>
          <w:r>
            <w:t>Place des Nations</w:t>
          </w:r>
        </w:p>
      </w:tc>
      <w:tc>
        <w:tcPr>
          <w:tcW w:w="1584" w:type="pct"/>
          <w:tcBorders>
            <w:top w:val="single" w:sz="6" w:space="0" w:color="auto"/>
          </w:tcBorders>
          <w:tcMar>
            <w:top w:w="57" w:type="dxa"/>
          </w:tcMar>
        </w:tcPr>
        <w:p w:rsidR="00340A5F" w:rsidRDefault="00340A5F">
          <w:pPr>
            <w:pStyle w:val="itu"/>
          </w:pPr>
          <w:r>
            <w:t xml:space="preserve">Téléphone </w:t>
          </w:r>
          <w:r>
            <w:tab/>
            <w:t>+41 22 730 51 11</w:t>
          </w:r>
        </w:p>
      </w:tc>
      <w:tc>
        <w:tcPr>
          <w:tcW w:w="1223" w:type="pct"/>
          <w:tcBorders>
            <w:top w:val="single" w:sz="6" w:space="0" w:color="auto"/>
          </w:tcBorders>
          <w:tcMar>
            <w:top w:w="57" w:type="dxa"/>
          </w:tcMar>
        </w:tcPr>
        <w:p w:rsidR="00340A5F" w:rsidRDefault="00340A5F">
          <w:pPr>
            <w:pStyle w:val="itu"/>
          </w:pPr>
          <w:r>
            <w:t xml:space="preserve">Télex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40A5F" w:rsidRDefault="00340A5F">
          <w:pPr>
            <w:pStyle w:val="itu"/>
          </w:pPr>
          <w:r>
            <w:t>E-mail:</w:t>
          </w:r>
          <w:r>
            <w:tab/>
            <w:t>itumail@itu.int</w:t>
          </w:r>
        </w:p>
      </w:tc>
    </w:tr>
    <w:tr w:rsidR="00340A5F">
      <w:trPr>
        <w:cantSplit/>
      </w:trPr>
      <w:tc>
        <w:tcPr>
          <w:tcW w:w="1062" w:type="pct"/>
        </w:tcPr>
        <w:p w:rsidR="00340A5F" w:rsidRDefault="00340A5F">
          <w:pPr>
            <w:pStyle w:val="itu"/>
          </w:pPr>
          <w:r>
            <w:t>CH-1211 Genève 20</w:t>
          </w:r>
        </w:p>
      </w:tc>
      <w:tc>
        <w:tcPr>
          <w:tcW w:w="1584" w:type="pct"/>
        </w:tcPr>
        <w:p w:rsidR="00340A5F" w:rsidRDefault="00340A5F">
          <w:pPr>
            <w:pStyle w:val="itu"/>
          </w:pPr>
          <w:r>
            <w:t>Téléfax</w:t>
          </w:r>
          <w:r>
            <w:tab/>
            <w:t>Gr3:</w:t>
          </w:r>
          <w:r>
            <w:tab/>
            <w:t>+41 22 733 72 56</w:t>
          </w:r>
        </w:p>
      </w:tc>
      <w:tc>
        <w:tcPr>
          <w:tcW w:w="1223" w:type="pct"/>
        </w:tcPr>
        <w:p w:rsidR="00340A5F" w:rsidRDefault="00340A5F">
          <w:pPr>
            <w:pStyle w:val="itu"/>
          </w:pPr>
          <w:r>
            <w:t>Télégramme ITU GENEVE</w:t>
          </w:r>
        </w:p>
      </w:tc>
      <w:tc>
        <w:tcPr>
          <w:tcW w:w="1131" w:type="pct"/>
        </w:tcPr>
        <w:p w:rsidR="00340A5F" w:rsidRDefault="00340A5F">
          <w:pPr>
            <w:pStyle w:val="itu"/>
          </w:pPr>
          <w:r>
            <w:tab/>
            <w:t>www.itu.int</w:t>
          </w:r>
        </w:p>
      </w:tc>
    </w:tr>
    <w:tr w:rsidR="00340A5F">
      <w:trPr>
        <w:cantSplit/>
      </w:trPr>
      <w:tc>
        <w:tcPr>
          <w:tcW w:w="1062" w:type="pct"/>
        </w:tcPr>
        <w:p w:rsidR="00340A5F" w:rsidRDefault="00340A5F">
          <w:pPr>
            <w:pStyle w:val="itu"/>
          </w:pPr>
          <w:r>
            <w:t>Suisse</w:t>
          </w:r>
        </w:p>
      </w:tc>
      <w:tc>
        <w:tcPr>
          <w:tcW w:w="1584" w:type="pct"/>
        </w:tcPr>
        <w:p w:rsidR="00340A5F" w:rsidRDefault="00340A5F">
          <w:pPr>
            <w:pStyle w:val="itu"/>
          </w:pPr>
          <w:r>
            <w:tab/>
            <w:t>Gr4:</w:t>
          </w:r>
          <w:r>
            <w:tab/>
            <w:t>+41 22 730 65 00</w:t>
          </w:r>
        </w:p>
      </w:tc>
      <w:tc>
        <w:tcPr>
          <w:tcW w:w="1223" w:type="pct"/>
        </w:tcPr>
        <w:p w:rsidR="00340A5F" w:rsidRDefault="00340A5F">
          <w:pPr>
            <w:pStyle w:val="itu"/>
          </w:pPr>
        </w:p>
      </w:tc>
      <w:tc>
        <w:tcPr>
          <w:tcW w:w="1131" w:type="pct"/>
        </w:tcPr>
        <w:p w:rsidR="00340A5F" w:rsidRDefault="00340A5F">
          <w:pPr>
            <w:pStyle w:val="itu"/>
          </w:pPr>
        </w:p>
      </w:tc>
    </w:tr>
  </w:tbl>
  <w:p w:rsidR="00340A5F" w:rsidRPr="009E1957" w:rsidRDefault="00340A5F"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5F" w:rsidRDefault="00340A5F">
      <w:r>
        <w:t>____________________</w:t>
      </w:r>
    </w:p>
  </w:footnote>
  <w:footnote w:type="continuationSeparator" w:id="0">
    <w:p w:rsidR="00340A5F" w:rsidRDefault="0034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5F" w:rsidRPr="001E15AA" w:rsidRDefault="00340A5F" w:rsidP="00DD76C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C4525">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EF4333"/>
    <w:multiLevelType w:val="hybridMultilevel"/>
    <w:tmpl w:val="859AFDF0"/>
    <w:lvl w:ilvl="0" w:tplc="28D4D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6"/>
    <w:rsid w:val="0000300F"/>
    <w:rsid w:val="00016557"/>
    <w:rsid w:val="000771C8"/>
    <w:rsid w:val="0008071D"/>
    <w:rsid w:val="000B1FDF"/>
    <w:rsid w:val="000D1D2A"/>
    <w:rsid w:val="000D290C"/>
    <w:rsid w:val="000E15C1"/>
    <w:rsid w:val="000E64DA"/>
    <w:rsid w:val="000F527D"/>
    <w:rsid w:val="00124460"/>
    <w:rsid w:val="00183CCB"/>
    <w:rsid w:val="00187416"/>
    <w:rsid w:val="001B363D"/>
    <w:rsid w:val="001E15AA"/>
    <w:rsid w:val="002014A0"/>
    <w:rsid w:val="00210B45"/>
    <w:rsid w:val="00227F65"/>
    <w:rsid w:val="00263012"/>
    <w:rsid w:val="00291B57"/>
    <w:rsid w:val="00313FA1"/>
    <w:rsid w:val="00317319"/>
    <w:rsid w:val="00340A5F"/>
    <w:rsid w:val="003C43F4"/>
    <w:rsid w:val="003D3993"/>
    <w:rsid w:val="003D713F"/>
    <w:rsid w:val="003F66D9"/>
    <w:rsid w:val="004351B4"/>
    <w:rsid w:val="0044634B"/>
    <w:rsid w:val="004677D9"/>
    <w:rsid w:val="00475B8F"/>
    <w:rsid w:val="004A2432"/>
    <w:rsid w:val="004A5AB1"/>
    <w:rsid w:val="004C1881"/>
    <w:rsid w:val="004C78D3"/>
    <w:rsid w:val="004D36BC"/>
    <w:rsid w:val="004F26AE"/>
    <w:rsid w:val="004F4CBB"/>
    <w:rsid w:val="0050552C"/>
    <w:rsid w:val="00524BAD"/>
    <w:rsid w:val="00547FCB"/>
    <w:rsid w:val="00556C9F"/>
    <w:rsid w:val="005620D4"/>
    <w:rsid w:val="005708B6"/>
    <w:rsid w:val="005711BE"/>
    <w:rsid w:val="00595800"/>
    <w:rsid w:val="005A2150"/>
    <w:rsid w:val="005A4F26"/>
    <w:rsid w:val="005C1D2C"/>
    <w:rsid w:val="005E7B0B"/>
    <w:rsid w:val="005F130D"/>
    <w:rsid w:val="005F7F4C"/>
    <w:rsid w:val="006136BC"/>
    <w:rsid w:val="00643004"/>
    <w:rsid w:val="00651F9C"/>
    <w:rsid w:val="00664F45"/>
    <w:rsid w:val="006A2564"/>
    <w:rsid w:val="006B3F95"/>
    <w:rsid w:val="006F560E"/>
    <w:rsid w:val="006F5ED2"/>
    <w:rsid w:val="0071106C"/>
    <w:rsid w:val="00733F58"/>
    <w:rsid w:val="00746900"/>
    <w:rsid w:val="007A03E9"/>
    <w:rsid w:val="007C4525"/>
    <w:rsid w:val="007F1507"/>
    <w:rsid w:val="00811467"/>
    <w:rsid w:val="008178CB"/>
    <w:rsid w:val="00844DEE"/>
    <w:rsid w:val="00881D43"/>
    <w:rsid w:val="008A4409"/>
    <w:rsid w:val="008D4874"/>
    <w:rsid w:val="00902843"/>
    <w:rsid w:val="0093776F"/>
    <w:rsid w:val="0095256D"/>
    <w:rsid w:val="009676DC"/>
    <w:rsid w:val="00973978"/>
    <w:rsid w:val="009746CA"/>
    <w:rsid w:val="009846D5"/>
    <w:rsid w:val="009B2FC8"/>
    <w:rsid w:val="009B4C60"/>
    <w:rsid w:val="009B6A16"/>
    <w:rsid w:val="009C671A"/>
    <w:rsid w:val="009E13CF"/>
    <w:rsid w:val="009E14F3"/>
    <w:rsid w:val="009E1957"/>
    <w:rsid w:val="00A06093"/>
    <w:rsid w:val="00A24532"/>
    <w:rsid w:val="00A5513E"/>
    <w:rsid w:val="00A65F53"/>
    <w:rsid w:val="00AA1FE1"/>
    <w:rsid w:val="00AB07C5"/>
    <w:rsid w:val="00AB1815"/>
    <w:rsid w:val="00AB4F84"/>
    <w:rsid w:val="00B049C5"/>
    <w:rsid w:val="00B51075"/>
    <w:rsid w:val="00B57344"/>
    <w:rsid w:val="00B87E04"/>
    <w:rsid w:val="00BA10B3"/>
    <w:rsid w:val="00BD0081"/>
    <w:rsid w:val="00BE63F8"/>
    <w:rsid w:val="00C61B20"/>
    <w:rsid w:val="00C61D55"/>
    <w:rsid w:val="00C755B0"/>
    <w:rsid w:val="00D35752"/>
    <w:rsid w:val="00D463D0"/>
    <w:rsid w:val="00D61395"/>
    <w:rsid w:val="00D744B4"/>
    <w:rsid w:val="00D762D3"/>
    <w:rsid w:val="00DA3FF5"/>
    <w:rsid w:val="00DD76CE"/>
    <w:rsid w:val="00E26BCD"/>
    <w:rsid w:val="00E34ECB"/>
    <w:rsid w:val="00E81542"/>
    <w:rsid w:val="00E96A3B"/>
    <w:rsid w:val="00EC710F"/>
    <w:rsid w:val="00ED2214"/>
    <w:rsid w:val="00EE4D40"/>
    <w:rsid w:val="00EF7E37"/>
    <w:rsid w:val="00F0042F"/>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24532"/>
    <w:rPr>
      <w:position w:val="6"/>
      <w:sz w:val="18"/>
    </w:rPr>
  </w:style>
  <w:style w:type="paragraph" w:styleId="FootnoteText">
    <w:name w:val="footnote text"/>
    <w:basedOn w:val="Note"/>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styleId="FollowedHyperlink">
    <w:name w:val="FollowedHyperlink"/>
    <w:basedOn w:val="DefaultParagraphFont"/>
    <w:rsid w:val="00DD76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24532"/>
    <w:rPr>
      <w:position w:val="6"/>
      <w:sz w:val="18"/>
    </w:rPr>
  </w:style>
  <w:style w:type="paragraph" w:styleId="FootnoteText">
    <w:name w:val="footnote text"/>
    <w:basedOn w:val="Note"/>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styleId="FollowedHyperlink">
    <w:name w:val="FollowedHyperlink"/>
    <w:basedOn w:val="DefaultParagraphFont"/>
    <w:rsid w:val="00DD76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R/go/que-rsg7/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Template>
  <TotalTime>33</TotalTime>
  <Pages>5</Pages>
  <Words>973</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7011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8</cp:revision>
  <cp:lastPrinted>2012-08-17T10:18:00Z</cp:lastPrinted>
  <dcterms:created xsi:type="dcterms:W3CDTF">2012-08-13T08:38:00Z</dcterms:created>
  <dcterms:modified xsi:type="dcterms:W3CDTF">2012-08-17T10:18:00Z</dcterms:modified>
</cp:coreProperties>
</file>