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8837AA" w:rsidTr="006A5F23">
        <w:tc>
          <w:tcPr>
            <w:tcW w:w="9889" w:type="dxa"/>
            <w:gridSpan w:val="3"/>
            <w:shd w:val="clear" w:color="auto" w:fill="auto"/>
          </w:tcPr>
          <w:p w:rsidR="00154A1B" w:rsidRPr="008837AA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8837AA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8837AA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8837AA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8837AA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8837AA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8837AA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8837AA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8837AA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8837AA" w:rsidTr="006A5F23">
        <w:tc>
          <w:tcPr>
            <w:tcW w:w="9889" w:type="dxa"/>
            <w:gridSpan w:val="3"/>
            <w:shd w:val="clear" w:color="auto" w:fill="auto"/>
          </w:tcPr>
          <w:p w:rsidR="00B83DAF" w:rsidRPr="008837AA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8837AA" w:rsidTr="00BF3448">
        <w:tc>
          <w:tcPr>
            <w:tcW w:w="6912" w:type="dxa"/>
            <w:gridSpan w:val="2"/>
            <w:shd w:val="clear" w:color="auto" w:fill="auto"/>
          </w:tcPr>
          <w:p w:rsidR="00B77485" w:rsidRPr="008837AA" w:rsidRDefault="00B77485" w:rsidP="00FA3DAF">
            <w:pPr>
              <w:rPr>
                <w:rtl/>
                <w:lang w:bidi="ar-SA"/>
              </w:rPr>
            </w:pPr>
            <w:r w:rsidRPr="008837AA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8837AA">
              <w:rPr>
                <w:rFonts w:hint="cs"/>
                <w:rtl/>
                <w:lang w:bidi="ar-AE"/>
              </w:rPr>
              <w:t xml:space="preserve">الإدارية </w:t>
            </w:r>
            <w:r w:rsidRPr="008837AA">
              <w:rPr>
                <w:rFonts w:hint="cs"/>
                <w:rtl/>
                <w:lang w:bidi="ar-AE"/>
              </w:rPr>
              <w:t>ال</w:t>
            </w:r>
            <w:r w:rsidR="003F47F3" w:rsidRPr="008837AA">
              <w:rPr>
                <w:rFonts w:hint="cs"/>
                <w:rtl/>
                <w:lang w:bidi="ar-AE"/>
              </w:rPr>
              <w:t>‍</w:t>
            </w:r>
            <w:r w:rsidRPr="008837AA">
              <w:rPr>
                <w:rFonts w:hint="cs"/>
                <w:rtl/>
                <w:lang w:bidi="ar-AE"/>
              </w:rPr>
              <w:t>معممة</w:t>
            </w:r>
            <w:r w:rsidR="0040641C" w:rsidRPr="008837AA">
              <w:rPr>
                <w:rtl/>
                <w:lang w:bidi="ar-AE"/>
              </w:rPr>
              <w:tab/>
            </w:r>
            <w:r w:rsidR="0040641C" w:rsidRPr="008837AA">
              <w:rPr>
                <w:rFonts w:hint="cs"/>
                <w:rtl/>
                <w:lang w:bidi="ar-AE"/>
              </w:rPr>
              <w:br/>
            </w:r>
            <w:r w:rsidR="00FA3DAF" w:rsidRPr="008837AA">
              <w:rPr>
                <w:b/>
                <w:bCs/>
              </w:rPr>
              <w:t>CACE/684</w:t>
            </w:r>
          </w:p>
        </w:tc>
        <w:tc>
          <w:tcPr>
            <w:tcW w:w="2977" w:type="dxa"/>
            <w:shd w:val="clear" w:color="auto" w:fill="auto"/>
          </w:tcPr>
          <w:p w:rsidR="00B83DAF" w:rsidRPr="008837AA" w:rsidRDefault="00FA3DAF" w:rsidP="00FA3DAF">
            <w:pPr>
              <w:jc w:val="right"/>
            </w:pPr>
            <w:r w:rsidRPr="008837AA">
              <w:t>29</w:t>
            </w:r>
            <w:r w:rsidRPr="008837AA">
              <w:rPr>
                <w:rFonts w:hint="cs"/>
                <w:rtl/>
                <w:lang w:bidi="ar-SA"/>
              </w:rPr>
              <w:t xml:space="preserve"> يوليو </w:t>
            </w:r>
            <w:r w:rsidRPr="008837AA">
              <w:t>2014</w:t>
            </w:r>
          </w:p>
        </w:tc>
      </w:tr>
      <w:tr w:rsidR="00B77485" w:rsidRPr="008837AA" w:rsidTr="006A5F23">
        <w:tc>
          <w:tcPr>
            <w:tcW w:w="9889" w:type="dxa"/>
            <w:gridSpan w:val="3"/>
            <w:shd w:val="clear" w:color="auto" w:fill="auto"/>
          </w:tcPr>
          <w:p w:rsidR="00B77485" w:rsidRPr="008837AA" w:rsidRDefault="00B77485" w:rsidP="002F5120">
            <w:pPr>
              <w:spacing w:before="0"/>
            </w:pPr>
          </w:p>
        </w:tc>
      </w:tr>
      <w:tr w:rsidR="00B77485" w:rsidRPr="008837AA" w:rsidTr="006A5F23">
        <w:tc>
          <w:tcPr>
            <w:tcW w:w="9889" w:type="dxa"/>
            <w:gridSpan w:val="3"/>
            <w:shd w:val="clear" w:color="auto" w:fill="auto"/>
          </w:tcPr>
          <w:p w:rsidR="00B77485" w:rsidRPr="008837AA" w:rsidRDefault="00B77485" w:rsidP="002F5120">
            <w:pPr>
              <w:spacing w:before="0"/>
            </w:pPr>
          </w:p>
        </w:tc>
      </w:tr>
      <w:tr w:rsidR="00B77485" w:rsidRPr="008837AA" w:rsidTr="006A5F23">
        <w:tc>
          <w:tcPr>
            <w:tcW w:w="9889" w:type="dxa"/>
            <w:gridSpan w:val="3"/>
            <w:shd w:val="clear" w:color="auto" w:fill="auto"/>
          </w:tcPr>
          <w:p w:rsidR="00B77485" w:rsidRPr="008837AA" w:rsidRDefault="00FA3DAF" w:rsidP="00FA3DAF">
            <w:pPr>
              <w:spacing w:after="120"/>
              <w:jc w:val="left"/>
              <w:rPr>
                <w:b/>
                <w:bCs/>
                <w:rtl/>
              </w:rPr>
            </w:pPr>
            <w:r w:rsidRPr="008837AA">
              <w:rPr>
                <w:b/>
                <w:bCs/>
                <w:rtl/>
              </w:rPr>
              <w:t>إلى إدارات الدول الأعضاء في الات</w:t>
            </w:r>
            <w:r w:rsidRPr="008837AA">
              <w:rPr>
                <w:rFonts w:hint="cs"/>
                <w:b/>
                <w:bCs/>
                <w:rtl/>
              </w:rPr>
              <w:t>‍</w:t>
            </w:r>
            <w:r w:rsidRPr="008837AA">
              <w:rPr>
                <w:b/>
                <w:bCs/>
                <w:rtl/>
              </w:rPr>
              <w:t>حاد وأعضاء قطاع الاتصالات الراديوية</w:t>
            </w:r>
            <w:r w:rsidRPr="008837AA">
              <w:rPr>
                <w:rFonts w:hint="cs"/>
                <w:b/>
                <w:bCs/>
                <w:rtl/>
              </w:rPr>
              <w:t xml:space="preserve"> و</w:t>
            </w:r>
            <w:r w:rsidRPr="008837AA">
              <w:rPr>
                <w:b/>
                <w:bCs/>
                <w:rtl/>
              </w:rPr>
              <w:t>ال</w:t>
            </w:r>
            <w:r w:rsidRPr="008837AA">
              <w:rPr>
                <w:rFonts w:hint="cs"/>
                <w:b/>
                <w:bCs/>
                <w:rtl/>
              </w:rPr>
              <w:t>‍</w:t>
            </w:r>
            <w:r w:rsidRPr="008837AA">
              <w:rPr>
                <w:b/>
                <w:bCs/>
                <w:rtl/>
              </w:rPr>
              <w:t>منتسبين إليه</w:t>
            </w:r>
            <w:r w:rsidRPr="008837AA">
              <w:rPr>
                <w:rFonts w:hint="cs"/>
                <w:b/>
                <w:bCs/>
                <w:rtl/>
              </w:rPr>
              <w:tab/>
            </w:r>
            <w:r w:rsidRPr="008837AA">
              <w:rPr>
                <w:b/>
                <w:bCs/>
                <w:rtl/>
              </w:rPr>
              <w:br/>
              <w:t>ال</w:t>
            </w:r>
            <w:r w:rsidRPr="008837AA">
              <w:rPr>
                <w:rFonts w:hint="cs"/>
                <w:b/>
                <w:bCs/>
                <w:rtl/>
              </w:rPr>
              <w:t>‍</w:t>
            </w:r>
            <w:r w:rsidRPr="008837AA">
              <w:rPr>
                <w:b/>
                <w:bCs/>
                <w:rtl/>
              </w:rPr>
              <w:t>مشاركين</w:t>
            </w:r>
            <w:r w:rsidRPr="008837AA">
              <w:rPr>
                <w:rFonts w:hint="cs"/>
                <w:b/>
                <w:bCs/>
                <w:rtl/>
              </w:rPr>
              <w:t> </w:t>
            </w:r>
            <w:r w:rsidRPr="008837AA">
              <w:rPr>
                <w:b/>
                <w:bCs/>
                <w:rtl/>
              </w:rPr>
              <w:t>في أعمال ل</w:t>
            </w:r>
            <w:r w:rsidRPr="008837AA">
              <w:rPr>
                <w:rFonts w:hint="cs"/>
                <w:b/>
                <w:bCs/>
                <w:rtl/>
              </w:rPr>
              <w:t>‍</w:t>
            </w:r>
            <w:r w:rsidRPr="008837AA">
              <w:rPr>
                <w:b/>
                <w:bCs/>
                <w:rtl/>
              </w:rPr>
              <w:t xml:space="preserve">جنة الدراسات </w:t>
            </w:r>
            <w:r w:rsidRPr="008837AA">
              <w:rPr>
                <w:b/>
                <w:bCs/>
              </w:rPr>
              <w:t>4</w:t>
            </w:r>
            <w:r w:rsidRPr="008837AA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8837AA" w:rsidTr="006A5F23">
        <w:tc>
          <w:tcPr>
            <w:tcW w:w="9889" w:type="dxa"/>
            <w:gridSpan w:val="3"/>
            <w:shd w:val="clear" w:color="auto" w:fill="auto"/>
          </w:tcPr>
          <w:p w:rsidR="00FB05F7" w:rsidRPr="008837AA" w:rsidRDefault="00FB05F7" w:rsidP="00B14E56">
            <w:pPr>
              <w:spacing w:before="0"/>
            </w:pPr>
          </w:p>
        </w:tc>
      </w:tr>
      <w:tr w:rsidR="0096482F" w:rsidRPr="008837AA" w:rsidTr="006A5F23">
        <w:tc>
          <w:tcPr>
            <w:tcW w:w="9889" w:type="dxa"/>
            <w:gridSpan w:val="3"/>
            <w:shd w:val="clear" w:color="auto" w:fill="auto"/>
          </w:tcPr>
          <w:p w:rsidR="0096482F" w:rsidRPr="008837AA" w:rsidRDefault="0096482F" w:rsidP="00B14E56">
            <w:pPr>
              <w:spacing w:before="0"/>
            </w:pPr>
          </w:p>
        </w:tc>
      </w:tr>
      <w:tr w:rsidR="00B77485" w:rsidRPr="008837AA" w:rsidTr="00B77485">
        <w:tc>
          <w:tcPr>
            <w:tcW w:w="1383" w:type="dxa"/>
            <w:shd w:val="clear" w:color="auto" w:fill="auto"/>
          </w:tcPr>
          <w:p w:rsidR="00B77485" w:rsidRPr="008837AA" w:rsidRDefault="00B77485" w:rsidP="008D09DD">
            <w:pPr>
              <w:spacing w:before="60" w:after="60"/>
              <w:rPr>
                <w:lang w:val="fr-FR"/>
              </w:rPr>
            </w:pPr>
            <w:r w:rsidRPr="008837AA">
              <w:rPr>
                <w:rtl/>
              </w:rPr>
              <w:t>ال</w:t>
            </w:r>
            <w:r w:rsidR="00125B91" w:rsidRPr="008837AA">
              <w:rPr>
                <w:rFonts w:hint="cs"/>
                <w:rtl/>
              </w:rPr>
              <w:t>‍</w:t>
            </w:r>
            <w:r w:rsidRPr="008837AA">
              <w:rPr>
                <w:rtl/>
              </w:rPr>
              <w:t>موضوع</w:t>
            </w:r>
            <w:r w:rsidRPr="008837AA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DC004A" w:rsidRPr="008837AA" w:rsidRDefault="00FA3DAF" w:rsidP="00FA3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bCs/>
              </w:rPr>
            </w:pPr>
            <w:r w:rsidRPr="008837AA">
              <w:rPr>
                <w:b/>
                <w:bCs/>
                <w:rtl/>
              </w:rPr>
              <w:t>ل</w:t>
            </w:r>
            <w:r w:rsidRPr="008837AA">
              <w:rPr>
                <w:rFonts w:hint="cs"/>
                <w:b/>
                <w:bCs/>
                <w:rtl/>
              </w:rPr>
              <w:t>‍</w:t>
            </w:r>
            <w:r w:rsidRPr="008837AA">
              <w:rPr>
                <w:b/>
                <w:bCs/>
                <w:rtl/>
              </w:rPr>
              <w:t xml:space="preserve">جنة الدراسات </w:t>
            </w:r>
            <w:r w:rsidRPr="008837AA">
              <w:rPr>
                <w:b/>
                <w:bCs/>
                <w:lang w:bidi="ar-SA"/>
              </w:rPr>
              <w:t>4</w:t>
            </w:r>
            <w:r w:rsidRPr="008837AA">
              <w:rPr>
                <w:b/>
                <w:bCs/>
                <w:rtl/>
              </w:rPr>
              <w:t xml:space="preserve"> للاتصالات الراديوية</w:t>
            </w:r>
            <w:r w:rsidRPr="008837AA">
              <w:rPr>
                <w:rFonts w:hint="cs"/>
                <w:b/>
                <w:bCs/>
                <w:rtl/>
              </w:rPr>
              <w:t xml:space="preserve"> (الخدمات الساتلية)</w:t>
            </w:r>
          </w:p>
          <w:p w:rsidR="00FA3DAF" w:rsidRPr="008837AA" w:rsidRDefault="005355D7" w:rsidP="00FA3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b/>
                <w:bCs/>
                <w:rtl/>
              </w:rPr>
            </w:pPr>
            <w:r w:rsidRPr="008837AA">
              <w:rPr>
                <w:rFonts w:hint="cs"/>
                <w:b/>
                <w:bCs/>
                <w:rtl/>
              </w:rPr>
              <w:t>-</w:t>
            </w:r>
            <w:r w:rsidRPr="008837AA">
              <w:rPr>
                <w:b/>
                <w:bCs/>
                <w:rtl/>
              </w:rPr>
              <w:tab/>
            </w:r>
            <w:r w:rsidR="00FA3DAF" w:rsidRPr="008837AA">
              <w:rPr>
                <w:rFonts w:hint="cs"/>
                <w:b/>
                <w:bCs/>
                <w:rtl/>
              </w:rPr>
              <w:t xml:space="preserve">اقتراح </w:t>
            </w:r>
            <w:r w:rsidR="00FA3DAF" w:rsidRPr="008837AA">
              <w:rPr>
                <w:b/>
                <w:bCs/>
                <w:rtl/>
              </w:rPr>
              <w:t>اعتماد</w:t>
            </w:r>
            <w:r w:rsidR="00FA3DAF" w:rsidRPr="008837AA">
              <w:rPr>
                <w:rFonts w:hint="cs"/>
                <w:b/>
                <w:bCs/>
                <w:rtl/>
              </w:rPr>
              <w:t xml:space="preserve"> مشروع توصية جديدة ومشروع مراجعة </w:t>
            </w:r>
            <w:r w:rsidR="00FA3DAF" w:rsidRPr="008837AA">
              <w:rPr>
                <w:rFonts w:hint="cs"/>
                <w:b/>
                <w:bCs/>
                <w:rtl/>
                <w:lang w:bidi="ar-SA"/>
              </w:rPr>
              <w:t>توصية</w:t>
            </w:r>
            <w:r w:rsidR="00FA3DAF" w:rsidRPr="008837AA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  <w:r w:rsidR="00FA3DAF" w:rsidRPr="008837A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FA3DAF" w:rsidRPr="008837AA">
              <w:rPr>
                <w:rFonts w:hint="cs"/>
                <w:b/>
                <w:bCs/>
                <w:rtl/>
              </w:rPr>
              <w:t xml:space="preserve">وال‍موافقة عليهما في نفس الوقت </w:t>
            </w:r>
            <w:r w:rsidR="00FA3DAF" w:rsidRPr="008837AA">
              <w:rPr>
                <w:rFonts w:hint="cs"/>
                <w:b/>
                <w:bCs/>
                <w:rtl/>
                <w:lang w:bidi="ar-SY"/>
              </w:rPr>
              <w:t>بال‍مراسلة وفقاً للفقرة </w:t>
            </w:r>
            <w:r w:rsidR="00FA3DAF" w:rsidRPr="008837AA">
              <w:rPr>
                <w:b/>
                <w:bCs/>
              </w:rPr>
              <w:t>3.10</w:t>
            </w:r>
            <w:r w:rsidR="00FA3DAF" w:rsidRPr="008837AA">
              <w:rPr>
                <w:rFonts w:hint="cs"/>
                <w:b/>
                <w:bCs/>
                <w:rtl/>
              </w:rPr>
              <w:t xml:space="preserve"> من القرار </w:t>
            </w:r>
            <w:r w:rsidR="00FA3DAF" w:rsidRPr="008837AA">
              <w:rPr>
                <w:b/>
                <w:bCs/>
              </w:rPr>
              <w:t>ITU-R 1-6</w:t>
            </w:r>
            <w:r w:rsidR="00FA3DAF" w:rsidRPr="008837AA">
              <w:rPr>
                <w:rFonts w:hint="cs"/>
                <w:b/>
                <w:bCs/>
                <w:rtl/>
              </w:rPr>
              <w:t xml:space="preserve"> (إجراء الاعتماد وال‍موافقة في نفس الوقت بال‍مراسلة)</w:t>
            </w:r>
          </w:p>
          <w:p w:rsidR="00195371" w:rsidRPr="008837AA" w:rsidRDefault="00FA3DAF" w:rsidP="00FA3D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b/>
                <w:bCs/>
                <w:rtl/>
                <w:lang w:val="fr-FR"/>
              </w:rPr>
            </w:pPr>
            <w:r w:rsidRPr="008837AA">
              <w:rPr>
                <w:rFonts w:hint="cs"/>
                <w:b/>
                <w:bCs/>
                <w:rtl/>
                <w:lang w:bidi="ar-SY"/>
              </w:rPr>
              <w:t>-</w:t>
            </w:r>
            <w:r w:rsidRPr="008837AA">
              <w:rPr>
                <w:b/>
                <w:bCs/>
                <w:rtl/>
                <w:lang w:bidi="ar-SY"/>
              </w:rPr>
              <w:tab/>
            </w:r>
            <w:r w:rsidRPr="008837AA">
              <w:rPr>
                <w:rFonts w:hint="cs"/>
                <w:b/>
                <w:bCs/>
                <w:rtl/>
                <w:lang w:bidi="ar-SY"/>
              </w:rPr>
              <w:t xml:space="preserve">اقتراح </w:t>
            </w:r>
            <w:r w:rsidRPr="008837AA">
              <w:rPr>
                <w:rFonts w:hint="cs"/>
                <w:b/>
                <w:bCs/>
                <w:rtl/>
                <w:lang w:bidi="ar-SA"/>
              </w:rPr>
              <w:t xml:space="preserve">الموافقة </w:t>
            </w:r>
            <w:r w:rsidRPr="008837AA">
              <w:rPr>
                <w:rFonts w:hint="cs"/>
                <w:b/>
                <w:bCs/>
                <w:rtl/>
                <w:lang w:bidi="ar-SY"/>
              </w:rPr>
              <w:t xml:space="preserve">على إلغاء </w:t>
            </w:r>
            <w:r w:rsidRPr="008837AA">
              <w:rPr>
                <w:b/>
                <w:bCs/>
              </w:rPr>
              <w:t>5</w:t>
            </w:r>
            <w:r w:rsidRPr="008837AA">
              <w:rPr>
                <w:rFonts w:hint="cs"/>
                <w:b/>
                <w:bCs/>
                <w:rtl/>
              </w:rPr>
              <w:t xml:space="preserve"> توصيات لقطاع الاتصالات الراديوية</w:t>
            </w:r>
          </w:p>
        </w:tc>
      </w:tr>
      <w:tr w:rsidR="00B77485" w:rsidRPr="008837AA" w:rsidTr="00B77485">
        <w:tc>
          <w:tcPr>
            <w:tcW w:w="1383" w:type="dxa"/>
            <w:shd w:val="clear" w:color="auto" w:fill="auto"/>
          </w:tcPr>
          <w:p w:rsidR="00B77485" w:rsidRPr="008837AA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837AA" w:rsidRDefault="00B77485" w:rsidP="002A4BA8">
            <w:pPr>
              <w:rPr>
                <w:lang w:val="fr-FR"/>
              </w:rPr>
            </w:pPr>
          </w:p>
        </w:tc>
      </w:tr>
      <w:tr w:rsidR="00B77485" w:rsidRPr="008837AA" w:rsidTr="00B77485">
        <w:tc>
          <w:tcPr>
            <w:tcW w:w="1383" w:type="dxa"/>
            <w:shd w:val="clear" w:color="auto" w:fill="auto"/>
          </w:tcPr>
          <w:p w:rsidR="00B77485" w:rsidRPr="008837AA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837AA" w:rsidRDefault="00B77485" w:rsidP="0040641C">
            <w:pPr>
              <w:rPr>
                <w:lang w:val="fr-FR"/>
              </w:rPr>
            </w:pPr>
          </w:p>
        </w:tc>
      </w:tr>
    </w:tbl>
    <w:p w:rsidR="00FA3DAF" w:rsidRPr="00EF1DE3" w:rsidRDefault="00FA3DAF" w:rsidP="00FA3DAF">
      <w:pPr>
        <w:spacing w:before="1080"/>
        <w:rPr>
          <w:rtl/>
        </w:rPr>
      </w:pPr>
      <w:bookmarkStart w:id="1" w:name="CurrentLocation"/>
      <w:bookmarkEnd w:id="1"/>
      <w:r w:rsidRPr="00EF1DE3">
        <w:rPr>
          <w:rFonts w:hint="cs"/>
          <w:rtl/>
        </w:rPr>
        <w:t>ت‍حية طيبة وبعد،</w:t>
      </w:r>
    </w:p>
    <w:p w:rsidR="00F373C8" w:rsidRPr="00EF1DE3" w:rsidRDefault="00FA3DAF" w:rsidP="00FA3DAF">
      <w:pPr>
        <w:rPr>
          <w:rtl/>
          <w:lang w:bidi="ar-SA"/>
        </w:rPr>
      </w:pPr>
      <w:r w:rsidRPr="00EF1DE3">
        <w:rPr>
          <w:rtl/>
        </w:rPr>
        <w:t>قررت ل</w:t>
      </w:r>
      <w:r w:rsidRPr="00EF1DE3">
        <w:rPr>
          <w:rFonts w:hint="cs"/>
          <w:rtl/>
        </w:rPr>
        <w:t>‍</w:t>
      </w:r>
      <w:r w:rsidRPr="00EF1DE3">
        <w:rPr>
          <w:rtl/>
        </w:rPr>
        <w:t>جنة الدراسات</w:t>
      </w:r>
      <w:r w:rsidRPr="00EF1DE3">
        <w:rPr>
          <w:rFonts w:hint="cs"/>
          <w:rtl/>
        </w:rPr>
        <w:t> </w:t>
      </w:r>
      <w:r w:rsidRPr="00EF1DE3">
        <w:rPr>
          <w:lang w:bidi="ar-SA"/>
        </w:rPr>
        <w:t>4</w:t>
      </w:r>
      <w:r w:rsidRPr="00EF1DE3">
        <w:rPr>
          <w:rtl/>
        </w:rPr>
        <w:t xml:space="preserve"> للاتصالات الراديوية في اجتماعها ال</w:t>
      </w:r>
      <w:r w:rsidRPr="00EF1DE3">
        <w:rPr>
          <w:rFonts w:hint="cs"/>
          <w:rtl/>
        </w:rPr>
        <w:t>‍</w:t>
      </w:r>
      <w:r w:rsidRPr="00EF1DE3">
        <w:rPr>
          <w:rtl/>
        </w:rPr>
        <w:t xml:space="preserve">منعقد </w:t>
      </w:r>
      <w:r w:rsidRPr="00EF1DE3">
        <w:rPr>
          <w:rFonts w:hint="cs"/>
          <w:rtl/>
        </w:rPr>
        <w:t xml:space="preserve">في </w:t>
      </w:r>
      <w:r w:rsidRPr="00EF1DE3">
        <w:rPr>
          <w:lang w:bidi="ar-SA"/>
        </w:rPr>
        <w:t>11</w:t>
      </w:r>
      <w:r w:rsidRPr="00EF1DE3">
        <w:rPr>
          <w:rFonts w:hint="cs"/>
          <w:rtl/>
        </w:rPr>
        <w:t xml:space="preserve"> يوليو</w:t>
      </w:r>
      <w:r w:rsidRPr="00EF1DE3">
        <w:rPr>
          <w:rFonts w:hint="eastAsia"/>
          <w:rtl/>
        </w:rPr>
        <w:t> </w:t>
      </w:r>
      <w:r w:rsidRPr="00EF1DE3">
        <w:rPr>
          <w:lang w:bidi="ar-SA"/>
        </w:rPr>
        <w:t>2014</w:t>
      </w:r>
      <w:r w:rsidRPr="00EF1DE3">
        <w:rPr>
          <w:rtl/>
        </w:rPr>
        <w:t xml:space="preserve"> أن تلتمس اعتماد </w:t>
      </w:r>
      <w:r w:rsidRPr="00EF1DE3">
        <w:rPr>
          <w:rFonts w:hint="cs"/>
          <w:rtl/>
        </w:rPr>
        <w:t xml:space="preserve">مشروع توصية جديدة ومشروع مراجعة </w:t>
      </w:r>
      <w:r w:rsidRPr="00EF1DE3">
        <w:rPr>
          <w:rFonts w:hint="cs"/>
          <w:rtl/>
          <w:lang w:bidi="ar-SA"/>
        </w:rPr>
        <w:t>توصية</w:t>
      </w:r>
      <w:r w:rsidRPr="00EF1DE3">
        <w:rPr>
          <w:rFonts w:hint="cs"/>
          <w:rtl/>
        </w:rPr>
        <w:t xml:space="preserve"> لقطاع الاتصالات الراديوية عن طريق ال‍مراسلة (الفقرة </w:t>
      </w:r>
      <w:r w:rsidRPr="00EF1DE3">
        <w:rPr>
          <w:lang w:bidi="ar-SA"/>
        </w:rPr>
        <w:t>3.2.10</w:t>
      </w:r>
      <w:r w:rsidRPr="00EF1DE3">
        <w:rPr>
          <w:rFonts w:hint="cs"/>
          <w:rtl/>
        </w:rPr>
        <w:t xml:space="preserve"> من القرار </w:t>
      </w:r>
      <w:r w:rsidRPr="00EF1DE3">
        <w:rPr>
          <w:lang w:bidi="ar-SA"/>
        </w:rPr>
        <w:t>ITU-R 1-6</w:t>
      </w:r>
      <w:r w:rsidRPr="00EF1DE3">
        <w:rPr>
          <w:rFonts w:hint="cs"/>
          <w:rtl/>
        </w:rPr>
        <w:t>)، وقررت كذلك تطبيق إجراء الاعتماد وال‍موافقة في نفس الوقت عن طريق ال‍مراسلة </w:t>
      </w:r>
      <w:r w:rsidRPr="00EF1DE3">
        <w:rPr>
          <w:lang w:bidi="ar-SA"/>
        </w:rPr>
        <w:t>(PSAA)</w:t>
      </w:r>
      <w:r w:rsidRPr="00EF1DE3">
        <w:rPr>
          <w:rFonts w:hint="cs"/>
          <w:rtl/>
        </w:rPr>
        <w:t xml:space="preserve"> (الفقرة </w:t>
      </w:r>
      <w:r w:rsidRPr="00EF1DE3">
        <w:rPr>
          <w:lang w:bidi="ar-SA"/>
        </w:rPr>
        <w:t>3.10</w:t>
      </w:r>
      <w:r w:rsidRPr="00EF1DE3">
        <w:rPr>
          <w:rFonts w:hint="cs"/>
          <w:rtl/>
        </w:rPr>
        <w:t xml:space="preserve"> من القرار</w:t>
      </w:r>
      <w:r w:rsidRPr="00EF1DE3">
        <w:rPr>
          <w:rFonts w:hint="eastAsia"/>
          <w:rtl/>
        </w:rPr>
        <w:t> </w:t>
      </w:r>
      <w:r w:rsidRPr="00EF1DE3">
        <w:rPr>
          <w:lang w:bidi="ar-SA"/>
        </w:rPr>
        <w:t>ITU-R 1-6</w:t>
      </w:r>
      <w:r w:rsidRPr="00EF1DE3">
        <w:rPr>
          <w:rFonts w:hint="cs"/>
          <w:rtl/>
        </w:rPr>
        <w:t>). ويرد في</w:t>
      </w:r>
      <w:r w:rsidRPr="00EF1DE3">
        <w:rPr>
          <w:rFonts w:hint="eastAsia"/>
          <w:rtl/>
        </w:rPr>
        <w:t> </w:t>
      </w:r>
      <w:r w:rsidRPr="00EF1DE3">
        <w:rPr>
          <w:rFonts w:hint="cs"/>
          <w:rtl/>
        </w:rPr>
        <w:t>ال‍ملحق </w:t>
      </w:r>
      <w:r w:rsidRPr="00EF1DE3">
        <w:rPr>
          <w:lang w:bidi="ar-SA"/>
        </w:rPr>
        <w:t>1</w:t>
      </w:r>
      <w:r w:rsidRPr="00EF1DE3">
        <w:rPr>
          <w:rFonts w:hint="cs"/>
          <w:rtl/>
        </w:rPr>
        <w:t xml:space="preserve"> </w:t>
      </w:r>
      <w:r w:rsidRPr="00EF1DE3">
        <w:rPr>
          <w:rFonts w:hint="cs"/>
          <w:spacing w:val="4"/>
          <w:rtl/>
        </w:rPr>
        <w:t>عنوان وملخص كل من مشروعي التوصيتين. وعلاوةً على ذلك، اقترحت ل‍جنة الدراسات الموافقة على إلغاء </w:t>
      </w:r>
      <w:r w:rsidRPr="00EF1DE3">
        <w:rPr>
          <w:spacing w:val="4"/>
          <w:lang w:bidi="ar-SA"/>
        </w:rPr>
        <w:t>5</w:t>
      </w:r>
      <w:r w:rsidRPr="00EF1DE3">
        <w:rPr>
          <w:rFonts w:hint="eastAsia"/>
          <w:spacing w:val="4"/>
          <w:rtl/>
        </w:rPr>
        <w:t> </w:t>
      </w:r>
      <w:r w:rsidRPr="00EF1DE3">
        <w:rPr>
          <w:rFonts w:hint="cs"/>
          <w:spacing w:val="4"/>
          <w:rtl/>
        </w:rPr>
        <w:t>توصيات مبينة</w:t>
      </w:r>
      <w:r w:rsidRPr="00EF1DE3">
        <w:rPr>
          <w:rFonts w:hint="cs"/>
          <w:rtl/>
        </w:rPr>
        <w:t xml:space="preserve"> في</w:t>
      </w:r>
      <w:r w:rsidRPr="00EF1DE3">
        <w:rPr>
          <w:rFonts w:hint="eastAsia"/>
          <w:rtl/>
        </w:rPr>
        <w:t> </w:t>
      </w:r>
      <w:r w:rsidRPr="00EF1DE3">
        <w:rPr>
          <w:rFonts w:hint="cs"/>
          <w:rtl/>
        </w:rPr>
        <w:t>ال‍ملحق </w:t>
      </w:r>
      <w:r w:rsidRPr="00EF1DE3">
        <w:rPr>
          <w:lang w:bidi="ar-SA"/>
        </w:rPr>
        <w:t>2</w:t>
      </w:r>
      <w:r w:rsidRPr="00EF1DE3">
        <w:rPr>
          <w:rFonts w:hint="cs"/>
          <w:rtl/>
        </w:rPr>
        <w:t>.</w:t>
      </w:r>
    </w:p>
    <w:p w:rsidR="00FA3DAF" w:rsidRPr="00EF1DE3" w:rsidRDefault="00FA3DAF" w:rsidP="005D4365">
      <w:pPr>
        <w:rPr>
          <w:rtl/>
        </w:rPr>
      </w:pPr>
      <w:r w:rsidRPr="00EF1DE3">
        <w:rPr>
          <w:rtl/>
        </w:rPr>
        <w:t>وت</w:t>
      </w:r>
      <w:r w:rsidRPr="00EF1DE3">
        <w:rPr>
          <w:rFonts w:hint="cs"/>
          <w:rtl/>
        </w:rPr>
        <w:t>‍</w:t>
      </w:r>
      <w:r w:rsidRPr="00EF1DE3">
        <w:rPr>
          <w:rtl/>
        </w:rPr>
        <w:t xml:space="preserve">متد فترة النظر </w:t>
      </w:r>
      <w:r w:rsidRPr="00EF1DE3">
        <w:rPr>
          <w:rFonts w:hint="cs"/>
          <w:rtl/>
        </w:rPr>
        <w:t xml:space="preserve">ل‍مدة شهرين </w:t>
      </w:r>
      <w:r w:rsidRPr="00EF1DE3">
        <w:rPr>
          <w:rtl/>
        </w:rPr>
        <w:t>تنتهي في</w:t>
      </w:r>
      <w:r w:rsidRPr="00EF1DE3">
        <w:rPr>
          <w:rFonts w:hint="cs"/>
          <w:rtl/>
        </w:rPr>
        <w:t xml:space="preserve"> </w:t>
      </w:r>
      <w:r w:rsidRPr="00EF1DE3">
        <w:rPr>
          <w:u w:val="single"/>
          <w:lang w:bidi="ar-SA"/>
        </w:rPr>
        <w:t>29</w:t>
      </w:r>
      <w:r w:rsidRPr="00EF1DE3">
        <w:rPr>
          <w:rFonts w:hint="cs"/>
          <w:u w:val="single"/>
          <w:rtl/>
        </w:rPr>
        <w:t xml:space="preserve"> سبتمبر </w:t>
      </w:r>
      <w:r w:rsidRPr="00EF1DE3">
        <w:rPr>
          <w:u w:val="single"/>
          <w:lang w:bidi="ar-SA"/>
        </w:rPr>
        <w:t>2014</w:t>
      </w:r>
      <w:r w:rsidRPr="00EF1DE3">
        <w:rPr>
          <w:rtl/>
        </w:rPr>
        <w:t>. وإذا ل</w:t>
      </w:r>
      <w:r w:rsidRPr="00EF1DE3">
        <w:rPr>
          <w:rFonts w:hint="cs"/>
          <w:rtl/>
        </w:rPr>
        <w:t>‍</w:t>
      </w:r>
      <w:r w:rsidRPr="00EF1DE3">
        <w:rPr>
          <w:rtl/>
        </w:rPr>
        <w:t>م ترد أي اعتراضات من الدول الأعضاء خلال هذه الفترة</w:t>
      </w:r>
      <w:r w:rsidRPr="00EF1DE3">
        <w:rPr>
          <w:rFonts w:hint="cs"/>
          <w:rtl/>
        </w:rPr>
        <w:t>، فإن</w:t>
      </w:r>
      <w:r w:rsidR="005D4365">
        <w:rPr>
          <w:rFonts w:hint="eastAsia"/>
          <w:rtl/>
        </w:rPr>
        <w:t> </w:t>
      </w:r>
      <w:r w:rsidRPr="00EF1DE3">
        <w:rPr>
          <w:rFonts w:hint="cs"/>
          <w:spacing w:val="4"/>
          <w:rtl/>
        </w:rPr>
        <w:t>مشاريع التوصيات تعتبر قد اعتمدت‍ها ل‍جنة الدراسات </w:t>
      </w:r>
      <w:r w:rsidRPr="00EF1DE3">
        <w:rPr>
          <w:spacing w:val="4"/>
          <w:lang w:bidi="ar-SA"/>
        </w:rPr>
        <w:t>4</w:t>
      </w:r>
      <w:r w:rsidRPr="00EF1DE3">
        <w:rPr>
          <w:rFonts w:hint="cs"/>
          <w:spacing w:val="4"/>
          <w:rtl/>
        </w:rPr>
        <w:t xml:space="preserve">. وعلاوةً على ذلك، ول‍ما كان قد ت‍م اتباع إجراء الاعتماد وال‍موافقة </w:t>
      </w:r>
      <w:r w:rsidRPr="00EF1DE3">
        <w:rPr>
          <w:rFonts w:hint="cs"/>
          <w:rtl/>
        </w:rPr>
        <w:t>في</w:t>
      </w:r>
      <w:r w:rsidRPr="00EF1DE3">
        <w:rPr>
          <w:rFonts w:hint="eastAsia"/>
          <w:rtl/>
        </w:rPr>
        <w:t> </w:t>
      </w:r>
      <w:r w:rsidRPr="00EF1DE3">
        <w:rPr>
          <w:rFonts w:hint="cs"/>
          <w:rtl/>
        </w:rPr>
        <w:t>نفس الوقت عن طريق ال‍مراسلة، فإن مشاريع التوصيات ستعتبر أيضاً ب‍حكم ال‍موافَق عليها.</w:t>
      </w:r>
    </w:p>
    <w:p w:rsidR="00FA3DAF" w:rsidRPr="00EF1DE3" w:rsidRDefault="00FA3DAF" w:rsidP="00FA3DAF">
      <w:pPr>
        <w:rPr>
          <w:rtl/>
        </w:rPr>
      </w:pPr>
      <w:r w:rsidRPr="00EF1DE3">
        <w:rPr>
          <w:rFonts w:hint="cs"/>
          <w:rtl/>
        </w:rPr>
        <w:t>ويُطلب من أي دولة عضو تعترض على اعتماد مشروع توصية أو ال‍موافقة على إلغاء توصية أن ت‍خبر ال‍مدير ورئيس ل‍جنة الدراسات بأسباب اعتراضها.</w:t>
      </w:r>
    </w:p>
    <w:p w:rsidR="00F373C8" w:rsidRPr="00EF1DE3" w:rsidRDefault="00FA3DAF" w:rsidP="00C612E2">
      <w:pPr>
        <w:rPr>
          <w:rtl/>
          <w:lang w:bidi="ar-SA"/>
        </w:rPr>
      </w:pPr>
      <w:r w:rsidRPr="00EF1DE3">
        <w:rPr>
          <w:rFonts w:hint="cs"/>
          <w:spacing w:val="4"/>
          <w:rtl/>
        </w:rPr>
        <w:t xml:space="preserve">وبعد ال‍مهلة ال‍محددة أعلاه، ستعلن نتائج هذا الإجراء في رسالة إدارية معممة وستنشر </w:t>
      </w:r>
      <w:r w:rsidR="00C612E2">
        <w:rPr>
          <w:rFonts w:hint="cs"/>
          <w:spacing w:val="4"/>
          <w:rtl/>
        </w:rPr>
        <w:t>التوصيتان</w:t>
      </w:r>
      <w:r w:rsidRPr="00EF1DE3">
        <w:rPr>
          <w:rFonts w:hint="cs"/>
          <w:spacing w:val="4"/>
          <w:rtl/>
        </w:rPr>
        <w:t xml:space="preserve"> التي ت‍مت ال‍موافقة عليه</w:t>
      </w:r>
      <w:r w:rsidR="00C612E2">
        <w:rPr>
          <w:rFonts w:hint="cs"/>
          <w:spacing w:val="4"/>
          <w:rtl/>
        </w:rPr>
        <w:t>م</w:t>
      </w:r>
      <w:r w:rsidRPr="00EF1DE3">
        <w:rPr>
          <w:rFonts w:hint="cs"/>
          <w:spacing w:val="4"/>
          <w:rtl/>
        </w:rPr>
        <w:t>ا</w:t>
      </w:r>
      <w:r w:rsidRPr="00EF1DE3">
        <w:rPr>
          <w:rFonts w:hint="cs"/>
          <w:rtl/>
        </w:rPr>
        <w:t xml:space="preserve"> في</w:t>
      </w:r>
      <w:r w:rsidRPr="00EF1DE3">
        <w:rPr>
          <w:rFonts w:hint="eastAsia"/>
          <w:rtl/>
        </w:rPr>
        <w:t> </w:t>
      </w:r>
      <w:r w:rsidRPr="00EF1DE3">
        <w:rPr>
          <w:rFonts w:hint="cs"/>
          <w:rtl/>
        </w:rPr>
        <w:t>أقرب وقت م‍مكن (انظر </w:t>
      </w:r>
      <w:hyperlink r:id="rId9" w:history="1">
        <w:r w:rsidR="00706B76" w:rsidRPr="00EF1DE3">
          <w:rPr>
            <w:rStyle w:val="Hyperlink"/>
            <w:lang w:bidi="ar-SA"/>
          </w:rPr>
          <w:t>http://www.itu.int/pub/R-REC</w:t>
        </w:r>
      </w:hyperlink>
      <w:r w:rsidRPr="00EF1DE3">
        <w:rPr>
          <w:rFonts w:hint="cs"/>
          <w:rtl/>
        </w:rPr>
        <w:t>).</w:t>
      </w:r>
    </w:p>
    <w:p w:rsidR="00F373C8" w:rsidRPr="00EF1DE3" w:rsidRDefault="00FA3DAF" w:rsidP="0085411C">
      <w:pPr>
        <w:keepNext/>
        <w:keepLines/>
        <w:rPr>
          <w:rtl/>
          <w:lang w:bidi="ar-SA"/>
        </w:rPr>
      </w:pPr>
      <w:r w:rsidRPr="00EF1DE3">
        <w:rPr>
          <w:rtl/>
        </w:rPr>
        <w:lastRenderedPageBreak/>
        <w:t>ويرجى من أي منظمة عضو في الات</w:t>
      </w:r>
      <w:r w:rsidRPr="00EF1DE3">
        <w:rPr>
          <w:rFonts w:hint="cs"/>
          <w:rtl/>
        </w:rPr>
        <w:t>‍</w:t>
      </w:r>
      <w:r w:rsidRPr="00EF1DE3">
        <w:rPr>
          <w:rtl/>
        </w:rPr>
        <w:t>حاد تعلم بوجود براءة اختراع لديها أو لدى غيرها تغطي كلياً أو جزئياً عناصر</w:t>
      </w:r>
      <w:r w:rsidRPr="00EF1DE3">
        <w:rPr>
          <w:rFonts w:hint="cs"/>
          <w:rtl/>
        </w:rPr>
        <w:t xml:space="preserve"> </w:t>
      </w:r>
      <w:r w:rsidR="005D4365">
        <w:rPr>
          <w:rFonts w:hint="cs"/>
          <w:rtl/>
        </w:rPr>
        <w:t>مشروعي التوصيتين ال‍مذكورتين</w:t>
      </w:r>
      <w:r w:rsidRPr="00EF1DE3">
        <w:rPr>
          <w:rtl/>
        </w:rPr>
        <w:t xml:space="preserve"> في هذه الرسالة أن تبلغ الأمانة بهذه ال</w:t>
      </w:r>
      <w:r w:rsidRPr="00EF1DE3">
        <w:rPr>
          <w:rFonts w:hint="cs"/>
          <w:rtl/>
        </w:rPr>
        <w:t>‍</w:t>
      </w:r>
      <w:r w:rsidRPr="00EF1DE3">
        <w:rPr>
          <w:rtl/>
        </w:rPr>
        <w:t>معلومات بأسرع ما</w:t>
      </w:r>
      <w:r w:rsidRPr="00EF1DE3">
        <w:rPr>
          <w:rFonts w:hint="eastAsia"/>
          <w:rtl/>
        </w:rPr>
        <w:t> </w:t>
      </w:r>
      <w:r w:rsidRPr="00EF1DE3">
        <w:rPr>
          <w:rtl/>
        </w:rPr>
        <w:t>ي</w:t>
      </w:r>
      <w:r w:rsidRPr="00EF1DE3">
        <w:rPr>
          <w:rFonts w:hint="cs"/>
          <w:rtl/>
        </w:rPr>
        <w:t>‍</w:t>
      </w:r>
      <w:r w:rsidRPr="00EF1DE3">
        <w:rPr>
          <w:rtl/>
        </w:rPr>
        <w:t>مكن. وي</w:t>
      </w:r>
      <w:r w:rsidRPr="00EF1DE3">
        <w:rPr>
          <w:rFonts w:hint="cs"/>
          <w:rtl/>
        </w:rPr>
        <w:t>‍</w:t>
      </w:r>
      <w:r w:rsidRPr="00EF1DE3">
        <w:rPr>
          <w:rtl/>
        </w:rPr>
        <w:t>مكن</w:t>
      </w:r>
      <w:r w:rsidRPr="00EF1DE3">
        <w:rPr>
          <w:rFonts w:hint="cs"/>
          <w:rtl/>
        </w:rPr>
        <w:t xml:space="preserve"> </w:t>
      </w:r>
      <w:r w:rsidRPr="00EF1DE3">
        <w:rPr>
          <w:rtl/>
        </w:rPr>
        <w:t>الاطلاع على السياسة ال</w:t>
      </w:r>
      <w:r w:rsidRPr="00EF1DE3">
        <w:rPr>
          <w:rFonts w:hint="cs"/>
          <w:rtl/>
        </w:rPr>
        <w:t>‍</w:t>
      </w:r>
      <w:r w:rsidRPr="00EF1DE3">
        <w:rPr>
          <w:rtl/>
        </w:rPr>
        <w:t xml:space="preserve">مشتركة </w:t>
      </w:r>
      <w:r w:rsidR="00660AB4" w:rsidRPr="00660AB4">
        <w:rPr>
          <w:rFonts w:hint="cs"/>
          <w:rtl/>
        </w:rPr>
        <w:t>لبراءات الاختراع لقطاعي تقييس الاتصالات والاتصالات الراديوية وال‍منظمة الدولية للتوحيد القياسي واللجنة الكهرتقنية الدولية </w:t>
      </w:r>
      <w:r w:rsidRPr="00EF1DE3">
        <w:rPr>
          <w:lang w:bidi="ar-SA"/>
        </w:rPr>
        <w:t>"ITU</w:t>
      </w:r>
      <w:r w:rsidRPr="00EF1DE3">
        <w:rPr>
          <w:lang w:bidi="ar-SA"/>
        </w:rPr>
        <w:noBreakHyphen/>
        <w:t>T/ITU</w:t>
      </w:r>
      <w:r w:rsidRPr="00EF1DE3">
        <w:rPr>
          <w:lang w:bidi="ar-SA"/>
        </w:rPr>
        <w:noBreakHyphen/>
        <w:t>R/ISO/IEC"</w:t>
      </w:r>
      <w:r w:rsidRPr="00EF1DE3">
        <w:rPr>
          <w:rtl/>
        </w:rPr>
        <w:t xml:space="preserve"> في</w:t>
      </w:r>
      <w:r w:rsidRPr="00EF1DE3">
        <w:rPr>
          <w:rFonts w:hint="cs"/>
          <w:rtl/>
        </w:rPr>
        <w:t> </w:t>
      </w:r>
      <w:r w:rsidRPr="00EF1DE3">
        <w:rPr>
          <w:rtl/>
        </w:rPr>
        <w:t>ال</w:t>
      </w:r>
      <w:r w:rsidRPr="00EF1DE3">
        <w:rPr>
          <w:rFonts w:hint="cs"/>
          <w:rtl/>
        </w:rPr>
        <w:t>‍</w:t>
      </w:r>
      <w:r w:rsidRPr="00EF1DE3">
        <w:rPr>
          <w:rtl/>
        </w:rPr>
        <w:t>موقع</w:t>
      </w:r>
      <w:r w:rsidRPr="00EF1DE3">
        <w:rPr>
          <w:rFonts w:hint="cs"/>
          <w:rtl/>
        </w:rPr>
        <w:t xml:space="preserve">: </w:t>
      </w:r>
      <w:hyperlink r:id="rId10" w:history="1">
        <w:r w:rsidRPr="00EF1DE3">
          <w:rPr>
            <w:rStyle w:val="Hyperlink"/>
            <w:lang w:bidi="ar-SA"/>
          </w:rPr>
          <w:t>http://www.itu.int/en/ITU-T/ipr/Pages/policy.aspx</w:t>
        </w:r>
      </w:hyperlink>
      <w:r w:rsidRPr="00EF1DE3">
        <w:rPr>
          <w:rFonts w:hint="cs"/>
          <w:rtl/>
          <w:lang w:bidi="ar-SA"/>
        </w:rPr>
        <w:t>.</w:t>
      </w:r>
    </w:p>
    <w:p w:rsidR="00E13DF4" w:rsidRPr="00EF1DE3" w:rsidRDefault="00E13DF4" w:rsidP="00E13DF4">
      <w:pPr>
        <w:keepNext/>
        <w:keepLines/>
        <w:spacing w:before="240"/>
        <w:rPr>
          <w:spacing w:val="-3"/>
          <w:rtl/>
          <w:lang w:bidi="ar-SA"/>
        </w:rPr>
      </w:pPr>
      <w:r w:rsidRPr="00EF1DE3"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E13DF4" w:rsidRPr="00EF1DE3" w:rsidRDefault="00E13DF4" w:rsidP="00E13DF4">
      <w:pPr>
        <w:keepNext/>
        <w:keepLines/>
        <w:spacing w:before="1440"/>
        <w:jc w:val="left"/>
        <w:rPr>
          <w:rtl/>
        </w:rPr>
      </w:pPr>
      <w:r w:rsidRPr="00EF1DE3">
        <w:rPr>
          <w:rFonts w:hint="cs"/>
          <w:rtl/>
        </w:rPr>
        <w:t>فرانسوا</w:t>
      </w:r>
      <w:r w:rsidRPr="00EF1DE3">
        <w:rPr>
          <w:rFonts w:hint="eastAsia"/>
          <w:rtl/>
        </w:rPr>
        <w:t> </w:t>
      </w:r>
      <w:r w:rsidRPr="00EF1DE3">
        <w:rPr>
          <w:rFonts w:hint="cs"/>
          <w:rtl/>
        </w:rPr>
        <w:t>رانسي</w:t>
      </w:r>
      <w:r w:rsidRPr="00EF1DE3">
        <w:rPr>
          <w:rtl/>
        </w:rPr>
        <w:br/>
      </w:r>
      <w:r w:rsidRPr="00EF1DE3">
        <w:rPr>
          <w:rFonts w:hint="cs"/>
          <w:rtl/>
        </w:rPr>
        <w:t>ال‍مدير</w:t>
      </w:r>
    </w:p>
    <w:p w:rsidR="00706B76" w:rsidRPr="00EF1DE3" w:rsidRDefault="00FA3DAF" w:rsidP="00FA3DAF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320"/>
        <w:rPr>
          <w:b/>
          <w:bCs/>
        </w:rPr>
      </w:pPr>
      <w:r w:rsidRPr="00EF1DE3">
        <w:rPr>
          <w:rFonts w:hint="cs"/>
          <w:b/>
          <w:bCs/>
          <w:rtl/>
        </w:rPr>
        <w:t xml:space="preserve">ال‍ملحق </w:t>
      </w:r>
      <w:r w:rsidRPr="00EF1DE3">
        <w:rPr>
          <w:b/>
          <w:bCs/>
        </w:rPr>
        <w:t>1</w:t>
      </w:r>
      <w:r w:rsidRPr="00EF1DE3">
        <w:rPr>
          <w:rFonts w:hint="cs"/>
          <w:b/>
          <w:bCs/>
          <w:rtl/>
        </w:rPr>
        <w:t>:</w:t>
      </w:r>
      <w:r w:rsidRPr="00EF1DE3">
        <w:rPr>
          <w:rFonts w:hint="cs"/>
          <w:b/>
          <w:bCs/>
          <w:rtl/>
        </w:rPr>
        <w:tab/>
      </w:r>
      <w:r w:rsidRPr="00EF1DE3">
        <w:rPr>
          <w:rtl/>
        </w:rPr>
        <w:t>عنوان وملخص كل من مشروعي التوصيتين</w:t>
      </w:r>
    </w:p>
    <w:p w:rsidR="00FA3DAF" w:rsidRPr="00EF1DE3" w:rsidRDefault="00FA3DAF" w:rsidP="00706B7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b/>
          <w:bCs/>
          <w:rtl/>
        </w:rPr>
      </w:pPr>
      <w:r w:rsidRPr="00EF1DE3">
        <w:rPr>
          <w:rFonts w:hint="cs"/>
          <w:b/>
          <w:bCs/>
          <w:rtl/>
        </w:rPr>
        <w:t xml:space="preserve">ال‍ملحق </w:t>
      </w:r>
      <w:r w:rsidRPr="00EF1DE3">
        <w:rPr>
          <w:b/>
          <w:bCs/>
        </w:rPr>
        <w:t>2</w:t>
      </w:r>
      <w:r w:rsidRPr="00EF1DE3">
        <w:rPr>
          <w:rFonts w:hint="cs"/>
          <w:b/>
          <w:bCs/>
          <w:rtl/>
        </w:rPr>
        <w:t>:</w:t>
      </w:r>
      <w:r w:rsidRPr="00EF1DE3">
        <w:rPr>
          <w:rFonts w:hint="cs"/>
          <w:b/>
          <w:bCs/>
          <w:rtl/>
        </w:rPr>
        <w:tab/>
      </w:r>
      <w:r w:rsidRPr="00EF1DE3">
        <w:rPr>
          <w:rFonts w:hint="cs"/>
          <w:rtl/>
        </w:rPr>
        <w:t>التوصيات ال‍مقترح إلغاؤها</w:t>
      </w:r>
    </w:p>
    <w:p w:rsidR="00E13DF4" w:rsidRPr="00EF1DE3" w:rsidRDefault="00FA3DAF" w:rsidP="00FA3DAF">
      <w:pPr>
        <w:keepNext/>
        <w:keepLines/>
        <w:tabs>
          <w:tab w:val="clear" w:pos="794"/>
          <w:tab w:val="clear" w:pos="1191"/>
          <w:tab w:val="left" w:pos="1134"/>
        </w:tabs>
        <w:spacing w:before="1080"/>
        <w:rPr>
          <w:rtl/>
          <w:lang w:bidi="ar-SY"/>
        </w:rPr>
      </w:pPr>
      <w:r w:rsidRPr="00EF1DE3">
        <w:rPr>
          <w:rFonts w:hint="cs"/>
          <w:b/>
          <w:bCs/>
          <w:rtl/>
        </w:rPr>
        <w:t>الوثائق:</w:t>
      </w:r>
      <w:r w:rsidRPr="00EF1DE3">
        <w:rPr>
          <w:rFonts w:hint="cs"/>
          <w:b/>
          <w:bCs/>
          <w:rtl/>
        </w:rPr>
        <w:tab/>
      </w:r>
      <w:r w:rsidRPr="00EF1DE3">
        <w:rPr>
          <w:rFonts w:hint="cs"/>
          <w:rtl/>
        </w:rPr>
        <w:t>الوثيقتان</w:t>
      </w:r>
      <w:r w:rsidRPr="00EF1DE3">
        <w:rPr>
          <w:rFonts w:hint="eastAsia"/>
          <w:rtl/>
        </w:rPr>
        <w:t> </w:t>
      </w:r>
      <w:r w:rsidRPr="00EF1DE3">
        <w:rPr>
          <w:lang w:bidi="ar-SA"/>
        </w:rPr>
        <w:t>64(Rev.1)</w:t>
      </w:r>
      <w:r w:rsidRPr="00EF1DE3">
        <w:rPr>
          <w:rFonts w:hint="cs"/>
          <w:rtl/>
        </w:rPr>
        <w:t xml:space="preserve"> و</w:t>
      </w:r>
      <w:r w:rsidRPr="00EF1DE3">
        <w:rPr>
          <w:lang w:bidi="ar-SA"/>
        </w:rPr>
        <w:t>4/67/(Rev.1)</w:t>
      </w:r>
    </w:p>
    <w:p w:rsidR="00E13DF4" w:rsidRPr="00EF1DE3" w:rsidRDefault="00FA3DAF" w:rsidP="00FA3DAF">
      <w:pPr>
        <w:tabs>
          <w:tab w:val="clear" w:pos="794"/>
          <w:tab w:val="clear" w:pos="1191"/>
          <w:tab w:val="left" w:pos="1134"/>
        </w:tabs>
        <w:spacing w:before="360"/>
        <w:rPr>
          <w:rtl/>
          <w:lang w:bidi="ar-SY"/>
        </w:rPr>
      </w:pPr>
      <w:r w:rsidRPr="00EF1DE3">
        <w:rPr>
          <w:rFonts w:hint="cs"/>
          <w:rtl/>
        </w:rPr>
        <w:t xml:space="preserve">وتتاح نسخة إلكترونية من هاتين الوثيقتين في ال‍موقع: </w:t>
      </w:r>
      <w:hyperlink r:id="rId11" w:history="1">
        <w:r w:rsidRPr="00EF1DE3">
          <w:rPr>
            <w:rStyle w:val="Hyperlink"/>
          </w:rPr>
          <w:t>http://www.itu.int/md/R12-SG04-C/en</w:t>
        </w:r>
      </w:hyperlink>
    </w:p>
    <w:p w:rsidR="00E13DF4" w:rsidRPr="00EF1DE3" w:rsidRDefault="00E13DF4" w:rsidP="003D6AEE">
      <w:pPr>
        <w:spacing w:before="348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EF1DE3">
        <w:rPr>
          <w:b/>
          <w:bCs/>
          <w:sz w:val="16"/>
          <w:szCs w:val="22"/>
          <w:rtl/>
        </w:rPr>
        <w:t>التوزيع:</w:t>
      </w:r>
    </w:p>
    <w:p w:rsidR="00E13DF4" w:rsidRPr="00EF1DE3" w:rsidRDefault="00FA3DAF" w:rsidP="00FA3DA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EF1DE3">
        <w:rPr>
          <w:rFonts w:hint="cs"/>
          <w:sz w:val="16"/>
          <w:szCs w:val="22"/>
          <w:rtl/>
        </w:rPr>
        <w:t>-</w:t>
      </w:r>
      <w:r w:rsidRPr="00EF1DE3">
        <w:rPr>
          <w:rFonts w:hint="cs"/>
          <w:sz w:val="16"/>
          <w:szCs w:val="22"/>
          <w:rtl/>
        </w:rPr>
        <w:tab/>
      </w:r>
      <w:r w:rsidRPr="00EF1DE3">
        <w:rPr>
          <w:sz w:val="16"/>
          <w:szCs w:val="22"/>
          <w:rtl/>
        </w:rPr>
        <w:t>إدارات الدول الأعضاء</w:t>
      </w:r>
      <w:r w:rsidRPr="00EF1DE3">
        <w:rPr>
          <w:rFonts w:hint="cs"/>
          <w:sz w:val="16"/>
          <w:szCs w:val="22"/>
          <w:rtl/>
        </w:rPr>
        <w:t xml:space="preserve"> في الات‍حاد </w:t>
      </w:r>
      <w:r w:rsidRPr="00EF1DE3">
        <w:rPr>
          <w:sz w:val="16"/>
          <w:szCs w:val="22"/>
          <w:rtl/>
        </w:rPr>
        <w:t>وأعضاء قطاع الاتصالات الراديوية</w:t>
      </w:r>
      <w:r w:rsidRPr="00EF1DE3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Pr="00EF1DE3">
        <w:rPr>
          <w:rFonts w:hint="eastAsia"/>
          <w:sz w:val="16"/>
          <w:szCs w:val="22"/>
          <w:rtl/>
        </w:rPr>
        <w:t> </w:t>
      </w:r>
      <w:r w:rsidRPr="00EF1DE3">
        <w:rPr>
          <w:sz w:val="16"/>
          <w:szCs w:val="22"/>
          <w:lang w:val="fr-CH"/>
        </w:rPr>
        <w:t>4</w:t>
      </w:r>
      <w:r w:rsidRPr="00EF1DE3">
        <w:rPr>
          <w:rFonts w:hint="cs"/>
          <w:sz w:val="16"/>
          <w:szCs w:val="22"/>
          <w:rtl/>
        </w:rPr>
        <w:t xml:space="preserve"> للاتصالات الراديوية</w:t>
      </w:r>
    </w:p>
    <w:p w:rsidR="00C77BD6" w:rsidRPr="00EF1DE3" w:rsidRDefault="00E13DF4" w:rsidP="00FA3DA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EF1DE3">
        <w:rPr>
          <w:sz w:val="16"/>
          <w:szCs w:val="22"/>
          <w:rtl/>
        </w:rPr>
        <w:t>-</w:t>
      </w:r>
      <w:r w:rsidRPr="00EF1DE3">
        <w:rPr>
          <w:sz w:val="16"/>
          <w:szCs w:val="22"/>
          <w:rtl/>
        </w:rPr>
        <w:tab/>
      </w:r>
      <w:r w:rsidR="00FA3DAF" w:rsidRPr="00EF1DE3">
        <w:rPr>
          <w:sz w:val="16"/>
          <w:szCs w:val="22"/>
          <w:rtl/>
        </w:rPr>
        <w:t>ال</w:t>
      </w:r>
      <w:r w:rsidR="00FA3DAF" w:rsidRPr="00EF1DE3">
        <w:rPr>
          <w:rFonts w:hint="cs"/>
          <w:sz w:val="16"/>
          <w:szCs w:val="22"/>
          <w:rtl/>
        </w:rPr>
        <w:t>‍</w:t>
      </w:r>
      <w:r w:rsidR="00FA3DAF" w:rsidRPr="00EF1DE3">
        <w:rPr>
          <w:sz w:val="16"/>
          <w:szCs w:val="22"/>
          <w:rtl/>
        </w:rPr>
        <w:t>منتسبون إلى قطاع الاتصالات الراديوية ال</w:t>
      </w:r>
      <w:r w:rsidR="00FA3DAF" w:rsidRPr="00EF1DE3">
        <w:rPr>
          <w:rFonts w:hint="cs"/>
          <w:sz w:val="16"/>
          <w:szCs w:val="22"/>
          <w:rtl/>
        </w:rPr>
        <w:t>‍</w:t>
      </w:r>
      <w:r w:rsidR="00FA3DAF" w:rsidRPr="00EF1DE3">
        <w:rPr>
          <w:sz w:val="16"/>
          <w:szCs w:val="22"/>
          <w:rtl/>
        </w:rPr>
        <w:t>مشاركون في أعمال ل</w:t>
      </w:r>
      <w:r w:rsidR="00FA3DAF" w:rsidRPr="00EF1DE3">
        <w:rPr>
          <w:rFonts w:hint="cs"/>
          <w:sz w:val="16"/>
          <w:szCs w:val="22"/>
          <w:rtl/>
        </w:rPr>
        <w:t>‍</w:t>
      </w:r>
      <w:r w:rsidR="00FA3DAF" w:rsidRPr="00EF1DE3">
        <w:rPr>
          <w:sz w:val="16"/>
          <w:szCs w:val="22"/>
          <w:rtl/>
        </w:rPr>
        <w:t>جنة الدراسات</w:t>
      </w:r>
      <w:r w:rsidR="00FA3DAF" w:rsidRPr="00EF1DE3">
        <w:rPr>
          <w:rFonts w:hint="cs"/>
          <w:sz w:val="16"/>
          <w:szCs w:val="22"/>
          <w:rtl/>
        </w:rPr>
        <w:t> </w:t>
      </w:r>
      <w:r w:rsidR="00FA3DAF" w:rsidRPr="00EF1DE3">
        <w:rPr>
          <w:sz w:val="16"/>
          <w:szCs w:val="22"/>
          <w:lang w:bidi="ar-SA"/>
        </w:rPr>
        <w:t>4</w:t>
      </w:r>
      <w:r w:rsidR="00FA3DAF" w:rsidRPr="00EF1DE3">
        <w:rPr>
          <w:sz w:val="16"/>
          <w:szCs w:val="22"/>
          <w:rtl/>
        </w:rPr>
        <w:t xml:space="preserve"> للاتصالات الراديوية</w:t>
      </w:r>
    </w:p>
    <w:p w:rsidR="00C77BD6" w:rsidRPr="00EF1DE3" w:rsidRDefault="00C77BD6" w:rsidP="00FA3DA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EF1DE3">
        <w:rPr>
          <w:sz w:val="16"/>
          <w:szCs w:val="22"/>
          <w:rtl/>
          <w:lang w:bidi="ar-SA"/>
        </w:rPr>
        <w:t>-</w:t>
      </w:r>
      <w:r w:rsidRPr="00EF1DE3">
        <w:rPr>
          <w:sz w:val="16"/>
          <w:szCs w:val="22"/>
          <w:rtl/>
          <w:lang w:bidi="ar-SA"/>
        </w:rPr>
        <w:tab/>
      </w:r>
      <w:r w:rsidR="00FA3DAF" w:rsidRPr="00EF1DE3">
        <w:rPr>
          <w:rFonts w:hint="cs"/>
          <w:sz w:val="16"/>
          <w:szCs w:val="22"/>
          <w:rtl/>
        </w:rPr>
        <w:t>رؤساء ل‍جان دراسات الاتصالات الراديوية واللجنة ال‍خاص</w:t>
      </w:r>
      <w:r w:rsidR="00BE2B62">
        <w:rPr>
          <w:rFonts w:hint="cs"/>
          <w:sz w:val="16"/>
          <w:szCs w:val="22"/>
          <w:rtl/>
        </w:rPr>
        <w:t>ة ال‍معنية بال‍مسائل التنظيمية/</w:t>
      </w:r>
      <w:r w:rsidR="00FA3DAF" w:rsidRPr="00EF1DE3">
        <w:rPr>
          <w:rFonts w:hint="cs"/>
          <w:sz w:val="16"/>
          <w:szCs w:val="22"/>
          <w:rtl/>
        </w:rPr>
        <w:t>الإجرائية ونوابهم</w:t>
      </w:r>
    </w:p>
    <w:p w:rsidR="00C77BD6" w:rsidRPr="00EF1DE3" w:rsidRDefault="00C77BD6" w:rsidP="00FA3DA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EF1DE3">
        <w:rPr>
          <w:sz w:val="16"/>
          <w:szCs w:val="22"/>
          <w:rtl/>
          <w:lang w:bidi="ar-SA"/>
        </w:rPr>
        <w:t>-</w:t>
      </w:r>
      <w:r w:rsidRPr="00EF1DE3">
        <w:rPr>
          <w:sz w:val="16"/>
          <w:szCs w:val="22"/>
          <w:rtl/>
          <w:lang w:bidi="ar-SA"/>
        </w:rPr>
        <w:tab/>
      </w:r>
      <w:r w:rsidR="00FA3DAF" w:rsidRPr="00EF1DE3">
        <w:rPr>
          <w:sz w:val="16"/>
          <w:szCs w:val="22"/>
          <w:rtl/>
        </w:rPr>
        <w:t>رئيس الاجتماع التحضيري للمؤت</w:t>
      </w:r>
      <w:r w:rsidR="00FA3DAF" w:rsidRPr="00EF1DE3">
        <w:rPr>
          <w:rFonts w:hint="cs"/>
          <w:sz w:val="16"/>
          <w:szCs w:val="22"/>
          <w:rtl/>
        </w:rPr>
        <w:t>‍</w:t>
      </w:r>
      <w:r w:rsidR="00FA3DAF" w:rsidRPr="00EF1DE3">
        <w:rPr>
          <w:sz w:val="16"/>
          <w:szCs w:val="22"/>
          <w:rtl/>
        </w:rPr>
        <w:t>مر ونوابه</w:t>
      </w:r>
    </w:p>
    <w:p w:rsidR="00C77BD6" w:rsidRPr="00EF1DE3" w:rsidRDefault="00C77BD6" w:rsidP="00FA3DA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A"/>
        </w:rPr>
      </w:pPr>
      <w:r w:rsidRPr="00EF1DE3">
        <w:rPr>
          <w:sz w:val="16"/>
          <w:szCs w:val="22"/>
          <w:rtl/>
          <w:lang w:bidi="ar-SA"/>
        </w:rPr>
        <w:t>-</w:t>
      </w:r>
      <w:r w:rsidRPr="00EF1DE3">
        <w:rPr>
          <w:sz w:val="16"/>
          <w:szCs w:val="22"/>
          <w:rtl/>
          <w:lang w:bidi="ar-SA"/>
        </w:rPr>
        <w:tab/>
      </w:r>
      <w:r w:rsidR="00FA3DAF" w:rsidRPr="00EF1DE3">
        <w:rPr>
          <w:sz w:val="16"/>
          <w:szCs w:val="22"/>
          <w:rtl/>
        </w:rPr>
        <w:t>أعضاء ل</w:t>
      </w:r>
      <w:r w:rsidR="00FA3DAF" w:rsidRPr="00EF1DE3">
        <w:rPr>
          <w:rFonts w:hint="cs"/>
          <w:sz w:val="16"/>
          <w:szCs w:val="22"/>
          <w:rtl/>
        </w:rPr>
        <w:t>‍</w:t>
      </w:r>
      <w:r w:rsidR="00FA3DAF" w:rsidRPr="00EF1DE3">
        <w:rPr>
          <w:sz w:val="16"/>
          <w:szCs w:val="22"/>
          <w:rtl/>
        </w:rPr>
        <w:t>جنة لوائح الراديو</w:t>
      </w:r>
    </w:p>
    <w:p w:rsidR="00E13DF4" w:rsidRPr="00EF1DE3" w:rsidRDefault="00C77BD6" w:rsidP="00FA3DA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EF1DE3">
        <w:rPr>
          <w:sz w:val="16"/>
          <w:szCs w:val="22"/>
          <w:rtl/>
          <w:lang w:bidi="ar-SA"/>
        </w:rPr>
        <w:t>-</w:t>
      </w:r>
      <w:r w:rsidRPr="00EF1DE3">
        <w:rPr>
          <w:sz w:val="16"/>
          <w:szCs w:val="22"/>
          <w:rtl/>
          <w:lang w:bidi="ar-SA"/>
        </w:rPr>
        <w:tab/>
      </w:r>
      <w:r w:rsidR="00FA3DAF" w:rsidRPr="00EF1DE3">
        <w:rPr>
          <w:sz w:val="16"/>
          <w:szCs w:val="22"/>
          <w:rtl/>
        </w:rPr>
        <w:t>الأمين العام للات</w:t>
      </w:r>
      <w:r w:rsidR="00FA3DAF" w:rsidRPr="00EF1DE3">
        <w:rPr>
          <w:rFonts w:hint="cs"/>
          <w:sz w:val="16"/>
          <w:szCs w:val="22"/>
          <w:rtl/>
        </w:rPr>
        <w:t>‍</w:t>
      </w:r>
      <w:r w:rsidR="00FA3DAF" w:rsidRPr="00EF1DE3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E13DF4" w:rsidRPr="00EF1DE3" w:rsidRDefault="00E13DF4" w:rsidP="00FA3DAF">
      <w:pPr>
        <w:pStyle w:val="AnnexNo"/>
        <w:spacing w:before="360"/>
      </w:pPr>
      <w:r w:rsidRPr="00EF1DE3">
        <w:rPr>
          <w:rtl/>
        </w:rPr>
        <w:br w:type="page"/>
      </w:r>
      <w:r w:rsidR="00FA3DAF" w:rsidRPr="00EF1DE3">
        <w:rPr>
          <w:rFonts w:hint="cs"/>
          <w:rtl/>
        </w:rPr>
        <w:lastRenderedPageBreak/>
        <w:t>ال‍</w:t>
      </w:r>
      <w:r w:rsidR="00FA3DAF" w:rsidRPr="00EF1DE3">
        <w:rPr>
          <w:rFonts w:hint="eastAsia"/>
          <w:rtl/>
        </w:rPr>
        <w:t>ملحـق</w:t>
      </w:r>
      <w:r w:rsidR="00FA3DAF" w:rsidRPr="00EF1DE3">
        <w:rPr>
          <w:rFonts w:hint="cs"/>
          <w:rtl/>
        </w:rPr>
        <w:t> </w:t>
      </w:r>
      <w:r w:rsidR="00FA3DAF" w:rsidRPr="00EF1DE3">
        <w:t>1</w:t>
      </w:r>
    </w:p>
    <w:p w:rsidR="00E13DF4" w:rsidRPr="00EF1DE3" w:rsidRDefault="00FA3DAF" w:rsidP="00FA3DAF">
      <w:pPr>
        <w:pStyle w:val="Annextitle"/>
        <w:rPr>
          <w:rtl/>
        </w:rPr>
      </w:pPr>
      <w:r w:rsidRPr="00EF1DE3">
        <w:rPr>
          <w:rFonts w:hint="cs"/>
          <w:rtl/>
          <w:lang w:bidi="ar-SA"/>
        </w:rPr>
        <w:t>عنوان وملخص كل من مشروعي التوصيتين</w:t>
      </w:r>
    </w:p>
    <w:p w:rsidR="00E13DF4" w:rsidRPr="00EF1DE3" w:rsidRDefault="00FA3DAF" w:rsidP="00FA3DAF">
      <w:pPr>
        <w:keepNext/>
        <w:tabs>
          <w:tab w:val="right" w:pos="9639"/>
        </w:tabs>
        <w:spacing w:before="480"/>
        <w:rPr>
          <w:rtl/>
        </w:rPr>
      </w:pPr>
      <w:r w:rsidRPr="00EF1DE3">
        <w:rPr>
          <w:rFonts w:hint="cs"/>
          <w:u w:val="single"/>
          <w:rtl/>
          <w:lang w:bidi="ar-SY"/>
        </w:rPr>
        <w:t xml:space="preserve">مشروع التوصية ال‍جديدة </w:t>
      </w:r>
      <w:r w:rsidRPr="00EF1DE3">
        <w:rPr>
          <w:u w:val="single"/>
          <w:lang w:bidi="ar-SA"/>
        </w:rPr>
        <w:t>ITU-R S.[DIGCID]</w:t>
      </w:r>
      <w:r w:rsidR="00C77BD6" w:rsidRPr="00EF1DE3">
        <w:rPr>
          <w:rFonts w:hint="cs"/>
          <w:rtl/>
          <w:lang w:bidi="ar-SA"/>
        </w:rPr>
        <w:tab/>
      </w:r>
      <w:r w:rsidRPr="00EF1DE3">
        <w:rPr>
          <w:rFonts w:hint="cs"/>
          <w:rtl/>
        </w:rPr>
        <w:t xml:space="preserve">الوثيقة </w:t>
      </w:r>
      <w:r w:rsidRPr="00EF1DE3">
        <w:rPr>
          <w:lang w:bidi="ar-SA"/>
        </w:rPr>
        <w:t>4/67(Rev.1)</w:t>
      </w:r>
    </w:p>
    <w:p w:rsidR="00E13DF4" w:rsidRPr="00EF1DE3" w:rsidRDefault="00FA3DAF" w:rsidP="00FA3DAF">
      <w:pPr>
        <w:pStyle w:val="Rectitle"/>
        <w:tabs>
          <w:tab w:val="left" w:pos="574"/>
          <w:tab w:val="center" w:pos="4819"/>
        </w:tabs>
      </w:pPr>
      <w:r w:rsidRPr="00EF1DE3">
        <w:rPr>
          <w:rFonts w:eastAsia="SimSun" w:hint="cs"/>
          <w:spacing w:val="-4"/>
          <w:rtl/>
        </w:rPr>
        <w:t>نظام ت‍حديد ال‍موجة ال‍حاملة فيما ي‍خص الإرسالات بتشكيل رقمي ال‍مستخدمة أحياناً للخدمة الثابتة الساتلية</w:t>
      </w:r>
      <w:r w:rsidRPr="00EF1DE3">
        <w:rPr>
          <w:rFonts w:eastAsia="SimSun" w:hint="eastAsia"/>
          <w:spacing w:val="-4"/>
          <w:rtl/>
        </w:rPr>
        <w:t> </w:t>
      </w:r>
      <w:r w:rsidRPr="00EF1DE3">
        <w:rPr>
          <w:rFonts w:eastAsia="SimSun"/>
          <w:spacing w:val="-4"/>
          <w:lang w:bidi="ar-SY"/>
        </w:rPr>
        <w:t>(FSS)</w:t>
      </w:r>
      <w:r w:rsidRPr="00EF1DE3">
        <w:rPr>
          <w:rFonts w:eastAsia="SimSun" w:hint="cs"/>
          <w:spacing w:val="-4"/>
          <w:rtl/>
        </w:rPr>
        <w:t xml:space="preserve"> من أجل إرسالات ال‍موجات ال‍حاملة للمحطات الأرضية باستعمال شبكات ساتلية مستقرة بالنسبة إلى الأرض في نطاقي ال‍خدمة الثابتة الساتلية</w:t>
      </w:r>
      <w:r w:rsidRPr="00EF1DE3">
        <w:rPr>
          <w:rFonts w:eastAsia="SimSun" w:hint="eastAsia"/>
          <w:spacing w:val="-4"/>
          <w:rtl/>
        </w:rPr>
        <w:t> </w:t>
      </w:r>
      <w:r w:rsidRPr="00EF1DE3">
        <w:rPr>
          <w:rFonts w:eastAsia="SimSun"/>
          <w:spacing w:val="-4"/>
          <w:lang w:bidi="ar-SY"/>
        </w:rPr>
        <w:t>GHz 6/4</w:t>
      </w:r>
      <w:r w:rsidRPr="00EF1DE3">
        <w:rPr>
          <w:rFonts w:eastAsia="SimSun" w:hint="cs"/>
          <w:spacing w:val="-4"/>
          <w:rtl/>
        </w:rPr>
        <w:t xml:space="preserve"> و</w:t>
      </w:r>
      <w:r w:rsidRPr="00EF1DE3">
        <w:rPr>
          <w:rFonts w:eastAsia="SimSun"/>
          <w:spacing w:val="-4"/>
          <w:lang w:bidi="ar-SY"/>
        </w:rPr>
        <w:t>GHz 14/13/12</w:t>
      </w:r>
      <w:r w:rsidRPr="00EF1DE3">
        <w:rPr>
          <w:rFonts w:eastAsia="SimSun"/>
          <w:spacing w:val="-4"/>
          <w:lang w:bidi="ar-SY"/>
        </w:rPr>
        <w:noBreakHyphen/>
        <w:t>11</w:t>
      </w:r>
    </w:p>
    <w:p w:rsidR="00E13DF4" w:rsidRPr="00EF1DE3" w:rsidRDefault="00FA3DAF" w:rsidP="00A12763">
      <w:pPr>
        <w:rPr>
          <w:rtl/>
          <w:lang w:bidi="ar-SY"/>
        </w:rPr>
      </w:pPr>
      <w:r w:rsidRPr="00EF1DE3">
        <w:rPr>
          <w:rFonts w:hint="cs"/>
          <w:rtl/>
        </w:rPr>
        <w:t>تقدم هذه التوصية الأساليب الممكنة لنظام ت‍حديد ال‍موجة ال‍حاملة فيما ي‍خص الإرسالات بتشكيل رقمي ال‍مستخدمة أحياناً للخدمة الثابتة الساتلية</w:t>
      </w:r>
      <w:r w:rsidRPr="00EF1DE3">
        <w:rPr>
          <w:rFonts w:hint="eastAsia"/>
          <w:rtl/>
        </w:rPr>
        <w:t> </w:t>
      </w:r>
      <w:r w:rsidRPr="00EF1DE3">
        <w:rPr>
          <w:lang w:bidi="ar-SA"/>
        </w:rPr>
        <w:t>(FSS)</w:t>
      </w:r>
      <w:r w:rsidRPr="00EF1DE3">
        <w:rPr>
          <w:rFonts w:hint="cs"/>
          <w:rtl/>
        </w:rPr>
        <w:t xml:space="preserve"> من أجل إرسالات ال‍موجات ال‍حاملة للمحطات الأرضية من نقطة ثابتة إلى محطات فضائية مستقرة بالنسبة إلى الأرض في نطاقي ال‍خدمة الثابتة الساتلية</w:t>
      </w:r>
      <w:r w:rsidRPr="00EF1DE3">
        <w:rPr>
          <w:rFonts w:hint="eastAsia"/>
          <w:rtl/>
        </w:rPr>
        <w:t> </w:t>
      </w:r>
      <w:r w:rsidRPr="00EF1DE3">
        <w:rPr>
          <w:lang w:bidi="ar-SA"/>
        </w:rPr>
        <w:t>GHz 6/4</w:t>
      </w:r>
      <w:r w:rsidRPr="00EF1DE3">
        <w:rPr>
          <w:rFonts w:hint="cs"/>
          <w:rtl/>
        </w:rPr>
        <w:t xml:space="preserve"> و</w:t>
      </w:r>
      <w:r w:rsidRPr="00EF1DE3">
        <w:rPr>
          <w:lang w:bidi="ar-SA"/>
        </w:rPr>
        <w:t>GHz 14/13/12</w:t>
      </w:r>
      <w:r w:rsidRPr="00EF1DE3">
        <w:rPr>
          <w:lang w:bidi="ar-SA"/>
        </w:rPr>
        <w:noBreakHyphen/>
        <w:t>11</w:t>
      </w:r>
      <w:r w:rsidRPr="00EF1DE3">
        <w:rPr>
          <w:rFonts w:hint="cs"/>
          <w:rtl/>
        </w:rPr>
        <w:t xml:space="preserve"> من أجل تسهيل تحديد مصدر التداخل غير</w:t>
      </w:r>
      <w:r w:rsidR="00A12763">
        <w:rPr>
          <w:rFonts w:hint="eastAsia"/>
          <w:rtl/>
        </w:rPr>
        <w:t> </w:t>
      </w:r>
      <w:r w:rsidRPr="00EF1DE3">
        <w:rPr>
          <w:rFonts w:hint="cs"/>
          <w:rtl/>
        </w:rPr>
        <w:t>المقبول</w:t>
      </w:r>
      <w:r w:rsidR="00A12763">
        <w:rPr>
          <w:rFonts w:hint="eastAsia"/>
          <w:rtl/>
        </w:rPr>
        <w:t> </w:t>
      </w:r>
      <w:r w:rsidRPr="00EF1DE3">
        <w:rPr>
          <w:rFonts w:hint="cs"/>
          <w:rtl/>
        </w:rPr>
        <w:t>وإزالته.</w:t>
      </w:r>
    </w:p>
    <w:p w:rsidR="00E13DF4" w:rsidRPr="00EF1DE3" w:rsidRDefault="00FA3DAF" w:rsidP="00FA3DAF">
      <w:pPr>
        <w:keepNext/>
        <w:tabs>
          <w:tab w:val="right" w:pos="9639"/>
        </w:tabs>
        <w:spacing w:before="480"/>
        <w:rPr>
          <w:rtl/>
        </w:rPr>
      </w:pPr>
      <w:r w:rsidRPr="00EF1DE3">
        <w:rPr>
          <w:rFonts w:hint="cs"/>
          <w:u w:val="single"/>
          <w:rtl/>
          <w:lang w:bidi="ar-SY"/>
        </w:rPr>
        <w:t xml:space="preserve">مشروع مراجعة التوصية </w:t>
      </w:r>
      <w:r w:rsidRPr="00EF1DE3">
        <w:rPr>
          <w:u w:val="single"/>
          <w:lang w:bidi="ar-SA"/>
        </w:rPr>
        <w:t>ITU-R M.1478-2</w:t>
      </w:r>
      <w:r w:rsidR="00E13DF4" w:rsidRPr="00EF1DE3">
        <w:rPr>
          <w:rFonts w:hint="cs"/>
          <w:rtl/>
        </w:rPr>
        <w:tab/>
      </w:r>
      <w:r w:rsidRPr="00EF1DE3">
        <w:rPr>
          <w:rFonts w:hint="cs"/>
          <w:rtl/>
        </w:rPr>
        <w:t xml:space="preserve">الوثيقة </w:t>
      </w:r>
      <w:r w:rsidRPr="00EF1DE3">
        <w:rPr>
          <w:lang w:bidi="ar-SA"/>
        </w:rPr>
        <w:t>4/64(Rev.1)</w:t>
      </w:r>
    </w:p>
    <w:p w:rsidR="00E13DF4" w:rsidRPr="00EF1DE3" w:rsidRDefault="00FA3DAF" w:rsidP="00FA3DAF">
      <w:pPr>
        <w:pStyle w:val="Rectitle"/>
        <w:tabs>
          <w:tab w:val="left" w:pos="574"/>
          <w:tab w:val="center" w:pos="4819"/>
        </w:tabs>
      </w:pPr>
      <w:r w:rsidRPr="00EF1DE3">
        <w:rPr>
          <w:rFonts w:hint="cs"/>
          <w:rtl/>
        </w:rPr>
        <w:t xml:space="preserve">معايير ال‍حماية ال‍مطبقة على معدات البحث والإنقاذ </w:t>
      </w:r>
      <w:r w:rsidRPr="00EF1DE3">
        <w:rPr>
          <w:lang w:bidi="ar-SY"/>
        </w:rPr>
        <w:t>Cospas</w:t>
      </w:r>
      <w:r w:rsidRPr="00EF1DE3">
        <w:rPr>
          <w:lang w:bidi="ar-SY"/>
        </w:rPr>
        <w:noBreakHyphen/>
        <w:t>Sarsat</w:t>
      </w:r>
      <w:r w:rsidRPr="00EF1DE3">
        <w:rPr>
          <w:rtl/>
        </w:rPr>
        <w:br/>
      </w:r>
      <w:r w:rsidRPr="00EF1DE3">
        <w:rPr>
          <w:rFonts w:hint="cs"/>
          <w:rtl/>
        </w:rPr>
        <w:t>في النطاق</w:t>
      </w:r>
      <w:r w:rsidRPr="00EF1DE3">
        <w:rPr>
          <w:rFonts w:hint="eastAsia"/>
          <w:rtl/>
        </w:rPr>
        <w:t> </w:t>
      </w:r>
      <w:r w:rsidRPr="00EF1DE3">
        <w:rPr>
          <w:lang w:bidi="ar-SY"/>
        </w:rPr>
        <w:t>MHz 406,1</w:t>
      </w:r>
      <w:r w:rsidRPr="00EF1DE3">
        <w:rPr>
          <w:lang w:bidi="ar-SY"/>
        </w:rPr>
        <w:noBreakHyphen/>
        <w:t>406</w:t>
      </w:r>
    </w:p>
    <w:p w:rsidR="00E13DF4" w:rsidRPr="00EF1DE3" w:rsidRDefault="00FA3DAF" w:rsidP="00A12763">
      <w:r w:rsidRPr="00EF1DE3">
        <w:rPr>
          <w:rFonts w:hint="cs"/>
          <w:rtl/>
          <w:lang w:bidi="ar-SA"/>
        </w:rPr>
        <w:t xml:space="preserve">ترمي المراجعة المقترحة للتوصية </w:t>
      </w:r>
      <w:r w:rsidRPr="00EF1DE3">
        <w:rPr>
          <w:lang w:bidi="ar-SA"/>
        </w:rPr>
        <w:t>ITU-R M.1478-2</w:t>
      </w:r>
      <w:r w:rsidRPr="00EF1DE3">
        <w:rPr>
          <w:rFonts w:hint="cs"/>
          <w:rtl/>
        </w:rPr>
        <w:t xml:space="preserve"> إلى إدراج ملحق جديد مخصص لمكررات البحث والإنقاذ على متن السواتل غاليليو وإضافة ملخص لمعايير الحماية في الملحق </w:t>
      </w:r>
      <w:r w:rsidRPr="00EF1DE3">
        <w:rPr>
          <w:lang w:bidi="ar-SA"/>
        </w:rPr>
        <w:t>11</w:t>
      </w:r>
      <w:r w:rsidRPr="00EF1DE3">
        <w:rPr>
          <w:rFonts w:hint="cs"/>
          <w:rtl/>
        </w:rPr>
        <w:t>. وتُستمد الأرقام المقابلة من التقرير حول المسألة</w:t>
      </w:r>
      <w:r w:rsidR="00A12763">
        <w:rPr>
          <w:rFonts w:hint="eastAsia"/>
          <w:rtl/>
        </w:rPr>
        <w:t> </w:t>
      </w:r>
      <w:r w:rsidRPr="00EF1DE3">
        <w:rPr>
          <w:lang w:bidi="ar-SA"/>
        </w:rPr>
        <w:t>1.1.9</w:t>
      </w:r>
      <w:r w:rsidRPr="00EF1DE3">
        <w:rPr>
          <w:rFonts w:hint="cs"/>
          <w:rtl/>
        </w:rPr>
        <w:t xml:space="preserve"> من البند</w:t>
      </w:r>
      <w:r w:rsidR="00A12763">
        <w:rPr>
          <w:rFonts w:hint="eastAsia"/>
          <w:rtl/>
        </w:rPr>
        <w:t> </w:t>
      </w:r>
      <w:r w:rsidRPr="00EF1DE3">
        <w:rPr>
          <w:lang w:bidi="ar-SA"/>
        </w:rPr>
        <w:t>1.9</w:t>
      </w:r>
      <w:r w:rsidRPr="00EF1DE3">
        <w:rPr>
          <w:rFonts w:hint="cs"/>
          <w:rtl/>
        </w:rPr>
        <w:t xml:space="preserve"> من جدول أعمال المؤتمر العالمي للاتصالات الراديوية لعام </w:t>
      </w:r>
      <w:r w:rsidRPr="00EF1DE3">
        <w:rPr>
          <w:lang w:bidi="ar-SA"/>
        </w:rPr>
        <w:t>2015</w:t>
      </w:r>
      <w:r w:rsidRPr="00EF1DE3">
        <w:rPr>
          <w:rFonts w:hint="cs"/>
          <w:rtl/>
        </w:rPr>
        <w:t>. ولا تتضمن الملحقات المقترحة في هذه التوصية الحسابات التفصيلية المقابلة. وبالإضافة إلى ذلك، تشمل المراجعة معايير الحماية المتعلقة بجهاز الاستقبال الساتلي للبحث والإنقاذ</w:t>
      </w:r>
      <w:r w:rsidR="00A12763">
        <w:rPr>
          <w:rFonts w:hint="eastAsia"/>
          <w:rtl/>
        </w:rPr>
        <w:t> </w:t>
      </w:r>
      <w:r w:rsidRPr="00EF1DE3">
        <w:rPr>
          <w:lang w:bidi="ar-SA"/>
        </w:rPr>
        <w:t>G</w:t>
      </w:r>
      <w:r w:rsidR="005D4365">
        <w:rPr>
          <w:lang w:bidi="ar-SA"/>
        </w:rPr>
        <w:t>OE</w:t>
      </w:r>
      <w:r w:rsidRPr="00EF1DE3">
        <w:rPr>
          <w:lang w:bidi="ar-SA"/>
        </w:rPr>
        <w:t>S-R</w:t>
      </w:r>
      <w:r w:rsidRPr="00EF1DE3">
        <w:rPr>
          <w:rFonts w:hint="cs"/>
          <w:rtl/>
        </w:rPr>
        <w:t xml:space="preserve"> من أجل تصويب بعض العمليات الحسابية بخصوص سلسة السواتل </w:t>
      </w:r>
      <w:r w:rsidRPr="00EF1DE3">
        <w:rPr>
          <w:lang w:bidi="ar-SA"/>
        </w:rPr>
        <w:t>GOES</w:t>
      </w:r>
      <w:r w:rsidRPr="00EF1DE3">
        <w:rPr>
          <w:rFonts w:hint="cs"/>
          <w:rtl/>
        </w:rPr>
        <w:t xml:space="preserve"> الحالية.</w:t>
      </w:r>
    </w:p>
    <w:p w:rsidR="00FA3DAF" w:rsidRPr="00EF1DE3" w:rsidRDefault="00FA3DAF" w:rsidP="00F77E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bidi="ar-SY"/>
        </w:rPr>
      </w:pPr>
      <w:r w:rsidRPr="00EF1DE3">
        <w:rPr>
          <w:rtl/>
          <w:lang w:bidi="ar-SY"/>
        </w:rPr>
        <w:br w:type="page"/>
      </w:r>
    </w:p>
    <w:p w:rsidR="00FA3DAF" w:rsidRPr="00EF1DE3" w:rsidRDefault="00FA3DAF" w:rsidP="00FA3DAF">
      <w:pPr>
        <w:pStyle w:val="AnnexNo"/>
        <w:spacing w:before="360"/>
      </w:pPr>
      <w:r w:rsidRPr="00EF1DE3">
        <w:rPr>
          <w:rFonts w:hint="cs"/>
          <w:rtl/>
        </w:rPr>
        <w:lastRenderedPageBreak/>
        <w:t>ال‍</w:t>
      </w:r>
      <w:r w:rsidRPr="00EF1DE3">
        <w:rPr>
          <w:rFonts w:hint="eastAsia"/>
          <w:rtl/>
        </w:rPr>
        <w:t>ملحـق</w:t>
      </w:r>
      <w:r w:rsidRPr="00EF1DE3">
        <w:rPr>
          <w:rFonts w:hint="cs"/>
          <w:rtl/>
        </w:rPr>
        <w:t> </w:t>
      </w:r>
      <w:r w:rsidRPr="00EF1DE3">
        <w:t>2</w:t>
      </w:r>
    </w:p>
    <w:p w:rsidR="00FA3DAF" w:rsidRPr="00EF1DE3" w:rsidRDefault="00FA3DAF" w:rsidP="00FA3DAF">
      <w:pPr>
        <w:jc w:val="center"/>
        <w:rPr>
          <w:rtl/>
        </w:rPr>
      </w:pPr>
      <w:r w:rsidRPr="00EF1DE3">
        <w:rPr>
          <w:rFonts w:hint="cs"/>
          <w:rtl/>
        </w:rPr>
        <w:t xml:space="preserve">(ال‍مصدر: الوثيقة </w:t>
      </w:r>
      <w:hyperlink r:id="rId12" w:history="1">
        <w:r w:rsidRPr="00EF1DE3">
          <w:rPr>
            <w:rStyle w:val="Hyperlink"/>
          </w:rPr>
          <w:t>4/69</w:t>
        </w:r>
      </w:hyperlink>
      <w:r w:rsidRPr="00EF1DE3">
        <w:rPr>
          <w:rFonts w:hint="cs"/>
          <w:rtl/>
        </w:rPr>
        <w:t>)</w:t>
      </w:r>
    </w:p>
    <w:p w:rsidR="00FA3DAF" w:rsidRPr="00EF1DE3" w:rsidRDefault="00FA3DAF" w:rsidP="00FA3DAF">
      <w:pPr>
        <w:pStyle w:val="Annextitle"/>
        <w:rPr>
          <w:rtl/>
        </w:rPr>
      </w:pPr>
      <w:r w:rsidRPr="00EF1DE3">
        <w:rPr>
          <w:rFonts w:hint="cs"/>
          <w:rtl/>
          <w:lang w:bidi="ar-SA"/>
        </w:rPr>
        <w:t>التوصيات ال‍مقترح إلغاؤها</w:t>
      </w:r>
    </w:p>
    <w:tbl>
      <w:tblPr>
        <w:tblStyle w:val="TableGrid2"/>
        <w:bidiVisual/>
        <w:tblW w:w="9747" w:type="dxa"/>
        <w:tblLayout w:type="fixed"/>
        <w:tblLook w:val="04A0" w:firstRow="1" w:lastRow="0" w:firstColumn="1" w:lastColumn="0" w:noHBand="0" w:noVBand="1"/>
      </w:tblPr>
      <w:tblGrid>
        <w:gridCol w:w="1334"/>
        <w:gridCol w:w="8413"/>
      </w:tblGrid>
      <w:tr w:rsidR="00FA3DAF" w:rsidRPr="00EF1DE3" w:rsidTr="00934E76">
        <w:trPr>
          <w:cantSplit/>
          <w:tblHeader/>
        </w:trPr>
        <w:tc>
          <w:tcPr>
            <w:tcW w:w="1334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b/>
                <w:bCs/>
                <w:sz w:val="20"/>
                <w:szCs w:val="26"/>
                <w:lang w:eastAsia="zh-CN"/>
              </w:rPr>
            </w:pPr>
            <w:r w:rsidRPr="00EF1DE3">
              <w:rPr>
                <w:rFonts w:hint="cs"/>
                <w:b/>
                <w:bCs/>
                <w:sz w:val="20"/>
                <w:szCs w:val="26"/>
                <w:rtl/>
              </w:rPr>
              <w:t xml:space="preserve">التوصية </w:t>
            </w:r>
            <w:r w:rsidRPr="00EF1DE3">
              <w:rPr>
                <w:b/>
                <w:bCs/>
                <w:sz w:val="20"/>
                <w:szCs w:val="26"/>
                <w:rtl/>
              </w:rPr>
              <w:br/>
            </w:r>
            <w:r w:rsidRPr="00EF1DE3">
              <w:rPr>
                <w:b/>
                <w:bCs/>
                <w:sz w:val="20"/>
                <w:szCs w:val="26"/>
                <w:lang w:eastAsia="zh-CN"/>
              </w:rPr>
              <w:t>ITU-R</w:t>
            </w:r>
          </w:p>
        </w:tc>
        <w:tc>
          <w:tcPr>
            <w:tcW w:w="8413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EF1DE3">
              <w:rPr>
                <w:rFonts w:hint="cs"/>
                <w:b/>
                <w:bCs/>
                <w:sz w:val="20"/>
                <w:szCs w:val="26"/>
                <w:rtl/>
              </w:rPr>
              <w:t>عنوان التوصية</w:t>
            </w:r>
          </w:p>
        </w:tc>
      </w:tr>
      <w:tr w:rsidR="00FA3DAF" w:rsidRPr="00EF1DE3" w:rsidTr="00934E76">
        <w:trPr>
          <w:cantSplit/>
        </w:trPr>
        <w:tc>
          <w:tcPr>
            <w:tcW w:w="1334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  <w:lang w:bidi="ar-SA"/>
              </w:rPr>
            </w:pPr>
            <w:r w:rsidRPr="00EF1DE3">
              <w:rPr>
                <w:b/>
                <w:bCs/>
                <w:sz w:val="20"/>
                <w:szCs w:val="26"/>
                <w:lang w:val="en-GB" w:bidi="ar-SA"/>
              </w:rPr>
              <w:t>S.352-4</w:t>
            </w:r>
          </w:p>
        </w:tc>
        <w:tc>
          <w:tcPr>
            <w:tcW w:w="8413" w:type="dxa"/>
          </w:tcPr>
          <w:p w:rsidR="00FA3DAF" w:rsidRPr="00A1276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26"/>
                <w:lang w:val="en-GB" w:bidi="ar-SA"/>
              </w:rPr>
            </w:pPr>
            <w:r w:rsidRPr="00A12763">
              <w:rPr>
                <w:sz w:val="20"/>
                <w:szCs w:val="26"/>
                <w:rtl/>
                <w:lang w:val="en-GB" w:bidi="ar-SA"/>
              </w:rPr>
              <w:t>دارة افتراضية مرجعية للأنظمة التي تستخدم الإرسال</w:t>
            </w:r>
            <w:r w:rsidRPr="00A12763">
              <w:rPr>
                <w:rFonts w:hint="cs"/>
                <w:sz w:val="20"/>
                <w:szCs w:val="26"/>
                <w:rtl/>
                <w:lang w:val="en-GB" w:bidi="ar-SA"/>
              </w:rPr>
              <w:t xml:space="preserve"> </w:t>
            </w:r>
            <w:r w:rsidRPr="00A12763">
              <w:rPr>
                <w:sz w:val="20"/>
                <w:szCs w:val="26"/>
                <w:rtl/>
                <w:lang w:val="en-GB" w:bidi="ar-SA"/>
              </w:rPr>
              <w:t>التماثلي في الخدمة الثابتة الساتلية</w:t>
            </w:r>
          </w:p>
        </w:tc>
      </w:tr>
      <w:tr w:rsidR="00FA3DAF" w:rsidRPr="00EF1DE3" w:rsidTr="00934E76">
        <w:trPr>
          <w:cantSplit/>
        </w:trPr>
        <w:tc>
          <w:tcPr>
            <w:tcW w:w="1334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  <w:lang w:bidi="ar-SA"/>
              </w:rPr>
            </w:pPr>
            <w:r w:rsidRPr="00EF1DE3">
              <w:rPr>
                <w:b/>
                <w:bCs/>
                <w:sz w:val="20"/>
                <w:szCs w:val="26"/>
                <w:lang w:val="en-GB" w:bidi="ar-SA"/>
              </w:rPr>
              <w:t>S.353-8</w:t>
            </w:r>
          </w:p>
        </w:tc>
        <w:tc>
          <w:tcPr>
            <w:tcW w:w="8413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26"/>
                <w:lang w:val="en-GB" w:bidi="ar-SA"/>
              </w:rPr>
            </w:pPr>
            <w:r w:rsidRPr="00EF1DE3">
              <w:rPr>
                <w:sz w:val="20"/>
                <w:szCs w:val="26"/>
                <w:rtl/>
                <w:lang w:val="en-GB" w:bidi="ar-SA"/>
              </w:rPr>
              <w:t>قدرة الضوضاء المسموح بها في الدارة الافتراضية المرجعية</w:t>
            </w:r>
            <w:r w:rsidRPr="00EF1DE3">
              <w:rPr>
                <w:rFonts w:hint="cs"/>
                <w:sz w:val="20"/>
                <w:szCs w:val="26"/>
                <w:rtl/>
                <w:lang w:val="en-GB" w:bidi="ar-SA"/>
              </w:rPr>
              <w:t xml:space="preserve"> </w:t>
            </w:r>
            <w:r w:rsidRPr="00EF1DE3">
              <w:rPr>
                <w:sz w:val="20"/>
                <w:szCs w:val="26"/>
                <w:rtl/>
                <w:lang w:val="en-GB" w:bidi="ar-SA"/>
              </w:rPr>
              <w:t>الخاصة بالمهاتفة متعددة الإرسال بتقسيم</w:t>
            </w:r>
            <w:r w:rsidRPr="00EF1DE3">
              <w:rPr>
                <w:rFonts w:hint="cs"/>
                <w:sz w:val="20"/>
                <w:szCs w:val="26"/>
                <w:rtl/>
                <w:lang w:val="en-GB" w:bidi="ar-SA"/>
              </w:rPr>
              <w:t xml:space="preserve"> </w:t>
            </w:r>
            <w:r w:rsidRPr="00EF1DE3">
              <w:rPr>
                <w:sz w:val="20"/>
                <w:szCs w:val="26"/>
                <w:rtl/>
                <w:lang w:val="en-GB" w:bidi="ar-SA"/>
              </w:rPr>
              <w:t>التردد في الخدمة الثابتة الساتلية</w:t>
            </w:r>
          </w:p>
        </w:tc>
      </w:tr>
      <w:tr w:rsidR="00FA3DAF" w:rsidRPr="00EF1DE3" w:rsidTr="00934E76">
        <w:trPr>
          <w:cantSplit/>
        </w:trPr>
        <w:tc>
          <w:tcPr>
            <w:tcW w:w="1334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  <w:lang w:bidi="ar-SA"/>
              </w:rPr>
            </w:pPr>
            <w:r w:rsidRPr="00EF1DE3">
              <w:rPr>
                <w:b/>
                <w:bCs/>
                <w:sz w:val="20"/>
                <w:szCs w:val="26"/>
                <w:lang w:val="en-GB" w:bidi="ar-SA"/>
              </w:rPr>
              <w:t>S.464-2</w:t>
            </w:r>
          </w:p>
        </w:tc>
        <w:tc>
          <w:tcPr>
            <w:tcW w:w="8413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26"/>
                <w:lang w:val="en-GB" w:bidi="ar-SA"/>
              </w:rPr>
            </w:pPr>
            <w:r w:rsidRPr="00EF1DE3">
              <w:rPr>
                <w:sz w:val="20"/>
                <w:szCs w:val="26"/>
                <w:rtl/>
                <w:lang w:val="en-GB" w:bidi="ar-SA"/>
              </w:rPr>
              <w:t>خصائص التشوير المسبق للأنظمة المشكلة بالتردد</w:t>
            </w:r>
            <w:r w:rsidRPr="00EF1DE3">
              <w:rPr>
                <w:rFonts w:hint="cs"/>
                <w:sz w:val="20"/>
                <w:szCs w:val="26"/>
                <w:rtl/>
                <w:lang w:val="en-GB" w:bidi="ar-SA"/>
              </w:rPr>
              <w:t xml:space="preserve"> </w:t>
            </w:r>
            <w:r w:rsidRPr="00EF1DE3">
              <w:rPr>
                <w:sz w:val="20"/>
                <w:szCs w:val="26"/>
                <w:rtl/>
                <w:lang w:val="en-GB" w:bidi="ar-SA"/>
              </w:rPr>
              <w:t>من أجل المهاتفة متعددة الإرسال بتقسيم التردد في</w:t>
            </w:r>
            <w:r w:rsidRPr="00EF1DE3">
              <w:rPr>
                <w:rFonts w:hint="cs"/>
                <w:sz w:val="20"/>
                <w:szCs w:val="26"/>
                <w:rtl/>
                <w:lang w:val="en-GB" w:bidi="ar-SA"/>
              </w:rPr>
              <w:t xml:space="preserve"> </w:t>
            </w:r>
            <w:r w:rsidRPr="00EF1DE3">
              <w:rPr>
                <w:sz w:val="20"/>
                <w:szCs w:val="26"/>
                <w:rtl/>
                <w:lang w:val="en-GB" w:bidi="ar-SA"/>
              </w:rPr>
              <w:t>الخدمة الثابتة الساتلية</w:t>
            </w:r>
          </w:p>
        </w:tc>
      </w:tr>
      <w:tr w:rsidR="00FA3DAF" w:rsidRPr="00EF1DE3" w:rsidTr="00934E76">
        <w:trPr>
          <w:cantSplit/>
        </w:trPr>
        <w:tc>
          <w:tcPr>
            <w:tcW w:w="1334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  <w:lang w:bidi="ar-SA"/>
              </w:rPr>
            </w:pPr>
            <w:r w:rsidRPr="00EF1DE3">
              <w:rPr>
                <w:b/>
                <w:bCs/>
                <w:sz w:val="20"/>
                <w:szCs w:val="26"/>
                <w:lang w:val="en-GB" w:bidi="ar-SA"/>
              </w:rPr>
              <w:t>S.481-2</w:t>
            </w:r>
          </w:p>
        </w:tc>
        <w:tc>
          <w:tcPr>
            <w:tcW w:w="8413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26"/>
                <w:rtl/>
              </w:rPr>
            </w:pPr>
            <w:r w:rsidRPr="00EF1DE3">
              <w:rPr>
                <w:sz w:val="20"/>
                <w:szCs w:val="26"/>
                <w:rtl/>
                <w:lang w:val="en-GB" w:bidi="ar-SA"/>
              </w:rPr>
              <w:t>قياسات الضوضاء في أثناء الحركة الفعلية</w:t>
            </w:r>
            <w:r w:rsidRPr="00EF1DE3">
              <w:rPr>
                <w:rFonts w:hint="cs"/>
                <w:sz w:val="20"/>
                <w:szCs w:val="26"/>
                <w:rtl/>
                <w:lang w:val="en-GB" w:bidi="ar-SA"/>
              </w:rPr>
              <w:t xml:space="preserve"> </w:t>
            </w:r>
            <w:r w:rsidRPr="00EF1DE3">
              <w:rPr>
                <w:sz w:val="20"/>
                <w:szCs w:val="26"/>
                <w:rtl/>
                <w:lang w:val="en-GB" w:bidi="ar-SA"/>
              </w:rPr>
              <w:t>لأنظمة الخدمة الثابتة الساتلية في المهاتفة متعددة الإرسال</w:t>
            </w:r>
            <w:r w:rsidRPr="00EF1DE3">
              <w:rPr>
                <w:rFonts w:hint="cs"/>
                <w:sz w:val="20"/>
                <w:szCs w:val="26"/>
                <w:rtl/>
                <w:lang w:val="en-GB" w:bidi="ar-SA"/>
              </w:rPr>
              <w:t xml:space="preserve"> </w:t>
            </w:r>
            <w:r w:rsidRPr="00EF1DE3">
              <w:rPr>
                <w:sz w:val="20"/>
                <w:szCs w:val="26"/>
                <w:rtl/>
                <w:lang w:val="en-GB" w:bidi="ar-SA"/>
              </w:rPr>
              <w:t>بتقسيم التردد</w:t>
            </w:r>
          </w:p>
        </w:tc>
      </w:tr>
      <w:tr w:rsidR="00FA3DAF" w:rsidRPr="00EF1DE3" w:rsidTr="00934E76">
        <w:trPr>
          <w:cantSplit/>
        </w:trPr>
        <w:tc>
          <w:tcPr>
            <w:tcW w:w="1334" w:type="dxa"/>
          </w:tcPr>
          <w:p w:rsidR="00FA3DAF" w:rsidRPr="00EF1DE3" w:rsidRDefault="00FA3DAF" w:rsidP="00934E7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jc w:val="center"/>
              <w:rPr>
                <w:sz w:val="20"/>
                <w:szCs w:val="26"/>
                <w:lang w:val="en-GB" w:bidi="ar-SA"/>
              </w:rPr>
            </w:pPr>
            <w:r w:rsidRPr="00EF1DE3">
              <w:rPr>
                <w:b/>
                <w:bCs/>
                <w:sz w:val="20"/>
                <w:szCs w:val="26"/>
                <w:lang w:val="en-GB" w:bidi="ar-SA"/>
              </w:rPr>
              <w:t>S.482-2</w:t>
            </w:r>
          </w:p>
        </w:tc>
        <w:tc>
          <w:tcPr>
            <w:tcW w:w="8413" w:type="dxa"/>
          </w:tcPr>
          <w:p w:rsidR="00FA3DAF" w:rsidRPr="00EF1DE3" w:rsidRDefault="00FA3DAF" w:rsidP="00B202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pacing w:val="6"/>
                <w:sz w:val="20"/>
                <w:szCs w:val="26"/>
                <w:lang w:val="en-GB" w:bidi="ar-SA"/>
              </w:rPr>
            </w:pPr>
            <w:r w:rsidRPr="00EF1DE3">
              <w:rPr>
                <w:spacing w:val="6"/>
                <w:sz w:val="20"/>
                <w:szCs w:val="26"/>
                <w:rtl/>
                <w:lang w:val="en-GB" w:bidi="ar-SA"/>
              </w:rPr>
              <w:t>قياس الأداء بواسطة إشارة ذات طيف منتظم</w:t>
            </w:r>
            <w:r w:rsidRPr="00EF1DE3">
              <w:rPr>
                <w:rFonts w:hint="cs"/>
                <w:spacing w:val="6"/>
                <w:sz w:val="20"/>
                <w:szCs w:val="26"/>
                <w:rtl/>
                <w:lang w:val="en-GB" w:bidi="ar-SA"/>
              </w:rPr>
              <w:t xml:space="preserve"> </w:t>
            </w:r>
            <w:r w:rsidRPr="00EF1DE3">
              <w:rPr>
                <w:spacing w:val="6"/>
                <w:sz w:val="20"/>
                <w:szCs w:val="26"/>
                <w:rtl/>
                <w:lang w:val="en-GB" w:bidi="ar-SA"/>
              </w:rPr>
              <w:t>للأنظمة التي تستعمل المهاتفة متعددة الإرسال بتقسيم التردد</w:t>
            </w:r>
            <w:r w:rsidRPr="00EF1DE3">
              <w:rPr>
                <w:rFonts w:hint="cs"/>
                <w:spacing w:val="6"/>
                <w:sz w:val="20"/>
                <w:szCs w:val="26"/>
                <w:rtl/>
                <w:lang w:val="en-GB" w:bidi="ar-SA"/>
              </w:rPr>
              <w:t xml:space="preserve"> </w:t>
            </w:r>
            <w:r w:rsidRPr="00EF1DE3">
              <w:rPr>
                <w:spacing w:val="6"/>
                <w:sz w:val="20"/>
                <w:szCs w:val="26"/>
                <w:rtl/>
                <w:lang w:val="en-GB" w:bidi="ar-SA"/>
              </w:rPr>
              <w:t>في الخدمة الثابتة</w:t>
            </w:r>
            <w:r w:rsidR="00B2025C">
              <w:rPr>
                <w:rFonts w:hint="cs"/>
                <w:spacing w:val="6"/>
                <w:sz w:val="20"/>
                <w:szCs w:val="26"/>
                <w:rtl/>
                <w:lang w:val="en-GB" w:bidi="ar-SA"/>
              </w:rPr>
              <w:t> </w:t>
            </w:r>
            <w:r w:rsidRPr="00EF1DE3">
              <w:rPr>
                <w:spacing w:val="6"/>
                <w:sz w:val="20"/>
                <w:szCs w:val="26"/>
                <w:rtl/>
                <w:lang w:val="en-GB" w:bidi="ar-SA"/>
              </w:rPr>
              <w:t>الساتلية</w:t>
            </w:r>
          </w:p>
        </w:tc>
      </w:tr>
    </w:tbl>
    <w:p w:rsidR="00E13DF4" w:rsidRPr="00EF1DE3" w:rsidRDefault="00E13DF4" w:rsidP="00C77BD6">
      <w:pPr>
        <w:spacing w:before="600"/>
        <w:jc w:val="center"/>
        <w:rPr>
          <w:rtl/>
          <w:lang w:eastAsia="zh-CN"/>
        </w:rPr>
      </w:pPr>
      <w:r w:rsidRPr="00EF1DE3">
        <w:rPr>
          <w:rFonts w:hint="cs"/>
          <w:rtl/>
          <w:lang w:eastAsia="zh-CN"/>
        </w:rPr>
        <w:t>___________</w:t>
      </w:r>
    </w:p>
    <w:sectPr w:rsidR="00E13DF4" w:rsidRPr="00EF1DE3" w:rsidSect="00F70257">
      <w:head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935F16" w:rsidRDefault="009453C0" w:rsidP="0040641C">
    <w:pPr>
      <w:pStyle w:val="Header"/>
      <w:bidi w:val="0"/>
      <w:rPr>
        <w:rStyle w:val="PageNumber"/>
        <w:rFonts w:cs="Calibri"/>
        <w:szCs w:val="18"/>
      </w:rPr>
    </w:pPr>
    <w:r w:rsidRPr="00935F16">
      <w:rPr>
        <w:szCs w:val="18"/>
      </w:rPr>
      <w:t xml:space="preserve">- </w:t>
    </w:r>
    <w:r w:rsidRPr="00935F16">
      <w:rPr>
        <w:rStyle w:val="PageNumber"/>
        <w:rFonts w:cs="Calibri"/>
        <w:szCs w:val="18"/>
      </w:rPr>
      <w:fldChar w:fldCharType="begin"/>
    </w:r>
    <w:r w:rsidRPr="00935F16">
      <w:rPr>
        <w:rStyle w:val="PageNumber"/>
        <w:rFonts w:cs="Calibri"/>
        <w:szCs w:val="18"/>
      </w:rPr>
      <w:instrText xml:space="preserve"> PAGE </w:instrText>
    </w:r>
    <w:r w:rsidRPr="00935F16">
      <w:rPr>
        <w:rStyle w:val="PageNumber"/>
        <w:rFonts w:cs="Calibri"/>
        <w:szCs w:val="18"/>
      </w:rPr>
      <w:fldChar w:fldCharType="separate"/>
    </w:r>
    <w:r w:rsidR="00935F16">
      <w:rPr>
        <w:rStyle w:val="PageNumber"/>
        <w:rFonts w:cs="Calibri"/>
        <w:noProof/>
        <w:szCs w:val="18"/>
      </w:rPr>
      <w:t>4</w:t>
    </w:r>
    <w:r w:rsidRPr="00935F16">
      <w:rPr>
        <w:rStyle w:val="PageNumber"/>
        <w:rFonts w:cs="Calibri"/>
        <w:szCs w:val="18"/>
      </w:rPr>
      <w:fldChar w:fldCharType="end"/>
    </w:r>
    <w:r w:rsidRPr="00935F16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0C68ADDA" wp14:editId="26E2496E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4C6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982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4CD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6C7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420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42A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8AA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81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0CC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A0B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06A54"/>
    <w:rsid w:val="00016557"/>
    <w:rsid w:val="000169D1"/>
    <w:rsid w:val="00017A26"/>
    <w:rsid w:val="00020B58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46309"/>
    <w:rsid w:val="000508A6"/>
    <w:rsid w:val="00054872"/>
    <w:rsid w:val="0006741F"/>
    <w:rsid w:val="00067CA9"/>
    <w:rsid w:val="00072606"/>
    <w:rsid w:val="00073B79"/>
    <w:rsid w:val="00081BCB"/>
    <w:rsid w:val="000830CC"/>
    <w:rsid w:val="00083ED6"/>
    <w:rsid w:val="00083F49"/>
    <w:rsid w:val="00090D9C"/>
    <w:rsid w:val="00093195"/>
    <w:rsid w:val="0009721E"/>
    <w:rsid w:val="000A1733"/>
    <w:rsid w:val="000A35C5"/>
    <w:rsid w:val="000A5F71"/>
    <w:rsid w:val="000A6C6C"/>
    <w:rsid w:val="000A6F21"/>
    <w:rsid w:val="000B1297"/>
    <w:rsid w:val="000B6EB6"/>
    <w:rsid w:val="000C172C"/>
    <w:rsid w:val="000C35B8"/>
    <w:rsid w:val="000C61AB"/>
    <w:rsid w:val="000C7EF1"/>
    <w:rsid w:val="000D0AE5"/>
    <w:rsid w:val="000D29DE"/>
    <w:rsid w:val="000D3ED1"/>
    <w:rsid w:val="000E15C1"/>
    <w:rsid w:val="000E64DA"/>
    <w:rsid w:val="000E7F52"/>
    <w:rsid w:val="000F527D"/>
    <w:rsid w:val="000F651B"/>
    <w:rsid w:val="00103E59"/>
    <w:rsid w:val="00104B09"/>
    <w:rsid w:val="0010737B"/>
    <w:rsid w:val="00110801"/>
    <w:rsid w:val="00113182"/>
    <w:rsid w:val="00113392"/>
    <w:rsid w:val="001214B1"/>
    <w:rsid w:val="001237EB"/>
    <w:rsid w:val="00125B91"/>
    <w:rsid w:val="001260DF"/>
    <w:rsid w:val="00126A16"/>
    <w:rsid w:val="00135138"/>
    <w:rsid w:val="00136E36"/>
    <w:rsid w:val="00142B86"/>
    <w:rsid w:val="00151B87"/>
    <w:rsid w:val="00154A1B"/>
    <w:rsid w:val="0017087A"/>
    <w:rsid w:val="0017235D"/>
    <w:rsid w:val="00173656"/>
    <w:rsid w:val="0017621F"/>
    <w:rsid w:val="001809BF"/>
    <w:rsid w:val="00182849"/>
    <w:rsid w:val="00190717"/>
    <w:rsid w:val="001907F7"/>
    <w:rsid w:val="00190CFB"/>
    <w:rsid w:val="00193285"/>
    <w:rsid w:val="00194644"/>
    <w:rsid w:val="0019531F"/>
    <w:rsid w:val="00195371"/>
    <w:rsid w:val="001A0D98"/>
    <w:rsid w:val="001A4258"/>
    <w:rsid w:val="001A4C26"/>
    <w:rsid w:val="001B0B68"/>
    <w:rsid w:val="001B20D0"/>
    <w:rsid w:val="001B2272"/>
    <w:rsid w:val="001B22F8"/>
    <w:rsid w:val="001B2DBA"/>
    <w:rsid w:val="001B3753"/>
    <w:rsid w:val="001B5816"/>
    <w:rsid w:val="001C517C"/>
    <w:rsid w:val="001D1D48"/>
    <w:rsid w:val="001D2B4A"/>
    <w:rsid w:val="001D3DB5"/>
    <w:rsid w:val="001D6741"/>
    <w:rsid w:val="001E15AA"/>
    <w:rsid w:val="001E5393"/>
    <w:rsid w:val="001F045C"/>
    <w:rsid w:val="001F1AD6"/>
    <w:rsid w:val="002014D0"/>
    <w:rsid w:val="002037D6"/>
    <w:rsid w:val="00203DBD"/>
    <w:rsid w:val="00205583"/>
    <w:rsid w:val="00206E2B"/>
    <w:rsid w:val="0021094B"/>
    <w:rsid w:val="002109F4"/>
    <w:rsid w:val="00210B45"/>
    <w:rsid w:val="00212F56"/>
    <w:rsid w:val="0021377C"/>
    <w:rsid w:val="00214333"/>
    <w:rsid w:val="002162E8"/>
    <w:rsid w:val="0021748E"/>
    <w:rsid w:val="00220DD0"/>
    <w:rsid w:val="00221936"/>
    <w:rsid w:val="00227F65"/>
    <w:rsid w:val="00233C28"/>
    <w:rsid w:val="00237A86"/>
    <w:rsid w:val="00245428"/>
    <w:rsid w:val="00253EA4"/>
    <w:rsid w:val="0025541E"/>
    <w:rsid w:val="002575E3"/>
    <w:rsid w:val="00263682"/>
    <w:rsid w:val="00267FC7"/>
    <w:rsid w:val="002717F0"/>
    <w:rsid w:val="0027690C"/>
    <w:rsid w:val="0027799D"/>
    <w:rsid w:val="0028204F"/>
    <w:rsid w:val="002917EF"/>
    <w:rsid w:val="00291BE8"/>
    <w:rsid w:val="00292248"/>
    <w:rsid w:val="00293629"/>
    <w:rsid w:val="00294458"/>
    <w:rsid w:val="002A4BA8"/>
    <w:rsid w:val="002B12A8"/>
    <w:rsid w:val="002C090D"/>
    <w:rsid w:val="002C1EEA"/>
    <w:rsid w:val="002C753A"/>
    <w:rsid w:val="002D087B"/>
    <w:rsid w:val="002D166F"/>
    <w:rsid w:val="002D34D0"/>
    <w:rsid w:val="002D6D32"/>
    <w:rsid w:val="002E0FCD"/>
    <w:rsid w:val="002E3792"/>
    <w:rsid w:val="002E4185"/>
    <w:rsid w:val="002F09E5"/>
    <w:rsid w:val="002F1732"/>
    <w:rsid w:val="002F5120"/>
    <w:rsid w:val="002F6FED"/>
    <w:rsid w:val="00304954"/>
    <w:rsid w:val="00307993"/>
    <w:rsid w:val="00312F0F"/>
    <w:rsid w:val="00316B78"/>
    <w:rsid w:val="0032158B"/>
    <w:rsid w:val="00322AF8"/>
    <w:rsid w:val="00323A75"/>
    <w:rsid w:val="00340388"/>
    <w:rsid w:val="00343581"/>
    <w:rsid w:val="00345143"/>
    <w:rsid w:val="00345C9C"/>
    <w:rsid w:val="00346111"/>
    <w:rsid w:val="00362963"/>
    <w:rsid w:val="00362E1A"/>
    <w:rsid w:val="0036449B"/>
    <w:rsid w:val="003674A6"/>
    <w:rsid w:val="00370730"/>
    <w:rsid w:val="0037417F"/>
    <w:rsid w:val="0038391B"/>
    <w:rsid w:val="00387575"/>
    <w:rsid w:val="00397172"/>
    <w:rsid w:val="003A40F2"/>
    <w:rsid w:val="003A59BD"/>
    <w:rsid w:val="003B1B5D"/>
    <w:rsid w:val="003B1FBA"/>
    <w:rsid w:val="003B3306"/>
    <w:rsid w:val="003C49C0"/>
    <w:rsid w:val="003C6569"/>
    <w:rsid w:val="003D3993"/>
    <w:rsid w:val="003D6AEE"/>
    <w:rsid w:val="003E0E63"/>
    <w:rsid w:val="003E10AB"/>
    <w:rsid w:val="003E25B4"/>
    <w:rsid w:val="003F18DA"/>
    <w:rsid w:val="003F34DC"/>
    <w:rsid w:val="003F47F3"/>
    <w:rsid w:val="004046EA"/>
    <w:rsid w:val="00404865"/>
    <w:rsid w:val="0040516B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629C"/>
    <w:rsid w:val="0044634B"/>
    <w:rsid w:val="00450FAA"/>
    <w:rsid w:val="00453D4D"/>
    <w:rsid w:val="004632D8"/>
    <w:rsid w:val="004646F6"/>
    <w:rsid w:val="00466806"/>
    <w:rsid w:val="004668A0"/>
    <w:rsid w:val="00467F4F"/>
    <w:rsid w:val="00471862"/>
    <w:rsid w:val="0047339A"/>
    <w:rsid w:val="00473950"/>
    <w:rsid w:val="00481EE1"/>
    <w:rsid w:val="004901F9"/>
    <w:rsid w:val="004A1050"/>
    <w:rsid w:val="004A5AB1"/>
    <w:rsid w:val="004C1881"/>
    <w:rsid w:val="004C270F"/>
    <w:rsid w:val="004C4280"/>
    <w:rsid w:val="004D245A"/>
    <w:rsid w:val="004D4294"/>
    <w:rsid w:val="004D49C1"/>
    <w:rsid w:val="004D65FA"/>
    <w:rsid w:val="004D75FF"/>
    <w:rsid w:val="004D77CF"/>
    <w:rsid w:val="004F027E"/>
    <w:rsid w:val="004F0533"/>
    <w:rsid w:val="004F26AE"/>
    <w:rsid w:val="004F6F22"/>
    <w:rsid w:val="00501B47"/>
    <w:rsid w:val="0050504B"/>
    <w:rsid w:val="00514374"/>
    <w:rsid w:val="00514D5E"/>
    <w:rsid w:val="0051634A"/>
    <w:rsid w:val="0051747D"/>
    <w:rsid w:val="005176E4"/>
    <w:rsid w:val="00526068"/>
    <w:rsid w:val="0053317C"/>
    <w:rsid w:val="00534DA7"/>
    <w:rsid w:val="005355D7"/>
    <w:rsid w:val="00535AFB"/>
    <w:rsid w:val="0053780B"/>
    <w:rsid w:val="00554B1F"/>
    <w:rsid w:val="0055521C"/>
    <w:rsid w:val="00555296"/>
    <w:rsid w:val="00566F8C"/>
    <w:rsid w:val="00576E39"/>
    <w:rsid w:val="005817FC"/>
    <w:rsid w:val="005833C9"/>
    <w:rsid w:val="005851BA"/>
    <w:rsid w:val="005852BA"/>
    <w:rsid w:val="00587AD2"/>
    <w:rsid w:val="00595800"/>
    <w:rsid w:val="005B1E06"/>
    <w:rsid w:val="005B22CD"/>
    <w:rsid w:val="005B4154"/>
    <w:rsid w:val="005B70AB"/>
    <w:rsid w:val="005B7E8A"/>
    <w:rsid w:val="005C263D"/>
    <w:rsid w:val="005C5449"/>
    <w:rsid w:val="005C6634"/>
    <w:rsid w:val="005D4365"/>
    <w:rsid w:val="005E0656"/>
    <w:rsid w:val="005E10D0"/>
    <w:rsid w:val="005E4BF8"/>
    <w:rsid w:val="005E77F8"/>
    <w:rsid w:val="005F130D"/>
    <w:rsid w:val="005F5D8E"/>
    <w:rsid w:val="005F7F4C"/>
    <w:rsid w:val="00601980"/>
    <w:rsid w:val="0060519A"/>
    <w:rsid w:val="00607DDF"/>
    <w:rsid w:val="006136BC"/>
    <w:rsid w:val="0061632E"/>
    <w:rsid w:val="00616897"/>
    <w:rsid w:val="006178BB"/>
    <w:rsid w:val="00617D81"/>
    <w:rsid w:val="00624358"/>
    <w:rsid w:val="00624435"/>
    <w:rsid w:val="0062794A"/>
    <w:rsid w:val="00630566"/>
    <w:rsid w:val="006308CF"/>
    <w:rsid w:val="00634C02"/>
    <w:rsid w:val="00637C9D"/>
    <w:rsid w:val="0064068A"/>
    <w:rsid w:val="00644787"/>
    <w:rsid w:val="006453C4"/>
    <w:rsid w:val="0064578D"/>
    <w:rsid w:val="00652705"/>
    <w:rsid w:val="00652CEC"/>
    <w:rsid w:val="00652DF5"/>
    <w:rsid w:val="00652EF9"/>
    <w:rsid w:val="006564FB"/>
    <w:rsid w:val="00657308"/>
    <w:rsid w:val="00660AB4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E742B"/>
    <w:rsid w:val="006F0051"/>
    <w:rsid w:val="006F6DD0"/>
    <w:rsid w:val="006F7396"/>
    <w:rsid w:val="007004B3"/>
    <w:rsid w:val="007016A3"/>
    <w:rsid w:val="00702A71"/>
    <w:rsid w:val="00702B45"/>
    <w:rsid w:val="00706736"/>
    <w:rsid w:val="00706B76"/>
    <w:rsid w:val="007071E5"/>
    <w:rsid w:val="00707981"/>
    <w:rsid w:val="007109FB"/>
    <w:rsid w:val="0071106C"/>
    <w:rsid w:val="00714C2F"/>
    <w:rsid w:val="00714F54"/>
    <w:rsid w:val="007221BA"/>
    <w:rsid w:val="00722792"/>
    <w:rsid w:val="00723795"/>
    <w:rsid w:val="007337E7"/>
    <w:rsid w:val="00737537"/>
    <w:rsid w:val="00745C10"/>
    <w:rsid w:val="00746900"/>
    <w:rsid w:val="007537F2"/>
    <w:rsid w:val="0075479D"/>
    <w:rsid w:val="00756479"/>
    <w:rsid w:val="00762370"/>
    <w:rsid w:val="007651E9"/>
    <w:rsid w:val="0076544C"/>
    <w:rsid w:val="00771C1E"/>
    <w:rsid w:val="0077256B"/>
    <w:rsid w:val="00775B15"/>
    <w:rsid w:val="0077642B"/>
    <w:rsid w:val="00777D00"/>
    <w:rsid w:val="00786005"/>
    <w:rsid w:val="00790041"/>
    <w:rsid w:val="007952B9"/>
    <w:rsid w:val="00795857"/>
    <w:rsid w:val="00797989"/>
    <w:rsid w:val="007A56AC"/>
    <w:rsid w:val="007A59D7"/>
    <w:rsid w:val="007B2D6C"/>
    <w:rsid w:val="007B33AB"/>
    <w:rsid w:val="007C2ADA"/>
    <w:rsid w:val="007C68C3"/>
    <w:rsid w:val="007D08CB"/>
    <w:rsid w:val="007D0F20"/>
    <w:rsid w:val="007D2EBF"/>
    <w:rsid w:val="007D7559"/>
    <w:rsid w:val="007E02F9"/>
    <w:rsid w:val="007E0BFD"/>
    <w:rsid w:val="007E6CD5"/>
    <w:rsid w:val="007F2EC0"/>
    <w:rsid w:val="007F3CB0"/>
    <w:rsid w:val="007F774B"/>
    <w:rsid w:val="008071D0"/>
    <w:rsid w:val="008079E6"/>
    <w:rsid w:val="00810698"/>
    <w:rsid w:val="00811467"/>
    <w:rsid w:val="00813125"/>
    <w:rsid w:val="00825961"/>
    <w:rsid w:val="008301B6"/>
    <w:rsid w:val="00830C2F"/>
    <w:rsid w:val="00840070"/>
    <w:rsid w:val="00840C1F"/>
    <w:rsid w:val="00843FA0"/>
    <w:rsid w:val="00851629"/>
    <w:rsid w:val="0085411C"/>
    <w:rsid w:val="00857981"/>
    <w:rsid w:val="008663FF"/>
    <w:rsid w:val="0087209B"/>
    <w:rsid w:val="0087580E"/>
    <w:rsid w:val="00881D43"/>
    <w:rsid w:val="008837AA"/>
    <w:rsid w:val="00887F2D"/>
    <w:rsid w:val="00895355"/>
    <w:rsid w:val="0089563F"/>
    <w:rsid w:val="00895F88"/>
    <w:rsid w:val="008A2811"/>
    <w:rsid w:val="008A3C3B"/>
    <w:rsid w:val="008B4D20"/>
    <w:rsid w:val="008B6964"/>
    <w:rsid w:val="008C09DD"/>
    <w:rsid w:val="008C29C9"/>
    <w:rsid w:val="008C6E6A"/>
    <w:rsid w:val="008D09DD"/>
    <w:rsid w:val="008D43F1"/>
    <w:rsid w:val="008D4874"/>
    <w:rsid w:val="008D5D5C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320CD"/>
    <w:rsid w:val="00935F16"/>
    <w:rsid w:val="0093776F"/>
    <w:rsid w:val="00942FE4"/>
    <w:rsid w:val="009453C0"/>
    <w:rsid w:val="009463F8"/>
    <w:rsid w:val="009578AB"/>
    <w:rsid w:val="00960FD3"/>
    <w:rsid w:val="00963CCF"/>
    <w:rsid w:val="0096482F"/>
    <w:rsid w:val="009676DC"/>
    <w:rsid w:val="00973E6B"/>
    <w:rsid w:val="009746CA"/>
    <w:rsid w:val="009761C3"/>
    <w:rsid w:val="00980D6F"/>
    <w:rsid w:val="00982451"/>
    <w:rsid w:val="009846D5"/>
    <w:rsid w:val="00985D70"/>
    <w:rsid w:val="0099072C"/>
    <w:rsid w:val="00996765"/>
    <w:rsid w:val="009A20CA"/>
    <w:rsid w:val="009A361F"/>
    <w:rsid w:val="009C056D"/>
    <w:rsid w:val="009C16B7"/>
    <w:rsid w:val="009D3F00"/>
    <w:rsid w:val="009D4DB1"/>
    <w:rsid w:val="009D4F69"/>
    <w:rsid w:val="009E068B"/>
    <w:rsid w:val="009E1293"/>
    <w:rsid w:val="009E14F3"/>
    <w:rsid w:val="009E1957"/>
    <w:rsid w:val="009E63FC"/>
    <w:rsid w:val="009E69A1"/>
    <w:rsid w:val="009F653A"/>
    <w:rsid w:val="00A06093"/>
    <w:rsid w:val="00A10B59"/>
    <w:rsid w:val="00A11E76"/>
    <w:rsid w:val="00A12763"/>
    <w:rsid w:val="00A13759"/>
    <w:rsid w:val="00A14171"/>
    <w:rsid w:val="00A15980"/>
    <w:rsid w:val="00A1666A"/>
    <w:rsid w:val="00A23E17"/>
    <w:rsid w:val="00A25867"/>
    <w:rsid w:val="00A3588D"/>
    <w:rsid w:val="00A44B21"/>
    <w:rsid w:val="00A46274"/>
    <w:rsid w:val="00A47673"/>
    <w:rsid w:val="00A570DF"/>
    <w:rsid w:val="00A62D1F"/>
    <w:rsid w:val="00A62FDD"/>
    <w:rsid w:val="00A6534C"/>
    <w:rsid w:val="00A71C23"/>
    <w:rsid w:val="00A77413"/>
    <w:rsid w:val="00A82657"/>
    <w:rsid w:val="00A849DB"/>
    <w:rsid w:val="00A8754E"/>
    <w:rsid w:val="00A931FC"/>
    <w:rsid w:val="00A96AF9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5754"/>
    <w:rsid w:val="00AD7123"/>
    <w:rsid w:val="00AE1F6F"/>
    <w:rsid w:val="00AF260B"/>
    <w:rsid w:val="00AF373E"/>
    <w:rsid w:val="00AF46D6"/>
    <w:rsid w:val="00AF4F7D"/>
    <w:rsid w:val="00AF5281"/>
    <w:rsid w:val="00B00BF1"/>
    <w:rsid w:val="00B00EB2"/>
    <w:rsid w:val="00B016A5"/>
    <w:rsid w:val="00B02760"/>
    <w:rsid w:val="00B05BCE"/>
    <w:rsid w:val="00B12C70"/>
    <w:rsid w:val="00B14E56"/>
    <w:rsid w:val="00B1559B"/>
    <w:rsid w:val="00B16881"/>
    <w:rsid w:val="00B2025C"/>
    <w:rsid w:val="00B27185"/>
    <w:rsid w:val="00B30EEC"/>
    <w:rsid w:val="00B4115B"/>
    <w:rsid w:val="00B43876"/>
    <w:rsid w:val="00B45F21"/>
    <w:rsid w:val="00B46AFC"/>
    <w:rsid w:val="00B46FCF"/>
    <w:rsid w:val="00B56018"/>
    <w:rsid w:val="00B57344"/>
    <w:rsid w:val="00B579CE"/>
    <w:rsid w:val="00B60460"/>
    <w:rsid w:val="00B61B2F"/>
    <w:rsid w:val="00B622F5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975D4"/>
    <w:rsid w:val="00BA4A06"/>
    <w:rsid w:val="00BA62CA"/>
    <w:rsid w:val="00BB0440"/>
    <w:rsid w:val="00BB5EE6"/>
    <w:rsid w:val="00BC0B60"/>
    <w:rsid w:val="00BC2598"/>
    <w:rsid w:val="00BC7796"/>
    <w:rsid w:val="00BE2B62"/>
    <w:rsid w:val="00BE33F5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03BF3"/>
    <w:rsid w:val="00C14758"/>
    <w:rsid w:val="00C1691A"/>
    <w:rsid w:val="00C2024A"/>
    <w:rsid w:val="00C2742E"/>
    <w:rsid w:val="00C353CC"/>
    <w:rsid w:val="00C3667E"/>
    <w:rsid w:val="00C37B75"/>
    <w:rsid w:val="00C46998"/>
    <w:rsid w:val="00C50B61"/>
    <w:rsid w:val="00C60D20"/>
    <w:rsid w:val="00C612E2"/>
    <w:rsid w:val="00C6168E"/>
    <w:rsid w:val="00C626AC"/>
    <w:rsid w:val="00C638F9"/>
    <w:rsid w:val="00C66145"/>
    <w:rsid w:val="00C6636D"/>
    <w:rsid w:val="00C70ACD"/>
    <w:rsid w:val="00C71CE9"/>
    <w:rsid w:val="00C73E29"/>
    <w:rsid w:val="00C75D64"/>
    <w:rsid w:val="00C76AFF"/>
    <w:rsid w:val="00C77BD6"/>
    <w:rsid w:val="00C77E1E"/>
    <w:rsid w:val="00C81F32"/>
    <w:rsid w:val="00C90B49"/>
    <w:rsid w:val="00C91FBF"/>
    <w:rsid w:val="00CA031D"/>
    <w:rsid w:val="00CA3E98"/>
    <w:rsid w:val="00CA481F"/>
    <w:rsid w:val="00CB216D"/>
    <w:rsid w:val="00CB2F8B"/>
    <w:rsid w:val="00CB2F93"/>
    <w:rsid w:val="00CB4CC7"/>
    <w:rsid w:val="00CB4F19"/>
    <w:rsid w:val="00CB6A0F"/>
    <w:rsid w:val="00CC25E3"/>
    <w:rsid w:val="00CC5722"/>
    <w:rsid w:val="00CC5E5E"/>
    <w:rsid w:val="00CC7BB1"/>
    <w:rsid w:val="00CD4B68"/>
    <w:rsid w:val="00CD4CB2"/>
    <w:rsid w:val="00CD5D55"/>
    <w:rsid w:val="00CE4CFB"/>
    <w:rsid w:val="00CE5A31"/>
    <w:rsid w:val="00CE6545"/>
    <w:rsid w:val="00CF153D"/>
    <w:rsid w:val="00CF489C"/>
    <w:rsid w:val="00D01442"/>
    <w:rsid w:val="00D06594"/>
    <w:rsid w:val="00D10118"/>
    <w:rsid w:val="00D1218A"/>
    <w:rsid w:val="00D1438A"/>
    <w:rsid w:val="00D15A12"/>
    <w:rsid w:val="00D16A8B"/>
    <w:rsid w:val="00D272C1"/>
    <w:rsid w:val="00D31C76"/>
    <w:rsid w:val="00D332B2"/>
    <w:rsid w:val="00D343D6"/>
    <w:rsid w:val="00D35752"/>
    <w:rsid w:val="00D4064B"/>
    <w:rsid w:val="00D416B4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97898"/>
    <w:rsid w:val="00DB0D91"/>
    <w:rsid w:val="00DB34B9"/>
    <w:rsid w:val="00DB37F6"/>
    <w:rsid w:val="00DB44A0"/>
    <w:rsid w:val="00DB5ECF"/>
    <w:rsid w:val="00DC004A"/>
    <w:rsid w:val="00DC1F44"/>
    <w:rsid w:val="00DC3055"/>
    <w:rsid w:val="00DC3C7A"/>
    <w:rsid w:val="00DC601C"/>
    <w:rsid w:val="00DD4971"/>
    <w:rsid w:val="00DD52A9"/>
    <w:rsid w:val="00DE3C02"/>
    <w:rsid w:val="00DE4BF2"/>
    <w:rsid w:val="00DE5184"/>
    <w:rsid w:val="00DF6109"/>
    <w:rsid w:val="00E039FF"/>
    <w:rsid w:val="00E13A1A"/>
    <w:rsid w:val="00E13DF4"/>
    <w:rsid w:val="00E20B9C"/>
    <w:rsid w:val="00E22143"/>
    <w:rsid w:val="00E2456B"/>
    <w:rsid w:val="00E25F00"/>
    <w:rsid w:val="00E26080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189"/>
    <w:rsid w:val="00E71B76"/>
    <w:rsid w:val="00E765C7"/>
    <w:rsid w:val="00E77927"/>
    <w:rsid w:val="00E8544E"/>
    <w:rsid w:val="00E962CA"/>
    <w:rsid w:val="00EA347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1DE3"/>
    <w:rsid w:val="00EF55C9"/>
    <w:rsid w:val="00F00A50"/>
    <w:rsid w:val="00F0176F"/>
    <w:rsid w:val="00F02ECF"/>
    <w:rsid w:val="00F10BB0"/>
    <w:rsid w:val="00F146DF"/>
    <w:rsid w:val="00F168F9"/>
    <w:rsid w:val="00F23328"/>
    <w:rsid w:val="00F24131"/>
    <w:rsid w:val="00F25EDB"/>
    <w:rsid w:val="00F31AB4"/>
    <w:rsid w:val="00F3354A"/>
    <w:rsid w:val="00F372E9"/>
    <w:rsid w:val="00F373C8"/>
    <w:rsid w:val="00F373DC"/>
    <w:rsid w:val="00F42740"/>
    <w:rsid w:val="00F47641"/>
    <w:rsid w:val="00F51414"/>
    <w:rsid w:val="00F532FC"/>
    <w:rsid w:val="00F55949"/>
    <w:rsid w:val="00F61324"/>
    <w:rsid w:val="00F62CAD"/>
    <w:rsid w:val="00F66CC3"/>
    <w:rsid w:val="00F70257"/>
    <w:rsid w:val="00F7302E"/>
    <w:rsid w:val="00F769F8"/>
    <w:rsid w:val="00F77627"/>
    <w:rsid w:val="00F77E58"/>
    <w:rsid w:val="00F82F1D"/>
    <w:rsid w:val="00F87CD1"/>
    <w:rsid w:val="00F906C2"/>
    <w:rsid w:val="00F95076"/>
    <w:rsid w:val="00F97A29"/>
    <w:rsid w:val="00FA3DAF"/>
    <w:rsid w:val="00FB05F7"/>
    <w:rsid w:val="00FB1538"/>
    <w:rsid w:val="00FB5847"/>
    <w:rsid w:val="00FC2192"/>
    <w:rsid w:val="00FC23A6"/>
    <w:rsid w:val="00FC5D4C"/>
    <w:rsid w:val="00FC6453"/>
    <w:rsid w:val="00FC6FF5"/>
    <w:rsid w:val="00FD08D7"/>
    <w:rsid w:val="00FD61E9"/>
    <w:rsid w:val="00FD6B76"/>
    <w:rsid w:val="00FE4524"/>
    <w:rsid w:val="00FE7136"/>
    <w:rsid w:val="00FF048A"/>
    <w:rsid w:val="00FF1E01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2D087B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qFormat/>
    <w:rsid w:val="00C91FBF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2D087B"/>
    <w:rPr>
      <w:rFonts w:ascii="Calibri" w:eastAsia="SimSun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C91FBF"/>
    <w:rPr>
      <w:rFonts w:ascii="Calibri" w:hAnsi="Calibri" w:cs="Traditional Arabic"/>
      <w:b/>
      <w:bCs/>
      <w:sz w:val="26"/>
      <w:szCs w:val="36"/>
      <w:lang w:eastAsia="en-US" w:bidi="ar-EG"/>
    </w:rPr>
  </w:style>
  <w:style w:type="table" w:customStyle="1" w:styleId="TableGrid2">
    <w:name w:val="Table Grid2"/>
    <w:basedOn w:val="TableNormal"/>
    <w:next w:val="TableGrid"/>
    <w:rsid w:val="00FA3D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3DA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3DAF"/>
    <w:rPr>
      <w:rFonts w:ascii="Segoe UI" w:hAnsi="Segoe UI" w:cs="Segoe UI"/>
      <w:sz w:val="18"/>
      <w:szCs w:val="18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2D087B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qFormat/>
    <w:rsid w:val="00C91FBF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2D087B"/>
    <w:rPr>
      <w:rFonts w:ascii="Calibri" w:eastAsia="SimSun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C91FBF"/>
    <w:rPr>
      <w:rFonts w:ascii="Calibri" w:hAnsi="Calibri" w:cs="Traditional Arabic"/>
      <w:b/>
      <w:bCs/>
      <w:sz w:val="26"/>
      <w:szCs w:val="36"/>
      <w:lang w:eastAsia="en-US" w:bidi="ar-EG"/>
    </w:rPr>
  </w:style>
  <w:style w:type="table" w:customStyle="1" w:styleId="TableGrid2">
    <w:name w:val="Table Grid2"/>
    <w:basedOn w:val="TableNormal"/>
    <w:next w:val="TableGrid"/>
    <w:rsid w:val="00FA3D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3DA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3DAF"/>
    <w:rPr>
      <w:rFonts w:ascii="Segoe UI" w:hAnsi="Segoe UI" w:cs="Segoe UI"/>
      <w:sz w:val="18"/>
      <w:szCs w:val="18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4-C-0069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4-C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7146-EFCF-4129-910B-7771380F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5240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ITU</cp:lastModifiedBy>
  <cp:revision>3</cp:revision>
  <cp:lastPrinted>2014-07-28T09:17:00Z</cp:lastPrinted>
  <dcterms:created xsi:type="dcterms:W3CDTF">2014-07-28T09:16:00Z</dcterms:created>
  <dcterms:modified xsi:type="dcterms:W3CDTF">2014-07-28T09:17:00Z</dcterms:modified>
</cp:coreProperties>
</file>