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7272DA" w:rsidRDefault="00B77485" w:rsidP="007272DA">
            <w:pPr>
              <w:jc w:val="left"/>
              <w:rPr>
                <w:rtl/>
                <w:lang w:bidi="ar-AE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</w:p>
          <w:p w:rsidR="00B77485" w:rsidRPr="00985D70" w:rsidRDefault="00FB05F7" w:rsidP="007272DA">
            <w:pPr>
              <w:spacing w:before="0"/>
              <w:jc w:val="left"/>
              <w:rPr>
                <w:rtl/>
                <w:lang w:bidi="ar-SY"/>
              </w:rPr>
            </w:pPr>
            <w:r w:rsidRPr="00985D70">
              <w:rPr>
                <w:b/>
                <w:bCs/>
              </w:rPr>
              <w:t>CACE</w:t>
            </w:r>
            <w:r w:rsidR="00B77485" w:rsidRPr="00985D70">
              <w:rPr>
                <w:b/>
                <w:bCs/>
              </w:rPr>
              <w:t>/</w:t>
            </w:r>
            <w:r w:rsidR="008B7FC4">
              <w:rPr>
                <w:b/>
                <w:bCs/>
              </w:rPr>
              <w:t>694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8B7FC4" w:rsidP="0047143B">
            <w:pPr>
              <w:jc w:val="right"/>
              <w:rPr>
                <w:lang w:bidi="ar-SA"/>
              </w:rPr>
            </w:pPr>
            <w:r>
              <w:t>22</w:t>
            </w:r>
            <w:r>
              <w:rPr>
                <w:rFonts w:hint="cs"/>
                <w:rtl/>
                <w:lang w:bidi="ar-SA"/>
              </w:rPr>
              <w:t xml:space="preserve"> أكتوبر </w:t>
            </w:r>
            <w:r>
              <w:rPr>
                <w:lang w:bidi="ar-SA"/>
              </w:rP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ED3B8B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ED3B8B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8B7FC4">
              <w:rPr>
                <w:b/>
                <w:bCs/>
              </w:rPr>
              <w:t>7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ED3B8B" w:rsidRDefault="00FB05F7" w:rsidP="008B7FC4">
            <w:pPr>
              <w:rPr>
                <w:b/>
                <w:bCs/>
                <w:rtl/>
              </w:rPr>
            </w:pPr>
            <w:r w:rsidRPr="00ED3B8B">
              <w:rPr>
                <w:b/>
                <w:bCs/>
                <w:rtl/>
              </w:rPr>
              <w:t>ل</w:t>
            </w:r>
            <w:r w:rsidRPr="00ED3B8B">
              <w:rPr>
                <w:rFonts w:hint="cs"/>
                <w:b/>
                <w:bCs/>
                <w:rtl/>
              </w:rPr>
              <w:t>‍</w:t>
            </w:r>
            <w:r w:rsidRPr="00ED3B8B">
              <w:rPr>
                <w:b/>
                <w:bCs/>
                <w:rtl/>
              </w:rPr>
              <w:t xml:space="preserve">جنة الدراسات </w:t>
            </w:r>
            <w:r w:rsidR="008B7FC4" w:rsidRPr="00ED3B8B">
              <w:rPr>
                <w:b/>
                <w:bCs/>
              </w:rPr>
              <w:t>7</w:t>
            </w:r>
            <w:r w:rsidRPr="00ED3B8B">
              <w:rPr>
                <w:b/>
                <w:bCs/>
                <w:rtl/>
              </w:rPr>
              <w:t xml:space="preserve"> للاتصالات الراديوية</w:t>
            </w:r>
            <w:r w:rsidRPr="00ED3B8B">
              <w:rPr>
                <w:rFonts w:hint="cs"/>
                <w:b/>
                <w:bCs/>
                <w:rtl/>
              </w:rPr>
              <w:t xml:space="preserve"> (</w:t>
            </w:r>
            <w:r w:rsidR="008B7FC4" w:rsidRPr="00ED3B8B">
              <w:rPr>
                <w:rFonts w:hint="cs"/>
                <w:b/>
                <w:bCs/>
                <w:rtl/>
              </w:rPr>
              <w:t>الخدمات العلمية</w:t>
            </w:r>
            <w:r w:rsidRPr="00ED3B8B">
              <w:rPr>
                <w:rFonts w:hint="cs"/>
                <w:b/>
                <w:bCs/>
                <w:rtl/>
              </w:rPr>
              <w:t>)</w:t>
            </w:r>
          </w:p>
          <w:p w:rsidR="005971E5" w:rsidRPr="00141FB5" w:rsidRDefault="00FB05F7" w:rsidP="00B32261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ED3B8B">
              <w:rPr>
                <w:rFonts w:hint="cs"/>
                <w:b/>
                <w:bCs/>
                <w:spacing w:val="-4"/>
                <w:rtl/>
              </w:rPr>
              <w:t>-</w:t>
            </w:r>
            <w:r w:rsidRPr="00ED3B8B">
              <w:rPr>
                <w:b/>
                <w:bCs/>
                <w:spacing w:val="-4"/>
                <w:rtl/>
              </w:rPr>
              <w:tab/>
            </w:r>
            <w:r w:rsidR="00141FB5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اقتراح </w:t>
            </w:r>
            <w:r w:rsidR="00141FB5" w:rsidRPr="00ED3B8B">
              <w:rPr>
                <w:rFonts w:ascii="Times New Roman Bold" w:hAnsi="Times New Roman Bold"/>
                <w:b/>
                <w:bCs/>
                <w:spacing w:val="-4"/>
                <w:rtl/>
              </w:rPr>
              <w:t>اعتماد</w:t>
            </w:r>
            <w:r w:rsidR="00141FB5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5971E5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مشاريع </w:t>
            </w:r>
            <w:r w:rsidR="00052874" w:rsidRPr="00ED3B8B">
              <w:rPr>
                <w:b/>
                <w:bCs/>
                <w:spacing w:val="-4"/>
              </w:rPr>
              <w:t>3</w:t>
            </w:r>
            <w:r w:rsidR="005971E5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توصيات</w:t>
            </w:r>
            <w:r w:rsidR="00896E9F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جديدة </w:t>
            </w:r>
            <w:r w:rsidR="00141FB5" w:rsidRPr="00ED3B8B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لقطاع الاتصالات الراديوية</w:t>
            </w:r>
            <w:r w:rsidR="005F461E" w:rsidRPr="00ED3B8B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="00191AE5" w:rsidRPr="00ED3B8B">
              <w:rPr>
                <w:rFonts w:hint="cs"/>
                <w:b/>
                <w:bCs/>
                <w:spacing w:val="-4"/>
                <w:rtl/>
              </w:rPr>
              <w:t xml:space="preserve">وال‍موافقة عليها في نفس الوقت </w:t>
            </w:r>
            <w:r w:rsidR="00191AE5" w:rsidRPr="00ED3B8B">
              <w:rPr>
                <w:rFonts w:hint="cs"/>
                <w:b/>
                <w:bCs/>
                <w:spacing w:val="-4"/>
                <w:rtl/>
                <w:lang w:bidi="ar-SY"/>
              </w:rPr>
              <w:t>ب</w:t>
            </w:r>
            <w:r w:rsidR="005F461E" w:rsidRPr="00ED3B8B">
              <w:rPr>
                <w:rFonts w:hint="cs"/>
                <w:b/>
                <w:bCs/>
                <w:spacing w:val="-4"/>
                <w:rtl/>
                <w:lang w:bidi="ar-SY"/>
              </w:rPr>
              <w:t>ال‍مراسلة</w:t>
            </w:r>
            <w:r w:rsidR="00191AE5" w:rsidRPr="00ED3B8B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وفقاً للفقرة </w:t>
            </w:r>
            <w:r w:rsidR="00191AE5" w:rsidRPr="00ED3B8B">
              <w:rPr>
                <w:b/>
                <w:bCs/>
                <w:spacing w:val="-4"/>
                <w:lang w:bidi="ar-SY"/>
              </w:rPr>
              <w:t>3.10</w:t>
            </w:r>
            <w:r w:rsidR="00191AE5" w:rsidRPr="00ED3B8B">
              <w:rPr>
                <w:rFonts w:hint="cs"/>
                <w:b/>
                <w:bCs/>
                <w:spacing w:val="-4"/>
                <w:rtl/>
              </w:rPr>
              <w:t xml:space="preserve"> من القرار </w:t>
            </w:r>
            <w:r w:rsidR="009302AA" w:rsidRPr="00ED3B8B">
              <w:rPr>
                <w:b/>
                <w:bCs/>
                <w:spacing w:val="-4"/>
              </w:rPr>
              <w:t>ITU-R 1-6</w:t>
            </w:r>
            <w:r w:rsidR="00B32261" w:rsidRPr="00ED3B8B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191AE5" w:rsidRPr="00ED3B8B">
              <w:rPr>
                <w:rFonts w:hint="cs"/>
                <w:b/>
                <w:bCs/>
                <w:spacing w:val="-4"/>
                <w:rtl/>
              </w:rPr>
              <w:t>(إجراء الاعتماد وال‍موافقة في نفس الوقت بال‍مراسلة)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C7108E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9929BE" w:rsidRPr="008C09CB" w:rsidRDefault="00141FB5" w:rsidP="004C7C81">
      <w:pPr>
        <w:rPr>
          <w:rtl/>
        </w:rPr>
      </w:pPr>
      <w:r w:rsidRPr="008C09CB">
        <w:rPr>
          <w:rtl/>
        </w:rPr>
        <w:t>قررت ل</w:t>
      </w:r>
      <w:r w:rsidR="00DB6F85" w:rsidRPr="008C09CB">
        <w:rPr>
          <w:rFonts w:hint="cs"/>
          <w:rtl/>
        </w:rPr>
        <w:t>‍</w:t>
      </w:r>
      <w:r w:rsidRPr="008C09CB">
        <w:rPr>
          <w:rtl/>
        </w:rPr>
        <w:t>جنة الدراسات</w:t>
      </w:r>
      <w:r w:rsidRPr="008C09CB">
        <w:rPr>
          <w:rFonts w:hint="cs"/>
          <w:rtl/>
        </w:rPr>
        <w:t> </w:t>
      </w:r>
      <w:r w:rsidR="00A30A60">
        <w:t>7</w:t>
      </w:r>
      <w:r w:rsidR="008C09CB" w:rsidRPr="008C09CB">
        <w:rPr>
          <w:rtl/>
        </w:rPr>
        <w:t xml:space="preserve"> </w:t>
      </w:r>
      <w:r w:rsidRPr="008C09CB">
        <w:rPr>
          <w:rtl/>
        </w:rPr>
        <w:t>للاتصالات الراديوية في اجتماعها ال</w:t>
      </w:r>
      <w:r w:rsidR="00AF56DC" w:rsidRPr="008C09CB">
        <w:rPr>
          <w:rFonts w:hint="cs"/>
          <w:rtl/>
        </w:rPr>
        <w:t>‍</w:t>
      </w:r>
      <w:r w:rsidRPr="008C09CB">
        <w:rPr>
          <w:rtl/>
        </w:rPr>
        <w:t xml:space="preserve">منعقد </w:t>
      </w:r>
      <w:r w:rsidR="008C09CB" w:rsidRPr="008C09CB">
        <w:rPr>
          <w:rFonts w:hint="cs"/>
          <w:rtl/>
        </w:rPr>
        <w:t xml:space="preserve">في </w:t>
      </w:r>
      <w:r w:rsidR="00A30A60">
        <w:t>8</w:t>
      </w:r>
      <w:r w:rsidR="008C09CB" w:rsidRPr="008C09CB">
        <w:rPr>
          <w:rFonts w:hint="cs"/>
          <w:rtl/>
        </w:rPr>
        <w:t xml:space="preserve"> </w:t>
      </w:r>
      <w:r w:rsidR="00A30A60">
        <w:rPr>
          <w:rFonts w:hint="cs"/>
          <w:rtl/>
        </w:rPr>
        <w:t>أكتوبر</w:t>
      </w:r>
      <w:r w:rsidR="00246856">
        <w:rPr>
          <w:rFonts w:hint="cs"/>
          <w:rtl/>
        </w:rPr>
        <w:t xml:space="preserve"> </w:t>
      </w:r>
      <w:r w:rsidR="00A30A60">
        <w:t>2014</w:t>
      </w:r>
      <w:r w:rsidR="008C09CB" w:rsidRPr="008C09CB">
        <w:rPr>
          <w:rFonts w:hint="cs"/>
          <w:rtl/>
        </w:rPr>
        <w:t xml:space="preserve"> </w:t>
      </w:r>
      <w:r w:rsidRPr="008C09CB">
        <w:rPr>
          <w:rtl/>
        </w:rPr>
        <w:t xml:space="preserve">أن تلتمس اعتماد </w:t>
      </w:r>
      <w:r w:rsidR="008C09CB" w:rsidRPr="008C09CB">
        <w:rPr>
          <w:rFonts w:hint="cs"/>
          <w:rtl/>
        </w:rPr>
        <w:t>مشاريع</w:t>
      </w:r>
      <w:r w:rsidR="00E04CA5">
        <w:rPr>
          <w:rFonts w:hint="cs"/>
          <w:rtl/>
        </w:rPr>
        <w:t xml:space="preserve"> </w:t>
      </w:r>
      <w:r w:rsidR="00A30A60">
        <w:t>3</w:t>
      </w:r>
      <w:r w:rsidR="00E04CA5">
        <w:rPr>
          <w:rFonts w:hint="eastAsia"/>
          <w:rtl/>
        </w:rPr>
        <w:t> </w:t>
      </w:r>
      <w:r w:rsidR="008C09CB" w:rsidRPr="008C09CB">
        <w:rPr>
          <w:rFonts w:hint="cs"/>
          <w:rtl/>
        </w:rPr>
        <w:t>توصيات</w:t>
      </w:r>
      <w:r w:rsidR="001F5266" w:rsidRPr="008C09CB">
        <w:rPr>
          <w:rFonts w:hint="cs"/>
          <w:rtl/>
        </w:rPr>
        <w:t xml:space="preserve"> جديدة </w:t>
      </w:r>
      <w:r w:rsidRPr="008C09CB">
        <w:rPr>
          <w:rFonts w:hint="cs"/>
          <w:rtl/>
        </w:rPr>
        <w:t>لقطاع الاتصالات الراديوية</w:t>
      </w:r>
      <w:r w:rsidR="00D91B64">
        <w:rPr>
          <w:rFonts w:hint="cs"/>
          <w:rtl/>
        </w:rPr>
        <w:t xml:space="preserve"> عن طريق ال‍مراسلة</w:t>
      </w:r>
      <w:r w:rsidRPr="008C09CB">
        <w:rPr>
          <w:rFonts w:hint="cs"/>
          <w:rtl/>
        </w:rPr>
        <w:t xml:space="preserve"> </w:t>
      </w:r>
      <w:r w:rsidR="00C6614D">
        <w:rPr>
          <w:rFonts w:hint="cs"/>
          <w:rtl/>
        </w:rPr>
        <w:t>(الفقرة </w:t>
      </w:r>
      <w:r w:rsidR="00C6614D">
        <w:t>3.2.10</w:t>
      </w:r>
      <w:r w:rsidR="00C6614D">
        <w:rPr>
          <w:rFonts w:hint="cs"/>
          <w:rtl/>
        </w:rPr>
        <w:t xml:space="preserve"> من القرار </w:t>
      </w:r>
      <w:r w:rsidR="00C6614D">
        <w:t>ITU-R 1-6</w:t>
      </w:r>
      <w:r w:rsidR="00C6614D">
        <w:rPr>
          <w:rFonts w:hint="cs"/>
          <w:rtl/>
        </w:rPr>
        <w:t>)، وقررت كذلك تطبيق إجراء الاعتماد وال</w:t>
      </w:r>
      <w:r w:rsidR="00C8619B">
        <w:rPr>
          <w:rFonts w:hint="cs"/>
          <w:rtl/>
        </w:rPr>
        <w:t>‍</w:t>
      </w:r>
      <w:r w:rsidR="00C6614D">
        <w:rPr>
          <w:rFonts w:hint="cs"/>
          <w:rtl/>
        </w:rPr>
        <w:t>موافقة في نفس الوقت عن طريق ال</w:t>
      </w:r>
      <w:r w:rsidR="00C8619B">
        <w:rPr>
          <w:rFonts w:hint="cs"/>
          <w:rtl/>
        </w:rPr>
        <w:t>‍</w:t>
      </w:r>
      <w:r w:rsidR="00C6614D">
        <w:rPr>
          <w:rFonts w:hint="cs"/>
          <w:rtl/>
        </w:rPr>
        <w:t>مراسلة </w:t>
      </w:r>
      <w:r w:rsidR="00C6614D">
        <w:t>(PSAA)</w:t>
      </w:r>
      <w:r w:rsidR="00C6614D">
        <w:rPr>
          <w:rFonts w:hint="cs"/>
          <w:rtl/>
        </w:rPr>
        <w:t xml:space="preserve"> (الفقرة </w:t>
      </w:r>
      <w:r w:rsidR="00C6614D">
        <w:t>3.10</w:t>
      </w:r>
      <w:r w:rsidR="00C6614D">
        <w:rPr>
          <w:rFonts w:hint="cs"/>
          <w:rtl/>
        </w:rPr>
        <w:t xml:space="preserve"> من القرار</w:t>
      </w:r>
      <w:r w:rsidR="00C6614D">
        <w:rPr>
          <w:rFonts w:hint="eastAsia"/>
          <w:rtl/>
        </w:rPr>
        <w:t> </w:t>
      </w:r>
      <w:r w:rsidR="00C6614D">
        <w:t>ITU-R 1-6</w:t>
      </w:r>
      <w:r w:rsidR="00C6614D">
        <w:rPr>
          <w:rFonts w:hint="cs"/>
          <w:rtl/>
        </w:rPr>
        <w:t>)</w:t>
      </w:r>
      <w:r w:rsidRPr="008C09CB">
        <w:rPr>
          <w:rFonts w:hint="cs"/>
          <w:rtl/>
        </w:rPr>
        <w:t>.</w:t>
      </w:r>
      <w:r w:rsidR="008C09CB" w:rsidRPr="008C09CB">
        <w:rPr>
          <w:rFonts w:hint="cs"/>
          <w:rtl/>
        </w:rPr>
        <w:t xml:space="preserve"> </w:t>
      </w:r>
      <w:r w:rsidR="00C6614D">
        <w:rPr>
          <w:rFonts w:hint="cs"/>
          <w:rtl/>
        </w:rPr>
        <w:t>ويرد في ال</w:t>
      </w:r>
      <w:r w:rsidR="00C8619B">
        <w:rPr>
          <w:rFonts w:hint="cs"/>
          <w:rtl/>
        </w:rPr>
        <w:t>‍</w:t>
      </w:r>
      <w:r w:rsidR="00C6614D">
        <w:rPr>
          <w:rFonts w:hint="cs"/>
          <w:rtl/>
        </w:rPr>
        <w:t>ملحق ب</w:t>
      </w:r>
      <w:r w:rsidR="00EF6145">
        <w:rPr>
          <w:rFonts w:hint="cs"/>
          <w:rtl/>
        </w:rPr>
        <w:t>‍</w:t>
      </w:r>
      <w:r w:rsidR="00EC52FF">
        <w:rPr>
          <w:rFonts w:hint="cs"/>
          <w:rtl/>
        </w:rPr>
        <w:t>هذه الرسالة</w:t>
      </w:r>
      <w:r w:rsidR="00C6614D">
        <w:rPr>
          <w:rFonts w:hint="cs"/>
          <w:rtl/>
        </w:rPr>
        <w:t xml:space="preserve"> عناوين مشاريع التوصيات</w:t>
      </w:r>
      <w:r w:rsidR="00CA0B24">
        <w:rPr>
          <w:rFonts w:hint="cs"/>
          <w:rtl/>
        </w:rPr>
        <w:t xml:space="preserve"> وملخصاتها</w:t>
      </w:r>
      <w:r w:rsidR="00C6614D">
        <w:rPr>
          <w:rFonts w:hint="cs"/>
          <w:rtl/>
        </w:rPr>
        <w:t xml:space="preserve">. </w:t>
      </w:r>
    </w:p>
    <w:p w:rsidR="00141FB5" w:rsidRPr="00DE29E8" w:rsidRDefault="00141FB5" w:rsidP="00431317">
      <w:pPr>
        <w:rPr>
          <w:rtl/>
        </w:rPr>
      </w:pPr>
      <w:r w:rsidRPr="00DE29E8">
        <w:rPr>
          <w:rtl/>
        </w:rPr>
        <w:t>وت</w:t>
      </w:r>
      <w:r w:rsidR="001F5266">
        <w:rPr>
          <w:rFonts w:hint="cs"/>
          <w:rtl/>
        </w:rPr>
        <w:t>‍</w:t>
      </w:r>
      <w:r w:rsidRPr="00DE29E8">
        <w:rPr>
          <w:rtl/>
        </w:rPr>
        <w:t xml:space="preserve">متد فترة النظر </w:t>
      </w:r>
      <w:r w:rsidRPr="00DE29E8">
        <w:rPr>
          <w:rFonts w:hint="cs"/>
          <w:rtl/>
        </w:rPr>
        <w:t>ل</w:t>
      </w:r>
      <w:r w:rsidR="00DF2653">
        <w:rPr>
          <w:rFonts w:hint="cs"/>
          <w:rtl/>
        </w:rPr>
        <w:t>‍</w:t>
      </w:r>
      <w:r w:rsidRPr="00DE29E8">
        <w:rPr>
          <w:rFonts w:hint="cs"/>
          <w:rtl/>
        </w:rPr>
        <w:t xml:space="preserve">مدة شهرين </w:t>
      </w:r>
      <w:r w:rsidRPr="00DE29E8">
        <w:rPr>
          <w:rtl/>
        </w:rPr>
        <w:t>تنتهي في</w:t>
      </w:r>
      <w:r w:rsidRPr="00DE29E8">
        <w:rPr>
          <w:rFonts w:hint="cs"/>
          <w:rtl/>
        </w:rPr>
        <w:t xml:space="preserve"> </w:t>
      </w:r>
      <w:r w:rsidR="006D2F6F">
        <w:rPr>
          <w:u w:val="single"/>
        </w:rPr>
        <w:t>22</w:t>
      </w:r>
      <w:r w:rsidR="006D2F6F">
        <w:rPr>
          <w:rFonts w:hint="cs"/>
          <w:u w:val="single"/>
          <w:rtl/>
        </w:rPr>
        <w:t xml:space="preserve"> ديسمبر</w:t>
      </w:r>
      <w:r w:rsidRPr="00DE29E8">
        <w:rPr>
          <w:rFonts w:hint="cs"/>
          <w:u w:val="single"/>
          <w:rtl/>
        </w:rPr>
        <w:t xml:space="preserve"> </w:t>
      </w:r>
      <w:r w:rsidR="006D2F6F">
        <w:rPr>
          <w:u w:val="single"/>
        </w:rPr>
        <w:t>2014</w:t>
      </w:r>
      <w:r w:rsidRPr="00DE29E8">
        <w:rPr>
          <w:rtl/>
        </w:rPr>
        <w:t>. وإذا ل</w:t>
      </w:r>
      <w:r w:rsidR="0097257F">
        <w:rPr>
          <w:rFonts w:hint="cs"/>
          <w:rtl/>
        </w:rPr>
        <w:t>‍</w:t>
      </w:r>
      <w:r w:rsidRPr="00DE29E8">
        <w:rPr>
          <w:rtl/>
        </w:rPr>
        <w:t>م ترد أي اعتراضات من الدول الأعضاء خلال هذه الفترة</w:t>
      </w:r>
      <w:r w:rsidRPr="00DE29E8">
        <w:rPr>
          <w:rFonts w:hint="cs"/>
          <w:rtl/>
        </w:rPr>
        <w:t xml:space="preserve">، </w:t>
      </w:r>
      <w:r w:rsidR="00C8619B">
        <w:rPr>
          <w:rFonts w:hint="cs"/>
          <w:rtl/>
        </w:rPr>
        <w:t>فإن مشاريع التوصيات تعتبر قد اعتمدت</w:t>
      </w:r>
      <w:r w:rsidR="002A5B65">
        <w:rPr>
          <w:rFonts w:hint="cs"/>
          <w:rtl/>
        </w:rPr>
        <w:t>‍</w:t>
      </w:r>
      <w:r w:rsidR="00C8619B">
        <w:rPr>
          <w:rFonts w:hint="cs"/>
          <w:rtl/>
        </w:rPr>
        <w:t>ها ل‍جنة الدراسات </w:t>
      </w:r>
      <w:r w:rsidR="00431317">
        <w:t>7</w:t>
      </w:r>
      <w:r w:rsidRPr="00DE29E8">
        <w:rPr>
          <w:rFonts w:hint="cs"/>
          <w:rtl/>
        </w:rPr>
        <w:t>.</w:t>
      </w:r>
      <w:r w:rsidR="00C8619B">
        <w:rPr>
          <w:rFonts w:hint="cs"/>
          <w:rtl/>
        </w:rPr>
        <w:t xml:space="preserve"> وعلاوةً على ذلك، ول</w:t>
      </w:r>
      <w:r w:rsidR="00B01246">
        <w:rPr>
          <w:rFonts w:hint="cs"/>
          <w:rtl/>
        </w:rPr>
        <w:t>‍</w:t>
      </w:r>
      <w:r w:rsidR="00C8619B">
        <w:rPr>
          <w:rFonts w:hint="cs"/>
          <w:rtl/>
        </w:rPr>
        <w:t>ما كان قد ت</w:t>
      </w:r>
      <w:r w:rsidR="00632271">
        <w:rPr>
          <w:rFonts w:hint="cs"/>
          <w:rtl/>
        </w:rPr>
        <w:t>‍</w:t>
      </w:r>
      <w:r w:rsidR="00C8619B">
        <w:rPr>
          <w:rFonts w:hint="cs"/>
          <w:rtl/>
        </w:rPr>
        <w:t>م اتباع إجراء الاعتماد وال‍موافقة في</w:t>
      </w:r>
      <w:r w:rsidR="00431317">
        <w:rPr>
          <w:rFonts w:hint="eastAsia"/>
          <w:rtl/>
        </w:rPr>
        <w:t> </w:t>
      </w:r>
      <w:r w:rsidR="00C8619B">
        <w:rPr>
          <w:rFonts w:hint="cs"/>
          <w:rtl/>
        </w:rPr>
        <w:t>نفس الوقت عن طريق ال‍مراسلة، فإن مشاريع التوصيات ستعتبر أيضاً ب</w:t>
      </w:r>
      <w:r w:rsidR="00E31000">
        <w:rPr>
          <w:rFonts w:hint="cs"/>
          <w:rtl/>
        </w:rPr>
        <w:t>‍</w:t>
      </w:r>
      <w:r w:rsidR="00C8619B">
        <w:rPr>
          <w:rFonts w:hint="cs"/>
          <w:rtl/>
        </w:rPr>
        <w:t>حكم ال</w:t>
      </w:r>
      <w:r w:rsidR="00E31000">
        <w:rPr>
          <w:rFonts w:hint="cs"/>
          <w:rtl/>
        </w:rPr>
        <w:t>‍</w:t>
      </w:r>
      <w:r w:rsidR="00C8619B">
        <w:rPr>
          <w:rFonts w:hint="cs"/>
          <w:rtl/>
        </w:rPr>
        <w:t>موافَق عليها.</w:t>
      </w:r>
    </w:p>
    <w:p w:rsidR="0051048F" w:rsidRDefault="0051048F" w:rsidP="00A53E9F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 w:rsidR="00A53E9F">
        <w:rPr>
          <w:rFonts w:hint="cs"/>
          <w:spacing w:val="-2"/>
          <w:rtl/>
        </w:rPr>
        <w:t>مشروع توصية</w:t>
      </w:r>
      <w:r w:rsidRPr="004D247D">
        <w:rPr>
          <w:rFonts w:hint="cs"/>
          <w:spacing w:val="-2"/>
          <w:rtl/>
        </w:rPr>
        <w:t xml:space="preserve"> أن ت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خبر ال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مدير ورئيس 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جنة الدراسات بأسباب اعتراضها.</w:t>
      </w:r>
    </w:p>
    <w:p w:rsidR="00F0539D" w:rsidRPr="004D247D" w:rsidRDefault="00F0539D" w:rsidP="00F0539D">
      <w:pPr>
        <w:rPr>
          <w:spacing w:val="-2"/>
          <w:rtl/>
        </w:rPr>
      </w:pPr>
      <w:r>
        <w:rPr>
          <w:rFonts w:hint="cs"/>
          <w:spacing w:val="-2"/>
          <w:rtl/>
        </w:rPr>
        <w:t>وبعد ال‍مهلة ال‍محددة أعلاه، ستعلن نتائج هذا الإجراء في رسالة إدارية معممة وستنشر التوصيات التي ت‍مت ال‍موافقة عليها في</w:t>
      </w:r>
      <w:r>
        <w:rPr>
          <w:rFonts w:hint="eastAsia"/>
          <w:spacing w:val="-2"/>
          <w:rtl/>
        </w:rPr>
        <w:t> </w:t>
      </w:r>
      <w:r>
        <w:rPr>
          <w:rFonts w:hint="cs"/>
          <w:spacing w:val="-2"/>
          <w:rtl/>
        </w:rPr>
        <w:t>أقرب وقت م‍مكن (انظر </w:t>
      </w:r>
      <w:hyperlink r:id="rId8" w:history="1">
        <w:r w:rsidRPr="00F0539D">
          <w:rPr>
            <w:rStyle w:val="Hyperlink"/>
            <w:spacing w:val="-2"/>
          </w:rPr>
          <w:t>http//www.itu.int/pub/R-REC</w:t>
        </w:r>
      </w:hyperlink>
      <w:r>
        <w:rPr>
          <w:rFonts w:hint="cs"/>
          <w:spacing w:val="-2"/>
          <w:rtl/>
        </w:rPr>
        <w:t>).</w:t>
      </w:r>
    </w:p>
    <w:p w:rsidR="00141FB5" w:rsidRPr="00F125F2" w:rsidRDefault="00141FB5" w:rsidP="00F125F2">
      <w:pPr>
        <w:keepNext/>
        <w:keepLines/>
        <w:rPr>
          <w:rtl/>
          <w:lang w:bidi="ar-SA"/>
        </w:rPr>
      </w:pPr>
      <w:r w:rsidRPr="00F125F2">
        <w:rPr>
          <w:rtl/>
        </w:rPr>
        <w:lastRenderedPageBreak/>
        <w:t>ويرجى من أي منظمة عضو في الات</w:t>
      </w:r>
      <w:r w:rsidRPr="00F125F2">
        <w:rPr>
          <w:rFonts w:hint="cs"/>
          <w:rtl/>
        </w:rPr>
        <w:t>‍</w:t>
      </w:r>
      <w:r w:rsidRPr="00F125F2">
        <w:rPr>
          <w:rtl/>
        </w:rPr>
        <w:t>حاد تعلم بوجود براءة اختراع لديها أو لدى غيرها تغطي كلياً أو جزئياً عناصر</w:t>
      </w:r>
      <w:r w:rsidR="0058064C" w:rsidRPr="00F125F2">
        <w:rPr>
          <w:rFonts w:hint="cs"/>
          <w:rtl/>
        </w:rPr>
        <w:t xml:space="preserve"> مشاريع</w:t>
      </w:r>
      <w:r w:rsidRPr="00F125F2">
        <w:rPr>
          <w:rtl/>
        </w:rPr>
        <w:t xml:space="preserve"> </w:t>
      </w:r>
      <w:r w:rsidR="0058064C" w:rsidRPr="00F125F2">
        <w:rPr>
          <w:rFonts w:hint="cs"/>
          <w:rtl/>
        </w:rPr>
        <w:t xml:space="preserve">التوصيات </w:t>
      </w:r>
      <w:r w:rsidRPr="00F125F2">
        <w:rPr>
          <w:rtl/>
        </w:rPr>
        <w:t>ال</w:t>
      </w:r>
      <w:r w:rsidRPr="00F125F2">
        <w:rPr>
          <w:rFonts w:hint="cs"/>
          <w:rtl/>
        </w:rPr>
        <w:t>‍</w:t>
      </w:r>
      <w:r w:rsidRPr="00F125F2">
        <w:rPr>
          <w:rtl/>
        </w:rPr>
        <w:t>مذكورة في هذه الرسالة أن تبلغ الأمانة بهذه ال</w:t>
      </w:r>
      <w:r w:rsidRPr="00F125F2">
        <w:rPr>
          <w:rFonts w:hint="cs"/>
          <w:rtl/>
        </w:rPr>
        <w:t>‍</w:t>
      </w:r>
      <w:r w:rsidRPr="00F125F2">
        <w:rPr>
          <w:rtl/>
        </w:rPr>
        <w:t>معلومات بأسرع ما</w:t>
      </w:r>
      <w:r w:rsidR="003A7EA4" w:rsidRPr="00F125F2">
        <w:rPr>
          <w:rFonts w:hint="eastAsia"/>
          <w:rtl/>
        </w:rPr>
        <w:t> </w:t>
      </w:r>
      <w:r w:rsidRPr="00F125F2">
        <w:rPr>
          <w:rtl/>
        </w:rPr>
        <w:t>ي</w:t>
      </w:r>
      <w:r w:rsidRPr="00F125F2">
        <w:rPr>
          <w:rFonts w:hint="cs"/>
          <w:rtl/>
        </w:rPr>
        <w:t>‍</w:t>
      </w:r>
      <w:r w:rsidRPr="00F125F2">
        <w:rPr>
          <w:rtl/>
        </w:rPr>
        <w:t>مكن. وي</w:t>
      </w:r>
      <w:r w:rsidRPr="00F125F2">
        <w:rPr>
          <w:rFonts w:hint="cs"/>
          <w:rtl/>
        </w:rPr>
        <w:t>‍</w:t>
      </w:r>
      <w:r w:rsidRPr="00F125F2">
        <w:rPr>
          <w:rtl/>
        </w:rPr>
        <w:t>مكن</w:t>
      </w:r>
      <w:r w:rsidR="0058064C" w:rsidRPr="00F125F2">
        <w:rPr>
          <w:rFonts w:hint="cs"/>
          <w:rtl/>
        </w:rPr>
        <w:t xml:space="preserve"> </w:t>
      </w:r>
      <w:r w:rsidRPr="00F125F2">
        <w:rPr>
          <w:rtl/>
        </w:rPr>
        <w:t>الاطلاع على السياسة ال</w:t>
      </w:r>
      <w:r w:rsidRPr="00F125F2">
        <w:rPr>
          <w:rFonts w:hint="cs"/>
          <w:rtl/>
        </w:rPr>
        <w:t>‍</w:t>
      </w:r>
      <w:r w:rsidRPr="00F125F2">
        <w:rPr>
          <w:rtl/>
        </w:rPr>
        <w:t xml:space="preserve">مشتركة للبراءات </w:t>
      </w:r>
      <w:r w:rsidRPr="00F125F2">
        <w:t>"ITU</w:t>
      </w:r>
      <w:r w:rsidRPr="00F125F2">
        <w:noBreakHyphen/>
        <w:t>T/ITU</w:t>
      </w:r>
      <w:r w:rsidRPr="00F125F2">
        <w:noBreakHyphen/>
        <w:t>R/ISO/IEC"</w:t>
      </w:r>
      <w:r w:rsidRPr="00F125F2">
        <w:rPr>
          <w:rtl/>
        </w:rPr>
        <w:t xml:space="preserve"> في</w:t>
      </w:r>
      <w:r w:rsidR="00606BE7" w:rsidRPr="00F125F2">
        <w:rPr>
          <w:rFonts w:hint="cs"/>
          <w:rtl/>
        </w:rPr>
        <w:t> </w:t>
      </w:r>
      <w:r w:rsidRPr="00F125F2">
        <w:rPr>
          <w:rtl/>
        </w:rPr>
        <w:t>ال</w:t>
      </w:r>
      <w:r w:rsidRPr="00F125F2">
        <w:rPr>
          <w:rFonts w:hint="cs"/>
          <w:rtl/>
        </w:rPr>
        <w:t>‍</w:t>
      </w:r>
      <w:r w:rsidRPr="00F125F2">
        <w:rPr>
          <w:rtl/>
        </w:rPr>
        <w:t>موقع الإلكتروني</w:t>
      </w:r>
      <w:r w:rsidRPr="00F125F2">
        <w:rPr>
          <w:rFonts w:hint="cs"/>
          <w:rtl/>
        </w:rPr>
        <w:t xml:space="preserve">: </w:t>
      </w:r>
      <w:hyperlink r:id="rId9" w:history="1">
        <w:r w:rsidR="0058064C" w:rsidRPr="00F125F2">
          <w:rPr>
            <w:rStyle w:val="Hyperlink"/>
            <w:szCs w:val="22"/>
          </w:rPr>
          <w:t>http://www.itu.int/en/ITU-T/ipr/Pages/policy.aspx</w:t>
        </w:r>
      </w:hyperlink>
      <w:r w:rsidR="00D960FE" w:rsidRPr="00F125F2">
        <w:rPr>
          <w:rFonts w:hint="cs"/>
          <w:rtl/>
          <w:lang w:bidi="ar-SA"/>
        </w:rPr>
        <w:t>.</w:t>
      </w:r>
    </w:p>
    <w:p w:rsidR="00813CD3" w:rsidRPr="003067EE" w:rsidRDefault="00813CD3" w:rsidP="00813CD3">
      <w:pPr>
        <w:keepNext/>
        <w:keepLines/>
        <w:spacing w:before="240"/>
        <w:rPr>
          <w:rtl/>
          <w:lang w:bidi="ar-SA"/>
        </w:rPr>
      </w:pPr>
      <w:r w:rsidRPr="003067EE">
        <w:rPr>
          <w:rFonts w:hint="cs"/>
          <w:rtl/>
          <w:lang w:bidi="ar-SA"/>
        </w:rPr>
        <w:t>وتفضلوا بقبول فائق التقدير والاحت</w:t>
      </w:r>
      <w:r w:rsidR="0028330A">
        <w:rPr>
          <w:rFonts w:hint="cs"/>
          <w:rtl/>
          <w:lang w:bidi="ar-SA"/>
        </w:rPr>
        <w:t>‍</w:t>
      </w:r>
      <w:r w:rsidRPr="003067EE">
        <w:rPr>
          <w:rFonts w:hint="cs"/>
          <w:rtl/>
          <w:lang w:bidi="ar-SA"/>
        </w:rPr>
        <w:t>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Default="00F542D7" w:rsidP="004C5D4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436CDD">
        <w:rPr>
          <w:rFonts w:hint="cs"/>
          <w:rtl/>
        </w:rPr>
        <w:t>عناوين مشاريع التوصيات وملخصات</w:t>
      </w:r>
      <w:r w:rsidR="00564DC9">
        <w:rPr>
          <w:rFonts w:hint="cs"/>
          <w:rtl/>
        </w:rPr>
        <w:t>‍</w:t>
      </w:r>
      <w:r w:rsidR="00436CDD">
        <w:rPr>
          <w:rFonts w:hint="cs"/>
          <w:rtl/>
        </w:rPr>
        <w:t>ها</w:t>
      </w:r>
    </w:p>
    <w:p w:rsidR="00141FB5" w:rsidRPr="00DE29E8" w:rsidRDefault="00141FB5" w:rsidP="007F0D3B">
      <w:pPr>
        <w:keepNext/>
        <w:keepLines/>
        <w:tabs>
          <w:tab w:val="clear" w:pos="794"/>
          <w:tab w:val="clear" w:pos="1191"/>
          <w:tab w:val="left" w:pos="1134"/>
        </w:tabs>
        <w:spacing w:before="600"/>
        <w:rPr>
          <w:lang w:bidi="ar-SA"/>
        </w:rPr>
      </w:pPr>
      <w:r w:rsidRPr="00DE29E8">
        <w:rPr>
          <w:rFonts w:hint="cs"/>
          <w:b/>
          <w:bCs/>
          <w:rtl/>
        </w:rPr>
        <w:t>الوثائق:</w:t>
      </w:r>
      <w:r w:rsidRPr="00DE29E8">
        <w:rPr>
          <w:rFonts w:hint="cs"/>
          <w:rtl/>
        </w:rPr>
        <w:tab/>
      </w:r>
      <w:r w:rsidR="004C5D40">
        <w:rPr>
          <w:rFonts w:hint="cs"/>
          <w:rtl/>
        </w:rPr>
        <w:t>الوثائق</w:t>
      </w:r>
      <w:r w:rsidR="00302FCD">
        <w:rPr>
          <w:rFonts w:hint="eastAsia"/>
          <w:rtl/>
        </w:rPr>
        <w:t> </w:t>
      </w:r>
      <w:r w:rsidR="007F0D3B">
        <w:t>7</w:t>
      </w:r>
      <w:r w:rsidR="00F542D7">
        <w:t>/</w:t>
      </w:r>
      <w:r w:rsidR="007F0D3B">
        <w:t>89</w:t>
      </w:r>
      <w:r w:rsidRPr="00DE29E8">
        <w:t>(Rev.1)</w:t>
      </w:r>
      <w:r w:rsidR="007F0D3B">
        <w:rPr>
          <w:rFonts w:hint="cs"/>
          <w:rtl/>
          <w:lang w:bidi="ar-SA"/>
        </w:rPr>
        <w:t xml:space="preserve"> و</w:t>
      </w:r>
      <w:r w:rsidR="007F0D3B">
        <w:rPr>
          <w:lang w:bidi="ar-SA"/>
        </w:rPr>
        <w:t>7/90(Rev.1)</w:t>
      </w:r>
      <w:r w:rsidR="007F0D3B">
        <w:rPr>
          <w:rFonts w:hint="cs"/>
          <w:rtl/>
          <w:lang w:bidi="ar-SA"/>
        </w:rPr>
        <w:t xml:space="preserve"> و</w:t>
      </w:r>
      <w:r w:rsidR="007F0D3B">
        <w:rPr>
          <w:lang w:bidi="ar-SA"/>
        </w:rPr>
        <w:t>7/101(Rev.1)</w:t>
      </w:r>
    </w:p>
    <w:p w:rsidR="00141FB5" w:rsidRPr="00F72DF5" w:rsidRDefault="00141FB5" w:rsidP="00F72DF5">
      <w:pPr>
        <w:tabs>
          <w:tab w:val="clear" w:pos="1191"/>
        </w:tabs>
        <w:rPr>
          <w:rtl/>
          <w:lang w:bidi="ar-SA"/>
        </w:rPr>
      </w:pPr>
      <w:r w:rsidRPr="00DE29E8">
        <w:rPr>
          <w:rFonts w:hint="cs"/>
          <w:rtl/>
        </w:rPr>
        <w:t xml:space="preserve">وتتاح </w:t>
      </w:r>
      <w:r w:rsidR="00FB6C38">
        <w:rPr>
          <w:rFonts w:hint="cs"/>
          <w:rtl/>
        </w:rPr>
        <w:t>نسخ</w:t>
      </w:r>
      <w:r w:rsidR="00DB2BAE">
        <w:rPr>
          <w:rFonts w:hint="cs"/>
          <w:rtl/>
        </w:rPr>
        <w:t>ة</w:t>
      </w:r>
      <w:r w:rsidR="00FB6C38">
        <w:rPr>
          <w:rFonts w:hint="cs"/>
          <w:rtl/>
        </w:rPr>
        <w:t xml:space="preserve"> إلكترونية من هذه </w:t>
      </w:r>
      <w:r w:rsidR="00F72DF5">
        <w:rPr>
          <w:rFonts w:hint="cs"/>
          <w:rtl/>
        </w:rPr>
        <w:t>الوثائق</w:t>
      </w:r>
      <w:r w:rsidR="00FB6C38">
        <w:rPr>
          <w:rFonts w:hint="cs"/>
          <w:rtl/>
        </w:rPr>
        <w:t xml:space="preserve"> في</w:t>
      </w:r>
      <w:r w:rsidR="009B2DFE">
        <w:rPr>
          <w:rFonts w:hint="cs"/>
          <w:rtl/>
        </w:rPr>
        <w:t xml:space="preserve"> ال‍موقع</w:t>
      </w:r>
      <w:r w:rsidRPr="00DE29E8">
        <w:rPr>
          <w:rFonts w:hint="cs"/>
          <w:rtl/>
        </w:rPr>
        <w:t xml:space="preserve">: </w:t>
      </w:r>
      <w:hyperlink r:id="rId10" w:history="1">
        <w:r w:rsidR="00F72DF5" w:rsidRPr="001D3D7A">
          <w:rPr>
            <w:rStyle w:val="Hyperlink"/>
            <w:sz w:val="24"/>
            <w:szCs w:val="24"/>
          </w:rPr>
          <w:t>http://www.itu.int/md/R12-sg07-c</w:t>
        </w:r>
      </w:hyperlink>
    </w:p>
    <w:p w:rsidR="00FB05F7" w:rsidRPr="00985D70" w:rsidRDefault="00FB05F7" w:rsidP="0028330A">
      <w:pPr>
        <w:spacing w:before="288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602FA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602FAB"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602FA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602FAB"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2538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2538F6">
        <w:rPr>
          <w:rFonts w:hint="cs"/>
          <w:sz w:val="16"/>
          <w:szCs w:val="22"/>
          <w:rtl/>
        </w:rPr>
        <w:t>رؤساء</w:t>
      </w:r>
      <w:r w:rsidR="00542EE0">
        <w:rPr>
          <w:rFonts w:hint="cs"/>
          <w:sz w:val="16"/>
          <w:szCs w:val="22"/>
          <w:rtl/>
        </w:rPr>
        <w:t xml:space="preserve"> </w:t>
      </w:r>
      <w:r w:rsidR="002538F6">
        <w:rPr>
          <w:rFonts w:hint="cs"/>
          <w:sz w:val="16"/>
          <w:szCs w:val="22"/>
          <w:rtl/>
        </w:rPr>
        <w:t>ل‍جان</w:t>
      </w:r>
      <w:r w:rsidR="00542EE0">
        <w:rPr>
          <w:rFonts w:hint="cs"/>
          <w:sz w:val="16"/>
          <w:szCs w:val="22"/>
          <w:rtl/>
        </w:rPr>
        <w:t xml:space="preserve"> </w:t>
      </w:r>
      <w:r w:rsidR="002538F6">
        <w:rPr>
          <w:rFonts w:hint="cs"/>
          <w:sz w:val="16"/>
          <w:szCs w:val="22"/>
          <w:rtl/>
        </w:rPr>
        <w:t>دراسات الاتصالات</w:t>
      </w:r>
      <w:r w:rsidR="00542EE0">
        <w:rPr>
          <w:rFonts w:hint="cs"/>
          <w:sz w:val="16"/>
          <w:szCs w:val="22"/>
          <w:rtl/>
        </w:rPr>
        <w:t xml:space="preserve"> الراديوية </w:t>
      </w:r>
      <w:r w:rsidR="002538F6">
        <w:rPr>
          <w:rFonts w:hint="cs"/>
          <w:sz w:val="16"/>
          <w:szCs w:val="22"/>
          <w:rtl/>
        </w:rPr>
        <w:t xml:space="preserve">واللجنة ال‍خاصة ال‍معنية بال‍مسائل التنظيمية والإجرائية </w:t>
      </w:r>
      <w:r w:rsidR="00542EE0">
        <w:rPr>
          <w:rFonts w:hint="cs"/>
          <w:sz w:val="16"/>
          <w:szCs w:val="22"/>
          <w:rtl/>
        </w:rPr>
        <w:t>ونوابه</w:t>
      </w:r>
      <w:r w:rsidR="002538F6">
        <w:rPr>
          <w:rFonts w:hint="cs"/>
          <w:sz w:val="16"/>
          <w:szCs w:val="22"/>
          <w:rtl/>
        </w:rPr>
        <w:t>م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602FAB">
      <w:pPr>
        <w:pStyle w:val="AnnexNo"/>
        <w:spacing w:before="360"/>
        <w:rPr>
          <w:rtl/>
          <w:lang w:bidi="ar-SA"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B61F45">
      <w:pPr>
        <w:pStyle w:val="Annextitle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عناوين مشاريع التوصيات وملخصات</w:t>
      </w:r>
      <w:r w:rsidR="00B001F4">
        <w:rPr>
          <w:rFonts w:hint="cs"/>
          <w:rtl/>
          <w:lang w:bidi="ar-SA"/>
        </w:rPr>
        <w:t>‍</w:t>
      </w:r>
      <w:r>
        <w:rPr>
          <w:rFonts w:hint="cs"/>
          <w:rtl/>
          <w:lang w:bidi="ar-SA"/>
        </w:rPr>
        <w:t>ها</w:t>
      </w:r>
    </w:p>
    <w:p w:rsidR="00D35A0B" w:rsidRPr="00026B17" w:rsidRDefault="00D35A0B" w:rsidP="00E21A62">
      <w:pPr>
        <w:tabs>
          <w:tab w:val="right" w:pos="9639"/>
        </w:tabs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 w:rsidR="00B61F45">
        <w:rPr>
          <w:rFonts w:hint="cs"/>
          <w:u w:val="single"/>
          <w:rtl/>
          <w:lang w:bidi="ar-SY"/>
        </w:rPr>
        <w:t>التوصية ال</w:t>
      </w:r>
      <w:r w:rsidR="00D94874">
        <w:rPr>
          <w:rFonts w:hint="cs"/>
          <w:u w:val="single"/>
          <w:rtl/>
          <w:lang w:bidi="ar-SY"/>
        </w:rPr>
        <w:t>‍</w:t>
      </w:r>
      <w:r w:rsidR="00B61F45">
        <w:rPr>
          <w:rFonts w:hint="cs"/>
          <w:u w:val="single"/>
          <w:rtl/>
          <w:lang w:bidi="ar-SY"/>
        </w:rPr>
        <w:t xml:space="preserve">جديدة </w:t>
      </w:r>
      <w:r w:rsidR="00B61F45">
        <w:rPr>
          <w:u w:val="single"/>
          <w:lang w:bidi="ar-SY"/>
        </w:rPr>
        <w:t>ITU-R </w:t>
      </w:r>
      <w:r w:rsidR="00E21A62">
        <w:rPr>
          <w:u w:val="single"/>
          <w:lang w:bidi="ar-SY"/>
        </w:rPr>
        <w:t>RS.[SRS PASSIVE]</w:t>
      </w:r>
      <w:r>
        <w:rPr>
          <w:rFonts w:hint="cs"/>
          <w:rtl/>
        </w:rPr>
        <w:tab/>
        <w:t xml:space="preserve">الوثيقة </w:t>
      </w:r>
      <w:r w:rsidR="00E21A62">
        <w:t>7</w:t>
      </w:r>
      <w:r>
        <w:t>/</w:t>
      </w:r>
      <w:r w:rsidR="00E21A62">
        <w:t>89</w:t>
      </w:r>
      <w:r>
        <w:t>(Rev.1)</w:t>
      </w:r>
    </w:p>
    <w:p w:rsidR="00D35A0B" w:rsidRDefault="009524CD" w:rsidP="009524CD">
      <w:pPr>
        <w:pStyle w:val="Rectitle"/>
        <w:tabs>
          <w:tab w:val="left" w:pos="574"/>
          <w:tab w:val="center" w:pos="4819"/>
        </w:tabs>
      </w:pPr>
      <w:r w:rsidRPr="00440B0C">
        <w:rPr>
          <w:rFonts w:hint="cs"/>
          <w:spacing w:val="-2"/>
          <w:rtl/>
        </w:rPr>
        <w:t xml:space="preserve">الخصائص التقنية والتشغيلية النموذجية ونطاقات الترددات التي تستعملها أنظمة الرصد </w:t>
      </w:r>
      <w:r>
        <w:rPr>
          <w:spacing w:val="-2"/>
          <w:rtl/>
        </w:rPr>
        <w:br/>
      </w:r>
      <w:r w:rsidRPr="00440B0C">
        <w:rPr>
          <w:rFonts w:hint="cs"/>
          <w:spacing w:val="-2"/>
          <w:rtl/>
        </w:rPr>
        <w:t>الخاصة بخدمة الأبحاث الفضائية</w:t>
      </w:r>
      <w:r w:rsidRPr="00440B0C">
        <w:rPr>
          <w:rFonts w:hint="eastAsia"/>
          <w:spacing w:val="-2"/>
          <w:rtl/>
        </w:rPr>
        <w:t> </w:t>
      </w:r>
      <w:r w:rsidRPr="00440B0C">
        <w:rPr>
          <w:rFonts w:hint="cs"/>
          <w:spacing w:val="-2"/>
          <w:rtl/>
        </w:rPr>
        <w:t>(المنفعلة)</w:t>
      </w:r>
    </w:p>
    <w:p w:rsidR="00D35A0B" w:rsidRDefault="00015B74" w:rsidP="00ED3B8B">
      <w:pPr>
        <w:spacing w:before="360"/>
        <w:rPr>
          <w:rtl/>
        </w:rPr>
      </w:pPr>
      <w:r>
        <w:rPr>
          <w:rFonts w:hint="cs"/>
          <w:rtl/>
        </w:rPr>
        <w:t xml:space="preserve">تقدم هذه التوصية الخصائص التقنية والتشغيلية </w:t>
      </w:r>
      <w:r w:rsidR="001C22B4">
        <w:rPr>
          <w:rFonts w:hint="cs"/>
          <w:rtl/>
        </w:rPr>
        <w:t>النموذجية</w:t>
      </w:r>
      <w:r>
        <w:rPr>
          <w:rFonts w:hint="cs"/>
          <w:rtl/>
        </w:rPr>
        <w:t xml:space="preserve"> لأنظمة خدمة الأبحاث الفضائية (المنفعلة) ونطاقات الترددات التي </w:t>
      </w:r>
      <w:r w:rsidR="001C22B4">
        <w:rPr>
          <w:rFonts w:hint="cs"/>
          <w:rtl/>
        </w:rPr>
        <w:t>تستعملها</w:t>
      </w:r>
      <w:r>
        <w:rPr>
          <w:rFonts w:hint="cs"/>
          <w:rtl/>
        </w:rPr>
        <w:t xml:space="preserve"> أنظمة </w:t>
      </w:r>
      <w:r w:rsidR="001C22B4">
        <w:rPr>
          <w:rFonts w:hint="cs"/>
          <w:rtl/>
        </w:rPr>
        <w:t>ال</w:t>
      </w:r>
      <w:r>
        <w:rPr>
          <w:rFonts w:hint="cs"/>
          <w:rtl/>
        </w:rPr>
        <w:t>رصد</w:t>
      </w:r>
      <w:r w:rsidR="001C22B4">
        <w:rPr>
          <w:rFonts w:hint="cs"/>
          <w:rtl/>
        </w:rPr>
        <w:t xml:space="preserve"> الخاصة</w:t>
      </w:r>
      <w:r>
        <w:rPr>
          <w:rFonts w:hint="cs"/>
          <w:rtl/>
        </w:rPr>
        <w:t xml:space="preserve"> </w:t>
      </w:r>
      <w:r w:rsidR="001C22B4">
        <w:rPr>
          <w:rFonts w:hint="cs"/>
          <w:rtl/>
        </w:rPr>
        <w:t>ب</w:t>
      </w:r>
      <w:r>
        <w:rPr>
          <w:rFonts w:hint="cs"/>
          <w:rtl/>
        </w:rPr>
        <w:t>خدمة الأبحاث الفضائية (المنفعلة).</w:t>
      </w:r>
    </w:p>
    <w:p w:rsidR="00D56CD6" w:rsidRDefault="00D56CD6" w:rsidP="00D56CD6">
      <w:pPr>
        <w:rPr>
          <w:rtl/>
        </w:rPr>
      </w:pPr>
    </w:p>
    <w:p w:rsidR="00D56CD6" w:rsidRPr="00026B17" w:rsidRDefault="00D56CD6" w:rsidP="00D56CD6">
      <w:pPr>
        <w:tabs>
          <w:tab w:val="right" w:pos="9639"/>
        </w:tabs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التوصية ال‍جديدة </w:t>
      </w:r>
      <w:r>
        <w:rPr>
          <w:u w:val="single"/>
          <w:lang w:bidi="ar-SY"/>
        </w:rPr>
        <w:t>ITU-R RS.[EESS9GHz-SRS-Mitigation]</w:t>
      </w:r>
      <w:r>
        <w:rPr>
          <w:rFonts w:hint="cs"/>
          <w:rtl/>
        </w:rPr>
        <w:tab/>
        <w:t xml:space="preserve">الوثيقة </w:t>
      </w:r>
      <w:r>
        <w:t>7/90(Rev.1)</w:t>
      </w:r>
    </w:p>
    <w:p w:rsidR="00D56CD6" w:rsidRDefault="00057E17" w:rsidP="00ED3B8B">
      <w:pPr>
        <w:pStyle w:val="Rectitle"/>
        <w:tabs>
          <w:tab w:val="left" w:pos="574"/>
          <w:tab w:val="center" w:pos="4819"/>
        </w:tabs>
      </w:pPr>
      <w:r w:rsidRPr="001B7DF7">
        <w:rPr>
          <w:rFonts w:hint="cs"/>
          <w:rtl/>
        </w:rPr>
        <w:t>حماية وصلات خدمة الأبحاث الفضائية في الاتجاه فضاء</w:t>
      </w:r>
      <w:r w:rsidR="00ED3B8B">
        <w:rPr>
          <w:rFonts w:hint="cs"/>
          <w:rtl/>
        </w:rPr>
        <w:t>-</w:t>
      </w:r>
      <w:r w:rsidRPr="001B7DF7">
        <w:rPr>
          <w:rFonts w:hint="cs"/>
          <w:rtl/>
        </w:rPr>
        <w:t>أرض في النطاقين</w:t>
      </w:r>
      <w:r w:rsidRPr="001B7DF7">
        <w:rPr>
          <w:rFonts w:hint="eastAsia"/>
          <w:rtl/>
        </w:rPr>
        <w:t> </w:t>
      </w:r>
      <w:r w:rsidRPr="001B7DF7">
        <w:t>MHz 8 450</w:t>
      </w:r>
      <w:r w:rsidRPr="001B7DF7">
        <w:noBreakHyphen/>
        <w:t>8 400</w:t>
      </w:r>
      <w:r w:rsidRPr="001B7DF7">
        <w:rPr>
          <w:rFonts w:hint="cs"/>
          <w:rtl/>
          <w:lang w:bidi="ar-SY"/>
        </w:rPr>
        <w:t xml:space="preserve"> و</w:t>
      </w:r>
      <w:r w:rsidRPr="001B7DF7">
        <w:rPr>
          <w:lang w:bidi="ar-SY"/>
        </w:rPr>
        <w:t>MHz 8 500</w:t>
      </w:r>
      <w:r w:rsidRPr="001B7DF7">
        <w:rPr>
          <w:lang w:bidi="ar-SY"/>
        </w:rPr>
        <w:noBreakHyphen/>
        <w:t>8 450</w:t>
      </w:r>
      <w:r w:rsidRPr="001B7DF7">
        <w:rPr>
          <w:rFonts w:hint="cs"/>
          <w:rtl/>
          <w:lang w:bidi="ar-SY"/>
        </w:rPr>
        <w:t xml:space="preserve"> من</w:t>
      </w:r>
      <w:r>
        <w:rPr>
          <w:rFonts w:hint="eastAsia"/>
          <w:rtl/>
          <w:lang w:bidi="ar-SY"/>
        </w:rPr>
        <w:t> </w:t>
      </w:r>
      <w:r w:rsidRPr="001B7DF7">
        <w:rPr>
          <w:rFonts w:hint="cs"/>
          <w:rtl/>
          <w:lang w:bidi="ar-SY"/>
        </w:rPr>
        <w:t>الإرسالات غير المرغوبة للرادارات ذات الفتحات التركيبية العاملة في</w:t>
      </w:r>
      <w:r>
        <w:rPr>
          <w:rFonts w:hint="eastAsia"/>
          <w:rtl/>
          <w:lang w:bidi="ar-SY"/>
        </w:rPr>
        <w:t> </w:t>
      </w:r>
      <w:r w:rsidRPr="001B7DF7">
        <w:rPr>
          <w:rFonts w:hint="cs"/>
          <w:rtl/>
          <w:lang w:bidi="ar-SY"/>
        </w:rPr>
        <w:t>خدمة استكشاف الأرض الساتلية (النشطة) حول</w:t>
      </w:r>
      <w:r w:rsidRPr="001B7DF7">
        <w:rPr>
          <w:rFonts w:hint="eastAsia"/>
          <w:rtl/>
          <w:lang w:bidi="ar-SY"/>
        </w:rPr>
        <w:t> </w:t>
      </w:r>
      <w:r w:rsidRPr="001B7DF7">
        <w:rPr>
          <w:lang w:bidi="ar-SY"/>
        </w:rPr>
        <w:t>MHz 9 600</w:t>
      </w:r>
    </w:p>
    <w:p w:rsidR="00D56CD6" w:rsidRPr="004C2EFF" w:rsidRDefault="00CC5287" w:rsidP="0028330A">
      <w:pPr>
        <w:spacing w:before="360"/>
        <w:rPr>
          <w:rtl/>
        </w:rPr>
      </w:pPr>
      <w:r>
        <w:rPr>
          <w:rFonts w:hint="cs"/>
          <w:rtl/>
        </w:rPr>
        <w:t xml:space="preserve">تقدم هذه التوصية </w:t>
      </w:r>
      <w:r w:rsidR="004C2EFF">
        <w:rPr>
          <w:rFonts w:hint="cs"/>
          <w:rtl/>
        </w:rPr>
        <w:t xml:space="preserve">تقنيات التخفيف التي من شأنها تخفيض </w:t>
      </w:r>
      <w:r w:rsidR="00255833">
        <w:rPr>
          <w:rFonts w:hint="cs"/>
          <w:rtl/>
        </w:rPr>
        <w:t>الإرسالات غير المرغوبة</w:t>
      </w:r>
      <w:r w:rsidR="004C2EFF">
        <w:rPr>
          <w:rFonts w:hint="cs"/>
          <w:rtl/>
        </w:rPr>
        <w:t xml:space="preserve"> لأنظمة خدمة استكشاف الأرض الساتلية</w:t>
      </w:r>
      <w:r w:rsidR="00ED3B8B">
        <w:rPr>
          <w:rFonts w:hint="eastAsia"/>
          <w:rtl/>
        </w:rPr>
        <w:t> </w:t>
      </w:r>
      <w:r w:rsidR="004C2EFF">
        <w:t>(EESS)</w:t>
      </w:r>
      <w:r w:rsidR="004C2EFF">
        <w:rPr>
          <w:rFonts w:hint="cs"/>
          <w:rtl/>
        </w:rPr>
        <w:t xml:space="preserve"> (</w:t>
      </w:r>
      <w:r w:rsidR="0028330A">
        <w:rPr>
          <w:rFonts w:hint="cs"/>
          <w:rtl/>
        </w:rPr>
        <w:t>النشطة</w:t>
      </w:r>
      <w:r w:rsidR="004C2EFF">
        <w:rPr>
          <w:rFonts w:hint="cs"/>
          <w:rtl/>
        </w:rPr>
        <w:t xml:space="preserve">) في نطاق خدمة الأبحاث الفضائية </w:t>
      </w:r>
      <w:r w:rsidR="004C2EFF">
        <w:t>(SRS)</w:t>
      </w:r>
      <w:r w:rsidR="004C2EFF">
        <w:rPr>
          <w:rFonts w:hint="cs"/>
          <w:rtl/>
        </w:rPr>
        <w:t xml:space="preserve"> وتوصي </w:t>
      </w:r>
      <w:r w:rsidR="00085DD8">
        <w:rPr>
          <w:rFonts w:hint="cs"/>
          <w:rtl/>
        </w:rPr>
        <w:t>بتوفير</w:t>
      </w:r>
      <w:r w:rsidR="00A85892">
        <w:rPr>
          <w:rFonts w:hint="cs"/>
          <w:rtl/>
        </w:rPr>
        <w:t xml:space="preserve"> هذه الأنظمة (</w:t>
      </w:r>
      <w:r w:rsidR="0028330A">
        <w:rPr>
          <w:rFonts w:hint="cs"/>
          <w:rtl/>
        </w:rPr>
        <w:t>النشطة</w:t>
      </w:r>
      <w:r w:rsidR="00A85892">
        <w:rPr>
          <w:rFonts w:hint="cs"/>
          <w:rtl/>
        </w:rPr>
        <w:t xml:space="preserve">) </w:t>
      </w:r>
      <w:r w:rsidR="00085DD8">
        <w:rPr>
          <w:rFonts w:hint="cs"/>
          <w:rtl/>
        </w:rPr>
        <w:t>لحماية تامة</w:t>
      </w:r>
      <w:r w:rsidR="00A85892">
        <w:rPr>
          <w:rFonts w:hint="cs"/>
          <w:rtl/>
        </w:rPr>
        <w:t xml:space="preserve"> لعمليات رحلات خدمة الأبحاث الفضائية (الفضاء السحيق) أثناء الأحداث الحرجة ومنع إلحاق الضرر بمستقبلات المحطة الأرضية لخدمة الأبحاث الفضائية</w:t>
      </w:r>
      <w:r w:rsidR="00BA65C6">
        <w:rPr>
          <w:rFonts w:hint="cs"/>
          <w:rtl/>
        </w:rPr>
        <w:t xml:space="preserve"> في جميع الأوقات.</w:t>
      </w:r>
    </w:p>
    <w:p w:rsidR="007516B1" w:rsidRPr="00026B17" w:rsidRDefault="007516B1" w:rsidP="00DA47F9">
      <w:pPr>
        <w:tabs>
          <w:tab w:val="right" w:pos="9639"/>
        </w:tabs>
        <w:spacing w:before="240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  <w:lang w:bidi="ar-SY"/>
        </w:rPr>
        <w:t xml:space="preserve">التوصية ال‍جديدة </w:t>
      </w:r>
      <w:r>
        <w:rPr>
          <w:u w:val="single"/>
          <w:lang w:bidi="ar-SY"/>
        </w:rPr>
        <w:t>ITU-R RS.[EESS9GHz-RAS-Mitigation]</w:t>
      </w:r>
      <w:r>
        <w:rPr>
          <w:rFonts w:hint="cs"/>
          <w:rtl/>
        </w:rPr>
        <w:tab/>
        <w:t xml:space="preserve">الوثيقة </w:t>
      </w:r>
      <w:r>
        <w:t>7/101(Rev.1)</w:t>
      </w:r>
    </w:p>
    <w:p w:rsidR="007516B1" w:rsidRDefault="007516B1" w:rsidP="00ED3B8B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 xml:space="preserve">حماية خدمة الفلك الراديوي في نطاق الترددات </w:t>
      </w:r>
      <w:r>
        <w:t>GHz 10,7</w:t>
      </w:r>
      <w:r>
        <w:noBreakHyphen/>
        <w:t>10,6</w:t>
      </w:r>
      <w:r w:rsidR="00ED3B8B">
        <w:rPr>
          <w:rtl/>
        </w:rPr>
        <w:br/>
      </w:r>
      <w:r>
        <w:rPr>
          <w:rFonts w:hint="cs"/>
          <w:rtl/>
        </w:rPr>
        <w:t xml:space="preserve">من الإرسالات غير المرغوبة للرادارات ذات الفتحات التركيبية </w:t>
      </w:r>
      <w:r w:rsidRPr="00C70AF1">
        <w:rPr>
          <w:rFonts w:hint="cs"/>
          <w:rtl/>
        </w:rPr>
        <w:t>العاملة</w:t>
      </w:r>
      <w:r w:rsidR="00ED3B8B">
        <w:rPr>
          <w:rtl/>
        </w:rPr>
        <w:br/>
      </w:r>
      <w:bookmarkStart w:id="3" w:name="_GoBack"/>
      <w:r w:rsidRPr="00C70AF1">
        <w:rPr>
          <w:rFonts w:hint="cs"/>
          <w:rtl/>
        </w:rPr>
        <w:t>في خدمة استكشاف الأرض الساتلية (النشطة) حول</w:t>
      </w:r>
      <w:r>
        <w:rPr>
          <w:rFonts w:hint="eastAsia"/>
          <w:rtl/>
        </w:rPr>
        <w:t> </w:t>
      </w:r>
      <w:r w:rsidRPr="00C70AF1">
        <w:t>MHz 9 600</w:t>
      </w:r>
    </w:p>
    <w:bookmarkEnd w:id="3"/>
    <w:p w:rsidR="007516B1" w:rsidRDefault="00E24EDA" w:rsidP="0028330A">
      <w:pPr>
        <w:rPr>
          <w:rtl/>
        </w:rPr>
      </w:pPr>
      <w:r>
        <w:rPr>
          <w:rFonts w:hint="cs"/>
          <w:rtl/>
        </w:rPr>
        <w:t>تعرض</w:t>
      </w:r>
      <w:r w:rsidR="00857C2D">
        <w:rPr>
          <w:rFonts w:hint="cs"/>
          <w:rtl/>
        </w:rPr>
        <w:t xml:space="preserve"> هذه التوصية </w:t>
      </w:r>
      <w:r w:rsidR="00255833">
        <w:rPr>
          <w:rFonts w:hint="cs"/>
          <w:rtl/>
        </w:rPr>
        <w:t>إجرا</w:t>
      </w:r>
      <w:r w:rsidR="00ED3B8B">
        <w:rPr>
          <w:rFonts w:hint="cs"/>
          <w:rtl/>
        </w:rPr>
        <w:t>ءً تشغيلياً لتفادي اقتران الحزم</w:t>
      </w:r>
      <w:r w:rsidR="00255833">
        <w:rPr>
          <w:rFonts w:hint="cs"/>
          <w:rtl/>
        </w:rPr>
        <w:t xml:space="preserve"> الرئيسية بين الأنظمة </w:t>
      </w:r>
      <w:r w:rsidR="00255833">
        <w:t>SAR-4</w:t>
      </w:r>
      <w:r w:rsidR="0028330A">
        <w:rPr>
          <w:rFonts w:hint="cs"/>
          <w:rtl/>
        </w:rPr>
        <w:t xml:space="preserve"> لخدمة ا</w:t>
      </w:r>
      <w:r w:rsidR="00255833">
        <w:rPr>
          <w:rFonts w:hint="cs"/>
          <w:rtl/>
        </w:rPr>
        <w:t xml:space="preserve">ستكشاف الأرض الساتلية (النشطة) عند الإرسال على </w:t>
      </w:r>
      <w:r w:rsidR="00606904">
        <w:rPr>
          <w:rFonts w:hint="cs"/>
          <w:rtl/>
        </w:rPr>
        <w:t xml:space="preserve">مقربة من </w:t>
      </w:r>
      <w:r w:rsidR="00606904">
        <w:t>MHz 9 600</w:t>
      </w:r>
      <w:r w:rsidR="00391783">
        <w:rPr>
          <w:rFonts w:hint="cs"/>
          <w:rtl/>
        </w:rPr>
        <w:t xml:space="preserve"> ومحطات علم الفلك الراديوي التي تقوم بعمليات </w:t>
      </w:r>
      <w:r w:rsidR="00365F78">
        <w:rPr>
          <w:rFonts w:hint="cs"/>
          <w:rtl/>
        </w:rPr>
        <w:t>ال</w:t>
      </w:r>
      <w:r w:rsidR="00391783">
        <w:rPr>
          <w:rFonts w:hint="cs"/>
          <w:rtl/>
        </w:rPr>
        <w:t>رصد في النطاق</w:t>
      </w:r>
      <w:r w:rsidR="0028330A">
        <w:rPr>
          <w:rFonts w:hint="eastAsia"/>
          <w:rtl/>
        </w:rPr>
        <w:t> </w:t>
      </w:r>
      <w:r w:rsidR="00391783">
        <w:t>GHz 10,7-10,6</w:t>
      </w:r>
      <w:r w:rsidR="00391783">
        <w:rPr>
          <w:rFonts w:hint="cs"/>
          <w:rtl/>
        </w:rPr>
        <w:t xml:space="preserve"> </w:t>
      </w:r>
      <w:r w:rsidR="00265A8D">
        <w:rPr>
          <w:rFonts w:hint="cs"/>
          <w:rtl/>
        </w:rPr>
        <w:t xml:space="preserve">وذلك </w:t>
      </w:r>
      <w:r w:rsidR="008063C8">
        <w:rPr>
          <w:rFonts w:hint="cs"/>
          <w:rtl/>
        </w:rPr>
        <w:t>لعدم التسبب</w:t>
      </w:r>
      <w:r w:rsidR="00265A8D">
        <w:rPr>
          <w:rFonts w:hint="cs"/>
          <w:rtl/>
        </w:rPr>
        <w:t xml:space="preserve"> </w:t>
      </w:r>
      <w:r w:rsidR="00365F78">
        <w:rPr>
          <w:rFonts w:hint="cs"/>
          <w:rtl/>
        </w:rPr>
        <w:t xml:space="preserve">في ضرر للمكبر منخفض الضوضاء الحساس </w:t>
      </w:r>
      <w:r>
        <w:rPr>
          <w:rFonts w:hint="cs"/>
          <w:rtl/>
        </w:rPr>
        <w:t>ل</w:t>
      </w:r>
      <w:r w:rsidR="00365F78">
        <w:rPr>
          <w:rFonts w:hint="cs"/>
          <w:rtl/>
        </w:rPr>
        <w:t>خدمة علم الفلك الراديوية.</w:t>
      </w:r>
    </w:p>
    <w:p w:rsidR="00DA47F9" w:rsidRDefault="00365F78" w:rsidP="00ED3B8B">
      <w:pPr>
        <w:rPr>
          <w:rtl/>
        </w:rPr>
      </w:pPr>
      <w:r>
        <w:rPr>
          <w:rFonts w:hint="cs"/>
          <w:rtl/>
        </w:rPr>
        <w:t xml:space="preserve">ويرجى من الإدارات أن تتحقق من إحداثيات محطات علم الفلك الراديوية على النحو </w:t>
      </w:r>
      <w:r w:rsidR="00E24EDA">
        <w:rPr>
          <w:rFonts w:hint="cs"/>
          <w:rtl/>
        </w:rPr>
        <w:t>المبين</w:t>
      </w:r>
      <w:r>
        <w:rPr>
          <w:rFonts w:hint="cs"/>
          <w:rtl/>
        </w:rPr>
        <w:t xml:space="preserve"> في الملحق </w:t>
      </w:r>
      <w:r>
        <w:t>2</w:t>
      </w:r>
      <w:r>
        <w:rPr>
          <w:rFonts w:hint="cs"/>
          <w:rtl/>
        </w:rPr>
        <w:t xml:space="preserve"> بهذه التوصية (انظر</w:t>
      </w:r>
      <w:r w:rsidR="00ED3B8B">
        <w:rPr>
          <w:rFonts w:hint="eastAsia"/>
          <w:rtl/>
        </w:rPr>
        <w:t> </w:t>
      </w:r>
      <w:r>
        <w:rPr>
          <w:rFonts w:hint="cs"/>
          <w:rtl/>
        </w:rPr>
        <w:t xml:space="preserve">الوثيقة </w:t>
      </w:r>
      <w:r>
        <w:t>(7/101(Rev.1)</w:t>
      </w:r>
      <w:r w:rsidR="00BC02C8">
        <w:rPr>
          <w:rFonts w:hint="cs"/>
          <w:rtl/>
        </w:rPr>
        <w:t>.</w:t>
      </w:r>
    </w:p>
    <w:p w:rsidR="00B45FA0" w:rsidRPr="00753BD1" w:rsidRDefault="00707580" w:rsidP="00ED3B8B">
      <w:pPr>
        <w:spacing w:before="36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11"/>
      <w:headerReference w:type="firs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813066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813066">
      <w:rPr>
        <w:szCs w:val="18"/>
      </w:rPr>
      <w:t xml:space="preserve">- </w:t>
    </w:r>
    <w:r w:rsidRPr="00813066">
      <w:rPr>
        <w:rStyle w:val="PageNumber"/>
        <w:rFonts w:cs="Calibri"/>
        <w:szCs w:val="18"/>
      </w:rPr>
      <w:fldChar w:fldCharType="begin"/>
    </w:r>
    <w:r w:rsidRPr="00813066">
      <w:rPr>
        <w:rStyle w:val="PageNumber"/>
        <w:rFonts w:cs="Calibri"/>
        <w:szCs w:val="18"/>
      </w:rPr>
      <w:instrText xml:space="preserve"> PAGE </w:instrText>
    </w:r>
    <w:r w:rsidRPr="00813066">
      <w:rPr>
        <w:rStyle w:val="PageNumber"/>
        <w:rFonts w:cs="Calibri"/>
        <w:szCs w:val="18"/>
      </w:rPr>
      <w:fldChar w:fldCharType="separate"/>
    </w:r>
    <w:r w:rsidR="0089572E">
      <w:rPr>
        <w:rStyle w:val="PageNumber"/>
        <w:rFonts w:cs="Calibri"/>
        <w:noProof/>
        <w:szCs w:val="18"/>
      </w:rPr>
      <w:t>3</w:t>
    </w:r>
    <w:r w:rsidRPr="00813066">
      <w:rPr>
        <w:rStyle w:val="PageNumber"/>
        <w:rFonts w:cs="Calibri"/>
        <w:szCs w:val="18"/>
      </w:rPr>
      <w:fldChar w:fldCharType="end"/>
    </w:r>
    <w:r w:rsidRPr="0081306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5B74"/>
    <w:rsid w:val="00016557"/>
    <w:rsid w:val="000169D1"/>
    <w:rsid w:val="00017A26"/>
    <w:rsid w:val="0002125E"/>
    <w:rsid w:val="0002453D"/>
    <w:rsid w:val="00027811"/>
    <w:rsid w:val="000279B5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7CA9"/>
    <w:rsid w:val="00071CE5"/>
    <w:rsid w:val="00072C95"/>
    <w:rsid w:val="00073B79"/>
    <w:rsid w:val="00077EC4"/>
    <w:rsid w:val="00083ED6"/>
    <w:rsid w:val="00085DD8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22B4"/>
    <w:rsid w:val="001C608C"/>
    <w:rsid w:val="001C7119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116"/>
    <w:rsid w:val="00246856"/>
    <w:rsid w:val="002518EE"/>
    <w:rsid w:val="002538F6"/>
    <w:rsid w:val="00253D08"/>
    <w:rsid w:val="00253EA4"/>
    <w:rsid w:val="00255833"/>
    <w:rsid w:val="00263682"/>
    <w:rsid w:val="00265A8D"/>
    <w:rsid w:val="00274773"/>
    <w:rsid w:val="0027690C"/>
    <w:rsid w:val="0027799D"/>
    <w:rsid w:val="0028330A"/>
    <w:rsid w:val="0028363A"/>
    <w:rsid w:val="002917EF"/>
    <w:rsid w:val="00291BE8"/>
    <w:rsid w:val="00293629"/>
    <w:rsid w:val="002943F5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067EE"/>
    <w:rsid w:val="003106D2"/>
    <w:rsid w:val="00316B78"/>
    <w:rsid w:val="0031726C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5F78"/>
    <w:rsid w:val="003674A6"/>
    <w:rsid w:val="00367BBB"/>
    <w:rsid w:val="0037417F"/>
    <w:rsid w:val="00374F86"/>
    <w:rsid w:val="003756CB"/>
    <w:rsid w:val="003757CC"/>
    <w:rsid w:val="0037688C"/>
    <w:rsid w:val="00377082"/>
    <w:rsid w:val="00377341"/>
    <w:rsid w:val="0038391B"/>
    <w:rsid w:val="00391783"/>
    <w:rsid w:val="003A241D"/>
    <w:rsid w:val="003A59BD"/>
    <w:rsid w:val="003A7EA4"/>
    <w:rsid w:val="003B1B5D"/>
    <w:rsid w:val="003B1FBA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100F4"/>
    <w:rsid w:val="00411A4F"/>
    <w:rsid w:val="004124FE"/>
    <w:rsid w:val="004140EA"/>
    <w:rsid w:val="00414A48"/>
    <w:rsid w:val="00422307"/>
    <w:rsid w:val="00431317"/>
    <w:rsid w:val="00432EC2"/>
    <w:rsid w:val="00434805"/>
    <w:rsid w:val="00434B10"/>
    <w:rsid w:val="00436CDD"/>
    <w:rsid w:val="00436EDB"/>
    <w:rsid w:val="004406E3"/>
    <w:rsid w:val="0044511E"/>
    <w:rsid w:val="0044634B"/>
    <w:rsid w:val="00452AF6"/>
    <w:rsid w:val="00453D4D"/>
    <w:rsid w:val="00457565"/>
    <w:rsid w:val="004646F6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76B3"/>
    <w:rsid w:val="004A1D41"/>
    <w:rsid w:val="004A1E69"/>
    <w:rsid w:val="004A5AB1"/>
    <w:rsid w:val="004B04D5"/>
    <w:rsid w:val="004C1881"/>
    <w:rsid w:val="004C2077"/>
    <w:rsid w:val="004C270F"/>
    <w:rsid w:val="004C2EFF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369D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2FAB"/>
    <w:rsid w:val="00603B07"/>
    <w:rsid w:val="00604835"/>
    <w:rsid w:val="0060519A"/>
    <w:rsid w:val="006051A6"/>
    <w:rsid w:val="00606904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0B0D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7F36"/>
    <w:rsid w:val="00721B26"/>
    <w:rsid w:val="00723795"/>
    <w:rsid w:val="007272DA"/>
    <w:rsid w:val="00730DF4"/>
    <w:rsid w:val="00737537"/>
    <w:rsid w:val="00741561"/>
    <w:rsid w:val="00745C10"/>
    <w:rsid w:val="00746900"/>
    <w:rsid w:val="007516B1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17"/>
    <w:rsid w:val="007D2EBF"/>
    <w:rsid w:val="007E02F9"/>
    <w:rsid w:val="007E0A6F"/>
    <w:rsid w:val="007E6CD5"/>
    <w:rsid w:val="007F0D3B"/>
    <w:rsid w:val="007F2EC0"/>
    <w:rsid w:val="007F3CB0"/>
    <w:rsid w:val="007F6F14"/>
    <w:rsid w:val="0080201E"/>
    <w:rsid w:val="008063C8"/>
    <w:rsid w:val="0080744B"/>
    <w:rsid w:val="00811467"/>
    <w:rsid w:val="00813066"/>
    <w:rsid w:val="00813125"/>
    <w:rsid w:val="00813CD3"/>
    <w:rsid w:val="008172A1"/>
    <w:rsid w:val="00832D29"/>
    <w:rsid w:val="008335AE"/>
    <w:rsid w:val="00837C3E"/>
    <w:rsid w:val="00840C1F"/>
    <w:rsid w:val="00841A55"/>
    <w:rsid w:val="00843537"/>
    <w:rsid w:val="00845543"/>
    <w:rsid w:val="00851629"/>
    <w:rsid w:val="008566F2"/>
    <w:rsid w:val="00856E49"/>
    <w:rsid w:val="008577A1"/>
    <w:rsid w:val="00857C2D"/>
    <w:rsid w:val="008663FF"/>
    <w:rsid w:val="008667A4"/>
    <w:rsid w:val="0087580E"/>
    <w:rsid w:val="00881D43"/>
    <w:rsid w:val="00882803"/>
    <w:rsid w:val="00887F2D"/>
    <w:rsid w:val="00890E63"/>
    <w:rsid w:val="0089168D"/>
    <w:rsid w:val="0089572E"/>
    <w:rsid w:val="00895F88"/>
    <w:rsid w:val="00896E9F"/>
    <w:rsid w:val="008A2811"/>
    <w:rsid w:val="008B4D20"/>
    <w:rsid w:val="008B7FC4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2DF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0A60"/>
    <w:rsid w:val="00A32E03"/>
    <w:rsid w:val="00A4293C"/>
    <w:rsid w:val="00A46274"/>
    <w:rsid w:val="00A47673"/>
    <w:rsid w:val="00A53E9F"/>
    <w:rsid w:val="00A62B6B"/>
    <w:rsid w:val="00A62D1F"/>
    <w:rsid w:val="00A64BD3"/>
    <w:rsid w:val="00A71C23"/>
    <w:rsid w:val="00A77413"/>
    <w:rsid w:val="00A82657"/>
    <w:rsid w:val="00A849DB"/>
    <w:rsid w:val="00A85892"/>
    <w:rsid w:val="00A85F26"/>
    <w:rsid w:val="00A86A02"/>
    <w:rsid w:val="00A87FFB"/>
    <w:rsid w:val="00A974D1"/>
    <w:rsid w:val="00AA029A"/>
    <w:rsid w:val="00AA09D7"/>
    <w:rsid w:val="00AA488A"/>
    <w:rsid w:val="00AB05FA"/>
    <w:rsid w:val="00AB07C5"/>
    <w:rsid w:val="00AB3CD0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261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A65C6"/>
    <w:rsid w:val="00BB1CC1"/>
    <w:rsid w:val="00BB4C56"/>
    <w:rsid w:val="00BC02C8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3B2"/>
    <w:rsid w:val="00C46998"/>
    <w:rsid w:val="00C50B61"/>
    <w:rsid w:val="00C531B1"/>
    <w:rsid w:val="00C56ACE"/>
    <w:rsid w:val="00C60D6E"/>
    <w:rsid w:val="00C626AC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5D75"/>
    <w:rsid w:val="00C9654B"/>
    <w:rsid w:val="00CA031D"/>
    <w:rsid w:val="00CA0B24"/>
    <w:rsid w:val="00CA31D5"/>
    <w:rsid w:val="00CA481F"/>
    <w:rsid w:val="00CB1311"/>
    <w:rsid w:val="00CB4CC7"/>
    <w:rsid w:val="00CB4F19"/>
    <w:rsid w:val="00CC5287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074E9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70F15"/>
    <w:rsid w:val="00D744B4"/>
    <w:rsid w:val="00D84194"/>
    <w:rsid w:val="00D8584E"/>
    <w:rsid w:val="00D85C32"/>
    <w:rsid w:val="00D91B64"/>
    <w:rsid w:val="00D94874"/>
    <w:rsid w:val="00D960FE"/>
    <w:rsid w:val="00DA47F9"/>
    <w:rsid w:val="00DB2BA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24EDA"/>
    <w:rsid w:val="00E30F98"/>
    <w:rsid w:val="00E31000"/>
    <w:rsid w:val="00E331F6"/>
    <w:rsid w:val="00E3357F"/>
    <w:rsid w:val="00E37A3C"/>
    <w:rsid w:val="00E5049F"/>
    <w:rsid w:val="00E51D3F"/>
    <w:rsid w:val="00E673B8"/>
    <w:rsid w:val="00E67F70"/>
    <w:rsid w:val="00E77927"/>
    <w:rsid w:val="00E8544E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3B8B"/>
    <w:rsid w:val="00ED5701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25F2"/>
    <w:rsid w:val="00F130A4"/>
    <w:rsid w:val="00F22FAC"/>
    <w:rsid w:val="00F24131"/>
    <w:rsid w:val="00F31AB4"/>
    <w:rsid w:val="00F31C78"/>
    <w:rsid w:val="00F3354A"/>
    <w:rsid w:val="00F35601"/>
    <w:rsid w:val="00F35FDD"/>
    <w:rsid w:val="00F421E3"/>
    <w:rsid w:val="00F42740"/>
    <w:rsid w:val="00F47641"/>
    <w:rsid w:val="00F51414"/>
    <w:rsid w:val="00F5255B"/>
    <w:rsid w:val="00F542D7"/>
    <w:rsid w:val="00F542DE"/>
    <w:rsid w:val="00F60216"/>
    <w:rsid w:val="00F6100D"/>
    <w:rsid w:val="00F61324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talouzi\Downloads\http\www.itu.int\pub\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sg07-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8923-04D8-4D7B-868A-984A5A61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4537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Jimenez, Virginia</cp:lastModifiedBy>
  <cp:revision>4</cp:revision>
  <cp:lastPrinted>2014-10-21T07:37:00Z</cp:lastPrinted>
  <dcterms:created xsi:type="dcterms:W3CDTF">2014-10-21T07:35:00Z</dcterms:created>
  <dcterms:modified xsi:type="dcterms:W3CDTF">2014-10-21T07:37:00Z</dcterms:modified>
</cp:coreProperties>
</file>