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CC4260" w:rsidTr="006160CB">
        <w:tc>
          <w:tcPr>
            <w:tcW w:w="9889" w:type="dxa"/>
            <w:gridSpan w:val="3"/>
            <w:shd w:val="clear" w:color="auto" w:fill="auto"/>
          </w:tcPr>
          <w:p w:rsidR="00E53DCE" w:rsidRPr="00CC4260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CH"/>
              </w:rPr>
            </w:pPr>
            <w:r w:rsidRPr="00CC4260">
              <w:rPr>
                <w:rFonts w:cstheme="minorHAnsi"/>
                <w:b/>
                <w:bCs/>
                <w:color w:val="808080"/>
                <w:sz w:val="28"/>
                <w:szCs w:val="28"/>
                <w:lang w:val="fr-CH"/>
              </w:rPr>
              <w:t>Bureau des radiocommunications (BR)</w:t>
            </w:r>
          </w:p>
          <w:p w:rsidR="00E53DCE" w:rsidRPr="00CC4260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CH"/>
              </w:rPr>
            </w:pPr>
          </w:p>
          <w:p w:rsidR="00E53DCE" w:rsidRPr="00CC4260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CH"/>
              </w:rPr>
            </w:pPr>
          </w:p>
        </w:tc>
      </w:tr>
      <w:tr w:rsidR="00E53DCE" w:rsidRPr="00CC4260" w:rsidTr="006160CB">
        <w:tc>
          <w:tcPr>
            <w:tcW w:w="7054" w:type="dxa"/>
            <w:gridSpan w:val="2"/>
            <w:shd w:val="clear" w:color="auto" w:fill="auto"/>
          </w:tcPr>
          <w:p w:rsidR="00E53DCE" w:rsidRPr="00CC4260" w:rsidRDefault="00E53DCE" w:rsidP="006160CB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r w:rsidRPr="00CC4260">
              <w:rPr>
                <w:szCs w:val="24"/>
                <w:lang w:val="fr-CH"/>
              </w:rPr>
              <w:t>Circulaire administrative</w:t>
            </w:r>
          </w:p>
          <w:p w:rsidR="00E53DCE" w:rsidRPr="00CC4260" w:rsidRDefault="00E53DCE" w:rsidP="000D12B0">
            <w:pPr>
              <w:spacing w:before="0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r w:rsidRPr="00CC4260">
              <w:rPr>
                <w:b/>
                <w:bCs/>
                <w:szCs w:val="24"/>
                <w:lang w:val="fr-CH"/>
              </w:rPr>
              <w:t>CA</w:t>
            </w:r>
            <w:r w:rsidR="003A13CD" w:rsidRPr="00CC4260">
              <w:rPr>
                <w:b/>
                <w:bCs/>
                <w:szCs w:val="24"/>
                <w:lang w:val="fr-CH"/>
              </w:rPr>
              <w:t>CE</w:t>
            </w:r>
            <w:r w:rsidRPr="00CC4260">
              <w:rPr>
                <w:b/>
                <w:bCs/>
                <w:szCs w:val="24"/>
                <w:lang w:val="fr-CH"/>
              </w:rPr>
              <w:t>/</w:t>
            </w:r>
            <w:r w:rsidR="000D12B0">
              <w:rPr>
                <w:b/>
                <w:bCs/>
                <w:szCs w:val="24"/>
                <w:lang w:val="fr-CH"/>
              </w:rPr>
              <w:t>701</w:t>
            </w:r>
          </w:p>
        </w:tc>
        <w:tc>
          <w:tcPr>
            <w:tcW w:w="2835" w:type="dxa"/>
            <w:shd w:val="clear" w:color="auto" w:fill="auto"/>
          </w:tcPr>
          <w:p w:rsidR="00E53DCE" w:rsidRPr="00CC4260" w:rsidRDefault="000D12B0" w:rsidP="002761A4">
            <w:pPr>
              <w:spacing w:before="0"/>
              <w:jc w:val="right"/>
              <w:rPr>
                <w:sz w:val="28"/>
                <w:szCs w:val="28"/>
                <w:lang w:val="fr-CH"/>
              </w:rPr>
            </w:pPr>
            <w:r>
              <w:rPr>
                <w:szCs w:val="24"/>
                <w:lang w:val="fr-CH"/>
              </w:rPr>
              <w:t xml:space="preserve">Le 4 </w:t>
            </w:r>
            <w:r w:rsidR="002761A4">
              <w:rPr>
                <w:szCs w:val="24"/>
                <w:lang w:val="fr-CH"/>
              </w:rPr>
              <w:t>d</w:t>
            </w:r>
            <w:r w:rsidR="0085516F" w:rsidRPr="0085516F">
              <w:rPr>
                <w:szCs w:val="24"/>
                <w:lang w:val="fr-CH"/>
              </w:rPr>
              <w:t>é</w:t>
            </w:r>
            <w:r w:rsidR="004B3281">
              <w:rPr>
                <w:szCs w:val="24"/>
                <w:lang w:val="fr-CH"/>
              </w:rPr>
              <w:t>c</w:t>
            </w:r>
            <w:r>
              <w:rPr>
                <w:szCs w:val="24"/>
                <w:lang w:val="fr-CH"/>
              </w:rPr>
              <w:t>embre 2014</w:t>
            </w:r>
          </w:p>
        </w:tc>
      </w:tr>
      <w:tr w:rsidR="00E53DCE" w:rsidRPr="00CC4260" w:rsidTr="006160CB">
        <w:tc>
          <w:tcPr>
            <w:tcW w:w="9889" w:type="dxa"/>
            <w:gridSpan w:val="3"/>
            <w:shd w:val="clear" w:color="auto" w:fill="auto"/>
          </w:tcPr>
          <w:p w:rsidR="00E53DCE" w:rsidRPr="00CC4260" w:rsidRDefault="00E53DCE" w:rsidP="006160CB">
            <w:pPr>
              <w:spacing w:before="0"/>
              <w:jc w:val="left"/>
              <w:rPr>
                <w:rFonts w:cs="Arial"/>
                <w:szCs w:val="24"/>
                <w:lang w:val="fr-CH"/>
              </w:rPr>
            </w:pPr>
          </w:p>
        </w:tc>
      </w:tr>
      <w:tr w:rsidR="00E53DCE" w:rsidRPr="00CC4260" w:rsidTr="006160CB">
        <w:tc>
          <w:tcPr>
            <w:tcW w:w="9889" w:type="dxa"/>
            <w:gridSpan w:val="3"/>
            <w:shd w:val="clear" w:color="auto" w:fill="auto"/>
          </w:tcPr>
          <w:p w:rsidR="00E53DCE" w:rsidRPr="00CC4260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F70BB3" w:rsidTr="006160CB">
        <w:tc>
          <w:tcPr>
            <w:tcW w:w="9889" w:type="dxa"/>
            <w:gridSpan w:val="3"/>
            <w:shd w:val="clear" w:color="auto" w:fill="auto"/>
          </w:tcPr>
          <w:p w:rsidR="00E53DCE" w:rsidRPr="00CC4260" w:rsidRDefault="00EE1A57" w:rsidP="002761A4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CC4260">
              <w:rPr>
                <w:b/>
                <w:bCs/>
                <w:szCs w:val="24"/>
                <w:lang w:val="fr-CH"/>
              </w:rPr>
              <w:t xml:space="preserve">Aux Administrations des </w:t>
            </w:r>
            <w:r w:rsidR="002761A4">
              <w:rPr>
                <w:b/>
                <w:bCs/>
                <w:szCs w:val="24"/>
                <w:lang w:val="fr-CH"/>
              </w:rPr>
              <w:t>E</w:t>
            </w:r>
            <w:r w:rsidR="00CC4260" w:rsidRPr="00CC4260">
              <w:rPr>
                <w:b/>
                <w:bCs/>
                <w:szCs w:val="24"/>
                <w:lang w:val="fr-CH"/>
              </w:rPr>
              <w:t>tats</w:t>
            </w:r>
            <w:r w:rsidRPr="00CC4260">
              <w:rPr>
                <w:b/>
                <w:bCs/>
                <w:szCs w:val="24"/>
                <w:lang w:val="fr-CH"/>
              </w:rPr>
              <w:t xml:space="preserve"> Membres de l'UIT</w:t>
            </w:r>
            <w:r w:rsidR="003A13CD" w:rsidRPr="00CC4260">
              <w:rPr>
                <w:b/>
                <w:bCs/>
                <w:szCs w:val="24"/>
                <w:lang w:val="fr-CH"/>
              </w:rPr>
              <w:t xml:space="preserve">, </w:t>
            </w:r>
            <w:r w:rsidR="003A13CD" w:rsidRPr="00CC4260">
              <w:rPr>
                <w:b/>
                <w:lang w:val="fr-CH"/>
              </w:rPr>
              <w:t xml:space="preserve">aux Membres du Secteur des radiocommunications et aux Associés de l'UIT-R participant aux travaux de la </w:t>
            </w:r>
            <w:r w:rsidR="00077773" w:rsidRPr="00CC4260">
              <w:rPr>
                <w:b/>
                <w:lang w:val="fr-CH"/>
              </w:rPr>
              <w:br/>
            </w:r>
            <w:r w:rsidR="003A13CD" w:rsidRPr="00CC4260">
              <w:rPr>
                <w:b/>
                <w:lang w:val="fr-CH"/>
              </w:rPr>
              <w:t xml:space="preserve">Commission d'études </w:t>
            </w:r>
            <w:r w:rsidR="000D12B0">
              <w:rPr>
                <w:b/>
                <w:lang w:val="fr-CH"/>
              </w:rPr>
              <w:t>6</w:t>
            </w:r>
            <w:r w:rsidR="003A13CD" w:rsidRPr="00CC4260">
              <w:rPr>
                <w:b/>
                <w:lang w:val="fr-CH"/>
              </w:rPr>
              <w:t xml:space="preserve"> des radiocommunications</w:t>
            </w:r>
          </w:p>
          <w:p w:rsidR="00E53DCE" w:rsidRPr="00CC4260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F70BB3" w:rsidTr="006160CB">
        <w:tc>
          <w:tcPr>
            <w:tcW w:w="9889" w:type="dxa"/>
            <w:gridSpan w:val="3"/>
            <w:shd w:val="clear" w:color="auto" w:fill="auto"/>
          </w:tcPr>
          <w:p w:rsidR="00E53DCE" w:rsidRPr="00CC4260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F70BB3" w:rsidTr="006160CB">
        <w:tc>
          <w:tcPr>
            <w:tcW w:w="9889" w:type="dxa"/>
            <w:gridSpan w:val="3"/>
            <w:shd w:val="clear" w:color="auto" w:fill="auto"/>
          </w:tcPr>
          <w:p w:rsidR="00E53DCE" w:rsidRPr="00CC4260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F70BB3" w:rsidTr="006160CB">
        <w:tc>
          <w:tcPr>
            <w:tcW w:w="1526" w:type="dxa"/>
            <w:shd w:val="clear" w:color="auto" w:fill="auto"/>
          </w:tcPr>
          <w:p w:rsidR="00E53DCE" w:rsidRPr="00CC4260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  <w:r w:rsidRPr="00CC4260">
              <w:rPr>
                <w:szCs w:val="24"/>
                <w:lang w:val="fr-CH"/>
              </w:rPr>
              <w:t>Sujet: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3A13CD" w:rsidRPr="00CC4260" w:rsidRDefault="003A13CD" w:rsidP="000D12B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745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CC4260">
              <w:rPr>
                <w:b/>
                <w:bCs/>
                <w:szCs w:val="24"/>
                <w:lang w:val="fr-CH"/>
              </w:rPr>
              <w:t xml:space="preserve">Commission d'études </w:t>
            </w:r>
            <w:r w:rsidR="000D12B0">
              <w:rPr>
                <w:b/>
                <w:bCs/>
                <w:szCs w:val="24"/>
                <w:lang w:val="fr-CH"/>
              </w:rPr>
              <w:t>6</w:t>
            </w:r>
            <w:r w:rsidRPr="00CC4260">
              <w:rPr>
                <w:b/>
                <w:bCs/>
                <w:szCs w:val="24"/>
                <w:lang w:val="fr-CH"/>
              </w:rPr>
              <w:t xml:space="preserve"> des radiocommunications (</w:t>
            </w:r>
            <w:r w:rsidR="000D12B0" w:rsidRPr="003A4ECB">
              <w:rPr>
                <w:b/>
                <w:bCs/>
                <w:szCs w:val="24"/>
                <w:lang w:val="fr-CH"/>
              </w:rPr>
              <w:t>Service de radiodiffusion</w:t>
            </w:r>
            <w:r w:rsidRPr="00CC4260">
              <w:rPr>
                <w:b/>
                <w:bCs/>
                <w:szCs w:val="24"/>
                <w:lang w:val="fr-CH"/>
              </w:rPr>
              <w:t>)</w:t>
            </w:r>
          </w:p>
          <w:p w:rsidR="008018B7" w:rsidRPr="00CC4260" w:rsidRDefault="008018B7" w:rsidP="00292806">
            <w:pPr>
              <w:tabs>
                <w:tab w:val="clear" w:pos="794"/>
                <w:tab w:val="clear" w:pos="1191"/>
                <w:tab w:val="clear" w:pos="1588"/>
                <w:tab w:val="left" w:pos="459"/>
                <w:tab w:val="left" w:pos="745"/>
                <w:tab w:val="left" w:pos="1418"/>
                <w:tab w:val="left" w:pos="1843"/>
              </w:tabs>
              <w:spacing w:before="80"/>
              <w:ind w:left="459" w:hanging="459"/>
              <w:jc w:val="left"/>
              <w:rPr>
                <w:b/>
                <w:bCs/>
                <w:szCs w:val="24"/>
                <w:lang w:val="fr-CH"/>
              </w:rPr>
            </w:pPr>
            <w:r w:rsidRPr="00CC4260">
              <w:rPr>
                <w:b/>
                <w:bCs/>
                <w:szCs w:val="24"/>
                <w:lang w:val="fr-CH"/>
              </w:rPr>
              <w:t>–</w:t>
            </w:r>
            <w:r w:rsidRPr="00CC4260">
              <w:rPr>
                <w:b/>
                <w:bCs/>
                <w:szCs w:val="24"/>
                <w:lang w:val="fr-CH"/>
              </w:rPr>
              <w:tab/>
              <w:t xml:space="preserve">Proposition d'adoption </w:t>
            </w:r>
            <w:r w:rsidR="002761A4">
              <w:rPr>
                <w:b/>
                <w:bCs/>
                <w:szCs w:val="24"/>
                <w:lang w:val="fr-CH"/>
              </w:rPr>
              <w:t xml:space="preserve">de </w:t>
            </w:r>
            <w:r w:rsidRPr="00CC4260">
              <w:rPr>
                <w:b/>
                <w:bCs/>
                <w:szCs w:val="24"/>
                <w:lang w:val="fr-CH"/>
              </w:rPr>
              <w:t>d</w:t>
            </w:r>
            <w:r w:rsidR="000D12B0">
              <w:rPr>
                <w:b/>
                <w:bCs/>
                <w:szCs w:val="24"/>
                <w:lang w:val="fr-CH"/>
              </w:rPr>
              <w:t xml:space="preserve">eux </w:t>
            </w:r>
            <w:r w:rsidR="000D12B0">
              <w:rPr>
                <w:b/>
                <w:bCs/>
                <w:lang w:val="fr-CH"/>
              </w:rPr>
              <w:t>projet</w:t>
            </w:r>
            <w:r w:rsidRPr="00CC4260">
              <w:rPr>
                <w:b/>
                <w:bCs/>
                <w:lang w:val="fr-CH"/>
              </w:rPr>
              <w:t>s de nouvelle Recommandation UIT-R et de </w:t>
            </w:r>
            <w:r w:rsidR="00292806">
              <w:rPr>
                <w:b/>
                <w:bCs/>
                <w:lang w:val="fr-CH"/>
              </w:rPr>
              <w:t>huit projet</w:t>
            </w:r>
            <w:r w:rsidRPr="00CC4260">
              <w:rPr>
                <w:b/>
                <w:bCs/>
                <w:lang w:val="fr-CH"/>
              </w:rPr>
              <w:t>s de Recommandation UIT-R révisée et leur approbation simultanée par correspondance, conformément au § 10.3 de la Résolution UIT-R 1-6 (Procédure d'adoption et d'approbation simultanées par correspondance)</w:t>
            </w:r>
          </w:p>
          <w:p w:rsidR="00E53DCE" w:rsidRPr="00CC4260" w:rsidRDefault="003A13CD" w:rsidP="0041721E">
            <w:pPr>
              <w:tabs>
                <w:tab w:val="clear" w:pos="794"/>
                <w:tab w:val="clear" w:pos="1191"/>
                <w:tab w:val="clear" w:pos="1588"/>
                <w:tab w:val="left" w:pos="459"/>
                <w:tab w:val="left" w:pos="745"/>
                <w:tab w:val="left" w:pos="1418"/>
                <w:tab w:val="left" w:pos="1843"/>
              </w:tabs>
              <w:spacing w:before="80"/>
              <w:ind w:left="459" w:hanging="459"/>
              <w:jc w:val="left"/>
              <w:rPr>
                <w:b/>
                <w:bCs/>
                <w:szCs w:val="24"/>
                <w:lang w:val="fr-CH"/>
              </w:rPr>
            </w:pPr>
            <w:r w:rsidRPr="00CC4260">
              <w:rPr>
                <w:b/>
                <w:bCs/>
                <w:szCs w:val="24"/>
                <w:lang w:val="fr-CH"/>
              </w:rPr>
              <w:t>–</w:t>
            </w:r>
            <w:r w:rsidRPr="00CC4260">
              <w:rPr>
                <w:b/>
                <w:bCs/>
                <w:szCs w:val="24"/>
                <w:lang w:val="fr-CH"/>
              </w:rPr>
              <w:tab/>
            </w:r>
            <w:r w:rsidR="008018B7" w:rsidRPr="00CC4260">
              <w:rPr>
                <w:b/>
                <w:bCs/>
                <w:szCs w:val="24"/>
                <w:lang w:val="fr-CH"/>
              </w:rPr>
              <w:t xml:space="preserve">Proposition </w:t>
            </w:r>
            <w:r w:rsidR="00AE51AF">
              <w:rPr>
                <w:b/>
                <w:bCs/>
                <w:szCs w:val="24"/>
                <w:lang w:val="fr-CH"/>
              </w:rPr>
              <w:t xml:space="preserve">d'approbation </w:t>
            </w:r>
            <w:r w:rsidR="008018B7" w:rsidRPr="00CC4260">
              <w:rPr>
                <w:b/>
                <w:bCs/>
                <w:szCs w:val="24"/>
                <w:lang w:val="fr-CH"/>
              </w:rPr>
              <w:t>de s</w:t>
            </w:r>
            <w:r w:rsidR="000D12B0">
              <w:rPr>
                <w:b/>
                <w:bCs/>
                <w:szCs w:val="24"/>
                <w:lang w:val="fr-CH"/>
              </w:rPr>
              <w:t xml:space="preserve">uppression </w:t>
            </w:r>
            <w:r w:rsidR="000830F1">
              <w:rPr>
                <w:b/>
                <w:bCs/>
                <w:szCs w:val="24"/>
                <w:lang w:val="fr-CH"/>
              </w:rPr>
              <w:t xml:space="preserve">de </w:t>
            </w:r>
            <w:r w:rsidR="0041721E">
              <w:rPr>
                <w:b/>
                <w:bCs/>
                <w:szCs w:val="24"/>
                <w:lang w:val="fr-CH"/>
              </w:rPr>
              <w:t xml:space="preserve">deux </w:t>
            </w:r>
            <w:r w:rsidR="000D12B0">
              <w:rPr>
                <w:b/>
                <w:bCs/>
                <w:szCs w:val="24"/>
                <w:lang w:val="fr-CH"/>
              </w:rPr>
              <w:t>Recommandation</w:t>
            </w:r>
            <w:r w:rsidRPr="00CC4260">
              <w:rPr>
                <w:b/>
                <w:bCs/>
                <w:szCs w:val="24"/>
                <w:lang w:val="fr-CH"/>
              </w:rPr>
              <w:t>s</w:t>
            </w:r>
            <w:r w:rsidR="008018B7" w:rsidRPr="00CC4260">
              <w:rPr>
                <w:b/>
                <w:bCs/>
                <w:szCs w:val="24"/>
                <w:lang w:val="fr-CH"/>
              </w:rPr>
              <w:t xml:space="preserve"> UIT-R</w:t>
            </w:r>
          </w:p>
        </w:tc>
      </w:tr>
      <w:tr w:rsidR="00E53DCE" w:rsidRPr="00F70BB3" w:rsidTr="006160CB">
        <w:tc>
          <w:tcPr>
            <w:tcW w:w="1526" w:type="dxa"/>
            <w:shd w:val="clear" w:color="auto" w:fill="auto"/>
          </w:tcPr>
          <w:p w:rsidR="00E53DCE" w:rsidRPr="00CC4260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CC4260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F70BB3" w:rsidTr="006160CB">
        <w:tc>
          <w:tcPr>
            <w:tcW w:w="1526" w:type="dxa"/>
            <w:shd w:val="clear" w:color="auto" w:fill="auto"/>
          </w:tcPr>
          <w:p w:rsidR="00E53DCE" w:rsidRPr="00CC4260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CC4260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F70BB3" w:rsidTr="006160CB">
        <w:tc>
          <w:tcPr>
            <w:tcW w:w="9889" w:type="dxa"/>
            <w:gridSpan w:val="3"/>
            <w:shd w:val="clear" w:color="auto" w:fill="auto"/>
          </w:tcPr>
          <w:p w:rsidR="00E53DCE" w:rsidRPr="00CC4260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F70BB3" w:rsidTr="006160CB">
        <w:tc>
          <w:tcPr>
            <w:tcW w:w="9889" w:type="dxa"/>
            <w:gridSpan w:val="3"/>
            <w:shd w:val="clear" w:color="auto" w:fill="auto"/>
          </w:tcPr>
          <w:p w:rsidR="00E53DCE" w:rsidRPr="00CC4260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</w:tbl>
    <w:p w:rsidR="008018B7" w:rsidRPr="00CC4260" w:rsidRDefault="002761A4" w:rsidP="00AE51AF">
      <w:pPr>
        <w:spacing w:before="360"/>
        <w:rPr>
          <w:lang w:val="fr-CH"/>
        </w:rPr>
      </w:pPr>
      <w:r>
        <w:rPr>
          <w:lang w:val="fr-CH"/>
        </w:rPr>
        <w:t>A</w:t>
      </w:r>
      <w:r w:rsidR="00B850E8" w:rsidRPr="00CC4260">
        <w:rPr>
          <w:lang w:val="fr-CH"/>
        </w:rPr>
        <w:t xml:space="preserve"> </w:t>
      </w:r>
      <w:r w:rsidR="008018B7" w:rsidRPr="00CC4260">
        <w:rPr>
          <w:lang w:val="fr-CH"/>
        </w:rPr>
        <w:t xml:space="preserve">sa réunion tenue </w:t>
      </w:r>
      <w:r w:rsidR="0041721E">
        <w:rPr>
          <w:lang w:val="fr-CH"/>
        </w:rPr>
        <w:t>le 21 novembre</w:t>
      </w:r>
      <w:r w:rsidR="008018B7" w:rsidRPr="00CC4260">
        <w:rPr>
          <w:lang w:val="fr-CH"/>
        </w:rPr>
        <w:t xml:space="preserve"> 201</w:t>
      </w:r>
      <w:r w:rsidR="0041721E">
        <w:rPr>
          <w:lang w:val="fr-CH"/>
        </w:rPr>
        <w:t>4</w:t>
      </w:r>
      <w:r w:rsidR="008018B7" w:rsidRPr="00CC4260">
        <w:rPr>
          <w:lang w:val="fr-CH"/>
        </w:rPr>
        <w:t xml:space="preserve">, la Commission d'études </w:t>
      </w:r>
      <w:r w:rsidR="000D12B0">
        <w:rPr>
          <w:lang w:val="fr-CH"/>
        </w:rPr>
        <w:t>6</w:t>
      </w:r>
      <w:r w:rsidR="008018B7" w:rsidRPr="00CC4260">
        <w:rPr>
          <w:lang w:val="fr-CH"/>
        </w:rPr>
        <w:t xml:space="preserve"> des radiocommunications a décidé de demander l'adoption par correspondance de </w:t>
      </w:r>
      <w:r w:rsidR="00292806">
        <w:rPr>
          <w:lang w:val="fr-CH"/>
        </w:rPr>
        <w:t>deux</w:t>
      </w:r>
      <w:r w:rsidR="008018B7" w:rsidRPr="00CC4260">
        <w:rPr>
          <w:lang w:val="fr-CH"/>
        </w:rPr>
        <w:t xml:space="preserve"> projets de nouvelle Recommandation </w:t>
      </w:r>
      <w:r w:rsidR="0066286A" w:rsidRPr="00CC4260">
        <w:rPr>
          <w:lang w:val="fr-CH"/>
        </w:rPr>
        <w:t>UIT</w:t>
      </w:r>
      <w:r w:rsidR="0066286A" w:rsidRPr="00CC4260">
        <w:rPr>
          <w:lang w:val="fr-CH"/>
        </w:rPr>
        <w:noBreakHyphen/>
        <w:t xml:space="preserve">R </w:t>
      </w:r>
      <w:r w:rsidR="008018B7" w:rsidRPr="00CC4260">
        <w:rPr>
          <w:lang w:val="fr-CH"/>
        </w:rPr>
        <w:t xml:space="preserve">et de </w:t>
      </w:r>
      <w:r w:rsidR="00292806">
        <w:rPr>
          <w:lang w:val="fr-CH"/>
        </w:rPr>
        <w:t>huit projet</w:t>
      </w:r>
      <w:r w:rsidR="008018B7" w:rsidRPr="00CC4260">
        <w:rPr>
          <w:lang w:val="fr-CH"/>
        </w:rPr>
        <w:t xml:space="preserve">s de Recommandation </w:t>
      </w:r>
      <w:r w:rsidR="0066286A" w:rsidRPr="00CC4260">
        <w:rPr>
          <w:lang w:val="fr-CH"/>
        </w:rPr>
        <w:t xml:space="preserve">UIT-R </w:t>
      </w:r>
      <w:r w:rsidR="008018B7" w:rsidRPr="00CC4260">
        <w:rPr>
          <w:lang w:val="fr-CH"/>
        </w:rPr>
        <w:t>révisée (§ 10.2.3 de la Résolution UIT-R 1-6) et a décidé en outre d'appliquer la procédure d'adoption et d'approbation simultanées par correspondance (PAAS), conformément au § 10.3 de la Résolution UIT-R 1-6. Le</w:t>
      </w:r>
      <w:r w:rsidR="00292806">
        <w:rPr>
          <w:lang w:val="fr-CH"/>
        </w:rPr>
        <w:t>s titre</w:t>
      </w:r>
      <w:r w:rsidR="008018B7" w:rsidRPr="00CC4260">
        <w:rPr>
          <w:lang w:val="fr-CH"/>
        </w:rPr>
        <w:t xml:space="preserve">s et </w:t>
      </w:r>
      <w:r w:rsidR="004256F2" w:rsidRPr="00CC4260">
        <w:rPr>
          <w:lang w:val="fr-CH"/>
        </w:rPr>
        <w:t xml:space="preserve">les </w:t>
      </w:r>
      <w:r w:rsidR="00292806">
        <w:rPr>
          <w:lang w:val="fr-CH"/>
        </w:rPr>
        <w:t>résumé</w:t>
      </w:r>
      <w:r w:rsidR="008018B7" w:rsidRPr="00CC4260">
        <w:rPr>
          <w:lang w:val="fr-CH"/>
        </w:rPr>
        <w:t xml:space="preserve">s </w:t>
      </w:r>
      <w:r w:rsidR="0097272A">
        <w:rPr>
          <w:lang w:val="fr-CH"/>
        </w:rPr>
        <w:t>des projet</w:t>
      </w:r>
      <w:r w:rsidR="008018B7" w:rsidRPr="00CC4260">
        <w:rPr>
          <w:lang w:val="fr-CH"/>
        </w:rPr>
        <w:t>s de Recommandation figurent dans</w:t>
      </w:r>
      <w:r w:rsidR="004256F2" w:rsidRPr="00CC4260">
        <w:rPr>
          <w:lang w:val="fr-CH"/>
        </w:rPr>
        <w:t xml:space="preserve"> l'Annexe </w:t>
      </w:r>
      <w:r w:rsidR="008018B7" w:rsidRPr="00CC4260">
        <w:rPr>
          <w:lang w:val="fr-CH"/>
        </w:rPr>
        <w:t>1. Par ailleurs, la Commission d'études a proposé l</w:t>
      </w:r>
      <w:r w:rsidR="00AE51AF">
        <w:rPr>
          <w:lang w:val="fr-CH"/>
        </w:rPr>
        <w:t>'approbation de</w:t>
      </w:r>
      <w:r w:rsidR="008018B7" w:rsidRPr="00CC4260">
        <w:rPr>
          <w:lang w:val="fr-CH"/>
        </w:rPr>
        <w:t xml:space="preserve"> suppression de </w:t>
      </w:r>
      <w:r w:rsidR="0097272A">
        <w:rPr>
          <w:lang w:val="fr-CH"/>
        </w:rPr>
        <w:t>deux</w:t>
      </w:r>
      <w:r w:rsidR="008018B7" w:rsidRPr="00CC4260">
        <w:rPr>
          <w:lang w:val="fr-CH"/>
        </w:rPr>
        <w:t xml:space="preserve"> Recommandations dont la liste est donnée dans l'Annexe 2.</w:t>
      </w:r>
    </w:p>
    <w:p w:rsidR="008018B7" w:rsidRPr="00CC4260" w:rsidRDefault="008018B7" w:rsidP="0085516F">
      <w:pPr>
        <w:rPr>
          <w:lang w:val="fr-CH"/>
        </w:rPr>
      </w:pPr>
      <w:r w:rsidRPr="00CC4260">
        <w:rPr>
          <w:lang w:val="fr-CH"/>
        </w:rPr>
        <w:t xml:space="preserve">La période d'examen, de deux mois, se terminera le </w:t>
      </w:r>
      <w:r w:rsidR="007C2624">
        <w:rPr>
          <w:u w:val="single"/>
          <w:lang w:val="fr-CH"/>
        </w:rPr>
        <w:t>4</w:t>
      </w:r>
      <w:r w:rsidRPr="00CC4260">
        <w:rPr>
          <w:u w:val="single"/>
          <w:lang w:val="fr-CH"/>
        </w:rPr>
        <w:t xml:space="preserve"> </w:t>
      </w:r>
      <w:r w:rsidR="007C2624">
        <w:rPr>
          <w:u w:val="single"/>
          <w:lang w:val="fr-CH"/>
        </w:rPr>
        <w:t>f</w:t>
      </w:r>
      <w:r w:rsidR="0085516F" w:rsidRPr="0085516F">
        <w:rPr>
          <w:u w:val="single"/>
          <w:lang w:val="fr-CH"/>
        </w:rPr>
        <w:t>é</w:t>
      </w:r>
      <w:r w:rsidR="0085516F">
        <w:rPr>
          <w:u w:val="single"/>
          <w:lang w:val="fr-CH"/>
        </w:rPr>
        <w:t>vrier</w:t>
      </w:r>
      <w:r w:rsidRPr="00CC4260">
        <w:rPr>
          <w:u w:val="single"/>
          <w:lang w:val="fr-CH"/>
        </w:rPr>
        <w:t xml:space="preserve"> 201</w:t>
      </w:r>
      <w:r w:rsidR="007C2624">
        <w:rPr>
          <w:u w:val="single"/>
          <w:lang w:val="fr-CH"/>
        </w:rPr>
        <w:t>5</w:t>
      </w:r>
      <w:r w:rsidRPr="00CC4260">
        <w:rPr>
          <w:lang w:val="fr-CH"/>
        </w:rPr>
        <w:t xml:space="preserve">. Si, au cours de cette période, aucun Etat Membre ne soulève d'objection, </w:t>
      </w:r>
      <w:r w:rsidR="006C003D">
        <w:rPr>
          <w:lang w:val="fr-CH"/>
        </w:rPr>
        <w:t>les projet</w:t>
      </w:r>
      <w:r w:rsidRPr="00CC4260">
        <w:rPr>
          <w:lang w:val="fr-CH"/>
        </w:rPr>
        <w:t>s de Recommandation s</w:t>
      </w:r>
      <w:r w:rsidR="004256F2" w:rsidRPr="00CC4260">
        <w:rPr>
          <w:lang w:val="fr-CH"/>
        </w:rPr>
        <w:t>er</w:t>
      </w:r>
      <w:r w:rsidR="006C003D">
        <w:rPr>
          <w:lang w:val="fr-CH"/>
        </w:rPr>
        <w:t>ont considéré</w:t>
      </w:r>
      <w:r w:rsidRPr="00CC4260">
        <w:rPr>
          <w:lang w:val="fr-CH"/>
        </w:rPr>
        <w:t>s</w:t>
      </w:r>
      <w:r w:rsidR="006C003D">
        <w:rPr>
          <w:lang w:val="fr-CH"/>
        </w:rPr>
        <w:t xml:space="preserve"> comme adopté</w:t>
      </w:r>
      <w:r w:rsidRPr="00CC4260">
        <w:rPr>
          <w:lang w:val="fr-CH"/>
        </w:rPr>
        <w:t xml:space="preserve">s par la Commission d'études </w:t>
      </w:r>
      <w:r w:rsidR="006C003D">
        <w:rPr>
          <w:lang w:val="fr-CH"/>
        </w:rPr>
        <w:t>6</w:t>
      </w:r>
      <w:r w:rsidRPr="00CC4260">
        <w:rPr>
          <w:lang w:val="fr-CH"/>
        </w:rPr>
        <w:t xml:space="preserve">. En outre, puisque la procédure PAAS </w:t>
      </w:r>
      <w:r w:rsidR="004256F2" w:rsidRPr="00CC4260">
        <w:rPr>
          <w:lang w:val="fr-CH"/>
        </w:rPr>
        <w:t>a été</w:t>
      </w:r>
      <w:r w:rsidRPr="00CC4260">
        <w:rPr>
          <w:lang w:val="fr-CH"/>
        </w:rPr>
        <w:t xml:space="preserve"> appliquée, </w:t>
      </w:r>
      <w:r w:rsidR="004256F2" w:rsidRPr="00CC4260">
        <w:rPr>
          <w:lang w:val="fr-CH"/>
        </w:rPr>
        <w:t xml:space="preserve">les </w:t>
      </w:r>
      <w:r w:rsidR="006C003D">
        <w:rPr>
          <w:lang w:val="fr-CH"/>
        </w:rPr>
        <w:t>projet</w:t>
      </w:r>
      <w:r w:rsidRPr="00CC4260">
        <w:rPr>
          <w:lang w:val="fr-CH"/>
        </w:rPr>
        <w:t xml:space="preserve">s de Recommandation </w:t>
      </w:r>
      <w:r w:rsidR="004256F2" w:rsidRPr="00CC4260">
        <w:rPr>
          <w:lang w:val="fr-CH"/>
        </w:rPr>
        <w:t>seront</w:t>
      </w:r>
      <w:r w:rsidRPr="00CC4260">
        <w:rPr>
          <w:lang w:val="fr-CH"/>
        </w:rPr>
        <w:t xml:space="preserve"> considéré</w:t>
      </w:r>
      <w:r w:rsidR="004256F2" w:rsidRPr="00CC4260">
        <w:rPr>
          <w:lang w:val="fr-CH"/>
        </w:rPr>
        <w:t>s</w:t>
      </w:r>
      <w:r w:rsidRPr="00CC4260">
        <w:rPr>
          <w:lang w:val="fr-CH"/>
        </w:rPr>
        <w:t xml:space="preserve"> comme </w:t>
      </w:r>
      <w:r w:rsidR="006C003D">
        <w:rPr>
          <w:lang w:val="fr-CH"/>
        </w:rPr>
        <w:t>approuvé</w:t>
      </w:r>
      <w:r w:rsidR="004256F2" w:rsidRPr="00CC4260">
        <w:rPr>
          <w:lang w:val="fr-CH"/>
        </w:rPr>
        <w:t>s</w:t>
      </w:r>
      <w:r w:rsidRPr="00CC4260">
        <w:rPr>
          <w:lang w:val="fr-CH"/>
        </w:rPr>
        <w:t>.</w:t>
      </w:r>
    </w:p>
    <w:p w:rsidR="008018B7" w:rsidRPr="00CC4260" w:rsidRDefault="008018B7" w:rsidP="00AE51AF">
      <w:pPr>
        <w:rPr>
          <w:lang w:val="fr-CH"/>
        </w:rPr>
      </w:pPr>
      <w:r w:rsidRPr="00CC4260">
        <w:rPr>
          <w:lang w:val="fr-CH"/>
        </w:rPr>
        <w:t xml:space="preserve">Un Etat Membre qui soulève une objection au sujet de l'adoption d'un projet de Recommandation </w:t>
      </w:r>
      <w:r w:rsidR="00D421E9" w:rsidRPr="00A00365">
        <w:rPr>
          <w:lang w:val="fr-CH"/>
        </w:rPr>
        <w:t xml:space="preserve">ou </w:t>
      </w:r>
      <w:r w:rsidR="00AE51AF">
        <w:rPr>
          <w:lang w:val="fr-CH"/>
        </w:rPr>
        <w:t>l'</w:t>
      </w:r>
      <w:r w:rsidR="00D421E9" w:rsidRPr="00A00365">
        <w:rPr>
          <w:lang w:val="fr-CH"/>
        </w:rPr>
        <w:t>approbation de la suppression d'une Recommandation</w:t>
      </w:r>
      <w:r w:rsidR="00D421E9" w:rsidRPr="00CC4260">
        <w:rPr>
          <w:lang w:val="fr-CH"/>
        </w:rPr>
        <w:t xml:space="preserve"> </w:t>
      </w:r>
      <w:r w:rsidRPr="00CC4260">
        <w:rPr>
          <w:lang w:val="fr-CH"/>
        </w:rPr>
        <w:t>est prié d'informer le Directeur et le Président de la Commission d'études des raisons de cette objection.</w:t>
      </w:r>
    </w:p>
    <w:p w:rsidR="008018B7" w:rsidRPr="00CC4260" w:rsidRDefault="008018B7" w:rsidP="0097272A">
      <w:pPr>
        <w:rPr>
          <w:lang w:val="fr-CH"/>
        </w:rPr>
      </w:pPr>
      <w:r w:rsidRPr="00CC4260">
        <w:rPr>
          <w:lang w:val="fr-CH"/>
        </w:rPr>
        <w:t xml:space="preserve">Après la date limite mentionnée ci-dessus, les résultats de la procédure PAAS seront communiqués dans une Circulaire administrative (CACE) et </w:t>
      </w:r>
      <w:r w:rsidR="0097272A">
        <w:rPr>
          <w:lang w:val="fr-CH"/>
        </w:rPr>
        <w:t>les Recommandation</w:t>
      </w:r>
      <w:r w:rsidRPr="00CC4260">
        <w:rPr>
          <w:lang w:val="fr-CH"/>
        </w:rPr>
        <w:t>s</w:t>
      </w:r>
      <w:r w:rsidR="0097272A">
        <w:rPr>
          <w:lang w:val="fr-CH"/>
        </w:rPr>
        <w:t xml:space="preserve"> approuvée</w:t>
      </w:r>
      <w:r w:rsidRPr="00CC4260">
        <w:rPr>
          <w:lang w:val="fr-CH"/>
        </w:rPr>
        <w:t xml:space="preserve">s </w:t>
      </w:r>
      <w:r w:rsidR="0097272A">
        <w:rPr>
          <w:lang w:val="fr-CH"/>
        </w:rPr>
        <w:t>seront publiée</w:t>
      </w:r>
      <w:r w:rsidRPr="00CC4260">
        <w:rPr>
          <w:lang w:val="fr-CH"/>
        </w:rPr>
        <w:t xml:space="preserve">s dans les meilleurs délais (voir </w:t>
      </w:r>
      <w:hyperlink r:id="rId8" w:history="1">
        <w:r w:rsidRPr="00CC4260">
          <w:rPr>
            <w:rStyle w:val="Hyperlink"/>
            <w:lang w:val="fr-CH"/>
          </w:rPr>
          <w:t>http://www.itu.int/pub/R-REC</w:t>
        </w:r>
      </w:hyperlink>
      <w:r w:rsidRPr="00CC4260">
        <w:rPr>
          <w:lang w:val="fr-CH"/>
        </w:rPr>
        <w:t>).</w:t>
      </w:r>
    </w:p>
    <w:p w:rsidR="00FF3F57" w:rsidRPr="00FF3F57" w:rsidRDefault="008018B7" w:rsidP="00FF3F57">
      <w:pPr>
        <w:keepNext/>
        <w:keepLines/>
        <w:rPr>
          <w:szCs w:val="24"/>
          <w:lang w:val="fr-CH"/>
        </w:rPr>
      </w:pPr>
      <w:r w:rsidRPr="00CC4260">
        <w:rPr>
          <w:lang w:val="fr-CH"/>
        </w:rPr>
        <w:lastRenderedPageBreak/>
        <w:t xml:space="preserve">Toute organisation membre de l'UIT ayant connaissance d'un brevet détenu en son sein ou </w:t>
      </w:r>
      <w:r w:rsidR="0067729A">
        <w:rPr>
          <w:lang w:val="fr-CH"/>
        </w:rPr>
        <w:br/>
      </w:r>
      <w:r w:rsidRPr="00CC4260">
        <w:rPr>
          <w:lang w:val="fr-CH"/>
        </w:rPr>
        <w:t>par</w:t>
      </w:r>
      <w:r w:rsidR="004256F2" w:rsidRPr="00CC4260">
        <w:rPr>
          <w:lang w:val="fr-CH"/>
        </w:rPr>
        <w:t xml:space="preserve"> </w:t>
      </w:r>
      <w:r w:rsidRPr="00CC4260">
        <w:rPr>
          <w:lang w:val="fr-CH"/>
        </w:rPr>
        <w:t>d'autres organismes, et susceptible de se rapporter complètement ou en partie à des éléments</w:t>
      </w:r>
      <w:r w:rsidR="004256F2" w:rsidRPr="00CC4260">
        <w:rPr>
          <w:lang w:val="fr-CH"/>
        </w:rPr>
        <w:t xml:space="preserve"> </w:t>
      </w:r>
      <w:r w:rsidRPr="00CC4260">
        <w:rPr>
          <w:lang w:val="fr-CH"/>
        </w:rPr>
        <w:t xml:space="preserve">d'un ou des projets de Recommandation mentionnés dans la présente lettre, est </w:t>
      </w:r>
      <w:r w:rsidR="0067729A">
        <w:rPr>
          <w:lang w:val="fr-CH"/>
        </w:rPr>
        <w:br/>
      </w:r>
      <w:r w:rsidRPr="00CC4260">
        <w:rPr>
          <w:lang w:val="fr-CH"/>
        </w:rPr>
        <w:t>priée de</w:t>
      </w:r>
      <w:r w:rsidR="004256F2" w:rsidRPr="00CC4260">
        <w:rPr>
          <w:lang w:val="fr-CH"/>
        </w:rPr>
        <w:t xml:space="preserve"> </w:t>
      </w:r>
      <w:r w:rsidRPr="00CC4260">
        <w:rPr>
          <w:lang w:val="fr-CH"/>
        </w:rPr>
        <w:t>transmettre lesdites informations au Secrétariat dans les meilleurs délais. La politique commune</w:t>
      </w:r>
      <w:r w:rsidR="004256F2" w:rsidRPr="00CC4260">
        <w:rPr>
          <w:lang w:val="fr-CH"/>
        </w:rPr>
        <w:t xml:space="preserve"> </w:t>
      </w:r>
      <w:r w:rsidRPr="00CC4260">
        <w:rPr>
          <w:lang w:val="fr-CH"/>
        </w:rPr>
        <w:t>en</w:t>
      </w:r>
      <w:r w:rsidR="004256F2" w:rsidRPr="00CC4260">
        <w:rPr>
          <w:lang w:val="fr-CH"/>
        </w:rPr>
        <w:t xml:space="preserve"> </w:t>
      </w:r>
      <w:r w:rsidRPr="00CC4260">
        <w:rPr>
          <w:lang w:val="fr-CH"/>
        </w:rPr>
        <w:t>matière de brevets de l'UIT</w:t>
      </w:r>
      <w:r w:rsidRPr="00CC4260">
        <w:rPr>
          <w:lang w:val="fr-CH"/>
        </w:rPr>
        <w:noBreakHyphen/>
        <w:t>T/UIT</w:t>
      </w:r>
      <w:r w:rsidRPr="00CC4260">
        <w:rPr>
          <w:lang w:val="fr-CH"/>
        </w:rPr>
        <w:noBreakHyphen/>
        <w:t>R/ISO/CEI est disponible à l'adresse:</w:t>
      </w:r>
      <w:r w:rsidRPr="00CC4260">
        <w:rPr>
          <w:lang w:val="fr-CH"/>
        </w:rPr>
        <w:br/>
      </w:r>
      <w:r w:rsidR="00FF3F57" w:rsidRPr="00FF3F57">
        <w:rPr>
          <w:rStyle w:val="Hyperlink"/>
          <w:szCs w:val="24"/>
          <w:lang w:val="fr-CH"/>
        </w:rPr>
        <w:t xml:space="preserve"> </w:t>
      </w:r>
      <w:hyperlink r:id="rId9" w:history="1">
        <w:r w:rsidR="00FF3F57" w:rsidRPr="00FF3F57">
          <w:rPr>
            <w:rStyle w:val="Hyperlink"/>
            <w:szCs w:val="24"/>
            <w:lang w:val="fr-CH"/>
          </w:rPr>
          <w:t>http://www.itu.int/en/ITU-T/ipr/Pages/policy.aspx</w:t>
        </w:r>
      </w:hyperlink>
      <w:r w:rsidR="00FF3F57" w:rsidRPr="00FF3F57">
        <w:rPr>
          <w:rStyle w:val="Hyperlink"/>
          <w:szCs w:val="24"/>
          <w:lang w:val="fr-CH"/>
        </w:rPr>
        <w:t>.</w:t>
      </w:r>
    </w:p>
    <w:p w:rsidR="008018B7" w:rsidRPr="00CC4260" w:rsidRDefault="008018B7" w:rsidP="0066286A">
      <w:pPr>
        <w:keepNext/>
        <w:keepLines/>
        <w:rPr>
          <w:lang w:val="fr-CH"/>
        </w:rPr>
      </w:pPr>
    </w:p>
    <w:p w:rsidR="008018B7" w:rsidRPr="00CC4260" w:rsidRDefault="008018B7" w:rsidP="003A13CD">
      <w:pPr>
        <w:spacing w:before="320"/>
        <w:rPr>
          <w:lang w:val="fr-CH"/>
        </w:rPr>
      </w:pPr>
    </w:p>
    <w:p w:rsidR="00EE1A57" w:rsidRPr="00CC4260" w:rsidRDefault="003A13CD" w:rsidP="003A13CD">
      <w:pPr>
        <w:jc w:val="left"/>
        <w:rPr>
          <w:rFonts w:asciiTheme="minorHAnsi" w:hAnsiTheme="minorHAnsi" w:cstheme="minorHAnsi"/>
          <w:szCs w:val="24"/>
          <w:lang w:val="fr-CH"/>
        </w:rPr>
      </w:pPr>
      <w:r w:rsidRPr="00CC4260">
        <w:rPr>
          <w:rFonts w:asciiTheme="minorHAnsi" w:hAnsiTheme="minorHAnsi"/>
          <w:lang w:val="fr-CH"/>
        </w:rPr>
        <w:t>François Rancy</w:t>
      </w:r>
      <w:r w:rsidRPr="00CC4260">
        <w:rPr>
          <w:rFonts w:asciiTheme="minorHAnsi" w:hAnsiTheme="minorHAnsi"/>
          <w:lang w:val="fr-CH"/>
        </w:rPr>
        <w:br/>
        <w:t>Directeur</w:t>
      </w:r>
    </w:p>
    <w:p w:rsidR="004256F2" w:rsidRPr="00CC4260" w:rsidRDefault="004256F2" w:rsidP="00A5783A">
      <w:pPr>
        <w:spacing w:before="2040"/>
        <w:rPr>
          <w:bCs/>
          <w:lang w:val="fr-CH"/>
        </w:rPr>
      </w:pPr>
      <w:r w:rsidRPr="00CC4260">
        <w:rPr>
          <w:b/>
          <w:bCs/>
          <w:lang w:val="fr-CH"/>
        </w:rPr>
        <w:t>Annexe 1:</w:t>
      </w:r>
      <w:r w:rsidR="0066286A" w:rsidRPr="00CC4260">
        <w:rPr>
          <w:b/>
          <w:bCs/>
          <w:lang w:val="fr-CH"/>
        </w:rPr>
        <w:tab/>
      </w:r>
      <w:r w:rsidRPr="00CC4260">
        <w:rPr>
          <w:b/>
          <w:bCs/>
          <w:lang w:val="fr-CH"/>
        </w:rPr>
        <w:tab/>
      </w:r>
      <w:r w:rsidR="00A5783A">
        <w:rPr>
          <w:bCs/>
          <w:lang w:val="fr-CH"/>
        </w:rPr>
        <w:t>Titre</w:t>
      </w:r>
      <w:r w:rsidRPr="00CC4260">
        <w:rPr>
          <w:bCs/>
          <w:lang w:val="fr-CH"/>
        </w:rPr>
        <w:t>s</w:t>
      </w:r>
      <w:r w:rsidR="00A5783A">
        <w:rPr>
          <w:bCs/>
          <w:lang w:val="fr-CH"/>
        </w:rPr>
        <w:t xml:space="preserve"> et résumé</w:t>
      </w:r>
      <w:r w:rsidRPr="00CC4260">
        <w:rPr>
          <w:bCs/>
          <w:lang w:val="fr-CH"/>
        </w:rPr>
        <w:t xml:space="preserve">s </w:t>
      </w:r>
      <w:r w:rsidR="00A5783A">
        <w:rPr>
          <w:bCs/>
          <w:lang w:val="fr-CH"/>
        </w:rPr>
        <w:t>des projet</w:t>
      </w:r>
      <w:r w:rsidRPr="00CC4260">
        <w:rPr>
          <w:bCs/>
          <w:lang w:val="fr-CH"/>
        </w:rPr>
        <w:t>s de Recommandation</w:t>
      </w:r>
    </w:p>
    <w:p w:rsidR="004256F2" w:rsidRPr="00CC4260" w:rsidRDefault="004256F2" w:rsidP="00A5783A">
      <w:pPr>
        <w:rPr>
          <w:bCs/>
          <w:lang w:val="fr-CH"/>
        </w:rPr>
      </w:pPr>
      <w:r w:rsidRPr="00CC4260">
        <w:rPr>
          <w:b/>
          <w:bCs/>
          <w:lang w:val="fr-CH"/>
        </w:rPr>
        <w:t>Annexe 2:</w:t>
      </w:r>
      <w:r w:rsidR="0066286A" w:rsidRPr="00CC4260">
        <w:rPr>
          <w:b/>
          <w:bCs/>
          <w:lang w:val="fr-CH"/>
        </w:rPr>
        <w:tab/>
      </w:r>
      <w:r w:rsidRPr="00CC4260">
        <w:rPr>
          <w:b/>
          <w:bCs/>
          <w:lang w:val="fr-CH"/>
        </w:rPr>
        <w:tab/>
      </w:r>
      <w:r w:rsidR="00A5783A">
        <w:rPr>
          <w:bCs/>
          <w:lang w:val="fr-CH"/>
        </w:rPr>
        <w:t>Recommandation</w:t>
      </w:r>
      <w:r w:rsidRPr="00CC4260">
        <w:rPr>
          <w:bCs/>
          <w:lang w:val="fr-CH"/>
        </w:rPr>
        <w:t>s dont la suppression est proposée</w:t>
      </w:r>
    </w:p>
    <w:p w:rsidR="004256F2" w:rsidRPr="00A5783A" w:rsidRDefault="004256F2" w:rsidP="004323E9">
      <w:pPr>
        <w:tabs>
          <w:tab w:val="clear" w:pos="1191"/>
        </w:tabs>
        <w:spacing w:line="240" w:lineRule="auto"/>
        <w:ind w:left="1560" w:hanging="1560"/>
        <w:rPr>
          <w:lang w:val="fr-CH"/>
        </w:rPr>
      </w:pPr>
      <w:r w:rsidRPr="00A5783A">
        <w:rPr>
          <w:b/>
          <w:bCs/>
          <w:lang w:val="fr-CH"/>
        </w:rPr>
        <w:t>Documents:</w:t>
      </w:r>
      <w:r w:rsidRPr="00A5783A">
        <w:rPr>
          <w:b/>
          <w:bCs/>
          <w:lang w:val="fr-CH"/>
        </w:rPr>
        <w:tab/>
      </w:r>
      <w:r w:rsidR="00A5783A" w:rsidRPr="00A5783A">
        <w:rPr>
          <w:szCs w:val="24"/>
          <w:lang w:val="fr-CH"/>
        </w:rPr>
        <w:t>Documents 6/282(R</w:t>
      </w:r>
      <w:r w:rsidR="00A5783A" w:rsidRPr="00A5783A">
        <w:rPr>
          <w:lang w:val="fr-CH"/>
        </w:rPr>
        <w:t>é</w:t>
      </w:r>
      <w:r w:rsidR="00A5783A" w:rsidRPr="00A5783A">
        <w:rPr>
          <w:szCs w:val="24"/>
          <w:lang w:val="fr-CH"/>
        </w:rPr>
        <w:t>v.1), 6/283(R</w:t>
      </w:r>
      <w:r w:rsidR="00A5783A" w:rsidRPr="00A5783A">
        <w:rPr>
          <w:lang w:val="fr-CH"/>
        </w:rPr>
        <w:t>é</w:t>
      </w:r>
      <w:r w:rsidR="00A5783A" w:rsidRPr="00A5783A">
        <w:rPr>
          <w:szCs w:val="24"/>
          <w:lang w:val="fr-CH"/>
        </w:rPr>
        <w:t>v.1), 6/296(R</w:t>
      </w:r>
      <w:r w:rsidR="00E00E2D" w:rsidRPr="00A5783A">
        <w:rPr>
          <w:lang w:val="fr-CH"/>
        </w:rPr>
        <w:t>é</w:t>
      </w:r>
      <w:r w:rsidR="00A5783A" w:rsidRPr="00A5783A">
        <w:rPr>
          <w:szCs w:val="24"/>
          <w:lang w:val="fr-CH"/>
        </w:rPr>
        <w:t>v.1), 6/297(R</w:t>
      </w:r>
      <w:r w:rsidR="00E00E2D" w:rsidRPr="00A5783A">
        <w:rPr>
          <w:lang w:val="fr-CH"/>
        </w:rPr>
        <w:t>é</w:t>
      </w:r>
      <w:r w:rsidR="00A5783A" w:rsidRPr="00A5783A">
        <w:rPr>
          <w:szCs w:val="24"/>
          <w:lang w:val="fr-CH"/>
        </w:rPr>
        <w:t>v.1), 6/298(R</w:t>
      </w:r>
      <w:r w:rsidR="00A5783A" w:rsidRPr="00A5783A">
        <w:rPr>
          <w:lang w:val="fr-CH"/>
        </w:rPr>
        <w:t>é</w:t>
      </w:r>
      <w:r w:rsidR="00A5783A" w:rsidRPr="00A5783A">
        <w:rPr>
          <w:szCs w:val="24"/>
          <w:lang w:val="fr-CH"/>
        </w:rPr>
        <w:t>v.1), 6/299(R</w:t>
      </w:r>
      <w:r w:rsidR="00154196" w:rsidRPr="00A5783A">
        <w:rPr>
          <w:lang w:val="fr-CH"/>
        </w:rPr>
        <w:t>é</w:t>
      </w:r>
      <w:r w:rsidR="00A5783A" w:rsidRPr="00A5783A">
        <w:rPr>
          <w:szCs w:val="24"/>
          <w:lang w:val="fr-CH"/>
        </w:rPr>
        <w:t>v.1), 6/300(R</w:t>
      </w:r>
      <w:r w:rsidR="00154196" w:rsidRPr="00A5783A">
        <w:rPr>
          <w:lang w:val="fr-CH"/>
        </w:rPr>
        <w:t>é</w:t>
      </w:r>
      <w:r w:rsidR="00A5783A" w:rsidRPr="00A5783A">
        <w:rPr>
          <w:szCs w:val="24"/>
          <w:lang w:val="fr-CH"/>
        </w:rPr>
        <w:t>v.1), 6/301(R</w:t>
      </w:r>
      <w:r w:rsidR="00154196" w:rsidRPr="00A5783A">
        <w:rPr>
          <w:lang w:val="fr-CH"/>
        </w:rPr>
        <w:t>é</w:t>
      </w:r>
      <w:r w:rsidR="00A5783A" w:rsidRPr="00A5783A">
        <w:rPr>
          <w:szCs w:val="24"/>
          <w:lang w:val="fr-CH"/>
        </w:rPr>
        <w:t>v.1), 6/303(R</w:t>
      </w:r>
      <w:r w:rsidR="00154196" w:rsidRPr="00A5783A">
        <w:rPr>
          <w:lang w:val="fr-CH"/>
        </w:rPr>
        <w:t>é</w:t>
      </w:r>
      <w:r w:rsidR="00A5783A" w:rsidRPr="00A5783A">
        <w:rPr>
          <w:szCs w:val="24"/>
          <w:lang w:val="fr-CH"/>
        </w:rPr>
        <w:t xml:space="preserve">v.1) </w:t>
      </w:r>
      <w:r w:rsidR="00CC109F">
        <w:rPr>
          <w:szCs w:val="24"/>
          <w:lang w:val="fr-CH"/>
        </w:rPr>
        <w:t>et</w:t>
      </w:r>
      <w:r w:rsidR="00A5783A" w:rsidRPr="00A5783A">
        <w:rPr>
          <w:szCs w:val="24"/>
          <w:lang w:val="fr-CH"/>
        </w:rPr>
        <w:t xml:space="preserve"> 6/309(R</w:t>
      </w:r>
      <w:r w:rsidR="00154196" w:rsidRPr="00A5783A">
        <w:rPr>
          <w:lang w:val="fr-CH"/>
        </w:rPr>
        <w:t>é</w:t>
      </w:r>
      <w:r w:rsidR="00A5783A" w:rsidRPr="00A5783A">
        <w:rPr>
          <w:szCs w:val="24"/>
          <w:lang w:val="fr-CH"/>
        </w:rPr>
        <w:t>v.1)</w:t>
      </w:r>
    </w:p>
    <w:p w:rsidR="00A5783A" w:rsidRPr="00CC4260" w:rsidRDefault="00B850E8" w:rsidP="00686C28">
      <w:pPr>
        <w:spacing w:line="240" w:lineRule="auto"/>
        <w:jc w:val="left"/>
        <w:rPr>
          <w:u w:val="single"/>
          <w:lang w:val="fr-CH"/>
        </w:rPr>
      </w:pPr>
      <w:r w:rsidRPr="003A4ECB">
        <w:rPr>
          <w:szCs w:val="24"/>
          <w:lang w:val="fr-CH"/>
        </w:rPr>
        <w:t>Ces documents sont disponibles sous forme électronique à l'adresse</w:t>
      </w:r>
      <w:r>
        <w:rPr>
          <w:szCs w:val="24"/>
          <w:lang w:val="fr-CH"/>
        </w:rPr>
        <w:t>:</w:t>
      </w:r>
      <w:r w:rsidR="00686C28">
        <w:rPr>
          <w:u w:val="single"/>
          <w:lang w:val="fr-CH"/>
        </w:rPr>
        <w:br/>
      </w:r>
      <w:hyperlink r:id="rId10" w:history="1">
        <w:r w:rsidR="00A5783A" w:rsidRPr="00A5783A">
          <w:rPr>
            <w:rStyle w:val="Hyperlink"/>
            <w:szCs w:val="24"/>
            <w:lang w:val="fr-CH"/>
          </w:rPr>
          <w:t>http://www.itu.int/md/R12-SG06-C/en</w:t>
        </w:r>
      </w:hyperlink>
    </w:p>
    <w:p w:rsidR="004256F2" w:rsidRPr="00CC4260" w:rsidRDefault="004256F2" w:rsidP="009C2DA6">
      <w:pPr>
        <w:tabs>
          <w:tab w:val="left" w:pos="284"/>
          <w:tab w:val="left" w:pos="568"/>
        </w:tabs>
        <w:spacing w:before="1200" w:after="120"/>
        <w:rPr>
          <w:b/>
          <w:bCs/>
          <w:sz w:val="18"/>
          <w:szCs w:val="18"/>
          <w:lang w:val="fr-CH"/>
        </w:rPr>
      </w:pPr>
      <w:bookmarkStart w:id="0" w:name="ddistribution"/>
      <w:bookmarkEnd w:id="0"/>
      <w:r w:rsidRPr="00CC4260">
        <w:rPr>
          <w:b/>
          <w:bCs/>
          <w:sz w:val="18"/>
          <w:szCs w:val="18"/>
          <w:lang w:val="fr-CH"/>
        </w:rPr>
        <w:t>Distribution:</w:t>
      </w:r>
    </w:p>
    <w:p w:rsidR="004256F2" w:rsidRPr="00CC4260" w:rsidRDefault="004256F2" w:rsidP="006C003D">
      <w:pPr>
        <w:tabs>
          <w:tab w:val="left" w:pos="284"/>
          <w:tab w:val="left" w:pos="568"/>
        </w:tabs>
        <w:spacing w:before="0" w:after="120" w:line="240" w:lineRule="auto"/>
        <w:jc w:val="left"/>
        <w:rPr>
          <w:sz w:val="18"/>
          <w:szCs w:val="18"/>
          <w:lang w:val="fr-CH"/>
        </w:rPr>
      </w:pPr>
      <w:r w:rsidRPr="00CC4260">
        <w:rPr>
          <w:sz w:val="18"/>
          <w:szCs w:val="18"/>
          <w:lang w:val="fr-CH"/>
        </w:rPr>
        <w:t>–</w:t>
      </w:r>
      <w:r w:rsidRPr="00CC4260">
        <w:rPr>
          <w:sz w:val="18"/>
          <w:szCs w:val="18"/>
          <w:lang w:val="fr-CH"/>
        </w:rPr>
        <w:tab/>
        <w:t xml:space="preserve">Administrations des Etats Membres de l'UIT et Membres du Secteur des radiocommunications participant aux travaux de la </w:t>
      </w:r>
      <w:r w:rsidRPr="00CC4260">
        <w:rPr>
          <w:sz w:val="18"/>
          <w:szCs w:val="18"/>
          <w:lang w:val="fr-CH"/>
        </w:rPr>
        <w:tab/>
        <w:t xml:space="preserve">Commission d'études </w:t>
      </w:r>
      <w:r w:rsidR="006C003D">
        <w:rPr>
          <w:sz w:val="18"/>
          <w:szCs w:val="18"/>
          <w:lang w:val="fr-CH"/>
        </w:rPr>
        <w:t>6</w:t>
      </w:r>
      <w:r w:rsidRPr="00CC4260">
        <w:rPr>
          <w:sz w:val="18"/>
          <w:szCs w:val="18"/>
          <w:lang w:val="fr-CH"/>
        </w:rPr>
        <w:t xml:space="preserve"> des radiocommunications</w:t>
      </w:r>
      <w:r w:rsidRPr="00CC4260">
        <w:rPr>
          <w:sz w:val="18"/>
          <w:szCs w:val="18"/>
          <w:lang w:val="fr-CH"/>
        </w:rPr>
        <w:br/>
        <w:t>–</w:t>
      </w:r>
      <w:r w:rsidRPr="00CC4260">
        <w:rPr>
          <w:sz w:val="18"/>
          <w:szCs w:val="18"/>
          <w:lang w:val="fr-CH"/>
        </w:rPr>
        <w:tab/>
        <w:t xml:space="preserve">Associés de l'UIT-R participant aux travaux de la Commission d'études </w:t>
      </w:r>
      <w:r w:rsidR="006C003D">
        <w:rPr>
          <w:sz w:val="18"/>
          <w:szCs w:val="18"/>
          <w:lang w:val="fr-CH"/>
        </w:rPr>
        <w:t>6</w:t>
      </w:r>
      <w:r w:rsidRPr="00CC4260">
        <w:rPr>
          <w:sz w:val="18"/>
          <w:szCs w:val="18"/>
          <w:lang w:val="fr-CH"/>
        </w:rPr>
        <w:t xml:space="preserve"> des radiocommunications</w:t>
      </w:r>
      <w:r w:rsidRPr="00CC4260">
        <w:rPr>
          <w:sz w:val="18"/>
          <w:szCs w:val="18"/>
          <w:lang w:val="fr-CH"/>
        </w:rPr>
        <w:br/>
        <w:t>–</w:t>
      </w:r>
      <w:r w:rsidRPr="00CC4260">
        <w:rPr>
          <w:sz w:val="18"/>
          <w:szCs w:val="18"/>
          <w:lang w:val="fr-CH"/>
        </w:rPr>
        <w:tab/>
        <w:t>Présidents et Vice</w:t>
      </w:r>
      <w:r w:rsidRPr="00CC4260">
        <w:rPr>
          <w:sz w:val="18"/>
          <w:szCs w:val="18"/>
          <w:lang w:val="fr-CH"/>
        </w:rPr>
        <w:noBreakHyphen/>
        <w:t xml:space="preserve">Présidents des Commissions d'études des radiocommunications et de la Commission spéciale chargée </w:t>
      </w:r>
      <w:r w:rsidRPr="00CC4260">
        <w:rPr>
          <w:sz w:val="18"/>
          <w:szCs w:val="18"/>
          <w:lang w:val="fr-CH"/>
        </w:rPr>
        <w:tab/>
        <w:t>d'examiner les questions réglementaires et de procédure</w:t>
      </w:r>
      <w:r w:rsidRPr="00CC4260">
        <w:rPr>
          <w:sz w:val="18"/>
          <w:szCs w:val="18"/>
          <w:lang w:val="fr-CH"/>
        </w:rPr>
        <w:br/>
        <w:t>–</w:t>
      </w:r>
      <w:r w:rsidRPr="00CC4260">
        <w:rPr>
          <w:sz w:val="18"/>
          <w:szCs w:val="18"/>
          <w:lang w:val="fr-CH"/>
        </w:rPr>
        <w:tab/>
        <w:t>Président et Vice</w:t>
      </w:r>
      <w:r w:rsidRPr="00CC4260">
        <w:rPr>
          <w:sz w:val="18"/>
          <w:szCs w:val="18"/>
          <w:lang w:val="fr-CH"/>
        </w:rPr>
        <w:noBreakHyphen/>
        <w:t>Présidents de la Réunion de préparation à la Conférence</w:t>
      </w:r>
      <w:r w:rsidRPr="00CC4260">
        <w:rPr>
          <w:sz w:val="18"/>
          <w:szCs w:val="18"/>
          <w:lang w:val="fr-CH"/>
        </w:rPr>
        <w:br/>
        <w:t>–</w:t>
      </w:r>
      <w:r w:rsidRPr="00CC4260">
        <w:rPr>
          <w:sz w:val="18"/>
          <w:szCs w:val="18"/>
          <w:lang w:val="fr-CH"/>
        </w:rPr>
        <w:tab/>
        <w:t>Membres du Comité du Règlement des radiocommunications</w:t>
      </w:r>
      <w:r w:rsidRPr="00CC4260">
        <w:rPr>
          <w:sz w:val="18"/>
          <w:szCs w:val="18"/>
          <w:lang w:val="fr-CH"/>
        </w:rPr>
        <w:br/>
        <w:t>–</w:t>
      </w:r>
      <w:r w:rsidRPr="00CC4260">
        <w:rPr>
          <w:sz w:val="18"/>
          <w:szCs w:val="18"/>
          <w:lang w:val="fr-CH"/>
        </w:rPr>
        <w:tab/>
        <w:t xml:space="preserve">Secrétaire général de l'UIT, Directeur du Bureau de la normalisation des télécommunications, Directeur du Bureau de </w:t>
      </w:r>
      <w:r w:rsidRPr="00CC4260">
        <w:rPr>
          <w:sz w:val="18"/>
          <w:szCs w:val="18"/>
          <w:lang w:val="fr-CH"/>
        </w:rPr>
        <w:tab/>
        <w:t>développement des télécommunications</w:t>
      </w:r>
    </w:p>
    <w:p w:rsidR="004256F2" w:rsidRPr="00CC4260" w:rsidRDefault="004256F2" w:rsidP="003A13CD">
      <w:pPr>
        <w:tabs>
          <w:tab w:val="left" w:pos="851"/>
          <w:tab w:val="left" w:pos="1134"/>
          <w:tab w:val="left" w:pos="1418"/>
          <w:tab w:val="center" w:pos="7939"/>
          <w:tab w:val="right" w:pos="8505"/>
        </w:tabs>
        <w:spacing w:before="600"/>
        <w:ind w:left="1140" w:hanging="1140"/>
        <w:rPr>
          <w:b/>
          <w:lang w:val="fr-CH"/>
        </w:rPr>
      </w:pPr>
    </w:p>
    <w:p w:rsidR="003A13CD" w:rsidRPr="00CC4260" w:rsidRDefault="003A13C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szCs w:val="24"/>
          <w:lang w:val="fr-CH"/>
        </w:rPr>
      </w:pPr>
      <w:r w:rsidRPr="00CC4260">
        <w:rPr>
          <w:rFonts w:asciiTheme="minorHAnsi" w:hAnsiTheme="minorHAnsi" w:cstheme="minorHAnsi"/>
          <w:szCs w:val="24"/>
          <w:lang w:val="fr-CH"/>
        </w:rPr>
        <w:br w:type="page"/>
      </w:r>
    </w:p>
    <w:p w:rsidR="007C4B77" w:rsidRPr="000C6590" w:rsidRDefault="007C4B77" w:rsidP="007C4B77">
      <w:pPr>
        <w:pStyle w:val="AnnexNotitle0"/>
        <w:spacing w:before="360"/>
        <w:rPr>
          <w:rFonts w:asciiTheme="minorHAnsi" w:hAnsiTheme="minorHAnsi" w:cstheme="minorHAnsi"/>
          <w:szCs w:val="28"/>
          <w:lang w:val="fr-CH"/>
        </w:rPr>
      </w:pPr>
      <w:r w:rsidRPr="000C6590">
        <w:rPr>
          <w:rFonts w:asciiTheme="minorHAnsi" w:hAnsiTheme="minorHAnsi" w:cstheme="minorHAnsi"/>
          <w:szCs w:val="28"/>
          <w:lang w:val="fr-CH"/>
        </w:rPr>
        <w:lastRenderedPageBreak/>
        <w:t>Annex</w:t>
      </w:r>
      <w:r>
        <w:rPr>
          <w:rFonts w:asciiTheme="minorHAnsi" w:hAnsiTheme="minorHAnsi" w:cstheme="minorHAnsi"/>
          <w:szCs w:val="28"/>
          <w:lang w:val="fr-CH"/>
        </w:rPr>
        <w:t>e</w:t>
      </w:r>
      <w:r w:rsidRPr="000C6590">
        <w:rPr>
          <w:rFonts w:asciiTheme="minorHAnsi" w:hAnsiTheme="minorHAnsi" w:cstheme="minorHAnsi"/>
          <w:szCs w:val="28"/>
          <w:lang w:val="fr-CH"/>
        </w:rPr>
        <w:t xml:space="preserve"> 1</w:t>
      </w:r>
      <w:r>
        <w:rPr>
          <w:rFonts w:asciiTheme="minorHAnsi" w:hAnsiTheme="minorHAnsi" w:cstheme="minorHAnsi"/>
          <w:szCs w:val="28"/>
          <w:lang w:val="fr-CH"/>
        </w:rPr>
        <w:br/>
      </w:r>
      <w:r>
        <w:rPr>
          <w:rFonts w:asciiTheme="minorHAnsi" w:hAnsiTheme="minorHAnsi" w:cstheme="minorHAnsi"/>
          <w:szCs w:val="28"/>
          <w:lang w:val="fr-CH"/>
        </w:rPr>
        <w:br/>
      </w:r>
      <w:r w:rsidRPr="000C6590">
        <w:rPr>
          <w:rFonts w:asciiTheme="minorHAnsi" w:hAnsiTheme="minorHAnsi" w:cstheme="minorHAnsi"/>
          <w:szCs w:val="28"/>
          <w:lang w:val="fr-CH"/>
        </w:rPr>
        <w:t>Tit</w:t>
      </w:r>
      <w:r>
        <w:rPr>
          <w:rFonts w:asciiTheme="minorHAnsi" w:hAnsiTheme="minorHAnsi" w:cstheme="minorHAnsi"/>
          <w:szCs w:val="28"/>
          <w:lang w:val="fr-CH"/>
        </w:rPr>
        <w:t>r</w:t>
      </w:r>
      <w:r w:rsidRPr="000C6590">
        <w:rPr>
          <w:rFonts w:asciiTheme="minorHAnsi" w:hAnsiTheme="minorHAnsi" w:cstheme="minorHAnsi"/>
          <w:szCs w:val="28"/>
          <w:lang w:val="fr-CH"/>
        </w:rPr>
        <w:t xml:space="preserve">es </w:t>
      </w:r>
      <w:r>
        <w:rPr>
          <w:rFonts w:asciiTheme="minorHAnsi" w:hAnsiTheme="minorHAnsi" w:cstheme="minorHAnsi"/>
          <w:szCs w:val="28"/>
          <w:lang w:val="fr-CH"/>
        </w:rPr>
        <w:t xml:space="preserve">et résumés des projets de </w:t>
      </w:r>
      <w:r w:rsidRPr="000C6590">
        <w:rPr>
          <w:rFonts w:asciiTheme="minorHAnsi" w:hAnsiTheme="minorHAnsi" w:cstheme="minorHAnsi"/>
          <w:szCs w:val="28"/>
          <w:lang w:val="fr-CH"/>
        </w:rPr>
        <w:t>Recomm</w:t>
      </w:r>
      <w:r>
        <w:rPr>
          <w:rFonts w:asciiTheme="minorHAnsi" w:hAnsiTheme="minorHAnsi" w:cstheme="minorHAnsi"/>
          <w:szCs w:val="28"/>
          <w:lang w:val="fr-CH"/>
        </w:rPr>
        <w:t>andation</w:t>
      </w:r>
    </w:p>
    <w:p w:rsidR="007C4B77" w:rsidRPr="000C6590" w:rsidRDefault="007C4B77" w:rsidP="007C4B77">
      <w:pPr>
        <w:tabs>
          <w:tab w:val="right" w:pos="9639"/>
        </w:tabs>
        <w:spacing w:before="360" w:line="240" w:lineRule="auto"/>
        <w:rPr>
          <w:rFonts w:asciiTheme="minorHAnsi" w:hAnsiTheme="minorHAnsi" w:cstheme="minorHAnsi"/>
          <w:szCs w:val="24"/>
          <w:lang w:val="fr-CH"/>
        </w:rPr>
      </w:pPr>
      <w:r>
        <w:rPr>
          <w:rFonts w:asciiTheme="minorHAnsi" w:hAnsiTheme="minorHAnsi" w:cstheme="minorHAnsi"/>
          <w:szCs w:val="24"/>
          <w:u w:val="single"/>
          <w:lang w:val="fr-CH"/>
        </w:rPr>
        <w:t>Projet de nouvelle Recommandation UIT</w:t>
      </w:r>
      <w:r w:rsidRPr="000C6590">
        <w:rPr>
          <w:rFonts w:asciiTheme="minorHAnsi" w:hAnsiTheme="minorHAnsi" w:cstheme="minorHAnsi"/>
          <w:szCs w:val="24"/>
          <w:u w:val="single"/>
          <w:lang w:val="fr-CH"/>
        </w:rPr>
        <w:t xml:space="preserve">-R </w:t>
      </w:r>
      <w:r w:rsidRPr="000C6590">
        <w:rPr>
          <w:szCs w:val="24"/>
          <w:u w:val="single"/>
          <w:lang w:val="fr-CH"/>
        </w:rPr>
        <w:t>BT.[R-WBR]</w:t>
      </w:r>
      <w:r w:rsidRPr="000C6590">
        <w:rPr>
          <w:rFonts w:asciiTheme="minorHAnsi" w:hAnsiTheme="minorHAnsi" w:cstheme="minorHAnsi"/>
          <w:szCs w:val="24"/>
          <w:lang w:val="fr-CH"/>
        </w:rPr>
        <w:tab/>
        <w:t>Doc. 6/297</w:t>
      </w:r>
      <w:r>
        <w:rPr>
          <w:rFonts w:asciiTheme="minorHAnsi" w:hAnsiTheme="minorHAnsi" w:cstheme="minorHAnsi"/>
          <w:szCs w:val="24"/>
          <w:lang w:val="fr-CH"/>
        </w:rPr>
        <w:t>(Rév.1)</w:t>
      </w:r>
    </w:p>
    <w:p w:rsidR="007C4B77" w:rsidRPr="000C6590" w:rsidRDefault="007C4B77" w:rsidP="00645528">
      <w:pPr>
        <w:pStyle w:val="Rectitle"/>
        <w:spacing w:before="240"/>
        <w:rPr>
          <w:lang w:val="fr-CH" w:eastAsia="zh-CN"/>
        </w:rPr>
      </w:pPr>
      <w:r w:rsidRPr="000C6590">
        <w:rPr>
          <w:lang w:val="fr-CH" w:eastAsia="zh-CN"/>
        </w:rPr>
        <w:t xml:space="preserve">Principales fonctionnalités des récepteurs grand public </w:t>
      </w:r>
      <w:r>
        <w:rPr>
          <w:lang w:val="fr-CH" w:eastAsia="zh-CN"/>
        </w:rPr>
        <w:br/>
      </w:r>
      <w:r w:rsidRPr="000C6590">
        <w:rPr>
          <w:lang w:val="fr-CH" w:eastAsia="zh-CN"/>
        </w:rPr>
        <w:t>pour l'itinérance mondiale pour la radiodiffusion</w:t>
      </w:r>
    </w:p>
    <w:p w:rsidR="007C4B77" w:rsidRPr="000C6590" w:rsidRDefault="007C4B77" w:rsidP="007C4B77">
      <w:pPr>
        <w:pStyle w:val="Summary"/>
        <w:spacing w:before="240"/>
        <w:jc w:val="left"/>
        <w:rPr>
          <w:rFonts w:asciiTheme="minorHAnsi" w:hAnsiTheme="minorHAnsi"/>
          <w:szCs w:val="24"/>
          <w:lang w:val="fr-CH" w:eastAsia="ja-JP"/>
        </w:rPr>
      </w:pPr>
      <w:r>
        <w:rPr>
          <w:rFonts w:asciiTheme="minorHAnsi" w:hAnsiTheme="minorHAnsi"/>
          <w:szCs w:val="24"/>
          <w:lang w:val="fr-CH"/>
        </w:rPr>
        <w:t xml:space="preserve">Cette </w:t>
      </w:r>
      <w:r w:rsidRPr="000C6590">
        <w:rPr>
          <w:rFonts w:asciiTheme="minorHAnsi" w:hAnsiTheme="minorHAnsi"/>
          <w:szCs w:val="24"/>
          <w:lang w:val="fr-CH" w:eastAsia="ja-JP"/>
        </w:rPr>
        <w:t>Recomm</w:t>
      </w:r>
      <w:r>
        <w:rPr>
          <w:rFonts w:asciiTheme="minorHAnsi" w:hAnsiTheme="minorHAnsi"/>
          <w:szCs w:val="24"/>
          <w:lang w:val="fr-CH" w:eastAsia="ja-JP"/>
        </w:rPr>
        <w:t>a</w:t>
      </w:r>
      <w:r w:rsidRPr="000C6590">
        <w:rPr>
          <w:rFonts w:asciiTheme="minorHAnsi" w:hAnsiTheme="minorHAnsi"/>
          <w:szCs w:val="24"/>
          <w:lang w:val="fr-CH" w:eastAsia="ja-JP"/>
        </w:rPr>
        <w:t xml:space="preserve">ndation </w:t>
      </w:r>
      <w:r>
        <w:rPr>
          <w:rFonts w:asciiTheme="minorHAnsi" w:hAnsiTheme="minorHAnsi"/>
          <w:szCs w:val="24"/>
          <w:lang w:val="fr-CH" w:eastAsia="ja-JP"/>
        </w:rPr>
        <w:t xml:space="preserve">définit les principales fonctionnalités </w:t>
      </w:r>
      <w:r w:rsidRPr="003B16A7">
        <w:rPr>
          <w:rFonts w:asciiTheme="minorHAnsi" w:hAnsiTheme="minorHAnsi"/>
          <w:szCs w:val="24"/>
          <w:lang w:val="fr-CH" w:eastAsia="ja-JP"/>
        </w:rPr>
        <w:t>des récepteurs grand public pour l'itinérance mondiale pour la radiodiffusion</w:t>
      </w:r>
      <w:r w:rsidRPr="000C6590">
        <w:rPr>
          <w:rFonts w:asciiTheme="minorHAnsi" w:hAnsiTheme="minorHAnsi"/>
          <w:szCs w:val="24"/>
          <w:lang w:val="fr-CH" w:eastAsia="ja-JP"/>
        </w:rPr>
        <w:t xml:space="preserve">. </w:t>
      </w:r>
      <w:r>
        <w:rPr>
          <w:rFonts w:asciiTheme="minorHAnsi" w:hAnsiTheme="minorHAnsi"/>
          <w:szCs w:val="24"/>
          <w:lang w:val="fr-CH" w:eastAsia="ja-JP"/>
        </w:rPr>
        <w:t xml:space="preserve">Il convient de tenir compte de la liste des fonctionnalités figurant dans la </w:t>
      </w:r>
      <w:r w:rsidRPr="000C6590">
        <w:rPr>
          <w:rFonts w:asciiTheme="minorHAnsi" w:hAnsiTheme="minorHAnsi"/>
          <w:szCs w:val="24"/>
          <w:lang w:val="fr-CH" w:eastAsia="ja-JP"/>
        </w:rPr>
        <w:t>Recomm</w:t>
      </w:r>
      <w:r>
        <w:rPr>
          <w:rFonts w:asciiTheme="minorHAnsi" w:hAnsiTheme="minorHAnsi"/>
          <w:szCs w:val="24"/>
          <w:lang w:val="fr-CH" w:eastAsia="ja-JP"/>
        </w:rPr>
        <w:t>a</w:t>
      </w:r>
      <w:r w:rsidRPr="000C6590">
        <w:rPr>
          <w:rFonts w:asciiTheme="minorHAnsi" w:hAnsiTheme="minorHAnsi"/>
          <w:szCs w:val="24"/>
          <w:lang w:val="fr-CH" w:eastAsia="ja-JP"/>
        </w:rPr>
        <w:t xml:space="preserve">ndation </w:t>
      </w:r>
      <w:r>
        <w:rPr>
          <w:rFonts w:asciiTheme="minorHAnsi" w:hAnsiTheme="minorHAnsi"/>
          <w:szCs w:val="24"/>
          <w:lang w:val="fr-CH" w:eastAsia="ja-JP"/>
        </w:rPr>
        <w:t xml:space="preserve">pour la mise au point et la </w:t>
      </w:r>
      <w:r w:rsidRPr="000C6590">
        <w:rPr>
          <w:rFonts w:asciiTheme="minorHAnsi" w:hAnsiTheme="minorHAnsi"/>
          <w:szCs w:val="24"/>
          <w:lang w:val="fr-CH" w:eastAsia="ja-JP"/>
        </w:rPr>
        <w:t xml:space="preserve">production </w:t>
      </w:r>
      <w:r>
        <w:rPr>
          <w:rFonts w:asciiTheme="minorHAnsi" w:hAnsiTheme="minorHAnsi"/>
          <w:szCs w:val="24"/>
          <w:lang w:val="fr-CH" w:eastAsia="ja-JP"/>
        </w:rPr>
        <w:t xml:space="preserve">des futurs récepteurs grand public </w:t>
      </w:r>
      <w:r w:rsidRPr="000C6590">
        <w:rPr>
          <w:rFonts w:asciiTheme="minorHAnsi" w:hAnsiTheme="minorHAnsi"/>
          <w:szCs w:val="24"/>
          <w:lang w:val="fr-CH" w:eastAsia="ja-JP"/>
        </w:rPr>
        <w:t>modern</w:t>
      </w:r>
      <w:r>
        <w:rPr>
          <w:rFonts w:asciiTheme="minorHAnsi" w:hAnsiTheme="minorHAnsi"/>
          <w:szCs w:val="24"/>
          <w:lang w:val="fr-CH" w:eastAsia="ja-JP"/>
        </w:rPr>
        <w:t>es</w:t>
      </w:r>
      <w:r w:rsidRPr="000C6590">
        <w:rPr>
          <w:rFonts w:asciiTheme="minorHAnsi" w:hAnsiTheme="minorHAnsi"/>
          <w:szCs w:val="24"/>
          <w:lang w:val="fr-CH" w:eastAsia="ja-JP"/>
        </w:rPr>
        <w:t xml:space="preserve"> </w:t>
      </w:r>
      <w:r>
        <w:rPr>
          <w:rFonts w:asciiTheme="minorHAnsi" w:hAnsiTheme="minorHAnsi"/>
          <w:szCs w:val="24"/>
          <w:lang w:val="fr-CH" w:eastAsia="ja-JP"/>
        </w:rPr>
        <w:t>pour la radiodiffusion télévisuelle</w:t>
      </w:r>
      <w:r w:rsidRPr="000C6590">
        <w:rPr>
          <w:rFonts w:asciiTheme="minorHAnsi" w:hAnsiTheme="minorHAnsi"/>
          <w:szCs w:val="24"/>
          <w:lang w:val="fr-CH" w:eastAsia="ja-JP"/>
        </w:rPr>
        <w:t>, multim</w:t>
      </w:r>
      <w:r>
        <w:rPr>
          <w:rFonts w:asciiTheme="minorHAnsi" w:hAnsiTheme="minorHAnsi"/>
          <w:szCs w:val="24"/>
          <w:lang w:val="fr-CH" w:eastAsia="ja-JP"/>
        </w:rPr>
        <w:t>é</w:t>
      </w:r>
      <w:r w:rsidRPr="000C6590">
        <w:rPr>
          <w:rFonts w:asciiTheme="minorHAnsi" w:hAnsiTheme="minorHAnsi"/>
          <w:szCs w:val="24"/>
          <w:lang w:val="fr-CH" w:eastAsia="ja-JP"/>
        </w:rPr>
        <w:t xml:space="preserve">dia </w:t>
      </w:r>
      <w:r>
        <w:rPr>
          <w:rFonts w:asciiTheme="minorHAnsi" w:hAnsiTheme="minorHAnsi"/>
          <w:szCs w:val="24"/>
          <w:lang w:val="fr-CH" w:eastAsia="ja-JP"/>
        </w:rPr>
        <w:t>et sonore</w:t>
      </w:r>
      <w:r w:rsidRPr="000C6590">
        <w:rPr>
          <w:rFonts w:asciiTheme="minorHAnsi" w:hAnsiTheme="minorHAnsi"/>
          <w:szCs w:val="24"/>
          <w:lang w:val="fr-CH" w:eastAsia="ja-JP"/>
        </w:rPr>
        <w:t>.</w:t>
      </w:r>
    </w:p>
    <w:p w:rsidR="007C4B77" w:rsidRPr="000C6590" w:rsidRDefault="007C4B77" w:rsidP="007C4B77">
      <w:pPr>
        <w:tabs>
          <w:tab w:val="right" w:pos="9639"/>
        </w:tabs>
        <w:spacing w:before="480" w:line="240" w:lineRule="auto"/>
        <w:rPr>
          <w:rFonts w:asciiTheme="minorHAnsi" w:hAnsiTheme="minorHAnsi" w:cstheme="minorHAnsi"/>
          <w:szCs w:val="24"/>
          <w:lang w:val="fr-CH"/>
        </w:rPr>
      </w:pPr>
      <w:r>
        <w:rPr>
          <w:rFonts w:asciiTheme="minorHAnsi" w:hAnsiTheme="minorHAnsi" w:cstheme="minorHAnsi"/>
          <w:szCs w:val="24"/>
          <w:u w:val="single"/>
          <w:lang w:val="fr-CH"/>
        </w:rPr>
        <w:t>Projet de nouvelle Recommandation UIT</w:t>
      </w:r>
      <w:r w:rsidRPr="000C6590">
        <w:rPr>
          <w:rFonts w:asciiTheme="minorHAnsi" w:hAnsiTheme="minorHAnsi" w:cstheme="minorHAnsi"/>
          <w:szCs w:val="24"/>
          <w:u w:val="single"/>
          <w:lang w:val="fr-CH"/>
        </w:rPr>
        <w:t xml:space="preserve">-R </w:t>
      </w:r>
      <w:r w:rsidRPr="000C6590">
        <w:rPr>
          <w:szCs w:val="24"/>
          <w:u w:val="single"/>
          <w:lang w:val="fr-CH" w:eastAsia="zh-CN"/>
        </w:rPr>
        <w:t>BT.[HEVC]</w:t>
      </w:r>
      <w:r w:rsidRPr="000C6590">
        <w:rPr>
          <w:rFonts w:asciiTheme="minorHAnsi" w:hAnsiTheme="minorHAnsi" w:cstheme="minorHAnsi"/>
          <w:szCs w:val="24"/>
          <w:lang w:val="fr-CH"/>
        </w:rPr>
        <w:tab/>
        <w:t>Doc. 6/298</w:t>
      </w:r>
      <w:r>
        <w:rPr>
          <w:rFonts w:asciiTheme="minorHAnsi" w:hAnsiTheme="minorHAnsi" w:cstheme="minorHAnsi"/>
          <w:szCs w:val="24"/>
          <w:lang w:val="fr-CH"/>
        </w:rPr>
        <w:t>(Rév.1)</w:t>
      </w:r>
    </w:p>
    <w:p w:rsidR="007C4B77" w:rsidRPr="000C6590" w:rsidRDefault="007C4B77" w:rsidP="00645528">
      <w:pPr>
        <w:pStyle w:val="Rectitle"/>
        <w:spacing w:before="240"/>
        <w:rPr>
          <w:rFonts w:asciiTheme="minorHAnsi" w:hAnsiTheme="minorHAnsi" w:cstheme="minorHAnsi"/>
          <w:lang w:val="fr-CH"/>
        </w:rPr>
      </w:pPr>
      <w:r>
        <w:rPr>
          <w:lang w:val="fr-CH" w:eastAsia="zh-CN"/>
        </w:rPr>
        <w:t xml:space="preserve">Utilisation de la norme de codage vidéo à grande efficacité </w:t>
      </w:r>
      <w:r>
        <w:rPr>
          <w:lang w:val="fr-CH" w:eastAsia="zh-CN"/>
        </w:rPr>
        <w:br/>
        <w:t xml:space="preserve">pour la radiodiffusion télévisuelle ultra-haute définition </w:t>
      </w:r>
      <w:r>
        <w:rPr>
          <w:lang w:val="fr-CH" w:eastAsia="zh-CN"/>
        </w:rPr>
        <w:br/>
        <w:t xml:space="preserve">et la radiodiffusion télévisuelle haute définition </w:t>
      </w:r>
    </w:p>
    <w:p w:rsidR="007C4B77" w:rsidRDefault="007C4B77" w:rsidP="007C4B77">
      <w:pPr>
        <w:pStyle w:val="Summary"/>
        <w:spacing w:before="240"/>
        <w:jc w:val="left"/>
        <w:rPr>
          <w:rFonts w:asciiTheme="minorHAnsi" w:hAnsiTheme="minorHAnsi"/>
          <w:szCs w:val="24"/>
          <w:lang w:val="fr-CH" w:eastAsia="ja-JP"/>
        </w:rPr>
      </w:pPr>
      <w:r>
        <w:rPr>
          <w:rFonts w:asciiTheme="minorHAnsi" w:hAnsiTheme="minorHAnsi"/>
          <w:szCs w:val="24"/>
          <w:lang w:val="fr-CH" w:eastAsia="ja-JP"/>
        </w:rPr>
        <w:t xml:space="preserve">Cette </w:t>
      </w:r>
      <w:r w:rsidRPr="000C6590">
        <w:rPr>
          <w:rFonts w:asciiTheme="minorHAnsi" w:hAnsiTheme="minorHAnsi"/>
          <w:szCs w:val="24"/>
          <w:lang w:val="fr-CH" w:eastAsia="ja-JP"/>
        </w:rPr>
        <w:t>Recomm</w:t>
      </w:r>
      <w:r>
        <w:rPr>
          <w:rFonts w:asciiTheme="minorHAnsi" w:hAnsiTheme="minorHAnsi"/>
          <w:szCs w:val="24"/>
          <w:lang w:val="fr-CH" w:eastAsia="ja-JP"/>
        </w:rPr>
        <w:t>a</w:t>
      </w:r>
      <w:r w:rsidRPr="000C6590">
        <w:rPr>
          <w:rFonts w:asciiTheme="minorHAnsi" w:hAnsiTheme="minorHAnsi"/>
          <w:szCs w:val="24"/>
          <w:lang w:val="fr-CH" w:eastAsia="ja-JP"/>
        </w:rPr>
        <w:t>ndation sp</w:t>
      </w:r>
      <w:r>
        <w:rPr>
          <w:rFonts w:asciiTheme="minorHAnsi" w:hAnsiTheme="minorHAnsi"/>
          <w:szCs w:val="24"/>
          <w:lang w:val="fr-CH" w:eastAsia="ja-JP"/>
        </w:rPr>
        <w:t>écifie</w:t>
      </w:r>
      <w:r w:rsidRPr="000C6590">
        <w:rPr>
          <w:rFonts w:asciiTheme="minorHAnsi" w:hAnsiTheme="minorHAnsi"/>
          <w:szCs w:val="24"/>
          <w:lang w:val="fr-CH" w:eastAsia="ja-JP"/>
        </w:rPr>
        <w:t xml:space="preserve"> </w:t>
      </w:r>
      <w:r>
        <w:rPr>
          <w:rFonts w:asciiTheme="minorHAnsi" w:hAnsiTheme="minorHAnsi"/>
          <w:szCs w:val="24"/>
          <w:lang w:val="fr-CH" w:eastAsia="ja-JP"/>
        </w:rPr>
        <w:t xml:space="preserve">l'utilisation de la </w:t>
      </w:r>
      <w:r w:rsidRPr="004A3BAA">
        <w:rPr>
          <w:rFonts w:asciiTheme="minorHAnsi" w:hAnsiTheme="minorHAnsi"/>
          <w:szCs w:val="24"/>
          <w:lang w:val="fr-CH" w:eastAsia="ja-JP"/>
        </w:rPr>
        <w:t xml:space="preserve">norme de codage vidéo à grande efficacité </w:t>
      </w:r>
      <w:r>
        <w:rPr>
          <w:rFonts w:asciiTheme="minorHAnsi" w:hAnsiTheme="minorHAnsi"/>
          <w:szCs w:val="24"/>
          <w:lang w:val="fr-CH" w:eastAsia="ja-JP"/>
        </w:rPr>
        <w:t xml:space="preserve">– </w:t>
      </w:r>
      <w:r>
        <w:rPr>
          <w:rFonts w:asciiTheme="minorHAnsi" w:hAnsiTheme="minorHAnsi"/>
          <w:szCs w:val="24"/>
          <w:lang w:val="fr-CH"/>
        </w:rPr>
        <w:t>Recommandation UIT</w:t>
      </w:r>
      <w:r w:rsidRPr="000C6590">
        <w:rPr>
          <w:rFonts w:asciiTheme="minorHAnsi" w:hAnsiTheme="minorHAnsi"/>
          <w:szCs w:val="24"/>
          <w:lang w:val="fr-CH"/>
        </w:rPr>
        <w:t>-T H.26</w:t>
      </w:r>
      <w:r w:rsidRPr="000C6590">
        <w:rPr>
          <w:rFonts w:asciiTheme="minorHAnsi" w:hAnsiTheme="minorHAnsi"/>
          <w:szCs w:val="24"/>
          <w:lang w:val="fr-CH" w:eastAsia="ja-JP"/>
        </w:rPr>
        <w:t>5 | </w:t>
      </w:r>
      <w:r w:rsidRPr="000C6590">
        <w:rPr>
          <w:rFonts w:asciiTheme="minorHAnsi" w:hAnsiTheme="minorHAnsi"/>
          <w:szCs w:val="24"/>
          <w:lang w:val="fr-CH"/>
        </w:rPr>
        <w:t>ISO/</w:t>
      </w:r>
      <w:r>
        <w:rPr>
          <w:rFonts w:asciiTheme="minorHAnsi" w:hAnsiTheme="minorHAnsi"/>
          <w:szCs w:val="24"/>
          <w:lang w:val="fr-CH"/>
        </w:rPr>
        <w:t xml:space="preserve">CEI </w:t>
      </w:r>
      <w:r w:rsidRPr="000C6590">
        <w:rPr>
          <w:rFonts w:asciiTheme="minorHAnsi" w:hAnsiTheme="minorHAnsi"/>
          <w:szCs w:val="24"/>
          <w:lang w:val="fr-CH" w:eastAsia="ja-JP"/>
        </w:rPr>
        <w:t xml:space="preserve">23008-2 </w:t>
      </w:r>
      <w:r>
        <w:rPr>
          <w:rFonts w:asciiTheme="minorHAnsi" w:hAnsiTheme="minorHAnsi"/>
          <w:szCs w:val="24"/>
          <w:lang w:val="fr-CH" w:eastAsia="ja-JP"/>
        </w:rPr>
        <w:t xml:space="preserve">– </w:t>
      </w:r>
      <w:r w:rsidRPr="004A3BAA">
        <w:rPr>
          <w:rFonts w:asciiTheme="minorHAnsi" w:hAnsiTheme="minorHAnsi"/>
          <w:szCs w:val="24"/>
          <w:lang w:val="fr-CH" w:eastAsia="ja-JP"/>
        </w:rPr>
        <w:t>pour</w:t>
      </w:r>
      <w:r>
        <w:rPr>
          <w:rFonts w:asciiTheme="minorHAnsi" w:hAnsiTheme="minorHAnsi"/>
          <w:szCs w:val="24"/>
          <w:lang w:val="fr-CH" w:eastAsia="ja-JP"/>
        </w:rPr>
        <w:t xml:space="preserve"> </w:t>
      </w:r>
      <w:r w:rsidRPr="004A3BAA">
        <w:rPr>
          <w:rFonts w:asciiTheme="minorHAnsi" w:hAnsiTheme="minorHAnsi"/>
          <w:szCs w:val="24"/>
          <w:lang w:val="fr-CH" w:eastAsia="ja-JP"/>
        </w:rPr>
        <w:t>la radiodiffusion télévisuelle ultra-haute définition</w:t>
      </w:r>
      <w:r>
        <w:rPr>
          <w:rFonts w:asciiTheme="minorHAnsi" w:hAnsiTheme="minorHAnsi"/>
          <w:szCs w:val="24"/>
          <w:lang w:val="fr-CH" w:eastAsia="ja-JP"/>
        </w:rPr>
        <w:t xml:space="preserve"> (TVUHD)</w:t>
      </w:r>
      <w:r w:rsidRPr="004A3BAA">
        <w:rPr>
          <w:rFonts w:asciiTheme="minorHAnsi" w:hAnsiTheme="minorHAnsi"/>
          <w:szCs w:val="24"/>
          <w:lang w:val="fr-CH" w:eastAsia="ja-JP"/>
        </w:rPr>
        <w:t xml:space="preserve"> et la radiodiffusion télévisuelle haute définition</w:t>
      </w:r>
      <w:r>
        <w:rPr>
          <w:rFonts w:asciiTheme="minorHAnsi" w:hAnsiTheme="minorHAnsi"/>
          <w:szCs w:val="24"/>
          <w:lang w:val="fr-CH" w:eastAsia="ja-JP"/>
        </w:rPr>
        <w:t xml:space="preserve"> (TVHD).</w:t>
      </w:r>
      <w:r w:rsidRPr="004A3BAA">
        <w:rPr>
          <w:rFonts w:asciiTheme="minorHAnsi" w:hAnsiTheme="minorHAnsi"/>
          <w:szCs w:val="24"/>
          <w:lang w:val="fr-CH" w:eastAsia="ja-JP"/>
        </w:rPr>
        <w:t xml:space="preserve"> </w:t>
      </w:r>
    </w:p>
    <w:p w:rsidR="007C4B77" w:rsidRPr="000C6590" w:rsidRDefault="007C4B77" w:rsidP="007C4B77">
      <w:pPr>
        <w:tabs>
          <w:tab w:val="right" w:pos="9639"/>
        </w:tabs>
        <w:spacing w:before="480" w:line="240" w:lineRule="auto"/>
        <w:rPr>
          <w:rFonts w:asciiTheme="minorHAnsi" w:hAnsiTheme="minorHAnsi" w:cstheme="minorHAnsi"/>
          <w:szCs w:val="24"/>
          <w:lang w:val="fr-CH"/>
        </w:rPr>
      </w:pPr>
      <w:r>
        <w:rPr>
          <w:rFonts w:asciiTheme="minorHAnsi" w:hAnsiTheme="minorHAnsi" w:cstheme="minorHAnsi"/>
          <w:szCs w:val="24"/>
          <w:u w:val="single"/>
          <w:lang w:val="fr-CH"/>
        </w:rPr>
        <w:t>Projet de révision de la</w:t>
      </w:r>
      <w:r w:rsidRPr="000C6590">
        <w:rPr>
          <w:rFonts w:asciiTheme="minorHAnsi" w:hAnsiTheme="minorHAnsi" w:cstheme="minorHAnsi"/>
          <w:szCs w:val="24"/>
          <w:u w:val="single"/>
          <w:lang w:val="fr-CH"/>
        </w:rPr>
        <w:t xml:space="preserve"> </w:t>
      </w:r>
      <w:r>
        <w:rPr>
          <w:rFonts w:asciiTheme="minorHAnsi" w:hAnsiTheme="minorHAnsi" w:cstheme="minorHAnsi"/>
          <w:szCs w:val="24"/>
          <w:u w:val="single"/>
          <w:lang w:val="fr-CH"/>
        </w:rPr>
        <w:t>Recommandation UIT</w:t>
      </w:r>
      <w:r w:rsidRPr="000C6590">
        <w:rPr>
          <w:rFonts w:asciiTheme="minorHAnsi" w:hAnsiTheme="minorHAnsi" w:cstheme="minorHAnsi"/>
          <w:szCs w:val="24"/>
          <w:u w:val="single"/>
          <w:lang w:val="fr-CH"/>
        </w:rPr>
        <w:t xml:space="preserve">-R </w:t>
      </w:r>
      <w:r w:rsidRPr="000C6590">
        <w:rPr>
          <w:szCs w:val="24"/>
          <w:u w:val="single"/>
          <w:lang w:val="fr-CH" w:eastAsia="zh-CN"/>
        </w:rPr>
        <w:t>BS.1116</w:t>
      </w:r>
      <w:r w:rsidRPr="000C6590">
        <w:rPr>
          <w:szCs w:val="24"/>
          <w:u w:val="single"/>
          <w:lang w:val="fr-CH" w:eastAsia="ja-JP"/>
        </w:rPr>
        <w:t>-2</w:t>
      </w:r>
      <w:r w:rsidRPr="000C6590">
        <w:rPr>
          <w:rFonts w:asciiTheme="minorHAnsi" w:hAnsiTheme="minorHAnsi" w:cstheme="minorHAnsi"/>
          <w:szCs w:val="24"/>
          <w:lang w:val="fr-CH"/>
        </w:rPr>
        <w:tab/>
        <w:t>Doc. 6/282</w:t>
      </w:r>
      <w:r>
        <w:rPr>
          <w:rFonts w:asciiTheme="minorHAnsi" w:hAnsiTheme="minorHAnsi" w:cstheme="minorHAnsi"/>
          <w:szCs w:val="24"/>
          <w:lang w:val="fr-CH"/>
        </w:rPr>
        <w:t>(Rév.1)</w:t>
      </w:r>
    </w:p>
    <w:p w:rsidR="007C4B77" w:rsidRPr="000C6590" w:rsidRDefault="007C4B77" w:rsidP="00645528">
      <w:pPr>
        <w:pStyle w:val="Rectitle"/>
        <w:spacing w:before="240"/>
        <w:rPr>
          <w:rFonts w:asciiTheme="minorHAnsi" w:hAnsiTheme="minorHAnsi" w:cstheme="minorHAnsi"/>
          <w:highlight w:val="yellow"/>
          <w:lang w:val="fr-CH"/>
        </w:rPr>
      </w:pPr>
      <w:r w:rsidRPr="000C6590">
        <w:rPr>
          <w:lang w:val="fr-CH" w:eastAsia="ja-JP"/>
        </w:rPr>
        <w:t xml:space="preserve">Méthodes d'évaluation subjective des dégradations faibles </w:t>
      </w:r>
      <w:r>
        <w:rPr>
          <w:lang w:val="fr-CH" w:eastAsia="ja-JP"/>
        </w:rPr>
        <w:br/>
      </w:r>
      <w:r w:rsidRPr="000C6590">
        <w:rPr>
          <w:lang w:val="fr-CH" w:eastAsia="ja-JP"/>
        </w:rPr>
        <w:t>dans les systèmes audio</w:t>
      </w:r>
    </w:p>
    <w:p w:rsidR="007C4B77" w:rsidRPr="000C6590" w:rsidRDefault="007C4B77" w:rsidP="007C4B77">
      <w:pPr>
        <w:spacing w:before="240" w:line="240" w:lineRule="auto"/>
        <w:jc w:val="left"/>
        <w:rPr>
          <w:lang w:val="fr-CH" w:eastAsia="ja-JP"/>
        </w:rPr>
      </w:pPr>
      <w:r>
        <w:rPr>
          <w:lang w:val="fr-CH" w:eastAsia="ja-JP"/>
        </w:rPr>
        <w:t xml:space="preserve">Dans cette </w:t>
      </w:r>
      <w:r w:rsidRPr="000C6590">
        <w:rPr>
          <w:lang w:val="fr-CH" w:eastAsia="ja-JP"/>
        </w:rPr>
        <w:t>r</w:t>
      </w:r>
      <w:r>
        <w:rPr>
          <w:lang w:val="fr-CH" w:eastAsia="ja-JP"/>
        </w:rPr>
        <w:t>é</w:t>
      </w:r>
      <w:r w:rsidRPr="000C6590">
        <w:rPr>
          <w:lang w:val="fr-CH" w:eastAsia="ja-JP"/>
        </w:rPr>
        <w:t>vision</w:t>
      </w:r>
      <w:r>
        <w:rPr>
          <w:lang w:val="fr-CH" w:eastAsia="ja-JP"/>
        </w:rPr>
        <w:t>,</w:t>
      </w:r>
      <w:r w:rsidRPr="000C6590">
        <w:rPr>
          <w:lang w:val="fr-CH" w:eastAsia="ja-JP"/>
        </w:rPr>
        <w:t xml:space="preserve"> </w:t>
      </w:r>
      <w:r>
        <w:rPr>
          <w:lang w:val="fr-CH" w:eastAsia="ja-JP"/>
        </w:rPr>
        <w:t xml:space="preserve">deux </w:t>
      </w:r>
      <w:r w:rsidRPr="000C6590">
        <w:rPr>
          <w:lang w:val="fr-CH" w:eastAsia="ja-JP"/>
        </w:rPr>
        <w:t xml:space="preserve">modifications </w:t>
      </w:r>
      <w:r>
        <w:rPr>
          <w:lang w:val="fr-CH" w:eastAsia="ja-JP"/>
        </w:rPr>
        <w:t>mineures sont apportées afin d'améliorer l'utilité</w:t>
      </w:r>
      <w:r w:rsidRPr="000C6590">
        <w:rPr>
          <w:lang w:val="fr-CH" w:eastAsia="ja-JP"/>
        </w:rPr>
        <w:t xml:space="preserve"> </w:t>
      </w:r>
      <w:r>
        <w:rPr>
          <w:lang w:val="fr-CH" w:eastAsia="ja-JP"/>
        </w:rPr>
        <w:t xml:space="preserve">de la </w:t>
      </w:r>
      <w:r w:rsidRPr="000C6590">
        <w:rPr>
          <w:lang w:val="fr-CH" w:eastAsia="ja-JP"/>
        </w:rPr>
        <w:t>Recomm</w:t>
      </w:r>
      <w:r>
        <w:rPr>
          <w:lang w:val="fr-CH" w:eastAsia="ja-JP"/>
        </w:rPr>
        <w:t>a</w:t>
      </w:r>
      <w:r w:rsidRPr="000C6590">
        <w:rPr>
          <w:lang w:val="fr-CH" w:eastAsia="ja-JP"/>
        </w:rPr>
        <w:t>ndation.</w:t>
      </w:r>
    </w:p>
    <w:p w:rsidR="007C4B77" w:rsidRPr="000C6590" w:rsidRDefault="007C4B77" w:rsidP="007C4B77">
      <w:pPr>
        <w:rPr>
          <w:lang w:val="fr-CH" w:eastAsia="ja-JP"/>
        </w:rPr>
      </w:pPr>
      <w:r>
        <w:rPr>
          <w:lang w:val="fr-CH" w:eastAsia="ja-JP"/>
        </w:rPr>
        <w:t>La m</w:t>
      </w:r>
      <w:r w:rsidRPr="000C6590">
        <w:rPr>
          <w:lang w:val="fr-CH" w:eastAsia="ja-JP"/>
        </w:rPr>
        <w:t xml:space="preserve">odification (1) </w:t>
      </w:r>
      <w:r>
        <w:rPr>
          <w:lang w:val="fr-CH" w:eastAsia="ja-JP"/>
        </w:rPr>
        <w:t xml:space="preserve">consiste à donner des précisions sur la tolérance des écarts entre les réponses en fréquence des différents haut-parleurs en </w:t>
      </w:r>
      <w:r w:rsidRPr="000C6590">
        <w:rPr>
          <w:lang w:val="fr-CH" w:eastAsia="ja-JP"/>
        </w:rPr>
        <w:t>f</w:t>
      </w:r>
      <w:r>
        <w:rPr>
          <w:lang w:val="fr-CH" w:eastAsia="ja-JP"/>
        </w:rPr>
        <w:t>o</w:t>
      </w:r>
      <w:r w:rsidRPr="000C6590">
        <w:rPr>
          <w:lang w:val="fr-CH" w:eastAsia="ja-JP"/>
        </w:rPr>
        <w:t xml:space="preserve">nction </w:t>
      </w:r>
      <w:r>
        <w:rPr>
          <w:lang w:val="fr-CH" w:eastAsia="ja-JP"/>
        </w:rPr>
        <w:t xml:space="preserve">de la </w:t>
      </w:r>
      <w:r w:rsidRPr="000C6590">
        <w:rPr>
          <w:lang w:val="fr-CH" w:eastAsia="ja-JP"/>
        </w:rPr>
        <w:t xml:space="preserve">position </w:t>
      </w:r>
      <w:r>
        <w:rPr>
          <w:lang w:val="fr-CH" w:eastAsia="ja-JP"/>
        </w:rPr>
        <w:t>dans le local d'écoute</w:t>
      </w:r>
      <w:r w:rsidRPr="000C6590">
        <w:rPr>
          <w:lang w:val="fr-CH" w:eastAsia="ja-JP"/>
        </w:rPr>
        <w:t>.</w:t>
      </w:r>
    </w:p>
    <w:p w:rsidR="007C4B77" w:rsidRPr="000C6590" w:rsidRDefault="007C4B77" w:rsidP="007C4B77">
      <w:pPr>
        <w:rPr>
          <w:lang w:val="fr-CH" w:eastAsia="ja-JP"/>
        </w:rPr>
      </w:pPr>
      <w:r>
        <w:rPr>
          <w:lang w:val="fr-CH" w:eastAsia="ja-JP"/>
        </w:rPr>
        <w:t>La m</w:t>
      </w:r>
      <w:r w:rsidRPr="000C6590">
        <w:rPr>
          <w:lang w:val="fr-CH" w:eastAsia="ja-JP"/>
        </w:rPr>
        <w:t xml:space="preserve">odification (2) </w:t>
      </w:r>
      <w:r>
        <w:rPr>
          <w:lang w:val="fr-CH" w:eastAsia="ja-JP"/>
        </w:rPr>
        <w:t>consiste à modifier la méthode d'alignement des niveaux de pression acoustique des haut-parleurs afin que le réglage ne dépende pas du nombre de haut-parleurs</w:t>
      </w:r>
      <w:r w:rsidRPr="000C6590">
        <w:rPr>
          <w:lang w:val="fr-CH" w:eastAsia="ja-JP"/>
        </w:rPr>
        <w:t>.</w:t>
      </w:r>
    </w:p>
    <w:p w:rsidR="007C4B77" w:rsidRPr="000C6590" w:rsidRDefault="007C4B77" w:rsidP="007C4B77">
      <w:pPr>
        <w:tabs>
          <w:tab w:val="right" w:pos="9639"/>
        </w:tabs>
        <w:spacing w:before="480" w:line="240" w:lineRule="auto"/>
        <w:rPr>
          <w:rFonts w:asciiTheme="minorHAnsi" w:hAnsiTheme="minorHAnsi" w:cstheme="minorHAnsi"/>
          <w:szCs w:val="24"/>
          <w:lang w:val="fr-CH"/>
        </w:rPr>
      </w:pPr>
      <w:r>
        <w:rPr>
          <w:rFonts w:asciiTheme="minorHAnsi" w:hAnsiTheme="minorHAnsi" w:cstheme="minorHAnsi"/>
          <w:szCs w:val="24"/>
          <w:u w:val="single"/>
          <w:lang w:val="fr-CH"/>
        </w:rPr>
        <w:t>Projet de révision de la</w:t>
      </w:r>
      <w:r w:rsidRPr="000C6590">
        <w:rPr>
          <w:rFonts w:asciiTheme="minorHAnsi" w:hAnsiTheme="minorHAnsi" w:cstheme="minorHAnsi"/>
          <w:szCs w:val="24"/>
          <w:u w:val="single"/>
          <w:lang w:val="fr-CH"/>
        </w:rPr>
        <w:t xml:space="preserve"> </w:t>
      </w:r>
      <w:r>
        <w:rPr>
          <w:rFonts w:asciiTheme="minorHAnsi" w:hAnsiTheme="minorHAnsi" w:cstheme="minorHAnsi"/>
          <w:szCs w:val="24"/>
          <w:u w:val="single"/>
          <w:lang w:val="fr-CH"/>
        </w:rPr>
        <w:t>Recommandation UIT</w:t>
      </w:r>
      <w:r w:rsidRPr="000C6590">
        <w:rPr>
          <w:rFonts w:asciiTheme="minorHAnsi" w:hAnsiTheme="minorHAnsi" w:cstheme="minorHAnsi"/>
          <w:szCs w:val="24"/>
          <w:u w:val="single"/>
          <w:lang w:val="fr-CH"/>
        </w:rPr>
        <w:t xml:space="preserve">-R </w:t>
      </w:r>
      <w:r w:rsidRPr="000C6590">
        <w:rPr>
          <w:szCs w:val="24"/>
          <w:u w:val="single"/>
          <w:lang w:val="fr-CH" w:eastAsia="zh-CN"/>
        </w:rPr>
        <w:t>B</w:t>
      </w:r>
      <w:r w:rsidRPr="000C6590">
        <w:rPr>
          <w:szCs w:val="24"/>
          <w:u w:val="single"/>
          <w:lang w:val="fr-CH" w:eastAsia="ja-JP"/>
        </w:rPr>
        <w:t>T</w:t>
      </w:r>
      <w:r w:rsidRPr="000C6590">
        <w:rPr>
          <w:szCs w:val="24"/>
          <w:u w:val="single"/>
          <w:lang w:val="fr-CH" w:eastAsia="zh-CN"/>
        </w:rPr>
        <w:t>.</w:t>
      </w:r>
      <w:r w:rsidRPr="000C6590">
        <w:rPr>
          <w:szCs w:val="24"/>
          <w:u w:val="single"/>
          <w:lang w:val="fr-CH" w:eastAsia="ja-JP"/>
        </w:rPr>
        <w:t>2021-0</w:t>
      </w:r>
      <w:r w:rsidRPr="000C6590">
        <w:rPr>
          <w:rFonts w:asciiTheme="minorHAnsi" w:hAnsiTheme="minorHAnsi" w:cstheme="minorHAnsi"/>
          <w:szCs w:val="24"/>
          <w:lang w:val="fr-CH"/>
        </w:rPr>
        <w:tab/>
        <w:t>Doc. 6/283</w:t>
      </w:r>
      <w:r>
        <w:rPr>
          <w:rFonts w:asciiTheme="minorHAnsi" w:hAnsiTheme="minorHAnsi" w:cstheme="minorHAnsi"/>
          <w:szCs w:val="24"/>
          <w:lang w:val="fr-CH"/>
        </w:rPr>
        <w:t>(Rév.1)</w:t>
      </w:r>
    </w:p>
    <w:p w:rsidR="007C4B77" w:rsidRPr="000C6590" w:rsidRDefault="007C4B77" w:rsidP="00645528">
      <w:pPr>
        <w:pStyle w:val="Rectitle"/>
        <w:spacing w:before="240"/>
        <w:rPr>
          <w:lang w:val="fr-CH"/>
        </w:rPr>
      </w:pPr>
      <w:r w:rsidRPr="000C6590">
        <w:rPr>
          <w:lang w:val="fr-CH" w:eastAsia="ja-JP"/>
        </w:rPr>
        <w:t>Méthodes d'évaluation subjective des sy</w:t>
      </w:r>
      <w:r>
        <w:rPr>
          <w:lang w:val="fr-CH" w:eastAsia="ja-JP"/>
        </w:rPr>
        <w:t>stèmes de TV3D stéréoscopique</w:t>
      </w:r>
    </w:p>
    <w:p w:rsidR="007C4B77" w:rsidRPr="000C6590" w:rsidRDefault="007C4B77" w:rsidP="007C4B77">
      <w:pPr>
        <w:spacing w:before="240" w:line="240" w:lineRule="auto"/>
        <w:jc w:val="left"/>
        <w:rPr>
          <w:szCs w:val="24"/>
          <w:lang w:val="fr-CH" w:eastAsia="ja-JP"/>
        </w:rPr>
      </w:pPr>
      <w:r>
        <w:rPr>
          <w:szCs w:val="24"/>
          <w:lang w:val="fr-CH" w:eastAsia="ja-JP"/>
        </w:rPr>
        <w:t xml:space="preserve">Cette </w:t>
      </w:r>
      <w:r w:rsidRPr="000C6590">
        <w:rPr>
          <w:szCs w:val="24"/>
          <w:lang w:val="fr-CH" w:eastAsia="ja-JP"/>
        </w:rPr>
        <w:t>r</w:t>
      </w:r>
      <w:r>
        <w:rPr>
          <w:szCs w:val="24"/>
          <w:lang w:val="fr-CH" w:eastAsia="ja-JP"/>
        </w:rPr>
        <w:t>é</w:t>
      </w:r>
      <w:r w:rsidRPr="000C6590">
        <w:rPr>
          <w:szCs w:val="24"/>
          <w:lang w:val="fr-CH" w:eastAsia="ja-JP"/>
        </w:rPr>
        <w:t>vision</w:t>
      </w:r>
      <w:r>
        <w:rPr>
          <w:szCs w:val="24"/>
          <w:lang w:val="fr-CH" w:eastAsia="ja-JP"/>
        </w:rPr>
        <w:t xml:space="preserve"> a pour objet d'inclure deux méthodes supplémentaires</w:t>
      </w:r>
      <w:r w:rsidRPr="000C6590">
        <w:rPr>
          <w:szCs w:val="24"/>
          <w:lang w:val="fr-CH" w:eastAsia="ja-JP"/>
        </w:rPr>
        <w:t xml:space="preserve">, </w:t>
      </w:r>
      <w:r>
        <w:rPr>
          <w:szCs w:val="24"/>
          <w:lang w:val="fr-CH" w:eastAsia="ja-JP"/>
        </w:rPr>
        <w:t xml:space="preserve">la méthode </w:t>
      </w:r>
      <w:r w:rsidRPr="00BA6E37">
        <w:rPr>
          <w:szCs w:val="24"/>
          <w:lang w:val="fr-CH" w:eastAsia="ja-JP"/>
        </w:rPr>
        <w:t xml:space="preserve">à double stimulus utilisant une échelle de dégradation </w:t>
      </w:r>
      <w:r>
        <w:rPr>
          <w:szCs w:val="24"/>
          <w:lang w:val="fr-CH" w:eastAsia="ja-JP"/>
        </w:rPr>
        <w:t xml:space="preserve">(DSIS) et la méthode </w:t>
      </w:r>
      <w:r w:rsidRPr="00BA6E37">
        <w:rPr>
          <w:szCs w:val="24"/>
          <w:lang w:val="fr-CH" w:eastAsia="ja-JP"/>
        </w:rPr>
        <w:t xml:space="preserve">d'évaluation continue à double stimulus simultanés </w:t>
      </w:r>
      <w:r w:rsidRPr="000C6590">
        <w:rPr>
          <w:szCs w:val="24"/>
          <w:lang w:val="fr-CH" w:eastAsia="ja-JP"/>
        </w:rPr>
        <w:t xml:space="preserve">(SDSCE), </w:t>
      </w:r>
      <w:r>
        <w:rPr>
          <w:szCs w:val="24"/>
          <w:lang w:val="fr-CH" w:eastAsia="ja-JP"/>
        </w:rPr>
        <w:t>décrites dans la Recommandation UIT</w:t>
      </w:r>
      <w:r w:rsidRPr="000C6590">
        <w:rPr>
          <w:szCs w:val="24"/>
          <w:lang w:val="fr-CH" w:eastAsia="ja-JP"/>
        </w:rPr>
        <w:t>-R BT.500</w:t>
      </w:r>
      <w:r>
        <w:rPr>
          <w:szCs w:val="24"/>
          <w:lang w:val="fr-CH" w:eastAsia="ja-JP"/>
        </w:rPr>
        <w:t>,</w:t>
      </w:r>
      <w:r w:rsidRPr="000C6590">
        <w:rPr>
          <w:szCs w:val="24"/>
          <w:lang w:val="fr-CH" w:eastAsia="ja-JP"/>
        </w:rPr>
        <w:t xml:space="preserve"> </w:t>
      </w:r>
      <w:r>
        <w:rPr>
          <w:szCs w:val="24"/>
          <w:lang w:val="fr-CH" w:eastAsia="ja-JP"/>
        </w:rPr>
        <w:t>afin que la Recommandation UIT</w:t>
      </w:r>
      <w:r w:rsidRPr="000C6590">
        <w:rPr>
          <w:szCs w:val="24"/>
          <w:lang w:val="fr-CH" w:eastAsia="ja-JP"/>
        </w:rPr>
        <w:noBreakHyphen/>
        <w:t xml:space="preserve">R BT.2021 </w:t>
      </w:r>
      <w:r>
        <w:rPr>
          <w:szCs w:val="24"/>
          <w:lang w:val="fr-CH" w:eastAsia="ja-JP"/>
        </w:rPr>
        <w:t xml:space="preserve">prenne en charge diverses évaluations </w:t>
      </w:r>
      <w:r w:rsidRPr="000C6590">
        <w:rPr>
          <w:szCs w:val="24"/>
          <w:lang w:val="fr-CH" w:eastAsia="ja-JP"/>
        </w:rPr>
        <w:t>subjective</w:t>
      </w:r>
      <w:r>
        <w:rPr>
          <w:szCs w:val="24"/>
          <w:lang w:val="fr-CH" w:eastAsia="ja-JP"/>
        </w:rPr>
        <w:t>s</w:t>
      </w:r>
      <w:r w:rsidRPr="000C6590">
        <w:rPr>
          <w:szCs w:val="24"/>
          <w:lang w:val="fr-CH" w:eastAsia="ja-JP"/>
        </w:rPr>
        <w:t xml:space="preserve"> </w:t>
      </w:r>
      <w:r>
        <w:rPr>
          <w:szCs w:val="24"/>
          <w:lang w:val="fr-CH" w:eastAsia="ja-JP"/>
        </w:rPr>
        <w:t xml:space="preserve">des systèmes de </w:t>
      </w:r>
      <w:r w:rsidRPr="000C6590">
        <w:rPr>
          <w:szCs w:val="24"/>
          <w:lang w:val="fr-CH" w:eastAsia="ja-JP"/>
        </w:rPr>
        <w:t>TV</w:t>
      </w:r>
      <w:r>
        <w:rPr>
          <w:szCs w:val="24"/>
          <w:lang w:val="fr-CH" w:eastAsia="ja-JP"/>
        </w:rPr>
        <w:t>3D stéréoscopique</w:t>
      </w:r>
      <w:r w:rsidRPr="000C6590">
        <w:rPr>
          <w:szCs w:val="24"/>
          <w:lang w:val="fr-CH" w:eastAsia="ja-JP"/>
        </w:rPr>
        <w:t>.</w:t>
      </w:r>
    </w:p>
    <w:p w:rsidR="007C4B77" w:rsidRPr="000C6590" w:rsidRDefault="007C4B77" w:rsidP="007C4B77">
      <w:pPr>
        <w:tabs>
          <w:tab w:val="right" w:pos="9639"/>
        </w:tabs>
        <w:spacing w:before="480" w:line="240" w:lineRule="auto"/>
        <w:rPr>
          <w:rFonts w:asciiTheme="minorHAnsi" w:hAnsiTheme="minorHAnsi" w:cstheme="minorHAnsi"/>
          <w:szCs w:val="24"/>
          <w:lang w:val="fr-CH"/>
        </w:rPr>
      </w:pPr>
      <w:r>
        <w:rPr>
          <w:rFonts w:asciiTheme="minorHAnsi" w:hAnsiTheme="minorHAnsi" w:cstheme="minorHAnsi"/>
          <w:szCs w:val="24"/>
          <w:u w:val="single"/>
          <w:lang w:val="fr-CH"/>
        </w:rPr>
        <w:lastRenderedPageBreak/>
        <w:t>Projet de révision de la</w:t>
      </w:r>
      <w:r w:rsidRPr="000C6590">
        <w:rPr>
          <w:rFonts w:asciiTheme="minorHAnsi" w:hAnsiTheme="minorHAnsi" w:cstheme="minorHAnsi"/>
          <w:szCs w:val="24"/>
          <w:u w:val="single"/>
          <w:lang w:val="fr-CH"/>
        </w:rPr>
        <w:t xml:space="preserve"> </w:t>
      </w:r>
      <w:r>
        <w:rPr>
          <w:rFonts w:asciiTheme="minorHAnsi" w:hAnsiTheme="minorHAnsi" w:cstheme="minorHAnsi"/>
          <w:szCs w:val="24"/>
          <w:u w:val="single"/>
          <w:lang w:val="fr-CH"/>
        </w:rPr>
        <w:t>Recommandation UIT</w:t>
      </w:r>
      <w:r w:rsidRPr="000C6590">
        <w:rPr>
          <w:rFonts w:asciiTheme="minorHAnsi" w:hAnsiTheme="minorHAnsi" w:cstheme="minorHAnsi"/>
          <w:szCs w:val="24"/>
          <w:u w:val="single"/>
          <w:lang w:val="fr-CH"/>
        </w:rPr>
        <w:t xml:space="preserve">-R </w:t>
      </w:r>
      <w:r w:rsidRPr="000C6590">
        <w:rPr>
          <w:szCs w:val="24"/>
          <w:u w:val="single"/>
          <w:lang w:val="fr-CH" w:eastAsia="zh-CN"/>
        </w:rPr>
        <w:t>BT.1735-2</w:t>
      </w:r>
      <w:r w:rsidRPr="000C6590">
        <w:rPr>
          <w:rFonts w:asciiTheme="minorHAnsi" w:hAnsiTheme="minorHAnsi" w:cstheme="minorHAnsi"/>
          <w:szCs w:val="24"/>
          <w:lang w:val="fr-CH"/>
        </w:rPr>
        <w:tab/>
        <w:t>Doc. 6/296</w:t>
      </w:r>
      <w:r>
        <w:rPr>
          <w:rFonts w:asciiTheme="minorHAnsi" w:hAnsiTheme="minorHAnsi" w:cstheme="minorHAnsi"/>
          <w:szCs w:val="24"/>
          <w:lang w:val="fr-CH"/>
        </w:rPr>
        <w:t>(Rév.1)</w:t>
      </w:r>
    </w:p>
    <w:p w:rsidR="007C4B77" w:rsidRPr="000C6590" w:rsidRDefault="007C4B77" w:rsidP="007C4B77">
      <w:pPr>
        <w:pStyle w:val="Rectitle"/>
        <w:spacing w:before="240"/>
        <w:rPr>
          <w:lang w:val="fr-CH" w:eastAsia="zh-CN"/>
        </w:rPr>
      </w:pPr>
      <w:r w:rsidRPr="000C6590">
        <w:rPr>
          <w:lang w:val="fr-CH" w:eastAsia="zh-CN"/>
        </w:rPr>
        <w:t xml:space="preserve">Méthodes d'évaluation objective de la qualité de réception des signaux de radiodiffusion télévisuelle numérique de Terre du système B spécifié </w:t>
      </w:r>
      <w:r>
        <w:rPr>
          <w:lang w:val="fr-CH" w:eastAsia="zh-CN"/>
        </w:rPr>
        <w:br/>
      </w:r>
      <w:r w:rsidRPr="000C6590">
        <w:rPr>
          <w:lang w:val="fr-CH" w:eastAsia="zh-CN"/>
        </w:rPr>
        <w:t>dans la</w:t>
      </w:r>
      <w:r>
        <w:rPr>
          <w:lang w:val="fr-CH" w:eastAsia="zh-CN"/>
        </w:rPr>
        <w:t xml:space="preserve"> Recommandation UIT-R BT.1306</w:t>
      </w:r>
    </w:p>
    <w:p w:rsidR="007C4B77" w:rsidRPr="00CC73BD" w:rsidRDefault="007C4B77" w:rsidP="007C4B77">
      <w:pPr>
        <w:spacing w:before="120" w:line="240" w:lineRule="auto"/>
        <w:rPr>
          <w:spacing w:val="-6"/>
          <w:szCs w:val="24"/>
          <w:lang w:val="fr-CH" w:eastAsia="zh-CN"/>
        </w:rPr>
      </w:pPr>
      <w:r w:rsidRPr="00CC73BD">
        <w:rPr>
          <w:spacing w:val="-6"/>
          <w:szCs w:val="24"/>
          <w:lang w:val="fr-CH" w:eastAsia="ja-JP"/>
        </w:rPr>
        <w:t xml:space="preserve">Cette révision a pour objet </w:t>
      </w:r>
      <w:r w:rsidRPr="00CC73BD">
        <w:rPr>
          <w:spacing w:val="-6"/>
          <w:szCs w:val="24"/>
          <w:lang w:val="fr-CH" w:eastAsia="zh-CN"/>
        </w:rPr>
        <w:t xml:space="preserve">de clarifier la définition de l'expression «taux d'erreurs de modulation» (MER). </w:t>
      </w:r>
    </w:p>
    <w:p w:rsidR="007C4B77" w:rsidRPr="000C6590" w:rsidRDefault="007C4B77" w:rsidP="007C4B77">
      <w:pPr>
        <w:tabs>
          <w:tab w:val="right" w:pos="9639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>
        <w:rPr>
          <w:rFonts w:asciiTheme="minorHAnsi" w:hAnsiTheme="minorHAnsi" w:cstheme="minorHAnsi"/>
          <w:szCs w:val="24"/>
          <w:u w:val="single"/>
          <w:lang w:val="fr-CH"/>
        </w:rPr>
        <w:t>Projet de révision de la</w:t>
      </w:r>
      <w:r w:rsidRPr="000C6590">
        <w:rPr>
          <w:rFonts w:asciiTheme="minorHAnsi" w:hAnsiTheme="minorHAnsi" w:cstheme="minorHAnsi"/>
          <w:szCs w:val="24"/>
          <w:u w:val="single"/>
          <w:lang w:val="fr-CH"/>
        </w:rPr>
        <w:t xml:space="preserve"> </w:t>
      </w:r>
      <w:r>
        <w:rPr>
          <w:rFonts w:asciiTheme="minorHAnsi" w:hAnsiTheme="minorHAnsi" w:cstheme="minorHAnsi"/>
          <w:szCs w:val="24"/>
          <w:u w:val="single"/>
          <w:lang w:val="fr-CH"/>
        </w:rPr>
        <w:t>Recommandation UIT</w:t>
      </w:r>
      <w:r w:rsidRPr="000C6590">
        <w:rPr>
          <w:rFonts w:asciiTheme="minorHAnsi" w:hAnsiTheme="minorHAnsi" w:cstheme="minorHAnsi"/>
          <w:szCs w:val="24"/>
          <w:u w:val="single"/>
          <w:lang w:val="fr-CH"/>
        </w:rPr>
        <w:t xml:space="preserve">-R </w:t>
      </w:r>
      <w:r w:rsidRPr="000C6590">
        <w:rPr>
          <w:rStyle w:val="href"/>
          <w:szCs w:val="24"/>
          <w:u w:val="single"/>
          <w:lang w:val="fr-CH"/>
        </w:rPr>
        <w:t>BT.1203-1</w:t>
      </w:r>
      <w:r w:rsidRPr="000C6590">
        <w:rPr>
          <w:rFonts w:asciiTheme="minorHAnsi" w:hAnsiTheme="minorHAnsi" w:cstheme="minorHAnsi"/>
          <w:szCs w:val="24"/>
          <w:lang w:val="fr-CH"/>
        </w:rPr>
        <w:tab/>
        <w:t>Doc. 6/299</w:t>
      </w:r>
      <w:r>
        <w:rPr>
          <w:rFonts w:asciiTheme="minorHAnsi" w:hAnsiTheme="minorHAnsi" w:cstheme="minorHAnsi"/>
          <w:szCs w:val="24"/>
          <w:lang w:val="fr-CH"/>
        </w:rPr>
        <w:t>(Rév.1)</w:t>
      </w:r>
    </w:p>
    <w:p w:rsidR="007C4B77" w:rsidRPr="000C6590" w:rsidRDefault="007C4B77" w:rsidP="007C4B77">
      <w:pPr>
        <w:keepNext/>
        <w:keepLines/>
        <w:tabs>
          <w:tab w:val="right" w:pos="9639"/>
        </w:tabs>
        <w:spacing w:before="240" w:line="240" w:lineRule="auto"/>
        <w:jc w:val="center"/>
        <w:rPr>
          <w:b/>
          <w:bCs/>
          <w:sz w:val="28"/>
          <w:szCs w:val="28"/>
          <w:lang w:val="fr-CH"/>
        </w:rPr>
      </w:pPr>
      <w:r w:rsidRPr="004910F5">
        <w:rPr>
          <w:rStyle w:val="RectitleChar"/>
          <w:lang w:val="fr-CH"/>
        </w:rPr>
        <w:t>Besoins des usagers en matière de systèmes génériques de codage vidéo à</w:t>
      </w:r>
      <w:r w:rsidRPr="000C6590">
        <w:rPr>
          <w:b/>
          <w:bCs/>
          <w:sz w:val="28"/>
          <w:szCs w:val="28"/>
          <w:lang w:val="fr-CH"/>
        </w:rPr>
        <w:t xml:space="preserve"> réduction de débit binaire des signaux de télévision numérique </w:t>
      </w:r>
      <w:r>
        <w:rPr>
          <w:b/>
          <w:bCs/>
          <w:sz w:val="28"/>
          <w:szCs w:val="28"/>
          <w:lang w:val="fr-CH"/>
        </w:rPr>
        <w:br/>
      </w:r>
      <w:r w:rsidRPr="000C6590">
        <w:rPr>
          <w:b/>
          <w:bCs/>
          <w:sz w:val="28"/>
          <w:szCs w:val="28"/>
          <w:lang w:val="fr-CH"/>
        </w:rPr>
        <w:t xml:space="preserve">pour un système </w:t>
      </w:r>
      <w:r>
        <w:rPr>
          <w:b/>
          <w:bCs/>
          <w:sz w:val="28"/>
          <w:szCs w:val="28"/>
          <w:lang w:val="fr-CH"/>
        </w:rPr>
        <w:t>de télévision de bout en bout</w:t>
      </w:r>
    </w:p>
    <w:p w:rsidR="007C4B77" w:rsidRPr="000C6590" w:rsidRDefault="007C4B77" w:rsidP="007C4B77">
      <w:pPr>
        <w:spacing w:before="120" w:line="240" w:lineRule="auto"/>
        <w:rPr>
          <w:szCs w:val="24"/>
          <w:lang w:val="fr-CH"/>
        </w:rPr>
      </w:pPr>
      <w:r>
        <w:rPr>
          <w:szCs w:val="24"/>
          <w:lang w:val="fr-CH" w:eastAsia="ja-JP"/>
        </w:rPr>
        <w:t xml:space="preserve">Cette </w:t>
      </w:r>
      <w:r w:rsidRPr="000C6590">
        <w:rPr>
          <w:szCs w:val="24"/>
          <w:lang w:val="fr-CH" w:eastAsia="ja-JP"/>
        </w:rPr>
        <w:t>r</w:t>
      </w:r>
      <w:r>
        <w:rPr>
          <w:szCs w:val="24"/>
          <w:lang w:val="fr-CH" w:eastAsia="ja-JP"/>
        </w:rPr>
        <w:t>é</w:t>
      </w:r>
      <w:r w:rsidRPr="000C6590">
        <w:rPr>
          <w:szCs w:val="24"/>
          <w:lang w:val="fr-CH" w:eastAsia="ja-JP"/>
        </w:rPr>
        <w:t>vision</w:t>
      </w:r>
      <w:r>
        <w:rPr>
          <w:szCs w:val="24"/>
          <w:lang w:val="fr-CH" w:eastAsia="ja-JP"/>
        </w:rPr>
        <w:t xml:space="preserve"> a pour objet </w:t>
      </w:r>
      <w:r>
        <w:rPr>
          <w:szCs w:val="24"/>
          <w:lang w:val="fr-CH" w:eastAsia="zh-CN"/>
        </w:rPr>
        <w:t>de faire mention de la Recommandation UIT</w:t>
      </w:r>
      <w:r w:rsidRPr="000C6590">
        <w:rPr>
          <w:szCs w:val="24"/>
          <w:lang w:val="fr-CH" w:eastAsia="zh-CN"/>
        </w:rPr>
        <w:t xml:space="preserve">-T </w:t>
      </w:r>
      <w:r w:rsidRPr="000C6590">
        <w:rPr>
          <w:szCs w:val="24"/>
          <w:lang w:val="fr-CH"/>
        </w:rPr>
        <w:t>H.265 | ISO/</w:t>
      </w:r>
      <w:r>
        <w:rPr>
          <w:szCs w:val="24"/>
          <w:lang w:val="fr-CH"/>
        </w:rPr>
        <w:t>CEI 23008-2 (MPEG</w:t>
      </w:r>
      <w:r>
        <w:rPr>
          <w:szCs w:val="24"/>
          <w:lang w:val="fr-CH"/>
        </w:rPr>
        <w:noBreakHyphen/>
        <w:t>H </w:t>
      </w:r>
      <w:r w:rsidRPr="000C6590">
        <w:rPr>
          <w:szCs w:val="24"/>
          <w:lang w:val="fr-CH"/>
        </w:rPr>
        <w:t xml:space="preserve">HEVC), </w:t>
      </w:r>
      <w:r>
        <w:rPr>
          <w:szCs w:val="24"/>
          <w:lang w:val="fr-CH"/>
        </w:rPr>
        <w:t>et d'ajouter des informations supplémentaires relatives à l'échantillonnage</w:t>
      </w:r>
      <w:r w:rsidRPr="000C6590">
        <w:rPr>
          <w:szCs w:val="24"/>
          <w:lang w:val="fr-CH"/>
        </w:rPr>
        <w:t>.</w:t>
      </w:r>
    </w:p>
    <w:p w:rsidR="007C4B77" w:rsidRPr="000C6590" w:rsidRDefault="007C4B77" w:rsidP="007C4B77">
      <w:pPr>
        <w:tabs>
          <w:tab w:val="right" w:pos="9639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>
        <w:rPr>
          <w:rFonts w:asciiTheme="minorHAnsi" w:hAnsiTheme="minorHAnsi" w:cstheme="minorHAnsi"/>
          <w:szCs w:val="24"/>
          <w:u w:val="single"/>
          <w:lang w:val="fr-CH"/>
        </w:rPr>
        <w:t>Projet de révision de la</w:t>
      </w:r>
      <w:r w:rsidRPr="000C6590">
        <w:rPr>
          <w:rFonts w:asciiTheme="minorHAnsi" w:hAnsiTheme="minorHAnsi" w:cstheme="minorHAnsi"/>
          <w:szCs w:val="24"/>
          <w:u w:val="single"/>
          <w:lang w:val="fr-CH"/>
        </w:rPr>
        <w:t xml:space="preserve"> </w:t>
      </w:r>
      <w:r>
        <w:rPr>
          <w:rFonts w:asciiTheme="minorHAnsi" w:hAnsiTheme="minorHAnsi" w:cstheme="minorHAnsi"/>
          <w:szCs w:val="24"/>
          <w:u w:val="single"/>
          <w:lang w:val="fr-CH"/>
        </w:rPr>
        <w:t>Recommandation UIT</w:t>
      </w:r>
      <w:r w:rsidRPr="000C6590">
        <w:rPr>
          <w:rFonts w:asciiTheme="minorHAnsi" w:hAnsiTheme="minorHAnsi" w:cstheme="minorHAnsi"/>
          <w:szCs w:val="24"/>
          <w:u w:val="single"/>
          <w:lang w:val="fr-CH"/>
        </w:rPr>
        <w:t xml:space="preserve">-R </w:t>
      </w:r>
      <w:r w:rsidRPr="000C6590">
        <w:rPr>
          <w:rStyle w:val="href"/>
          <w:szCs w:val="24"/>
          <w:u w:val="single"/>
          <w:lang w:val="fr-CH"/>
        </w:rPr>
        <w:t>BT.1870-0</w:t>
      </w:r>
      <w:r w:rsidRPr="000C6590">
        <w:rPr>
          <w:rFonts w:asciiTheme="minorHAnsi" w:hAnsiTheme="minorHAnsi" w:cstheme="minorHAnsi"/>
          <w:szCs w:val="24"/>
          <w:lang w:val="fr-CH"/>
        </w:rPr>
        <w:tab/>
        <w:t>Doc. 6/300</w:t>
      </w:r>
      <w:r>
        <w:rPr>
          <w:rFonts w:asciiTheme="minorHAnsi" w:hAnsiTheme="minorHAnsi" w:cstheme="minorHAnsi"/>
          <w:szCs w:val="24"/>
          <w:lang w:val="fr-CH"/>
        </w:rPr>
        <w:t>(Rév.1)</w:t>
      </w:r>
    </w:p>
    <w:p w:rsidR="007C4B77" w:rsidRPr="000C6590" w:rsidRDefault="007C4B77" w:rsidP="007C4B77">
      <w:pPr>
        <w:pStyle w:val="Rectitle"/>
        <w:spacing w:before="240"/>
        <w:rPr>
          <w:rFonts w:asciiTheme="minorHAnsi" w:hAnsiTheme="minorHAnsi" w:cstheme="minorHAnsi"/>
          <w:lang w:val="fr-CH"/>
        </w:rPr>
      </w:pPr>
      <w:r w:rsidRPr="000C6590">
        <w:rPr>
          <w:lang w:val="fr-CH"/>
        </w:rPr>
        <w:t>Codage vidéo pour les émissions de radiodiffusion télévisuelle numérique</w:t>
      </w:r>
    </w:p>
    <w:p w:rsidR="007C4B77" w:rsidRPr="00645528" w:rsidRDefault="007C4B77" w:rsidP="007C4B77">
      <w:pPr>
        <w:spacing w:before="120" w:line="240" w:lineRule="auto"/>
        <w:rPr>
          <w:spacing w:val="-10"/>
          <w:szCs w:val="24"/>
          <w:lang w:val="fr-CH" w:eastAsia="ja-JP"/>
        </w:rPr>
      </w:pPr>
      <w:r w:rsidRPr="00645528">
        <w:rPr>
          <w:spacing w:val="-10"/>
          <w:szCs w:val="24"/>
          <w:lang w:val="fr-CH" w:eastAsia="ja-JP"/>
        </w:rPr>
        <w:t>Cette révision a pour objet de faire figurer la Recommandation UIT</w:t>
      </w:r>
      <w:r w:rsidRPr="00645528">
        <w:rPr>
          <w:spacing w:val="-10"/>
          <w:szCs w:val="24"/>
          <w:lang w:val="fr-CH" w:eastAsia="ja-JP"/>
        </w:rPr>
        <w:noBreakHyphen/>
        <w:t>T H.265 | ISO/CEI 23008-2 (MPEG-H HEVC) parmi les normes de codage vidéo pour les systèmes d'émission de radiodiffusion télévisuelle numérique.</w:t>
      </w:r>
    </w:p>
    <w:p w:rsidR="007C4B77" w:rsidRPr="000C6590" w:rsidRDefault="007C4B77" w:rsidP="007C4B77">
      <w:pPr>
        <w:tabs>
          <w:tab w:val="right" w:pos="9639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>
        <w:rPr>
          <w:rFonts w:asciiTheme="minorHAnsi" w:hAnsiTheme="minorHAnsi" w:cstheme="minorHAnsi"/>
          <w:szCs w:val="24"/>
          <w:u w:val="single"/>
          <w:lang w:val="fr-CH"/>
        </w:rPr>
        <w:t>Projet de révision de la</w:t>
      </w:r>
      <w:r w:rsidRPr="000C6590">
        <w:rPr>
          <w:rFonts w:asciiTheme="minorHAnsi" w:hAnsiTheme="minorHAnsi" w:cstheme="minorHAnsi"/>
          <w:szCs w:val="24"/>
          <w:u w:val="single"/>
          <w:lang w:val="fr-CH"/>
        </w:rPr>
        <w:t xml:space="preserve"> </w:t>
      </w:r>
      <w:r>
        <w:rPr>
          <w:rFonts w:asciiTheme="minorHAnsi" w:hAnsiTheme="minorHAnsi" w:cstheme="minorHAnsi"/>
          <w:szCs w:val="24"/>
          <w:u w:val="single"/>
          <w:lang w:val="fr-CH"/>
        </w:rPr>
        <w:t>Recommandation UIT</w:t>
      </w:r>
      <w:r w:rsidRPr="000C6590">
        <w:rPr>
          <w:rFonts w:asciiTheme="minorHAnsi" w:hAnsiTheme="minorHAnsi" w:cstheme="minorHAnsi"/>
          <w:szCs w:val="24"/>
          <w:u w:val="single"/>
          <w:lang w:val="fr-CH"/>
        </w:rPr>
        <w:t xml:space="preserve">-R </w:t>
      </w:r>
      <w:r w:rsidRPr="000C6590">
        <w:rPr>
          <w:szCs w:val="24"/>
          <w:u w:val="single"/>
          <w:lang w:val="fr-CH"/>
        </w:rPr>
        <w:t>BT.2033-0</w:t>
      </w:r>
      <w:r w:rsidRPr="000C6590">
        <w:rPr>
          <w:rFonts w:asciiTheme="minorHAnsi" w:hAnsiTheme="minorHAnsi" w:cstheme="minorHAnsi"/>
          <w:szCs w:val="24"/>
          <w:lang w:val="fr-CH"/>
        </w:rPr>
        <w:tab/>
        <w:t>Doc. 6/301</w:t>
      </w:r>
      <w:r>
        <w:rPr>
          <w:rFonts w:asciiTheme="minorHAnsi" w:hAnsiTheme="minorHAnsi" w:cstheme="minorHAnsi"/>
          <w:szCs w:val="24"/>
          <w:lang w:val="fr-CH"/>
        </w:rPr>
        <w:t>(Rév.1)</w:t>
      </w:r>
    </w:p>
    <w:p w:rsidR="007C4B77" w:rsidRPr="000C6590" w:rsidRDefault="007C4B77" w:rsidP="007C4B77">
      <w:pPr>
        <w:pStyle w:val="Rectitle"/>
        <w:spacing w:before="240"/>
        <w:rPr>
          <w:lang w:val="fr-CH"/>
        </w:rPr>
      </w:pPr>
      <w:r w:rsidRPr="000C6590">
        <w:rPr>
          <w:lang w:val="fr-CH"/>
        </w:rPr>
        <w:t xml:space="preserve">Critères de planification, y compris les rapports de protection, des systèmes de radiodiffusion télévisuelle numérique de Terre de deuxième génération </w:t>
      </w:r>
      <w:r>
        <w:rPr>
          <w:lang w:val="fr-CH"/>
        </w:rPr>
        <w:br/>
      </w:r>
      <w:r w:rsidRPr="000C6590">
        <w:rPr>
          <w:lang w:val="fr-CH"/>
        </w:rPr>
        <w:t>dans les bandes d'ond</w:t>
      </w:r>
      <w:r>
        <w:rPr>
          <w:lang w:val="fr-CH"/>
        </w:rPr>
        <w:t>es métriques et décimétriques</w:t>
      </w:r>
    </w:p>
    <w:p w:rsidR="007C4B77" w:rsidRPr="000C6590" w:rsidRDefault="007C4B77" w:rsidP="007C4B77">
      <w:pPr>
        <w:spacing w:before="40" w:line="240" w:lineRule="auto"/>
        <w:rPr>
          <w:szCs w:val="24"/>
          <w:lang w:val="fr-CH" w:eastAsia="zh-CN"/>
        </w:rPr>
      </w:pPr>
      <w:r>
        <w:rPr>
          <w:szCs w:val="24"/>
          <w:lang w:val="fr-CH" w:eastAsia="zh-CN"/>
        </w:rPr>
        <w:t xml:space="preserve">Dans cette </w:t>
      </w:r>
      <w:r w:rsidRPr="000C6590">
        <w:rPr>
          <w:szCs w:val="24"/>
          <w:lang w:val="fr-CH" w:eastAsia="zh-CN"/>
        </w:rPr>
        <w:t>r</w:t>
      </w:r>
      <w:r>
        <w:rPr>
          <w:szCs w:val="24"/>
          <w:lang w:val="fr-CH" w:eastAsia="zh-CN"/>
        </w:rPr>
        <w:t>é</w:t>
      </w:r>
      <w:r w:rsidRPr="000C6590">
        <w:rPr>
          <w:szCs w:val="24"/>
          <w:lang w:val="fr-CH" w:eastAsia="zh-CN"/>
        </w:rPr>
        <w:t>vision</w:t>
      </w:r>
      <w:r>
        <w:rPr>
          <w:szCs w:val="24"/>
          <w:lang w:val="fr-CH" w:eastAsia="zh-CN"/>
        </w:rPr>
        <w:t>,</w:t>
      </w:r>
      <w:r w:rsidRPr="000C6590">
        <w:rPr>
          <w:szCs w:val="24"/>
          <w:lang w:val="fr-CH" w:eastAsia="zh-CN"/>
        </w:rPr>
        <w:t xml:space="preserve"> </w:t>
      </w:r>
      <w:r>
        <w:rPr>
          <w:szCs w:val="24"/>
          <w:lang w:val="fr-CH" w:eastAsia="zh-CN"/>
        </w:rPr>
        <w:t xml:space="preserve">les paramètres de planification pour le système </w:t>
      </w:r>
      <w:r w:rsidRPr="000C6590">
        <w:rPr>
          <w:szCs w:val="24"/>
          <w:lang w:val="fr-CH" w:eastAsia="zh-CN"/>
        </w:rPr>
        <w:t xml:space="preserve">DVB-T2 </w:t>
      </w:r>
      <w:r>
        <w:rPr>
          <w:szCs w:val="24"/>
          <w:lang w:val="fr-CH" w:eastAsia="zh-CN"/>
        </w:rPr>
        <w:t xml:space="preserve">à </w:t>
      </w:r>
      <w:r w:rsidRPr="000C6590">
        <w:rPr>
          <w:szCs w:val="24"/>
          <w:lang w:val="fr-CH" w:eastAsia="zh-CN"/>
        </w:rPr>
        <w:t>6 MHz</w:t>
      </w:r>
      <w:r>
        <w:rPr>
          <w:szCs w:val="24"/>
          <w:lang w:val="fr-CH" w:eastAsia="zh-CN"/>
        </w:rPr>
        <w:t xml:space="preserve"> sont mis à jour et de légères modifications de forme sont apportées pour préciser la largeur de bande de canal et le canal de réception utilisé</w:t>
      </w:r>
      <w:r w:rsidRPr="000C6590">
        <w:rPr>
          <w:szCs w:val="24"/>
          <w:lang w:val="fr-CH" w:eastAsia="zh-CN"/>
        </w:rPr>
        <w:t>.</w:t>
      </w:r>
    </w:p>
    <w:p w:rsidR="007C4B77" w:rsidRPr="00645528" w:rsidRDefault="007C4B77" w:rsidP="007C4B77">
      <w:pPr>
        <w:spacing w:before="40" w:line="240" w:lineRule="auto"/>
        <w:rPr>
          <w:spacing w:val="-6"/>
          <w:szCs w:val="24"/>
          <w:lang w:val="fr-CH" w:eastAsia="ja-JP"/>
        </w:rPr>
      </w:pPr>
      <w:r w:rsidRPr="00645528">
        <w:rPr>
          <w:spacing w:val="-6"/>
          <w:szCs w:val="24"/>
          <w:lang w:val="fr-CH" w:eastAsia="zh-CN"/>
        </w:rPr>
        <w:t xml:space="preserve">Le Tableau 21 est modifié afin d'indiquer des rapports de protection sans l'effet lié au décalage de fréquence facultatif ISDB-T et des notes sont ajoutées dans les Tableaux 22 et 23 pour décrire cet effet lié au décalage sur les rapports de protection pour le système DVB-T2. Le titre de l'Annexe 1 est modifié. </w:t>
      </w:r>
    </w:p>
    <w:p w:rsidR="007C4B77" w:rsidRPr="000C6590" w:rsidRDefault="007C4B77" w:rsidP="007C4B77">
      <w:pPr>
        <w:tabs>
          <w:tab w:val="right" w:pos="9639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>
        <w:rPr>
          <w:rFonts w:asciiTheme="minorHAnsi" w:hAnsiTheme="minorHAnsi" w:cstheme="minorHAnsi"/>
          <w:szCs w:val="24"/>
          <w:u w:val="single"/>
          <w:lang w:val="fr-CH"/>
        </w:rPr>
        <w:t>Projet de révision de la</w:t>
      </w:r>
      <w:r w:rsidRPr="000C6590">
        <w:rPr>
          <w:rFonts w:asciiTheme="minorHAnsi" w:hAnsiTheme="minorHAnsi" w:cstheme="minorHAnsi"/>
          <w:szCs w:val="24"/>
          <w:u w:val="single"/>
          <w:lang w:val="fr-CH"/>
        </w:rPr>
        <w:t xml:space="preserve"> </w:t>
      </w:r>
      <w:r>
        <w:rPr>
          <w:rFonts w:asciiTheme="minorHAnsi" w:hAnsiTheme="minorHAnsi" w:cstheme="minorHAnsi"/>
          <w:szCs w:val="24"/>
          <w:u w:val="single"/>
          <w:lang w:val="fr-CH"/>
        </w:rPr>
        <w:t>Recommandation UIT</w:t>
      </w:r>
      <w:r w:rsidRPr="000C6590">
        <w:rPr>
          <w:rFonts w:asciiTheme="minorHAnsi" w:hAnsiTheme="minorHAnsi" w:cstheme="minorHAnsi"/>
          <w:szCs w:val="24"/>
          <w:u w:val="single"/>
          <w:lang w:val="fr-CH"/>
        </w:rPr>
        <w:t xml:space="preserve">-R </w:t>
      </w:r>
      <w:r w:rsidRPr="000C6590">
        <w:rPr>
          <w:szCs w:val="24"/>
          <w:u w:val="single"/>
          <w:lang w:val="fr-CH" w:eastAsia="zh-CN"/>
        </w:rPr>
        <w:t>BT.1368-1</w:t>
      </w:r>
      <w:r w:rsidRPr="000C6590">
        <w:rPr>
          <w:szCs w:val="24"/>
          <w:u w:val="single"/>
          <w:lang w:val="fr-CH" w:eastAsia="ja-JP"/>
        </w:rPr>
        <w:t>1</w:t>
      </w:r>
      <w:r w:rsidRPr="000C6590">
        <w:rPr>
          <w:rFonts w:asciiTheme="minorHAnsi" w:hAnsiTheme="minorHAnsi" w:cstheme="minorHAnsi"/>
          <w:szCs w:val="24"/>
          <w:lang w:val="fr-CH"/>
        </w:rPr>
        <w:tab/>
        <w:t>Doc. 6/303</w:t>
      </w:r>
      <w:r>
        <w:rPr>
          <w:rFonts w:asciiTheme="minorHAnsi" w:hAnsiTheme="minorHAnsi" w:cstheme="minorHAnsi"/>
          <w:szCs w:val="24"/>
          <w:lang w:val="fr-CH"/>
        </w:rPr>
        <w:t>(Rév.1)</w:t>
      </w:r>
    </w:p>
    <w:p w:rsidR="007C4B77" w:rsidRPr="00645528" w:rsidRDefault="007C4B77" w:rsidP="007C4B77">
      <w:pPr>
        <w:pStyle w:val="Rectitle"/>
        <w:spacing w:before="240"/>
        <w:rPr>
          <w:w w:val="95"/>
          <w:lang w:val="fr-CH" w:eastAsia="zh-CN"/>
        </w:rPr>
      </w:pPr>
      <w:r w:rsidRPr="00645528">
        <w:rPr>
          <w:w w:val="95"/>
          <w:lang w:val="fr-CH" w:eastAsia="zh-CN"/>
        </w:rPr>
        <w:t>Critères de planification, y compris rapports de protection, pour les services de télévision numérique de Terre dans les bandes d'ondes métriques et décimétriques</w:t>
      </w:r>
    </w:p>
    <w:p w:rsidR="007C4B77" w:rsidRPr="000C6590" w:rsidRDefault="007C4B77" w:rsidP="007C4B77">
      <w:pPr>
        <w:spacing w:before="120" w:line="240" w:lineRule="auto"/>
        <w:rPr>
          <w:szCs w:val="24"/>
          <w:lang w:val="fr-CH" w:eastAsia="ja-JP"/>
        </w:rPr>
      </w:pPr>
      <w:r>
        <w:rPr>
          <w:szCs w:val="24"/>
          <w:lang w:val="fr-CH"/>
        </w:rPr>
        <w:t xml:space="preserve">Cette révision a pour objet d'ajouter des critères de planification entre systèmes </w:t>
      </w:r>
      <w:r w:rsidRPr="000C6590">
        <w:rPr>
          <w:szCs w:val="24"/>
          <w:lang w:val="fr-CH" w:eastAsia="ja-JP"/>
        </w:rPr>
        <w:t xml:space="preserve">ISDB-T </w:t>
      </w:r>
      <w:r>
        <w:rPr>
          <w:szCs w:val="24"/>
          <w:lang w:val="fr-CH" w:eastAsia="ja-JP"/>
        </w:rPr>
        <w:t xml:space="preserve">et </w:t>
      </w:r>
      <w:r w:rsidRPr="000C6590">
        <w:rPr>
          <w:szCs w:val="24"/>
          <w:lang w:val="fr-CH" w:eastAsia="ja-JP"/>
        </w:rPr>
        <w:t xml:space="preserve">DVB-T2 </w:t>
      </w:r>
      <w:r>
        <w:rPr>
          <w:szCs w:val="24"/>
          <w:lang w:val="fr-CH"/>
        </w:rPr>
        <w:t xml:space="preserve">à 6 MHz </w:t>
      </w:r>
      <w:r>
        <w:rPr>
          <w:szCs w:val="24"/>
          <w:lang w:val="fr-CH" w:eastAsia="ja-JP"/>
        </w:rPr>
        <w:t>et des critères de planification concernant le système DTMB à 6 MHz</w:t>
      </w:r>
      <w:r w:rsidRPr="000C6590">
        <w:rPr>
          <w:szCs w:val="24"/>
          <w:lang w:val="fr-CH" w:eastAsia="ja-JP"/>
        </w:rPr>
        <w:t xml:space="preserve">, </w:t>
      </w:r>
      <w:r>
        <w:rPr>
          <w:szCs w:val="24"/>
          <w:lang w:val="fr-CH" w:eastAsia="ja-JP"/>
        </w:rPr>
        <w:t xml:space="preserve">ainsi que des </w:t>
      </w:r>
      <w:r w:rsidRPr="000C6590">
        <w:rPr>
          <w:szCs w:val="24"/>
          <w:lang w:val="fr-CH" w:eastAsia="ja-JP"/>
        </w:rPr>
        <w:t>information</w:t>
      </w:r>
      <w:r>
        <w:rPr>
          <w:szCs w:val="24"/>
          <w:lang w:val="fr-CH" w:eastAsia="ja-JP"/>
        </w:rPr>
        <w:t>s</w:t>
      </w:r>
      <w:r w:rsidRPr="000C6590">
        <w:rPr>
          <w:szCs w:val="24"/>
          <w:lang w:val="fr-CH" w:eastAsia="ja-JP"/>
        </w:rPr>
        <w:t xml:space="preserve"> </w:t>
      </w:r>
      <w:r>
        <w:rPr>
          <w:szCs w:val="24"/>
          <w:lang w:val="fr-CH" w:eastAsia="ja-JP"/>
        </w:rPr>
        <w:t xml:space="preserve">sur la méthode du seuil subjectif de dégradation </w:t>
      </w:r>
      <w:r w:rsidRPr="000C6590">
        <w:rPr>
          <w:szCs w:val="24"/>
          <w:lang w:val="fr-CH" w:eastAsia="ja-JP"/>
        </w:rPr>
        <w:t xml:space="preserve">(SFP) </w:t>
      </w:r>
      <w:r>
        <w:rPr>
          <w:szCs w:val="24"/>
          <w:lang w:val="fr-CH" w:eastAsia="ja-JP"/>
        </w:rPr>
        <w:t xml:space="preserve">pour les mesures du rapport de </w:t>
      </w:r>
      <w:r w:rsidRPr="000C6590">
        <w:rPr>
          <w:szCs w:val="24"/>
          <w:lang w:val="fr-CH" w:eastAsia="ja-JP"/>
        </w:rPr>
        <w:t xml:space="preserve">protection </w:t>
      </w:r>
      <w:r>
        <w:rPr>
          <w:szCs w:val="24"/>
          <w:lang w:val="fr-CH" w:eastAsia="ja-JP"/>
        </w:rPr>
        <w:t xml:space="preserve">pour le système de télévision </w:t>
      </w:r>
      <w:r w:rsidRPr="000C6590">
        <w:rPr>
          <w:szCs w:val="24"/>
          <w:lang w:val="fr-CH" w:eastAsia="ja-JP"/>
        </w:rPr>
        <w:t>ATSC.</w:t>
      </w:r>
    </w:p>
    <w:p w:rsidR="007C4B77" w:rsidRPr="000C6590" w:rsidRDefault="007C4B77" w:rsidP="007C4B77">
      <w:pPr>
        <w:tabs>
          <w:tab w:val="right" w:pos="9639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>
        <w:rPr>
          <w:rFonts w:asciiTheme="minorHAnsi" w:hAnsiTheme="minorHAnsi" w:cstheme="minorHAnsi"/>
          <w:szCs w:val="24"/>
          <w:u w:val="single"/>
          <w:lang w:val="fr-CH"/>
        </w:rPr>
        <w:t>Projet de révision de la</w:t>
      </w:r>
      <w:r w:rsidRPr="000C6590">
        <w:rPr>
          <w:rFonts w:asciiTheme="minorHAnsi" w:hAnsiTheme="minorHAnsi" w:cstheme="minorHAnsi"/>
          <w:szCs w:val="24"/>
          <w:u w:val="single"/>
          <w:lang w:val="fr-CH"/>
        </w:rPr>
        <w:t xml:space="preserve"> </w:t>
      </w:r>
      <w:r>
        <w:rPr>
          <w:rFonts w:asciiTheme="minorHAnsi" w:hAnsiTheme="minorHAnsi" w:cstheme="minorHAnsi"/>
          <w:szCs w:val="24"/>
          <w:u w:val="single"/>
          <w:lang w:val="fr-CH"/>
        </w:rPr>
        <w:t>Recommandation UIT</w:t>
      </w:r>
      <w:r w:rsidRPr="000C6590">
        <w:rPr>
          <w:rFonts w:asciiTheme="minorHAnsi" w:hAnsiTheme="minorHAnsi" w:cstheme="minorHAnsi"/>
          <w:szCs w:val="24"/>
          <w:u w:val="single"/>
          <w:lang w:val="fr-CH"/>
        </w:rPr>
        <w:t xml:space="preserve">-R </w:t>
      </w:r>
      <w:r w:rsidRPr="000C6590">
        <w:rPr>
          <w:szCs w:val="24"/>
          <w:u w:val="single"/>
          <w:lang w:val="fr-CH" w:eastAsia="zh-CN"/>
        </w:rPr>
        <w:t>BS.1196-3</w:t>
      </w:r>
      <w:r w:rsidRPr="000C6590">
        <w:rPr>
          <w:rFonts w:asciiTheme="minorHAnsi" w:hAnsiTheme="minorHAnsi" w:cstheme="minorHAnsi"/>
          <w:szCs w:val="24"/>
          <w:lang w:val="fr-CH"/>
        </w:rPr>
        <w:tab/>
        <w:t>Doc. 6/309</w:t>
      </w:r>
      <w:r>
        <w:rPr>
          <w:rFonts w:asciiTheme="minorHAnsi" w:hAnsiTheme="minorHAnsi" w:cstheme="minorHAnsi"/>
          <w:szCs w:val="24"/>
          <w:lang w:val="fr-CH"/>
        </w:rPr>
        <w:t>(Rév.1)</w:t>
      </w:r>
    </w:p>
    <w:p w:rsidR="007C4B77" w:rsidRPr="000C6590" w:rsidRDefault="007C4B77" w:rsidP="007C4B77">
      <w:pPr>
        <w:pStyle w:val="Rectitle"/>
        <w:spacing w:before="240"/>
        <w:rPr>
          <w:lang w:val="fr-CH" w:eastAsia="zh-CN"/>
        </w:rPr>
      </w:pPr>
      <w:r w:rsidRPr="000C6590">
        <w:rPr>
          <w:lang w:val="fr-CH" w:eastAsia="zh-CN"/>
        </w:rPr>
        <w:t>Codage audio pour la radiodiffusion numérique</w:t>
      </w:r>
    </w:p>
    <w:p w:rsidR="007C4B77" w:rsidRPr="000C6590" w:rsidRDefault="007C4B77" w:rsidP="00645528">
      <w:pPr>
        <w:spacing w:before="120" w:line="240" w:lineRule="auto"/>
        <w:rPr>
          <w:rFonts w:asciiTheme="minorHAnsi" w:eastAsiaTheme="majorEastAsia" w:hAnsiTheme="minorHAnsi" w:cstheme="majorBidi"/>
          <w:szCs w:val="24"/>
          <w:lang w:val="fr-CH" w:eastAsia="ja-JP"/>
        </w:rPr>
      </w:pPr>
      <w:r>
        <w:rPr>
          <w:rFonts w:asciiTheme="minorHAnsi" w:eastAsiaTheme="majorEastAsia" w:hAnsiTheme="minorHAnsi" w:cstheme="majorBidi"/>
          <w:szCs w:val="24"/>
          <w:lang w:val="fr-CH" w:eastAsia="ja-JP"/>
        </w:rPr>
        <w:t xml:space="preserve">Cette </w:t>
      </w:r>
      <w:r w:rsidRPr="000C6590">
        <w:rPr>
          <w:rFonts w:asciiTheme="minorHAnsi" w:eastAsiaTheme="majorEastAsia" w:hAnsiTheme="minorHAnsi" w:cstheme="majorBidi"/>
          <w:szCs w:val="24"/>
          <w:lang w:val="fr-CH" w:eastAsia="ja-JP"/>
        </w:rPr>
        <w:t>r</w:t>
      </w:r>
      <w:r>
        <w:rPr>
          <w:rFonts w:asciiTheme="minorHAnsi" w:eastAsiaTheme="majorEastAsia" w:hAnsiTheme="minorHAnsi" w:cstheme="majorBidi"/>
          <w:szCs w:val="24"/>
          <w:lang w:val="fr-CH" w:eastAsia="ja-JP"/>
        </w:rPr>
        <w:t>é</w:t>
      </w:r>
      <w:r w:rsidRPr="000C6590">
        <w:rPr>
          <w:rFonts w:asciiTheme="minorHAnsi" w:eastAsiaTheme="majorEastAsia" w:hAnsiTheme="minorHAnsi" w:cstheme="majorBidi"/>
          <w:szCs w:val="24"/>
          <w:lang w:val="fr-CH" w:eastAsia="ja-JP"/>
        </w:rPr>
        <w:t>vision</w:t>
      </w:r>
      <w:r>
        <w:rPr>
          <w:rFonts w:asciiTheme="minorHAnsi" w:eastAsiaTheme="majorEastAsia" w:hAnsiTheme="minorHAnsi" w:cstheme="majorBidi"/>
          <w:szCs w:val="24"/>
          <w:lang w:val="fr-CH" w:eastAsia="ja-JP"/>
        </w:rPr>
        <w:t xml:space="preserve"> a pour objet</w:t>
      </w:r>
      <w:r w:rsidRPr="000C6590">
        <w:rPr>
          <w:rFonts w:asciiTheme="minorHAnsi" w:eastAsiaTheme="majorEastAsia" w:hAnsiTheme="minorHAnsi" w:cstheme="majorBidi"/>
          <w:szCs w:val="24"/>
          <w:lang w:val="fr-CH" w:eastAsia="ja-JP"/>
        </w:rPr>
        <w:t>:</w:t>
      </w:r>
    </w:p>
    <w:p w:rsidR="007C4B77" w:rsidRPr="000C6590" w:rsidRDefault="007C4B77" w:rsidP="007C4B77">
      <w:pPr>
        <w:spacing w:before="0" w:line="240" w:lineRule="auto"/>
        <w:rPr>
          <w:rFonts w:eastAsiaTheme="majorEastAsia"/>
          <w:szCs w:val="24"/>
          <w:lang w:val="fr-CH" w:eastAsia="ja-JP"/>
        </w:rPr>
      </w:pPr>
      <w:r w:rsidRPr="000C6590">
        <w:rPr>
          <w:rFonts w:eastAsiaTheme="majorEastAsia"/>
          <w:szCs w:val="24"/>
          <w:lang w:val="fr-CH"/>
        </w:rPr>
        <w:t>1</w:t>
      </w:r>
      <w:r>
        <w:rPr>
          <w:rFonts w:eastAsiaTheme="majorEastAsia"/>
          <w:szCs w:val="24"/>
          <w:lang w:val="fr-CH"/>
        </w:rPr>
        <w:t>)</w:t>
      </w:r>
      <w:r w:rsidRPr="000C6590">
        <w:rPr>
          <w:rFonts w:eastAsiaTheme="majorEastAsia"/>
          <w:szCs w:val="24"/>
          <w:lang w:val="fr-CH"/>
        </w:rPr>
        <w:tab/>
      </w:r>
      <w:r>
        <w:rPr>
          <w:rFonts w:eastAsiaTheme="majorEastAsia"/>
          <w:szCs w:val="24"/>
          <w:lang w:val="fr-CH"/>
        </w:rPr>
        <w:t xml:space="preserve">de modifier le </w:t>
      </w:r>
      <w:r w:rsidRPr="00F908D9">
        <w:rPr>
          <w:rFonts w:eastAsiaTheme="majorEastAsia"/>
          <w:i/>
          <w:szCs w:val="24"/>
          <w:lang w:val="fr-CH"/>
        </w:rPr>
        <w:t>considérant</w:t>
      </w:r>
      <w:r w:rsidRPr="000C6590">
        <w:rPr>
          <w:rFonts w:eastAsiaTheme="majorEastAsia"/>
          <w:szCs w:val="24"/>
          <w:lang w:val="fr-CH"/>
        </w:rPr>
        <w:t xml:space="preserve"> </w:t>
      </w:r>
      <w:r>
        <w:rPr>
          <w:rFonts w:eastAsiaTheme="majorEastAsia"/>
          <w:szCs w:val="24"/>
          <w:lang w:val="fr-CH"/>
        </w:rPr>
        <w:t xml:space="preserve">et le </w:t>
      </w:r>
      <w:r w:rsidRPr="00F908D9">
        <w:rPr>
          <w:rFonts w:eastAsiaTheme="majorEastAsia"/>
          <w:i/>
          <w:szCs w:val="24"/>
          <w:lang w:val="fr-CH"/>
        </w:rPr>
        <w:t>recommande en outre</w:t>
      </w:r>
      <w:r>
        <w:rPr>
          <w:rFonts w:eastAsiaTheme="majorEastAsia"/>
          <w:szCs w:val="24"/>
          <w:lang w:val="fr-CH"/>
        </w:rPr>
        <w:t>;</w:t>
      </w:r>
    </w:p>
    <w:p w:rsidR="007C4B77" w:rsidRPr="000C6590" w:rsidRDefault="007C4B77" w:rsidP="007C4B77">
      <w:pPr>
        <w:spacing w:before="0" w:line="240" w:lineRule="auto"/>
        <w:rPr>
          <w:rFonts w:eastAsiaTheme="majorEastAsia"/>
          <w:lang w:val="fr-CH" w:eastAsia="ja-JP"/>
        </w:rPr>
      </w:pPr>
      <w:r w:rsidRPr="000C6590">
        <w:rPr>
          <w:rFonts w:eastAsiaTheme="majorEastAsia"/>
          <w:lang w:val="fr-CH"/>
        </w:rPr>
        <w:t>2</w:t>
      </w:r>
      <w:r>
        <w:rPr>
          <w:rFonts w:eastAsiaTheme="majorEastAsia"/>
          <w:szCs w:val="24"/>
          <w:lang w:val="fr-CH"/>
        </w:rPr>
        <w:t>)</w:t>
      </w:r>
      <w:r w:rsidRPr="000C6590">
        <w:rPr>
          <w:rFonts w:eastAsiaTheme="majorEastAsia"/>
          <w:lang w:val="fr-CH"/>
        </w:rPr>
        <w:tab/>
      </w:r>
      <w:r>
        <w:rPr>
          <w:rFonts w:eastAsiaTheme="majorEastAsia"/>
          <w:lang w:val="fr-CH"/>
        </w:rPr>
        <w:t xml:space="preserve">de mettre à jour le </w:t>
      </w:r>
      <w:r w:rsidRPr="000C6590">
        <w:rPr>
          <w:rFonts w:eastAsiaTheme="majorEastAsia"/>
          <w:lang w:val="fr-CH"/>
        </w:rPr>
        <w:t>Table</w:t>
      </w:r>
      <w:r>
        <w:rPr>
          <w:rFonts w:eastAsiaTheme="majorEastAsia"/>
          <w:lang w:val="fr-CH"/>
        </w:rPr>
        <w:t>au</w:t>
      </w:r>
      <w:r w:rsidRPr="000C6590">
        <w:rPr>
          <w:rFonts w:eastAsiaTheme="majorEastAsia"/>
          <w:lang w:val="fr-CH"/>
        </w:rPr>
        <w:t xml:space="preserve"> 2 </w:t>
      </w:r>
      <w:r>
        <w:rPr>
          <w:rFonts w:eastAsiaTheme="majorEastAsia"/>
          <w:lang w:val="fr-CH"/>
        </w:rPr>
        <w:t>de l'</w:t>
      </w:r>
      <w:r w:rsidRPr="000C6590">
        <w:rPr>
          <w:rFonts w:eastAsiaTheme="majorEastAsia"/>
          <w:lang w:val="fr-CH"/>
        </w:rPr>
        <w:t>Appendi</w:t>
      </w:r>
      <w:r>
        <w:rPr>
          <w:rFonts w:eastAsiaTheme="majorEastAsia"/>
          <w:lang w:val="fr-CH"/>
        </w:rPr>
        <w:t>ce </w:t>
      </w:r>
      <w:r w:rsidRPr="000C6590">
        <w:rPr>
          <w:rFonts w:eastAsiaTheme="majorEastAsia"/>
          <w:lang w:val="fr-CH"/>
        </w:rPr>
        <w:t>2</w:t>
      </w:r>
      <w:r>
        <w:rPr>
          <w:rFonts w:eastAsiaTheme="majorEastAsia"/>
          <w:lang w:val="fr-CH"/>
        </w:rPr>
        <w:t>;</w:t>
      </w:r>
    </w:p>
    <w:p w:rsidR="00F70BB3" w:rsidRDefault="007C4B77" w:rsidP="00F70BB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eastAsiaTheme="majorEastAsia"/>
          <w:lang w:val="fr-CH"/>
        </w:rPr>
      </w:pPr>
      <w:r w:rsidRPr="000C6590">
        <w:rPr>
          <w:rFonts w:eastAsiaTheme="majorEastAsia"/>
          <w:lang w:val="fr-CH"/>
        </w:rPr>
        <w:t>3</w:t>
      </w:r>
      <w:r>
        <w:rPr>
          <w:rFonts w:eastAsiaTheme="majorEastAsia"/>
          <w:szCs w:val="24"/>
          <w:lang w:val="fr-CH"/>
        </w:rPr>
        <w:t>)</w:t>
      </w:r>
      <w:r w:rsidRPr="000C6590">
        <w:rPr>
          <w:rFonts w:eastAsiaTheme="majorEastAsia"/>
          <w:lang w:val="fr-CH"/>
        </w:rPr>
        <w:tab/>
      </w:r>
      <w:r>
        <w:rPr>
          <w:rFonts w:eastAsiaTheme="majorEastAsia"/>
          <w:lang w:val="fr-CH"/>
        </w:rPr>
        <w:t xml:space="preserve">de préciser que les </w:t>
      </w:r>
      <w:r w:rsidRPr="000C6590">
        <w:rPr>
          <w:rFonts w:eastAsiaTheme="majorEastAsia"/>
          <w:lang w:val="fr-CH"/>
        </w:rPr>
        <w:t xml:space="preserve">Appendices </w:t>
      </w:r>
      <w:r>
        <w:rPr>
          <w:rFonts w:eastAsiaTheme="majorEastAsia"/>
          <w:lang w:val="fr-CH"/>
        </w:rPr>
        <w:t>sont informatifs</w:t>
      </w:r>
      <w:r w:rsidRPr="000C6590">
        <w:rPr>
          <w:rFonts w:eastAsiaTheme="majorEastAsia"/>
          <w:lang w:val="fr-CH"/>
        </w:rPr>
        <w:t>.</w:t>
      </w:r>
      <w:r w:rsidR="00F70BB3">
        <w:rPr>
          <w:rFonts w:eastAsiaTheme="majorEastAsia"/>
          <w:lang w:val="fr-CH"/>
        </w:rPr>
        <w:br w:type="page"/>
      </w:r>
    </w:p>
    <w:p w:rsidR="004256F2" w:rsidRPr="00D4038A" w:rsidRDefault="004256F2" w:rsidP="004256F2">
      <w:pPr>
        <w:pStyle w:val="AnnexNotitle0"/>
        <w:rPr>
          <w:rFonts w:asciiTheme="minorHAnsi" w:hAnsiTheme="minorHAnsi"/>
          <w:szCs w:val="28"/>
          <w:lang w:val="fr-CH"/>
        </w:rPr>
      </w:pPr>
      <w:bookmarkStart w:id="1" w:name="_GoBack"/>
      <w:bookmarkEnd w:id="1"/>
      <w:r w:rsidRPr="00D4038A">
        <w:rPr>
          <w:rFonts w:asciiTheme="minorHAnsi" w:hAnsiTheme="minorHAnsi"/>
          <w:szCs w:val="28"/>
          <w:lang w:val="fr-CH"/>
        </w:rPr>
        <w:lastRenderedPageBreak/>
        <w:t>Annexe 2</w:t>
      </w:r>
    </w:p>
    <w:p w:rsidR="004256F2" w:rsidRPr="00CC4260" w:rsidRDefault="004256F2" w:rsidP="00502BB4">
      <w:pPr>
        <w:spacing w:before="360"/>
        <w:jc w:val="center"/>
        <w:rPr>
          <w:rFonts w:asciiTheme="minorHAnsi" w:hAnsiTheme="minorHAnsi"/>
          <w:lang w:val="fr-CH"/>
        </w:rPr>
      </w:pPr>
      <w:r w:rsidRPr="00CC4260">
        <w:rPr>
          <w:rFonts w:asciiTheme="minorHAnsi" w:hAnsiTheme="minorHAnsi"/>
          <w:lang w:val="fr-CH"/>
        </w:rPr>
        <w:t xml:space="preserve">(Source: </w:t>
      </w:r>
      <w:r w:rsidR="00502BB4" w:rsidRPr="00CC109F">
        <w:rPr>
          <w:rFonts w:asciiTheme="minorHAnsi" w:hAnsiTheme="minorHAnsi" w:cstheme="minorHAnsi"/>
          <w:szCs w:val="24"/>
          <w:lang w:val="fr-CH"/>
        </w:rPr>
        <w:t>Documents 6/279 and 6/280</w:t>
      </w:r>
      <w:r w:rsidRPr="00CC4260">
        <w:rPr>
          <w:rFonts w:asciiTheme="minorHAnsi" w:hAnsiTheme="minorHAnsi"/>
          <w:lang w:val="fr-CH"/>
        </w:rPr>
        <w:t>)</w:t>
      </w:r>
    </w:p>
    <w:p w:rsidR="004256F2" w:rsidRPr="00D4038A" w:rsidRDefault="006C003D" w:rsidP="006C003D">
      <w:pPr>
        <w:pStyle w:val="AnnexNoTitle"/>
        <w:rPr>
          <w:sz w:val="28"/>
          <w:szCs w:val="24"/>
          <w:lang w:val="fr-CH"/>
        </w:rPr>
      </w:pPr>
      <w:r>
        <w:rPr>
          <w:sz w:val="28"/>
          <w:szCs w:val="24"/>
          <w:lang w:val="fr-CH"/>
        </w:rPr>
        <w:t>Recommandation</w:t>
      </w:r>
      <w:r w:rsidR="004256F2" w:rsidRPr="00D4038A">
        <w:rPr>
          <w:sz w:val="28"/>
          <w:szCs w:val="24"/>
          <w:lang w:val="fr-CH"/>
        </w:rPr>
        <w:t>s dont la suppression est proposée</w:t>
      </w:r>
    </w:p>
    <w:p w:rsidR="004256F2" w:rsidRPr="00CC4260" w:rsidRDefault="004256F2" w:rsidP="004256F2">
      <w:pPr>
        <w:jc w:val="center"/>
        <w:rPr>
          <w:lang w:val="fr-C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7"/>
        <w:gridCol w:w="7412"/>
      </w:tblGrid>
      <w:tr w:rsidR="00502BB4" w:rsidTr="00A92AEA">
        <w:tc>
          <w:tcPr>
            <w:tcW w:w="2235" w:type="dxa"/>
          </w:tcPr>
          <w:p w:rsidR="00502BB4" w:rsidRDefault="00502BB4" w:rsidP="00A92AEA">
            <w:pPr>
              <w:pStyle w:val="Tablehead"/>
              <w:rPr>
                <w:lang w:val="en-GB"/>
              </w:rPr>
            </w:pPr>
            <w:r>
              <w:rPr>
                <w:lang w:val="en-GB"/>
              </w:rPr>
              <w:t>Recommendation ITU-R</w:t>
            </w:r>
          </w:p>
        </w:tc>
        <w:tc>
          <w:tcPr>
            <w:tcW w:w="7620" w:type="dxa"/>
          </w:tcPr>
          <w:p w:rsidR="00502BB4" w:rsidRDefault="00502BB4" w:rsidP="00A92AEA">
            <w:pPr>
              <w:pStyle w:val="Tablehead"/>
              <w:rPr>
                <w:lang w:val="en-GB"/>
              </w:rPr>
            </w:pPr>
            <w:r>
              <w:rPr>
                <w:lang w:val="en-GB"/>
              </w:rPr>
              <w:t>Title</w:t>
            </w:r>
          </w:p>
        </w:tc>
      </w:tr>
      <w:tr w:rsidR="00502BB4" w:rsidRPr="00F70BB3" w:rsidTr="00A92AEA">
        <w:tc>
          <w:tcPr>
            <w:tcW w:w="2235" w:type="dxa"/>
          </w:tcPr>
          <w:p w:rsidR="00502BB4" w:rsidRDefault="00502BB4" w:rsidP="00A92AEA">
            <w:pPr>
              <w:pStyle w:val="Tabletext"/>
              <w:jc w:val="center"/>
              <w:rPr>
                <w:lang w:val="en-GB"/>
              </w:rPr>
            </w:pPr>
            <w:r w:rsidRPr="00A2609A">
              <w:rPr>
                <w:rStyle w:val="href"/>
              </w:rPr>
              <w:t>BT.1361</w:t>
            </w:r>
            <w:r>
              <w:rPr>
                <w:rStyle w:val="href"/>
              </w:rPr>
              <w:t>-0</w:t>
            </w:r>
          </w:p>
        </w:tc>
        <w:tc>
          <w:tcPr>
            <w:tcW w:w="7620" w:type="dxa"/>
          </w:tcPr>
          <w:p w:rsidR="00502BB4" w:rsidRPr="00CC109F" w:rsidRDefault="00502BB4" w:rsidP="00A92AEA">
            <w:pPr>
              <w:pStyle w:val="Tabletext"/>
              <w:rPr>
                <w:lang w:val="fr-CH"/>
              </w:rPr>
            </w:pPr>
            <w:bookmarkStart w:id="2" w:name="Pre_title"/>
            <w:r w:rsidRPr="00CC109F">
              <w:rPr>
                <w:lang w:val="fr-CH"/>
              </w:rPr>
              <w:t xml:space="preserve">Caractéristiques colorimétriques et caractéristiques connexes unifiées </w:t>
            </w:r>
            <w:r w:rsidRPr="00CC109F">
              <w:rPr>
                <w:lang w:val="fr-CH"/>
              </w:rPr>
              <w:br/>
              <w:t>à l'échelle mondiale des futurs systèmes de télévision et d'imagerie</w:t>
            </w:r>
            <w:bookmarkEnd w:id="2"/>
          </w:p>
        </w:tc>
      </w:tr>
      <w:tr w:rsidR="00502BB4" w:rsidRPr="00F70BB3" w:rsidTr="00A92AEA">
        <w:tc>
          <w:tcPr>
            <w:tcW w:w="2235" w:type="dxa"/>
          </w:tcPr>
          <w:p w:rsidR="00502BB4" w:rsidRPr="00A2609A" w:rsidRDefault="00502BB4" w:rsidP="00A92AEA">
            <w:pPr>
              <w:pStyle w:val="Tabletext"/>
              <w:jc w:val="center"/>
              <w:rPr>
                <w:rStyle w:val="href"/>
              </w:rPr>
            </w:pPr>
            <w:r>
              <w:rPr>
                <w:rStyle w:val="href"/>
              </w:rPr>
              <w:t>BT</w:t>
            </w:r>
            <w:r w:rsidRPr="00BF487A">
              <w:rPr>
                <w:rStyle w:val="href"/>
              </w:rPr>
              <w:t>.</w:t>
            </w:r>
            <w:r w:rsidRPr="003142AA">
              <w:rPr>
                <w:rStyle w:val="href"/>
              </w:rPr>
              <w:t>1358</w:t>
            </w:r>
            <w:r w:rsidRPr="00C223A8">
              <w:rPr>
                <w:rStyle w:val="href"/>
              </w:rPr>
              <w:t>-1</w:t>
            </w:r>
          </w:p>
        </w:tc>
        <w:tc>
          <w:tcPr>
            <w:tcW w:w="7620" w:type="dxa"/>
          </w:tcPr>
          <w:p w:rsidR="00502BB4" w:rsidRPr="00CC109F" w:rsidRDefault="00502BB4" w:rsidP="00502BB4">
            <w:pPr>
              <w:pStyle w:val="Tabletext"/>
              <w:rPr>
                <w:lang w:val="fr-CH"/>
              </w:rPr>
            </w:pPr>
            <w:r w:rsidRPr="00CC109F">
              <w:rPr>
                <w:lang w:val="fr-CH"/>
              </w:rPr>
              <w:t>Paramètres de studio des systèmes de télévision à balayage progressif 625 et 525 lignes</w:t>
            </w:r>
          </w:p>
        </w:tc>
      </w:tr>
    </w:tbl>
    <w:p w:rsidR="004256F2" w:rsidRPr="00CC4260" w:rsidRDefault="004256F2" w:rsidP="004256F2">
      <w:pPr>
        <w:jc w:val="center"/>
        <w:rPr>
          <w:lang w:val="fr-CH"/>
        </w:rPr>
      </w:pPr>
    </w:p>
    <w:p w:rsidR="004256F2" w:rsidRPr="00CC4260" w:rsidRDefault="004256F2" w:rsidP="004256F2">
      <w:pPr>
        <w:rPr>
          <w:lang w:val="fr-CH"/>
        </w:rPr>
      </w:pPr>
    </w:p>
    <w:p w:rsidR="00A54301" w:rsidRPr="00CC4260" w:rsidRDefault="00A54301" w:rsidP="0032202E">
      <w:pPr>
        <w:pStyle w:val="Reasons"/>
        <w:rPr>
          <w:lang w:val="fr-CH"/>
        </w:rPr>
      </w:pPr>
    </w:p>
    <w:p w:rsidR="004256F2" w:rsidRPr="00CC4260" w:rsidRDefault="00A54301" w:rsidP="006C003D">
      <w:pPr>
        <w:jc w:val="center"/>
        <w:rPr>
          <w:lang w:val="fr-CH"/>
        </w:rPr>
      </w:pPr>
      <w:r w:rsidRPr="00CC4260">
        <w:rPr>
          <w:lang w:val="fr-CH"/>
        </w:rPr>
        <w:t>______________</w:t>
      </w:r>
    </w:p>
    <w:sectPr w:rsidR="004256F2" w:rsidRPr="00CC4260" w:rsidSect="00031E64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3CD" w:rsidRDefault="003A13CD">
      <w:r>
        <w:separator/>
      </w:r>
    </w:p>
  </w:endnote>
  <w:endnote w:type="continuationSeparator" w:id="0">
    <w:p w:rsidR="003A13CD" w:rsidRDefault="003A1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735" w:rsidRDefault="00FE2735" w:rsidP="007C4B77">
    <w:pPr>
      <w:pStyle w:val="Footer"/>
      <w:spacing w:befor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E915AF" w:rsidRDefault="00E915AF" w:rsidP="00F424BF">
    <w:pPr>
      <w:pStyle w:val="FirstFooter"/>
      <w:spacing w:before="0" w:line="240" w:lineRule="auto"/>
      <w:ind w:left="-397" w:right="-397"/>
      <w:rPr>
        <w:vanish/>
        <w:sz w:val="22"/>
        <w:szCs w:val="18"/>
      </w:rPr>
    </w:pPr>
  </w:p>
  <w:p w:rsidR="00E915AF" w:rsidRPr="005224A1" w:rsidRDefault="00E915AF" w:rsidP="00406D71">
    <w:pPr>
      <w:pStyle w:val="FirstFooter"/>
      <w:spacing w:before="0" w:line="240" w:lineRule="auto"/>
      <w:ind w:left="-397" w:right="-397"/>
      <w:rPr>
        <w:sz w:val="20"/>
        <w:szCs w:val="18"/>
      </w:rPr>
    </w:pPr>
  </w:p>
  <w:p w:rsidR="00E915AF" w:rsidRPr="00E53DCE" w:rsidRDefault="00E53DCE" w:rsidP="00E53DCE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E53DCE">
      <w:rPr>
        <w:sz w:val="18"/>
        <w:szCs w:val="18"/>
        <w:lang w:val="fr-FR"/>
      </w:rPr>
      <w:t>Union internationale des télécommunications</w:t>
    </w:r>
    <w:r w:rsidRPr="009E2358">
      <w:rPr>
        <w:sz w:val="18"/>
        <w:szCs w:val="18"/>
        <w:lang w:val="fr-CH"/>
      </w:rPr>
      <w:t xml:space="preserve"> • Place des Nations • CH</w:t>
    </w:r>
    <w:r w:rsidRPr="009E2358">
      <w:rPr>
        <w:sz w:val="18"/>
        <w:szCs w:val="18"/>
        <w:lang w:val="fr-CH"/>
      </w:rPr>
      <w:noBreakHyphen/>
      <w:t xml:space="preserve">1211 </w:t>
    </w:r>
    <w:r w:rsidRPr="00E53DCE">
      <w:rPr>
        <w:sz w:val="18"/>
        <w:szCs w:val="18"/>
        <w:lang w:val="fr-FR"/>
      </w:rPr>
      <w:t xml:space="preserve">Genève </w:t>
    </w:r>
    <w:r w:rsidRPr="009E2358">
      <w:rPr>
        <w:sz w:val="18"/>
        <w:szCs w:val="18"/>
        <w:lang w:val="fr-CH"/>
      </w:rPr>
      <w:t>20 • Suisse</w:t>
    </w:r>
    <w:r>
      <w:rPr>
        <w:sz w:val="18"/>
        <w:szCs w:val="18"/>
        <w:lang w:val="fr-CH"/>
      </w:rPr>
      <w:t xml:space="preserve"> </w:t>
    </w:r>
    <w:r w:rsidRPr="009E2358">
      <w:rPr>
        <w:sz w:val="18"/>
        <w:szCs w:val="18"/>
        <w:lang w:val="fr-CH"/>
      </w:rPr>
      <w:br/>
      <w:t>Tél</w:t>
    </w:r>
    <w:r w:rsidR="00A54301">
      <w:rPr>
        <w:sz w:val="18"/>
        <w:szCs w:val="18"/>
        <w:lang w:val="fr-CH"/>
      </w:rPr>
      <w:t>.</w:t>
    </w:r>
    <w:r w:rsidRPr="009E2358">
      <w:rPr>
        <w:sz w:val="18"/>
        <w:szCs w:val="18"/>
        <w:lang w:val="fr-CH"/>
      </w:rPr>
      <w:t xml:space="preserve">: +41 22 730 5111 • Fax: +41 22 733 7256 </w:t>
    </w:r>
    <w:r w:rsidRPr="00E53DCE">
      <w:rPr>
        <w:sz w:val="18"/>
        <w:szCs w:val="18"/>
        <w:lang w:val="fr-FR"/>
      </w:rPr>
      <w:t xml:space="preserve">• Courriel: </w:t>
    </w:r>
    <w:hyperlink r:id="rId1" w:history="1">
      <w:r w:rsidRPr="00E53DCE">
        <w:rPr>
          <w:rStyle w:val="Hyperlink"/>
          <w:sz w:val="18"/>
          <w:szCs w:val="18"/>
          <w:lang w:val="fr-FR"/>
        </w:rPr>
        <w:t>itumail@itu.int</w:t>
      </w:r>
    </w:hyperlink>
    <w:r w:rsidRPr="00E53DCE">
      <w:rPr>
        <w:sz w:val="18"/>
        <w:szCs w:val="18"/>
        <w:lang w:val="fr-FR"/>
      </w:rPr>
      <w:t xml:space="preserve"> • </w:t>
    </w:r>
    <w:hyperlink r:id="rId2" w:history="1">
      <w:r w:rsidRPr="00E53DCE">
        <w:rPr>
          <w:rStyle w:val="Hyperlink"/>
          <w:sz w:val="18"/>
          <w:szCs w:val="18"/>
          <w:lang w:val="fr-FR"/>
        </w:rPr>
        <w:t>www.itu.int</w:t>
      </w:r>
    </w:hyperlink>
    <w:r w:rsidRPr="00E53DCE">
      <w:rPr>
        <w:sz w:val="18"/>
        <w:szCs w:val="18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3CD" w:rsidRDefault="003A13CD">
      <w:r>
        <w:t>____________________</w:t>
      </w:r>
    </w:p>
  </w:footnote>
  <w:footnote w:type="continuationSeparator" w:id="0">
    <w:p w:rsidR="003A13CD" w:rsidRDefault="003A13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E60FF0" w:rsidRDefault="007A731F" w:rsidP="007A731F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>-</w:t>
    </w:r>
    <w:r w:rsidR="00E915AF" w:rsidRPr="00E60FF0">
      <w:rPr>
        <w:sz w:val="18"/>
        <w:szCs w:val="16"/>
      </w:rPr>
      <w:t xml:space="preserve"> </w:t>
    </w:r>
    <w:r w:rsidR="001B42C9" w:rsidRPr="00E60FF0">
      <w:rPr>
        <w:rStyle w:val="PageNumber"/>
        <w:sz w:val="18"/>
        <w:szCs w:val="16"/>
      </w:rPr>
      <w:fldChar w:fldCharType="begin"/>
    </w:r>
    <w:r w:rsidR="00E915AF" w:rsidRPr="00E60FF0">
      <w:rPr>
        <w:rStyle w:val="PageNumber"/>
        <w:sz w:val="18"/>
        <w:szCs w:val="16"/>
      </w:rPr>
      <w:instrText xml:space="preserve"> PAGE </w:instrText>
    </w:r>
    <w:r w:rsidR="001B42C9" w:rsidRPr="00E60FF0">
      <w:rPr>
        <w:rStyle w:val="PageNumber"/>
        <w:sz w:val="18"/>
        <w:szCs w:val="16"/>
      </w:rPr>
      <w:fldChar w:fldCharType="separate"/>
    </w:r>
    <w:r w:rsidR="00106F97">
      <w:rPr>
        <w:rStyle w:val="PageNumber"/>
        <w:noProof/>
        <w:sz w:val="18"/>
        <w:szCs w:val="16"/>
      </w:rPr>
      <w:t>4</w:t>
    </w:r>
    <w:r w:rsidR="001B42C9" w:rsidRPr="00E60FF0">
      <w:rPr>
        <w:rStyle w:val="PageNumber"/>
        <w:sz w:val="18"/>
        <w:szCs w:val="16"/>
      </w:rPr>
      <w:fldChar w:fldCharType="end"/>
    </w:r>
    <w:r w:rsidR="00E915AF" w:rsidRPr="00E60FF0">
      <w:rPr>
        <w:rStyle w:val="PageNumber"/>
        <w:sz w:val="18"/>
        <w:szCs w:val="16"/>
      </w:rPr>
      <w:t xml:space="preserve"> </w:t>
    </w:r>
    <w:r>
      <w:rPr>
        <w:rStyle w:val="PageNumber"/>
        <w:sz w:val="18"/>
        <w:szCs w:val="16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E60FF0" w:rsidRDefault="0049053B" w:rsidP="007C4B77">
    <w:pPr>
      <w:pStyle w:val="Header"/>
      <w:jc w:val="center"/>
      <w:rPr>
        <w:sz w:val="18"/>
        <w:szCs w:val="16"/>
      </w:rPr>
    </w:pPr>
    <w:r>
      <w:rPr>
        <w:sz w:val="18"/>
        <w:szCs w:val="16"/>
        <w:lang w:val="en-GB"/>
      </w:rPr>
      <w:t>-</w:t>
    </w:r>
    <w:r w:rsidR="00847A64" w:rsidRPr="00E60FF0">
      <w:rPr>
        <w:sz w:val="18"/>
        <w:szCs w:val="16"/>
      </w:rPr>
      <w:t xml:space="preserve"> </w:t>
    </w:r>
    <w:r w:rsidR="00847A64" w:rsidRPr="00E60FF0">
      <w:rPr>
        <w:rStyle w:val="PageNumber"/>
        <w:sz w:val="18"/>
        <w:szCs w:val="16"/>
      </w:rPr>
      <w:fldChar w:fldCharType="begin"/>
    </w:r>
    <w:r w:rsidR="00847A64" w:rsidRPr="00E60FF0">
      <w:rPr>
        <w:rStyle w:val="PageNumber"/>
        <w:sz w:val="18"/>
        <w:szCs w:val="16"/>
      </w:rPr>
      <w:instrText xml:space="preserve"> PAGE </w:instrText>
    </w:r>
    <w:r w:rsidR="00847A64" w:rsidRPr="00E60FF0">
      <w:rPr>
        <w:rStyle w:val="PageNumber"/>
        <w:sz w:val="18"/>
        <w:szCs w:val="16"/>
      </w:rPr>
      <w:fldChar w:fldCharType="separate"/>
    </w:r>
    <w:r w:rsidR="00106F97">
      <w:rPr>
        <w:rStyle w:val="PageNumber"/>
        <w:noProof/>
        <w:sz w:val="18"/>
        <w:szCs w:val="16"/>
      </w:rPr>
      <w:t>5</w:t>
    </w:r>
    <w:r w:rsidR="00847A64" w:rsidRPr="00E60FF0">
      <w:rPr>
        <w:rStyle w:val="PageNumber"/>
        <w:sz w:val="18"/>
        <w:szCs w:val="16"/>
      </w:rPr>
      <w:fldChar w:fldCharType="end"/>
    </w:r>
    <w:r w:rsidR="00847A64" w:rsidRPr="00E60FF0">
      <w:rPr>
        <w:rStyle w:val="PageNumber"/>
        <w:sz w:val="18"/>
        <w:szCs w:val="16"/>
      </w:rPr>
      <w:t xml:space="preserve"> </w:t>
    </w:r>
    <w:r>
      <w:rPr>
        <w:rStyle w:val="PageNumber"/>
        <w:sz w:val="18"/>
        <w:szCs w:val="16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27C98C78" wp14:editId="7A1EA43E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3A13CD"/>
    <w:rsid w:val="000032E5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77773"/>
    <w:rsid w:val="000830F1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12B0"/>
    <w:rsid w:val="000E3DEE"/>
    <w:rsid w:val="00100B72"/>
    <w:rsid w:val="00101F7D"/>
    <w:rsid w:val="00103C76"/>
    <w:rsid w:val="00106F97"/>
    <w:rsid w:val="0011265F"/>
    <w:rsid w:val="00117282"/>
    <w:rsid w:val="00117389"/>
    <w:rsid w:val="00121C2D"/>
    <w:rsid w:val="00134404"/>
    <w:rsid w:val="00144DFB"/>
    <w:rsid w:val="00154196"/>
    <w:rsid w:val="0017230C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761A4"/>
    <w:rsid w:val="00283C3B"/>
    <w:rsid w:val="002861E6"/>
    <w:rsid w:val="00287D18"/>
    <w:rsid w:val="00292806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8646E"/>
    <w:rsid w:val="003A13CD"/>
    <w:rsid w:val="003A1F49"/>
    <w:rsid w:val="003A55ED"/>
    <w:rsid w:val="003A5D52"/>
    <w:rsid w:val="003B2BDA"/>
    <w:rsid w:val="003B55EC"/>
    <w:rsid w:val="003C2EA7"/>
    <w:rsid w:val="003C4471"/>
    <w:rsid w:val="003C5112"/>
    <w:rsid w:val="003C7D41"/>
    <w:rsid w:val="003D4418"/>
    <w:rsid w:val="003D4A69"/>
    <w:rsid w:val="003E504F"/>
    <w:rsid w:val="003E78D6"/>
    <w:rsid w:val="00400573"/>
    <w:rsid w:val="004007A3"/>
    <w:rsid w:val="00406D71"/>
    <w:rsid w:val="00411CB3"/>
    <w:rsid w:val="0041721E"/>
    <w:rsid w:val="004256F2"/>
    <w:rsid w:val="004323E9"/>
    <w:rsid w:val="004326DB"/>
    <w:rsid w:val="0043682E"/>
    <w:rsid w:val="00447ECB"/>
    <w:rsid w:val="004623F7"/>
    <w:rsid w:val="00480F51"/>
    <w:rsid w:val="00481124"/>
    <w:rsid w:val="004815EB"/>
    <w:rsid w:val="00487569"/>
    <w:rsid w:val="0049053B"/>
    <w:rsid w:val="00496864"/>
    <w:rsid w:val="00496920"/>
    <w:rsid w:val="004A4496"/>
    <w:rsid w:val="004B11AB"/>
    <w:rsid w:val="004B3281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2BB4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16F1"/>
    <w:rsid w:val="005B214C"/>
    <w:rsid w:val="005B4CDA"/>
    <w:rsid w:val="005B62F0"/>
    <w:rsid w:val="005D3669"/>
    <w:rsid w:val="005E5EB3"/>
    <w:rsid w:val="005F3CB6"/>
    <w:rsid w:val="005F657C"/>
    <w:rsid w:val="00602D53"/>
    <w:rsid w:val="006047E5"/>
    <w:rsid w:val="00612D0C"/>
    <w:rsid w:val="00614480"/>
    <w:rsid w:val="0064371D"/>
    <w:rsid w:val="00645528"/>
    <w:rsid w:val="00650543"/>
    <w:rsid w:val="00650B2A"/>
    <w:rsid w:val="00651777"/>
    <w:rsid w:val="006550F8"/>
    <w:rsid w:val="0066286A"/>
    <w:rsid w:val="0067729A"/>
    <w:rsid w:val="006829F3"/>
    <w:rsid w:val="00686C28"/>
    <w:rsid w:val="006A518B"/>
    <w:rsid w:val="006B0590"/>
    <w:rsid w:val="006B49DA"/>
    <w:rsid w:val="006C003D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21A7"/>
    <w:rsid w:val="007A731F"/>
    <w:rsid w:val="007B3DB1"/>
    <w:rsid w:val="007C2624"/>
    <w:rsid w:val="007C2E1E"/>
    <w:rsid w:val="007C4B77"/>
    <w:rsid w:val="007D183E"/>
    <w:rsid w:val="007D43D0"/>
    <w:rsid w:val="007E1833"/>
    <w:rsid w:val="007E3F13"/>
    <w:rsid w:val="007F751A"/>
    <w:rsid w:val="00800012"/>
    <w:rsid w:val="008018B7"/>
    <w:rsid w:val="0080261F"/>
    <w:rsid w:val="00806160"/>
    <w:rsid w:val="008143A4"/>
    <w:rsid w:val="0081513E"/>
    <w:rsid w:val="00847A64"/>
    <w:rsid w:val="00854131"/>
    <w:rsid w:val="0085516F"/>
    <w:rsid w:val="0085652D"/>
    <w:rsid w:val="0087694B"/>
    <w:rsid w:val="00880F4D"/>
    <w:rsid w:val="008B35A3"/>
    <w:rsid w:val="008B37E1"/>
    <w:rsid w:val="008B45F8"/>
    <w:rsid w:val="008C2E74"/>
    <w:rsid w:val="008D1EC5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7272A"/>
    <w:rsid w:val="0098013E"/>
    <w:rsid w:val="00981B54"/>
    <w:rsid w:val="009842C3"/>
    <w:rsid w:val="009A009A"/>
    <w:rsid w:val="009A6BB6"/>
    <w:rsid w:val="009B3F43"/>
    <w:rsid w:val="009B5CFA"/>
    <w:rsid w:val="009C161F"/>
    <w:rsid w:val="009C2DA6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54301"/>
    <w:rsid w:val="00A5783A"/>
    <w:rsid w:val="00A63355"/>
    <w:rsid w:val="00A7596D"/>
    <w:rsid w:val="00A963DF"/>
    <w:rsid w:val="00AA211B"/>
    <w:rsid w:val="00AC0C22"/>
    <w:rsid w:val="00AC3896"/>
    <w:rsid w:val="00AD2CF2"/>
    <w:rsid w:val="00AD2E79"/>
    <w:rsid w:val="00AE2D88"/>
    <w:rsid w:val="00AE51AF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850E8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0D84"/>
    <w:rsid w:val="00C66F24"/>
    <w:rsid w:val="00C76D7F"/>
    <w:rsid w:val="00C813AA"/>
    <w:rsid w:val="00C85A47"/>
    <w:rsid w:val="00C9291E"/>
    <w:rsid w:val="00CA3F44"/>
    <w:rsid w:val="00CA4E58"/>
    <w:rsid w:val="00CB3771"/>
    <w:rsid w:val="00CB44BF"/>
    <w:rsid w:val="00CB5153"/>
    <w:rsid w:val="00CC109F"/>
    <w:rsid w:val="00CC4260"/>
    <w:rsid w:val="00CC73BD"/>
    <w:rsid w:val="00CE076A"/>
    <w:rsid w:val="00CE463D"/>
    <w:rsid w:val="00D10BA0"/>
    <w:rsid w:val="00D21694"/>
    <w:rsid w:val="00D24EB5"/>
    <w:rsid w:val="00D35AB9"/>
    <w:rsid w:val="00D4038A"/>
    <w:rsid w:val="00D40B01"/>
    <w:rsid w:val="00D41571"/>
    <w:rsid w:val="00D416A0"/>
    <w:rsid w:val="00D421E9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0E2D"/>
    <w:rsid w:val="00E01059"/>
    <w:rsid w:val="00E04C86"/>
    <w:rsid w:val="00E17344"/>
    <w:rsid w:val="00E20F30"/>
    <w:rsid w:val="00E2189C"/>
    <w:rsid w:val="00E22CDB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0FF0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EE1A57"/>
    <w:rsid w:val="00F424BF"/>
    <w:rsid w:val="00F42573"/>
    <w:rsid w:val="00F44FC3"/>
    <w:rsid w:val="00F46107"/>
    <w:rsid w:val="00F468C5"/>
    <w:rsid w:val="00F52F39"/>
    <w:rsid w:val="00F6184F"/>
    <w:rsid w:val="00F70BB3"/>
    <w:rsid w:val="00F8310E"/>
    <w:rsid w:val="00F914DD"/>
    <w:rsid w:val="00F931E4"/>
    <w:rsid w:val="00FA2358"/>
    <w:rsid w:val="00FB2592"/>
    <w:rsid w:val="00FB2810"/>
    <w:rsid w:val="00FB7A2C"/>
    <w:rsid w:val="00FB7FFE"/>
    <w:rsid w:val="00FC2947"/>
    <w:rsid w:val="00FE0818"/>
    <w:rsid w:val="00FE2735"/>
    <w:rsid w:val="00FE6FB1"/>
    <w:rsid w:val="00FF33EF"/>
    <w:rsid w:val="00FF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5:docId w15:val="{EC423AD6-E1A1-4F21-8D5C-011DAE838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uiPriority w:val="99"/>
    <w:rsid w:val="003A13CD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4256F2"/>
    <w:rPr>
      <w:b/>
      <w:sz w:val="24"/>
      <w:szCs w:val="22"/>
      <w:lang w:val="en-US" w:eastAsia="en-US"/>
    </w:rPr>
  </w:style>
  <w:style w:type="paragraph" w:customStyle="1" w:styleId="Reasons">
    <w:name w:val="Reasons"/>
    <w:basedOn w:val="Normal"/>
    <w:qFormat/>
    <w:rsid w:val="00A5430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TabletextChar">
    <w:name w:val="Table_text Char"/>
    <w:link w:val="Tabletext"/>
    <w:uiPriority w:val="99"/>
    <w:locked/>
    <w:rsid w:val="00502BB4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502BB4"/>
    <w:rPr>
      <w:b/>
      <w:szCs w:val="22"/>
      <w:lang w:val="en-US" w:eastAsia="en-US"/>
    </w:rPr>
  </w:style>
  <w:style w:type="table" w:styleId="TableGrid">
    <w:name w:val="Table Grid"/>
    <w:basedOn w:val="TableNormal"/>
    <w:rsid w:val="00502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ctitleChar">
    <w:name w:val="Rec_title Char"/>
    <w:link w:val="Rectitle"/>
    <w:rsid w:val="007C4B77"/>
    <w:rPr>
      <w:b/>
      <w:sz w:val="28"/>
      <w:szCs w:val="22"/>
      <w:lang w:val="en-US" w:eastAsia="en-US"/>
    </w:rPr>
  </w:style>
  <w:style w:type="paragraph" w:customStyle="1" w:styleId="Summary">
    <w:name w:val="Summary"/>
    <w:basedOn w:val="Normal"/>
    <w:next w:val="Normalaftertitle"/>
    <w:rsid w:val="007C4B77"/>
    <w:pPr>
      <w:spacing w:before="120" w:after="480" w:line="240" w:lineRule="auto"/>
    </w:pPr>
    <w:rPr>
      <w:rFonts w:ascii="Times New Roman" w:hAnsi="Times New Roman" w:cs="Times New Roman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tu.int/md/R12-SG06-C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xod\AppData\Roaming\Microsoft\Templates\POOL%20F%20-%20ITU\PF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B634C-CBDA-4153-9AFD-EFCCBF744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PF_NewBRcirc.dotx</Template>
  <TotalTime>140</TotalTime>
  <Pages>5</Pages>
  <Words>1314</Words>
  <Characters>8353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9648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Saxod, Nathalie</dc:creator>
  <cp:lastModifiedBy>Bonnici, Adrienne</cp:lastModifiedBy>
  <cp:revision>41</cp:revision>
  <cp:lastPrinted>2014-11-28T12:47:00Z</cp:lastPrinted>
  <dcterms:created xsi:type="dcterms:W3CDTF">2014-11-28T06:49:00Z</dcterms:created>
  <dcterms:modified xsi:type="dcterms:W3CDTF">2014-12-04T15:26:00Z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